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50" w:rsidRPr="005F189D" w:rsidRDefault="0052401D" w:rsidP="00122250">
      <w:pPr>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REVIEW OF SUBMISSIONS ON</w:t>
      </w:r>
      <w:r w:rsidR="00D102D9">
        <w:rPr>
          <w:rFonts w:ascii="Times New Roman" w:hAnsi="Times New Roman" w:cs="Times New Roman"/>
          <w:b/>
          <w:sz w:val="24"/>
          <w:szCs w:val="24"/>
        </w:rPr>
        <w:t xml:space="preserve"> THE COST OF DEBT</w:t>
      </w:r>
    </w:p>
    <w:p w:rsidR="00122250" w:rsidRDefault="00122250" w:rsidP="00122250">
      <w:pPr>
        <w:spacing w:after="0" w:line="360" w:lineRule="auto"/>
        <w:jc w:val="center"/>
        <w:rPr>
          <w:rFonts w:ascii="Times New Roman" w:hAnsi="Times New Roman" w:cs="Times New Roman"/>
          <w:sz w:val="24"/>
          <w:szCs w:val="24"/>
        </w:rPr>
      </w:pPr>
    </w:p>
    <w:p w:rsidR="00122250" w:rsidRDefault="00122250" w:rsidP="00122250">
      <w:pPr>
        <w:spacing w:after="0" w:line="360" w:lineRule="auto"/>
        <w:jc w:val="center"/>
        <w:rPr>
          <w:rFonts w:ascii="Times New Roman" w:hAnsi="Times New Roman" w:cs="Times New Roman"/>
          <w:sz w:val="24"/>
          <w:szCs w:val="24"/>
        </w:rPr>
      </w:pPr>
    </w:p>
    <w:p w:rsidR="00122250" w:rsidRDefault="0079409D" w:rsidP="001222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Dr </w:t>
      </w:r>
      <w:r w:rsidR="00122250">
        <w:rPr>
          <w:rFonts w:ascii="Times New Roman" w:hAnsi="Times New Roman" w:cs="Times New Roman"/>
          <w:sz w:val="24"/>
          <w:szCs w:val="24"/>
        </w:rPr>
        <w:t>Martin Lally</w:t>
      </w:r>
    </w:p>
    <w:p w:rsidR="00122250" w:rsidRDefault="0079409D" w:rsidP="001222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Capital Financial Consultants Ltd</w:t>
      </w:r>
    </w:p>
    <w:p w:rsidR="00122250" w:rsidRDefault="00122250" w:rsidP="00122250">
      <w:pPr>
        <w:spacing w:after="0" w:line="360" w:lineRule="auto"/>
        <w:jc w:val="center"/>
        <w:rPr>
          <w:rFonts w:ascii="Times New Roman" w:hAnsi="Times New Roman" w:cs="Times New Roman"/>
          <w:sz w:val="24"/>
          <w:szCs w:val="24"/>
        </w:rPr>
      </w:pPr>
    </w:p>
    <w:p w:rsidR="00122250" w:rsidRDefault="00B80997" w:rsidP="0012225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r w:rsidR="005A3AE8">
        <w:rPr>
          <w:rFonts w:ascii="Times New Roman" w:hAnsi="Times New Roman" w:cs="Times New Roman"/>
          <w:sz w:val="24"/>
          <w:szCs w:val="24"/>
        </w:rPr>
        <w:t xml:space="preserve"> April </w:t>
      </w:r>
      <w:r w:rsidR="0052401D">
        <w:rPr>
          <w:rFonts w:ascii="Times New Roman" w:hAnsi="Times New Roman" w:cs="Times New Roman"/>
          <w:sz w:val="24"/>
          <w:szCs w:val="24"/>
        </w:rPr>
        <w:t>2015</w:t>
      </w:r>
    </w:p>
    <w:p w:rsidR="00122250" w:rsidRDefault="00122250" w:rsidP="00122250">
      <w:pPr>
        <w:spacing w:after="0" w:line="360" w:lineRule="auto"/>
        <w:jc w:val="both"/>
        <w:rPr>
          <w:rFonts w:ascii="Times New Roman" w:hAnsi="Times New Roman" w:cs="Times New Roman"/>
          <w:sz w:val="24"/>
          <w:szCs w:val="24"/>
        </w:rPr>
      </w:pPr>
    </w:p>
    <w:p w:rsidR="00122250" w:rsidRDefault="00122250" w:rsidP="00122250">
      <w:pPr>
        <w:spacing w:after="0" w:line="360" w:lineRule="auto"/>
        <w:jc w:val="both"/>
        <w:rPr>
          <w:rFonts w:ascii="Times New Roman" w:hAnsi="Times New Roman" w:cs="Times New Roman"/>
          <w:sz w:val="24"/>
          <w:szCs w:val="24"/>
        </w:rPr>
      </w:pPr>
    </w:p>
    <w:p w:rsidR="00122250" w:rsidRDefault="00122250"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CE0E71" w:rsidRDefault="00CE0E71" w:rsidP="00122250">
      <w:pPr>
        <w:spacing w:after="0" w:line="360" w:lineRule="auto"/>
        <w:jc w:val="both"/>
        <w:rPr>
          <w:rFonts w:ascii="Times New Roman" w:hAnsi="Times New Roman" w:cs="Times New Roman"/>
          <w:sz w:val="24"/>
          <w:szCs w:val="24"/>
        </w:rPr>
      </w:pPr>
    </w:p>
    <w:p w:rsidR="00CE0E71" w:rsidRDefault="00CE0E71" w:rsidP="00122250">
      <w:pPr>
        <w:spacing w:after="0" w:line="360" w:lineRule="auto"/>
        <w:jc w:val="both"/>
        <w:rPr>
          <w:rFonts w:ascii="Times New Roman" w:hAnsi="Times New Roman" w:cs="Times New Roman"/>
          <w:sz w:val="24"/>
          <w:szCs w:val="24"/>
        </w:rPr>
      </w:pPr>
    </w:p>
    <w:p w:rsidR="00CE0E71" w:rsidRDefault="00CE0E71" w:rsidP="00122250">
      <w:pPr>
        <w:spacing w:after="0" w:line="360" w:lineRule="auto"/>
        <w:jc w:val="both"/>
        <w:rPr>
          <w:rFonts w:ascii="Times New Roman" w:hAnsi="Times New Roman" w:cs="Times New Roman"/>
          <w:sz w:val="24"/>
          <w:szCs w:val="24"/>
        </w:rPr>
      </w:pPr>
    </w:p>
    <w:p w:rsidR="00CE0E71" w:rsidRDefault="00CE0E71" w:rsidP="00122250">
      <w:pPr>
        <w:spacing w:after="0" w:line="360" w:lineRule="auto"/>
        <w:jc w:val="both"/>
        <w:rPr>
          <w:rFonts w:ascii="Times New Roman" w:hAnsi="Times New Roman" w:cs="Times New Roman"/>
          <w:sz w:val="24"/>
          <w:szCs w:val="24"/>
        </w:rPr>
      </w:pPr>
    </w:p>
    <w:p w:rsidR="00CE0E71" w:rsidRDefault="00CE0E71" w:rsidP="00122250">
      <w:pPr>
        <w:spacing w:after="0" w:line="360" w:lineRule="auto"/>
        <w:jc w:val="both"/>
        <w:rPr>
          <w:rFonts w:ascii="Times New Roman" w:hAnsi="Times New Roman" w:cs="Times New Roman"/>
          <w:sz w:val="24"/>
          <w:szCs w:val="24"/>
        </w:rPr>
      </w:pPr>
    </w:p>
    <w:p w:rsidR="00CE0E71" w:rsidRDefault="00CE0E71" w:rsidP="00122250">
      <w:pPr>
        <w:spacing w:after="0" w:line="360" w:lineRule="auto"/>
        <w:jc w:val="both"/>
        <w:rPr>
          <w:rFonts w:ascii="Times New Roman" w:hAnsi="Times New Roman" w:cs="Times New Roman"/>
          <w:sz w:val="24"/>
          <w:szCs w:val="24"/>
        </w:rPr>
      </w:pPr>
    </w:p>
    <w:p w:rsidR="00CE0E71" w:rsidRDefault="00CE0E71" w:rsidP="00122250">
      <w:pPr>
        <w:spacing w:after="0" w:line="360" w:lineRule="auto"/>
        <w:jc w:val="both"/>
        <w:rPr>
          <w:rFonts w:ascii="Times New Roman" w:hAnsi="Times New Roman" w:cs="Times New Roman"/>
          <w:sz w:val="24"/>
          <w:szCs w:val="24"/>
        </w:rPr>
      </w:pPr>
    </w:p>
    <w:p w:rsidR="00CE0E71" w:rsidRDefault="00CE0E71" w:rsidP="00122250">
      <w:pPr>
        <w:spacing w:after="0" w:line="360" w:lineRule="auto"/>
        <w:jc w:val="both"/>
        <w:rPr>
          <w:rFonts w:ascii="Times New Roman" w:hAnsi="Times New Roman" w:cs="Times New Roman"/>
          <w:sz w:val="24"/>
          <w:szCs w:val="24"/>
        </w:rPr>
      </w:pPr>
    </w:p>
    <w:p w:rsidR="00CE0E71" w:rsidRDefault="00CE0E71" w:rsidP="00122250">
      <w:pPr>
        <w:spacing w:after="0" w:line="360" w:lineRule="auto"/>
        <w:jc w:val="both"/>
        <w:rPr>
          <w:rFonts w:ascii="Times New Roman" w:hAnsi="Times New Roman" w:cs="Times New Roman"/>
          <w:sz w:val="24"/>
          <w:szCs w:val="24"/>
        </w:rPr>
      </w:pPr>
    </w:p>
    <w:p w:rsidR="00CE0E71" w:rsidRDefault="00CE0E71" w:rsidP="00122250">
      <w:pPr>
        <w:spacing w:after="0" w:line="360" w:lineRule="auto"/>
        <w:jc w:val="both"/>
        <w:rPr>
          <w:rFonts w:ascii="Times New Roman" w:hAnsi="Times New Roman" w:cs="Times New Roman"/>
          <w:sz w:val="24"/>
          <w:szCs w:val="24"/>
        </w:rPr>
      </w:pPr>
    </w:p>
    <w:p w:rsidR="00CE0E71" w:rsidRDefault="00CE0E71" w:rsidP="00122250">
      <w:pPr>
        <w:spacing w:after="0" w:line="360" w:lineRule="auto"/>
        <w:jc w:val="both"/>
        <w:rPr>
          <w:rFonts w:ascii="Times New Roman" w:hAnsi="Times New Roman" w:cs="Times New Roman"/>
          <w:sz w:val="24"/>
          <w:szCs w:val="24"/>
        </w:rPr>
      </w:pPr>
    </w:p>
    <w:p w:rsidR="00CE0E71" w:rsidRDefault="00CE0E71" w:rsidP="00122250">
      <w:pPr>
        <w:spacing w:after="0" w:line="360" w:lineRule="auto"/>
        <w:jc w:val="both"/>
        <w:rPr>
          <w:rFonts w:ascii="Times New Roman" w:hAnsi="Times New Roman" w:cs="Times New Roman"/>
          <w:sz w:val="24"/>
          <w:szCs w:val="24"/>
        </w:rPr>
      </w:pPr>
    </w:p>
    <w:p w:rsidR="00CE0E71" w:rsidRDefault="00CE0E71" w:rsidP="00122250">
      <w:pPr>
        <w:spacing w:after="0" w:line="360" w:lineRule="auto"/>
        <w:jc w:val="both"/>
        <w:rPr>
          <w:rFonts w:ascii="Times New Roman" w:hAnsi="Times New Roman" w:cs="Times New Roman"/>
          <w:sz w:val="24"/>
          <w:szCs w:val="24"/>
        </w:rPr>
      </w:pPr>
    </w:p>
    <w:p w:rsidR="00CE0E71" w:rsidRDefault="00CE0E71" w:rsidP="00122250">
      <w:pPr>
        <w:spacing w:after="0" w:line="360" w:lineRule="auto"/>
        <w:jc w:val="both"/>
        <w:rPr>
          <w:rFonts w:ascii="Times New Roman" w:hAnsi="Times New Roman" w:cs="Times New Roman"/>
          <w:sz w:val="24"/>
          <w:szCs w:val="24"/>
        </w:rPr>
      </w:pPr>
    </w:p>
    <w:p w:rsidR="00CE0E71" w:rsidRDefault="00CE0E71" w:rsidP="00122250">
      <w:pPr>
        <w:spacing w:after="0" w:line="360" w:lineRule="auto"/>
        <w:jc w:val="both"/>
        <w:rPr>
          <w:rFonts w:ascii="Times New Roman" w:hAnsi="Times New Roman" w:cs="Times New Roman"/>
          <w:sz w:val="24"/>
          <w:szCs w:val="24"/>
        </w:rPr>
      </w:pPr>
    </w:p>
    <w:p w:rsidR="00CE0E71" w:rsidRDefault="00CE0E71" w:rsidP="00122250">
      <w:pPr>
        <w:spacing w:after="0" w:line="360" w:lineRule="auto"/>
        <w:jc w:val="both"/>
        <w:rPr>
          <w:rFonts w:ascii="Times New Roman" w:hAnsi="Times New Roman" w:cs="Times New Roman"/>
          <w:sz w:val="24"/>
          <w:szCs w:val="24"/>
        </w:rPr>
      </w:pPr>
    </w:p>
    <w:p w:rsidR="00CE0E71" w:rsidRDefault="00CE0E71" w:rsidP="00122250">
      <w:pPr>
        <w:spacing w:after="0" w:line="360" w:lineRule="auto"/>
        <w:jc w:val="both"/>
        <w:rPr>
          <w:rFonts w:ascii="Times New Roman" w:hAnsi="Times New Roman" w:cs="Times New Roman"/>
          <w:sz w:val="24"/>
          <w:szCs w:val="24"/>
        </w:rPr>
      </w:pPr>
    </w:p>
    <w:p w:rsidR="00CE0E71" w:rsidRDefault="00CE0E71"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6922BF" w:rsidP="00122250">
      <w:pPr>
        <w:spacing w:after="0" w:line="360" w:lineRule="auto"/>
        <w:jc w:val="both"/>
        <w:rPr>
          <w:rFonts w:ascii="Times New Roman" w:hAnsi="Times New Roman" w:cs="Times New Roman"/>
          <w:sz w:val="24"/>
          <w:szCs w:val="24"/>
        </w:rPr>
      </w:pPr>
    </w:p>
    <w:p w:rsidR="006922BF" w:rsidRDefault="00CE0E71" w:rsidP="001222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helpful comments of AER staff are gratefully acknowledged.  However, the views expressed here are those of the author.</w:t>
      </w:r>
    </w:p>
    <w:p w:rsidR="00122250" w:rsidRPr="00CE0E71" w:rsidRDefault="0079409D" w:rsidP="00CE0E71">
      <w:pPr>
        <w:jc w:val="center"/>
        <w:rPr>
          <w:rFonts w:ascii="Times New Roman" w:hAnsi="Times New Roman" w:cs="Times New Roman"/>
          <w:b/>
          <w:sz w:val="24"/>
          <w:szCs w:val="24"/>
        </w:rPr>
      </w:pPr>
      <w:r>
        <w:rPr>
          <w:rFonts w:ascii="Times New Roman" w:hAnsi="Times New Roman" w:cs="Times New Roman"/>
          <w:sz w:val="24"/>
          <w:szCs w:val="24"/>
        </w:rPr>
        <w:br w:type="page"/>
      </w:r>
      <w:r w:rsidR="00CE0E71" w:rsidRPr="00CE0E71">
        <w:rPr>
          <w:rFonts w:ascii="Times New Roman" w:hAnsi="Times New Roman" w:cs="Times New Roman"/>
          <w:b/>
          <w:sz w:val="24"/>
          <w:szCs w:val="24"/>
        </w:rPr>
        <w:lastRenderedPageBreak/>
        <w:t>C</w:t>
      </w:r>
      <w:r w:rsidR="00122250" w:rsidRPr="00CE0E71">
        <w:rPr>
          <w:rFonts w:ascii="Times New Roman" w:hAnsi="Times New Roman" w:cs="Times New Roman"/>
          <w:b/>
          <w:sz w:val="24"/>
          <w:szCs w:val="24"/>
        </w:rPr>
        <w:t>ONTENTS</w:t>
      </w:r>
    </w:p>
    <w:p w:rsidR="00122250" w:rsidRPr="004F366B" w:rsidRDefault="00122250" w:rsidP="00122250">
      <w:pPr>
        <w:pStyle w:val="Heading1"/>
        <w:jc w:val="both"/>
        <w:rPr>
          <w:b w:val="0"/>
        </w:rPr>
      </w:pPr>
    </w:p>
    <w:p w:rsidR="00122250" w:rsidRPr="004F366B" w:rsidRDefault="00122250" w:rsidP="00122250">
      <w:pPr>
        <w:pStyle w:val="BodyText"/>
        <w:tabs>
          <w:tab w:val="left" w:pos="8222"/>
        </w:tabs>
        <w:rPr>
          <w:b/>
          <w:bCs/>
        </w:rPr>
      </w:pPr>
      <w:r w:rsidRPr="004F366B">
        <w:t>Executive Summary</w:t>
      </w:r>
      <w:r w:rsidRPr="004F366B">
        <w:tab/>
        <w:t>3</w:t>
      </w:r>
    </w:p>
    <w:p w:rsidR="00122250" w:rsidRPr="004F366B" w:rsidRDefault="00401E88" w:rsidP="00122250">
      <w:pPr>
        <w:pStyle w:val="BodyText"/>
        <w:tabs>
          <w:tab w:val="left" w:pos="8222"/>
        </w:tabs>
        <w:rPr>
          <w:b/>
          <w:bCs/>
        </w:rPr>
      </w:pPr>
      <w:r>
        <w:t>1.  Introduction</w:t>
      </w:r>
      <w:r>
        <w:tab/>
        <w:t>7</w:t>
      </w:r>
    </w:p>
    <w:p w:rsidR="00122250" w:rsidRDefault="00122250" w:rsidP="00122250">
      <w:pPr>
        <w:pStyle w:val="BodyText"/>
        <w:tabs>
          <w:tab w:val="left" w:pos="8222"/>
        </w:tabs>
      </w:pPr>
      <w:r>
        <w:t>2</w:t>
      </w:r>
      <w:r w:rsidRPr="004F366B">
        <w:t xml:space="preserve">.  </w:t>
      </w:r>
      <w:r w:rsidR="00401E88">
        <w:t>The Financing Practices of a Benchmark Efficient Entity</w:t>
      </w:r>
      <w:r w:rsidR="00401E88">
        <w:tab/>
        <w:t>7</w:t>
      </w:r>
    </w:p>
    <w:p w:rsidR="00401E88" w:rsidRDefault="00401E88" w:rsidP="00122250">
      <w:pPr>
        <w:pStyle w:val="BodyText"/>
        <w:tabs>
          <w:tab w:val="left" w:pos="8222"/>
        </w:tabs>
      </w:pPr>
      <w:r>
        <w:t>3.  Efficient Financing Practices Under Various Regulatory Regimes</w:t>
      </w:r>
      <w:r>
        <w:tab/>
        <w:t>8</w:t>
      </w:r>
    </w:p>
    <w:p w:rsidR="00401E88" w:rsidRDefault="00401E88" w:rsidP="00122250">
      <w:pPr>
        <w:pStyle w:val="BodyText"/>
        <w:tabs>
          <w:tab w:val="left" w:pos="8222"/>
        </w:tabs>
      </w:pPr>
      <w:r>
        <w:t>4.  Efficient Financing Practices Under Other Circumstances</w:t>
      </w:r>
      <w:r>
        <w:tab/>
        <w:t>10</w:t>
      </w:r>
    </w:p>
    <w:p w:rsidR="00401E88" w:rsidRDefault="00401E88" w:rsidP="00122250">
      <w:pPr>
        <w:pStyle w:val="BodyText"/>
        <w:tabs>
          <w:tab w:val="left" w:pos="8222"/>
        </w:tabs>
      </w:pPr>
      <w:r>
        <w:t>5.  Review o</w:t>
      </w:r>
      <w:r w:rsidR="0018097E">
        <w:t>f the AER’s Arguments for a Transitional Regime</w:t>
      </w:r>
      <w:r>
        <w:tab/>
        <w:t>12</w:t>
      </w:r>
    </w:p>
    <w:p w:rsidR="00401E88" w:rsidRDefault="00401E88" w:rsidP="00122250">
      <w:pPr>
        <w:pStyle w:val="BodyText"/>
        <w:tabs>
          <w:tab w:val="left" w:pos="8222"/>
        </w:tabs>
      </w:pPr>
      <w:r>
        <w:t>6.  The Impact of the Proposed Transitional Arrangements</w:t>
      </w:r>
      <w:r>
        <w:tab/>
        <w:t>15</w:t>
      </w:r>
    </w:p>
    <w:p w:rsidR="00401E88" w:rsidRDefault="00401E88" w:rsidP="00122250">
      <w:pPr>
        <w:pStyle w:val="BodyText"/>
        <w:tabs>
          <w:tab w:val="left" w:pos="8222"/>
        </w:tabs>
      </w:pPr>
      <w:r>
        <w:t>7.  Efficient Financing Practices and Ownership</w:t>
      </w:r>
      <w:r>
        <w:tab/>
        <w:t>16</w:t>
      </w:r>
    </w:p>
    <w:p w:rsidR="00401E88" w:rsidRDefault="00A53308" w:rsidP="0045140D">
      <w:pPr>
        <w:pStyle w:val="BodyText"/>
        <w:tabs>
          <w:tab w:val="left" w:pos="8222"/>
        </w:tabs>
        <w:spacing w:line="240" w:lineRule="auto"/>
      </w:pPr>
      <w:r>
        <w:t>8.  Overall Judgement</w:t>
      </w:r>
      <w:r>
        <w:tab/>
        <w:t>18</w:t>
      </w:r>
    </w:p>
    <w:p w:rsidR="006B3B82" w:rsidRPr="00780073" w:rsidRDefault="00F70C69" w:rsidP="0045140D">
      <w:pPr>
        <w:pStyle w:val="BodyText"/>
        <w:tabs>
          <w:tab w:val="left" w:pos="8222"/>
        </w:tabs>
        <w:spacing w:line="240" w:lineRule="auto"/>
      </w:pPr>
      <w:r>
        <w:t xml:space="preserve">    </w:t>
      </w:r>
      <w:r w:rsidR="00401E88">
        <w:rPr>
          <w:i/>
        </w:rPr>
        <w:t>8</w:t>
      </w:r>
      <w:r>
        <w:rPr>
          <w:i/>
        </w:rPr>
        <w:t>.1 The</w:t>
      </w:r>
      <w:r w:rsidR="00401E88">
        <w:rPr>
          <w:i/>
        </w:rPr>
        <w:t xml:space="preserve"> Legal Environment</w:t>
      </w:r>
      <w:r w:rsidR="00A53308">
        <w:tab/>
        <w:t>18</w:t>
      </w:r>
    </w:p>
    <w:p w:rsidR="006B3B82" w:rsidRPr="00780073" w:rsidRDefault="006B3B82" w:rsidP="0045140D">
      <w:pPr>
        <w:pStyle w:val="BodyText"/>
        <w:tabs>
          <w:tab w:val="left" w:pos="8222"/>
        </w:tabs>
        <w:spacing w:line="240" w:lineRule="auto"/>
      </w:pPr>
      <w:r>
        <w:rPr>
          <w:i/>
        </w:rPr>
        <w:t xml:space="preserve">    </w:t>
      </w:r>
      <w:r w:rsidR="00401E88">
        <w:rPr>
          <w:i/>
        </w:rPr>
        <w:t>8</w:t>
      </w:r>
      <w:r>
        <w:rPr>
          <w:i/>
        </w:rPr>
        <w:t>.2 The</w:t>
      </w:r>
      <w:r w:rsidR="00AF31AB">
        <w:rPr>
          <w:i/>
        </w:rPr>
        <w:t xml:space="preserve"> NPV Principle</w:t>
      </w:r>
      <w:r w:rsidR="00A53308">
        <w:tab/>
        <w:t>19</w:t>
      </w:r>
    </w:p>
    <w:p w:rsidR="006B3B82" w:rsidRPr="00780073" w:rsidRDefault="006B3B82" w:rsidP="0045140D">
      <w:pPr>
        <w:pStyle w:val="BodyText"/>
        <w:tabs>
          <w:tab w:val="left" w:pos="8222"/>
        </w:tabs>
        <w:spacing w:line="240" w:lineRule="auto"/>
      </w:pPr>
      <w:r>
        <w:rPr>
          <w:i/>
        </w:rPr>
        <w:t xml:space="preserve">    </w:t>
      </w:r>
      <w:r w:rsidR="00401E88">
        <w:rPr>
          <w:i/>
        </w:rPr>
        <w:t>8</w:t>
      </w:r>
      <w:r w:rsidR="00AF31AB">
        <w:rPr>
          <w:i/>
        </w:rPr>
        <w:t>.3 Regime Changes</w:t>
      </w:r>
      <w:r w:rsidR="00AF31AB">
        <w:tab/>
        <w:t>26</w:t>
      </w:r>
    </w:p>
    <w:p w:rsidR="006B3B82" w:rsidRPr="00780073" w:rsidRDefault="006B3B82" w:rsidP="0045140D">
      <w:pPr>
        <w:pStyle w:val="BodyText"/>
        <w:tabs>
          <w:tab w:val="left" w:pos="8222"/>
        </w:tabs>
        <w:spacing w:line="240" w:lineRule="auto"/>
      </w:pPr>
      <w:r>
        <w:rPr>
          <w:i/>
        </w:rPr>
        <w:t xml:space="preserve">    </w:t>
      </w:r>
      <w:r w:rsidR="00AF31AB">
        <w:rPr>
          <w:i/>
        </w:rPr>
        <w:t>8.4 Regime Changes and the Base Rate</w:t>
      </w:r>
      <w:r w:rsidR="00AF31AB">
        <w:tab/>
        <w:t>28</w:t>
      </w:r>
    </w:p>
    <w:p w:rsidR="00250A0D" w:rsidRDefault="00250A0D" w:rsidP="0045140D">
      <w:pPr>
        <w:pStyle w:val="BodyText"/>
        <w:tabs>
          <w:tab w:val="left" w:pos="8222"/>
        </w:tabs>
        <w:spacing w:line="240" w:lineRule="auto"/>
      </w:pPr>
      <w:r>
        <w:rPr>
          <w:i/>
        </w:rPr>
        <w:t xml:space="preserve">    </w:t>
      </w:r>
      <w:r w:rsidR="00401E88">
        <w:rPr>
          <w:i/>
        </w:rPr>
        <w:t>8</w:t>
      </w:r>
      <w:r>
        <w:rPr>
          <w:i/>
        </w:rPr>
        <w:t xml:space="preserve">.5 </w:t>
      </w:r>
      <w:r w:rsidR="00AF31AB">
        <w:rPr>
          <w:i/>
        </w:rPr>
        <w:t>Regime Changes and the DRP</w:t>
      </w:r>
      <w:r w:rsidR="00AF31AB">
        <w:tab/>
        <w:t>29</w:t>
      </w:r>
    </w:p>
    <w:p w:rsidR="00AF31AB" w:rsidRPr="00AF31AB" w:rsidRDefault="00AF31AB" w:rsidP="0045140D">
      <w:pPr>
        <w:pStyle w:val="BodyText"/>
        <w:tabs>
          <w:tab w:val="left" w:pos="8222"/>
        </w:tabs>
        <w:spacing w:line="240" w:lineRule="auto"/>
      </w:pPr>
      <w:r>
        <w:t xml:space="preserve">    </w:t>
      </w:r>
      <w:r w:rsidRPr="00AF31AB">
        <w:rPr>
          <w:i/>
        </w:rPr>
        <w:t xml:space="preserve">8.6 </w:t>
      </w:r>
      <w:r>
        <w:rPr>
          <w:i/>
        </w:rPr>
        <w:t>Some Analogies</w:t>
      </w:r>
      <w:r>
        <w:rPr>
          <w:i/>
        </w:rPr>
        <w:tab/>
      </w:r>
      <w:r>
        <w:t>33</w:t>
      </w:r>
    </w:p>
    <w:p w:rsidR="00AF31AB" w:rsidRPr="00AF31AB" w:rsidRDefault="00AF31AB" w:rsidP="0045140D">
      <w:pPr>
        <w:pStyle w:val="BodyText"/>
        <w:tabs>
          <w:tab w:val="left" w:pos="8222"/>
        </w:tabs>
        <w:spacing w:line="240" w:lineRule="auto"/>
      </w:pPr>
      <w:r>
        <w:t xml:space="preserve">    </w:t>
      </w:r>
      <w:r>
        <w:rPr>
          <w:i/>
        </w:rPr>
        <w:t>8.7 Contrary Arguments</w:t>
      </w:r>
      <w:r>
        <w:rPr>
          <w:i/>
        </w:rPr>
        <w:tab/>
      </w:r>
      <w:r>
        <w:t>34</w:t>
      </w:r>
    </w:p>
    <w:p w:rsidR="00AF31AB" w:rsidRPr="00AF31AB" w:rsidRDefault="00AF31AB" w:rsidP="0045140D">
      <w:pPr>
        <w:pStyle w:val="BodyText"/>
        <w:tabs>
          <w:tab w:val="left" w:pos="8222"/>
        </w:tabs>
        <w:spacing w:line="240" w:lineRule="auto"/>
      </w:pPr>
      <w:r>
        <w:rPr>
          <w:i/>
        </w:rPr>
        <w:t xml:space="preserve">    8.8 Further Arguments for a Transitional Process</w:t>
      </w:r>
      <w:r>
        <w:rPr>
          <w:i/>
        </w:rPr>
        <w:tab/>
      </w:r>
      <w:r>
        <w:t>35</w:t>
      </w:r>
    </w:p>
    <w:p w:rsidR="00AF31AB" w:rsidRPr="00AF31AB" w:rsidRDefault="00AF31AB" w:rsidP="00122250">
      <w:pPr>
        <w:pStyle w:val="BodyText"/>
        <w:tabs>
          <w:tab w:val="left" w:pos="8222"/>
        </w:tabs>
      </w:pPr>
      <w:r>
        <w:rPr>
          <w:i/>
        </w:rPr>
        <w:t xml:space="preserve">    8.9 Summary</w:t>
      </w:r>
      <w:r>
        <w:rPr>
          <w:i/>
        </w:rPr>
        <w:tab/>
      </w:r>
      <w:r>
        <w:t>36</w:t>
      </w:r>
    </w:p>
    <w:p w:rsidR="00122250" w:rsidRDefault="00401E88" w:rsidP="0045140D">
      <w:pPr>
        <w:pStyle w:val="BodyText"/>
        <w:tabs>
          <w:tab w:val="left" w:pos="8222"/>
        </w:tabs>
        <w:spacing w:line="240" w:lineRule="auto"/>
      </w:pPr>
      <w:r>
        <w:t>9</w:t>
      </w:r>
      <w:r w:rsidR="00122250" w:rsidRPr="004F366B">
        <w:t xml:space="preserve">.  </w:t>
      </w:r>
      <w:r>
        <w:t>Review of Submissions</w:t>
      </w:r>
      <w:r w:rsidR="00A53308">
        <w:tab/>
        <w:t>38</w:t>
      </w:r>
    </w:p>
    <w:p w:rsidR="00756F73" w:rsidRPr="00780073" w:rsidRDefault="00756F73" w:rsidP="0045140D">
      <w:pPr>
        <w:pStyle w:val="BodyText"/>
        <w:tabs>
          <w:tab w:val="left" w:pos="8222"/>
        </w:tabs>
        <w:spacing w:line="240" w:lineRule="auto"/>
      </w:pPr>
      <w:r w:rsidRPr="00756F73">
        <w:rPr>
          <w:i/>
        </w:rPr>
        <w:t xml:space="preserve">    </w:t>
      </w:r>
      <w:r w:rsidR="00401E88">
        <w:rPr>
          <w:i/>
        </w:rPr>
        <w:t>9</w:t>
      </w:r>
      <w:r w:rsidR="00AF31AB">
        <w:rPr>
          <w:i/>
        </w:rPr>
        <w:t>.1 UBS (for TransGrid)</w:t>
      </w:r>
      <w:r w:rsidR="00A53308">
        <w:tab/>
        <w:t>38</w:t>
      </w:r>
    </w:p>
    <w:p w:rsidR="009E3AEA" w:rsidRDefault="009E3AEA" w:rsidP="0045140D">
      <w:pPr>
        <w:pStyle w:val="BodyText"/>
        <w:tabs>
          <w:tab w:val="left" w:pos="8222"/>
        </w:tabs>
        <w:spacing w:line="240" w:lineRule="auto"/>
      </w:pPr>
      <w:r>
        <w:rPr>
          <w:i/>
        </w:rPr>
        <w:t xml:space="preserve">    </w:t>
      </w:r>
      <w:r w:rsidR="00401E88">
        <w:rPr>
          <w:i/>
        </w:rPr>
        <w:t>9</w:t>
      </w:r>
      <w:r w:rsidR="00AF31AB">
        <w:rPr>
          <w:i/>
        </w:rPr>
        <w:t>.2 Frontier (for TransGrid)</w:t>
      </w:r>
      <w:r w:rsidR="00123644">
        <w:tab/>
        <w:t>41</w:t>
      </w:r>
    </w:p>
    <w:p w:rsidR="00AF31AB" w:rsidRPr="00123644" w:rsidRDefault="00AF31AB" w:rsidP="0045140D">
      <w:pPr>
        <w:pStyle w:val="BodyText"/>
        <w:tabs>
          <w:tab w:val="left" w:pos="8222"/>
        </w:tabs>
        <w:spacing w:line="240" w:lineRule="auto"/>
      </w:pPr>
      <w:r>
        <w:t xml:space="preserve">    </w:t>
      </w:r>
      <w:r>
        <w:rPr>
          <w:i/>
        </w:rPr>
        <w:t>9.3 Meehan (for TransGrid)</w:t>
      </w:r>
      <w:r>
        <w:rPr>
          <w:i/>
        </w:rPr>
        <w:tab/>
      </w:r>
      <w:r w:rsidR="00123644">
        <w:t>45</w:t>
      </w:r>
    </w:p>
    <w:p w:rsidR="00AF31AB" w:rsidRPr="00123644" w:rsidRDefault="00AF31AB" w:rsidP="0045140D">
      <w:pPr>
        <w:pStyle w:val="BodyText"/>
        <w:tabs>
          <w:tab w:val="left" w:pos="8222"/>
        </w:tabs>
        <w:spacing w:line="240" w:lineRule="auto"/>
      </w:pPr>
      <w:r>
        <w:rPr>
          <w:i/>
        </w:rPr>
        <w:t xml:space="preserve">    9.4 Thiow (for TransGrid)</w:t>
      </w:r>
      <w:r>
        <w:rPr>
          <w:i/>
        </w:rPr>
        <w:tab/>
      </w:r>
      <w:r w:rsidR="00A53308">
        <w:t>46</w:t>
      </w:r>
    </w:p>
    <w:p w:rsidR="00AF31AB" w:rsidRPr="00123644" w:rsidRDefault="00AF31AB" w:rsidP="0045140D">
      <w:pPr>
        <w:pStyle w:val="BodyText"/>
        <w:tabs>
          <w:tab w:val="left" w:pos="8222"/>
        </w:tabs>
        <w:spacing w:line="240" w:lineRule="auto"/>
      </w:pPr>
      <w:r>
        <w:rPr>
          <w:i/>
        </w:rPr>
        <w:t xml:space="preserve">    9.5 </w:t>
      </w:r>
      <w:r w:rsidR="00123644">
        <w:rPr>
          <w:i/>
        </w:rPr>
        <w:t>HoustonKemp (for TransGrid)</w:t>
      </w:r>
      <w:r w:rsidR="00123644">
        <w:rPr>
          <w:i/>
        </w:rPr>
        <w:tab/>
      </w:r>
      <w:r w:rsidR="00123644">
        <w:t>46</w:t>
      </w:r>
    </w:p>
    <w:p w:rsidR="00123644" w:rsidRPr="00123644" w:rsidRDefault="00123644" w:rsidP="0045140D">
      <w:pPr>
        <w:pStyle w:val="BodyText"/>
        <w:tabs>
          <w:tab w:val="left" w:pos="8222"/>
        </w:tabs>
        <w:spacing w:line="240" w:lineRule="auto"/>
      </w:pPr>
      <w:r>
        <w:rPr>
          <w:i/>
        </w:rPr>
        <w:t xml:space="preserve">    9.6 CEG (for ActewAGL)</w:t>
      </w:r>
      <w:r>
        <w:rPr>
          <w:i/>
        </w:rPr>
        <w:tab/>
      </w:r>
      <w:r>
        <w:t>50</w:t>
      </w:r>
    </w:p>
    <w:p w:rsidR="00123644" w:rsidRPr="00123644" w:rsidRDefault="00123644" w:rsidP="0045140D">
      <w:pPr>
        <w:pStyle w:val="BodyText"/>
        <w:tabs>
          <w:tab w:val="left" w:pos="8222"/>
        </w:tabs>
        <w:spacing w:line="240" w:lineRule="auto"/>
      </w:pPr>
      <w:r>
        <w:rPr>
          <w:i/>
        </w:rPr>
        <w:t xml:space="preserve">    9.7 ActewAGL</w:t>
      </w:r>
      <w:r>
        <w:rPr>
          <w:i/>
        </w:rPr>
        <w:tab/>
      </w:r>
      <w:r>
        <w:t>60</w:t>
      </w:r>
    </w:p>
    <w:p w:rsidR="00123644" w:rsidRPr="00123644" w:rsidRDefault="00123644" w:rsidP="0045140D">
      <w:pPr>
        <w:pStyle w:val="BodyText"/>
        <w:tabs>
          <w:tab w:val="left" w:pos="8222"/>
        </w:tabs>
        <w:spacing w:line="240" w:lineRule="auto"/>
      </w:pPr>
      <w:r>
        <w:rPr>
          <w:i/>
        </w:rPr>
        <w:t xml:space="preserve">    9.8 NSW Treasury</w:t>
      </w:r>
      <w:r>
        <w:rPr>
          <w:i/>
        </w:rPr>
        <w:tab/>
      </w:r>
      <w:r w:rsidR="00A53308">
        <w:t>61</w:t>
      </w:r>
    </w:p>
    <w:p w:rsidR="00123644" w:rsidRPr="00123644" w:rsidRDefault="00123644" w:rsidP="0045140D">
      <w:pPr>
        <w:pStyle w:val="BodyText"/>
        <w:tabs>
          <w:tab w:val="left" w:pos="8222"/>
        </w:tabs>
        <w:spacing w:line="240" w:lineRule="auto"/>
      </w:pPr>
      <w:r>
        <w:rPr>
          <w:i/>
        </w:rPr>
        <w:t xml:space="preserve">    9.9 Ausgrid</w:t>
      </w:r>
      <w:r>
        <w:rPr>
          <w:i/>
        </w:rPr>
        <w:tab/>
      </w:r>
      <w:r>
        <w:t>61</w:t>
      </w:r>
    </w:p>
    <w:p w:rsidR="00123644" w:rsidRPr="00123644" w:rsidRDefault="00123644" w:rsidP="0045140D">
      <w:pPr>
        <w:pStyle w:val="BodyText"/>
        <w:tabs>
          <w:tab w:val="left" w:pos="8222"/>
        </w:tabs>
        <w:spacing w:line="240" w:lineRule="auto"/>
      </w:pPr>
      <w:r>
        <w:rPr>
          <w:i/>
        </w:rPr>
        <w:t xml:space="preserve">    9.10 De Lorenz</w:t>
      </w:r>
      <w:r>
        <w:rPr>
          <w:i/>
        </w:rPr>
        <w:tab/>
      </w:r>
      <w:r>
        <w:t>63</w:t>
      </w:r>
    </w:p>
    <w:p w:rsidR="00123644" w:rsidRPr="00123644" w:rsidRDefault="00123644" w:rsidP="00122250">
      <w:pPr>
        <w:pStyle w:val="BodyText"/>
        <w:tabs>
          <w:tab w:val="left" w:pos="8222"/>
        </w:tabs>
      </w:pPr>
      <w:r>
        <w:rPr>
          <w:i/>
        </w:rPr>
        <w:t xml:space="preserve">    9.11 Endeavour Energy</w:t>
      </w:r>
      <w:r w:rsidR="00A53308">
        <w:tab/>
        <w:t>64</w:t>
      </w:r>
    </w:p>
    <w:p w:rsidR="00955467" w:rsidRDefault="00401E88" w:rsidP="00122250">
      <w:pPr>
        <w:pStyle w:val="BodyText"/>
        <w:tabs>
          <w:tab w:val="left" w:pos="8222"/>
        </w:tabs>
      </w:pPr>
      <w:r>
        <w:t>10</w:t>
      </w:r>
      <w:r w:rsidR="00123644">
        <w:t>.  Conclusions</w:t>
      </w:r>
      <w:r w:rsidR="00123644">
        <w:tab/>
        <w:t>64</w:t>
      </w:r>
    </w:p>
    <w:p w:rsidR="00401E88" w:rsidRDefault="00401E88" w:rsidP="00122250">
      <w:pPr>
        <w:pStyle w:val="BodyText"/>
        <w:tabs>
          <w:tab w:val="left" w:pos="8222"/>
        </w:tabs>
      </w:pPr>
      <w:r>
        <w:t>Appendix 1</w:t>
      </w:r>
      <w:r w:rsidR="005A3AE8">
        <w:t>: Terms of Reference</w:t>
      </w:r>
      <w:r w:rsidR="00A53308">
        <w:tab/>
        <w:t>68</w:t>
      </w:r>
      <w:r>
        <w:tab/>
      </w:r>
    </w:p>
    <w:p w:rsidR="00401E88" w:rsidRDefault="00401E88" w:rsidP="00122250">
      <w:pPr>
        <w:pStyle w:val="BodyText"/>
        <w:tabs>
          <w:tab w:val="left" w:pos="8222"/>
        </w:tabs>
      </w:pPr>
      <w:r>
        <w:t>Appendix 2</w:t>
      </w:r>
      <w:r w:rsidR="005A3AE8">
        <w:t>: The Comparative Risks of Hedging and Not Hedging</w:t>
      </w:r>
      <w:r>
        <w:tab/>
      </w:r>
      <w:r w:rsidR="00A53308">
        <w:t>71</w:t>
      </w:r>
    </w:p>
    <w:p w:rsidR="00122250" w:rsidRPr="00F40A91" w:rsidRDefault="00780073" w:rsidP="00122250">
      <w:pPr>
        <w:pStyle w:val="BodyText"/>
        <w:tabs>
          <w:tab w:val="left" w:pos="8222"/>
        </w:tabs>
        <w:rPr>
          <w:b/>
          <w:bCs/>
        </w:rPr>
      </w:pPr>
      <w:r>
        <w:t>Refer</w:t>
      </w:r>
      <w:r w:rsidR="00A53308">
        <w:t>ences</w:t>
      </w:r>
      <w:r w:rsidR="00A53308">
        <w:tab/>
        <w:t>75</w:t>
      </w:r>
    </w:p>
    <w:p w:rsidR="00122250" w:rsidRDefault="00122250" w:rsidP="00122250">
      <w:pPr>
        <w:rPr>
          <w:rFonts w:ascii="Times New Roman" w:hAnsi="Times New Roman" w:cs="Times New Roman"/>
          <w:sz w:val="24"/>
          <w:szCs w:val="24"/>
        </w:rPr>
      </w:pPr>
      <w:r>
        <w:rPr>
          <w:rFonts w:ascii="Times New Roman" w:hAnsi="Times New Roman" w:cs="Times New Roman"/>
          <w:sz w:val="24"/>
          <w:szCs w:val="24"/>
        </w:rPr>
        <w:br w:type="page"/>
      </w:r>
    </w:p>
    <w:p w:rsidR="00122250" w:rsidRPr="00212FA3" w:rsidRDefault="00122250" w:rsidP="00122250">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EXECUTIVE SUMMARY</w:t>
      </w:r>
    </w:p>
    <w:p w:rsidR="00122250" w:rsidRDefault="00122250" w:rsidP="00122250">
      <w:pPr>
        <w:spacing w:after="0" w:line="360" w:lineRule="auto"/>
        <w:jc w:val="both"/>
        <w:rPr>
          <w:rFonts w:ascii="Times New Roman" w:hAnsi="Times New Roman" w:cs="Times New Roman"/>
          <w:sz w:val="24"/>
          <w:szCs w:val="24"/>
        </w:rPr>
      </w:pPr>
    </w:p>
    <w:p w:rsidR="00AE763C" w:rsidRDefault="00AE763C" w:rsidP="00AE763C">
      <w:pPr>
        <w:spacing w:after="0" w:line="360" w:lineRule="auto"/>
        <w:jc w:val="both"/>
        <w:rPr>
          <w:rFonts w:ascii="Times New Roman" w:hAnsi="Times New Roman" w:cs="Times New Roman"/>
          <w:sz w:val="24"/>
          <w:szCs w:val="24"/>
        </w:rPr>
      </w:pPr>
      <w:r w:rsidRPr="00312CD5">
        <w:rPr>
          <w:rFonts w:ascii="Times New Roman" w:hAnsi="Times New Roman" w:cs="Times New Roman"/>
          <w:sz w:val="24"/>
          <w:szCs w:val="24"/>
        </w:rPr>
        <w:t xml:space="preserve">In </w:t>
      </w:r>
      <w:r>
        <w:rPr>
          <w:rFonts w:ascii="Times New Roman" w:hAnsi="Times New Roman" w:cs="Times New Roman"/>
          <w:sz w:val="24"/>
          <w:szCs w:val="24"/>
        </w:rPr>
        <w:t xml:space="preserve">its recent Rate of Return Guidelines, the AER proposed switching from setting the cost of debt at the prevailing rate at the beginning of the regulatory cycle to setting it in accordance with an annually revised trailing average.  In addition the AER proposed the ‘QTC method’ for transitioning from the old to the new regime.  In response, a number of regulated entities have argued that there should be no transitional period.  Consequently, the AER has raised a number of questions with me, and my </w:t>
      </w:r>
      <w:r w:rsidR="00421341">
        <w:rPr>
          <w:rFonts w:ascii="Times New Roman" w:hAnsi="Times New Roman" w:cs="Times New Roman"/>
          <w:sz w:val="24"/>
          <w:szCs w:val="24"/>
        </w:rPr>
        <w:t xml:space="preserve">conclusions are as follows.  </w:t>
      </w:r>
    </w:p>
    <w:p w:rsidR="00AE763C" w:rsidRDefault="00AE763C" w:rsidP="00AE763C">
      <w:pPr>
        <w:spacing w:after="0" w:line="360" w:lineRule="auto"/>
        <w:jc w:val="both"/>
        <w:rPr>
          <w:rFonts w:ascii="Times New Roman" w:hAnsi="Times New Roman" w:cs="Times New Roman"/>
          <w:sz w:val="24"/>
          <w:szCs w:val="24"/>
        </w:rPr>
      </w:pPr>
    </w:p>
    <w:p w:rsidR="00CD3D93" w:rsidRDefault="00CD3D93" w:rsidP="00CD3D9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Firstly, </w:t>
      </w:r>
      <w:r w:rsidR="00D25714">
        <w:rPr>
          <w:rFonts w:ascii="Times New Roman" w:hAnsi="Times New Roman" w:cs="Times New Roman"/>
          <w:sz w:val="24"/>
          <w:szCs w:val="24"/>
        </w:rPr>
        <w:t xml:space="preserve">in </w:t>
      </w:r>
      <w:r w:rsidRPr="008811CF">
        <w:rPr>
          <w:rFonts w:ascii="Times New Roman" w:hAnsi="Times New Roman" w:cs="Times New Roman"/>
          <w:sz w:val="24"/>
          <w:szCs w:val="24"/>
        </w:rPr>
        <w:t xml:space="preserve">respect of the efficient financing practices of the </w:t>
      </w:r>
      <w:r w:rsidR="00C209AB">
        <w:rPr>
          <w:rFonts w:ascii="Times New Roman" w:hAnsi="Times New Roman" w:cs="Times New Roman"/>
          <w:sz w:val="24"/>
          <w:szCs w:val="24"/>
        </w:rPr>
        <w:t>benchmark efficient entity (</w:t>
      </w:r>
      <w:r w:rsidRPr="008811CF">
        <w:rPr>
          <w:rFonts w:ascii="Times New Roman" w:hAnsi="Times New Roman" w:cs="Times New Roman"/>
          <w:sz w:val="24"/>
          <w:szCs w:val="24"/>
        </w:rPr>
        <w:t>BEE</w:t>
      </w:r>
      <w:r w:rsidR="00C209AB">
        <w:rPr>
          <w:rFonts w:ascii="Times New Roman" w:hAnsi="Times New Roman" w:cs="Times New Roman"/>
          <w:sz w:val="24"/>
          <w:szCs w:val="24"/>
        </w:rPr>
        <w:t>)</w:t>
      </w:r>
      <w:r w:rsidRPr="008811CF">
        <w:rPr>
          <w:rFonts w:ascii="Times New Roman" w:hAnsi="Times New Roman" w:cs="Times New Roman"/>
          <w:sz w:val="24"/>
          <w:szCs w:val="24"/>
        </w:rPr>
        <w:t xml:space="preserve">, this would be to maximize shareholder wealth, which is potentially different to the AER’s goal of minimizing expected financing costs whilst managing the interest rate and refinancing risks.  However, since there is no direct means of assessing which financing policy would achieve either of these subtly different objectives, managers must use judgement and regulators will only be able to rule out some practices as inefficient, leaving a set of policies that it cannot differentiate between unless they are willing to use the observed practices of firms </w:t>
      </w:r>
      <w:r>
        <w:rPr>
          <w:rFonts w:ascii="Times New Roman" w:hAnsi="Times New Roman" w:cs="Times New Roman"/>
          <w:sz w:val="24"/>
          <w:szCs w:val="24"/>
        </w:rPr>
        <w:t>as a guide to what is efficient.</w:t>
      </w:r>
    </w:p>
    <w:p w:rsidR="00CD3D93" w:rsidRDefault="00CD3D93" w:rsidP="00CD3D93">
      <w:pPr>
        <w:pStyle w:val="ListParagraph"/>
        <w:spacing w:after="0" w:line="360" w:lineRule="auto"/>
        <w:ind w:left="0"/>
        <w:jc w:val="both"/>
        <w:rPr>
          <w:rFonts w:ascii="Times New Roman" w:hAnsi="Times New Roman" w:cs="Times New Roman"/>
          <w:sz w:val="24"/>
          <w:szCs w:val="24"/>
        </w:rPr>
      </w:pPr>
    </w:p>
    <w:p w:rsidR="00CD3D93" w:rsidRDefault="00CD3D93" w:rsidP="00CD3D9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Secondly, in respect of how efficient financing practices vary with the regulatory regime, the efficient strategy under the on-the-day regime is to borrow for ten years, stagger the borrowing, and enter interest rate swap contracts to match the base rate incurred to that allowed by the regulator.  Under the trailing average regime, the efficient strategy differs only in not engaging in these swap contracts.  Finally, under the AER’s proposed transitional regime, the efficient strategy is to either desist from entering into any new swap contracts or to enter new swap contracts that convert the floating rate on existing debt to a fixed rate over the remaining life of the debt.</w:t>
      </w:r>
    </w:p>
    <w:p w:rsidR="00CD3D93" w:rsidRDefault="00CD3D93" w:rsidP="00CD3D93">
      <w:pPr>
        <w:pStyle w:val="ListParagraph"/>
        <w:spacing w:after="0" w:line="360" w:lineRule="auto"/>
        <w:ind w:left="0"/>
        <w:jc w:val="both"/>
        <w:rPr>
          <w:rFonts w:ascii="Times New Roman" w:hAnsi="Times New Roman" w:cs="Times New Roman"/>
          <w:sz w:val="24"/>
          <w:szCs w:val="24"/>
        </w:rPr>
      </w:pPr>
    </w:p>
    <w:p w:rsidR="00CD3D93" w:rsidRDefault="00CD3D93" w:rsidP="00CD3D9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Thirdly, in respect of other factors that might affect the efficient financing practices of a BEE, neither the size of its debt portfolio nor having a regulatory cycle that matches that of other regulated businesses nor the cost and availability of interest rate swap contracts for such a firm nor having regulatory determinations that occurred during the GFC would cause the financing practice of such a firm to deviate from that described in the previous paragraph.</w:t>
      </w:r>
    </w:p>
    <w:p w:rsidR="00CD3D93" w:rsidRDefault="00CD3D93" w:rsidP="00CD3D93">
      <w:pPr>
        <w:pStyle w:val="ListParagraph"/>
        <w:spacing w:after="0" w:line="360" w:lineRule="auto"/>
        <w:ind w:left="0"/>
        <w:jc w:val="both"/>
        <w:rPr>
          <w:rFonts w:ascii="Times New Roman" w:hAnsi="Times New Roman" w:cs="Times New Roman"/>
          <w:sz w:val="24"/>
          <w:szCs w:val="24"/>
        </w:rPr>
      </w:pPr>
    </w:p>
    <w:p w:rsidR="00CD3D93" w:rsidRDefault="00CD3D93" w:rsidP="00CD3D93">
      <w:pPr>
        <w:pStyle w:val="ListParagraph"/>
        <w:spacing w:after="0" w:line="360" w:lineRule="auto"/>
        <w:ind w:left="0"/>
        <w:jc w:val="both"/>
        <w:rPr>
          <w:rFonts w:ascii="Times New Roman" w:hAnsi="Times New Roman" w:cs="Times New Roman"/>
          <w:sz w:val="24"/>
          <w:szCs w:val="24"/>
          <w:u w:val="single"/>
        </w:rPr>
      </w:pPr>
      <w:r>
        <w:rPr>
          <w:rFonts w:ascii="Times New Roman" w:hAnsi="Times New Roman" w:cs="Times New Roman"/>
          <w:sz w:val="24"/>
          <w:szCs w:val="24"/>
        </w:rPr>
        <w:lastRenderedPageBreak/>
        <w:t xml:space="preserve">Fourthly, in respect of arguments presented by the AER in support of its proposed transitional regime, I agree with three of these arguments.  Firstly, in respect of the base rate component of the cost of debt, the AER’s proposed transitional regime will minimize potential mismatches between the allowed and incurred rates of the BEE over the transitional period.  Secondly, in respect of the </w:t>
      </w:r>
      <w:r w:rsidR="00A746AD">
        <w:rPr>
          <w:rFonts w:ascii="Times New Roman" w:hAnsi="Times New Roman" w:cs="Times New Roman"/>
          <w:sz w:val="24"/>
          <w:szCs w:val="24"/>
        </w:rPr>
        <w:t>debt risk premium (</w:t>
      </w:r>
      <w:r>
        <w:rPr>
          <w:rFonts w:ascii="Times New Roman" w:hAnsi="Times New Roman" w:cs="Times New Roman"/>
          <w:sz w:val="24"/>
          <w:szCs w:val="24"/>
        </w:rPr>
        <w:t>DRP</w:t>
      </w:r>
      <w:r w:rsidR="00A746AD">
        <w:rPr>
          <w:rFonts w:ascii="Times New Roman" w:hAnsi="Times New Roman" w:cs="Times New Roman"/>
          <w:sz w:val="24"/>
          <w:szCs w:val="24"/>
        </w:rPr>
        <w:t>)</w:t>
      </w:r>
      <w:r>
        <w:rPr>
          <w:rFonts w:ascii="Times New Roman" w:hAnsi="Times New Roman" w:cs="Times New Roman"/>
          <w:sz w:val="24"/>
          <w:szCs w:val="24"/>
        </w:rPr>
        <w:t xml:space="preserve"> component of the cost of debt, the AER’s proposed transitional regime avoids potential windfall gains or losses to service providers and customers.  </w:t>
      </w:r>
      <w:r w:rsidRPr="00C645B6">
        <w:rPr>
          <w:rFonts w:ascii="Times New Roman" w:hAnsi="Times New Roman" w:cs="Times New Roman"/>
          <w:sz w:val="24"/>
          <w:szCs w:val="24"/>
        </w:rPr>
        <w:t>Thirdly, and again in relation to the DRP component of the cost of debt, the AER’s proposed transitional regime avoids the use of historical DRP data and this is desirable because the data is contentious.</w:t>
      </w:r>
      <w:r>
        <w:rPr>
          <w:rFonts w:ascii="Times New Roman" w:hAnsi="Times New Roman" w:cs="Times New Roman"/>
          <w:sz w:val="24"/>
          <w:szCs w:val="24"/>
          <w:u w:val="single"/>
        </w:rPr>
        <w:t xml:space="preserve">  </w:t>
      </w:r>
    </w:p>
    <w:p w:rsidR="00CD3D93" w:rsidRDefault="00CD3D93" w:rsidP="00CD3D93">
      <w:pPr>
        <w:pStyle w:val="ListParagraph"/>
        <w:spacing w:after="0" w:line="360" w:lineRule="auto"/>
        <w:ind w:left="0"/>
        <w:jc w:val="both"/>
        <w:rPr>
          <w:rFonts w:ascii="Times New Roman" w:hAnsi="Times New Roman" w:cs="Times New Roman"/>
          <w:sz w:val="24"/>
          <w:szCs w:val="24"/>
        </w:rPr>
      </w:pPr>
    </w:p>
    <w:p w:rsidR="00CD3D93" w:rsidRDefault="00CD3D93" w:rsidP="00CD3D9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Fifthly, in respect of whether the impact on the BEE of the AER’s proposed transitional arrangements is very similar to that which would have occurred had the AER continued to employ the on-the-day regime, I consider that is very similar in present value terms.</w:t>
      </w:r>
    </w:p>
    <w:p w:rsidR="00CD3D93" w:rsidRDefault="00CD3D93" w:rsidP="00CD3D93">
      <w:pPr>
        <w:pStyle w:val="ListParagraph"/>
        <w:spacing w:after="0" w:line="360" w:lineRule="auto"/>
        <w:ind w:left="0"/>
        <w:jc w:val="both"/>
        <w:rPr>
          <w:rFonts w:ascii="Times New Roman" w:hAnsi="Times New Roman" w:cs="Times New Roman"/>
          <w:sz w:val="24"/>
          <w:szCs w:val="24"/>
        </w:rPr>
      </w:pPr>
    </w:p>
    <w:p w:rsidR="00CD3D93" w:rsidRDefault="00CD3D93" w:rsidP="00CD3D9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Sixthly, and in respect of why the efficient financing practices of the BEE (privately-owned energy networks) may differ from that of government-owned networks, four possible reasons exist.  Firstly, borrowing via another (government) entity may shield the businesses from n</w:t>
      </w:r>
      <w:r w:rsidR="00620705">
        <w:rPr>
          <w:rFonts w:ascii="Times New Roman" w:hAnsi="Times New Roman" w:cs="Times New Roman"/>
          <w:sz w:val="24"/>
          <w:szCs w:val="24"/>
        </w:rPr>
        <w:t>ormal market signals</w:t>
      </w:r>
      <w:r>
        <w:rPr>
          <w:rFonts w:ascii="Times New Roman" w:hAnsi="Times New Roman" w:cs="Times New Roman"/>
          <w:sz w:val="24"/>
          <w:szCs w:val="24"/>
        </w:rPr>
        <w:t>.  Secondly, these businesses may face low bankruptcy and refinancing risk, because the inability to meet debt payments is more likely to result in support from shareholders or the government-owned intermediary through which debt finance is obtained.  Thirdly, these businesses may have been historically less aware of the full potential of the swaps market.  Finally, these businesses are each part of a much larger portfolio of assets held by their state government owners and decisions made may therefore reflect the natural hedges available within these portfolios.</w:t>
      </w:r>
    </w:p>
    <w:p w:rsidR="00CD3D93" w:rsidRDefault="00CD3D93" w:rsidP="00CD3D93">
      <w:pPr>
        <w:pStyle w:val="ListParagraph"/>
        <w:spacing w:after="0" w:line="360" w:lineRule="auto"/>
        <w:ind w:left="0"/>
        <w:jc w:val="both"/>
        <w:rPr>
          <w:rFonts w:ascii="Times New Roman" w:hAnsi="Times New Roman" w:cs="Times New Roman"/>
          <w:sz w:val="24"/>
          <w:szCs w:val="24"/>
        </w:rPr>
      </w:pPr>
    </w:p>
    <w:p w:rsidR="00CD3D93" w:rsidRDefault="00CD3D93" w:rsidP="00CD3D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Seventhly, my views on the AER’s proposed transitional process are as follows.  The AER is subject to the legal requirement to set the allowed cost of debt commensurate with the </w:t>
      </w:r>
      <w:r w:rsidR="00BA724D">
        <w:rPr>
          <w:rFonts w:ascii="Times New Roman" w:hAnsi="Times New Roman" w:cs="Times New Roman"/>
          <w:sz w:val="24"/>
          <w:szCs w:val="24"/>
        </w:rPr>
        <w:t xml:space="preserve">efficient </w:t>
      </w:r>
      <w:r>
        <w:rPr>
          <w:rFonts w:ascii="Times New Roman" w:hAnsi="Times New Roman" w:cs="Times New Roman"/>
          <w:sz w:val="24"/>
          <w:szCs w:val="24"/>
        </w:rPr>
        <w:t xml:space="preserve">costs incurred by a BEE, and this is equivalent to the </w:t>
      </w:r>
      <w:r w:rsidR="00BA724D">
        <w:rPr>
          <w:rFonts w:ascii="Times New Roman" w:hAnsi="Times New Roman" w:cs="Times New Roman"/>
          <w:sz w:val="24"/>
          <w:szCs w:val="24"/>
        </w:rPr>
        <w:t>net present value (</w:t>
      </w:r>
      <w:r>
        <w:rPr>
          <w:rFonts w:ascii="Times New Roman" w:hAnsi="Times New Roman" w:cs="Times New Roman"/>
          <w:sz w:val="24"/>
          <w:szCs w:val="24"/>
        </w:rPr>
        <w:t>NPV</w:t>
      </w:r>
      <w:r w:rsidR="00BA724D">
        <w:rPr>
          <w:rFonts w:ascii="Times New Roman" w:hAnsi="Times New Roman" w:cs="Times New Roman"/>
          <w:sz w:val="24"/>
          <w:szCs w:val="24"/>
        </w:rPr>
        <w:t>)</w:t>
      </w:r>
      <w:r>
        <w:rPr>
          <w:rFonts w:ascii="Times New Roman" w:hAnsi="Times New Roman" w:cs="Times New Roman"/>
          <w:sz w:val="24"/>
          <w:szCs w:val="24"/>
        </w:rPr>
        <w:t xml:space="preserve"> = 0 principle.  A policy of immediately adopting a new regime only when the one-off impact is favourable to the BEE but not otherwise would necessarily violate this NPV = 0 principle.  Alternatively, a policy of immediately adopting a new regime in all cases would expose the BEE to potentially very large risks, thereby discouraging investment.  It would also expose the BEE to the possibility of an adverse shock so large as to threaten its financial viability, which would either lead to regulatory relief in such cases (and hence violation of the NPV = </w:t>
      </w:r>
      <w:r>
        <w:rPr>
          <w:rFonts w:ascii="Times New Roman" w:hAnsi="Times New Roman" w:cs="Times New Roman"/>
          <w:sz w:val="24"/>
          <w:szCs w:val="24"/>
        </w:rPr>
        <w:lastRenderedPageBreak/>
        <w:t xml:space="preserve">0 principle) or the possibility of a supply disruption.  In addition, even if the policy of immediately adopting a regime change regardless of the one-off impact on the BEE were rigorously followed, the upside and downside from such a policy might not be symmetric, in which case the NPV = 0 principle would still be violated.  These disadvantages are all so substantial that the only viable regulatory policy would be to neutralize the one-off effects of regime changes, possibly through a transitional regime, or at least to do so when the effects in </w:t>
      </w:r>
      <w:r w:rsidRPr="006D60E0">
        <w:rPr>
          <w:rFonts w:ascii="Times New Roman" w:hAnsi="Times New Roman" w:cs="Times New Roman"/>
          <w:i/>
          <w:sz w:val="24"/>
          <w:szCs w:val="24"/>
        </w:rPr>
        <w:t>either</w:t>
      </w:r>
      <w:r>
        <w:rPr>
          <w:rFonts w:ascii="Times New Roman" w:hAnsi="Times New Roman" w:cs="Times New Roman"/>
          <w:sz w:val="24"/>
          <w:szCs w:val="24"/>
        </w:rPr>
        <w:t xml:space="preserve"> direction are substantial.</w:t>
      </w:r>
    </w:p>
    <w:p w:rsidR="00CD3D93" w:rsidRDefault="00CD3D93" w:rsidP="00CD3D93">
      <w:pPr>
        <w:spacing w:after="0" w:line="360" w:lineRule="auto"/>
        <w:jc w:val="both"/>
        <w:rPr>
          <w:rFonts w:ascii="Times New Roman" w:hAnsi="Times New Roman" w:cs="Times New Roman"/>
          <w:sz w:val="24"/>
          <w:szCs w:val="24"/>
        </w:rPr>
      </w:pPr>
    </w:p>
    <w:p w:rsidR="00CD3D93" w:rsidRDefault="00CD3D93" w:rsidP="00CD3D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respect of the base rate component of the cost of debt, the regime change in question here would cause a BEE to change its behavior, thereby temporarily leaving it with costs arising from its behavior under the previous regime.  Under such circumstances, immediately applying the new regime would lead to a BEE over recovering its incurred costs by up to $4b over the next nine years.  By contrast, the AER’s proposed transitional regime largely neutralizes this.  Since the one-off effect is large and the AER’s proposed transitional regime largely neutralizes it, I therefore favour applying the AER’s proposed transitional regime to the base rate component of the cost of debt.</w:t>
      </w:r>
    </w:p>
    <w:p w:rsidR="00CD3D93" w:rsidRDefault="00CD3D93" w:rsidP="00CD3D93">
      <w:pPr>
        <w:spacing w:after="0" w:line="360" w:lineRule="auto"/>
        <w:jc w:val="both"/>
        <w:rPr>
          <w:rFonts w:ascii="Times New Roman" w:hAnsi="Times New Roman" w:cs="Times New Roman"/>
          <w:sz w:val="24"/>
          <w:szCs w:val="24"/>
        </w:rPr>
      </w:pPr>
    </w:p>
    <w:p w:rsidR="00CD3D93" w:rsidRDefault="00CD3D93" w:rsidP="00CD3D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respect of the DRP component of the cost of debt, the regime change in question here would not cause a BEE to change its behavior.  However, under the previous on-the-day regime, DRP shocks could give rise to substantial differences between the allowed DRP and that incurred and the accumulated effects could be substantial for many years.  Averaged over different regulatory reset dates, these accumulated differences would be initially negative, then positive, and eventually tail away to zero.  Immediate adoption of the new regime at a time when the accumulated effect was positive or negative would prevent these accumulated gains or losses from being gradually eroded away and they would instead be retained by the BEE; this would be a </w:t>
      </w:r>
      <w:r w:rsidRPr="00B20D1B">
        <w:rPr>
          <w:rFonts w:ascii="Times New Roman" w:hAnsi="Times New Roman" w:cs="Times New Roman"/>
          <w:sz w:val="24"/>
          <w:szCs w:val="24"/>
        </w:rPr>
        <w:t>‘windfall’</w:t>
      </w:r>
      <w:r>
        <w:rPr>
          <w:rFonts w:ascii="Times New Roman" w:hAnsi="Times New Roman" w:cs="Times New Roman"/>
          <w:sz w:val="24"/>
          <w:szCs w:val="24"/>
        </w:rPr>
        <w:t xml:space="preserve"> benefit or loss to the investors in the BEE.  In this particular case, the new regime has been adopted at a time when these one-off effects are at their most extreme and immediate adoption would give rise to a $2.3b windfall benefit to the investors in the BEE.  </w:t>
      </w:r>
      <w:r w:rsidRPr="000D2849">
        <w:rPr>
          <w:rFonts w:ascii="Times New Roman" w:hAnsi="Times New Roman" w:cs="Times New Roman"/>
          <w:sz w:val="24"/>
          <w:szCs w:val="24"/>
        </w:rPr>
        <w:t>Equivalently expressed, adopting the new regime at this time leads to double counting of the DRP results from the high DRP years (2008-2015) and therefore benefiting the average BEE.</w:t>
      </w:r>
      <w:r>
        <w:rPr>
          <w:rFonts w:ascii="Times New Roman" w:hAnsi="Times New Roman" w:cs="Times New Roman"/>
          <w:sz w:val="24"/>
          <w:szCs w:val="24"/>
        </w:rPr>
        <w:t xml:space="preserve">  By contrast, the AER’s proposed transitional regime largely neutralizes this outcome not only for the average BEE (with averaging over different regulatory reset dates) but also for individual BEEs with different regulatory reset dates.  So, again, since the one-off effect is large and the AER’s proposed transitional regime largely neutralizes it, I </w:t>
      </w:r>
      <w:r>
        <w:rPr>
          <w:rFonts w:ascii="Times New Roman" w:hAnsi="Times New Roman" w:cs="Times New Roman"/>
          <w:sz w:val="24"/>
          <w:szCs w:val="24"/>
        </w:rPr>
        <w:lastRenderedPageBreak/>
        <w:t xml:space="preserve">therefore favour applying the AER’s proposed transitional regime to the DRP component of the cost of debt. </w:t>
      </w:r>
    </w:p>
    <w:p w:rsidR="00CD3D93" w:rsidRDefault="00CD3D93" w:rsidP="00CD3D93">
      <w:pPr>
        <w:spacing w:after="0" w:line="360" w:lineRule="auto"/>
        <w:jc w:val="both"/>
        <w:rPr>
          <w:rFonts w:ascii="Times New Roman" w:hAnsi="Times New Roman" w:cs="Times New Roman"/>
          <w:sz w:val="24"/>
          <w:szCs w:val="24"/>
        </w:rPr>
      </w:pPr>
    </w:p>
    <w:p w:rsidR="00CD3D93" w:rsidRDefault="00CD3D93" w:rsidP="00CD3D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Finally, the AER’s proposed approach protects the AER from either consumers or investors in these businesses believing that the AER’s choice of the timing for the regime change is a prejudicial act towards them, and it obviates the need to collect contentious historical DRP data.</w:t>
      </w:r>
    </w:p>
    <w:p w:rsidR="005D34DF" w:rsidRDefault="00A81F72" w:rsidP="0052401D">
      <w:pPr>
        <w:pStyle w:val="ListParagraph"/>
        <w:spacing w:after="0" w:line="360" w:lineRule="auto"/>
        <w:ind w:left="0"/>
        <w:jc w:val="both"/>
        <w:rPr>
          <w:rFonts w:ascii="Times New Roman" w:hAnsi="Times New Roman" w:cs="Times New Roman"/>
          <w:sz w:val="24"/>
          <w:szCs w:val="24"/>
        </w:rPr>
      </w:pPr>
      <w:r w:rsidRPr="008F6483">
        <w:rPr>
          <w:rFonts w:ascii="Times New Roman" w:hAnsi="Times New Roman" w:cs="Times New Roman"/>
          <w:sz w:val="24"/>
          <w:szCs w:val="24"/>
        </w:rPr>
        <w:t xml:space="preserve"> </w:t>
      </w:r>
    </w:p>
    <w:p w:rsidR="002E3DCD" w:rsidRDefault="002E3DCD">
      <w:pPr>
        <w:rPr>
          <w:rFonts w:ascii="Times New Roman" w:hAnsi="Times New Roman" w:cs="Times New Roman"/>
          <w:sz w:val="24"/>
          <w:szCs w:val="24"/>
        </w:rPr>
      </w:pPr>
      <w:r>
        <w:rPr>
          <w:rFonts w:ascii="Times New Roman" w:hAnsi="Times New Roman" w:cs="Times New Roman"/>
          <w:sz w:val="24"/>
          <w:szCs w:val="24"/>
        </w:rPr>
        <w:br w:type="page"/>
      </w:r>
    </w:p>
    <w:p w:rsidR="00122250" w:rsidRPr="001B4D30" w:rsidRDefault="00122250" w:rsidP="004F585D">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Introduction</w:t>
      </w:r>
    </w:p>
    <w:p w:rsidR="00122250" w:rsidRDefault="00122250" w:rsidP="00122250">
      <w:pPr>
        <w:spacing w:after="0" w:line="360" w:lineRule="auto"/>
        <w:jc w:val="both"/>
        <w:rPr>
          <w:rFonts w:ascii="Times New Roman" w:hAnsi="Times New Roman" w:cs="Times New Roman"/>
          <w:sz w:val="24"/>
          <w:szCs w:val="24"/>
        </w:rPr>
      </w:pPr>
    </w:p>
    <w:p w:rsidR="00036B1E" w:rsidRDefault="00122250" w:rsidP="00122250">
      <w:pPr>
        <w:spacing w:after="0" w:line="360" w:lineRule="auto"/>
        <w:jc w:val="both"/>
        <w:rPr>
          <w:rFonts w:ascii="Times New Roman" w:hAnsi="Times New Roman" w:cs="Times New Roman"/>
          <w:sz w:val="24"/>
          <w:szCs w:val="24"/>
        </w:rPr>
      </w:pPr>
      <w:r w:rsidRPr="00312CD5">
        <w:rPr>
          <w:rFonts w:ascii="Times New Roman" w:hAnsi="Times New Roman" w:cs="Times New Roman"/>
          <w:sz w:val="24"/>
          <w:szCs w:val="24"/>
        </w:rPr>
        <w:t xml:space="preserve">In </w:t>
      </w:r>
      <w:r w:rsidR="0079409D">
        <w:rPr>
          <w:rFonts w:ascii="Times New Roman" w:hAnsi="Times New Roman" w:cs="Times New Roman"/>
          <w:sz w:val="24"/>
          <w:szCs w:val="24"/>
        </w:rPr>
        <w:t xml:space="preserve">its recent </w:t>
      </w:r>
      <w:r w:rsidR="00414071">
        <w:rPr>
          <w:rFonts w:ascii="Times New Roman" w:hAnsi="Times New Roman" w:cs="Times New Roman"/>
          <w:sz w:val="24"/>
          <w:szCs w:val="24"/>
        </w:rPr>
        <w:t xml:space="preserve">draft decision on the cost of debt, the AER has </w:t>
      </w:r>
      <w:r w:rsidR="006279AB">
        <w:rPr>
          <w:rFonts w:ascii="Times New Roman" w:hAnsi="Times New Roman" w:cs="Times New Roman"/>
          <w:sz w:val="24"/>
          <w:szCs w:val="24"/>
        </w:rPr>
        <w:t xml:space="preserve">proposed switching from </w:t>
      </w:r>
      <w:r w:rsidR="003E6235">
        <w:rPr>
          <w:rFonts w:ascii="Times New Roman" w:hAnsi="Times New Roman" w:cs="Times New Roman"/>
          <w:sz w:val="24"/>
          <w:szCs w:val="24"/>
        </w:rPr>
        <w:t xml:space="preserve">setting the cost of debt at the prevailing rate at the beginning of the regulatory cycle to setting it in accordance with an annually revised trailing average.  In addition the AER proposed the ‘QTC method’ for transitioning from the old to the new regime.  In response, a number of regulated entities have </w:t>
      </w:r>
      <w:r w:rsidR="00414071">
        <w:rPr>
          <w:rFonts w:ascii="Times New Roman" w:hAnsi="Times New Roman" w:cs="Times New Roman"/>
          <w:sz w:val="24"/>
          <w:szCs w:val="24"/>
        </w:rPr>
        <w:t xml:space="preserve">raised various arguments, and the AER has therefore posed a set of questions for me to consider (see Appendix 1).  </w:t>
      </w:r>
      <w:r w:rsidR="00036B1E">
        <w:rPr>
          <w:rFonts w:ascii="Times New Roman" w:hAnsi="Times New Roman" w:cs="Times New Roman"/>
          <w:sz w:val="24"/>
          <w:szCs w:val="24"/>
        </w:rPr>
        <w:t>This paper s</w:t>
      </w:r>
      <w:r w:rsidR="002647B3">
        <w:rPr>
          <w:rFonts w:ascii="Times New Roman" w:hAnsi="Times New Roman" w:cs="Times New Roman"/>
          <w:sz w:val="24"/>
          <w:szCs w:val="24"/>
        </w:rPr>
        <w:t>eeks to address thes</w:t>
      </w:r>
      <w:r w:rsidR="00414071">
        <w:rPr>
          <w:rFonts w:ascii="Times New Roman" w:hAnsi="Times New Roman" w:cs="Times New Roman"/>
          <w:sz w:val="24"/>
          <w:szCs w:val="24"/>
        </w:rPr>
        <w:t>e questions.</w:t>
      </w:r>
    </w:p>
    <w:p w:rsidR="00D613F0" w:rsidRDefault="00D613F0" w:rsidP="00122250">
      <w:pPr>
        <w:spacing w:after="0" w:line="360" w:lineRule="auto"/>
        <w:jc w:val="both"/>
        <w:rPr>
          <w:rFonts w:ascii="Times New Roman" w:hAnsi="Times New Roman" w:cs="Times New Roman"/>
          <w:sz w:val="24"/>
          <w:szCs w:val="24"/>
        </w:rPr>
      </w:pPr>
    </w:p>
    <w:p w:rsidR="00122250" w:rsidRDefault="0052401D" w:rsidP="004F585D">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The Financing Practice of a Benchmark Efficient Entity</w:t>
      </w:r>
    </w:p>
    <w:p w:rsidR="00333E99" w:rsidRDefault="00333E99" w:rsidP="00122250">
      <w:pPr>
        <w:pStyle w:val="ListParagraph"/>
        <w:spacing w:after="0" w:line="360" w:lineRule="auto"/>
        <w:ind w:left="0"/>
        <w:jc w:val="both"/>
        <w:rPr>
          <w:rFonts w:ascii="Times New Roman" w:hAnsi="Times New Roman" w:cs="Times New Roman"/>
          <w:sz w:val="24"/>
          <w:szCs w:val="24"/>
        </w:rPr>
      </w:pPr>
    </w:p>
    <w:p w:rsidR="005520E5" w:rsidRDefault="0052401D"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AER argues that the efficient financing practice of a </w:t>
      </w:r>
      <w:r w:rsidR="00495C54">
        <w:rPr>
          <w:rFonts w:ascii="Times New Roman" w:hAnsi="Times New Roman" w:cs="Times New Roman"/>
          <w:sz w:val="24"/>
          <w:szCs w:val="24"/>
        </w:rPr>
        <w:t>benchmark efficient entity (</w:t>
      </w:r>
      <w:r>
        <w:rPr>
          <w:rFonts w:ascii="Times New Roman" w:hAnsi="Times New Roman" w:cs="Times New Roman"/>
          <w:sz w:val="24"/>
          <w:szCs w:val="24"/>
        </w:rPr>
        <w:t>BEE</w:t>
      </w:r>
      <w:r w:rsidR="00495C54">
        <w:rPr>
          <w:rFonts w:ascii="Times New Roman" w:hAnsi="Times New Roman" w:cs="Times New Roman"/>
          <w:sz w:val="24"/>
          <w:szCs w:val="24"/>
        </w:rPr>
        <w:t>)</w:t>
      </w:r>
      <w:r>
        <w:rPr>
          <w:rFonts w:ascii="Times New Roman" w:hAnsi="Times New Roman" w:cs="Times New Roman"/>
          <w:sz w:val="24"/>
          <w:szCs w:val="24"/>
        </w:rPr>
        <w:t xml:space="preserve"> would be to minimize (expected) financing costs whilst </w:t>
      </w:r>
      <w:r w:rsidR="00EC0CF3">
        <w:rPr>
          <w:rFonts w:ascii="Times New Roman" w:hAnsi="Times New Roman" w:cs="Times New Roman"/>
          <w:sz w:val="24"/>
          <w:szCs w:val="24"/>
        </w:rPr>
        <w:t xml:space="preserve">managing refinancing risk and interest rate risk.  The usual practice in financial economics is to assume that firms seek to maximize shareholder wealth, and therefore to maximize firm value net of any consequential cash inflows or outflows.  In respect of financing practices associated with a given level of debt, this will involve making decisions that optimally trade off expected financing costs against risks </w:t>
      </w:r>
      <w:r w:rsidR="00E826D3">
        <w:rPr>
          <w:rFonts w:ascii="Times New Roman" w:hAnsi="Times New Roman" w:cs="Times New Roman"/>
          <w:sz w:val="24"/>
          <w:szCs w:val="24"/>
        </w:rPr>
        <w:t>(</w:t>
      </w:r>
      <w:r w:rsidR="00C24B94">
        <w:rPr>
          <w:rFonts w:ascii="Times New Roman" w:hAnsi="Times New Roman" w:cs="Times New Roman"/>
          <w:sz w:val="24"/>
          <w:szCs w:val="24"/>
        </w:rPr>
        <w:t xml:space="preserve">where optimal means that yielding </w:t>
      </w:r>
      <w:r w:rsidR="00E826D3">
        <w:rPr>
          <w:rFonts w:ascii="Times New Roman" w:hAnsi="Times New Roman" w:cs="Times New Roman"/>
          <w:sz w:val="24"/>
          <w:szCs w:val="24"/>
        </w:rPr>
        <w:t>the greatest firm value)</w:t>
      </w:r>
      <w:r w:rsidR="00C24B94">
        <w:rPr>
          <w:rFonts w:ascii="Times New Roman" w:hAnsi="Times New Roman" w:cs="Times New Roman"/>
          <w:sz w:val="24"/>
          <w:szCs w:val="24"/>
        </w:rPr>
        <w:t>,</w:t>
      </w:r>
      <w:r w:rsidR="00E826D3">
        <w:rPr>
          <w:rFonts w:ascii="Times New Roman" w:hAnsi="Times New Roman" w:cs="Times New Roman"/>
          <w:sz w:val="24"/>
          <w:szCs w:val="24"/>
        </w:rPr>
        <w:t xml:space="preserve"> </w:t>
      </w:r>
      <w:r w:rsidR="00EC0CF3">
        <w:rPr>
          <w:rFonts w:ascii="Times New Roman" w:hAnsi="Times New Roman" w:cs="Times New Roman"/>
          <w:sz w:val="24"/>
          <w:szCs w:val="24"/>
        </w:rPr>
        <w:t>and the relevant risks are interest r</w:t>
      </w:r>
      <w:r w:rsidR="00375464">
        <w:rPr>
          <w:rFonts w:ascii="Times New Roman" w:hAnsi="Times New Roman" w:cs="Times New Roman"/>
          <w:sz w:val="24"/>
          <w:szCs w:val="24"/>
        </w:rPr>
        <w:t xml:space="preserve">ate risks and refinancing risks.  </w:t>
      </w:r>
      <w:r w:rsidR="008320E9">
        <w:rPr>
          <w:rFonts w:ascii="Times New Roman" w:hAnsi="Times New Roman" w:cs="Times New Roman"/>
          <w:sz w:val="24"/>
          <w:szCs w:val="24"/>
        </w:rPr>
        <w:t>By contrast, the AER’s goal</w:t>
      </w:r>
      <w:r w:rsidR="00FE488C">
        <w:rPr>
          <w:rFonts w:ascii="Times New Roman" w:hAnsi="Times New Roman" w:cs="Times New Roman"/>
          <w:sz w:val="24"/>
          <w:szCs w:val="24"/>
        </w:rPr>
        <w:t xml:space="preserve"> of </w:t>
      </w:r>
      <w:r w:rsidR="00375464">
        <w:rPr>
          <w:rFonts w:ascii="Times New Roman" w:hAnsi="Times New Roman" w:cs="Times New Roman"/>
          <w:sz w:val="24"/>
          <w:szCs w:val="24"/>
        </w:rPr>
        <w:t xml:space="preserve">minimizing expected financing costs whilst </w:t>
      </w:r>
      <w:r w:rsidR="006E075D">
        <w:rPr>
          <w:rFonts w:ascii="Times New Roman" w:hAnsi="Times New Roman" w:cs="Times New Roman"/>
          <w:sz w:val="24"/>
          <w:szCs w:val="24"/>
        </w:rPr>
        <w:t xml:space="preserve">managing </w:t>
      </w:r>
      <w:r w:rsidR="00375464">
        <w:rPr>
          <w:rFonts w:ascii="Times New Roman" w:hAnsi="Times New Roman" w:cs="Times New Roman"/>
          <w:sz w:val="24"/>
          <w:szCs w:val="24"/>
        </w:rPr>
        <w:t>the interest rate and refinancing ri</w:t>
      </w:r>
      <w:r w:rsidR="008320E9">
        <w:rPr>
          <w:rFonts w:ascii="Times New Roman" w:hAnsi="Times New Roman" w:cs="Times New Roman"/>
          <w:sz w:val="24"/>
          <w:szCs w:val="24"/>
        </w:rPr>
        <w:t>sks</w:t>
      </w:r>
      <w:r w:rsidR="00B504D8">
        <w:rPr>
          <w:rFonts w:ascii="Times New Roman" w:hAnsi="Times New Roman" w:cs="Times New Roman"/>
          <w:sz w:val="24"/>
          <w:szCs w:val="24"/>
        </w:rPr>
        <w:t xml:space="preserve"> appears to </w:t>
      </w:r>
      <w:r w:rsidR="00B504D8" w:rsidRPr="00C209AB">
        <w:rPr>
          <w:rFonts w:ascii="Times New Roman" w:hAnsi="Times New Roman" w:cs="Times New Roman"/>
          <w:sz w:val="24"/>
          <w:szCs w:val="24"/>
        </w:rPr>
        <w:t>involve minimizing expected financing costs subject to interest rate and refinancing risks not exceeding some level</w:t>
      </w:r>
      <w:r w:rsidR="00F83283" w:rsidRPr="00C209AB">
        <w:rPr>
          <w:rFonts w:ascii="Times New Roman" w:hAnsi="Times New Roman" w:cs="Times New Roman"/>
          <w:sz w:val="24"/>
          <w:szCs w:val="24"/>
        </w:rPr>
        <w:t xml:space="preserve">.  </w:t>
      </w:r>
      <w:r w:rsidR="003D62B0" w:rsidRPr="00C209AB">
        <w:rPr>
          <w:rFonts w:ascii="Times New Roman" w:hAnsi="Times New Roman" w:cs="Times New Roman"/>
          <w:sz w:val="24"/>
          <w:szCs w:val="24"/>
        </w:rPr>
        <w:t xml:space="preserve">This objective is </w:t>
      </w:r>
      <w:r w:rsidR="00F83283" w:rsidRPr="00C209AB">
        <w:rPr>
          <w:rFonts w:ascii="Times New Roman" w:hAnsi="Times New Roman" w:cs="Times New Roman"/>
          <w:sz w:val="24"/>
          <w:szCs w:val="24"/>
        </w:rPr>
        <w:t xml:space="preserve">potentially </w:t>
      </w:r>
      <w:r w:rsidR="003D62B0" w:rsidRPr="00C209AB">
        <w:rPr>
          <w:rFonts w:ascii="Times New Roman" w:hAnsi="Times New Roman" w:cs="Times New Roman"/>
          <w:sz w:val="24"/>
          <w:szCs w:val="24"/>
        </w:rPr>
        <w:t>different to that of maximizing shareholder wealth</w:t>
      </w:r>
      <w:r w:rsidR="00B504D8" w:rsidRPr="00C209AB">
        <w:rPr>
          <w:rFonts w:ascii="Times New Roman" w:hAnsi="Times New Roman" w:cs="Times New Roman"/>
          <w:sz w:val="24"/>
          <w:szCs w:val="24"/>
        </w:rPr>
        <w:t>.</w:t>
      </w:r>
      <w:r w:rsidR="00375464" w:rsidRPr="00C209AB">
        <w:rPr>
          <w:rFonts w:ascii="Times New Roman" w:hAnsi="Times New Roman" w:cs="Times New Roman"/>
          <w:sz w:val="24"/>
          <w:szCs w:val="24"/>
        </w:rPr>
        <w:t xml:space="preserve">  </w:t>
      </w:r>
      <w:r w:rsidR="00E826D3" w:rsidRPr="00C209AB">
        <w:rPr>
          <w:rFonts w:ascii="Times New Roman" w:hAnsi="Times New Roman" w:cs="Times New Roman"/>
          <w:sz w:val="24"/>
          <w:szCs w:val="24"/>
        </w:rPr>
        <w:t>However</w:t>
      </w:r>
      <w:r w:rsidR="00BA2382" w:rsidRPr="00C209AB">
        <w:rPr>
          <w:rFonts w:ascii="Times New Roman" w:hAnsi="Times New Roman" w:cs="Times New Roman"/>
          <w:sz w:val="24"/>
          <w:szCs w:val="24"/>
        </w:rPr>
        <w:t xml:space="preserve">, this </w:t>
      </w:r>
      <w:r w:rsidR="003D62B0" w:rsidRPr="00C209AB">
        <w:rPr>
          <w:rFonts w:ascii="Times New Roman" w:hAnsi="Times New Roman" w:cs="Times New Roman"/>
          <w:sz w:val="24"/>
          <w:szCs w:val="24"/>
        </w:rPr>
        <w:t xml:space="preserve">distinction is moot because there is </w:t>
      </w:r>
      <w:r w:rsidR="00E826D3" w:rsidRPr="00C209AB">
        <w:rPr>
          <w:rFonts w:ascii="Times New Roman" w:hAnsi="Times New Roman" w:cs="Times New Roman"/>
          <w:sz w:val="24"/>
          <w:szCs w:val="24"/>
        </w:rPr>
        <w:t xml:space="preserve">no direct means of assessing which financing policy </w:t>
      </w:r>
      <w:r w:rsidR="00B504D8" w:rsidRPr="00C209AB">
        <w:rPr>
          <w:rFonts w:ascii="Times New Roman" w:hAnsi="Times New Roman" w:cs="Times New Roman"/>
          <w:sz w:val="24"/>
          <w:szCs w:val="24"/>
        </w:rPr>
        <w:t>would achieve either of these two subtly different objectives</w:t>
      </w:r>
      <w:r w:rsidR="00E826D3" w:rsidRPr="00C209AB">
        <w:rPr>
          <w:rFonts w:ascii="Times New Roman" w:hAnsi="Times New Roman" w:cs="Times New Roman"/>
          <w:sz w:val="24"/>
          <w:szCs w:val="24"/>
        </w:rPr>
        <w:t>.</w:t>
      </w:r>
      <w:r w:rsidR="00E826D3">
        <w:rPr>
          <w:rFonts w:ascii="Times New Roman" w:hAnsi="Times New Roman" w:cs="Times New Roman"/>
          <w:sz w:val="24"/>
          <w:szCs w:val="24"/>
        </w:rPr>
        <w:t xml:space="preserve">  Consequently, judgement must be used by </w:t>
      </w:r>
      <w:r w:rsidR="00252B54">
        <w:rPr>
          <w:rFonts w:ascii="Times New Roman" w:hAnsi="Times New Roman" w:cs="Times New Roman"/>
          <w:sz w:val="24"/>
          <w:szCs w:val="24"/>
        </w:rPr>
        <w:t xml:space="preserve">management.  In addition, </w:t>
      </w:r>
      <w:r w:rsidR="00B504D8">
        <w:rPr>
          <w:rFonts w:ascii="Times New Roman" w:hAnsi="Times New Roman" w:cs="Times New Roman"/>
          <w:sz w:val="24"/>
          <w:szCs w:val="24"/>
        </w:rPr>
        <w:t xml:space="preserve">the most that </w:t>
      </w:r>
      <w:r w:rsidR="00E826D3">
        <w:rPr>
          <w:rFonts w:ascii="Times New Roman" w:hAnsi="Times New Roman" w:cs="Times New Roman"/>
          <w:sz w:val="24"/>
          <w:szCs w:val="24"/>
        </w:rPr>
        <w:t xml:space="preserve">regulators will </w:t>
      </w:r>
      <w:r w:rsidR="00252B54">
        <w:rPr>
          <w:rFonts w:ascii="Times New Roman" w:hAnsi="Times New Roman" w:cs="Times New Roman"/>
          <w:sz w:val="24"/>
          <w:szCs w:val="24"/>
        </w:rPr>
        <w:t xml:space="preserve">be able to </w:t>
      </w:r>
      <w:r w:rsidR="00B504D8">
        <w:rPr>
          <w:rFonts w:ascii="Times New Roman" w:hAnsi="Times New Roman" w:cs="Times New Roman"/>
          <w:sz w:val="24"/>
          <w:szCs w:val="24"/>
        </w:rPr>
        <w:t xml:space="preserve">do is to </w:t>
      </w:r>
      <w:r w:rsidR="00E826D3">
        <w:rPr>
          <w:rFonts w:ascii="Times New Roman" w:hAnsi="Times New Roman" w:cs="Times New Roman"/>
          <w:sz w:val="24"/>
          <w:szCs w:val="24"/>
        </w:rPr>
        <w:t>rule ou</w:t>
      </w:r>
      <w:r w:rsidR="00252B54">
        <w:rPr>
          <w:rFonts w:ascii="Times New Roman" w:hAnsi="Times New Roman" w:cs="Times New Roman"/>
          <w:sz w:val="24"/>
          <w:szCs w:val="24"/>
        </w:rPr>
        <w:t xml:space="preserve">t some practices as inefficient, </w:t>
      </w:r>
      <w:r w:rsidR="00E826D3">
        <w:rPr>
          <w:rFonts w:ascii="Times New Roman" w:hAnsi="Times New Roman" w:cs="Times New Roman"/>
          <w:sz w:val="24"/>
          <w:szCs w:val="24"/>
        </w:rPr>
        <w:t>leaving a set of policies that it</w:t>
      </w:r>
      <w:r w:rsidR="00252B54">
        <w:rPr>
          <w:rFonts w:ascii="Times New Roman" w:hAnsi="Times New Roman" w:cs="Times New Roman"/>
          <w:sz w:val="24"/>
          <w:szCs w:val="24"/>
        </w:rPr>
        <w:t xml:space="preserve"> cannot differentiate between unless they are willing to use the observed practices of firms </w:t>
      </w:r>
      <w:r w:rsidR="00FE488C">
        <w:rPr>
          <w:rFonts w:ascii="Times New Roman" w:hAnsi="Times New Roman" w:cs="Times New Roman"/>
          <w:sz w:val="24"/>
          <w:szCs w:val="24"/>
        </w:rPr>
        <w:t>as a guide to what is efficient.</w:t>
      </w:r>
    </w:p>
    <w:p w:rsidR="00FE488C" w:rsidRDefault="00FE488C" w:rsidP="00122250">
      <w:pPr>
        <w:pStyle w:val="ListParagraph"/>
        <w:spacing w:after="0" w:line="360" w:lineRule="auto"/>
        <w:ind w:left="0"/>
        <w:jc w:val="both"/>
        <w:rPr>
          <w:rFonts w:ascii="Times New Roman" w:hAnsi="Times New Roman" w:cs="Times New Roman"/>
          <w:sz w:val="24"/>
          <w:szCs w:val="24"/>
        </w:rPr>
      </w:pPr>
    </w:p>
    <w:p w:rsidR="00FE488C" w:rsidRDefault="00FE488C"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summary, the efficient financing practice of a BEE would be to maximize shareholder wealth, which is </w:t>
      </w:r>
      <w:r w:rsidR="00F83283" w:rsidRPr="00C209AB">
        <w:rPr>
          <w:rFonts w:ascii="Times New Roman" w:hAnsi="Times New Roman" w:cs="Times New Roman"/>
          <w:sz w:val="24"/>
          <w:szCs w:val="24"/>
        </w:rPr>
        <w:t xml:space="preserve">potentially </w:t>
      </w:r>
      <w:r w:rsidR="00B504D8" w:rsidRPr="00C209AB">
        <w:rPr>
          <w:rFonts w:ascii="Times New Roman" w:hAnsi="Times New Roman" w:cs="Times New Roman"/>
          <w:sz w:val="24"/>
          <w:szCs w:val="24"/>
        </w:rPr>
        <w:t xml:space="preserve">different </w:t>
      </w:r>
      <w:r w:rsidRPr="00C209AB">
        <w:rPr>
          <w:rFonts w:ascii="Times New Roman" w:hAnsi="Times New Roman" w:cs="Times New Roman"/>
          <w:sz w:val="24"/>
          <w:szCs w:val="24"/>
        </w:rPr>
        <w:t>to the AER’s goal of minimizing expected financing costs whilst managing the interest rate an</w:t>
      </w:r>
      <w:r w:rsidR="00B504D8" w:rsidRPr="00C209AB">
        <w:rPr>
          <w:rFonts w:ascii="Times New Roman" w:hAnsi="Times New Roman" w:cs="Times New Roman"/>
          <w:sz w:val="24"/>
          <w:szCs w:val="24"/>
        </w:rPr>
        <w:t>d refinancing risks</w:t>
      </w:r>
      <w:r w:rsidR="00CD6C86" w:rsidRPr="00C209AB">
        <w:rPr>
          <w:rFonts w:ascii="Times New Roman" w:hAnsi="Times New Roman" w:cs="Times New Roman"/>
          <w:sz w:val="24"/>
          <w:szCs w:val="24"/>
        </w:rPr>
        <w:t xml:space="preserve">.  </w:t>
      </w:r>
      <w:r w:rsidR="00B504D8" w:rsidRPr="00C209AB">
        <w:rPr>
          <w:rFonts w:ascii="Times New Roman" w:hAnsi="Times New Roman" w:cs="Times New Roman"/>
          <w:sz w:val="24"/>
          <w:szCs w:val="24"/>
        </w:rPr>
        <w:t xml:space="preserve">However, since </w:t>
      </w:r>
      <w:r w:rsidR="00CD6C86" w:rsidRPr="00C209AB">
        <w:rPr>
          <w:rFonts w:ascii="Times New Roman" w:hAnsi="Times New Roman" w:cs="Times New Roman"/>
          <w:sz w:val="24"/>
          <w:szCs w:val="24"/>
        </w:rPr>
        <w:t xml:space="preserve">there is no direct means of assessing which financing policy </w:t>
      </w:r>
      <w:r w:rsidR="00B504D8" w:rsidRPr="00C209AB">
        <w:rPr>
          <w:rFonts w:ascii="Times New Roman" w:hAnsi="Times New Roman" w:cs="Times New Roman"/>
          <w:sz w:val="24"/>
          <w:szCs w:val="24"/>
        </w:rPr>
        <w:t>would achieve either of these subtly different objectives,</w:t>
      </w:r>
      <w:r w:rsidR="00B504D8" w:rsidRPr="00B504D8">
        <w:rPr>
          <w:rFonts w:ascii="Times New Roman" w:hAnsi="Times New Roman" w:cs="Times New Roman"/>
          <w:sz w:val="24"/>
          <w:szCs w:val="24"/>
        </w:rPr>
        <w:t xml:space="preserve"> </w:t>
      </w:r>
      <w:r w:rsidR="00CD6C86">
        <w:rPr>
          <w:rFonts w:ascii="Times New Roman" w:hAnsi="Times New Roman" w:cs="Times New Roman"/>
          <w:sz w:val="24"/>
          <w:szCs w:val="24"/>
        </w:rPr>
        <w:t xml:space="preserve">managers must use judgement and regulators will only be able to rule out </w:t>
      </w:r>
      <w:r w:rsidR="00CD6C86">
        <w:rPr>
          <w:rFonts w:ascii="Times New Roman" w:hAnsi="Times New Roman" w:cs="Times New Roman"/>
          <w:sz w:val="24"/>
          <w:szCs w:val="24"/>
        </w:rPr>
        <w:lastRenderedPageBreak/>
        <w:t>some practices as inefficient, leaving a set of policies that it cannot differentiate between unless they are willing to use the observed practices of firms as a guide to what is efficient.</w:t>
      </w:r>
    </w:p>
    <w:p w:rsidR="00E826D3" w:rsidRDefault="00E826D3" w:rsidP="00122250">
      <w:pPr>
        <w:pStyle w:val="ListParagraph"/>
        <w:spacing w:after="0" w:line="360" w:lineRule="auto"/>
        <w:ind w:left="0"/>
        <w:jc w:val="both"/>
        <w:rPr>
          <w:rFonts w:ascii="Times New Roman" w:hAnsi="Times New Roman" w:cs="Times New Roman"/>
          <w:sz w:val="24"/>
          <w:szCs w:val="24"/>
        </w:rPr>
      </w:pPr>
    </w:p>
    <w:p w:rsidR="005520E5" w:rsidRPr="005520E5" w:rsidRDefault="005520E5" w:rsidP="005520E5">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Efficient Financing Practices Under Various Regulatory Regimes</w:t>
      </w:r>
    </w:p>
    <w:p w:rsidR="005520E5" w:rsidRDefault="005520E5" w:rsidP="00122250">
      <w:pPr>
        <w:pStyle w:val="ListParagraph"/>
        <w:spacing w:after="0" w:line="360" w:lineRule="auto"/>
        <w:ind w:left="0"/>
        <w:jc w:val="both"/>
        <w:rPr>
          <w:rFonts w:ascii="Times New Roman" w:hAnsi="Times New Roman" w:cs="Times New Roman"/>
          <w:sz w:val="24"/>
          <w:szCs w:val="24"/>
        </w:rPr>
      </w:pPr>
    </w:p>
    <w:p w:rsidR="009F484C" w:rsidRPr="00C209AB" w:rsidRDefault="005520E5"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Until mid 2014, regulated businesses were subject to the on-the-day regime.  From mid 2014, they are subject to a transitional regime for ten years, after which they will be subject to a trailing average regime.  For each of these three regulatory regimes, the </w:t>
      </w:r>
      <w:r w:rsidR="008053A3" w:rsidRPr="00C209AB">
        <w:rPr>
          <w:rFonts w:ascii="Times New Roman" w:hAnsi="Times New Roman" w:cs="Times New Roman"/>
          <w:sz w:val="24"/>
          <w:szCs w:val="24"/>
        </w:rPr>
        <w:t>efficient financing strategy of a BEE may differ</w:t>
      </w:r>
      <w:r w:rsidR="00E826D3" w:rsidRPr="00C209AB">
        <w:rPr>
          <w:rFonts w:ascii="Times New Roman" w:hAnsi="Times New Roman" w:cs="Times New Roman"/>
          <w:sz w:val="24"/>
          <w:szCs w:val="24"/>
        </w:rPr>
        <w:t>.</w:t>
      </w:r>
      <w:r w:rsidR="009F484C" w:rsidRPr="00C209AB">
        <w:rPr>
          <w:rFonts w:ascii="Times New Roman" w:hAnsi="Times New Roman" w:cs="Times New Roman"/>
          <w:sz w:val="24"/>
          <w:szCs w:val="24"/>
        </w:rPr>
        <w:t xml:space="preserve">  Furthermore, the </w:t>
      </w:r>
      <w:r w:rsidR="0020335F" w:rsidRPr="00C209AB">
        <w:rPr>
          <w:rFonts w:ascii="Times New Roman" w:hAnsi="Times New Roman" w:cs="Times New Roman"/>
          <w:sz w:val="24"/>
          <w:szCs w:val="24"/>
        </w:rPr>
        <w:t xml:space="preserve">contentious </w:t>
      </w:r>
      <w:r w:rsidR="009F484C" w:rsidRPr="00C209AB">
        <w:rPr>
          <w:rFonts w:ascii="Times New Roman" w:hAnsi="Times New Roman" w:cs="Times New Roman"/>
          <w:sz w:val="24"/>
          <w:szCs w:val="24"/>
        </w:rPr>
        <w:t xml:space="preserve">aspects of financing strategy (those that have been subject to significant debate) are the use of staggering, the term of the debt, and the possible recourse to interest rate swaps.  </w:t>
      </w:r>
      <w:r w:rsidR="008053A3" w:rsidRPr="00C209AB">
        <w:rPr>
          <w:rFonts w:ascii="Times New Roman" w:hAnsi="Times New Roman" w:cs="Times New Roman"/>
          <w:sz w:val="24"/>
          <w:szCs w:val="24"/>
        </w:rPr>
        <w:t>These issues are now examined.</w:t>
      </w:r>
    </w:p>
    <w:p w:rsidR="009F484C" w:rsidRDefault="009F484C" w:rsidP="00122250">
      <w:pPr>
        <w:pStyle w:val="ListParagraph"/>
        <w:spacing w:after="0" w:line="360" w:lineRule="auto"/>
        <w:ind w:left="0"/>
        <w:jc w:val="both"/>
        <w:rPr>
          <w:rFonts w:ascii="Times New Roman" w:hAnsi="Times New Roman" w:cs="Times New Roman"/>
          <w:sz w:val="24"/>
          <w:szCs w:val="24"/>
        </w:rPr>
      </w:pPr>
    </w:p>
    <w:p w:rsidR="000F05EE" w:rsidRDefault="00E826D3" w:rsidP="00DA19E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In respect of the on-the-day regime</w:t>
      </w:r>
      <w:r w:rsidR="009F484C">
        <w:rPr>
          <w:rFonts w:ascii="Times New Roman" w:hAnsi="Times New Roman" w:cs="Times New Roman"/>
          <w:sz w:val="24"/>
          <w:szCs w:val="24"/>
        </w:rPr>
        <w:t xml:space="preserve">, this </w:t>
      </w:r>
      <w:r w:rsidR="00E016D2">
        <w:rPr>
          <w:rFonts w:ascii="Times New Roman" w:hAnsi="Times New Roman" w:cs="Times New Roman"/>
          <w:sz w:val="24"/>
          <w:szCs w:val="24"/>
        </w:rPr>
        <w:t xml:space="preserve">involves </w:t>
      </w:r>
      <w:r w:rsidR="00546A5C">
        <w:rPr>
          <w:rFonts w:ascii="Times New Roman" w:hAnsi="Times New Roman" w:cs="Times New Roman"/>
          <w:sz w:val="24"/>
          <w:szCs w:val="24"/>
        </w:rPr>
        <w:t xml:space="preserve">the regulator </w:t>
      </w:r>
      <w:r w:rsidR="009F484C">
        <w:rPr>
          <w:rFonts w:ascii="Times New Roman" w:hAnsi="Times New Roman" w:cs="Times New Roman"/>
          <w:sz w:val="24"/>
          <w:szCs w:val="24"/>
        </w:rPr>
        <w:t xml:space="preserve">periodically (typically five yearly) </w:t>
      </w:r>
      <w:r w:rsidR="00E016D2">
        <w:rPr>
          <w:rFonts w:ascii="Times New Roman" w:hAnsi="Times New Roman" w:cs="Times New Roman"/>
          <w:sz w:val="24"/>
          <w:szCs w:val="24"/>
        </w:rPr>
        <w:t xml:space="preserve">resetting </w:t>
      </w:r>
      <w:r w:rsidR="009F484C">
        <w:rPr>
          <w:rFonts w:ascii="Times New Roman" w:hAnsi="Times New Roman" w:cs="Times New Roman"/>
          <w:sz w:val="24"/>
          <w:szCs w:val="24"/>
        </w:rPr>
        <w:t xml:space="preserve">both the base component of the cost of debt and the </w:t>
      </w:r>
      <w:r w:rsidR="00E50F66" w:rsidRPr="00C209AB">
        <w:rPr>
          <w:rFonts w:ascii="Times New Roman" w:hAnsi="Times New Roman" w:cs="Times New Roman"/>
          <w:sz w:val="24"/>
          <w:szCs w:val="24"/>
        </w:rPr>
        <w:t>debt risk premium (</w:t>
      </w:r>
      <w:r w:rsidR="009F484C" w:rsidRPr="00C209AB">
        <w:rPr>
          <w:rFonts w:ascii="Times New Roman" w:hAnsi="Times New Roman" w:cs="Times New Roman"/>
          <w:sz w:val="24"/>
          <w:szCs w:val="24"/>
        </w:rPr>
        <w:t>DRP</w:t>
      </w:r>
      <w:r w:rsidR="00E50F66" w:rsidRPr="00C209AB">
        <w:rPr>
          <w:rFonts w:ascii="Times New Roman" w:hAnsi="Times New Roman" w:cs="Times New Roman"/>
          <w:sz w:val="24"/>
          <w:szCs w:val="24"/>
        </w:rPr>
        <w:t>)</w:t>
      </w:r>
      <w:r w:rsidR="00E016D2" w:rsidRPr="00C209AB">
        <w:rPr>
          <w:rFonts w:ascii="Times New Roman" w:hAnsi="Times New Roman" w:cs="Times New Roman"/>
          <w:sz w:val="24"/>
          <w:szCs w:val="24"/>
        </w:rPr>
        <w:t xml:space="preserve"> in accordance with the rates prevailing at the reset dates</w:t>
      </w:r>
      <w:r w:rsidR="009F484C" w:rsidRPr="00C209AB">
        <w:rPr>
          <w:rFonts w:ascii="Times New Roman" w:hAnsi="Times New Roman" w:cs="Times New Roman"/>
          <w:sz w:val="24"/>
          <w:szCs w:val="24"/>
        </w:rPr>
        <w:t xml:space="preserve">.  </w:t>
      </w:r>
      <w:r w:rsidR="004F2C1F" w:rsidRPr="00C209AB">
        <w:rPr>
          <w:rFonts w:ascii="Times New Roman" w:hAnsi="Times New Roman" w:cs="Times New Roman"/>
          <w:sz w:val="24"/>
          <w:szCs w:val="24"/>
        </w:rPr>
        <w:t>In response, a firm could align the issuance and maturity</w:t>
      </w:r>
      <w:r w:rsidR="004F2C1F">
        <w:rPr>
          <w:rFonts w:ascii="Times New Roman" w:hAnsi="Times New Roman" w:cs="Times New Roman"/>
          <w:sz w:val="24"/>
          <w:szCs w:val="24"/>
        </w:rPr>
        <w:t xml:space="preserve"> of its debt with the regulatory cycle and thereby avoid any interest rate risk.  However, all debt would then mature at the same point, thereby exposing the firm to substantial refinancing risk.  An alternative approach would be to borrow for a suitably long period and stagger the debt so as to reduce refinancing risk to a low level.  Without additional steps, this would expose </w:t>
      </w:r>
      <w:r w:rsidR="00BF4529">
        <w:rPr>
          <w:rFonts w:ascii="Times New Roman" w:hAnsi="Times New Roman" w:cs="Times New Roman"/>
          <w:sz w:val="24"/>
          <w:szCs w:val="24"/>
        </w:rPr>
        <w:t xml:space="preserve">the firm to significant interest rate risk arising from the mismatch between the allowed cost of debt being based on the rate prevailing at the beginning of the regulatory cycle whilst the firm pays the trailing average rate.  </w:t>
      </w:r>
      <w:r w:rsidR="00336268">
        <w:rPr>
          <w:rFonts w:ascii="Times New Roman" w:hAnsi="Times New Roman" w:cs="Times New Roman"/>
          <w:sz w:val="24"/>
          <w:szCs w:val="24"/>
        </w:rPr>
        <w:t xml:space="preserve">A third option would be to stagger the debt as just described and also </w:t>
      </w:r>
      <w:r w:rsidR="009F484C">
        <w:rPr>
          <w:rFonts w:ascii="Times New Roman" w:hAnsi="Times New Roman" w:cs="Times New Roman"/>
          <w:sz w:val="24"/>
          <w:szCs w:val="24"/>
        </w:rPr>
        <w:t xml:space="preserve">approximately hedge the </w:t>
      </w:r>
      <w:r w:rsidR="00336268">
        <w:rPr>
          <w:rFonts w:ascii="Times New Roman" w:hAnsi="Times New Roman" w:cs="Times New Roman"/>
          <w:sz w:val="24"/>
          <w:szCs w:val="24"/>
        </w:rPr>
        <w:t xml:space="preserve">interest rate risk on the base rate component of the cost of debt by </w:t>
      </w:r>
      <w:r w:rsidR="009F484C">
        <w:rPr>
          <w:rFonts w:ascii="Times New Roman" w:hAnsi="Times New Roman" w:cs="Times New Roman"/>
          <w:sz w:val="24"/>
          <w:szCs w:val="24"/>
        </w:rPr>
        <w:t>using interest rate swap contracts</w:t>
      </w:r>
      <w:r w:rsidR="00252B54">
        <w:rPr>
          <w:rFonts w:ascii="Times New Roman" w:hAnsi="Times New Roman" w:cs="Times New Roman"/>
          <w:sz w:val="24"/>
          <w:szCs w:val="24"/>
        </w:rPr>
        <w:t xml:space="preserve"> </w:t>
      </w:r>
      <w:r w:rsidR="00336268">
        <w:rPr>
          <w:rFonts w:ascii="Times New Roman" w:hAnsi="Times New Roman" w:cs="Times New Roman"/>
          <w:sz w:val="24"/>
          <w:szCs w:val="24"/>
        </w:rPr>
        <w:t>to align the base rate component incurred by the firm with the regulatory cycle.</w:t>
      </w:r>
      <w:r w:rsidR="00336268">
        <w:rPr>
          <w:rStyle w:val="FootnoteReference"/>
          <w:rFonts w:ascii="Times New Roman" w:hAnsi="Times New Roman" w:cs="Times New Roman"/>
          <w:sz w:val="24"/>
          <w:szCs w:val="24"/>
        </w:rPr>
        <w:footnoteReference w:id="1"/>
      </w:r>
      <w:r w:rsidR="00336268">
        <w:rPr>
          <w:rFonts w:ascii="Times New Roman" w:hAnsi="Times New Roman" w:cs="Times New Roman"/>
          <w:sz w:val="24"/>
          <w:szCs w:val="24"/>
        </w:rPr>
        <w:t xml:space="preserve">  </w:t>
      </w:r>
      <w:r w:rsidR="00B210DB">
        <w:rPr>
          <w:rFonts w:ascii="Times New Roman" w:hAnsi="Times New Roman" w:cs="Times New Roman"/>
          <w:sz w:val="24"/>
          <w:szCs w:val="24"/>
        </w:rPr>
        <w:t xml:space="preserve">It is </w:t>
      </w:r>
      <w:r w:rsidR="00252B54">
        <w:rPr>
          <w:rFonts w:ascii="Times New Roman" w:hAnsi="Times New Roman" w:cs="Times New Roman"/>
          <w:sz w:val="24"/>
          <w:szCs w:val="24"/>
        </w:rPr>
        <w:t xml:space="preserve">generally accepted that firms </w:t>
      </w:r>
      <w:r w:rsidR="00E016D2">
        <w:rPr>
          <w:rFonts w:ascii="Times New Roman" w:hAnsi="Times New Roman" w:cs="Times New Roman"/>
          <w:sz w:val="24"/>
          <w:szCs w:val="24"/>
        </w:rPr>
        <w:t xml:space="preserve">subject to </w:t>
      </w:r>
      <w:r w:rsidR="000F05EE">
        <w:rPr>
          <w:rFonts w:ascii="Times New Roman" w:hAnsi="Times New Roman" w:cs="Times New Roman"/>
          <w:sz w:val="24"/>
          <w:szCs w:val="24"/>
        </w:rPr>
        <w:t xml:space="preserve">the on-the-day </w:t>
      </w:r>
      <w:r w:rsidR="00E016D2">
        <w:rPr>
          <w:rFonts w:ascii="Times New Roman" w:hAnsi="Times New Roman" w:cs="Times New Roman"/>
          <w:sz w:val="24"/>
          <w:szCs w:val="24"/>
        </w:rPr>
        <w:t xml:space="preserve">regime </w:t>
      </w:r>
      <w:r w:rsidR="00B210DB">
        <w:rPr>
          <w:rFonts w:ascii="Times New Roman" w:hAnsi="Times New Roman" w:cs="Times New Roman"/>
          <w:sz w:val="24"/>
          <w:szCs w:val="24"/>
        </w:rPr>
        <w:t xml:space="preserve">engage in staggering of their debt because they consider </w:t>
      </w:r>
      <w:r w:rsidR="00252B54">
        <w:rPr>
          <w:rFonts w:ascii="Times New Roman" w:hAnsi="Times New Roman" w:cs="Times New Roman"/>
          <w:sz w:val="24"/>
          <w:szCs w:val="24"/>
        </w:rPr>
        <w:t xml:space="preserve">refinancing risk to be </w:t>
      </w:r>
      <w:r w:rsidR="000F05EE">
        <w:rPr>
          <w:rFonts w:ascii="Times New Roman" w:hAnsi="Times New Roman" w:cs="Times New Roman"/>
          <w:sz w:val="24"/>
          <w:szCs w:val="24"/>
        </w:rPr>
        <w:t xml:space="preserve">a </w:t>
      </w:r>
      <w:r w:rsidR="00252B54">
        <w:rPr>
          <w:rFonts w:ascii="Times New Roman" w:hAnsi="Times New Roman" w:cs="Times New Roman"/>
          <w:sz w:val="24"/>
          <w:szCs w:val="24"/>
        </w:rPr>
        <w:t>greater threat</w:t>
      </w:r>
      <w:r w:rsidR="000F05EE">
        <w:rPr>
          <w:rFonts w:ascii="Times New Roman" w:hAnsi="Times New Roman" w:cs="Times New Roman"/>
          <w:sz w:val="24"/>
          <w:szCs w:val="24"/>
        </w:rPr>
        <w:t xml:space="preserve"> than interest rate risk</w:t>
      </w:r>
      <w:r w:rsidR="00252B54">
        <w:rPr>
          <w:rFonts w:ascii="Times New Roman" w:hAnsi="Times New Roman" w:cs="Times New Roman"/>
          <w:sz w:val="24"/>
          <w:szCs w:val="24"/>
        </w:rPr>
        <w:t xml:space="preserve">.  Thus, on this empirical basis, it is efficient for </w:t>
      </w:r>
      <w:r w:rsidR="00182ABE">
        <w:rPr>
          <w:rFonts w:ascii="Times New Roman" w:hAnsi="Times New Roman" w:cs="Times New Roman"/>
          <w:sz w:val="24"/>
          <w:szCs w:val="24"/>
        </w:rPr>
        <w:t xml:space="preserve">the BEE to </w:t>
      </w:r>
      <w:r w:rsidR="000F05EE">
        <w:rPr>
          <w:rFonts w:ascii="Times New Roman" w:hAnsi="Times New Roman" w:cs="Times New Roman"/>
          <w:sz w:val="24"/>
          <w:szCs w:val="24"/>
        </w:rPr>
        <w:t>stagger their debt and this precludes the first option above</w:t>
      </w:r>
      <w:r w:rsidR="00BE683F">
        <w:rPr>
          <w:rFonts w:ascii="Times New Roman" w:hAnsi="Times New Roman" w:cs="Times New Roman"/>
          <w:sz w:val="24"/>
          <w:szCs w:val="24"/>
        </w:rPr>
        <w:t xml:space="preserve">.  </w:t>
      </w:r>
    </w:p>
    <w:p w:rsidR="000F05EE" w:rsidRDefault="000F05EE" w:rsidP="00DA19E1">
      <w:pPr>
        <w:pStyle w:val="ListParagraph"/>
        <w:spacing w:after="0" w:line="360" w:lineRule="auto"/>
        <w:ind w:left="0"/>
        <w:jc w:val="both"/>
        <w:rPr>
          <w:rFonts w:ascii="Times New Roman" w:hAnsi="Times New Roman" w:cs="Times New Roman"/>
          <w:sz w:val="24"/>
          <w:szCs w:val="24"/>
        </w:rPr>
      </w:pPr>
    </w:p>
    <w:p w:rsidR="00E826D3" w:rsidRDefault="00BE683F" w:rsidP="00DA19E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Turning now to the term for which firms borrow, and given that staggering is efficient, there is no merit in choosing a debt term that matches the regulatory cycle.  Longer debt terms further reduce refinancing risk, but raise the </w:t>
      </w:r>
      <w:r w:rsidR="000F05EE">
        <w:rPr>
          <w:rFonts w:ascii="Times New Roman" w:hAnsi="Times New Roman" w:cs="Times New Roman"/>
          <w:sz w:val="24"/>
          <w:szCs w:val="24"/>
        </w:rPr>
        <w:t>expected cost of debt</w:t>
      </w:r>
      <w:r>
        <w:rPr>
          <w:rFonts w:ascii="Times New Roman" w:hAnsi="Times New Roman" w:cs="Times New Roman"/>
          <w:sz w:val="24"/>
          <w:szCs w:val="24"/>
        </w:rPr>
        <w:t xml:space="preserve">.  </w:t>
      </w:r>
      <w:r w:rsidR="00980521" w:rsidRPr="00E948ED">
        <w:rPr>
          <w:rFonts w:ascii="Times New Roman" w:hAnsi="Times New Roman" w:cs="Times New Roman"/>
          <w:sz w:val="24"/>
          <w:szCs w:val="24"/>
        </w:rPr>
        <w:t xml:space="preserve">Consequently, </w:t>
      </w:r>
      <w:r w:rsidRPr="00E948ED">
        <w:rPr>
          <w:rFonts w:ascii="Times New Roman" w:hAnsi="Times New Roman" w:cs="Times New Roman"/>
          <w:sz w:val="24"/>
          <w:szCs w:val="24"/>
        </w:rPr>
        <w:t xml:space="preserve">again, there is a trade-off and it is generally accepted that regulated firms borrow for about ten years.  So, again, on this empirical basis, it </w:t>
      </w:r>
      <w:r w:rsidR="0042066F" w:rsidRPr="00E948ED">
        <w:rPr>
          <w:rFonts w:ascii="Times New Roman" w:hAnsi="Times New Roman" w:cs="Times New Roman"/>
          <w:sz w:val="24"/>
          <w:szCs w:val="24"/>
        </w:rPr>
        <w:t xml:space="preserve">is efficient for </w:t>
      </w:r>
      <w:r w:rsidR="00E52843" w:rsidRPr="00E948ED">
        <w:rPr>
          <w:rFonts w:ascii="Times New Roman" w:hAnsi="Times New Roman" w:cs="Times New Roman"/>
          <w:sz w:val="24"/>
          <w:szCs w:val="24"/>
        </w:rPr>
        <w:t xml:space="preserve">the BEE </w:t>
      </w:r>
      <w:r w:rsidR="0042066F" w:rsidRPr="00E948ED">
        <w:rPr>
          <w:rFonts w:ascii="Times New Roman" w:hAnsi="Times New Roman" w:cs="Times New Roman"/>
          <w:sz w:val="24"/>
          <w:szCs w:val="24"/>
        </w:rPr>
        <w:t>to do so</w:t>
      </w:r>
      <w:r w:rsidR="00FF7959" w:rsidRPr="00E948ED">
        <w:rPr>
          <w:rFonts w:ascii="Times New Roman" w:hAnsi="Times New Roman" w:cs="Times New Roman"/>
          <w:sz w:val="24"/>
          <w:szCs w:val="24"/>
        </w:rPr>
        <w:t xml:space="preserve">.  </w:t>
      </w:r>
      <w:r w:rsidR="00E016D2" w:rsidRPr="00E948ED">
        <w:rPr>
          <w:rFonts w:ascii="Times New Roman" w:hAnsi="Times New Roman" w:cs="Times New Roman"/>
          <w:sz w:val="24"/>
          <w:szCs w:val="24"/>
        </w:rPr>
        <w:t xml:space="preserve">Finally, in respect of </w:t>
      </w:r>
      <w:r w:rsidR="00E52843" w:rsidRPr="00E948ED">
        <w:rPr>
          <w:rFonts w:ascii="Times New Roman" w:hAnsi="Times New Roman" w:cs="Times New Roman"/>
          <w:sz w:val="24"/>
          <w:szCs w:val="24"/>
        </w:rPr>
        <w:t xml:space="preserve">a BEE </w:t>
      </w:r>
      <w:r w:rsidR="00E016D2" w:rsidRPr="00E948ED">
        <w:rPr>
          <w:rFonts w:ascii="Times New Roman" w:hAnsi="Times New Roman" w:cs="Times New Roman"/>
          <w:sz w:val="24"/>
          <w:szCs w:val="24"/>
        </w:rPr>
        <w:t xml:space="preserve">using interest rate swap contracts, given that </w:t>
      </w:r>
      <w:r w:rsidR="0042066F" w:rsidRPr="00E948ED">
        <w:rPr>
          <w:rFonts w:ascii="Times New Roman" w:hAnsi="Times New Roman" w:cs="Times New Roman"/>
          <w:sz w:val="24"/>
          <w:szCs w:val="24"/>
        </w:rPr>
        <w:t xml:space="preserve">firms borrow for ten years (on average) and the regulatory cycle is typically five years, the effect of </w:t>
      </w:r>
      <w:r w:rsidR="00E52843" w:rsidRPr="00E948ED">
        <w:rPr>
          <w:rFonts w:ascii="Times New Roman" w:hAnsi="Times New Roman" w:cs="Times New Roman"/>
          <w:sz w:val="24"/>
          <w:szCs w:val="24"/>
        </w:rPr>
        <w:t xml:space="preserve">a BEE </w:t>
      </w:r>
      <w:r w:rsidR="0042066F" w:rsidRPr="00E948ED">
        <w:rPr>
          <w:rFonts w:ascii="Times New Roman" w:hAnsi="Times New Roman" w:cs="Times New Roman"/>
          <w:sz w:val="24"/>
          <w:szCs w:val="24"/>
        </w:rPr>
        <w:t xml:space="preserve">using these swaps is to effectively convert the base </w:t>
      </w:r>
      <w:r w:rsidR="002B3BC2" w:rsidRPr="00E948ED">
        <w:rPr>
          <w:rFonts w:ascii="Times New Roman" w:hAnsi="Times New Roman" w:cs="Times New Roman"/>
          <w:sz w:val="24"/>
          <w:szCs w:val="24"/>
        </w:rPr>
        <w:t xml:space="preserve">rate </w:t>
      </w:r>
      <w:r w:rsidR="0042066F" w:rsidRPr="00E948ED">
        <w:rPr>
          <w:rFonts w:ascii="Times New Roman" w:hAnsi="Times New Roman" w:cs="Times New Roman"/>
          <w:sz w:val="24"/>
          <w:szCs w:val="24"/>
        </w:rPr>
        <w:t xml:space="preserve">component of </w:t>
      </w:r>
      <w:r w:rsidR="00E52843" w:rsidRPr="00E948ED">
        <w:rPr>
          <w:rFonts w:ascii="Times New Roman" w:hAnsi="Times New Roman" w:cs="Times New Roman"/>
          <w:sz w:val="24"/>
          <w:szCs w:val="24"/>
        </w:rPr>
        <w:t xml:space="preserve">its </w:t>
      </w:r>
      <w:r w:rsidR="0042066F" w:rsidRPr="00E948ED">
        <w:rPr>
          <w:rFonts w:ascii="Times New Roman" w:hAnsi="Times New Roman" w:cs="Times New Roman"/>
          <w:sz w:val="24"/>
          <w:szCs w:val="24"/>
        </w:rPr>
        <w:t xml:space="preserve">cost of debt from ten to five years, to incur the transactions costs of the swaps, and to </w:t>
      </w:r>
      <w:r w:rsidR="000F05EE" w:rsidRPr="00E948ED">
        <w:rPr>
          <w:rFonts w:ascii="Times New Roman" w:hAnsi="Times New Roman" w:cs="Times New Roman"/>
          <w:sz w:val="24"/>
          <w:szCs w:val="24"/>
        </w:rPr>
        <w:t xml:space="preserve">significantly reduce interest rate risk (as shown in Appendix 2).  Furthermore, as </w:t>
      </w:r>
      <w:r w:rsidR="00DA19E1" w:rsidRPr="00E948ED">
        <w:rPr>
          <w:rFonts w:ascii="Times New Roman" w:hAnsi="Times New Roman" w:cs="Times New Roman"/>
          <w:sz w:val="24"/>
          <w:szCs w:val="24"/>
        </w:rPr>
        <w:t xml:space="preserve">argued by Lally </w:t>
      </w:r>
      <w:r w:rsidR="00FF7959" w:rsidRPr="00E948ED">
        <w:rPr>
          <w:rFonts w:ascii="Times New Roman" w:hAnsi="Times New Roman" w:cs="Times New Roman"/>
          <w:sz w:val="24"/>
          <w:szCs w:val="24"/>
        </w:rPr>
        <w:t>(2014</w:t>
      </w:r>
      <w:r w:rsidR="004954A4" w:rsidRPr="00E948ED">
        <w:rPr>
          <w:rFonts w:ascii="Times New Roman" w:hAnsi="Times New Roman" w:cs="Times New Roman"/>
          <w:sz w:val="24"/>
          <w:szCs w:val="24"/>
        </w:rPr>
        <w:t>a</w:t>
      </w:r>
      <w:r w:rsidR="00FF7959" w:rsidRPr="00E948ED">
        <w:rPr>
          <w:rFonts w:ascii="Times New Roman" w:hAnsi="Times New Roman" w:cs="Times New Roman"/>
          <w:sz w:val="24"/>
          <w:szCs w:val="24"/>
        </w:rPr>
        <w:t>, pp. 26-27</w:t>
      </w:r>
      <w:r w:rsidR="00DA19E1" w:rsidRPr="00E948ED">
        <w:rPr>
          <w:rFonts w:ascii="Times New Roman" w:hAnsi="Times New Roman" w:cs="Times New Roman"/>
          <w:sz w:val="24"/>
          <w:szCs w:val="24"/>
        </w:rPr>
        <w:t xml:space="preserve">), the first </w:t>
      </w:r>
      <w:r w:rsidR="000F05EE" w:rsidRPr="00E948ED">
        <w:rPr>
          <w:rFonts w:ascii="Times New Roman" w:hAnsi="Times New Roman" w:cs="Times New Roman"/>
          <w:sz w:val="24"/>
          <w:szCs w:val="24"/>
        </w:rPr>
        <w:t>of these consequences (converting the base rate component of the cost of debt from ten to five years) reduces expected interest costs (because the ten year base rate is generally higher than the five year rate) a</w:t>
      </w:r>
      <w:r w:rsidR="000F05EE">
        <w:rPr>
          <w:rFonts w:ascii="Times New Roman" w:hAnsi="Times New Roman" w:cs="Times New Roman"/>
          <w:sz w:val="24"/>
          <w:szCs w:val="24"/>
        </w:rPr>
        <w:t xml:space="preserve">nd this more than compensates for the </w:t>
      </w:r>
      <w:r w:rsidR="00980521">
        <w:rPr>
          <w:rFonts w:ascii="Times New Roman" w:hAnsi="Times New Roman" w:cs="Times New Roman"/>
          <w:sz w:val="24"/>
          <w:szCs w:val="24"/>
        </w:rPr>
        <w:t>transactions costs of the swaps</w:t>
      </w:r>
      <w:r w:rsidR="000F05EE">
        <w:rPr>
          <w:rFonts w:ascii="Times New Roman" w:hAnsi="Times New Roman" w:cs="Times New Roman"/>
          <w:sz w:val="24"/>
          <w:szCs w:val="24"/>
        </w:rPr>
        <w:t xml:space="preserve">.  Consequently, </w:t>
      </w:r>
      <w:r w:rsidR="00A7367D">
        <w:rPr>
          <w:rFonts w:ascii="Times New Roman" w:hAnsi="Times New Roman" w:cs="Times New Roman"/>
          <w:sz w:val="24"/>
          <w:szCs w:val="24"/>
        </w:rPr>
        <w:t xml:space="preserve">because they lower expected costs and reduce risk, </w:t>
      </w:r>
      <w:r w:rsidR="000F05EE">
        <w:rPr>
          <w:rFonts w:ascii="Times New Roman" w:hAnsi="Times New Roman" w:cs="Times New Roman"/>
          <w:sz w:val="24"/>
          <w:szCs w:val="24"/>
        </w:rPr>
        <w:t xml:space="preserve">it is </w:t>
      </w:r>
      <w:r w:rsidR="00A7367D">
        <w:rPr>
          <w:rFonts w:ascii="Times New Roman" w:hAnsi="Times New Roman" w:cs="Times New Roman"/>
          <w:sz w:val="24"/>
          <w:szCs w:val="24"/>
        </w:rPr>
        <w:t xml:space="preserve">desirable to </w:t>
      </w:r>
      <w:r w:rsidR="00960835">
        <w:rPr>
          <w:rFonts w:ascii="Times New Roman" w:hAnsi="Times New Roman" w:cs="Times New Roman"/>
          <w:sz w:val="24"/>
          <w:szCs w:val="24"/>
        </w:rPr>
        <w:t xml:space="preserve">undertake the swap contracts.  </w:t>
      </w:r>
      <w:r w:rsidR="00DA19E1">
        <w:rPr>
          <w:rFonts w:ascii="Times New Roman" w:hAnsi="Times New Roman" w:cs="Times New Roman"/>
          <w:sz w:val="24"/>
          <w:szCs w:val="24"/>
        </w:rPr>
        <w:t>Furthermore, as noted by Lally</w:t>
      </w:r>
      <w:r w:rsidR="00FF7959">
        <w:rPr>
          <w:rFonts w:ascii="Times New Roman" w:hAnsi="Times New Roman" w:cs="Times New Roman"/>
          <w:sz w:val="24"/>
          <w:szCs w:val="24"/>
        </w:rPr>
        <w:t xml:space="preserve"> (2014</w:t>
      </w:r>
      <w:r w:rsidR="004954A4">
        <w:rPr>
          <w:rFonts w:ascii="Times New Roman" w:hAnsi="Times New Roman" w:cs="Times New Roman"/>
          <w:sz w:val="24"/>
          <w:szCs w:val="24"/>
        </w:rPr>
        <w:t>a</w:t>
      </w:r>
      <w:r w:rsidR="00FF7959">
        <w:rPr>
          <w:rFonts w:ascii="Times New Roman" w:hAnsi="Times New Roman" w:cs="Times New Roman"/>
          <w:sz w:val="24"/>
          <w:szCs w:val="24"/>
        </w:rPr>
        <w:t>, page 26)</w:t>
      </w:r>
      <w:r w:rsidR="00DA19E1">
        <w:rPr>
          <w:rFonts w:ascii="Times New Roman" w:hAnsi="Times New Roman" w:cs="Times New Roman"/>
          <w:sz w:val="24"/>
          <w:szCs w:val="24"/>
        </w:rPr>
        <w:t xml:space="preserve">, it is the general practice of private-sector regulated firms to do so.  Accordingly, it can be </w:t>
      </w:r>
      <w:r w:rsidR="00FF7959">
        <w:rPr>
          <w:rFonts w:ascii="Times New Roman" w:hAnsi="Times New Roman" w:cs="Times New Roman"/>
          <w:sz w:val="24"/>
          <w:szCs w:val="24"/>
        </w:rPr>
        <w:t xml:space="preserve">judged to be efficient practice.  Thus, in respect of the on-the-day regime, the </w:t>
      </w:r>
      <w:r w:rsidR="00E52843">
        <w:rPr>
          <w:rFonts w:ascii="Times New Roman" w:hAnsi="Times New Roman" w:cs="Times New Roman"/>
          <w:sz w:val="24"/>
          <w:szCs w:val="24"/>
        </w:rPr>
        <w:t xml:space="preserve">BEE borrows </w:t>
      </w:r>
      <w:r w:rsidR="00FF7959">
        <w:rPr>
          <w:rFonts w:ascii="Times New Roman" w:hAnsi="Times New Roman" w:cs="Times New Roman"/>
          <w:sz w:val="24"/>
          <w:szCs w:val="24"/>
        </w:rPr>
        <w:t xml:space="preserve">for ten years, </w:t>
      </w:r>
      <w:r w:rsidR="00E52843">
        <w:rPr>
          <w:rFonts w:ascii="Times New Roman" w:hAnsi="Times New Roman" w:cs="Times New Roman"/>
          <w:sz w:val="24"/>
          <w:szCs w:val="24"/>
        </w:rPr>
        <w:t xml:space="preserve">staggers </w:t>
      </w:r>
      <w:r w:rsidR="00FF7959">
        <w:rPr>
          <w:rFonts w:ascii="Times New Roman" w:hAnsi="Times New Roman" w:cs="Times New Roman"/>
          <w:sz w:val="24"/>
          <w:szCs w:val="24"/>
        </w:rPr>
        <w:t xml:space="preserve">the borrowing, and </w:t>
      </w:r>
      <w:r w:rsidR="00E52843">
        <w:rPr>
          <w:rFonts w:ascii="Times New Roman" w:hAnsi="Times New Roman" w:cs="Times New Roman"/>
          <w:sz w:val="24"/>
          <w:szCs w:val="24"/>
        </w:rPr>
        <w:t xml:space="preserve">undertakes </w:t>
      </w:r>
      <w:r w:rsidR="00FF7959">
        <w:rPr>
          <w:rFonts w:ascii="Times New Roman" w:hAnsi="Times New Roman" w:cs="Times New Roman"/>
          <w:sz w:val="24"/>
          <w:szCs w:val="24"/>
        </w:rPr>
        <w:t xml:space="preserve">interest rate swap contracts to </w:t>
      </w:r>
      <w:r w:rsidR="000F05EE">
        <w:rPr>
          <w:rFonts w:ascii="Times New Roman" w:hAnsi="Times New Roman" w:cs="Times New Roman"/>
          <w:sz w:val="24"/>
          <w:szCs w:val="24"/>
        </w:rPr>
        <w:t xml:space="preserve">approximately </w:t>
      </w:r>
      <w:r w:rsidR="00FF7959">
        <w:rPr>
          <w:rFonts w:ascii="Times New Roman" w:hAnsi="Times New Roman" w:cs="Times New Roman"/>
          <w:sz w:val="24"/>
          <w:szCs w:val="24"/>
        </w:rPr>
        <w:t xml:space="preserve">align the base </w:t>
      </w:r>
      <w:r w:rsidR="00ED620A">
        <w:rPr>
          <w:rFonts w:ascii="Times New Roman" w:hAnsi="Times New Roman" w:cs="Times New Roman"/>
          <w:sz w:val="24"/>
          <w:szCs w:val="24"/>
        </w:rPr>
        <w:t xml:space="preserve">rate </w:t>
      </w:r>
      <w:r w:rsidR="00FF7959">
        <w:rPr>
          <w:rFonts w:ascii="Times New Roman" w:hAnsi="Times New Roman" w:cs="Times New Roman"/>
          <w:sz w:val="24"/>
          <w:szCs w:val="24"/>
        </w:rPr>
        <w:t xml:space="preserve">component of </w:t>
      </w:r>
      <w:r w:rsidR="00E52843">
        <w:rPr>
          <w:rFonts w:ascii="Times New Roman" w:hAnsi="Times New Roman" w:cs="Times New Roman"/>
          <w:sz w:val="24"/>
          <w:szCs w:val="24"/>
        </w:rPr>
        <w:t xml:space="preserve">its </w:t>
      </w:r>
      <w:r w:rsidR="00FF7959">
        <w:rPr>
          <w:rFonts w:ascii="Times New Roman" w:hAnsi="Times New Roman" w:cs="Times New Roman"/>
          <w:sz w:val="24"/>
          <w:szCs w:val="24"/>
        </w:rPr>
        <w:t>cost of</w:t>
      </w:r>
      <w:r w:rsidR="00980521">
        <w:rPr>
          <w:rFonts w:ascii="Times New Roman" w:hAnsi="Times New Roman" w:cs="Times New Roman"/>
          <w:sz w:val="24"/>
          <w:szCs w:val="24"/>
        </w:rPr>
        <w:t xml:space="preserve"> debt with the regulatory cycle.  This corresponds to the third option above.</w:t>
      </w:r>
    </w:p>
    <w:p w:rsidR="00E016D2" w:rsidRDefault="00E016D2" w:rsidP="00DA19E1">
      <w:pPr>
        <w:pStyle w:val="ListParagraph"/>
        <w:spacing w:after="0" w:line="360" w:lineRule="auto"/>
        <w:ind w:left="0"/>
        <w:jc w:val="both"/>
        <w:rPr>
          <w:rFonts w:ascii="Times New Roman" w:hAnsi="Times New Roman" w:cs="Times New Roman"/>
          <w:sz w:val="24"/>
          <w:szCs w:val="24"/>
        </w:rPr>
      </w:pPr>
    </w:p>
    <w:p w:rsidR="00E016D2" w:rsidRDefault="00E016D2" w:rsidP="00DA19E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respect of the trailing average regime, this involves </w:t>
      </w:r>
      <w:r w:rsidR="00546A5C">
        <w:rPr>
          <w:rFonts w:ascii="Times New Roman" w:hAnsi="Times New Roman" w:cs="Times New Roman"/>
          <w:sz w:val="24"/>
          <w:szCs w:val="24"/>
        </w:rPr>
        <w:t xml:space="preserve">the regulator </w:t>
      </w:r>
      <w:r>
        <w:rPr>
          <w:rFonts w:ascii="Times New Roman" w:hAnsi="Times New Roman" w:cs="Times New Roman"/>
          <w:sz w:val="24"/>
          <w:szCs w:val="24"/>
        </w:rPr>
        <w:t xml:space="preserve">annually resetting both the base rate and DRP components of the cost of debt </w:t>
      </w:r>
      <w:r w:rsidR="00F028B0">
        <w:rPr>
          <w:rFonts w:ascii="Times New Roman" w:hAnsi="Times New Roman" w:cs="Times New Roman"/>
          <w:sz w:val="24"/>
          <w:szCs w:val="24"/>
        </w:rPr>
        <w:t xml:space="preserve">in accordance with the </w:t>
      </w:r>
      <w:r w:rsidR="001F1534">
        <w:rPr>
          <w:rFonts w:ascii="Times New Roman" w:hAnsi="Times New Roman" w:cs="Times New Roman"/>
          <w:sz w:val="24"/>
          <w:szCs w:val="24"/>
        </w:rPr>
        <w:t xml:space="preserve">ten-year trailing average.  Since this regulatory policy has not yet been adopted, there is no empirical evidence to draw upon in assessing the efficient response by firms.  However, </w:t>
      </w:r>
      <w:r w:rsidR="00F028B0">
        <w:rPr>
          <w:rFonts w:ascii="Times New Roman" w:hAnsi="Times New Roman" w:cs="Times New Roman"/>
          <w:sz w:val="24"/>
          <w:szCs w:val="24"/>
        </w:rPr>
        <w:t xml:space="preserve">in the face of such a regulatory regime, </w:t>
      </w:r>
      <w:r w:rsidR="001F1534">
        <w:rPr>
          <w:rFonts w:ascii="Times New Roman" w:hAnsi="Times New Roman" w:cs="Times New Roman"/>
          <w:sz w:val="24"/>
          <w:szCs w:val="24"/>
        </w:rPr>
        <w:t xml:space="preserve">firms that </w:t>
      </w:r>
      <w:r w:rsidR="005C5215">
        <w:rPr>
          <w:rFonts w:ascii="Times New Roman" w:hAnsi="Times New Roman" w:cs="Times New Roman"/>
          <w:sz w:val="24"/>
          <w:szCs w:val="24"/>
        </w:rPr>
        <w:t>borrow</w:t>
      </w:r>
      <w:r w:rsidR="001F1534">
        <w:rPr>
          <w:rFonts w:ascii="Times New Roman" w:hAnsi="Times New Roman" w:cs="Times New Roman"/>
          <w:sz w:val="24"/>
          <w:szCs w:val="24"/>
        </w:rPr>
        <w:t xml:space="preserve"> for ten years, </w:t>
      </w:r>
      <w:r w:rsidR="005C5215">
        <w:rPr>
          <w:rFonts w:ascii="Times New Roman" w:hAnsi="Times New Roman" w:cs="Times New Roman"/>
          <w:sz w:val="24"/>
          <w:szCs w:val="24"/>
        </w:rPr>
        <w:t>stagger</w:t>
      </w:r>
      <w:r w:rsidR="001F1534">
        <w:rPr>
          <w:rFonts w:ascii="Times New Roman" w:hAnsi="Times New Roman" w:cs="Times New Roman"/>
          <w:sz w:val="24"/>
          <w:szCs w:val="24"/>
        </w:rPr>
        <w:t xml:space="preserve"> their debt, and </w:t>
      </w:r>
      <w:r w:rsidR="005C5215">
        <w:rPr>
          <w:rFonts w:ascii="Times New Roman" w:hAnsi="Times New Roman" w:cs="Times New Roman"/>
          <w:sz w:val="24"/>
          <w:szCs w:val="24"/>
        </w:rPr>
        <w:t xml:space="preserve">do not </w:t>
      </w:r>
      <w:r w:rsidR="001F1534">
        <w:rPr>
          <w:rFonts w:ascii="Times New Roman" w:hAnsi="Times New Roman" w:cs="Times New Roman"/>
          <w:sz w:val="24"/>
          <w:szCs w:val="24"/>
        </w:rPr>
        <w:t xml:space="preserve">engage in interest rate swap contracts </w:t>
      </w:r>
      <w:r w:rsidR="005C5215">
        <w:rPr>
          <w:rFonts w:ascii="Times New Roman" w:hAnsi="Times New Roman" w:cs="Times New Roman"/>
          <w:sz w:val="24"/>
          <w:szCs w:val="24"/>
        </w:rPr>
        <w:t xml:space="preserve">will </w:t>
      </w:r>
      <w:r w:rsidR="001F1534">
        <w:rPr>
          <w:rFonts w:ascii="Times New Roman" w:hAnsi="Times New Roman" w:cs="Times New Roman"/>
          <w:sz w:val="24"/>
          <w:szCs w:val="24"/>
        </w:rPr>
        <w:t xml:space="preserve">thereby closely match their </w:t>
      </w:r>
      <w:r w:rsidR="00AF26C5">
        <w:rPr>
          <w:rFonts w:ascii="Times New Roman" w:hAnsi="Times New Roman" w:cs="Times New Roman"/>
          <w:sz w:val="24"/>
          <w:szCs w:val="24"/>
        </w:rPr>
        <w:t>incurred cost of debt to that allowed</w:t>
      </w:r>
      <w:r w:rsidR="005C5215">
        <w:rPr>
          <w:rFonts w:ascii="Times New Roman" w:hAnsi="Times New Roman" w:cs="Times New Roman"/>
          <w:sz w:val="24"/>
          <w:szCs w:val="24"/>
        </w:rPr>
        <w:t xml:space="preserve">, </w:t>
      </w:r>
      <w:r w:rsidR="005C5215" w:rsidRPr="00E948ED">
        <w:rPr>
          <w:rFonts w:ascii="Times New Roman" w:hAnsi="Times New Roman" w:cs="Times New Roman"/>
          <w:sz w:val="24"/>
          <w:szCs w:val="24"/>
        </w:rPr>
        <w:t>i.e., a natural hedge is achieved</w:t>
      </w:r>
      <w:r w:rsidR="00AF26C5">
        <w:rPr>
          <w:rFonts w:ascii="Times New Roman" w:hAnsi="Times New Roman" w:cs="Times New Roman"/>
          <w:sz w:val="24"/>
          <w:szCs w:val="24"/>
        </w:rPr>
        <w:t xml:space="preserve">.  Accordingly, this </w:t>
      </w:r>
      <w:r w:rsidR="00F028B0">
        <w:rPr>
          <w:rFonts w:ascii="Times New Roman" w:hAnsi="Times New Roman" w:cs="Times New Roman"/>
          <w:sz w:val="24"/>
          <w:szCs w:val="24"/>
        </w:rPr>
        <w:t xml:space="preserve">financing policy by such </w:t>
      </w:r>
      <w:r w:rsidR="00AF26C5">
        <w:rPr>
          <w:rFonts w:ascii="Times New Roman" w:hAnsi="Times New Roman" w:cs="Times New Roman"/>
          <w:sz w:val="24"/>
          <w:szCs w:val="24"/>
        </w:rPr>
        <w:t>firms could reasonably be judged to be efficient.  Furthermore, this conclusion seems to</w:t>
      </w:r>
      <w:r w:rsidR="008458BE">
        <w:rPr>
          <w:rFonts w:ascii="Times New Roman" w:hAnsi="Times New Roman" w:cs="Times New Roman"/>
          <w:sz w:val="24"/>
          <w:szCs w:val="24"/>
        </w:rPr>
        <w:t xml:space="preserve"> be</w:t>
      </w:r>
      <w:r w:rsidR="00AF26C5">
        <w:rPr>
          <w:rFonts w:ascii="Times New Roman" w:hAnsi="Times New Roman" w:cs="Times New Roman"/>
          <w:sz w:val="24"/>
          <w:szCs w:val="24"/>
        </w:rPr>
        <w:t xml:space="preserve"> generally accepted amongst parties to these</w:t>
      </w:r>
      <w:r w:rsidR="00F028B0">
        <w:rPr>
          <w:rFonts w:ascii="Times New Roman" w:hAnsi="Times New Roman" w:cs="Times New Roman"/>
          <w:sz w:val="24"/>
          <w:szCs w:val="24"/>
        </w:rPr>
        <w:t xml:space="preserve"> debates.</w:t>
      </w:r>
    </w:p>
    <w:p w:rsidR="00F028B0" w:rsidRDefault="00F028B0" w:rsidP="00DA19E1">
      <w:pPr>
        <w:pStyle w:val="ListParagraph"/>
        <w:spacing w:after="0" w:line="360" w:lineRule="auto"/>
        <w:ind w:left="0"/>
        <w:jc w:val="both"/>
        <w:rPr>
          <w:rFonts w:ascii="Times New Roman" w:hAnsi="Times New Roman" w:cs="Times New Roman"/>
          <w:sz w:val="24"/>
          <w:szCs w:val="24"/>
        </w:rPr>
      </w:pPr>
    </w:p>
    <w:p w:rsidR="00F028B0" w:rsidRPr="00E948ED" w:rsidRDefault="00F028B0" w:rsidP="00DA19E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Finally, in respect of the proposed transitional regime, this progressively shifts from the on-the-day regime to the trailing average over the course of ten years.  </w:t>
      </w:r>
      <w:r w:rsidR="008C17C3">
        <w:rPr>
          <w:rFonts w:ascii="Times New Roman" w:hAnsi="Times New Roman" w:cs="Times New Roman"/>
          <w:sz w:val="24"/>
          <w:szCs w:val="24"/>
        </w:rPr>
        <w:t xml:space="preserve">As above, since this </w:t>
      </w:r>
      <w:r>
        <w:rPr>
          <w:rFonts w:ascii="Times New Roman" w:hAnsi="Times New Roman" w:cs="Times New Roman"/>
          <w:sz w:val="24"/>
          <w:szCs w:val="24"/>
        </w:rPr>
        <w:t xml:space="preserve">regulatory policy has not yet been fully adopted, there is no empirical evidence to draw upon </w:t>
      </w:r>
      <w:r>
        <w:rPr>
          <w:rFonts w:ascii="Times New Roman" w:hAnsi="Times New Roman" w:cs="Times New Roman"/>
          <w:sz w:val="24"/>
          <w:szCs w:val="24"/>
        </w:rPr>
        <w:lastRenderedPageBreak/>
        <w:t>in assessing the effici</w:t>
      </w:r>
      <w:r w:rsidR="008C17C3">
        <w:rPr>
          <w:rFonts w:ascii="Times New Roman" w:hAnsi="Times New Roman" w:cs="Times New Roman"/>
          <w:sz w:val="24"/>
          <w:szCs w:val="24"/>
        </w:rPr>
        <w:t xml:space="preserve">ent response by firms.  However, since the </w:t>
      </w:r>
      <w:r>
        <w:rPr>
          <w:rFonts w:ascii="Times New Roman" w:hAnsi="Times New Roman" w:cs="Times New Roman"/>
          <w:sz w:val="24"/>
          <w:szCs w:val="24"/>
        </w:rPr>
        <w:t xml:space="preserve">efficient practice under the old regime </w:t>
      </w:r>
      <w:r w:rsidR="008C17C3">
        <w:rPr>
          <w:rFonts w:ascii="Times New Roman" w:hAnsi="Times New Roman" w:cs="Times New Roman"/>
          <w:sz w:val="24"/>
          <w:szCs w:val="24"/>
        </w:rPr>
        <w:t xml:space="preserve">was to </w:t>
      </w:r>
      <w:r>
        <w:rPr>
          <w:rFonts w:ascii="Times New Roman" w:hAnsi="Times New Roman" w:cs="Times New Roman"/>
          <w:sz w:val="24"/>
          <w:szCs w:val="24"/>
        </w:rPr>
        <w:t xml:space="preserve">borrow for ten years and stagger the borrowing, and both behaviours are also efficient under the new regime, it would be efficient </w:t>
      </w:r>
      <w:r w:rsidR="00E52843">
        <w:rPr>
          <w:rFonts w:ascii="Times New Roman" w:hAnsi="Times New Roman" w:cs="Times New Roman"/>
          <w:sz w:val="24"/>
          <w:szCs w:val="24"/>
        </w:rPr>
        <w:t xml:space="preserve">to </w:t>
      </w:r>
      <w:r>
        <w:rPr>
          <w:rFonts w:ascii="Times New Roman" w:hAnsi="Times New Roman" w:cs="Times New Roman"/>
          <w:sz w:val="24"/>
          <w:szCs w:val="24"/>
        </w:rPr>
        <w:t xml:space="preserve">act in the same way during the </w:t>
      </w:r>
      <w:r w:rsidR="008C17C3">
        <w:rPr>
          <w:rFonts w:ascii="Times New Roman" w:hAnsi="Times New Roman" w:cs="Times New Roman"/>
          <w:sz w:val="24"/>
          <w:szCs w:val="24"/>
        </w:rPr>
        <w:t xml:space="preserve">transitional period.  The situation is less clear in respect of the use of interest rate swap contracts.  As described above, their use was efficient under the old regime and will not be efficient under the new regime.  </w:t>
      </w:r>
      <w:r w:rsidR="00D90FE1">
        <w:rPr>
          <w:rFonts w:ascii="Times New Roman" w:hAnsi="Times New Roman" w:cs="Times New Roman"/>
          <w:sz w:val="24"/>
          <w:szCs w:val="24"/>
        </w:rPr>
        <w:t xml:space="preserve">This suggests </w:t>
      </w:r>
      <w:r w:rsidR="008C17C3">
        <w:rPr>
          <w:rFonts w:ascii="Times New Roman" w:hAnsi="Times New Roman" w:cs="Times New Roman"/>
          <w:sz w:val="24"/>
          <w:szCs w:val="24"/>
        </w:rPr>
        <w:t xml:space="preserve">that </w:t>
      </w:r>
      <w:r w:rsidR="00C275D8">
        <w:rPr>
          <w:rFonts w:ascii="Times New Roman" w:hAnsi="Times New Roman" w:cs="Times New Roman"/>
          <w:sz w:val="24"/>
          <w:szCs w:val="24"/>
        </w:rPr>
        <w:t>the BEE will not enter into any</w:t>
      </w:r>
      <w:r w:rsidR="007C042C">
        <w:rPr>
          <w:rFonts w:ascii="Times New Roman" w:hAnsi="Times New Roman" w:cs="Times New Roman"/>
          <w:sz w:val="24"/>
          <w:szCs w:val="24"/>
        </w:rPr>
        <w:t xml:space="preserve"> new contracts of this type once </w:t>
      </w:r>
      <w:r w:rsidR="008C17C3">
        <w:rPr>
          <w:rFonts w:ascii="Times New Roman" w:hAnsi="Times New Roman" w:cs="Times New Roman"/>
          <w:sz w:val="24"/>
          <w:szCs w:val="24"/>
        </w:rPr>
        <w:t xml:space="preserve">the </w:t>
      </w:r>
      <w:r w:rsidR="00C275D8">
        <w:rPr>
          <w:rFonts w:ascii="Times New Roman" w:hAnsi="Times New Roman" w:cs="Times New Roman"/>
          <w:sz w:val="24"/>
          <w:szCs w:val="24"/>
        </w:rPr>
        <w:t>old regime ceases</w:t>
      </w:r>
      <w:r w:rsidR="00D90FE1">
        <w:rPr>
          <w:rFonts w:ascii="Times New Roman" w:hAnsi="Times New Roman" w:cs="Times New Roman"/>
          <w:sz w:val="24"/>
          <w:szCs w:val="24"/>
        </w:rPr>
        <w:t xml:space="preserve"> </w:t>
      </w:r>
      <w:r w:rsidR="00D90FE1" w:rsidRPr="00E948ED">
        <w:rPr>
          <w:rFonts w:ascii="Times New Roman" w:hAnsi="Times New Roman" w:cs="Times New Roman"/>
          <w:sz w:val="24"/>
          <w:szCs w:val="24"/>
        </w:rPr>
        <w:t xml:space="preserve">but </w:t>
      </w:r>
      <w:r w:rsidR="00C275D8" w:rsidRPr="00E948ED">
        <w:rPr>
          <w:rFonts w:ascii="Times New Roman" w:hAnsi="Times New Roman" w:cs="Times New Roman"/>
          <w:sz w:val="24"/>
          <w:szCs w:val="24"/>
        </w:rPr>
        <w:t xml:space="preserve">the BEE will </w:t>
      </w:r>
      <w:r w:rsidR="00D90FE1" w:rsidRPr="00E948ED">
        <w:rPr>
          <w:rFonts w:ascii="Times New Roman" w:hAnsi="Times New Roman" w:cs="Times New Roman"/>
          <w:sz w:val="24"/>
          <w:szCs w:val="24"/>
        </w:rPr>
        <w:t xml:space="preserve">still be left with the consequences of swap contracts entered into earlier, </w:t>
      </w:r>
      <w:r w:rsidR="0057691E" w:rsidRPr="00E948ED">
        <w:rPr>
          <w:rFonts w:ascii="Times New Roman" w:hAnsi="Times New Roman" w:cs="Times New Roman"/>
          <w:sz w:val="24"/>
          <w:szCs w:val="24"/>
        </w:rPr>
        <w:t xml:space="preserve">in order to convert the fixed-rate debt that was borrowed into </w:t>
      </w:r>
      <w:r w:rsidR="00E4375E" w:rsidRPr="00E948ED">
        <w:rPr>
          <w:rFonts w:ascii="Times New Roman" w:hAnsi="Times New Roman" w:cs="Times New Roman"/>
          <w:sz w:val="24"/>
          <w:szCs w:val="24"/>
        </w:rPr>
        <w:t xml:space="preserve">floating-rate </w:t>
      </w:r>
      <w:r w:rsidR="0057691E" w:rsidRPr="00E948ED">
        <w:rPr>
          <w:rFonts w:ascii="Times New Roman" w:hAnsi="Times New Roman" w:cs="Times New Roman"/>
          <w:sz w:val="24"/>
          <w:szCs w:val="24"/>
        </w:rPr>
        <w:t xml:space="preserve">debt, </w:t>
      </w:r>
      <w:r w:rsidR="00E4375E" w:rsidRPr="00E948ED">
        <w:rPr>
          <w:rFonts w:ascii="Times New Roman" w:hAnsi="Times New Roman" w:cs="Times New Roman"/>
          <w:sz w:val="24"/>
          <w:szCs w:val="24"/>
        </w:rPr>
        <w:t xml:space="preserve">and these consequences persist for </w:t>
      </w:r>
      <w:r w:rsidR="00D90FE1" w:rsidRPr="00E948ED">
        <w:rPr>
          <w:rFonts w:ascii="Times New Roman" w:hAnsi="Times New Roman" w:cs="Times New Roman"/>
          <w:sz w:val="24"/>
          <w:szCs w:val="24"/>
        </w:rPr>
        <w:t xml:space="preserve">up to ten years.  </w:t>
      </w:r>
      <w:r w:rsidR="009321B0" w:rsidRPr="00E948ED">
        <w:rPr>
          <w:rFonts w:ascii="Times New Roman" w:hAnsi="Times New Roman" w:cs="Times New Roman"/>
          <w:sz w:val="24"/>
          <w:szCs w:val="24"/>
        </w:rPr>
        <w:t>Without a transitional regime, Lally (2014</w:t>
      </w:r>
      <w:r w:rsidR="004954A4" w:rsidRPr="00E948ED">
        <w:rPr>
          <w:rFonts w:ascii="Times New Roman" w:hAnsi="Times New Roman" w:cs="Times New Roman"/>
          <w:sz w:val="24"/>
          <w:szCs w:val="24"/>
        </w:rPr>
        <w:t>a</w:t>
      </w:r>
      <w:r w:rsidR="009321B0" w:rsidRPr="00E948ED">
        <w:rPr>
          <w:rFonts w:ascii="Times New Roman" w:hAnsi="Times New Roman" w:cs="Times New Roman"/>
          <w:sz w:val="24"/>
          <w:szCs w:val="24"/>
        </w:rPr>
        <w:t xml:space="preserve">, section 2.1) shows that there would </w:t>
      </w:r>
      <w:r w:rsidR="00C275D8" w:rsidRPr="00E948ED">
        <w:rPr>
          <w:rFonts w:ascii="Times New Roman" w:hAnsi="Times New Roman" w:cs="Times New Roman"/>
          <w:sz w:val="24"/>
          <w:szCs w:val="24"/>
        </w:rPr>
        <w:t xml:space="preserve">then </w:t>
      </w:r>
      <w:r w:rsidR="009321B0" w:rsidRPr="00E948ED">
        <w:rPr>
          <w:rFonts w:ascii="Times New Roman" w:hAnsi="Times New Roman" w:cs="Times New Roman"/>
          <w:sz w:val="24"/>
          <w:szCs w:val="24"/>
        </w:rPr>
        <w:t xml:space="preserve">be a significant mismatch between the allowed and incurred costs of a BEE and that this can be significantly alleviated by the transitional regime proposed by the AER.  </w:t>
      </w:r>
      <w:r w:rsidR="00C275D8" w:rsidRPr="00E948ED">
        <w:rPr>
          <w:rFonts w:ascii="Times New Roman" w:hAnsi="Times New Roman" w:cs="Times New Roman"/>
          <w:sz w:val="24"/>
          <w:szCs w:val="24"/>
        </w:rPr>
        <w:t xml:space="preserve">If this </w:t>
      </w:r>
      <w:r w:rsidR="009321B0" w:rsidRPr="00E948ED">
        <w:rPr>
          <w:rFonts w:ascii="Times New Roman" w:hAnsi="Times New Roman" w:cs="Times New Roman"/>
          <w:sz w:val="24"/>
          <w:szCs w:val="24"/>
        </w:rPr>
        <w:t xml:space="preserve">transitional regime </w:t>
      </w:r>
      <w:r w:rsidR="00C275D8" w:rsidRPr="00E948ED">
        <w:rPr>
          <w:rFonts w:ascii="Times New Roman" w:hAnsi="Times New Roman" w:cs="Times New Roman"/>
          <w:sz w:val="24"/>
          <w:szCs w:val="24"/>
        </w:rPr>
        <w:t xml:space="preserve">were </w:t>
      </w:r>
      <w:r w:rsidR="009321B0" w:rsidRPr="00E948ED">
        <w:rPr>
          <w:rFonts w:ascii="Times New Roman" w:hAnsi="Times New Roman" w:cs="Times New Roman"/>
          <w:sz w:val="24"/>
          <w:szCs w:val="24"/>
        </w:rPr>
        <w:t xml:space="preserve">adopted, Lally (ibid) also shows that </w:t>
      </w:r>
      <w:r w:rsidR="0053649A" w:rsidRPr="00E948ED">
        <w:rPr>
          <w:rFonts w:ascii="Times New Roman" w:hAnsi="Times New Roman" w:cs="Times New Roman"/>
          <w:sz w:val="24"/>
          <w:szCs w:val="24"/>
        </w:rPr>
        <w:t xml:space="preserve">the BEE might obtain </w:t>
      </w:r>
      <w:r w:rsidR="009321B0" w:rsidRPr="00E948ED">
        <w:rPr>
          <w:rFonts w:ascii="Times New Roman" w:hAnsi="Times New Roman" w:cs="Times New Roman"/>
          <w:sz w:val="24"/>
          <w:szCs w:val="24"/>
        </w:rPr>
        <w:t xml:space="preserve">more favourable outcomes for itself by entering into alternative hedging arrangements </w:t>
      </w:r>
      <w:r w:rsidR="007C042C" w:rsidRPr="00E948ED">
        <w:rPr>
          <w:rFonts w:ascii="Times New Roman" w:hAnsi="Times New Roman" w:cs="Times New Roman"/>
          <w:sz w:val="24"/>
          <w:szCs w:val="24"/>
        </w:rPr>
        <w:t>over the transitional period</w:t>
      </w:r>
      <w:r w:rsidR="004139D0" w:rsidRPr="00E948ED">
        <w:rPr>
          <w:rFonts w:ascii="Times New Roman" w:hAnsi="Times New Roman" w:cs="Times New Roman"/>
          <w:sz w:val="24"/>
          <w:szCs w:val="24"/>
        </w:rPr>
        <w:t xml:space="preserve"> and the best of these possibilities </w:t>
      </w:r>
      <w:r w:rsidR="009321B0" w:rsidRPr="00E948ED">
        <w:rPr>
          <w:rFonts w:ascii="Times New Roman" w:hAnsi="Times New Roman" w:cs="Times New Roman"/>
          <w:sz w:val="24"/>
          <w:szCs w:val="24"/>
        </w:rPr>
        <w:t xml:space="preserve">involves </w:t>
      </w:r>
      <w:r w:rsidR="004139D0" w:rsidRPr="00E948ED">
        <w:rPr>
          <w:rFonts w:ascii="Times New Roman" w:hAnsi="Times New Roman" w:cs="Times New Roman"/>
          <w:sz w:val="24"/>
          <w:szCs w:val="24"/>
        </w:rPr>
        <w:t xml:space="preserve">entering </w:t>
      </w:r>
      <w:r w:rsidR="009321B0" w:rsidRPr="00E948ED">
        <w:rPr>
          <w:rFonts w:ascii="Times New Roman" w:hAnsi="Times New Roman" w:cs="Times New Roman"/>
          <w:sz w:val="24"/>
          <w:szCs w:val="24"/>
        </w:rPr>
        <w:t xml:space="preserve">into </w:t>
      </w:r>
      <w:r w:rsidR="007C042C" w:rsidRPr="00E948ED">
        <w:rPr>
          <w:rFonts w:ascii="Times New Roman" w:hAnsi="Times New Roman" w:cs="Times New Roman"/>
          <w:sz w:val="24"/>
          <w:szCs w:val="24"/>
        </w:rPr>
        <w:t>swap contracts that convert each of their existing floating rate obligations into a fixed rate obl</w:t>
      </w:r>
      <w:r w:rsidR="009321B0" w:rsidRPr="00E948ED">
        <w:rPr>
          <w:rFonts w:ascii="Times New Roman" w:hAnsi="Times New Roman" w:cs="Times New Roman"/>
          <w:sz w:val="24"/>
          <w:szCs w:val="24"/>
        </w:rPr>
        <w:t>igation over its remaining life</w:t>
      </w:r>
      <w:r w:rsidR="00C07D79" w:rsidRPr="00E948ED">
        <w:rPr>
          <w:rFonts w:ascii="Times New Roman" w:hAnsi="Times New Roman" w:cs="Times New Roman"/>
          <w:sz w:val="24"/>
          <w:szCs w:val="24"/>
        </w:rPr>
        <w:t>.  Both courses of action</w:t>
      </w:r>
      <w:r w:rsidR="00E4375E" w:rsidRPr="00E948ED">
        <w:rPr>
          <w:rFonts w:ascii="Times New Roman" w:hAnsi="Times New Roman" w:cs="Times New Roman"/>
          <w:sz w:val="24"/>
          <w:szCs w:val="24"/>
        </w:rPr>
        <w:t xml:space="preserve"> (entering these swaps or desisting from entering any new swap contracts)</w:t>
      </w:r>
      <w:r w:rsidR="00C07D79" w:rsidRPr="00E948ED">
        <w:rPr>
          <w:rFonts w:ascii="Times New Roman" w:hAnsi="Times New Roman" w:cs="Times New Roman"/>
          <w:sz w:val="24"/>
          <w:szCs w:val="24"/>
        </w:rPr>
        <w:t xml:space="preserve"> could be</w:t>
      </w:r>
      <w:r w:rsidR="00E4375E" w:rsidRPr="00E948ED">
        <w:rPr>
          <w:rFonts w:ascii="Times New Roman" w:hAnsi="Times New Roman" w:cs="Times New Roman"/>
          <w:sz w:val="24"/>
          <w:szCs w:val="24"/>
        </w:rPr>
        <w:t xml:space="preserve"> viewed as efficient.  This is an example of the point raised earlier in section 2: regulators may only be able to rule out some behaviours as inefficient rather than identifying a single efficient strategy.</w:t>
      </w:r>
    </w:p>
    <w:p w:rsidR="00C365E0" w:rsidRDefault="00C365E0" w:rsidP="00DA19E1">
      <w:pPr>
        <w:pStyle w:val="ListParagraph"/>
        <w:spacing w:after="0" w:line="360" w:lineRule="auto"/>
        <w:ind w:left="0"/>
        <w:jc w:val="both"/>
        <w:rPr>
          <w:rFonts w:ascii="Times New Roman" w:hAnsi="Times New Roman" w:cs="Times New Roman"/>
          <w:sz w:val="24"/>
          <w:szCs w:val="24"/>
        </w:rPr>
      </w:pPr>
    </w:p>
    <w:p w:rsidR="00C365E0" w:rsidRDefault="00C365E0" w:rsidP="00DA19E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summary, under the on-the-day regime, the efficient strategy is to borrow for ten years, stagger the borrowing, and enter interest rate swap contracts to match the base rate incurred to that allowed by the regulator.  Under the trailing average regime, the efficient strategy differs only in not engaging in these swap contracts.  Finally, under the proposed transitional regime, the efficient strategy is to </w:t>
      </w:r>
      <w:r w:rsidR="00B87469">
        <w:rPr>
          <w:rFonts w:ascii="Times New Roman" w:hAnsi="Times New Roman" w:cs="Times New Roman"/>
          <w:sz w:val="24"/>
          <w:szCs w:val="24"/>
        </w:rPr>
        <w:t xml:space="preserve">either desist from entering into any new swap </w:t>
      </w:r>
      <w:r w:rsidR="00DE1240">
        <w:rPr>
          <w:rFonts w:ascii="Times New Roman" w:hAnsi="Times New Roman" w:cs="Times New Roman"/>
          <w:sz w:val="24"/>
          <w:szCs w:val="24"/>
        </w:rPr>
        <w:t xml:space="preserve">contracts </w:t>
      </w:r>
      <w:r w:rsidR="00B87469">
        <w:rPr>
          <w:rFonts w:ascii="Times New Roman" w:hAnsi="Times New Roman" w:cs="Times New Roman"/>
          <w:sz w:val="24"/>
          <w:szCs w:val="24"/>
        </w:rPr>
        <w:t>or to enter new swap contracts that convert the floating rate on existing debt to a fixed rate over the remaining life of the debt.</w:t>
      </w:r>
    </w:p>
    <w:p w:rsidR="005520E5" w:rsidRDefault="005520E5" w:rsidP="00122250">
      <w:pPr>
        <w:pStyle w:val="ListParagraph"/>
        <w:spacing w:after="0" w:line="360" w:lineRule="auto"/>
        <w:ind w:left="0"/>
        <w:jc w:val="both"/>
        <w:rPr>
          <w:rFonts w:ascii="Times New Roman" w:hAnsi="Times New Roman" w:cs="Times New Roman"/>
          <w:sz w:val="24"/>
          <w:szCs w:val="24"/>
        </w:rPr>
      </w:pPr>
    </w:p>
    <w:p w:rsidR="00470311" w:rsidRPr="00470311" w:rsidRDefault="00470311" w:rsidP="00FB5588">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Efficient Financing </w:t>
      </w:r>
      <w:r w:rsidR="00796B6F">
        <w:rPr>
          <w:rFonts w:ascii="Times New Roman" w:hAnsi="Times New Roman" w:cs="Times New Roman"/>
          <w:b/>
          <w:sz w:val="24"/>
          <w:szCs w:val="24"/>
        </w:rPr>
        <w:t xml:space="preserve">Practices </w:t>
      </w:r>
      <w:r>
        <w:rPr>
          <w:rFonts w:ascii="Times New Roman" w:hAnsi="Times New Roman" w:cs="Times New Roman"/>
          <w:b/>
          <w:sz w:val="24"/>
          <w:szCs w:val="24"/>
        </w:rPr>
        <w:t>Under Other Circumstances</w:t>
      </w:r>
    </w:p>
    <w:p w:rsidR="00470311" w:rsidRDefault="00470311" w:rsidP="00122250">
      <w:pPr>
        <w:pStyle w:val="ListParagraph"/>
        <w:spacing w:after="0" w:line="360" w:lineRule="auto"/>
        <w:ind w:left="0"/>
        <w:jc w:val="both"/>
        <w:rPr>
          <w:rFonts w:ascii="Times New Roman" w:hAnsi="Times New Roman" w:cs="Times New Roman"/>
          <w:sz w:val="24"/>
          <w:szCs w:val="24"/>
        </w:rPr>
      </w:pPr>
    </w:p>
    <w:p w:rsidR="00ED620A" w:rsidRDefault="00FB5588"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In addition to the regulatory regime, the</w:t>
      </w:r>
      <w:r w:rsidR="00402E8E">
        <w:rPr>
          <w:rFonts w:ascii="Times New Roman" w:hAnsi="Times New Roman" w:cs="Times New Roman"/>
          <w:sz w:val="24"/>
          <w:szCs w:val="24"/>
        </w:rPr>
        <w:t xml:space="preserve"> efficient</w:t>
      </w:r>
      <w:r>
        <w:rPr>
          <w:rFonts w:ascii="Times New Roman" w:hAnsi="Times New Roman" w:cs="Times New Roman"/>
          <w:sz w:val="24"/>
          <w:szCs w:val="24"/>
        </w:rPr>
        <w:t xml:space="preserve"> financing strategy of a BEE may depend upon a number of other factors.</w:t>
      </w:r>
      <w:r w:rsidR="00E44C1D">
        <w:rPr>
          <w:rFonts w:ascii="Times New Roman" w:hAnsi="Times New Roman" w:cs="Times New Roman"/>
          <w:sz w:val="24"/>
          <w:szCs w:val="24"/>
        </w:rPr>
        <w:t xml:space="preserve">  Assuming the same risk as that of the NSW/ACT service providers, and leaving aside the issue of their being government-owned, the first of these </w:t>
      </w:r>
      <w:r w:rsidR="00E44C1D">
        <w:rPr>
          <w:rFonts w:ascii="Times New Roman" w:hAnsi="Times New Roman" w:cs="Times New Roman"/>
          <w:sz w:val="24"/>
          <w:szCs w:val="24"/>
        </w:rPr>
        <w:lastRenderedPageBreak/>
        <w:t>additional factors is the size of the BEE’</w:t>
      </w:r>
      <w:r w:rsidR="002F03EE">
        <w:rPr>
          <w:rFonts w:ascii="Times New Roman" w:hAnsi="Times New Roman" w:cs="Times New Roman"/>
          <w:sz w:val="24"/>
          <w:szCs w:val="24"/>
        </w:rPr>
        <w:t>s debt portfolio.</w:t>
      </w:r>
      <w:r w:rsidR="00A61AB8">
        <w:rPr>
          <w:rFonts w:ascii="Times New Roman" w:hAnsi="Times New Roman" w:cs="Times New Roman"/>
          <w:sz w:val="24"/>
          <w:szCs w:val="24"/>
        </w:rPr>
        <w:t xml:space="preserve">  </w:t>
      </w:r>
      <w:r w:rsidR="00A61AB8" w:rsidRPr="00E948ED">
        <w:rPr>
          <w:rFonts w:ascii="Times New Roman" w:hAnsi="Times New Roman" w:cs="Times New Roman"/>
          <w:sz w:val="24"/>
          <w:szCs w:val="24"/>
        </w:rPr>
        <w:t>Under the on-the-day regime, a BEE would engage in interest rate swap contracts to align the base rate component of its cost of debt with the regulatory allowance, and seek to do so over the same period used by the regulator to set the allowed risk-free rate.</w:t>
      </w:r>
      <w:r w:rsidR="002F03EE" w:rsidRPr="00E948ED">
        <w:rPr>
          <w:rFonts w:ascii="Times New Roman" w:hAnsi="Times New Roman" w:cs="Times New Roman"/>
          <w:sz w:val="24"/>
          <w:szCs w:val="24"/>
        </w:rPr>
        <w:t xml:space="preserve">  </w:t>
      </w:r>
      <w:r w:rsidR="00A61AB8" w:rsidRPr="00E948ED">
        <w:rPr>
          <w:rFonts w:ascii="Times New Roman" w:hAnsi="Times New Roman" w:cs="Times New Roman"/>
          <w:sz w:val="24"/>
          <w:szCs w:val="24"/>
        </w:rPr>
        <w:t xml:space="preserve">However, as the size of its debt portfolio </w:t>
      </w:r>
      <w:r w:rsidR="002F03EE" w:rsidRPr="00E948ED">
        <w:rPr>
          <w:rFonts w:ascii="Times New Roman" w:hAnsi="Times New Roman" w:cs="Times New Roman"/>
          <w:sz w:val="24"/>
          <w:szCs w:val="24"/>
        </w:rPr>
        <w:t>increases, the</w:t>
      </w:r>
      <w:r w:rsidR="00A61AB8" w:rsidRPr="00E948ED">
        <w:rPr>
          <w:rFonts w:ascii="Times New Roman" w:hAnsi="Times New Roman" w:cs="Times New Roman"/>
          <w:sz w:val="24"/>
          <w:szCs w:val="24"/>
        </w:rPr>
        <w:t xml:space="preserve"> volume of swap contracts increases and this lessens the</w:t>
      </w:r>
      <w:r w:rsidR="002F03EE">
        <w:rPr>
          <w:rFonts w:ascii="Times New Roman" w:hAnsi="Times New Roman" w:cs="Times New Roman"/>
          <w:sz w:val="24"/>
          <w:szCs w:val="24"/>
        </w:rPr>
        <w:t xml:space="preserve"> ability of the </w:t>
      </w:r>
      <w:r w:rsidR="007D4C7D">
        <w:rPr>
          <w:rFonts w:ascii="Times New Roman" w:hAnsi="Times New Roman" w:cs="Times New Roman"/>
          <w:sz w:val="24"/>
          <w:szCs w:val="24"/>
        </w:rPr>
        <w:t xml:space="preserve">BEE </w:t>
      </w:r>
      <w:r w:rsidR="002F03EE">
        <w:rPr>
          <w:rFonts w:ascii="Times New Roman" w:hAnsi="Times New Roman" w:cs="Times New Roman"/>
          <w:sz w:val="24"/>
          <w:szCs w:val="24"/>
        </w:rPr>
        <w:t xml:space="preserve">to undertake the swap contracts </w:t>
      </w:r>
      <w:r w:rsidR="00081688">
        <w:rPr>
          <w:rFonts w:ascii="Times New Roman" w:hAnsi="Times New Roman" w:cs="Times New Roman"/>
          <w:sz w:val="24"/>
          <w:szCs w:val="24"/>
        </w:rPr>
        <w:t xml:space="preserve">regime </w:t>
      </w:r>
      <w:r w:rsidR="002F03EE">
        <w:rPr>
          <w:rFonts w:ascii="Times New Roman" w:hAnsi="Times New Roman" w:cs="Times New Roman"/>
          <w:sz w:val="24"/>
          <w:szCs w:val="24"/>
        </w:rPr>
        <w:t xml:space="preserve">within the </w:t>
      </w:r>
      <w:r w:rsidR="00081688">
        <w:rPr>
          <w:rFonts w:ascii="Times New Roman" w:hAnsi="Times New Roman" w:cs="Times New Roman"/>
          <w:sz w:val="24"/>
          <w:szCs w:val="24"/>
        </w:rPr>
        <w:t xml:space="preserve">regulatory reassessment window </w:t>
      </w:r>
      <w:r w:rsidR="002F03EE">
        <w:rPr>
          <w:rFonts w:ascii="Times New Roman" w:hAnsi="Times New Roman" w:cs="Times New Roman"/>
          <w:sz w:val="24"/>
          <w:szCs w:val="24"/>
        </w:rPr>
        <w:t>without suffering from</w:t>
      </w:r>
      <w:r w:rsidR="00A61AB8">
        <w:rPr>
          <w:rFonts w:ascii="Times New Roman" w:hAnsi="Times New Roman" w:cs="Times New Roman"/>
          <w:sz w:val="24"/>
          <w:szCs w:val="24"/>
        </w:rPr>
        <w:t xml:space="preserve"> </w:t>
      </w:r>
      <w:r w:rsidR="00A61AB8" w:rsidRPr="00E948ED">
        <w:rPr>
          <w:rFonts w:ascii="Times New Roman" w:hAnsi="Times New Roman" w:cs="Times New Roman"/>
          <w:sz w:val="24"/>
          <w:szCs w:val="24"/>
        </w:rPr>
        <w:t>significant</w:t>
      </w:r>
      <w:r w:rsidR="002F03EE">
        <w:rPr>
          <w:rFonts w:ascii="Times New Roman" w:hAnsi="Times New Roman" w:cs="Times New Roman"/>
          <w:sz w:val="24"/>
          <w:szCs w:val="24"/>
        </w:rPr>
        <w:t xml:space="preserve"> adverse pricing </w:t>
      </w:r>
      <w:r w:rsidR="00A61AB8">
        <w:rPr>
          <w:rFonts w:ascii="Times New Roman" w:hAnsi="Times New Roman" w:cs="Times New Roman"/>
          <w:sz w:val="24"/>
          <w:szCs w:val="24"/>
        </w:rPr>
        <w:t>effects</w:t>
      </w:r>
      <w:r w:rsidR="009406C8">
        <w:rPr>
          <w:rFonts w:ascii="Times New Roman" w:hAnsi="Times New Roman" w:cs="Times New Roman"/>
          <w:sz w:val="24"/>
          <w:szCs w:val="24"/>
        </w:rPr>
        <w:t xml:space="preserve">.  Consequently, </w:t>
      </w:r>
      <w:r w:rsidR="00A61AB8">
        <w:rPr>
          <w:rFonts w:ascii="Times New Roman" w:hAnsi="Times New Roman" w:cs="Times New Roman"/>
          <w:sz w:val="24"/>
          <w:szCs w:val="24"/>
        </w:rPr>
        <w:t xml:space="preserve">the BEE may have to </w:t>
      </w:r>
      <w:r w:rsidR="005078E6">
        <w:rPr>
          <w:rFonts w:ascii="Times New Roman" w:hAnsi="Times New Roman" w:cs="Times New Roman"/>
          <w:sz w:val="24"/>
          <w:szCs w:val="24"/>
        </w:rPr>
        <w:t xml:space="preserve">transact </w:t>
      </w:r>
      <w:r w:rsidR="00A61AB8">
        <w:rPr>
          <w:rFonts w:ascii="Times New Roman" w:hAnsi="Times New Roman" w:cs="Times New Roman"/>
          <w:sz w:val="24"/>
          <w:szCs w:val="24"/>
        </w:rPr>
        <w:t xml:space="preserve">the swap contracts </w:t>
      </w:r>
      <w:r w:rsidR="005078E6">
        <w:rPr>
          <w:rFonts w:ascii="Times New Roman" w:hAnsi="Times New Roman" w:cs="Times New Roman"/>
          <w:sz w:val="24"/>
          <w:szCs w:val="24"/>
        </w:rPr>
        <w:t>over a longer period</w:t>
      </w:r>
      <w:r w:rsidR="00A61AB8">
        <w:rPr>
          <w:rFonts w:ascii="Times New Roman" w:hAnsi="Times New Roman" w:cs="Times New Roman"/>
          <w:sz w:val="24"/>
          <w:szCs w:val="24"/>
        </w:rPr>
        <w:t>,</w:t>
      </w:r>
      <w:r w:rsidR="005078E6">
        <w:rPr>
          <w:rFonts w:ascii="Times New Roman" w:hAnsi="Times New Roman" w:cs="Times New Roman"/>
          <w:sz w:val="24"/>
          <w:szCs w:val="24"/>
        </w:rPr>
        <w:t xml:space="preserve"> with the result that the hedge is imperfect.  </w:t>
      </w:r>
    </w:p>
    <w:p w:rsidR="00ED620A" w:rsidRDefault="00ED620A" w:rsidP="00122250">
      <w:pPr>
        <w:pStyle w:val="ListParagraph"/>
        <w:spacing w:after="0" w:line="360" w:lineRule="auto"/>
        <w:ind w:left="0"/>
        <w:jc w:val="both"/>
        <w:rPr>
          <w:rFonts w:ascii="Times New Roman" w:hAnsi="Times New Roman" w:cs="Times New Roman"/>
          <w:sz w:val="24"/>
          <w:szCs w:val="24"/>
        </w:rPr>
      </w:pPr>
    </w:p>
    <w:p w:rsidR="00FB5588" w:rsidRDefault="005078E6"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second of these additional factors is the possibility that the date at which the BEE’s regulatory cycle finishes coincides with that of other regulated businesses.  In this event, multiple regulated businesses will be seeking to undertake the same type of swap contracts at the same time, thereby aggravating the problem just described.  </w:t>
      </w:r>
      <w:r w:rsidR="00702518" w:rsidRPr="00A60D29">
        <w:rPr>
          <w:rFonts w:ascii="Times New Roman" w:hAnsi="Times New Roman" w:cs="Times New Roman"/>
          <w:sz w:val="24"/>
          <w:szCs w:val="24"/>
        </w:rPr>
        <w:t xml:space="preserve">However, </w:t>
      </w:r>
      <w:r w:rsidR="005724A7" w:rsidRPr="00A60D29">
        <w:rPr>
          <w:rFonts w:ascii="Times New Roman" w:hAnsi="Times New Roman" w:cs="Times New Roman"/>
          <w:sz w:val="24"/>
          <w:szCs w:val="24"/>
        </w:rPr>
        <w:t xml:space="preserve">the longest period claimed by any party to be necessary to address this problem is 91 business days (UBS, 2015, pp. 2-4).  Using the even longer period of five months, </w:t>
      </w:r>
      <w:r w:rsidR="00702518" w:rsidRPr="00A60D29">
        <w:rPr>
          <w:rFonts w:ascii="Times New Roman" w:hAnsi="Times New Roman" w:cs="Times New Roman"/>
          <w:sz w:val="24"/>
          <w:szCs w:val="24"/>
        </w:rPr>
        <w:t>Appendix 2</w:t>
      </w:r>
      <w:r w:rsidR="005724A7" w:rsidRPr="00A60D29">
        <w:rPr>
          <w:rFonts w:ascii="Times New Roman" w:hAnsi="Times New Roman" w:cs="Times New Roman"/>
          <w:sz w:val="24"/>
          <w:szCs w:val="24"/>
        </w:rPr>
        <w:t xml:space="preserve"> shows that the </w:t>
      </w:r>
      <w:r w:rsidR="009804CB" w:rsidRPr="00A60D29">
        <w:rPr>
          <w:rFonts w:ascii="Times New Roman" w:hAnsi="Times New Roman" w:cs="Times New Roman"/>
          <w:sz w:val="24"/>
          <w:szCs w:val="24"/>
        </w:rPr>
        <w:t xml:space="preserve">risk resulting from </w:t>
      </w:r>
      <w:r w:rsidR="00DB286C" w:rsidRPr="00A60D29">
        <w:rPr>
          <w:rFonts w:ascii="Times New Roman" w:hAnsi="Times New Roman" w:cs="Times New Roman"/>
          <w:sz w:val="24"/>
          <w:szCs w:val="24"/>
        </w:rPr>
        <w:t xml:space="preserve">undertaking the swaps over such a period </w:t>
      </w:r>
      <w:r w:rsidR="009804CB" w:rsidRPr="00A60D29">
        <w:rPr>
          <w:rFonts w:ascii="Times New Roman" w:hAnsi="Times New Roman" w:cs="Times New Roman"/>
          <w:sz w:val="24"/>
          <w:szCs w:val="24"/>
        </w:rPr>
        <w:t>would be considerably less than that from not undertaking any such transactions.</w:t>
      </w:r>
      <w:r w:rsidR="009804CB">
        <w:rPr>
          <w:rFonts w:ascii="Times New Roman" w:hAnsi="Times New Roman" w:cs="Times New Roman"/>
          <w:sz w:val="24"/>
          <w:szCs w:val="24"/>
        </w:rPr>
        <w:t xml:space="preserve">  Consequently, </w:t>
      </w:r>
      <w:r w:rsidR="00081688">
        <w:rPr>
          <w:rFonts w:ascii="Times New Roman" w:hAnsi="Times New Roman" w:cs="Times New Roman"/>
          <w:sz w:val="24"/>
          <w:szCs w:val="24"/>
        </w:rPr>
        <w:t>these two additional factors do not change the</w:t>
      </w:r>
      <w:r w:rsidR="005724A7">
        <w:rPr>
          <w:rFonts w:ascii="Times New Roman" w:hAnsi="Times New Roman" w:cs="Times New Roman"/>
          <w:sz w:val="24"/>
          <w:szCs w:val="24"/>
        </w:rPr>
        <w:t xml:space="preserve"> efficient</w:t>
      </w:r>
      <w:r w:rsidR="00081688">
        <w:rPr>
          <w:rFonts w:ascii="Times New Roman" w:hAnsi="Times New Roman" w:cs="Times New Roman"/>
          <w:sz w:val="24"/>
          <w:szCs w:val="24"/>
        </w:rPr>
        <w:t xml:space="preserve"> financing strategy of a BEE under the on-the-</w:t>
      </w:r>
      <w:r w:rsidR="00192751">
        <w:rPr>
          <w:rFonts w:ascii="Times New Roman" w:hAnsi="Times New Roman" w:cs="Times New Roman"/>
          <w:sz w:val="24"/>
          <w:szCs w:val="24"/>
        </w:rPr>
        <w:t>day regime.</w:t>
      </w:r>
    </w:p>
    <w:p w:rsidR="00192751" w:rsidRDefault="00192751" w:rsidP="00122250">
      <w:pPr>
        <w:pStyle w:val="ListParagraph"/>
        <w:spacing w:after="0" w:line="360" w:lineRule="auto"/>
        <w:ind w:left="0"/>
        <w:jc w:val="both"/>
        <w:rPr>
          <w:rFonts w:ascii="Times New Roman" w:hAnsi="Times New Roman" w:cs="Times New Roman"/>
          <w:sz w:val="24"/>
          <w:szCs w:val="24"/>
        </w:rPr>
      </w:pPr>
    </w:p>
    <w:p w:rsidR="00192751" w:rsidRDefault="00192751"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third of these additional factors is the </w:t>
      </w:r>
      <w:r w:rsidR="004A0C1C">
        <w:rPr>
          <w:rFonts w:ascii="Times New Roman" w:hAnsi="Times New Roman" w:cs="Times New Roman"/>
          <w:sz w:val="24"/>
          <w:szCs w:val="24"/>
        </w:rPr>
        <w:t>cost and availability of hedging instruments for a BEE similar in risk to the NSW/ACT service providers.  There do not appear to be any particular features of these service providers that markedly elevate their risk relative to other regulated energy network businesses</w:t>
      </w:r>
      <w:r w:rsidR="006131FE">
        <w:rPr>
          <w:rFonts w:ascii="Times New Roman" w:hAnsi="Times New Roman" w:cs="Times New Roman"/>
          <w:sz w:val="24"/>
          <w:szCs w:val="24"/>
        </w:rPr>
        <w:t>, nor has this ever been asserted by any party</w:t>
      </w:r>
      <w:r w:rsidR="004A0C1C">
        <w:rPr>
          <w:rFonts w:ascii="Times New Roman" w:hAnsi="Times New Roman" w:cs="Times New Roman"/>
          <w:sz w:val="24"/>
          <w:szCs w:val="24"/>
        </w:rPr>
        <w:t xml:space="preserve">.  Thus, as with other regulated energy network businesses, BEEs with risk matching the NSW/ACT service providers </w:t>
      </w:r>
      <w:r w:rsidR="00156E5E">
        <w:rPr>
          <w:rFonts w:ascii="Times New Roman" w:hAnsi="Times New Roman" w:cs="Times New Roman"/>
          <w:sz w:val="24"/>
          <w:szCs w:val="24"/>
        </w:rPr>
        <w:t xml:space="preserve">would </w:t>
      </w:r>
      <w:r w:rsidR="00DC39E4">
        <w:rPr>
          <w:rFonts w:ascii="Times New Roman" w:hAnsi="Times New Roman" w:cs="Times New Roman"/>
          <w:sz w:val="24"/>
          <w:szCs w:val="24"/>
        </w:rPr>
        <w:t xml:space="preserve">be able to undertake </w:t>
      </w:r>
      <w:r w:rsidR="00156E5E">
        <w:rPr>
          <w:rFonts w:ascii="Times New Roman" w:hAnsi="Times New Roman" w:cs="Times New Roman"/>
          <w:sz w:val="24"/>
          <w:szCs w:val="24"/>
        </w:rPr>
        <w:t xml:space="preserve">interest rate swap contracts and </w:t>
      </w:r>
      <w:r w:rsidR="006131FE">
        <w:rPr>
          <w:rFonts w:ascii="Times New Roman" w:hAnsi="Times New Roman" w:cs="Times New Roman"/>
          <w:sz w:val="24"/>
          <w:szCs w:val="24"/>
        </w:rPr>
        <w:t xml:space="preserve">would face </w:t>
      </w:r>
      <w:r w:rsidR="00156E5E">
        <w:rPr>
          <w:rFonts w:ascii="Times New Roman" w:hAnsi="Times New Roman" w:cs="Times New Roman"/>
          <w:sz w:val="24"/>
          <w:szCs w:val="24"/>
        </w:rPr>
        <w:t xml:space="preserve">similar transactions costs.  Thus the cost and availability of hedging contracts for BEEs with risk matching that of the NSW/ACT service providers does not alter the financing strategy of a </w:t>
      </w:r>
      <w:r w:rsidR="006131FE">
        <w:rPr>
          <w:rFonts w:ascii="Times New Roman" w:hAnsi="Times New Roman" w:cs="Times New Roman"/>
          <w:sz w:val="24"/>
          <w:szCs w:val="24"/>
        </w:rPr>
        <w:t>BEE under the on-the-day regime.</w:t>
      </w:r>
    </w:p>
    <w:p w:rsidR="006131FE" w:rsidRDefault="006131FE" w:rsidP="00122250">
      <w:pPr>
        <w:pStyle w:val="ListParagraph"/>
        <w:spacing w:after="0" w:line="360" w:lineRule="auto"/>
        <w:ind w:left="0"/>
        <w:jc w:val="both"/>
        <w:rPr>
          <w:rFonts w:ascii="Times New Roman" w:hAnsi="Times New Roman" w:cs="Times New Roman"/>
          <w:sz w:val="24"/>
          <w:szCs w:val="24"/>
        </w:rPr>
      </w:pPr>
    </w:p>
    <w:p w:rsidR="00FC3B57" w:rsidRDefault="006131FE" w:rsidP="00FC3B57">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fourth of these additional factors is </w:t>
      </w:r>
      <w:r w:rsidR="00461F70">
        <w:rPr>
          <w:rFonts w:ascii="Times New Roman" w:hAnsi="Times New Roman" w:cs="Times New Roman"/>
          <w:sz w:val="24"/>
          <w:szCs w:val="24"/>
        </w:rPr>
        <w:t>the timing of the regulatory determination and in particular determinations that occurred during the GFC.  These would be subject to lower liquidity in</w:t>
      </w:r>
      <w:r w:rsidR="00DC39E4">
        <w:rPr>
          <w:rFonts w:ascii="Times New Roman" w:hAnsi="Times New Roman" w:cs="Times New Roman"/>
          <w:sz w:val="24"/>
          <w:szCs w:val="24"/>
        </w:rPr>
        <w:t xml:space="preserve"> the interest rate swap markets, which would </w:t>
      </w:r>
      <w:r w:rsidR="00461F70">
        <w:rPr>
          <w:rFonts w:ascii="Times New Roman" w:hAnsi="Times New Roman" w:cs="Times New Roman"/>
          <w:sz w:val="24"/>
          <w:szCs w:val="24"/>
        </w:rPr>
        <w:t xml:space="preserve">lengthen the period </w:t>
      </w:r>
      <w:r w:rsidR="00DC39E4">
        <w:rPr>
          <w:rFonts w:ascii="Times New Roman" w:hAnsi="Times New Roman" w:cs="Times New Roman"/>
          <w:sz w:val="24"/>
          <w:szCs w:val="24"/>
        </w:rPr>
        <w:t xml:space="preserve">around the regulatory window that would be </w:t>
      </w:r>
      <w:r w:rsidR="00461F70">
        <w:rPr>
          <w:rFonts w:ascii="Times New Roman" w:hAnsi="Times New Roman" w:cs="Times New Roman"/>
          <w:sz w:val="24"/>
          <w:szCs w:val="24"/>
        </w:rPr>
        <w:t>required to undertake the requisite transactions</w:t>
      </w:r>
      <w:r w:rsidR="00FC3B57">
        <w:rPr>
          <w:rFonts w:ascii="Times New Roman" w:hAnsi="Times New Roman" w:cs="Times New Roman"/>
          <w:sz w:val="24"/>
          <w:szCs w:val="24"/>
        </w:rPr>
        <w:t xml:space="preserve"> </w:t>
      </w:r>
      <w:r w:rsidR="00FC3B57" w:rsidRPr="00A60D29">
        <w:rPr>
          <w:rFonts w:ascii="Times New Roman" w:hAnsi="Times New Roman" w:cs="Times New Roman"/>
          <w:sz w:val="24"/>
          <w:szCs w:val="24"/>
        </w:rPr>
        <w:t>(or the cost of doing so in the form of an adverse price paid)</w:t>
      </w:r>
      <w:r w:rsidR="00461F70" w:rsidRPr="00A60D29">
        <w:rPr>
          <w:rFonts w:ascii="Times New Roman" w:hAnsi="Times New Roman" w:cs="Times New Roman"/>
          <w:sz w:val="24"/>
          <w:szCs w:val="24"/>
        </w:rPr>
        <w:t xml:space="preserve">, thereby increasing </w:t>
      </w:r>
      <w:r w:rsidR="00DC39E4" w:rsidRPr="00A60D29">
        <w:rPr>
          <w:rFonts w:ascii="Times New Roman" w:hAnsi="Times New Roman" w:cs="Times New Roman"/>
          <w:sz w:val="24"/>
          <w:szCs w:val="24"/>
        </w:rPr>
        <w:t xml:space="preserve">the </w:t>
      </w:r>
      <w:r w:rsidR="00461F70" w:rsidRPr="00A60D29">
        <w:rPr>
          <w:rFonts w:ascii="Times New Roman" w:hAnsi="Times New Roman" w:cs="Times New Roman"/>
          <w:sz w:val="24"/>
          <w:szCs w:val="24"/>
        </w:rPr>
        <w:t xml:space="preserve">risk from imperfect </w:t>
      </w:r>
      <w:r w:rsidR="00461F70" w:rsidRPr="00A60D29">
        <w:rPr>
          <w:rFonts w:ascii="Times New Roman" w:hAnsi="Times New Roman" w:cs="Times New Roman"/>
          <w:sz w:val="24"/>
          <w:szCs w:val="24"/>
        </w:rPr>
        <w:lastRenderedPageBreak/>
        <w:t xml:space="preserve">hedging operations.  </w:t>
      </w:r>
      <w:r w:rsidR="00FC3B57" w:rsidRPr="00A60D29">
        <w:rPr>
          <w:rFonts w:ascii="Times New Roman" w:hAnsi="Times New Roman" w:cs="Times New Roman"/>
          <w:sz w:val="24"/>
          <w:szCs w:val="24"/>
        </w:rPr>
        <w:t>However, the longest period claimed by any party to be necessary to address this problem is 91 business days (UBS, 2015, pp. 2-4).  Using the even longer period of five months, Appendix 2 shows that the risk resulting from undertaking the swaps over such a period would be considerably less than that from not undertaking any such transactions.</w:t>
      </w:r>
      <w:r w:rsidR="00FC3B57">
        <w:rPr>
          <w:rFonts w:ascii="Times New Roman" w:hAnsi="Times New Roman" w:cs="Times New Roman"/>
          <w:sz w:val="24"/>
          <w:szCs w:val="24"/>
        </w:rPr>
        <w:t xml:space="preserve">  Consequently, this additional factor does not change the efficient financing strategy of a BEE under the on-the-day regime.</w:t>
      </w:r>
    </w:p>
    <w:p w:rsidR="00461F70" w:rsidRDefault="00461F70" w:rsidP="00122250">
      <w:pPr>
        <w:pStyle w:val="ListParagraph"/>
        <w:spacing w:after="0" w:line="360" w:lineRule="auto"/>
        <w:ind w:left="0"/>
        <w:jc w:val="both"/>
        <w:rPr>
          <w:rFonts w:ascii="Times New Roman" w:hAnsi="Times New Roman" w:cs="Times New Roman"/>
          <w:sz w:val="24"/>
          <w:szCs w:val="24"/>
        </w:rPr>
      </w:pPr>
    </w:p>
    <w:p w:rsidR="00DC39E4" w:rsidRDefault="00DC39E4"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summary, </w:t>
      </w:r>
      <w:r w:rsidR="001A7635">
        <w:rPr>
          <w:rFonts w:ascii="Times New Roman" w:hAnsi="Times New Roman" w:cs="Times New Roman"/>
          <w:sz w:val="24"/>
          <w:szCs w:val="24"/>
        </w:rPr>
        <w:t xml:space="preserve">and in respect of a privately-owned BEE with risk matching that of the NSW/ACT service providers, </w:t>
      </w:r>
      <w:r>
        <w:rPr>
          <w:rFonts w:ascii="Times New Roman" w:hAnsi="Times New Roman" w:cs="Times New Roman"/>
          <w:sz w:val="24"/>
          <w:szCs w:val="24"/>
        </w:rPr>
        <w:t xml:space="preserve">neither the size of </w:t>
      </w:r>
      <w:r w:rsidR="001A7635">
        <w:rPr>
          <w:rFonts w:ascii="Times New Roman" w:hAnsi="Times New Roman" w:cs="Times New Roman"/>
          <w:sz w:val="24"/>
          <w:szCs w:val="24"/>
        </w:rPr>
        <w:t xml:space="preserve">its </w:t>
      </w:r>
      <w:r>
        <w:rPr>
          <w:rFonts w:ascii="Times New Roman" w:hAnsi="Times New Roman" w:cs="Times New Roman"/>
          <w:sz w:val="24"/>
          <w:szCs w:val="24"/>
        </w:rPr>
        <w:t xml:space="preserve">debt portfolio nor </w:t>
      </w:r>
      <w:r w:rsidR="001A7635">
        <w:rPr>
          <w:rFonts w:ascii="Times New Roman" w:hAnsi="Times New Roman" w:cs="Times New Roman"/>
          <w:sz w:val="24"/>
          <w:szCs w:val="24"/>
        </w:rPr>
        <w:t xml:space="preserve">having a regulatory cycle that matches that of other regulated businesses nor the cost and availability of interest rate swap contracts </w:t>
      </w:r>
      <w:r w:rsidR="00F01937">
        <w:rPr>
          <w:rFonts w:ascii="Times New Roman" w:hAnsi="Times New Roman" w:cs="Times New Roman"/>
          <w:sz w:val="24"/>
          <w:szCs w:val="24"/>
        </w:rPr>
        <w:t xml:space="preserve">for such a firm </w:t>
      </w:r>
      <w:r w:rsidR="001A7635">
        <w:rPr>
          <w:rFonts w:ascii="Times New Roman" w:hAnsi="Times New Roman" w:cs="Times New Roman"/>
          <w:sz w:val="24"/>
          <w:szCs w:val="24"/>
        </w:rPr>
        <w:t xml:space="preserve">nor having regulatory determinations that occurred during the GFC would </w:t>
      </w:r>
      <w:r w:rsidR="00F01937">
        <w:rPr>
          <w:rFonts w:ascii="Times New Roman" w:hAnsi="Times New Roman" w:cs="Times New Roman"/>
          <w:sz w:val="24"/>
          <w:szCs w:val="24"/>
        </w:rPr>
        <w:t xml:space="preserve">cause </w:t>
      </w:r>
      <w:r w:rsidR="001A7635">
        <w:rPr>
          <w:rFonts w:ascii="Times New Roman" w:hAnsi="Times New Roman" w:cs="Times New Roman"/>
          <w:sz w:val="24"/>
          <w:szCs w:val="24"/>
        </w:rPr>
        <w:t xml:space="preserve">the financing practice of </w:t>
      </w:r>
      <w:r w:rsidR="00F01937">
        <w:rPr>
          <w:rFonts w:ascii="Times New Roman" w:hAnsi="Times New Roman" w:cs="Times New Roman"/>
          <w:sz w:val="24"/>
          <w:szCs w:val="24"/>
        </w:rPr>
        <w:t>such a firm to deviate from that described in the previous section.</w:t>
      </w:r>
    </w:p>
    <w:p w:rsidR="00F01937" w:rsidRDefault="00F01937" w:rsidP="00122250">
      <w:pPr>
        <w:pStyle w:val="ListParagraph"/>
        <w:spacing w:after="0" w:line="360" w:lineRule="auto"/>
        <w:ind w:left="0"/>
        <w:jc w:val="both"/>
        <w:rPr>
          <w:rFonts w:ascii="Times New Roman" w:hAnsi="Times New Roman" w:cs="Times New Roman"/>
          <w:sz w:val="24"/>
          <w:szCs w:val="24"/>
        </w:rPr>
      </w:pPr>
    </w:p>
    <w:p w:rsidR="008704D1" w:rsidRPr="008704D1" w:rsidRDefault="0018097E" w:rsidP="008704D1">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Review of the AER’s Arguments for a Transitional Regime</w:t>
      </w:r>
    </w:p>
    <w:p w:rsidR="008704D1" w:rsidRDefault="008704D1" w:rsidP="00122250">
      <w:pPr>
        <w:pStyle w:val="ListParagraph"/>
        <w:spacing w:after="0" w:line="360" w:lineRule="auto"/>
        <w:ind w:left="0"/>
        <w:jc w:val="both"/>
        <w:rPr>
          <w:rFonts w:ascii="Times New Roman" w:hAnsi="Times New Roman" w:cs="Times New Roman"/>
          <w:sz w:val="24"/>
          <w:szCs w:val="24"/>
        </w:rPr>
      </w:pPr>
    </w:p>
    <w:p w:rsidR="008704D1" w:rsidRDefault="008704D1"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AER has concluded that a transitional regime should be adopted for several reasons.  Firstly, in respect of the base rate component of the </w:t>
      </w:r>
      <w:r w:rsidR="00370EB2">
        <w:rPr>
          <w:rFonts w:ascii="Times New Roman" w:hAnsi="Times New Roman" w:cs="Times New Roman"/>
          <w:sz w:val="24"/>
          <w:szCs w:val="24"/>
        </w:rPr>
        <w:t xml:space="preserve">cost of debt, the AER </w:t>
      </w:r>
      <w:r w:rsidR="00A965F2">
        <w:rPr>
          <w:rFonts w:ascii="Times New Roman" w:hAnsi="Times New Roman" w:cs="Times New Roman"/>
          <w:sz w:val="24"/>
          <w:szCs w:val="24"/>
        </w:rPr>
        <w:t xml:space="preserve">(2014, Attachment 3, section 3.4.2) </w:t>
      </w:r>
      <w:r w:rsidR="00370EB2">
        <w:rPr>
          <w:rFonts w:ascii="Times New Roman" w:hAnsi="Times New Roman" w:cs="Times New Roman"/>
          <w:sz w:val="24"/>
          <w:szCs w:val="24"/>
        </w:rPr>
        <w:t xml:space="preserve">considers that its proposed transitional regime will minimize potential mismatches between the allowed and incurred rates </w:t>
      </w:r>
      <w:r w:rsidR="002A4B60">
        <w:rPr>
          <w:rFonts w:ascii="Times New Roman" w:hAnsi="Times New Roman" w:cs="Times New Roman"/>
          <w:sz w:val="24"/>
          <w:szCs w:val="24"/>
        </w:rPr>
        <w:t xml:space="preserve">of the BEE </w:t>
      </w:r>
      <w:r w:rsidR="00370EB2">
        <w:rPr>
          <w:rFonts w:ascii="Times New Roman" w:hAnsi="Times New Roman" w:cs="Times New Roman"/>
          <w:sz w:val="24"/>
          <w:szCs w:val="24"/>
        </w:rPr>
        <w:t xml:space="preserve">over the transitional period.  </w:t>
      </w:r>
      <w:r w:rsidR="00370EB2" w:rsidRPr="00707CFF">
        <w:rPr>
          <w:rFonts w:ascii="Times New Roman" w:hAnsi="Times New Roman" w:cs="Times New Roman"/>
          <w:sz w:val="24"/>
          <w:szCs w:val="24"/>
        </w:rPr>
        <w:t xml:space="preserve">This issue </w:t>
      </w:r>
      <w:r w:rsidR="00213FF4" w:rsidRPr="00707CFF">
        <w:rPr>
          <w:rFonts w:ascii="Times New Roman" w:hAnsi="Times New Roman" w:cs="Times New Roman"/>
          <w:sz w:val="24"/>
          <w:szCs w:val="24"/>
        </w:rPr>
        <w:t>is examined in detail in section 8</w:t>
      </w:r>
      <w:r w:rsidR="008A57DE" w:rsidRPr="00707CFF">
        <w:rPr>
          <w:rFonts w:ascii="Times New Roman" w:hAnsi="Times New Roman" w:cs="Times New Roman"/>
          <w:sz w:val="24"/>
          <w:szCs w:val="24"/>
        </w:rPr>
        <w:t xml:space="preserve">.  As argued there, </w:t>
      </w:r>
      <w:r w:rsidR="00213FF4" w:rsidRPr="00707CFF">
        <w:rPr>
          <w:rFonts w:ascii="Times New Roman" w:hAnsi="Times New Roman" w:cs="Times New Roman"/>
          <w:sz w:val="24"/>
          <w:szCs w:val="24"/>
        </w:rPr>
        <w:t xml:space="preserve">any significant </w:t>
      </w:r>
      <w:r w:rsidR="00D961FF" w:rsidRPr="00707CFF">
        <w:rPr>
          <w:rFonts w:ascii="Times New Roman" w:hAnsi="Times New Roman" w:cs="Times New Roman"/>
          <w:sz w:val="24"/>
          <w:szCs w:val="24"/>
        </w:rPr>
        <w:t xml:space="preserve">one-off </w:t>
      </w:r>
      <w:r w:rsidR="00213FF4" w:rsidRPr="00707CFF">
        <w:rPr>
          <w:rFonts w:ascii="Times New Roman" w:hAnsi="Times New Roman" w:cs="Times New Roman"/>
          <w:sz w:val="24"/>
          <w:szCs w:val="24"/>
        </w:rPr>
        <w:t xml:space="preserve">effects from regime changes should be neutralized, the effect here is significant, and the </w:t>
      </w:r>
      <w:r w:rsidR="008A57DE" w:rsidRPr="00707CFF">
        <w:rPr>
          <w:rFonts w:ascii="Times New Roman" w:hAnsi="Times New Roman" w:cs="Times New Roman"/>
          <w:sz w:val="24"/>
          <w:szCs w:val="24"/>
        </w:rPr>
        <w:t>AER’s proposed transitional regime</w:t>
      </w:r>
      <w:r w:rsidR="00213FF4" w:rsidRPr="00707CFF">
        <w:rPr>
          <w:rFonts w:ascii="Times New Roman" w:hAnsi="Times New Roman" w:cs="Times New Roman"/>
          <w:sz w:val="24"/>
          <w:szCs w:val="24"/>
        </w:rPr>
        <w:t xml:space="preserve"> </w:t>
      </w:r>
      <w:r w:rsidR="00D961FF" w:rsidRPr="00707CFF">
        <w:rPr>
          <w:rFonts w:ascii="Times New Roman" w:hAnsi="Times New Roman" w:cs="Times New Roman"/>
          <w:sz w:val="24"/>
          <w:szCs w:val="24"/>
        </w:rPr>
        <w:t>neutralizes it</w:t>
      </w:r>
      <w:r w:rsidR="00213FF4" w:rsidRPr="00707CFF">
        <w:rPr>
          <w:rFonts w:ascii="Times New Roman" w:hAnsi="Times New Roman" w:cs="Times New Roman"/>
          <w:sz w:val="24"/>
          <w:szCs w:val="24"/>
        </w:rPr>
        <w:t>.</w:t>
      </w:r>
      <w:r w:rsidR="00E90266">
        <w:rPr>
          <w:rFonts w:ascii="Times New Roman" w:hAnsi="Times New Roman" w:cs="Times New Roman"/>
          <w:sz w:val="24"/>
          <w:szCs w:val="24"/>
        </w:rPr>
        <w:t xml:space="preserve"> </w:t>
      </w:r>
      <w:r w:rsidR="00213FF4">
        <w:rPr>
          <w:rFonts w:ascii="Times New Roman" w:hAnsi="Times New Roman" w:cs="Times New Roman"/>
          <w:sz w:val="24"/>
          <w:szCs w:val="24"/>
        </w:rPr>
        <w:t xml:space="preserve"> </w:t>
      </w:r>
      <w:r w:rsidR="00E90266">
        <w:rPr>
          <w:rFonts w:ascii="Times New Roman" w:hAnsi="Times New Roman" w:cs="Times New Roman"/>
          <w:sz w:val="24"/>
          <w:szCs w:val="24"/>
        </w:rPr>
        <w:t>Accordingly, I favour the AER’s proposed transitional regime for the base rate component of the cost of debt.</w:t>
      </w:r>
    </w:p>
    <w:p w:rsidR="00E90266" w:rsidRDefault="00E90266" w:rsidP="00122250">
      <w:pPr>
        <w:pStyle w:val="ListParagraph"/>
        <w:spacing w:after="0" w:line="360" w:lineRule="auto"/>
        <w:ind w:left="0"/>
        <w:jc w:val="both"/>
        <w:rPr>
          <w:rFonts w:ascii="Times New Roman" w:hAnsi="Times New Roman" w:cs="Times New Roman"/>
          <w:sz w:val="24"/>
          <w:szCs w:val="24"/>
        </w:rPr>
      </w:pPr>
    </w:p>
    <w:p w:rsidR="00213FF4" w:rsidRDefault="00E90266" w:rsidP="00213FF4">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Secondly, in respect of the DRP component of the cost of debt, the AER</w:t>
      </w:r>
      <w:r w:rsidR="00A965F2">
        <w:rPr>
          <w:rFonts w:ascii="Times New Roman" w:hAnsi="Times New Roman" w:cs="Times New Roman"/>
          <w:sz w:val="24"/>
          <w:szCs w:val="24"/>
        </w:rPr>
        <w:t xml:space="preserve"> (2014, Attachment 3, section 3.4.2)</w:t>
      </w:r>
      <w:r>
        <w:rPr>
          <w:rFonts w:ascii="Times New Roman" w:hAnsi="Times New Roman" w:cs="Times New Roman"/>
          <w:sz w:val="24"/>
          <w:szCs w:val="24"/>
        </w:rPr>
        <w:t xml:space="preserve"> considers that its proposed transitional regime </w:t>
      </w:r>
      <w:r w:rsidR="00E3350A">
        <w:rPr>
          <w:rFonts w:ascii="Times New Roman" w:hAnsi="Times New Roman" w:cs="Times New Roman"/>
          <w:sz w:val="24"/>
          <w:szCs w:val="24"/>
        </w:rPr>
        <w:t xml:space="preserve">avoids potential </w:t>
      </w:r>
      <w:r>
        <w:rPr>
          <w:rFonts w:ascii="Times New Roman" w:hAnsi="Times New Roman" w:cs="Times New Roman"/>
          <w:sz w:val="24"/>
          <w:szCs w:val="24"/>
        </w:rPr>
        <w:t xml:space="preserve">windfall gains </w:t>
      </w:r>
      <w:r w:rsidR="00E3350A">
        <w:rPr>
          <w:rFonts w:ascii="Times New Roman" w:hAnsi="Times New Roman" w:cs="Times New Roman"/>
          <w:sz w:val="24"/>
          <w:szCs w:val="24"/>
        </w:rPr>
        <w:t xml:space="preserve">or losses to </w:t>
      </w:r>
      <w:r>
        <w:rPr>
          <w:rFonts w:ascii="Times New Roman" w:hAnsi="Times New Roman" w:cs="Times New Roman"/>
          <w:sz w:val="24"/>
          <w:szCs w:val="24"/>
        </w:rPr>
        <w:t xml:space="preserve">service providers </w:t>
      </w:r>
      <w:r w:rsidR="00E3350A">
        <w:rPr>
          <w:rFonts w:ascii="Times New Roman" w:hAnsi="Times New Roman" w:cs="Times New Roman"/>
          <w:sz w:val="24"/>
          <w:szCs w:val="24"/>
        </w:rPr>
        <w:t xml:space="preserve">and customers.  </w:t>
      </w:r>
      <w:r w:rsidR="00213FF4" w:rsidRPr="00707CFF">
        <w:rPr>
          <w:rFonts w:ascii="Times New Roman" w:hAnsi="Times New Roman" w:cs="Times New Roman"/>
          <w:sz w:val="24"/>
          <w:szCs w:val="24"/>
        </w:rPr>
        <w:t xml:space="preserve">This issue is examined in detail in section 8.  As argued there, any significant </w:t>
      </w:r>
      <w:r w:rsidR="00D961FF" w:rsidRPr="00707CFF">
        <w:rPr>
          <w:rFonts w:ascii="Times New Roman" w:hAnsi="Times New Roman" w:cs="Times New Roman"/>
          <w:sz w:val="24"/>
          <w:szCs w:val="24"/>
        </w:rPr>
        <w:t xml:space="preserve">one-off </w:t>
      </w:r>
      <w:r w:rsidR="00213FF4" w:rsidRPr="00707CFF">
        <w:rPr>
          <w:rFonts w:ascii="Times New Roman" w:hAnsi="Times New Roman" w:cs="Times New Roman"/>
          <w:sz w:val="24"/>
          <w:szCs w:val="24"/>
        </w:rPr>
        <w:t xml:space="preserve">effects from regime changes should be neutralized, the effect here is significant, and the AER’s proposed transitional regime </w:t>
      </w:r>
      <w:r w:rsidR="00D961FF" w:rsidRPr="00707CFF">
        <w:rPr>
          <w:rFonts w:ascii="Times New Roman" w:hAnsi="Times New Roman" w:cs="Times New Roman"/>
          <w:sz w:val="24"/>
          <w:szCs w:val="24"/>
        </w:rPr>
        <w:t>neutralizes it</w:t>
      </w:r>
      <w:r w:rsidR="00213FF4" w:rsidRPr="00707CFF">
        <w:rPr>
          <w:rFonts w:ascii="Times New Roman" w:hAnsi="Times New Roman" w:cs="Times New Roman"/>
          <w:sz w:val="24"/>
          <w:szCs w:val="24"/>
        </w:rPr>
        <w:t>.</w:t>
      </w:r>
      <w:r w:rsidR="00213FF4">
        <w:rPr>
          <w:rFonts w:ascii="Times New Roman" w:hAnsi="Times New Roman" w:cs="Times New Roman"/>
          <w:sz w:val="24"/>
          <w:szCs w:val="24"/>
        </w:rPr>
        <w:t xml:space="preserve">  Accordingly, I favour the AER’s proposed transitional regime for the DRP component of the cost of debt.</w:t>
      </w:r>
    </w:p>
    <w:p w:rsidR="006F692E" w:rsidRDefault="006F692E" w:rsidP="00122250">
      <w:pPr>
        <w:pStyle w:val="ListParagraph"/>
        <w:spacing w:after="0" w:line="360" w:lineRule="auto"/>
        <w:ind w:left="0"/>
        <w:jc w:val="both"/>
        <w:rPr>
          <w:rFonts w:ascii="Times New Roman" w:hAnsi="Times New Roman" w:cs="Times New Roman"/>
          <w:sz w:val="24"/>
          <w:szCs w:val="24"/>
        </w:rPr>
      </w:pPr>
    </w:p>
    <w:p w:rsidR="00295227" w:rsidRPr="00707CFF" w:rsidRDefault="006F692E" w:rsidP="00122250">
      <w:pPr>
        <w:pStyle w:val="ListParagraph"/>
        <w:spacing w:after="0" w:line="360" w:lineRule="auto"/>
        <w:ind w:left="0"/>
        <w:jc w:val="both"/>
        <w:rPr>
          <w:rFonts w:ascii="Times New Roman" w:hAnsi="Times New Roman" w:cs="Times New Roman"/>
          <w:sz w:val="24"/>
          <w:szCs w:val="24"/>
        </w:rPr>
      </w:pPr>
      <w:r w:rsidRPr="00707CFF">
        <w:rPr>
          <w:rFonts w:ascii="Times New Roman" w:hAnsi="Times New Roman" w:cs="Times New Roman"/>
          <w:sz w:val="24"/>
          <w:szCs w:val="24"/>
        </w:rPr>
        <w:lastRenderedPageBreak/>
        <w:t xml:space="preserve">Thirdly, </w:t>
      </w:r>
      <w:r w:rsidR="00295227" w:rsidRPr="00707CFF">
        <w:rPr>
          <w:rFonts w:ascii="Times New Roman" w:hAnsi="Times New Roman" w:cs="Times New Roman"/>
          <w:sz w:val="24"/>
          <w:szCs w:val="24"/>
        </w:rPr>
        <w:t xml:space="preserve">and in respect of the DRP component of the cost of debt, the AER (2014, Attachment 3, section 3.4.2) </w:t>
      </w:r>
      <w:r w:rsidR="00D961FF" w:rsidRPr="00707CFF">
        <w:rPr>
          <w:rFonts w:ascii="Times New Roman" w:hAnsi="Times New Roman" w:cs="Times New Roman"/>
          <w:sz w:val="24"/>
          <w:szCs w:val="24"/>
        </w:rPr>
        <w:t xml:space="preserve">notes that its </w:t>
      </w:r>
      <w:r w:rsidR="00295227" w:rsidRPr="00707CFF">
        <w:rPr>
          <w:rFonts w:ascii="Times New Roman" w:hAnsi="Times New Roman" w:cs="Times New Roman"/>
          <w:sz w:val="24"/>
          <w:szCs w:val="24"/>
        </w:rPr>
        <w:t xml:space="preserve">proposed transitional regime avoids the use of historical DRP data and </w:t>
      </w:r>
      <w:r w:rsidR="00D961FF" w:rsidRPr="00707CFF">
        <w:rPr>
          <w:rFonts w:ascii="Times New Roman" w:hAnsi="Times New Roman" w:cs="Times New Roman"/>
          <w:sz w:val="24"/>
          <w:szCs w:val="24"/>
        </w:rPr>
        <w:t xml:space="preserve">argues that </w:t>
      </w:r>
      <w:r w:rsidR="00295227" w:rsidRPr="00707CFF">
        <w:rPr>
          <w:rFonts w:ascii="Times New Roman" w:hAnsi="Times New Roman" w:cs="Times New Roman"/>
          <w:sz w:val="24"/>
          <w:szCs w:val="24"/>
        </w:rPr>
        <w:t xml:space="preserve">this is desirable </w:t>
      </w:r>
      <w:r w:rsidR="00CB019C" w:rsidRPr="00707CFF">
        <w:rPr>
          <w:rFonts w:ascii="Times New Roman" w:hAnsi="Times New Roman" w:cs="Times New Roman"/>
          <w:sz w:val="24"/>
          <w:szCs w:val="24"/>
        </w:rPr>
        <w:t xml:space="preserve">because the data is contentious.  As </w:t>
      </w:r>
      <w:r w:rsidR="008C2730" w:rsidRPr="00707CFF">
        <w:rPr>
          <w:rFonts w:ascii="Times New Roman" w:hAnsi="Times New Roman" w:cs="Times New Roman"/>
          <w:sz w:val="24"/>
          <w:szCs w:val="24"/>
        </w:rPr>
        <w:t xml:space="preserve">argued in </w:t>
      </w:r>
      <w:r w:rsidR="00CB019C" w:rsidRPr="00707CFF">
        <w:rPr>
          <w:rFonts w:ascii="Times New Roman" w:hAnsi="Times New Roman" w:cs="Times New Roman"/>
          <w:sz w:val="24"/>
          <w:szCs w:val="24"/>
        </w:rPr>
        <w:t>Lally (2014</w:t>
      </w:r>
      <w:r w:rsidR="00D961FF" w:rsidRPr="00707CFF">
        <w:rPr>
          <w:rFonts w:ascii="Times New Roman" w:hAnsi="Times New Roman" w:cs="Times New Roman"/>
          <w:sz w:val="24"/>
          <w:szCs w:val="24"/>
        </w:rPr>
        <w:t>a</w:t>
      </w:r>
      <w:r w:rsidR="00CB019C" w:rsidRPr="00707CFF">
        <w:rPr>
          <w:rFonts w:ascii="Times New Roman" w:hAnsi="Times New Roman" w:cs="Times New Roman"/>
          <w:sz w:val="24"/>
          <w:szCs w:val="24"/>
        </w:rPr>
        <w:t xml:space="preserve">, section 2.3), there is no </w:t>
      </w:r>
      <w:r w:rsidR="00A37BF7" w:rsidRPr="00707CFF">
        <w:rPr>
          <w:rFonts w:ascii="Times New Roman" w:hAnsi="Times New Roman" w:cs="Times New Roman"/>
          <w:sz w:val="24"/>
          <w:szCs w:val="24"/>
        </w:rPr>
        <w:t xml:space="preserve">DRP </w:t>
      </w:r>
      <w:r w:rsidR="00CB019C" w:rsidRPr="00707CFF">
        <w:rPr>
          <w:rFonts w:ascii="Times New Roman" w:hAnsi="Times New Roman" w:cs="Times New Roman"/>
          <w:sz w:val="24"/>
          <w:szCs w:val="24"/>
        </w:rPr>
        <w:t xml:space="preserve">index available at the present time with a ten year history </w:t>
      </w:r>
      <w:r w:rsidR="003D62B0" w:rsidRPr="00707CFF">
        <w:rPr>
          <w:rFonts w:ascii="Times New Roman" w:hAnsi="Times New Roman" w:cs="Times New Roman"/>
          <w:sz w:val="24"/>
          <w:szCs w:val="24"/>
        </w:rPr>
        <w:t xml:space="preserve">up to mid 2014 </w:t>
      </w:r>
      <w:r w:rsidR="00CB019C" w:rsidRPr="00707CFF">
        <w:rPr>
          <w:rFonts w:ascii="Times New Roman" w:hAnsi="Times New Roman" w:cs="Times New Roman"/>
          <w:sz w:val="24"/>
          <w:szCs w:val="24"/>
        </w:rPr>
        <w:t>because the RBA index only goes back to January 2005 and the BFV index ceased in May 2014; so, a combination of indexes would be required.  Furthermore, there has been considerable variation in the results from four such indexes since early 2007,</w:t>
      </w:r>
      <w:r w:rsidR="00A37BF7" w:rsidRPr="00707CFF">
        <w:rPr>
          <w:rFonts w:ascii="Times New Roman" w:hAnsi="Times New Roman" w:cs="Times New Roman"/>
          <w:sz w:val="24"/>
          <w:szCs w:val="24"/>
        </w:rPr>
        <w:t xml:space="preserve"> most particularly in early 2009</w:t>
      </w:r>
      <w:r w:rsidR="00CB019C" w:rsidRPr="00707CFF">
        <w:rPr>
          <w:rFonts w:ascii="Times New Roman" w:hAnsi="Times New Roman" w:cs="Times New Roman"/>
          <w:sz w:val="24"/>
          <w:szCs w:val="24"/>
        </w:rPr>
        <w:t>; this variation complicates the process of choosing estimates for that historical period.  So, in respect of the DRP, I agree with the AER’s third argument.</w:t>
      </w:r>
    </w:p>
    <w:p w:rsidR="00295227" w:rsidRDefault="00295227" w:rsidP="00122250">
      <w:pPr>
        <w:pStyle w:val="ListParagraph"/>
        <w:spacing w:after="0" w:line="360" w:lineRule="auto"/>
        <w:ind w:left="0"/>
        <w:jc w:val="both"/>
        <w:rPr>
          <w:rFonts w:ascii="Times New Roman" w:hAnsi="Times New Roman" w:cs="Times New Roman"/>
          <w:sz w:val="24"/>
          <w:szCs w:val="24"/>
        </w:rPr>
      </w:pPr>
    </w:p>
    <w:p w:rsidR="00A92790" w:rsidRDefault="00295227"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Fourthly, </w:t>
      </w:r>
      <w:r w:rsidR="008434AA">
        <w:rPr>
          <w:rFonts w:ascii="Times New Roman" w:hAnsi="Times New Roman" w:cs="Times New Roman"/>
          <w:sz w:val="24"/>
          <w:szCs w:val="24"/>
        </w:rPr>
        <w:t xml:space="preserve">and </w:t>
      </w:r>
      <w:r w:rsidR="006F692E">
        <w:rPr>
          <w:rFonts w:ascii="Times New Roman" w:hAnsi="Times New Roman" w:cs="Times New Roman"/>
          <w:sz w:val="24"/>
          <w:szCs w:val="24"/>
        </w:rPr>
        <w:t xml:space="preserve">in respect of the entire cost of debt, the AER </w:t>
      </w:r>
      <w:r w:rsidR="00A965F2">
        <w:rPr>
          <w:rFonts w:ascii="Times New Roman" w:hAnsi="Times New Roman" w:cs="Times New Roman"/>
          <w:sz w:val="24"/>
          <w:szCs w:val="24"/>
        </w:rPr>
        <w:t xml:space="preserve">(2014, Attachment 3, section 3.4.2) </w:t>
      </w:r>
      <w:r w:rsidR="006F692E">
        <w:rPr>
          <w:rFonts w:ascii="Times New Roman" w:hAnsi="Times New Roman" w:cs="Times New Roman"/>
          <w:sz w:val="24"/>
          <w:szCs w:val="24"/>
        </w:rPr>
        <w:t>considers that its proposed transitional regime maintains the expected average price level w</w:t>
      </w:r>
      <w:r w:rsidR="00721115">
        <w:rPr>
          <w:rFonts w:ascii="Times New Roman" w:hAnsi="Times New Roman" w:cs="Times New Roman"/>
          <w:sz w:val="24"/>
          <w:szCs w:val="24"/>
        </w:rPr>
        <w:t>hilst reducing price volatility</w:t>
      </w:r>
      <w:r w:rsidR="0042448F">
        <w:rPr>
          <w:rFonts w:ascii="Times New Roman" w:hAnsi="Times New Roman" w:cs="Times New Roman"/>
          <w:sz w:val="24"/>
          <w:szCs w:val="24"/>
        </w:rPr>
        <w:t>.</w:t>
      </w:r>
      <w:r w:rsidR="00163099">
        <w:rPr>
          <w:rFonts w:ascii="Times New Roman" w:hAnsi="Times New Roman" w:cs="Times New Roman"/>
          <w:sz w:val="24"/>
          <w:szCs w:val="24"/>
        </w:rPr>
        <w:t xml:space="preserve">  </w:t>
      </w:r>
      <w:r w:rsidR="00163099" w:rsidRPr="00FF40CD">
        <w:rPr>
          <w:rFonts w:ascii="Times New Roman" w:hAnsi="Times New Roman" w:cs="Times New Roman"/>
          <w:sz w:val="24"/>
          <w:szCs w:val="24"/>
        </w:rPr>
        <w:t>These are valid observations about the trailing average regime relative to the on-the-day regime.  However, the issue here is the merits of the transitional regime.</w:t>
      </w:r>
      <w:r w:rsidR="0042448F">
        <w:rPr>
          <w:rFonts w:ascii="Times New Roman" w:hAnsi="Times New Roman" w:cs="Times New Roman"/>
          <w:sz w:val="24"/>
          <w:szCs w:val="24"/>
        </w:rPr>
        <w:t xml:space="preserve">  In making decisions about a transitional regime, </w:t>
      </w:r>
      <w:r w:rsidR="00C841B8">
        <w:rPr>
          <w:rFonts w:ascii="Times New Roman" w:hAnsi="Times New Roman" w:cs="Times New Roman"/>
          <w:sz w:val="24"/>
          <w:szCs w:val="24"/>
        </w:rPr>
        <w:t xml:space="preserve">the </w:t>
      </w:r>
      <w:r w:rsidR="0042448F">
        <w:rPr>
          <w:rFonts w:ascii="Times New Roman" w:hAnsi="Times New Roman" w:cs="Times New Roman"/>
          <w:sz w:val="24"/>
          <w:szCs w:val="24"/>
        </w:rPr>
        <w:t xml:space="preserve">important </w:t>
      </w:r>
      <w:r w:rsidR="00C841B8">
        <w:rPr>
          <w:rFonts w:ascii="Times New Roman" w:hAnsi="Times New Roman" w:cs="Times New Roman"/>
          <w:sz w:val="24"/>
          <w:szCs w:val="24"/>
        </w:rPr>
        <w:t xml:space="preserve">consideration is that </w:t>
      </w:r>
      <w:r w:rsidR="0042448F">
        <w:rPr>
          <w:rFonts w:ascii="Times New Roman" w:hAnsi="Times New Roman" w:cs="Times New Roman"/>
          <w:sz w:val="24"/>
          <w:szCs w:val="24"/>
        </w:rPr>
        <w:t xml:space="preserve">the </w:t>
      </w:r>
      <w:r w:rsidR="005D0C52" w:rsidRPr="00707CFF">
        <w:rPr>
          <w:rFonts w:ascii="Times New Roman" w:hAnsi="Times New Roman" w:cs="Times New Roman"/>
          <w:sz w:val="24"/>
          <w:szCs w:val="24"/>
        </w:rPr>
        <w:t>NPV = 0 principle should be</w:t>
      </w:r>
      <w:r w:rsidR="00163099">
        <w:rPr>
          <w:rFonts w:ascii="Times New Roman" w:hAnsi="Times New Roman" w:cs="Times New Roman"/>
          <w:sz w:val="24"/>
          <w:szCs w:val="24"/>
        </w:rPr>
        <w:t xml:space="preserve"> satisfied or approximately so</w:t>
      </w:r>
      <w:r w:rsidR="0042448F" w:rsidRPr="00707CFF">
        <w:rPr>
          <w:rFonts w:ascii="Times New Roman" w:hAnsi="Times New Roman" w:cs="Times New Roman"/>
          <w:sz w:val="24"/>
          <w:szCs w:val="24"/>
        </w:rPr>
        <w:t xml:space="preserve">.  </w:t>
      </w:r>
      <w:r w:rsidR="009B4916" w:rsidRPr="00707CFF">
        <w:rPr>
          <w:rFonts w:ascii="Times New Roman" w:hAnsi="Times New Roman" w:cs="Times New Roman"/>
          <w:sz w:val="24"/>
          <w:szCs w:val="24"/>
        </w:rPr>
        <w:t xml:space="preserve">As argued in section 8, </w:t>
      </w:r>
      <w:r w:rsidR="003914C5" w:rsidRPr="00707CFF">
        <w:rPr>
          <w:rFonts w:ascii="Times New Roman" w:hAnsi="Times New Roman" w:cs="Times New Roman"/>
          <w:sz w:val="24"/>
          <w:szCs w:val="24"/>
        </w:rPr>
        <w:t xml:space="preserve">the AER’s proposed transitional process satisfies </w:t>
      </w:r>
      <w:r w:rsidR="00702518" w:rsidRPr="00707CFF">
        <w:rPr>
          <w:rFonts w:ascii="Times New Roman" w:hAnsi="Times New Roman" w:cs="Times New Roman"/>
          <w:sz w:val="24"/>
          <w:szCs w:val="24"/>
        </w:rPr>
        <w:t xml:space="preserve">the </w:t>
      </w:r>
      <w:r w:rsidR="005D0C52" w:rsidRPr="00707CFF">
        <w:rPr>
          <w:rFonts w:ascii="Times New Roman" w:hAnsi="Times New Roman" w:cs="Times New Roman"/>
          <w:sz w:val="24"/>
          <w:szCs w:val="24"/>
        </w:rPr>
        <w:t>NPV = 0 principle</w:t>
      </w:r>
      <w:r w:rsidR="00C841B8" w:rsidRPr="00707CFF">
        <w:rPr>
          <w:rFonts w:ascii="Times New Roman" w:hAnsi="Times New Roman" w:cs="Times New Roman"/>
          <w:sz w:val="24"/>
          <w:szCs w:val="24"/>
        </w:rPr>
        <w:t xml:space="preserve">.  If there were a range of alternative transitional processes that each </w:t>
      </w:r>
      <w:r w:rsidR="009B4916" w:rsidRPr="00707CFF">
        <w:rPr>
          <w:rFonts w:ascii="Times New Roman" w:hAnsi="Times New Roman" w:cs="Times New Roman"/>
          <w:sz w:val="24"/>
          <w:szCs w:val="24"/>
        </w:rPr>
        <w:t>satisfied the NPV = 0 principle</w:t>
      </w:r>
      <w:r w:rsidR="00C841B8" w:rsidRPr="00707CFF">
        <w:rPr>
          <w:rFonts w:ascii="Times New Roman" w:hAnsi="Times New Roman" w:cs="Times New Roman"/>
          <w:sz w:val="24"/>
          <w:szCs w:val="24"/>
        </w:rPr>
        <w:t>,</w:t>
      </w:r>
      <w:r w:rsidR="00C841B8">
        <w:rPr>
          <w:rFonts w:ascii="Times New Roman" w:hAnsi="Times New Roman" w:cs="Times New Roman"/>
          <w:sz w:val="24"/>
          <w:szCs w:val="24"/>
        </w:rPr>
        <w:t xml:space="preserve"> one might then choose between them on the basis of average price level and volatility.  However this opportunity is not apparent.  So, the issue of </w:t>
      </w:r>
      <w:r w:rsidR="003914C5">
        <w:rPr>
          <w:rFonts w:ascii="Times New Roman" w:hAnsi="Times New Roman" w:cs="Times New Roman"/>
          <w:sz w:val="24"/>
          <w:szCs w:val="24"/>
        </w:rPr>
        <w:t xml:space="preserve">expected </w:t>
      </w:r>
      <w:r w:rsidR="00C841B8">
        <w:rPr>
          <w:rFonts w:ascii="Times New Roman" w:hAnsi="Times New Roman" w:cs="Times New Roman"/>
          <w:sz w:val="24"/>
          <w:szCs w:val="24"/>
        </w:rPr>
        <w:t>average price level and volatility is moot.  Furthermore, even if it were not, there is considerable difficulty in defining volatility; as discussed in Lally (2014</w:t>
      </w:r>
      <w:r w:rsidR="004954A4">
        <w:rPr>
          <w:rFonts w:ascii="Times New Roman" w:hAnsi="Times New Roman" w:cs="Times New Roman"/>
          <w:sz w:val="24"/>
          <w:szCs w:val="24"/>
        </w:rPr>
        <w:t>a</w:t>
      </w:r>
      <w:r w:rsidR="00C841B8">
        <w:rPr>
          <w:rFonts w:ascii="Times New Roman" w:hAnsi="Times New Roman" w:cs="Times New Roman"/>
          <w:sz w:val="24"/>
          <w:szCs w:val="24"/>
        </w:rPr>
        <w:t xml:space="preserve">, section 2.2), volatility could be defined in terms of consumers’ incomes net of committed expenditures or in terms of prices, and in either case could be defined relative to actual values or values relative to the expected path.  </w:t>
      </w:r>
    </w:p>
    <w:p w:rsidR="00C841B8" w:rsidRDefault="00C841B8" w:rsidP="00122250">
      <w:pPr>
        <w:pStyle w:val="ListParagraph"/>
        <w:spacing w:after="0" w:line="360" w:lineRule="auto"/>
        <w:ind w:left="0"/>
        <w:jc w:val="both"/>
        <w:rPr>
          <w:rFonts w:ascii="Times New Roman" w:hAnsi="Times New Roman" w:cs="Times New Roman"/>
          <w:sz w:val="24"/>
          <w:szCs w:val="24"/>
        </w:rPr>
      </w:pPr>
    </w:p>
    <w:p w:rsidR="008704D1" w:rsidRDefault="00295227"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Fifthly, </w:t>
      </w:r>
      <w:r w:rsidR="008434AA">
        <w:rPr>
          <w:rFonts w:ascii="Times New Roman" w:hAnsi="Times New Roman" w:cs="Times New Roman"/>
          <w:sz w:val="24"/>
          <w:szCs w:val="24"/>
        </w:rPr>
        <w:t>and again in respect of the entire cost of debt, the AER</w:t>
      </w:r>
      <w:r w:rsidR="008558E8">
        <w:rPr>
          <w:rFonts w:ascii="Times New Roman" w:hAnsi="Times New Roman" w:cs="Times New Roman"/>
          <w:sz w:val="24"/>
          <w:szCs w:val="24"/>
        </w:rPr>
        <w:t xml:space="preserve"> (2014, Attachment 3, section 3.4.2)</w:t>
      </w:r>
      <w:r w:rsidR="008434AA">
        <w:rPr>
          <w:rFonts w:ascii="Times New Roman" w:hAnsi="Times New Roman" w:cs="Times New Roman"/>
          <w:sz w:val="24"/>
          <w:szCs w:val="24"/>
        </w:rPr>
        <w:t xml:space="preserve"> considers that its proposed transitional regime reduces the potential for opportunistic behavior</w:t>
      </w:r>
      <w:r w:rsidR="00567AC5">
        <w:rPr>
          <w:rFonts w:ascii="Times New Roman" w:hAnsi="Times New Roman" w:cs="Times New Roman"/>
          <w:sz w:val="24"/>
          <w:szCs w:val="24"/>
        </w:rPr>
        <w:t xml:space="preserve"> by stakeholders</w:t>
      </w:r>
      <w:r w:rsidR="00205C51">
        <w:rPr>
          <w:rFonts w:ascii="Times New Roman" w:hAnsi="Times New Roman" w:cs="Times New Roman"/>
          <w:sz w:val="24"/>
          <w:szCs w:val="24"/>
        </w:rPr>
        <w:t>, i.e.,</w:t>
      </w:r>
      <w:r w:rsidR="00567AC5">
        <w:rPr>
          <w:rFonts w:ascii="Times New Roman" w:hAnsi="Times New Roman" w:cs="Times New Roman"/>
          <w:sz w:val="24"/>
          <w:szCs w:val="24"/>
        </w:rPr>
        <w:t xml:space="preserve"> transitional processes discourage firms from seeking a change in regulatory regime</w:t>
      </w:r>
      <w:r w:rsidR="002C2BCD">
        <w:rPr>
          <w:rFonts w:ascii="Times New Roman" w:hAnsi="Times New Roman" w:cs="Times New Roman"/>
          <w:sz w:val="24"/>
          <w:szCs w:val="24"/>
        </w:rPr>
        <w:t xml:space="preserve"> </w:t>
      </w:r>
      <w:r w:rsidR="002C2BCD" w:rsidRPr="00707CFF">
        <w:rPr>
          <w:rFonts w:ascii="Times New Roman" w:hAnsi="Times New Roman" w:cs="Times New Roman"/>
          <w:sz w:val="24"/>
          <w:szCs w:val="24"/>
        </w:rPr>
        <w:t>(such as a switch from the on-the-day regime to a trailing average or vice versa)</w:t>
      </w:r>
      <w:r w:rsidR="00567AC5">
        <w:rPr>
          <w:rFonts w:ascii="Times New Roman" w:hAnsi="Times New Roman" w:cs="Times New Roman"/>
          <w:sz w:val="24"/>
          <w:szCs w:val="24"/>
        </w:rPr>
        <w:t xml:space="preserve"> so as to maximize their revenues, </w:t>
      </w:r>
      <w:r w:rsidR="00205C51">
        <w:rPr>
          <w:rFonts w:ascii="Times New Roman" w:hAnsi="Times New Roman" w:cs="Times New Roman"/>
          <w:sz w:val="24"/>
          <w:szCs w:val="24"/>
        </w:rPr>
        <w:t xml:space="preserve">because the </w:t>
      </w:r>
      <w:r w:rsidR="00567AC5">
        <w:rPr>
          <w:rFonts w:ascii="Times New Roman" w:hAnsi="Times New Roman" w:cs="Times New Roman"/>
          <w:sz w:val="24"/>
          <w:szCs w:val="24"/>
        </w:rPr>
        <w:t xml:space="preserve">transitional process erodes the gains that would be available if a proposed method yielded higher future revenues than the existing method.  </w:t>
      </w:r>
      <w:r w:rsidR="00C841B8">
        <w:rPr>
          <w:rFonts w:ascii="Times New Roman" w:hAnsi="Times New Roman" w:cs="Times New Roman"/>
          <w:sz w:val="24"/>
          <w:szCs w:val="24"/>
        </w:rPr>
        <w:t xml:space="preserve">As argued in Lally </w:t>
      </w:r>
      <w:r w:rsidR="00205C51">
        <w:rPr>
          <w:rFonts w:ascii="Times New Roman" w:hAnsi="Times New Roman" w:cs="Times New Roman"/>
          <w:sz w:val="24"/>
          <w:szCs w:val="24"/>
        </w:rPr>
        <w:t>(2014</w:t>
      </w:r>
      <w:r w:rsidR="004F1913">
        <w:rPr>
          <w:rFonts w:ascii="Times New Roman" w:hAnsi="Times New Roman" w:cs="Times New Roman"/>
          <w:sz w:val="24"/>
          <w:szCs w:val="24"/>
        </w:rPr>
        <w:t>a</w:t>
      </w:r>
      <w:r w:rsidR="00205C51">
        <w:rPr>
          <w:rFonts w:ascii="Times New Roman" w:hAnsi="Times New Roman" w:cs="Times New Roman"/>
          <w:sz w:val="24"/>
          <w:szCs w:val="24"/>
        </w:rPr>
        <w:t>, section 2.4)</w:t>
      </w:r>
      <w:r w:rsidR="00C841B8">
        <w:rPr>
          <w:rFonts w:ascii="Times New Roman" w:hAnsi="Times New Roman" w:cs="Times New Roman"/>
          <w:sz w:val="24"/>
          <w:szCs w:val="24"/>
        </w:rPr>
        <w:t xml:space="preserve">, </w:t>
      </w:r>
      <w:r w:rsidR="00205C51">
        <w:rPr>
          <w:rFonts w:ascii="Times New Roman" w:hAnsi="Times New Roman" w:cs="Times New Roman"/>
          <w:sz w:val="24"/>
          <w:szCs w:val="24"/>
        </w:rPr>
        <w:t xml:space="preserve">such an </w:t>
      </w:r>
      <w:r w:rsidR="00567AC5">
        <w:rPr>
          <w:rFonts w:ascii="Times New Roman" w:hAnsi="Times New Roman" w:cs="Times New Roman"/>
          <w:sz w:val="24"/>
          <w:szCs w:val="24"/>
        </w:rPr>
        <w:t xml:space="preserve">argument has </w:t>
      </w:r>
      <w:r w:rsidR="00567AC5" w:rsidRPr="005A3C44">
        <w:rPr>
          <w:rFonts w:ascii="Times New Roman" w:hAnsi="Times New Roman" w:cs="Times New Roman"/>
          <w:sz w:val="24"/>
          <w:szCs w:val="24"/>
        </w:rPr>
        <w:t xml:space="preserve">some merit as a general rule, and on both sides: discouraging firms from opportunistic behavior and </w:t>
      </w:r>
      <w:r w:rsidR="00567AC5" w:rsidRPr="005A3C44">
        <w:rPr>
          <w:rFonts w:ascii="Times New Roman" w:hAnsi="Times New Roman" w:cs="Times New Roman"/>
          <w:sz w:val="24"/>
          <w:szCs w:val="24"/>
        </w:rPr>
        <w:lastRenderedPageBreak/>
        <w:t>discouraging regulators from acting in response to ‘political pressure’.  However, it would also have the disadvantage of blunting the impact of changes that do merit immediate adoption, whether proposed by firms or regulators; so, it dilutes the good and bad equally.</w:t>
      </w:r>
      <w:r w:rsidR="00567AC5">
        <w:rPr>
          <w:rFonts w:ascii="Times New Roman" w:hAnsi="Times New Roman" w:cs="Times New Roman"/>
          <w:sz w:val="24"/>
          <w:szCs w:val="24"/>
        </w:rPr>
        <w:t xml:space="preserve">  In any event, since such a general rule has not (yet) been adopted by the AER, the relevant issue here is whether a transitional regime should be applied in the current situation and this rests upon other arguments examined here.  </w:t>
      </w:r>
    </w:p>
    <w:p w:rsidR="008434AA" w:rsidRDefault="008434AA" w:rsidP="00122250">
      <w:pPr>
        <w:pStyle w:val="ListParagraph"/>
        <w:spacing w:after="0" w:line="360" w:lineRule="auto"/>
        <w:ind w:left="0"/>
        <w:jc w:val="both"/>
        <w:rPr>
          <w:rFonts w:ascii="Times New Roman" w:hAnsi="Times New Roman" w:cs="Times New Roman"/>
          <w:sz w:val="24"/>
          <w:szCs w:val="24"/>
        </w:rPr>
      </w:pPr>
    </w:p>
    <w:p w:rsidR="008434AA" w:rsidRDefault="008434AA"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Lastly, and in respect of applying the same transitional regime to all service providers, the AER</w:t>
      </w:r>
      <w:r w:rsidR="008558E8">
        <w:rPr>
          <w:rFonts w:ascii="Times New Roman" w:hAnsi="Times New Roman" w:cs="Times New Roman"/>
          <w:sz w:val="24"/>
          <w:szCs w:val="24"/>
        </w:rPr>
        <w:t xml:space="preserve"> (2014, Attachment 3, section 3.4.2)</w:t>
      </w:r>
      <w:r>
        <w:rPr>
          <w:rFonts w:ascii="Times New Roman" w:hAnsi="Times New Roman" w:cs="Times New Roman"/>
          <w:sz w:val="24"/>
          <w:szCs w:val="24"/>
        </w:rPr>
        <w:t xml:space="preserve"> considers that doing so is consistent with the AER’s adoption of a single BEE definition</w:t>
      </w:r>
      <w:r w:rsidR="00FF6655">
        <w:rPr>
          <w:rFonts w:ascii="Times New Roman" w:hAnsi="Times New Roman" w:cs="Times New Roman"/>
          <w:sz w:val="24"/>
          <w:szCs w:val="24"/>
        </w:rPr>
        <w:t xml:space="preserve"> (a pure play, Australian, regulated energy network business).  However I do not think this definition of a BEE requires application of the same t</w:t>
      </w:r>
      <w:r w:rsidR="00B35C52">
        <w:rPr>
          <w:rFonts w:ascii="Times New Roman" w:hAnsi="Times New Roman" w:cs="Times New Roman"/>
          <w:sz w:val="24"/>
          <w:szCs w:val="24"/>
        </w:rPr>
        <w:t>ransitional regime to all firms.  The issue of differential treatment of firms during the transitional period has been examined in Lally (2014</w:t>
      </w:r>
      <w:r w:rsidR="004F1913">
        <w:rPr>
          <w:rFonts w:ascii="Times New Roman" w:hAnsi="Times New Roman" w:cs="Times New Roman"/>
          <w:sz w:val="24"/>
          <w:szCs w:val="24"/>
        </w:rPr>
        <w:t>a</w:t>
      </w:r>
      <w:r w:rsidR="00B35C52">
        <w:rPr>
          <w:rFonts w:ascii="Times New Roman" w:hAnsi="Times New Roman" w:cs="Times New Roman"/>
          <w:sz w:val="24"/>
          <w:szCs w:val="24"/>
        </w:rPr>
        <w:t xml:space="preserve">, section 4) and two arguments for doing so were examined there.  The first of these </w:t>
      </w:r>
      <w:r w:rsidR="001F0B6B">
        <w:rPr>
          <w:rFonts w:ascii="Times New Roman" w:hAnsi="Times New Roman" w:cs="Times New Roman"/>
          <w:sz w:val="24"/>
          <w:szCs w:val="24"/>
        </w:rPr>
        <w:t xml:space="preserve">arguments </w:t>
      </w:r>
      <w:r w:rsidR="00B35C52">
        <w:rPr>
          <w:rFonts w:ascii="Times New Roman" w:hAnsi="Times New Roman" w:cs="Times New Roman"/>
          <w:sz w:val="24"/>
          <w:szCs w:val="24"/>
        </w:rPr>
        <w:t xml:space="preserve">is that large firms face greater difficulty in undertaking interest rate swap contracts, it was therefore </w:t>
      </w:r>
      <w:r w:rsidR="00B35C52" w:rsidRPr="00707CFF">
        <w:rPr>
          <w:rFonts w:ascii="Times New Roman" w:hAnsi="Times New Roman" w:cs="Times New Roman"/>
          <w:sz w:val="24"/>
          <w:szCs w:val="24"/>
        </w:rPr>
        <w:t>inefficient for them to have done so,</w:t>
      </w:r>
      <w:r w:rsidR="00B35C52">
        <w:rPr>
          <w:rFonts w:ascii="Times New Roman" w:hAnsi="Times New Roman" w:cs="Times New Roman"/>
          <w:sz w:val="24"/>
          <w:szCs w:val="24"/>
        </w:rPr>
        <w:t xml:space="preserve"> and therefore </w:t>
      </w:r>
      <w:r w:rsidR="00BD1884">
        <w:rPr>
          <w:rFonts w:ascii="Times New Roman" w:hAnsi="Times New Roman" w:cs="Times New Roman"/>
          <w:sz w:val="24"/>
          <w:szCs w:val="24"/>
        </w:rPr>
        <w:t xml:space="preserve">that </w:t>
      </w:r>
      <w:r w:rsidR="00B35C52">
        <w:rPr>
          <w:rFonts w:ascii="Times New Roman" w:hAnsi="Times New Roman" w:cs="Times New Roman"/>
          <w:sz w:val="24"/>
          <w:szCs w:val="24"/>
        </w:rPr>
        <w:t>transitional arrangements in respect of the base rate component of the cost of debt are unwarranted</w:t>
      </w:r>
      <w:r w:rsidR="00BD1884">
        <w:rPr>
          <w:rFonts w:ascii="Times New Roman" w:hAnsi="Times New Roman" w:cs="Times New Roman"/>
          <w:sz w:val="24"/>
          <w:szCs w:val="24"/>
        </w:rPr>
        <w:t xml:space="preserve"> for such firms</w:t>
      </w:r>
      <w:r w:rsidR="00B35C52">
        <w:rPr>
          <w:rFonts w:ascii="Times New Roman" w:hAnsi="Times New Roman" w:cs="Times New Roman"/>
          <w:sz w:val="24"/>
          <w:szCs w:val="24"/>
        </w:rPr>
        <w:t>.  However, as discussed in Lally (ibid), it was still efficient for large firms to have undertaken these swap contracts</w:t>
      </w:r>
      <w:r w:rsidR="001F0B6B">
        <w:rPr>
          <w:rFonts w:ascii="Times New Roman" w:hAnsi="Times New Roman" w:cs="Times New Roman"/>
          <w:sz w:val="24"/>
          <w:szCs w:val="24"/>
        </w:rPr>
        <w:t xml:space="preserve"> and therefore the argument is not valid.  The second argument is that regulated activities are subject to different cycles</w:t>
      </w:r>
      <w:r w:rsidR="00BD1884">
        <w:rPr>
          <w:rFonts w:ascii="Times New Roman" w:hAnsi="Times New Roman" w:cs="Times New Roman"/>
          <w:sz w:val="24"/>
          <w:szCs w:val="24"/>
        </w:rPr>
        <w:t xml:space="preserve">, that this causes differences in the windfall gains obtained from (or losses incurred in) adoption of a new regime without a transitional process, and therefore that different transitional arrangements are required for different regulated activities.  </w:t>
      </w:r>
      <w:r w:rsidR="00874700">
        <w:rPr>
          <w:rFonts w:ascii="Times New Roman" w:hAnsi="Times New Roman" w:cs="Times New Roman"/>
          <w:sz w:val="24"/>
          <w:szCs w:val="24"/>
        </w:rPr>
        <w:t>However, as discussed in Lally (ibid), doing so would establish a very undesirable precedent</w:t>
      </w:r>
      <w:r w:rsidR="00956741">
        <w:rPr>
          <w:rFonts w:ascii="Times New Roman" w:hAnsi="Times New Roman" w:cs="Times New Roman"/>
          <w:sz w:val="24"/>
          <w:szCs w:val="24"/>
        </w:rPr>
        <w:t xml:space="preserve">, the </w:t>
      </w:r>
      <w:r w:rsidR="00874700">
        <w:rPr>
          <w:rFonts w:ascii="Times New Roman" w:hAnsi="Times New Roman" w:cs="Times New Roman"/>
          <w:sz w:val="24"/>
          <w:szCs w:val="24"/>
        </w:rPr>
        <w:t xml:space="preserve">optimal transitional regime for each possible regulatory cycle is not obvious </w:t>
      </w:r>
      <w:r w:rsidR="00956741">
        <w:rPr>
          <w:rFonts w:ascii="Times New Roman" w:hAnsi="Times New Roman" w:cs="Times New Roman"/>
          <w:sz w:val="24"/>
          <w:szCs w:val="24"/>
        </w:rPr>
        <w:t>(</w:t>
      </w:r>
      <w:r w:rsidR="00874700">
        <w:rPr>
          <w:rFonts w:ascii="Times New Roman" w:hAnsi="Times New Roman" w:cs="Times New Roman"/>
          <w:sz w:val="24"/>
          <w:szCs w:val="24"/>
        </w:rPr>
        <w:t>and therefore considerable debate would be provoked once the principle of uniform treatment was abandoned</w:t>
      </w:r>
      <w:r w:rsidR="00956741">
        <w:rPr>
          <w:rFonts w:ascii="Times New Roman" w:hAnsi="Times New Roman" w:cs="Times New Roman"/>
          <w:sz w:val="24"/>
          <w:szCs w:val="24"/>
        </w:rPr>
        <w:t xml:space="preserve">), and </w:t>
      </w:r>
      <w:r w:rsidR="00874700" w:rsidRPr="008F60A3">
        <w:rPr>
          <w:rFonts w:ascii="Times New Roman" w:hAnsi="Times New Roman" w:cs="Times New Roman"/>
          <w:sz w:val="24"/>
          <w:szCs w:val="24"/>
        </w:rPr>
        <w:t xml:space="preserve">the corporate groups to which regulated businesses belong are typically involved in a range of different regulated activities with different cycle commencement dates </w:t>
      </w:r>
      <w:r w:rsidR="00956741">
        <w:rPr>
          <w:rFonts w:ascii="Times New Roman" w:hAnsi="Times New Roman" w:cs="Times New Roman"/>
          <w:sz w:val="24"/>
          <w:szCs w:val="24"/>
        </w:rPr>
        <w:t xml:space="preserve">(which would </w:t>
      </w:r>
      <w:r w:rsidR="00874700" w:rsidRPr="008F60A3">
        <w:rPr>
          <w:rFonts w:ascii="Times New Roman" w:hAnsi="Times New Roman" w:cs="Times New Roman"/>
          <w:sz w:val="24"/>
          <w:szCs w:val="24"/>
        </w:rPr>
        <w:t>push businesses towards the typical</w:t>
      </w:r>
      <w:r w:rsidR="00FD78CE">
        <w:rPr>
          <w:rFonts w:ascii="Times New Roman" w:hAnsi="Times New Roman" w:cs="Times New Roman"/>
          <w:sz w:val="24"/>
          <w:szCs w:val="24"/>
        </w:rPr>
        <w:t xml:space="preserve"> </w:t>
      </w:r>
      <w:r w:rsidR="00FD78CE" w:rsidRPr="00FF40CD">
        <w:rPr>
          <w:rFonts w:ascii="Times New Roman" w:hAnsi="Times New Roman" w:cs="Times New Roman"/>
          <w:sz w:val="24"/>
          <w:szCs w:val="24"/>
        </w:rPr>
        <w:t>over-recovery</w:t>
      </w:r>
      <w:r w:rsidR="00874700" w:rsidRPr="008F60A3">
        <w:rPr>
          <w:rFonts w:ascii="Times New Roman" w:hAnsi="Times New Roman" w:cs="Times New Roman"/>
          <w:sz w:val="24"/>
          <w:szCs w:val="24"/>
        </w:rPr>
        <w:t xml:space="preserve"> outcome of about 1.3% of debt value, </w:t>
      </w:r>
      <w:r w:rsidR="00956741">
        <w:rPr>
          <w:rFonts w:ascii="Times New Roman" w:hAnsi="Times New Roman" w:cs="Times New Roman"/>
          <w:sz w:val="24"/>
          <w:szCs w:val="24"/>
        </w:rPr>
        <w:t xml:space="preserve">and </w:t>
      </w:r>
      <w:r w:rsidR="00874700" w:rsidRPr="008F60A3">
        <w:rPr>
          <w:rFonts w:ascii="Times New Roman" w:hAnsi="Times New Roman" w:cs="Times New Roman"/>
          <w:sz w:val="24"/>
          <w:szCs w:val="24"/>
        </w:rPr>
        <w:t>therefore undercut the merit from differential treatment across individual businesses</w:t>
      </w:r>
      <w:r w:rsidR="00540162">
        <w:rPr>
          <w:rFonts w:ascii="Times New Roman" w:hAnsi="Times New Roman" w:cs="Times New Roman"/>
          <w:sz w:val="24"/>
          <w:szCs w:val="24"/>
        </w:rPr>
        <w:t>)</w:t>
      </w:r>
      <w:r w:rsidR="00874700" w:rsidRPr="008F60A3">
        <w:rPr>
          <w:rFonts w:ascii="Times New Roman" w:hAnsi="Times New Roman" w:cs="Times New Roman"/>
          <w:sz w:val="24"/>
          <w:szCs w:val="24"/>
        </w:rPr>
        <w:t>.</w:t>
      </w:r>
      <w:r w:rsidR="00874700">
        <w:rPr>
          <w:rFonts w:ascii="Times New Roman" w:hAnsi="Times New Roman" w:cs="Times New Roman"/>
          <w:sz w:val="24"/>
          <w:szCs w:val="24"/>
        </w:rPr>
        <w:t xml:space="preserve">  In view of these points, I do not favour differential treatment of </w:t>
      </w:r>
      <w:r w:rsidR="00540162">
        <w:rPr>
          <w:rFonts w:ascii="Times New Roman" w:hAnsi="Times New Roman" w:cs="Times New Roman"/>
          <w:sz w:val="24"/>
          <w:szCs w:val="24"/>
        </w:rPr>
        <w:t xml:space="preserve">businesses </w:t>
      </w:r>
      <w:r w:rsidR="00874700">
        <w:rPr>
          <w:rFonts w:ascii="Times New Roman" w:hAnsi="Times New Roman" w:cs="Times New Roman"/>
          <w:sz w:val="24"/>
          <w:szCs w:val="24"/>
        </w:rPr>
        <w:t>according to the ti</w:t>
      </w:r>
      <w:r w:rsidR="00540162">
        <w:rPr>
          <w:rFonts w:ascii="Times New Roman" w:hAnsi="Times New Roman" w:cs="Times New Roman"/>
          <w:sz w:val="24"/>
          <w:szCs w:val="24"/>
        </w:rPr>
        <w:t xml:space="preserve">ming of their regulatory cycles.  Thus, I support the AER’s view that </w:t>
      </w:r>
      <w:r w:rsidR="00567AC5">
        <w:rPr>
          <w:rFonts w:ascii="Times New Roman" w:hAnsi="Times New Roman" w:cs="Times New Roman"/>
          <w:sz w:val="24"/>
          <w:szCs w:val="24"/>
        </w:rPr>
        <w:t xml:space="preserve">the </w:t>
      </w:r>
      <w:r w:rsidR="00540162">
        <w:rPr>
          <w:rFonts w:ascii="Times New Roman" w:hAnsi="Times New Roman" w:cs="Times New Roman"/>
          <w:sz w:val="24"/>
          <w:szCs w:val="24"/>
        </w:rPr>
        <w:t>same transitional regime should be applied to all regulated businesses but not for</w:t>
      </w:r>
      <w:r w:rsidR="00646798">
        <w:rPr>
          <w:rFonts w:ascii="Times New Roman" w:hAnsi="Times New Roman" w:cs="Times New Roman"/>
          <w:sz w:val="24"/>
          <w:szCs w:val="24"/>
        </w:rPr>
        <w:t xml:space="preserve"> the reason favoured by the AER.</w:t>
      </w:r>
    </w:p>
    <w:p w:rsidR="00646798" w:rsidRDefault="00646798" w:rsidP="00122250">
      <w:pPr>
        <w:pStyle w:val="ListParagraph"/>
        <w:spacing w:after="0" w:line="360" w:lineRule="auto"/>
        <w:ind w:left="0"/>
        <w:jc w:val="both"/>
        <w:rPr>
          <w:rFonts w:ascii="Times New Roman" w:hAnsi="Times New Roman" w:cs="Times New Roman"/>
          <w:sz w:val="24"/>
          <w:szCs w:val="24"/>
        </w:rPr>
      </w:pPr>
    </w:p>
    <w:p w:rsidR="00646798" w:rsidRPr="00707CFF" w:rsidRDefault="002A4B60" w:rsidP="0012225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In summary, the AER presents a number of arguments in support of its proposed transitional regime.  I agree with </w:t>
      </w:r>
      <w:r w:rsidR="00213FF4">
        <w:rPr>
          <w:rFonts w:ascii="Times New Roman" w:hAnsi="Times New Roman" w:cs="Times New Roman"/>
          <w:sz w:val="24"/>
          <w:szCs w:val="24"/>
        </w:rPr>
        <w:t xml:space="preserve">three </w:t>
      </w:r>
      <w:r>
        <w:rPr>
          <w:rFonts w:ascii="Times New Roman" w:hAnsi="Times New Roman" w:cs="Times New Roman"/>
          <w:sz w:val="24"/>
          <w:szCs w:val="24"/>
        </w:rPr>
        <w:t xml:space="preserve">of these arguments.  Firstly, in respect of the base rate component of the cost of debt, </w:t>
      </w:r>
      <w:r w:rsidR="00CF07DD">
        <w:rPr>
          <w:rFonts w:ascii="Times New Roman" w:hAnsi="Times New Roman" w:cs="Times New Roman"/>
          <w:sz w:val="24"/>
          <w:szCs w:val="24"/>
        </w:rPr>
        <w:t xml:space="preserve">the AER’s proposed transitional regime will minimize potential mismatches between the allowed and incurred rates of the BEE over the transitional period.  </w:t>
      </w:r>
      <w:r>
        <w:rPr>
          <w:rFonts w:ascii="Times New Roman" w:hAnsi="Times New Roman" w:cs="Times New Roman"/>
          <w:sz w:val="24"/>
          <w:szCs w:val="24"/>
        </w:rPr>
        <w:t xml:space="preserve">Secondly, in respect of the DRP component of the cost of debt, </w:t>
      </w:r>
      <w:r w:rsidR="00CF07DD">
        <w:rPr>
          <w:rFonts w:ascii="Times New Roman" w:hAnsi="Times New Roman" w:cs="Times New Roman"/>
          <w:sz w:val="24"/>
          <w:szCs w:val="24"/>
        </w:rPr>
        <w:t xml:space="preserve">the AER’s proposed transitional regime avoids potential windfall gains or losses to service providers and customers.  </w:t>
      </w:r>
      <w:r w:rsidR="00213FF4" w:rsidRPr="00707CFF">
        <w:rPr>
          <w:rFonts w:ascii="Times New Roman" w:hAnsi="Times New Roman" w:cs="Times New Roman"/>
          <w:sz w:val="24"/>
          <w:szCs w:val="24"/>
        </w:rPr>
        <w:t xml:space="preserve">Thirdly, and again in relation to </w:t>
      </w:r>
      <w:r w:rsidR="003B25FB" w:rsidRPr="00707CFF">
        <w:rPr>
          <w:rFonts w:ascii="Times New Roman" w:hAnsi="Times New Roman" w:cs="Times New Roman"/>
          <w:sz w:val="24"/>
          <w:szCs w:val="24"/>
        </w:rPr>
        <w:t xml:space="preserve">the </w:t>
      </w:r>
      <w:r w:rsidR="0053649A" w:rsidRPr="00707CFF">
        <w:rPr>
          <w:rFonts w:ascii="Times New Roman" w:hAnsi="Times New Roman" w:cs="Times New Roman"/>
          <w:sz w:val="24"/>
          <w:szCs w:val="24"/>
        </w:rPr>
        <w:t xml:space="preserve">DRP </w:t>
      </w:r>
      <w:r w:rsidR="003B25FB" w:rsidRPr="00707CFF">
        <w:rPr>
          <w:rFonts w:ascii="Times New Roman" w:hAnsi="Times New Roman" w:cs="Times New Roman"/>
          <w:sz w:val="24"/>
          <w:szCs w:val="24"/>
        </w:rPr>
        <w:t>component of the cost of debt, the AER’s proposed transitional regime avoids the use of historical DRP data and this is desirable because the data is contentious</w:t>
      </w:r>
      <w:r w:rsidR="00CF07DD" w:rsidRPr="00707CFF">
        <w:rPr>
          <w:rFonts w:ascii="Times New Roman" w:hAnsi="Times New Roman" w:cs="Times New Roman"/>
          <w:sz w:val="24"/>
          <w:szCs w:val="24"/>
        </w:rPr>
        <w:t>.  In respect of the first two arguments, both are deducible from a much more general principle: any significant one-off effects from regime changes should be neutralized, the effect here is significant, and the AER’s proposed transitional regime does so.</w:t>
      </w:r>
    </w:p>
    <w:p w:rsidR="00E3350A" w:rsidRDefault="00E3350A" w:rsidP="00122250">
      <w:pPr>
        <w:pStyle w:val="ListParagraph"/>
        <w:spacing w:after="0" w:line="360" w:lineRule="auto"/>
        <w:ind w:left="0"/>
        <w:jc w:val="both"/>
        <w:rPr>
          <w:rFonts w:ascii="Times New Roman" w:hAnsi="Times New Roman" w:cs="Times New Roman"/>
          <w:sz w:val="24"/>
          <w:szCs w:val="24"/>
        </w:rPr>
      </w:pPr>
    </w:p>
    <w:p w:rsidR="000F255B" w:rsidRPr="000F255B" w:rsidRDefault="000F255B" w:rsidP="000F255B">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The Impact of the Proposed Transitional Arrangements</w:t>
      </w:r>
    </w:p>
    <w:p w:rsidR="000F255B" w:rsidRDefault="000F255B" w:rsidP="00A36FC4">
      <w:pPr>
        <w:pStyle w:val="ListParagraph"/>
        <w:spacing w:after="0" w:line="360" w:lineRule="auto"/>
        <w:ind w:left="0"/>
        <w:jc w:val="both"/>
        <w:rPr>
          <w:rFonts w:ascii="Times New Roman" w:hAnsi="Times New Roman" w:cs="Times New Roman"/>
          <w:sz w:val="24"/>
          <w:szCs w:val="24"/>
        </w:rPr>
      </w:pPr>
    </w:p>
    <w:p w:rsidR="00A36FC4" w:rsidRDefault="000F255B" w:rsidP="00A36F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w:t>
      </w:r>
      <w:r w:rsidR="00A36FC4" w:rsidRPr="00A36FC4">
        <w:rPr>
          <w:rFonts w:ascii="Times New Roman" w:eastAsia="Times New Roman" w:hAnsi="Times New Roman" w:cs="Times New Roman"/>
          <w:snapToGrid w:val="0"/>
          <w:color w:val="000000"/>
          <w:sz w:val="24"/>
          <w:szCs w:val="24"/>
          <w:lang w:val="en-AU"/>
        </w:rPr>
        <w:t xml:space="preserve"> </w:t>
      </w:r>
      <w:r w:rsidR="00D5579B">
        <w:rPr>
          <w:rFonts w:ascii="Times New Roman" w:eastAsia="Times New Roman" w:hAnsi="Times New Roman" w:cs="Times New Roman"/>
          <w:snapToGrid w:val="0"/>
          <w:color w:val="000000"/>
          <w:sz w:val="24"/>
          <w:szCs w:val="24"/>
          <w:lang w:val="en-AU"/>
        </w:rPr>
        <w:t xml:space="preserve">AER argues that, in </w:t>
      </w:r>
      <w:r w:rsidR="00A36FC4">
        <w:rPr>
          <w:rFonts w:ascii="Times New Roman" w:eastAsia="Times New Roman" w:hAnsi="Times New Roman" w:cs="Times New Roman"/>
          <w:snapToGrid w:val="0"/>
          <w:color w:val="000000"/>
          <w:sz w:val="24"/>
          <w:szCs w:val="24"/>
          <w:lang w:val="en-AU"/>
        </w:rPr>
        <w:t xml:space="preserve">relation to existing debt, the impact on the </w:t>
      </w:r>
      <w:r w:rsidR="006B7E5B">
        <w:rPr>
          <w:rFonts w:ascii="Times New Roman" w:eastAsia="Times New Roman" w:hAnsi="Times New Roman" w:cs="Times New Roman"/>
          <w:snapToGrid w:val="0"/>
          <w:color w:val="000000"/>
          <w:sz w:val="24"/>
          <w:szCs w:val="24"/>
          <w:lang w:val="en-AU"/>
        </w:rPr>
        <w:t xml:space="preserve">BEE </w:t>
      </w:r>
      <w:r w:rsidR="00A36FC4">
        <w:rPr>
          <w:rFonts w:ascii="Times New Roman" w:eastAsia="Times New Roman" w:hAnsi="Times New Roman" w:cs="Times New Roman"/>
          <w:snapToGrid w:val="0"/>
          <w:color w:val="000000"/>
          <w:sz w:val="24"/>
          <w:szCs w:val="24"/>
          <w:lang w:val="en-AU"/>
        </w:rPr>
        <w:t xml:space="preserve">from </w:t>
      </w:r>
      <w:r w:rsidR="00D5579B">
        <w:rPr>
          <w:rFonts w:ascii="Times New Roman" w:eastAsia="Times New Roman" w:hAnsi="Times New Roman" w:cs="Times New Roman"/>
          <w:snapToGrid w:val="0"/>
          <w:color w:val="000000"/>
          <w:sz w:val="24"/>
          <w:szCs w:val="24"/>
          <w:lang w:val="en-AU"/>
        </w:rPr>
        <w:t xml:space="preserve">its proposed </w:t>
      </w:r>
      <w:r w:rsidR="00A36FC4">
        <w:rPr>
          <w:rFonts w:ascii="Times New Roman" w:eastAsia="Times New Roman" w:hAnsi="Times New Roman" w:cs="Times New Roman"/>
          <w:snapToGrid w:val="0"/>
          <w:color w:val="000000"/>
          <w:sz w:val="24"/>
          <w:szCs w:val="24"/>
          <w:lang w:val="en-AU"/>
        </w:rPr>
        <w:t xml:space="preserve">transitional arrangements is not, in principle, different to the impact on the </w:t>
      </w:r>
      <w:r w:rsidR="00495C54">
        <w:rPr>
          <w:rFonts w:ascii="Times New Roman" w:eastAsia="Times New Roman" w:hAnsi="Times New Roman" w:cs="Times New Roman"/>
          <w:snapToGrid w:val="0"/>
          <w:color w:val="000000"/>
          <w:sz w:val="24"/>
          <w:szCs w:val="24"/>
          <w:lang w:val="en-AU"/>
        </w:rPr>
        <w:t xml:space="preserve">BEE if the </w:t>
      </w:r>
      <w:r w:rsidR="00A36FC4">
        <w:rPr>
          <w:rFonts w:ascii="Times New Roman" w:eastAsia="Times New Roman" w:hAnsi="Times New Roman" w:cs="Times New Roman"/>
          <w:snapToGrid w:val="0"/>
          <w:color w:val="000000"/>
          <w:sz w:val="24"/>
          <w:szCs w:val="24"/>
          <w:lang w:val="en-AU"/>
        </w:rPr>
        <w:t>AER had continued to</w:t>
      </w:r>
      <w:r w:rsidR="00E325A7">
        <w:rPr>
          <w:rFonts w:ascii="Times New Roman" w:eastAsia="Times New Roman" w:hAnsi="Times New Roman" w:cs="Times New Roman"/>
          <w:snapToGrid w:val="0"/>
          <w:color w:val="000000"/>
          <w:sz w:val="24"/>
          <w:szCs w:val="24"/>
          <w:lang w:val="en-AU"/>
        </w:rPr>
        <w:t xml:space="preserve"> adopt the on-the-day approach.  In respect of the base rate component of the cost of debt, continued adoption of the on-the-day approach would have </w:t>
      </w:r>
      <w:r w:rsidR="001D247D">
        <w:rPr>
          <w:rFonts w:ascii="Times New Roman" w:eastAsia="Times New Roman" w:hAnsi="Times New Roman" w:cs="Times New Roman"/>
          <w:snapToGrid w:val="0"/>
          <w:color w:val="000000"/>
          <w:sz w:val="24"/>
          <w:szCs w:val="24"/>
          <w:lang w:val="en-AU"/>
        </w:rPr>
        <w:t xml:space="preserve">led </w:t>
      </w:r>
      <w:r w:rsidR="00E325A7">
        <w:rPr>
          <w:rFonts w:ascii="Times New Roman" w:eastAsia="Times New Roman" w:hAnsi="Times New Roman" w:cs="Times New Roman"/>
          <w:snapToGrid w:val="0"/>
          <w:color w:val="000000"/>
          <w:sz w:val="24"/>
          <w:szCs w:val="24"/>
          <w:lang w:val="en-AU"/>
        </w:rPr>
        <w:t xml:space="preserve">to rate resetting every five years in accordance with the prevailing rate whilst the BEE would have experienced similar costs due to its use of interest rate swap contracts.  Thus, the net impact on the BEE would have been zero.  By contrast, </w:t>
      </w:r>
      <w:r w:rsidR="00C545C1">
        <w:rPr>
          <w:rFonts w:ascii="Times New Roman" w:eastAsia="Times New Roman" w:hAnsi="Times New Roman" w:cs="Times New Roman"/>
          <w:snapToGrid w:val="0"/>
          <w:color w:val="000000"/>
          <w:sz w:val="24"/>
          <w:szCs w:val="24"/>
          <w:lang w:val="en-AU"/>
        </w:rPr>
        <w:t xml:space="preserve">as discussed in </w:t>
      </w:r>
      <w:r w:rsidR="004F1913">
        <w:rPr>
          <w:rFonts w:ascii="Times New Roman" w:eastAsia="Times New Roman" w:hAnsi="Times New Roman" w:cs="Times New Roman"/>
          <w:snapToGrid w:val="0"/>
          <w:color w:val="000000"/>
          <w:sz w:val="24"/>
          <w:szCs w:val="24"/>
          <w:lang w:val="en-AU"/>
        </w:rPr>
        <w:t xml:space="preserve">Lally (2014a, section 2.1), </w:t>
      </w:r>
      <w:r w:rsidR="00ED2543">
        <w:rPr>
          <w:rFonts w:ascii="Times New Roman" w:eastAsia="Times New Roman" w:hAnsi="Times New Roman" w:cs="Times New Roman"/>
          <w:snapToGrid w:val="0"/>
          <w:color w:val="000000"/>
          <w:sz w:val="24"/>
          <w:szCs w:val="24"/>
          <w:lang w:val="en-AU"/>
        </w:rPr>
        <w:t xml:space="preserve">if regulated business do not engage in further swap contracts over the transitional period, the </w:t>
      </w:r>
      <w:r w:rsidR="00A63276">
        <w:rPr>
          <w:rFonts w:ascii="Times New Roman" w:eastAsia="Times New Roman" w:hAnsi="Times New Roman" w:cs="Times New Roman"/>
          <w:snapToGrid w:val="0"/>
          <w:color w:val="000000"/>
          <w:sz w:val="24"/>
          <w:szCs w:val="24"/>
          <w:lang w:val="en-AU"/>
        </w:rPr>
        <w:t xml:space="preserve">AER’s proposed transitional regime would lead to something between </w:t>
      </w:r>
      <w:r w:rsidR="00C545C1">
        <w:rPr>
          <w:rFonts w:ascii="Times New Roman" w:eastAsia="Times New Roman" w:hAnsi="Times New Roman" w:cs="Times New Roman"/>
          <w:snapToGrid w:val="0"/>
          <w:color w:val="000000"/>
          <w:sz w:val="24"/>
          <w:szCs w:val="24"/>
          <w:lang w:val="en-AU"/>
        </w:rPr>
        <w:t>under compensation</w:t>
      </w:r>
      <w:r w:rsidR="00ED2543">
        <w:rPr>
          <w:rFonts w:ascii="Times New Roman" w:eastAsia="Times New Roman" w:hAnsi="Times New Roman" w:cs="Times New Roman"/>
          <w:snapToGrid w:val="0"/>
          <w:color w:val="000000"/>
          <w:sz w:val="24"/>
          <w:szCs w:val="24"/>
          <w:lang w:val="en-AU"/>
        </w:rPr>
        <w:t xml:space="preserve"> of 0.4% per year and </w:t>
      </w:r>
      <w:r w:rsidR="00ED2543">
        <w:rPr>
          <w:rFonts w:ascii="Times New Roman" w:hAnsi="Times New Roman" w:cs="Times New Roman"/>
          <w:sz w:val="24"/>
          <w:szCs w:val="24"/>
        </w:rPr>
        <w:t>over compensation of up to 0.6% per year (on average), depending upon the path for interest rates over the transitional period.  Alternatively, if firms entered into new swaps (of which the best option would be to convert each of their existing floating rate obligations into a fixed rate obligation over its remaining life), the result of the AER’s transitional arrangements would be over compensation averaging 0.23% per year over the transitional period</w:t>
      </w:r>
      <w:r w:rsidR="004F1913">
        <w:rPr>
          <w:rFonts w:ascii="Times New Roman" w:hAnsi="Times New Roman" w:cs="Times New Roman"/>
          <w:sz w:val="24"/>
          <w:szCs w:val="24"/>
        </w:rPr>
        <w:t xml:space="preserve"> (Lally, 2014a, section 2.1)</w:t>
      </w:r>
      <w:r w:rsidR="00ED2543">
        <w:rPr>
          <w:rFonts w:ascii="Times New Roman" w:hAnsi="Times New Roman" w:cs="Times New Roman"/>
          <w:sz w:val="24"/>
          <w:szCs w:val="24"/>
        </w:rPr>
        <w:t>.  These possible outcomes are sufficiently close to zero to say that the net impact on the BEE would be approximately zero.  Thus, in relation to the base rate component of the cost of debt</w:t>
      </w:r>
      <w:r w:rsidR="00D7250C">
        <w:rPr>
          <w:rFonts w:ascii="Times New Roman" w:hAnsi="Times New Roman" w:cs="Times New Roman"/>
          <w:sz w:val="24"/>
          <w:szCs w:val="24"/>
        </w:rPr>
        <w:t>, the BEE experiences a net impact over the transitional period that is very similar to that which would have been experienced had there not been a regime change.</w:t>
      </w:r>
    </w:p>
    <w:p w:rsidR="00D7250C" w:rsidRDefault="00D7250C" w:rsidP="00A36FC4">
      <w:pPr>
        <w:spacing w:after="0" w:line="360" w:lineRule="auto"/>
        <w:jc w:val="both"/>
        <w:rPr>
          <w:rFonts w:ascii="Times New Roman" w:hAnsi="Times New Roman" w:cs="Times New Roman"/>
          <w:sz w:val="24"/>
          <w:szCs w:val="24"/>
        </w:rPr>
      </w:pPr>
    </w:p>
    <w:p w:rsidR="00D7250C" w:rsidRDefault="00D7250C" w:rsidP="00A36F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relation to the DRP component of the cost of debt, continued adoption of the on-the-day regime would have </w:t>
      </w:r>
      <w:r w:rsidR="00B56D31">
        <w:rPr>
          <w:rFonts w:ascii="Times New Roman" w:hAnsi="Times New Roman" w:cs="Times New Roman"/>
          <w:sz w:val="24"/>
          <w:szCs w:val="24"/>
        </w:rPr>
        <w:t xml:space="preserve">led to net results (allowed rates less incurred DRPs) </w:t>
      </w:r>
      <w:r w:rsidR="001D247D">
        <w:rPr>
          <w:rFonts w:ascii="Times New Roman" w:hAnsi="Times New Roman" w:cs="Times New Roman"/>
          <w:sz w:val="24"/>
          <w:szCs w:val="24"/>
        </w:rPr>
        <w:t>ranging from a gain of 4.5% to a loss o</w:t>
      </w:r>
      <w:r w:rsidR="00A108D1">
        <w:rPr>
          <w:rFonts w:ascii="Times New Roman" w:hAnsi="Times New Roman" w:cs="Times New Roman"/>
          <w:sz w:val="24"/>
          <w:szCs w:val="24"/>
        </w:rPr>
        <w:t xml:space="preserve">f 1.5% (in present value terms), depending upon the year in which the regulatory cycle ends, </w:t>
      </w:r>
      <w:r w:rsidR="001D247D">
        <w:rPr>
          <w:rFonts w:ascii="Times New Roman" w:hAnsi="Times New Roman" w:cs="Times New Roman"/>
          <w:sz w:val="24"/>
          <w:szCs w:val="24"/>
        </w:rPr>
        <w:t>as a result of the GFC (see Lally, 2014</w:t>
      </w:r>
      <w:r w:rsidR="004F1913">
        <w:rPr>
          <w:rFonts w:ascii="Times New Roman" w:hAnsi="Times New Roman" w:cs="Times New Roman"/>
          <w:sz w:val="24"/>
          <w:szCs w:val="24"/>
        </w:rPr>
        <w:t>a</w:t>
      </w:r>
      <w:r w:rsidR="001D247D">
        <w:rPr>
          <w:rFonts w:ascii="Times New Roman" w:hAnsi="Times New Roman" w:cs="Times New Roman"/>
          <w:sz w:val="24"/>
          <w:szCs w:val="24"/>
        </w:rPr>
        <w:t>, Table 4).</w:t>
      </w:r>
      <w:r w:rsidR="00A108D1">
        <w:rPr>
          <w:rFonts w:ascii="Times New Roman" w:hAnsi="Times New Roman" w:cs="Times New Roman"/>
          <w:sz w:val="24"/>
          <w:szCs w:val="24"/>
        </w:rPr>
        <w:t xml:space="preserve">  The average was 1.3%.  Immediate adoption of the new regime would have raised results in all cases, with a range from 0.9% to 6.6% and an average of 3.4%.  By contrast, the AER’s proposed transitional regime</w:t>
      </w:r>
      <w:r w:rsidR="00B56D31">
        <w:rPr>
          <w:rFonts w:ascii="Times New Roman" w:hAnsi="Times New Roman" w:cs="Times New Roman"/>
          <w:sz w:val="24"/>
          <w:szCs w:val="24"/>
        </w:rPr>
        <w:t xml:space="preserve"> would yield net results that are almost identical to those from continued adoption of the o</w:t>
      </w:r>
      <w:r w:rsidR="00D651B2">
        <w:rPr>
          <w:rFonts w:ascii="Times New Roman" w:hAnsi="Times New Roman" w:cs="Times New Roman"/>
          <w:sz w:val="24"/>
          <w:szCs w:val="24"/>
        </w:rPr>
        <w:t>n-the-day regime.  Thus, in relation to the DRP component of the cost of debt, the BEE experiences a net impact over the transitional period that is very similar to that which would have been experienced had there not been a regime change.</w:t>
      </w:r>
    </w:p>
    <w:p w:rsidR="00D651B2" w:rsidRDefault="00D651B2" w:rsidP="00A36FC4">
      <w:pPr>
        <w:spacing w:after="0" w:line="360" w:lineRule="auto"/>
        <w:jc w:val="both"/>
        <w:rPr>
          <w:rFonts w:ascii="Times New Roman" w:hAnsi="Times New Roman" w:cs="Times New Roman"/>
          <w:sz w:val="24"/>
          <w:szCs w:val="24"/>
        </w:rPr>
      </w:pPr>
    </w:p>
    <w:p w:rsidR="00D651B2" w:rsidRDefault="007341DB" w:rsidP="00A36FC4">
      <w:pPr>
        <w:spacing w:after="0" w:line="360" w:lineRule="auto"/>
        <w:jc w:val="both"/>
        <w:rPr>
          <w:rFonts w:ascii="Times New Roman" w:eastAsia="Times New Roman" w:hAnsi="Times New Roman" w:cs="Times New Roman"/>
          <w:snapToGrid w:val="0"/>
          <w:color w:val="000000"/>
          <w:sz w:val="24"/>
          <w:szCs w:val="24"/>
          <w:lang w:val="en-AU"/>
        </w:rPr>
      </w:pPr>
      <w:r>
        <w:rPr>
          <w:rFonts w:ascii="Times New Roman" w:hAnsi="Times New Roman" w:cs="Times New Roman"/>
          <w:sz w:val="24"/>
          <w:szCs w:val="24"/>
        </w:rPr>
        <w:t xml:space="preserve">In summary, in respect of existing debt, the impact on the BEE of the AER’s proposed transitional arrangements is </w:t>
      </w:r>
      <w:r w:rsidR="00133AD0">
        <w:rPr>
          <w:rFonts w:ascii="Times New Roman" w:hAnsi="Times New Roman" w:cs="Times New Roman"/>
          <w:sz w:val="24"/>
          <w:szCs w:val="24"/>
        </w:rPr>
        <w:t>very similar to that which would have occurred had the AER continued to employ the on-the-day regime.  Thus I agree with the AER on this point.</w:t>
      </w:r>
    </w:p>
    <w:p w:rsidR="000F255B" w:rsidRDefault="000F255B" w:rsidP="00A36FC4">
      <w:pPr>
        <w:pStyle w:val="ListParagraph"/>
        <w:spacing w:after="0" w:line="360" w:lineRule="auto"/>
        <w:ind w:left="0"/>
        <w:jc w:val="both"/>
        <w:rPr>
          <w:rFonts w:ascii="Times New Roman" w:hAnsi="Times New Roman" w:cs="Times New Roman"/>
          <w:sz w:val="24"/>
          <w:szCs w:val="24"/>
        </w:rPr>
      </w:pPr>
    </w:p>
    <w:p w:rsidR="00133AD0" w:rsidRPr="00133AD0" w:rsidRDefault="00EA4DC9" w:rsidP="00133AD0">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Efficient Financing Practices and Ownership</w:t>
      </w:r>
    </w:p>
    <w:p w:rsidR="00133AD0" w:rsidRDefault="00133AD0" w:rsidP="00A36FC4">
      <w:pPr>
        <w:pStyle w:val="ListParagraph"/>
        <w:spacing w:after="0" w:line="360" w:lineRule="auto"/>
        <w:ind w:left="0"/>
        <w:jc w:val="both"/>
        <w:rPr>
          <w:rFonts w:ascii="Times New Roman" w:hAnsi="Times New Roman" w:cs="Times New Roman"/>
          <w:sz w:val="24"/>
          <w:szCs w:val="24"/>
        </w:rPr>
      </w:pPr>
    </w:p>
    <w:p w:rsidR="00EA4DC9" w:rsidRDefault="00EA4DC9" w:rsidP="00A36FC4">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AER (2014, </w:t>
      </w:r>
      <w:r w:rsidR="007948A5">
        <w:rPr>
          <w:rFonts w:ascii="Times New Roman" w:hAnsi="Times New Roman" w:cs="Times New Roman"/>
          <w:sz w:val="24"/>
          <w:szCs w:val="24"/>
        </w:rPr>
        <w:t>pp. 290-292</w:t>
      </w:r>
      <w:r>
        <w:rPr>
          <w:rFonts w:ascii="Times New Roman" w:hAnsi="Times New Roman" w:cs="Times New Roman"/>
          <w:sz w:val="24"/>
          <w:szCs w:val="24"/>
        </w:rPr>
        <w:t xml:space="preserve">) has argued that the </w:t>
      </w:r>
      <w:r w:rsidR="00F92E48">
        <w:rPr>
          <w:rFonts w:ascii="Times New Roman" w:hAnsi="Times New Roman" w:cs="Times New Roman"/>
          <w:sz w:val="24"/>
          <w:szCs w:val="24"/>
        </w:rPr>
        <w:t xml:space="preserve">efficient financing practices of </w:t>
      </w:r>
      <w:r w:rsidR="00702518">
        <w:rPr>
          <w:rFonts w:ascii="Times New Roman" w:hAnsi="Times New Roman" w:cs="Times New Roman"/>
          <w:sz w:val="24"/>
          <w:szCs w:val="24"/>
        </w:rPr>
        <w:t>the BEE (</w:t>
      </w:r>
      <w:r w:rsidR="00F92E48">
        <w:rPr>
          <w:rFonts w:ascii="Times New Roman" w:hAnsi="Times New Roman" w:cs="Times New Roman"/>
          <w:sz w:val="24"/>
          <w:szCs w:val="24"/>
        </w:rPr>
        <w:t>privately-owned energy networks</w:t>
      </w:r>
      <w:r w:rsidR="00702518">
        <w:rPr>
          <w:rFonts w:ascii="Times New Roman" w:hAnsi="Times New Roman" w:cs="Times New Roman"/>
          <w:sz w:val="24"/>
          <w:szCs w:val="24"/>
        </w:rPr>
        <w:t>)</w:t>
      </w:r>
      <w:r w:rsidR="00F92E48">
        <w:rPr>
          <w:rFonts w:ascii="Times New Roman" w:hAnsi="Times New Roman" w:cs="Times New Roman"/>
          <w:sz w:val="24"/>
          <w:szCs w:val="24"/>
        </w:rPr>
        <w:t xml:space="preserve"> may differ from that of government-owned networks.</w:t>
      </w:r>
      <w:r w:rsidR="00372CC9">
        <w:rPr>
          <w:rFonts w:ascii="Times New Roman" w:hAnsi="Times New Roman" w:cs="Times New Roman"/>
          <w:sz w:val="24"/>
          <w:szCs w:val="24"/>
        </w:rPr>
        <w:t xml:space="preserve">  The reasons given are </w:t>
      </w:r>
      <w:r w:rsidR="00700558">
        <w:rPr>
          <w:rFonts w:ascii="Times New Roman" w:hAnsi="Times New Roman" w:cs="Times New Roman"/>
          <w:sz w:val="24"/>
          <w:szCs w:val="24"/>
        </w:rPr>
        <w:t xml:space="preserve">fivefold.  Firstly, </w:t>
      </w:r>
      <w:r w:rsidR="00372CC9">
        <w:rPr>
          <w:rFonts w:ascii="Times New Roman" w:hAnsi="Times New Roman" w:cs="Times New Roman"/>
          <w:sz w:val="24"/>
          <w:szCs w:val="24"/>
        </w:rPr>
        <w:t xml:space="preserve">borrowing </w:t>
      </w:r>
      <w:r w:rsidR="000A6736">
        <w:rPr>
          <w:rFonts w:ascii="Times New Roman" w:hAnsi="Times New Roman" w:cs="Times New Roman"/>
          <w:sz w:val="24"/>
          <w:szCs w:val="24"/>
        </w:rPr>
        <w:t>via another (government) entity</w:t>
      </w:r>
      <w:r w:rsidR="00372CC9">
        <w:rPr>
          <w:rFonts w:ascii="Times New Roman" w:hAnsi="Times New Roman" w:cs="Times New Roman"/>
          <w:sz w:val="24"/>
          <w:szCs w:val="24"/>
        </w:rPr>
        <w:t xml:space="preserve"> may shield the businesses from normal market signals</w:t>
      </w:r>
      <w:r w:rsidR="009509E7">
        <w:rPr>
          <w:rFonts w:ascii="Times New Roman" w:hAnsi="Times New Roman" w:cs="Times New Roman"/>
          <w:sz w:val="24"/>
          <w:szCs w:val="24"/>
        </w:rPr>
        <w:t>.</w:t>
      </w:r>
      <w:r w:rsidR="00372CC9">
        <w:rPr>
          <w:rFonts w:ascii="Times New Roman" w:hAnsi="Times New Roman" w:cs="Times New Roman"/>
          <w:sz w:val="24"/>
          <w:szCs w:val="24"/>
        </w:rPr>
        <w:t xml:space="preserve">  Secondly, these businesses may face low bankruptcy and</w:t>
      </w:r>
      <w:r w:rsidR="003969F6">
        <w:rPr>
          <w:rFonts w:ascii="Times New Roman" w:hAnsi="Times New Roman" w:cs="Times New Roman"/>
          <w:sz w:val="24"/>
          <w:szCs w:val="24"/>
        </w:rPr>
        <w:t xml:space="preserve"> refinancing risk</w:t>
      </w:r>
      <w:r w:rsidR="00DC739B">
        <w:rPr>
          <w:rFonts w:ascii="Times New Roman" w:hAnsi="Times New Roman" w:cs="Times New Roman"/>
          <w:sz w:val="24"/>
          <w:szCs w:val="24"/>
        </w:rPr>
        <w:t>, i.e., the inability to meet debt payments is more likely to result in support from shareholders or the government-owned intermediary through which debt finance is obtained (such as the QTC).</w:t>
      </w:r>
      <w:r w:rsidR="003969F6">
        <w:rPr>
          <w:rFonts w:ascii="Times New Roman" w:hAnsi="Times New Roman" w:cs="Times New Roman"/>
          <w:sz w:val="24"/>
          <w:szCs w:val="24"/>
        </w:rPr>
        <w:t xml:space="preserve">  Thirdly, these businesses may have been historically less aware of the full potential of the swaps market.  Fourthly, these businesses are each part of a much larger portfolio of assets held by their state government owners and decisions made may therefore reflect the natural hedges av</w:t>
      </w:r>
      <w:r w:rsidR="00CC4425">
        <w:rPr>
          <w:rFonts w:ascii="Times New Roman" w:hAnsi="Times New Roman" w:cs="Times New Roman"/>
          <w:sz w:val="24"/>
          <w:szCs w:val="24"/>
        </w:rPr>
        <w:t>ailable within these portfolios</w:t>
      </w:r>
      <w:r w:rsidR="00DC739B">
        <w:rPr>
          <w:rFonts w:ascii="Times New Roman" w:hAnsi="Times New Roman" w:cs="Times New Roman"/>
          <w:sz w:val="24"/>
          <w:szCs w:val="24"/>
        </w:rPr>
        <w:t>.  Thus, the risk reduction available from interest rate swap contracts may be less.</w:t>
      </w:r>
      <w:r w:rsidR="00CC4425">
        <w:rPr>
          <w:rFonts w:ascii="Times New Roman" w:hAnsi="Times New Roman" w:cs="Times New Roman"/>
          <w:sz w:val="24"/>
          <w:szCs w:val="24"/>
        </w:rPr>
        <w:t xml:space="preserve">  </w:t>
      </w:r>
      <w:r w:rsidR="009509E7">
        <w:rPr>
          <w:rFonts w:ascii="Times New Roman" w:hAnsi="Times New Roman" w:cs="Times New Roman"/>
          <w:sz w:val="24"/>
          <w:szCs w:val="24"/>
        </w:rPr>
        <w:t xml:space="preserve">However, since the BEE is by definition a pure-play regulated energy network business, such behavior cannot be relevant to it.  </w:t>
      </w:r>
      <w:r w:rsidR="00CC4425">
        <w:rPr>
          <w:rFonts w:ascii="Times New Roman" w:hAnsi="Times New Roman" w:cs="Times New Roman"/>
          <w:sz w:val="24"/>
          <w:szCs w:val="24"/>
        </w:rPr>
        <w:t xml:space="preserve">Fifthly, </w:t>
      </w:r>
      <w:r w:rsidR="00110AFA">
        <w:rPr>
          <w:rFonts w:ascii="Times New Roman" w:hAnsi="Times New Roman" w:cs="Times New Roman"/>
          <w:sz w:val="24"/>
          <w:szCs w:val="24"/>
        </w:rPr>
        <w:t>for these businesses, the supplier of debt capital is also the shareholder</w:t>
      </w:r>
      <w:r w:rsidR="009509E7">
        <w:rPr>
          <w:rFonts w:ascii="Times New Roman" w:hAnsi="Times New Roman" w:cs="Times New Roman"/>
          <w:sz w:val="24"/>
          <w:szCs w:val="24"/>
        </w:rPr>
        <w:t xml:space="preserve">, </w:t>
      </w:r>
      <w:r w:rsidR="00110AFA">
        <w:rPr>
          <w:rFonts w:ascii="Times New Roman" w:hAnsi="Times New Roman" w:cs="Times New Roman"/>
          <w:sz w:val="24"/>
          <w:szCs w:val="24"/>
        </w:rPr>
        <w:t xml:space="preserve">debt strategies that switch risk between these two parties are </w:t>
      </w:r>
      <w:r w:rsidR="009509E7">
        <w:rPr>
          <w:rFonts w:ascii="Times New Roman" w:hAnsi="Times New Roman" w:cs="Times New Roman"/>
          <w:sz w:val="24"/>
          <w:szCs w:val="24"/>
        </w:rPr>
        <w:t xml:space="preserve">therefore </w:t>
      </w:r>
      <w:r w:rsidR="00110AFA">
        <w:rPr>
          <w:rFonts w:ascii="Times New Roman" w:hAnsi="Times New Roman" w:cs="Times New Roman"/>
          <w:sz w:val="24"/>
          <w:szCs w:val="24"/>
        </w:rPr>
        <w:t>of no consequence, and this would change behavior relative to the BEE</w:t>
      </w:r>
      <w:r w:rsidR="00DC739B">
        <w:rPr>
          <w:rFonts w:ascii="Times New Roman" w:hAnsi="Times New Roman" w:cs="Times New Roman"/>
          <w:sz w:val="24"/>
          <w:szCs w:val="24"/>
        </w:rPr>
        <w:t>.</w:t>
      </w:r>
    </w:p>
    <w:p w:rsidR="00DC739B" w:rsidRDefault="00DC739B" w:rsidP="00A36FC4">
      <w:pPr>
        <w:pStyle w:val="ListParagraph"/>
        <w:spacing w:after="0" w:line="360" w:lineRule="auto"/>
        <w:ind w:left="0"/>
        <w:jc w:val="both"/>
        <w:rPr>
          <w:rFonts w:ascii="Times New Roman" w:hAnsi="Times New Roman" w:cs="Times New Roman"/>
          <w:sz w:val="24"/>
          <w:szCs w:val="24"/>
        </w:rPr>
      </w:pPr>
    </w:p>
    <w:p w:rsidR="00C51F52" w:rsidRPr="00707CFF" w:rsidRDefault="00DC739B" w:rsidP="00BE79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respect of the first four reasons, these appear in Lally (2014</w:t>
      </w:r>
      <w:r w:rsidR="004F1913">
        <w:rPr>
          <w:rFonts w:ascii="Times New Roman" w:hAnsi="Times New Roman" w:cs="Times New Roman"/>
          <w:sz w:val="24"/>
          <w:szCs w:val="24"/>
        </w:rPr>
        <w:t>a</w:t>
      </w:r>
      <w:r>
        <w:rPr>
          <w:rFonts w:ascii="Times New Roman" w:hAnsi="Times New Roman" w:cs="Times New Roman"/>
          <w:sz w:val="24"/>
          <w:szCs w:val="24"/>
        </w:rPr>
        <w:t>, pp. 28-29) and I therefore support them.</w:t>
      </w:r>
      <w:r w:rsidR="001C412B">
        <w:rPr>
          <w:rFonts w:ascii="Times New Roman" w:hAnsi="Times New Roman" w:cs="Times New Roman"/>
          <w:sz w:val="24"/>
          <w:szCs w:val="24"/>
        </w:rPr>
        <w:t xml:space="preserve">  </w:t>
      </w:r>
      <w:r w:rsidR="001C412B" w:rsidRPr="00707CFF">
        <w:rPr>
          <w:rFonts w:ascii="Times New Roman" w:hAnsi="Times New Roman" w:cs="Times New Roman"/>
          <w:sz w:val="24"/>
          <w:szCs w:val="24"/>
        </w:rPr>
        <w:t>Additional evidence on this matter comes from NSW Treasury (2014</w:t>
      </w:r>
      <w:r w:rsidR="001975ED" w:rsidRPr="00707CFF">
        <w:rPr>
          <w:rFonts w:ascii="Times New Roman" w:hAnsi="Times New Roman" w:cs="Times New Roman"/>
          <w:sz w:val="24"/>
          <w:szCs w:val="24"/>
        </w:rPr>
        <w:t>b</w:t>
      </w:r>
      <w:r w:rsidR="001C412B" w:rsidRPr="00707CFF">
        <w:rPr>
          <w:rFonts w:ascii="Times New Roman" w:hAnsi="Times New Roman" w:cs="Times New Roman"/>
          <w:sz w:val="24"/>
          <w:szCs w:val="24"/>
        </w:rPr>
        <w:t>, pp. 1-2), in which they refer to government businesses having very high levels of short-term debt (under 12 months) because the DRP charged by TCorp for such short-term debt was below that of longer-term debt.  Furthermore, NSW Treasury</w:t>
      </w:r>
      <w:r w:rsidR="00473418" w:rsidRPr="00707CFF">
        <w:rPr>
          <w:rFonts w:ascii="Times New Roman" w:hAnsi="Times New Roman" w:cs="Times New Roman"/>
          <w:sz w:val="24"/>
          <w:szCs w:val="24"/>
        </w:rPr>
        <w:t xml:space="preserve"> was so concerned at the refinancing risk resulting from this that it equalized the DRP rates in order to discourage the businesses from acting in this way.  All of this </w:t>
      </w:r>
      <w:r w:rsidR="00BE79FC" w:rsidRPr="00707CFF">
        <w:rPr>
          <w:rFonts w:ascii="Times New Roman" w:hAnsi="Times New Roman" w:cs="Times New Roman"/>
          <w:sz w:val="24"/>
          <w:szCs w:val="24"/>
        </w:rPr>
        <w:t xml:space="preserve">suggests that </w:t>
      </w:r>
      <w:r w:rsidR="003D62B0" w:rsidRPr="00707CFF">
        <w:rPr>
          <w:rFonts w:ascii="Times New Roman" w:hAnsi="Times New Roman" w:cs="Times New Roman"/>
          <w:sz w:val="24"/>
          <w:szCs w:val="24"/>
        </w:rPr>
        <w:t xml:space="preserve">NSW Treasury considered that the </w:t>
      </w:r>
      <w:r w:rsidR="00473418" w:rsidRPr="00707CFF">
        <w:rPr>
          <w:rFonts w:ascii="Times New Roman" w:hAnsi="Times New Roman" w:cs="Times New Roman"/>
          <w:sz w:val="24"/>
          <w:szCs w:val="24"/>
        </w:rPr>
        <w:t>government businesses were indifferent to refinancing risk</w:t>
      </w:r>
      <w:r w:rsidR="003D62B0" w:rsidRPr="00707CFF">
        <w:rPr>
          <w:rFonts w:ascii="Times New Roman" w:hAnsi="Times New Roman" w:cs="Times New Roman"/>
          <w:sz w:val="24"/>
          <w:szCs w:val="24"/>
        </w:rPr>
        <w:t xml:space="preserve">.  If this is true, and NSW Treasury would be in a good position to judge, </w:t>
      </w:r>
      <w:r w:rsidR="00473418" w:rsidRPr="00707CFF">
        <w:rPr>
          <w:rFonts w:ascii="Times New Roman" w:hAnsi="Times New Roman" w:cs="Times New Roman"/>
          <w:sz w:val="24"/>
          <w:szCs w:val="24"/>
        </w:rPr>
        <w:t xml:space="preserve">this would contribute to explaining why </w:t>
      </w:r>
      <w:r w:rsidR="003D62B0" w:rsidRPr="00707CFF">
        <w:rPr>
          <w:rFonts w:ascii="Times New Roman" w:hAnsi="Times New Roman" w:cs="Times New Roman"/>
          <w:sz w:val="24"/>
          <w:szCs w:val="24"/>
        </w:rPr>
        <w:t xml:space="preserve">these businesses </w:t>
      </w:r>
      <w:r w:rsidR="00473418" w:rsidRPr="00707CFF">
        <w:rPr>
          <w:rFonts w:ascii="Times New Roman" w:hAnsi="Times New Roman" w:cs="Times New Roman"/>
          <w:sz w:val="24"/>
          <w:szCs w:val="24"/>
        </w:rPr>
        <w:t>did not use swaps (the rationale for using swaps being to mitigate adverse effects resulting from staggering and borrowing long-term so a</w:t>
      </w:r>
      <w:r w:rsidR="00BE79FC" w:rsidRPr="00707CFF">
        <w:rPr>
          <w:rFonts w:ascii="Times New Roman" w:hAnsi="Times New Roman" w:cs="Times New Roman"/>
          <w:sz w:val="24"/>
          <w:szCs w:val="24"/>
        </w:rPr>
        <w:t>s to minimize refinancing risk).  Accordingly, their failure to use swaps does not provide a rationale for applying a different regulatory regime to them.</w:t>
      </w:r>
      <w:r w:rsidR="00473418" w:rsidRPr="00707CFF">
        <w:rPr>
          <w:rFonts w:ascii="Times New Roman" w:hAnsi="Times New Roman" w:cs="Times New Roman"/>
          <w:sz w:val="24"/>
          <w:szCs w:val="24"/>
        </w:rPr>
        <w:t xml:space="preserve"> </w:t>
      </w:r>
    </w:p>
    <w:p w:rsidR="00C51F52" w:rsidRDefault="00C51F52" w:rsidP="00A36FC4">
      <w:pPr>
        <w:pStyle w:val="ListParagraph"/>
        <w:spacing w:after="0" w:line="360" w:lineRule="auto"/>
        <w:ind w:left="0"/>
        <w:jc w:val="both"/>
        <w:rPr>
          <w:rFonts w:ascii="Times New Roman" w:hAnsi="Times New Roman" w:cs="Times New Roman"/>
          <w:sz w:val="24"/>
          <w:szCs w:val="24"/>
        </w:rPr>
      </w:pPr>
    </w:p>
    <w:p w:rsidR="00EA4DC9" w:rsidRDefault="00DC739B" w:rsidP="00A36FC4">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However, in respect of the fifth explanation, the shareholder (the state government) does not supply the debt capital; it </w:t>
      </w:r>
      <w:r w:rsidR="000475FD">
        <w:rPr>
          <w:rFonts w:ascii="Times New Roman" w:hAnsi="Times New Roman" w:cs="Times New Roman"/>
          <w:sz w:val="24"/>
          <w:szCs w:val="24"/>
        </w:rPr>
        <w:t xml:space="preserve">instead </w:t>
      </w:r>
      <w:r>
        <w:rPr>
          <w:rFonts w:ascii="Times New Roman" w:hAnsi="Times New Roman" w:cs="Times New Roman"/>
          <w:sz w:val="24"/>
          <w:szCs w:val="24"/>
        </w:rPr>
        <w:t>acts (via the QTC, NSW Treasury Corp, etc) as a conduit through which debt finance is raised from the private sector.</w:t>
      </w:r>
      <w:r w:rsidR="000475FD">
        <w:rPr>
          <w:rFonts w:ascii="Times New Roman" w:hAnsi="Times New Roman" w:cs="Times New Roman"/>
          <w:sz w:val="24"/>
          <w:szCs w:val="24"/>
        </w:rPr>
        <w:t xml:space="preserve">  </w:t>
      </w:r>
      <w:r w:rsidR="000475FD" w:rsidRPr="00707CFF">
        <w:rPr>
          <w:rFonts w:ascii="Times New Roman" w:hAnsi="Times New Roman" w:cs="Times New Roman"/>
          <w:sz w:val="24"/>
          <w:szCs w:val="24"/>
        </w:rPr>
        <w:t xml:space="preserve">However, </w:t>
      </w:r>
      <w:r w:rsidR="003865B4" w:rsidRPr="00707CFF">
        <w:rPr>
          <w:rFonts w:ascii="Times New Roman" w:hAnsi="Times New Roman" w:cs="Times New Roman"/>
          <w:sz w:val="24"/>
          <w:szCs w:val="24"/>
        </w:rPr>
        <w:t xml:space="preserve">the state government does </w:t>
      </w:r>
      <w:r w:rsidR="000475FD" w:rsidRPr="00707CFF">
        <w:rPr>
          <w:rFonts w:ascii="Times New Roman" w:hAnsi="Times New Roman" w:cs="Times New Roman"/>
          <w:sz w:val="24"/>
          <w:szCs w:val="24"/>
        </w:rPr>
        <w:t>bear the risk of default by these businesses, for which it charges a fee akin to the DRP charged by lenders</w:t>
      </w:r>
      <w:r w:rsidR="003865B4" w:rsidRPr="00707CFF">
        <w:rPr>
          <w:rFonts w:ascii="Times New Roman" w:hAnsi="Times New Roman" w:cs="Times New Roman"/>
          <w:sz w:val="24"/>
          <w:szCs w:val="24"/>
        </w:rPr>
        <w:t>.</w:t>
      </w:r>
      <w:r w:rsidR="000475FD" w:rsidRPr="00707CFF">
        <w:rPr>
          <w:rFonts w:ascii="Times New Roman" w:hAnsi="Times New Roman" w:cs="Times New Roman"/>
          <w:sz w:val="24"/>
          <w:szCs w:val="24"/>
        </w:rPr>
        <w:t xml:space="preserve">  Thus, some of the actions taken by these government businesses would simply shift risk from themselves to their owner rather than to len</w:t>
      </w:r>
      <w:r w:rsidR="003865B4" w:rsidRPr="00707CFF">
        <w:rPr>
          <w:rFonts w:ascii="Times New Roman" w:hAnsi="Times New Roman" w:cs="Times New Roman"/>
          <w:sz w:val="24"/>
          <w:szCs w:val="24"/>
        </w:rPr>
        <w:t>ders.  This point is already captured within the second and fourth points above.</w:t>
      </w:r>
      <w:r>
        <w:rPr>
          <w:rFonts w:ascii="Times New Roman" w:hAnsi="Times New Roman" w:cs="Times New Roman"/>
          <w:sz w:val="24"/>
          <w:szCs w:val="24"/>
        </w:rPr>
        <w:t xml:space="preserve">  </w:t>
      </w:r>
    </w:p>
    <w:p w:rsidR="003865B4" w:rsidRDefault="003865B4" w:rsidP="00A36FC4">
      <w:pPr>
        <w:pStyle w:val="ListParagraph"/>
        <w:spacing w:after="0" w:line="360" w:lineRule="auto"/>
        <w:ind w:left="0"/>
        <w:jc w:val="both"/>
        <w:rPr>
          <w:rFonts w:ascii="Times New Roman" w:hAnsi="Times New Roman" w:cs="Times New Roman"/>
          <w:sz w:val="24"/>
          <w:szCs w:val="24"/>
        </w:rPr>
      </w:pPr>
    </w:p>
    <w:p w:rsidR="00B83A73" w:rsidRDefault="00B83A73" w:rsidP="00A36FC4">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summary, the efficient financing </w:t>
      </w:r>
      <w:r w:rsidR="007777ED">
        <w:rPr>
          <w:rFonts w:ascii="Times New Roman" w:hAnsi="Times New Roman" w:cs="Times New Roman"/>
          <w:sz w:val="24"/>
          <w:szCs w:val="24"/>
        </w:rPr>
        <w:t xml:space="preserve">practices of the BEE (privately-owned energy networks) may differ from that of government-owned networks for four possible reasons.  Firstly, borrowing via another (government) entity may shield the businesses </w:t>
      </w:r>
      <w:r w:rsidR="00BA724D">
        <w:rPr>
          <w:rFonts w:ascii="Times New Roman" w:hAnsi="Times New Roman" w:cs="Times New Roman"/>
          <w:sz w:val="24"/>
          <w:szCs w:val="24"/>
        </w:rPr>
        <w:t>from normal market signals.</w:t>
      </w:r>
      <w:r w:rsidR="007777ED">
        <w:rPr>
          <w:rFonts w:ascii="Times New Roman" w:hAnsi="Times New Roman" w:cs="Times New Roman"/>
          <w:sz w:val="24"/>
          <w:szCs w:val="24"/>
        </w:rPr>
        <w:t xml:space="preserve">  Secondly, these businesses may face low bankruptcy and refinancing risk, i.e., the inability to meet debt payments is more likely to result in support from shareholders or the government-owned intermediary through which debt finance is obtained (such as the QTC).  Thirdly, these businesses may have been historically less aware of the full potential of the swaps market.  Fourthly, these businesses are each part of a much larger portfolio of assets held by their state government owners and decisions made may therefore reflect the natural hedges available within these portfolios.</w:t>
      </w:r>
    </w:p>
    <w:p w:rsidR="00B83A73" w:rsidRDefault="00B83A73" w:rsidP="00A36FC4">
      <w:pPr>
        <w:pStyle w:val="ListParagraph"/>
        <w:spacing w:after="0" w:line="360" w:lineRule="auto"/>
        <w:ind w:left="0"/>
        <w:jc w:val="both"/>
        <w:rPr>
          <w:rFonts w:ascii="Times New Roman" w:hAnsi="Times New Roman" w:cs="Times New Roman"/>
          <w:sz w:val="24"/>
          <w:szCs w:val="24"/>
        </w:rPr>
      </w:pPr>
    </w:p>
    <w:p w:rsidR="00D770E6" w:rsidRDefault="00D770E6" w:rsidP="00A36FC4">
      <w:pPr>
        <w:pStyle w:val="ListParagraph"/>
        <w:spacing w:after="0" w:line="360" w:lineRule="auto"/>
        <w:ind w:left="0"/>
        <w:jc w:val="both"/>
        <w:rPr>
          <w:rFonts w:ascii="Times New Roman" w:hAnsi="Times New Roman" w:cs="Times New Roman"/>
          <w:sz w:val="24"/>
          <w:szCs w:val="24"/>
        </w:rPr>
      </w:pPr>
    </w:p>
    <w:p w:rsidR="009509E7" w:rsidRPr="009509E7" w:rsidRDefault="009509E7" w:rsidP="009509E7">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Overall Judgement</w:t>
      </w:r>
    </w:p>
    <w:p w:rsidR="009509E7" w:rsidRPr="00917108" w:rsidRDefault="00537EDE" w:rsidP="00A36FC4">
      <w:pPr>
        <w:pStyle w:val="ListParagraph"/>
        <w:spacing w:after="0" w:line="360" w:lineRule="auto"/>
        <w:ind w:left="0"/>
        <w:jc w:val="both"/>
        <w:rPr>
          <w:rFonts w:ascii="Times New Roman" w:hAnsi="Times New Roman" w:cs="Times New Roman"/>
          <w:i/>
          <w:sz w:val="24"/>
          <w:szCs w:val="24"/>
        </w:rPr>
      </w:pPr>
      <w:r>
        <w:rPr>
          <w:rFonts w:ascii="Times New Roman" w:hAnsi="Times New Roman" w:cs="Times New Roman"/>
          <w:i/>
          <w:sz w:val="24"/>
          <w:szCs w:val="24"/>
        </w:rPr>
        <w:t>8.1 The Legal Framework</w:t>
      </w:r>
    </w:p>
    <w:p w:rsidR="00755397" w:rsidRDefault="00B90B06" w:rsidP="00437215">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I now consider whether the AER’s proposed transitional process</w:t>
      </w:r>
      <w:r w:rsidR="00053445">
        <w:rPr>
          <w:rFonts w:ascii="Times New Roman" w:hAnsi="Times New Roman" w:cs="Times New Roman"/>
          <w:sz w:val="24"/>
          <w:szCs w:val="24"/>
        </w:rPr>
        <w:t xml:space="preserve"> is reasonable.  This involves consideration of whether any sort of transitional process is warranted as well as the merits of the AER’s particular version.  Addressing both points requires appropriate criteria</w:t>
      </w:r>
      <w:r w:rsidR="00D231A6">
        <w:rPr>
          <w:rFonts w:ascii="Times New Roman" w:hAnsi="Times New Roman" w:cs="Times New Roman"/>
          <w:sz w:val="24"/>
          <w:szCs w:val="24"/>
        </w:rPr>
        <w:t xml:space="preserve">.  Since the AER operates within </w:t>
      </w:r>
      <w:r w:rsidR="00D30929">
        <w:rPr>
          <w:rFonts w:ascii="Times New Roman" w:hAnsi="Times New Roman" w:cs="Times New Roman"/>
          <w:sz w:val="24"/>
          <w:szCs w:val="24"/>
        </w:rPr>
        <w:t xml:space="preserve">the </w:t>
      </w:r>
      <w:r w:rsidR="00D231A6">
        <w:rPr>
          <w:rFonts w:ascii="Times New Roman" w:hAnsi="Times New Roman" w:cs="Times New Roman"/>
          <w:sz w:val="24"/>
          <w:szCs w:val="24"/>
        </w:rPr>
        <w:t>legal framework</w:t>
      </w:r>
      <w:r w:rsidR="00D30929">
        <w:rPr>
          <w:rFonts w:ascii="Times New Roman" w:hAnsi="Times New Roman" w:cs="Times New Roman"/>
          <w:sz w:val="24"/>
          <w:szCs w:val="24"/>
        </w:rPr>
        <w:t xml:space="preserve"> of the National Electricity Rules</w:t>
      </w:r>
      <w:r w:rsidR="00D231A6">
        <w:rPr>
          <w:rFonts w:ascii="Times New Roman" w:hAnsi="Times New Roman" w:cs="Times New Roman"/>
          <w:sz w:val="24"/>
          <w:szCs w:val="24"/>
        </w:rPr>
        <w:t xml:space="preserve">, I commence by considering relevant features of these </w:t>
      </w:r>
      <w:r w:rsidR="006E4CA9">
        <w:rPr>
          <w:rFonts w:ascii="Times New Roman" w:hAnsi="Times New Roman" w:cs="Times New Roman"/>
          <w:sz w:val="24"/>
          <w:szCs w:val="24"/>
        </w:rPr>
        <w:t xml:space="preserve">Rules.  </w:t>
      </w:r>
      <w:r w:rsidR="00D231A6">
        <w:rPr>
          <w:rFonts w:ascii="Times New Roman" w:hAnsi="Times New Roman" w:cs="Times New Roman"/>
          <w:sz w:val="24"/>
          <w:szCs w:val="24"/>
        </w:rPr>
        <w:t xml:space="preserve">Only one feature of them relates specifically to transitional processes, being the requirement in clause 6.5.2 (k) </w:t>
      </w:r>
      <w:r w:rsidR="00937A54">
        <w:rPr>
          <w:rFonts w:ascii="Times New Roman" w:hAnsi="Times New Roman" w:cs="Times New Roman"/>
          <w:sz w:val="24"/>
          <w:szCs w:val="24"/>
        </w:rPr>
        <w:t xml:space="preserve">(4) </w:t>
      </w:r>
      <w:r w:rsidR="00D231A6">
        <w:rPr>
          <w:rFonts w:ascii="Times New Roman" w:hAnsi="Times New Roman" w:cs="Times New Roman"/>
          <w:sz w:val="24"/>
          <w:szCs w:val="24"/>
        </w:rPr>
        <w:t xml:space="preserve">of the Rules for the AER to have regard to </w:t>
      </w:r>
      <w:r w:rsidR="00937A54" w:rsidRPr="00707CFF">
        <w:rPr>
          <w:rFonts w:ascii="Times New Roman" w:hAnsi="Times New Roman" w:cs="Times New Roman"/>
          <w:sz w:val="24"/>
          <w:szCs w:val="24"/>
        </w:rPr>
        <w:t>“any impacts…on a benchmark efficient entity that could arise as a result of changing the methodology that is used to estimate the return on debt…”</w:t>
      </w:r>
      <w:r w:rsidR="00D231A6" w:rsidRPr="00707CFF">
        <w:rPr>
          <w:rFonts w:ascii="Times New Roman" w:hAnsi="Times New Roman" w:cs="Times New Roman"/>
          <w:sz w:val="24"/>
          <w:szCs w:val="24"/>
        </w:rPr>
        <w:t xml:space="preserve">.  </w:t>
      </w:r>
      <w:r w:rsidR="005C1386" w:rsidRPr="00707CFF">
        <w:rPr>
          <w:rFonts w:ascii="Times New Roman" w:hAnsi="Times New Roman" w:cs="Times New Roman"/>
          <w:sz w:val="24"/>
          <w:szCs w:val="24"/>
        </w:rPr>
        <w:t xml:space="preserve">Clearly the </w:t>
      </w:r>
      <w:r w:rsidR="00D231A6" w:rsidRPr="00707CFF">
        <w:rPr>
          <w:rFonts w:ascii="Times New Roman" w:hAnsi="Times New Roman" w:cs="Times New Roman"/>
          <w:sz w:val="24"/>
          <w:szCs w:val="24"/>
        </w:rPr>
        <w:t>AER’s</w:t>
      </w:r>
      <w:r w:rsidR="00D231A6">
        <w:rPr>
          <w:rFonts w:ascii="Times New Roman" w:hAnsi="Times New Roman" w:cs="Times New Roman"/>
          <w:sz w:val="24"/>
          <w:szCs w:val="24"/>
        </w:rPr>
        <w:t xml:space="preserve"> proposed transitional process meets </w:t>
      </w:r>
      <w:r w:rsidR="00B51744">
        <w:rPr>
          <w:rFonts w:ascii="Times New Roman" w:hAnsi="Times New Roman" w:cs="Times New Roman"/>
          <w:sz w:val="24"/>
          <w:szCs w:val="24"/>
        </w:rPr>
        <w:t>this test</w:t>
      </w:r>
      <w:r w:rsidR="00755397">
        <w:rPr>
          <w:rFonts w:ascii="Times New Roman" w:hAnsi="Times New Roman" w:cs="Times New Roman"/>
          <w:sz w:val="24"/>
          <w:szCs w:val="24"/>
        </w:rPr>
        <w:t xml:space="preserve"> but many alternatives would also meet it</w:t>
      </w:r>
      <w:r w:rsidR="00D231A6">
        <w:rPr>
          <w:rFonts w:ascii="Times New Roman" w:hAnsi="Times New Roman" w:cs="Times New Roman"/>
          <w:sz w:val="24"/>
          <w:szCs w:val="24"/>
        </w:rPr>
        <w:t xml:space="preserve">.  </w:t>
      </w:r>
    </w:p>
    <w:p w:rsidR="00755397" w:rsidRDefault="00755397" w:rsidP="00437215">
      <w:pPr>
        <w:pStyle w:val="ListParagraph"/>
        <w:spacing w:after="0" w:line="360" w:lineRule="auto"/>
        <w:ind w:left="0"/>
        <w:jc w:val="both"/>
        <w:rPr>
          <w:rFonts w:ascii="Times New Roman" w:hAnsi="Times New Roman" w:cs="Times New Roman"/>
          <w:sz w:val="24"/>
          <w:szCs w:val="24"/>
        </w:rPr>
      </w:pPr>
    </w:p>
    <w:p w:rsidR="003E72DA" w:rsidRDefault="00D231A6" w:rsidP="00437215">
      <w:pPr>
        <w:pStyle w:val="ListParagraph"/>
        <w:spacing w:after="0" w:line="360" w:lineRule="auto"/>
        <w:ind w:left="0"/>
        <w:jc w:val="both"/>
        <w:rPr>
          <w:rFonts w:ascii="Times New Roman" w:hAnsi="Times New Roman" w:cs="Times New Roman"/>
          <w:sz w:val="24"/>
          <w:szCs w:val="24"/>
        </w:rPr>
      </w:pPr>
      <w:r w:rsidRPr="00707CFF">
        <w:rPr>
          <w:rFonts w:ascii="Times New Roman" w:hAnsi="Times New Roman" w:cs="Times New Roman"/>
          <w:sz w:val="24"/>
          <w:szCs w:val="24"/>
        </w:rPr>
        <w:t xml:space="preserve">A </w:t>
      </w:r>
      <w:r w:rsidR="00B51744" w:rsidRPr="00707CFF">
        <w:rPr>
          <w:rFonts w:ascii="Times New Roman" w:hAnsi="Times New Roman" w:cs="Times New Roman"/>
          <w:sz w:val="24"/>
          <w:szCs w:val="24"/>
        </w:rPr>
        <w:t xml:space="preserve">number of other features of the Rules </w:t>
      </w:r>
      <w:r w:rsidRPr="00707CFF">
        <w:rPr>
          <w:rFonts w:ascii="Times New Roman" w:hAnsi="Times New Roman" w:cs="Times New Roman"/>
          <w:sz w:val="24"/>
          <w:szCs w:val="24"/>
        </w:rPr>
        <w:t>have general application</w:t>
      </w:r>
      <w:r w:rsidR="00755397" w:rsidRPr="00707CFF">
        <w:rPr>
          <w:rFonts w:ascii="Times New Roman" w:hAnsi="Times New Roman" w:cs="Times New Roman"/>
          <w:sz w:val="24"/>
          <w:szCs w:val="24"/>
        </w:rPr>
        <w:t xml:space="preserve">, but </w:t>
      </w:r>
      <w:r w:rsidR="00B51744" w:rsidRPr="00707CFF">
        <w:rPr>
          <w:rFonts w:ascii="Times New Roman" w:hAnsi="Times New Roman" w:cs="Times New Roman"/>
          <w:sz w:val="24"/>
          <w:szCs w:val="24"/>
        </w:rPr>
        <w:t xml:space="preserve">they </w:t>
      </w:r>
      <w:r w:rsidR="00F610AA" w:rsidRPr="00707CFF">
        <w:rPr>
          <w:rFonts w:ascii="Times New Roman" w:hAnsi="Times New Roman" w:cs="Times New Roman"/>
          <w:sz w:val="24"/>
          <w:szCs w:val="24"/>
        </w:rPr>
        <w:t xml:space="preserve">provide </w:t>
      </w:r>
      <w:r w:rsidR="00702518" w:rsidRPr="00707CFF">
        <w:rPr>
          <w:rFonts w:ascii="Times New Roman" w:hAnsi="Times New Roman" w:cs="Times New Roman"/>
          <w:sz w:val="24"/>
          <w:szCs w:val="24"/>
        </w:rPr>
        <w:t xml:space="preserve">much </w:t>
      </w:r>
      <w:r w:rsidR="00F610AA" w:rsidRPr="00707CFF">
        <w:rPr>
          <w:rFonts w:ascii="Times New Roman" w:hAnsi="Times New Roman" w:cs="Times New Roman"/>
          <w:sz w:val="24"/>
          <w:szCs w:val="24"/>
        </w:rPr>
        <w:t xml:space="preserve">more guidance in </w:t>
      </w:r>
      <w:r w:rsidR="00755397" w:rsidRPr="00707CFF">
        <w:rPr>
          <w:rFonts w:ascii="Times New Roman" w:hAnsi="Times New Roman" w:cs="Times New Roman"/>
          <w:sz w:val="24"/>
          <w:szCs w:val="24"/>
        </w:rPr>
        <w:t>determining the appropriate regulatory approach.</w:t>
      </w:r>
      <w:r w:rsidRPr="00707CFF">
        <w:rPr>
          <w:rFonts w:ascii="Times New Roman" w:hAnsi="Times New Roman" w:cs="Times New Roman"/>
          <w:sz w:val="24"/>
          <w:szCs w:val="24"/>
        </w:rPr>
        <w:t xml:space="preserve">  Clause 6.5.2 (c) of the Rules requires that the allowed rate of return </w:t>
      </w:r>
      <w:r w:rsidR="007B758B" w:rsidRPr="00707CFF">
        <w:rPr>
          <w:rFonts w:ascii="Times New Roman" w:hAnsi="Times New Roman" w:cs="Times New Roman"/>
          <w:sz w:val="24"/>
          <w:szCs w:val="24"/>
        </w:rPr>
        <w:t>“…</w:t>
      </w:r>
      <w:r w:rsidRPr="00707CFF">
        <w:rPr>
          <w:rFonts w:ascii="Times New Roman" w:hAnsi="Times New Roman" w:cs="Times New Roman"/>
          <w:sz w:val="24"/>
          <w:szCs w:val="24"/>
        </w:rPr>
        <w:t xml:space="preserve">for a </w:t>
      </w:r>
      <w:r w:rsidR="007B758B" w:rsidRPr="00707CFF">
        <w:rPr>
          <w:rFonts w:ascii="Times New Roman" w:hAnsi="Times New Roman" w:cs="Times New Roman"/>
          <w:sz w:val="24"/>
          <w:szCs w:val="24"/>
        </w:rPr>
        <w:t>Distribution Network Service Provider is to be</w:t>
      </w:r>
      <w:r w:rsidRPr="00707CFF">
        <w:rPr>
          <w:rFonts w:ascii="Times New Roman" w:hAnsi="Times New Roman" w:cs="Times New Roman"/>
          <w:sz w:val="24"/>
          <w:szCs w:val="24"/>
        </w:rPr>
        <w:t xml:space="preserve"> </w:t>
      </w:r>
      <w:r w:rsidR="007B758B" w:rsidRPr="00707CFF">
        <w:rPr>
          <w:rFonts w:ascii="Times New Roman" w:hAnsi="Times New Roman" w:cs="Times New Roman"/>
          <w:sz w:val="24"/>
          <w:szCs w:val="24"/>
        </w:rPr>
        <w:t xml:space="preserve">commensurate </w:t>
      </w:r>
      <w:r w:rsidRPr="00707CFF">
        <w:rPr>
          <w:rFonts w:ascii="Times New Roman" w:hAnsi="Times New Roman" w:cs="Times New Roman"/>
          <w:sz w:val="24"/>
          <w:szCs w:val="24"/>
        </w:rPr>
        <w:t xml:space="preserve">with the </w:t>
      </w:r>
      <w:r w:rsidR="007B758B" w:rsidRPr="00707CFF">
        <w:rPr>
          <w:rFonts w:ascii="Times New Roman" w:hAnsi="Times New Roman" w:cs="Times New Roman"/>
          <w:sz w:val="24"/>
          <w:szCs w:val="24"/>
        </w:rPr>
        <w:t xml:space="preserve">efficient </w:t>
      </w:r>
      <w:r w:rsidRPr="00707CFF">
        <w:rPr>
          <w:rFonts w:ascii="Times New Roman" w:hAnsi="Times New Roman" w:cs="Times New Roman"/>
          <w:sz w:val="24"/>
          <w:szCs w:val="24"/>
        </w:rPr>
        <w:t xml:space="preserve">financing costs of a </w:t>
      </w:r>
      <w:r w:rsidR="007B758B" w:rsidRPr="00707CFF">
        <w:rPr>
          <w:rFonts w:ascii="Times New Roman" w:hAnsi="Times New Roman" w:cs="Times New Roman"/>
          <w:sz w:val="24"/>
          <w:szCs w:val="24"/>
        </w:rPr>
        <w:t>benchmark efficient entity with</w:t>
      </w:r>
      <w:r w:rsidRPr="00707CFF">
        <w:rPr>
          <w:rFonts w:ascii="Times New Roman" w:hAnsi="Times New Roman" w:cs="Times New Roman"/>
          <w:sz w:val="24"/>
          <w:szCs w:val="24"/>
        </w:rPr>
        <w:t xml:space="preserve"> a similar degree of risk </w:t>
      </w:r>
      <w:r w:rsidR="007B758B" w:rsidRPr="00707CFF">
        <w:rPr>
          <w:rFonts w:ascii="Times New Roman" w:hAnsi="Times New Roman" w:cs="Times New Roman"/>
          <w:sz w:val="24"/>
          <w:szCs w:val="24"/>
        </w:rPr>
        <w:t>as that which applies to the Distribution Network Service Provider…”</w:t>
      </w:r>
      <w:r w:rsidRPr="00707CFF">
        <w:rPr>
          <w:rFonts w:ascii="Times New Roman" w:hAnsi="Times New Roman" w:cs="Times New Roman"/>
          <w:sz w:val="24"/>
          <w:szCs w:val="24"/>
        </w:rPr>
        <w:t xml:space="preserve">.  </w:t>
      </w:r>
      <w:r w:rsidR="00437215" w:rsidRPr="00707CFF">
        <w:rPr>
          <w:rFonts w:ascii="Times New Roman" w:hAnsi="Times New Roman" w:cs="Times New Roman"/>
          <w:sz w:val="24"/>
          <w:szCs w:val="24"/>
        </w:rPr>
        <w:t>In addition, clause 6.5.2 (k)</w:t>
      </w:r>
      <w:r w:rsidR="008A061D" w:rsidRPr="00707CFF">
        <w:rPr>
          <w:rFonts w:ascii="Times New Roman" w:hAnsi="Times New Roman" w:cs="Times New Roman"/>
          <w:sz w:val="24"/>
          <w:szCs w:val="24"/>
        </w:rPr>
        <w:t xml:space="preserve"> (1)</w:t>
      </w:r>
      <w:r w:rsidR="00437215" w:rsidRPr="00707CFF">
        <w:rPr>
          <w:rFonts w:ascii="Times New Roman" w:hAnsi="Times New Roman" w:cs="Times New Roman"/>
          <w:sz w:val="24"/>
          <w:szCs w:val="24"/>
        </w:rPr>
        <w:t xml:space="preserve"> of the Rules requires that </w:t>
      </w:r>
      <w:r w:rsidR="00C559B2" w:rsidRPr="00707CFF">
        <w:rPr>
          <w:rFonts w:ascii="Times New Roman" w:hAnsi="Times New Roman" w:cs="Times New Roman"/>
          <w:sz w:val="24"/>
          <w:szCs w:val="24"/>
        </w:rPr>
        <w:t xml:space="preserve">in estimating the allowed return on debt </w:t>
      </w:r>
      <w:r w:rsidR="00437215" w:rsidRPr="00707CFF">
        <w:rPr>
          <w:rFonts w:ascii="Times New Roman" w:hAnsi="Times New Roman" w:cs="Times New Roman"/>
          <w:sz w:val="24"/>
          <w:szCs w:val="24"/>
        </w:rPr>
        <w:t xml:space="preserve">the AER have regard to the </w:t>
      </w:r>
      <w:r w:rsidR="007B758B" w:rsidRPr="00707CFF">
        <w:rPr>
          <w:rFonts w:ascii="Times New Roman" w:hAnsi="Times New Roman" w:cs="Times New Roman"/>
          <w:sz w:val="24"/>
          <w:szCs w:val="24"/>
        </w:rPr>
        <w:t>“..</w:t>
      </w:r>
      <w:r w:rsidR="00437215" w:rsidRPr="00707CFF">
        <w:rPr>
          <w:rFonts w:ascii="Times New Roman" w:hAnsi="Times New Roman" w:cs="Times New Roman"/>
          <w:sz w:val="24"/>
          <w:szCs w:val="24"/>
        </w:rPr>
        <w:t xml:space="preserve">desirability of minimizing any difference between the </w:t>
      </w:r>
      <w:r w:rsidR="007B758B" w:rsidRPr="00707CFF">
        <w:rPr>
          <w:rFonts w:ascii="Times New Roman" w:hAnsi="Times New Roman" w:cs="Times New Roman"/>
          <w:sz w:val="24"/>
          <w:szCs w:val="24"/>
        </w:rPr>
        <w:t xml:space="preserve">return on debt </w:t>
      </w:r>
      <w:r w:rsidR="00C559B2" w:rsidRPr="00707CFF">
        <w:rPr>
          <w:rFonts w:ascii="Times New Roman" w:hAnsi="Times New Roman" w:cs="Times New Roman"/>
          <w:sz w:val="24"/>
          <w:szCs w:val="24"/>
        </w:rPr>
        <w:t>and the return on debt of a benchmark efficient entity..”</w:t>
      </w:r>
      <w:r w:rsidR="00437215" w:rsidRPr="00707CFF">
        <w:rPr>
          <w:rFonts w:ascii="Times New Roman" w:hAnsi="Times New Roman" w:cs="Times New Roman"/>
          <w:sz w:val="24"/>
          <w:szCs w:val="24"/>
        </w:rPr>
        <w:t xml:space="preserve">.  </w:t>
      </w:r>
      <w:r w:rsidR="00D30929" w:rsidRPr="00707CFF">
        <w:rPr>
          <w:rFonts w:ascii="Times New Roman" w:hAnsi="Times New Roman" w:cs="Times New Roman"/>
          <w:sz w:val="24"/>
          <w:szCs w:val="24"/>
        </w:rPr>
        <w:t xml:space="preserve">The latter </w:t>
      </w:r>
      <w:r w:rsidR="003E72DA" w:rsidRPr="00707CFF">
        <w:rPr>
          <w:rFonts w:ascii="Times New Roman" w:hAnsi="Times New Roman" w:cs="Times New Roman"/>
          <w:sz w:val="24"/>
          <w:szCs w:val="24"/>
        </w:rPr>
        <w:t>requirement looks like a weaker version of the requirement in clause 6.5.2 (c), because it uses the word “desirability” rather than “</w:t>
      </w:r>
      <w:r w:rsidR="00B51744" w:rsidRPr="00707CFF">
        <w:rPr>
          <w:rFonts w:ascii="Times New Roman" w:hAnsi="Times New Roman" w:cs="Times New Roman"/>
          <w:sz w:val="24"/>
          <w:szCs w:val="24"/>
        </w:rPr>
        <w:t>is to be</w:t>
      </w:r>
      <w:r w:rsidR="003E72DA" w:rsidRPr="00707CFF">
        <w:rPr>
          <w:rFonts w:ascii="Times New Roman" w:hAnsi="Times New Roman" w:cs="Times New Roman"/>
          <w:sz w:val="24"/>
          <w:szCs w:val="24"/>
        </w:rPr>
        <w:t xml:space="preserve">”.  However, unlike the requirement in clause 6.5.2 (c), it relates specifically to </w:t>
      </w:r>
      <w:r w:rsidR="00755397" w:rsidRPr="00707CFF">
        <w:rPr>
          <w:rFonts w:ascii="Times New Roman" w:hAnsi="Times New Roman" w:cs="Times New Roman"/>
          <w:sz w:val="24"/>
          <w:szCs w:val="24"/>
        </w:rPr>
        <w:t>the cost of debt rather than financing costs in general.  Thus the possibility of an allowed cost of debt differing from that incurred by the BEE</w:t>
      </w:r>
      <w:r w:rsidR="004E61AC" w:rsidRPr="00707CFF">
        <w:rPr>
          <w:rFonts w:ascii="Times New Roman" w:hAnsi="Times New Roman" w:cs="Times New Roman"/>
          <w:sz w:val="24"/>
          <w:szCs w:val="24"/>
        </w:rPr>
        <w:t xml:space="preserve"> seems to be </w:t>
      </w:r>
      <w:r w:rsidR="00755397" w:rsidRPr="00707CFF">
        <w:rPr>
          <w:rFonts w:ascii="Times New Roman" w:hAnsi="Times New Roman" w:cs="Times New Roman"/>
          <w:sz w:val="24"/>
          <w:szCs w:val="24"/>
        </w:rPr>
        <w:t xml:space="preserve">envisaged, in the interests of obtaining an allowed rate of return that is commensurate with the overall financing costs of a BEE.  In plain English, </w:t>
      </w:r>
      <w:r w:rsidR="0049036D" w:rsidRPr="00707CFF">
        <w:rPr>
          <w:rFonts w:ascii="Times New Roman" w:hAnsi="Times New Roman" w:cs="Times New Roman"/>
          <w:sz w:val="24"/>
          <w:szCs w:val="24"/>
        </w:rPr>
        <w:t>disparities in respect of the cost of debt</w:t>
      </w:r>
      <w:r w:rsidR="00D30929" w:rsidRPr="00707CFF">
        <w:rPr>
          <w:rFonts w:ascii="Times New Roman" w:hAnsi="Times New Roman" w:cs="Times New Roman"/>
          <w:sz w:val="24"/>
          <w:szCs w:val="24"/>
        </w:rPr>
        <w:t xml:space="preserve"> would seem to be</w:t>
      </w:r>
      <w:r w:rsidR="0049036D" w:rsidRPr="00707CFF">
        <w:rPr>
          <w:rFonts w:ascii="Times New Roman" w:hAnsi="Times New Roman" w:cs="Times New Roman"/>
          <w:sz w:val="24"/>
          <w:szCs w:val="24"/>
        </w:rPr>
        <w:t xml:space="preserve"> acceptable if they offset disparities in the cost of equity</w:t>
      </w:r>
      <w:r w:rsidR="004E61AC" w:rsidRPr="00707CFF">
        <w:rPr>
          <w:rFonts w:ascii="Times New Roman" w:hAnsi="Times New Roman" w:cs="Times New Roman"/>
          <w:sz w:val="24"/>
          <w:szCs w:val="24"/>
        </w:rPr>
        <w:t xml:space="preserve"> and thereby produce an appropriate overall rate of return.  </w:t>
      </w:r>
      <w:r w:rsidR="00D30929" w:rsidRPr="00707CFF">
        <w:rPr>
          <w:rFonts w:ascii="Times New Roman" w:hAnsi="Times New Roman" w:cs="Times New Roman"/>
          <w:sz w:val="24"/>
          <w:szCs w:val="24"/>
        </w:rPr>
        <w:t xml:space="preserve">However </w:t>
      </w:r>
      <w:r w:rsidR="004E61AC" w:rsidRPr="00707CFF">
        <w:rPr>
          <w:rFonts w:ascii="Times New Roman" w:hAnsi="Times New Roman" w:cs="Times New Roman"/>
          <w:sz w:val="24"/>
          <w:szCs w:val="24"/>
        </w:rPr>
        <w:t>I do not see circumstances where this would be a sensible approach.  So, I interpret the legal requirements in</w:t>
      </w:r>
      <w:r w:rsidR="004E61AC">
        <w:rPr>
          <w:rFonts w:ascii="Times New Roman" w:hAnsi="Times New Roman" w:cs="Times New Roman"/>
          <w:sz w:val="24"/>
          <w:szCs w:val="24"/>
          <w:u w:val="single"/>
        </w:rPr>
        <w:t xml:space="preserve"> </w:t>
      </w:r>
      <w:r w:rsidR="0049036D">
        <w:rPr>
          <w:rFonts w:ascii="Times New Roman" w:hAnsi="Times New Roman" w:cs="Times New Roman"/>
          <w:sz w:val="24"/>
          <w:szCs w:val="24"/>
        </w:rPr>
        <w:t>clause 6.5.2</w:t>
      </w:r>
      <w:r w:rsidR="00C52049">
        <w:rPr>
          <w:rFonts w:ascii="Times New Roman" w:hAnsi="Times New Roman" w:cs="Times New Roman"/>
          <w:sz w:val="24"/>
          <w:szCs w:val="24"/>
        </w:rPr>
        <w:t xml:space="preserve"> (c)</w:t>
      </w:r>
      <w:r w:rsidR="0049036D">
        <w:rPr>
          <w:rFonts w:ascii="Times New Roman" w:hAnsi="Times New Roman" w:cs="Times New Roman"/>
          <w:sz w:val="24"/>
          <w:szCs w:val="24"/>
        </w:rPr>
        <w:t xml:space="preserve"> </w:t>
      </w:r>
      <w:r w:rsidR="00FE425D">
        <w:rPr>
          <w:rFonts w:ascii="Times New Roman" w:hAnsi="Times New Roman" w:cs="Times New Roman"/>
          <w:sz w:val="24"/>
          <w:szCs w:val="24"/>
        </w:rPr>
        <w:t xml:space="preserve">to apply to </w:t>
      </w:r>
      <w:r w:rsidR="00B61331">
        <w:rPr>
          <w:rFonts w:ascii="Times New Roman" w:hAnsi="Times New Roman" w:cs="Times New Roman"/>
          <w:sz w:val="24"/>
          <w:szCs w:val="24"/>
        </w:rPr>
        <w:t xml:space="preserve">both </w:t>
      </w:r>
      <w:r w:rsidR="0049036D">
        <w:rPr>
          <w:rFonts w:ascii="Times New Roman" w:hAnsi="Times New Roman" w:cs="Times New Roman"/>
          <w:sz w:val="24"/>
          <w:szCs w:val="24"/>
        </w:rPr>
        <w:t xml:space="preserve">the cost of debt </w:t>
      </w:r>
      <w:r w:rsidR="00B61331">
        <w:rPr>
          <w:rFonts w:ascii="Times New Roman" w:hAnsi="Times New Roman" w:cs="Times New Roman"/>
          <w:sz w:val="24"/>
          <w:szCs w:val="24"/>
        </w:rPr>
        <w:t>and the cost of equity</w:t>
      </w:r>
      <w:r w:rsidR="0049036D">
        <w:rPr>
          <w:rFonts w:ascii="Times New Roman" w:hAnsi="Times New Roman" w:cs="Times New Roman"/>
          <w:sz w:val="24"/>
          <w:szCs w:val="24"/>
        </w:rPr>
        <w:t>.  Thus, in respect of</w:t>
      </w:r>
      <w:r w:rsidR="00B61331">
        <w:rPr>
          <w:rFonts w:ascii="Times New Roman" w:hAnsi="Times New Roman" w:cs="Times New Roman"/>
          <w:sz w:val="24"/>
          <w:szCs w:val="24"/>
        </w:rPr>
        <w:t xml:space="preserve"> </w:t>
      </w:r>
      <w:r w:rsidR="0049036D">
        <w:rPr>
          <w:rFonts w:ascii="Times New Roman" w:hAnsi="Times New Roman" w:cs="Times New Roman"/>
          <w:sz w:val="24"/>
          <w:szCs w:val="24"/>
        </w:rPr>
        <w:t xml:space="preserve">the cost of debt, the allowed </w:t>
      </w:r>
      <w:r w:rsidR="00B51744">
        <w:rPr>
          <w:rFonts w:ascii="Times New Roman" w:hAnsi="Times New Roman" w:cs="Times New Roman"/>
          <w:sz w:val="24"/>
          <w:szCs w:val="24"/>
        </w:rPr>
        <w:t xml:space="preserve">rate must be </w:t>
      </w:r>
      <w:r w:rsidR="0049036D">
        <w:rPr>
          <w:rFonts w:ascii="Times New Roman" w:hAnsi="Times New Roman" w:cs="Times New Roman"/>
          <w:sz w:val="24"/>
          <w:szCs w:val="24"/>
        </w:rPr>
        <w:t>commensurate with the costs of a BEE with a similar degree of risk to that of the service provider.</w:t>
      </w:r>
    </w:p>
    <w:p w:rsidR="0049036D" w:rsidRDefault="0049036D" w:rsidP="00437215">
      <w:pPr>
        <w:pStyle w:val="ListParagraph"/>
        <w:spacing w:after="0" w:line="360" w:lineRule="auto"/>
        <w:ind w:left="0"/>
        <w:jc w:val="both"/>
        <w:rPr>
          <w:rFonts w:ascii="Times New Roman" w:hAnsi="Times New Roman" w:cs="Times New Roman"/>
          <w:sz w:val="24"/>
          <w:szCs w:val="24"/>
        </w:rPr>
      </w:pPr>
    </w:p>
    <w:p w:rsidR="00B61331" w:rsidRDefault="00B61331" w:rsidP="00437215">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In summary, the </w:t>
      </w:r>
      <w:r w:rsidR="00537EDE">
        <w:rPr>
          <w:rFonts w:ascii="Times New Roman" w:hAnsi="Times New Roman" w:cs="Times New Roman"/>
          <w:sz w:val="24"/>
          <w:szCs w:val="24"/>
        </w:rPr>
        <w:t xml:space="preserve">primary </w:t>
      </w:r>
      <w:r>
        <w:rPr>
          <w:rFonts w:ascii="Times New Roman" w:hAnsi="Times New Roman" w:cs="Times New Roman"/>
          <w:sz w:val="24"/>
          <w:szCs w:val="24"/>
        </w:rPr>
        <w:t xml:space="preserve">legal </w:t>
      </w:r>
      <w:r w:rsidR="00537EDE">
        <w:rPr>
          <w:rFonts w:ascii="Times New Roman" w:hAnsi="Times New Roman" w:cs="Times New Roman"/>
          <w:sz w:val="24"/>
          <w:szCs w:val="24"/>
        </w:rPr>
        <w:t xml:space="preserve">requirement here is </w:t>
      </w:r>
      <w:r>
        <w:rPr>
          <w:rFonts w:ascii="Times New Roman" w:hAnsi="Times New Roman" w:cs="Times New Roman"/>
          <w:sz w:val="24"/>
          <w:szCs w:val="24"/>
        </w:rPr>
        <w:t xml:space="preserve">that the allowed </w:t>
      </w:r>
      <w:r w:rsidR="00560B9F">
        <w:rPr>
          <w:rFonts w:ascii="Times New Roman" w:hAnsi="Times New Roman" w:cs="Times New Roman"/>
          <w:sz w:val="24"/>
          <w:szCs w:val="24"/>
        </w:rPr>
        <w:t xml:space="preserve">cost of </w:t>
      </w:r>
      <w:r>
        <w:rPr>
          <w:rFonts w:ascii="Times New Roman" w:hAnsi="Times New Roman" w:cs="Times New Roman"/>
          <w:sz w:val="24"/>
          <w:szCs w:val="24"/>
        </w:rPr>
        <w:t>debt must be commensurate with the</w:t>
      </w:r>
      <w:r w:rsidR="00BA724D">
        <w:rPr>
          <w:rFonts w:ascii="Times New Roman" w:hAnsi="Times New Roman" w:cs="Times New Roman"/>
          <w:sz w:val="24"/>
          <w:szCs w:val="24"/>
        </w:rPr>
        <w:t xml:space="preserve"> efficient</w:t>
      </w:r>
      <w:r>
        <w:rPr>
          <w:rFonts w:ascii="Times New Roman" w:hAnsi="Times New Roman" w:cs="Times New Roman"/>
          <w:sz w:val="24"/>
          <w:szCs w:val="24"/>
        </w:rPr>
        <w:t xml:space="preserve"> costs of a BEE with a similar degree of risk </w:t>
      </w:r>
      <w:r w:rsidR="00537EDE">
        <w:rPr>
          <w:rFonts w:ascii="Times New Roman" w:hAnsi="Times New Roman" w:cs="Times New Roman"/>
          <w:sz w:val="24"/>
          <w:szCs w:val="24"/>
        </w:rPr>
        <w:t>to that of the service provider.</w:t>
      </w:r>
    </w:p>
    <w:p w:rsidR="00B61331" w:rsidRDefault="00B61331" w:rsidP="00437215">
      <w:pPr>
        <w:pStyle w:val="ListParagraph"/>
        <w:spacing w:after="0" w:line="360" w:lineRule="auto"/>
        <w:ind w:left="0"/>
        <w:jc w:val="both"/>
        <w:rPr>
          <w:rFonts w:ascii="Times New Roman" w:hAnsi="Times New Roman" w:cs="Times New Roman"/>
          <w:sz w:val="24"/>
          <w:szCs w:val="24"/>
        </w:rPr>
      </w:pPr>
    </w:p>
    <w:p w:rsidR="00B61331" w:rsidRPr="001628C8" w:rsidRDefault="001628C8" w:rsidP="00437215">
      <w:pPr>
        <w:pStyle w:val="ListParagraph"/>
        <w:spacing w:after="0" w:line="360" w:lineRule="auto"/>
        <w:ind w:left="0"/>
        <w:jc w:val="both"/>
        <w:rPr>
          <w:rFonts w:ascii="Times New Roman" w:hAnsi="Times New Roman" w:cs="Times New Roman"/>
          <w:i/>
          <w:sz w:val="24"/>
          <w:szCs w:val="24"/>
        </w:rPr>
      </w:pPr>
      <w:r>
        <w:rPr>
          <w:rFonts w:ascii="Times New Roman" w:hAnsi="Times New Roman" w:cs="Times New Roman"/>
          <w:i/>
          <w:sz w:val="24"/>
          <w:szCs w:val="24"/>
        </w:rPr>
        <w:t>8.2 The NPV Principle</w:t>
      </w:r>
    </w:p>
    <w:p w:rsidR="00E467B6" w:rsidRPr="008824FF" w:rsidRDefault="00E467B6" w:rsidP="002660A0">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The legal requirement </w:t>
      </w:r>
      <w:r w:rsidR="00B23283">
        <w:rPr>
          <w:rFonts w:ascii="Times New Roman" w:hAnsi="Times New Roman" w:cs="Times New Roman"/>
          <w:sz w:val="24"/>
          <w:szCs w:val="24"/>
        </w:rPr>
        <w:t xml:space="preserve">for the allowed </w:t>
      </w:r>
      <w:r w:rsidR="00560B9F">
        <w:rPr>
          <w:rFonts w:ascii="Times New Roman" w:hAnsi="Times New Roman" w:cs="Times New Roman"/>
          <w:sz w:val="24"/>
          <w:szCs w:val="24"/>
        </w:rPr>
        <w:t xml:space="preserve">cost of debt to be </w:t>
      </w:r>
      <w:r w:rsidR="00B23283">
        <w:rPr>
          <w:rFonts w:ascii="Times New Roman" w:hAnsi="Times New Roman" w:cs="Times New Roman"/>
          <w:sz w:val="24"/>
          <w:szCs w:val="24"/>
        </w:rPr>
        <w:t xml:space="preserve">commensurate with the costs incurred by a BEE is not sufficiently </w:t>
      </w:r>
      <w:r>
        <w:rPr>
          <w:rFonts w:ascii="Times New Roman" w:hAnsi="Times New Roman" w:cs="Times New Roman"/>
          <w:sz w:val="24"/>
          <w:szCs w:val="24"/>
        </w:rPr>
        <w:t xml:space="preserve">precise to be </w:t>
      </w:r>
      <w:r w:rsidR="007921B6">
        <w:rPr>
          <w:rFonts w:ascii="Times New Roman" w:hAnsi="Times New Roman" w:cs="Times New Roman"/>
          <w:sz w:val="24"/>
          <w:szCs w:val="24"/>
        </w:rPr>
        <w:t xml:space="preserve">readily </w:t>
      </w:r>
      <w:r>
        <w:rPr>
          <w:rFonts w:ascii="Times New Roman" w:hAnsi="Times New Roman" w:cs="Times New Roman"/>
          <w:sz w:val="24"/>
          <w:szCs w:val="24"/>
        </w:rPr>
        <w:t xml:space="preserve">implemented, and therefore requires formalizing.  This is obtained through the </w:t>
      </w:r>
      <w:r w:rsidR="001628C8">
        <w:rPr>
          <w:rFonts w:ascii="Times New Roman" w:hAnsi="Times New Roman" w:cs="Times New Roman"/>
          <w:sz w:val="24"/>
          <w:szCs w:val="24"/>
        </w:rPr>
        <w:t>NPV = 0 principle</w:t>
      </w:r>
      <w:r>
        <w:rPr>
          <w:rFonts w:ascii="Times New Roman" w:hAnsi="Times New Roman" w:cs="Times New Roman"/>
          <w:sz w:val="24"/>
          <w:szCs w:val="24"/>
        </w:rPr>
        <w:t>:</w:t>
      </w:r>
      <w:r w:rsidR="001628C8">
        <w:rPr>
          <w:rFonts w:ascii="Times New Roman" w:hAnsi="Times New Roman" w:cs="Times New Roman"/>
          <w:sz w:val="24"/>
          <w:szCs w:val="24"/>
        </w:rPr>
        <w:t xml:space="preserve"> the allowed prices or revenues of the regulated business </w:t>
      </w:r>
      <w:r>
        <w:rPr>
          <w:rFonts w:ascii="Times New Roman" w:hAnsi="Times New Roman" w:cs="Times New Roman"/>
          <w:sz w:val="24"/>
          <w:szCs w:val="24"/>
        </w:rPr>
        <w:t xml:space="preserve">should be such that </w:t>
      </w:r>
      <w:r w:rsidR="001628C8">
        <w:rPr>
          <w:rFonts w:ascii="Times New Roman" w:hAnsi="Times New Roman" w:cs="Times New Roman"/>
          <w:sz w:val="24"/>
          <w:szCs w:val="24"/>
        </w:rPr>
        <w:t xml:space="preserve">the present value of the resulting revenues net of opex and taxes must equal the initial investment.  Lower revenues than those that satisfy this principle </w:t>
      </w:r>
      <w:r w:rsidR="001628C8" w:rsidRPr="00C3137E">
        <w:rPr>
          <w:rFonts w:ascii="Times New Roman" w:hAnsi="Times New Roman" w:cs="Times New Roman"/>
          <w:sz w:val="24"/>
          <w:szCs w:val="24"/>
        </w:rPr>
        <w:t xml:space="preserve">will fail to entice producers to invest and </w:t>
      </w:r>
      <w:r w:rsidR="001628C8">
        <w:rPr>
          <w:rFonts w:ascii="Times New Roman" w:hAnsi="Times New Roman" w:cs="Times New Roman"/>
          <w:sz w:val="24"/>
          <w:szCs w:val="24"/>
        </w:rPr>
        <w:t xml:space="preserve">higher revenues constitute </w:t>
      </w:r>
      <w:r w:rsidR="001628C8" w:rsidRPr="00C3137E">
        <w:rPr>
          <w:rFonts w:ascii="Times New Roman" w:hAnsi="Times New Roman" w:cs="Times New Roman"/>
          <w:sz w:val="24"/>
          <w:szCs w:val="24"/>
        </w:rPr>
        <w:t>the very excess profit t</w:t>
      </w:r>
      <w:r w:rsidR="001628C8">
        <w:rPr>
          <w:rFonts w:ascii="Times New Roman" w:hAnsi="Times New Roman" w:cs="Times New Roman"/>
          <w:sz w:val="24"/>
          <w:szCs w:val="24"/>
        </w:rPr>
        <w:t>hat regulation seeks t</w:t>
      </w:r>
      <w:r w:rsidR="008824FF">
        <w:rPr>
          <w:rFonts w:ascii="Times New Roman" w:hAnsi="Times New Roman" w:cs="Times New Roman"/>
          <w:sz w:val="24"/>
          <w:szCs w:val="24"/>
        </w:rPr>
        <w:t>o prevent (Marshal et al, 1981).  I consider this economic principle to be equivalent to the primary legal requirement.</w:t>
      </w:r>
    </w:p>
    <w:p w:rsidR="00E467B6" w:rsidRDefault="00E467B6" w:rsidP="002660A0">
      <w:pPr>
        <w:spacing w:after="0" w:line="360" w:lineRule="auto"/>
        <w:jc w:val="both"/>
        <w:rPr>
          <w:rFonts w:ascii="Times New Roman" w:hAnsi="Times New Roman" w:cs="Times New Roman"/>
          <w:sz w:val="24"/>
          <w:szCs w:val="24"/>
        </w:rPr>
      </w:pPr>
    </w:p>
    <w:p w:rsidR="002660A0" w:rsidRDefault="00CD7BAC" w:rsidP="00266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now consider the implications of this principle for the appropriate choice of the </w:t>
      </w:r>
      <w:r w:rsidR="00B23283">
        <w:rPr>
          <w:rFonts w:ascii="Times New Roman" w:hAnsi="Times New Roman" w:cs="Times New Roman"/>
          <w:sz w:val="24"/>
          <w:szCs w:val="24"/>
        </w:rPr>
        <w:t xml:space="preserve">cost of debt.  </w:t>
      </w:r>
      <w:r>
        <w:rPr>
          <w:rFonts w:ascii="Times New Roman" w:hAnsi="Times New Roman" w:cs="Times New Roman"/>
          <w:sz w:val="24"/>
          <w:szCs w:val="24"/>
        </w:rPr>
        <w:t xml:space="preserve">To do so, I start with the </w:t>
      </w:r>
      <w:r w:rsidR="002660A0">
        <w:rPr>
          <w:rFonts w:ascii="Times New Roman" w:hAnsi="Times New Roman" w:cs="Times New Roman"/>
          <w:sz w:val="24"/>
          <w:szCs w:val="24"/>
        </w:rPr>
        <w:t>simplest possible regulatory scenario, in which fixed assets are purchased now, all financing is equity, a revenue cap is set now that yields revenues only in one year, all operating costs are incurred at the same point, the regulatory assets purchased now have a life of one year, there is no risk relating to revenues or operating costs, and there is no differential personal tax treatment across different sources of investment income.  In this case the value now of the revenues received in one year (</w:t>
      </w:r>
      <w:r w:rsidR="002660A0" w:rsidRPr="004C1D29">
        <w:rPr>
          <w:rFonts w:ascii="Times New Roman" w:hAnsi="Times New Roman" w:cs="Times New Roman"/>
          <w:i/>
          <w:sz w:val="24"/>
          <w:szCs w:val="24"/>
        </w:rPr>
        <w:t>REV</w:t>
      </w:r>
      <w:r>
        <w:rPr>
          <w:rFonts w:ascii="Times New Roman" w:hAnsi="Times New Roman" w:cs="Times New Roman"/>
          <w:i/>
          <w:sz w:val="24"/>
          <w:szCs w:val="24"/>
          <w:vertAlign w:val="subscript"/>
        </w:rPr>
        <w:t>1</w:t>
      </w:r>
      <w:r>
        <w:rPr>
          <w:rFonts w:ascii="Times New Roman" w:hAnsi="Times New Roman" w:cs="Times New Roman"/>
          <w:sz w:val="24"/>
          <w:szCs w:val="24"/>
        </w:rPr>
        <w:t>)</w:t>
      </w:r>
      <w:r w:rsidR="002660A0">
        <w:rPr>
          <w:rFonts w:ascii="Times New Roman" w:hAnsi="Times New Roman" w:cs="Times New Roman"/>
          <w:sz w:val="24"/>
          <w:szCs w:val="24"/>
        </w:rPr>
        <w:t xml:space="preserve"> net of operating costs </w:t>
      </w:r>
      <w:r w:rsidR="00D33F4E">
        <w:rPr>
          <w:rFonts w:ascii="Times New Roman" w:hAnsi="Times New Roman" w:cs="Times New Roman"/>
          <w:sz w:val="24"/>
          <w:szCs w:val="24"/>
        </w:rPr>
        <w:t xml:space="preserve">(including </w:t>
      </w:r>
      <w:r w:rsidR="002660A0">
        <w:rPr>
          <w:rFonts w:ascii="Times New Roman" w:hAnsi="Times New Roman" w:cs="Times New Roman"/>
          <w:sz w:val="24"/>
          <w:szCs w:val="24"/>
        </w:rPr>
        <w:t>corporate taxes</w:t>
      </w:r>
      <w:r w:rsidR="00D33F4E">
        <w:rPr>
          <w:rFonts w:ascii="Times New Roman" w:hAnsi="Times New Roman" w:cs="Times New Roman"/>
          <w:sz w:val="24"/>
          <w:szCs w:val="24"/>
        </w:rPr>
        <w:t>)</w:t>
      </w:r>
      <w:r w:rsidR="002660A0">
        <w:rPr>
          <w:rFonts w:ascii="Times New Roman" w:hAnsi="Times New Roman" w:cs="Times New Roman"/>
          <w:sz w:val="24"/>
          <w:szCs w:val="24"/>
        </w:rPr>
        <w:t xml:space="preserve"> paid in one year (</w:t>
      </w:r>
      <w:r w:rsidR="002660A0" w:rsidRPr="004C1D29">
        <w:rPr>
          <w:rFonts w:ascii="Times New Roman" w:hAnsi="Times New Roman" w:cs="Times New Roman"/>
          <w:i/>
          <w:sz w:val="24"/>
          <w:szCs w:val="24"/>
        </w:rPr>
        <w:t>OPEX</w:t>
      </w:r>
      <w:r>
        <w:rPr>
          <w:rFonts w:ascii="Times New Roman" w:hAnsi="Times New Roman" w:cs="Times New Roman"/>
          <w:i/>
          <w:sz w:val="24"/>
          <w:szCs w:val="24"/>
          <w:vertAlign w:val="subscript"/>
        </w:rPr>
        <w:t>1</w:t>
      </w:r>
      <w:r>
        <w:rPr>
          <w:rFonts w:ascii="Times New Roman" w:hAnsi="Times New Roman" w:cs="Times New Roman"/>
          <w:sz w:val="24"/>
          <w:szCs w:val="24"/>
        </w:rPr>
        <w:t>)</w:t>
      </w:r>
      <w:r w:rsidR="002660A0">
        <w:rPr>
          <w:rFonts w:ascii="Times New Roman" w:hAnsi="Times New Roman" w:cs="Times New Roman"/>
          <w:sz w:val="24"/>
          <w:szCs w:val="24"/>
        </w:rPr>
        <w:t xml:space="preserve"> is determined by discounted at the </w:t>
      </w:r>
      <w:r w:rsidR="002660A0" w:rsidRPr="004C1D29">
        <w:rPr>
          <w:rFonts w:ascii="Times New Roman" w:hAnsi="Times New Roman" w:cs="Times New Roman"/>
          <w:i/>
          <w:sz w:val="24"/>
          <w:szCs w:val="24"/>
        </w:rPr>
        <w:t>current</w:t>
      </w:r>
      <w:r w:rsidR="002660A0">
        <w:rPr>
          <w:rFonts w:ascii="Times New Roman" w:hAnsi="Times New Roman" w:cs="Times New Roman"/>
          <w:sz w:val="24"/>
          <w:szCs w:val="24"/>
        </w:rPr>
        <w:t xml:space="preserve"> one year risk free rate (</w:t>
      </w:r>
      <w:r w:rsidR="002660A0" w:rsidRPr="004C1D29">
        <w:rPr>
          <w:rFonts w:ascii="Times New Roman" w:hAnsi="Times New Roman" w:cs="Times New Roman"/>
          <w:i/>
          <w:sz w:val="24"/>
          <w:szCs w:val="24"/>
        </w:rPr>
        <w:t>R</w:t>
      </w:r>
      <w:r w:rsidR="002660A0" w:rsidRPr="004C1D29">
        <w:rPr>
          <w:rFonts w:ascii="Times New Roman" w:hAnsi="Times New Roman" w:cs="Times New Roman"/>
          <w:i/>
          <w:sz w:val="24"/>
          <w:szCs w:val="24"/>
          <w:vertAlign w:val="subscript"/>
        </w:rPr>
        <w:t>f</w:t>
      </w:r>
      <w:r w:rsidR="00E64B81">
        <w:rPr>
          <w:rFonts w:ascii="Times New Roman" w:hAnsi="Times New Roman" w:cs="Times New Roman"/>
          <w:i/>
          <w:sz w:val="24"/>
          <w:szCs w:val="24"/>
          <w:vertAlign w:val="subscript"/>
        </w:rPr>
        <w:t>0</w:t>
      </w:r>
      <w:r w:rsidR="002660A0" w:rsidRPr="004C1D29">
        <w:rPr>
          <w:rFonts w:ascii="Times New Roman" w:hAnsi="Times New Roman" w:cs="Times New Roman"/>
          <w:i/>
          <w:sz w:val="24"/>
          <w:szCs w:val="24"/>
          <w:vertAlign w:val="subscript"/>
        </w:rPr>
        <w:t>1</w:t>
      </w:r>
      <w:r w:rsidR="002660A0">
        <w:rPr>
          <w:rFonts w:ascii="Times New Roman" w:hAnsi="Times New Roman" w:cs="Times New Roman"/>
          <w:sz w:val="24"/>
          <w:szCs w:val="24"/>
        </w:rPr>
        <w:t xml:space="preserve">), and the </w:t>
      </w:r>
      <w:r w:rsidR="00B23283">
        <w:rPr>
          <w:rFonts w:ascii="Times New Roman" w:hAnsi="Times New Roman" w:cs="Times New Roman"/>
          <w:sz w:val="24"/>
          <w:szCs w:val="24"/>
        </w:rPr>
        <w:t xml:space="preserve">NPV = 0 </w:t>
      </w:r>
      <w:r w:rsidR="002660A0">
        <w:rPr>
          <w:rFonts w:ascii="Times New Roman" w:hAnsi="Times New Roman" w:cs="Times New Roman"/>
          <w:sz w:val="24"/>
          <w:szCs w:val="24"/>
        </w:rPr>
        <w:t>principle implies that this value should equal the purchase price of the fixed assets (</w:t>
      </w:r>
      <w:r w:rsidR="002660A0" w:rsidRPr="004C1D29">
        <w:rPr>
          <w:rFonts w:ascii="Times New Roman" w:hAnsi="Times New Roman" w:cs="Times New Roman"/>
          <w:i/>
          <w:sz w:val="24"/>
          <w:szCs w:val="24"/>
        </w:rPr>
        <w:t>B</w:t>
      </w:r>
      <w:r>
        <w:rPr>
          <w:rFonts w:ascii="Times New Roman" w:hAnsi="Times New Roman" w:cs="Times New Roman"/>
          <w:i/>
          <w:sz w:val="24"/>
          <w:szCs w:val="24"/>
          <w:vertAlign w:val="subscript"/>
        </w:rPr>
        <w:t>0</w:t>
      </w:r>
      <w:r w:rsidR="002660A0">
        <w:rPr>
          <w:rFonts w:ascii="Times New Roman" w:hAnsi="Times New Roman" w:cs="Times New Roman"/>
          <w:sz w:val="24"/>
          <w:szCs w:val="24"/>
        </w:rPr>
        <w:t>):</w:t>
      </w:r>
      <w:r w:rsidR="002660A0">
        <w:rPr>
          <w:rStyle w:val="FootnoteReference"/>
          <w:rFonts w:ascii="Times New Roman" w:hAnsi="Times New Roman" w:cs="Times New Roman"/>
          <w:sz w:val="24"/>
          <w:szCs w:val="24"/>
        </w:rPr>
        <w:footnoteReference w:id="2"/>
      </w:r>
    </w:p>
    <w:p w:rsidR="00CD7BAC" w:rsidRDefault="00CD7BAC" w:rsidP="002660A0">
      <w:pPr>
        <w:spacing w:after="0" w:line="360" w:lineRule="auto"/>
        <w:jc w:val="both"/>
        <w:rPr>
          <w:rFonts w:ascii="Times New Roman" w:hAnsi="Times New Roman" w:cs="Times New Roman"/>
          <w:sz w:val="24"/>
          <w:szCs w:val="24"/>
        </w:rPr>
      </w:pPr>
    </w:p>
    <w:p w:rsidR="002660A0" w:rsidRDefault="002660A0" w:rsidP="00266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7BAC">
        <w:rPr>
          <w:rFonts w:ascii="Times New Roman" w:hAnsi="Times New Roman" w:cs="Times New Roman"/>
          <w:sz w:val="24"/>
          <w:szCs w:val="24"/>
        </w:rPr>
        <w:t xml:space="preserve">                               </w:t>
      </w:r>
      <w:r w:rsidR="00810C49" w:rsidRPr="000B3F83">
        <w:rPr>
          <w:b/>
          <w:bCs/>
          <w:position w:val="-32"/>
        </w:rPr>
        <w:object w:dxaOrig="20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35.15pt" o:ole="">
            <v:imagedata r:id="rId8" o:title=""/>
          </v:shape>
          <o:OLEObject Type="Embed" ProgID="Equation.3" ShapeID="_x0000_i1025" DrawAspect="Content" ObjectID="_1494742901" r:id="rId9"/>
        </w:object>
      </w:r>
      <w:r w:rsidR="00CD7BAC">
        <w:rPr>
          <w:rFonts w:ascii="Times New Roman" w:hAnsi="Times New Roman" w:cs="Times New Roman"/>
          <w:sz w:val="24"/>
          <w:szCs w:val="24"/>
        </w:rPr>
        <w:t xml:space="preserve">                         </w:t>
      </w:r>
      <w:r w:rsidR="00105705">
        <w:rPr>
          <w:rFonts w:ascii="Times New Roman" w:hAnsi="Times New Roman" w:cs="Times New Roman"/>
          <w:sz w:val="24"/>
          <w:szCs w:val="24"/>
        </w:rPr>
        <w:t xml:space="preserve">                         </w:t>
      </w:r>
      <w:r>
        <w:rPr>
          <w:rFonts w:ascii="Times New Roman" w:hAnsi="Times New Roman" w:cs="Times New Roman"/>
          <w:sz w:val="24"/>
          <w:szCs w:val="24"/>
        </w:rPr>
        <w:t>(1)</w:t>
      </w:r>
    </w:p>
    <w:p w:rsidR="002660A0" w:rsidRDefault="002660A0" w:rsidP="002660A0">
      <w:pPr>
        <w:spacing w:after="0" w:line="360" w:lineRule="auto"/>
        <w:jc w:val="both"/>
        <w:rPr>
          <w:rFonts w:ascii="Times New Roman" w:hAnsi="Times New Roman" w:cs="Times New Roman"/>
          <w:sz w:val="24"/>
          <w:szCs w:val="24"/>
        </w:rPr>
      </w:pPr>
    </w:p>
    <w:p w:rsidR="002660A0" w:rsidRDefault="002660A0" w:rsidP="00266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It follows from this that the revenues must be as follows:</w:t>
      </w:r>
      <w:r>
        <w:rPr>
          <w:rStyle w:val="FootnoteReference"/>
          <w:rFonts w:ascii="Times New Roman" w:hAnsi="Times New Roman" w:cs="Times New Roman"/>
          <w:sz w:val="24"/>
          <w:szCs w:val="24"/>
        </w:rPr>
        <w:footnoteReference w:id="3"/>
      </w:r>
    </w:p>
    <w:p w:rsidR="002660A0" w:rsidRDefault="002660A0" w:rsidP="002660A0">
      <w:pPr>
        <w:spacing w:after="0" w:line="360" w:lineRule="auto"/>
        <w:jc w:val="both"/>
        <w:rPr>
          <w:rFonts w:ascii="Times New Roman" w:hAnsi="Times New Roman" w:cs="Times New Roman"/>
          <w:sz w:val="24"/>
          <w:szCs w:val="24"/>
        </w:rPr>
      </w:pPr>
    </w:p>
    <w:p w:rsidR="002660A0" w:rsidRDefault="002660A0" w:rsidP="00266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D7BAC">
        <w:rPr>
          <w:rFonts w:ascii="Times New Roman" w:hAnsi="Times New Roman" w:cs="Times New Roman"/>
          <w:sz w:val="24"/>
          <w:szCs w:val="24"/>
        </w:rPr>
        <w:t xml:space="preserve">                              </w:t>
      </w:r>
      <w:r>
        <w:rPr>
          <w:rFonts w:ascii="Times New Roman" w:hAnsi="Times New Roman" w:cs="Times New Roman"/>
          <w:sz w:val="24"/>
          <w:szCs w:val="24"/>
        </w:rPr>
        <w:t xml:space="preserve">      </w:t>
      </w:r>
      <w:r w:rsidR="00CD7BAC" w:rsidRPr="000B3F83">
        <w:rPr>
          <w:b/>
          <w:bCs/>
          <w:position w:val="-14"/>
        </w:rPr>
        <w:object w:dxaOrig="2900" w:dyaOrig="380">
          <v:shape id="_x0000_i1026" type="#_x0000_t75" style="width:145.65pt;height:19.25pt" o:ole="">
            <v:imagedata r:id="rId10" o:title=""/>
          </v:shape>
          <o:OLEObject Type="Embed" ProgID="Equation.3" ShapeID="_x0000_i1026" DrawAspect="Content" ObjectID="_1494742902" r:id="rId11"/>
        </w:object>
      </w:r>
      <w:r w:rsidR="00CD7BAC">
        <w:rPr>
          <w:rFonts w:ascii="Times New Roman" w:hAnsi="Times New Roman" w:cs="Times New Roman"/>
          <w:sz w:val="24"/>
          <w:szCs w:val="24"/>
        </w:rPr>
        <w:t xml:space="preserve">                   </w:t>
      </w:r>
      <w:r w:rsidR="00105705">
        <w:rPr>
          <w:rFonts w:ascii="Times New Roman" w:hAnsi="Times New Roman" w:cs="Times New Roman"/>
          <w:sz w:val="24"/>
          <w:szCs w:val="24"/>
        </w:rPr>
        <w:t xml:space="preserve">                         </w:t>
      </w:r>
      <w:r>
        <w:rPr>
          <w:rFonts w:ascii="Times New Roman" w:hAnsi="Times New Roman" w:cs="Times New Roman"/>
          <w:sz w:val="24"/>
          <w:szCs w:val="24"/>
        </w:rPr>
        <w:t>(2)</w:t>
      </w:r>
    </w:p>
    <w:p w:rsidR="002660A0" w:rsidRDefault="002660A0" w:rsidP="002660A0">
      <w:pPr>
        <w:spacing w:after="0" w:line="360" w:lineRule="auto"/>
        <w:jc w:val="center"/>
        <w:rPr>
          <w:rFonts w:ascii="Times New Roman" w:hAnsi="Times New Roman" w:cs="Times New Roman"/>
          <w:sz w:val="24"/>
          <w:szCs w:val="24"/>
        </w:rPr>
      </w:pPr>
    </w:p>
    <w:p w:rsidR="002660A0" w:rsidRDefault="002660A0" w:rsidP="00266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 the revenues must equal the sum of </w:t>
      </w:r>
      <w:r w:rsidRPr="004C1D29">
        <w:rPr>
          <w:rFonts w:ascii="Times New Roman" w:hAnsi="Times New Roman" w:cs="Times New Roman"/>
          <w:i/>
          <w:sz w:val="24"/>
          <w:szCs w:val="24"/>
        </w:rPr>
        <w:t>OPEX</w:t>
      </w:r>
      <w:r>
        <w:rPr>
          <w:rFonts w:ascii="Times New Roman" w:hAnsi="Times New Roman" w:cs="Times New Roman"/>
          <w:sz w:val="24"/>
          <w:szCs w:val="24"/>
        </w:rPr>
        <w:t>, the cost of the fixed assets (</w:t>
      </w:r>
      <w:r w:rsidRPr="004C1D29">
        <w:rPr>
          <w:rFonts w:ascii="Times New Roman" w:hAnsi="Times New Roman" w:cs="Times New Roman"/>
          <w:i/>
          <w:sz w:val="24"/>
          <w:szCs w:val="24"/>
        </w:rPr>
        <w:t>B</w:t>
      </w:r>
      <w:r w:rsidR="00CD7BAC">
        <w:rPr>
          <w:rFonts w:ascii="Times New Roman" w:hAnsi="Times New Roman" w:cs="Times New Roman"/>
          <w:i/>
          <w:sz w:val="24"/>
          <w:szCs w:val="24"/>
          <w:vertAlign w:val="subscript"/>
        </w:rPr>
        <w:t>0</w:t>
      </w:r>
      <w:r>
        <w:rPr>
          <w:rFonts w:ascii="Times New Roman" w:hAnsi="Times New Roman" w:cs="Times New Roman"/>
          <w:sz w:val="24"/>
          <w:szCs w:val="24"/>
        </w:rPr>
        <w:t xml:space="preserve">), and the return on the investment of </w:t>
      </w:r>
      <w:r w:rsidRPr="004C1D29">
        <w:rPr>
          <w:rFonts w:ascii="Times New Roman" w:hAnsi="Times New Roman" w:cs="Times New Roman"/>
          <w:i/>
          <w:sz w:val="24"/>
          <w:szCs w:val="24"/>
        </w:rPr>
        <w:t>B</w:t>
      </w:r>
      <w:r w:rsidR="00CD7BAC">
        <w:rPr>
          <w:rFonts w:ascii="Times New Roman" w:hAnsi="Times New Roman" w:cs="Times New Roman"/>
          <w:i/>
          <w:sz w:val="24"/>
          <w:szCs w:val="24"/>
          <w:vertAlign w:val="subscript"/>
        </w:rPr>
        <w:t>0</w:t>
      </w:r>
      <w:r>
        <w:rPr>
          <w:rFonts w:ascii="Times New Roman" w:hAnsi="Times New Roman" w:cs="Times New Roman"/>
          <w:sz w:val="24"/>
          <w:szCs w:val="24"/>
        </w:rPr>
        <w:t xml:space="preserve"> at the </w:t>
      </w:r>
      <w:r w:rsidRPr="00D33F4E">
        <w:rPr>
          <w:rFonts w:ascii="Times New Roman" w:hAnsi="Times New Roman" w:cs="Times New Roman"/>
          <w:i/>
          <w:sz w:val="24"/>
          <w:szCs w:val="24"/>
        </w:rPr>
        <w:t>current</w:t>
      </w:r>
      <w:r>
        <w:rPr>
          <w:rFonts w:ascii="Times New Roman" w:hAnsi="Times New Roman" w:cs="Times New Roman"/>
          <w:sz w:val="24"/>
          <w:szCs w:val="24"/>
        </w:rPr>
        <w:t xml:space="preserve"> one year risk free rate </w:t>
      </w:r>
      <w:r w:rsidRPr="004C1D29">
        <w:rPr>
          <w:rFonts w:ascii="Times New Roman" w:hAnsi="Times New Roman" w:cs="Times New Roman"/>
          <w:i/>
          <w:sz w:val="24"/>
          <w:szCs w:val="24"/>
        </w:rPr>
        <w:t>R</w:t>
      </w:r>
      <w:r w:rsidRPr="004C1D29">
        <w:rPr>
          <w:rFonts w:ascii="Times New Roman" w:hAnsi="Times New Roman" w:cs="Times New Roman"/>
          <w:i/>
          <w:sz w:val="24"/>
          <w:szCs w:val="24"/>
          <w:vertAlign w:val="subscript"/>
        </w:rPr>
        <w:t>f</w:t>
      </w:r>
      <w:r w:rsidR="00CD7BAC">
        <w:rPr>
          <w:rFonts w:ascii="Times New Roman" w:hAnsi="Times New Roman" w:cs="Times New Roman"/>
          <w:i/>
          <w:sz w:val="24"/>
          <w:szCs w:val="24"/>
          <w:vertAlign w:val="subscript"/>
        </w:rPr>
        <w:t>0</w:t>
      </w:r>
      <w:r w:rsidRPr="004C1D29">
        <w:rPr>
          <w:rFonts w:ascii="Times New Roman" w:hAnsi="Times New Roman" w:cs="Times New Roman"/>
          <w:i/>
          <w:sz w:val="24"/>
          <w:szCs w:val="24"/>
          <w:vertAlign w:val="subscript"/>
        </w:rPr>
        <w:t>1</w:t>
      </w:r>
      <w:r>
        <w:rPr>
          <w:rFonts w:ascii="Times New Roman" w:hAnsi="Times New Roman" w:cs="Times New Roman"/>
          <w:sz w:val="24"/>
          <w:szCs w:val="24"/>
        </w:rPr>
        <w:t>.  This analysis is a simplified version of that in Schmalensee (1989) and Lally (2004).</w:t>
      </w:r>
    </w:p>
    <w:p w:rsidR="002660A0" w:rsidRDefault="002660A0" w:rsidP="002660A0">
      <w:pPr>
        <w:spacing w:after="0" w:line="360" w:lineRule="auto"/>
        <w:jc w:val="both"/>
        <w:rPr>
          <w:rFonts w:ascii="Times New Roman" w:hAnsi="Times New Roman" w:cs="Times New Roman"/>
          <w:sz w:val="24"/>
          <w:szCs w:val="24"/>
        </w:rPr>
      </w:pPr>
    </w:p>
    <w:p w:rsidR="002660A0" w:rsidRDefault="002660A0" w:rsidP="002660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illustrate the application of equation (2), suppose </w:t>
      </w:r>
      <w:r w:rsidRPr="004C1D29">
        <w:rPr>
          <w:rFonts w:ascii="Times New Roman" w:hAnsi="Times New Roman" w:cs="Times New Roman"/>
          <w:i/>
          <w:sz w:val="24"/>
          <w:szCs w:val="24"/>
        </w:rPr>
        <w:t>OPEX</w:t>
      </w:r>
      <w:r w:rsidR="00CD7BAC">
        <w:rPr>
          <w:rFonts w:ascii="Times New Roman" w:hAnsi="Times New Roman" w:cs="Times New Roman"/>
          <w:i/>
          <w:sz w:val="24"/>
          <w:szCs w:val="24"/>
          <w:vertAlign w:val="subscript"/>
        </w:rPr>
        <w:t>1</w:t>
      </w:r>
      <w:r>
        <w:rPr>
          <w:rFonts w:ascii="Times New Roman" w:hAnsi="Times New Roman" w:cs="Times New Roman"/>
          <w:sz w:val="24"/>
          <w:szCs w:val="24"/>
        </w:rPr>
        <w:t xml:space="preserve"> = $10m, </w:t>
      </w:r>
      <w:r w:rsidRPr="004C1D29">
        <w:rPr>
          <w:rFonts w:ascii="Times New Roman" w:hAnsi="Times New Roman" w:cs="Times New Roman"/>
          <w:i/>
          <w:sz w:val="24"/>
          <w:szCs w:val="24"/>
        </w:rPr>
        <w:t>B</w:t>
      </w:r>
      <w:r w:rsidR="00CD7BAC">
        <w:rPr>
          <w:rFonts w:ascii="Times New Roman" w:hAnsi="Times New Roman" w:cs="Times New Roman"/>
          <w:i/>
          <w:sz w:val="24"/>
          <w:szCs w:val="24"/>
          <w:vertAlign w:val="subscript"/>
        </w:rPr>
        <w:t>0</w:t>
      </w:r>
      <w:r>
        <w:rPr>
          <w:rFonts w:ascii="Times New Roman" w:hAnsi="Times New Roman" w:cs="Times New Roman"/>
          <w:sz w:val="24"/>
          <w:szCs w:val="24"/>
        </w:rPr>
        <w:t xml:space="preserve"> = $100m and </w:t>
      </w:r>
      <w:r w:rsidRPr="004C1D29">
        <w:rPr>
          <w:rFonts w:ascii="Times New Roman" w:hAnsi="Times New Roman" w:cs="Times New Roman"/>
          <w:i/>
          <w:sz w:val="24"/>
          <w:szCs w:val="24"/>
        </w:rPr>
        <w:t>R</w:t>
      </w:r>
      <w:r w:rsidRPr="004C1D29">
        <w:rPr>
          <w:rFonts w:ascii="Times New Roman" w:hAnsi="Times New Roman" w:cs="Times New Roman"/>
          <w:i/>
          <w:sz w:val="24"/>
          <w:szCs w:val="24"/>
          <w:vertAlign w:val="subscript"/>
        </w:rPr>
        <w:t>f</w:t>
      </w:r>
      <w:r w:rsidR="00CD7BAC">
        <w:rPr>
          <w:rFonts w:ascii="Times New Roman" w:hAnsi="Times New Roman" w:cs="Times New Roman"/>
          <w:i/>
          <w:sz w:val="24"/>
          <w:szCs w:val="24"/>
          <w:vertAlign w:val="subscript"/>
        </w:rPr>
        <w:t>0</w:t>
      </w:r>
      <w:r w:rsidRPr="004C1D29">
        <w:rPr>
          <w:rFonts w:ascii="Times New Roman" w:hAnsi="Times New Roman" w:cs="Times New Roman"/>
          <w:i/>
          <w:sz w:val="24"/>
          <w:szCs w:val="24"/>
          <w:vertAlign w:val="subscript"/>
        </w:rPr>
        <w:t>1</w:t>
      </w:r>
      <w:r>
        <w:rPr>
          <w:rFonts w:ascii="Times New Roman" w:hAnsi="Times New Roman" w:cs="Times New Roman"/>
          <w:sz w:val="24"/>
          <w:szCs w:val="24"/>
        </w:rPr>
        <w:t xml:space="preserve"> = .06.  It follows from equation (2) that </w:t>
      </w:r>
      <w:r w:rsidRPr="004C1D29">
        <w:rPr>
          <w:rFonts w:ascii="Times New Roman" w:hAnsi="Times New Roman" w:cs="Times New Roman"/>
          <w:i/>
          <w:sz w:val="24"/>
          <w:szCs w:val="24"/>
        </w:rPr>
        <w:t>REV</w:t>
      </w:r>
      <w:r w:rsidR="00CD7BAC">
        <w:rPr>
          <w:rFonts w:ascii="Times New Roman" w:hAnsi="Times New Roman" w:cs="Times New Roman"/>
          <w:i/>
          <w:sz w:val="24"/>
          <w:szCs w:val="24"/>
          <w:vertAlign w:val="subscript"/>
        </w:rPr>
        <w:t>1</w:t>
      </w:r>
      <w:r>
        <w:rPr>
          <w:rFonts w:ascii="Times New Roman" w:hAnsi="Times New Roman" w:cs="Times New Roman"/>
          <w:sz w:val="24"/>
          <w:szCs w:val="24"/>
        </w:rPr>
        <w:t xml:space="preserve"> must be $116m.  The intuition for this is clear.  Investors with $100m to invest could invest in the </w:t>
      </w:r>
      <w:r w:rsidR="00CD7BAC">
        <w:rPr>
          <w:rFonts w:ascii="Times New Roman" w:hAnsi="Times New Roman" w:cs="Times New Roman"/>
          <w:sz w:val="24"/>
          <w:szCs w:val="24"/>
        </w:rPr>
        <w:t xml:space="preserve">current one-year </w:t>
      </w:r>
      <w:r>
        <w:rPr>
          <w:rFonts w:ascii="Times New Roman" w:hAnsi="Times New Roman" w:cs="Times New Roman"/>
          <w:sz w:val="24"/>
          <w:szCs w:val="24"/>
        </w:rPr>
        <w:t>risk free asset at 6% to yield $106m in one year.  Undertaking the regulatory activities and therefore purchasing the regulatory assets is an alternative investment with the same (nil) risk.  Thus, undertaking the regulatory activities and therefore purchasing the regulatory assets should also yield a return of 6% on the investment of $100m, which implies net cash flow of $106m in one year, and hence revenues of $116m.</w:t>
      </w:r>
    </w:p>
    <w:p w:rsidR="002660A0" w:rsidRDefault="002660A0" w:rsidP="002660A0">
      <w:pPr>
        <w:spacing w:after="0" w:line="360" w:lineRule="auto"/>
        <w:jc w:val="both"/>
        <w:rPr>
          <w:rFonts w:ascii="Times New Roman" w:hAnsi="Times New Roman" w:cs="Times New Roman"/>
          <w:sz w:val="24"/>
          <w:szCs w:val="24"/>
        </w:rPr>
      </w:pPr>
    </w:p>
    <w:p w:rsidR="00324880" w:rsidRDefault="002660A0" w:rsidP="0032488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This demonstrates that the risk free rate that should be used is that prevailing at the </w:t>
      </w:r>
      <w:r w:rsidRPr="00B51744">
        <w:rPr>
          <w:rFonts w:ascii="Times New Roman" w:hAnsi="Times New Roman" w:cs="Times New Roman"/>
          <w:i/>
          <w:sz w:val="24"/>
          <w:szCs w:val="24"/>
        </w:rPr>
        <w:t>beginning</w:t>
      </w:r>
      <w:r>
        <w:rPr>
          <w:rFonts w:ascii="Times New Roman" w:hAnsi="Times New Roman" w:cs="Times New Roman"/>
          <w:sz w:val="24"/>
          <w:szCs w:val="24"/>
        </w:rPr>
        <w:t xml:space="preserve"> of the regulatory period.  </w:t>
      </w:r>
      <w:r w:rsidR="00337574">
        <w:rPr>
          <w:rFonts w:ascii="Times New Roman" w:hAnsi="Times New Roman" w:cs="Times New Roman"/>
          <w:sz w:val="24"/>
          <w:szCs w:val="24"/>
        </w:rPr>
        <w:t>The same holds if the asset life exceeds the term of the regulatory cycle</w:t>
      </w:r>
      <w:r w:rsidR="005E425E">
        <w:rPr>
          <w:rFonts w:ascii="Times New Roman" w:hAnsi="Times New Roman" w:cs="Times New Roman"/>
          <w:sz w:val="24"/>
          <w:szCs w:val="24"/>
        </w:rPr>
        <w:t>, and again the test is that such a process satisfies the NPV = 0 principle</w:t>
      </w:r>
      <w:r w:rsidR="00337574">
        <w:rPr>
          <w:rFonts w:ascii="Times New Roman" w:hAnsi="Times New Roman" w:cs="Times New Roman"/>
          <w:sz w:val="24"/>
          <w:szCs w:val="24"/>
        </w:rPr>
        <w:t xml:space="preserve">.  For example, suppose that the regulatory cycle is still one year and the asset life is </w:t>
      </w:r>
      <w:r w:rsidR="00346AB2">
        <w:rPr>
          <w:rFonts w:ascii="Times New Roman" w:hAnsi="Times New Roman" w:cs="Times New Roman"/>
          <w:sz w:val="24"/>
          <w:szCs w:val="24"/>
        </w:rPr>
        <w:t xml:space="preserve">now </w:t>
      </w:r>
      <w:r w:rsidR="00324880">
        <w:rPr>
          <w:rFonts w:ascii="Times New Roman" w:hAnsi="Times New Roman" w:cs="Times New Roman"/>
          <w:sz w:val="24"/>
          <w:szCs w:val="24"/>
        </w:rPr>
        <w:t>four years.  So, I start with the situation at the end of the third year (time 3), at which point a revenue cap will be set to yield revenues at time 4 (</w:t>
      </w:r>
      <w:r w:rsidR="00324880" w:rsidRPr="001D4E8A">
        <w:rPr>
          <w:rFonts w:ascii="Times New Roman" w:hAnsi="Times New Roman" w:cs="Times New Roman"/>
          <w:i/>
          <w:sz w:val="24"/>
          <w:szCs w:val="24"/>
        </w:rPr>
        <w:t>REV</w:t>
      </w:r>
      <w:r w:rsidR="00324880" w:rsidRPr="001D4E8A">
        <w:rPr>
          <w:rFonts w:ascii="Times New Roman" w:hAnsi="Times New Roman" w:cs="Times New Roman"/>
          <w:i/>
          <w:sz w:val="24"/>
          <w:szCs w:val="24"/>
          <w:vertAlign w:val="subscript"/>
        </w:rPr>
        <w:t>4</w:t>
      </w:r>
      <w:r w:rsidR="00324880">
        <w:rPr>
          <w:rFonts w:ascii="Times New Roman" w:hAnsi="Times New Roman" w:cs="Times New Roman"/>
          <w:sz w:val="24"/>
          <w:szCs w:val="24"/>
        </w:rPr>
        <w:t>).  The value at time 3 of the subsequent payoffs from the regulatory assets will be the value at time 3 of these revenues at time 4 net of the operating costs at time 4 (</w:t>
      </w:r>
      <w:r w:rsidR="00324880" w:rsidRPr="001D4E8A">
        <w:rPr>
          <w:rFonts w:ascii="Times New Roman" w:hAnsi="Times New Roman" w:cs="Times New Roman"/>
          <w:i/>
          <w:sz w:val="24"/>
          <w:szCs w:val="24"/>
        </w:rPr>
        <w:t>OPEX</w:t>
      </w:r>
      <w:r w:rsidR="00324880" w:rsidRPr="001D4E8A">
        <w:rPr>
          <w:rFonts w:ascii="Times New Roman" w:hAnsi="Times New Roman" w:cs="Times New Roman"/>
          <w:i/>
          <w:sz w:val="24"/>
          <w:szCs w:val="24"/>
          <w:vertAlign w:val="subscript"/>
        </w:rPr>
        <w:t>4</w:t>
      </w:r>
      <w:r w:rsidR="00324880">
        <w:rPr>
          <w:rFonts w:ascii="Times New Roman" w:hAnsi="Times New Roman" w:cs="Times New Roman"/>
          <w:sz w:val="24"/>
          <w:szCs w:val="24"/>
        </w:rPr>
        <w:t>), discounted at some rate prevailing at time 3.  Since the payoffs at time 4 are certain</w:t>
      </w:r>
      <w:r w:rsidR="00CD7BAC">
        <w:rPr>
          <w:rFonts w:ascii="Times New Roman" w:hAnsi="Times New Roman" w:cs="Times New Roman"/>
          <w:sz w:val="24"/>
          <w:szCs w:val="24"/>
        </w:rPr>
        <w:t xml:space="preserve"> at time 3,</w:t>
      </w:r>
      <w:r w:rsidR="00324880">
        <w:rPr>
          <w:rFonts w:ascii="Times New Roman" w:hAnsi="Times New Roman" w:cs="Times New Roman"/>
          <w:sz w:val="24"/>
          <w:szCs w:val="24"/>
        </w:rPr>
        <w:t xml:space="preserve"> </w:t>
      </w:r>
      <w:r w:rsidR="00CD7BAC">
        <w:rPr>
          <w:rFonts w:ascii="Times New Roman" w:hAnsi="Times New Roman" w:cs="Times New Roman"/>
          <w:sz w:val="24"/>
          <w:szCs w:val="24"/>
        </w:rPr>
        <w:t xml:space="preserve">then </w:t>
      </w:r>
      <w:r w:rsidR="00324880">
        <w:rPr>
          <w:rFonts w:ascii="Times New Roman" w:hAnsi="Times New Roman" w:cs="Times New Roman"/>
          <w:sz w:val="24"/>
          <w:szCs w:val="24"/>
        </w:rPr>
        <w:t>the appropriate discount rate is the one year risk free rate prevailing at time 3 (</w:t>
      </w:r>
      <w:r w:rsidR="00324880" w:rsidRPr="001D4E8A">
        <w:rPr>
          <w:rFonts w:ascii="Times New Roman" w:hAnsi="Times New Roman" w:cs="Times New Roman"/>
          <w:i/>
          <w:sz w:val="24"/>
          <w:szCs w:val="24"/>
        </w:rPr>
        <w:t>R</w:t>
      </w:r>
      <w:r w:rsidR="00324880" w:rsidRPr="001D4E8A">
        <w:rPr>
          <w:rFonts w:ascii="Times New Roman" w:hAnsi="Times New Roman" w:cs="Times New Roman"/>
          <w:i/>
          <w:sz w:val="24"/>
          <w:szCs w:val="24"/>
          <w:vertAlign w:val="subscript"/>
        </w:rPr>
        <w:t>f34</w:t>
      </w:r>
      <w:r w:rsidR="00324880">
        <w:rPr>
          <w:rFonts w:ascii="Times New Roman" w:hAnsi="Times New Roman" w:cs="Times New Roman"/>
          <w:sz w:val="24"/>
          <w:szCs w:val="24"/>
        </w:rPr>
        <w:t>).  The value at time 3 of the subsequent payoffs from the regulatory assets is then as follows:</w:t>
      </w:r>
    </w:p>
    <w:p w:rsidR="00324880" w:rsidRDefault="00324880" w:rsidP="00324880">
      <w:pPr>
        <w:spacing w:after="0" w:line="360" w:lineRule="auto"/>
        <w:jc w:val="both"/>
        <w:rPr>
          <w:rFonts w:ascii="Times New Roman" w:hAnsi="Times New Roman" w:cs="Times New Roman"/>
          <w:sz w:val="24"/>
          <w:szCs w:val="24"/>
        </w:rPr>
      </w:pPr>
    </w:p>
    <w:p w:rsidR="00324880" w:rsidRDefault="00324880" w:rsidP="00324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3F83">
        <w:rPr>
          <w:b/>
          <w:bCs/>
          <w:position w:val="-32"/>
        </w:rPr>
        <w:object w:dxaOrig="2120" w:dyaOrig="720">
          <v:shape id="_x0000_i1027" type="#_x0000_t75" style="width:105.5pt;height:36pt" o:ole="">
            <v:imagedata r:id="rId12" o:title=""/>
          </v:shape>
          <o:OLEObject Type="Embed" ProgID="Equation.3" ShapeID="_x0000_i1027" DrawAspect="Content" ObjectID="_1494742903" r:id="rId13"/>
        </w:object>
      </w:r>
      <w:r>
        <w:rPr>
          <w:rFonts w:ascii="Times New Roman" w:hAnsi="Times New Roman" w:cs="Times New Roman"/>
          <w:sz w:val="24"/>
          <w:szCs w:val="24"/>
        </w:rPr>
        <w:t xml:space="preserve">                    </w:t>
      </w:r>
      <w:r w:rsidR="00105705">
        <w:rPr>
          <w:rFonts w:ascii="Times New Roman" w:hAnsi="Times New Roman" w:cs="Times New Roman"/>
          <w:sz w:val="24"/>
          <w:szCs w:val="24"/>
        </w:rPr>
        <w:t xml:space="preserve">                               </w:t>
      </w:r>
      <w:r>
        <w:rPr>
          <w:rFonts w:ascii="Times New Roman" w:hAnsi="Times New Roman" w:cs="Times New Roman"/>
          <w:sz w:val="24"/>
          <w:szCs w:val="24"/>
        </w:rPr>
        <w:t>(3)</w:t>
      </w:r>
    </w:p>
    <w:p w:rsidR="00324880" w:rsidRDefault="00324880" w:rsidP="00324880">
      <w:pPr>
        <w:spacing w:after="0" w:line="360" w:lineRule="auto"/>
        <w:jc w:val="both"/>
        <w:rPr>
          <w:rFonts w:ascii="Times New Roman" w:hAnsi="Times New Roman" w:cs="Times New Roman"/>
          <w:sz w:val="24"/>
          <w:szCs w:val="24"/>
        </w:rPr>
      </w:pPr>
    </w:p>
    <w:p w:rsidR="00324880" w:rsidRDefault="00324880" w:rsidP="00324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Revenues received at time 4 are set at time 3 to cover operating costs at time 4, depreciation for year 4, and the cost of capital at some rate applied to the regulatory book value at time 3 </w:t>
      </w:r>
      <w:r>
        <w:rPr>
          <w:rFonts w:ascii="Times New Roman" w:hAnsi="Times New Roman" w:cs="Times New Roman"/>
          <w:sz w:val="24"/>
          <w:szCs w:val="24"/>
        </w:rPr>
        <w:lastRenderedPageBreak/>
        <w:t>(</w:t>
      </w:r>
      <w:r w:rsidRPr="001D4E8A">
        <w:rPr>
          <w:rFonts w:ascii="Times New Roman" w:hAnsi="Times New Roman" w:cs="Times New Roman"/>
          <w:i/>
          <w:sz w:val="24"/>
          <w:szCs w:val="24"/>
        </w:rPr>
        <w:t>B</w:t>
      </w:r>
      <w:r w:rsidRPr="001D4E8A">
        <w:rPr>
          <w:rFonts w:ascii="Times New Roman" w:hAnsi="Times New Roman" w:cs="Times New Roman"/>
          <w:i/>
          <w:sz w:val="24"/>
          <w:szCs w:val="24"/>
          <w:vertAlign w:val="subscript"/>
        </w:rPr>
        <w:t>3</w:t>
      </w:r>
      <w:r>
        <w:rPr>
          <w:rFonts w:ascii="Times New Roman" w:hAnsi="Times New Roman" w:cs="Times New Roman"/>
          <w:sz w:val="24"/>
          <w:szCs w:val="24"/>
        </w:rPr>
        <w:t xml:space="preserve">).  </w:t>
      </w:r>
      <w:r w:rsidR="00346AB2">
        <w:rPr>
          <w:rFonts w:ascii="Times New Roman" w:hAnsi="Times New Roman" w:cs="Times New Roman"/>
          <w:sz w:val="24"/>
          <w:szCs w:val="24"/>
        </w:rPr>
        <w:t xml:space="preserve">If this rate used is the one-year </w:t>
      </w:r>
      <w:r>
        <w:rPr>
          <w:rFonts w:ascii="Times New Roman" w:hAnsi="Times New Roman" w:cs="Times New Roman"/>
          <w:sz w:val="24"/>
          <w:szCs w:val="24"/>
        </w:rPr>
        <w:t>risk free rate prevailing at time 3 (</w:t>
      </w:r>
      <w:r w:rsidRPr="00F7602B">
        <w:rPr>
          <w:rFonts w:ascii="Times New Roman" w:hAnsi="Times New Roman" w:cs="Times New Roman"/>
          <w:i/>
          <w:sz w:val="24"/>
          <w:szCs w:val="24"/>
        </w:rPr>
        <w:t>R</w:t>
      </w:r>
      <w:r w:rsidRPr="00F7602B">
        <w:rPr>
          <w:rFonts w:ascii="Times New Roman" w:hAnsi="Times New Roman" w:cs="Times New Roman"/>
          <w:i/>
          <w:sz w:val="24"/>
          <w:szCs w:val="24"/>
          <w:vertAlign w:val="subscript"/>
        </w:rPr>
        <w:t>f34</w:t>
      </w:r>
      <w:r>
        <w:rPr>
          <w:rFonts w:ascii="Times New Roman" w:hAnsi="Times New Roman" w:cs="Times New Roman"/>
          <w:sz w:val="24"/>
          <w:szCs w:val="24"/>
        </w:rPr>
        <w:t xml:space="preserve">) then these revenues at time 4 will be as follows: </w:t>
      </w:r>
    </w:p>
    <w:p w:rsidR="00324880" w:rsidRDefault="00324880" w:rsidP="00324880">
      <w:pPr>
        <w:spacing w:after="0" w:line="360" w:lineRule="auto"/>
        <w:jc w:val="both"/>
        <w:rPr>
          <w:rFonts w:ascii="Times New Roman" w:hAnsi="Times New Roman" w:cs="Times New Roman"/>
          <w:sz w:val="24"/>
          <w:szCs w:val="24"/>
        </w:rPr>
      </w:pPr>
    </w:p>
    <w:p w:rsidR="00324880" w:rsidRDefault="00324880" w:rsidP="00324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3F83">
        <w:rPr>
          <w:b/>
          <w:bCs/>
          <w:position w:val="-14"/>
        </w:rPr>
        <w:object w:dxaOrig="3280" w:dyaOrig="380">
          <v:shape id="_x0000_i1028" type="#_x0000_t75" style="width:164.1pt;height:19.25pt" o:ole="">
            <v:imagedata r:id="rId14" o:title=""/>
          </v:shape>
          <o:OLEObject Type="Embed" ProgID="Equation.3" ShapeID="_x0000_i1028" DrawAspect="Content" ObjectID="_1494742904" r:id="rId15"/>
        </w:object>
      </w:r>
      <w:r>
        <w:rPr>
          <w:rFonts w:ascii="Times New Roman" w:hAnsi="Times New Roman" w:cs="Times New Roman"/>
          <w:sz w:val="24"/>
          <w:szCs w:val="24"/>
        </w:rPr>
        <w:t xml:space="preserve">    </w:t>
      </w:r>
      <w:r w:rsidR="00105705">
        <w:rPr>
          <w:rFonts w:ascii="Times New Roman" w:hAnsi="Times New Roman" w:cs="Times New Roman"/>
          <w:sz w:val="24"/>
          <w:szCs w:val="24"/>
        </w:rPr>
        <w:t xml:space="preserve">                              </w:t>
      </w:r>
      <w:r>
        <w:rPr>
          <w:rFonts w:ascii="Times New Roman" w:hAnsi="Times New Roman" w:cs="Times New Roman"/>
          <w:sz w:val="24"/>
          <w:szCs w:val="24"/>
        </w:rPr>
        <w:t>(4)</w:t>
      </w:r>
    </w:p>
    <w:p w:rsidR="00324880" w:rsidRDefault="00324880" w:rsidP="00324880">
      <w:pPr>
        <w:spacing w:after="0" w:line="360" w:lineRule="auto"/>
        <w:jc w:val="center"/>
        <w:rPr>
          <w:rFonts w:ascii="Times New Roman" w:hAnsi="Times New Roman" w:cs="Times New Roman"/>
          <w:sz w:val="24"/>
          <w:szCs w:val="24"/>
        </w:rPr>
      </w:pPr>
    </w:p>
    <w:p w:rsidR="00324880" w:rsidRDefault="00324880" w:rsidP="00324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year 4 is the last year, then </w:t>
      </w:r>
      <w:r w:rsidRPr="00E23F8C">
        <w:rPr>
          <w:rFonts w:ascii="Times New Roman" w:hAnsi="Times New Roman" w:cs="Times New Roman"/>
          <w:i/>
          <w:sz w:val="24"/>
          <w:szCs w:val="24"/>
        </w:rPr>
        <w:t>DEP</w:t>
      </w:r>
      <w:r w:rsidRPr="00E23F8C">
        <w:rPr>
          <w:rFonts w:ascii="Times New Roman" w:hAnsi="Times New Roman" w:cs="Times New Roman"/>
          <w:i/>
          <w:sz w:val="24"/>
          <w:szCs w:val="24"/>
          <w:vertAlign w:val="subscript"/>
        </w:rPr>
        <w:t>4</w:t>
      </w:r>
      <w:r>
        <w:rPr>
          <w:rFonts w:ascii="Times New Roman" w:hAnsi="Times New Roman" w:cs="Times New Roman"/>
          <w:sz w:val="24"/>
          <w:szCs w:val="24"/>
        </w:rPr>
        <w:t xml:space="preserve"> = </w:t>
      </w:r>
      <w:r w:rsidRPr="00E23F8C">
        <w:rPr>
          <w:rFonts w:ascii="Times New Roman" w:hAnsi="Times New Roman" w:cs="Times New Roman"/>
          <w:i/>
          <w:sz w:val="24"/>
          <w:szCs w:val="24"/>
        </w:rPr>
        <w:t>B</w:t>
      </w:r>
      <w:r w:rsidRPr="00E23F8C">
        <w:rPr>
          <w:rFonts w:ascii="Times New Roman" w:hAnsi="Times New Roman" w:cs="Times New Roman"/>
          <w:i/>
          <w:sz w:val="24"/>
          <w:szCs w:val="24"/>
          <w:vertAlign w:val="subscript"/>
        </w:rPr>
        <w:t>3</w:t>
      </w:r>
      <w:r>
        <w:rPr>
          <w:rFonts w:ascii="Times New Roman" w:hAnsi="Times New Roman" w:cs="Times New Roman"/>
          <w:sz w:val="24"/>
          <w:szCs w:val="24"/>
        </w:rPr>
        <w:t>.  Substituting this into equation (4) and then (4) into (3) yields</w:t>
      </w:r>
    </w:p>
    <w:p w:rsidR="00324880" w:rsidRDefault="00324880" w:rsidP="00324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3F83">
        <w:rPr>
          <w:b/>
          <w:bCs/>
          <w:position w:val="-32"/>
        </w:rPr>
        <w:object w:dxaOrig="2240" w:dyaOrig="740">
          <v:shape id="_x0000_i1029" type="#_x0000_t75" style="width:112.2pt;height:36.85pt" o:ole="">
            <v:imagedata r:id="rId16" o:title=""/>
          </v:shape>
          <o:OLEObject Type="Embed" ProgID="Equation.3" ShapeID="_x0000_i1029" DrawAspect="Content" ObjectID="_1494742905" r:id="rId17"/>
        </w:object>
      </w:r>
      <w:r>
        <w:rPr>
          <w:rFonts w:ascii="Times New Roman" w:hAnsi="Times New Roman" w:cs="Times New Roman"/>
          <w:sz w:val="24"/>
          <w:szCs w:val="24"/>
        </w:rPr>
        <w:t xml:space="preserve">                  </w:t>
      </w:r>
      <w:r w:rsidR="00105705">
        <w:rPr>
          <w:rFonts w:ascii="Times New Roman" w:hAnsi="Times New Roman" w:cs="Times New Roman"/>
          <w:sz w:val="24"/>
          <w:szCs w:val="24"/>
        </w:rPr>
        <w:t xml:space="preserve">                              </w:t>
      </w:r>
      <w:r>
        <w:rPr>
          <w:rFonts w:ascii="Times New Roman" w:hAnsi="Times New Roman" w:cs="Times New Roman"/>
          <w:sz w:val="24"/>
          <w:szCs w:val="24"/>
        </w:rPr>
        <w:t>(5)</w:t>
      </w:r>
    </w:p>
    <w:p w:rsidR="00324880" w:rsidRDefault="00324880" w:rsidP="00324880">
      <w:pPr>
        <w:spacing w:after="0" w:line="360" w:lineRule="auto"/>
        <w:jc w:val="both"/>
        <w:rPr>
          <w:rFonts w:ascii="Times New Roman" w:hAnsi="Times New Roman" w:cs="Times New Roman"/>
          <w:sz w:val="24"/>
          <w:szCs w:val="24"/>
        </w:rPr>
      </w:pPr>
    </w:p>
    <w:p w:rsidR="00324880" w:rsidRDefault="00324880" w:rsidP="00324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 the value at time 3 of the subsequent payoffs on the regulatory assets will equal the regulatory asset book value at time 3 if revenues received at time 4 are set at time 3 using the prevailing one year risk free rate.  At time 2, the revenues to be received at time 3 will be set.  So, at time 2, the value of the subsequent payoffs on the regulatory assets will be the value at time 2 of the revenues received at time 3 less the operating cost incurred at time 3 plus the value at time 2 of </w:t>
      </w:r>
      <w:r w:rsidRPr="00843F88">
        <w:rPr>
          <w:rFonts w:ascii="Times New Roman" w:hAnsi="Times New Roman" w:cs="Times New Roman"/>
          <w:i/>
          <w:sz w:val="24"/>
          <w:szCs w:val="24"/>
        </w:rPr>
        <w:t>V</w:t>
      </w:r>
      <w:r w:rsidRPr="00843F88">
        <w:rPr>
          <w:rFonts w:ascii="Times New Roman" w:hAnsi="Times New Roman" w:cs="Times New Roman"/>
          <w:i/>
          <w:sz w:val="24"/>
          <w:szCs w:val="24"/>
          <w:vertAlign w:val="subscript"/>
        </w:rPr>
        <w:t>3</w:t>
      </w:r>
      <w:r>
        <w:rPr>
          <w:rFonts w:ascii="Times New Roman" w:hAnsi="Times New Roman" w:cs="Times New Roman"/>
          <w:sz w:val="24"/>
          <w:szCs w:val="24"/>
        </w:rPr>
        <w:t xml:space="preserve">, and </w:t>
      </w:r>
      <w:r w:rsidRPr="000E12E5">
        <w:rPr>
          <w:rFonts w:ascii="Times New Roman" w:hAnsi="Times New Roman" w:cs="Times New Roman"/>
          <w:i/>
          <w:sz w:val="24"/>
          <w:szCs w:val="24"/>
        </w:rPr>
        <w:t>V</w:t>
      </w:r>
      <w:r w:rsidRPr="000E12E5">
        <w:rPr>
          <w:rFonts w:ascii="Times New Roman" w:hAnsi="Times New Roman" w:cs="Times New Roman"/>
          <w:i/>
          <w:sz w:val="24"/>
          <w:szCs w:val="24"/>
          <w:vertAlign w:val="subscript"/>
        </w:rPr>
        <w:t>3</w:t>
      </w:r>
      <w:r>
        <w:rPr>
          <w:rFonts w:ascii="Times New Roman" w:hAnsi="Times New Roman" w:cs="Times New Roman"/>
          <w:sz w:val="24"/>
          <w:szCs w:val="24"/>
        </w:rPr>
        <w:t xml:space="preserve"> equals </w:t>
      </w:r>
      <w:r w:rsidRPr="00843F88">
        <w:rPr>
          <w:rFonts w:ascii="Times New Roman" w:hAnsi="Times New Roman" w:cs="Times New Roman"/>
          <w:i/>
          <w:sz w:val="24"/>
          <w:szCs w:val="24"/>
        </w:rPr>
        <w:t>B</w:t>
      </w:r>
      <w:r w:rsidRPr="00843F88">
        <w:rPr>
          <w:rFonts w:ascii="Times New Roman" w:hAnsi="Times New Roman" w:cs="Times New Roman"/>
          <w:i/>
          <w:sz w:val="24"/>
          <w:szCs w:val="24"/>
          <w:vertAlign w:val="subscript"/>
        </w:rPr>
        <w:t>3</w:t>
      </w:r>
      <w:r>
        <w:rPr>
          <w:rFonts w:ascii="Times New Roman" w:hAnsi="Times New Roman" w:cs="Times New Roman"/>
          <w:sz w:val="24"/>
          <w:szCs w:val="24"/>
        </w:rPr>
        <w:t xml:space="preserve"> as shown in equation (5), and all of these payoffs at time 3 are known at time 2.  So the appropriate discount rate on these payoffs arising at time 3 will be the prevailing one year risk free rate at time 2, and therefore the value at time 2 of the subsequent payoffs on the regulatory assets will be as follows:</w:t>
      </w:r>
    </w:p>
    <w:p w:rsidR="00324880" w:rsidRDefault="00324880" w:rsidP="00324880">
      <w:pPr>
        <w:spacing w:after="0" w:line="360" w:lineRule="auto"/>
        <w:jc w:val="both"/>
        <w:rPr>
          <w:rFonts w:ascii="Times New Roman" w:hAnsi="Times New Roman" w:cs="Times New Roman"/>
          <w:sz w:val="24"/>
          <w:szCs w:val="24"/>
        </w:rPr>
      </w:pPr>
    </w:p>
    <w:p w:rsidR="00324880" w:rsidRDefault="00324880" w:rsidP="00324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3F83">
        <w:rPr>
          <w:b/>
          <w:bCs/>
          <w:position w:val="-32"/>
        </w:rPr>
        <w:object w:dxaOrig="2600" w:dyaOrig="720">
          <v:shape id="_x0000_i1030" type="#_x0000_t75" style="width:129.75pt;height:36pt" o:ole="">
            <v:imagedata r:id="rId18" o:title=""/>
          </v:shape>
          <o:OLEObject Type="Embed" ProgID="Equation.3" ShapeID="_x0000_i1030" DrawAspect="Content" ObjectID="_1494742906" r:id="rId19"/>
        </w:object>
      </w:r>
      <w:r>
        <w:rPr>
          <w:rFonts w:ascii="Times New Roman" w:hAnsi="Times New Roman" w:cs="Times New Roman"/>
          <w:sz w:val="24"/>
          <w:szCs w:val="24"/>
        </w:rPr>
        <w:t xml:space="preserve">                </w:t>
      </w:r>
      <w:r w:rsidR="00105705">
        <w:rPr>
          <w:rFonts w:ascii="Times New Roman" w:hAnsi="Times New Roman" w:cs="Times New Roman"/>
          <w:sz w:val="24"/>
          <w:szCs w:val="24"/>
        </w:rPr>
        <w:t xml:space="preserve">                              </w:t>
      </w:r>
      <w:r>
        <w:rPr>
          <w:rFonts w:ascii="Times New Roman" w:hAnsi="Times New Roman" w:cs="Times New Roman"/>
          <w:sz w:val="24"/>
          <w:szCs w:val="24"/>
        </w:rPr>
        <w:t>(6)</w:t>
      </w:r>
    </w:p>
    <w:p w:rsidR="00324880" w:rsidRDefault="00324880" w:rsidP="00324880">
      <w:pPr>
        <w:spacing w:after="0" w:line="360" w:lineRule="auto"/>
        <w:jc w:val="both"/>
        <w:rPr>
          <w:rFonts w:ascii="Times New Roman" w:hAnsi="Times New Roman" w:cs="Times New Roman"/>
          <w:sz w:val="24"/>
          <w:szCs w:val="24"/>
        </w:rPr>
      </w:pPr>
    </w:p>
    <w:p w:rsidR="00324880" w:rsidRPr="000302A7" w:rsidRDefault="00324880" w:rsidP="00324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Paralleling equation (4), the revenues to be received at time 3 will be set at time 2 based upon the one year risk free rate prevailing at time 2 (</w:t>
      </w:r>
      <w:r w:rsidRPr="000302A7">
        <w:rPr>
          <w:rFonts w:ascii="Times New Roman" w:hAnsi="Times New Roman" w:cs="Times New Roman"/>
          <w:i/>
          <w:sz w:val="24"/>
          <w:szCs w:val="24"/>
        </w:rPr>
        <w:t>R</w:t>
      </w:r>
      <w:r>
        <w:rPr>
          <w:rFonts w:ascii="Times New Roman" w:hAnsi="Times New Roman" w:cs="Times New Roman"/>
          <w:i/>
          <w:sz w:val="24"/>
          <w:szCs w:val="24"/>
          <w:vertAlign w:val="subscript"/>
        </w:rPr>
        <w:t>f</w:t>
      </w:r>
      <w:r w:rsidRPr="000302A7">
        <w:rPr>
          <w:rFonts w:ascii="Times New Roman" w:hAnsi="Times New Roman" w:cs="Times New Roman"/>
          <w:i/>
          <w:sz w:val="24"/>
          <w:szCs w:val="24"/>
          <w:vertAlign w:val="subscript"/>
        </w:rPr>
        <w:t>23</w:t>
      </w:r>
      <w:r>
        <w:rPr>
          <w:rFonts w:ascii="Times New Roman" w:hAnsi="Times New Roman" w:cs="Times New Roman"/>
          <w:sz w:val="24"/>
          <w:szCs w:val="24"/>
        </w:rPr>
        <w:t>):</w:t>
      </w:r>
    </w:p>
    <w:p w:rsidR="00324880" w:rsidRDefault="00324880" w:rsidP="00324880">
      <w:pPr>
        <w:spacing w:after="0" w:line="360" w:lineRule="auto"/>
        <w:jc w:val="both"/>
        <w:rPr>
          <w:rFonts w:ascii="Times New Roman" w:hAnsi="Times New Roman" w:cs="Times New Roman"/>
          <w:sz w:val="24"/>
          <w:szCs w:val="24"/>
        </w:rPr>
      </w:pPr>
    </w:p>
    <w:p w:rsidR="00324880" w:rsidRDefault="00324880" w:rsidP="00324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3F83">
        <w:rPr>
          <w:b/>
          <w:bCs/>
          <w:position w:val="-14"/>
        </w:rPr>
        <w:object w:dxaOrig="3260" w:dyaOrig="380">
          <v:shape id="_x0000_i1031" type="#_x0000_t75" style="width:164.1pt;height:19.25pt" o:ole="">
            <v:imagedata r:id="rId20" o:title=""/>
          </v:shape>
          <o:OLEObject Type="Embed" ProgID="Equation.3" ShapeID="_x0000_i1031" DrawAspect="Content" ObjectID="_1494742907" r:id="rId21"/>
        </w:object>
      </w:r>
      <w:r>
        <w:rPr>
          <w:rFonts w:ascii="Times New Roman" w:hAnsi="Times New Roman" w:cs="Times New Roman"/>
          <w:sz w:val="24"/>
          <w:szCs w:val="24"/>
        </w:rPr>
        <w:t xml:space="preserve">    </w:t>
      </w:r>
      <w:r w:rsidR="00105705">
        <w:rPr>
          <w:rFonts w:ascii="Times New Roman" w:hAnsi="Times New Roman" w:cs="Times New Roman"/>
          <w:sz w:val="24"/>
          <w:szCs w:val="24"/>
        </w:rPr>
        <w:t xml:space="preserve">                              </w:t>
      </w:r>
      <w:r>
        <w:rPr>
          <w:rFonts w:ascii="Times New Roman" w:hAnsi="Times New Roman" w:cs="Times New Roman"/>
          <w:sz w:val="24"/>
          <w:szCs w:val="24"/>
        </w:rPr>
        <w:t>(7)</w:t>
      </w:r>
    </w:p>
    <w:p w:rsidR="00324880" w:rsidRDefault="00324880" w:rsidP="00324880">
      <w:pPr>
        <w:spacing w:after="0" w:line="360" w:lineRule="auto"/>
        <w:jc w:val="both"/>
        <w:rPr>
          <w:rFonts w:ascii="Times New Roman" w:hAnsi="Times New Roman" w:cs="Times New Roman"/>
          <w:sz w:val="24"/>
          <w:szCs w:val="24"/>
        </w:rPr>
      </w:pPr>
    </w:p>
    <w:p w:rsidR="00324880" w:rsidRDefault="00324880" w:rsidP="00324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Also, </w:t>
      </w:r>
      <w:r w:rsidRPr="00D404C0">
        <w:rPr>
          <w:rFonts w:ascii="Times New Roman" w:hAnsi="Times New Roman" w:cs="Times New Roman"/>
          <w:i/>
          <w:sz w:val="24"/>
          <w:szCs w:val="24"/>
        </w:rPr>
        <w:t>DEP</w:t>
      </w:r>
      <w:r w:rsidRPr="00D404C0">
        <w:rPr>
          <w:rFonts w:ascii="Times New Roman" w:hAnsi="Times New Roman" w:cs="Times New Roman"/>
          <w:i/>
          <w:sz w:val="24"/>
          <w:szCs w:val="24"/>
          <w:vertAlign w:val="subscript"/>
        </w:rPr>
        <w:t>3</w:t>
      </w:r>
      <w:r>
        <w:rPr>
          <w:rFonts w:ascii="Times New Roman" w:hAnsi="Times New Roman" w:cs="Times New Roman"/>
          <w:sz w:val="24"/>
          <w:szCs w:val="24"/>
        </w:rPr>
        <w:t xml:space="preserve"> = </w:t>
      </w:r>
      <w:r w:rsidRPr="00D404C0">
        <w:rPr>
          <w:rFonts w:ascii="Times New Roman" w:hAnsi="Times New Roman" w:cs="Times New Roman"/>
          <w:i/>
          <w:sz w:val="24"/>
          <w:szCs w:val="24"/>
        </w:rPr>
        <w:t>B</w:t>
      </w:r>
      <w:r w:rsidRPr="00D404C0">
        <w:rPr>
          <w:rFonts w:ascii="Times New Roman" w:hAnsi="Times New Roman" w:cs="Times New Roman"/>
          <w:i/>
          <w:sz w:val="24"/>
          <w:szCs w:val="24"/>
          <w:vertAlign w:val="subscript"/>
        </w:rPr>
        <w:t>2</w:t>
      </w:r>
      <w:r>
        <w:rPr>
          <w:rFonts w:ascii="Times New Roman" w:hAnsi="Times New Roman" w:cs="Times New Roman"/>
          <w:sz w:val="24"/>
          <w:szCs w:val="24"/>
        </w:rPr>
        <w:t xml:space="preserve"> – </w:t>
      </w:r>
      <w:r w:rsidRPr="00D404C0">
        <w:rPr>
          <w:rFonts w:ascii="Times New Roman" w:hAnsi="Times New Roman" w:cs="Times New Roman"/>
          <w:i/>
          <w:sz w:val="24"/>
          <w:szCs w:val="24"/>
        </w:rPr>
        <w:t>B</w:t>
      </w:r>
      <w:r w:rsidRPr="00D404C0">
        <w:rPr>
          <w:rFonts w:ascii="Times New Roman" w:hAnsi="Times New Roman" w:cs="Times New Roman"/>
          <w:i/>
          <w:sz w:val="24"/>
          <w:szCs w:val="24"/>
          <w:vertAlign w:val="subscript"/>
        </w:rPr>
        <w:t>3</w:t>
      </w:r>
      <w:r>
        <w:rPr>
          <w:rFonts w:ascii="Times New Roman" w:hAnsi="Times New Roman" w:cs="Times New Roman"/>
          <w:sz w:val="24"/>
          <w:szCs w:val="24"/>
        </w:rPr>
        <w:t>.  Substituting this into equation (7) and then (7) into (6) yields</w:t>
      </w:r>
    </w:p>
    <w:p w:rsidR="00324880" w:rsidRDefault="00324880" w:rsidP="00324880">
      <w:pPr>
        <w:spacing w:after="0" w:line="360" w:lineRule="auto"/>
        <w:jc w:val="both"/>
        <w:rPr>
          <w:rFonts w:ascii="Times New Roman" w:hAnsi="Times New Roman" w:cs="Times New Roman"/>
          <w:sz w:val="24"/>
          <w:szCs w:val="24"/>
        </w:rPr>
      </w:pPr>
    </w:p>
    <w:p w:rsidR="00324880" w:rsidRDefault="00324880" w:rsidP="00324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3F83">
        <w:rPr>
          <w:b/>
          <w:bCs/>
          <w:position w:val="-32"/>
        </w:rPr>
        <w:object w:dxaOrig="2260" w:dyaOrig="740">
          <v:shape id="_x0000_i1032" type="#_x0000_t75" style="width:112.2pt;height:36.85pt" o:ole="">
            <v:imagedata r:id="rId22" o:title=""/>
          </v:shape>
          <o:OLEObject Type="Embed" ProgID="Equation.3" ShapeID="_x0000_i1032" DrawAspect="Content" ObjectID="_1494742908" r:id="rId23"/>
        </w:object>
      </w:r>
      <w:r>
        <w:rPr>
          <w:rFonts w:ascii="Times New Roman" w:hAnsi="Times New Roman" w:cs="Times New Roman"/>
          <w:sz w:val="24"/>
          <w:szCs w:val="24"/>
        </w:rPr>
        <w:t xml:space="preserve">                  </w:t>
      </w:r>
      <w:r w:rsidR="00105705">
        <w:rPr>
          <w:rFonts w:ascii="Times New Roman" w:hAnsi="Times New Roman" w:cs="Times New Roman"/>
          <w:sz w:val="24"/>
          <w:szCs w:val="24"/>
        </w:rPr>
        <w:t xml:space="preserve">                              </w:t>
      </w:r>
      <w:r>
        <w:rPr>
          <w:rFonts w:ascii="Times New Roman" w:hAnsi="Times New Roman" w:cs="Times New Roman"/>
          <w:sz w:val="24"/>
          <w:szCs w:val="24"/>
        </w:rPr>
        <w:t>(8)</w:t>
      </w:r>
    </w:p>
    <w:p w:rsidR="00324880" w:rsidRDefault="00324880" w:rsidP="00324880">
      <w:pPr>
        <w:spacing w:after="0" w:line="360" w:lineRule="auto"/>
        <w:jc w:val="both"/>
        <w:rPr>
          <w:rFonts w:ascii="Times New Roman" w:hAnsi="Times New Roman" w:cs="Times New Roman"/>
          <w:sz w:val="24"/>
          <w:szCs w:val="24"/>
        </w:rPr>
      </w:pPr>
    </w:p>
    <w:p w:rsidR="00324880" w:rsidRDefault="00324880" w:rsidP="00324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So, the value at time 2 of the subsequent payoffs on the regulatory assets will equal the regulatory asset book value at time 2 if revenues received at times 3 and 4 are each set one year earlier using the prevailing one year risk free rate.  By continuing this process</w:t>
      </w:r>
      <w:r w:rsidR="00346AB2">
        <w:rPr>
          <w:rFonts w:ascii="Times New Roman" w:hAnsi="Times New Roman" w:cs="Times New Roman"/>
          <w:sz w:val="24"/>
          <w:szCs w:val="24"/>
        </w:rPr>
        <w:t xml:space="preserve"> back to time 1 and then to the present moment</w:t>
      </w:r>
      <w:r>
        <w:rPr>
          <w:rFonts w:ascii="Times New Roman" w:hAnsi="Times New Roman" w:cs="Times New Roman"/>
          <w:sz w:val="24"/>
          <w:szCs w:val="24"/>
        </w:rPr>
        <w:t xml:space="preserve">, it can be shown in the same way that </w:t>
      </w:r>
      <w:r w:rsidRPr="000D0F65">
        <w:rPr>
          <w:rFonts w:ascii="Times New Roman" w:hAnsi="Times New Roman" w:cs="Times New Roman"/>
          <w:i/>
          <w:sz w:val="24"/>
          <w:szCs w:val="24"/>
        </w:rPr>
        <w:t>V</w:t>
      </w:r>
      <w:r w:rsidRPr="000D0F65">
        <w:rPr>
          <w:rFonts w:ascii="Times New Roman" w:hAnsi="Times New Roman" w:cs="Times New Roman"/>
          <w:i/>
          <w:sz w:val="24"/>
          <w:szCs w:val="24"/>
          <w:vertAlign w:val="subscript"/>
        </w:rPr>
        <w:t>1</w:t>
      </w:r>
      <w:r>
        <w:rPr>
          <w:rFonts w:ascii="Times New Roman" w:hAnsi="Times New Roman" w:cs="Times New Roman"/>
          <w:sz w:val="24"/>
          <w:szCs w:val="24"/>
        </w:rPr>
        <w:t xml:space="preserve"> = </w:t>
      </w:r>
      <w:r w:rsidRPr="000D0F65">
        <w:rPr>
          <w:rFonts w:ascii="Times New Roman" w:hAnsi="Times New Roman" w:cs="Times New Roman"/>
          <w:i/>
          <w:sz w:val="24"/>
          <w:szCs w:val="24"/>
        </w:rPr>
        <w:t>B</w:t>
      </w:r>
      <w:r w:rsidRPr="000D0F65">
        <w:rPr>
          <w:rFonts w:ascii="Times New Roman" w:hAnsi="Times New Roman" w:cs="Times New Roman"/>
          <w:i/>
          <w:sz w:val="24"/>
          <w:szCs w:val="24"/>
          <w:vertAlign w:val="subscript"/>
        </w:rPr>
        <w:t>1</w:t>
      </w:r>
      <w:r>
        <w:rPr>
          <w:rFonts w:ascii="Times New Roman" w:hAnsi="Times New Roman" w:cs="Times New Roman"/>
          <w:sz w:val="24"/>
          <w:szCs w:val="24"/>
        </w:rPr>
        <w:t xml:space="preserve"> and then that </w:t>
      </w:r>
      <w:r w:rsidRPr="000D0F65">
        <w:rPr>
          <w:rFonts w:ascii="Times New Roman" w:hAnsi="Times New Roman" w:cs="Times New Roman"/>
          <w:i/>
          <w:sz w:val="24"/>
          <w:szCs w:val="24"/>
        </w:rPr>
        <w:t>V</w:t>
      </w:r>
      <w:r w:rsidRPr="000D0F65">
        <w:rPr>
          <w:rFonts w:ascii="Times New Roman" w:hAnsi="Times New Roman" w:cs="Times New Roman"/>
          <w:i/>
          <w:sz w:val="24"/>
          <w:szCs w:val="24"/>
          <w:vertAlign w:val="subscript"/>
        </w:rPr>
        <w:t>0</w:t>
      </w:r>
      <w:r>
        <w:rPr>
          <w:rFonts w:ascii="Times New Roman" w:hAnsi="Times New Roman" w:cs="Times New Roman"/>
          <w:sz w:val="24"/>
          <w:szCs w:val="24"/>
        </w:rPr>
        <w:t xml:space="preserve"> = </w:t>
      </w:r>
      <w:r w:rsidRPr="000D0F65">
        <w:rPr>
          <w:rFonts w:ascii="Times New Roman" w:hAnsi="Times New Roman" w:cs="Times New Roman"/>
          <w:i/>
          <w:sz w:val="24"/>
          <w:szCs w:val="24"/>
        </w:rPr>
        <w:t>B</w:t>
      </w:r>
      <w:r w:rsidRPr="000D0F65">
        <w:rPr>
          <w:rFonts w:ascii="Times New Roman" w:hAnsi="Times New Roman" w:cs="Times New Roman"/>
          <w:i/>
          <w:sz w:val="24"/>
          <w:szCs w:val="24"/>
          <w:vertAlign w:val="subscript"/>
        </w:rPr>
        <w:t>0</w:t>
      </w:r>
      <w:r>
        <w:rPr>
          <w:rFonts w:ascii="Times New Roman" w:hAnsi="Times New Roman" w:cs="Times New Roman"/>
          <w:sz w:val="24"/>
          <w:szCs w:val="24"/>
        </w:rPr>
        <w:t xml:space="preserve">.  The last equation says that the value now of all future payoffs on the regulatory assets is equal to the purchase price of the assets, i.e., the </w:t>
      </w:r>
      <w:r w:rsidR="00346AB2">
        <w:rPr>
          <w:rFonts w:ascii="Times New Roman" w:hAnsi="Times New Roman" w:cs="Times New Roman"/>
          <w:sz w:val="24"/>
          <w:szCs w:val="24"/>
        </w:rPr>
        <w:t>NPV = 0 principle is satisfied.  Thus, in order to satisfy the NPV = 0 principle, the risk-free rate within the cost of equity that is allowed at each regulatory reset must be the prevailing rate for the term of the regulatory cycle.</w:t>
      </w:r>
    </w:p>
    <w:p w:rsidR="00324880" w:rsidRDefault="00324880" w:rsidP="00324880">
      <w:pPr>
        <w:spacing w:after="0" w:line="360" w:lineRule="auto"/>
        <w:jc w:val="both"/>
        <w:rPr>
          <w:rFonts w:ascii="Times New Roman" w:hAnsi="Times New Roman" w:cs="Times New Roman"/>
          <w:sz w:val="24"/>
          <w:szCs w:val="24"/>
        </w:rPr>
      </w:pPr>
    </w:p>
    <w:p w:rsidR="0035741A" w:rsidRPr="007C4C62" w:rsidRDefault="00B23283" w:rsidP="003574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now turn to the situation in which debt is present.  It is presumed in the </w:t>
      </w:r>
      <w:r w:rsidR="0035741A">
        <w:rPr>
          <w:rFonts w:ascii="Times New Roman" w:hAnsi="Times New Roman" w:cs="Times New Roman"/>
          <w:sz w:val="24"/>
          <w:szCs w:val="24"/>
        </w:rPr>
        <w:t xml:space="preserve">earlier analysis </w:t>
      </w:r>
      <w:r w:rsidR="0035741A" w:rsidRPr="007C4C62">
        <w:rPr>
          <w:rFonts w:ascii="Times New Roman" w:hAnsi="Times New Roman" w:cs="Times New Roman"/>
          <w:sz w:val="24"/>
          <w:szCs w:val="24"/>
        </w:rPr>
        <w:t xml:space="preserve">that the actions of a regulator do not change the behavior of </w:t>
      </w:r>
      <w:r>
        <w:rPr>
          <w:rFonts w:ascii="Times New Roman" w:hAnsi="Times New Roman" w:cs="Times New Roman"/>
          <w:sz w:val="24"/>
          <w:szCs w:val="24"/>
        </w:rPr>
        <w:t>the BEE</w:t>
      </w:r>
      <w:r w:rsidR="0035741A" w:rsidRPr="007C4C62">
        <w:rPr>
          <w:rFonts w:ascii="Times New Roman" w:hAnsi="Times New Roman" w:cs="Times New Roman"/>
          <w:sz w:val="24"/>
          <w:szCs w:val="24"/>
        </w:rPr>
        <w:t xml:space="preserve">, i.e., the regulator chooses a policy that </w:t>
      </w:r>
      <w:r w:rsidR="0035741A">
        <w:rPr>
          <w:rFonts w:ascii="Times New Roman" w:hAnsi="Times New Roman" w:cs="Times New Roman"/>
          <w:sz w:val="24"/>
          <w:szCs w:val="24"/>
        </w:rPr>
        <w:t xml:space="preserve">sets the prices or revenues of the </w:t>
      </w:r>
      <w:r>
        <w:rPr>
          <w:rFonts w:ascii="Times New Roman" w:hAnsi="Times New Roman" w:cs="Times New Roman"/>
          <w:sz w:val="24"/>
          <w:szCs w:val="24"/>
        </w:rPr>
        <w:t xml:space="preserve">BEE </w:t>
      </w:r>
      <w:r w:rsidR="0035741A">
        <w:rPr>
          <w:rFonts w:ascii="Times New Roman" w:hAnsi="Times New Roman" w:cs="Times New Roman"/>
          <w:sz w:val="24"/>
          <w:szCs w:val="24"/>
        </w:rPr>
        <w:t>so that their present value net of opex equals the initial investment</w:t>
      </w:r>
      <w:r w:rsidR="008B4234">
        <w:rPr>
          <w:rFonts w:ascii="Times New Roman" w:hAnsi="Times New Roman" w:cs="Times New Roman"/>
          <w:sz w:val="24"/>
          <w:szCs w:val="24"/>
        </w:rPr>
        <w:t xml:space="preserve">.  However, in the presence of debt, </w:t>
      </w:r>
      <w:r w:rsidR="0035741A" w:rsidRPr="007C4C62">
        <w:rPr>
          <w:rFonts w:ascii="Times New Roman" w:hAnsi="Times New Roman" w:cs="Times New Roman"/>
          <w:sz w:val="24"/>
          <w:szCs w:val="24"/>
        </w:rPr>
        <w:t xml:space="preserve">there are a range of policies that a </w:t>
      </w:r>
      <w:r>
        <w:rPr>
          <w:rFonts w:ascii="Times New Roman" w:hAnsi="Times New Roman" w:cs="Times New Roman"/>
          <w:sz w:val="24"/>
          <w:szCs w:val="24"/>
        </w:rPr>
        <w:t xml:space="preserve">BEE </w:t>
      </w:r>
      <w:r w:rsidR="0035741A" w:rsidRPr="007C4C62">
        <w:rPr>
          <w:rFonts w:ascii="Times New Roman" w:hAnsi="Times New Roman" w:cs="Times New Roman"/>
          <w:sz w:val="24"/>
          <w:szCs w:val="24"/>
        </w:rPr>
        <w:t xml:space="preserve">might pursue and the regulator’s choice of </w:t>
      </w:r>
      <w:r w:rsidR="008B4234">
        <w:rPr>
          <w:rFonts w:ascii="Times New Roman" w:hAnsi="Times New Roman" w:cs="Times New Roman"/>
          <w:sz w:val="24"/>
          <w:szCs w:val="24"/>
        </w:rPr>
        <w:t xml:space="preserve">regime </w:t>
      </w:r>
      <w:r w:rsidR="0035741A" w:rsidRPr="007C4C62">
        <w:rPr>
          <w:rFonts w:ascii="Times New Roman" w:hAnsi="Times New Roman" w:cs="Times New Roman"/>
          <w:sz w:val="24"/>
          <w:szCs w:val="24"/>
        </w:rPr>
        <w:t xml:space="preserve">might lead the </w:t>
      </w:r>
      <w:r>
        <w:rPr>
          <w:rFonts w:ascii="Times New Roman" w:hAnsi="Times New Roman" w:cs="Times New Roman"/>
          <w:sz w:val="24"/>
          <w:szCs w:val="24"/>
        </w:rPr>
        <w:t xml:space="preserve">BEE </w:t>
      </w:r>
      <w:r w:rsidR="0035741A" w:rsidRPr="007C4C62">
        <w:rPr>
          <w:rFonts w:ascii="Times New Roman" w:hAnsi="Times New Roman" w:cs="Times New Roman"/>
          <w:sz w:val="24"/>
          <w:szCs w:val="24"/>
        </w:rPr>
        <w:t xml:space="preserve">to change its policy, leading to a further change in regulatory action, and so on.  Under such conditions, the NPV = 0 principle should be viewed not simply as a regulatory policy that gives rise to NPV = 0 but a compatible combination of regulatory policy and </w:t>
      </w:r>
      <w:r>
        <w:rPr>
          <w:rFonts w:ascii="Times New Roman" w:hAnsi="Times New Roman" w:cs="Times New Roman"/>
          <w:sz w:val="24"/>
          <w:szCs w:val="24"/>
        </w:rPr>
        <w:t xml:space="preserve">BEE </w:t>
      </w:r>
      <w:r w:rsidR="0035741A" w:rsidRPr="007C4C62">
        <w:rPr>
          <w:rFonts w:ascii="Times New Roman" w:hAnsi="Times New Roman" w:cs="Times New Roman"/>
          <w:sz w:val="24"/>
          <w:szCs w:val="24"/>
        </w:rPr>
        <w:t xml:space="preserve">actions that satisfies the NPV = 0 principle; this compatible combination must involve a course of action by </w:t>
      </w:r>
      <w:r>
        <w:rPr>
          <w:rFonts w:ascii="Times New Roman" w:hAnsi="Times New Roman" w:cs="Times New Roman"/>
          <w:sz w:val="24"/>
          <w:szCs w:val="24"/>
        </w:rPr>
        <w:t xml:space="preserve">a BEE </w:t>
      </w:r>
      <w:r w:rsidR="0035741A" w:rsidRPr="007C4C62">
        <w:rPr>
          <w:rFonts w:ascii="Times New Roman" w:hAnsi="Times New Roman" w:cs="Times New Roman"/>
          <w:sz w:val="24"/>
          <w:szCs w:val="24"/>
        </w:rPr>
        <w:t xml:space="preserve">that is feasible </w:t>
      </w:r>
      <w:r w:rsidR="004E61AC">
        <w:rPr>
          <w:rFonts w:ascii="Times New Roman" w:hAnsi="Times New Roman" w:cs="Times New Roman"/>
          <w:sz w:val="24"/>
          <w:szCs w:val="24"/>
        </w:rPr>
        <w:t xml:space="preserve">in the absence of </w:t>
      </w:r>
      <w:r w:rsidR="0035741A">
        <w:rPr>
          <w:rFonts w:ascii="Times New Roman" w:hAnsi="Times New Roman" w:cs="Times New Roman"/>
          <w:sz w:val="24"/>
          <w:szCs w:val="24"/>
        </w:rPr>
        <w:t xml:space="preserve">regulation </w:t>
      </w:r>
      <w:r w:rsidR="0035741A" w:rsidRPr="007C4C62">
        <w:rPr>
          <w:rFonts w:ascii="Times New Roman" w:hAnsi="Times New Roman" w:cs="Times New Roman"/>
          <w:sz w:val="24"/>
          <w:szCs w:val="24"/>
        </w:rPr>
        <w:t xml:space="preserve">and a regulatory </w:t>
      </w:r>
      <w:r w:rsidR="004E61AC">
        <w:rPr>
          <w:rFonts w:ascii="Times New Roman" w:hAnsi="Times New Roman" w:cs="Times New Roman"/>
          <w:sz w:val="24"/>
          <w:szCs w:val="24"/>
        </w:rPr>
        <w:t xml:space="preserve">regime </w:t>
      </w:r>
      <w:r w:rsidR="0035741A" w:rsidRPr="007C4C62">
        <w:rPr>
          <w:rFonts w:ascii="Times New Roman" w:hAnsi="Times New Roman" w:cs="Times New Roman"/>
          <w:sz w:val="24"/>
          <w:szCs w:val="24"/>
        </w:rPr>
        <w:t xml:space="preserve">whose imposition would not cause the </w:t>
      </w:r>
      <w:r>
        <w:rPr>
          <w:rFonts w:ascii="Times New Roman" w:hAnsi="Times New Roman" w:cs="Times New Roman"/>
          <w:sz w:val="24"/>
          <w:szCs w:val="24"/>
        </w:rPr>
        <w:t xml:space="preserve">BEE </w:t>
      </w:r>
      <w:r w:rsidR="0035741A" w:rsidRPr="007C4C62">
        <w:rPr>
          <w:rFonts w:ascii="Times New Roman" w:hAnsi="Times New Roman" w:cs="Times New Roman"/>
          <w:sz w:val="24"/>
          <w:szCs w:val="24"/>
        </w:rPr>
        <w:t xml:space="preserve">to change </w:t>
      </w:r>
      <w:r w:rsidR="0035741A">
        <w:rPr>
          <w:rFonts w:ascii="Times New Roman" w:hAnsi="Times New Roman" w:cs="Times New Roman"/>
          <w:sz w:val="24"/>
          <w:szCs w:val="24"/>
        </w:rPr>
        <w:t xml:space="preserve">this </w:t>
      </w:r>
      <w:r w:rsidR="0035741A" w:rsidRPr="007C4C62">
        <w:rPr>
          <w:rFonts w:ascii="Times New Roman" w:hAnsi="Times New Roman" w:cs="Times New Roman"/>
          <w:sz w:val="24"/>
          <w:szCs w:val="24"/>
        </w:rPr>
        <w:t>behavior (“</w:t>
      </w:r>
      <w:r w:rsidR="0035741A">
        <w:rPr>
          <w:rFonts w:ascii="Times New Roman" w:hAnsi="Times New Roman" w:cs="Times New Roman"/>
          <w:sz w:val="24"/>
          <w:szCs w:val="24"/>
        </w:rPr>
        <w:t>matching</w:t>
      </w:r>
      <w:r w:rsidR="0035741A" w:rsidRPr="007C4C62">
        <w:rPr>
          <w:rFonts w:ascii="Times New Roman" w:hAnsi="Times New Roman" w:cs="Times New Roman"/>
          <w:sz w:val="24"/>
          <w:szCs w:val="24"/>
        </w:rPr>
        <w:t xml:space="preserve">” regulatory policy).  </w:t>
      </w:r>
      <w:r w:rsidR="00A637F0">
        <w:rPr>
          <w:rFonts w:ascii="Times New Roman" w:hAnsi="Times New Roman" w:cs="Times New Roman"/>
          <w:sz w:val="24"/>
          <w:szCs w:val="24"/>
        </w:rPr>
        <w:t xml:space="preserve">There </w:t>
      </w:r>
      <w:r w:rsidR="0035741A" w:rsidRPr="007C4C62">
        <w:rPr>
          <w:rFonts w:ascii="Times New Roman" w:hAnsi="Times New Roman" w:cs="Times New Roman"/>
          <w:sz w:val="24"/>
          <w:szCs w:val="24"/>
        </w:rPr>
        <w:t xml:space="preserve">may be more than one combination that satisfies this definition.  </w:t>
      </w:r>
    </w:p>
    <w:p w:rsidR="0035741A" w:rsidRDefault="0035741A" w:rsidP="0035741A">
      <w:pPr>
        <w:spacing w:after="0" w:line="360" w:lineRule="auto"/>
        <w:jc w:val="both"/>
        <w:rPr>
          <w:rFonts w:ascii="Times New Roman" w:hAnsi="Times New Roman" w:cs="Times New Roman"/>
          <w:sz w:val="24"/>
          <w:szCs w:val="24"/>
        </w:rPr>
      </w:pPr>
    </w:p>
    <w:p w:rsidR="007632AF" w:rsidRDefault="00A06120" w:rsidP="002F29BD">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If the </w:t>
      </w:r>
      <w:r w:rsidR="00B23283">
        <w:rPr>
          <w:rFonts w:ascii="Times New Roman" w:hAnsi="Times New Roman" w:cs="Times New Roman"/>
          <w:sz w:val="24"/>
          <w:szCs w:val="24"/>
        </w:rPr>
        <w:t xml:space="preserve">BEE’s </w:t>
      </w:r>
      <w:r>
        <w:rPr>
          <w:rFonts w:ascii="Times New Roman" w:hAnsi="Times New Roman" w:cs="Times New Roman"/>
          <w:sz w:val="24"/>
          <w:szCs w:val="24"/>
        </w:rPr>
        <w:t>debt policy were to borrow to match the regulatory cycle</w:t>
      </w:r>
      <w:r w:rsidR="00B51744">
        <w:rPr>
          <w:rFonts w:ascii="Times New Roman" w:hAnsi="Times New Roman" w:cs="Times New Roman"/>
          <w:sz w:val="24"/>
          <w:szCs w:val="24"/>
        </w:rPr>
        <w:t>,</w:t>
      </w:r>
      <w:r>
        <w:rPr>
          <w:rFonts w:ascii="Times New Roman" w:hAnsi="Times New Roman" w:cs="Times New Roman"/>
          <w:sz w:val="24"/>
          <w:szCs w:val="24"/>
        </w:rPr>
        <w:t xml:space="preserve"> and the regulatory regime were the on-the-day policy, this combination would satisfy the NPV = 0 principle.  </w:t>
      </w:r>
      <w:r w:rsidR="0035741A">
        <w:rPr>
          <w:rFonts w:ascii="Times New Roman" w:hAnsi="Times New Roman" w:cs="Times New Roman"/>
          <w:sz w:val="24"/>
          <w:szCs w:val="24"/>
        </w:rPr>
        <w:t xml:space="preserve">To illustrate this point, consider the </w:t>
      </w:r>
      <w:r w:rsidR="008B4234">
        <w:rPr>
          <w:rFonts w:ascii="Times New Roman" w:hAnsi="Times New Roman" w:cs="Times New Roman"/>
          <w:sz w:val="24"/>
          <w:szCs w:val="24"/>
        </w:rPr>
        <w:t xml:space="preserve">previous scenario in which </w:t>
      </w:r>
      <w:r w:rsidR="00E72E7E">
        <w:rPr>
          <w:rFonts w:ascii="Times New Roman" w:hAnsi="Times New Roman" w:cs="Times New Roman"/>
          <w:sz w:val="24"/>
          <w:szCs w:val="24"/>
        </w:rPr>
        <w:t xml:space="preserve">the regulatory period is one year and the asset life is four years.  </w:t>
      </w:r>
      <w:r>
        <w:rPr>
          <w:rFonts w:ascii="Times New Roman" w:hAnsi="Times New Roman" w:cs="Times New Roman"/>
          <w:sz w:val="24"/>
          <w:szCs w:val="24"/>
        </w:rPr>
        <w:t xml:space="preserve">So, the </w:t>
      </w:r>
      <w:r w:rsidR="00B23283">
        <w:rPr>
          <w:rFonts w:ascii="Times New Roman" w:hAnsi="Times New Roman" w:cs="Times New Roman"/>
          <w:sz w:val="24"/>
          <w:szCs w:val="24"/>
        </w:rPr>
        <w:t xml:space="preserve">BEE </w:t>
      </w:r>
      <w:r>
        <w:rPr>
          <w:rFonts w:ascii="Times New Roman" w:hAnsi="Times New Roman" w:cs="Times New Roman"/>
          <w:sz w:val="24"/>
          <w:szCs w:val="24"/>
        </w:rPr>
        <w:t xml:space="preserve">would borrow </w:t>
      </w:r>
      <w:r w:rsidR="00E72E7E">
        <w:rPr>
          <w:rFonts w:ascii="Times New Roman" w:hAnsi="Times New Roman" w:cs="Times New Roman"/>
          <w:sz w:val="24"/>
          <w:szCs w:val="24"/>
        </w:rPr>
        <w:t xml:space="preserve">for a one-year term with roll-over (and therefore the cost of debt incurred in each year </w:t>
      </w:r>
      <w:r w:rsidR="003C4A65">
        <w:rPr>
          <w:rFonts w:ascii="Times New Roman" w:hAnsi="Times New Roman" w:cs="Times New Roman"/>
          <w:sz w:val="24"/>
          <w:szCs w:val="24"/>
        </w:rPr>
        <w:t xml:space="preserve">would be the </w:t>
      </w:r>
      <w:r w:rsidR="00E72E7E">
        <w:rPr>
          <w:rFonts w:ascii="Times New Roman" w:hAnsi="Times New Roman" w:cs="Times New Roman"/>
          <w:sz w:val="24"/>
          <w:szCs w:val="24"/>
        </w:rPr>
        <w:t>sum of the one year risk free rate and the DRP prevaili</w:t>
      </w:r>
      <w:r w:rsidR="003C4A65">
        <w:rPr>
          <w:rFonts w:ascii="Times New Roman" w:hAnsi="Times New Roman" w:cs="Times New Roman"/>
          <w:sz w:val="24"/>
          <w:szCs w:val="24"/>
        </w:rPr>
        <w:t>ng at the beginning of the year)</w:t>
      </w:r>
      <w:r w:rsidR="007921B6">
        <w:rPr>
          <w:rFonts w:ascii="Times New Roman" w:hAnsi="Times New Roman" w:cs="Times New Roman"/>
          <w:sz w:val="24"/>
          <w:szCs w:val="24"/>
        </w:rPr>
        <w:t xml:space="preserve">.  In addition, the </w:t>
      </w:r>
      <w:r w:rsidR="00E72E7E">
        <w:rPr>
          <w:rFonts w:ascii="Times New Roman" w:hAnsi="Times New Roman" w:cs="Times New Roman"/>
          <w:sz w:val="24"/>
          <w:szCs w:val="24"/>
        </w:rPr>
        <w:t xml:space="preserve">regulatory regime </w:t>
      </w:r>
      <w:r>
        <w:rPr>
          <w:rFonts w:ascii="Times New Roman" w:hAnsi="Times New Roman" w:cs="Times New Roman"/>
          <w:sz w:val="24"/>
          <w:szCs w:val="24"/>
        </w:rPr>
        <w:t xml:space="preserve">would involve </w:t>
      </w:r>
      <w:r w:rsidR="00E72E7E">
        <w:rPr>
          <w:rFonts w:ascii="Times New Roman" w:hAnsi="Times New Roman" w:cs="Times New Roman"/>
          <w:sz w:val="24"/>
          <w:szCs w:val="24"/>
        </w:rPr>
        <w:t xml:space="preserve">resetting the </w:t>
      </w:r>
      <w:r w:rsidR="002F29BD">
        <w:rPr>
          <w:rFonts w:ascii="Times New Roman" w:hAnsi="Times New Roman" w:cs="Times New Roman"/>
          <w:sz w:val="24"/>
          <w:szCs w:val="24"/>
        </w:rPr>
        <w:t xml:space="preserve">revenue </w:t>
      </w:r>
      <w:r w:rsidR="00E72E7E">
        <w:rPr>
          <w:rFonts w:ascii="Times New Roman" w:hAnsi="Times New Roman" w:cs="Times New Roman"/>
          <w:sz w:val="24"/>
          <w:szCs w:val="24"/>
        </w:rPr>
        <w:t xml:space="preserve">cap at the beginning of each year in accordance with </w:t>
      </w:r>
      <w:r w:rsidR="007921B6">
        <w:rPr>
          <w:rFonts w:ascii="Times New Roman" w:hAnsi="Times New Roman" w:cs="Times New Roman"/>
          <w:sz w:val="24"/>
          <w:szCs w:val="24"/>
        </w:rPr>
        <w:t xml:space="preserve">the prevailing </w:t>
      </w:r>
      <w:r w:rsidR="00E72E7E">
        <w:rPr>
          <w:rFonts w:ascii="Times New Roman" w:hAnsi="Times New Roman" w:cs="Times New Roman"/>
          <w:sz w:val="24"/>
          <w:szCs w:val="24"/>
        </w:rPr>
        <w:t xml:space="preserve">one-year </w:t>
      </w:r>
      <w:r w:rsidR="003C4A65">
        <w:rPr>
          <w:rFonts w:ascii="Times New Roman" w:hAnsi="Times New Roman" w:cs="Times New Roman"/>
          <w:sz w:val="24"/>
          <w:szCs w:val="24"/>
        </w:rPr>
        <w:t xml:space="preserve">cost of debt and the prevailing one-year </w:t>
      </w:r>
      <w:r w:rsidR="007632AF">
        <w:rPr>
          <w:rFonts w:ascii="Times New Roman" w:hAnsi="Times New Roman" w:cs="Times New Roman"/>
          <w:sz w:val="24"/>
          <w:szCs w:val="24"/>
        </w:rPr>
        <w:t xml:space="preserve">risk-free rate for the cost of equity.  </w:t>
      </w:r>
      <w:r>
        <w:rPr>
          <w:rFonts w:ascii="Times New Roman" w:hAnsi="Times New Roman" w:cs="Times New Roman"/>
          <w:sz w:val="24"/>
          <w:szCs w:val="24"/>
        </w:rPr>
        <w:t xml:space="preserve">I assume that the </w:t>
      </w:r>
      <w:r w:rsidR="007632AF">
        <w:rPr>
          <w:rFonts w:ascii="Times New Roman" w:hAnsi="Times New Roman" w:cs="Times New Roman"/>
          <w:sz w:val="24"/>
          <w:szCs w:val="24"/>
        </w:rPr>
        <w:t xml:space="preserve">regulatory leverage ratio is 60%.  So, I start with the situation at the end of the third year (time 3), at which point </w:t>
      </w:r>
      <w:r w:rsidR="000C71AA">
        <w:rPr>
          <w:rFonts w:ascii="Times New Roman" w:hAnsi="Times New Roman" w:cs="Times New Roman"/>
          <w:sz w:val="24"/>
          <w:szCs w:val="24"/>
        </w:rPr>
        <w:t xml:space="preserve">the </w:t>
      </w:r>
      <w:r w:rsidR="007632AF">
        <w:rPr>
          <w:rFonts w:ascii="Times New Roman" w:hAnsi="Times New Roman" w:cs="Times New Roman"/>
          <w:sz w:val="24"/>
          <w:szCs w:val="24"/>
        </w:rPr>
        <w:t>revenue cap will be set to yield revenues at time 4 (</w:t>
      </w:r>
      <w:r w:rsidR="007632AF" w:rsidRPr="001D4E8A">
        <w:rPr>
          <w:rFonts w:ascii="Times New Roman" w:hAnsi="Times New Roman" w:cs="Times New Roman"/>
          <w:i/>
          <w:sz w:val="24"/>
          <w:szCs w:val="24"/>
        </w:rPr>
        <w:t>REV</w:t>
      </w:r>
      <w:r w:rsidR="007632AF" w:rsidRPr="001D4E8A">
        <w:rPr>
          <w:rFonts w:ascii="Times New Roman" w:hAnsi="Times New Roman" w:cs="Times New Roman"/>
          <w:i/>
          <w:sz w:val="24"/>
          <w:szCs w:val="24"/>
          <w:vertAlign w:val="subscript"/>
        </w:rPr>
        <w:t>4</w:t>
      </w:r>
      <w:r w:rsidR="007632AF">
        <w:rPr>
          <w:rFonts w:ascii="Times New Roman" w:hAnsi="Times New Roman" w:cs="Times New Roman"/>
          <w:sz w:val="24"/>
          <w:szCs w:val="24"/>
        </w:rPr>
        <w:t xml:space="preserve">).  </w:t>
      </w:r>
      <w:r w:rsidR="002F29BD">
        <w:rPr>
          <w:rFonts w:ascii="Times New Roman" w:hAnsi="Times New Roman" w:cs="Times New Roman"/>
          <w:sz w:val="24"/>
          <w:szCs w:val="24"/>
        </w:rPr>
        <w:t xml:space="preserve">Paralleling equation (3), the </w:t>
      </w:r>
      <w:r w:rsidR="007632AF">
        <w:rPr>
          <w:rFonts w:ascii="Times New Roman" w:hAnsi="Times New Roman" w:cs="Times New Roman"/>
          <w:sz w:val="24"/>
          <w:szCs w:val="24"/>
        </w:rPr>
        <w:t xml:space="preserve">value at time 3 of the subsequent payoffs to </w:t>
      </w:r>
      <w:r w:rsidR="007632AF">
        <w:rPr>
          <w:rFonts w:ascii="Times New Roman" w:hAnsi="Times New Roman" w:cs="Times New Roman"/>
          <w:sz w:val="24"/>
          <w:szCs w:val="24"/>
        </w:rPr>
        <w:lastRenderedPageBreak/>
        <w:t>equity holders from the regulatory assets</w:t>
      </w:r>
      <w:r w:rsidR="004E61AC">
        <w:rPr>
          <w:rFonts w:ascii="Times New Roman" w:hAnsi="Times New Roman" w:cs="Times New Roman"/>
          <w:sz w:val="24"/>
          <w:szCs w:val="24"/>
        </w:rPr>
        <w:t xml:space="preserve"> (</w:t>
      </w:r>
      <w:r w:rsidR="004E61AC" w:rsidRPr="004E61AC">
        <w:rPr>
          <w:rFonts w:ascii="Times New Roman" w:hAnsi="Times New Roman" w:cs="Times New Roman"/>
          <w:i/>
          <w:sz w:val="24"/>
          <w:szCs w:val="24"/>
        </w:rPr>
        <w:t>S</w:t>
      </w:r>
      <w:r w:rsidR="004E61AC" w:rsidRPr="004E61AC">
        <w:rPr>
          <w:rFonts w:ascii="Times New Roman" w:hAnsi="Times New Roman" w:cs="Times New Roman"/>
          <w:i/>
          <w:sz w:val="24"/>
          <w:szCs w:val="24"/>
          <w:vertAlign w:val="subscript"/>
        </w:rPr>
        <w:t>3</w:t>
      </w:r>
      <w:r w:rsidR="004E61AC">
        <w:rPr>
          <w:rFonts w:ascii="Times New Roman" w:hAnsi="Times New Roman" w:cs="Times New Roman"/>
          <w:sz w:val="24"/>
          <w:szCs w:val="24"/>
        </w:rPr>
        <w:t>)</w:t>
      </w:r>
      <w:r w:rsidR="007632AF">
        <w:rPr>
          <w:rFonts w:ascii="Times New Roman" w:hAnsi="Times New Roman" w:cs="Times New Roman"/>
          <w:sz w:val="24"/>
          <w:szCs w:val="24"/>
        </w:rPr>
        <w:t xml:space="preserve"> will be the value at time 3 of these revenues at time 4 net of the operating costs at time 4 (</w:t>
      </w:r>
      <w:r w:rsidR="007632AF" w:rsidRPr="001D4E8A">
        <w:rPr>
          <w:rFonts w:ascii="Times New Roman" w:hAnsi="Times New Roman" w:cs="Times New Roman"/>
          <w:i/>
          <w:sz w:val="24"/>
          <w:szCs w:val="24"/>
        </w:rPr>
        <w:t>OPEX</w:t>
      </w:r>
      <w:r w:rsidR="007632AF" w:rsidRPr="001D4E8A">
        <w:rPr>
          <w:rFonts w:ascii="Times New Roman" w:hAnsi="Times New Roman" w:cs="Times New Roman"/>
          <w:i/>
          <w:sz w:val="24"/>
          <w:szCs w:val="24"/>
          <w:vertAlign w:val="subscript"/>
        </w:rPr>
        <w:t>4</w:t>
      </w:r>
      <w:r w:rsidR="007632AF">
        <w:rPr>
          <w:rFonts w:ascii="Times New Roman" w:hAnsi="Times New Roman" w:cs="Times New Roman"/>
          <w:sz w:val="24"/>
          <w:szCs w:val="24"/>
        </w:rPr>
        <w:t>) and payments to debt holders, discounted at the one year risk free rate prevailing at time 3 (</w:t>
      </w:r>
      <w:r w:rsidR="007632AF" w:rsidRPr="001D4E8A">
        <w:rPr>
          <w:rFonts w:ascii="Times New Roman" w:hAnsi="Times New Roman" w:cs="Times New Roman"/>
          <w:i/>
          <w:sz w:val="24"/>
          <w:szCs w:val="24"/>
        </w:rPr>
        <w:t>R</w:t>
      </w:r>
      <w:r w:rsidR="007632AF" w:rsidRPr="001D4E8A">
        <w:rPr>
          <w:rFonts w:ascii="Times New Roman" w:hAnsi="Times New Roman" w:cs="Times New Roman"/>
          <w:i/>
          <w:sz w:val="24"/>
          <w:szCs w:val="24"/>
          <w:vertAlign w:val="subscript"/>
        </w:rPr>
        <w:t>f34</w:t>
      </w:r>
      <w:r w:rsidR="007632AF">
        <w:rPr>
          <w:rFonts w:ascii="Times New Roman" w:hAnsi="Times New Roman" w:cs="Times New Roman"/>
          <w:sz w:val="24"/>
          <w:szCs w:val="24"/>
        </w:rPr>
        <w:t>)</w:t>
      </w:r>
      <w:r w:rsidR="00272407">
        <w:rPr>
          <w:rFonts w:ascii="Times New Roman" w:hAnsi="Times New Roman" w:cs="Times New Roman"/>
          <w:sz w:val="24"/>
          <w:szCs w:val="24"/>
        </w:rPr>
        <w:t xml:space="preserve"> because the time 4 payoffs are certain</w:t>
      </w:r>
      <w:r w:rsidR="000C71AA">
        <w:rPr>
          <w:rFonts w:ascii="Times New Roman" w:hAnsi="Times New Roman" w:cs="Times New Roman"/>
          <w:sz w:val="24"/>
          <w:szCs w:val="24"/>
        </w:rPr>
        <w:t>:</w:t>
      </w:r>
    </w:p>
    <w:p w:rsidR="000C71AA" w:rsidRDefault="000C71AA" w:rsidP="002F29BD">
      <w:pPr>
        <w:pStyle w:val="ListParagraph"/>
        <w:spacing w:after="0" w:line="360" w:lineRule="auto"/>
        <w:ind w:left="0"/>
        <w:jc w:val="both"/>
        <w:rPr>
          <w:rFonts w:ascii="Times New Roman" w:hAnsi="Times New Roman" w:cs="Times New Roman"/>
          <w:sz w:val="24"/>
          <w:szCs w:val="24"/>
        </w:rPr>
      </w:pPr>
    </w:p>
    <w:p w:rsidR="007632AF" w:rsidRDefault="007632AF" w:rsidP="00763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2407">
        <w:rPr>
          <w:rFonts w:ascii="Times New Roman" w:hAnsi="Times New Roman" w:cs="Times New Roman"/>
          <w:sz w:val="24"/>
          <w:szCs w:val="24"/>
        </w:rPr>
        <w:t xml:space="preserve">             </w:t>
      </w:r>
      <w:r w:rsidR="00272407" w:rsidRPr="000B3F83">
        <w:rPr>
          <w:b/>
          <w:bCs/>
          <w:position w:val="-32"/>
        </w:rPr>
        <w:object w:dxaOrig="4480" w:dyaOrig="740">
          <v:shape id="_x0000_i1033" type="#_x0000_t75" style="width:222.7pt;height:37.65pt" o:ole="">
            <v:imagedata r:id="rId24" o:title=""/>
          </v:shape>
          <o:OLEObject Type="Embed" ProgID="Equation.3" ShapeID="_x0000_i1033" DrawAspect="Content" ObjectID="_1494742909" r:id="rId25"/>
        </w:object>
      </w:r>
      <w:r w:rsidR="00272407">
        <w:rPr>
          <w:rFonts w:ascii="Times New Roman" w:hAnsi="Times New Roman" w:cs="Times New Roman"/>
          <w:sz w:val="24"/>
          <w:szCs w:val="24"/>
        </w:rPr>
        <w:t xml:space="preserve">              </w:t>
      </w:r>
      <w:r w:rsidR="00105705">
        <w:rPr>
          <w:rFonts w:ascii="Times New Roman" w:hAnsi="Times New Roman" w:cs="Times New Roman"/>
          <w:sz w:val="24"/>
          <w:szCs w:val="24"/>
        </w:rPr>
        <w:t xml:space="preserve">                 </w:t>
      </w:r>
      <w:r w:rsidR="0041053D">
        <w:rPr>
          <w:rFonts w:ascii="Times New Roman" w:hAnsi="Times New Roman" w:cs="Times New Roman"/>
          <w:sz w:val="24"/>
          <w:szCs w:val="24"/>
        </w:rPr>
        <w:t>(9</w:t>
      </w:r>
      <w:r>
        <w:rPr>
          <w:rFonts w:ascii="Times New Roman" w:hAnsi="Times New Roman" w:cs="Times New Roman"/>
          <w:sz w:val="24"/>
          <w:szCs w:val="24"/>
        </w:rPr>
        <w:t>)</w:t>
      </w:r>
    </w:p>
    <w:p w:rsidR="007632AF" w:rsidRDefault="007632AF" w:rsidP="007632AF">
      <w:pPr>
        <w:spacing w:after="0" w:line="360" w:lineRule="auto"/>
        <w:jc w:val="both"/>
        <w:rPr>
          <w:rFonts w:ascii="Times New Roman" w:hAnsi="Times New Roman" w:cs="Times New Roman"/>
          <w:sz w:val="24"/>
          <w:szCs w:val="24"/>
        </w:rPr>
      </w:pPr>
    </w:p>
    <w:p w:rsidR="007632AF" w:rsidRDefault="002F29BD" w:rsidP="00763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Paralleling equation (4), revenues </w:t>
      </w:r>
      <w:r w:rsidR="007632AF">
        <w:rPr>
          <w:rFonts w:ascii="Times New Roman" w:hAnsi="Times New Roman" w:cs="Times New Roman"/>
          <w:sz w:val="24"/>
          <w:szCs w:val="24"/>
        </w:rPr>
        <w:t xml:space="preserve">received at time 4 are set at time 3 to cover operating costs at time 4, depreciation for year 4, and the </w:t>
      </w:r>
      <w:r w:rsidR="00272407">
        <w:rPr>
          <w:rFonts w:ascii="Times New Roman" w:hAnsi="Times New Roman" w:cs="Times New Roman"/>
          <w:sz w:val="24"/>
          <w:szCs w:val="24"/>
        </w:rPr>
        <w:t xml:space="preserve">prevailing </w:t>
      </w:r>
      <w:r w:rsidR="004E61AC">
        <w:rPr>
          <w:rFonts w:ascii="Times New Roman" w:hAnsi="Times New Roman" w:cs="Times New Roman"/>
          <w:sz w:val="24"/>
          <w:szCs w:val="24"/>
        </w:rPr>
        <w:t>WACC</w:t>
      </w:r>
      <w:r w:rsidR="007632AF">
        <w:rPr>
          <w:rFonts w:ascii="Times New Roman" w:hAnsi="Times New Roman" w:cs="Times New Roman"/>
          <w:sz w:val="24"/>
          <w:szCs w:val="24"/>
        </w:rPr>
        <w:t xml:space="preserve"> as follows: </w:t>
      </w:r>
    </w:p>
    <w:p w:rsidR="007632AF" w:rsidRDefault="007632AF" w:rsidP="007632AF">
      <w:pPr>
        <w:spacing w:after="0" w:line="360" w:lineRule="auto"/>
        <w:jc w:val="both"/>
        <w:rPr>
          <w:rFonts w:ascii="Times New Roman" w:hAnsi="Times New Roman" w:cs="Times New Roman"/>
          <w:sz w:val="24"/>
          <w:szCs w:val="24"/>
        </w:rPr>
      </w:pPr>
    </w:p>
    <w:p w:rsidR="007632AF" w:rsidRDefault="007632AF" w:rsidP="00763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2407">
        <w:rPr>
          <w:rFonts w:ascii="Times New Roman" w:hAnsi="Times New Roman" w:cs="Times New Roman"/>
          <w:sz w:val="24"/>
          <w:szCs w:val="24"/>
        </w:rPr>
        <w:t xml:space="preserve">       </w:t>
      </w:r>
      <w:r w:rsidR="000A4C5F">
        <w:rPr>
          <w:rFonts w:ascii="Times New Roman" w:hAnsi="Times New Roman" w:cs="Times New Roman"/>
          <w:sz w:val="24"/>
          <w:szCs w:val="24"/>
        </w:rPr>
        <w:t xml:space="preserve"> </w:t>
      </w:r>
      <w:r w:rsidR="000A4C5F" w:rsidRPr="000B3F83">
        <w:rPr>
          <w:b/>
          <w:bCs/>
          <w:position w:val="-14"/>
        </w:rPr>
        <w:object w:dxaOrig="5440" w:dyaOrig="380">
          <v:shape id="_x0000_i1034" type="#_x0000_t75" style="width:273.75pt;height:19.25pt" o:ole="">
            <v:imagedata r:id="rId26" o:title=""/>
          </v:shape>
          <o:OLEObject Type="Embed" ProgID="Equation.3" ShapeID="_x0000_i1034" DrawAspect="Content" ObjectID="_1494742910" r:id="rId27"/>
        </w:object>
      </w:r>
      <w:r w:rsidR="00272407">
        <w:rPr>
          <w:rFonts w:ascii="Times New Roman" w:hAnsi="Times New Roman" w:cs="Times New Roman"/>
          <w:sz w:val="24"/>
          <w:szCs w:val="24"/>
        </w:rPr>
        <w:t xml:space="preserve">    </w:t>
      </w:r>
      <w:r>
        <w:rPr>
          <w:rFonts w:ascii="Times New Roman" w:hAnsi="Times New Roman" w:cs="Times New Roman"/>
          <w:sz w:val="24"/>
          <w:szCs w:val="24"/>
        </w:rPr>
        <w:t xml:space="preserve">              </w:t>
      </w:r>
      <w:r w:rsidR="00105705">
        <w:rPr>
          <w:rFonts w:ascii="Times New Roman" w:hAnsi="Times New Roman" w:cs="Times New Roman"/>
          <w:sz w:val="24"/>
          <w:szCs w:val="24"/>
        </w:rPr>
        <w:t xml:space="preserve">  </w:t>
      </w:r>
      <w:r>
        <w:rPr>
          <w:rFonts w:ascii="Times New Roman" w:hAnsi="Times New Roman" w:cs="Times New Roman"/>
          <w:sz w:val="24"/>
          <w:szCs w:val="24"/>
        </w:rPr>
        <w:t>(</w:t>
      </w:r>
      <w:r w:rsidR="0041053D">
        <w:rPr>
          <w:rFonts w:ascii="Times New Roman" w:hAnsi="Times New Roman" w:cs="Times New Roman"/>
          <w:sz w:val="24"/>
          <w:szCs w:val="24"/>
        </w:rPr>
        <w:t>10</w:t>
      </w:r>
      <w:r>
        <w:rPr>
          <w:rFonts w:ascii="Times New Roman" w:hAnsi="Times New Roman" w:cs="Times New Roman"/>
          <w:sz w:val="24"/>
          <w:szCs w:val="24"/>
        </w:rPr>
        <w:t>)</w:t>
      </w:r>
    </w:p>
    <w:p w:rsidR="007632AF" w:rsidRDefault="007632AF" w:rsidP="007632AF">
      <w:pPr>
        <w:spacing w:after="0" w:line="360" w:lineRule="auto"/>
        <w:jc w:val="center"/>
        <w:rPr>
          <w:rFonts w:ascii="Times New Roman" w:hAnsi="Times New Roman" w:cs="Times New Roman"/>
          <w:sz w:val="24"/>
          <w:szCs w:val="24"/>
        </w:rPr>
      </w:pPr>
    </w:p>
    <w:p w:rsidR="007632AF" w:rsidRDefault="007632AF" w:rsidP="00763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year 4 is the last year, then </w:t>
      </w:r>
      <w:r w:rsidRPr="00E23F8C">
        <w:rPr>
          <w:rFonts w:ascii="Times New Roman" w:hAnsi="Times New Roman" w:cs="Times New Roman"/>
          <w:i/>
          <w:sz w:val="24"/>
          <w:szCs w:val="24"/>
        </w:rPr>
        <w:t>DEP</w:t>
      </w:r>
      <w:r w:rsidRPr="00E23F8C">
        <w:rPr>
          <w:rFonts w:ascii="Times New Roman" w:hAnsi="Times New Roman" w:cs="Times New Roman"/>
          <w:i/>
          <w:sz w:val="24"/>
          <w:szCs w:val="24"/>
          <w:vertAlign w:val="subscript"/>
        </w:rPr>
        <w:t>4</w:t>
      </w:r>
      <w:r>
        <w:rPr>
          <w:rFonts w:ascii="Times New Roman" w:hAnsi="Times New Roman" w:cs="Times New Roman"/>
          <w:sz w:val="24"/>
          <w:szCs w:val="24"/>
        </w:rPr>
        <w:t xml:space="preserve"> = </w:t>
      </w:r>
      <w:r w:rsidRPr="00E23F8C">
        <w:rPr>
          <w:rFonts w:ascii="Times New Roman" w:hAnsi="Times New Roman" w:cs="Times New Roman"/>
          <w:i/>
          <w:sz w:val="24"/>
          <w:szCs w:val="24"/>
        </w:rPr>
        <w:t>B</w:t>
      </w:r>
      <w:r w:rsidRPr="00E23F8C">
        <w:rPr>
          <w:rFonts w:ascii="Times New Roman" w:hAnsi="Times New Roman" w:cs="Times New Roman"/>
          <w:i/>
          <w:sz w:val="24"/>
          <w:szCs w:val="24"/>
          <w:vertAlign w:val="subscript"/>
        </w:rPr>
        <w:t>3</w:t>
      </w:r>
      <w:r>
        <w:rPr>
          <w:rFonts w:ascii="Times New Roman" w:hAnsi="Times New Roman" w:cs="Times New Roman"/>
          <w:sz w:val="24"/>
          <w:szCs w:val="24"/>
        </w:rPr>
        <w:t>.  Substituting this int</w:t>
      </w:r>
      <w:r w:rsidR="000C71AA">
        <w:rPr>
          <w:rFonts w:ascii="Times New Roman" w:hAnsi="Times New Roman" w:cs="Times New Roman"/>
          <w:sz w:val="24"/>
          <w:szCs w:val="24"/>
        </w:rPr>
        <w:t>o equation (10) and then (10) into (9</w:t>
      </w:r>
      <w:r>
        <w:rPr>
          <w:rFonts w:ascii="Times New Roman" w:hAnsi="Times New Roman" w:cs="Times New Roman"/>
          <w:sz w:val="24"/>
          <w:szCs w:val="24"/>
        </w:rPr>
        <w:t>) yields</w:t>
      </w:r>
    </w:p>
    <w:p w:rsidR="007632AF" w:rsidRDefault="007632AF" w:rsidP="00763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4C5F">
        <w:rPr>
          <w:rFonts w:ascii="Times New Roman" w:hAnsi="Times New Roman" w:cs="Times New Roman"/>
          <w:sz w:val="24"/>
          <w:szCs w:val="24"/>
        </w:rPr>
        <w:t xml:space="preserve">                     </w:t>
      </w:r>
      <w:r>
        <w:rPr>
          <w:rFonts w:ascii="Times New Roman" w:hAnsi="Times New Roman" w:cs="Times New Roman"/>
          <w:sz w:val="24"/>
          <w:szCs w:val="24"/>
        </w:rPr>
        <w:t xml:space="preserve">         </w:t>
      </w:r>
      <w:r w:rsidR="000A4C5F" w:rsidRPr="000B3F83">
        <w:rPr>
          <w:b/>
          <w:bCs/>
          <w:position w:val="-32"/>
        </w:rPr>
        <w:object w:dxaOrig="2560" w:dyaOrig="740">
          <v:shape id="_x0000_i1035" type="#_x0000_t75" style="width:128.1pt;height:36.85pt" o:ole="">
            <v:imagedata r:id="rId28" o:title=""/>
          </v:shape>
          <o:OLEObject Type="Embed" ProgID="Equation.3" ShapeID="_x0000_i1035" DrawAspect="Content" ObjectID="_1494742911" r:id="rId29"/>
        </w:object>
      </w:r>
      <w:r>
        <w:rPr>
          <w:rFonts w:ascii="Times New Roman" w:hAnsi="Times New Roman" w:cs="Times New Roman"/>
          <w:sz w:val="24"/>
          <w:szCs w:val="24"/>
        </w:rPr>
        <w:t xml:space="preserve">                      </w:t>
      </w:r>
      <w:r w:rsidR="000A4C5F">
        <w:rPr>
          <w:rFonts w:ascii="Times New Roman" w:hAnsi="Times New Roman" w:cs="Times New Roman"/>
          <w:sz w:val="24"/>
          <w:szCs w:val="24"/>
        </w:rPr>
        <w:t xml:space="preserve">  </w:t>
      </w:r>
      <w:r>
        <w:rPr>
          <w:rFonts w:ascii="Times New Roman" w:hAnsi="Times New Roman" w:cs="Times New Roman"/>
          <w:sz w:val="24"/>
          <w:szCs w:val="24"/>
        </w:rPr>
        <w:t xml:space="preserve">   </w:t>
      </w:r>
      <w:r w:rsidR="00105705">
        <w:rPr>
          <w:rFonts w:ascii="Times New Roman" w:hAnsi="Times New Roman" w:cs="Times New Roman"/>
          <w:sz w:val="24"/>
          <w:szCs w:val="24"/>
        </w:rPr>
        <w:t xml:space="preserve">                 </w:t>
      </w:r>
      <w:r w:rsidR="0041053D">
        <w:rPr>
          <w:rFonts w:ascii="Times New Roman" w:hAnsi="Times New Roman" w:cs="Times New Roman"/>
          <w:sz w:val="24"/>
          <w:szCs w:val="24"/>
        </w:rPr>
        <w:t>(11</w:t>
      </w:r>
      <w:r>
        <w:rPr>
          <w:rFonts w:ascii="Times New Roman" w:hAnsi="Times New Roman" w:cs="Times New Roman"/>
          <w:sz w:val="24"/>
          <w:szCs w:val="24"/>
        </w:rPr>
        <w:t>)</w:t>
      </w:r>
    </w:p>
    <w:p w:rsidR="007632AF" w:rsidRDefault="007632AF" w:rsidP="007632AF">
      <w:pPr>
        <w:spacing w:after="0" w:line="360" w:lineRule="auto"/>
        <w:jc w:val="both"/>
        <w:rPr>
          <w:rFonts w:ascii="Times New Roman" w:hAnsi="Times New Roman" w:cs="Times New Roman"/>
          <w:sz w:val="24"/>
          <w:szCs w:val="24"/>
        </w:rPr>
      </w:pPr>
    </w:p>
    <w:p w:rsidR="004C26B5" w:rsidRDefault="007632AF" w:rsidP="007632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 the value at time 3 of the subsequent payoffs </w:t>
      </w:r>
      <w:r w:rsidR="000A4C5F">
        <w:rPr>
          <w:rFonts w:ascii="Times New Roman" w:hAnsi="Times New Roman" w:cs="Times New Roman"/>
          <w:sz w:val="24"/>
          <w:szCs w:val="24"/>
        </w:rPr>
        <w:t xml:space="preserve">to equity holders </w:t>
      </w:r>
      <w:r>
        <w:rPr>
          <w:rFonts w:ascii="Times New Roman" w:hAnsi="Times New Roman" w:cs="Times New Roman"/>
          <w:sz w:val="24"/>
          <w:szCs w:val="24"/>
        </w:rPr>
        <w:t xml:space="preserve">on the regulatory assets will equal the regulatory </w:t>
      </w:r>
      <w:r w:rsidR="000A4C5F">
        <w:rPr>
          <w:rFonts w:ascii="Times New Roman" w:hAnsi="Times New Roman" w:cs="Times New Roman"/>
          <w:sz w:val="24"/>
          <w:szCs w:val="24"/>
        </w:rPr>
        <w:t xml:space="preserve">equity book value at </w:t>
      </w:r>
      <w:r>
        <w:rPr>
          <w:rFonts w:ascii="Times New Roman" w:hAnsi="Times New Roman" w:cs="Times New Roman"/>
          <w:sz w:val="24"/>
          <w:szCs w:val="24"/>
        </w:rPr>
        <w:t xml:space="preserve">time 3 if revenues received at time 4 are set at time 3 using the prevailing one year risk free rate.  </w:t>
      </w:r>
      <w:r w:rsidR="0041053D">
        <w:rPr>
          <w:rFonts w:ascii="Times New Roman" w:hAnsi="Times New Roman" w:cs="Times New Roman"/>
          <w:sz w:val="24"/>
          <w:szCs w:val="24"/>
        </w:rPr>
        <w:t xml:space="preserve">Continuing back in the same fashion, </w:t>
      </w:r>
      <w:r w:rsidR="0041053D" w:rsidRPr="00995E43">
        <w:rPr>
          <w:rFonts w:ascii="Times New Roman" w:hAnsi="Times New Roman" w:cs="Times New Roman"/>
          <w:i/>
          <w:sz w:val="24"/>
          <w:szCs w:val="24"/>
        </w:rPr>
        <w:t>S</w:t>
      </w:r>
      <w:r w:rsidR="0041053D" w:rsidRPr="00995E43">
        <w:rPr>
          <w:rFonts w:ascii="Times New Roman" w:hAnsi="Times New Roman" w:cs="Times New Roman"/>
          <w:i/>
          <w:sz w:val="24"/>
          <w:szCs w:val="24"/>
          <w:vertAlign w:val="subscript"/>
        </w:rPr>
        <w:t>2</w:t>
      </w:r>
      <w:r w:rsidR="0041053D">
        <w:rPr>
          <w:rFonts w:ascii="Times New Roman" w:hAnsi="Times New Roman" w:cs="Times New Roman"/>
          <w:sz w:val="24"/>
          <w:szCs w:val="24"/>
        </w:rPr>
        <w:t xml:space="preserve"> = .4</w:t>
      </w:r>
      <w:r w:rsidR="0041053D" w:rsidRPr="00995E43">
        <w:rPr>
          <w:rFonts w:ascii="Times New Roman" w:hAnsi="Times New Roman" w:cs="Times New Roman"/>
          <w:i/>
          <w:sz w:val="24"/>
          <w:szCs w:val="24"/>
        </w:rPr>
        <w:t>B</w:t>
      </w:r>
      <w:r w:rsidR="0041053D" w:rsidRPr="00995E43">
        <w:rPr>
          <w:rFonts w:ascii="Times New Roman" w:hAnsi="Times New Roman" w:cs="Times New Roman"/>
          <w:i/>
          <w:sz w:val="24"/>
          <w:szCs w:val="24"/>
          <w:vertAlign w:val="subscript"/>
        </w:rPr>
        <w:t>2</w:t>
      </w:r>
      <w:r w:rsidR="0041053D">
        <w:rPr>
          <w:rFonts w:ascii="Times New Roman" w:hAnsi="Times New Roman" w:cs="Times New Roman"/>
          <w:sz w:val="24"/>
          <w:szCs w:val="24"/>
        </w:rPr>
        <w:t xml:space="preserve">, and then </w:t>
      </w:r>
      <w:r w:rsidR="0041053D" w:rsidRPr="00995E43">
        <w:rPr>
          <w:rFonts w:ascii="Times New Roman" w:hAnsi="Times New Roman" w:cs="Times New Roman"/>
          <w:i/>
          <w:sz w:val="24"/>
          <w:szCs w:val="24"/>
        </w:rPr>
        <w:t>S</w:t>
      </w:r>
      <w:r w:rsidR="0041053D" w:rsidRPr="00995E43">
        <w:rPr>
          <w:rFonts w:ascii="Times New Roman" w:hAnsi="Times New Roman" w:cs="Times New Roman"/>
          <w:i/>
          <w:sz w:val="24"/>
          <w:szCs w:val="24"/>
          <w:vertAlign w:val="subscript"/>
        </w:rPr>
        <w:t>1</w:t>
      </w:r>
      <w:r w:rsidR="0041053D">
        <w:rPr>
          <w:rFonts w:ascii="Times New Roman" w:hAnsi="Times New Roman" w:cs="Times New Roman"/>
          <w:sz w:val="24"/>
          <w:szCs w:val="24"/>
        </w:rPr>
        <w:t xml:space="preserve"> = .4</w:t>
      </w:r>
      <w:r w:rsidR="0041053D" w:rsidRPr="00995E43">
        <w:rPr>
          <w:rFonts w:ascii="Times New Roman" w:hAnsi="Times New Roman" w:cs="Times New Roman"/>
          <w:i/>
          <w:sz w:val="24"/>
          <w:szCs w:val="24"/>
        </w:rPr>
        <w:t>B</w:t>
      </w:r>
      <w:r w:rsidR="0041053D" w:rsidRPr="00995E43">
        <w:rPr>
          <w:rFonts w:ascii="Times New Roman" w:hAnsi="Times New Roman" w:cs="Times New Roman"/>
          <w:i/>
          <w:sz w:val="24"/>
          <w:szCs w:val="24"/>
          <w:vertAlign w:val="subscript"/>
        </w:rPr>
        <w:t>1</w:t>
      </w:r>
      <w:r w:rsidR="0041053D">
        <w:rPr>
          <w:rFonts w:ascii="Times New Roman" w:hAnsi="Times New Roman" w:cs="Times New Roman"/>
          <w:sz w:val="24"/>
          <w:szCs w:val="24"/>
        </w:rPr>
        <w:t xml:space="preserve">, and finally </w:t>
      </w:r>
      <w:r w:rsidR="0041053D" w:rsidRPr="00995E43">
        <w:rPr>
          <w:rFonts w:ascii="Times New Roman" w:hAnsi="Times New Roman" w:cs="Times New Roman"/>
          <w:i/>
          <w:sz w:val="24"/>
          <w:szCs w:val="24"/>
        </w:rPr>
        <w:t>S</w:t>
      </w:r>
      <w:r w:rsidR="0041053D" w:rsidRPr="00995E43">
        <w:rPr>
          <w:rFonts w:ascii="Times New Roman" w:hAnsi="Times New Roman" w:cs="Times New Roman"/>
          <w:i/>
          <w:sz w:val="24"/>
          <w:szCs w:val="24"/>
          <w:vertAlign w:val="subscript"/>
        </w:rPr>
        <w:t>0</w:t>
      </w:r>
      <w:r w:rsidR="0041053D">
        <w:rPr>
          <w:rFonts w:ascii="Times New Roman" w:hAnsi="Times New Roman" w:cs="Times New Roman"/>
          <w:sz w:val="24"/>
          <w:szCs w:val="24"/>
        </w:rPr>
        <w:t xml:space="preserve"> = .4</w:t>
      </w:r>
      <w:r w:rsidR="0041053D" w:rsidRPr="00995E43">
        <w:rPr>
          <w:rFonts w:ascii="Times New Roman" w:hAnsi="Times New Roman" w:cs="Times New Roman"/>
          <w:i/>
          <w:sz w:val="24"/>
          <w:szCs w:val="24"/>
        </w:rPr>
        <w:t>B</w:t>
      </w:r>
      <w:r w:rsidR="0041053D" w:rsidRPr="00995E43">
        <w:rPr>
          <w:rFonts w:ascii="Times New Roman" w:hAnsi="Times New Roman" w:cs="Times New Roman"/>
          <w:i/>
          <w:sz w:val="24"/>
          <w:szCs w:val="24"/>
          <w:vertAlign w:val="subscript"/>
        </w:rPr>
        <w:t>0</w:t>
      </w:r>
      <w:r w:rsidR="0041053D">
        <w:rPr>
          <w:rFonts w:ascii="Times New Roman" w:hAnsi="Times New Roman" w:cs="Times New Roman"/>
          <w:sz w:val="24"/>
          <w:szCs w:val="24"/>
        </w:rPr>
        <w:t>.  Since the initial debt level (</w:t>
      </w:r>
      <w:r w:rsidR="0041053D" w:rsidRPr="00995E43">
        <w:rPr>
          <w:rFonts w:ascii="Times New Roman" w:hAnsi="Times New Roman" w:cs="Times New Roman"/>
          <w:i/>
          <w:sz w:val="24"/>
          <w:szCs w:val="24"/>
        </w:rPr>
        <w:t>D</w:t>
      </w:r>
      <w:r w:rsidR="0041053D" w:rsidRPr="00995E43">
        <w:rPr>
          <w:rFonts w:ascii="Times New Roman" w:hAnsi="Times New Roman" w:cs="Times New Roman"/>
          <w:i/>
          <w:sz w:val="24"/>
          <w:szCs w:val="24"/>
          <w:vertAlign w:val="subscript"/>
        </w:rPr>
        <w:t>0</w:t>
      </w:r>
      <w:r w:rsidR="0041053D">
        <w:rPr>
          <w:rFonts w:ascii="Times New Roman" w:hAnsi="Times New Roman" w:cs="Times New Roman"/>
          <w:sz w:val="24"/>
          <w:szCs w:val="24"/>
        </w:rPr>
        <w:t>)</w:t>
      </w:r>
      <w:r w:rsidR="004C26B5">
        <w:rPr>
          <w:rFonts w:ascii="Times New Roman" w:hAnsi="Times New Roman" w:cs="Times New Roman"/>
          <w:sz w:val="24"/>
          <w:szCs w:val="24"/>
        </w:rPr>
        <w:t xml:space="preserve"> will be 60% of the initial regulatory book value, with the latter matching the purchase price of the assets, the value at time 0 of the future cash flows (the equity plus debt value) will be as follows: </w:t>
      </w:r>
    </w:p>
    <w:p w:rsidR="004C26B5" w:rsidRDefault="004C26B5" w:rsidP="007632AF">
      <w:pPr>
        <w:spacing w:after="0" w:line="360" w:lineRule="auto"/>
        <w:jc w:val="both"/>
        <w:rPr>
          <w:rFonts w:ascii="Times New Roman" w:hAnsi="Times New Roman" w:cs="Times New Roman"/>
          <w:sz w:val="24"/>
          <w:szCs w:val="24"/>
        </w:rPr>
      </w:pPr>
    </w:p>
    <w:p w:rsidR="004C26B5" w:rsidRPr="00475254" w:rsidRDefault="00475254" w:rsidP="0047525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2814A2" w:rsidRPr="00475254">
        <w:rPr>
          <w:rFonts w:ascii="Times New Roman" w:hAnsi="Times New Roman" w:cs="Times New Roman"/>
          <w:b/>
          <w:bCs/>
          <w:position w:val="-12"/>
          <w:sz w:val="24"/>
          <w:szCs w:val="24"/>
        </w:rPr>
        <w:object w:dxaOrig="3060" w:dyaOrig="360">
          <v:shape id="_x0000_i1036" type="#_x0000_t75" style="width:153.2pt;height:18.4pt" o:ole="">
            <v:imagedata r:id="rId30" o:title=""/>
          </v:shape>
          <o:OLEObject Type="Embed" ProgID="Equation.3" ShapeID="_x0000_i1036" DrawAspect="Content" ObjectID="_1494742912" r:id="rId31"/>
        </w:object>
      </w:r>
      <w:r w:rsidRPr="00475254">
        <w:rPr>
          <w:rFonts w:ascii="Times New Roman" w:hAnsi="Times New Roman" w:cs="Times New Roman"/>
          <w:b/>
          <w:bCs/>
          <w:sz w:val="24"/>
          <w:szCs w:val="24"/>
        </w:rPr>
        <w:t xml:space="preserve">                                    </w:t>
      </w:r>
      <w:r w:rsidR="00A33B43">
        <w:rPr>
          <w:rFonts w:ascii="Times New Roman" w:hAnsi="Times New Roman" w:cs="Times New Roman"/>
          <w:b/>
          <w:bCs/>
          <w:sz w:val="24"/>
          <w:szCs w:val="24"/>
        </w:rPr>
        <w:t xml:space="preserve">    </w:t>
      </w:r>
      <w:r w:rsidRPr="00475254">
        <w:rPr>
          <w:rFonts w:ascii="Times New Roman" w:hAnsi="Times New Roman" w:cs="Times New Roman"/>
          <w:bCs/>
          <w:sz w:val="24"/>
          <w:szCs w:val="24"/>
        </w:rPr>
        <w:t>(12)</w:t>
      </w:r>
    </w:p>
    <w:p w:rsidR="004C26B5" w:rsidRDefault="004C26B5" w:rsidP="00475254">
      <w:pPr>
        <w:spacing w:after="0" w:line="360" w:lineRule="auto"/>
        <w:jc w:val="center"/>
        <w:rPr>
          <w:rFonts w:ascii="Times New Roman" w:hAnsi="Times New Roman" w:cs="Times New Roman"/>
          <w:sz w:val="24"/>
          <w:szCs w:val="24"/>
        </w:rPr>
      </w:pPr>
    </w:p>
    <w:p w:rsidR="00A06120" w:rsidRDefault="0035741A" w:rsidP="003574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 the N</w:t>
      </w:r>
      <w:r w:rsidR="004C26B5">
        <w:rPr>
          <w:rFonts w:ascii="Times New Roman" w:hAnsi="Times New Roman" w:cs="Times New Roman"/>
          <w:sz w:val="24"/>
          <w:szCs w:val="24"/>
        </w:rPr>
        <w:t xml:space="preserve">PV = 0 principle is satisfied.  </w:t>
      </w:r>
      <w:r w:rsidR="00A06120">
        <w:rPr>
          <w:rFonts w:ascii="Times New Roman" w:hAnsi="Times New Roman" w:cs="Times New Roman"/>
          <w:sz w:val="24"/>
          <w:szCs w:val="24"/>
        </w:rPr>
        <w:t>This occurs because the allowed cost of debt for each year ma</w:t>
      </w:r>
      <w:r w:rsidR="005C227C">
        <w:rPr>
          <w:rFonts w:ascii="Times New Roman" w:hAnsi="Times New Roman" w:cs="Times New Roman"/>
          <w:sz w:val="24"/>
          <w:szCs w:val="24"/>
        </w:rPr>
        <w:t xml:space="preserve">tches that incurred by the </w:t>
      </w:r>
      <w:r w:rsidR="00B23283">
        <w:rPr>
          <w:rFonts w:ascii="Times New Roman" w:hAnsi="Times New Roman" w:cs="Times New Roman"/>
          <w:sz w:val="24"/>
          <w:szCs w:val="24"/>
        </w:rPr>
        <w:t>BEE</w:t>
      </w:r>
      <w:r w:rsidR="005C227C">
        <w:rPr>
          <w:rFonts w:ascii="Times New Roman" w:hAnsi="Times New Roman" w:cs="Times New Roman"/>
          <w:sz w:val="24"/>
          <w:szCs w:val="24"/>
        </w:rPr>
        <w:t xml:space="preserve">.  To illustrate this, suppose that the regulatory book value in three years is </w:t>
      </w:r>
      <w:r w:rsidR="005C227C" w:rsidRPr="007921B6">
        <w:rPr>
          <w:rFonts w:ascii="Times New Roman" w:hAnsi="Times New Roman" w:cs="Times New Roman"/>
          <w:i/>
          <w:sz w:val="24"/>
          <w:szCs w:val="24"/>
        </w:rPr>
        <w:t>B</w:t>
      </w:r>
      <w:r w:rsidR="005C227C" w:rsidRPr="007921B6">
        <w:rPr>
          <w:rFonts w:ascii="Times New Roman" w:hAnsi="Times New Roman" w:cs="Times New Roman"/>
          <w:i/>
          <w:sz w:val="24"/>
          <w:szCs w:val="24"/>
          <w:vertAlign w:val="subscript"/>
        </w:rPr>
        <w:t>3</w:t>
      </w:r>
      <w:r w:rsidR="005C227C">
        <w:rPr>
          <w:rFonts w:ascii="Times New Roman" w:hAnsi="Times New Roman" w:cs="Times New Roman"/>
          <w:sz w:val="24"/>
          <w:szCs w:val="24"/>
        </w:rPr>
        <w:t xml:space="preserve"> = $10m, and therefore </w:t>
      </w:r>
      <w:r w:rsidR="005C227C" w:rsidRPr="007921B6">
        <w:rPr>
          <w:rFonts w:ascii="Times New Roman" w:hAnsi="Times New Roman" w:cs="Times New Roman"/>
          <w:i/>
          <w:sz w:val="24"/>
          <w:szCs w:val="24"/>
        </w:rPr>
        <w:t>DEP</w:t>
      </w:r>
      <w:r w:rsidR="005C227C" w:rsidRPr="007921B6">
        <w:rPr>
          <w:rFonts w:ascii="Times New Roman" w:hAnsi="Times New Roman" w:cs="Times New Roman"/>
          <w:i/>
          <w:sz w:val="24"/>
          <w:szCs w:val="24"/>
          <w:vertAlign w:val="subscript"/>
        </w:rPr>
        <w:t>4</w:t>
      </w:r>
      <w:r w:rsidR="005C227C">
        <w:rPr>
          <w:rFonts w:ascii="Times New Roman" w:hAnsi="Times New Roman" w:cs="Times New Roman"/>
          <w:sz w:val="24"/>
          <w:szCs w:val="24"/>
        </w:rPr>
        <w:t xml:space="preserve"> = $10m.  In addition, the opex for year 4 is </w:t>
      </w:r>
      <w:r w:rsidR="005C227C" w:rsidRPr="007921B6">
        <w:rPr>
          <w:rFonts w:ascii="Times New Roman" w:hAnsi="Times New Roman" w:cs="Times New Roman"/>
          <w:i/>
          <w:sz w:val="24"/>
          <w:szCs w:val="24"/>
        </w:rPr>
        <w:t>OPEX</w:t>
      </w:r>
      <w:r w:rsidR="005C227C" w:rsidRPr="007921B6">
        <w:rPr>
          <w:rFonts w:ascii="Times New Roman" w:hAnsi="Times New Roman" w:cs="Times New Roman"/>
          <w:i/>
          <w:sz w:val="24"/>
          <w:szCs w:val="24"/>
          <w:vertAlign w:val="subscript"/>
        </w:rPr>
        <w:t>4</w:t>
      </w:r>
      <w:r w:rsidR="005C227C">
        <w:rPr>
          <w:rFonts w:ascii="Times New Roman" w:hAnsi="Times New Roman" w:cs="Times New Roman"/>
          <w:sz w:val="24"/>
          <w:szCs w:val="24"/>
        </w:rPr>
        <w:t xml:space="preserve"> = $3m.  Also, the prevailing one-year risk free rate and DRP in three years</w:t>
      </w:r>
      <w:r w:rsidR="007921B6">
        <w:rPr>
          <w:rFonts w:ascii="Times New Roman" w:hAnsi="Times New Roman" w:cs="Times New Roman"/>
          <w:sz w:val="24"/>
          <w:szCs w:val="24"/>
        </w:rPr>
        <w:t xml:space="preserve"> are</w:t>
      </w:r>
      <w:r w:rsidR="005C227C">
        <w:rPr>
          <w:rFonts w:ascii="Times New Roman" w:hAnsi="Times New Roman" w:cs="Times New Roman"/>
          <w:sz w:val="24"/>
          <w:szCs w:val="24"/>
        </w:rPr>
        <w:t xml:space="preserve"> </w:t>
      </w:r>
      <w:r w:rsidR="005C227C" w:rsidRPr="007921B6">
        <w:rPr>
          <w:rFonts w:ascii="Times New Roman" w:hAnsi="Times New Roman" w:cs="Times New Roman"/>
          <w:i/>
          <w:sz w:val="24"/>
          <w:szCs w:val="24"/>
        </w:rPr>
        <w:t>R</w:t>
      </w:r>
      <w:r w:rsidR="005C227C" w:rsidRPr="007921B6">
        <w:rPr>
          <w:rFonts w:ascii="Times New Roman" w:hAnsi="Times New Roman" w:cs="Times New Roman"/>
          <w:i/>
          <w:sz w:val="24"/>
          <w:szCs w:val="24"/>
          <w:vertAlign w:val="subscript"/>
        </w:rPr>
        <w:t>f34</w:t>
      </w:r>
      <w:r w:rsidR="005C227C">
        <w:rPr>
          <w:rFonts w:ascii="Times New Roman" w:hAnsi="Times New Roman" w:cs="Times New Roman"/>
          <w:sz w:val="24"/>
          <w:szCs w:val="24"/>
        </w:rPr>
        <w:t xml:space="preserve"> = .05 and </w:t>
      </w:r>
      <w:r w:rsidR="005C227C" w:rsidRPr="007921B6">
        <w:rPr>
          <w:rFonts w:ascii="Times New Roman" w:hAnsi="Times New Roman" w:cs="Times New Roman"/>
          <w:i/>
          <w:sz w:val="24"/>
          <w:szCs w:val="24"/>
        </w:rPr>
        <w:t>DRP</w:t>
      </w:r>
      <w:r w:rsidR="005C227C" w:rsidRPr="007921B6">
        <w:rPr>
          <w:rFonts w:ascii="Times New Roman" w:hAnsi="Times New Roman" w:cs="Times New Roman"/>
          <w:i/>
          <w:sz w:val="24"/>
          <w:szCs w:val="24"/>
          <w:vertAlign w:val="subscript"/>
        </w:rPr>
        <w:t>34</w:t>
      </w:r>
      <w:r w:rsidR="005C227C">
        <w:rPr>
          <w:rFonts w:ascii="Times New Roman" w:hAnsi="Times New Roman" w:cs="Times New Roman"/>
          <w:sz w:val="24"/>
          <w:szCs w:val="24"/>
        </w:rPr>
        <w:t xml:space="preserve"> = .02.  So, following equation (10), the allowed revenue for the last year would be </w:t>
      </w:r>
    </w:p>
    <w:p w:rsidR="00291631" w:rsidRDefault="00995E43" w:rsidP="00291631">
      <w:pPr>
        <w:spacing w:after="0" w:line="360" w:lineRule="auto"/>
        <w:jc w:val="center"/>
        <w:rPr>
          <w:rFonts w:ascii="Times New Roman" w:hAnsi="Times New Roman" w:cs="Times New Roman"/>
          <w:sz w:val="24"/>
          <w:szCs w:val="24"/>
        </w:rPr>
      </w:pPr>
      <w:r w:rsidRPr="00995E43">
        <w:rPr>
          <w:b/>
          <w:bCs/>
          <w:position w:val="-10"/>
        </w:rPr>
        <w:object w:dxaOrig="5960" w:dyaOrig="340">
          <v:shape id="_x0000_i1037" type="#_x0000_t75" style="width:299.7pt;height:17.6pt" o:ole="">
            <v:imagedata r:id="rId32" o:title=""/>
          </v:shape>
          <o:OLEObject Type="Embed" ProgID="Equation.3" ShapeID="_x0000_i1037" DrawAspect="Content" ObjectID="_1494742913" r:id="rId33"/>
        </w:object>
      </w:r>
    </w:p>
    <w:p w:rsidR="00291631" w:rsidRDefault="00291631" w:rsidP="0035741A">
      <w:pPr>
        <w:spacing w:after="0" w:line="360" w:lineRule="auto"/>
        <w:jc w:val="both"/>
        <w:rPr>
          <w:rFonts w:ascii="Times New Roman" w:hAnsi="Times New Roman" w:cs="Times New Roman"/>
          <w:sz w:val="24"/>
          <w:szCs w:val="24"/>
        </w:rPr>
      </w:pPr>
    </w:p>
    <w:p w:rsidR="00995E43" w:rsidRDefault="00995E43" w:rsidP="003574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Substitution into equation (9) then yields </w:t>
      </w:r>
    </w:p>
    <w:p w:rsidR="00291631" w:rsidRPr="005C227C" w:rsidRDefault="00291631" w:rsidP="0035741A">
      <w:pPr>
        <w:spacing w:after="0" w:line="360" w:lineRule="auto"/>
        <w:jc w:val="both"/>
        <w:rPr>
          <w:rFonts w:ascii="Times New Roman" w:hAnsi="Times New Roman" w:cs="Times New Roman"/>
          <w:sz w:val="24"/>
          <w:szCs w:val="24"/>
        </w:rPr>
      </w:pPr>
    </w:p>
    <w:p w:rsidR="00A06120" w:rsidRDefault="00995E43" w:rsidP="00995E43">
      <w:pPr>
        <w:spacing w:after="0" w:line="360" w:lineRule="auto"/>
        <w:jc w:val="center"/>
        <w:rPr>
          <w:rFonts w:ascii="Times New Roman" w:hAnsi="Times New Roman" w:cs="Times New Roman"/>
          <w:sz w:val="24"/>
          <w:szCs w:val="24"/>
        </w:rPr>
      </w:pPr>
      <w:r w:rsidRPr="00995E43">
        <w:rPr>
          <w:b/>
          <w:bCs/>
          <w:position w:val="-24"/>
        </w:rPr>
        <w:object w:dxaOrig="5060" w:dyaOrig="620">
          <v:shape id="_x0000_i1038" type="#_x0000_t75" style="width:251.15pt;height:31pt" o:ole="">
            <v:imagedata r:id="rId34" o:title=""/>
          </v:shape>
          <o:OLEObject Type="Embed" ProgID="Equation.3" ShapeID="_x0000_i1038" DrawAspect="Content" ObjectID="_1494742914" r:id="rId35"/>
        </w:object>
      </w:r>
    </w:p>
    <w:p w:rsidR="00995E43" w:rsidRDefault="00995E43" w:rsidP="0035741A">
      <w:pPr>
        <w:spacing w:after="0" w:line="360" w:lineRule="auto"/>
        <w:jc w:val="both"/>
        <w:rPr>
          <w:rFonts w:ascii="Times New Roman" w:hAnsi="Times New Roman" w:cs="Times New Roman"/>
          <w:sz w:val="24"/>
          <w:szCs w:val="24"/>
        </w:rPr>
      </w:pPr>
    </w:p>
    <w:p w:rsidR="00995E43" w:rsidRDefault="00995E43" w:rsidP="003574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matches the regulatory book value of equity in three years</w:t>
      </w:r>
      <w:r w:rsidR="001E1D64">
        <w:rPr>
          <w:rFonts w:ascii="Times New Roman" w:hAnsi="Times New Roman" w:cs="Times New Roman"/>
          <w:sz w:val="24"/>
          <w:szCs w:val="24"/>
        </w:rPr>
        <w:t xml:space="preserve"> ($4m).  Continuing back to the present time in the same way, the equity value will also match its regulatory book value, and therefore equation (12) would be satisfied.</w:t>
      </w:r>
    </w:p>
    <w:p w:rsidR="00995E43" w:rsidRDefault="00995E43" w:rsidP="0035741A">
      <w:pPr>
        <w:spacing w:after="0" w:line="360" w:lineRule="auto"/>
        <w:jc w:val="both"/>
        <w:rPr>
          <w:rFonts w:ascii="Times New Roman" w:hAnsi="Times New Roman" w:cs="Times New Roman"/>
          <w:sz w:val="24"/>
          <w:szCs w:val="24"/>
        </w:rPr>
      </w:pPr>
    </w:p>
    <w:p w:rsidR="00B55BC0" w:rsidRDefault="004C26B5" w:rsidP="003574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r w:rsidR="00A06120">
        <w:rPr>
          <w:rFonts w:ascii="Times New Roman" w:hAnsi="Times New Roman" w:cs="Times New Roman"/>
          <w:sz w:val="24"/>
          <w:szCs w:val="24"/>
        </w:rPr>
        <w:t xml:space="preserve">under the on-the-day regime, </w:t>
      </w:r>
      <w:r w:rsidR="00B23283">
        <w:rPr>
          <w:rFonts w:ascii="Times New Roman" w:hAnsi="Times New Roman" w:cs="Times New Roman"/>
          <w:sz w:val="24"/>
          <w:szCs w:val="24"/>
        </w:rPr>
        <w:t xml:space="preserve">the BEE would not </w:t>
      </w:r>
      <w:r w:rsidR="008373BD">
        <w:rPr>
          <w:rFonts w:ascii="Times New Roman" w:hAnsi="Times New Roman" w:cs="Times New Roman"/>
          <w:sz w:val="24"/>
          <w:szCs w:val="24"/>
        </w:rPr>
        <w:t>borrow to match the regulatory cycle</w:t>
      </w:r>
      <w:r>
        <w:rPr>
          <w:rFonts w:ascii="Times New Roman" w:hAnsi="Times New Roman" w:cs="Times New Roman"/>
          <w:sz w:val="24"/>
          <w:szCs w:val="24"/>
        </w:rPr>
        <w:t xml:space="preserve">.  </w:t>
      </w:r>
      <w:r w:rsidR="007B0CFF">
        <w:rPr>
          <w:rFonts w:ascii="Times New Roman" w:hAnsi="Times New Roman" w:cs="Times New Roman"/>
          <w:sz w:val="24"/>
          <w:szCs w:val="24"/>
        </w:rPr>
        <w:t xml:space="preserve">Due to refinancing risk </w:t>
      </w:r>
      <w:r w:rsidR="008373BD">
        <w:rPr>
          <w:rFonts w:ascii="Times New Roman" w:hAnsi="Times New Roman" w:cs="Times New Roman"/>
          <w:sz w:val="24"/>
          <w:szCs w:val="24"/>
        </w:rPr>
        <w:t xml:space="preserve">the BEE would instead </w:t>
      </w:r>
      <w:r>
        <w:rPr>
          <w:rFonts w:ascii="Times New Roman" w:hAnsi="Times New Roman" w:cs="Times New Roman"/>
          <w:sz w:val="24"/>
          <w:szCs w:val="24"/>
        </w:rPr>
        <w:t>borrow for longer than the regulatory period</w:t>
      </w:r>
      <w:r w:rsidR="00A06120">
        <w:rPr>
          <w:rFonts w:ascii="Times New Roman" w:hAnsi="Times New Roman" w:cs="Times New Roman"/>
          <w:sz w:val="24"/>
          <w:szCs w:val="24"/>
        </w:rPr>
        <w:t>, stagger the debt, and enter interest rate swap contracts to match the risk-free rate component of the cost of debt</w:t>
      </w:r>
      <w:r w:rsidR="00881806">
        <w:rPr>
          <w:rFonts w:ascii="Times New Roman" w:hAnsi="Times New Roman" w:cs="Times New Roman"/>
          <w:sz w:val="24"/>
          <w:szCs w:val="24"/>
        </w:rPr>
        <w:t xml:space="preserve"> to the regulatory cycle</w:t>
      </w:r>
      <w:r w:rsidR="00A06120">
        <w:rPr>
          <w:rFonts w:ascii="Times New Roman" w:hAnsi="Times New Roman" w:cs="Times New Roman"/>
          <w:sz w:val="24"/>
          <w:szCs w:val="24"/>
        </w:rPr>
        <w:t>.  Consequently</w:t>
      </w:r>
      <w:r w:rsidR="00881806">
        <w:rPr>
          <w:rFonts w:ascii="Times New Roman" w:hAnsi="Times New Roman" w:cs="Times New Roman"/>
          <w:sz w:val="24"/>
          <w:szCs w:val="24"/>
        </w:rPr>
        <w:t xml:space="preserve">, in respect of the DRP component of the cost of debt, </w:t>
      </w:r>
      <w:r w:rsidR="00A06120">
        <w:rPr>
          <w:rFonts w:ascii="Times New Roman" w:hAnsi="Times New Roman" w:cs="Times New Roman"/>
          <w:sz w:val="24"/>
          <w:szCs w:val="24"/>
        </w:rPr>
        <w:t xml:space="preserve">the NPV = 0 requirement will not be satisfied.  To illustrate this point, suppose that </w:t>
      </w:r>
      <w:r w:rsidR="00B23283">
        <w:rPr>
          <w:rFonts w:ascii="Times New Roman" w:hAnsi="Times New Roman" w:cs="Times New Roman"/>
          <w:sz w:val="24"/>
          <w:szCs w:val="24"/>
        </w:rPr>
        <w:t xml:space="preserve">the BEE borrows </w:t>
      </w:r>
      <w:r w:rsidR="00A06120">
        <w:rPr>
          <w:rFonts w:ascii="Times New Roman" w:hAnsi="Times New Roman" w:cs="Times New Roman"/>
          <w:sz w:val="24"/>
          <w:szCs w:val="24"/>
        </w:rPr>
        <w:t xml:space="preserve">for two years with staggering.  Thus, at the commencement of a regulatory business, </w:t>
      </w:r>
      <w:r w:rsidR="00B23283">
        <w:rPr>
          <w:rFonts w:ascii="Times New Roman" w:hAnsi="Times New Roman" w:cs="Times New Roman"/>
          <w:sz w:val="24"/>
          <w:szCs w:val="24"/>
        </w:rPr>
        <w:t xml:space="preserve">the BEE </w:t>
      </w:r>
      <w:r w:rsidR="00A06120">
        <w:rPr>
          <w:rFonts w:ascii="Times New Roman" w:hAnsi="Times New Roman" w:cs="Times New Roman"/>
          <w:sz w:val="24"/>
          <w:szCs w:val="24"/>
        </w:rPr>
        <w:t>will borrow 50% of their debt for one year and the rest for two years, with each rolled over for two years upon its maturity.</w:t>
      </w:r>
      <w:r w:rsidR="00881806">
        <w:rPr>
          <w:rFonts w:ascii="Times New Roman" w:hAnsi="Times New Roman" w:cs="Times New Roman"/>
          <w:sz w:val="24"/>
          <w:szCs w:val="24"/>
        </w:rPr>
        <w:t xml:space="preserve">  Suppose the DRP is currently 2% for one year debt, this figure is unusually high, and is expected to fall to its long-run average of 1.5% in one year.  In addition, the DRP for two-year debt is currently 1.9% and is expected to fall to its long-run average of 1.7% in one year.  Under such circumstances, the </w:t>
      </w:r>
      <w:r w:rsidR="007443B4">
        <w:rPr>
          <w:rFonts w:ascii="Times New Roman" w:hAnsi="Times New Roman" w:cs="Times New Roman"/>
          <w:sz w:val="24"/>
          <w:szCs w:val="24"/>
        </w:rPr>
        <w:t xml:space="preserve">allowance </w:t>
      </w:r>
      <w:r w:rsidR="00C364C4">
        <w:rPr>
          <w:rFonts w:ascii="Times New Roman" w:hAnsi="Times New Roman" w:cs="Times New Roman"/>
          <w:sz w:val="24"/>
          <w:szCs w:val="24"/>
        </w:rPr>
        <w:t>granted by the regulator for the first year, and expected to be allowed in the second and third years</w:t>
      </w:r>
      <w:r w:rsidR="007443B4">
        <w:rPr>
          <w:rFonts w:ascii="Times New Roman" w:hAnsi="Times New Roman" w:cs="Times New Roman"/>
          <w:sz w:val="24"/>
          <w:szCs w:val="24"/>
        </w:rPr>
        <w:t xml:space="preserve"> (in accordance with the prevailing two-year DRP)</w:t>
      </w:r>
      <w:r w:rsidR="00C364C4">
        <w:rPr>
          <w:rFonts w:ascii="Times New Roman" w:hAnsi="Times New Roman" w:cs="Times New Roman"/>
          <w:sz w:val="24"/>
          <w:szCs w:val="24"/>
        </w:rPr>
        <w:t xml:space="preserve">, </w:t>
      </w:r>
      <w:r w:rsidR="007443B4">
        <w:rPr>
          <w:rFonts w:ascii="Times New Roman" w:hAnsi="Times New Roman" w:cs="Times New Roman"/>
          <w:sz w:val="24"/>
          <w:szCs w:val="24"/>
        </w:rPr>
        <w:t>will be as shown below.  Also shown are the average rates paid</w:t>
      </w:r>
      <w:r w:rsidR="00C364C4">
        <w:rPr>
          <w:rFonts w:ascii="Times New Roman" w:hAnsi="Times New Roman" w:cs="Times New Roman"/>
          <w:sz w:val="24"/>
          <w:szCs w:val="24"/>
        </w:rPr>
        <w:t xml:space="preserve"> (or expected to be paid) by the </w:t>
      </w:r>
      <w:r w:rsidR="00B23283">
        <w:rPr>
          <w:rFonts w:ascii="Times New Roman" w:hAnsi="Times New Roman" w:cs="Times New Roman"/>
          <w:sz w:val="24"/>
          <w:szCs w:val="24"/>
        </w:rPr>
        <w:t xml:space="preserve">BEE </w:t>
      </w:r>
      <w:r w:rsidR="007443B4">
        <w:rPr>
          <w:rFonts w:ascii="Times New Roman" w:hAnsi="Times New Roman" w:cs="Times New Roman"/>
          <w:sz w:val="24"/>
          <w:szCs w:val="24"/>
        </w:rPr>
        <w:t>in those years.</w:t>
      </w:r>
    </w:p>
    <w:p w:rsidR="00C364C4" w:rsidRDefault="00C364C4" w:rsidP="0035741A">
      <w:pPr>
        <w:spacing w:after="0" w:line="360" w:lineRule="auto"/>
        <w:jc w:val="both"/>
        <w:rPr>
          <w:rFonts w:ascii="Times New Roman" w:hAnsi="Times New Roman" w:cs="Times New Roman"/>
          <w:sz w:val="24"/>
          <w:szCs w:val="24"/>
        </w:rPr>
      </w:pPr>
    </w:p>
    <w:p w:rsidR="00C364C4" w:rsidRDefault="00C364C4" w:rsidP="00C364C4">
      <w:pPr>
        <w:tabs>
          <w:tab w:val="left" w:pos="2160"/>
          <w:tab w:val="left" w:pos="50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First Year:</w:t>
      </w:r>
      <w:r>
        <w:rPr>
          <w:rFonts w:ascii="Times New Roman" w:hAnsi="Times New Roman" w:cs="Times New Roman"/>
          <w:sz w:val="24"/>
          <w:szCs w:val="24"/>
        </w:rPr>
        <w:tab/>
        <w:t>Allowed = 1.9%</w:t>
      </w:r>
      <w:r>
        <w:rPr>
          <w:rFonts w:ascii="Times New Roman" w:hAnsi="Times New Roman" w:cs="Times New Roman"/>
          <w:sz w:val="24"/>
          <w:szCs w:val="24"/>
        </w:rPr>
        <w:tab/>
        <w:t>Paid = .5(2.0%) + .5(1.9%) = 1.95%</w:t>
      </w:r>
    </w:p>
    <w:p w:rsidR="00C364C4" w:rsidRDefault="00C364C4" w:rsidP="00C364C4">
      <w:pPr>
        <w:tabs>
          <w:tab w:val="left" w:pos="2160"/>
          <w:tab w:val="left" w:pos="50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Second Year:</w:t>
      </w:r>
      <w:r>
        <w:rPr>
          <w:rFonts w:ascii="Times New Roman" w:hAnsi="Times New Roman" w:cs="Times New Roman"/>
          <w:sz w:val="24"/>
          <w:szCs w:val="24"/>
        </w:rPr>
        <w:tab/>
        <w:t>Allowed = 1.7%</w:t>
      </w:r>
      <w:r>
        <w:rPr>
          <w:rFonts w:ascii="Times New Roman" w:hAnsi="Times New Roman" w:cs="Times New Roman"/>
          <w:sz w:val="24"/>
          <w:szCs w:val="24"/>
        </w:rPr>
        <w:tab/>
        <w:t>Paid = .5(1.9%) + .5(1.7%) = 1.8%</w:t>
      </w:r>
    </w:p>
    <w:p w:rsidR="00C364C4" w:rsidRDefault="00C364C4" w:rsidP="00C364C4">
      <w:pPr>
        <w:tabs>
          <w:tab w:val="left" w:pos="2160"/>
          <w:tab w:val="left" w:pos="50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Third Year:</w:t>
      </w:r>
      <w:r>
        <w:rPr>
          <w:rFonts w:ascii="Times New Roman" w:hAnsi="Times New Roman" w:cs="Times New Roman"/>
          <w:sz w:val="24"/>
          <w:szCs w:val="24"/>
        </w:rPr>
        <w:tab/>
        <w:t>Allowed = 1.7%</w:t>
      </w:r>
      <w:r>
        <w:rPr>
          <w:rFonts w:ascii="Times New Roman" w:hAnsi="Times New Roman" w:cs="Times New Roman"/>
          <w:sz w:val="24"/>
          <w:szCs w:val="24"/>
        </w:rPr>
        <w:tab/>
        <w:t>Paid = .5(1.7%) + .5(1.7%) = 1.7%</w:t>
      </w:r>
    </w:p>
    <w:p w:rsidR="00C364C4" w:rsidRDefault="00C364C4" w:rsidP="00C364C4">
      <w:pPr>
        <w:tabs>
          <w:tab w:val="left" w:pos="2160"/>
          <w:tab w:val="left" w:pos="5040"/>
        </w:tabs>
        <w:spacing w:after="0" w:line="360" w:lineRule="auto"/>
        <w:jc w:val="both"/>
        <w:rPr>
          <w:rFonts w:ascii="Times New Roman" w:hAnsi="Times New Roman" w:cs="Times New Roman"/>
          <w:sz w:val="24"/>
          <w:szCs w:val="24"/>
        </w:rPr>
      </w:pPr>
    </w:p>
    <w:p w:rsidR="00804D42" w:rsidRDefault="00C364C4" w:rsidP="00C364C4">
      <w:pPr>
        <w:tabs>
          <w:tab w:val="left" w:pos="2160"/>
          <w:tab w:val="left" w:pos="50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So, du</w:t>
      </w:r>
      <w:r w:rsidR="007443B4">
        <w:rPr>
          <w:rFonts w:ascii="Times New Roman" w:hAnsi="Times New Roman" w:cs="Times New Roman"/>
          <w:sz w:val="24"/>
          <w:szCs w:val="24"/>
        </w:rPr>
        <w:t xml:space="preserve">ring the first year, the average DRP paid by the </w:t>
      </w:r>
      <w:r w:rsidR="004E38DA">
        <w:rPr>
          <w:rFonts w:ascii="Times New Roman" w:hAnsi="Times New Roman" w:cs="Times New Roman"/>
          <w:sz w:val="24"/>
          <w:szCs w:val="24"/>
        </w:rPr>
        <w:t xml:space="preserve">BEE </w:t>
      </w:r>
      <w:r w:rsidR="007443B4">
        <w:rPr>
          <w:rFonts w:ascii="Times New Roman" w:hAnsi="Times New Roman" w:cs="Times New Roman"/>
          <w:sz w:val="24"/>
          <w:szCs w:val="24"/>
        </w:rPr>
        <w:t>will exceed the allowance</w:t>
      </w:r>
      <w:r w:rsidR="00804D42">
        <w:rPr>
          <w:rFonts w:ascii="Times New Roman" w:hAnsi="Times New Roman" w:cs="Times New Roman"/>
          <w:sz w:val="24"/>
          <w:szCs w:val="24"/>
        </w:rPr>
        <w:t>.  In the sec</w:t>
      </w:r>
      <w:r w:rsidR="008373BD">
        <w:rPr>
          <w:rFonts w:ascii="Times New Roman" w:hAnsi="Times New Roman" w:cs="Times New Roman"/>
          <w:sz w:val="24"/>
          <w:szCs w:val="24"/>
        </w:rPr>
        <w:t xml:space="preserve">ond year, the expected payments also </w:t>
      </w:r>
      <w:r w:rsidR="00804D42">
        <w:rPr>
          <w:rFonts w:ascii="Times New Roman" w:hAnsi="Times New Roman" w:cs="Times New Roman"/>
          <w:sz w:val="24"/>
          <w:szCs w:val="24"/>
        </w:rPr>
        <w:t>exceed the expected allowance.  From year three, an expected match will be achieved.  These actual and expected mismatches in the first two years imply that the NPV = 0 principle will not be satisfied</w:t>
      </w:r>
      <w:r w:rsidR="00FF2933">
        <w:rPr>
          <w:rFonts w:ascii="Times New Roman" w:hAnsi="Times New Roman" w:cs="Times New Roman"/>
          <w:sz w:val="24"/>
          <w:szCs w:val="24"/>
        </w:rPr>
        <w:t xml:space="preserve">. </w:t>
      </w:r>
      <w:r w:rsidR="00E800B7">
        <w:rPr>
          <w:rFonts w:ascii="Times New Roman" w:hAnsi="Times New Roman" w:cs="Times New Roman"/>
          <w:sz w:val="24"/>
          <w:szCs w:val="24"/>
        </w:rPr>
        <w:t xml:space="preserve"> However, Lally (2010, </w:t>
      </w:r>
      <w:r w:rsidR="00E800B7">
        <w:rPr>
          <w:rFonts w:ascii="Times New Roman" w:hAnsi="Times New Roman" w:cs="Times New Roman"/>
          <w:sz w:val="24"/>
          <w:szCs w:val="24"/>
        </w:rPr>
        <w:lastRenderedPageBreak/>
        <w:t>Appendix 1</w:t>
      </w:r>
      <w:r w:rsidR="00FF2933">
        <w:rPr>
          <w:rFonts w:ascii="Times New Roman" w:hAnsi="Times New Roman" w:cs="Times New Roman"/>
          <w:sz w:val="24"/>
          <w:szCs w:val="24"/>
        </w:rPr>
        <w:t xml:space="preserve">) demonstrates that </w:t>
      </w:r>
      <w:r w:rsidR="00804D42">
        <w:rPr>
          <w:rFonts w:ascii="Times New Roman" w:hAnsi="Times New Roman" w:cs="Times New Roman"/>
          <w:sz w:val="24"/>
          <w:szCs w:val="24"/>
        </w:rPr>
        <w:t xml:space="preserve">the violation </w:t>
      </w:r>
      <w:r w:rsidR="00E467B6">
        <w:rPr>
          <w:rFonts w:ascii="Times New Roman" w:hAnsi="Times New Roman" w:cs="Times New Roman"/>
          <w:sz w:val="24"/>
          <w:szCs w:val="24"/>
        </w:rPr>
        <w:t xml:space="preserve">of this NPV = 0 principle </w:t>
      </w:r>
      <w:r w:rsidR="00FF2933">
        <w:rPr>
          <w:rFonts w:ascii="Times New Roman" w:hAnsi="Times New Roman" w:cs="Times New Roman"/>
          <w:sz w:val="24"/>
          <w:szCs w:val="24"/>
        </w:rPr>
        <w:t>will be small</w:t>
      </w:r>
      <w:r w:rsidR="00E467B6">
        <w:rPr>
          <w:rFonts w:ascii="Times New Roman" w:hAnsi="Times New Roman" w:cs="Times New Roman"/>
          <w:sz w:val="24"/>
          <w:szCs w:val="24"/>
        </w:rPr>
        <w:t xml:space="preserve">.  </w:t>
      </w:r>
      <w:r w:rsidR="00A637F0">
        <w:rPr>
          <w:rFonts w:ascii="Times New Roman" w:hAnsi="Times New Roman" w:cs="Times New Roman"/>
          <w:sz w:val="24"/>
          <w:szCs w:val="24"/>
        </w:rPr>
        <w:t xml:space="preserve">Furthermore, the </w:t>
      </w:r>
      <w:r w:rsidR="00E467B6">
        <w:rPr>
          <w:rFonts w:ascii="Times New Roman" w:hAnsi="Times New Roman" w:cs="Times New Roman"/>
          <w:sz w:val="24"/>
          <w:szCs w:val="24"/>
        </w:rPr>
        <w:t>‘</w:t>
      </w:r>
      <w:r w:rsidR="00804D42">
        <w:rPr>
          <w:rFonts w:ascii="Times New Roman" w:hAnsi="Times New Roman" w:cs="Times New Roman"/>
          <w:sz w:val="24"/>
          <w:szCs w:val="24"/>
        </w:rPr>
        <w:t>match</w:t>
      </w:r>
      <w:r w:rsidR="00E467B6">
        <w:rPr>
          <w:rFonts w:ascii="Times New Roman" w:hAnsi="Times New Roman" w:cs="Times New Roman"/>
          <w:sz w:val="24"/>
          <w:szCs w:val="24"/>
        </w:rPr>
        <w:t>’</w:t>
      </w:r>
      <w:r w:rsidR="00804D42">
        <w:rPr>
          <w:rFonts w:ascii="Times New Roman" w:hAnsi="Times New Roman" w:cs="Times New Roman"/>
          <w:sz w:val="24"/>
          <w:szCs w:val="24"/>
        </w:rPr>
        <w:t xml:space="preserve"> from year three is merely an expectation.  The actual outcome could involve the allowed DRP being more than that paid (or less) because the allowance for a year is the two-year DRP prevailing at the beginning of the year whilst the rate paid i</w:t>
      </w:r>
      <w:r w:rsidR="00742721">
        <w:rPr>
          <w:rFonts w:ascii="Times New Roman" w:hAnsi="Times New Roman" w:cs="Times New Roman"/>
          <w:sz w:val="24"/>
          <w:szCs w:val="24"/>
        </w:rPr>
        <w:t xml:space="preserve">s the two-year trailing average.  </w:t>
      </w:r>
      <w:r w:rsidR="00A637F0">
        <w:rPr>
          <w:rFonts w:ascii="Times New Roman" w:hAnsi="Times New Roman" w:cs="Times New Roman"/>
          <w:sz w:val="24"/>
          <w:szCs w:val="24"/>
        </w:rPr>
        <w:t xml:space="preserve">However, any </w:t>
      </w:r>
      <w:r w:rsidR="00742721">
        <w:rPr>
          <w:rFonts w:ascii="Times New Roman" w:hAnsi="Times New Roman" w:cs="Times New Roman"/>
          <w:sz w:val="24"/>
          <w:szCs w:val="24"/>
        </w:rPr>
        <w:t xml:space="preserve">systematic risk associated with such mismatches is in principle compensated for ex-ante through the asset beta, and therefore these </w:t>
      </w:r>
      <w:r w:rsidR="007921B6">
        <w:rPr>
          <w:rFonts w:ascii="Times New Roman" w:hAnsi="Times New Roman" w:cs="Times New Roman"/>
          <w:sz w:val="24"/>
          <w:szCs w:val="24"/>
        </w:rPr>
        <w:t xml:space="preserve">possible </w:t>
      </w:r>
      <w:r w:rsidR="00742721">
        <w:rPr>
          <w:rFonts w:ascii="Times New Roman" w:hAnsi="Times New Roman" w:cs="Times New Roman"/>
          <w:sz w:val="24"/>
          <w:szCs w:val="24"/>
        </w:rPr>
        <w:t xml:space="preserve">mismatches would not give rise to a violation of the NPV = 0 principle. </w:t>
      </w:r>
    </w:p>
    <w:p w:rsidR="00E467B6" w:rsidRDefault="00E467B6" w:rsidP="00C364C4">
      <w:pPr>
        <w:tabs>
          <w:tab w:val="left" w:pos="2160"/>
          <w:tab w:val="left" w:pos="5040"/>
        </w:tabs>
        <w:spacing w:after="0" w:line="360" w:lineRule="auto"/>
        <w:jc w:val="both"/>
        <w:rPr>
          <w:rFonts w:ascii="Times New Roman" w:hAnsi="Times New Roman" w:cs="Times New Roman"/>
          <w:sz w:val="24"/>
          <w:szCs w:val="24"/>
        </w:rPr>
      </w:pPr>
    </w:p>
    <w:p w:rsidR="00CB5B67" w:rsidRDefault="00CB5B67" w:rsidP="00C364C4">
      <w:pPr>
        <w:tabs>
          <w:tab w:val="left" w:pos="2160"/>
          <w:tab w:val="left" w:pos="50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 alternative regulatory </w:t>
      </w:r>
      <w:r w:rsidR="00D85BE1">
        <w:rPr>
          <w:rFonts w:ascii="Times New Roman" w:hAnsi="Times New Roman" w:cs="Times New Roman"/>
          <w:sz w:val="24"/>
          <w:szCs w:val="24"/>
        </w:rPr>
        <w:t xml:space="preserve">regime is the </w:t>
      </w:r>
      <w:r>
        <w:rPr>
          <w:rFonts w:ascii="Times New Roman" w:hAnsi="Times New Roman" w:cs="Times New Roman"/>
          <w:sz w:val="24"/>
          <w:szCs w:val="24"/>
        </w:rPr>
        <w:t>trailing average regime</w:t>
      </w:r>
      <w:r w:rsidR="00E77300">
        <w:rPr>
          <w:rFonts w:ascii="Times New Roman" w:hAnsi="Times New Roman" w:cs="Times New Roman"/>
          <w:sz w:val="24"/>
          <w:szCs w:val="24"/>
        </w:rPr>
        <w:t xml:space="preserve"> for the entire cost of debt</w:t>
      </w:r>
      <w:r>
        <w:rPr>
          <w:rFonts w:ascii="Times New Roman" w:hAnsi="Times New Roman" w:cs="Times New Roman"/>
          <w:sz w:val="24"/>
          <w:szCs w:val="24"/>
        </w:rPr>
        <w:t xml:space="preserve">.  </w:t>
      </w:r>
      <w:r w:rsidR="00E77300">
        <w:rPr>
          <w:rFonts w:ascii="Times New Roman" w:hAnsi="Times New Roman" w:cs="Times New Roman"/>
          <w:sz w:val="24"/>
          <w:szCs w:val="24"/>
        </w:rPr>
        <w:t xml:space="preserve">So, at the commencement of </w:t>
      </w:r>
      <w:r w:rsidR="004E38DA">
        <w:rPr>
          <w:rFonts w:ascii="Times New Roman" w:hAnsi="Times New Roman" w:cs="Times New Roman"/>
          <w:sz w:val="24"/>
          <w:szCs w:val="24"/>
        </w:rPr>
        <w:t xml:space="preserve">the </w:t>
      </w:r>
      <w:r w:rsidR="00E77300">
        <w:rPr>
          <w:rFonts w:ascii="Times New Roman" w:hAnsi="Times New Roman" w:cs="Times New Roman"/>
          <w:sz w:val="24"/>
          <w:szCs w:val="24"/>
        </w:rPr>
        <w:t>regulatory business</w:t>
      </w:r>
      <w:r w:rsidR="007921B6">
        <w:rPr>
          <w:rFonts w:ascii="Times New Roman" w:hAnsi="Times New Roman" w:cs="Times New Roman"/>
          <w:sz w:val="24"/>
          <w:szCs w:val="24"/>
        </w:rPr>
        <w:t xml:space="preserve"> or the incurrence of capex</w:t>
      </w:r>
      <w:r w:rsidR="00E77300">
        <w:rPr>
          <w:rFonts w:ascii="Times New Roman" w:hAnsi="Times New Roman" w:cs="Times New Roman"/>
          <w:sz w:val="24"/>
          <w:szCs w:val="24"/>
        </w:rPr>
        <w:t xml:space="preserve">, the allowed rate will be the </w:t>
      </w:r>
      <w:r w:rsidR="0039487E">
        <w:rPr>
          <w:rFonts w:ascii="Times New Roman" w:hAnsi="Times New Roman" w:cs="Times New Roman"/>
          <w:sz w:val="24"/>
          <w:szCs w:val="24"/>
        </w:rPr>
        <w:t xml:space="preserve">two-year </w:t>
      </w:r>
      <w:r w:rsidR="007B0CFF">
        <w:rPr>
          <w:rFonts w:ascii="Times New Roman" w:hAnsi="Times New Roman" w:cs="Times New Roman"/>
          <w:sz w:val="24"/>
          <w:szCs w:val="24"/>
        </w:rPr>
        <w:t xml:space="preserve">trailing average whilst the incurred rate will be the prevailing rates on </w:t>
      </w:r>
      <w:r w:rsidR="00C11A6F">
        <w:rPr>
          <w:rFonts w:ascii="Times New Roman" w:hAnsi="Times New Roman" w:cs="Times New Roman"/>
          <w:sz w:val="24"/>
          <w:szCs w:val="24"/>
        </w:rPr>
        <w:t xml:space="preserve">one and two year </w:t>
      </w:r>
      <w:r w:rsidR="00A637F0">
        <w:rPr>
          <w:rFonts w:ascii="Times New Roman" w:hAnsi="Times New Roman" w:cs="Times New Roman"/>
          <w:sz w:val="24"/>
          <w:szCs w:val="24"/>
        </w:rPr>
        <w:t>debt</w:t>
      </w:r>
      <w:r w:rsidR="007B0CFF">
        <w:rPr>
          <w:rFonts w:ascii="Times New Roman" w:hAnsi="Times New Roman" w:cs="Times New Roman"/>
          <w:sz w:val="24"/>
          <w:szCs w:val="24"/>
        </w:rPr>
        <w:t xml:space="preserve">.  </w:t>
      </w:r>
      <w:r w:rsidR="00A637F0">
        <w:rPr>
          <w:rFonts w:ascii="Times New Roman" w:hAnsi="Times New Roman" w:cs="Times New Roman"/>
          <w:sz w:val="24"/>
          <w:szCs w:val="24"/>
        </w:rPr>
        <w:t xml:space="preserve">Thus, </w:t>
      </w:r>
      <w:r w:rsidR="007B0CFF">
        <w:rPr>
          <w:rFonts w:ascii="Times New Roman" w:hAnsi="Times New Roman" w:cs="Times New Roman"/>
          <w:sz w:val="24"/>
          <w:szCs w:val="24"/>
        </w:rPr>
        <w:t xml:space="preserve">again, </w:t>
      </w:r>
      <w:r w:rsidR="00D85BE1">
        <w:rPr>
          <w:rFonts w:ascii="Times New Roman" w:hAnsi="Times New Roman" w:cs="Times New Roman"/>
          <w:sz w:val="24"/>
          <w:szCs w:val="24"/>
        </w:rPr>
        <w:t xml:space="preserve">there </w:t>
      </w:r>
      <w:r w:rsidR="00A637F0">
        <w:rPr>
          <w:rFonts w:ascii="Times New Roman" w:hAnsi="Times New Roman" w:cs="Times New Roman"/>
          <w:sz w:val="24"/>
          <w:szCs w:val="24"/>
        </w:rPr>
        <w:t xml:space="preserve">could (and probably will be) </w:t>
      </w:r>
      <w:r w:rsidR="007921B6">
        <w:rPr>
          <w:rFonts w:ascii="Times New Roman" w:hAnsi="Times New Roman" w:cs="Times New Roman"/>
          <w:sz w:val="24"/>
          <w:szCs w:val="24"/>
        </w:rPr>
        <w:t xml:space="preserve">a mismatch </w:t>
      </w:r>
      <w:r w:rsidR="00A637F0">
        <w:rPr>
          <w:rFonts w:ascii="Times New Roman" w:hAnsi="Times New Roman" w:cs="Times New Roman"/>
          <w:sz w:val="24"/>
          <w:szCs w:val="24"/>
        </w:rPr>
        <w:t>in which case the</w:t>
      </w:r>
      <w:r w:rsidR="007B0CFF">
        <w:rPr>
          <w:rFonts w:ascii="Times New Roman" w:hAnsi="Times New Roman" w:cs="Times New Roman"/>
          <w:sz w:val="24"/>
          <w:szCs w:val="24"/>
        </w:rPr>
        <w:t xml:space="preserve"> NPV = 0 principle </w:t>
      </w:r>
      <w:r w:rsidR="00A637F0">
        <w:rPr>
          <w:rFonts w:ascii="Times New Roman" w:hAnsi="Times New Roman" w:cs="Times New Roman"/>
          <w:sz w:val="24"/>
          <w:szCs w:val="24"/>
        </w:rPr>
        <w:t xml:space="preserve">would </w:t>
      </w:r>
      <w:r w:rsidR="007B0CFF">
        <w:rPr>
          <w:rFonts w:ascii="Times New Roman" w:hAnsi="Times New Roman" w:cs="Times New Roman"/>
          <w:sz w:val="24"/>
          <w:szCs w:val="24"/>
        </w:rPr>
        <w:t xml:space="preserve">be violated.  </w:t>
      </w:r>
      <w:r w:rsidR="005A4C78">
        <w:rPr>
          <w:rFonts w:ascii="Times New Roman" w:hAnsi="Times New Roman" w:cs="Times New Roman"/>
          <w:sz w:val="24"/>
          <w:szCs w:val="24"/>
        </w:rPr>
        <w:t xml:space="preserve">Since capex is ongoing, such mismatches will be ongoing.  </w:t>
      </w:r>
      <w:r w:rsidR="007B0CFF">
        <w:rPr>
          <w:rFonts w:ascii="Times New Roman" w:hAnsi="Times New Roman" w:cs="Times New Roman"/>
          <w:sz w:val="24"/>
          <w:szCs w:val="24"/>
        </w:rPr>
        <w:t xml:space="preserve">However, unlike the on-the-day regime, a match in realized outcomes </w:t>
      </w:r>
      <w:r w:rsidR="005A4C78">
        <w:rPr>
          <w:rFonts w:ascii="Times New Roman" w:hAnsi="Times New Roman" w:cs="Times New Roman"/>
          <w:sz w:val="24"/>
          <w:szCs w:val="24"/>
        </w:rPr>
        <w:t xml:space="preserve">(not just expected outcomes) </w:t>
      </w:r>
      <w:r w:rsidR="007B0CFF">
        <w:rPr>
          <w:rFonts w:ascii="Times New Roman" w:hAnsi="Times New Roman" w:cs="Times New Roman"/>
          <w:sz w:val="24"/>
          <w:szCs w:val="24"/>
        </w:rPr>
        <w:t xml:space="preserve">will be achieved from the </w:t>
      </w:r>
      <w:r w:rsidR="0039487E">
        <w:rPr>
          <w:rFonts w:ascii="Times New Roman" w:hAnsi="Times New Roman" w:cs="Times New Roman"/>
          <w:sz w:val="24"/>
          <w:szCs w:val="24"/>
        </w:rPr>
        <w:t xml:space="preserve">beginning of the </w:t>
      </w:r>
      <w:r w:rsidR="007B0CFF">
        <w:rPr>
          <w:rFonts w:ascii="Times New Roman" w:hAnsi="Times New Roman" w:cs="Times New Roman"/>
          <w:sz w:val="24"/>
          <w:szCs w:val="24"/>
        </w:rPr>
        <w:t>third y</w:t>
      </w:r>
      <w:r w:rsidR="00D85BE1">
        <w:rPr>
          <w:rFonts w:ascii="Times New Roman" w:hAnsi="Times New Roman" w:cs="Times New Roman"/>
          <w:sz w:val="24"/>
          <w:szCs w:val="24"/>
        </w:rPr>
        <w:t>ear</w:t>
      </w:r>
      <w:r w:rsidR="005A4C78">
        <w:rPr>
          <w:rFonts w:ascii="Times New Roman" w:hAnsi="Times New Roman" w:cs="Times New Roman"/>
          <w:sz w:val="24"/>
          <w:szCs w:val="24"/>
        </w:rPr>
        <w:t xml:space="preserve"> after the commencement of the regulatory bu</w:t>
      </w:r>
      <w:r w:rsidR="00742721">
        <w:rPr>
          <w:rFonts w:ascii="Times New Roman" w:hAnsi="Times New Roman" w:cs="Times New Roman"/>
          <w:sz w:val="24"/>
          <w:szCs w:val="24"/>
        </w:rPr>
        <w:t xml:space="preserve">siness </w:t>
      </w:r>
      <w:r w:rsidR="007921B6">
        <w:rPr>
          <w:rFonts w:ascii="Times New Roman" w:hAnsi="Times New Roman" w:cs="Times New Roman"/>
          <w:sz w:val="24"/>
          <w:szCs w:val="24"/>
        </w:rPr>
        <w:t xml:space="preserve">or </w:t>
      </w:r>
      <w:r w:rsidR="00742721">
        <w:rPr>
          <w:rFonts w:ascii="Times New Roman" w:hAnsi="Times New Roman" w:cs="Times New Roman"/>
          <w:sz w:val="24"/>
          <w:szCs w:val="24"/>
        </w:rPr>
        <w:t xml:space="preserve">capex.  Furthermore, like the on-the-day regime, these violations of the NPV = 0 principle should </w:t>
      </w:r>
      <w:r w:rsidR="004E38DA">
        <w:rPr>
          <w:rFonts w:ascii="Times New Roman" w:hAnsi="Times New Roman" w:cs="Times New Roman"/>
          <w:sz w:val="24"/>
          <w:szCs w:val="24"/>
        </w:rPr>
        <w:t xml:space="preserve">also </w:t>
      </w:r>
      <w:r w:rsidR="00742721">
        <w:rPr>
          <w:rFonts w:ascii="Times New Roman" w:hAnsi="Times New Roman" w:cs="Times New Roman"/>
          <w:sz w:val="24"/>
          <w:szCs w:val="24"/>
        </w:rPr>
        <w:t>be small because they are limited to the first few years of the project and projects typically have lives of several decades.</w:t>
      </w:r>
    </w:p>
    <w:p w:rsidR="00CB5B67" w:rsidRDefault="00CB5B67" w:rsidP="00C364C4">
      <w:pPr>
        <w:tabs>
          <w:tab w:val="left" w:pos="2160"/>
          <w:tab w:val="left" w:pos="5040"/>
        </w:tabs>
        <w:spacing w:after="0" w:line="360" w:lineRule="auto"/>
        <w:jc w:val="both"/>
        <w:rPr>
          <w:rFonts w:ascii="Times New Roman" w:hAnsi="Times New Roman" w:cs="Times New Roman"/>
          <w:sz w:val="24"/>
          <w:szCs w:val="24"/>
        </w:rPr>
      </w:pPr>
    </w:p>
    <w:p w:rsidR="00E467B6" w:rsidRDefault="00CB5B67" w:rsidP="00C364C4">
      <w:pPr>
        <w:tabs>
          <w:tab w:val="left" w:pos="2160"/>
          <w:tab w:val="left" w:pos="50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the legal requirement for the allowed </w:t>
      </w:r>
      <w:r w:rsidR="008D1DEB">
        <w:rPr>
          <w:rFonts w:ascii="Times New Roman" w:hAnsi="Times New Roman" w:cs="Times New Roman"/>
          <w:sz w:val="24"/>
          <w:szCs w:val="24"/>
        </w:rPr>
        <w:t xml:space="preserve">cost of debt to be </w:t>
      </w:r>
      <w:r>
        <w:rPr>
          <w:rFonts w:ascii="Times New Roman" w:hAnsi="Times New Roman" w:cs="Times New Roman"/>
          <w:sz w:val="24"/>
          <w:szCs w:val="24"/>
        </w:rPr>
        <w:t xml:space="preserve">commensurate with the costs of a BEE is formalized through the NPV = 0 principle.  In turn, this </w:t>
      </w:r>
      <w:r w:rsidR="00FF2933">
        <w:rPr>
          <w:rFonts w:ascii="Times New Roman" w:hAnsi="Times New Roman" w:cs="Times New Roman"/>
          <w:sz w:val="24"/>
          <w:szCs w:val="24"/>
        </w:rPr>
        <w:t xml:space="preserve">principle </w:t>
      </w:r>
      <w:r>
        <w:rPr>
          <w:rFonts w:ascii="Times New Roman" w:hAnsi="Times New Roman" w:cs="Times New Roman"/>
          <w:sz w:val="24"/>
          <w:szCs w:val="24"/>
        </w:rPr>
        <w:t xml:space="preserve">is implemented </w:t>
      </w:r>
      <w:r w:rsidR="00FF2933">
        <w:rPr>
          <w:rFonts w:ascii="Times New Roman" w:hAnsi="Times New Roman" w:cs="Times New Roman"/>
          <w:sz w:val="24"/>
          <w:szCs w:val="24"/>
        </w:rPr>
        <w:t xml:space="preserve">(or approximately so) </w:t>
      </w:r>
      <w:r>
        <w:rPr>
          <w:rFonts w:ascii="Times New Roman" w:hAnsi="Times New Roman" w:cs="Times New Roman"/>
          <w:sz w:val="24"/>
          <w:szCs w:val="24"/>
        </w:rPr>
        <w:t>at each regulatory reset point through an appropriate regulatory policy.  In the absence of debt, the allowed cost of equity (and therefore the risk free rate within it) must be the rate prevailing at the beginning of the regulatory cycle and for a term matching the regulatory cycle.</w:t>
      </w:r>
      <w:r w:rsidR="007B0CFF">
        <w:rPr>
          <w:rFonts w:ascii="Times New Roman" w:hAnsi="Times New Roman" w:cs="Times New Roman"/>
          <w:sz w:val="24"/>
          <w:szCs w:val="24"/>
        </w:rPr>
        <w:t xml:space="preserve">  In the presence of debt, the situation is more complicated.  Given that firms stagger their debt</w:t>
      </w:r>
      <w:r w:rsidR="00C658A4">
        <w:rPr>
          <w:rFonts w:ascii="Times New Roman" w:hAnsi="Times New Roman" w:cs="Times New Roman"/>
          <w:sz w:val="24"/>
          <w:szCs w:val="24"/>
        </w:rPr>
        <w:t xml:space="preserve">, </w:t>
      </w:r>
      <w:r w:rsidR="0039487E">
        <w:rPr>
          <w:rFonts w:ascii="Times New Roman" w:hAnsi="Times New Roman" w:cs="Times New Roman"/>
          <w:sz w:val="24"/>
          <w:szCs w:val="24"/>
        </w:rPr>
        <w:t xml:space="preserve">regulatory use of the prevailing cost of debt (the on-the-day regime) will not satisfy the NPV = 0 principle due to mismatches </w:t>
      </w:r>
      <w:r w:rsidR="00FF2933">
        <w:rPr>
          <w:rFonts w:ascii="Times New Roman" w:hAnsi="Times New Roman" w:cs="Times New Roman"/>
          <w:sz w:val="24"/>
          <w:szCs w:val="24"/>
        </w:rPr>
        <w:t xml:space="preserve">between the allowed and incurred costs of debt </w:t>
      </w:r>
      <w:r w:rsidR="0039487E">
        <w:rPr>
          <w:rFonts w:ascii="Times New Roman" w:hAnsi="Times New Roman" w:cs="Times New Roman"/>
          <w:sz w:val="24"/>
          <w:szCs w:val="24"/>
        </w:rPr>
        <w:t>at the commencement date of the regulatory business</w:t>
      </w:r>
      <w:r w:rsidR="00E57810">
        <w:rPr>
          <w:rFonts w:ascii="Times New Roman" w:hAnsi="Times New Roman" w:cs="Times New Roman"/>
          <w:sz w:val="24"/>
          <w:szCs w:val="24"/>
        </w:rPr>
        <w:t xml:space="preserve">.  There will </w:t>
      </w:r>
      <w:r w:rsidR="00FF2933">
        <w:rPr>
          <w:rFonts w:ascii="Times New Roman" w:hAnsi="Times New Roman" w:cs="Times New Roman"/>
          <w:sz w:val="24"/>
          <w:szCs w:val="24"/>
        </w:rPr>
        <w:t xml:space="preserve">also </w:t>
      </w:r>
      <w:r w:rsidR="0039487E">
        <w:rPr>
          <w:rFonts w:ascii="Times New Roman" w:hAnsi="Times New Roman" w:cs="Times New Roman"/>
          <w:sz w:val="24"/>
          <w:szCs w:val="24"/>
        </w:rPr>
        <w:t xml:space="preserve">be ongoing mismatches that do not violate the NPV = 0 principle because they are compensated ex-ante through the asset beta.  Furthermore, even regulatory use of a </w:t>
      </w:r>
      <w:r w:rsidR="00C658A4">
        <w:rPr>
          <w:rFonts w:ascii="Times New Roman" w:hAnsi="Times New Roman" w:cs="Times New Roman"/>
          <w:sz w:val="24"/>
          <w:szCs w:val="24"/>
        </w:rPr>
        <w:t xml:space="preserve">trailing average </w:t>
      </w:r>
      <w:r w:rsidR="0039487E">
        <w:rPr>
          <w:rFonts w:ascii="Times New Roman" w:hAnsi="Times New Roman" w:cs="Times New Roman"/>
          <w:sz w:val="24"/>
          <w:szCs w:val="24"/>
        </w:rPr>
        <w:t xml:space="preserve">cost of debt will not satisfy the </w:t>
      </w:r>
      <w:r w:rsidR="00C658A4">
        <w:rPr>
          <w:rFonts w:ascii="Times New Roman" w:hAnsi="Times New Roman" w:cs="Times New Roman"/>
          <w:sz w:val="24"/>
          <w:szCs w:val="24"/>
        </w:rPr>
        <w:t>NPV = 0 requirement</w:t>
      </w:r>
      <w:r w:rsidR="005A4C78">
        <w:rPr>
          <w:rFonts w:ascii="Times New Roman" w:hAnsi="Times New Roman" w:cs="Times New Roman"/>
          <w:sz w:val="24"/>
          <w:szCs w:val="24"/>
        </w:rPr>
        <w:t xml:space="preserve"> due to </w:t>
      </w:r>
      <w:r w:rsidR="0039487E">
        <w:rPr>
          <w:rFonts w:ascii="Times New Roman" w:hAnsi="Times New Roman" w:cs="Times New Roman"/>
          <w:sz w:val="24"/>
          <w:szCs w:val="24"/>
        </w:rPr>
        <w:t xml:space="preserve">mismatches </w:t>
      </w:r>
      <w:r w:rsidR="00FF2933">
        <w:rPr>
          <w:rFonts w:ascii="Times New Roman" w:hAnsi="Times New Roman" w:cs="Times New Roman"/>
          <w:sz w:val="24"/>
          <w:szCs w:val="24"/>
        </w:rPr>
        <w:t xml:space="preserve">between the allowed and incurred costs of debt </w:t>
      </w:r>
      <w:r w:rsidR="0039487E">
        <w:rPr>
          <w:rFonts w:ascii="Times New Roman" w:hAnsi="Times New Roman" w:cs="Times New Roman"/>
          <w:sz w:val="24"/>
          <w:szCs w:val="24"/>
        </w:rPr>
        <w:t xml:space="preserve">at the </w:t>
      </w:r>
      <w:r w:rsidR="005A4C78">
        <w:rPr>
          <w:rFonts w:ascii="Times New Roman" w:hAnsi="Times New Roman" w:cs="Times New Roman"/>
          <w:sz w:val="24"/>
          <w:szCs w:val="24"/>
        </w:rPr>
        <w:t xml:space="preserve">commencement </w:t>
      </w:r>
      <w:r w:rsidR="0039487E">
        <w:rPr>
          <w:rFonts w:ascii="Times New Roman" w:hAnsi="Times New Roman" w:cs="Times New Roman"/>
          <w:sz w:val="24"/>
          <w:szCs w:val="24"/>
        </w:rPr>
        <w:t xml:space="preserve">date </w:t>
      </w:r>
      <w:r w:rsidR="005A4C78">
        <w:rPr>
          <w:rFonts w:ascii="Times New Roman" w:hAnsi="Times New Roman" w:cs="Times New Roman"/>
          <w:sz w:val="24"/>
          <w:szCs w:val="24"/>
        </w:rPr>
        <w:t xml:space="preserve">of the regulatory business </w:t>
      </w:r>
      <w:r w:rsidR="004E38DA">
        <w:rPr>
          <w:rFonts w:ascii="Times New Roman" w:hAnsi="Times New Roman" w:cs="Times New Roman"/>
          <w:sz w:val="24"/>
          <w:szCs w:val="24"/>
        </w:rPr>
        <w:t xml:space="preserve">or </w:t>
      </w:r>
      <w:r w:rsidR="005A4C78">
        <w:rPr>
          <w:rFonts w:ascii="Times New Roman" w:hAnsi="Times New Roman" w:cs="Times New Roman"/>
          <w:sz w:val="24"/>
          <w:szCs w:val="24"/>
        </w:rPr>
        <w:t>any subsequent capex</w:t>
      </w:r>
      <w:r w:rsidR="00FF2933">
        <w:rPr>
          <w:rFonts w:ascii="Times New Roman" w:hAnsi="Times New Roman" w:cs="Times New Roman"/>
          <w:sz w:val="24"/>
          <w:szCs w:val="24"/>
        </w:rPr>
        <w:t xml:space="preserve">.  </w:t>
      </w:r>
      <w:r w:rsidR="007921B6">
        <w:rPr>
          <w:rFonts w:ascii="Times New Roman" w:hAnsi="Times New Roman" w:cs="Times New Roman"/>
          <w:sz w:val="24"/>
          <w:szCs w:val="24"/>
        </w:rPr>
        <w:t xml:space="preserve">However, the </w:t>
      </w:r>
      <w:r w:rsidR="00742721">
        <w:rPr>
          <w:rFonts w:ascii="Times New Roman" w:hAnsi="Times New Roman" w:cs="Times New Roman"/>
          <w:sz w:val="24"/>
          <w:szCs w:val="24"/>
        </w:rPr>
        <w:t xml:space="preserve">violations would </w:t>
      </w:r>
      <w:r w:rsidR="00FF2933">
        <w:rPr>
          <w:rFonts w:ascii="Times New Roman" w:hAnsi="Times New Roman" w:cs="Times New Roman"/>
          <w:sz w:val="24"/>
          <w:szCs w:val="24"/>
        </w:rPr>
        <w:t xml:space="preserve">again </w:t>
      </w:r>
      <w:r w:rsidR="00742721">
        <w:rPr>
          <w:rFonts w:ascii="Times New Roman" w:hAnsi="Times New Roman" w:cs="Times New Roman"/>
          <w:sz w:val="24"/>
          <w:szCs w:val="24"/>
        </w:rPr>
        <w:t>be small</w:t>
      </w:r>
      <w:r w:rsidR="00C658A4">
        <w:rPr>
          <w:rFonts w:ascii="Times New Roman" w:hAnsi="Times New Roman" w:cs="Times New Roman"/>
          <w:sz w:val="24"/>
          <w:szCs w:val="24"/>
        </w:rPr>
        <w:t>.</w:t>
      </w:r>
      <w:r w:rsidR="005B6347">
        <w:rPr>
          <w:rFonts w:ascii="Times New Roman" w:hAnsi="Times New Roman" w:cs="Times New Roman"/>
          <w:sz w:val="24"/>
          <w:szCs w:val="24"/>
        </w:rPr>
        <w:t xml:space="preserve">  </w:t>
      </w:r>
      <w:r w:rsidR="0039487E">
        <w:rPr>
          <w:rFonts w:ascii="Times New Roman" w:hAnsi="Times New Roman" w:cs="Times New Roman"/>
          <w:sz w:val="24"/>
          <w:szCs w:val="24"/>
        </w:rPr>
        <w:t xml:space="preserve">Thus, any </w:t>
      </w:r>
      <w:r w:rsidR="0039487E">
        <w:rPr>
          <w:rFonts w:ascii="Times New Roman" w:hAnsi="Times New Roman" w:cs="Times New Roman"/>
          <w:sz w:val="24"/>
          <w:szCs w:val="24"/>
        </w:rPr>
        <w:lastRenderedPageBreak/>
        <w:t xml:space="preserve">regulatory approach to setting the allowed cost of debt </w:t>
      </w:r>
      <w:r w:rsidR="0039487E" w:rsidRPr="00FF2933">
        <w:rPr>
          <w:rFonts w:ascii="Times New Roman" w:hAnsi="Times New Roman" w:cs="Times New Roman"/>
          <w:i/>
          <w:sz w:val="24"/>
          <w:szCs w:val="24"/>
        </w:rPr>
        <w:t>cannot</w:t>
      </w:r>
      <w:r w:rsidR="0039487E">
        <w:rPr>
          <w:rFonts w:ascii="Times New Roman" w:hAnsi="Times New Roman" w:cs="Times New Roman"/>
          <w:sz w:val="24"/>
          <w:szCs w:val="24"/>
        </w:rPr>
        <w:t xml:space="preserve"> be assessed by comparing the allowed rate for a particular cycle to that incurred by the firm over that cycl</w:t>
      </w:r>
      <w:r w:rsidR="00FF2933">
        <w:rPr>
          <w:rFonts w:ascii="Times New Roman" w:hAnsi="Times New Roman" w:cs="Times New Roman"/>
          <w:sz w:val="24"/>
          <w:szCs w:val="24"/>
        </w:rPr>
        <w:t>e.  The assessment must consider the entire life of the assets, to which the NPV = 0 principle applies.</w:t>
      </w:r>
      <w:r w:rsidR="00D30929">
        <w:rPr>
          <w:rFonts w:ascii="Times New Roman" w:hAnsi="Times New Roman" w:cs="Times New Roman"/>
          <w:sz w:val="24"/>
          <w:szCs w:val="24"/>
        </w:rPr>
        <w:t xml:space="preserve">  This parallels the situation for unregulated businesses, which are also concerned with the entire life of a proposed investment.</w:t>
      </w:r>
    </w:p>
    <w:p w:rsidR="00B61331" w:rsidRDefault="00B61331" w:rsidP="00437215">
      <w:pPr>
        <w:pStyle w:val="ListParagraph"/>
        <w:spacing w:after="0" w:line="360" w:lineRule="auto"/>
        <w:ind w:left="0"/>
        <w:jc w:val="both"/>
        <w:rPr>
          <w:rFonts w:ascii="Times New Roman" w:hAnsi="Times New Roman" w:cs="Times New Roman"/>
          <w:sz w:val="24"/>
          <w:szCs w:val="24"/>
        </w:rPr>
      </w:pPr>
    </w:p>
    <w:p w:rsidR="008E2C91" w:rsidRPr="008E2C91" w:rsidRDefault="008E2C91" w:rsidP="00437215">
      <w:pPr>
        <w:pStyle w:val="ListParagraph"/>
        <w:spacing w:after="0" w:line="360" w:lineRule="auto"/>
        <w:ind w:left="0"/>
        <w:jc w:val="both"/>
        <w:rPr>
          <w:rFonts w:ascii="Times New Roman" w:hAnsi="Times New Roman" w:cs="Times New Roman"/>
          <w:i/>
          <w:sz w:val="24"/>
          <w:szCs w:val="24"/>
        </w:rPr>
      </w:pPr>
      <w:r>
        <w:rPr>
          <w:rFonts w:ascii="Times New Roman" w:hAnsi="Times New Roman" w:cs="Times New Roman"/>
          <w:i/>
          <w:sz w:val="24"/>
          <w:szCs w:val="24"/>
        </w:rPr>
        <w:t>8.3 Regime Changes</w:t>
      </w:r>
    </w:p>
    <w:p w:rsidR="00D97DB7" w:rsidRDefault="00D97DB7" w:rsidP="00630D7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 now turn to consider regime changes and the appropriate regulatory treatment of these.  </w:t>
      </w:r>
      <w:r w:rsidR="008E2C91">
        <w:rPr>
          <w:rFonts w:ascii="Times New Roman" w:hAnsi="Times New Roman" w:cs="Times New Roman"/>
          <w:sz w:val="24"/>
          <w:szCs w:val="24"/>
        </w:rPr>
        <w:t xml:space="preserve">Immediate adoption of a new regime may give rise to a </w:t>
      </w:r>
      <w:r w:rsidR="00631F65">
        <w:rPr>
          <w:rFonts w:ascii="Times New Roman" w:hAnsi="Times New Roman" w:cs="Times New Roman"/>
          <w:sz w:val="24"/>
          <w:szCs w:val="24"/>
        </w:rPr>
        <w:t xml:space="preserve">one-off </w:t>
      </w:r>
      <w:r w:rsidR="004F1913">
        <w:rPr>
          <w:rFonts w:ascii="Times New Roman" w:hAnsi="Times New Roman" w:cs="Times New Roman"/>
          <w:sz w:val="24"/>
          <w:szCs w:val="24"/>
        </w:rPr>
        <w:t xml:space="preserve">impact on the net cash flows of the </w:t>
      </w:r>
      <w:r w:rsidR="008E2C91">
        <w:rPr>
          <w:rFonts w:ascii="Times New Roman" w:hAnsi="Times New Roman" w:cs="Times New Roman"/>
          <w:sz w:val="24"/>
          <w:szCs w:val="24"/>
        </w:rPr>
        <w:t xml:space="preserve">BEE, even when both the </w:t>
      </w:r>
      <w:r w:rsidR="008B60A1">
        <w:rPr>
          <w:rFonts w:ascii="Times New Roman" w:hAnsi="Times New Roman" w:cs="Times New Roman"/>
          <w:sz w:val="24"/>
          <w:szCs w:val="24"/>
        </w:rPr>
        <w:t xml:space="preserve">old </w:t>
      </w:r>
      <w:r w:rsidR="008E2C91">
        <w:rPr>
          <w:rFonts w:ascii="Times New Roman" w:hAnsi="Times New Roman" w:cs="Times New Roman"/>
          <w:sz w:val="24"/>
          <w:szCs w:val="24"/>
        </w:rPr>
        <w:t xml:space="preserve">and new regimes satisfy or approximately satisfy the NPV = 0 principle.  </w:t>
      </w:r>
      <w:r w:rsidR="001F10BB">
        <w:rPr>
          <w:rFonts w:ascii="Times New Roman" w:hAnsi="Times New Roman" w:cs="Times New Roman"/>
          <w:sz w:val="24"/>
          <w:szCs w:val="24"/>
        </w:rPr>
        <w:t xml:space="preserve">As with the assessment of a regulatory regime that is consistently followed, the appropriate </w:t>
      </w:r>
      <w:r>
        <w:rPr>
          <w:rFonts w:ascii="Times New Roman" w:hAnsi="Times New Roman" w:cs="Times New Roman"/>
          <w:sz w:val="24"/>
          <w:szCs w:val="24"/>
        </w:rPr>
        <w:t xml:space="preserve">regulatory policy to apply to </w:t>
      </w:r>
      <w:r w:rsidR="001F10BB">
        <w:rPr>
          <w:rFonts w:ascii="Times New Roman" w:hAnsi="Times New Roman" w:cs="Times New Roman"/>
          <w:sz w:val="24"/>
          <w:szCs w:val="24"/>
        </w:rPr>
        <w:t xml:space="preserve">regime changes should be determined by reference to the NPV = 0 principle.  </w:t>
      </w:r>
    </w:p>
    <w:p w:rsidR="00D97DB7" w:rsidRDefault="00D97DB7" w:rsidP="00630D71">
      <w:pPr>
        <w:pStyle w:val="ListParagraph"/>
        <w:spacing w:after="0" w:line="360" w:lineRule="auto"/>
        <w:ind w:left="0"/>
        <w:jc w:val="both"/>
        <w:rPr>
          <w:rFonts w:ascii="Times New Roman" w:hAnsi="Times New Roman" w:cs="Times New Roman"/>
          <w:sz w:val="24"/>
          <w:szCs w:val="24"/>
        </w:rPr>
      </w:pPr>
    </w:p>
    <w:p w:rsidR="00EE272A" w:rsidRDefault="001F10BB" w:rsidP="00630D7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At the highest level, regime changes could be dealt with in two possible ways as follows</w:t>
      </w:r>
      <w:r w:rsidR="00D97DB7">
        <w:rPr>
          <w:rFonts w:ascii="Times New Roman" w:hAnsi="Times New Roman" w:cs="Times New Roman"/>
          <w:sz w:val="24"/>
          <w:szCs w:val="24"/>
        </w:rPr>
        <w:t xml:space="preserve">.  </w:t>
      </w:r>
      <w:r>
        <w:rPr>
          <w:rFonts w:ascii="Times New Roman" w:hAnsi="Times New Roman" w:cs="Times New Roman"/>
          <w:sz w:val="24"/>
          <w:szCs w:val="24"/>
        </w:rPr>
        <w:t xml:space="preserve">The first approach would involve </w:t>
      </w:r>
      <w:r w:rsidR="008E2C91">
        <w:rPr>
          <w:rFonts w:ascii="Times New Roman" w:hAnsi="Times New Roman" w:cs="Times New Roman"/>
          <w:sz w:val="24"/>
          <w:szCs w:val="24"/>
        </w:rPr>
        <w:t xml:space="preserve">immediately </w:t>
      </w:r>
      <w:r>
        <w:rPr>
          <w:rFonts w:ascii="Times New Roman" w:hAnsi="Times New Roman" w:cs="Times New Roman"/>
          <w:sz w:val="24"/>
          <w:szCs w:val="24"/>
        </w:rPr>
        <w:t xml:space="preserve">adopting </w:t>
      </w:r>
      <w:r w:rsidR="00D97DB7">
        <w:rPr>
          <w:rFonts w:ascii="Times New Roman" w:hAnsi="Times New Roman" w:cs="Times New Roman"/>
          <w:sz w:val="24"/>
          <w:szCs w:val="24"/>
        </w:rPr>
        <w:t>the</w:t>
      </w:r>
      <w:r>
        <w:rPr>
          <w:rFonts w:ascii="Times New Roman" w:hAnsi="Times New Roman" w:cs="Times New Roman"/>
          <w:sz w:val="24"/>
          <w:szCs w:val="24"/>
        </w:rPr>
        <w:t xml:space="preserve"> </w:t>
      </w:r>
      <w:r w:rsidR="008E2C91">
        <w:rPr>
          <w:rFonts w:ascii="Times New Roman" w:hAnsi="Times New Roman" w:cs="Times New Roman"/>
          <w:sz w:val="24"/>
          <w:szCs w:val="24"/>
        </w:rPr>
        <w:t>n</w:t>
      </w:r>
      <w:r>
        <w:rPr>
          <w:rFonts w:ascii="Times New Roman" w:hAnsi="Times New Roman" w:cs="Times New Roman"/>
          <w:sz w:val="24"/>
          <w:szCs w:val="24"/>
        </w:rPr>
        <w:t xml:space="preserve">ew regime in the event that the </w:t>
      </w:r>
      <w:r w:rsidR="00631F65">
        <w:rPr>
          <w:rFonts w:ascii="Times New Roman" w:hAnsi="Times New Roman" w:cs="Times New Roman"/>
          <w:sz w:val="24"/>
          <w:szCs w:val="24"/>
        </w:rPr>
        <w:t xml:space="preserve">one-off </w:t>
      </w:r>
      <w:r w:rsidR="008E2C91">
        <w:rPr>
          <w:rFonts w:ascii="Times New Roman" w:hAnsi="Times New Roman" w:cs="Times New Roman"/>
          <w:sz w:val="24"/>
          <w:szCs w:val="24"/>
        </w:rPr>
        <w:t xml:space="preserve">effect favours the BEE but </w:t>
      </w:r>
      <w:r w:rsidR="00EE272A">
        <w:rPr>
          <w:rFonts w:ascii="Times New Roman" w:hAnsi="Times New Roman" w:cs="Times New Roman"/>
          <w:sz w:val="24"/>
          <w:szCs w:val="24"/>
        </w:rPr>
        <w:t xml:space="preserve">to compensate it in some fashion otherwise.  This </w:t>
      </w:r>
      <w:r w:rsidR="00C011C0">
        <w:rPr>
          <w:rFonts w:ascii="Times New Roman" w:hAnsi="Times New Roman" w:cs="Times New Roman"/>
          <w:sz w:val="24"/>
          <w:szCs w:val="24"/>
        </w:rPr>
        <w:t xml:space="preserve">asymmetric policy </w:t>
      </w:r>
      <w:r w:rsidR="00EE272A">
        <w:rPr>
          <w:rFonts w:ascii="Times New Roman" w:hAnsi="Times New Roman" w:cs="Times New Roman"/>
          <w:sz w:val="24"/>
          <w:szCs w:val="24"/>
        </w:rPr>
        <w:t xml:space="preserve">would violate the NPV = 0 principle.  To illustrate this point, suppose regime A consistently adopted </w:t>
      </w:r>
      <w:r w:rsidR="00D97DB7">
        <w:rPr>
          <w:rFonts w:ascii="Times New Roman" w:hAnsi="Times New Roman" w:cs="Times New Roman"/>
          <w:sz w:val="24"/>
          <w:szCs w:val="24"/>
        </w:rPr>
        <w:t xml:space="preserve">satisfies the </w:t>
      </w:r>
      <w:r w:rsidR="00EE272A">
        <w:rPr>
          <w:rFonts w:ascii="Times New Roman" w:hAnsi="Times New Roman" w:cs="Times New Roman"/>
          <w:sz w:val="24"/>
          <w:szCs w:val="24"/>
        </w:rPr>
        <w:t xml:space="preserve">NPV = 0 </w:t>
      </w:r>
      <w:r w:rsidR="00D97DB7">
        <w:rPr>
          <w:rFonts w:ascii="Times New Roman" w:hAnsi="Times New Roman" w:cs="Times New Roman"/>
          <w:sz w:val="24"/>
          <w:szCs w:val="24"/>
        </w:rPr>
        <w:t xml:space="preserve">principle </w:t>
      </w:r>
      <w:r w:rsidR="00EE272A">
        <w:rPr>
          <w:rFonts w:ascii="Times New Roman" w:hAnsi="Times New Roman" w:cs="Times New Roman"/>
          <w:sz w:val="24"/>
          <w:szCs w:val="24"/>
        </w:rPr>
        <w:t xml:space="preserve">and regime B is likewise, but a shift from A to B will </w:t>
      </w:r>
      <w:r w:rsidR="00D97DB7">
        <w:rPr>
          <w:rFonts w:ascii="Times New Roman" w:hAnsi="Times New Roman" w:cs="Times New Roman"/>
          <w:sz w:val="24"/>
          <w:szCs w:val="24"/>
        </w:rPr>
        <w:t xml:space="preserve">give rise to </w:t>
      </w:r>
      <w:r w:rsidR="00EE272A">
        <w:rPr>
          <w:rFonts w:ascii="Times New Roman" w:hAnsi="Times New Roman" w:cs="Times New Roman"/>
          <w:sz w:val="24"/>
          <w:szCs w:val="24"/>
        </w:rPr>
        <w:t xml:space="preserve">either </w:t>
      </w:r>
      <w:r w:rsidR="00631F65">
        <w:rPr>
          <w:rFonts w:ascii="Times New Roman" w:hAnsi="Times New Roman" w:cs="Times New Roman"/>
          <w:sz w:val="24"/>
          <w:szCs w:val="24"/>
        </w:rPr>
        <w:t xml:space="preserve">one-off </w:t>
      </w:r>
      <w:r w:rsidR="00EE272A">
        <w:rPr>
          <w:rFonts w:ascii="Times New Roman" w:hAnsi="Times New Roman" w:cs="Times New Roman"/>
          <w:sz w:val="24"/>
          <w:szCs w:val="24"/>
        </w:rPr>
        <w:t xml:space="preserve">gains or losses </w:t>
      </w:r>
      <w:r w:rsidR="00D97DB7">
        <w:rPr>
          <w:rFonts w:ascii="Times New Roman" w:hAnsi="Times New Roman" w:cs="Times New Roman"/>
          <w:sz w:val="24"/>
          <w:szCs w:val="24"/>
        </w:rPr>
        <w:t xml:space="preserve">to investors in the BEE </w:t>
      </w:r>
      <w:r w:rsidR="00EE272A">
        <w:rPr>
          <w:rFonts w:ascii="Times New Roman" w:hAnsi="Times New Roman" w:cs="Times New Roman"/>
          <w:sz w:val="24"/>
          <w:szCs w:val="24"/>
        </w:rPr>
        <w:t xml:space="preserve">of $5b with equal likelihood unless these effects are </w:t>
      </w:r>
      <w:r w:rsidR="00D97DB7">
        <w:rPr>
          <w:rFonts w:ascii="Times New Roman" w:hAnsi="Times New Roman" w:cs="Times New Roman"/>
          <w:sz w:val="24"/>
          <w:szCs w:val="24"/>
        </w:rPr>
        <w:t xml:space="preserve">neutralized by </w:t>
      </w:r>
      <w:r w:rsidR="00EE272A">
        <w:rPr>
          <w:rFonts w:ascii="Times New Roman" w:hAnsi="Times New Roman" w:cs="Times New Roman"/>
          <w:sz w:val="24"/>
          <w:szCs w:val="24"/>
        </w:rPr>
        <w:t xml:space="preserve">the regulator.  Suppose further that the probability of a regime change is 60% and that the regulator will </w:t>
      </w:r>
      <w:r w:rsidR="00A84815">
        <w:rPr>
          <w:rFonts w:ascii="Times New Roman" w:hAnsi="Times New Roman" w:cs="Times New Roman"/>
          <w:sz w:val="24"/>
          <w:szCs w:val="24"/>
        </w:rPr>
        <w:t xml:space="preserve">neutralize the effect of any </w:t>
      </w:r>
      <w:r w:rsidR="00631F65">
        <w:rPr>
          <w:rFonts w:ascii="Times New Roman" w:hAnsi="Times New Roman" w:cs="Times New Roman"/>
          <w:sz w:val="24"/>
          <w:szCs w:val="24"/>
        </w:rPr>
        <w:t xml:space="preserve">one-off </w:t>
      </w:r>
      <w:r w:rsidR="00EE272A">
        <w:rPr>
          <w:rFonts w:ascii="Times New Roman" w:hAnsi="Times New Roman" w:cs="Times New Roman"/>
          <w:sz w:val="24"/>
          <w:szCs w:val="24"/>
        </w:rPr>
        <w:t>los</w:t>
      </w:r>
      <w:r w:rsidR="00EF1405">
        <w:rPr>
          <w:rFonts w:ascii="Times New Roman" w:hAnsi="Times New Roman" w:cs="Times New Roman"/>
          <w:sz w:val="24"/>
          <w:szCs w:val="24"/>
        </w:rPr>
        <w:t xml:space="preserve">ses being suffered whilst gains will be </w:t>
      </w:r>
      <w:r w:rsidR="00EE272A">
        <w:rPr>
          <w:rFonts w:ascii="Times New Roman" w:hAnsi="Times New Roman" w:cs="Times New Roman"/>
          <w:sz w:val="24"/>
          <w:szCs w:val="24"/>
        </w:rPr>
        <w:t xml:space="preserve">untouched.  In this case, the expected gain to the </w:t>
      </w:r>
      <w:r w:rsidR="008B60A1">
        <w:rPr>
          <w:rFonts w:ascii="Times New Roman" w:hAnsi="Times New Roman" w:cs="Times New Roman"/>
          <w:sz w:val="24"/>
          <w:szCs w:val="24"/>
        </w:rPr>
        <w:t xml:space="preserve">BEE </w:t>
      </w:r>
      <w:r w:rsidR="00EE272A">
        <w:rPr>
          <w:rFonts w:ascii="Times New Roman" w:hAnsi="Times New Roman" w:cs="Times New Roman"/>
          <w:sz w:val="24"/>
          <w:szCs w:val="24"/>
        </w:rPr>
        <w:t>from this asymmetric regulatory policy would be $1.5b as follows.</w:t>
      </w:r>
    </w:p>
    <w:p w:rsidR="00EE272A" w:rsidRDefault="00EE272A" w:rsidP="00EE272A">
      <w:pPr>
        <w:spacing w:after="0" w:line="360" w:lineRule="auto"/>
        <w:jc w:val="both"/>
        <w:rPr>
          <w:rFonts w:ascii="Times New Roman" w:hAnsi="Times New Roman" w:cs="Times New Roman"/>
          <w:sz w:val="24"/>
          <w:szCs w:val="24"/>
        </w:rPr>
      </w:pPr>
    </w:p>
    <w:p w:rsidR="00EE272A" w:rsidRDefault="00EE272A" w:rsidP="00EE272A">
      <w:pPr>
        <w:spacing w:after="0" w:line="360" w:lineRule="auto"/>
        <w:jc w:val="center"/>
        <w:rPr>
          <w:rFonts w:ascii="Times New Roman" w:hAnsi="Times New Roman" w:cs="Times New Roman"/>
          <w:sz w:val="24"/>
          <w:szCs w:val="24"/>
        </w:rPr>
      </w:pPr>
      <w:r w:rsidRPr="00995E43">
        <w:rPr>
          <w:b/>
          <w:bCs/>
          <w:position w:val="-10"/>
        </w:rPr>
        <w:object w:dxaOrig="3580" w:dyaOrig="320">
          <v:shape id="_x0000_i1039" type="#_x0000_t75" style="width:180pt;height:16.75pt" o:ole="">
            <v:imagedata r:id="rId36" o:title=""/>
          </v:shape>
          <o:OLEObject Type="Embed" ProgID="Equation.3" ShapeID="_x0000_i1039" DrawAspect="Content" ObjectID="_1494742915" r:id="rId37"/>
        </w:object>
      </w:r>
    </w:p>
    <w:p w:rsidR="00EE272A" w:rsidRDefault="00EE272A" w:rsidP="00EE272A">
      <w:pPr>
        <w:spacing w:after="0" w:line="360" w:lineRule="auto"/>
        <w:jc w:val="both"/>
        <w:rPr>
          <w:rFonts w:ascii="Times New Roman" w:hAnsi="Times New Roman" w:cs="Times New Roman"/>
          <w:sz w:val="24"/>
          <w:szCs w:val="24"/>
        </w:rPr>
      </w:pPr>
    </w:p>
    <w:p w:rsidR="00EE272A" w:rsidRDefault="00EE272A" w:rsidP="00EE27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the NPV = 0 principle is a formalization of the legal requirement to allow returns that are commensurate with the costs of a BEE, this policy of immediately adopting a new regime when </w:t>
      </w:r>
      <w:r w:rsidR="00631F65">
        <w:rPr>
          <w:rFonts w:ascii="Times New Roman" w:hAnsi="Times New Roman" w:cs="Times New Roman"/>
          <w:sz w:val="24"/>
          <w:szCs w:val="24"/>
        </w:rPr>
        <w:t xml:space="preserve">the one-off effect </w:t>
      </w:r>
      <w:r w:rsidR="00A84815">
        <w:rPr>
          <w:rFonts w:ascii="Times New Roman" w:hAnsi="Times New Roman" w:cs="Times New Roman"/>
          <w:sz w:val="24"/>
          <w:szCs w:val="24"/>
        </w:rPr>
        <w:t xml:space="preserve">is </w:t>
      </w:r>
      <w:r>
        <w:rPr>
          <w:rFonts w:ascii="Times New Roman" w:hAnsi="Times New Roman" w:cs="Times New Roman"/>
          <w:sz w:val="24"/>
          <w:szCs w:val="24"/>
        </w:rPr>
        <w:t>favourable to the BEE but not otherwise would violate the legal requirement.</w:t>
      </w:r>
    </w:p>
    <w:p w:rsidR="008E2C91" w:rsidRDefault="008E2C91" w:rsidP="00437215">
      <w:pPr>
        <w:pStyle w:val="ListParagraph"/>
        <w:spacing w:after="0" w:line="360" w:lineRule="auto"/>
        <w:ind w:left="0"/>
        <w:jc w:val="both"/>
        <w:rPr>
          <w:rFonts w:ascii="Times New Roman" w:hAnsi="Times New Roman" w:cs="Times New Roman"/>
          <w:sz w:val="24"/>
          <w:szCs w:val="24"/>
        </w:rPr>
      </w:pPr>
    </w:p>
    <w:p w:rsidR="00CE7036" w:rsidRDefault="004F27D5" w:rsidP="00EF1405">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The second </w:t>
      </w:r>
      <w:r w:rsidR="001F10BB">
        <w:rPr>
          <w:rFonts w:ascii="Times New Roman" w:hAnsi="Times New Roman" w:cs="Times New Roman"/>
          <w:sz w:val="24"/>
          <w:szCs w:val="24"/>
        </w:rPr>
        <w:t xml:space="preserve">possible </w:t>
      </w:r>
      <w:r w:rsidR="00A84815">
        <w:rPr>
          <w:rFonts w:ascii="Times New Roman" w:hAnsi="Times New Roman" w:cs="Times New Roman"/>
          <w:sz w:val="24"/>
          <w:szCs w:val="24"/>
        </w:rPr>
        <w:t xml:space="preserve">regulatory </w:t>
      </w:r>
      <w:r w:rsidR="001F10BB">
        <w:rPr>
          <w:rFonts w:ascii="Times New Roman" w:hAnsi="Times New Roman" w:cs="Times New Roman"/>
          <w:sz w:val="24"/>
          <w:szCs w:val="24"/>
        </w:rPr>
        <w:t xml:space="preserve">approach would be to </w:t>
      </w:r>
      <w:r w:rsidR="00EE272A">
        <w:rPr>
          <w:rFonts w:ascii="Times New Roman" w:hAnsi="Times New Roman" w:cs="Times New Roman"/>
          <w:sz w:val="24"/>
          <w:szCs w:val="24"/>
        </w:rPr>
        <w:t xml:space="preserve">immediately adopt </w:t>
      </w:r>
      <w:r w:rsidR="001F10BB">
        <w:rPr>
          <w:rFonts w:ascii="Times New Roman" w:hAnsi="Times New Roman" w:cs="Times New Roman"/>
          <w:sz w:val="24"/>
          <w:szCs w:val="24"/>
        </w:rPr>
        <w:t xml:space="preserve">the </w:t>
      </w:r>
      <w:r w:rsidR="00EE272A">
        <w:rPr>
          <w:rFonts w:ascii="Times New Roman" w:hAnsi="Times New Roman" w:cs="Times New Roman"/>
          <w:sz w:val="24"/>
          <w:szCs w:val="24"/>
        </w:rPr>
        <w:t>new regime</w:t>
      </w:r>
      <w:r>
        <w:rPr>
          <w:rFonts w:ascii="Times New Roman" w:hAnsi="Times New Roman" w:cs="Times New Roman"/>
          <w:sz w:val="24"/>
          <w:szCs w:val="24"/>
        </w:rPr>
        <w:t>,</w:t>
      </w:r>
      <w:r w:rsidR="00EE272A">
        <w:rPr>
          <w:rFonts w:ascii="Times New Roman" w:hAnsi="Times New Roman" w:cs="Times New Roman"/>
          <w:sz w:val="24"/>
          <w:szCs w:val="24"/>
        </w:rPr>
        <w:t xml:space="preserve"> </w:t>
      </w:r>
      <w:r w:rsidR="00631F65">
        <w:rPr>
          <w:rFonts w:ascii="Times New Roman" w:hAnsi="Times New Roman" w:cs="Times New Roman"/>
          <w:sz w:val="24"/>
          <w:szCs w:val="24"/>
        </w:rPr>
        <w:t xml:space="preserve">regardless of whether the one-off effect was </w:t>
      </w:r>
      <w:r>
        <w:rPr>
          <w:rFonts w:ascii="Times New Roman" w:hAnsi="Times New Roman" w:cs="Times New Roman"/>
          <w:sz w:val="24"/>
          <w:szCs w:val="24"/>
        </w:rPr>
        <w:t>favourable to the BEE or not</w:t>
      </w:r>
      <w:r w:rsidR="00EF1405">
        <w:rPr>
          <w:rFonts w:ascii="Times New Roman" w:hAnsi="Times New Roman" w:cs="Times New Roman"/>
          <w:sz w:val="24"/>
          <w:szCs w:val="24"/>
        </w:rPr>
        <w:t xml:space="preserve">.  In this case, the BEE would be exposed to a ‘roll of the dice’ in which even the range of possible outcomes would be unknown.  </w:t>
      </w:r>
      <w:r w:rsidR="00E70371">
        <w:rPr>
          <w:rFonts w:ascii="Times New Roman" w:hAnsi="Times New Roman" w:cs="Times New Roman"/>
          <w:sz w:val="24"/>
          <w:szCs w:val="24"/>
        </w:rPr>
        <w:t xml:space="preserve">This could discourage new investment.  In addition, </w:t>
      </w:r>
      <w:r w:rsidR="00EF1405">
        <w:rPr>
          <w:rFonts w:ascii="Times New Roman" w:hAnsi="Times New Roman" w:cs="Times New Roman"/>
          <w:sz w:val="24"/>
          <w:szCs w:val="24"/>
        </w:rPr>
        <w:t xml:space="preserve">a future regime change could have </w:t>
      </w:r>
      <w:r w:rsidR="00E70371">
        <w:rPr>
          <w:rFonts w:ascii="Times New Roman" w:hAnsi="Times New Roman" w:cs="Times New Roman"/>
          <w:sz w:val="24"/>
          <w:szCs w:val="24"/>
        </w:rPr>
        <w:t xml:space="preserve">a sufficiently adverse </w:t>
      </w:r>
      <w:r w:rsidR="00631F65">
        <w:rPr>
          <w:rFonts w:ascii="Times New Roman" w:hAnsi="Times New Roman" w:cs="Times New Roman"/>
          <w:sz w:val="24"/>
          <w:szCs w:val="24"/>
        </w:rPr>
        <w:t xml:space="preserve">one-off </w:t>
      </w:r>
      <w:r w:rsidR="00E70371">
        <w:rPr>
          <w:rFonts w:ascii="Times New Roman" w:hAnsi="Times New Roman" w:cs="Times New Roman"/>
          <w:sz w:val="24"/>
          <w:szCs w:val="24"/>
        </w:rPr>
        <w:t xml:space="preserve">impact on </w:t>
      </w:r>
      <w:r w:rsidR="00EF1405">
        <w:rPr>
          <w:rFonts w:ascii="Times New Roman" w:hAnsi="Times New Roman" w:cs="Times New Roman"/>
          <w:sz w:val="24"/>
          <w:szCs w:val="24"/>
        </w:rPr>
        <w:t xml:space="preserve">the BEE </w:t>
      </w:r>
      <w:r w:rsidR="00A84815">
        <w:rPr>
          <w:rFonts w:ascii="Times New Roman" w:hAnsi="Times New Roman" w:cs="Times New Roman"/>
          <w:sz w:val="24"/>
          <w:szCs w:val="24"/>
        </w:rPr>
        <w:t xml:space="preserve">to </w:t>
      </w:r>
      <w:r w:rsidR="00EF1405">
        <w:rPr>
          <w:rFonts w:ascii="Times New Roman" w:hAnsi="Times New Roman" w:cs="Times New Roman"/>
          <w:sz w:val="24"/>
          <w:szCs w:val="24"/>
        </w:rPr>
        <w:t>threaten its financial viability</w:t>
      </w:r>
      <w:r w:rsidR="00E70371">
        <w:rPr>
          <w:rFonts w:ascii="Times New Roman" w:hAnsi="Times New Roman" w:cs="Times New Roman"/>
          <w:sz w:val="24"/>
          <w:szCs w:val="24"/>
        </w:rPr>
        <w:t xml:space="preserve">, which would lead </w:t>
      </w:r>
      <w:r w:rsidR="00EF1405">
        <w:rPr>
          <w:rFonts w:ascii="Times New Roman" w:hAnsi="Times New Roman" w:cs="Times New Roman"/>
          <w:sz w:val="24"/>
          <w:szCs w:val="24"/>
        </w:rPr>
        <w:t xml:space="preserve">the BEE to petition the regulator for </w:t>
      </w:r>
      <w:r w:rsidR="00E70371">
        <w:rPr>
          <w:rFonts w:ascii="Times New Roman" w:hAnsi="Times New Roman" w:cs="Times New Roman"/>
          <w:sz w:val="24"/>
          <w:szCs w:val="24"/>
        </w:rPr>
        <w:t xml:space="preserve">relief.  If it were granted, </w:t>
      </w:r>
      <w:r w:rsidR="00EF1405">
        <w:rPr>
          <w:rFonts w:ascii="Times New Roman" w:hAnsi="Times New Roman" w:cs="Times New Roman"/>
          <w:sz w:val="24"/>
          <w:szCs w:val="24"/>
        </w:rPr>
        <w:t xml:space="preserve">this would take us back to the first </w:t>
      </w:r>
      <w:r w:rsidR="005455A6">
        <w:rPr>
          <w:rFonts w:ascii="Times New Roman" w:hAnsi="Times New Roman" w:cs="Times New Roman"/>
          <w:sz w:val="24"/>
          <w:szCs w:val="24"/>
        </w:rPr>
        <w:t xml:space="preserve">approach </w:t>
      </w:r>
      <w:r w:rsidR="00EF1405">
        <w:rPr>
          <w:rFonts w:ascii="Times New Roman" w:hAnsi="Times New Roman" w:cs="Times New Roman"/>
          <w:sz w:val="24"/>
          <w:szCs w:val="24"/>
        </w:rPr>
        <w:t xml:space="preserve">in which the NPV = 0 principle is violated.  </w:t>
      </w:r>
      <w:r w:rsidR="00E70371">
        <w:rPr>
          <w:rFonts w:ascii="Times New Roman" w:hAnsi="Times New Roman" w:cs="Times New Roman"/>
          <w:sz w:val="24"/>
          <w:szCs w:val="24"/>
        </w:rPr>
        <w:t xml:space="preserve">If </w:t>
      </w:r>
      <w:r w:rsidR="00631F65">
        <w:rPr>
          <w:rFonts w:ascii="Times New Roman" w:hAnsi="Times New Roman" w:cs="Times New Roman"/>
          <w:sz w:val="24"/>
          <w:szCs w:val="24"/>
        </w:rPr>
        <w:t xml:space="preserve">relief </w:t>
      </w:r>
      <w:r w:rsidR="00E70371">
        <w:rPr>
          <w:rFonts w:ascii="Times New Roman" w:hAnsi="Times New Roman" w:cs="Times New Roman"/>
          <w:sz w:val="24"/>
          <w:szCs w:val="24"/>
        </w:rPr>
        <w:t xml:space="preserve">were not granted, the provision of services to customers might be disrupted and DRPs across the regulated sector would likely rise leading to higher prices across the sector.  </w:t>
      </w:r>
      <w:r w:rsidR="00EF1405">
        <w:rPr>
          <w:rFonts w:ascii="Times New Roman" w:hAnsi="Times New Roman" w:cs="Times New Roman"/>
          <w:sz w:val="24"/>
          <w:szCs w:val="24"/>
        </w:rPr>
        <w:t xml:space="preserve">In addition, even without reversion to the first </w:t>
      </w:r>
      <w:r w:rsidR="005455A6">
        <w:rPr>
          <w:rFonts w:ascii="Times New Roman" w:hAnsi="Times New Roman" w:cs="Times New Roman"/>
          <w:sz w:val="24"/>
          <w:szCs w:val="24"/>
        </w:rPr>
        <w:t>approach</w:t>
      </w:r>
      <w:r w:rsidR="00EF1405">
        <w:rPr>
          <w:rFonts w:ascii="Times New Roman" w:hAnsi="Times New Roman" w:cs="Times New Roman"/>
          <w:sz w:val="24"/>
          <w:szCs w:val="24"/>
        </w:rPr>
        <w:t xml:space="preserve">, the </w:t>
      </w:r>
      <w:r w:rsidR="00631F65">
        <w:rPr>
          <w:rFonts w:ascii="Times New Roman" w:hAnsi="Times New Roman" w:cs="Times New Roman"/>
          <w:sz w:val="24"/>
          <w:szCs w:val="24"/>
        </w:rPr>
        <w:t xml:space="preserve">one-off gains and losses </w:t>
      </w:r>
      <w:r w:rsidR="00EF1405">
        <w:rPr>
          <w:rFonts w:ascii="Times New Roman" w:hAnsi="Times New Roman" w:cs="Times New Roman"/>
          <w:sz w:val="24"/>
          <w:szCs w:val="24"/>
        </w:rPr>
        <w:t xml:space="preserve">from immediate adoption of a new regime regardless of the impact on the BEE might not be symmetric, in which case the </w:t>
      </w:r>
      <w:r w:rsidR="00EE272A">
        <w:rPr>
          <w:rFonts w:ascii="Times New Roman" w:hAnsi="Times New Roman" w:cs="Times New Roman"/>
          <w:sz w:val="24"/>
          <w:szCs w:val="24"/>
        </w:rPr>
        <w:t>NPV = 0 principle</w:t>
      </w:r>
      <w:r w:rsidR="00EF1405">
        <w:rPr>
          <w:rFonts w:ascii="Times New Roman" w:hAnsi="Times New Roman" w:cs="Times New Roman"/>
          <w:sz w:val="24"/>
          <w:szCs w:val="24"/>
        </w:rPr>
        <w:t xml:space="preserve"> would still be violated</w:t>
      </w:r>
      <w:r w:rsidR="00EE272A">
        <w:rPr>
          <w:rFonts w:ascii="Times New Roman" w:hAnsi="Times New Roman" w:cs="Times New Roman"/>
          <w:sz w:val="24"/>
          <w:szCs w:val="24"/>
        </w:rPr>
        <w:t xml:space="preserve">.  To illustrate this point, suppose regime A consistently adopted </w:t>
      </w:r>
      <w:r w:rsidR="00A84815">
        <w:rPr>
          <w:rFonts w:ascii="Times New Roman" w:hAnsi="Times New Roman" w:cs="Times New Roman"/>
          <w:sz w:val="24"/>
          <w:szCs w:val="24"/>
        </w:rPr>
        <w:t xml:space="preserve">satisfies the </w:t>
      </w:r>
      <w:r w:rsidR="00EE272A">
        <w:rPr>
          <w:rFonts w:ascii="Times New Roman" w:hAnsi="Times New Roman" w:cs="Times New Roman"/>
          <w:sz w:val="24"/>
          <w:szCs w:val="24"/>
        </w:rPr>
        <w:t xml:space="preserve">NPV = 0 </w:t>
      </w:r>
      <w:r w:rsidR="00A84815">
        <w:rPr>
          <w:rFonts w:ascii="Times New Roman" w:hAnsi="Times New Roman" w:cs="Times New Roman"/>
          <w:sz w:val="24"/>
          <w:szCs w:val="24"/>
        </w:rPr>
        <w:t xml:space="preserve">principle </w:t>
      </w:r>
      <w:r w:rsidR="00EE272A">
        <w:rPr>
          <w:rFonts w:ascii="Times New Roman" w:hAnsi="Times New Roman" w:cs="Times New Roman"/>
          <w:sz w:val="24"/>
          <w:szCs w:val="24"/>
        </w:rPr>
        <w:t xml:space="preserve">and regime B is likewise, but a shift from A to B will </w:t>
      </w:r>
      <w:r w:rsidR="00CE7036">
        <w:rPr>
          <w:rFonts w:ascii="Times New Roman" w:hAnsi="Times New Roman" w:cs="Times New Roman"/>
          <w:sz w:val="24"/>
          <w:szCs w:val="24"/>
        </w:rPr>
        <w:t xml:space="preserve">cause the BEE to experience </w:t>
      </w:r>
      <w:r w:rsidR="00EE272A">
        <w:rPr>
          <w:rFonts w:ascii="Times New Roman" w:hAnsi="Times New Roman" w:cs="Times New Roman"/>
          <w:sz w:val="24"/>
          <w:szCs w:val="24"/>
        </w:rPr>
        <w:t xml:space="preserve">either </w:t>
      </w:r>
      <w:r w:rsidR="00631F65">
        <w:rPr>
          <w:rFonts w:ascii="Times New Roman" w:hAnsi="Times New Roman" w:cs="Times New Roman"/>
          <w:sz w:val="24"/>
          <w:szCs w:val="24"/>
        </w:rPr>
        <w:t xml:space="preserve">a one-off gain </w:t>
      </w:r>
      <w:r w:rsidR="00EE272A">
        <w:rPr>
          <w:rFonts w:ascii="Times New Roman" w:hAnsi="Times New Roman" w:cs="Times New Roman"/>
          <w:sz w:val="24"/>
          <w:szCs w:val="24"/>
        </w:rPr>
        <w:t xml:space="preserve">of $5b or </w:t>
      </w:r>
      <w:r w:rsidR="00631F65">
        <w:rPr>
          <w:rFonts w:ascii="Times New Roman" w:hAnsi="Times New Roman" w:cs="Times New Roman"/>
          <w:sz w:val="24"/>
          <w:szCs w:val="24"/>
        </w:rPr>
        <w:t xml:space="preserve">a one-off loss of </w:t>
      </w:r>
      <w:r w:rsidR="00EE272A">
        <w:rPr>
          <w:rFonts w:ascii="Times New Roman" w:hAnsi="Times New Roman" w:cs="Times New Roman"/>
          <w:sz w:val="24"/>
          <w:szCs w:val="24"/>
        </w:rPr>
        <w:t>$2b with equa</w:t>
      </w:r>
      <w:r w:rsidR="00CE7036">
        <w:rPr>
          <w:rFonts w:ascii="Times New Roman" w:hAnsi="Times New Roman" w:cs="Times New Roman"/>
          <w:sz w:val="24"/>
          <w:szCs w:val="24"/>
        </w:rPr>
        <w:t>l likelihood</w:t>
      </w:r>
      <w:r w:rsidR="00EE272A">
        <w:rPr>
          <w:rFonts w:ascii="Times New Roman" w:hAnsi="Times New Roman" w:cs="Times New Roman"/>
          <w:sz w:val="24"/>
          <w:szCs w:val="24"/>
        </w:rPr>
        <w:t xml:space="preserve">.  Suppose further that the probability of a regime change is 60%.  In this case, the expected gain to the </w:t>
      </w:r>
      <w:r w:rsidR="00A84815">
        <w:rPr>
          <w:rFonts w:ascii="Times New Roman" w:hAnsi="Times New Roman" w:cs="Times New Roman"/>
          <w:sz w:val="24"/>
          <w:szCs w:val="24"/>
        </w:rPr>
        <w:t>BEE</w:t>
      </w:r>
      <w:r w:rsidR="00EE272A">
        <w:rPr>
          <w:rFonts w:ascii="Times New Roman" w:hAnsi="Times New Roman" w:cs="Times New Roman"/>
          <w:sz w:val="24"/>
          <w:szCs w:val="24"/>
        </w:rPr>
        <w:t xml:space="preserve"> from this regulatory policy would be </w:t>
      </w:r>
      <w:r w:rsidR="00CE7036">
        <w:rPr>
          <w:rFonts w:ascii="Times New Roman" w:hAnsi="Times New Roman" w:cs="Times New Roman"/>
          <w:sz w:val="24"/>
          <w:szCs w:val="24"/>
        </w:rPr>
        <w:t>$0.9</w:t>
      </w:r>
      <w:r>
        <w:rPr>
          <w:rFonts w:ascii="Times New Roman" w:hAnsi="Times New Roman" w:cs="Times New Roman"/>
          <w:sz w:val="24"/>
          <w:szCs w:val="24"/>
        </w:rPr>
        <w:t>b as follows:</w:t>
      </w:r>
    </w:p>
    <w:p w:rsidR="00A84815" w:rsidRDefault="00A84815" w:rsidP="00EF1405">
      <w:pPr>
        <w:pStyle w:val="ListParagraph"/>
        <w:spacing w:after="0" w:line="360" w:lineRule="auto"/>
        <w:ind w:left="0"/>
        <w:jc w:val="both"/>
        <w:rPr>
          <w:rFonts w:ascii="Times New Roman" w:hAnsi="Times New Roman" w:cs="Times New Roman"/>
          <w:sz w:val="24"/>
          <w:szCs w:val="24"/>
        </w:rPr>
      </w:pPr>
    </w:p>
    <w:p w:rsidR="00EE272A" w:rsidRDefault="00EE272A" w:rsidP="00EE272A">
      <w:pPr>
        <w:spacing w:after="0" w:line="360" w:lineRule="auto"/>
        <w:jc w:val="center"/>
        <w:rPr>
          <w:rFonts w:ascii="Times New Roman" w:hAnsi="Times New Roman" w:cs="Times New Roman"/>
          <w:sz w:val="24"/>
          <w:szCs w:val="24"/>
        </w:rPr>
      </w:pPr>
      <w:r w:rsidRPr="00995E43">
        <w:rPr>
          <w:b/>
          <w:bCs/>
          <w:position w:val="-10"/>
        </w:rPr>
        <w:object w:dxaOrig="3820" w:dyaOrig="320">
          <v:shape id="_x0000_i1040" type="#_x0000_t75" style="width:191.7pt;height:16.75pt" o:ole="">
            <v:imagedata r:id="rId38" o:title=""/>
          </v:shape>
          <o:OLEObject Type="Embed" ProgID="Equation.3" ShapeID="_x0000_i1040" DrawAspect="Content" ObjectID="_1494742916" r:id="rId39"/>
        </w:object>
      </w:r>
    </w:p>
    <w:p w:rsidR="00EE272A" w:rsidRDefault="00EE272A" w:rsidP="00EE272A">
      <w:pPr>
        <w:spacing w:after="0" w:line="360" w:lineRule="auto"/>
        <w:jc w:val="both"/>
        <w:rPr>
          <w:rFonts w:ascii="Times New Roman" w:hAnsi="Times New Roman" w:cs="Times New Roman"/>
          <w:sz w:val="24"/>
          <w:szCs w:val="24"/>
        </w:rPr>
      </w:pPr>
    </w:p>
    <w:p w:rsidR="00EE272A" w:rsidRDefault="00EE272A" w:rsidP="00EE27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Since the NPV = 0 principle is a formalization of the legal requirement to allow returns that are commensurate with the costs of a BEE, this policy of immediately adopting a n</w:t>
      </w:r>
      <w:r w:rsidR="00631F65">
        <w:rPr>
          <w:rFonts w:ascii="Times New Roman" w:hAnsi="Times New Roman" w:cs="Times New Roman"/>
          <w:sz w:val="24"/>
          <w:szCs w:val="24"/>
        </w:rPr>
        <w:t xml:space="preserve">ew regime regardless of whether the one-off impact </w:t>
      </w:r>
      <w:r>
        <w:rPr>
          <w:rFonts w:ascii="Times New Roman" w:hAnsi="Times New Roman" w:cs="Times New Roman"/>
          <w:sz w:val="24"/>
          <w:szCs w:val="24"/>
        </w:rPr>
        <w:t>was favourable to the BEE would still violate the legal requirement.</w:t>
      </w:r>
    </w:p>
    <w:p w:rsidR="008E2C91" w:rsidRDefault="00EE272A" w:rsidP="00437215">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776FDC" w:rsidRDefault="00776FDC" w:rsidP="00437215">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summary, immediately adopting a new regime only when </w:t>
      </w:r>
      <w:r w:rsidR="00631F65">
        <w:rPr>
          <w:rFonts w:ascii="Times New Roman" w:hAnsi="Times New Roman" w:cs="Times New Roman"/>
          <w:sz w:val="24"/>
          <w:szCs w:val="24"/>
        </w:rPr>
        <w:t xml:space="preserve">the one-off effect </w:t>
      </w:r>
      <w:r>
        <w:rPr>
          <w:rFonts w:ascii="Times New Roman" w:hAnsi="Times New Roman" w:cs="Times New Roman"/>
          <w:sz w:val="24"/>
          <w:szCs w:val="24"/>
        </w:rPr>
        <w:t xml:space="preserve">is favourable to the BEE but not otherwise would </w:t>
      </w:r>
      <w:r w:rsidR="00EF1405">
        <w:rPr>
          <w:rFonts w:ascii="Times New Roman" w:hAnsi="Times New Roman" w:cs="Times New Roman"/>
          <w:sz w:val="24"/>
          <w:szCs w:val="24"/>
        </w:rPr>
        <w:t xml:space="preserve">necessarily </w:t>
      </w:r>
      <w:r>
        <w:rPr>
          <w:rFonts w:ascii="Times New Roman" w:hAnsi="Times New Roman" w:cs="Times New Roman"/>
          <w:sz w:val="24"/>
          <w:szCs w:val="24"/>
        </w:rPr>
        <w:t xml:space="preserve">violate the NPV = 0 principle.  </w:t>
      </w:r>
      <w:r w:rsidR="00EF1405">
        <w:rPr>
          <w:rFonts w:ascii="Times New Roman" w:hAnsi="Times New Roman" w:cs="Times New Roman"/>
          <w:sz w:val="24"/>
          <w:szCs w:val="24"/>
        </w:rPr>
        <w:t xml:space="preserve">Alternatively, </w:t>
      </w:r>
      <w:r w:rsidR="009C138D">
        <w:rPr>
          <w:rFonts w:ascii="Times New Roman" w:hAnsi="Times New Roman" w:cs="Times New Roman"/>
          <w:sz w:val="24"/>
          <w:szCs w:val="24"/>
        </w:rPr>
        <w:t xml:space="preserve">the </w:t>
      </w:r>
      <w:r w:rsidR="00EF1405">
        <w:rPr>
          <w:rFonts w:ascii="Times New Roman" w:hAnsi="Times New Roman" w:cs="Times New Roman"/>
          <w:sz w:val="24"/>
          <w:szCs w:val="24"/>
        </w:rPr>
        <w:t xml:space="preserve">policy </w:t>
      </w:r>
      <w:r>
        <w:rPr>
          <w:rFonts w:ascii="Times New Roman" w:hAnsi="Times New Roman" w:cs="Times New Roman"/>
          <w:sz w:val="24"/>
          <w:szCs w:val="24"/>
        </w:rPr>
        <w:t xml:space="preserve">of immediately adopting a new regime </w:t>
      </w:r>
      <w:r w:rsidR="00631F65">
        <w:rPr>
          <w:rFonts w:ascii="Times New Roman" w:hAnsi="Times New Roman" w:cs="Times New Roman"/>
          <w:sz w:val="24"/>
          <w:szCs w:val="24"/>
        </w:rPr>
        <w:t xml:space="preserve">regardless of whether the one-off impact was favourable or unfavourable </w:t>
      </w:r>
      <w:r>
        <w:rPr>
          <w:rFonts w:ascii="Times New Roman" w:hAnsi="Times New Roman" w:cs="Times New Roman"/>
          <w:sz w:val="24"/>
          <w:szCs w:val="24"/>
        </w:rPr>
        <w:t xml:space="preserve">would </w:t>
      </w:r>
      <w:r w:rsidR="00EF1405">
        <w:rPr>
          <w:rFonts w:ascii="Times New Roman" w:hAnsi="Times New Roman" w:cs="Times New Roman"/>
          <w:sz w:val="24"/>
          <w:szCs w:val="24"/>
        </w:rPr>
        <w:t xml:space="preserve">expose the BEE to </w:t>
      </w:r>
      <w:r w:rsidR="00631F65">
        <w:rPr>
          <w:rFonts w:ascii="Times New Roman" w:hAnsi="Times New Roman" w:cs="Times New Roman"/>
          <w:sz w:val="24"/>
          <w:szCs w:val="24"/>
        </w:rPr>
        <w:t xml:space="preserve">a ‘roll of the dice’, with </w:t>
      </w:r>
      <w:r w:rsidR="00EE7C45">
        <w:rPr>
          <w:rFonts w:ascii="Times New Roman" w:hAnsi="Times New Roman" w:cs="Times New Roman"/>
          <w:sz w:val="24"/>
          <w:szCs w:val="24"/>
        </w:rPr>
        <w:t xml:space="preserve">potentially very </w:t>
      </w:r>
      <w:r w:rsidR="00631F65">
        <w:rPr>
          <w:rFonts w:ascii="Times New Roman" w:hAnsi="Times New Roman" w:cs="Times New Roman"/>
          <w:sz w:val="24"/>
          <w:szCs w:val="24"/>
        </w:rPr>
        <w:t>adverse effects</w:t>
      </w:r>
      <w:r w:rsidR="00EE7C45">
        <w:rPr>
          <w:rFonts w:ascii="Times New Roman" w:hAnsi="Times New Roman" w:cs="Times New Roman"/>
          <w:sz w:val="24"/>
          <w:szCs w:val="24"/>
        </w:rPr>
        <w:t xml:space="preserve">, </w:t>
      </w:r>
      <w:r w:rsidR="00E70371">
        <w:rPr>
          <w:rFonts w:ascii="Times New Roman" w:hAnsi="Times New Roman" w:cs="Times New Roman"/>
          <w:sz w:val="24"/>
          <w:szCs w:val="24"/>
        </w:rPr>
        <w:t xml:space="preserve">thereby discouraging investment.  It would also expose the BEE to the possibility of an </w:t>
      </w:r>
      <w:r w:rsidR="00EE7C45">
        <w:rPr>
          <w:rFonts w:ascii="Times New Roman" w:hAnsi="Times New Roman" w:cs="Times New Roman"/>
          <w:sz w:val="24"/>
          <w:szCs w:val="24"/>
        </w:rPr>
        <w:t xml:space="preserve">adverse </w:t>
      </w:r>
      <w:r w:rsidR="00631F65">
        <w:rPr>
          <w:rFonts w:ascii="Times New Roman" w:hAnsi="Times New Roman" w:cs="Times New Roman"/>
          <w:sz w:val="24"/>
          <w:szCs w:val="24"/>
        </w:rPr>
        <w:t xml:space="preserve">shock </w:t>
      </w:r>
      <w:r w:rsidR="00EE7C45">
        <w:rPr>
          <w:rFonts w:ascii="Times New Roman" w:hAnsi="Times New Roman" w:cs="Times New Roman"/>
          <w:sz w:val="24"/>
          <w:szCs w:val="24"/>
        </w:rPr>
        <w:t xml:space="preserve">so large as to </w:t>
      </w:r>
      <w:r w:rsidR="00EF1405">
        <w:rPr>
          <w:rFonts w:ascii="Times New Roman" w:hAnsi="Times New Roman" w:cs="Times New Roman"/>
          <w:sz w:val="24"/>
          <w:szCs w:val="24"/>
        </w:rPr>
        <w:t xml:space="preserve">threaten </w:t>
      </w:r>
      <w:r w:rsidR="00A84815">
        <w:rPr>
          <w:rFonts w:ascii="Times New Roman" w:hAnsi="Times New Roman" w:cs="Times New Roman"/>
          <w:sz w:val="24"/>
          <w:szCs w:val="24"/>
        </w:rPr>
        <w:t xml:space="preserve">its </w:t>
      </w:r>
      <w:r w:rsidR="00EF1405">
        <w:rPr>
          <w:rFonts w:ascii="Times New Roman" w:hAnsi="Times New Roman" w:cs="Times New Roman"/>
          <w:sz w:val="24"/>
          <w:szCs w:val="24"/>
        </w:rPr>
        <w:t>financial viability</w:t>
      </w:r>
      <w:r w:rsidR="00A84815">
        <w:rPr>
          <w:rFonts w:ascii="Times New Roman" w:hAnsi="Times New Roman" w:cs="Times New Roman"/>
          <w:sz w:val="24"/>
          <w:szCs w:val="24"/>
        </w:rPr>
        <w:t xml:space="preserve">, </w:t>
      </w:r>
      <w:r w:rsidR="00E70371">
        <w:rPr>
          <w:rFonts w:ascii="Times New Roman" w:hAnsi="Times New Roman" w:cs="Times New Roman"/>
          <w:sz w:val="24"/>
          <w:szCs w:val="24"/>
        </w:rPr>
        <w:t xml:space="preserve">which would </w:t>
      </w:r>
      <w:r w:rsidR="00A84815">
        <w:rPr>
          <w:rFonts w:ascii="Times New Roman" w:hAnsi="Times New Roman" w:cs="Times New Roman"/>
          <w:sz w:val="24"/>
          <w:szCs w:val="24"/>
        </w:rPr>
        <w:t xml:space="preserve">lead to </w:t>
      </w:r>
      <w:r w:rsidR="00E70371">
        <w:rPr>
          <w:rFonts w:ascii="Times New Roman" w:hAnsi="Times New Roman" w:cs="Times New Roman"/>
          <w:sz w:val="24"/>
          <w:szCs w:val="24"/>
        </w:rPr>
        <w:t>either regulatory relief in such cases (and hence violation of the NPV = 0 principle) or the possibility of a supply disruption</w:t>
      </w:r>
      <w:r w:rsidR="00EF1405">
        <w:rPr>
          <w:rFonts w:ascii="Times New Roman" w:hAnsi="Times New Roman" w:cs="Times New Roman"/>
          <w:sz w:val="24"/>
          <w:szCs w:val="24"/>
        </w:rPr>
        <w:t xml:space="preserve">.  In addition, </w:t>
      </w:r>
      <w:r w:rsidR="00E70371">
        <w:rPr>
          <w:rFonts w:ascii="Times New Roman" w:hAnsi="Times New Roman" w:cs="Times New Roman"/>
          <w:sz w:val="24"/>
          <w:szCs w:val="24"/>
        </w:rPr>
        <w:t xml:space="preserve">even if </w:t>
      </w:r>
      <w:r w:rsidR="009C138D">
        <w:rPr>
          <w:rFonts w:ascii="Times New Roman" w:hAnsi="Times New Roman" w:cs="Times New Roman"/>
          <w:sz w:val="24"/>
          <w:szCs w:val="24"/>
        </w:rPr>
        <w:t xml:space="preserve">the </w:t>
      </w:r>
      <w:r w:rsidR="00E70371">
        <w:rPr>
          <w:rFonts w:ascii="Times New Roman" w:hAnsi="Times New Roman" w:cs="Times New Roman"/>
          <w:sz w:val="24"/>
          <w:szCs w:val="24"/>
        </w:rPr>
        <w:t xml:space="preserve">policy of immediately adopting a </w:t>
      </w:r>
      <w:r w:rsidR="00E70371">
        <w:rPr>
          <w:rFonts w:ascii="Times New Roman" w:hAnsi="Times New Roman" w:cs="Times New Roman"/>
          <w:sz w:val="24"/>
          <w:szCs w:val="24"/>
        </w:rPr>
        <w:lastRenderedPageBreak/>
        <w:t xml:space="preserve">regime change regardless of the </w:t>
      </w:r>
      <w:r w:rsidR="00631F65">
        <w:rPr>
          <w:rFonts w:ascii="Times New Roman" w:hAnsi="Times New Roman" w:cs="Times New Roman"/>
          <w:sz w:val="24"/>
          <w:szCs w:val="24"/>
        </w:rPr>
        <w:t xml:space="preserve">one-off </w:t>
      </w:r>
      <w:r w:rsidR="00E70371">
        <w:rPr>
          <w:rFonts w:ascii="Times New Roman" w:hAnsi="Times New Roman" w:cs="Times New Roman"/>
          <w:sz w:val="24"/>
          <w:szCs w:val="24"/>
        </w:rPr>
        <w:t xml:space="preserve">impact on the BEE were rigorously followed, </w:t>
      </w:r>
      <w:r w:rsidR="00EF1405">
        <w:rPr>
          <w:rFonts w:ascii="Times New Roman" w:hAnsi="Times New Roman" w:cs="Times New Roman"/>
          <w:sz w:val="24"/>
          <w:szCs w:val="24"/>
        </w:rPr>
        <w:t xml:space="preserve">the upside and downside from </w:t>
      </w:r>
      <w:r w:rsidR="009C138D">
        <w:rPr>
          <w:rFonts w:ascii="Times New Roman" w:hAnsi="Times New Roman" w:cs="Times New Roman"/>
          <w:sz w:val="24"/>
          <w:szCs w:val="24"/>
        </w:rPr>
        <w:t xml:space="preserve">this </w:t>
      </w:r>
      <w:r w:rsidR="00E70371">
        <w:rPr>
          <w:rFonts w:ascii="Times New Roman" w:hAnsi="Times New Roman" w:cs="Times New Roman"/>
          <w:sz w:val="24"/>
          <w:szCs w:val="24"/>
        </w:rPr>
        <w:t xml:space="preserve">policy </w:t>
      </w:r>
      <w:r w:rsidR="00EF1405">
        <w:rPr>
          <w:rFonts w:ascii="Times New Roman" w:hAnsi="Times New Roman" w:cs="Times New Roman"/>
          <w:sz w:val="24"/>
          <w:szCs w:val="24"/>
        </w:rPr>
        <w:t xml:space="preserve">might not be symmetric, in which case the NPV = 0 principle would still be violated. </w:t>
      </w:r>
      <w:r w:rsidR="00EE7C45">
        <w:rPr>
          <w:rFonts w:ascii="Times New Roman" w:hAnsi="Times New Roman" w:cs="Times New Roman"/>
          <w:sz w:val="24"/>
          <w:szCs w:val="24"/>
        </w:rPr>
        <w:t xml:space="preserve"> </w:t>
      </w:r>
      <w:r w:rsidR="00E70371">
        <w:rPr>
          <w:rFonts w:ascii="Times New Roman" w:hAnsi="Times New Roman" w:cs="Times New Roman"/>
          <w:sz w:val="24"/>
          <w:szCs w:val="24"/>
        </w:rPr>
        <w:t xml:space="preserve">These disadvantages are all so substantial that the </w:t>
      </w:r>
      <w:r w:rsidR="00FC0566">
        <w:rPr>
          <w:rFonts w:ascii="Times New Roman" w:hAnsi="Times New Roman" w:cs="Times New Roman"/>
          <w:sz w:val="24"/>
          <w:szCs w:val="24"/>
        </w:rPr>
        <w:t xml:space="preserve">only viable </w:t>
      </w:r>
      <w:r w:rsidR="004F27D5">
        <w:rPr>
          <w:rFonts w:ascii="Times New Roman" w:hAnsi="Times New Roman" w:cs="Times New Roman"/>
          <w:sz w:val="24"/>
          <w:szCs w:val="24"/>
        </w:rPr>
        <w:t xml:space="preserve">regulatory policy </w:t>
      </w:r>
      <w:r w:rsidR="00EE7C45">
        <w:rPr>
          <w:rFonts w:ascii="Times New Roman" w:hAnsi="Times New Roman" w:cs="Times New Roman"/>
          <w:sz w:val="24"/>
          <w:szCs w:val="24"/>
        </w:rPr>
        <w:t xml:space="preserve">would be to </w:t>
      </w:r>
      <w:r w:rsidR="00BF64C3">
        <w:rPr>
          <w:rFonts w:ascii="Times New Roman" w:hAnsi="Times New Roman" w:cs="Times New Roman"/>
          <w:sz w:val="24"/>
          <w:szCs w:val="24"/>
        </w:rPr>
        <w:t xml:space="preserve">neutralize </w:t>
      </w:r>
      <w:r w:rsidR="004F27D5">
        <w:rPr>
          <w:rFonts w:ascii="Times New Roman" w:hAnsi="Times New Roman" w:cs="Times New Roman"/>
          <w:sz w:val="24"/>
          <w:szCs w:val="24"/>
        </w:rPr>
        <w:t xml:space="preserve">the </w:t>
      </w:r>
      <w:r w:rsidR="00631F65">
        <w:rPr>
          <w:rFonts w:ascii="Times New Roman" w:hAnsi="Times New Roman" w:cs="Times New Roman"/>
          <w:sz w:val="24"/>
          <w:szCs w:val="24"/>
        </w:rPr>
        <w:t xml:space="preserve">one-off </w:t>
      </w:r>
      <w:r w:rsidR="004F27D5">
        <w:rPr>
          <w:rFonts w:ascii="Times New Roman" w:hAnsi="Times New Roman" w:cs="Times New Roman"/>
          <w:sz w:val="24"/>
          <w:szCs w:val="24"/>
        </w:rPr>
        <w:t xml:space="preserve">effects of regime changes, possibly through a </w:t>
      </w:r>
      <w:r w:rsidR="006D60E0">
        <w:rPr>
          <w:rFonts w:ascii="Times New Roman" w:hAnsi="Times New Roman" w:cs="Times New Roman"/>
          <w:sz w:val="24"/>
          <w:szCs w:val="24"/>
        </w:rPr>
        <w:t xml:space="preserve">transitional </w:t>
      </w:r>
      <w:r w:rsidR="004F27D5">
        <w:rPr>
          <w:rFonts w:ascii="Times New Roman" w:hAnsi="Times New Roman" w:cs="Times New Roman"/>
          <w:sz w:val="24"/>
          <w:szCs w:val="24"/>
        </w:rPr>
        <w:t xml:space="preserve">regime, or at least to do so when the </w:t>
      </w:r>
      <w:r w:rsidR="00740F2B">
        <w:rPr>
          <w:rFonts w:ascii="Times New Roman" w:hAnsi="Times New Roman" w:cs="Times New Roman"/>
          <w:sz w:val="24"/>
          <w:szCs w:val="24"/>
        </w:rPr>
        <w:t xml:space="preserve">one-off </w:t>
      </w:r>
      <w:r w:rsidR="004F27D5">
        <w:rPr>
          <w:rFonts w:ascii="Times New Roman" w:hAnsi="Times New Roman" w:cs="Times New Roman"/>
          <w:sz w:val="24"/>
          <w:szCs w:val="24"/>
        </w:rPr>
        <w:t xml:space="preserve">effects in </w:t>
      </w:r>
      <w:r w:rsidR="004F27D5" w:rsidRPr="006D60E0">
        <w:rPr>
          <w:rFonts w:ascii="Times New Roman" w:hAnsi="Times New Roman" w:cs="Times New Roman"/>
          <w:i/>
          <w:sz w:val="24"/>
          <w:szCs w:val="24"/>
        </w:rPr>
        <w:t>either</w:t>
      </w:r>
      <w:r w:rsidR="004F27D5">
        <w:rPr>
          <w:rFonts w:ascii="Times New Roman" w:hAnsi="Times New Roman" w:cs="Times New Roman"/>
          <w:sz w:val="24"/>
          <w:szCs w:val="24"/>
        </w:rPr>
        <w:t xml:space="preserve"> direction </w:t>
      </w:r>
      <w:r w:rsidR="00631F65">
        <w:rPr>
          <w:rFonts w:ascii="Times New Roman" w:hAnsi="Times New Roman" w:cs="Times New Roman"/>
          <w:sz w:val="24"/>
          <w:szCs w:val="24"/>
        </w:rPr>
        <w:t xml:space="preserve">are </w:t>
      </w:r>
      <w:r w:rsidR="006D60E0">
        <w:rPr>
          <w:rFonts w:ascii="Times New Roman" w:hAnsi="Times New Roman" w:cs="Times New Roman"/>
          <w:sz w:val="24"/>
          <w:szCs w:val="24"/>
        </w:rPr>
        <w:t>substantial.  I now apply this policy to the present situation.</w:t>
      </w:r>
    </w:p>
    <w:p w:rsidR="00776FDC" w:rsidRDefault="00776FDC" w:rsidP="00437215">
      <w:pPr>
        <w:pStyle w:val="ListParagraph"/>
        <w:spacing w:after="0" w:line="360" w:lineRule="auto"/>
        <w:ind w:left="0"/>
        <w:jc w:val="both"/>
        <w:rPr>
          <w:rFonts w:ascii="Times New Roman" w:hAnsi="Times New Roman" w:cs="Times New Roman"/>
          <w:sz w:val="24"/>
          <w:szCs w:val="24"/>
        </w:rPr>
      </w:pPr>
    </w:p>
    <w:p w:rsidR="002660A0" w:rsidRPr="005A4C78" w:rsidRDefault="004F27D5" w:rsidP="00437215">
      <w:pPr>
        <w:pStyle w:val="ListParagraph"/>
        <w:spacing w:after="0" w:line="360" w:lineRule="auto"/>
        <w:ind w:left="0"/>
        <w:jc w:val="both"/>
        <w:rPr>
          <w:rFonts w:ascii="Times New Roman" w:hAnsi="Times New Roman" w:cs="Times New Roman"/>
          <w:i/>
          <w:sz w:val="24"/>
          <w:szCs w:val="24"/>
        </w:rPr>
      </w:pPr>
      <w:r>
        <w:rPr>
          <w:rFonts w:ascii="Times New Roman" w:hAnsi="Times New Roman" w:cs="Times New Roman"/>
          <w:i/>
          <w:sz w:val="24"/>
          <w:szCs w:val="24"/>
        </w:rPr>
        <w:t>8.4</w:t>
      </w:r>
      <w:r w:rsidR="005A4C78">
        <w:rPr>
          <w:rFonts w:ascii="Times New Roman" w:hAnsi="Times New Roman" w:cs="Times New Roman"/>
          <w:i/>
          <w:sz w:val="24"/>
          <w:szCs w:val="24"/>
        </w:rPr>
        <w:t xml:space="preserve"> </w:t>
      </w:r>
      <w:r w:rsidR="008E2C91">
        <w:rPr>
          <w:rFonts w:ascii="Times New Roman" w:hAnsi="Times New Roman" w:cs="Times New Roman"/>
          <w:i/>
          <w:sz w:val="24"/>
          <w:szCs w:val="24"/>
        </w:rPr>
        <w:t>Regime Changes and the Base Rate</w:t>
      </w:r>
    </w:p>
    <w:p w:rsidR="004E78D3" w:rsidRDefault="00B37632" w:rsidP="00A36FC4">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In so</w:t>
      </w:r>
      <w:r w:rsidR="00C514DB">
        <w:rPr>
          <w:rFonts w:ascii="Times New Roman" w:hAnsi="Times New Roman" w:cs="Times New Roman"/>
          <w:sz w:val="24"/>
          <w:szCs w:val="24"/>
        </w:rPr>
        <w:t xml:space="preserve">me cases, </w:t>
      </w:r>
      <w:r w:rsidR="006B5F41">
        <w:rPr>
          <w:rFonts w:ascii="Times New Roman" w:hAnsi="Times New Roman" w:cs="Times New Roman"/>
          <w:sz w:val="24"/>
          <w:szCs w:val="24"/>
        </w:rPr>
        <w:t xml:space="preserve">a new regime may warrant a change in behavior by the BEE and it may also be temporarily left with costs arising from its behavior under the previous regime. Consequently, </w:t>
      </w:r>
      <w:r w:rsidR="00C21E7C">
        <w:rPr>
          <w:rFonts w:ascii="Times New Roman" w:hAnsi="Times New Roman" w:cs="Times New Roman"/>
          <w:sz w:val="24"/>
          <w:szCs w:val="24"/>
        </w:rPr>
        <w:t>immediate application of the new regime</w:t>
      </w:r>
      <w:r w:rsidR="00DC27E4">
        <w:rPr>
          <w:rFonts w:ascii="Times New Roman" w:hAnsi="Times New Roman" w:cs="Times New Roman"/>
          <w:sz w:val="24"/>
          <w:szCs w:val="24"/>
        </w:rPr>
        <w:t xml:space="preserve"> </w:t>
      </w:r>
      <w:r w:rsidR="006B5F41">
        <w:rPr>
          <w:rFonts w:ascii="Times New Roman" w:hAnsi="Times New Roman" w:cs="Times New Roman"/>
          <w:sz w:val="24"/>
          <w:szCs w:val="24"/>
        </w:rPr>
        <w:t xml:space="preserve">would </w:t>
      </w:r>
      <w:r w:rsidR="00DC27E4">
        <w:rPr>
          <w:rFonts w:ascii="Times New Roman" w:hAnsi="Times New Roman" w:cs="Times New Roman"/>
          <w:sz w:val="24"/>
          <w:szCs w:val="24"/>
        </w:rPr>
        <w:t xml:space="preserve">produce </w:t>
      </w:r>
      <w:r w:rsidR="00D44E94">
        <w:rPr>
          <w:rFonts w:ascii="Times New Roman" w:hAnsi="Times New Roman" w:cs="Times New Roman"/>
          <w:sz w:val="24"/>
          <w:szCs w:val="24"/>
        </w:rPr>
        <w:t xml:space="preserve">a </w:t>
      </w:r>
      <w:r w:rsidR="00740F2B">
        <w:rPr>
          <w:rFonts w:ascii="Times New Roman" w:hAnsi="Times New Roman" w:cs="Times New Roman"/>
          <w:sz w:val="24"/>
          <w:szCs w:val="24"/>
        </w:rPr>
        <w:t xml:space="preserve">temporary </w:t>
      </w:r>
      <w:r w:rsidR="00D44E94">
        <w:rPr>
          <w:rFonts w:ascii="Times New Roman" w:hAnsi="Times New Roman" w:cs="Times New Roman"/>
          <w:sz w:val="24"/>
          <w:szCs w:val="24"/>
        </w:rPr>
        <w:t xml:space="preserve">and possibly significant </w:t>
      </w:r>
      <w:r w:rsidR="00DC27E4">
        <w:rPr>
          <w:rFonts w:ascii="Times New Roman" w:hAnsi="Times New Roman" w:cs="Times New Roman"/>
          <w:sz w:val="24"/>
          <w:szCs w:val="24"/>
        </w:rPr>
        <w:t xml:space="preserve">deviation between the allowed cost of debt </w:t>
      </w:r>
      <w:r w:rsidR="00C514DB">
        <w:rPr>
          <w:rFonts w:ascii="Times New Roman" w:hAnsi="Times New Roman" w:cs="Times New Roman"/>
          <w:sz w:val="24"/>
          <w:szCs w:val="24"/>
        </w:rPr>
        <w:t xml:space="preserve">under the new regime </w:t>
      </w:r>
      <w:r w:rsidR="00DC27E4">
        <w:rPr>
          <w:rFonts w:ascii="Times New Roman" w:hAnsi="Times New Roman" w:cs="Times New Roman"/>
          <w:sz w:val="24"/>
          <w:szCs w:val="24"/>
        </w:rPr>
        <w:t xml:space="preserve">and </w:t>
      </w:r>
      <w:r w:rsidR="006B5F41">
        <w:rPr>
          <w:rFonts w:ascii="Times New Roman" w:hAnsi="Times New Roman" w:cs="Times New Roman"/>
          <w:sz w:val="24"/>
          <w:szCs w:val="24"/>
        </w:rPr>
        <w:t>that incurred by a BEE</w:t>
      </w:r>
      <w:r w:rsidR="00685D9A">
        <w:rPr>
          <w:rFonts w:ascii="Times New Roman" w:hAnsi="Times New Roman" w:cs="Times New Roman"/>
          <w:sz w:val="24"/>
          <w:szCs w:val="24"/>
        </w:rPr>
        <w:t xml:space="preserve">.  Thus, rather than immediate application of the new regime, </w:t>
      </w:r>
      <w:r w:rsidR="000E18B5">
        <w:rPr>
          <w:rFonts w:ascii="Times New Roman" w:hAnsi="Times New Roman" w:cs="Times New Roman"/>
          <w:sz w:val="24"/>
          <w:szCs w:val="24"/>
        </w:rPr>
        <w:t xml:space="preserve">a better match between the allowed costs and those of a BEE may </w:t>
      </w:r>
      <w:r w:rsidR="00685D9A">
        <w:rPr>
          <w:rFonts w:ascii="Times New Roman" w:hAnsi="Times New Roman" w:cs="Times New Roman"/>
          <w:sz w:val="24"/>
          <w:szCs w:val="24"/>
        </w:rPr>
        <w:t xml:space="preserve">be obtained by temporary adoption of a different regime, i.e., a </w:t>
      </w:r>
      <w:r w:rsidR="00983003">
        <w:rPr>
          <w:rFonts w:ascii="Times New Roman" w:hAnsi="Times New Roman" w:cs="Times New Roman"/>
          <w:sz w:val="24"/>
          <w:szCs w:val="24"/>
        </w:rPr>
        <w:t xml:space="preserve">transitional regime.  </w:t>
      </w:r>
    </w:p>
    <w:p w:rsidR="004F27D5" w:rsidRDefault="004F27D5" w:rsidP="00A36FC4">
      <w:pPr>
        <w:pStyle w:val="ListParagraph"/>
        <w:spacing w:after="0" w:line="360" w:lineRule="auto"/>
        <w:ind w:left="0"/>
        <w:jc w:val="both"/>
        <w:rPr>
          <w:rFonts w:ascii="Times New Roman" w:hAnsi="Times New Roman" w:cs="Times New Roman"/>
          <w:sz w:val="24"/>
          <w:szCs w:val="24"/>
        </w:rPr>
      </w:pPr>
    </w:p>
    <w:p w:rsidR="009509E7" w:rsidRDefault="006108DA" w:rsidP="00A36FC4">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This issue applies to the base rat</w:t>
      </w:r>
      <w:r w:rsidR="00BF40C3">
        <w:rPr>
          <w:rFonts w:ascii="Times New Roman" w:hAnsi="Times New Roman" w:cs="Times New Roman"/>
          <w:sz w:val="24"/>
          <w:szCs w:val="24"/>
        </w:rPr>
        <w:t>e component of the cost of debt</w:t>
      </w:r>
      <w:r w:rsidR="000A6736">
        <w:rPr>
          <w:rFonts w:ascii="Times New Roman" w:hAnsi="Times New Roman" w:cs="Times New Roman"/>
          <w:sz w:val="24"/>
          <w:szCs w:val="24"/>
        </w:rPr>
        <w:t xml:space="preserve">.  As argued above, the efficient practice under the old regime was to borrow at a floating rate (or borrow fixed and swap into floating) followed by swapping into a fixed five-year rate at the commencement of the regulatory cycle.  Thus, </w:t>
      </w:r>
      <w:r w:rsidR="002F1530">
        <w:rPr>
          <w:rFonts w:ascii="Times New Roman" w:hAnsi="Times New Roman" w:cs="Times New Roman"/>
          <w:sz w:val="24"/>
          <w:szCs w:val="24"/>
        </w:rPr>
        <w:t xml:space="preserve">as argued in </w:t>
      </w:r>
      <w:r w:rsidR="006D2BF8">
        <w:rPr>
          <w:rFonts w:ascii="Times New Roman" w:hAnsi="Times New Roman" w:cs="Times New Roman"/>
          <w:sz w:val="24"/>
          <w:szCs w:val="24"/>
        </w:rPr>
        <w:t>Lally (2014</w:t>
      </w:r>
      <w:r w:rsidR="004F1913">
        <w:rPr>
          <w:rFonts w:ascii="Times New Roman" w:hAnsi="Times New Roman" w:cs="Times New Roman"/>
          <w:sz w:val="24"/>
          <w:szCs w:val="24"/>
        </w:rPr>
        <w:t>a</w:t>
      </w:r>
      <w:r w:rsidR="006D2BF8">
        <w:rPr>
          <w:rFonts w:ascii="Times New Roman" w:hAnsi="Times New Roman" w:cs="Times New Roman"/>
          <w:sz w:val="24"/>
          <w:szCs w:val="24"/>
        </w:rPr>
        <w:t>, section 2.1)</w:t>
      </w:r>
      <w:r w:rsidR="002F1530">
        <w:rPr>
          <w:rFonts w:ascii="Times New Roman" w:hAnsi="Times New Roman" w:cs="Times New Roman"/>
          <w:sz w:val="24"/>
          <w:szCs w:val="24"/>
        </w:rPr>
        <w:t xml:space="preserve">, it is likely that </w:t>
      </w:r>
      <w:r w:rsidR="004E38DA">
        <w:rPr>
          <w:rFonts w:ascii="Times New Roman" w:hAnsi="Times New Roman" w:cs="Times New Roman"/>
          <w:sz w:val="24"/>
          <w:szCs w:val="24"/>
        </w:rPr>
        <w:t xml:space="preserve">the BEE </w:t>
      </w:r>
      <w:r w:rsidR="00ED67E5">
        <w:rPr>
          <w:rFonts w:ascii="Times New Roman" w:hAnsi="Times New Roman" w:cs="Times New Roman"/>
          <w:sz w:val="24"/>
          <w:szCs w:val="24"/>
        </w:rPr>
        <w:t xml:space="preserve">would, upon the introduction of the new </w:t>
      </w:r>
      <w:r w:rsidR="00A4122D">
        <w:rPr>
          <w:rFonts w:ascii="Times New Roman" w:hAnsi="Times New Roman" w:cs="Times New Roman"/>
          <w:sz w:val="24"/>
          <w:szCs w:val="24"/>
        </w:rPr>
        <w:t xml:space="preserve">trailing average </w:t>
      </w:r>
      <w:r w:rsidR="00ED67E5">
        <w:rPr>
          <w:rFonts w:ascii="Times New Roman" w:hAnsi="Times New Roman" w:cs="Times New Roman"/>
          <w:sz w:val="24"/>
          <w:szCs w:val="24"/>
        </w:rPr>
        <w:t>regime</w:t>
      </w:r>
      <w:r w:rsidR="0012655B">
        <w:rPr>
          <w:rFonts w:ascii="Times New Roman" w:hAnsi="Times New Roman" w:cs="Times New Roman"/>
          <w:sz w:val="24"/>
          <w:szCs w:val="24"/>
        </w:rPr>
        <w:t xml:space="preserve"> at the beginning of a regulatory cycle</w:t>
      </w:r>
      <w:r w:rsidR="00ED67E5">
        <w:rPr>
          <w:rFonts w:ascii="Times New Roman" w:hAnsi="Times New Roman" w:cs="Times New Roman"/>
          <w:sz w:val="24"/>
          <w:szCs w:val="24"/>
        </w:rPr>
        <w:t xml:space="preserve">, </w:t>
      </w:r>
      <w:r w:rsidR="002F1530">
        <w:rPr>
          <w:rFonts w:ascii="Times New Roman" w:hAnsi="Times New Roman" w:cs="Times New Roman"/>
          <w:sz w:val="24"/>
          <w:szCs w:val="24"/>
        </w:rPr>
        <w:t xml:space="preserve">have desisted from these </w:t>
      </w:r>
      <w:r w:rsidR="00ED67E5">
        <w:rPr>
          <w:rFonts w:ascii="Times New Roman" w:hAnsi="Times New Roman" w:cs="Times New Roman"/>
          <w:sz w:val="24"/>
          <w:szCs w:val="24"/>
        </w:rPr>
        <w:t xml:space="preserve">swaps </w:t>
      </w:r>
      <w:r w:rsidR="002F1530">
        <w:rPr>
          <w:rFonts w:ascii="Times New Roman" w:hAnsi="Times New Roman" w:cs="Times New Roman"/>
          <w:sz w:val="24"/>
          <w:szCs w:val="24"/>
        </w:rPr>
        <w:t xml:space="preserve">and </w:t>
      </w:r>
      <w:r w:rsidR="00344100">
        <w:rPr>
          <w:rFonts w:ascii="Times New Roman" w:hAnsi="Times New Roman" w:cs="Times New Roman"/>
          <w:sz w:val="24"/>
          <w:szCs w:val="24"/>
        </w:rPr>
        <w:t xml:space="preserve">not undertaken any alternative swaps, thereby leaving them with </w:t>
      </w:r>
      <w:r w:rsidR="006D2BF8">
        <w:rPr>
          <w:rFonts w:ascii="Times New Roman" w:hAnsi="Times New Roman" w:cs="Times New Roman"/>
          <w:sz w:val="24"/>
          <w:szCs w:val="24"/>
        </w:rPr>
        <w:t xml:space="preserve">floating rate debt </w:t>
      </w:r>
      <w:r w:rsidR="000A6736">
        <w:rPr>
          <w:rFonts w:ascii="Times New Roman" w:hAnsi="Times New Roman" w:cs="Times New Roman"/>
          <w:sz w:val="24"/>
          <w:szCs w:val="24"/>
        </w:rPr>
        <w:t xml:space="preserve">at the time of the regime change </w:t>
      </w:r>
      <w:r w:rsidR="00344100">
        <w:rPr>
          <w:rFonts w:ascii="Times New Roman" w:hAnsi="Times New Roman" w:cs="Times New Roman"/>
          <w:sz w:val="24"/>
          <w:szCs w:val="24"/>
        </w:rPr>
        <w:t xml:space="preserve">that will gradually be replaced by ten-year fixed-rate debt as the floating-rate debt matures.  </w:t>
      </w:r>
      <w:r w:rsidR="00957393">
        <w:rPr>
          <w:rFonts w:ascii="Times New Roman" w:hAnsi="Times New Roman" w:cs="Times New Roman"/>
          <w:sz w:val="24"/>
          <w:szCs w:val="24"/>
        </w:rPr>
        <w:t xml:space="preserve">Without transitional arrangements, the BEE </w:t>
      </w:r>
      <w:r w:rsidR="00581B6F">
        <w:rPr>
          <w:rFonts w:ascii="Times New Roman" w:hAnsi="Times New Roman" w:cs="Times New Roman"/>
          <w:sz w:val="24"/>
          <w:szCs w:val="24"/>
        </w:rPr>
        <w:t xml:space="preserve">would </w:t>
      </w:r>
      <w:r w:rsidR="00957393">
        <w:rPr>
          <w:rFonts w:ascii="Times New Roman" w:hAnsi="Times New Roman" w:cs="Times New Roman"/>
          <w:sz w:val="24"/>
          <w:szCs w:val="24"/>
        </w:rPr>
        <w:t>over recover its incurred costs by up to 1% per year over the next nine years ($4b</w:t>
      </w:r>
      <w:r w:rsidR="00F84075">
        <w:rPr>
          <w:rFonts w:ascii="Times New Roman" w:hAnsi="Times New Roman" w:cs="Times New Roman"/>
          <w:sz w:val="24"/>
          <w:szCs w:val="24"/>
        </w:rPr>
        <w:t xml:space="preserve"> on regulated assets of $44b).  This is a substantial </w:t>
      </w:r>
      <w:r w:rsidR="00EF0A60">
        <w:rPr>
          <w:rFonts w:ascii="Times New Roman" w:hAnsi="Times New Roman" w:cs="Times New Roman"/>
          <w:sz w:val="24"/>
          <w:szCs w:val="24"/>
        </w:rPr>
        <w:t xml:space="preserve">and one-off </w:t>
      </w:r>
      <w:r w:rsidR="00F84075">
        <w:rPr>
          <w:rFonts w:ascii="Times New Roman" w:hAnsi="Times New Roman" w:cs="Times New Roman"/>
          <w:sz w:val="24"/>
          <w:szCs w:val="24"/>
        </w:rPr>
        <w:t xml:space="preserve">effect.  So, in accordance with the </w:t>
      </w:r>
      <w:r w:rsidR="006D60E0">
        <w:rPr>
          <w:rFonts w:ascii="Times New Roman" w:hAnsi="Times New Roman" w:cs="Times New Roman"/>
          <w:sz w:val="24"/>
          <w:szCs w:val="24"/>
        </w:rPr>
        <w:t>policy recommended in the previous section</w:t>
      </w:r>
      <w:r w:rsidR="00F84075">
        <w:rPr>
          <w:rFonts w:ascii="Times New Roman" w:hAnsi="Times New Roman" w:cs="Times New Roman"/>
          <w:sz w:val="24"/>
          <w:szCs w:val="24"/>
        </w:rPr>
        <w:t xml:space="preserve">, it ought to be </w:t>
      </w:r>
      <w:r w:rsidR="00BF64C3">
        <w:rPr>
          <w:rFonts w:ascii="Times New Roman" w:hAnsi="Times New Roman" w:cs="Times New Roman"/>
          <w:sz w:val="24"/>
          <w:szCs w:val="24"/>
        </w:rPr>
        <w:t>neutralised</w:t>
      </w:r>
      <w:r w:rsidR="00F84075">
        <w:rPr>
          <w:rFonts w:ascii="Times New Roman" w:hAnsi="Times New Roman" w:cs="Times New Roman"/>
          <w:sz w:val="24"/>
          <w:szCs w:val="24"/>
        </w:rPr>
        <w:t>.  As discussed in Lally (2014</w:t>
      </w:r>
      <w:r w:rsidR="004F1913">
        <w:rPr>
          <w:rFonts w:ascii="Times New Roman" w:hAnsi="Times New Roman" w:cs="Times New Roman"/>
          <w:sz w:val="24"/>
          <w:szCs w:val="24"/>
        </w:rPr>
        <w:t>a</w:t>
      </w:r>
      <w:r w:rsidR="00F84075">
        <w:rPr>
          <w:rFonts w:ascii="Times New Roman" w:hAnsi="Times New Roman" w:cs="Times New Roman"/>
          <w:sz w:val="24"/>
          <w:szCs w:val="24"/>
        </w:rPr>
        <w:t xml:space="preserve">, section 2.1), the </w:t>
      </w:r>
      <w:r w:rsidR="006D2BF8">
        <w:rPr>
          <w:rFonts w:ascii="Times New Roman" w:hAnsi="Times New Roman" w:cs="Times New Roman"/>
          <w:sz w:val="24"/>
          <w:szCs w:val="24"/>
        </w:rPr>
        <w:t xml:space="preserve">AER’s proposed transitional arrangements </w:t>
      </w:r>
      <w:r w:rsidR="00344100">
        <w:rPr>
          <w:rFonts w:ascii="Times New Roman" w:hAnsi="Times New Roman" w:cs="Times New Roman"/>
          <w:sz w:val="24"/>
          <w:szCs w:val="24"/>
        </w:rPr>
        <w:t xml:space="preserve">will </w:t>
      </w:r>
      <w:r w:rsidR="00F84075">
        <w:rPr>
          <w:rFonts w:ascii="Times New Roman" w:hAnsi="Times New Roman" w:cs="Times New Roman"/>
          <w:sz w:val="24"/>
          <w:szCs w:val="24"/>
        </w:rPr>
        <w:t xml:space="preserve">do so by </w:t>
      </w:r>
      <w:r w:rsidR="006D60E0">
        <w:rPr>
          <w:rFonts w:ascii="Times New Roman" w:hAnsi="Times New Roman" w:cs="Times New Roman"/>
          <w:sz w:val="24"/>
          <w:szCs w:val="24"/>
        </w:rPr>
        <w:t xml:space="preserve">generating </w:t>
      </w:r>
      <w:r w:rsidR="00344100">
        <w:rPr>
          <w:rFonts w:ascii="Times New Roman" w:hAnsi="Times New Roman" w:cs="Times New Roman"/>
          <w:sz w:val="24"/>
          <w:szCs w:val="24"/>
        </w:rPr>
        <w:t xml:space="preserve">allowed costs of debt that approximate these incurred costs and an </w:t>
      </w:r>
      <w:r w:rsidR="000D6C3E">
        <w:rPr>
          <w:rFonts w:ascii="Times New Roman" w:hAnsi="Times New Roman" w:cs="Times New Roman"/>
          <w:sz w:val="24"/>
          <w:szCs w:val="24"/>
        </w:rPr>
        <w:t xml:space="preserve">alternative transitional arrangement would produce </w:t>
      </w:r>
      <w:r w:rsidR="005455A6" w:rsidRPr="00707CFF">
        <w:rPr>
          <w:rFonts w:ascii="Times New Roman" w:hAnsi="Times New Roman" w:cs="Times New Roman"/>
          <w:sz w:val="24"/>
          <w:szCs w:val="24"/>
        </w:rPr>
        <w:t>an even better approximation</w:t>
      </w:r>
      <w:r w:rsidR="000D6C3E">
        <w:rPr>
          <w:rFonts w:ascii="Times New Roman" w:hAnsi="Times New Roman" w:cs="Times New Roman"/>
          <w:sz w:val="24"/>
          <w:szCs w:val="24"/>
        </w:rPr>
        <w:t xml:space="preserve"> but at th</w:t>
      </w:r>
      <w:r w:rsidR="002E41A8">
        <w:rPr>
          <w:rFonts w:ascii="Times New Roman" w:hAnsi="Times New Roman" w:cs="Times New Roman"/>
          <w:sz w:val="24"/>
          <w:szCs w:val="24"/>
        </w:rPr>
        <w:t xml:space="preserve">e expense of greater complexity.  </w:t>
      </w:r>
      <w:r w:rsidR="00BE138B">
        <w:rPr>
          <w:rFonts w:ascii="Times New Roman" w:hAnsi="Times New Roman" w:cs="Times New Roman"/>
          <w:sz w:val="24"/>
          <w:szCs w:val="24"/>
        </w:rPr>
        <w:t xml:space="preserve">So, in respect of the base rate component of the cost of debt, </w:t>
      </w:r>
      <w:r w:rsidR="00A84815">
        <w:rPr>
          <w:rFonts w:ascii="Times New Roman" w:hAnsi="Times New Roman" w:cs="Times New Roman"/>
          <w:sz w:val="24"/>
          <w:szCs w:val="24"/>
        </w:rPr>
        <w:t xml:space="preserve">I therefore favour the </w:t>
      </w:r>
      <w:r w:rsidR="00344100">
        <w:rPr>
          <w:rFonts w:ascii="Times New Roman" w:hAnsi="Times New Roman" w:cs="Times New Roman"/>
          <w:sz w:val="24"/>
          <w:szCs w:val="24"/>
        </w:rPr>
        <w:t>transitional regime proposed by the AER</w:t>
      </w:r>
      <w:r w:rsidR="00BE138B">
        <w:rPr>
          <w:rFonts w:ascii="Times New Roman" w:hAnsi="Times New Roman" w:cs="Times New Roman"/>
          <w:sz w:val="24"/>
          <w:szCs w:val="24"/>
        </w:rPr>
        <w:t>.</w:t>
      </w:r>
    </w:p>
    <w:p w:rsidR="00F82557" w:rsidRDefault="00F82557" w:rsidP="00A36FC4">
      <w:pPr>
        <w:pStyle w:val="ListParagraph"/>
        <w:spacing w:after="0" w:line="360" w:lineRule="auto"/>
        <w:ind w:left="0"/>
        <w:jc w:val="both"/>
        <w:rPr>
          <w:rFonts w:ascii="Times New Roman" w:hAnsi="Times New Roman" w:cs="Times New Roman"/>
          <w:sz w:val="24"/>
          <w:szCs w:val="24"/>
        </w:rPr>
      </w:pPr>
    </w:p>
    <w:p w:rsidR="00F82557" w:rsidRDefault="00F82557" w:rsidP="00A36FC4">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These arguments are premised upon the BEE engaging in </w:t>
      </w:r>
      <w:r w:rsidR="00041394">
        <w:rPr>
          <w:rFonts w:ascii="Times New Roman" w:hAnsi="Times New Roman" w:cs="Times New Roman"/>
          <w:sz w:val="24"/>
          <w:szCs w:val="24"/>
        </w:rPr>
        <w:t xml:space="preserve">interest </w:t>
      </w:r>
      <w:r>
        <w:rPr>
          <w:rFonts w:ascii="Times New Roman" w:hAnsi="Times New Roman" w:cs="Times New Roman"/>
          <w:sz w:val="24"/>
          <w:szCs w:val="24"/>
        </w:rPr>
        <w:t xml:space="preserve">swap contracts under the old regime, </w:t>
      </w:r>
      <w:r w:rsidR="00041394">
        <w:rPr>
          <w:rFonts w:ascii="Times New Roman" w:hAnsi="Times New Roman" w:cs="Times New Roman"/>
          <w:sz w:val="24"/>
          <w:szCs w:val="24"/>
        </w:rPr>
        <w:t xml:space="preserve">to match the base rate component of its costs to the regulatory cycle, </w:t>
      </w:r>
      <w:r>
        <w:rPr>
          <w:rFonts w:ascii="Times New Roman" w:hAnsi="Times New Roman" w:cs="Times New Roman"/>
          <w:sz w:val="24"/>
          <w:szCs w:val="24"/>
        </w:rPr>
        <w:t xml:space="preserve">and this </w:t>
      </w:r>
      <w:r w:rsidR="00041394">
        <w:rPr>
          <w:rFonts w:ascii="Times New Roman" w:hAnsi="Times New Roman" w:cs="Times New Roman"/>
          <w:sz w:val="24"/>
          <w:szCs w:val="24"/>
        </w:rPr>
        <w:t xml:space="preserve">premise </w:t>
      </w:r>
      <w:r>
        <w:rPr>
          <w:rFonts w:ascii="Times New Roman" w:hAnsi="Times New Roman" w:cs="Times New Roman"/>
          <w:sz w:val="24"/>
          <w:szCs w:val="24"/>
        </w:rPr>
        <w:t xml:space="preserve">has been </w:t>
      </w:r>
      <w:r w:rsidR="00041394">
        <w:rPr>
          <w:rFonts w:ascii="Times New Roman" w:hAnsi="Times New Roman" w:cs="Times New Roman"/>
          <w:sz w:val="24"/>
          <w:szCs w:val="24"/>
        </w:rPr>
        <w:t>shown to be app</w:t>
      </w:r>
      <w:r w:rsidR="00C63019">
        <w:rPr>
          <w:rFonts w:ascii="Times New Roman" w:hAnsi="Times New Roman" w:cs="Times New Roman"/>
          <w:sz w:val="24"/>
          <w:szCs w:val="24"/>
        </w:rPr>
        <w:t>ropriate (Lally, 2014</w:t>
      </w:r>
      <w:r w:rsidR="004F1913">
        <w:rPr>
          <w:rFonts w:ascii="Times New Roman" w:hAnsi="Times New Roman" w:cs="Times New Roman"/>
          <w:sz w:val="24"/>
          <w:szCs w:val="24"/>
        </w:rPr>
        <w:t>a</w:t>
      </w:r>
      <w:r w:rsidR="00C63019">
        <w:rPr>
          <w:rFonts w:ascii="Times New Roman" w:hAnsi="Times New Roman" w:cs="Times New Roman"/>
          <w:sz w:val="24"/>
          <w:szCs w:val="24"/>
        </w:rPr>
        <w:t>, section 4).</w:t>
      </w:r>
      <w:r>
        <w:rPr>
          <w:rFonts w:ascii="Times New Roman" w:hAnsi="Times New Roman" w:cs="Times New Roman"/>
          <w:sz w:val="24"/>
          <w:szCs w:val="24"/>
        </w:rPr>
        <w:t xml:space="preserve">  </w:t>
      </w:r>
      <w:r w:rsidR="002C58EE">
        <w:rPr>
          <w:rFonts w:ascii="Times New Roman" w:hAnsi="Times New Roman" w:cs="Times New Roman"/>
          <w:sz w:val="24"/>
          <w:szCs w:val="24"/>
        </w:rPr>
        <w:t xml:space="preserve">By contrast, it </w:t>
      </w:r>
      <w:r>
        <w:rPr>
          <w:rFonts w:ascii="Times New Roman" w:hAnsi="Times New Roman" w:cs="Times New Roman"/>
          <w:sz w:val="24"/>
          <w:szCs w:val="24"/>
        </w:rPr>
        <w:t xml:space="preserve">might be argued that firms that did not enter into such hedging arrangements do not thereby warrant a transitional process.  However this would involve regulating individual firms in accordance with how they behaved </w:t>
      </w:r>
      <w:r w:rsidR="0066690B" w:rsidRPr="00707CFF">
        <w:rPr>
          <w:rFonts w:ascii="Times New Roman" w:hAnsi="Times New Roman" w:cs="Times New Roman"/>
          <w:sz w:val="24"/>
          <w:szCs w:val="24"/>
        </w:rPr>
        <w:t xml:space="preserve">(did or did not engage in these hedging arrangements) </w:t>
      </w:r>
      <w:r w:rsidRPr="00707CFF">
        <w:rPr>
          <w:rFonts w:ascii="Times New Roman" w:hAnsi="Times New Roman" w:cs="Times New Roman"/>
          <w:sz w:val="24"/>
          <w:szCs w:val="24"/>
        </w:rPr>
        <w:t xml:space="preserve">rather than in accordance with the behavior of </w:t>
      </w:r>
      <w:r w:rsidR="002C58EE" w:rsidRPr="00707CFF">
        <w:rPr>
          <w:rFonts w:ascii="Times New Roman" w:hAnsi="Times New Roman" w:cs="Times New Roman"/>
          <w:sz w:val="24"/>
          <w:szCs w:val="24"/>
        </w:rPr>
        <w:t xml:space="preserve">the </w:t>
      </w:r>
      <w:r w:rsidRPr="00707CFF">
        <w:rPr>
          <w:rFonts w:ascii="Times New Roman" w:hAnsi="Times New Roman" w:cs="Times New Roman"/>
          <w:sz w:val="24"/>
          <w:szCs w:val="24"/>
        </w:rPr>
        <w:t>BEE</w:t>
      </w:r>
      <w:r w:rsidR="0066690B" w:rsidRPr="00707CFF">
        <w:rPr>
          <w:rFonts w:ascii="Times New Roman" w:hAnsi="Times New Roman" w:cs="Times New Roman"/>
          <w:sz w:val="24"/>
          <w:szCs w:val="24"/>
        </w:rPr>
        <w:t xml:space="preserve"> (which did hedge)</w:t>
      </w:r>
      <w:r w:rsidRPr="00707CFF">
        <w:rPr>
          <w:rFonts w:ascii="Times New Roman" w:hAnsi="Times New Roman" w:cs="Times New Roman"/>
          <w:sz w:val="24"/>
          <w:szCs w:val="24"/>
        </w:rPr>
        <w:t>.</w:t>
      </w:r>
      <w:r>
        <w:rPr>
          <w:rFonts w:ascii="Times New Roman" w:hAnsi="Times New Roman" w:cs="Times New Roman"/>
          <w:sz w:val="24"/>
          <w:szCs w:val="24"/>
        </w:rPr>
        <w:t xml:space="preserve">  This would be inappropriate because it would subject the customers of a firm to regulation driven in part by the firm’s inefficient behavior and it would also incentivize firms to opportunistically change their behavior for the purpose of changing the regulatory regime to which they were subject.</w:t>
      </w:r>
    </w:p>
    <w:p w:rsidR="002E41A8" w:rsidRDefault="002E41A8" w:rsidP="00A36FC4">
      <w:pPr>
        <w:pStyle w:val="ListParagraph"/>
        <w:spacing w:after="0" w:line="360" w:lineRule="auto"/>
        <w:ind w:left="0"/>
        <w:jc w:val="both"/>
        <w:rPr>
          <w:rFonts w:ascii="Times New Roman" w:hAnsi="Times New Roman" w:cs="Times New Roman"/>
          <w:sz w:val="24"/>
          <w:szCs w:val="24"/>
        </w:rPr>
      </w:pPr>
    </w:p>
    <w:p w:rsidR="00796CA0" w:rsidRDefault="00796CA0" w:rsidP="00796CA0">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summary, and in respect of the base rate component of the cost of debt, the regime change causes a BEE to change its behavior, thereby temporarily leaving it with costs arising from its behavior under the previous regime.  Under such circumstances, immediately applying the allowed cost of debt under the new regime will lead to a BEE over recovering its incurred costs by up to $4b over the next nine years.  By contrast, the AER’s proposed transitional arrangements will produce allowed costs of debt that approximate these incurred costs and an alternative transitional arrangement would produce even better results but at the expense of greater complexity.  </w:t>
      </w:r>
      <w:r w:rsidR="006D60E0">
        <w:rPr>
          <w:rFonts w:ascii="Times New Roman" w:hAnsi="Times New Roman" w:cs="Times New Roman"/>
          <w:sz w:val="24"/>
          <w:szCs w:val="24"/>
        </w:rPr>
        <w:t xml:space="preserve">So, the </w:t>
      </w:r>
      <w:r w:rsidR="00EF0A60">
        <w:rPr>
          <w:rFonts w:ascii="Times New Roman" w:hAnsi="Times New Roman" w:cs="Times New Roman"/>
          <w:sz w:val="24"/>
          <w:szCs w:val="24"/>
        </w:rPr>
        <w:t xml:space="preserve">one-off </w:t>
      </w:r>
      <w:r w:rsidR="006D60E0">
        <w:rPr>
          <w:rFonts w:ascii="Times New Roman" w:hAnsi="Times New Roman" w:cs="Times New Roman"/>
          <w:sz w:val="24"/>
          <w:szCs w:val="24"/>
        </w:rPr>
        <w:t xml:space="preserve">effect of immediately adopting the new regime would be substantial and the AER’s proposed transitional regime largely neutralizes it.  </w:t>
      </w:r>
      <w:r w:rsidR="003E47B6">
        <w:rPr>
          <w:rFonts w:ascii="Times New Roman" w:hAnsi="Times New Roman" w:cs="Times New Roman"/>
          <w:sz w:val="24"/>
          <w:szCs w:val="24"/>
        </w:rPr>
        <w:t xml:space="preserve">Since the effect of up to $4b is large and the AER’s proposed transitional regime largely neutralizes it, </w:t>
      </w:r>
      <w:r w:rsidR="009700C8">
        <w:rPr>
          <w:rFonts w:ascii="Times New Roman" w:hAnsi="Times New Roman" w:cs="Times New Roman"/>
          <w:sz w:val="24"/>
          <w:szCs w:val="24"/>
        </w:rPr>
        <w:t xml:space="preserve">I therefore favour the AER’s proposed transitional regime. </w:t>
      </w:r>
    </w:p>
    <w:p w:rsidR="00796CA0" w:rsidRDefault="00796CA0" w:rsidP="00A36FC4">
      <w:pPr>
        <w:pStyle w:val="ListParagraph"/>
        <w:spacing w:after="0" w:line="360" w:lineRule="auto"/>
        <w:ind w:left="0"/>
        <w:jc w:val="both"/>
        <w:rPr>
          <w:rFonts w:ascii="Times New Roman" w:hAnsi="Times New Roman" w:cs="Times New Roman"/>
          <w:sz w:val="24"/>
          <w:szCs w:val="24"/>
        </w:rPr>
      </w:pPr>
    </w:p>
    <w:p w:rsidR="005A4C78" w:rsidRPr="005A4C78" w:rsidRDefault="006F367C" w:rsidP="00A36FC4">
      <w:pPr>
        <w:pStyle w:val="ListParagraph"/>
        <w:spacing w:after="0" w:line="360" w:lineRule="auto"/>
        <w:ind w:left="0"/>
        <w:jc w:val="both"/>
        <w:rPr>
          <w:rFonts w:ascii="Times New Roman" w:hAnsi="Times New Roman" w:cs="Times New Roman"/>
          <w:i/>
          <w:sz w:val="24"/>
          <w:szCs w:val="24"/>
        </w:rPr>
      </w:pPr>
      <w:r>
        <w:rPr>
          <w:rFonts w:ascii="Times New Roman" w:hAnsi="Times New Roman" w:cs="Times New Roman"/>
          <w:i/>
          <w:sz w:val="24"/>
          <w:szCs w:val="24"/>
        </w:rPr>
        <w:t>8.5</w:t>
      </w:r>
      <w:r w:rsidR="005A4C78">
        <w:rPr>
          <w:rFonts w:ascii="Times New Roman" w:hAnsi="Times New Roman" w:cs="Times New Roman"/>
          <w:i/>
          <w:sz w:val="24"/>
          <w:szCs w:val="24"/>
        </w:rPr>
        <w:t xml:space="preserve"> Regime Changes and the DRP</w:t>
      </w:r>
    </w:p>
    <w:p w:rsidR="0005559B" w:rsidRDefault="0012655B" w:rsidP="00C229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analysis </w:t>
      </w:r>
      <w:r w:rsidR="00C514DB">
        <w:rPr>
          <w:rFonts w:ascii="Times New Roman" w:hAnsi="Times New Roman" w:cs="Times New Roman"/>
          <w:sz w:val="24"/>
          <w:szCs w:val="24"/>
        </w:rPr>
        <w:t xml:space="preserve">in the previous section was concerned with a situation in which the </w:t>
      </w:r>
      <w:r>
        <w:rPr>
          <w:rFonts w:ascii="Times New Roman" w:hAnsi="Times New Roman" w:cs="Times New Roman"/>
          <w:sz w:val="24"/>
          <w:szCs w:val="24"/>
        </w:rPr>
        <w:t xml:space="preserve">regime change </w:t>
      </w:r>
      <w:r w:rsidR="00C514DB">
        <w:rPr>
          <w:rFonts w:ascii="Times New Roman" w:hAnsi="Times New Roman" w:cs="Times New Roman"/>
          <w:sz w:val="24"/>
          <w:szCs w:val="24"/>
        </w:rPr>
        <w:t xml:space="preserve">warranted a </w:t>
      </w:r>
      <w:r>
        <w:rPr>
          <w:rFonts w:ascii="Times New Roman" w:hAnsi="Times New Roman" w:cs="Times New Roman"/>
          <w:sz w:val="24"/>
          <w:szCs w:val="24"/>
        </w:rPr>
        <w:t xml:space="preserve">change in the behavior of the BEE.  </w:t>
      </w:r>
      <w:r w:rsidR="00581B6F">
        <w:rPr>
          <w:rFonts w:ascii="Times New Roman" w:hAnsi="Times New Roman" w:cs="Times New Roman"/>
          <w:sz w:val="24"/>
          <w:szCs w:val="24"/>
        </w:rPr>
        <w:t xml:space="preserve">However, in respect of the DRP, the regime change in question here does not change any relevant behavior of the BEE (it will continue to stagger its debt and not hedge the DRP component).  Consequently, it might seem that the regime change does not impose any </w:t>
      </w:r>
      <w:r w:rsidR="00EF0A60">
        <w:rPr>
          <w:rFonts w:ascii="Times New Roman" w:hAnsi="Times New Roman" w:cs="Times New Roman"/>
          <w:sz w:val="24"/>
          <w:szCs w:val="24"/>
        </w:rPr>
        <w:t xml:space="preserve">one-off </w:t>
      </w:r>
      <w:r w:rsidR="005455A6">
        <w:rPr>
          <w:rFonts w:ascii="Times New Roman" w:hAnsi="Times New Roman" w:cs="Times New Roman"/>
          <w:sz w:val="24"/>
          <w:szCs w:val="24"/>
        </w:rPr>
        <w:t xml:space="preserve">gain or loss </w:t>
      </w:r>
      <w:r w:rsidR="00581B6F">
        <w:rPr>
          <w:rFonts w:ascii="Times New Roman" w:hAnsi="Times New Roman" w:cs="Times New Roman"/>
          <w:sz w:val="24"/>
          <w:szCs w:val="24"/>
        </w:rPr>
        <w:t>upon the BEE, and therefore the appropriate policy would be to immediately adopt the new regime</w:t>
      </w:r>
      <w:r w:rsidR="0098389A">
        <w:rPr>
          <w:rFonts w:ascii="Times New Roman" w:hAnsi="Times New Roman" w:cs="Times New Roman"/>
          <w:sz w:val="24"/>
          <w:szCs w:val="24"/>
        </w:rPr>
        <w:t xml:space="preserve"> in respect of the DRP.  </w:t>
      </w:r>
      <w:r w:rsidR="000B2245">
        <w:rPr>
          <w:rFonts w:ascii="Times New Roman" w:hAnsi="Times New Roman" w:cs="Times New Roman"/>
          <w:sz w:val="24"/>
          <w:szCs w:val="24"/>
        </w:rPr>
        <w:t xml:space="preserve">However, </w:t>
      </w:r>
      <w:r w:rsidR="001D663E">
        <w:rPr>
          <w:rFonts w:ascii="Times New Roman" w:hAnsi="Times New Roman" w:cs="Times New Roman"/>
          <w:sz w:val="24"/>
          <w:szCs w:val="24"/>
        </w:rPr>
        <w:t xml:space="preserve">under the previous on-the-day regime, DRP shocks </w:t>
      </w:r>
      <w:r w:rsidR="0098389A">
        <w:rPr>
          <w:rFonts w:ascii="Times New Roman" w:hAnsi="Times New Roman" w:cs="Times New Roman"/>
          <w:sz w:val="24"/>
          <w:szCs w:val="24"/>
        </w:rPr>
        <w:t xml:space="preserve">gave rise to </w:t>
      </w:r>
      <w:r w:rsidR="001D663E">
        <w:rPr>
          <w:rFonts w:ascii="Times New Roman" w:hAnsi="Times New Roman" w:cs="Times New Roman"/>
          <w:sz w:val="24"/>
          <w:szCs w:val="24"/>
        </w:rPr>
        <w:t>differences between the allowed DRP and that incurred</w:t>
      </w:r>
      <w:r w:rsidR="0098389A">
        <w:rPr>
          <w:rFonts w:ascii="Times New Roman" w:hAnsi="Times New Roman" w:cs="Times New Roman"/>
          <w:sz w:val="24"/>
          <w:szCs w:val="24"/>
        </w:rPr>
        <w:t xml:space="preserve">, the accumulated effects eventually dissipated, but these </w:t>
      </w:r>
      <w:r w:rsidR="001D663E">
        <w:rPr>
          <w:rFonts w:ascii="Times New Roman" w:hAnsi="Times New Roman" w:cs="Times New Roman"/>
          <w:sz w:val="24"/>
          <w:szCs w:val="24"/>
        </w:rPr>
        <w:t>accumulated effects cou</w:t>
      </w:r>
      <w:r w:rsidR="0098389A">
        <w:rPr>
          <w:rFonts w:ascii="Times New Roman" w:hAnsi="Times New Roman" w:cs="Times New Roman"/>
          <w:sz w:val="24"/>
          <w:szCs w:val="24"/>
        </w:rPr>
        <w:t>ld be substantial at some points</w:t>
      </w:r>
      <w:r w:rsidR="001D663E">
        <w:rPr>
          <w:rFonts w:ascii="Times New Roman" w:hAnsi="Times New Roman" w:cs="Times New Roman"/>
          <w:sz w:val="24"/>
          <w:szCs w:val="24"/>
        </w:rPr>
        <w:t xml:space="preserve">.  </w:t>
      </w:r>
      <w:r w:rsidR="0005559B">
        <w:rPr>
          <w:rFonts w:ascii="Times New Roman" w:hAnsi="Times New Roman" w:cs="Times New Roman"/>
          <w:sz w:val="24"/>
          <w:szCs w:val="24"/>
        </w:rPr>
        <w:t xml:space="preserve">Consequently, immediate adoption of </w:t>
      </w:r>
      <w:r w:rsidR="0062303F">
        <w:rPr>
          <w:rFonts w:ascii="Times New Roman" w:hAnsi="Times New Roman" w:cs="Times New Roman"/>
          <w:sz w:val="24"/>
          <w:szCs w:val="24"/>
        </w:rPr>
        <w:t xml:space="preserve">the new regime at a time </w:t>
      </w:r>
      <w:r w:rsidR="001D663E">
        <w:rPr>
          <w:rFonts w:ascii="Times New Roman" w:hAnsi="Times New Roman" w:cs="Times New Roman"/>
          <w:sz w:val="24"/>
          <w:szCs w:val="24"/>
        </w:rPr>
        <w:t xml:space="preserve">when the accumulated effect was positive </w:t>
      </w:r>
      <w:r w:rsidR="0062303F">
        <w:rPr>
          <w:rFonts w:ascii="Times New Roman" w:hAnsi="Times New Roman" w:cs="Times New Roman"/>
          <w:sz w:val="24"/>
          <w:szCs w:val="24"/>
        </w:rPr>
        <w:t xml:space="preserve">would </w:t>
      </w:r>
      <w:r w:rsidR="0062303F">
        <w:rPr>
          <w:rFonts w:ascii="Times New Roman" w:hAnsi="Times New Roman" w:cs="Times New Roman"/>
          <w:sz w:val="24"/>
          <w:szCs w:val="24"/>
        </w:rPr>
        <w:lastRenderedPageBreak/>
        <w:t xml:space="preserve">prevent </w:t>
      </w:r>
      <w:r w:rsidR="0096648F">
        <w:rPr>
          <w:rFonts w:ascii="Times New Roman" w:hAnsi="Times New Roman" w:cs="Times New Roman"/>
          <w:sz w:val="24"/>
          <w:szCs w:val="24"/>
        </w:rPr>
        <w:t xml:space="preserve">these </w:t>
      </w:r>
      <w:r w:rsidR="0062303F">
        <w:rPr>
          <w:rFonts w:ascii="Times New Roman" w:hAnsi="Times New Roman" w:cs="Times New Roman"/>
          <w:sz w:val="24"/>
          <w:szCs w:val="24"/>
        </w:rPr>
        <w:t xml:space="preserve">accumulated </w:t>
      </w:r>
      <w:r w:rsidR="0096648F">
        <w:rPr>
          <w:rFonts w:ascii="Times New Roman" w:hAnsi="Times New Roman" w:cs="Times New Roman"/>
          <w:sz w:val="24"/>
          <w:szCs w:val="24"/>
        </w:rPr>
        <w:t xml:space="preserve">gains </w:t>
      </w:r>
      <w:r w:rsidR="0062303F">
        <w:rPr>
          <w:rFonts w:ascii="Times New Roman" w:hAnsi="Times New Roman" w:cs="Times New Roman"/>
          <w:sz w:val="24"/>
          <w:szCs w:val="24"/>
        </w:rPr>
        <w:t xml:space="preserve">from being gradually eroded away and </w:t>
      </w:r>
      <w:r w:rsidR="0096648F">
        <w:rPr>
          <w:rFonts w:ascii="Times New Roman" w:hAnsi="Times New Roman" w:cs="Times New Roman"/>
          <w:sz w:val="24"/>
          <w:szCs w:val="24"/>
        </w:rPr>
        <w:t xml:space="preserve">they </w:t>
      </w:r>
      <w:r w:rsidR="0062303F">
        <w:rPr>
          <w:rFonts w:ascii="Times New Roman" w:hAnsi="Times New Roman" w:cs="Times New Roman"/>
          <w:sz w:val="24"/>
          <w:szCs w:val="24"/>
        </w:rPr>
        <w:t xml:space="preserve">would </w:t>
      </w:r>
      <w:r w:rsidR="003E588E">
        <w:rPr>
          <w:rFonts w:ascii="Times New Roman" w:hAnsi="Times New Roman" w:cs="Times New Roman"/>
          <w:sz w:val="24"/>
          <w:szCs w:val="24"/>
        </w:rPr>
        <w:t xml:space="preserve">instead be retained by the </w:t>
      </w:r>
      <w:r w:rsidR="004E38DA">
        <w:rPr>
          <w:rFonts w:ascii="Times New Roman" w:hAnsi="Times New Roman" w:cs="Times New Roman"/>
          <w:sz w:val="24"/>
          <w:szCs w:val="24"/>
        </w:rPr>
        <w:t>BEE</w:t>
      </w:r>
      <w:r w:rsidR="0096648F">
        <w:rPr>
          <w:rFonts w:ascii="Times New Roman" w:hAnsi="Times New Roman" w:cs="Times New Roman"/>
          <w:sz w:val="24"/>
          <w:szCs w:val="24"/>
        </w:rPr>
        <w:t xml:space="preserve">; </w:t>
      </w:r>
      <w:r w:rsidR="000B7D35">
        <w:rPr>
          <w:rFonts w:ascii="Times New Roman" w:hAnsi="Times New Roman" w:cs="Times New Roman"/>
          <w:sz w:val="24"/>
          <w:szCs w:val="24"/>
        </w:rPr>
        <w:t xml:space="preserve">this </w:t>
      </w:r>
      <w:r w:rsidR="00FE0998">
        <w:rPr>
          <w:rFonts w:ascii="Times New Roman" w:hAnsi="Times New Roman" w:cs="Times New Roman"/>
          <w:sz w:val="24"/>
          <w:szCs w:val="24"/>
        </w:rPr>
        <w:t xml:space="preserve">would be a </w:t>
      </w:r>
      <w:r w:rsidR="00C229A2" w:rsidRPr="00B20D1B">
        <w:rPr>
          <w:rFonts w:ascii="Times New Roman" w:hAnsi="Times New Roman" w:cs="Times New Roman"/>
          <w:sz w:val="24"/>
          <w:szCs w:val="24"/>
        </w:rPr>
        <w:t>‘windfall’</w:t>
      </w:r>
      <w:r w:rsidR="000B7D35">
        <w:rPr>
          <w:rFonts w:ascii="Times New Roman" w:hAnsi="Times New Roman" w:cs="Times New Roman"/>
          <w:sz w:val="24"/>
          <w:szCs w:val="24"/>
        </w:rPr>
        <w:t xml:space="preserve"> benefit to </w:t>
      </w:r>
      <w:r w:rsidR="00C514DB">
        <w:rPr>
          <w:rFonts w:ascii="Times New Roman" w:hAnsi="Times New Roman" w:cs="Times New Roman"/>
          <w:sz w:val="24"/>
          <w:szCs w:val="24"/>
        </w:rPr>
        <w:t xml:space="preserve">investors in </w:t>
      </w:r>
      <w:r w:rsidR="000B7D35">
        <w:rPr>
          <w:rFonts w:ascii="Times New Roman" w:hAnsi="Times New Roman" w:cs="Times New Roman"/>
          <w:sz w:val="24"/>
          <w:szCs w:val="24"/>
        </w:rPr>
        <w:t xml:space="preserve">the </w:t>
      </w:r>
      <w:r w:rsidR="004E38DA">
        <w:rPr>
          <w:rFonts w:ascii="Times New Roman" w:hAnsi="Times New Roman" w:cs="Times New Roman"/>
          <w:sz w:val="24"/>
          <w:szCs w:val="24"/>
        </w:rPr>
        <w:t xml:space="preserve">BEE </w:t>
      </w:r>
      <w:r w:rsidR="000B7D35">
        <w:rPr>
          <w:rFonts w:ascii="Times New Roman" w:hAnsi="Times New Roman" w:cs="Times New Roman"/>
          <w:sz w:val="24"/>
          <w:szCs w:val="24"/>
        </w:rPr>
        <w:t xml:space="preserve">at </w:t>
      </w:r>
      <w:r w:rsidR="00C229A2">
        <w:rPr>
          <w:rFonts w:ascii="Times New Roman" w:hAnsi="Times New Roman" w:cs="Times New Roman"/>
          <w:sz w:val="24"/>
          <w:szCs w:val="24"/>
        </w:rPr>
        <w:t xml:space="preserve">the expense of </w:t>
      </w:r>
      <w:r w:rsidR="0096648F">
        <w:rPr>
          <w:rFonts w:ascii="Times New Roman" w:hAnsi="Times New Roman" w:cs="Times New Roman"/>
          <w:sz w:val="24"/>
          <w:szCs w:val="24"/>
        </w:rPr>
        <w:t xml:space="preserve">their </w:t>
      </w:r>
      <w:r w:rsidR="00C229A2">
        <w:rPr>
          <w:rFonts w:ascii="Times New Roman" w:hAnsi="Times New Roman" w:cs="Times New Roman"/>
          <w:sz w:val="24"/>
          <w:szCs w:val="24"/>
        </w:rPr>
        <w:t xml:space="preserve">customers.  </w:t>
      </w:r>
      <w:r w:rsidR="00275076">
        <w:rPr>
          <w:rFonts w:ascii="Times New Roman" w:hAnsi="Times New Roman" w:cs="Times New Roman"/>
          <w:sz w:val="24"/>
          <w:szCs w:val="24"/>
        </w:rPr>
        <w:t xml:space="preserve">Alternatively, </w:t>
      </w:r>
      <w:r w:rsidR="001D663E">
        <w:rPr>
          <w:rFonts w:ascii="Times New Roman" w:hAnsi="Times New Roman" w:cs="Times New Roman"/>
          <w:sz w:val="24"/>
          <w:szCs w:val="24"/>
        </w:rPr>
        <w:t xml:space="preserve">immediate adoption of the new regime at a time when the accumulated effect was negative </w:t>
      </w:r>
      <w:r w:rsidR="00275076">
        <w:rPr>
          <w:rFonts w:ascii="Times New Roman" w:hAnsi="Times New Roman" w:cs="Times New Roman"/>
          <w:sz w:val="24"/>
          <w:szCs w:val="24"/>
        </w:rPr>
        <w:t xml:space="preserve">would constitute a windfall loss to </w:t>
      </w:r>
      <w:r w:rsidR="00C514DB">
        <w:rPr>
          <w:rFonts w:ascii="Times New Roman" w:hAnsi="Times New Roman" w:cs="Times New Roman"/>
          <w:sz w:val="24"/>
          <w:szCs w:val="24"/>
        </w:rPr>
        <w:t xml:space="preserve">investors in </w:t>
      </w:r>
      <w:r w:rsidR="00275076">
        <w:rPr>
          <w:rFonts w:ascii="Times New Roman" w:hAnsi="Times New Roman" w:cs="Times New Roman"/>
          <w:sz w:val="24"/>
          <w:szCs w:val="24"/>
        </w:rPr>
        <w:t>the</w:t>
      </w:r>
      <w:r w:rsidR="00216DAA">
        <w:rPr>
          <w:rFonts w:ascii="Times New Roman" w:hAnsi="Times New Roman" w:cs="Times New Roman"/>
          <w:sz w:val="24"/>
          <w:szCs w:val="24"/>
        </w:rPr>
        <w:t xml:space="preserve"> </w:t>
      </w:r>
      <w:r w:rsidR="004E38DA">
        <w:rPr>
          <w:rFonts w:ascii="Times New Roman" w:hAnsi="Times New Roman" w:cs="Times New Roman"/>
          <w:sz w:val="24"/>
          <w:szCs w:val="24"/>
        </w:rPr>
        <w:t>BEE</w:t>
      </w:r>
      <w:r w:rsidR="00F84075">
        <w:rPr>
          <w:rFonts w:ascii="Times New Roman" w:hAnsi="Times New Roman" w:cs="Times New Roman"/>
          <w:sz w:val="24"/>
          <w:szCs w:val="24"/>
        </w:rPr>
        <w:t xml:space="preserve">.  </w:t>
      </w:r>
      <w:r w:rsidR="0098389A">
        <w:rPr>
          <w:rFonts w:ascii="Times New Roman" w:hAnsi="Times New Roman" w:cs="Times New Roman"/>
          <w:sz w:val="24"/>
          <w:szCs w:val="24"/>
        </w:rPr>
        <w:t>Furthermore, at the time the regime change occurred, the BEE was still experiencing the effects of a very dramatic DRP shock arising from the GFC.</w:t>
      </w:r>
    </w:p>
    <w:p w:rsidR="0098389A" w:rsidRDefault="0098389A" w:rsidP="00C229A2">
      <w:pPr>
        <w:spacing w:after="0" w:line="360" w:lineRule="auto"/>
        <w:jc w:val="both"/>
        <w:rPr>
          <w:rFonts w:ascii="Times New Roman" w:hAnsi="Times New Roman" w:cs="Times New Roman"/>
          <w:sz w:val="24"/>
          <w:szCs w:val="24"/>
        </w:rPr>
      </w:pPr>
    </w:p>
    <w:p w:rsidR="003D08D2" w:rsidRDefault="003D08D2" w:rsidP="00C229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investigate </w:t>
      </w:r>
      <w:r w:rsidR="0098389A">
        <w:rPr>
          <w:rFonts w:ascii="Times New Roman" w:hAnsi="Times New Roman" w:cs="Times New Roman"/>
          <w:sz w:val="24"/>
          <w:szCs w:val="24"/>
        </w:rPr>
        <w:t xml:space="preserve">this issue, </w:t>
      </w:r>
      <w:r>
        <w:rPr>
          <w:rFonts w:ascii="Times New Roman" w:hAnsi="Times New Roman" w:cs="Times New Roman"/>
          <w:sz w:val="24"/>
          <w:szCs w:val="24"/>
        </w:rPr>
        <w:t xml:space="preserve">I draw upon the </w:t>
      </w:r>
      <w:r w:rsidR="0098389A">
        <w:rPr>
          <w:rFonts w:ascii="Times New Roman" w:hAnsi="Times New Roman" w:cs="Times New Roman"/>
          <w:sz w:val="24"/>
          <w:szCs w:val="24"/>
        </w:rPr>
        <w:t xml:space="preserve">DRP data presented </w:t>
      </w:r>
      <w:r>
        <w:rPr>
          <w:rFonts w:ascii="Times New Roman" w:hAnsi="Times New Roman" w:cs="Times New Roman"/>
          <w:sz w:val="24"/>
          <w:szCs w:val="24"/>
        </w:rPr>
        <w:t>by Lally (2014</w:t>
      </w:r>
      <w:r w:rsidR="004F1913">
        <w:rPr>
          <w:rFonts w:ascii="Times New Roman" w:hAnsi="Times New Roman" w:cs="Times New Roman"/>
          <w:sz w:val="24"/>
          <w:szCs w:val="24"/>
        </w:rPr>
        <w:t>a</w:t>
      </w:r>
      <w:r>
        <w:rPr>
          <w:rFonts w:ascii="Times New Roman" w:hAnsi="Times New Roman" w:cs="Times New Roman"/>
          <w:sz w:val="24"/>
          <w:szCs w:val="24"/>
        </w:rPr>
        <w:t>, section 3.1).  As shown in Lally (2014</w:t>
      </w:r>
      <w:r w:rsidR="004F1913">
        <w:rPr>
          <w:rFonts w:ascii="Times New Roman" w:hAnsi="Times New Roman" w:cs="Times New Roman"/>
          <w:sz w:val="24"/>
          <w:szCs w:val="24"/>
        </w:rPr>
        <w:t>a</w:t>
      </w:r>
      <w:r>
        <w:rPr>
          <w:rFonts w:ascii="Times New Roman" w:hAnsi="Times New Roman" w:cs="Times New Roman"/>
          <w:sz w:val="24"/>
          <w:szCs w:val="24"/>
        </w:rPr>
        <w:t xml:space="preserve">, Table 2), the </w:t>
      </w:r>
      <w:r w:rsidR="00EF0A60">
        <w:rPr>
          <w:rFonts w:ascii="Times New Roman" w:hAnsi="Times New Roman" w:cs="Times New Roman"/>
          <w:sz w:val="24"/>
          <w:szCs w:val="24"/>
        </w:rPr>
        <w:t xml:space="preserve">DRP </w:t>
      </w:r>
      <w:r>
        <w:rPr>
          <w:rFonts w:ascii="Times New Roman" w:hAnsi="Times New Roman" w:cs="Times New Roman"/>
          <w:sz w:val="24"/>
          <w:szCs w:val="24"/>
        </w:rPr>
        <w:t xml:space="preserve">shock </w:t>
      </w:r>
      <w:r w:rsidR="004E38DA">
        <w:rPr>
          <w:rFonts w:ascii="Times New Roman" w:hAnsi="Times New Roman" w:cs="Times New Roman"/>
          <w:sz w:val="24"/>
          <w:szCs w:val="24"/>
        </w:rPr>
        <w:t xml:space="preserve">commenced </w:t>
      </w:r>
      <w:r>
        <w:rPr>
          <w:rFonts w:ascii="Times New Roman" w:hAnsi="Times New Roman" w:cs="Times New Roman"/>
          <w:sz w:val="24"/>
          <w:szCs w:val="24"/>
        </w:rPr>
        <w:t xml:space="preserve">in 2008 and </w:t>
      </w:r>
      <w:r w:rsidR="0023156F">
        <w:rPr>
          <w:rFonts w:ascii="Times New Roman" w:hAnsi="Times New Roman" w:cs="Times New Roman"/>
          <w:sz w:val="24"/>
          <w:szCs w:val="24"/>
        </w:rPr>
        <w:t xml:space="preserve">the DRP is expected to </w:t>
      </w:r>
      <w:r>
        <w:rPr>
          <w:rFonts w:ascii="Times New Roman" w:hAnsi="Times New Roman" w:cs="Times New Roman"/>
          <w:sz w:val="24"/>
          <w:szCs w:val="24"/>
        </w:rPr>
        <w:t xml:space="preserve">revert back to its pre 2008 level by 2016.  However, because </w:t>
      </w:r>
      <w:r w:rsidR="004E38DA">
        <w:rPr>
          <w:rFonts w:ascii="Times New Roman" w:hAnsi="Times New Roman" w:cs="Times New Roman"/>
          <w:sz w:val="24"/>
          <w:szCs w:val="24"/>
        </w:rPr>
        <w:t>the BEE is</w:t>
      </w:r>
      <w:r>
        <w:rPr>
          <w:rFonts w:ascii="Times New Roman" w:hAnsi="Times New Roman" w:cs="Times New Roman"/>
          <w:sz w:val="24"/>
          <w:szCs w:val="24"/>
        </w:rPr>
        <w:t xml:space="preserve"> paying a ten-year trailing average DRP, the effect o</w:t>
      </w:r>
      <w:r w:rsidR="0099395F">
        <w:rPr>
          <w:rFonts w:ascii="Times New Roman" w:hAnsi="Times New Roman" w:cs="Times New Roman"/>
          <w:sz w:val="24"/>
          <w:szCs w:val="24"/>
        </w:rPr>
        <w:t xml:space="preserve">n them will continue until 2025.  If a regime shift </w:t>
      </w:r>
      <w:r w:rsidR="00211D9C">
        <w:rPr>
          <w:rFonts w:ascii="Times New Roman" w:hAnsi="Times New Roman" w:cs="Times New Roman"/>
          <w:sz w:val="24"/>
          <w:szCs w:val="24"/>
        </w:rPr>
        <w:t xml:space="preserve">occurred </w:t>
      </w:r>
      <w:r w:rsidR="0099395F">
        <w:rPr>
          <w:rFonts w:ascii="Times New Roman" w:hAnsi="Times New Roman" w:cs="Times New Roman"/>
          <w:sz w:val="24"/>
          <w:szCs w:val="24"/>
        </w:rPr>
        <w:t xml:space="preserve">within this period, the effect on </w:t>
      </w:r>
      <w:r w:rsidR="0098389A">
        <w:rPr>
          <w:rFonts w:ascii="Times New Roman" w:hAnsi="Times New Roman" w:cs="Times New Roman"/>
          <w:sz w:val="24"/>
          <w:szCs w:val="24"/>
        </w:rPr>
        <w:t xml:space="preserve">a BEE </w:t>
      </w:r>
      <w:r w:rsidR="00CA4960">
        <w:rPr>
          <w:rFonts w:ascii="Times New Roman" w:hAnsi="Times New Roman" w:cs="Times New Roman"/>
          <w:sz w:val="24"/>
          <w:szCs w:val="24"/>
        </w:rPr>
        <w:t xml:space="preserve">would depend </w:t>
      </w:r>
      <w:r w:rsidR="0098389A">
        <w:rPr>
          <w:rFonts w:ascii="Times New Roman" w:hAnsi="Times New Roman" w:cs="Times New Roman"/>
          <w:sz w:val="24"/>
          <w:szCs w:val="24"/>
        </w:rPr>
        <w:t xml:space="preserve">upon its </w:t>
      </w:r>
      <w:r w:rsidR="000A44E0">
        <w:rPr>
          <w:rFonts w:ascii="Times New Roman" w:hAnsi="Times New Roman" w:cs="Times New Roman"/>
          <w:sz w:val="24"/>
          <w:szCs w:val="24"/>
        </w:rPr>
        <w:t xml:space="preserve">regulatory cycle </w:t>
      </w:r>
      <w:r w:rsidR="00914B3D">
        <w:rPr>
          <w:rFonts w:ascii="Times New Roman" w:hAnsi="Times New Roman" w:cs="Times New Roman"/>
          <w:sz w:val="24"/>
          <w:szCs w:val="24"/>
        </w:rPr>
        <w:t xml:space="preserve">reset date </w:t>
      </w:r>
      <w:r w:rsidR="000A44E0">
        <w:rPr>
          <w:rFonts w:ascii="Times New Roman" w:hAnsi="Times New Roman" w:cs="Times New Roman"/>
          <w:sz w:val="24"/>
          <w:szCs w:val="24"/>
        </w:rPr>
        <w:t xml:space="preserve">and </w:t>
      </w:r>
      <w:r w:rsidR="00CA4960">
        <w:rPr>
          <w:rFonts w:ascii="Times New Roman" w:hAnsi="Times New Roman" w:cs="Times New Roman"/>
          <w:sz w:val="24"/>
          <w:szCs w:val="24"/>
        </w:rPr>
        <w:t xml:space="preserve">these effects along with the </w:t>
      </w:r>
      <w:r w:rsidR="000A44E0">
        <w:rPr>
          <w:rFonts w:ascii="Times New Roman" w:hAnsi="Times New Roman" w:cs="Times New Roman"/>
          <w:sz w:val="24"/>
          <w:szCs w:val="24"/>
        </w:rPr>
        <w:t xml:space="preserve">average </w:t>
      </w:r>
      <w:r w:rsidR="00CA4960">
        <w:rPr>
          <w:rFonts w:ascii="Times New Roman" w:hAnsi="Times New Roman" w:cs="Times New Roman"/>
          <w:sz w:val="24"/>
          <w:szCs w:val="24"/>
        </w:rPr>
        <w:t xml:space="preserve">effect </w:t>
      </w:r>
      <w:r w:rsidR="000A44E0">
        <w:rPr>
          <w:rFonts w:ascii="Times New Roman" w:hAnsi="Times New Roman" w:cs="Times New Roman"/>
          <w:sz w:val="24"/>
          <w:szCs w:val="24"/>
        </w:rPr>
        <w:t xml:space="preserve">is </w:t>
      </w:r>
      <w:r w:rsidR="0099395F">
        <w:rPr>
          <w:rFonts w:ascii="Times New Roman" w:hAnsi="Times New Roman" w:cs="Times New Roman"/>
          <w:sz w:val="24"/>
          <w:szCs w:val="24"/>
        </w:rPr>
        <w:t>shown in Lally (2014</w:t>
      </w:r>
      <w:r w:rsidR="004F1913">
        <w:rPr>
          <w:rFonts w:ascii="Times New Roman" w:hAnsi="Times New Roman" w:cs="Times New Roman"/>
          <w:sz w:val="24"/>
          <w:szCs w:val="24"/>
        </w:rPr>
        <w:t>a</w:t>
      </w:r>
      <w:r w:rsidR="0099395F">
        <w:rPr>
          <w:rFonts w:ascii="Times New Roman" w:hAnsi="Times New Roman" w:cs="Times New Roman"/>
          <w:sz w:val="24"/>
          <w:szCs w:val="24"/>
        </w:rPr>
        <w:t>, Table 4) for some of these years.  Table 1 below shows the e</w:t>
      </w:r>
      <w:r w:rsidR="004B0138">
        <w:rPr>
          <w:rFonts w:ascii="Times New Roman" w:hAnsi="Times New Roman" w:cs="Times New Roman"/>
          <w:sz w:val="24"/>
          <w:szCs w:val="24"/>
        </w:rPr>
        <w:t xml:space="preserve">ffects for a wider set of years, with the first column showing the year in which the regime change commences (immediately for </w:t>
      </w:r>
      <w:r w:rsidR="000A44E0">
        <w:rPr>
          <w:rFonts w:ascii="Times New Roman" w:hAnsi="Times New Roman" w:cs="Times New Roman"/>
          <w:sz w:val="24"/>
          <w:szCs w:val="24"/>
        </w:rPr>
        <w:t xml:space="preserve">a BEE with a regulatory reset </w:t>
      </w:r>
      <w:r w:rsidR="004B0138">
        <w:rPr>
          <w:rFonts w:ascii="Times New Roman" w:hAnsi="Times New Roman" w:cs="Times New Roman"/>
          <w:sz w:val="24"/>
          <w:szCs w:val="24"/>
        </w:rPr>
        <w:t>at that point a</w:t>
      </w:r>
      <w:r w:rsidR="000A44E0">
        <w:rPr>
          <w:rFonts w:ascii="Times New Roman" w:hAnsi="Times New Roman" w:cs="Times New Roman"/>
          <w:sz w:val="24"/>
          <w:szCs w:val="24"/>
        </w:rPr>
        <w:t>nd at the next such opportunity otherwise</w:t>
      </w:r>
      <w:r w:rsidR="004B0138">
        <w:rPr>
          <w:rFonts w:ascii="Times New Roman" w:hAnsi="Times New Roman" w:cs="Times New Roman"/>
          <w:sz w:val="24"/>
          <w:szCs w:val="24"/>
        </w:rPr>
        <w:t>)</w:t>
      </w:r>
      <w:r w:rsidR="00FC6FD7">
        <w:rPr>
          <w:rFonts w:ascii="Times New Roman" w:hAnsi="Times New Roman" w:cs="Times New Roman"/>
          <w:sz w:val="24"/>
          <w:szCs w:val="24"/>
        </w:rPr>
        <w:t>, the next column the DRP values (actual up to 2015 and forecasted from that point),</w:t>
      </w:r>
      <w:r w:rsidR="004B0138">
        <w:rPr>
          <w:rFonts w:ascii="Times New Roman" w:hAnsi="Times New Roman" w:cs="Times New Roman"/>
          <w:sz w:val="24"/>
          <w:szCs w:val="24"/>
        </w:rPr>
        <w:t xml:space="preserve"> and the remaining columns showing the accumulated gain or loss up to that point for various regulatory </w:t>
      </w:r>
      <w:r w:rsidR="00914B3D">
        <w:rPr>
          <w:rFonts w:ascii="Times New Roman" w:hAnsi="Times New Roman" w:cs="Times New Roman"/>
          <w:sz w:val="24"/>
          <w:szCs w:val="24"/>
        </w:rPr>
        <w:t>reset dates</w:t>
      </w:r>
      <w:r w:rsidR="004B0138">
        <w:rPr>
          <w:rFonts w:ascii="Times New Roman" w:hAnsi="Times New Roman" w:cs="Times New Roman"/>
          <w:sz w:val="24"/>
          <w:szCs w:val="24"/>
        </w:rPr>
        <w:t>.</w:t>
      </w:r>
    </w:p>
    <w:p w:rsidR="0099395F" w:rsidRDefault="0099395F" w:rsidP="00C229A2">
      <w:pPr>
        <w:spacing w:after="0" w:line="360" w:lineRule="auto"/>
        <w:jc w:val="both"/>
        <w:rPr>
          <w:rFonts w:ascii="Times New Roman" w:hAnsi="Times New Roman" w:cs="Times New Roman"/>
          <w:sz w:val="24"/>
          <w:szCs w:val="24"/>
        </w:rPr>
      </w:pPr>
    </w:p>
    <w:p w:rsidR="0099395F" w:rsidRDefault="00211D9C" w:rsidP="00211D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Table 1: </w:t>
      </w:r>
      <w:r w:rsidR="0096382A">
        <w:rPr>
          <w:rFonts w:ascii="Times New Roman" w:hAnsi="Times New Roman" w:cs="Times New Roman"/>
          <w:sz w:val="24"/>
          <w:szCs w:val="24"/>
        </w:rPr>
        <w:t xml:space="preserve">The Impact of </w:t>
      </w:r>
      <w:r w:rsidR="00914B3D">
        <w:rPr>
          <w:rFonts w:ascii="Times New Roman" w:hAnsi="Times New Roman" w:cs="Times New Roman"/>
          <w:sz w:val="24"/>
          <w:szCs w:val="24"/>
        </w:rPr>
        <w:t xml:space="preserve">the </w:t>
      </w:r>
      <w:r w:rsidR="0096382A">
        <w:rPr>
          <w:rFonts w:ascii="Times New Roman" w:hAnsi="Times New Roman" w:cs="Times New Roman"/>
          <w:sz w:val="24"/>
          <w:szCs w:val="24"/>
        </w:rPr>
        <w:t xml:space="preserve">Regime </w:t>
      </w:r>
      <w:r w:rsidR="00914B3D">
        <w:rPr>
          <w:rFonts w:ascii="Times New Roman" w:hAnsi="Times New Roman" w:cs="Times New Roman"/>
          <w:sz w:val="24"/>
          <w:szCs w:val="24"/>
        </w:rPr>
        <w:t xml:space="preserve">Change </w:t>
      </w:r>
      <w:r w:rsidR="001E1D64">
        <w:rPr>
          <w:rFonts w:ascii="Times New Roman" w:hAnsi="Times New Roman" w:cs="Times New Roman"/>
          <w:sz w:val="24"/>
          <w:szCs w:val="24"/>
        </w:rPr>
        <w:t>at Various Times</w:t>
      </w:r>
    </w:p>
    <w:p w:rsidR="00211D9C" w:rsidRDefault="00211D9C" w:rsidP="00211D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9395F" w:rsidRDefault="001E1D64" w:rsidP="00FC6FD7">
      <w:pPr>
        <w:tabs>
          <w:tab w:val="left" w:pos="1080"/>
          <w:tab w:val="left" w:pos="1980"/>
          <w:tab w:val="left" w:pos="3150"/>
          <w:tab w:val="left" w:pos="4590"/>
          <w:tab w:val="left" w:pos="5760"/>
          <w:tab w:val="left" w:pos="6840"/>
          <w:tab w:val="left" w:pos="81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Year of</w:t>
      </w:r>
      <w:r w:rsidR="00ED19A3">
        <w:rPr>
          <w:rFonts w:ascii="Times New Roman" w:hAnsi="Times New Roman" w:cs="Times New Roman"/>
          <w:sz w:val="24"/>
          <w:szCs w:val="24"/>
        </w:rPr>
        <w:tab/>
        <w:t>DRP</w:t>
      </w:r>
      <w:r w:rsidR="001C681D">
        <w:rPr>
          <w:rFonts w:ascii="Times New Roman" w:hAnsi="Times New Roman" w:cs="Times New Roman"/>
          <w:sz w:val="24"/>
          <w:szCs w:val="24"/>
        </w:rPr>
        <w:tab/>
        <w:t>2007-11</w:t>
      </w:r>
      <w:r w:rsidR="001C681D">
        <w:rPr>
          <w:rFonts w:ascii="Times New Roman" w:hAnsi="Times New Roman" w:cs="Times New Roman"/>
          <w:sz w:val="24"/>
          <w:szCs w:val="24"/>
        </w:rPr>
        <w:tab/>
        <w:t>2008-12</w:t>
      </w:r>
      <w:r w:rsidR="001C681D">
        <w:rPr>
          <w:rFonts w:ascii="Times New Roman" w:hAnsi="Times New Roman" w:cs="Times New Roman"/>
          <w:sz w:val="24"/>
          <w:szCs w:val="24"/>
        </w:rPr>
        <w:tab/>
        <w:t>2009-13</w:t>
      </w:r>
      <w:r w:rsidR="001C681D">
        <w:rPr>
          <w:rFonts w:ascii="Times New Roman" w:hAnsi="Times New Roman" w:cs="Times New Roman"/>
          <w:sz w:val="24"/>
          <w:szCs w:val="24"/>
        </w:rPr>
        <w:tab/>
        <w:t>2010-14</w:t>
      </w:r>
      <w:r w:rsidR="001C681D">
        <w:rPr>
          <w:rFonts w:ascii="Times New Roman" w:hAnsi="Times New Roman" w:cs="Times New Roman"/>
          <w:sz w:val="24"/>
          <w:szCs w:val="24"/>
        </w:rPr>
        <w:tab/>
        <w:t>2011-15</w:t>
      </w:r>
      <w:r w:rsidR="001C681D">
        <w:rPr>
          <w:rFonts w:ascii="Times New Roman" w:hAnsi="Times New Roman" w:cs="Times New Roman"/>
          <w:sz w:val="24"/>
          <w:szCs w:val="24"/>
        </w:rPr>
        <w:tab/>
        <w:t>Average</w:t>
      </w:r>
    </w:p>
    <w:p w:rsidR="001E1D64" w:rsidRDefault="001E1D64" w:rsidP="00211D9C">
      <w:pPr>
        <w:tabs>
          <w:tab w:val="left" w:pos="1350"/>
          <w:tab w:val="left" w:pos="2700"/>
          <w:tab w:val="left" w:pos="4050"/>
          <w:tab w:val="left" w:pos="5400"/>
          <w:tab w:val="left" w:pos="6750"/>
          <w:tab w:val="left" w:pos="81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Change</w:t>
      </w:r>
    </w:p>
    <w:p w:rsidR="0099395F" w:rsidRDefault="00211D9C" w:rsidP="00C229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D08D2" w:rsidRDefault="00211D9C"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2005</w:t>
      </w:r>
      <w:r w:rsidR="000C706B">
        <w:rPr>
          <w:rFonts w:ascii="Times New Roman" w:hAnsi="Times New Roman" w:cs="Times New Roman"/>
          <w:sz w:val="24"/>
          <w:szCs w:val="24"/>
        </w:rPr>
        <w:tab/>
      </w:r>
      <w:r w:rsidR="00ED19A3">
        <w:rPr>
          <w:rFonts w:ascii="Times New Roman" w:hAnsi="Times New Roman" w:cs="Times New Roman"/>
          <w:sz w:val="24"/>
          <w:szCs w:val="24"/>
        </w:rPr>
        <w:t>.013</w:t>
      </w:r>
      <w:r w:rsidR="00ED19A3">
        <w:rPr>
          <w:rFonts w:ascii="Times New Roman" w:hAnsi="Times New Roman" w:cs="Times New Roman"/>
          <w:sz w:val="24"/>
          <w:szCs w:val="24"/>
        </w:rPr>
        <w:tab/>
      </w:r>
      <w:r w:rsidR="000C706B">
        <w:rPr>
          <w:rFonts w:ascii="Times New Roman" w:hAnsi="Times New Roman" w:cs="Times New Roman"/>
          <w:sz w:val="24"/>
          <w:szCs w:val="24"/>
        </w:rPr>
        <w:t>0</w:t>
      </w:r>
      <w:r w:rsidR="000C706B">
        <w:rPr>
          <w:rFonts w:ascii="Times New Roman" w:hAnsi="Times New Roman" w:cs="Times New Roman"/>
          <w:sz w:val="24"/>
          <w:szCs w:val="24"/>
        </w:rPr>
        <w:tab/>
        <w:t>0</w:t>
      </w:r>
      <w:r w:rsidR="000C706B">
        <w:rPr>
          <w:rFonts w:ascii="Times New Roman" w:hAnsi="Times New Roman" w:cs="Times New Roman"/>
          <w:sz w:val="24"/>
          <w:szCs w:val="24"/>
        </w:rPr>
        <w:tab/>
        <w:t>-0.0019</w:t>
      </w:r>
      <w:r w:rsidR="000C706B">
        <w:rPr>
          <w:rFonts w:ascii="Times New Roman" w:hAnsi="Times New Roman" w:cs="Times New Roman"/>
          <w:sz w:val="24"/>
          <w:szCs w:val="24"/>
        </w:rPr>
        <w:tab/>
        <w:t>0</w:t>
      </w:r>
      <w:r w:rsidR="000C706B">
        <w:rPr>
          <w:rFonts w:ascii="Times New Roman" w:hAnsi="Times New Roman" w:cs="Times New Roman"/>
          <w:sz w:val="24"/>
          <w:szCs w:val="24"/>
        </w:rPr>
        <w:tab/>
        <w:t>0</w:t>
      </w:r>
      <w:r w:rsidR="000C706B">
        <w:rPr>
          <w:rFonts w:ascii="Times New Roman" w:hAnsi="Times New Roman" w:cs="Times New Roman"/>
          <w:sz w:val="24"/>
          <w:szCs w:val="24"/>
        </w:rPr>
        <w:tab/>
        <w:t>-0.0004</w:t>
      </w:r>
    </w:p>
    <w:p w:rsidR="001C681D" w:rsidRDefault="001C681D"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2006</w:t>
      </w:r>
      <w:r>
        <w:rPr>
          <w:rFonts w:ascii="Times New Roman" w:hAnsi="Times New Roman" w:cs="Times New Roman"/>
          <w:sz w:val="24"/>
          <w:szCs w:val="24"/>
        </w:rPr>
        <w:tab/>
      </w:r>
      <w:r w:rsidR="00ED19A3">
        <w:rPr>
          <w:rFonts w:ascii="Times New Roman" w:hAnsi="Times New Roman" w:cs="Times New Roman"/>
          <w:sz w:val="24"/>
          <w:szCs w:val="24"/>
        </w:rPr>
        <w:t>.013</w:t>
      </w:r>
      <w:r w:rsidR="00ED19A3">
        <w:rPr>
          <w:rFonts w:ascii="Times New Roman" w:hAnsi="Times New Roman" w:cs="Times New Roman"/>
          <w:sz w:val="24"/>
          <w:szCs w:val="24"/>
        </w:rPr>
        <w:tab/>
      </w:r>
      <w:r>
        <w:rPr>
          <w:rFonts w:ascii="Times New Roman" w:hAnsi="Times New Roman" w:cs="Times New Roman"/>
          <w:sz w:val="24"/>
          <w:szCs w:val="24"/>
        </w:rPr>
        <w:t>0</w:t>
      </w:r>
      <w:r>
        <w:rPr>
          <w:rFonts w:ascii="Times New Roman" w:hAnsi="Times New Roman" w:cs="Times New Roman"/>
          <w:sz w:val="24"/>
          <w:szCs w:val="24"/>
        </w:rPr>
        <w:tab/>
        <w:t>0</w:t>
      </w:r>
      <w:r>
        <w:rPr>
          <w:rFonts w:ascii="Times New Roman" w:hAnsi="Times New Roman" w:cs="Times New Roman"/>
          <w:sz w:val="24"/>
          <w:szCs w:val="24"/>
        </w:rPr>
        <w:tab/>
        <w:t>-0.0019</w:t>
      </w:r>
      <w:r>
        <w:rPr>
          <w:rFonts w:ascii="Times New Roman" w:hAnsi="Times New Roman" w:cs="Times New Roman"/>
          <w:sz w:val="24"/>
          <w:szCs w:val="24"/>
        </w:rPr>
        <w:tab/>
        <w:t>-0.0066</w:t>
      </w:r>
      <w:r>
        <w:rPr>
          <w:rFonts w:ascii="Times New Roman" w:hAnsi="Times New Roman" w:cs="Times New Roman"/>
          <w:sz w:val="24"/>
          <w:szCs w:val="24"/>
        </w:rPr>
        <w:tab/>
        <w:t>0</w:t>
      </w:r>
      <w:r>
        <w:rPr>
          <w:rFonts w:ascii="Times New Roman" w:hAnsi="Times New Roman" w:cs="Times New Roman"/>
          <w:sz w:val="24"/>
          <w:szCs w:val="24"/>
        </w:rPr>
        <w:tab/>
        <w:t>-0.0017</w:t>
      </w:r>
    </w:p>
    <w:p w:rsidR="001C681D" w:rsidRDefault="00F650A1"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2007</w:t>
      </w:r>
      <w:r>
        <w:rPr>
          <w:rFonts w:ascii="Times New Roman" w:hAnsi="Times New Roman" w:cs="Times New Roman"/>
          <w:sz w:val="24"/>
          <w:szCs w:val="24"/>
        </w:rPr>
        <w:tab/>
      </w:r>
      <w:r w:rsidR="00ED19A3">
        <w:rPr>
          <w:rFonts w:ascii="Times New Roman" w:hAnsi="Times New Roman" w:cs="Times New Roman"/>
          <w:sz w:val="24"/>
          <w:szCs w:val="24"/>
        </w:rPr>
        <w:t>.013</w:t>
      </w:r>
      <w:r w:rsidR="00ED19A3">
        <w:rPr>
          <w:rFonts w:ascii="Times New Roman" w:hAnsi="Times New Roman" w:cs="Times New Roman"/>
          <w:sz w:val="24"/>
          <w:szCs w:val="24"/>
        </w:rPr>
        <w:tab/>
      </w:r>
      <w:r>
        <w:rPr>
          <w:rFonts w:ascii="Times New Roman" w:hAnsi="Times New Roman" w:cs="Times New Roman"/>
          <w:sz w:val="24"/>
          <w:szCs w:val="24"/>
        </w:rPr>
        <w:t>0</w:t>
      </w:r>
      <w:r>
        <w:rPr>
          <w:rFonts w:ascii="Times New Roman" w:hAnsi="Times New Roman" w:cs="Times New Roman"/>
          <w:sz w:val="24"/>
          <w:szCs w:val="24"/>
        </w:rPr>
        <w:tab/>
        <w:t>0</w:t>
      </w:r>
      <w:r>
        <w:rPr>
          <w:rFonts w:ascii="Times New Roman" w:hAnsi="Times New Roman" w:cs="Times New Roman"/>
          <w:sz w:val="24"/>
          <w:szCs w:val="24"/>
        </w:rPr>
        <w:tab/>
        <w:t>-0.0019</w:t>
      </w:r>
      <w:r>
        <w:rPr>
          <w:rFonts w:ascii="Times New Roman" w:hAnsi="Times New Roman" w:cs="Times New Roman"/>
          <w:sz w:val="24"/>
          <w:szCs w:val="24"/>
        </w:rPr>
        <w:tab/>
        <w:t>-0.006</w:t>
      </w:r>
      <w:r w:rsidR="000C706B">
        <w:rPr>
          <w:rFonts w:ascii="Times New Roman" w:hAnsi="Times New Roman" w:cs="Times New Roman"/>
          <w:sz w:val="24"/>
          <w:szCs w:val="24"/>
        </w:rPr>
        <w:t>6</w:t>
      </w:r>
      <w:r w:rsidR="000C706B">
        <w:rPr>
          <w:rFonts w:ascii="Times New Roman" w:hAnsi="Times New Roman" w:cs="Times New Roman"/>
          <w:sz w:val="24"/>
          <w:szCs w:val="24"/>
        </w:rPr>
        <w:tab/>
        <w:t>-0.0132</w:t>
      </w:r>
      <w:r w:rsidR="000C706B">
        <w:rPr>
          <w:rFonts w:ascii="Times New Roman" w:hAnsi="Times New Roman" w:cs="Times New Roman"/>
          <w:sz w:val="24"/>
          <w:szCs w:val="24"/>
        </w:rPr>
        <w:tab/>
        <w:t>-0.0043</w:t>
      </w:r>
    </w:p>
    <w:p w:rsidR="00A74F79" w:rsidRDefault="00A74F79"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2008</w:t>
      </w:r>
      <w:r>
        <w:rPr>
          <w:rFonts w:ascii="Times New Roman" w:hAnsi="Times New Roman" w:cs="Times New Roman"/>
          <w:sz w:val="24"/>
          <w:szCs w:val="24"/>
        </w:rPr>
        <w:tab/>
      </w:r>
      <w:r w:rsidR="00ED19A3">
        <w:rPr>
          <w:rFonts w:ascii="Times New Roman" w:hAnsi="Times New Roman" w:cs="Times New Roman"/>
          <w:sz w:val="24"/>
          <w:szCs w:val="24"/>
        </w:rPr>
        <w:t>.032</w:t>
      </w:r>
      <w:r w:rsidR="00ED19A3">
        <w:rPr>
          <w:rFonts w:ascii="Times New Roman" w:hAnsi="Times New Roman" w:cs="Times New Roman"/>
          <w:sz w:val="24"/>
          <w:szCs w:val="24"/>
        </w:rPr>
        <w:tab/>
      </w:r>
      <w:r w:rsidR="00337E92">
        <w:rPr>
          <w:rFonts w:ascii="Times New Roman" w:hAnsi="Times New Roman" w:cs="Times New Roman"/>
          <w:sz w:val="24"/>
          <w:szCs w:val="24"/>
        </w:rPr>
        <w:t>-0.0216</w:t>
      </w:r>
      <w:r w:rsidR="00337E92">
        <w:rPr>
          <w:rFonts w:ascii="Times New Roman" w:hAnsi="Times New Roman" w:cs="Times New Roman"/>
          <w:sz w:val="24"/>
          <w:szCs w:val="24"/>
        </w:rPr>
        <w:tab/>
        <w:t>0</w:t>
      </w:r>
      <w:r w:rsidR="00337E92">
        <w:rPr>
          <w:rFonts w:ascii="Times New Roman" w:hAnsi="Times New Roman" w:cs="Times New Roman"/>
          <w:sz w:val="24"/>
          <w:szCs w:val="24"/>
        </w:rPr>
        <w:tab/>
        <w:t>-0.0019</w:t>
      </w:r>
      <w:r w:rsidR="00337E92">
        <w:rPr>
          <w:rFonts w:ascii="Times New Roman" w:hAnsi="Times New Roman" w:cs="Times New Roman"/>
          <w:sz w:val="24"/>
          <w:szCs w:val="24"/>
        </w:rPr>
        <w:tab/>
        <w:t>-0.0066</w:t>
      </w:r>
      <w:r w:rsidR="00337E92">
        <w:rPr>
          <w:rFonts w:ascii="Times New Roman" w:hAnsi="Times New Roman" w:cs="Times New Roman"/>
          <w:sz w:val="24"/>
          <w:szCs w:val="24"/>
        </w:rPr>
        <w:tab/>
        <w:t>-0.0132</w:t>
      </w:r>
      <w:r w:rsidR="00337E92">
        <w:rPr>
          <w:rFonts w:ascii="Times New Roman" w:hAnsi="Times New Roman" w:cs="Times New Roman"/>
          <w:sz w:val="24"/>
          <w:szCs w:val="24"/>
        </w:rPr>
        <w:tab/>
      </w:r>
      <w:r w:rsidR="000C706B">
        <w:rPr>
          <w:rFonts w:ascii="Times New Roman" w:hAnsi="Times New Roman" w:cs="Times New Roman"/>
          <w:sz w:val="24"/>
          <w:szCs w:val="24"/>
        </w:rPr>
        <w:t>-0.0087</w:t>
      </w:r>
    </w:p>
    <w:p w:rsidR="00337E92" w:rsidRDefault="00337E92"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2009</w:t>
      </w:r>
      <w:r w:rsidR="007A0131">
        <w:rPr>
          <w:rFonts w:ascii="Times New Roman" w:hAnsi="Times New Roman" w:cs="Times New Roman"/>
          <w:sz w:val="24"/>
          <w:szCs w:val="24"/>
        </w:rPr>
        <w:tab/>
      </w:r>
      <w:r w:rsidR="00ED19A3">
        <w:rPr>
          <w:rFonts w:ascii="Times New Roman" w:hAnsi="Times New Roman" w:cs="Times New Roman"/>
          <w:sz w:val="24"/>
          <w:szCs w:val="24"/>
        </w:rPr>
        <w:t>.041</w:t>
      </w:r>
      <w:r w:rsidR="00ED19A3">
        <w:rPr>
          <w:rFonts w:ascii="Times New Roman" w:hAnsi="Times New Roman" w:cs="Times New Roman"/>
          <w:sz w:val="24"/>
          <w:szCs w:val="24"/>
        </w:rPr>
        <w:tab/>
      </w:r>
      <w:r w:rsidR="007A0131">
        <w:rPr>
          <w:rFonts w:ascii="Times New Roman" w:hAnsi="Times New Roman" w:cs="Times New Roman"/>
          <w:sz w:val="24"/>
          <w:szCs w:val="24"/>
        </w:rPr>
        <w:t>-0.0216</w:t>
      </w:r>
      <w:r w:rsidR="000C706B">
        <w:rPr>
          <w:rFonts w:ascii="Times New Roman" w:hAnsi="Times New Roman" w:cs="Times New Roman"/>
          <w:sz w:val="24"/>
          <w:szCs w:val="24"/>
        </w:rPr>
        <w:tab/>
        <w:t>0.0627</w:t>
      </w:r>
      <w:r w:rsidR="000C706B">
        <w:rPr>
          <w:rFonts w:ascii="Times New Roman" w:hAnsi="Times New Roman" w:cs="Times New Roman"/>
          <w:sz w:val="24"/>
          <w:szCs w:val="24"/>
        </w:rPr>
        <w:tab/>
        <w:t>-0.0019</w:t>
      </w:r>
      <w:r w:rsidR="000C706B">
        <w:rPr>
          <w:rFonts w:ascii="Times New Roman" w:hAnsi="Times New Roman" w:cs="Times New Roman"/>
          <w:sz w:val="24"/>
          <w:szCs w:val="24"/>
        </w:rPr>
        <w:tab/>
        <w:t>-0.0066</w:t>
      </w:r>
      <w:r w:rsidR="000C706B">
        <w:rPr>
          <w:rFonts w:ascii="Times New Roman" w:hAnsi="Times New Roman" w:cs="Times New Roman"/>
          <w:sz w:val="24"/>
          <w:szCs w:val="24"/>
        </w:rPr>
        <w:tab/>
        <w:t>-0.0132</w:t>
      </w:r>
      <w:r w:rsidR="000C706B">
        <w:rPr>
          <w:rFonts w:ascii="Times New Roman" w:hAnsi="Times New Roman" w:cs="Times New Roman"/>
          <w:sz w:val="24"/>
          <w:szCs w:val="24"/>
        </w:rPr>
        <w:tab/>
        <w:t>0.0039</w:t>
      </w:r>
    </w:p>
    <w:p w:rsidR="000C706B" w:rsidRDefault="000C706B"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2010</w:t>
      </w:r>
      <w:r>
        <w:rPr>
          <w:rFonts w:ascii="Times New Roman" w:hAnsi="Times New Roman" w:cs="Times New Roman"/>
          <w:sz w:val="24"/>
          <w:szCs w:val="24"/>
        </w:rPr>
        <w:tab/>
      </w:r>
      <w:r w:rsidR="00ED19A3">
        <w:rPr>
          <w:rFonts w:ascii="Times New Roman" w:hAnsi="Times New Roman" w:cs="Times New Roman"/>
          <w:sz w:val="24"/>
          <w:szCs w:val="24"/>
        </w:rPr>
        <w:t>.032</w:t>
      </w:r>
      <w:r w:rsidR="00ED19A3">
        <w:rPr>
          <w:rFonts w:ascii="Times New Roman" w:hAnsi="Times New Roman" w:cs="Times New Roman"/>
          <w:sz w:val="24"/>
          <w:szCs w:val="24"/>
        </w:rPr>
        <w:tab/>
      </w:r>
      <w:r>
        <w:rPr>
          <w:rFonts w:ascii="Times New Roman" w:hAnsi="Times New Roman" w:cs="Times New Roman"/>
          <w:sz w:val="24"/>
          <w:szCs w:val="24"/>
        </w:rPr>
        <w:t>-0.0216</w:t>
      </w:r>
      <w:r>
        <w:rPr>
          <w:rFonts w:ascii="Times New Roman" w:hAnsi="Times New Roman" w:cs="Times New Roman"/>
          <w:sz w:val="24"/>
          <w:szCs w:val="24"/>
        </w:rPr>
        <w:tab/>
        <w:t>0.0627</w:t>
      </w:r>
      <w:r>
        <w:rPr>
          <w:rFonts w:ascii="Times New Roman" w:hAnsi="Times New Roman" w:cs="Times New Roman"/>
          <w:sz w:val="24"/>
          <w:szCs w:val="24"/>
        </w:rPr>
        <w:tab/>
        <w:t>0.0953</w:t>
      </w:r>
      <w:r>
        <w:rPr>
          <w:rFonts w:ascii="Times New Roman" w:hAnsi="Times New Roman" w:cs="Times New Roman"/>
          <w:sz w:val="24"/>
          <w:szCs w:val="24"/>
        </w:rPr>
        <w:tab/>
        <w:t>-0.0066</w:t>
      </w:r>
      <w:r>
        <w:rPr>
          <w:rFonts w:ascii="Times New Roman" w:hAnsi="Times New Roman" w:cs="Times New Roman"/>
          <w:sz w:val="24"/>
          <w:szCs w:val="24"/>
        </w:rPr>
        <w:tab/>
        <w:t>-0.0132</w:t>
      </w:r>
      <w:r>
        <w:rPr>
          <w:rFonts w:ascii="Times New Roman" w:hAnsi="Times New Roman" w:cs="Times New Roman"/>
          <w:sz w:val="24"/>
          <w:szCs w:val="24"/>
        </w:rPr>
        <w:tab/>
        <w:t>0.0233</w:t>
      </w:r>
    </w:p>
    <w:p w:rsidR="000C706B" w:rsidRDefault="000C706B"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2011</w:t>
      </w:r>
      <w:r>
        <w:rPr>
          <w:rFonts w:ascii="Times New Roman" w:hAnsi="Times New Roman" w:cs="Times New Roman"/>
          <w:sz w:val="24"/>
          <w:szCs w:val="24"/>
        </w:rPr>
        <w:tab/>
      </w:r>
      <w:r w:rsidR="00FC6FD7">
        <w:rPr>
          <w:rFonts w:ascii="Times New Roman" w:hAnsi="Times New Roman" w:cs="Times New Roman"/>
          <w:sz w:val="24"/>
          <w:szCs w:val="24"/>
        </w:rPr>
        <w:t>.031</w:t>
      </w:r>
      <w:r w:rsidR="00ED19A3">
        <w:rPr>
          <w:rFonts w:ascii="Times New Roman" w:hAnsi="Times New Roman" w:cs="Times New Roman"/>
          <w:sz w:val="24"/>
          <w:szCs w:val="24"/>
        </w:rPr>
        <w:tab/>
      </w:r>
      <w:r>
        <w:rPr>
          <w:rFonts w:ascii="Times New Roman" w:hAnsi="Times New Roman" w:cs="Times New Roman"/>
          <w:sz w:val="24"/>
          <w:szCs w:val="24"/>
        </w:rPr>
        <w:t>-0.0216</w:t>
      </w:r>
      <w:r>
        <w:rPr>
          <w:rFonts w:ascii="Times New Roman" w:hAnsi="Times New Roman" w:cs="Times New Roman"/>
          <w:sz w:val="24"/>
          <w:szCs w:val="24"/>
        </w:rPr>
        <w:tab/>
        <w:t>0.0627</w:t>
      </w:r>
      <w:r>
        <w:rPr>
          <w:rFonts w:ascii="Times New Roman" w:hAnsi="Times New Roman" w:cs="Times New Roman"/>
          <w:sz w:val="24"/>
          <w:szCs w:val="24"/>
        </w:rPr>
        <w:tab/>
        <w:t>0.0953</w:t>
      </w:r>
      <w:r>
        <w:rPr>
          <w:rFonts w:ascii="Times New Roman" w:hAnsi="Times New Roman" w:cs="Times New Roman"/>
          <w:sz w:val="24"/>
          <w:szCs w:val="24"/>
        </w:rPr>
        <w:tab/>
        <w:t>0.0373</w:t>
      </w:r>
      <w:r>
        <w:rPr>
          <w:rFonts w:ascii="Times New Roman" w:hAnsi="Times New Roman" w:cs="Times New Roman"/>
          <w:sz w:val="24"/>
          <w:szCs w:val="24"/>
        </w:rPr>
        <w:tab/>
        <w:t>-0.0132</w:t>
      </w:r>
      <w:r>
        <w:rPr>
          <w:rFonts w:ascii="Times New Roman" w:hAnsi="Times New Roman" w:cs="Times New Roman"/>
          <w:sz w:val="24"/>
          <w:szCs w:val="24"/>
        </w:rPr>
        <w:tab/>
        <w:t>0.0321</w:t>
      </w:r>
    </w:p>
    <w:p w:rsidR="000C706B" w:rsidRDefault="000C706B"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2012</w:t>
      </w:r>
      <w:r>
        <w:rPr>
          <w:rFonts w:ascii="Times New Roman" w:hAnsi="Times New Roman" w:cs="Times New Roman"/>
          <w:sz w:val="24"/>
          <w:szCs w:val="24"/>
        </w:rPr>
        <w:tab/>
      </w:r>
      <w:r w:rsidR="00FC6FD7">
        <w:rPr>
          <w:rFonts w:ascii="Times New Roman" w:hAnsi="Times New Roman" w:cs="Times New Roman"/>
          <w:sz w:val="24"/>
          <w:szCs w:val="24"/>
        </w:rPr>
        <w:t>.036</w:t>
      </w:r>
      <w:r w:rsidR="00ED19A3">
        <w:rPr>
          <w:rFonts w:ascii="Times New Roman" w:hAnsi="Times New Roman" w:cs="Times New Roman"/>
          <w:sz w:val="24"/>
          <w:szCs w:val="24"/>
        </w:rPr>
        <w:tab/>
      </w:r>
      <w:r>
        <w:rPr>
          <w:rFonts w:ascii="Times New Roman" w:hAnsi="Times New Roman" w:cs="Times New Roman"/>
          <w:sz w:val="24"/>
          <w:szCs w:val="24"/>
        </w:rPr>
        <w:t>-0.0216</w:t>
      </w:r>
      <w:r>
        <w:rPr>
          <w:rFonts w:ascii="Times New Roman" w:hAnsi="Times New Roman" w:cs="Times New Roman"/>
          <w:sz w:val="24"/>
          <w:szCs w:val="24"/>
        </w:rPr>
        <w:tab/>
      </w:r>
      <w:r w:rsidR="00786A04">
        <w:rPr>
          <w:rFonts w:ascii="Times New Roman" w:hAnsi="Times New Roman" w:cs="Times New Roman"/>
          <w:sz w:val="24"/>
          <w:szCs w:val="24"/>
        </w:rPr>
        <w:t>0.0627</w:t>
      </w:r>
      <w:r w:rsidR="00786A04">
        <w:rPr>
          <w:rFonts w:ascii="Times New Roman" w:hAnsi="Times New Roman" w:cs="Times New Roman"/>
          <w:sz w:val="24"/>
          <w:szCs w:val="24"/>
        </w:rPr>
        <w:tab/>
        <w:t>0.0953</w:t>
      </w:r>
      <w:r w:rsidR="00786A04">
        <w:rPr>
          <w:rFonts w:ascii="Times New Roman" w:hAnsi="Times New Roman" w:cs="Times New Roman"/>
          <w:sz w:val="24"/>
          <w:szCs w:val="24"/>
        </w:rPr>
        <w:tab/>
        <w:t>0.0373</w:t>
      </w:r>
      <w:r w:rsidR="00786A04">
        <w:rPr>
          <w:rFonts w:ascii="Times New Roman" w:hAnsi="Times New Roman" w:cs="Times New Roman"/>
          <w:sz w:val="24"/>
          <w:szCs w:val="24"/>
        </w:rPr>
        <w:tab/>
        <w:t>0.0190</w:t>
      </w:r>
      <w:r w:rsidR="00786A04">
        <w:rPr>
          <w:rFonts w:ascii="Times New Roman" w:hAnsi="Times New Roman" w:cs="Times New Roman"/>
          <w:sz w:val="24"/>
          <w:szCs w:val="24"/>
        </w:rPr>
        <w:tab/>
        <w:t>0.0385</w:t>
      </w:r>
    </w:p>
    <w:p w:rsidR="00786A04" w:rsidRDefault="00786A04"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2013</w:t>
      </w:r>
      <w:r>
        <w:rPr>
          <w:rFonts w:ascii="Times New Roman" w:hAnsi="Times New Roman" w:cs="Times New Roman"/>
          <w:sz w:val="24"/>
          <w:szCs w:val="24"/>
        </w:rPr>
        <w:tab/>
      </w:r>
      <w:r w:rsidR="00FC6FD7">
        <w:rPr>
          <w:rFonts w:ascii="Times New Roman" w:hAnsi="Times New Roman" w:cs="Times New Roman"/>
          <w:sz w:val="24"/>
          <w:szCs w:val="24"/>
        </w:rPr>
        <w:t>.030</w:t>
      </w:r>
      <w:r w:rsidR="00ED19A3">
        <w:rPr>
          <w:rFonts w:ascii="Times New Roman" w:hAnsi="Times New Roman" w:cs="Times New Roman"/>
          <w:sz w:val="24"/>
          <w:szCs w:val="24"/>
        </w:rPr>
        <w:tab/>
      </w:r>
      <w:r>
        <w:rPr>
          <w:rFonts w:ascii="Times New Roman" w:hAnsi="Times New Roman" w:cs="Times New Roman"/>
          <w:sz w:val="24"/>
          <w:szCs w:val="24"/>
        </w:rPr>
        <w:t>0.0307</w:t>
      </w:r>
      <w:r>
        <w:rPr>
          <w:rFonts w:ascii="Times New Roman" w:hAnsi="Times New Roman" w:cs="Times New Roman"/>
          <w:sz w:val="24"/>
          <w:szCs w:val="24"/>
        </w:rPr>
        <w:tab/>
        <w:t>0.0627</w:t>
      </w:r>
      <w:r>
        <w:rPr>
          <w:rFonts w:ascii="Times New Roman" w:hAnsi="Times New Roman" w:cs="Times New Roman"/>
          <w:sz w:val="24"/>
          <w:szCs w:val="24"/>
        </w:rPr>
        <w:tab/>
        <w:t>0.0953</w:t>
      </w:r>
      <w:r>
        <w:rPr>
          <w:rFonts w:ascii="Times New Roman" w:hAnsi="Times New Roman" w:cs="Times New Roman"/>
          <w:sz w:val="24"/>
          <w:szCs w:val="24"/>
        </w:rPr>
        <w:tab/>
      </w:r>
      <w:r w:rsidR="0096382A">
        <w:rPr>
          <w:rFonts w:ascii="Times New Roman" w:hAnsi="Times New Roman" w:cs="Times New Roman"/>
          <w:sz w:val="24"/>
          <w:szCs w:val="24"/>
        </w:rPr>
        <w:t>0.0373</w:t>
      </w:r>
      <w:r w:rsidR="0096382A">
        <w:rPr>
          <w:rFonts w:ascii="Times New Roman" w:hAnsi="Times New Roman" w:cs="Times New Roman"/>
          <w:sz w:val="24"/>
          <w:szCs w:val="24"/>
        </w:rPr>
        <w:tab/>
        <w:t>0.0190</w:t>
      </w:r>
      <w:r w:rsidR="0096382A">
        <w:rPr>
          <w:rFonts w:ascii="Times New Roman" w:hAnsi="Times New Roman" w:cs="Times New Roman"/>
          <w:sz w:val="24"/>
          <w:szCs w:val="24"/>
        </w:rPr>
        <w:tab/>
        <w:t>0.0490</w:t>
      </w:r>
    </w:p>
    <w:p w:rsidR="00786A04" w:rsidRDefault="00786A04"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2014</w:t>
      </w:r>
      <w:r>
        <w:rPr>
          <w:rFonts w:ascii="Times New Roman" w:hAnsi="Times New Roman" w:cs="Times New Roman"/>
          <w:sz w:val="24"/>
          <w:szCs w:val="24"/>
        </w:rPr>
        <w:tab/>
      </w:r>
      <w:r w:rsidR="00FC6FD7">
        <w:rPr>
          <w:rFonts w:ascii="Times New Roman" w:hAnsi="Times New Roman" w:cs="Times New Roman"/>
          <w:sz w:val="24"/>
          <w:szCs w:val="24"/>
        </w:rPr>
        <w:t>.019</w:t>
      </w:r>
      <w:r w:rsidR="00ED19A3">
        <w:rPr>
          <w:rFonts w:ascii="Times New Roman" w:hAnsi="Times New Roman" w:cs="Times New Roman"/>
          <w:sz w:val="24"/>
          <w:szCs w:val="24"/>
        </w:rPr>
        <w:tab/>
      </w:r>
      <w:r>
        <w:rPr>
          <w:rFonts w:ascii="Times New Roman" w:hAnsi="Times New Roman" w:cs="Times New Roman"/>
          <w:sz w:val="24"/>
          <w:szCs w:val="24"/>
        </w:rPr>
        <w:t>0.0307</w:t>
      </w:r>
      <w:r>
        <w:rPr>
          <w:rFonts w:ascii="Times New Roman" w:hAnsi="Times New Roman" w:cs="Times New Roman"/>
          <w:sz w:val="24"/>
          <w:szCs w:val="24"/>
        </w:rPr>
        <w:tab/>
        <w:t>0.0824</w:t>
      </w:r>
      <w:r>
        <w:rPr>
          <w:rFonts w:ascii="Times New Roman" w:hAnsi="Times New Roman" w:cs="Times New Roman"/>
          <w:sz w:val="24"/>
          <w:szCs w:val="24"/>
        </w:rPr>
        <w:tab/>
        <w:t>0.0953</w:t>
      </w:r>
      <w:r>
        <w:rPr>
          <w:rFonts w:ascii="Times New Roman" w:hAnsi="Times New Roman" w:cs="Times New Roman"/>
          <w:sz w:val="24"/>
          <w:szCs w:val="24"/>
        </w:rPr>
        <w:tab/>
        <w:t>0.0373</w:t>
      </w:r>
      <w:r>
        <w:rPr>
          <w:rFonts w:ascii="Times New Roman" w:hAnsi="Times New Roman" w:cs="Times New Roman"/>
          <w:sz w:val="24"/>
          <w:szCs w:val="24"/>
        </w:rPr>
        <w:tab/>
        <w:t>0.019</w:t>
      </w:r>
      <w:r>
        <w:rPr>
          <w:rFonts w:ascii="Times New Roman" w:hAnsi="Times New Roman" w:cs="Times New Roman"/>
          <w:sz w:val="24"/>
          <w:szCs w:val="24"/>
        </w:rPr>
        <w:tab/>
        <w:t>0.0529</w:t>
      </w:r>
    </w:p>
    <w:p w:rsidR="00786A04" w:rsidRDefault="00786A04"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2015</w:t>
      </w:r>
      <w:r>
        <w:rPr>
          <w:rFonts w:ascii="Times New Roman" w:hAnsi="Times New Roman" w:cs="Times New Roman"/>
          <w:sz w:val="24"/>
          <w:szCs w:val="24"/>
        </w:rPr>
        <w:tab/>
      </w:r>
      <w:r w:rsidR="00FC6FD7">
        <w:rPr>
          <w:rFonts w:ascii="Times New Roman" w:hAnsi="Times New Roman" w:cs="Times New Roman"/>
          <w:sz w:val="24"/>
          <w:szCs w:val="24"/>
        </w:rPr>
        <w:t>.016</w:t>
      </w:r>
      <w:r w:rsidR="00ED19A3">
        <w:rPr>
          <w:rFonts w:ascii="Times New Roman" w:hAnsi="Times New Roman" w:cs="Times New Roman"/>
          <w:sz w:val="24"/>
          <w:szCs w:val="24"/>
        </w:rPr>
        <w:tab/>
      </w:r>
      <w:r>
        <w:rPr>
          <w:rFonts w:ascii="Times New Roman" w:hAnsi="Times New Roman" w:cs="Times New Roman"/>
          <w:sz w:val="24"/>
          <w:szCs w:val="24"/>
        </w:rPr>
        <w:t>0.0307</w:t>
      </w:r>
      <w:r>
        <w:rPr>
          <w:rFonts w:ascii="Times New Roman" w:hAnsi="Times New Roman" w:cs="Times New Roman"/>
          <w:sz w:val="24"/>
          <w:szCs w:val="24"/>
        </w:rPr>
        <w:tab/>
        <w:t>0.0824</w:t>
      </w:r>
      <w:r>
        <w:rPr>
          <w:rFonts w:ascii="Times New Roman" w:hAnsi="Times New Roman" w:cs="Times New Roman"/>
          <w:sz w:val="24"/>
          <w:szCs w:val="24"/>
        </w:rPr>
        <w:tab/>
        <w:t>0.0610</w:t>
      </w:r>
      <w:r>
        <w:rPr>
          <w:rFonts w:ascii="Times New Roman" w:hAnsi="Times New Roman" w:cs="Times New Roman"/>
          <w:sz w:val="24"/>
          <w:szCs w:val="24"/>
        </w:rPr>
        <w:tab/>
        <w:t>0.0373</w:t>
      </w:r>
      <w:r>
        <w:rPr>
          <w:rFonts w:ascii="Times New Roman" w:hAnsi="Times New Roman" w:cs="Times New Roman"/>
          <w:sz w:val="24"/>
          <w:szCs w:val="24"/>
        </w:rPr>
        <w:tab/>
        <w:t>0.0190</w:t>
      </w:r>
      <w:r>
        <w:rPr>
          <w:rFonts w:ascii="Times New Roman" w:hAnsi="Times New Roman" w:cs="Times New Roman"/>
          <w:sz w:val="24"/>
          <w:szCs w:val="24"/>
        </w:rPr>
        <w:tab/>
        <w:t>0.0461</w:t>
      </w:r>
    </w:p>
    <w:p w:rsidR="00786A04" w:rsidRDefault="00786A04"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2016</w:t>
      </w:r>
      <w:r>
        <w:rPr>
          <w:rFonts w:ascii="Times New Roman" w:hAnsi="Times New Roman" w:cs="Times New Roman"/>
          <w:sz w:val="24"/>
          <w:szCs w:val="24"/>
        </w:rPr>
        <w:tab/>
      </w:r>
      <w:r w:rsidR="00FC6FD7">
        <w:rPr>
          <w:rFonts w:ascii="Times New Roman" w:hAnsi="Times New Roman" w:cs="Times New Roman"/>
          <w:sz w:val="24"/>
          <w:szCs w:val="24"/>
        </w:rPr>
        <w:t>.013</w:t>
      </w:r>
      <w:r w:rsidR="00ED19A3">
        <w:rPr>
          <w:rFonts w:ascii="Times New Roman" w:hAnsi="Times New Roman" w:cs="Times New Roman"/>
          <w:sz w:val="24"/>
          <w:szCs w:val="24"/>
        </w:rPr>
        <w:tab/>
      </w:r>
      <w:r>
        <w:rPr>
          <w:rFonts w:ascii="Times New Roman" w:hAnsi="Times New Roman" w:cs="Times New Roman"/>
          <w:sz w:val="24"/>
          <w:szCs w:val="24"/>
        </w:rPr>
        <w:t>0.0307</w:t>
      </w:r>
      <w:r>
        <w:rPr>
          <w:rFonts w:ascii="Times New Roman" w:hAnsi="Times New Roman" w:cs="Times New Roman"/>
          <w:sz w:val="24"/>
          <w:szCs w:val="24"/>
        </w:rPr>
        <w:tab/>
        <w:t>0.0824</w:t>
      </w:r>
      <w:r>
        <w:rPr>
          <w:rFonts w:ascii="Times New Roman" w:hAnsi="Times New Roman" w:cs="Times New Roman"/>
          <w:sz w:val="24"/>
          <w:szCs w:val="24"/>
        </w:rPr>
        <w:tab/>
        <w:t>0.0610</w:t>
      </w:r>
      <w:r>
        <w:rPr>
          <w:rFonts w:ascii="Times New Roman" w:hAnsi="Times New Roman" w:cs="Times New Roman"/>
          <w:sz w:val="24"/>
          <w:szCs w:val="24"/>
        </w:rPr>
        <w:tab/>
        <w:t>-0.0076</w:t>
      </w:r>
      <w:r>
        <w:rPr>
          <w:rFonts w:ascii="Times New Roman" w:hAnsi="Times New Roman" w:cs="Times New Roman"/>
          <w:sz w:val="24"/>
          <w:szCs w:val="24"/>
        </w:rPr>
        <w:tab/>
        <w:t>0.0190</w:t>
      </w:r>
      <w:r>
        <w:rPr>
          <w:rFonts w:ascii="Times New Roman" w:hAnsi="Times New Roman" w:cs="Times New Roman"/>
          <w:sz w:val="24"/>
          <w:szCs w:val="24"/>
        </w:rPr>
        <w:tab/>
        <w:t>0.0371</w:t>
      </w:r>
    </w:p>
    <w:p w:rsidR="00786A04" w:rsidRDefault="006C7E62"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2017</w:t>
      </w:r>
      <w:r>
        <w:rPr>
          <w:rFonts w:ascii="Times New Roman" w:hAnsi="Times New Roman" w:cs="Times New Roman"/>
          <w:sz w:val="24"/>
          <w:szCs w:val="24"/>
        </w:rPr>
        <w:tab/>
      </w:r>
      <w:r w:rsidR="00FC6FD7">
        <w:rPr>
          <w:rFonts w:ascii="Times New Roman" w:hAnsi="Times New Roman" w:cs="Times New Roman"/>
          <w:sz w:val="24"/>
          <w:szCs w:val="24"/>
        </w:rPr>
        <w:t>.013</w:t>
      </w:r>
      <w:r w:rsidR="00ED19A3">
        <w:rPr>
          <w:rFonts w:ascii="Times New Roman" w:hAnsi="Times New Roman" w:cs="Times New Roman"/>
          <w:sz w:val="24"/>
          <w:szCs w:val="24"/>
        </w:rPr>
        <w:tab/>
      </w:r>
      <w:r>
        <w:rPr>
          <w:rFonts w:ascii="Times New Roman" w:hAnsi="Times New Roman" w:cs="Times New Roman"/>
          <w:sz w:val="24"/>
          <w:szCs w:val="24"/>
        </w:rPr>
        <w:t>0.0307</w:t>
      </w:r>
      <w:r w:rsidR="004A75A1">
        <w:rPr>
          <w:rFonts w:ascii="Times New Roman" w:hAnsi="Times New Roman" w:cs="Times New Roman"/>
          <w:sz w:val="24"/>
          <w:szCs w:val="24"/>
        </w:rPr>
        <w:tab/>
        <w:t>0.0824</w:t>
      </w:r>
      <w:r w:rsidR="004A75A1">
        <w:rPr>
          <w:rFonts w:ascii="Times New Roman" w:hAnsi="Times New Roman" w:cs="Times New Roman"/>
          <w:sz w:val="24"/>
          <w:szCs w:val="24"/>
        </w:rPr>
        <w:tab/>
        <w:t>0.0610</w:t>
      </w:r>
      <w:r w:rsidR="004A75A1">
        <w:rPr>
          <w:rFonts w:ascii="Times New Roman" w:hAnsi="Times New Roman" w:cs="Times New Roman"/>
          <w:sz w:val="24"/>
          <w:szCs w:val="24"/>
        </w:rPr>
        <w:tab/>
        <w:t>-0.0076</w:t>
      </w:r>
      <w:r w:rsidR="004A75A1">
        <w:rPr>
          <w:rFonts w:ascii="Times New Roman" w:hAnsi="Times New Roman" w:cs="Times New Roman"/>
          <w:sz w:val="24"/>
          <w:szCs w:val="24"/>
        </w:rPr>
        <w:tab/>
        <w:t>-0.0343</w:t>
      </w:r>
      <w:r w:rsidR="004A75A1">
        <w:rPr>
          <w:rFonts w:ascii="Times New Roman" w:hAnsi="Times New Roman" w:cs="Times New Roman"/>
          <w:sz w:val="24"/>
          <w:szCs w:val="24"/>
        </w:rPr>
        <w:tab/>
        <w:t>0.0264</w:t>
      </w:r>
    </w:p>
    <w:p w:rsidR="004A75A1" w:rsidRDefault="004A75A1"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2018</w:t>
      </w:r>
      <w:r>
        <w:rPr>
          <w:rFonts w:ascii="Times New Roman" w:hAnsi="Times New Roman" w:cs="Times New Roman"/>
          <w:sz w:val="24"/>
          <w:szCs w:val="24"/>
        </w:rPr>
        <w:tab/>
      </w:r>
      <w:r w:rsidR="00FC6FD7">
        <w:rPr>
          <w:rFonts w:ascii="Times New Roman" w:hAnsi="Times New Roman" w:cs="Times New Roman"/>
          <w:sz w:val="24"/>
          <w:szCs w:val="24"/>
        </w:rPr>
        <w:t>.013</w:t>
      </w:r>
      <w:r w:rsidR="00ED19A3">
        <w:rPr>
          <w:rFonts w:ascii="Times New Roman" w:hAnsi="Times New Roman" w:cs="Times New Roman"/>
          <w:sz w:val="24"/>
          <w:szCs w:val="24"/>
        </w:rPr>
        <w:tab/>
      </w:r>
      <w:r>
        <w:rPr>
          <w:rFonts w:ascii="Times New Roman" w:hAnsi="Times New Roman" w:cs="Times New Roman"/>
          <w:sz w:val="24"/>
          <w:szCs w:val="24"/>
        </w:rPr>
        <w:t>-0.0142</w:t>
      </w:r>
      <w:r>
        <w:rPr>
          <w:rFonts w:ascii="Times New Roman" w:hAnsi="Times New Roman" w:cs="Times New Roman"/>
          <w:sz w:val="24"/>
          <w:szCs w:val="24"/>
        </w:rPr>
        <w:tab/>
        <w:t>0.0824</w:t>
      </w:r>
      <w:r>
        <w:rPr>
          <w:rFonts w:ascii="Times New Roman" w:hAnsi="Times New Roman" w:cs="Times New Roman"/>
          <w:sz w:val="24"/>
          <w:szCs w:val="24"/>
        </w:rPr>
        <w:tab/>
        <w:t>0.0610</w:t>
      </w:r>
      <w:r>
        <w:rPr>
          <w:rFonts w:ascii="Times New Roman" w:hAnsi="Times New Roman" w:cs="Times New Roman"/>
          <w:sz w:val="24"/>
          <w:szCs w:val="24"/>
        </w:rPr>
        <w:tab/>
        <w:t>-0.0076</w:t>
      </w:r>
      <w:r>
        <w:rPr>
          <w:rFonts w:ascii="Times New Roman" w:hAnsi="Times New Roman" w:cs="Times New Roman"/>
          <w:sz w:val="24"/>
          <w:szCs w:val="24"/>
        </w:rPr>
        <w:tab/>
        <w:t>-0.0343</w:t>
      </w:r>
      <w:r>
        <w:rPr>
          <w:rFonts w:ascii="Times New Roman" w:hAnsi="Times New Roman" w:cs="Times New Roman"/>
          <w:sz w:val="24"/>
          <w:szCs w:val="24"/>
        </w:rPr>
        <w:tab/>
        <w:t>0.0175</w:t>
      </w:r>
    </w:p>
    <w:p w:rsidR="004A75A1" w:rsidRDefault="004A75A1"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2019</w:t>
      </w:r>
      <w:r w:rsidR="0096382A">
        <w:rPr>
          <w:rFonts w:ascii="Times New Roman" w:hAnsi="Times New Roman" w:cs="Times New Roman"/>
          <w:sz w:val="24"/>
          <w:szCs w:val="24"/>
        </w:rPr>
        <w:tab/>
      </w:r>
      <w:r w:rsidR="00FC6FD7">
        <w:rPr>
          <w:rFonts w:ascii="Times New Roman" w:hAnsi="Times New Roman" w:cs="Times New Roman"/>
          <w:sz w:val="24"/>
          <w:szCs w:val="24"/>
        </w:rPr>
        <w:t>.013</w:t>
      </w:r>
      <w:r w:rsidR="00ED19A3">
        <w:rPr>
          <w:rFonts w:ascii="Times New Roman" w:hAnsi="Times New Roman" w:cs="Times New Roman"/>
          <w:sz w:val="24"/>
          <w:szCs w:val="24"/>
        </w:rPr>
        <w:tab/>
      </w:r>
      <w:r w:rsidR="0096382A">
        <w:rPr>
          <w:rFonts w:ascii="Times New Roman" w:hAnsi="Times New Roman" w:cs="Times New Roman"/>
          <w:sz w:val="24"/>
          <w:szCs w:val="24"/>
        </w:rPr>
        <w:t>-0.0142</w:t>
      </w:r>
      <w:r w:rsidR="0096382A">
        <w:rPr>
          <w:rFonts w:ascii="Times New Roman" w:hAnsi="Times New Roman" w:cs="Times New Roman"/>
          <w:sz w:val="24"/>
          <w:szCs w:val="24"/>
        </w:rPr>
        <w:tab/>
        <w:t>0.0482</w:t>
      </w:r>
      <w:r w:rsidR="0096382A">
        <w:rPr>
          <w:rFonts w:ascii="Times New Roman" w:hAnsi="Times New Roman" w:cs="Times New Roman"/>
          <w:sz w:val="24"/>
          <w:szCs w:val="24"/>
        </w:rPr>
        <w:tab/>
        <w:t>0.0610</w:t>
      </w:r>
      <w:r w:rsidR="0096382A">
        <w:rPr>
          <w:rFonts w:ascii="Times New Roman" w:hAnsi="Times New Roman" w:cs="Times New Roman"/>
          <w:sz w:val="24"/>
          <w:szCs w:val="24"/>
        </w:rPr>
        <w:tab/>
        <w:t>-0.0076</w:t>
      </w:r>
      <w:r w:rsidR="0096382A">
        <w:rPr>
          <w:rFonts w:ascii="Times New Roman" w:hAnsi="Times New Roman" w:cs="Times New Roman"/>
          <w:sz w:val="24"/>
          <w:szCs w:val="24"/>
        </w:rPr>
        <w:tab/>
        <w:t>-0.0343</w:t>
      </w:r>
      <w:r w:rsidR="0096382A">
        <w:rPr>
          <w:rFonts w:ascii="Times New Roman" w:hAnsi="Times New Roman" w:cs="Times New Roman"/>
          <w:sz w:val="24"/>
          <w:szCs w:val="24"/>
        </w:rPr>
        <w:tab/>
        <w:t>0.0106</w:t>
      </w:r>
    </w:p>
    <w:p w:rsidR="0096382A" w:rsidRDefault="0096382A"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r>
      <w:r w:rsidR="00FC6FD7">
        <w:rPr>
          <w:rFonts w:ascii="Times New Roman" w:hAnsi="Times New Roman" w:cs="Times New Roman"/>
          <w:sz w:val="24"/>
          <w:szCs w:val="24"/>
        </w:rPr>
        <w:t>.013</w:t>
      </w:r>
      <w:r w:rsidR="00ED19A3">
        <w:rPr>
          <w:rFonts w:ascii="Times New Roman" w:hAnsi="Times New Roman" w:cs="Times New Roman"/>
          <w:sz w:val="24"/>
          <w:szCs w:val="24"/>
        </w:rPr>
        <w:tab/>
      </w:r>
      <w:r>
        <w:rPr>
          <w:rFonts w:ascii="Times New Roman" w:hAnsi="Times New Roman" w:cs="Times New Roman"/>
          <w:sz w:val="24"/>
          <w:szCs w:val="24"/>
        </w:rPr>
        <w:t>-0.0142</w:t>
      </w:r>
      <w:r>
        <w:rPr>
          <w:rFonts w:ascii="Times New Roman" w:hAnsi="Times New Roman" w:cs="Times New Roman"/>
          <w:sz w:val="24"/>
          <w:szCs w:val="24"/>
        </w:rPr>
        <w:tab/>
        <w:t>0.0482</w:t>
      </w:r>
      <w:r>
        <w:rPr>
          <w:rFonts w:ascii="Times New Roman" w:hAnsi="Times New Roman" w:cs="Times New Roman"/>
          <w:sz w:val="24"/>
          <w:szCs w:val="24"/>
        </w:rPr>
        <w:tab/>
        <w:t>0.0373</w:t>
      </w:r>
      <w:r>
        <w:rPr>
          <w:rFonts w:ascii="Times New Roman" w:hAnsi="Times New Roman" w:cs="Times New Roman"/>
          <w:sz w:val="24"/>
          <w:szCs w:val="24"/>
        </w:rPr>
        <w:tab/>
        <w:t>-0.0076</w:t>
      </w:r>
      <w:r>
        <w:rPr>
          <w:rFonts w:ascii="Times New Roman" w:hAnsi="Times New Roman" w:cs="Times New Roman"/>
          <w:sz w:val="24"/>
          <w:szCs w:val="24"/>
        </w:rPr>
        <w:tab/>
        <w:t>-0.0343</w:t>
      </w:r>
      <w:r>
        <w:rPr>
          <w:rFonts w:ascii="Times New Roman" w:hAnsi="Times New Roman" w:cs="Times New Roman"/>
          <w:sz w:val="24"/>
          <w:szCs w:val="24"/>
        </w:rPr>
        <w:tab/>
        <w:t>0.0059</w:t>
      </w:r>
    </w:p>
    <w:p w:rsidR="0096382A" w:rsidRDefault="0096382A"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r>
      <w:r w:rsidR="00FC6FD7">
        <w:rPr>
          <w:rFonts w:ascii="Times New Roman" w:hAnsi="Times New Roman" w:cs="Times New Roman"/>
          <w:sz w:val="24"/>
          <w:szCs w:val="24"/>
        </w:rPr>
        <w:t>.013</w:t>
      </w:r>
      <w:r w:rsidR="00ED19A3">
        <w:rPr>
          <w:rFonts w:ascii="Times New Roman" w:hAnsi="Times New Roman" w:cs="Times New Roman"/>
          <w:sz w:val="24"/>
          <w:szCs w:val="24"/>
        </w:rPr>
        <w:tab/>
      </w:r>
      <w:r>
        <w:rPr>
          <w:rFonts w:ascii="Times New Roman" w:hAnsi="Times New Roman" w:cs="Times New Roman"/>
          <w:sz w:val="24"/>
          <w:szCs w:val="24"/>
        </w:rPr>
        <w:t>-0.0142</w:t>
      </w:r>
      <w:r>
        <w:rPr>
          <w:rFonts w:ascii="Times New Roman" w:hAnsi="Times New Roman" w:cs="Times New Roman"/>
          <w:sz w:val="24"/>
          <w:szCs w:val="24"/>
        </w:rPr>
        <w:tab/>
        <w:t>0.0482</w:t>
      </w:r>
      <w:r>
        <w:rPr>
          <w:rFonts w:ascii="Times New Roman" w:hAnsi="Times New Roman" w:cs="Times New Roman"/>
          <w:sz w:val="24"/>
          <w:szCs w:val="24"/>
        </w:rPr>
        <w:tab/>
        <w:t>0.0373</w:t>
      </w:r>
      <w:r>
        <w:rPr>
          <w:rFonts w:ascii="Times New Roman" w:hAnsi="Times New Roman" w:cs="Times New Roman"/>
          <w:sz w:val="24"/>
          <w:szCs w:val="24"/>
        </w:rPr>
        <w:tab/>
        <w:t>-0.0230</w:t>
      </w:r>
      <w:r>
        <w:rPr>
          <w:rFonts w:ascii="Times New Roman" w:hAnsi="Times New Roman" w:cs="Times New Roman"/>
          <w:sz w:val="24"/>
          <w:szCs w:val="24"/>
        </w:rPr>
        <w:tab/>
        <w:t>-0.0343</w:t>
      </w:r>
      <w:r>
        <w:rPr>
          <w:rFonts w:ascii="Times New Roman" w:hAnsi="Times New Roman" w:cs="Times New Roman"/>
          <w:sz w:val="24"/>
          <w:szCs w:val="24"/>
        </w:rPr>
        <w:tab/>
        <w:t>0.0028</w:t>
      </w:r>
    </w:p>
    <w:p w:rsidR="0096382A" w:rsidRDefault="0096382A"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sidR="00FC6FD7">
        <w:rPr>
          <w:rFonts w:ascii="Times New Roman" w:hAnsi="Times New Roman" w:cs="Times New Roman"/>
          <w:sz w:val="24"/>
          <w:szCs w:val="24"/>
        </w:rPr>
        <w:t>.013</w:t>
      </w:r>
      <w:r w:rsidR="00ED19A3">
        <w:rPr>
          <w:rFonts w:ascii="Times New Roman" w:hAnsi="Times New Roman" w:cs="Times New Roman"/>
          <w:sz w:val="24"/>
          <w:szCs w:val="24"/>
        </w:rPr>
        <w:tab/>
      </w:r>
      <w:r>
        <w:rPr>
          <w:rFonts w:ascii="Times New Roman" w:hAnsi="Times New Roman" w:cs="Times New Roman"/>
          <w:sz w:val="24"/>
          <w:szCs w:val="24"/>
        </w:rPr>
        <w:t>-0.0142</w:t>
      </w:r>
      <w:r>
        <w:rPr>
          <w:rFonts w:ascii="Times New Roman" w:hAnsi="Times New Roman" w:cs="Times New Roman"/>
          <w:sz w:val="24"/>
          <w:szCs w:val="24"/>
        </w:rPr>
        <w:tab/>
        <w:t>0.0482</w:t>
      </w:r>
      <w:r>
        <w:rPr>
          <w:rFonts w:ascii="Times New Roman" w:hAnsi="Times New Roman" w:cs="Times New Roman"/>
          <w:sz w:val="24"/>
          <w:szCs w:val="24"/>
        </w:rPr>
        <w:tab/>
        <w:t>0.0373</w:t>
      </w:r>
      <w:r>
        <w:rPr>
          <w:rFonts w:ascii="Times New Roman" w:hAnsi="Times New Roman" w:cs="Times New Roman"/>
          <w:sz w:val="24"/>
          <w:szCs w:val="24"/>
        </w:rPr>
        <w:tab/>
        <w:t>-0.0230</w:t>
      </w:r>
      <w:r>
        <w:rPr>
          <w:rFonts w:ascii="Times New Roman" w:hAnsi="Times New Roman" w:cs="Times New Roman"/>
          <w:sz w:val="24"/>
          <w:szCs w:val="24"/>
        </w:rPr>
        <w:tab/>
        <w:t>-0.0430</w:t>
      </w:r>
      <w:r>
        <w:rPr>
          <w:rFonts w:ascii="Times New Roman" w:hAnsi="Times New Roman" w:cs="Times New Roman"/>
          <w:sz w:val="24"/>
          <w:szCs w:val="24"/>
        </w:rPr>
        <w:tab/>
        <w:t>0.0011</w:t>
      </w:r>
    </w:p>
    <w:p w:rsidR="001B51F6" w:rsidRDefault="001B51F6"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r>
      <w:r w:rsidR="00FC6FD7">
        <w:rPr>
          <w:rFonts w:ascii="Times New Roman" w:hAnsi="Times New Roman" w:cs="Times New Roman"/>
          <w:sz w:val="24"/>
          <w:szCs w:val="24"/>
        </w:rPr>
        <w:t>.013</w:t>
      </w:r>
      <w:r w:rsidR="00ED19A3">
        <w:rPr>
          <w:rFonts w:ascii="Times New Roman" w:hAnsi="Times New Roman" w:cs="Times New Roman"/>
          <w:sz w:val="24"/>
          <w:szCs w:val="24"/>
        </w:rPr>
        <w:tab/>
      </w:r>
      <w:r>
        <w:rPr>
          <w:rFonts w:ascii="Times New Roman" w:hAnsi="Times New Roman" w:cs="Times New Roman"/>
          <w:sz w:val="24"/>
          <w:szCs w:val="24"/>
        </w:rPr>
        <w:t>-0.0180</w:t>
      </w:r>
      <w:r>
        <w:rPr>
          <w:rFonts w:ascii="Times New Roman" w:hAnsi="Times New Roman" w:cs="Times New Roman"/>
          <w:sz w:val="24"/>
          <w:szCs w:val="24"/>
        </w:rPr>
        <w:tab/>
        <w:t>0.0482</w:t>
      </w:r>
      <w:r>
        <w:rPr>
          <w:rFonts w:ascii="Times New Roman" w:hAnsi="Times New Roman" w:cs="Times New Roman"/>
          <w:sz w:val="24"/>
          <w:szCs w:val="24"/>
        </w:rPr>
        <w:tab/>
        <w:t>0.0373</w:t>
      </w:r>
      <w:r>
        <w:rPr>
          <w:rFonts w:ascii="Times New Roman" w:hAnsi="Times New Roman" w:cs="Times New Roman"/>
          <w:sz w:val="24"/>
          <w:szCs w:val="24"/>
        </w:rPr>
        <w:tab/>
        <w:t>-0.0230</w:t>
      </w:r>
      <w:r>
        <w:rPr>
          <w:rFonts w:ascii="Times New Roman" w:hAnsi="Times New Roman" w:cs="Times New Roman"/>
          <w:sz w:val="24"/>
          <w:szCs w:val="24"/>
        </w:rPr>
        <w:tab/>
        <w:t>-0.0430</w:t>
      </w:r>
      <w:r>
        <w:rPr>
          <w:rFonts w:ascii="Times New Roman" w:hAnsi="Times New Roman" w:cs="Times New Roman"/>
          <w:sz w:val="24"/>
          <w:szCs w:val="24"/>
        </w:rPr>
        <w:tab/>
        <w:t>0.0003</w:t>
      </w:r>
    </w:p>
    <w:p w:rsidR="001B51F6" w:rsidRDefault="001B51F6" w:rsidP="00ED19A3">
      <w:pPr>
        <w:tabs>
          <w:tab w:val="left" w:pos="1080"/>
          <w:tab w:val="left" w:pos="2250"/>
          <w:tab w:val="left" w:pos="3420"/>
          <w:tab w:val="left" w:pos="4590"/>
          <w:tab w:val="left" w:pos="5760"/>
          <w:tab w:val="left" w:pos="6930"/>
          <w:tab w:val="left" w:pos="81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2024</w:t>
      </w:r>
      <w:r>
        <w:rPr>
          <w:rFonts w:ascii="Times New Roman" w:hAnsi="Times New Roman" w:cs="Times New Roman"/>
          <w:sz w:val="24"/>
          <w:szCs w:val="24"/>
        </w:rPr>
        <w:tab/>
      </w:r>
      <w:r w:rsidR="00FC6FD7">
        <w:rPr>
          <w:rFonts w:ascii="Times New Roman" w:hAnsi="Times New Roman" w:cs="Times New Roman"/>
          <w:sz w:val="24"/>
          <w:szCs w:val="24"/>
        </w:rPr>
        <w:t>.013</w:t>
      </w:r>
      <w:r w:rsidR="00ED19A3">
        <w:rPr>
          <w:rFonts w:ascii="Times New Roman" w:hAnsi="Times New Roman" w:cs="Times New Roman"/>
          <w:sz w:val="24"/>
          <w:szCs w:val="24"/>
        </w:rPr>
        <w:tab/>
      </w:r>
      <w:r>
        <w:rPr>
          <w:rFonts w:ascii="Times New Roman" w:hAnsi="Times New Roman" w:cs="Times New Roman"/>
          <w:sz w:val="24"/>
          <w:szCs w:val="24"/>
        </w:rPr>
        <w:t>-0.0180</w:t>
      </w:r>
      <w:r>
        <w:rPr>
          <w:rFonts w:ascii="Times New Roman" w:hAnsi="Times New Roman" w:cs="Times New Roman"/>
          <w:sz w:val="24"/>
          <w:szCs w:val="24"/>
        </w:rPr>
        <w:tab/>
        <w:t>0.0470</w:t>
      </w:r>
      <w:r>
        <w:rPr>
          <w:rFonts w:ascii="Times New Roman" w:hAnsi="Times New Roman" w:cs="Times New Roman"/>
          <w:sz w:val="24"/>
          <w:szCs w:val="24"/>
        </w:rPr>
        <w:tab/>
        <w:t>0.0373</w:t>
      </w:r>
      <w:r>
        <w:rPr>
          <w:rFonts w:ascii="Times New Roman" w:hAnsi="Times New Roman" w:cs="Times New Roman"/>
          <w:sz w:val="24"/>
          <w:szCs w:val="24"/>
        </w:rPr>
        <w:tab/>
        <w:t>-0.0230</w:t>
      </w:r>
      <w:r>
        <w:rPr>
          <w:rFonts w:ascii="Times New Roman" w:hAnsi="Times New Roman" w:cs="Times New Roman"/>
          <w:sz w:val="24"/>
          <w:szCs w:val="24"/>
        </w:rPr>
        <w:tab/>
        <w:t>-0.0430</w:t>
      </w:r>
      <w:r>
        <w:rPr>
          <w:rFonts w:ascii="Times New Roman" w:hAnsi="Times New Roman" w:cs="Times New Roman"/>
          <w:sz w:val="24"/>
          <w:szCs w:val="24"/>
        </w:rPr>
        <w:tab/>
        <w:t>0.0001</w:t>
      </w:r>
    </w:p>
    <w:p w:rsidR="001B51F6" w:rsidRDefault="001B51F6" w:rsidP="00ED19A3">
      <w:pPr>
        <w:tabs>
          <w:tab w:val="left" w:pos="1080"/>
          <w:tab w:val="left" w:pos="2250"/>
          <w:tab w:val="left" w:pos="3420"/>
          <w:tab w:val="left" w:pos="4590"/>
          <w:tab w:val="left" w:pos="5760"/>
          <w:tab w:val="left" w:pos="6930"/>
          <w:tab w:val="left" w:pos="81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2025</w:t>
      </w:r>
      <w:r>
        <w:rPr>
          <w:rFonts w:ascii="Times New Roman" w:hAnsi="Times New Roman" w:cs="Times New Roman"/>
          <w:sz w:val="24"/>
          <w:szCs w:val="24"/>
        </w:rPr>
        <w:tab/>
      </w:r>
      <w:r w:rsidR="00FC6FD7">
        <w:rPr>
          <w:rFonts w:ascii="Times New Roman" w:hAnsi="Times New Roman" w:cs="Times New Roman"/>
          <w:sz w:val="24"/>
          <w:szCs w:val="24"/>
        </w:rPr>
        <w:t>.013</w:t>
      </w:r>
      <w:r w:rsidR="00ED19A3">
        <w:rPr>
          <w:rFonts w:ascii="Times New Roman" w:hAnsi="Times New Roman" w:cs="Times New Roman"/>
          <w:sz w:val="24"/>
          <w:szCs w:val="24"/>
        </w:rPr>
        <w:tab/>
      </w:r>
      <w:r>
        <w:rPr>
          <w:rFonts w:ascii="Times New Roman" w:hAnsi="Times New Roman" w:cs="Times New Roman"/>
          <w:sz w:val="24"/>
          <w:szCs w:val="24"/>
        </w:rPr>
        <w:t>-0.0180</w:t>
      </w:r>
      <w:r>
        <w:rPr>
          <w:rFonts w:ascii="Times New Roman" w:hAnsi="Times New Roman" w:cs="Times New Roman"/>
          <w:sz w:val="24"/>
          <w:szCs w:val="24"/>
        </w:rPr>
        <w:tab/>
        <w:t>0.0470</w:t>
      </w:r>
      <w:r>
        <w:rPr>
          <w:rFonts w:ascii="Times New Roman" w:hAnsi="Times New Roman" w:cs="Times New Roman"/>
          <w:sz w:val="24"/>
          <w:szCs w:val="24"/>
        </w:rPr>
        <w:tab/>
        <w:t>0.0370</w:t>
      </w:r>
      <w:r>
        <w:rPr>
          <w:rFonts w:ascii="Times New Roman" w:hAnsi="Times New Roman" w:cs="Times New Roman"/>
          <w:sz w:val="24"/>
          <w:szCs w:val="24"/>
        </w:rPr>
        <w:tab/>
        <w:t>-0.0230</w:t>
      </w:r>
      <w:r>
        <w:rPr>
          <w:rFonts w:ascii="Times New Roman" w:hAnsi="Times New Roman" w:cs="Times New Roman"/>
          <w:sz w:val="24"/>
          <w:szCs w:val="24"/>
        </w:rPr>
        <w:tab/>
        <w:t>-0.0430</w:t>
      </w:r>
      <w:r>
        <w:rPr>
          <w:rFonts w:ascii="Times New Roman" w:hAnsi="Times New Roman" w:cs="Times New Roman"/>
          <w:sz w:val="24"/>
          <w:szCs w:val="24"/>
        </w:rPr>
        <w:tab/>
        <w:t>0.0000</w:t>
      </w:r>
    </w:p>
    <w:p w:rsidR="00004975" w:rsidRDefault="00004975" w:rsidP="00211D9C">
      <w:pPr>
        <w:tabs>
          <w:tab w:val="left" w:pos="1350"/>
          <w:tab w:val="left" w:pos="2700"/>
          <w:tab w:val="left" w:pos="4050"/>
          <w:tab w:val="left" w:pos="5400"/>
          <w:tab w:val="left" w:pos="6750"/>
          <w:tab w:val="left" w:pos="81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26B9B" w:rsidRDefault="00526B9B" w:rsidP="00C229A2">
      <w:pPr>
        <w:spacing w:after="0" w:line="360" w:lineRule="auto"/>
        <w:jc w:val="both"/>
        <w:rPr>
          <w:rFonts w:ascii="Times New Roman" w:hAnsi="Times New Roman" w:cs="Times New Roman"/>
          <w:sz w:val="24"/>
          <w:szCs w:val="24"/>
        </w:rPr>
      </w:pPr>
    </w:p>
    <w:p w:rsidR="00526B9B" w:rsidRDefault="00526B9B" w:rsidP="00C229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illustrate the meaning of the figures in this table, consider the second </w:t>
      </w:r>
      <w:r w:rsidR="00742721">
        <w:rPr>
          <w:rFonts w:ascii="Times New Roman" w:hAnsi="Times New Roman" w:cs="Times New Roman"/>
          <w:sz w:val="24"/>
          <w:szCs w:val="24"/>
        </w:rPr>
        <w:t xml:space="preserve">column </w:t>
      </w:r>
      <w:r>
        <w:rPr>
          <w:rFonts w:ascii="Times New Roman" w:hAnsi="Times New Roman" w:cs="Times New Roman"/>
          <w:sz w:val="24"/>
          <w:szCs w:val="24"/>
        </w:rPr>
        <w:t xml:space="preserve">corresponding to </w:t>
      </w:r>
      <w:r w:rsidR="000A44E0">
        <w:rPr>
          <w:rFonts w:ascii="Times New Roman" w:hAnsi="Times New Roman" w:cs="Times New Roman"/>
          <w:sz w:val="24"/>
          <w:szCs w:val="24"/>
        </w:rPr>
        <w:t xml:space="preserve">a BEE </w:t>
      </w:r>
      <w:r>
        <w:rPr>
          <w:rFonts w:ascii="Times New Roman" w:hAnsi="Times New Roman" w:cs="Times New Roman"/>
          <w:sz w:val="24"/>
          <w:szCs w:val="24"/>
        </w:rPr>
        <w:t xml:space="preserve">with regulatory </w:t>
      </w:r>
      <w:r w:rsidR="00914B3D">
        <w:rPr>
          <w:rFonts w:ascii="Times New Roman" w:hAnsi="Times New Roman" w:cs="Times New Roman"/>
          <w:sz w:val="24"/>
          <w:szCs w:val="24"/>
        </w:rPr>
        <w:t xml:space="preserve">resets in </w:t>
      </w:r>
      <w:r>
        <w:rPr>
          <w:rFonts w:ascii="Times New Roman" w:hAnsi="Times New Roman" w:cs="Times New Roman"/>
          <w:sz w:val="24"/>
          <w:szCs w:val="24"/>
        </w:rPr>
        <w:t xml:space="preserve">2002, 2007, 2012, etc.  If the regime change </w:t>
      </w:r>
      <w:r w:rsidR="000D657B">
        <w:rPr>
          <w:rFonts w:ascii="Times New Roman" w:hAnsi="Times New Roman" w:cs="Times New Roman"/>
          <w:sz w:val="24"/>
          <w:szCs w:val="24"/>
        </w:rPr>
        <w:t>(</w:t>
      </w:r>
      <w:r>
        <w:rPr>
          <w:rFonts w:ascii="Times New Roman" w:hAnsi="Times New Roman" w:cs="Times New Roman"/>
          <w:sz w:val="24"/>
          <w:szCs w:val="24"/>
        </w:rPr>
        <w:t>to a trailing average</w:t>
      </w:r>
      <w:r w:rsidR="000D657B">
        <w:rPr>
          <w:rFonts w:ascii="Times New Roman" w:hAnsi="Times New Roman" w:cs="Times New Roman"/>
          <w:sz w:val="24"/>
          <w:szCs w:val="24"/>
        </w:rPr>
        <w:t>)</w:t>
      </w:r>
      <w:r>
        <w:rPr>
          <w:rFonts w:ascii="Times New Roman" w:hAnsi="Times New Roman" w:cs="Times New Roman"/>
          <w:sz w:val="24"/>
          <w:szCs w:val="24"/>
        </w:rPr>
        <w:t xml:space="preserve"> </w:t>
      </w:r>
      <w:r w:rsidR="00742721">
        <w:rPr>
          <w:rFonts w:ascii="Times New Roman" w:hAnsi="Times New Roman" w:cs="Times New Roman"/>
          <w:sz w:val="24"/>
          <w:szCs w:val="24"/>
        </w:rPr>
        <w:t xml:space="preserve">occurred in </w:t>
      </w:r>
      <w:r>
        <w:rPr>
          <w:rFonts w:ascii="Times New Roman" w:hAnsi="Times New Roman" w:cs="Times New Roman"/>
          <w:sz w:val="24"/>
          <w:szCs w:val="24"/>
        </w:rPr>
        <w:t>any year prior to 2008, there</w:t>
      </w:r>
      <w:r w:rsidR="004B0138">
        <w:rPr>
          <w:rFonts w:ascii="Times New Roman" w:hAnsi="Times New Roman" w:cs="Times New Roman"/>
          <w:sz w:val="24"/>
          <w:szCs w:val="24"/>
        </w:rPr>
        <w:t xml:space="preserve"> would be</w:t>
      </w:r>
      <w:r>
        <w:rPr>
          <w:rFonts w:ascii="Times New Roman" w:hAnsi="Times New Roman" w:cs="Times New Roman"/>
          <w:sz w:val="24"/>
          <w:szCs w:val="24"/>
        </w:rPr>
        <w:t xml:space="preserve"> no accumulated gain or loss because the DRP shock </w:t>
      </w:r>
      <w:r w:rsidR="000A44E0">
        <w:rPr>
          <w:rFonts w:ascii="Times New Roman" w:hAnsi="Times New Roman" w:cs="Times New Roman"/>
          <w:sz w:val="24"/>
          <w:szCs w:val="24"/>
        </w:rPr>
        <w:t xml:space="preserve">commenced </w:t>
      </w:r>
      <w:r>
        <w:rPr>
          <w:rFonts w:ascii="Times New Roman" w:hAnsi="Times New Roman" w:cs="Times New Roman"/>
          <w:sz w:val="24"/>
          <w:szCs w:val="24"/>
        </w:rPr>
        <w:t xml:space="preserve">in 2008.  However, if the regime change </w:t>
      </w:r>
      <w:r w:rsidR="00742721">
        <w:rPr>
          <w:rFonts w:ascii="Times New Roman" w:hAnsi="Times New Roman" w:cs="Times New Roman"/>
          <w:sz w:val="24"/>
          <w:szCs w:val="24"/>
        </w:rPr>
        <w:t xml:space="preserve">occurred in </w:t>
      </w:r>
      <w:r>
        <w:rPr>
          <w:rFonts w:ascii="Times New Roman" w:hAnsi="Times New Roman" w:cs="Times New Roman"/>
          <w:sz w:val="24"/>
          <w:szCs w:val="24"/>
        </w:rPr>
        <w:t xml:space="preserve">any </w:t>
      </w:r>
      <w:r w:rsidR="000D657B">
        <w:rPr>
          <w:rFonts w:ascii="Times New Roman" w:hAnsi="Times New Roman" w:cs="Times New Roman"/>
          <w:sz w:val="24"/>
          <w:szCs w:val="24"/>
        </w:rPr>
        <w:t>of the years 2008-2012</w:t>
      </w:r>
      <w:r>
        <w:rPr>
          <w:rFonts w:ascii="Times New Roman" w:hAnsi="Times New Roman" w:cs="Times New Roman"/>
          <w:sz w:val="24"/>
          <w:szCs w:val="24"/>
        </w:rPr>
        <w:t xml:space="preserve">, it </w:t>
      </w:r>
      <w:r w:rsidR="00742721">
        <w:rPr>
          <w:rFonts w:ascii="Times New Roman" w:hAnsi="Times New Roman" w:cs="Times New Roman"/>
          <w:sz w:val="24"/>
          <w:szCs w:val="24"/>
        </w:rPr>
        <w:t xml:space="preserve">would </w:t>
      </w:r>
      <w:r>
        <w:rPr>
          <w:rFonts w:ascii="Times New Roman" w:hAnsi="Times New Roman" w:cs="Times New Roman"/>
          <w:sz w:val="24"/>
          <w:szCs w:val="24"/>
        </w:rPr>
        <w:t xml:space="preserve">take effect for </w:t>
      </w:r>
      <w:r w:rsidR="000A44E0">
        <w:rPr>
          <w:rFonts w:ascii="Times New Roman" w:hAnsi="Times New Roman" w:cs="Times New Roman"/>
          <w:sz w:val="24"/>
          <w:szCs w:val="24"/>
        </w:rPr>
        <w:t xml:space="preserve">this BEE </w:t>
      </w:r>
      <w:r>
        <w:rPr>
          <w:rFonts w:ascii="Times New Roman" w:hAnsi="Times New Roman" w:cs="Times New Roman"/>
          <w:sz w:val="24"/>
          <w:szCs w:val="24"/>
        </w:rPr>
        <w:t xml:space="preserve">from 2012, at which point the accumulated result of the </w:t>
      </w:r>
      <w:r w:rsidR="002C58EE">
        <w:rPr>
          <w:rFonts w:ascii="Times New Roman" w:hAnsi="Times New Roman" w:cs="Times New Roman"/>
          <w:sz w:val="24"/>
          <w:szCs w:val="24"/>
        </w:rPr>
        <w:t xml:space="preserve">DRP </w:t>
      </w:r>
      <w:r>
        <w:rPr>
          <w:rFonts w:ascii="Times New Roman" w:hAnsi="Times New Roman" w:cs="Times New Roman"/>
          <w:sz w:val="24"/>
          <w:szCs w:val="24"/>
        </w:rPr>
        <w:t xml:space="preserve">shock </w:t>
      </w:r>
      <w:r w:rsidR="00742721">
        <w:rPr>
          <w:rFonts w:ascii="Times New Roman" w:hAnsi="Times New Roman" w:cs="Times New Roman"/>
          <w:sz w:val="24"/>
          <w:szCs w:val="24"/>
        </w:rPr>
        <w:t xml:space="preserve">would be </w:t>
      </w:r>
      <w:r>
        <w:rPr>
          <w:rFonts w:ascii="Times New Roman" w:hAnsi="Times New Roman" w:cs="Times New Roman"/>
          <w:sz w:val="24"/>
          <w:szCs w:val="24"/>
        </w:rPr>
        <w:t xml:space="preserve">-0.0216 (losses total 2.16% of the debt level).  </w:t>
      </w:r>
      <w:r w:rsidR="00656734">
        <w:rPr>
          <w:rFonts w:ascii="Times New Roman" w:hAnsi="Times New Roman" w:cs="Times New Roman"/>
          <w:sz w:val="24"/>
          <w:szCs w:val="24"/>
        </w:rPr>
        <w:t xml:space="preserve">Alternatively, </w:t>
      </w:r>
      <w:r>
        <w:rPr>
          <w:rFonts w:ascii="Times New Roman" w:hAnsi="Times New Roman" w:cs="Times New Roman"/>
          <w:sz w:val="24"/>
          <w:szCs w:val="24"/>
        </w:rPr>
        <w:t xml:space="preserve">if the regime change </w:t>
      </w:r>
      <w:r w:rsidR="00742721">
        <w:rPr>
          <w:rFonts w:ascii="Times New Roman" w:hAnsi="Times New Roman" w:cs="Times New Roman"/>
          <w:sz w:val="24"/>
          <w:szCs w:val="24"/>
        </w:rPr>
        <w:t xml:space="preserve">occurred in </w:t>
      </w:r>
      <w:r>
        <w:rPr>
          <w:rFonts w:ascii="Times New Roman" w:hAnsi="Times New Roman" w:cs="Times New Roman"/>
          <w:sz w:val="24"/>
          <w:szCs w:val="24"/>
        </w:rPr>
        <w:t xml:space="preserve">any of the years </w:t>
      </w:r>
      <w:r w:rsidR="00656734">
        <w:rPr>
          <w:rFonts w:ascii="Times New Roman" w:hAnsi="Times New Roman" w:cs="Times New Roman"/>
          <w:sz w:val="24"/>
          <w:szCs w:val="24"/>
        </w:rPr>
        <w:t xml:space="preserve">2013-2017, </w:t>
      </w:r>
      <w:r>
        <w:rPr>
          <w:rFonts w:ascii="Times New Roman" w:hAnsi="Times New Roman" w:cs="Times New Roman"/>
          <w:sz w:val="24"/>
          <w:szCs w:val="24"/>
        </w:rPr>
        <w:t xml:space="preserve">it </w:t>
      </w:r>
      <w:r w:rsidR="00742721">
        <w:rPr>
          <w:rFonts w:ascii="Times New Roman" w:hAnsi="Times New Roman" w:cs="Times New Roman"/>
          <w:sz w:val="24"/>
          <w:szCs w:val="24"/>
        </w:rPr>
        <w:t xml:space="preserve">would take </w:t>
      </w:r>
      <w:r>
        <w:rPr>
          <w:rFonts w:ascii="Times New Roman" w:hAnsi="Times New Roman" w:cs="Times New Roman"/>
          <w:sz w:val="24"/>
          <w:szCs w:val="24"/>
        </w:rPr>
        <w:t xml:space="preserve">effect for </w:t>
      </w:r>
      <w:r w:rsidR="00656734">
        <w:rPr>
          <w:rFonts w:ascii="Times New Roman" w:hAnsi="Times New Roman" w:cs="Times New Roman"/>
          <w:sz w:val="24"/>
          <w:szCs w:val="24"/>
        </w:rPr>
        <w:t xml:space="preserve">this BEE </w:t>
      </w:r>
      <w:r>
        <w:rPr>
          <w:rFonts w:ascii="Times New Roman" w:hAnsi="Times New Roman" w:cs="Times New Roman"/>
          <w:sz w:val="24"/>
          <w:szCs w:val="24"/>
        </w:rPr>
        <w:t>from 2017, at which point the accumulated result of</w:t>
      </w:r>
      <w:r w:rsidR="00742721">
        <w:rPr>
          <w:rFonts w:ascii="Times New Roman" w:hAnsi="Times New Roman" w:cs="Times New Roman"/>
          <w:sz w:val="24"/>
          <w:szCs w:val="24"/>
        </w:rPr>
        <w:t xml:space="preserve"> the </w:t>
      </w:r>
      <w:r w:rsidR="002C58EE">
        <w:rPr>
          <w:rFonts w:ascii="Times New Roman" w:hAnsi="Times New Roman" w:cs="Times New Roman"/>
          <w:sz w:val="24"/>
          <w:szCs w:val="24"/>
        </w:rPr>
        <w:t xml:space="preserve">DRP </w:t>
      </w:r>
      <w:r w:rsidR="00742721">
        <w:rPr>
          <w:rFonts w:ascii="Times New Roman" w:hAnsi="Times New Roman" w:cs="Times New Roman"/>
          <w:sz w:val="24"/>
          <w:szCs w:val="24"/>
        </w:rPr>
        <w:t xml:space="preserve">shock would be </w:t>
      </w:r>
      <w:r w:rsidR="00417C6E">
        <w:rPr>
          <w:rFonts w:ascii="Times New Roman" w:hAnsi="Times New Roman" w:cs="Times New Roman"/>
          <w:sz w:val="24"/>
          <w:szCs w:val="24"/>
        </w:rPr>
        <w:t>0.0307</w:t>
      </w:r>
      <w:r>
        <w:rPr>
          <w:rFonts w:ascii="Times New Roman" w:hAnsi="Times New Roman" w:cs="Times New Roman"/>
          <w:sz w:val="24"/>
          <w:szCs w:val="24"/>
        </w:rPr>
        <w:t xml:space="preserve"> (</w:t>
      </w:r>
      <w:r w:rsidR="00417C6E">
        <w:rPr>
          <w:rFonts w:ascii="Times New Roman" w:hAnsi="Times New Roman" w:cs="Times New Roman"/>
          <w:sz w:val="24"/>
          <w:szCs w:val="24"/>
        </w:rPr>
        <w:t xml:space="preserve">gains </w:t>
      </w:r>
      <w:r>
        <w:rPr>
          <w:rFonts w:ascii="Times New Roman" w:hAnsi="Times New Roman" w:cs="Times New Roman"/>
          <w:sz w:val="24"/>
          <w:szCs w:val="24"/>
        </w:rPr>
        <w:t xml:space="preserve">total </w:t>
      </w:r>
      <w:r w:rsidR="00656734">
        <w:rPr>
          <w:rFonts w:ascii="Times New Roman" w:hAnsi="Times New Roman" w:cs="Times New Roman"/>
          <w:sz w:val="24"/>
          <w:szCs w:val="24"/>
        </w:rPr>
        <w:t xml:space="preserve">3.07% of the debt level).  Alternatively, if </w:t>
      </w:r>
      <w:r w:rsidR="00417C6E">
        <w:rPr>
          <w:rFonts w:ascii="Times New Roman" w:hAnsi="Times New Roman" w:cs="Times New Roman"/>
          <w:sz w:val="24"/>
          <w:szCs w:val="24"/>
        </w:rPr>
        <w:t xml:space="preserve">the regime change </w:t>
      </w:r>
      <w:r w:rsidR="00742721">
        <w:rPr>
          <w:rFonts w:ascii="Times New Roman" w:hAnsi="Times New Roman" w:cs="Times New Roman"/>
          <w:sz w:val="24"/>
          <w:szCs w:val="24"/>
        </w:rPr>
        <w:t xml:space="preserve">occurred in </w:t>
      </w:r>
      <w:r w:rsidR="00417C6E">
        <w:rPr>
          <w:rFonts w:ascii="Times New Roman" w:hAnsi="Times New Roman" w:cs="Times New Roman"/>
          <w:sz w:val="24"/>
          <w:szCs w:val="24"/>
        </w:rPr>
        <w:t xml:space="preserve">any of the years 2018-2022, it </w:t>
      </w:r>
      <w:r w:rsidR="00742721">
        <w:rPr>
          <w:rFonts w:ascii="Times New Roman" w:hAnsi="Times New Roman" w:cs="Times New Roman"/>
          <w:sz w:val="24"/>
          <w:szCs w:val="24"/>
        </w:rPr>
        <w:t xml:space="preserve">would </w:t>
      </w:r>
      <w:r w:rsidR="00417C6E">
        <w:rPr>
          <w:rFonts w:ascii="Times New Roman" w:hAnsi="Times New Roman" w:cs="Times New Roman"/>
          <w:sz w:val="24"/>
          <w:szCs w:val="24"/>
        </w:rPr>
        <w:t xml:space="preserve">take effect for </w:t>
      </w:r>
      <w:r w:rsidR="00656734">
        <w:rPr>
          <w:rFonts w:ascii="Times New Roman" w:hAnsi="Times New Roman" w:cs="Times New Roman"/>
          <w:sz w:val="24"/>
          <w:szCs w:val="24"/>
        </w:rPr>
        <w:t xml:space="preserve">this BEE </w:t>
      </w:r>
      <w:r w:rsidR="00417C6E">
        <w:rPr>
          <w:rFonts w:ascii="Times New Roman" w:hAnsi="Times New Roman" w:cs="Times New Roman"/>
          <w:sz w:val="24"/>
          <w:szCs w:val="24"/>
        </w:rPr>
        <w:t xml:space="preserve">from 2022, at which point the accumulated result of the </w:t>
      </w:r>
      <w:r w:rsidR="00FE0645">
        <w:rPr>
          <w:rFonts w:ascii="Times New Roman" w:hAnsi="Times New Roman" w:cs="Times New Roman"/>
          <w:sz w:val="24"/>
          <w:szCs w:val="24"/>
        </w:rPr>
        <w:t xml:space="preserve">DRP </w:t>
      </w:r>
      <w:r w:rsidR="00417C6E">
        <w:rPr>
          <w:rFonts w:ascii="Times New Roman" w:hAnsi="Times New Roman" w:cs="Times New Roman"/>
          <w:sz w:val="24"/>
          <w:szCs w:val="24"/>
        </w:rPr>
        <w:t xml:space="preserve">shock </w:t>
      </w:r>
      <w:r w:rsidR="00742721">
        <w:rPr>
          <w:rFonts w:ascii="Times New Roman" w:hAnsi="Times New Roman" w:cs="Times New Roman"/>
          <w:sz w:val="24"/>
          <w:szCs w:val="24"/>
        </w:rPr>
        <w:t xml:space="preserve">would be </w:t>
      </w:r>
      <w:r w:rsidR="00417C6E">
        <w:rPr>
          <w:rFonts w:ascii="Times New Roman" w:hAnsi="Times New Roman" w:cs="Times New Roman"/>
          <w:sz w:val="24"/>
          <w:szCs w:val="24"/>
        </w:rPr>
        <w:t>-0.0142 (losses t</w:t>
      </w:r>
      <w:r w:rsidR="00760EEE">
        <w:rPr>
          <w:rFonts w:ascii="Times New Roman" w:hAnsi="Times New Roman" w:cs="Times New Roman"/>
          <w:sz w:val="24"/>
          <w:szCs w:val="24"/>
        </w:rPr>
        <w:t xml:space="preserve">otal 1.42% of the debt level).  Across the five possible regulatory reset dates, the average results are shown in the </w:t>
      </w:r>
      <w:r w:rsidR="00417C6E">
        <w:rPr>
          <w:rFonts w:ascii="Times New Roman" w:hAnsi="Times New Roman" w:cs="Times New Roman"/>
          <w:sz w:val="24"/>
          <w:szCs w:val="24"/>
        </w:rPr>
        <w:t xml:space="preserve">last column of the table.  </w:t>
      </w:r>
      <w:r w:rsidR="00760EEE">
        <w:rPr>
          <w:rFonts w:ascii="Times New Roman" w:hAnsi="Times New Roman" w:cs="Times New Roman"/>
          <w:sz w:val="24"/>
          <w:szCs w:val="24"/>
        </w:rPr>
        <w:t xml:space="preserve">Two features are important.  Firstly, if the regime change did not occur, the effect of this DRP shock would have been to have initially inflicted losses on to </w:t>
      </w:r>
      <w:r w:rsidR="009733B0">
        <w:rPr>
          <w:rFonts w:ascii="Times New Roman" w:hAnsi="Times New Roman" w:cs="Times New Roman"/>
          <w:sz w:val="24"/>
          <w:szCs w:val="24"/>
        </w:rPr>
        <w:t>investors in the</w:t>
      </w:r>
      <w:r w:rsidR="0098389A">
        <w:rPr>
          <w:rFonts w:ascii="Times New Roman" w:hAnsi="Times New Roman" w:cs="Times New Roman"/>
          <w:sz w:val="24"/>
          <w:szCs w:val="24"/>
        </w:rPr>
        <w:t xml:space="preserve"> ‘average’</w:t>
      </w:r>
      <w:r w:rsidR="009733B0">
        <w:rPr>
          <w:rFonts w:ascii="Times New Roman" w:hAnsi="Times New Roman" w:cs="Times New Roman"/>
          <w:sz w:val="24"/>
          <w:szCs w:val="24"/>
        </w:rPr>
        <w:t xml:space="preserve"> BEE, </w:t>
      </w:r>
      <w:r w:rsidR="00760EEE">
        <w:rPr>
          <w:rFonts w:ascii="Times New Roman" w:hAnsi="Times New Roman" w:cs="Times New Roman"/>
          <w:sz w:val="24"/>
          <w:szCs w:val="24"/>
        </w:rPr>
        <w:t xml:space="preserve">followed by net gains, which then tail away to zero.  Secondly, if a regime change did occur and was immediately adopted, the effect would depend upon the year of the regime change, and would range from an accumulated loss of 0.9% of debt level (for a regime change in 2008) through to an accumulated gain of 5.3% of </w:t>
      </w:r>
      <w:r w:rsidR="00A30D7D">
        <w:rPr>
          <w:rFonts w:ascii="Times New Roman" w:hAnsi="Times New Roman" w:cs="Times New Roman"/>
          <w:sz w:val="24"/>
          <w:szCs w:val="24"/>
        </w:rPr>
        <w:t>debt level</w:t>
      </w:r>
      <w:r w:rsidR="00760EEE">
        <w:rPr>
          <w:rFonts w:ascii="Times New Roman" w:hAnsi="Times New Roman" w:cs="Times New Roman"/>
          <w:sz w:val="24"/>
          <w:szCs w:val="24"/>
        </w:rPr>
        <w:t xml:space="preserve"> (for a regime change in 2014).  The latter figure </w:t>
      </w:r>
      <w:r w:rsidR="00A30D7D">
        <w:rPr>
          <w:rFonts w:ascii="Times New Roman" w:hAnsi="Times New Roman" w:cs="Times New Roman"/>
          <w:sz w:val="24"/>
          <w:szCs w:val="24"/>
        </w:rPr>
        <w:t>equates to about $2.3b across the businesses regulated by the AER</w:t>
      </w:r>
      <w:r w:rsidR="000D657B">
        <w:rPr>
          <w:rFonts w:ascii="Times New Roman" w:hAnsi="Times New Roman" w:cs="Times New Roman"/>
          <w:sz w:val="24"/>
          <w:szCs w:val="24"/>
        </w:rPr>
        <w:t xml:space="preserve"> (See Lally, 2014</w:t>
      </w:r>
      <w:r w:rsidR="004F1913">
        <w:rPr>
          <w:rFonts w:ascii="Times New Roman" w:hAnsi="Times New Roman" w:cs="Times New Roman"/>
          <w:sz w:val="24"/>
          <w:szCs w:val="24"/>
        </w:rPr>
        <w:t>a</w:t>
      </w:r>
      <w:r w:rsidR="000D657B">
        <w:rPr>
          <w:rFonts w:ascii="Times New Roman" w:hAnsi="Times New Roman" w:cs="Times New Roman"/>
          <w:sz w:val="24"/>
          <w:szCs w:val="24"/>
        </w:rPr>
        <w:t>, section 3.1)</w:t>
      </w:r>
      <w:r w:rsidR="00760EEE">
        <w:rPr>
          <w:rFonts w:ascii="Times New Roman" w:hAnsi="Times New Roman" w:cs="Times New Roman"/>
          <w:sz w:val="24"/>
          <w:szCs w:val="24"/>
        </w:rPr>
        <w:t xml:space="preserve"> and is a </w:t>
      </w:r>
      <w:r w:rsidR="00656734">
        <w:rPr>
          <w:rFonts w:ascii="Times New Roman" w:hAnsi="Times New Roman" w:cs="Times New Roman"/>
          <w:sz w:val="24"/>
          <w:szCs w:val="24"/>
        </w:rPr>
        <w:t xml:space="preserve">very </w:t>
      </w:r>
      <w:r w:rsidR="0005559B">
        <w:rPr>
          <w:rFonts w:ascii="Times New Roman" w:hAnsi="Times New Roman" w:cs="Times New Roman"/>
          <w:sz w:val="24"/>
          <w:szCs w:val="24"/>
        </w:rPr>
        <w:t>substantial sum</w:t>
      </w:r>
      <w:r w:rsidR="00D32794">
        <w:rPr>
          <w:rFonts w:ascii="Times New Roman" w:hAnsi="Times New Roman" w:cs="Times New Roman"/>
          <w:sz w:val="24"/>
          <w:szCs w:val="24"/>
        </w:rPr>
        <w:t>.</w:t>
      </w:r>
      <w:r w:rsidR="00BF64C3">
        <w:rPr>
          <w:rFonts w:ascii="Times New Roman" w:hAnsi="Times New Roman" w:cs="Times New Roman"/>
          <w:sz w:val="24"/>
          <w:szCs w:val="24"/>
        </w:rPr>
        <w:t xml:space="preserve">  </w:t>
      </w:r>
      <w:r w:rsidR="00613693">
        <w:rPr>
          <w:rFonts w:ascii="Times New Roman" w:hAnsi="Times New Roman" w:cs="Times New Roman"/>
          <w:sz w:val="24"/>
          <w:szCs w:val="24"/>
        </w:rPr>
        <w:t xml:space="preserve">Since </w:t>
      </w:r>
      <w:r w:rsidR="00BF64C3">
        <w:rPr>
          <w:rFonts w:ascii="Times New Roman" w:hAnsi="Times New Roman" w:cs="Times New Roman"/>
          <w:sz w:val="24"/>
          <w:szCs w:val="24"/>
        </w:rPr>
        <w:t>2014 is the year in which the regime shift did in fact occur</w:t>
      </w:r>
      <w:r w:rsidR="00613693">
        <w:rPr>
          <w:rFonts w:ascii="Times New Roman" w:hAnsi="Times New Roman" w:cs="Times New Roman"/>
          <w:sz w:val="24"/>
          <w:szCs w:val="24"/>
        </w:rPr>
        <w:t xml:space="preserve">, then the effect of immediately </w:t>
      </w:r>
      <w:r w:rsidR="00613693">
        <w:rPr>
          <w:rFonts w:ascii="Times New Roman" w:hAnsi="Times New Roman" w:cs="Times New Roman"/>
          <w:sz w:val="24"/>
          <w:szCs w:val="24"/>
        </w:rPr>
        <w:lastRenderedPageBreak/>
        <w:t>adopting the new regime would have been a windfall gain of $2.3b to investors in the businesses regulated by the AER.</w:t>
      </w:r>
      <w:r w:rsidR="00CA4960">
        <w:rPr>
          <w:rStyle w:val="FootnoteReference"/>
          <w:rFonts w:ascii="Times New Roman" w:hAnsi="Times New Roman" w:cs="Times New Roman"/>
          <w:sz w:val="24"/>
          <w:szCs w:val="24"/>
        </w:rPr>
        <w:footnoteReference w:id="4"/>
      </w:r>
    </w:p>
    <w:p w:rsidR="00D32794" w:rsidRDefault="00D32794" w:rsidP="00C229A2">
      <w:pPr>
        <w:spacing w:after="0" w:line="360" w:lineRule="auto"/>
        <w:jc w:val="both"/>
        <w:rPr>
          <w:rFonts w:ascii="Times New Roman" w:hAnsi="Times New Roman" w:cs="Times New Roman"/>
          <w:sz w:val="24"/>
          <w:szCs w:val="24"/>
        </w:rPr>
      </w:pPr>
    </w:p>
    <w:p w:rsidR="00613693" w:rsidRDefault="00D32794" w:rsidP="00C229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the </w:t>
      </w:r>
      <w:r w:rsidR="0098389A">
        <w:rPr>
          <w:rFonts w:ascii="Times New Roman" w:hAnsi="Times New Roman" w:cs="Times New Roman"/>
          <w:sz w:val="24"/>
          <w:szCs w:val="24"/>
        </w:rPr>
        <w:t xml:space="preserve">risk faced by even an ‘average’ BEE, arising from the particular year chosen by the AER to adopt the new regime, </w:t>
      </w:r>
      <w:r>
        <w:rPr>
          <w:rFonts w:ascii="Times New Roman" w:hAnsi="Times New Roman" w:cs="Times New Roman"/>
          <w:sz w:val="24"/>
          <w:szCs w:val="24"/>
        </w:rPr>
        <w:t xml:space="preserve">the NPV </w:t>
      </w:r>
      <w:r w:rsidR="00BF64C3">
        <w:rPr>
          <w:rFonts w:ascii="Times New Roman" w:hAnsi="Times New Roman" w:cs="Times New Roman"/>
          <w:sz w:val="24"/>
          <w:szCs w:val="24"/>
        </w:rPr>
        <w:t xml:space="preserve">arising from a policy of immediately adopting the </w:t>
      </w:r>
      <w:r>
        <w:rPr>
          <w:rFonts w:ascii="Times New Roman" w:hAnsi="Times New Roman" w:cs="Times New Roman"/>
          <w:sz w:val="24"/>
          <w:szCs w:val="24"/>
        </w:rPr>
        <w:t>new regime would also seem to be positive.  This is apparent from the last column of Table 1, in which the average outcome (over all possible dates for a regime change) is 1.6% of debt level.  Thus, if a regulatory change were equally likely in all such years, the expected impact would also be 1.6%</w:t>
      </w:r>
      <w:r w:rsidR="00253020">
        <w:rPr>
          <w:rFonts w:ascii="Times New Roman" w:hAnsi="Times New Roman" w:cs="Times New Roman"/>
          <w:sz w:val="24"/>
          <w:szCs w:val="24"/>
        </w:rPr>
        <w:t>.  This woul</w:t>
      </w:r>
      <w:r w:rsidR="00613693">
        <w:rPr>
          <w:rFonts w:ascii="Times New Roman" w:hAnsi="Times New Roman" w:cs="Times New Roman"/>
          <w:sz w:val="24"/>
          <w:szCs w:val="24"/>
        </w:rPr>
        <w:t>d violate the NPV = 0 principle.</w:t>
      </w:r>
    </w:p>
    <w:p w:rsidR="00613693" w:rsidRDefault="00613693" w:rsidP="00C229A2">
      <w:pPr>
        <w:spacing w:after="0" w:line="360" w:lineRule="auto"/>
        <w:jc w:val="both"/>
        <w:rPr>
          <w:rFonts w:ascii="Times New Roman" w:hAnsi="Times New Roman" w:cs="Times New Roman"/>
          <w:sz w:val="24"/>
          <w:szCs w:val="24"/>
        </w:rPr>
      </w:pPr>
    </w:p>
    <w:p w:rsidR="00613693" w:rsidRDefault="00253020" w:rsidP="0061369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By contrast, as discussed in Lally (2014</w:t>
      </w:r>
      <w:r w:rsidR="004F1913">
        <w:rPr>
          <w:rFonts w:ascii="Times New Roman" w:hAnsi="Times New Roman" w:cs="Times New Roman"/>
          <w:sz w:val="24"/>
          <w:szCs w:val="24"/>
        </w:rPr>
        <w:t>a</w:t>
      </w:r>
      <w:r>
        <w:rPr>
          <w:rFonts w:ascii="Times New Roman" w:hAnsi="Times New Roman" w:cs="Times New Roman"/>
          <w:sz w:val="24"/>
          <w:szCs w:val="24"/>
        </w:rPr>
        <w:t xml:space="preserve">, section 3.2), the AER’s proposed transitional regime largely </w:t>
      </w:r>
      <w:r w:rsidR="00FE0645">
        <w:rPr>
          <w:rFonts w:ascii="Times New Roman" w:hAnsi="Times New Roman" w:cs="Times New Roman"/>
          <w:sz w:val="24"/>
          <w:szCs w:val="24"/>
        </w:rPr>
        <w:t xml:space="preserve">neutralizes this </w:t>
      </w:r>
      <w:r w:rsidR="00EF0A60">
        <w:rPr>
          <w:rFonts w:ascii="Times New Roman" w:hAnsi="Times New Roman" w:cs="Times New Roman"/>
          <w:sz w:val="24"/>
          <w:szCs w:val="24"/>
        </w:rPr>
        <w:t xml:space="preserve">one-off </w:t>
      </w:r>
      <w:r w:rsidR="00FE0645">
        <w:rPr>
          <w:rFonts w:ascii="Times New Roman" w:hAnsi="Times New Roman" w:cs="Times New Roman"/>
          <w:sz w:val="24"/>
          <w:szCs w:val="24"/>
        </w:rPr>
        <w:t xml:space="preserve">impact on </w:t>
      </w:r>
      <w:r>
        <w:rPr>
          <w:rFonts w:ascii="Times New Roman" w:hAnsi="Times New Roman" w:cs="Times New Roman"/>
          <w:sz w:val="24"/>
          <w:szCs w:val="24"/>
        </w:rPr>
        <w:t xml:space="preserve">the average BEE (with averaging over regulatory reset dates).  In addition, it also produces results for BEE with different regulatory reset dates that are almost identical in present value terms to those that would have been attained under the previous </w:t>
      </w:r>
      <w:r w:rsidR="008314DF">
        <w:rPr>
          <w:rFonts w:ascii="Times New Roman" w:hAnsi="Times New Roman" w:cs="Times New Roman"/>
          <w:sz w:val="24"/>
          <w:szCs w:val="24"/>
        </w:rPr>
        <w:t xml:space="preserve">regime.  </w:t>
      </w:r>
      <w:r w:rsidR="00613693">
        <w:rPr>
          <w:rFonts w:ascii="Times New Roman" w:hAnsi="Times New Roman" w:cs="Times New Roman"/>
          <w:sz w:val="24"/>
          <w:szCs w:val="24"/>
        </w:rPr>
        <w:t xml:space="preserve">In accordance with the policy recommended in </w:t>
      </w:r>
      <w:r w:rsidR="001F3998">
        <w:rPr>
          <w:rFonts w:ascii="Times New Roman" w:hAnsi="Times New Roman" w:cs="Times New Roman"/>
          <w:sz w:val="24"/>
          <w:szCs w:val="24"/>
        </w:rPr>
        <w:t xml:space="preserve">section 8.3, </w:t>
      </w:r>
      <w:r w:rsidR="00613693">
        <w:rPr>
          <w:rFonts w:ascii="Times New Roman" w:hAnsi="Times New Roman" w:cs="Times New Roman"/>
          <w:sz w:val="24"/>
          <w:szCs w:val="24"/>
        </w:rPr>
        <w:t xml:space="preserve">I therefore favour the AER’s proposed transitional regime. </w:t>
      </w:r>
    </w:p>
    <w:p w:rsidR="00ED19A3" w:rsidRDefault="00ED19A3" w:rsidP="00613693">
      <w:pPr>
        <w:pStyle w:val="ListParagraph"/>
        <w:spacing w:after="0" w:line="360" w:lineRule="auto"/>
        <w:ind w:left="0"/>
        <w:jc w:val="both"/>
        <w:rPr>
          <w:rFonts w:ascii="Times New Roman" w:hAnsi="Times New Roman" w:cs="Times New Roman"/>
          <w:sz w:val="24"/>
          <w:szCs w:val="24"/>
        </w:rPr>
      </w:pPr>
    </w:p>
    <w:p w:rsidR="00ED19A3" w:rsidRPr="00166062" w:rsidRDefault="00ED19A3" w:rsidP="00613693">
      <w:pPr>
        <w:pStyle w:val="ListParagraph"/>
        <w:spacing w:after="0" w:line="360" w:lineRule="auto"/>
        <w:ind w:left="0"/>
        <w:jc w:val="both"/>
        <w:rPr>
          <w:rFonts w:ascii="Times New Roman" w:hAnsi="Times New Roman" w:cs="Times New Roman"/>
          <w:sz w:val="24"/>
          <w:szCs w:val="24"/>
        </w:rPr>
      </w:pPr>
      <w:r w:rsidRPr="00166062">
        <w:rPr>
          <w:rFonts w:ascii="Times New Roman" w:hAnsi="Times New Roman" w:cs="Times New Roman"/>
          <w:sz w:val="24"/>
          <w:szCs w:val="24"/>
        </w:rPr>
        <w:t>An equivalent way of viewing this matter arises from the fact that immediately switching to a trailing average regime implies that the DRP results for some years will be doubled counted, once in the course of applying the on-the-day regime and again in apply</w:t>
      </w:r>
      <w:r w:rsidR="00BE0C24" w:rsidRPr="00166062">
        <w:rPr>
          <w:rFonts w:ascii="Times New Roman" w:hAnsi="Times New Roman" w:cs="Times New Roman"/>
          <w:sz w:val="24"/>
          <w:szCs w:val="24"/>
        </w:rPr>
        <w:t xml:space="preserve">ing the trailing average regime.  </w:t>
      </w:r>
      <w:r w:rsidR="003E0365" w:rsidRPr="00166062">
        <w:rPr>
          <w:rFonts w:ascii="Times New Roman" w:hAnsi="Times New Roman" w:cs="Times New Roman"/>
          <w:sz w:val="24"/>
          <w:szCs w:val="24"/>
        </w:rPr>
        <w:t xml:space="preserve">Furthermore, if the regime shift occurs in 2014, this double counting will be particularly beneficial to the BEE because it will lead to double counting the high DRP years.  </w:t>
      </w:r>
      <w:r w:rsidR="00BE0C24" w:rsidRPr="00166062">
        <w:rPr>
          <w:rFonts w:ascii="Times New Roman" w:hAnsi="Times New Roman" w:cs="Times New Roman"/>
          <w:sz w:val="24"/>
          <w:szCs w:val="24"/>
        </w:rPr>
        <w:t xml:space="preserve">For example, suppose the reset dates </w:t>
      </w:r>
      <w:r w:rsidR="003E0365" w:rsidRPr="00166062">
        <w:rPr>
          <w:rFonts w:ascii="Times New Roman" w:hAnsi="Times New Roman" w:cs="Times New Roman"/>
          <w:sz w:val="24"/>
          <w:szCs w:val="24"/>
        </w:rPr>
        <w:t xml:space="preserve">for the BEE </w:t>
      </w:r>
      <w:r w:rsidR="00BE0C24" w:rsidRPr="00166062">
        <w:rPr>
          <w:rFonts w:ascii="Times New Roman" w:hAnsi="Times New Roman" w:cs="Times New Roman"/>
          <w:sz w:val="24"/>
          <w:szCs w:val="24"/>
        </w:rPr>
        <w:t xml:space="preserve">are 2008, 2013, 2018, etc.  Under the on-the-day regime, </w:t>
      </w:r>
      <w:r w:rsidR="003E0365" w:rsidRPr="00166062">
        <w:rPr>
          <w:rFonts w:ascii="Times New Roman" w:hAnsi="Times New Roman" w:cs="Times New Roman"/>
          <w:sz w:val="24"/>
          <w:szCs w:val="24"/>
        </w:rPr>
        <w:t xml:space="preserve">the BEE would have received DRP allowances of 3.2% in 2008 and 3.0% in 2013, followed by 1.3% in 2018 had the regime change not occurred in 2014 (see Table 1, first two columns).  However, as a result of the regime change in 2014, which would take effect for this BEE in 2018, it would receive a DRP allowance at that point of 2.4% in accordance with the trailing average rather than 1.3% in accordance with the previous regime.  Thus it receives the benefit of the high DRP years not only during them under the on-the-day regime but </w:t>
      </w:r>
      <w:r w:rsidR="00B53820" w:rsidRPr="00166062">
        <w:rPr>
          <w:rFonts w:ascii="Times New Roman" w:hAnsi="Times New Roman" w:cs="Times New Roman"/>
          <w:sz w:val="24"/>
          <w:szCs w:val="24"/>
        </w:rPr>
        <w:t xml:space="preserve">once </w:t>
      </w:r>
      <w:r w:rsidR="003E0365" w:rsidRPr="00166062">
        <w:rPr>
          <w:rFonts w:ascii="Times New Roman" w:hAnsi="Times New Roman" w:cs="Times New Roman"/>
          <w:sz w:val="24"/>
          <w:szCs w:val="24"/>
        </w:rPr>
        <w:t xml:space="preserve">again </w:t>
      </w:r>
      <w:r w:rsidR="00B53820" w:rsidRPr="00166062">
        <w:rPr>
          <w:rFonts w:ascii="Times New Roman" w:hAnsi="Times New Roman" w:cs="Times New Roman"/>
          <w:sz w:val="24"/>
          <w:szCs w:val="24"/>
        </w:rPr>
        <w:t xml:space="preserve">when the </w:t>
      </w:r>
      <w:r w:rsidR="003E0365" w:rsidRPr="00166062">
        <w:rPr>
          <w:rFonts w:ascii="Times New Roman" w:hAnsi="Times New Roman" w:cs="Times New Roman"/>
          <w:sz w:val="24"/>
          <w:szCs w:val="24"/>
        </w:rPr>
        <w:t>regime shift occurs.</w:t>
      </w:r>
    </w:p>
    <w:p w:rsidR="00061014" w:rsidRDefault="00061014" w:rsidP="00C229A2">
      <w:pPr>
        <w:spacing w:after="0" w:line="360" w:lineRule="auto"/>
        <w:jc w:val="both"/>
        <w:rPr>
          <w:rFonts w:ascii="Times New Roman" w:hAnsi="Times New Roman" w:cs="Times New Roman"/>
          <w:sz w:val="24"/>
          <w:szCs w:val="24"/>
        </w:rPr>
      </w:pPr>
    </w:p>
    <w:p w:rsidR="00253020" w:rsidRDefault="00CB0749" w:rsidP="0061369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In summary, under the previous on-the-day regime, DRP shocks could give rise to substantial differences between the allowed DRP and that incurred and the accumulated effects could be substantial for many years.  </w:t>
      </w:r>
      <w:r w:rsidR="001D2AF0">
        <w:rPr>
          <w:rFonts w:ascii="Times New Roman" w:hAnsi="Times New Roman" w:cs="Times New Roman"/>
          <w:sz w:val="24"/>
          <w:szCs w:val="24"/>
        </w:rPr>
        <w:t xml:space="preserve">Averaged over different regulatory </w:t>
      </w:r>
      <w:r w:rsidR="00914B3D">
        <w:rPr>
          <w:rFonts w:ascii="Times New Roman" w:hAnsi="Times New Roman" w:cs="Times New Roman"/>
          <w:sz w:val="24"/>
          <w:szCs w:val="24"/>
        </w:rPr>
        <w:t xml:space="preserve">reset </w:t>
      </w:r>
      <w:r w:rsidR="001D2AF0">
        <w:rPr>
          <w:rFonts w:ascii="Times New Roman" w:hAnsi="Times New Roman" w:cs="Times New Roman"/>
          <w:sz w:val="24"/>
          <w:szCs w:val="24"/>
        </w:rPr>
        <w:t xml:space="preserve">dates, </w:t>
      </w:r>
      <w:r>
        <w:rPr>
          <w:rFonts w:ascii="Times New Roman" w:hAnsi="Times New Roman" w:cs="Times New Roman"/>
          <w:sz w:val="24"/>
          <w:szCs w:val="24"/>
        </w:rPr>
        <w:t>these accumulated differences would be initially negative, then positive, and eventually tail away to zero</w:t>
      </w:r>
      <w:r w:rsidR="00EF0A60">
        <w:rPr>
          <w:rFonts w:ascii="Times New Roman" w:hAnsi="Times New Roman" w:cs="Times New Roman"/>
          <w:sz w:val="24"/>
          <w:szCs w:val="24"/>
        </w:rPr>
        <w:t xml:space="preserve"> providing that the previous regime was maintained until these accumulated effects dissipated</w:t>
      </w:r>
      <w:r>
        <w:rPr>
          <w:rFonts w:ascii="Times New Roman" w:hAnsi="Times New Roman" w:cs="Times New Roman"/>
          <w:sz w:val="24"/>
          <w:szCs w:val="24"/>
        </w:rPr>
        <w:t xml:space="preserve">.  Immediate adoption of the new regime at a time when the accumulated effect was positive </w:t>
      </w:r>
      <w:r w:rsidR="009700C8">
        <w:rPr>
          <w:rFonts w:ascii="Times New Roman" w:hAnsi="Times New Roman" w:cs="Times New Roman"/>
          <w:sz w:val="24"/>
          <w:szCs w:val="24"/>
        </w:rPr>
        <w:t xml:space="preserve">or negative </w:t>
      </w:r>
      <w:r>
        <w:rPr>
          <w:rFonts w:ascii="Times New Roman" w:hAnsi="Times New Roman" w:cs="Times New Roman"/>
          <w:sz w:val="24"/>
          <w:szCs w:val="24"/>
        </w:rPr>
        <w:t xml:space="preserve">would prevent these accumulated gains </w:t>
      </w:r>
      <w:r w:rsidR="009700C8">
        <w:rPr>
          <w:rFonts w:ascii="Times New Roman" w:hAnsi="Times New Roman" w:cs="Times New Roman"/>
          <w:sz w:val="24"/>
          <w:szCs w:val="24"/>
        </w:rPr>
        <w:t xml:space="preserve">or losses </w:t>
      </w:r>
      <w:r>
        <w:rPr>
          <w:rFonts w:ascii="Times New Roman" w:hAnsi="Times New Roman" w:cs="Times New Roman"/>
          <w:sz w:val="24"/>
          <w:szCs w:val="24"/>
        </w:rPr>
        <w:t xml:space="preserve">from being gradually eroded away and they would instead be retained by the </w:t>
      </w:r>
      <w:r w:rsidR="001D2AF0">
        <w:rPr>
          <w:rFonts w:ascii="Times New Roman" w:hAnsi="Times New Roman" w:cs="Times New Roman"/>
          <w:sz w:val="24"/>
          <w:szCs w:val="24"/>
        </w:rPr>
        <w:t>BEE</w:t>
      </w:r>
      <w:r>
        <w:rPr>
          <w:rFonts w:ascii="Times New Roman" w:hAnsi="Times New Roman" w:cs="Times New Roman"/>
          <w:sz w:val="24"/>
          <w:szCs w:val="24"/>
        </w:rPr>
        <w:t xml:space="preserve">; this would be a </w:t>
      </w:r>
      <w:r w:rsidRPr="00B20D1B">
        <w:rPr>
          <w:rFonts w:ascii="Times New Roman" w:hAnsi="Times New Roman" w:cs="Times New Roman"/>
          <w:sz w:val="24"/>
          <w:szCs w:val="24"/>
        </w:rPr>
        <w:t>‘windfall’</w:t>
      </w:r>
      <w:r>
        <w:rPr>
          <w:rFonts w:ascii="Times New Roman" w:hAnsi="Times New Roman" w:cs="Times New Roman"/>
          <w:sz w:val="24"/>
          <w:szCs w:val="24"/>
        </w:rPr>
        <w:t xml:space="preserve"> benefit </w:t>
      </w:r>
      <w:r w:rsidR="009700C8">
        <w:rPr>
          <w:rFonts w:ascii="Times New Roman" w:hAnsi="Times New Roman" w:cs="Times New Roman"/>
          <w:sz w:val="24"/>
          <w:szCs w:val="24"/>
        </w:rPr>
        <w:t xml:space="preserve">or loss to the investors in </w:t>
      </w:r>
      <w:r>
        <w:rPr>
          <w:rFonts w:ascii="Times New Roman" w:hAnsi="Times New Roman" w:cs="Times New Roman"/>
          <w:sz w:val="24"/>
          <w:szCs w:val="24"/>
        </w:rPr>
        <w:t xml:space="preserve">the </w:t>
      </w:r>
      <w:r w:rsidR="009700C8">
        <w:rPr>
          <w:rFonts w:ascii="Times New Roman" w:hAnsi="Times New Roman" w:cs="Times New Roman"/>
          <w:sz w:val="24"/>
          <w:szCs w:val="24"/>
        </w:rPr>
        <w:t>BEE</w:t>
      </w:r>
      <w:r>
        <w:rPr>
          <w:rFonts w:ascii="Times New Roman" w:hAnsi="Times New Roman" w:cs="Times New Roman"/>
          <w:sz w:val="24"/>
          <w:szCs w:val="24"/>
        </w:rPr>
        <w:t xml:space="preserve">.  </w:t>
      </w:r>
      <w:r w:rsidR="009700C8">
        <w:rPr>
          <w:rFonts w:ascii="Times New Roman" w:hAnsi="Times New Roman" w:cs="Times New Roman"/>
          <w:sz w:val="24"/>
          <w:szCs w:val="24"/>
        </w:rPr>
        <w:t xml:space="preserve">In this particular case, the new regime </w:t>
      </w:r>
      <w:r w:rsidR="001F3998">
        <w:rPr>
          <w:rFonts w:ascii="Times New Roman" w:hAnsi="Times New Roman" w:cs="Times New Roman"/>
          <w:sz w:val="24"/>
          <w:szCs w:val="24"/>
        </w:rPr>
        <w:t xml:space="preserve">was </w:t>
      </w:r>
      <w:r w:rsidR="009700C8">
        <w:rPr>
          <w:rFonts w:ascii="Times New Roman" w:hAnsi="Times New Roman" w:cs="Times New Roman"/>
          <w:sz w:val="24"/>
          <w:szCs w:val="24"/>
        </w:rPr>
        <w:t xml:space="preserve">adopted at a time when </w:t>
      </w:r>
      <w:r w:rsidR="00FE0645">
        <w:rPr>
          <w:rFonts w:ascii="Times New Roman" w:hAnsi="Times New Roman" w:cs="Times New Roman"/>
          <w:sz w:val="24"/>
          <w:szCs w:val="24"/>
        </w:rPr>
        <w:t xml:space="preserve">by chance </w:t>
      </w:r>
      <w:r w:rsidR="009700C8">
        <w:rPr>
          <w:rFonts w:ascii="Times New Roman" w:hAnsi="Times New Roman" w:cs="Times New Roman"/>
          <w:sz w:val="24"/>
          <w:szCs w:val="24"/>
        </w:rPr>
        <w:t xml:space="preserve">these </w:t>
      </w:r>
      <w:r w:rsidR="00EF0A60">
        <w:rPr>
          <w:rFonts w:ascii="Times New Roman" w:hAnsi="Times New Roman" w:cs="Times New Roman"/>
          <w:sz w:val="24"/>
          <w:szCs w:val="24"/>
        </w:rPr>
        <w:t xml:space="preserve">one-off </w:t>
      </w:r>
      <w:r w:rsidR="009700C8">
        <w:rPr>
          <w:rFonts w:ascii="Times New Roman" w:hAnsi="Times New Roman" w:cs="Times New Roman"/>
          <w:sz w:val="24"/>
          <w:szCs w:val="24"/>
        </w:rPr>
        <w:t xml:space="preserve">effects </w:t>
      </w:r>
      <w:r w:rsidR="001F3998">
        <w:rPr>
          <w:rFonts w:ascii="Times New Roman" w:hAnsi="Times New Roman" w:cs="Times New Roman"/>
          <w:sz w:val="24"/>
          <w:szCs w:val="24"/>
        </w:rPr>
        <w:t xml:space="preserve">were </w:t>
      </w:r>
      <w:r w:rsidR="009700C8">
        <w:rPr>
          <w:rFonts w:ascii="Times New Roman" w:hAnsi="Times New Roman" w:cs="Times New Roman"/>
          <w:sz w:val="24"/>
          <w:szCs w:val="24"/>
        </w:rPr>
        <w:t xml:space="preserve">at their most extreme and </w:t>
      </w:r>
      <w:r w:rsidR="00FE0645">
        <w:rPr>
          <w:rFonts w:ascii="Times New Roman" w:hAnsi="Times New Roman" w:cs="Times New Roman"/>
          <w:sz w:val="24"/>
          <w:szCs w:val="24"/>
        </w:rPr>
        <w:t xml:space="preserve">involved a </w:t>
      </w:r>
      <w:r w:rsidR="009700C8">
        <w:rPr>
          <w:rFonts w:ascii="Times New Roman" w:hAnsi="Times New Roman" w:cs="Times New Roman"/>
          <w:sz w:val="24"/>
          <w:szCs w:val="24"/>
        </w:rPr>
        <w:t>$2.3b windfall benefit to the investors in the BEE.</w:t>
      </w:r>
      <w:r w:rsidR="00157491">
        <w:rPr>
          <w:rFonts w:ascii="Times New Roman" w:hAnsi="Times New Roman" w:cs="Times New Roman"/>
          <w:sz w:val="24"/>
          <w:szCs w:val="24"/>
        </w:rPr>
        <w:t xml:space="preserve">  </w:t>
      </w:r>
      <w:r w:rsidR="00157491" w:rsidRPr="00A85EBC">
        <w:rPr>
          <w:rFonts w:ascii="Times New Roman" w:hAnsi="Times New Roman" w:cs="Times New Roman"/>
          <w:sz w:val="24"/>
          <w:szCs w:val="24"/>
        </w:rPr>
        <w:t>Equivalently expressed, adopting the new regime at this time leads to double counting of the DRP results from the high DRP years (2008-2015) and therefore benefiting the average BEE.</w:t>
      </w:r>
      <w:r w:rsidR="009700C8">
        <w:rPr>
          <w:rFonts w:ascii="Times New Roman" w:hAnsi="Times New Roman" w:cs="Times New Roman"/>
          <w:sz w:val="24"/>
          <w:szCs w:val="24"/>
        </w:rPr>
        <w:t xml:space="preserve">  </w:t>
      </w:r>
      <w:r w:rsidR="00613693">
        <w:rPr>
          <w:rFonts w:ascii="Times New Roman" w:hAnsi="Times New Roman" w:cs="Times New Roman"/>
          <w:sz w:val="24"/>
          <w:szCs w:val="24"/>
        </w:rPr>
        <w:t xml:space="preserve">By contrast, the AER’s proposed transitional regime largely </w:t>
      </w:r>
      <w:r w:rsidR="00A75142">
        <w:rPr>
          <w:rFonts w:ascii="Times New Roman" w:hAnsi="Times New Roman" w:cs="Times New Roman"/>
          <w:sz w:val="24"/>
          <w:szCs w:val="24"/>
        </w:rPr>
        <w:t xml:space="preserve">neutralizes this outcome </w:t>
      </w:r>
      <w:r w:rsidR="00613693">
        <w:rPr>
          <w:rFonts w:ascii="Times New Roman" w:hAnsi="Times New Roman" w:cs="Times New Roman"/>
          <w:sz w:val="24"/>
          <w:szCs w:val="24"/>
        </w:rPr>
        <w:t xml:space="preserve">for the average BEE (with averaging over regulatory reset dates).  In addition, it also produces results for BEE with different regulatory reset dates that are almost identical in present value terms to those that would have been attained under the previous regime.  </w:t>
      </w:r>
      <w:r w:rsidR="003E47B6">
        <w:rPr>
          <w:rFonts w:ascii="Times New Roman" w:hAnsi="Times New Roman" w:cs="Times New Roman"/>
          <w:sz w:val="24"/>
          <w:szCs w:val="24"/>
        </w:rPr>
        <w:t xml:space="preserve">Since the $2.3b effect is large and the AER’s proposed transitional regime largely neutralizes it, </w:t>
      </w:r>
      <w:r w:rsidR="00613693">
        <w:rPr>
          <w:rFonts w:ascii="Times New Roman" w:hAnsi="Times New Roman" w:cs="Times New Roman"/>
          <w:sz w:val="24"/>
          <w:szCs w:val="24"/>
        </w:rPr>
        <w:t xml:space="preserve">I therefore favour the AER’s proposed transitional regime. </w:t>
      </w:r>
    </w:p>
    <w:p w:rsidR="00253020" w:rsidRDefault="00253020" w:rsidP="00C229A2">
      <w:pPr>
        <w:spacing w:after="0" w:line="360" w:lineRule="auto"/>
        <w:jc w:val="both"/>
        <w:rPr>
          <w:rFonts w:ascii="Times New Roman" w:hAnsi="Times New Roman" w:cs="Times New Roman"/>
          <w:sz w:val="24"/>
          <w:szCs w:val="24"/>
        </w:rPr>
      </w:pPr>
    </w:p>
    <w:p w:rsidR="00E71439" w:rsidRPr="006514E6" w:rsidRDefault="006514E6" w:rsidP="00C229A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8.6 Some Analogies</w:t>
      </w:r>
    </w:p>
    <w:p w:rsidR="00021511" w:rsidRDefault="00EC1A9F" w:rsidP="00C229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formulating an appropriate transitional regime for the DRP, the fundamental issue here is that </w:t>
      </w:r>
      <w:r w:rsidR="0084456A">
        <w:rPr>
          <w:rFonts w:ascii="Times New Roman" w:hAnsi="Times New Roman" w:cs="Times New Roman"/>
          <w:sz w:val="24"/>
          <w:szCs w:val="24"/>
        </w:rPr>
        <w:t>there is a natural squaring up process under the old regime</w:t>
      </w:r>
      <w:r w:rsidR="00A75142">
        <w:rPr>
          <w:rFonts w:ascii="Times New Roman" w:hAnsi="Times New Roman" w:cs="Times New Roman"/>
          <w:sz w:val="24"/>
          <w:szCs w:val="24"/>
        </w:rPr>
        <w:t xml:space="preserve">, </w:t>
      </w:r>
      <w:r w:rsidR="0084456A">
        <w:rPr>
          <w:rFonts w:ascii="Times New Roman" w:hAnsi="Times New Roman" w:cs="Times New Roman"/>
          <w:sz w:val="24"/>
          <w:szCs w:val="24"/>
        </w:rPr>
        <w:t>immediate adoption of the new regime would interrupt that process</w:t>
      </w:r>
      <w:r w:rsidR="001F3998">
        <w:rPr>
          <w:rFonts w:ascii="Times New Roman" w:hAnsi="Times New Roman" w:cs="Times New Roman"/>
          <w:sz w:val="24"/>
          <w:szCs w:val="24"/>
        </w:rPr>
        <w:t>,</w:t>
      </w:r>
      <w:r>
        <w:rPr>
          <w:rFonts w:ascii="Times New Roman" w:hAnsi="Times New Roman" w:cs="Times New Roman"/>
          <w:sz w:val="24"/>
          <w:szCs w:val="24"/>
        </w:rPr>
        <w:t xml:space="preserve"> </w:t>
      </w:r>
      <w:r w:rsidR="00A75142">
        <w:rPr>
          <w:rFonts w:ascii="Times New Roman" w:hAnsi="Times New Roman" w:cs="Times New Roman"/>
          <w:sz w:val="24"/>
          <w:szCs w:val="24"/>
        </w:rPr>
        <w:t xml:space="preserve">the effect </w:t>
      </w:r>
      <w:r w:rsidR="00451670">
        <w:rPr>
          <w:rFonts w:ascii="Times New Roman" w:hAnsi="Times New Roman" w:cs="Times New Roman"/>
          <w:sz w:val="24"/>
          <w:szCs w:val="24"/>
        </w:rPr>
        <w:t xml:space="preserve">on the BEE could be a substantial windfall gain or loss, and is a </w:t>
      </w:r>
      <w:r w:rsidR="00A75142">
        <w:rPr>
          <w:rFonts w:ascii="Times New Roman" w:hAnsi="Times New Roman" w:cs="Times New Roman"/>
          <w:sz w:val="24"/>
          <w:szCs w:val="24"/>
        </w:rPr>
        <w:t xml:space="preserve">substantial windfall gain </w:t>
      </w:r>
      <w:r w:rsidR="00451670">
        <w:rPr>
          <w:rFonts w:ascii="Times New Roman" w:hAnsi="Times New Roman" w:cs="Times New Roman"/>
          <w:sz w:val="24"/>
          <w:szCs w:val="24"/>
        </w:rPr>
        <w:t>in the present case</w:t>
      </w:r>
      <w:r w:rsidR="00A75142">
        <w:rPr>
          <w:rFonts w:ascii="Times New Roman" w:hAnsi="Times New Roman" w:cs="Times New Roman"/>
          <w:sz w:val="24"/>
          <w:szCs w:val="24"/>
        </w:rPr>
        <w:t xml:space="preserve">.  </w:t>
      </w:r>
      <w:r w:rsidR="006F367C">
        <w:rPr>
          <w:rFonts w:ascii="Times New Roman" w:hAnsi="Times New Roman" w:cs="Times New Roman"/>
          <w:sz w:val="24"/>
          <w:szCs w:val="24"/>
        </w:rPr>
        <w:t xml:space="preserve">More generally, </w:t>
      </w:r>
      <w:r w:rsidR="0084456A">
        <w:rPr>
          <w:rFonts w:ascii="Times New Roman" w:hAnsi="Times New Roman" w:cs="Times New Roman"/>
          <w:sz w:val="24"/>
          <w:szCs w:val="24"/>
        </w:rPr>
        <w:t>for any process with a natural squaring up feature over time, the adoption of a new regime s</w:t>
      </w:r>
      <w:r w:rsidR="00EF0A60">
        <w:rPr>
          <w:rFonts w:ascii="Times New Roman" w:hAnsi="Times New Roman" w:cs="Times New Roman"/>
          <w:sz w:val="24"/>
          <w:szCs w:val="24"/>
        </w:rPr>
        <w:t>hould take account of this feature</w:t>
      </w:r>
      <w:r w:rsidR="0084456A">
        <w:rPr>
          <w:rFonts w:ascii="Times New Roman" w:hAnsi="Times New Roman" w:cs="Times New Roman"/>
          <w:sz w:val="24"/>
          <w:szCs w:val="24"/>
        </w:rPr>
        <w:t xml:space="preserve">.  For example, suppose a </w:t>
      </w:r>
      <w:r w:rsidR="00D71BB1">
        <w:rPr>
          <w:rFonts w:ascii="Times New Roman" w:hAnsi="Times New Roman" w:cs="Times New Roman"/>
          <w:sz w:val="24"/>
          <w:szCs w:val="24"/>
        </w:rPr>
        <w:t xml:space="preserve">tax regime involves taxpayers making tax payments in advance of the determination of the tax liability, based upon </w:t>
      </w:r>
      <w:r w:rsidR="005D08A4">
        <w:rPr>
          <w:rFonts w:ascii="Times New Roman" w:hAnsi="Times New Roman" w:cs="Times New Roman"/>
          <w:sz w:val="24"/>
          <w:szCs w:val="24"/>
        </w:rPr>
        <w:t xml:space="preserve">a forecast of the tax </w:t>
      </w:r>
      <w:r w:rsidR="00D71BB1">
        <w:rPr>
          <w:rFonts w:ascii="Times New Roman" w:hAnsi="Times New Roman" w:cs="Times New Roman"/>
          <w:sz w:val="24"/>
          <w:szCs w:val="24"/>
        </w:rPr>
        <w:t xml:space="preserve">liability.  Under such a regime, the payments made over </w:t>
      </w:r>
      <w:r w:rsidR="00834D8A">
        <w:rPr>
          <w:rFonts w:ascii="Times New Roman" w:hAnsi="Times New Roman" w:cs="Times New Roman"/>
          <w:sz w:val="24"/>
          <w:szCs w:val="24"/>
        </w:rPr>
        <w:t xml:space="preserve">any </w:t>
      </w:r>
      <w:r w:rsidR="00D71BB1">
        <w:rPr>
          <w:rFonts w:ascii="Times New Roman" w:hAnsi="Times New Roman" w:cs="Times New Roman"/>
          <w:sz w:val="24"/>
          <w:szCs w:val="24"/>
        </w:rPr>
        <w:t xml:space="preserve">period may be more or less than the liability, but this accumulated gain or loss will eventually be offset by a final payment for the period in question, i.e., mismatches arise but they are eventually </w:t>
      </w:r>
      <w:r w:rsidR="009C0190">
        <w:rPr>
          <w:rFonts w:ascii="Times New Roman" w:hAnsi="Times New Roman" w:cs="Times New Roman"/>
          <w:sz w:val="24"/>
          <w:szCs w:val="24"/>
        </w:rPr>
        <w:t>squared up</w:t>
      </w:r>
      <w:r w:rsidR="00D71BB1">
        <w:rPr>
          <w:rFonts w:ascii="Times New Roman" w:hAnsi="Times New Roman" w:cs="Times New Roman"/>
          <w:sz w:val="24"/>
          <w:szCs w:val="24"/>
        </w:rPr>
        <w:t xml:space="preserve">.  Suppose further that the tax regime is changed </w:t>
      </w:r>
      <w:r w:rsidR="009C0190">
        <w:rPr>
          <w:rFonts w:ascii="Times New Roman" w:hAnsi="Times New Roman" w:cs="Times New Roman"/>
          <w:sz w:val="24"/>
          <w:szCs w:val="24"/>
        </w:rPr>
        <w:t xml:space="preserve">so </w:t>
      </w:r>
      <w:r w:rsidR="00D71BB1">
        <w:rPr>
          <w:rFonts w:ascii="Times New Roman" w:hAnsi="Times New Roman" w:cs="Times New Roman"/>
          <w:sz w:val="24"/>
          <w:szCs w:val="24"/>
        </w:rPr>
        <w:t>that tax payments relating to a period are made at the end of the period</w:t>
      </w:r>
      <w:r w:rsidR="009C0190">
        <w:rPr>
          <w:rFonts w:ascii="Times New Roman" w:hAnsi="Times New Roman" w:cs="Times New Roman"/>
          <w:sz w:val="24"/>
          <w:szCs w:val="24"/>
        </w:rPr>
        <w:t>,</w:t>
      </w:r>
      <w:r w:rsidR="00D71BB1">
        <w:rPr>
          <w:rFonts w:ascii="Times New Roman" w:hAnsi="Times New Roman" w:cs="Times New Roman"/>
          <w:sz w:val="24"/>
          <w:szCs w:val="24"/>
        </w:rPr>
        <w:t xml:space="preserve"> when the liability can be determined.  </w:t>
      </w:r>
      <w:r w:rsidR="00834D8A">
        <w:rPr>
          <w:rFonts w:ascii="Times New Roman" w:hAnsi="Times New Roman" w:cs="Times New Roman"/>
          <w:sz w:val="24"/>
          <w:szCs w:val="24"/>
        </w:rPr>
        <w:t xml:space="preserve">Under the new </w:t>
      </w:r>
      <w:r w:rsidR="00D71BB1">
        <w:rPr>
          <w:rFonts w:ascii="Times New Roman" w:hAnsi="Times New Roman" w:cs="Times New Roman"/>
          <w:sz w:val="24"/>
          <w:szCs w:val="24"/>
        </w:rPr>
        <w:t xml:space="preserve">regime, there </w:t>
      </w:r>
      <w:r w:rsidR="009C0190">
        <w:rPr>
          <w:rFonts w:ascii="Times New Roman" w:hAnsi="Times New Roman" w:cs="Times New Roman"/>
          <w:sz w:val="24"/>
          <w:szCs w:val="24"/>
        </w:rPr>
        <w:t xml:space="preserve">will be no </w:t>
      </w:r>
      <w:r w:rsidR="00D71BB1">
        <w:rPr>
          <w:rFonts w:ascii="Times New Roman" w:hAnsi="Times New Roman" w:cs="Times New Roman"/>
          <w:sz w:val="24"/>
          <w:szCs w:val="24"/>
        </w:rPr>
        <w:t xml:space="preserve">mismatches.  However, at the point at which the new regime comes into effect, there may be a residual tax liability </w:t>
      </w:r>
      <w:r w:rsidR="009C0190">
        <w:rPr>
          <w:rFonts w:ascii="Times New Roman" w:hAnsi="Times New Roman" w:cs="Times New Roman"/>
          <w:sz w:val="24"/>
          <w:szCs w:val="24"/>
        </w:rPr>
        <w:t xml:space="preserve">arising </w:t>
      </w:r>
      <w:r w:rsidR="00D71BB1">
        <w:rPr>
          <w:rFonts w:ascii="Times New Roman" w:hAnsi="Times New Roman" w:cs="Times New Roman"/>
          <w:sz w:val="24"/>
          <w:szCs w:val="24"/>
        </w:rPr>
        <w:t xml:space="preserve">from the previous </w:t>
      </w:r>
      <w:r w:rsidR="00834D8A">
        <w:rPr>
          <w:rFonts w:ascii="Times New Roman" w:hAnsi="Times New Roman" w:cs="Times New Roman"/>
          <w:sz w:val="24"/>
          <w:szCs w:val="24"/>
        </w:rPr>
        <w:t xml:space="preserve">regime.  A </w:t>
      </w:r>
      <w:r w:rsidR="00834D8A">
        <w:rPr>
          <w:rFonts w:ascii="Times New Roman" w:hAnsi="Times New Roman" w:cs="Times New Roman"/>
          <w:sz w:val="24"/>
          <w:szCs w:val="24"/>
        </w:rPr>
        <w:lastRenderedPageBreak/>
        <w:t xml:space="preserve">sensible tax authority would not annul that residual liability </w:t>
      </w:r>
      <w:r w:rsidR="0058188C">
        <w:rPr>
          <w:rFonts w:ascii="Times New Roman" w:hAnsi="Times New Roman" w:cs="Times New Roman"/>
          <w:sz w:val="24"/>
          <w:szCs w:val="24"/>
        </w:rPr>
        <w:t xml:space="preserve">merely because the regime had changed.  </w:t>
      </w:r>
      <w:r w:rsidR="00CF1089">
        <w:rPr>
          <w:rFonts w:ascii="Times New Roman" w:hAnsi="Times New Roman" w:cs="Times New Roman"/>
          <w:sz w:val="24"/>
          <w:szCs w:val="24"/>
        </w:rPr>
        <w:t xml:space="preserve">Thus, </w:t>
      </w:r>
      <w:r w:rsidR="00E8521C">
        <w:rPr>
          <w:rFonts w:ascii="Times New Roman" w:hAnsi="Times New Roman" w:cs="Times New Roman"/>
          <w:sz w:val="24"/>
          <w:szCs w:val="24"/>
        </w:rPr>
        <w:t xml:space="preserve">when switching to a new regime, the outstanding consequences of the old regime that would otherwise have been dealt with under the old regime </w:t>
      </w:r>
      <w:r w:rsidR="00280FEA">
        <w:rPr>
          <w:rFonts w:ascii="Times New Roman" w:hAnsi="Times New Roman" w:cs="Times New Roman"/>
          <w:sz w:val="24"/>
          <w:szCs w:val="24"/>
        </w:rPr>
        <w:t xml:space="preserve">should </w:t>
      </w:r>
      <w:r w:rsidR="0058188C">
        <w:rPr>
          <w:rFonts w:ascii="Times New Roman" w:hAnsi="Times New Roman" w:cs="Times New Roman"/>
          <w:sz w:val="24"/>
          <w:szCs w:val="24"/>
        </w:rPr>
        <w:t xml:space="preserve">still be </w:t>
      </w:r>
      <w:r w:rsidR="00E8521C">
        <w:rPr>
          <w:rFonts w:ascii="Times New Roman" w:hAnsi="Times New Roman" w:cs="Times New Roman"/>
          <w:sz w:val="24"/>
          <w:szCs w:val="24"/>
        </w:rPr>
        <w:t>dealt with</w:t>
      </w:r>
      <w:r w:rsidR="0058188C">
        <w:rPr>
          <w:rFonts w:ascii="Times New Roman" w:hAnsi="Times New Roman" w:cs="Times New Roman"/>
          <w:sz w:val="24"/>
          <w:szCs w:val="24"/>
        </w:rPr>
        <w:t xml:space="preserve">, possibly </w:t>
      </w:r>
      <w:r w:rsidR="00E8521C">
        <w:rPr>
          <w:rFonts w:ascii="Times New Roman" w:hAnsi="Times New Roman" w:cs="Times New Roman"/>
          <w:sz w:val="24"/>
          <w:szCs w:val="24"/>
        </w:rPr>
        <w:t>through a transitional proces</w:t>
      </w:r>
      <w:r w:rsidR="0058188C">
        <w:rPr>
          <w:rFonts w:ascii="Times New Roman" w:hAnsi="Times New Roman" w:cs="Times New Roman"/>
          <w:sz w:val="24"/>
          <w:szCs w:val="24"/>
        </w:rPr>
        <w:t>s</w:t>
      </w:r>
      <w:r w:rsidR="009C0190">
        <w:rPr>
          <w:rFonts w:ascii="Times New Roman" w:hAnsi="Times New Roman" w:cs="Times New Roman"/>
          <w:sz w:val="24"/>
          <w:szCs w:val="24"/>
        </w:rPr>
        <w:t xml:space="preserve">.  </w:t>
      </w:r>
    </w:p>
    <w:p w:rsidR="0058188C" w:rsidRDefault="0058188C" w:rsidP="00C229A2">
      <w:pPr>
        <w:spacing w:after="0" w:line="360" w:lineRule="auto"/>
        <w:jc w:val="both"/>
        <w:rPr>
          <w:rFonts w:ascii="Times New Roman" w:hAnsi="Times New Roman" w:cs="Times New Roman"/>
          <w:sz w:val="24"/>
          <w:szCs w:val="24"/>
        </w:rPr>
      </w:pPr>
    </w:p>
    <w:p w:rsidR="00021511" w:rsidRDefault="0084456A" w:rsidP="00C229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further analogy is as follows.  </w:t>
      </w:r>
      <w:r w:rsidR="00A34C53">
        <w:rPr>
          <w:rFonts w:ascii="Times New Roman" w:hAnsi="Times New Roman" w:cs="Times New Roman"/>
          <w:sz w:val="24"/>
          <w:szCs w:val="24"/>
        </w:rPr>
        <w:t xml:space="preserve">Insurance </w:t>
      </w:r>
      <w:r w:rsidR="0058188C">
        <w:rPr>
          <w:rFonts w:ascii="Times New Roman" w:hAnsi="Times New Roman" w:cs="Times New Roman"/>
          <w:sz w:val="24"/>
          <w:szCs w:val="24"/>
        </w:rPr>
        <w:t xml:space="preserve">involves the payment of </w:t>
      </w:r>
      <w:r w:rsidR="00021511">
        <w:rPr>
          <w:rFonts w:ascii="Times New Roman" w:hAnsi="Times New Roman" w:cs="Times New Roman"/>
          <w:sz w:val="24"/>
          <w:szCs w:val="24"/>
        </w:rPr>
        <w:t xml:space="preserve">premiums </w:t>
      </w:r>
      <w:r w:rsidR="0058188C">
        <w:rPr>
          <w:rFonts w:ascii="Times New Roman" w:hAnsi="Times New Roman" w:cs="Times New Roman"/>
          <w:sz w:val="24"/>
          <w:szCs w:val="24"/>
        </w:rPr>
        <w:t>followed in some cases by a payout</w:t>
      </w:r>
      <w:r w:rsidR="00803BE7">
        <w:rPr>
          <w:rFonts w:ascii="Times New Roman" w:hAnsi="Times New Roman" w:cs="Times New Roman"/>
          <w:sz w:val="24"/>
          <w:szCs w:val="24"/>
        </w:rPr>
        <w:t xml:space="preserve">; so, the </w:t>
      </w:r>
      <w:r w:rsidR="00021511">
        <w:rPr>
          <w:rFonts w:ascii="Times New Roman" w:hAnsi="Times New Roman" w:cs="Times New Roman"/>
          <w:sz w:val="24"/>
          <w:szCs w:val="24"/>
        </w:rPr>
        <w:t xml:space="preserve">premium is paid first and the possible benefits arise later.  </w:t>
      </w:r>
      <w:r w:rsidR="0058188C">
        <w:rPr>
          <w:rFonts w:ascii="Times New Roman" w:hAnsi="Times New Roman" w:cs="Times New Roman"/>
          <w:sz w:val="24"/>
          <w:szCs w:val="24"/>
        </w:rPr>
        <w:t xml:space="preserve">Suppose a government entity was involved in such a business and the government decided to vacate that business.  Naturally, no new </w:t>
      </w:r>
      <w:r w:rsidR="00A34C53">
        <w:rPr>
          <w:rFonts w:ascii="Times New Roman" w:hAnsi="Times New Roman" w:cs="Times New Roman"/>
          <w:sz w:val="24"/>
          <w:szCs w:val="24"/>
        </w:rPr>
        <w:t xml:space="preserve">insurance </w:t>
      </w:r>
      <w:r w:rsidR="0058188C">
        <w:rPr>
          <w:rFonts w:ascii="Times New Roman" w:hAnsi="Times New Roman" w:cs="Times New Roman"/>
          <w:sz w:val="24"/>
          <w:szCs w:val="24"/>
        </w:rPr>
        <w:t>contracts would be issued.  However, it would be remarkable and inequitable if they also annulled the existing contracts</w:t>
      </w:r>
      <w:r w:rsidR="00451670">
        <w:rPr>
          <w:rFonts w:ascii="Times New Roman" w:hAnsi="Times New Roman" w:cs="Times New Roman"/>
          <w:sz w:val="24"/>
          <w:szCs w:val="24"/>
        </w:rPr>
        <w:t>,</w:t>
      </w:r>
      <w:r w:rsidR="0058188C">
        <w:rPr>
          <w:rFonts w:ascii="Times New Roman" w:hAnsi="Times New Roman" w:cs="Times New Roman"/>
          <w:sz w:val="24"/>
          <w:szCs w:val="24"/>
        </w:rPr>
        <w:t xml:space="preserve"> because they </w:t>
      </w:r>
      <w:r w:rsidR="00021511">
        <w:rPr>
          <w:rFonts w:ascii="Times New Roman" w:hAnsi="Times New Roman" w:cs="Times New Roman"/>
          <w:sz w:val="24"/>
          <w:szCs w:val="24"/>
        </w:rPr>
        <w:t xml:space="preserve">would leave those who had already paid the premiums without the potential benefits.  A more sensible approach would be to </w:t>
      </w:r>
      <w:r w:rsidR="0058188C">
        <w:rPr>
          <w:rFonts w:ascii="Times New Roman" w:hAnsi="Times New Roman" w:cs="Times New Roman"/>
          <w:sz w:val="24"/>
          <w:szCs w:val="24"/>
        </w:rPr>
        <w:t xml:space="preserve">let the existing contracts </w:t>
      </w:r>
      <w:r w:rsidR="00021511">
        <w:rPr>
          <w:rFonts w:ascii="Times New Roman" w:hAnsi="Times New Roman" w:cs="Times New Roman"/>
          <w:sz w:val="24"/>
          <w:szCs w:val="24"/>
        </w:rPr>
        <w:t xml:space="preserve">run their course.  This would be a transitional process, with the same merit as that for the </w:t>
      </w:r>
      <w:r w:rsidR="00A34C53">
        <w:rPr>
          <w:rFonts w:ascii="Times New Roman" w:hAnsi="Times New Roman" w:cs="Times New Roman"/>
          <w:sz w:val="24"/>
          <w:szCs w:val="24"/>
        </w:rPr>
        <w:t xml:space="preserve">AER’s proposed transitional process for the </w:t>
      </w:r>
      <w:r w:rsidR="00021511">
        <w:rPr>
          <w:rFonts w:ascii="Times New Roman" w:hAnsi="Times New Roman" w:cs="Times New Roman"/>
          <w:sz w:val="24"/>
          <w:szCs w:val="24"/>
        </w:rPr>
        <w:t>DR</w:t>
      </w:r>
      <w:r w:rsidR="0058188C">
        <w:rPr>
          <w:rFonts w:ascii="Times New Roman" w:hAnsi="Times New Roman" w:cs="Times New Roman"/>
          <w:sz w:val="24"/>
          <w:szCs w:val="24"/>
        </w:rPr>
        <w:t>P regime change.</w:t>
      </w:r>
    </w:p>
    <w:p w:rsidR="00C812C1" w:rsidRDefault="00C812C1" w:rsidP="00C229A2">
      <w:pPr>
        <w:spacing w:after="0" w:line="360" w:lineRule="auto"/>
        <w:jc w:val="both"/>
        <w:rPr>
          <w:rFonts w:ascii="Times New Roman" w:hAnsi="Times New Roman" w:cs="Times New Roman"/>
          <w:sz w:val="24"/>
          <w:szCs w:val="24"/>
        </w:rPr>
      </w:pPr>
    </w:p>
    <w:p w:rsidR="006514E6" w:rsidRPr="006514E6" w:rsidRDefault="006514E6" w:rsidP="00C229A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8.7 Contrary Arguments</w:t>
      </w:r>
    </w:p>
    <w:p w:rsidR="001B7FB0" w:rsidRPr="00A85EBC" w:rsidRDefault="00C812C1" w:rsidP="00C229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might be argued that </w:t>
      </w:r>
      <w:r w:rsidR="00451670">
        <w:rPr>
          <w:rFonts w:ascii="Times New Roman" w:hAnsi="Times New Roman" w:cs="Times New Roman"/>
          <w:sz w:val="24"/>
          <w:szCs w:val="24"/>
        </w:rPr>
        <w:t xml:space="preserve">a </w:t>
      </w:r>
      <w:r w:rsidR="001B7FB0">
        <w:rPr>
          <w:rFonts w:ascii="Times New Roman" w:hAnsi="Times New Roman" w:cs="Times New Roman"/>
          <w:sz w:val="24"/>
          <w:szCs w:val="24"/>
        </w:rPr>
        <w:t xml:space="preserve">regulatory process </w:t>
      </w:r>
      <w:r w:rsidR="005A0E0E">
        <w:rPr>
          <w:rFonts w:ascii="Times New Roman" w:hAnsi="Times New Roman" w:cs="Times New Roman"/>
          <w:sz w:val="24"/>
          <w:szCs w:val="24"/>
        </w:rPr>
        <w:t xml:space="preserve">involves setting an allowed cost of debt at each reset point in accordance with currently observable costs on various debt instruments (some of which may have been negotiated at some earlier point), this </w:t>
      </w:r>
      <w:r w:rsidR="001B7FB0">
        <w:rPr>
          <w:rFonts w:ascii="Times New Roman" w:hAnsi="Times New Roman" w:cs="Times New Roman"/>
          <w:sz w:val="24"/>
          <w:szCs w:val="24"/>
        </w:rPr>
        <w:t xml:space="preserve">is forward-looking, the AER’s proposed </w:t>
      </w:r>
      <w:r w:rsidR="005A0E0E">
        <w:rPr>
          <w:rFonts w:ascii="Times New Roman" w:hAnsi="Times New Roman" w:cs="Times New Roman"/>
          <w:sz w:val="24"/>
          <w:szCs w:val="24"/>
        </w:rPr>
        <w:t xml:space="preserve">transitional </w:t>
      </w:r>
      <w:r w:rsidR="001B7FB0">
        <w:rPr>
          <w:rFonts w:ascii="Times New Roman" w:hAnsi="Times New Roman" w:cs="Times New Roman"/>
          <w:sz w:val="24"/>
          <w:szCs w:val="24"/>
        </w:rPr>
        <w:t>process in respect of the DRP involves looking back at past events, and therefore it is invalid.  However</w:t>
      </w:r>
      <w:r w:rsidR="007B5F6D">
        <w:rPr>
          <w:rFonts w:ascii="Times New Roman" w:hAnsi="Times New Roman" w:cs="Times New Roman"/>
          <w:sz w:val="24"/>
          <w:szCs w:val="24"/>
        </w:rPr>
        <w:t xml:space="preserve">, the </w:t>
      </w:r>
      <w:r w:rsidR="005A0E0E">
        <w:rPr>
          <w:rFonts w:ascii="Times New Roman" w:hAnsi="Times New Roman" w:cs="Times New Roman"/>
          <w:sz w:val="24"/>
          <w:szCs w:val="24"/>
        </w:rPr>
        <w:t xml:space="preserve">description of the </w:t>
      </w:r>
      <w:r w:rsidR="007B5F6D">
        <w:rPr>
          <w:rFonts w:ascii="Times New Roman" w:hAnsi="Times New Roman" w:cs="Times New Roman"/>
          <w:sz w:val="24"/>
          <w:szCs w:val="24"/>
        </w:rPr>
        <w:t xml:space="preserve">regulatory process </w:t>
      </w:r>
      <w:r w:rsidR="005A0E0E">
        <w:rPr>
          <w:rFonts w:ascii="Times New Roman" w:hAnsi="Times New Roman" w:cs="Times New Roman"/>
          <w:sz w:val="24"/>
          <w:szCs w:val="24"/>
        </w:rPr>
        <w:t>given above is a description of the process for i</w:t>
      </w:r>
      <w:r w:rsidR="00350EBF">
        <w:rPr>
          <w:rFonts w:ascii="Times New Roman" w:hAnsi="Times New Roman" w:cs="Times New Roman"/>
          <w:sz w:val="24"/>
          <w:szCs w:val="24"/>
        </w:rPr>
        <w:t>mplementing a particular policy</w:t>
      </w:r>
      <w:r w:rsidR="005A0E0E">
        <w:rPr>
          <w:rFonts w:ascii="Times New Roman" w:hAnsi="Times New Roman" w:cs="Times New Roman"/>
          <w:sz w:val="24"/>
          <w:szCs w:val="24"/>
        </w:rPr>
        <w:t xml:space="preserve">.  </w:t>
      </w:r>
      <w:r w:rsidR="00350EBF" w:rsidRPr="00A85EBC">
        <w:rPr>
          <w:rFonts w:ascii="Times New Roman" w:hAnsi="Times New Roman" w:cs="Times New Roman"/>
          <w:sz w:val="24"/>
          <w:szCs w:val="24"/>
        </w:rPr>
        <w:t xml:space="preserve">It provides no guidance as to how one should behave in the face of regime changes.  Furthermore, as argued earlier, the crucial requirement is to </w:t>
      </w:r>
      <w:r w:rsidR="00451670" w:rsidRPr="00A85EBC">
        <w:rPr>
          <w:rFonts w:ascii="Times New Roman" w:hAnsi="Times New Roman" w:cs="Times New Roman"/>
          <w:sz w:val="24"/>
          <w:szCs w:val="24"/>
        </w:rPr>
        <w:t xml:space="preserve">satisfy the </w:t>
      </w:r>
      <w:r w:rsidR="00350EBF" w:rsidRPr="00A85EBC">
        <w:rPr>
          <w:rFonts w:ascii="Times New Roman" w:hAnsi="Times New Roman" w:cs="Times New Roman"/>
          <w:sz w:val="24"/>
          <w:szCs w:val="24"/>
        </w:rPr>
        <w:t xml:space="preserve">NPV = 0 principle and this implies that the only viable regulatory policy is to neutralize the </w:t>
      </w:r>
      <w:r w:rsidR="00EF0A60" w:rsidRPr="00A85EBC">
        <w:rPr>
          <w:rFonts w:ascii="Times New Roman" w:hAnsi="Times New Roman" w:cs="Times New Roman"/>
          <w:sz w:val="24"/>
          <w:szCs w:val="24"/>
        </w:rPr>
        <w:t xml:space="preserve">one-off </w:t>
      </w:r>
      <w:r w:rsidR="00350EBF" w:rsidRPr="00A85EBC">
        <w:rPr>
          <w:rFonts w:ascii="Times New Roman" w:hAnsi="Times New Roman" w:cs="Times New Roman"/>
          <w:sz w:val="24"/>
          <w:szCs w:val="24"/>
        </w:rPr>
        <w:t xml:space="preserve">effects of regime changes </w:t>
      </w:r>
      <w:r w:rsidR="00EF0A60" w:rsidRPr="00A85EBC">
        <w:rPr>
          <w:rFonts w:ascii="Times New Roman" w:hAnsi="Times New Roman" w:cs="Times New Roman"/>
          <w:sz w:val="24"/>
          <w:szCs w:val="24"/>
        </w:rPr>
        <w:t xml:space="preserve">or at least the effects that are </w:t>
      </w:r>
      <w:r w:rsidR="00350EBF" w:rsidRPr="00A85EBC">
        <w:rPr>
          <w:rFonts w:ascii="Times New Roman" w:hAnsi="Times New Roman" w:cs="Times New Roman"/>
          <w:sz w:val="24"/>
          <w:szCs w:val="24"/>
        </w:rPr>
        <w:t xml:space="preserve">large </w:t>
      </w:r>
      <w:r w:rsidR="00EF0A60" w:rsidRPr="00A85EBC">
        <w:rPr>
          <w:rFonts w:ascii="Times New Roman" w:hAnsi="Times New Roman" w:cs="Times New Roman"/>
          <w:sz w:val="24"/>
          <w:szCs w:val="24"/>
        </w:rPr>
        <w:t xml:space="preserve">in </w:t>
      </w:r>
      <w:r w:rsidR="00350EBF" w:rsidRPr="00A85EBC">
        <w:rPr>
          <w:rFonts w:ascii="Times New Roman" w:hAnsi="Times New Roman" w:cs="Times New Roman"/>
          <w:sz w:val="24"/>
          <w:szCs w:val="24"/>
        </w:rPr>
        <w:t xml:space="preserve">either direction.  </w:t>
      </w:r>
    </w:p>
    <w:p w:rsidR="00B05A32" w:rsidRDefault="00B05A32" w:rsidP="00C229A2">
      <w:pPr>
        <w:spacing w:after="0" w:line="360" w:lineRule="auto"/>
        <w:jc w:val="both"/>
        <w:rPr>
          <w:rFonts w:ascii="Times New Roman" w:hAnsi="Times New Roman" w:cs="Times New Roman"/>
          <w:sz w:val="24"/>
          <w:szCs w:val="24"/>
        </w:rPr>
      </w:pPr>
    </w:p>
    <w:p w:rsidR="00D72B59" w:rsidRDefault="00B05A32" w:rsidP="00C229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might also be argued that </w:t>
      </w:r>
      <w:r w:rsidR="00303636">
        <w:rPr>
          <w:rFonts w:ascii="Times New Roman" w:hAnsi="Times New Roman" w:cs="Times New Roman"/>
          <w:sz w:val="24"/>
          <w:szCs w:val="24"/>
        </w:rPr>
        <w:t xml:space="preserve">the AER’s proposed </w:t>
      </w:r>
      <w:r w:rsidR="00943622">
        <w:rPr>
          <w:rFonts w:ascii="Times New Roman" w:hAnsi="Times New Roman" w:cs="Times New Roman"/>
          <w:sz w:val="24"/>
          <w:szCs w:val="24"/>
        </w:rPr>
        <w:t xml:space="preserve">transitional process for </w:t>
      </w:r>
      <w:r w:rsidR="00303636">
        <w:rPr>
          <w:rFonts w:ascii="Times New Roman" w:hAnsi="Times New Roman" w:cs="Times New Roman"/>
          <w:sz w:val="24"/>
          <w:szCs w:val="24"/>
        </w:rPr>
        <w:t xml:space="preserve">the DRP </w:t>
      </w:r>
      <w:r>
        <w:rPr>
          <w:rFonts w:ascii="Times New Roman" w:hAnsi="Times New Roman" w:cs="Times New Roman"/>
          <w:sz w:val="24"/>
          <w:szCs w:val="24"/>
        </w:rPr>
        <w:t xml:space="preserve">involves </w:t>
      </w:r>
      <w:r w:rsidR="00416449">
        <w:rPr>
          <w:rFonts w:ascii="Times New Roman" w:hAnsi="Times New Roman" w:cs="Times New Roman"/>
          <w:sz w:val="24"/>
          <w:szCs w:val="24"/>
        </w:rPr>
        <w:t xml:space="preserve">them </w:t>
      </w:r>
      <w:r>
        <w:rPr>
          <w:rFonts w:ascii="Times New Roman" w:hAnsi="Times New Roman" w:cs="Times New Roman"/>
          <w:sz w:val="24"/>
          <w:szCs w:val="24"/>
        </w:rPr>
        <w:t xml:space="preserve">keeping a mental accounting of </w:t>
      </w:r>
      <w:r w:rsidR="00021511">
        <w:rPr>
          <w:rFonts w:ascii="Times New Roman" w:hAnsi="Times New Roman" w:cs="Times New Roman"/>
          <w:sz w:val="24"/>
          <w:szCs w:val="24"/>
        </w:rPr>
        <w:t xml:space="preserve">past </w:t>
      </w:r>
      <w:r>
        <w:rPr>
          <w:rFonts w:ascii="Times New Roman" w:hAnsi="Times New Roman" w:cs="Times New Roman"/>
          <w:sz w:val="24"/>
          <w:szCs w:val="24"/>
        </w:rPr>
        <w:t>gains and losses and then seeking to square it up in the next regulatory p</w:t>
      </w:r>
      <w:r w:rsidR="00721C2A">
        <w:rPr>
          <w:rFonts w:ascii="Times New Roman" w:hAnsi="Times New Roman" w:cs="Times New Roman"/>
          <w:sz w:val="24"/>
          <w:szCs w:val="24"/>
        </w:rPr>
        <w:t xml:space="preserve">eriod, which is inappropriate.  However, I do not </w:t>
      </w:r>
      <w:r w:rsidR="007957E0">
        <w:rPr>
          <w:rFonts w:ascii="Times New Roman" w:hAnsi="Times New Roman" w:cs="Times New Roman"/>
          <w:sz w:val="24"/>
          <w:szCs w:val="24"/>
        </w:rPr>
        <w:t xml:space="preserve">consider that the AER is engaged in squaring up.  I consider that they are merely allowing a squaring up process that is inherent in the previous regime </w:t>
      </w:r>
      <w:r w:rsidR="0066313B" w:rsidRPr="00A85EBC">
        <w:rPr>
          <w:rFonts w:ascii="Times New Roman" w:hAnsi="Times New Roman" w:cs="Times New Roman"/>
          <w:sz w:val="24"/>
          <w:szCs w:val="24"/>
        </w:rPr>
        <w:t xml:space="preserve">(as described in section 8.5) </w:t>
      </w:r>
      <w:r w:rsidR="007957E0">
        <w:rPr>
          <w:rFonts w:ascii="Times New Roman" w:hAnsi="Times New Roman" w:cs="Times New Roman"/>
          <w:sz w:val="24"/>
          <w:szCs w:val="24"/>
        </w:rPr>
        <w:t xml:space="preserve">to continue to operate for a few more years rather than interrupting it at a point in time that is by chance extraordinarily favourable to </w:t>
      </w:r>
      <w:r w:rsidR="0066313B">
        <w:rPr>
          <w:rFonts w:ascii="Times New Roman" w:hAnsi="Times New Roman" w:cs="Times New Roman"/>
          <w:sz w:val="24"/>
          <w:szCs w:val="24"/>
        </w:rPr>
        <w:t>investors in the BEE</w:t>
      </w:r>
      <w:r w:rsidR="007957E0">
        <w:rPr>
          <w:rFonts w:ascii="Times New Roman" w:hAnsi="Times New Roman" w:cs="Times New Roman"/>
          <w:sz w:val="24"/>
          <w:szCs w:val="24"/>
        </w:rPr>
        <w:t xml:space="preserve">, at the expense of their customers.  </w:t>
      </w:r>
    </w:p>
    <w:p w:rsidR="007957E0" w:rsidRDefault="007957E0" w:rsidP="00C229A2">
      <w:pPr>
        <w:spacing w:after="0" w:line="360" w:lineRule="auto"/>
        <w:jc w:val="both"/>
        <w:rPr>
          <w:rFonts w:ascii="Times New Roman" w:hAnsi="Times New Roman" w:cs="Times New Roman"/>
          <w:sz w:val="24"/>
          <w:szCs w:val="24"/>
        </w:rPr>
      </w:pPr>
    </w:p>
    <w:p w:rsidR="00D72B59" w:rsidRDefault="00D72B59" w:rsidP="00C229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might also be argued that the AER’s proposed </w:t>
      </w:r>
      <w:r w:rsidR="006003C8">
        <w:rPr>
          <w:rFonts w:ascii="Times New Roman" w:hAnsi="Times New Roman" w:cs="Times New Roman"/>
          <w:sz w:val="24"/>
          <w:szCs w:val="24"/>
        </w:rPr>
        <w:t xml:space="preserve">transitional process for the </w:t>
      </w:r>
      <w:r>
        <w:rPr>
          <w:rFonts w:ascii="Times New Roman" w:hAnsi="Times New Roman" w:cs="Times New Roman"/>
          <w:sz w:val="24"/>
          <w:szCs w:val="24"/>
        </w:rPr>
        <w:t xml:space="preserve">DRP creates regulatory risk.  I disagree.  Without such a process, </w:t>
      </w:r>
      <w:r w:rsidR="00A84E53">
        <w:rPr>
          <w:rFonts w:ascii="Times New Roman" w:hAnsi="Times New Roman" w:cs="Times New Roman"/>
          <w:sz w:val="24"/>
          <w:szCs w:val="24"/>
        </w:rPr>
        <w:t xml:space="preserve">investors in </w:t>
      </w:r>
      <w:r w:rsidR="00721C2A">
        <w:rPr>
          <w:rFonts w:ascii="Times New Roman" w:hAnsi="Times New Roman" w:cs="Times New Roman"/>
          <w:sz w:val="24"/>
          <w:szCs w:val="24"/>
        </w:rPr>
        <w:t>the BEE could face a large windfall gain or loss result</w:t>
      </w:r>
      <w:r w:rsidR="007D6F39">
        <w:rPr>
          <w:rFonts w:ascii="Times New Roman" w:hAnsi="Times New Roman" w:cs="Times New Roman"/>
          <w:sz w:val="24"/>
          <w:szCs w:val="24"/>
        </w:rPr>
        <w:t>ing from the next regime change, i.e., they would be exposed to a ‘roll of the dice’.</w:t>
      </w:r>
      <w:r w:rsidR="00721C2A">
        <w:rPr>
          <w:rFonts w:ascii="Times New Roman" w:hAnsi="Times New Roman" w:cs="Times New Roman"/>
          <w:sz w:val="24"/>
          <w:szCs w:val="24"/>
        </w:rPr>
        <w:t xml:space="preserve">  This is risk.  </w:t>
      </w:r>
      <w:r>
        <w:rPr>
          <w:rFonts w:ascii="Times New Roman" w:hAnsi="Times New Roman" w:cs="Times New Roman"/>
          <w:sz w:val="24"/>
          <w:szCs w:val="24"/>
        </w:rPr>
        <w:t xml:space="preserve">So, the AER’s </w:t>
      </w:r>
      <w:r w:rsidR="00303636">
        <w:rPr>
          <w:rFonts w:ascii="Times New Roman" w:hAnsi="Times New Roman" w:cs="Times New Roman"/>
          <w:sz w:val="24"/>
          <w:szCs w:val="24"/>
        </w:rPr>
        <w:t xml:space="preserve">proposed </w:t>
      </w:r>
      <w:r>
        <w:rPr>
          <w:rFonts w:ascii="Times New Roman" w:hAnsi="Times New Roman" w:cs="Times New Roman"/>
          <w:sz w:val="24"/>
          <w:szCs w:val="24"/>
        </w:rPr>
        <w:t>actions are risk-reducing rather than risk creating.</w:t>
      </w:r>
    </w:p>
    <w:p w:rsidR="001B7FB0" w:rsidRDefault="001B7FB0" w:rsidP="00C229A2">
      <w:pPr>
        <w:spacing w:after="0" w:line="360" w:lineRule="auto"/>
        <w:jc w:val="both"/>
        <w:rPr>
          <w:rFonts w:ascii="Times New Roman" w:hAnsi="Times New Roman" w:cs="Times New Roman"/>
          <w:sz w:val="24"/>
          <w:szCs w:val="24"/>
        </w:rPr>
      </w:pPr>
    </w:p>
    <w:p w:rsidR="00FB0955" w:rsidRDefault="001B7FB0" w:rsidP="00C229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might also be argued that </w:t>
      </w:r>
      <w:r w:rsidR="00C812C1">
        <w:rPr>
          <w:rFonts w:ascii="Times New Roman" w:hAnsi="Times New Roman" w:cs="Times New Roman"/>
          <w:sz w:val="24"/>
          <w:szCs w:val="24"/>
        </w:rPr>
        <w:t xml:space="preserve">the uncertainty about </w:t>
      </w:r>
      <w:r w:rsidR="006003C8">
        <w:rPr>
          <w:rFonts w:ascii="Times New Roman" w:hAnsi="Times New Roman" w:cs="Times New Roman"/>
          <w:sz w:val="24"/>
          <w:szCs w:val="24"/>
        </w:rPr>
        <w:t xml:space="preserve">the size of any </w:t>
      </w:r>
      <w:r w:rsidR="00C812C1">
        <w:rPr>
          <w:rFonts w:ascii="Times New Roman" w:hAnsi="Times New Roman" w:cs="Times New Roman"/>
          <w:sz w:val="24"/>
          <w:szCs w:val="24"/>
        </w:rPr>
        <w:t xml:space="preserve">accumulated </w:t>
      </w:r>
      <w:r w:rsidR="00303636">
        <w:rPr>
          <w:rFonts w:ascii="Times New Roman" w:hAnsi="Times New Roman" w:cs="Times New Roman"/>
          <w:sz w:val="24"/>
          <w:szCs w:val="24"/>
        </w:rPr>
        <w:t xml:space="preserve">DRP </w:t>
      </w:r>
      <w:r w:rsidR="00C812C1">
        <w:rPr>
          <w:rFonts w:ascii="Times New Roman" w:hAnsi="Times New Roman" w:cs="Times New Roman"/>
          <w:sz w:val="24"/>
          <w:szCs w:val="24"/>
        </w:rPr>
        <w:t xml:space="preserve">gains or losses over any given period </w:t>
      </w:r>
      <w:r w:rsidR="00711EB8">
        <w:rPr>
          <w:rFonts w:ascii="Times New Roman" w:hAnsi="Times New Roman" w:cs="Times New Roman"/>
          <w:sz w:val="24"/>
          <w:szCs w:val="24"/>
        </w:rPr>
        <w:t xml:space="preserve">under the on-the-day regime </w:t>
      </w:r>
      <w:r w:rsidR="00C812C1">
        <w:rPr>
          <w:rFonts w:ascii="Times New Roman" w:hAnsi="Times New Roman" w:cs="Times New Roman"/>
          <w:sz w:val="24"/>
          <w:szCs w:val="24"/>
        </w:rPr>
        <w:t xml:space="preserve">is a risk that </w:t>
      </w:r>
      <w:r w:rsidR="00721C2A">
        <w:rPr>
          <w:rFonts w:ascii="Times New Roman" w:hAnsi="Times New Roman" w:cs="Times New Roman"/>
          <w:sz w:val="24"/>
          <w:szCs w:val="24"/>
        </w:rPr>
        <w:t xml:space="preserve">the BEE was </w:t>
      </w:r>
      <w:r w:rsidR="00C812C1">
        <w:rPr>
          <w:rFonts w:ascii="Times New Roman" w:hAnsi="Times New Roman" w:cs="Times New Roman"/>
          <w:sz w:val="24"/>
          <w:szCs w:val="24"/>
        </w:rPr>
        <w:t xml:space="preserve">compensated for ex-ante through their equity beta.  However the </w:t>
      </w:r>
      <w:r w:rsidR="00C055C1">
        <w:rPr>
          <w:rFonts w:ascii="Times New Roman" w:hAnsi="Times New Roman" w:cs="Times New Roman"/>
          <w:sz w:val="24"/>
          <w:szCs w:val="24"/>
        </w:rPr>
        <w:t xml:space="preserve">risk </w:t>
      </w:r>
      <w:r w:rsidR="00C812C1">
        <w:rPr>
          <w:rFonts w:ascii="Times New Roman" w:hAnsi="Times New Roman" w:cs="Times New Roman"/>
          <w:sz w:val="24"/>
          <w:szCs w:val="24"/>
        </w:rPr>
        <w:t xml:space="preserve">issue here is not </w:t>
      </w:r>
      <w:r w:rsidR="006003C8">
        <w:rPr>
          <w:rFonts w:ascii="Times New Roman" w:hAnsi="Times New Roman" w:cs="Times New Roman"/>
          <w:sz w:val="24"/>
          <w:szCs w:val="24"/>
        </w:rPr>
        <w:t xml:space="preserve">the size of </w:t>
      </w:r>
      <w:r w:rsidR="00C812C1">
        <w:rPr>
          <w:rFonts w:ascii="Times New Roman" w:hAnsi="Times New Roman" w:cs="Times New Roman"/>
          <w:sz w:val="24"/>
          <w:szCs w:val="24"/>
        </w:rPr>
        <w:t xml:space="preserve">these accumulated gains or losses per se but </w:t>
      </w:r>
      <w:r w:rsidR="00C055C1">
        <w:rPr>
          <w:rFonts w:ascii="Times New Roman" w:hAnsi="Times New Roman" w:cs="Times New Roman"/>
          <w:sz w:val="24"/>
          <w:szCs w:val="24"/>
        </w:rPr>
        <w:t xml:space="preserve">the risk of </w:t>
      </w:r>
      <w:r w:rsidR="00C812C1">
        <w:rPr>
          <w:rFonts w:ascii="Times New Roman" w:hAnsi="Times New Roman" w:cs="Times New Roman"/>
          <w:sz w:val="24"/>
          <w:szCs w:val="24"/>
        </w:rPr>
        <w:t xml:space="preserve">a regime change that </w:t>
      </w:r>
      <w:r w:rsidR="003E4897">
        <w:rPr>
          <w:rFonts w:ascii="Times New Roman" w:hAnsi="Times New Roman" w:cs="Times New Roman"/>
          <w:sz w:val="24"/>
          <w:szCs w:val="24"/>
        </w:rPr>
        <w:t xml:space="preserve">might </w:t>
      </w:r>
      <w:r w:rsidR="00C812C1">
        <w:rPr>
          <w:rFonts w:ascii="Times New Roman" w:hAnsi="Times New Roman" w:cs="Times New Roman"/>
          <w:sz w:val="24"/>
          <w:szCs w:val="24"/>
        </w:rPr>
        <w:t xml:space="preserve">bring that </w:t>
      </w:r>
      <w:r w:rsidR="00711EB8">
        <w:rPr>
          <w:rFonts w:ascii="Times New Roman" w:hAnsi="Times New Roman" w:cs="Times New Roman"/>
          <w:sz w:val="24"/>
          <w:szCs w:val="24"/>
        </w:rPr>
        <w:t xml:space="preserve">accumulation </w:t>
      </w:r>
      <w:r w:rsidR="00C812C1">
        <w:rPr>
          <w:rFonts w:ascii="Times New Roman" w:hAnsi="Times New Roman" w:cs="Times New Roman"/>
          <w:sz w:val="24"/>
          <w:szCs w:val="24"/>
        </w:rPr>
        <w:t xml:space="preserve">process to </w:t>
      </w:r>
      <w:r w:rsidR="00303636">
        <w:rPr>
          <w:rFonts w:ascii="Times New Roman" w:hAnsi="Times New Roman" w:cs="Times New Roman"/>
          <w:sz w:val="24"/>
          <w:szCs w:val="24"/>
        </w:rPr>
        <w:t xml:space="preserve">a premature end and </w:t>
      </w:r>
      <w:r w:rsidR="00C812C1">
        <w:rPr>
          <w:rFonts w:ascii="Times New Roman" w:hAnsi="Times New Roman" w:cs="Times New Roman"/>
          <w:sz w:val="24"/>
          <w:szCs w:val="24"/>
        </w:rPr>
        <w:t xml:space="preserve">at a point that </w:t>
      </w:r>
      <w:r w:rsidR="003E4897">
        <w:rPr>
          <w:rFonts w:ascii="Times New Roman" w:hAnsi="Times New Roman" w:cs="Times New Roman"/>
          <w:sz w:val="24"/>
          <w:szCs w:val="24"/>
        </w:rPr>
        <w:t xml:space="preserve">was </w:t>
      </w:r>
      <w:r w:rsidR="00C812C1">
        <w:rPr>
          <w:rFonts w:ascii="Times New Roman" w:hAnsi="Times New Roman" w:cs="Times New Roman"/>
          <w:sz w:val="24"/>
          <w:szCs w:val="24"/>
        </w:rPr>
        <w:t>particularly favourabl</w:t>
      </w:r>
      <w:r w:rsidR="00303636">
        <w:rPr>
          <w:rFonts w:ascii="Times New Roman" w:hAnsi="Times New Roman" w:cs="Times New Roman"/>
          <w:sz w:val="24"/>
          <w:szCs w:val="24"/>
        </w:rPr>
        <w:t xml:space="preserve">e or unfavourable to </w:t>
      </w:r>
      <w:r w:rsidR="00721C2A">
        <w:rPr>
          <w:rFonts w:ascii="Times New Roman" w:hAnsi="Times New Roman" w:cs="Times New Roman"/>
          <w:sz w:val="24"/>
          <w:szCs w:val="24"/>
        </w:rPr>
        <w:t xml:space="preserve">the BEE; </w:t>
      </w:r>
      <w:r w:rsidR="00303636">
        <w:rPr>
          <w:rFonts w:ascii="Times New Roman" w:hAnsi="Times New Roman" w:cs="Times New Roman"/>
          <w:sz w:val="24"/>
          <w:szCs w:val="24"/>
        </w:rPr>
        <w:t xml:space="preserve">this </w:t>
      </w:r>
      <w:r w:rsidR="00C812C1">
        <w:rPr>
          <w:rFonts w:ascii="Times New Roman" w:hAnsi="Times New Roman" w:cs="Times New Roman"/>
          <w:sz w:val="24"/>
          <w:szCs w:val="24"/>
        </w:rPr>
        <w:t xml:space="preserve">regulatory risk is not compensated ex-ante through the equity beta.  </w:t>
      </w:r>
    </w:p>
    <w:p w:rsidR="00FB0955" w:rsidRDefault="00FB0955" w:rsidP="00C229A2">
      <w:pPr>
        <w:spacing w:after="0" w:line="360" w:lineRule="auto"/>
        <w:jc w:val="both"/>
        <w:rPr>
          <w:rFonts w:ascii="Times New Roman" w:hAnsi="Times New Roman" w:cs="Times New Roman"/>
          <w:sz w:val="24"/>
          <w:szCs w:val="24"/>
        </w:rPr>
      </w:pPr>
    </w:p>
    <w:p w:rsidR="00C229A2" w:rsidRDefault="00C812C1" w:rsidP="00C229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might also be argued that </w:t>
      </w:r>
      <w:r w:rsidR="00FB0646">
        <w:rPr>
          <w:rFonts w:ascii="Times New Roman" w:hAnsi="Times New Roman" w:cs="Times New Roman"/>
          <w:sz w:val="24"/>
          <w:szCs w:val="24"/>
        </w:rPr>
        <w:t xml:space="preserve">the BEE is </w:t>
      </w:r>
      <w:r w:rsidR="003E4897">
        <w:rPr>
          <w:rFonts w:ascii="Times New Roman" w:hAnsi="Times New Roman" w:cs="Times New Roman"/>
          <w:sz w:val="24"/>
          <w:szCs w:val="24"/>
        </w:rPr>
        <w:t xml:space="preserve">exposed to some risks (unsystematic risks) </w:t>
      </w:r>
      <w:r>
        <w:rPr>
          <w:rFonts w:ascii="Times New Roman" w:hAnsi="Times New Roman" w:cs="Times New Roman"/>
          <w:sz w:val="24"/>
          <w:szCs w:val="24"/>
        </w:rPr>
        <w:t>that can’t be compensated via beta</w:t>
      </w:r>
      <w:r w:rsidR="003E4897">
        <w:rPr>
          <w:rFonts w:ascii="Times New Roman" w:hAnsi="Times New Roman" w:cs="Times New Roman"/>
          <w:sz w:val="24"/>
          <w:szCs w:val="24"/>
        </w:rPr>
        <w:t xml:space="preserve">, </w:t>
      </w:r>
      <w:r w:rsidR="00BD3F4F">
        <w:rPr>
          <w:rFonts w:ascii="Times New Roman" w:hAnsi="Times New Roman" w:cs="Times New Roman"/>
          <w:sz w:val="24"/>
          <w:szCs w:val="24"/>
        </w:rPr>
        <w:t xml:space="preserve">such as weather-related risks, </w:t>
      </w:r>
      <w:r>
        <w:rPr>
          <w:rFonts w:ascii="Times New Roman" w:hAnsi="Times New Roman" w:cs="Times New Roman"/>
          <w:sz w:val="24"/>
          <w:szCs w:val="24"/>
        </w:rPr>
        <w:t xml:space="preserve">that compensation is not warranted precisely because </w:t>
      </w:r>
      <w:r w:rsidR="00704712">
        <w:rPr>
          <w:rFonts w:ascii="Times New Roman" w:hAnsi="Times New Roman" w:cs="Times New Roman"/>
          <w:sz w:val="24"/>
          <w:szCs w:val="24"/>
        </w:rPr>
        <w:t>such risks can be diversified away by investors</w:t>
      </w:r>
      <w:r>
        <w:rPr>
          <w:rFonts w:ascii="Times New Roman" w:hAnsi="Times New Roman" w:cs="Times New Roman"/>
          <w:sz w:val="24"/>
          <w:szCs w:val="24"/>
        </w:rPr>
        <w:t xml:space="preserve">, and risks arising from regulatory regime changes are simply </w:t>
      </w:r>
      <w:r w:rsidR="00303636">
        <w:rPr>
          <w:rFonts w:ascii="Times New Roman" w:hAnsi="Times New Roman" w:cs="Times New Roman"/>
          <w:sz w:val="24"/>
          <w:szCs w:val="24"/>
        </w:rPr>
        <w:t xml:space="preserve">one </w:t>
      </w:r>
      <w:r w:rsidR="00704712">
        <w:rPr>
          <w:rFonts w:ascii="Times New Roman" w:hAnsi="Times New Roman" w:cs="Times New Roman"/>
          <w:sz w:val="24"/>
          <w:szCs w:val="24"/>
        </w:rPr>
        <w:t xml:space="preserve">example of this.  </w:t>
      </w:r>
      <w:r>
        <w:rPr>
          <w:rFonts w:ascii="Times New Roman" w:hAnsi="Times New Roman" w:cs="Times New Roman"/>
          <w:sz w:val="24"/>
          <w:szCs w:val="24"/>
        </w:rPr>
        <w:t xml:space="preserve">However, regulatory risks are </w:t>
      </w:r>
      <w:r w:rsidR="00BD3F4F">
        <w:rPr>
          <w:rFonts w:ascii="Times New Roman" w:hAnsi="Times New Roman" w:cs="Times New Roman"/>
          <w:sz w:val="24"/>
          <w:szCs w:val="24"/>
        </w:rPr>
        <w:t xml:space="preserve">fundamentally </w:t>
      </w:r>
      <w:r>
        <w:rPr>
          <w:rFonts w:ascii="Times New Roman" w:hAnsi="Times New Roman" w:cs="Times New Roman"/>
          <w:sz w:val="24"/>
          <w:szCs w:val="24"/>
        </w:rPr>
        <w:t xml:space="preserve">different </w:t>
      </w:r>
      <w:r w:rsidR="00BD3F4F">
        <w:rPr>
          <w:rFonts w:ascii="Times New Roman" w:hAnsi="Times New Roman" w:cs="Times New Roman"/>
          <w:sz w:val="24"/>
          <w:szCs w:val="24"/>
        </w:rPr>
        <w:t xml:space="preserve">to weather-related risks.  Historical experience of weather gives firms a good understanding of future risks and the weather is driven by laws of nature that are indifferent to </w:t>
      </w:r>
      <w:r w:rsidR="00303636">
        <w:rPr>
          <w:rFonts w:ascii="Times New Roman" w:hAnsi="Times New Roman" w:cs="Times New Roman"/>
          <w:sz w:val="24"/>
          <w:szCs w:val="24"/>
        </w:rPr>
        <w:t xml:space="preserve">their </w:t>
      </w:r>
      <w:r w:rsidR="00BD3F4F">
        <w:rPr>
          <w:rFonts w:ascii="Times New Roman" w:hAnsi="Times New Roman" w:cs="Times New Roman"/>
          <w:sz w:val="24"/>
          <w:szCs w:val="24"/>
        </w:rPr>
        <w:t xml:space="preserve">impact on a regulated business.  By contrast, in the absence of a policy of protecting </w:t>
      </w:r>
      <w:r w:rsidR="00FB0646">
        <w:rPr>
          <w:rFonts w:ascii="Times New Roman" w:hAnsi="Times New Roman" w:cs="Times New Roman"/>
          <w:sz w:val="24"/>
          <w:szCs w:val="24"/>
        </w:rPr>
        <w:t xml:space="preserve">the BEE </w:t>
      </w:r>
      <w:r w:rsidR="00BD3F4F">
        <w:rPr>
          <w:rFonts w:ascii="Times New Roman" w:hAnsi="Times New Roman" w:cs="Times New Roman"/>
          <w:sz w:val="24"/>
          <w:szCs w:val="24"/>
        </w:rPr>
        <w:t xml:space="preserve">from the </w:t>
      </w:r>
      <w:r w:rsidR="007D6F39">
        <w:rPr>
          <w:rFonts w:ascii="Times New Roman" w:hAnsi="Times New Roman" w:cs="Times New Roman"/>
          <w:sz w:val="24"/>
          <w:szCs w:val="24"/>
        </w:rPr>
        <w:t xml:space="preserve">one-off </w:t>
      </w:r>
      <w:r w:rsidR="00BD3F4F">
        <w:rPr>
          <w:rFonts w:ascii="Times New Roman" w:hAnsi="Times New Roman" w:cs="Times New Roman"/>
          <w:sz w:val="24"/>
          <w:szCs w:val="24"/>
        </w:rPr>
        <w:t xml:space="preserve">impact of regime changes, </w:t>
      </w:r>
      <w:r w:rsidR="00A84E53">
        <w:rPr>
          <w:rFonts w:ascii="Times New Roman" w:hAnsi="Times New Roman" w:cs="Times New Roman"/>
          <w:sz w:val="24"/>
          <w:szCs w:val="24"/>
        </w:rPr>
        <w:t xml:space="preserve">investors in </w:t>
      </w:r>
      <w:r w:rsidR="00FB0646">
        <w:rPr>
          <w:rFonts w:ascii="Times New Roman" w:hAnsi="Times New Roman" w:cs="Times New Roman"/>
          <w:sz w:val="24"/>
          <w:szCs w:val="24"/>
        </w:rPr>
        <w:t xml:space="preserve">the BEE </w:t>
      </w:r>
      <w:r w:rsidR="00C055C1">
        <w:rPr>
          <w:rFonts w:ascii="Times New Roman" w:hAnsi="Times New Roman" w:cs="Times New Roman"/>
          <w:sz w:val="24"/>
          <w:szCs w:val="24"/>
        </w:rPr>
        <w:t xml:space="preserve">would be </w:t>
      </w:r>
      <w:r w:rsidR="001B7FB0">
        <w:rPr>
          <w:rFonts w:ascii="Times New Roman" w:hAnsi="Times New Roman" w:cs="Times New Roman"/>
          <w:sz w:val="24"/>
          <w:szCs w:val="24"/>
        </w:rPr>
        <w:t xml:space="preserve">exposed to regulatory whim or even the </w:t>
      </w:r>
      <w:r w:rsidR="00711EB8">
        <w:rPr>
          <w:rFonts w:ascii="Times New Roman" w:hAnsi="Times New Roman" w:cs="Times New Roman"/>
          <w:sz w:val="24"/>
          <w:szCs w:val="24"/>
        </w:rPr>
        <w:t xml:space="preserve">possibility of </w:t>
      </w:r>
      <w:r w:rsidR="001B7FB0">
        <w:rPr>
          <w:rFonts w:ascii="Times New Roman" w:hAnsi="Times New Roman" w:cs="Times New Roman"/>
          <w:sz w:val="24"/>
          <w:szCs w:val="24"/>
        </w:rPr>
        <w:t xml:space="preserve">regulators </w:t>
      </w:r>
      <w:r w:rsidR="00303636">
        <w:rPr>
          <w:rFonts w:ascii="Times New Roman" w:hAnsi="Times New Roman" w:cs="Times New Roman"/>
          <w:sz w:val="24"/>
          <w:szCs w:val="24"/>
        </w:rPr>
        <w:t xml:space="preserve">choosing the timing of regulatory changes </w:t>
      </w:r>
      <w:r w:rsidR="007D6F39">
        <w:rPr>
          <w:rFonts w:ascii="Times New Roman" w:hAnsi="Times New Roman" w:cs="Times New Roman"/>
          <w:sz w:val="24"/>
          <w:szCs w:val="24"/>
        </w:rPr>
        <w:t xml:space="preserve">so as to </w:t>
      </w:r>
      <w:r w:rsidR="00711EB8">
        <w:rPr>
          <w:rFonts w:ascii="Times New Roman" w:hAnsi="Times New Roman" w:cs="Times New Roman"/>
          <w:sz w:val="24"/>
          <w:szCs w:val="24"/>
        </w:rPr>
        <w:t xml:space="preserve">inflict losses upon </w:t>
      </w:r>
      <w:r w:rsidR="00C055C1">
        <w:rPr>
          <w:rFonts w:ascii="Times New Roman" w:hAnsi="Times New Roman" w:cs="Times New Roman"/>
          <w:sz w:val="24"/>
          <w:szCs w:val="24"/>
        </w:rPr>
        <w:t xml:space="preserve">them.  </w:t>
      </w:r>
      <w:r w:rsidR="00A84E53">
        <w:rPr>
          <w:rFonts w:ascii="Times New Roman" w:hAnsi="Times New Roman" w:cs="Times New Roman"/>
          <w:sz w:val="24"/>
          <w:szCs w:val="24"/>
        </w:rPr>
        <w:t xml:space="preserve">Investors in the </w:t>
      </w:r>
      <w:r w:rsidR="00A1283B">
        <w:rPr>
          <w:rFonts w:ascii="Times New Roman" w:hAnsi="Times New Roman" w:cs="Times New Roman"/>
          <w:sz w:val="24"/>
          <w:szCs w:val="24"/>
        </w:rPr>
        <w:t xml:space="preserve">BEE </w:t>
      </w:r>
      <w:r w:rsidR="00C52049">
        <w:rPr>
          <w:rFonts w:ascii="Times New Roman" w:hAnsi="Times New Roman" w:cs="Times New Roman"/>
          <w:sz w:val="24"/>
          <w:szCs w:val="24"/>
        </w:rPr>
        <w:t xml:space="preserve">should be protected </w:t>
      </w:r>
      <w:r w:rsidR="00A1283B">
        <w:rPr>
          <w:rFonts w:ascii="Times New Roman" w:hAnsi="Times New Roman" w:cs="Times New Roman"/>
          <w:sz w:val="24"/>
          <w:szCs w:val="24"/>
        </w:rPr>
        <w:t>against such risks.</w:t>
      </w:r>
    </w:p>
    <w:p w:rsidR="00E8521C" w:rsidRDefault="00E8521C" w:rsidP="00C229A2">
      <w:pPr>
        <w:spacing w:after="0" w:line="360" w:lineRule="auto"/>
        <w:jc w:val="both"/>
        <w:rPr>
          <w:rFonts w:ascii="Times New Roman" w:hAnsi="Times New Roman" w:cs="Times New Roman"/>
          <w:sz w:val="24"/>
          <w:szCs w:val="24"/>
        </w:rPr>
      </w:pPr>
    </w:p>
    <w:p w:rsidR="00391985" w:rsidRPr="00391985" w:rsidRDefault="00391985" w:rsidP="00C229A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8.8 Further Arguments for a Transitional Process</w:t>
      </w:r>
    </w:p>
    <w:p w:rsidR="003C647C" w:rsidRDefault="003C647C" w:rsidP="008A164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Table 1 reveals that</w:t>
      </w:r>
      <w:r w:rsidR="00A1283B">
        <w:rPr>
          <w:rFonts w:ascii="Times New Roman" w:hAnsi="Times New Roman" w:cs="Times New Roman"/>
          <w:sz w:val="24"/>
          <w:szCs w:val="24"/>
        </w:rPr>
        <w:t xml:space="preserve">, in the event of immediately adopting the new regime, the </w:t>
      </w:r>
      <w:r>
        <w:rPr>
          <w:rFonts w:ascii="Times New Roman" w:hAnsi="Times New Roman" w:cs="Times New Roman"/>
          <w:sz w:val="24"/>
          <w:szCs w:val="24"/>
        </w:rPr>
        <w:t xml:space="preserve">timing </w:t>
      </w:r>
      <w:r w:rsidR="00A1283B">
        <w:rPr>
          <w:rFonts w:ascii="Times New Roman" w:hAnsi="Times New Roman" w:cs="Times New Roman"/>
          <w:sz w:val="24"/>
          <w:szCs w:val="24"/>
        </w:rPr>
        <w:t xml:space="preserve">of the regime change </w:t>
      </w:r>
      <w:r>
        <w:rPr>
          <w:rFonts w:ascii="Times New Roman" w:hAnsi="Times New Roman" w:cs="Times New Roman"/>
          <w:sz w:val="24"/>
          <w:szCs w:val="24"/>
        </w:rPr>
        <w:t xml:space="preserve">has a significant effect upon the </w:t>
      </w:r>
      <w:r w:rsidR="00A1283B">
        <w:rPr>
          <w:rFonts w:ascii="Times New Roman" w:hAnsi="Times New Roman" w:cs="Times New Roman"/>
          <w:sz w:val="24"/>
          <w:szCs w:val="24"/>
        </w:rPr>
        <w:t xml:space="preserve">BEE.  </w:t>
      </w:r>
      <w:r>
        <w:rPr>
          <w:rFonts w:ascii="Times New Roman" w:hAnsi="Times New Roman" w:cs="Times New Roman"/>
          <w:sz w:val="24"/>
          <w:szCs w:val="24"/>
        </w:rPr>
        <w:t xml:space="preserve">Since the AER chooses the timing of any regime change, then immediate adoption of the new regime would significantly expose </w:t>
      </w:r>
      <w:r w:rsidR="006A6D79">
        <w:rPr>
          <w:rFonts w:ascii="Times New Roman" w:hAnsi="Times New Roman" w:cs="Times New Roman"/>
          <w:sz w:val="24"/>
          <w:szCs w:val="24"/>
        </w:rPr>
        <w:t xml:space="preserve">investors in </w:t>
      </w:r>
      <w:r>
        <w:rPr>
          <w:rFonts w:ascii="Times New Roman" w:hAnsi="Times New Roman" w:cs="Times New Roman"/>
          <w:sz w:val="24"/>
          <w:szCs w:val="24"/>
        </w:rPr>
        <w:t xml:space="preserve">the </w:t>
      </w:r>
      <w:r w:rsidR="00A1283B">
        <w:rPr>
          <w:rFonts w:ascii="Times New Roman" w:hAnsi="Times New Roman" w:cs="Times New Roman"/>
          <w:sz w:val="24"/>
          <w:szCs w:val="24"/>
        </w:rPr>
        <w:t xml:space="preserve">BEE to </w:t>
      </w:r>
      <w:r>
        <w:rPr>
          <w:rFonts w:ascii="Times New Roman" w:hAnsi="Times New Roman" w:cs="Times New Roman"/>
          <w:sz w:val="24"/>
          <w:szCs w:val="24"/>
        </w:rPr>
        <w:t xml:space="preserve">the AER’s choice.  In the present case, the AER’s choice has been most favourable to </w:t>
      </w:r>
      <w:r w:rsidR="006A6D79">
        <w:rPr>
          <w:rFonts w:ascii="Times New Roman" w:hAnsi="Times New Roman" w:cs="Times New Roman"/>
          <w:sz w:val="24"/>
          <w:szCs w:val="24"/>
        </w:rPr>
        <w:t xml:space="preserve">investors in </w:t>
      </w:r>
      <w:r>
        <w:rPr>
          <w:rFonts w:ascii="Times New Roman" w:hAnsi="Times New Roman" w:cs="Times New Roman"/>
          <w:sz w:val="24"/>
          <w:szCs w:val="24"/>
        </w:rPr>
        <w:t xml:space="preserve">the businesses.  However, </w:t>
      </w:r>
      <w:r w:rsidR="007253C7">
        <w:rPr>
          <w:rFonts w:ascii="Times New Roman" w:hAnsi="Times New Roman" w:cs="Times New Roman"/>
          <w:sz w:val="24"/>
          <w:szCs w:val="24"/>
        </w:rPr>
        <w:t xml:space="preserve">the timing of such changes is largely arbitrary and therefore potentially exposes the AER to the </w:t>
      </w:r>
      <w:r>
        <w:rPr>
          <w:rFonts w:ascii="Times New Roman" w:hAnsi="Times New Roman" w:cs="Times New Roman"/>
          <w:sz w:val="24"/>
          <w:szCs w:val="24"/>
        </w:rPr>
        <w:t xml:space="preserve">suggestion from either </w:t>
      </w:r>
      <w:r>
        <w:rPr>
          <w:rFonts w:ascii="Times New Roman" w:hAnsi="Times New Roman" w:cs="Times New Roman"/>
          <w:sz w:val="24"/>
          <w:szCs w:val="24"/>
        </w:rPr>
        <w:lastRenderedPageBreak/>
        <w:t xml:space="preserve">consumers or </w:t>
      </w:r>
      <w:r w:rsidR="006A6D79">
        <w:rPr>
          <w:rFonts w:ascii="Times New Roman" w:hAnsi="Times New Roman" w:cs="Times New Roman"/>
          <w:sz w:val="24"/>
          <w:szCs w:val="24"/>
        </w:rPr>
        <w:t xml:space="preserve">investors in the </w:t>
      </w:r>
      <w:r w:rsidR="001207C0">
        <w:rPr>
          <w:rFonts w:ascii="Times New Roman" w:hAnsi="Times New Roman" w:cs="Times New Roman"/>
          <w:sz w:val="24"/>
          <w:szCs w:val="24"/>
        </w:rPr>
        <w:t xml:space="preserve">businesses that it </w:t>
      </w:r>
      <w:r>
        <w:rPr>
          <w:rFonts w:ascii="Times New Roman" w:hAnsi="Times New Roman" w:cs="Times New Roman"/>
          <w:sz w:val="24"/>
          <w:szCs w:val="24"/>
        </w:rPr>
        <w:t>had acted in a prejudicial fashion towards them.</w:t>
      </w:r>
      <w:r w:rsidR="000B6B09">
        <w:rPr>
          <w:rFonts w:ascii="Times New Roman" w:hAnsi="Times New Roman" w:cs="Times New Roman"/>
          <w:sz w:val="24"/>
          <w:szCs w:val="24"/>
        </w:rPr>
        <w:t xml:space="preserve">  </w:t>
      </w:r>
      <w:r w:rsidR="007253C7">
        <w:rPr>
          <w:rFonts w:ascii="Times New Roman" w:hAnsi="Times New Roman" w:cs="Times New Roman"/>
          <w:sz w:val="24"/>
          <w:szCs w:val="24"/>
        </w:rPr>
        <w:t xml:space="preserve">This exposure is </w:t>
      </w:r>
      <w:r w:rsidR="000B6B09">
        <w:rPr>
          <w:rFonts w:ascii="Times New Roman" w:hAnsi="Times New Roman" w:cs="Times New Roman"/>
          <w:sz w:val="24"/>
          <w:szCs w:val="24"/>
        </w:rPr>
        <w:t>eliminated by the AER’s transitional process, because (as noted before) it produces outcomes that closely correspond to those that would have been obtained under the old regime.</w:t>
      </w:r>
    </w:p>
    <w:p w:rsidR="003C647C" w:rsidRDefault="003C647C" w:rsidP="008A1643">
      <w:pPr>
        <w:pStyle w:val="ListParagraph"/>
        <w:spacing w:after="0" w:line="360" w:lineRule="auto"/>
        <w:ind w:left="0"/>
        <w:jc w:val="both"/>
        <w:rPr>
          <w:rFonts w:ascii="Times New Roman" w:hAnsi="Times New Roman" w:cs="Times New Roman"/>
          <w:sz w:val="24"/>
          <w:szCs w:val="24"/>
        </w:rPr>
      </w:pPr>
    </w:p>
    <w:p w:rsidR="008A1643" w:rsidRDefault="00FB0955" w:rsidP="008A164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 further potential argument for a transitional process arises from the possibility that immediate adoption of the new regime </w:t>
      </w:r>
      <w:r w:rsidR="008A1643">
        <w:rPr>
          <w:rFonts w:ascii="Times New Roman" w:hAnsi="Times New Roman" w:cs="Times New Roman"/>
          <w:sz w:val="24"/>
          <w:szCs w:val="24"/>
        </w:rPr>
        <w:t>requires the use of historical data</w:t>
      </w:r>
      <w:r>
        <w:rPr>
          <w:rFonts w:ascii="Times New Roman" w:hAnsi="Times New Roman" w:cs="Times New Roman"/>
          <w:sz w:val="24"/>
          <w:szCs w:val="24"/>
        </w:rPr>
        <w:t xml:space="preserve">, the historical data is unavailable or </w:t>
      </w:r>
      <w:r w:rsidR="008A1643">
        <w:rPr>
          <w:rFonts w:ascii="Times New Roman" w:hAnsi="Times New Roman" w:cs="Times New Roman"/>
          <w:sz w:val="24"/>
          <w:szCs w:val="24"/>
        </w:rPr>
        <w:t xml:space="preserve">contentious, </w:t>
      </w:r>
      <w:r>
        <w:rPr>
          <w:rFonts w:ascii="Times New Roman" w:hAnsi="Times New Roman" w:cs="Times New Roman"/>
          <w:sz w:val="24"/>
          <w:szCs w:val="24"/>
        </w:rPr>
        <w:t xml:space="preserve">and </w:t>
      </w:r>
      <w:r w:rsidR="008A1643">
        <w:rPr>
          <w:rFonts w:ascii="Times New Roman" w:hAnsi="Times New Roman" w:cs="Times New Roman"/>
          <w:sz w:val="24"/>
          <w:szCs w:val="24"/>
        </w:rPr>
        <w:t>the use of a transitional regime obviates the need for histo</w:t>
      </w:r>
      <w:r>
        <w:rPr>
          <w:rFonts w:ascii="Times New Roman" w:hAnsi="Times New Roman" w:cs="Times New Roman"/>
          <w:sz w:val="24"/>
          <w:szCs w:val="24"/>
        </w:rPr>
        <w:t>rical data</w:t>
      </w:r>
      <w:r w:rsidR="008A1643">
        <w:rPr>
          <w:rFonts w:ascii="Times New Roman" w:hAnsi="Times New Roman" w:cs="Times New Roman"/>
          <w:sz w:val="24"/>
          <w:szCs w:val="24"/>
        </w:rPr>
        <w:t>.  As discussed in Lally (2014</w:t>
      </w:r>
      <w:r w:rsidR="004F1913">
        <w:rPr>
          <w:rFonts w:ascii="Times New Roman" w:hAnsi="Times New Roman" w:cs="Times New Roman"/>
          <w:sz w:val="24"/>
          <w:szCs w:val="24"/>
        </w:rPr>
        <w:t>a</w:t>
      </w:r>
      <w:r w:rsidR="008A1643">
        <w:rPr>
          <w:rFonts w:ascii="Times New Roman" w:hAnsi="Times New Roman" w:cs="Times New Roman"/>
          <w:sz w:val="24"/>
          <w:szCs w:val="24"/>
        </w:rPr>
        <w:t xml:space="preserve">, section 2.3), this point applies to the DRP because the new regime requires the use of historical </w:t>
      </w:r>
      <w:r>
        <w:rPr>
          <w:rFonts w:ascii="Times New Roman" w:hAnsi="Times New Roman" w:cs="Times New Roman"/>
          <w:sz w:val="24"/>
          <w:szCs w:val="24"/>
        </w:rPr>
        <w:t xml:space="preserve">DRP </w:t>
      </w:r>
      <w:r w:rsidR="008A1643">
        <w:rPr>
          <w:rFonts w:ascii="Times New Roman" w:hAnsi="Times New Roman" w:cs="Times New Roman"/>
          <w:sz w:val="24"/>
          <w:szCs w:val="24"/>
        </w:rPr>
        <w:t xml:space="preserve">data and </w:t>
      </w:r>
      <w:r w:rsidR="00303636">
        <w:rPr>
          <w:rFonts w:ascii="Times New Roman" w:hAnsi="Times New Roman" w:cs="Times New Roman"/>
          <w:sz w:val="24"/>
          <w:szCs w:val="24"/>
        </w:rPr>
        <w:t xml:space="preserve">some of </w:t>
      </w:r>
      <w:r w:rsidR="008A1643">
        <w:rPr>
          <w:rFonts w:ascii="Times New Roman" w:hAnsi="Times New Roman" w:cs="Times New Roman"/>
          <w:sz w:val="24"/>
          <w:szCs w:val="24"/>
        </w:rPr>
        <w:t xml:space="preserve">that data is </w:t>
      </w:r>
      <w:r w:rsidR="00303636">
        <w:rPr>
          <w:rFonts w:ascii="Times New Roman" w:hAnsi="Times New Roman" w:cs="Times New Roman"/>
          <w:sz w:val="24"/>
          <w:szCs w:val="24"/>
        </w:rPr>
        <w:t xml:space="preserve">highly </w:t>
      </w:r>
      <w:r w:rsidR="008A1643">
        <w:rPr>
          <w:rFonts w:ascii="Times New Roman" w:hAnsi="Times New Roman" w:cs="Times New Roman"/>
          <w:sz w:val="24"/>
          <w:szCs w:val="24"/>
        </w:rPr>
        <w:t>contentious</w:t>
      </w:r>
      <w:r w:rsidR="000A6736">
        <w:rPr>
          <w:rFonts w:ascii="Times New Roman" w:hAnsi="Times New Roman" w:cs="Times New Roman"/>
          <w:sz w:val="24"/>
          <w:szCs w:val="24"/>
        </w:rPr>
        <w:t>.  This point also favours the AER</w:t>
      </w:r>
      <w:r w:rsidR="00EE17B7">
        <w:rPr>
          <w:rFonts w:ascii="Times New Roman" w:hAnsi="Times New Roman" w:cs="Times New Roman"/>
          <w:sz w:val="24"/>
          <w:szCs w:val="24"/>
        </w:rPr>
        <w:t>’</w:t>
      </w:r>
      <w:r>
        <w:rPr>
          <w:rFonts w:ascii="Times New Roman" w:hAnsi="Times New Roman" w:cs="Times New Roman"/>
          <w:sz w:val="24"/>
          <w:szCs w:val="24"/>
        </w:rPr>
        <w:t>s proposed transitional regime.  However, this should not be considered a substantial point because the historical data is merely contentious rather than unavailable.</w:t>
      </w:r>
    </w:p>
    <w:p w:rsidR="00C63433" w:rsidRDefault="00C63433" w:rsidP="008A1643">
      <w:pPr>
        <w:pStyle w:val="ListParagraph"/>
        <w:spacing w:after="0" w:line="360" w:lineRule="auto"/>
        <w:ind w:left="0"/>
        <w:jc w:val="both"/>
        <w:rPr>
          <w:rFonts w:ascii="Times New Roman" w:hAnsi="Times New Roman" w:cs="Times New Roman"/>
          <w:sz w:val="24"/>
          <w:szCs w:val="24"/>
        </w:rPr>
      </w:pPr>
    </w:p>
    <w:p w:rsidR="00F9381C" w:rsidRPr="00F9381C" w:rsidRDefault="00F9381C" w:rsidP="008A1643">
      <w:pPr>
        <w:pStyle w:val="ListParagraph"/>
        <w:spacing w:after="0" w:line="360" w:lineRule="auto"/>
        <w:ind w:left="0"/>
        <w:jc w:val="both"/>
        <w:rPr>
          <w:rFonts w:ascii="Times New Roman" w:hAnsi="Times New Roman" w:cs="Times New Roman"/>
          <w:i/>
          <w:sz w:val="24"/>
          <w:szCs w:val="24"/>
        </w:rPr>
      </w:pPr>
      <w:r>
        <w:rPr>
          <w:rFonts w:ascii="Times New Roman" w:hAnsi="Times New Roman" w:cs="Times New Roman"/>
          <w:i/>
          <w:sz w:val="24"/>
          <w:szCs w:val="24"/>
        </w:rPr>
        <w:t>8.9 Summary</w:t>
      </w:r>
    </w:p>
    <w:p w:rsidR="006F367C" w:rsidRDefault="00670230" w:rsidP="003D77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A618A">
        <w:rPr>
          <w:rFonts w:ascii="Times New Roman" w:hAnsi="Times New Roman" w:cs="Times New Roman"/>
          <w:sz w:val="24"/>
          <w:szCs w:val="24"/>
        </w:rPr>
        <w:t xml:space="preserve">AER is subject to the legal </w:t>
      </w:r>
      <w:r w:rsidR="00560B9F">
        <w:rPr>
          <w:rFonts w:ascii="Times New Roman" w:hAnsi="Times New Roman" w:cs="Times New Roman"/>
          <w:sz w:val="24"/>
          <w:szCs w:val="24"/>
        </w:rPr>
        <w:t xml:space="preserve">requirement to </w:t>
      </w:r>
      <w:r w:rsidR="00AA618A">
        <w:rPr>
          <w:rFonts w:ascii="Times New Roman" w:hAnsi="Times New Roman" w:cs="Times New Roman"/>
          <w:sz w:val="24"/>
          <w:szCs w:val="24"/>
        </w:rPr>
        <w:t xml:space="preserve">set the allowed cost of debt </w:t>
      </w:r>
      <w:r w:rsidR="00074820">
        <w:rPr>
          <w:rFonts w:ascii="Times New Roman" w:hAnsi="Times New Roman" w:cs="Times New Roman"/>
          <w:sz w:val="24"/>
          <w:szCs w:val="24"/>
        </w:rPr>
        <w:t xml:space="preserve">commensurate with the </w:t>
      </w:r>
      <w:r w:rsidR="00DA0302">
        <w:rPr>
          <w:rFonts w:ascii="Times New Roman" w:hAnsi="Times New Roman" w:cs="Times New Roman"/>
          <w:sz w:val="24"/>
          <w:szCs w:val="24"/>
        </w:rPr>
        <w:t xml:space="preserve">costs </w:t>
      </w:r>
      <w:r w:rsidR="00AA618A">
        <w:rPr>
          <w:rFonts w:ascii="Times New Roman" w:hAnsi="Times New Roman" w:cs="Times New Roman"/>
          <w:sz w:val="24"/>
          <w:szCs w:val="24"/>
        </w:rPr>
        <w:t>incurred by a BEE</w:t>
      </w:r>
      <w:r w:rsidR="008D1DEB">
        <w:rPr>
          <w:rFonts w:ascii="Times New Roman" w:hAnsi="Times New Roman" w:cs="Times New Roman"/>
          <w:sz w:val="24"/>
          <w:szCs w:val="24"/>
        </w:rPr>
        <w:t>,</w:t>
      </w:r>
      <w:r w:rsidR="00AA618A">
        <w:rPr>
          <w:rFonts w:ascii="Times New Roman" w:hAnsi="Times New Roman" w:cs="Times New Roman"/>
          <w:sz w:val="24"/>
          <w:szCs w:val="24"/>
        </w:rPr>
        <w:t xml:space="preserve"> and </w:t>
      </w:r>
      <w:r w:rsidR="00560B9F">
        <w:rPr>
          <w:rFonts w:ascii="Times New Roman" w:hAnsi="Times New Roman" w:cs="Times New Roman"/>
          <w:sz w:val="24"/>
          <w:szCs w:val="24"/>
        </w:rPr>
        <w:t xml:space="preserve">this is equivalent to the NPV = 0 principle.  </w:t>
      </w:r>
      <w:r w:rsidR="00014774">
        <w:rPr>
          <w:rFonts w:ascii="Times New Roman" w:hAnsi="Times New Roman" w:cs="Times New Roman"/>
          <w:sz w:val="24"/>
          <w:szCs w:val="24"/>
        </w:rPr>
        <w:t xml:space="preserve">A policy of immediately adopting a new regime only when </w:t>
      </w:r>
      <w:r w:rsidR="00BE140D">
        <w:rPr>
          <w:rFonts w:ascii="Times New Roman" w:hAnsi="Times New Roman" w:cs="Times New Roman"/>
          <w:sz w:val="24"/>
          <w:szCs w:val="24"/>
        </w:rPr>
        <w:t xml:space="preserve">the one-off impact is </w:t>
      </w:r>
      <w:r w:rsidR="00014774">
        <w:rPr>
          <w:rFonts w:ascii="Times New Roman" w:hAnsi="Times New Roman" w:cs="Times New Roman"/>
          <w:sz w:val="24"/>
          <w:szCs w:val="24"/>
        </w:rPr>
        <w:t xml:space="preserve">favourable to the BEE but not otherwise would necessarily violate this NPV = 0 principle.  Alternatively, a policy of immediately adopting a new regime in all cases would expose the BEE to potentially very large risks, thereby discouraging investment.  It would also expose the BEE to the possibility of an adverse shocks so large as to threaten </w:t>
      </w:r>
      <w:r w:rsidR="00DA0302">
        <w:rPr>
          <w:rFonts w:ascii="Times New Roman" w:hAnsi="Times New Roman" w:cs="Times New Roman"/>
          <w:sz w:val="24"/>
          <w:szCs w:val="24"/>
        </w:rPr>
        <w:t xml:space="preserve">its </w:t>
      </w:r>
      <w:r w:rsidR="00014774">
        <w:rPr>
          <w:rFonts w:ascii="Times New Roman" w:hAnsi="Times New Roman" w:cs="Times New Roman"/>
          <w:sz w:val="24"/>
          <w:szCs w:val="24"/>
        </w:rPr>
        <w:t xml:space="preserve">financial viability, which would either lead to regulatory relief in such cases (and hence violation of the NPV = 0 principle) or the possibility of a supply disruption.  In addition, even if the policy of immediately adopting a regime change regardless of the </w:t>
      </w:r>
      <w:r w:rsidR="00BE140D">
        <w:rPr>
          <w:rFonts w:ascii="Times New Roman" w:hAnsi="Times New Roman" w:cs="Times New Roman"/>
          <w:sz w:val="24"/>
          <w:szCs w:val="24"/>
        </w:rPr>
        <w:t xml:space="preserve">one-off </w:t>
      </w:r>
      <w:r w:rsidR="00014774">
        <w:rPr>
          <w:rFonts w:ascii="Times New Roman" w:hAnsi="Times New Roman" w:cs="Times New Roman"/>
          <w:sz w:val="24"/>
          <w:szCs w:val="24"/>
        </w:rPr>
        <w:t xml:space="preserve">impact on the BEE were rigorously followed, the upside and downside from the policy might not be symmetric, in which case the NPV = 0 principle would still be violated.  These disadvantages are all so substantial that the only viable regulatory policy would be to neutralize the </w:t>
      </w:r>
      <w:r w:rsidR="00BE140D">
        <w:rPr>
          <w:rFonts w:ascii="Times New Roman" w:hAnsi="Times New Roman" w:cs="Times New Roman"/>
          <w:sz w:val="24"/>
          <w:szCs w:val="24"/>
        </w:rPr>
        <w:t xml:space="preserve">one-off </w:t>
      </w:r>
      <w:r w:rsidR="00014774">
        <w:rPr>
          <w:rFonts w:ascii="Times New Roman" w:hAnsi="Times New Roman" w:cs="Times New Roman"/>
          <w:sz w:val="24"/>
          <w:szCs w:val="24"/>
        </w:rPr>
        <w:t xml:space="preserve">effects of regime changes, possibly through a transitional regime, or at least to do so when the effects in </w:t>
      </w:r>
      <w:r w:rsidR="00014774" w:rsidRPr="006D60E0">
        <w:rPr>
          <w:rFonts w:ascii="Times New Roman" w:hAnsi="Times New Roman" w:cs="Times New Roman"/>
          <w:i/>
          <w:sz w:val="24"/>
          <w:szCs w:val="24"/>
        </w:rPr>
        <w:t>either</w:t>
      </w:r>
      <w:r w:rsidR="00014774">
        <w:rPr>
          <w:rFonts w:ascii="Times New Roman" w:hAnsi="Times New Roman" w:cs="Times New Roman"/>
          <w:sz w:val="24"/>
          <w:szCs w:val="24"/>
        </w:rPr>
        <w:t xml:space="preserve"> direction </w:t>
      </w:r>
      <w:r w:rsidR="00631F65">
        <w:rPr>
          <w:rFonts w:ascii="Times New Roman" w:hAnsi="Times New Roman" w:cs="Times New Roman"/>
          <w:sz w:val="24"/>
          <w:szCs w:val="24"/>
        </w:rPr>
        <w:t xml:space="preserve">are </w:t>
      </w:r>
      <w:r w:rsidR="00014774">
        <w:rPr>
          <w:rFonts w:ascii="Times New Roman" w:hAnsi="Times New Roman" w:cs="Times New Roman"/>
          <w:sz w:val="24"/>
          <w:szCs w:val="24"/>
        </w:rPr>
        <w:t>substantial.</w:t>
      </w:r>
    </w:p>
    <w:p w:rsidR="00014774" w:rsidRDefault="00014774" w:rsidP="003D7799">
      <w:pPr>
        <w:spacing w:after="0" w:line="360" w:lineRule="auto"/>
        <w:jc w:val="both"/>
        <w:rPr>
          <w:rFonts w:ascii="Times New Roman" w:hAnsi="Times New Roman" w:cs="Times New Roman"/>
          <w:sz w:val="24"/>
          <w:szCs w:val="24"/>
        </w:rPr>
      </w:pPr>
    </w:p>
    <w:p w:rsidR="00012510" w:rsidRDefault="006E7C79" w:rsidP="003D77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respect of the base rate component of the cost of debt, the regime change </w:t>
      </w:r>
      <w:r w:rsidR="00670230">
        <w:rPr>
          <w:rFonts w:ascii="Times New Roman" w:hAnsi="Times New Roman" w:cs="Times New Roman"/>
          <w:sz w:val="24"/>
          <w:szCs w:val="24"/>
        </w:rPr>
        <w:t xml:space="preserve">in question here would cause a </w:t>
      </w:r>
      <w:r>
        <w:rPr>
          <w:rFonts w:ascii="Times New Roman" w:hAnsi="Times New Roman" w:cs="Times New Roman"/>
          <w:sz w:val="24"/>
          <w:szCs w:val="24"/>
        </w:rPr>
        <w:t xml:space="preserve">BEE to change its behavior, thereby temporarily leaving it with costs arising from its behavior under the previous regime.  Under such circumstances, immediately </w:t>
      </w:r>
      <w:r>
        <w:rPr>
          <w:rFonts w:ascii="Times New Roman" w:hAnsi="Times New Roman" w:cs="Times New Roman"/>
          <w:sz w:val="24"/>
          <w:szCs w:val="24"/>
        </w:rPr>
        <w:lastRenderedPageBreak/>
        <w:t xml:space="preserve">applying the new regime </w:t>
      </w:r>
      <w:r w:rsidR="00670230">
        <w:rPr>
          <w:rFonts w:ascii="Times New Roman" w:hAnsi="Times New Roman" w:cs="Times New Roman"/>
          <w:sz w:val="24"/>
          <w:szCs w:val="24"/>
        </w:rPr>
        <w:t xml:space="preserve">would </w:t>
      </w:r>
      <w:r w:rsidR="00957393">
        <w:rPr>
          <w:rFonts w:ascii="Times New Roman" w:hAnsi="Times New Roman" w:cs="Times New Roman"/>
          <w:sz w:val="24"/>
          <w:szCs w:val="24"/>
        </w:rPr>
        <w:t>lead to a BEE over recovering its incurred costs by up to $4b over the next nine years</w:t>
      </w:r>
      <w:r w:rsidR="00670230">
        <w:rPr>
          <w:rFonts w:ascii="Times New Roman" w:hAnsi="Times New Roman" w:cs="Times New Roman"/>
          <w:sz w:val="24"/>
          <w:szCs w:val="24"/>
        </w:rPr>
        <w:t xml:space="preserve">.  By contrast, the </w:t>
      </w:r>
      <w:r>
        <w:rPr>
          <w:rFonts w:ascii="Times New Roman" w:hAnsi="Times New Roman" w:cs="Times New Roman"/>
          <w:sz w:val="24"/>
          <w:szCs w:val="24"/>
        </w:rPr>
        <w:t xml:space="preserve">AER’s proposed transitional </w:t>
      </w:r>
      <w:r w:rsidR="00560B9F">
        <w:rPr>
          <w:rFonts w:ascii="Times New Roman" w:hAnsi="Times New Roman" w:cs="Times New Roman"/>
          <w:sz w:val="24"/>
          <w:szCs w:val="24"/>
        </w:rPr>
        <w:t xml:space="preserve">regime </w:t>
      </w:r>
      <w:r w:rsidR="00074820">
        <w:rPr>
          <w:rFonts w:ascii="Times New Roman" w:hAnsi="Times New Roman" w:cs="Times New Roman"/>
          <w:sz w:val="24"/>
          <w:szCs w:val="24"/>
        </w:rPr>
        <w:t xml:space="preserve">largely </w:t>
      </w:r>
      <w:r w:rsidR="00A92818">
        <w:rPr>
          <w:rFonts w:ascii="Times New Roman" w:hAnsi="Times New Roman" w:cs="Times New Roman"/>
          <w:sz w:val="24"/>
          <w:szCs w:val="24"/>
        </w:rPr>
        <w:t>neutralizes this</w:t>
      </w:r>
      <w:r w:rsidR="007D6F39">
        <w:rPr>
          <w:rFonts w:ascii="Times New Roman" w:hAnsi="Times New Roman" w:cs="Times New Roman"/>
          <w:sz w:val="24"/>
          <w:szCs w:val="24"/>
        </w:rPr>
        <w:t xml:space="preserve"> one-off effect</w:t>
      </w:r>
      <w:r w:rsidR="00560B9F">
        <w:rPr>
          <w:rFonts w:ascii="Times New Roman" w:hAnsi="Times New Roman" w:cs="Times New Roman"/>
          <w:sz w:val="24"/>
          <w:szCs w:val="24"/>
        </w:rPr>
        <w:t xml:space="preserve">.  </w:t>
      </w:r>
      <w:r w:rsidR="00DA0302">
        <w:rPr>
          <w:rFonts w:ascii="Times New Roman" w:hAnsi="Times New Roman" w:cs="Times New Roman"/>
          <w:sz w:val="24"/>
          <w:szCs w:val="24"/>
        </w:rPr>
        <w:t xml:space="preserve">Since the effect is large and the AER’s proposed transitional regime largely neutralizes it, </w:t>
      </w:r>
      <w:r w:rsidR="00670230">
        <w:rPr>
          <w:rFonts w:ascii="Times New Roman" w:hAnsi="Times New Roman" w:cs="Times New Roman"/>
          <w:sz w:val="24"/>
          <w:szCs w:val="24"/>
        </w:rPr>
        <w:t xml:space="preserve">I therefore favour </w:t>
      </w:r>
      <w:r w:rsidR="003E47B6">
        <w:rPr>
          <w:rFonts w:ascii="Times New Roman" w:hAnsi="Times New Roman" w:cs="Times New Roman"/>
          <w:sz w:val="24"/>
          <w:szCs w:val="24"/>
        </w:rPr>
        <w:t xml:space="preserve">applying </w:t>
      </w:r>
      <w:r w:rsidR="00670230">
        <w:rPr>
          <w:rFonts w:ascii="Times New Roman" w:hAnsi="Times New Roman" w:cs="Times New Roman"/>
          <w:sz w:val="24"/>
          <w:szCs w:val="24"/>
        </w:rPr>
        <w:t xml:space="preserve">the </w:t>
      </w:r>
      <w:r w:rsidR="00A92818">
        <w:rPr>
          <w:rFonts w:ascii="Times New Roman" w:hAnsi="Times New Roman" w:cs="Times New Roman"/>
          <w:sz w:val="24"/>
          <w:szCs w:val="24"/>
        </w:rPr>
        <w:t xml:space="preserve">AER’s </w:t>
      </w:r>
      <w:r w:rsidR="00670230">
        <w:rPr>
          <w:rFonts w:ascii="Times New Roman" w:hAnsi="Times New Roman" w:cs="Times New Roman"/>
          <w:sz w:val="24"/>
          <w:szCs w:val="24"/>
        </w:rPr>
        <w:t>proposed transitional regime to the base rate component of the cost of debt</w:t>
      </w:r>
      <w:r w:rsidR="00074820">
        <w:rPr>
          <w:rFonts w:ascii="Times New Roman" w:hAnsi="Times New Roman" w:cs="Times New Roman"/>
          <w:sz w:val="24"/>
          <w:szCs w:val="24"/>
        </w:rPr>
        <w:t>.</w:t>
      </w:r>
    </w:p>
    <w:p w:rsidR="00012510" w:rsidRDefault="00012510" w:rsidP="003D7799">
      <w:pPr>
        <w:spacing w:after="0" w:line="360" w:lineRule="auto"/>
        <w:jc w:val="both"/>
        <w:rPr>
          <w:rFonts w:ascii="Times New Roman" w:hAnsi="Times New Roman" w:cs="Times New Roman"/>
          <w:sz w:val="24"/>
          <w:szCs w:val="24"/>
        </w:rPr>
      </w:pPr>
    </w:p>
    <w:p w:rsidR="00A92818" w:rsidRDefault="00273EA7" w:rsidP="00A928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respect of the </w:t>
      </w:r>
      <w:r w:rsidR="006E7C79">
        <w:rPr>
          <w:rFonts w:ascii="Times New Roman" w:hAnsi="Times New Roman" w:cs="Times New Roman"/>
          <w:sz w:val="24"/>
          <w:szCs w:val="24"/>
        </w:rPr>
        <w:t xml:space="preserve">DRP component of the cost of debt, the regime change </w:t>
      </w:r>
      <w:r>
        <w:rPr>
          <w:rFonts w:ascii="Times New Roman" w:hAnsi="Times New Roman" w:cs="Times New Roman"/>
          <w:sz w:val="24"/>
          <w:szCs w:val="24"/>
        </w:rPr>
        <w:t>in question here would not cause a BEE to change its behavior</w:t>
      </w:r>
      <w:r w:rsidR="00074820">
        <w:rPr>
          <w:rFonts w:ascii="Times New Roman" w:hAnsi="Times New Roman" w:cs="Times New Roman"/>
          <w:sz w:val="24"/>
          <w:szCs w:val="24"/>
        </w:rPr>
        <w:t xml:space="preserve">.  However, </w:t>
      </w:r>
      <w:r w:rsidR="00A92818">
        <w:rPr>
          <w:rFonts w:ascii="Times New Roman" w:hAnsi="Times New Roman" w:cs="Times New Roman"/>
          <w:sz w:val="24"/>
          <w:szCs w:val="24"/>
        </w:rPr>
        <w:t>under the previous on-the-day regime, DRP shocks could give rise to substantial differences between the allowed DRP and that incurred and the accumulated effects could be substantial for many years.  Averaged over different regulatory reset dates, these accumulated differences would be initially negative, then positive, and eventually tail away to zero</w:t>
      </w:r>
      <w:r w:rsidR="007D6F39">
        <w:rPr>
          <w:rFonts w:ascii="Times New Roman" w:hAnsi="Times New Roman" w:cs="Times New Roman"/>
          <w:sz w:val="24"/>
          <w:szCs w:val="24"/>
        </w:rPr>
        <w:t xml:space="preserve"> providing the old regime were maintained until the accumulated effect dissipated</w:t>
      </w:r>
      <w:r w:rsidR="00A92818">
        <w:rPr>
          <w:rFonts w:ascii="Times New Roman" w:hAnsi="Times New Roman" w:cs="Times New Roman"/>
          <w:sz w:val="24"/>
          <w:szCs w:val="24"/>
        </w:rPr>
        <w:t xml:space="preserve">.  Immediate adoption of the new regime at a time when the accumulated effect was positive or negative would prevent these accumulated gains or losses from being gradually eroded away and they would instead be retained by the BEE; this would be a </w:t>
      </w:r>
      <w:r w:rsidR="00A92818" w:rsidRPr="00B20D1B">
        <w:rPr>
          <w:rFonts w:ascii="Times New Roman" w:hAnsi="Times New Roman" w:cs="Times New Roman"/>
          <w:sz w:val="24"/>
          <w:szCs w:val="24"/>
        </w:rPr>
        <w:t>‘windfall’</w:t>
      </w:r>
      <w:r w:rsidR="00A92818">
        <w:rPr>
          <w:rFonts w:ascii="Times New Roman" w:hAnsi="Times New Roman" w:cs="Times New Roman"/>
          <w:sz w:val="24"/>
          <w:szCs w:val="24"/>
        </w:rPr>
        <w:t xml:space="preserve"> benefit or loss to the investors in the BEE.  In this particular case, the new regime </w:t>
      </w:r>
      <w:r>
        <w:rPr>
          <w:rFonts w:ascii="Times New Roman" w:hAnsi="Times New Roman" w:cs="Times New Roman"/>
          <w:sz w:val="24"/>
          <w:szCs w:val="24"/>
        </w:rPr>
        <w:t xml:space="preserve">has been </w:t>
      </w:r>
      <w:r w:rsidR="00A92818">
        <w:rPr>
          <w:rFonts w:ascii="Times New Roman" w:hAnsi="Times New Roman" w:cs="Times New Roman"/>
          <w:sz w:val="24"/>
          <w:szCs w:val="24"/>
        </w:rPr>
        <w:t xml:space="preserve">adopted at a time when these effects are at their most extreme and </w:t>
      </w:r>
      <w:r>
        <w:rPr>
          <w:rFonts w:ascii="Times New Roman" w:hAnsi="Times New Roman" w:cs="Times New Roman"/>
          <w:sz w:val="24"/>
          <w:szCs w:val="24"/>
        </w:rPr>
        <w:t xml:space="preserve">immediate adoption would give rise to a </w:t>
      </w:r>
      <w:r w:rsidR="00A92818">
        <w:rPr>
          <w:rFonts w:ascii="Times New Roman" w:hAnsi="Times New Roman" w:cs="Times New Roman"/>
          <w:sz w:val="24"/>
          <w:szCs w:val="24"/>
        </w:rPr>
        <w:t>$2.3b windfall benefit to the investors in the BEE.</w:t>
      </w:r>
      <w:r w:rsidR="00157491">
        <w:rPr>
          <w:rFonts w:ascii="Times New Roman" w:hAnsi="Times New Roman" w:cs="Times New Roman"/>
          <w:sz w:val="24"/>
          <w:szCs w:val="24"/>
        </w:rPr>
        <w:t xml:space="preserve">  </w:t>
      </w:r>
      <w:r w:rsidR="00157491" w:rsidRPr="00A85EBC">
        <w:rPr>
          <w:rFonts w:ascii="Times New Roman" w:hAnsi="Times New Roman" w:cs="Times New Roman"/>
          <w:sz w:val="24"/>
          <w:szCs w:val="24"/>
        </w:rPr>
        <w:t>Equivalently expressed, adopting the new regime at this time leads to double counting of the DRP results from the high DRP years (2008-2015) and therefore benefiting the average BEE.</w:t>
      </w:r>
      <w:r w:rsidR="00157491">
        <w:rPr>
          <w:rFonts w:ascii="Times New Roman" w:hAnsi="Times New Roman" w:cs="Times New Roman"/>
          <w:sz w:val="24"/>
          <w:szCs w:val="24"/>
        </w:rPr>
        <w:t xml:space="preserve">  </w:t>
      </w:r>
      <w:r w:rsidR="00A92818">
        <w:rPr>
          <w:rFonts w:ascii="Times New Roman" w:hAnsi="Times New Roman" w:cs="Times New Roman"/>
          <w:sz w:val="24"/>
          <w:szCs w:val="24"/>
        </w:rPr>
        <w:t xml:space="preserve">By contrast, the AER’s proposed transitional regime largely neutralizes this </w:t>
      </w:r>
      <w:r w:rsidR="007D6F39">
        <w:rPr>
          <w:rFonts w:ascii="Times New Roman" w:hAnsi="Times New Roman" w:cs="Times New Roman"/>
          <w:sz w:val="24"/>
          <w:szCs w:val="24"/>
        </w:rPr>
        <w:t xml:space="preserve">one-off </w:t>
      </w:r>
      <w:r w:rsidR="00A92818">
        <w:rPr>
          <w:rFonts w:ascii="Times New Roman" w:hAnsi="Times New Roman" w:cs="Times New Roman"/>
          <w:sz w:val="24"/>
          <w:szCs w:val="24"/>
        </w:rPr>
        <w:t xml:space="preserve">outcome not only for the average BEE (with averaging over </w:t>
      </w:r>
      <w:r w:rsidR="00570E9C">
        <w:rPr>
          <w:rFonts w:ascii="Times New Roman" w:hAnsi="Times New Roman" w:cs="Times New Roman"/>
          <w:sz w:val="24"/>
          <w:szCs w:val="24"/>
        </w:rPr>
        <w:t xml:space="preserve">different </w:t>
      </w:r>
      <w:r w:rsidR="00A92818">
        <w:rPr>
          <w:rFonts w:ascii="Times New Roman" w:hAnsi="Times New Roman" w:cs="Times New Roman"/>
          <w:sz w:val="24"/>
          <w:szCs w:val="24"/>
        </w:rPr>
        <w:t xml:space="preserve">regulatory reset dates) but also for individual BEEs with different regulatory reset dates.  </w:t>
      </w:r>
      <w:r w:rsidR="00DA0302">
        <w:rPr>
          <w:rFonts w:ascii="Times New Roman" w:hAnsi="Times New Roman" w:cs="Times New Roman"/>
          <w:sz w:val="24"/>
          <w:szCs w:val="24"/>
        </w:rPr>
        <w:t xml:space="preserve">So, again, since the </w:t>
      </w:r>
      <w:r w:rsidR="00BE140D">
        <w:rPr>
          <w:rFonts w:ascii="Times New Roman" w:hAnsi="Times New Roman" w:cs="Times New Roman"/>
          <w:sz w:val="24"/>
          <w:szCs w:val="24"/>
        </w:rPr>
        <w:t xml:space="preserve">one-off </w:t>
      </w:r>
      <w:r w:rsidR="00DA0302">
        <w:rPr>
          <w:rFonts w:ascii="Times New Roman" w:hAnsi="Times New Roman" w:cs="Times New Roman"/>
          <w:sz w:val="24"/>
          <w:szCs w:val="24"/>
        </w:rPr>
        <w:t xml:space="preserve">effect is large and the AER’s proposed transitional regime largely neutralizes it, I therefore favour </w:t>
      </w:r>
      <w:r w:rsidR="003E47B6">
        <w:rPr>
          <w:rFonts w:ascii="Times New Roman" w:hAnsi="Times New Roman" w:cs="Times New Roman"/>
          <w:sz w:val="24"/>
          <w:szCs w:val="24"/>
        </w:rPr>
        <w:t xml:space="preserve">applying </w:t>
      </w:r>
      <w:r w:rsidR="00DA0302">
        <w:rPr>
          <w:rFonts w:ascii="Times New Roman" w:hAnsi="Times New Roman" w:cs="Times New Roman"/>
          <w:sz w:val="24"/>
          <w:szCs w:val="24"/>
        </w:rPr>
        <w:t xml:space="preserve">the </w:t>
      </w:r>
      <w:r w:rsidR="00A92818">
        <w:rPr>
          <w:rFonts w:ascii="Times New Roman" w:hAnsi="Times New Roman" w:cs="Times New Roman"/>
          <w:sz w:val="24"/>
          <w:szCs w:val="24"/>
        </w:rPr>
        <w:t>AER’s proposed transitional regime</w:t>
      </w:r>
      <w:r w:rsidR="00670230">
        <w:rPr>
          <w:rFonts w:ascii="Times New Roman" w:hAnsi="Times New Roman" w:cs="Times New Roman"/>
          <w:sz w:val="24"/>
          <w:szCs w:val="24"/>
        </w:rPr>
        <w:t xml:space="preserve"> </w:t>
      </w:r>
      <w:r w:rsidR="003E47B6">
        <w:rPr>
          <w:rFonts w:ascii="Times New Roman" w:hAnsi="Times New Roman" w:cs="Times New Roman"/>
          <w:sz w:val="24"/>
          <w:szCs w:val="24"/>
        </w:rPr>
        <w:t xml:space="preserve">to </w:t>
      </w:r>
      <w:r w:rsidR="00670230">
        <w:rPr>
          <w:rFonts w:ascii="Times New Roman" w:hAnsi="Times New Roman" w:cs="Times New Roman"/>
          <w:sz w:val="24"/>
          <w:szCs w:val="24"/>
        </w:rPr>
        <w:t>the DRP component of the cost of debt.</w:t>
      </w:r>
      <w:r w:rsidR="00A92818">
        <w:rPr>
          <w:rFonts w:ascii="Times New Roman" w:hAnsi="Times New Roman" w:cs="Times New Roman"/>
          <w:sz w:val="24"/>
          <w:szCs w:val="24"/>
        </w:rPr>
        <w:t xml:space="preserve"> </w:t>
      </w:r>
    </w:p>
    <w:p w:rsidR="00A92818" w:rsidRDefault="00A92818" w:rsidP="005D08A4">
      <w:pPr>
        <w:spacing w:after="0" w:line="360" w:lineRule="auto"/>
        <w:jc w:val="both"/>
        <w:rPr>
          <w:rFonts w:ascii="Times New Roman" w:hAnsi="Times New Roman" w:cs="Times New Roman"/>
          <w:sz w:val="24"/>
          <w:szCs w:val="24"/>
        </w:rPr>
      </w:pPr>
    </w:p>
    <w:p w:rsidR="00AA618A" w:rsidRDefault="00000629" w:rsidP="005D08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w:t>
      </w:r>
      <w:r w:rsidR="000B6B09">
        <w:rPr>
          <w:rFonts w:ascii="Times New Roman" w:hAnsi="Times New Roman" w:cs="Times New Roman"/>
          <w:sz w:val="24"/>
          <w:szCs w:val="24"/>
        </w:rPr>
        <w:t xml:space="preserve">the AER’s proposed approach </w:t>
      </w:r>
      <w:r w:rsidR="0079041C">
        <w:rPr>
          <w:rFonts w:ascii="Times New Roman" w:hAnsi="Times New Roman" w:cs="Times New Roman"/>
          <w:sz w:val="24"/>
          <w:szCs w:val="24"/>
        </w:rPr>
        <w:t xml:space="preserve">protects the AER from either consumers or </w:t>
      </w:r>
      <w:r w:rsidR="006A2184">
        <w:rPr>
          <w:rFonts w:ascii="Times New Roman" w:hAnsi="Times New Roman" w:cs="Times New Roman"/>
          <w:sz w:val="24"/>
          <w:szCs w:val="24"/>
        </w:rPr>
        <w:t xml:space="preserve">investors in these </w:t>
      </w:r>
      <w:r w:rsidR="0079041C">
        <w:rPr>
          <w:rFonts w:ascii="Times New Roman" w:hAnsi="Times New Roman" w:cs="Times New Roman"/>
          <w:sz w:val="24"/>
          <w:szCs w:val="24"/>
        </w:rPr>
        <w:t xml:space="preserve">businesses believing that </w:t>
      </w:r>
      <w:r w:rsidR="007253C7">
        <w:rPr>
          <w:rFonts w:ascii="Times New Roman" w:hAnsi="Times New Roman" w:cs="Times New Roman"/>
          <w:sz w:val="24"/>
          <w:szCs w:val="24"/>
        </w:rPr>
        <w:t xml:space="preserve">the AER’s choice of the timing for the regime change is a prejudicial act </w:t>
      </w:r>
      <w:r w:rsidR="0079041C">
        <w:rPr>
          <w:rFonts w:ascii="Times New Roman" w:hAnsi="Times New Roman" w:cs="Times New Roman"/>
          <w:sz w:val="24"/>
          <w:szCs w:val="24"/>
        </w:rPr>
        <w:t xml:space="preserve">towards them, and </w:t>
      </w:r>
      <w:r w:rsidR="00E57810">
        <w:rPr>
          <w:rFonts w:ascii="Times New Roman" w:hAnsi="Times New Roman" w:cs="Times New Roman"/>
          <w:sz w:val="24"/>
          <w:szCs w:val="24"/>
        </w:rPr>
        <w:t xml:space="preserve">it </w:t>
      </w:r>
      <w:r>
        <w:rPr>
          <w:rFonts w:ascii="Times New Roman" w:hAnsi="Times New Roman" w:cs="Times New Roman"/>
          <w:sz w:val="24"/>
          <w:szCs w:val="24"/>
        </w:rPr>
        <w:t xml:space="preserve">obviates </w:t>
      </w:r>
      <w:r w:rsidR="00F82557">
        <w:rPr>
          <w:rFonts w:ascii="Times New Roman" w:hAnsi="Times New Roman" w:cs="Times New Roman"/>
          <w:sz w:val="24"/>
          <w:szCs w:val="24"/>
        </w:rPr>
        <w:t xml:space="preserve">the need to collect </w:t>
      </w:r>
      <w:r w:rsidR="00670230">
        <w:rPr>
          <w:rFonts w:ascii="Times New Roman" w:hAnsi="Times New Roman" w:cs="Times New Roman"/>
          <w:sz w:val="24"/>
          <w:szCs w:val="24"/>
        </w:rPr>
        <w:t xml:space="preserve">contentious </w:t>
      </w:r>
      <w:r w:rsidR="00F82557">
        <w:rPr>
          <w:rFonts w:ascii="Times New Roman" w:hAnsi="Times New Roman" w:cs="Times New Roman"/>
          <w:sz w:val="24"/>
          <w:szCs w:val="24"/>
        </w:rPr>
        <w:t>historical DRP data</w:t>
      </w:r>
      <w:r w:rsidR="00670230">
        <w:rPr>
          <w:rFonts w:ascii="Times New Roman" w:hAnsi="Times New Roman" w:cs="Times New Roman"/>
          <w:sz w:val="24"/>
          <w:szCs w:val="24"/>
        </w:rPr>
        <w:t>.</w:t>
      </w:r>
    </w:p>
    <w:p w:rsidR="00C229A2" w:rsidRDefault="00C229A2" w:rsidP="00C229A2">
      <w:pPr>
        <w:spacing w:after="0" w:line="360" w:lineRule="auto"/>
        <w:jc w:val="both"/>
        <w:rPr>
          <w:rFonts w:ascii="Times New Roman" w:hAnsi="Times New Roman" w:cs="Times New Roman"/>
          <w:sz w:val="24"/>
          <w:szCs w:val="24"/>
        </w:rPr>
      </w:pPr>
    </w:p>
    <w:p w:rsidR="00D770E6" w:rsidRDefault="00D770E6" w:rsidP="00C229A2">
      <w:pPr>
        <w:spacing w:after="0" w:line="360" w:lineRule="auto"/>
        <w:jc w:val="both"/>
        <w:rPr>
          <w:rFonts w:ascii="Times New Roman" w:hAnsi="Times New Roman" w:cs="Times New Roman"/>
          <w:sz w:val="24"/>
          <w:szCs w:val="24"/>
        </w:rPr>
      </w:pPr>
    </w:p>
    <w:p w:rsidR="00D770E6" w:rsidRDefault="00D770E6" w:rsidP="00C229A2">
      <w:pPr>
        <w:spacing w:after="0" w:line="360" w:lineRule="auto"/>
        <w:jc w:val="both"/>
        <w:rPr>
          <w:rFonts w:ascii="Times New Roman" w:hAnsi="Times New Roman" w:cs="Times New Roman"/>
          <w:sz w:val="24"/>
          <w:szCs w:val="24"/>
        </w:rPr>
      </w:pPr>
    </w:p>
    <w:p w:rsidR="00D770E6" w:rsidRDefault="00D770E6" w:rsidP="00C229A2">
      <w:pPr>
        <w:spacing w:after="0" w:line="360" w:lineRule="auto"/>
        <w:jc w:val="both"/>
        <w:rPr>
          <w:rFonts w:ascii="Times New Roman" w:hAnsi="Times New Roman" w:cs="Times New Roman"/>
          <w:sz w:val="24"/>
          <w:szCs w:val="24"/>
        </w:rPr>
      </w:pPr>
    </w:p>
    <w:p w:rsidR="004815BE" w:rsidRPr="004815BE" w:rsidRDefault="004815BE" w:rsidP="004815BE">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Review of Submissions</w:t>
      </w:r>
    </w:p>
    <w:p w:rsidR="004815BE" w:rsidRPr="004815BE" w:rsidRDefault="004815BE" w:rsidP="00C229A2">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9.1 UBS </w:t>
      </w:r>
      <w:r>
        <w:rPr>
          <w:rFonts w:ascii="Times New Roman" w:hAnsi="Times New Roman" w:cs="Times New Roman"/>
          <w:sz w:val="24"/>
          <w:szCs w:val="24"/>
        </w:rPr>
        <w:t>(</w:t>
      </w:r>
      <w:r>
        <w:rPr>
          <w:rFonts w:ascii="Times New Roman" w:hAnsi="Times New Roman" w:cs="Times New Roman"/>
          <w:i/>
          <w:sz w:val="24"/>
          <w:szCs w:val="24"/>
        </w:rPr>
        <w:t>for TransGrid</w:t>
      </w:r>
      <w:r>
        <w:rPr>
          <w:rFonts w:ascii="Times New Roman" w:hAnsi="Times New Roman" w:cs="Times New Roman"/>
          <w:sz w:val="24"/>
          <w:szCs w:val="24"/>
        </w:rPr>
        <w:t>)</w:t>
      </w:r>
    </w:p>
    <w:p w:rsidR="004815BE" w:rsidRDefault="00844781"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UBS (2015, pp. 1-5) argues that </w:t>
      </w:r>
      <w:r w:rsidR="004815BE">
        <w:rPr>
          <w:rFonts w:ascii="Times New Roman" w:hAnsi="Times New Roman" w:cs="Times New Roman"/>
          <w:sz w:val="24"/>
          <w:szCs w:val="24"/>
        </w:rPr>
        <w:t xml:space="preserve">the NSW </w:t>
      </w:r>
      <w:r w:rsidR="00014DC9">
        <w:rPr>
          <w:rFonts w:ascii="Times New Roman" w:hAnsi="Times New Roman" w:cs="Times New Roman"/>
          <w:sz w:val="24"/>
          <w:szCs w:val="24"/>
        </w:rPr>
        <w:t xml:space="preserve">businesses </w:t>
      </w:r>
      <w:r>
        <w:rPr>
          <w:rFonts w:ascii="Times New Roman" w:hAnsi="Times New Roman" w:cs="Times New Roman"/>
          <w:sz w:val="24"/>
          <w:szCs w:val="24"/>
        </w:rPr>
        <w:t xml:space="preserve">should not have attempted in 2008-2009 to have hedged the base rate </w:t>
      </w:r>
      <w:r w:rsidR="004815BE">
        <w:rPr>
          <w:rFonts w:ascii="Times New Roman" w:hAnsi="Times New Roman" w:cs="Times New Roman"/>
          <w:sz w:val="24"/>
          <w:szCs w:val="24"/>
        </w:rPr>
        <w:t xml:space="preserve">component of the cost of debt associated with the 2009-2014 </w:t>
      </w:r>
      <w:r>
        <w:rPr>
          <w:rFonts w:ascii="Times New Roman" w:hAnsi="Times New Roman" w:cs="Times New Roman"/>
          <w:sz w:val="24"/>
          <w:szCs w:val="24"/>
        </w:rPr>
        <w:t xml:space="preserve">regulatory </w:t>
      </w:r>
      <w:r w:rsidR="004815BE">
        <w:rPr>
          <w:rFonts w:ascii="Times New Roman" w:hAnsi="Times New Roman" w:cs="Times New Roman"/>
          <w:sz w:val="24"/>
          <w:szCs w:val="24"/>
        </w:rPr>
        <w:t>period, based upon a consideration of circ</w:t>
      </w:r>
      <w:r>
        <w:rPr>
          <w:rFonts w:ascii="Times New Roman" w:hAnsi="Times New Roman" w:cs="Times New Roman"/>
          <w:sz w:val="24"/>
          <w:szCs w:val="24"/>
        </w:rPr>
        <w:t>umstances in 2008-2009</w:t>
      </w:r>
      <w:r w:rsidR="004815BE">
        <w:rPr>
          <w:rFonts w:ascii="Times New Roman" w:hAnsi="Times New Roman" w:cs="Times New Roman"/>
          <w:sz w:val="24"/>
          <w:szCs w:val="24"/>
        </w:rPr>
        <w:t xml:space="preserve">.  However, this implies that a hedging decision could have been made in 2008-2009 and this is not correct; in addition to actions taken in 2009, the hedge requires actions at the earlier </w:t>
      </w:r>
      <w:r>
        <w:rPr>
          <w:rFonts w:ascii="Times New Roman" w:hAnsi="Times New Roman" w:cs="Times New Roman"/>
          <w:sz w:val="24"/>
          <w:szCs w:val="24"/>
        </w:rPr>
        <w:t xml:space="preserve">times at </w:t>
      </w:r>
      <w:r w:rsidR="004815BE">
        <w:rPr>
          <w:rFonts w:ascii="Times New Roman" w:hAnsi="Times New Roman" w:cs="Times New Roman"/>
          <w:sz w:val="24"/>
          <w:szCs w:val="24"/>
        </w:rPr>
        <w:t>which the borrowing that was in force in 2009 was undertaken (to borrow at a floating rate or enter swaps that convert fixed to float), this borrowing occurred up to ten years prior to 2009, and therefore the decision to hedge could not have been made in 2009.  The most that could have been done in 2009 was to not undertake the second leg of the hedging process, and this is a quite different decision to that of electing not to hedge at all</w:t>
      </w:r>
      <w:r>
        <w:rPr>
          <w:rFonts w:ascii="Times New Roman" w:hAnsi="Times New Roman" w:cs="Times New Roman"/>
          <w:sz w:val="24"/>
          <w:szCs w:val="24"/>
        </w:rPr>
        <w:t>.  Thus UBS appear to have misunderstood a fundamental feature of these hedging transactions.</w:t>
      </w:r>
    </w:p>
    <w:p w:rsidR="004815BE" w:rsidRDefault="004815BE" w:rsidP="004815BE">
      <w:pPr>
        <w:spacing w:after="0" w:line="360" w:lineRule="auto"/>
        <w:jc w:val="both"/>
        <w:rPr>
          <w:rFonts w:ascii="Times New Roman" w:hAnsi="Times New Roman" w:cs="Times New Roman"/>
          <w:sz w:val="24"/>
          <w:szCs w:val="24"/>
        </w:rPr>
      </w:pPr>
    </w:p>
    <w:p w:rsidR="004815BE" w:rsidRDefault="00844781"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UBS </w:t>
      </w:r>
      <w:r w:rsidR="00EA1705">
        <w:rPr>
          <w:rFonts w:ascii="Times New Roman" w:hAnsi="Times New Roman" w:cs="Times New Roman"/>
          <w:sz w:val="24"/>
          <w:szCs w:val="24"/>
        </w:rPr>
        <w:t xml:space="preserve">(2015, page 2) </w:t>
      </w:r>
      <w:r>
        <w:rPr>
          <w:rFonts w:ascii="Times New Roman" w:hAnsi="Times New Roman" w:cs="Times New Roman"/>
          <w:sz w:val="24"/>
          <w:szCs w:val="24"/>
        </w:rPr>
        <w:t xml:space="preserve">also argues that the </w:t>
      </w:r>
      <w:r w:rsidR="004815BE">
        <w:rPr>
          <w:rFonts w:ascii="Times New Roman" w:hAnsi="Times New Roman" w:cs="Times New Roman"/>
          <w:sz w:val="24"/>
          <w:szCs w:val="24"/>
        </w:rPr>
        <w:t xml:space="preserve">regulatory averaging period for TransGrid for 2009-2014 was </w:t>
      </w:r>
      <w:r w:rsidR="00EA1705">
        <w:rPr>
          <w:rFonts w:ascii="Times New Roman" w:hAnsi="Times New Roman" w:cs="Times New Roman"/>
          <w:sz w:val="24"/>
          <w:szCs w:val="24"/>
        </w:rPr>
        <w:t xml:space="preserve">retrospectively </w:t>
      </w:r>
      <w:r w:rsidR="004815BE">
        <w:rPr>
          <w:rFonts w:ascii="Times New Roman" w:hAnsi="Times New Roman" w:cs="Times New Roman"/>
          <w:sz w:val="24"/>
          <w:szCs w:val="24"/>
        </w:rPr>
        <w:t xml:space="preserve">set </w:t>
      </w:r>
      <w:r w:rsidR="00EA1705">
        <w:rPr>
          <w:rFonts w:ascii="Times New Roman" w:hAnsi="Times New Roman" w:cs="Times New Roman"/>
          <w:sz w:val="24"/>
          <w:szCs w:val="24"/>
        </w:rPr>
        <w:t xml:space="preserve">(by the </w:t>
      </w:r>
      <w:r w:rsidR="000E589F">
        <w:rPr>
          <w:rFonts w:ascii="Times New Roman" w:hAnsi="Times New Roman" w:cs="Times New Roman"/>
          <w:sz w:val="24"/>
          <w:szCs w:val="24"/>
        </w:rPr>
        <w:t xml:space="preserve">Australian Competition Tribunal: </w:t>
      </w:r>
      <w:r w:rsidR="00EA1705">
        <w:rPr>
          <w:rFonts w:ascii="Times New Roman" w:hAnsi="Times New Roman" w:cs="Times New Roman"/>
          <w:sz w:val="24"/>
          <w:szCs w:val="24"/>
        </w:rPr>
        <w:t xml:space="preserve">ACT) several months </w:t>
      </w:r>
      <w:r>
        <w:rPr>
          <w:rFonts w:ascii="Times New Roman" w:hAnsi="Times New Roman" w:cs="Times New Roman"/>
          <w:sz w:val="24"/>
          <w:szCs w:val="24"/>
        </w:rPr>
        <w:t>after the commencement of the regulatory period</w:t>
      </w:r>
      <w:r w:rsidR="004815BE">
        <w:rPr>
          <w:rFonts w:ascii="Times New Roman" w:hAnsi="Times New Roman" w:cs="Times New Roman"/>
          <w:sz w:val="24"/>
          <w:szCs w:val="24"/>
        </w:rPr>
        <w:t xml:space="preserve">, which would </w:t>
      </w:r>
      <w:r w:rsidR="0001696E">
        <w:rPr>
          <w:rFonts w:ascii="Times New Roman" w:hAnsi="Times New Roman" w:cs="Times New Roman"/>
          <w:sz w:val="24"/>
          <w:szCs w:val="24"/>
        </w:rPr>
        <w:t xml:space="preserve">have made it </w:t>
      </w:r>
      <w:r w:rsidR="004815BE">
        <w:rPr>
          <w:rFonts w:ascii="Times New Roman" w:hAnsi="Times New Roman" w:cs="Times New Roman"/>
          <w:sz w:val="24"/>
          <w:szCs w:val="24"/>
        </w:rPr>
        <w:t xml:space="preserve">impossible </w:t>
      </w:r>
      <w:r w:rsidR="00EA1705">
        <w:rPr>
          <w:rFonts w:ascii="Times New Roman" w:hAnsi="Times New Roman" w:cs="Times New Roman"/>
          <w:sz w:val="24"/>
          <w:szCs w:val="24"/>
        </w:rPr>
        <w:t>for TransGrid to have undertaken the appropriate hedging actions</w:t>
      </w:r>
      <w:r w:rsidR="004815BE">
        <w:rPr>
          <w:rFonts w:ascii="Times New Roman" w:hAnsi="Times New Roman" w:cs="Times New Roman"/>
          <w:sz w:val="24"/>
          <w:szCs w:val="24"/>
        </w:rPr>
        <w:t xml:space="preserve">.  However, this delay was contrary to the AER’s normal policy of using a period </w:t>
      </w:r>
      <w:r w:rsidR="00EA1705">
        <w:rPr>
          <w:rFonts w:ascii="Times New Roman" w:hAnsi="Times New Roman" w:cs="Times New Roman"/>
          <w:sz w:val="24"/>
          <w:szCs w:val="24"/>
        </w:rPr>
        <w:t xml:space="preserve">shortly before the beginning of the regulatory cycle in question </w:t>
      </w:r>
      <w:r w:rsidR="004815BE">
        <w:rPr>
          <w:rFonts w:ascii="Times New Roman" w:hAnsi="Times New Roman" w:cs="Times New Roman"/>
          <w:sz w:val="24"/>
          <w:szCs w:val="24"/>
        </w:rPr>
        <w:t>and arose because TransGrid did not seek to use swaps (and sought a much earlier averaging period), it appealed to the ACT</w:t>
      </w:r>
      <w:r w:rsidR="0001696E">
        <w:rPr>
          <w:rFonts w:ascii="Times New Roman" w:hAnsi="Times New Roman" w:cs="Times New Roman"/>
          <w:sz w:val="24"/>
          <w:szCs w:val="24"/>
        </w:rPr>
        <w:t>,</w:t>
      </w:r>
      <w:r w:rsidR="004815BE">
        <w:rPr>
          <w:rFonts w:ascii="Times New Roman" w:hAnsi="Times New Roman" w:cs="Times New Roman"/>
          <w:sz w:val="24"/>
          <w:szCs w:val="24"/>
        </w:rPr>
        <w:t xml:space="preserve"> and hence the delay (see Meehan, </w:t>
      </w:r>
      <w:r w:rsidR="00F8220C">
        <w:rPr>
          <w:rFonts w:ascii="Times New Roman" w:hAnsi="Times New Roman" w:cs="Times New Roman"/>
          <w:sz w:val="24"/>
          <w:szCs w:val="24"/>
        </w:rPr>
        <w:t xml:space="preserve">2015, </w:t>
      </w:r>
      <w:r w:rsidR="004815BE">
        <w:rPr>
          <w:rFonts w:ascii="Times New Roman" w:hAnsi="Times New Roman" w:cs="Times New Roman"/>
          <w:sz w:val="24"/>
          <w:szCs w:val="24"/>
        </w:rPr>
        <w:t xml:space="preserve">paras </w:t>
      </w:r>
      <w:r w:rsidR="00F8220C">
        <w:rPr>
          <w:rFonts w:ascii="Times New Roman" w:hAnsi="Times New Roman" w:cs="Times New Roman"/>
          <w:sz w:val="24"/>
          <w:szCs w:val="24"/>
        </w:rPr>
        <w:t xml:space="preserve">2.1-2.2, </w:t>
      </w:r>
      <w:r w:rsidR="004815BE">
        <w:rPr>
          <w:rFonts w:ascii="Times New Roman" w:hAnsi="Times New Roman" w:cs="Times New Roman"/>
          <w:sz w:val="24"/>
          <w:szCs w:val="24"/>
        </w:rPr>
        <w:t xml:space="preserve">4.1-4.3).  If TransGrid had sought to use swaps, it would not have acted in this way and it could reasonably have presumed that the AER would abide by its normal policy. </w:t>
      </w:r>
    </w:p>
    <w:p w:rsidR="00EA1705" w:rsidRDefault="00EA1705" w:rsidP="004815BE">
      <w:pPr>
        <w:spacing w:after="0" w:line="360" w:lineRule="auto"/>
        <w:jc w:val="both"/>
        <w:rPr>
          <w:rFonts w:ascii="Times New Roman" w:hAnsi="Times New Roman" w:cs="Times New Roman"/>
          <w:sz w:val="24"/>
          <w:szCs w:val="24"/>
        </w:rPr>
      </w:pPr>
    </w:p>
    <w:p w:rsidR="00CC2918" w:rsidRDefault="00107103" w:rsidP="00CC29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UBS (2015, pp. 2-4) also argues that the </w:t>
      </w:r>
      <w:r w:rsidR="004815BE">
        <w:rPr>
          <w:rFonts w:ascii="Times New Roman" w:hAnsi="Times New Roman" w:cs="Times New Roman"/>
          <w:sz w:val="24"/>
          <w:szCs w:val="24"/>
        </w:rPr>
        <w:t>regulatory window (of up to 40 business days) wasn’t wide enough to allow the swapping to be done within it</w:t>
      </w:r>
      <w:r>
        <w:rPr>
          <w:rFonts w:ascii="Times New Roman" w:hAnsi="Times New Roman" w:cs="Times New Roman"/>
          <w:sz w:val="24"/>
          <w:szCs w:val="24"/>
        </w:rPr>
        <w:t xml:space="preserve"> by TransGrid and other business with the same reset date</w:t>
      </w:r>
      <w:r w:rsidR="004815BE">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4815BE">
        <w:rPr>
          <w:rFonts w:ascii="Times New Roman" w:hAnsi="Times New Roman" w:cs="Times New Roman"/>
          <w:sz w:val="24"/>
          <w:szCs w:val="24"/>
        </w:rPr>
        <w:t xml:space="preserve">extending the period of the transactions to a feasible period (91 business days) would expose the </w:t>
      </w:r>
      <w:r>
        <w:rPr>
          <w:rFonts w:ascii="Times New Roman" w:hAnsi="Times New Roman" w:cs="Times New Roman"/>
          <w:sz w:val="24"/>
          <w:szCs w:val="24"/>
        </w:rPr>
        <w:t xml:space="preserve">businesses </w:t>
      </w:r>
      <w:r w:rsidR="004815BE">
        <w:rPr>
          <w:rFonts w:ascii="Times New Roman" w:hAnsi="Times New Roman" w:cs="Times New Roman"/>
          <w:sz w:val="24"/>
          <w:szCs w:val="24"/>
        </w:rPr>
        <w:t xml:space="preserve">to material risk ($819m at two standard deviations), </w:t>
      </w:r>
      <w:r>
        <w:rPr>
          <w:rFonts w:ascii="Times New Roman" w:hAnsi="Times New Roman" w:cs="Times New Roman"/>
          <w:sz w:val="24"/>
          <w:szCs w:val="24"/>
        </w:rPr>
        <w:t xml:space="preserve">that </w:t>
      </w:r>
      <w:r w:rsidR="004815BE">
        <w:rPr>
          <w:rFonts w:ascii="Times New Roman" w:hAnsi="Times New Roman" w:cs="Times New Roman"/>
          <w:sz w:val="24"/>
          <w:szCs w:val="24"/>
        </w:rPr>
        <w:t xml:space="preserve">no compensation was provided </w:t>
      </w:r>
      <w:r>
        <w:rPr>
          <w:rFonts w:ascii="Times New Roman" w:hAnsi="Times New Roman" w:cs="Times New Roman"/>
          <w:sz w:val="24"/>
          <w:szCs w:val="24"/>
        </w:rPr>
        <w:t xml:space="preserve">by the AER </w:t>
      </w:r>
      <w:r w:rsidR="004815BE">
        <w:rPr>
          <w:rFonts w:ascii="Times New Roman" w:hAnsi="Times New Roman" w:cs="Times New Roman"/>
          <w:sz w:val="24"/>
          <w:szCs w:val="24"/>
        </w:rPr>
        <w:t>for this risk, and the low risk alternativ</w:t>
      </w:r>
      <w:r>
        <w:rPr>
          <w:rFonts w:ascii="Times New Roman" w:hAnsi="Times New Roman" w:cs="Times New Roman"/>
          <w:sz w:val="24"/>
          <w:szCs w:val="24"/>
        </w:rPr>
        <w:t>e was not to use swaps</w:t>
      </w:r>
      <w:r w:rsidR="004815BE">
        <w:rPr>
          <w:rFonts w:ascii="Times New Roman" w:hAnsi="Times New Roman" w:cs="Times New Roman"/>
          <w:sz w:val="24"/>
          <w:szCs w:val="24"/>
        </w:rPr>
        <w:t xml:space="preserve">.  However, </w:t>
      </w:r>
      <w:r w:rsidR="00EF3C07">
        <w:rPr>
          <w:rFonts w:ascii="Times New Roman" w:hAnsi="Times New Roman" w:cs="Times New Roman"/>
          <w:sz w:val="24"/>
          <w:szCs w:val="24"/>
        </w:rPr>
        <w:t xml:space="preserve">UBS </w:t>
      </w:r>
      <w:r w:rsidR="00CC2918">
        <w:rPr>
          <w:rFonts w:ascii="Times New Roman" w:hAnsi="Times New Roman" w:cs="Times New Roman"/>
          <w:sz w:val="24"/>
          <w:szCs w:val="24"/>
        </w:rPr>
        <w:t>does not</w:t>
      </w:r>
      <w:r w:rsidR="00EF3C07">
        <w:rPr>
          <w:rFonts w:ascii="Times New Roman" w:hAnsi="Times New Roman" w:cs="Times New Roman"/>
          <w:sz w:val="24"/>
          <w:szCs w:val="24"/>
        </w:rPr>
        <w:t xml:space="preserve"> provide any </w:t>
      </w:r>
      <w:r w:rsidR="004815BE">
        <w:rPr>
          <w:rFonts w:ascii="Times New Roman" w:hAnsi="Times New Roman" w:cs="Times New Roman"/>
          <w:sz w:val="24"/>
          <w:szCs w:val="24"/>
        </w:rPr>
        <w:t>analysis on the risk of not swapping</w:t>
      </w:r>
      <w:r w:rsidR="00EF3C07">
        <w:rPr>
          <w:rFonts w:ascii="Times New Roman" w:hAnsi="Times New Roman" w:cs="Times New Roman"/>
          <w:sz w:val="24"/>
          <w:szCs w:val="24"/>
        </w:rPr>
        <w:t xml:space="preserve"> and </w:t>
      </w:r>
      <w:r w:rsidR="00CC2918">
        <w:rPr>
          <w:rFonts w:ascii="Times New Roman" w:hAnsi="Times New Roman" w:cs="Times New Roman"/>
          <w:sz w:val="24"/>
          <w:szCs w:val="24"/>
        </w:rPr>
        <w:t xml:space="preserve">is </w:t>
      </w:r>
      <w:r w:rsidR="00EF3C07">
        <w:rPr>
          <w:rFonts w:ascii="Times New Roman" w:hAnsi="Times New Roman" w:cs="Times New Roman"/>
          <w:sz w:val="24"/>
          <w:szCs w:val="24"/>
        </w:rPr>
        <w:t xml:space="preserve">therefore not in a position to conclude that the lower risk course of action was to not engage in swaps.  Appendix 2 examines this question and concludes that </w:t>
      </w:r>
      <w:r w:rsidR="001A0498">
        <w:rPr>
          <w:rFonts w:ascii="Times New Roman" w:hAnsi="Times New Roman" w:cs="Times New Roman"/>
          <w:sz w:val="24"/>
          <w:szCs w:val="24"/>
        </w:rPr>
        <w:t xml:space="preserve">engaging in </w:t>
      </w:r>
      <w:r w:rsidR="00CC2918">
        <w:rPr>
          <w:rFonts w:ascii="Times New Roman" w:hAnsi="Times New Roman" w:cs="Times New Roman"/>
          <w:sz w:val="24"/>
          <w:szCs w:val="24"/>
        </w:rPr>
        <w:t xml:space="preserve">swap contracts (even </w:t>
      </w:r>
      <w:r w:rsidR="001A0498">
        <w:rPr>
          <w:rFonts w:ascii="Times New Roman" w:hAnsi="Times New Roman" w:cs="Times New Roman"/>
          <w:sz w:val="24"/>
          <w:szCs w:val="24"/>
        </w:rPr>
        <w:t xml:space="preserve">when transacted </w:t>
      </w:r>
      <w:r w:rsidR="00EF3C07">
        <w:rPr>
          <w:rFonts w:ascii="Times New Roman" w:hAnsi="Times New Roman" w:cs="Times New Roman"/>
          <w:sz w:val="24"/>
          <w:szCs w:val="24"/>
        </w:rPr>
        <w:t>over a five month period</w:t>
      </w:r>
      <w:r w:rsidR="00CC2918">
        <w:rPr>
          <w:rFonts w:ascii="Times New Roman" w:hAnsi="Times New Roman" w:cs="Times New Roman"/>
          <w:sz w:val="24"/>
          <w:szCs w:val="24"/>
        </w:rPr>
        <w:t xml:space="preserve">) </w:t>
      </w:r>
      <w:r w:rsidR="00CC2918">
        <w:rPr>
          <w:rFonts w:ascii="Times New Roman" w:hAnsi="Times New Roman" w:cs="Times New Roman"/>
          <w:sz w:val="24"/>
          <w:szCs w:val="24"/>
        </w:rPr>
        <w:lastRenderedPageBreak/>
        <w:t>reduces the risk arising from the mismatch between the on-the-day allowance and the incurred costs of debt, it eliminates most of that risk, and most of the remaining risk arises from the mismatch between the prevailing DRP allowed and the trailing average that is incurred.  This rebuts UBS’s claim.</w:t>
      </w:r>
    </w:p>
    <w:p w:rsidR="00B96529" w:rsidRDefault="00B96529" w:rsidP="004815BE">
      <w:pPr>
        <w:spacing w:after="0" w:line="360" w:lineRule="auto"/>
        <w:jc w:val="both"/>
        <w:rPr>
          <w:rFonts w:ascii="Times New Roman" w:hAnsi="Times New Roman" w:cs="Times New Roman"/>
          <w:sz w:val="24"/>
          <w:szCs w:val="24"/>
        </w:rPr>
      </w:pPr>
    </w:p>
    <w:p w:rsidR="004815BE" w:rsidRPr="00FF40CD" w:rsidRDefault="00B96529"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UBS (2015, page 2) argues that the 2009 </w:t>
      </w:r>
      <w:r w:rsidR="004815BE">
        <w:rPr>
          <w:rFonts w:ascii="Times New Roman" w:hAnsi="Times New Roman" w:cs="Times New Roman"/>
          <w:sz w:val="24"/>
          <w:szCs w:val="24"/>
        </w:rPr>
        <w:t xml:space="preserve">swaps would </w:t>
      </w:r>
      <w:r>
        <w:rPr>
          <w:rFonts w:ascii="Times New Roman" w:hAnsi="Times New Roman" w:cs="Times New Roman"/>
          <w:sz w:val="24"/>
          <w:szCs w:val="24"/>
        </w:rPr>
        <w:t xml:space="preserve">have required </w:t>
      </w:r>
      <w:r w:rsidR="004815BE">
        <w:rPr>
          <w:rFonts w:ascii="Times New Roman" w:hAnsi="Times New Roman" w:cs="Times New Roman"/>
          <w:sz w:val="24"/>
          <w:szCs w:val="24"/>
        </w:rPr>
        <w:t xml:space="preserve">91 business days to transact </w:t>
      </w:r>
      <w:r>
        <w:rPr>
          <w:rFonts w:ascii="Times New Roman" w:hAnsi="Times New Roman" w:cs="Times New Roman"/>
          <w:sz w:val="24"/>
          <w:szCs w:val="24"/>
        </w:rPr>
        <w:t xml:space="preserve">because swap </w:t>
      </w:r>
      <w:r w:rsidR="004815BE">
        <w:rPr>
          <w:rFonts w:ascii="Times New Roman" w:hAnsi="Times New Roman" w:cs="Times New Roman"/>
          <w:sz w:val="24"/>
          <w:szCs w:val="24"/>
        </w:rPr>
        <w:t xml:space="preserve">turnover at that time was $6b per day, about 15% of which was for swaps of at least five years ($900m), </w:t>
      </w:r>
      <w:r>
        <w:rPr>
          <w:rFonts w:ascii="Times New Roman" w:hAnsi="Times New Roman" w:cs="Times New Roman"/>
          <w:sz w:val="24"/>
          <w:szCs w:val="24"/>
        </w:rPr>
        <w:t xml:space="preserve">which implies that up to </w:t>
      </w:r>
      <w:r w:rsidR="004815BE">
        <w:rPr>
          <w:rFonts w:ascii="Times New Roman" w:hAnsi="Times New Roman" w:cs="Times New Roman"/>
          <w:sz w:val="24"/>
          <w:szCs w:val="24"/>
        </w:rPr>
        <w:t>$200m more per day could have been transacted without exhausting m</w:t>
      </w:r>
      <w:r>
        <w:rPr>
          <w:rFonts w:ascii="Times New Roman" w:hAnsi="Times New Roman" w:cs="Times New Roman"/>
          <w:sz w:val="24"/>
          <w:szCs w:val="24"/>
        </w:rPr>
        <w:t>arket liquidity</w:t>
      </w:r>
      <w:r w:rsidR="0001696E">
        <w:rPr>
          <w:rFonts w:ascii="Times New Roman" w:hAnsi="Times New Roman" w:cs="Times New Roman"/>
          <w:sz w:val="24"/>
          <w:szCs w:val="24"/>
        </w:rPr>
        <w:t xml:space="preserve">.  Since the </w:t>
      </w:r>
      <w:r>
        <w:rPr>
          <w:rFonts w:ascii="Times New Roman" w:hAnsi="Times New Roman" w:cs="Times New Roman"/>
          <w:sz w:val="24"/>
          <w:szCs w:val="24"/>
        </w:rPr>
        <w:t xml:space="preserve">average notional debt over the 2009-2014 period for all regulated entities with TransGrid’s reset date was $18.2b, </w:t>
      </w:r>
      <w:r w:rsidR="0001696E">
        <w:rPr>
          <w:rFonts w:ascii="Times New Roman" w:hAnsi="Times New Roman" w:cs="Times New Roman"/>
          <w:sz w:val="24"/>
          <w:szCs w:val="24"/>
        </w:rPr>
        <w:t xml:space="preserve">then </w:t>
      </w:r>
      <w:r>
        <w:rPr>
          <w:rFonts w:ascii="Times New Roman" w:hAnsi="Times New Roman" w:cs="Times New Roman"/>
          <w:sz w:val="24"/>
          <w:szCs w:val="24"/>
        </w:rPr>
        <w:t>91 days would have been required to deal with the swap transactions of $18.2b</w:t>
      </w:r>
      <w:r w:rsidR="00652306">
        <w:rPr>
          <w:rFonts w:ascii="Times New Roman" w:hAnsi="Times New Roman" w:cs="Times New Roman"/>
          <w:sz w:val="24"/>
          <w:szCs w:val="24"/>
        </w:rPr>
        <w:t xml:space="preserve">.  However, </w:t>
      </w:r>
      <w:r>
        <w:rPr>
          <w:rFonts w:ascii="Times New Roman" w:hAnsi="Times New Roman" w:cs="Times New Roman"/>
          <w:sz w:val="24"/>
          <w:szCs w:val="24"/>
        </w:rPr>
        <w:t xml:space="preserve">UBS implies that the </w:t>
      </w:r>
      <w:r w:rsidR="004815BE">
        <w:rPr>
          <w:rFonts w:ascii="Times New Roman" w:hAnsi="Times New Roman" w:cs="Times New Roman"/>
          <w:sz w:val="24"/>
          <w:szCs w:val="24"/>
        </w:rPr>
        <w:t xml:space="preserve">relevant subsection of the swap market was that for swaps of at least five years but the natural subsection should instead </w:t>
      </w:r>
      <w:r w:rsidR="000E589F" w:rsidRPr="00FF40CD">
        <w:rPr>
          <w:rFonts w:ascii="Times New Roman" w:hAnsi="Times New Roman" w:cs="Times New Roman"/>
          <w:sz w:val="24"/>
          <w:szCs w:val="24"/>
        </w:rPr>
        <w:t xml:space="preserve">be for some </w:t>
      </w:r>
      <w:r w:rsidR="00AA7FE0" w:rsidRPr="00FF40CD">
        <w:rPr>
          <w:rFonts w:ascii="Times New Roman" w:hAnsi="Times New Roman" w:cs="Times New Roman"/>
          <w:sz w:val="24"/>
          <w:szCs w:val="24"/>
        </w:rPr>
        <w:t xml:space="preserve">symmetric </w:t>
      </w:r>
      <w:r w:rsidR="00286928" w:rsidRPr="00FF40CD">
        <w:rPr>
          <w:rFonts w:ascii="Times New Roman" w:hAnsi="Times New Roman" w:cs="Times New Roman"/>
          <w:sz w:val="24"/>
          <w:szCs w:val="24"/>
        </w:rPr>
        <w:t xml:space="preserve">and narrow </w:t>
      </w:r>
      <w:r w:rsidR="000E589F" w:rsidRPr="00FF40CD">
        <w:rPr>
          <w:rFonts w:ascii="Times New Roman" w:hAnsi="Times New Roman" w:cs="Times New Roman"/>
          <w:sz w:val="24"/>
          <w:szCs w:val="24"/>
        </w:rPr>
        <w:t>band a</w:t>
      </w:r>
      <w:r w:rsidR="00BF4C0B" w:rsidRPr="00FF40CD">
        <w:rPr>
          <w:rFonts w:ascii="Times New Roman" w:hAnsi="Times New Roman" w:cs="Times New Roman"/>
          <w:sz w:val="24"/>
          <w:szCs w:val="24"/>
        </w:rPr>
        <w:t xml:space="preserve">round </w:t>
      </w:r>
      <w:r w:rsidR="00AA7FE0" w:rsidRPr="00FF40CD">
        <w:rPr>
          <w:rFonts w:ascii="Times New Roman" w:hAnsi="Times New Roman" w:cs="Times New Roman"/>
          <w:sz w:val="24"/>
          <w:szCs w:val="24"/>
        </w:rPr>
        <w:t xml:space="preserve">five years (such as 3-7 years) </w:t>
      </w:r>
      <w:r w:rsidR="00BF4C0B" w:rsidRPr="00FF40CD">
        <w:rPr>
          <w:rFonts w:ascii="Times New Roman" w:hAnsi="Times New Roman" w:cs="Times New Roman"/>
          <w:sz w:val="24"/>
          <w:szCs w:val="24"/>
        </w:rPr>
        <w:t xml:space="preserve">because supply in this band would be sufficiently flexible to accommodate </w:t>
      </w:r>
      <w:r w:rsidR="00AB6EC7" w:rsidRPr="00FF40CD">
        <w:rPr>
          <w:rFonts w:ascii="Times New Roman" w:hAnsi="Times New Roman" w:cs="Times New Roman"/>
          <w:sz w:val="24"/>
          <w:szCs w:val="24"/>
        </w:rPr>
        <w:t xml:space="preserve">additional </w:t>
      </w:r>
      <w:r w:rsidR="00BF4C0B" w:rsidRPr="00FF40CD">
        <w:rPr>
          <w:rFonts w:ascii="Times New Roman" w:hAnsi="Times New Roman" w:cs="Times New Roman"/>
          <w:sz w:val="24"/>
          <w:szCs w:val="24"/>
        </w:rPr>
        <w:t xml:space="preserve">demand for </w:t>
      </w:r>
      <w:r w:rsidR="00C04D71" w:rsidRPr="00FF40CD">
        <w:rPr>
          <w:rFonts w:ascii="Times New Roman" w:hAnsi="Times New Roman" w:cs="Times New Roman"/>
          <w:sz w:val="24"/>
          <w:szCs w:val="24"/>
        </w:rPr>
        <w:t>swaps</w:t>
      </w:r>
      <w:r w:rsidR="00AA7FE0" w:rsidRPr="00FF40CD">
        <w:rPr>
          <w:rFonts w:ascii="Times New Roman" w:hAnsi="Times New Roman" w:cs="Times New Roman"/>
          <w:sz w:val="24"/>
          <w:szCs w:val="24"/>
        </w:rPr>
        <w:t xml:space="preserve"> of exactly five years.  Using the 3-7 year band, the percentage of swaps within it is now 24% rather than 15%.</w:t>
      </w:r>
      <w:r w:rsidR="004815BE">
        <w:rPr>
          <w:rFonts w:ascii="Times New Roman" w:hAnsi="Times New Roman" w:cs="Times New Roman"/>
          <w:sz w:val="24"/>
          <w:szCs w:val="24"/>
        </w:rPr>
        <w:t xml:space="preserve">  Furthermore, </w:t>
      </w:r>
      <w:r w:rsidR="00AA7FE0">
        <w:rPr>
          <w:rFonts w:ascii="Times New Roman" w:hAnsi="Times New Roman" w:cs="Times New Roman"/>
          <w:sz w:val="24"/>
          <w:szCs w:val="24"/>
        </w:rPr>
        <w:t xml:space="preserve">UBS notes that </w:t>
      </w:r>
      <w:r w:rsidR="004815BE">
        <w:rPr>
          <w:rFonts w:ascii="Times New Roman" w:hAnsi="Times New Roman" w:cs="Times New Roman"/>
          <w:sz w:val="24"/>
          <w:szCs w:val="24"/>
        </w:rPr>
        <w:t>by 2012</w:t>
      </w:r>
      <w:r w:rsidR="00AA7FE0">
        <w:rPr>
          <w:rFonts w:ascii="Times New Roman" w:hAnsi="Times New Roman" w:cs="Times New Roman"/>
          <w:sz w:val="24"/>
          <w:szCs w:val="24"/>
        </w:rPr>
        <w:t xml:space="preserve"> </w:t>
      </w:r>
      <w:r w:rsidR="004815BE">
        <w:rPr>
          <w:rFonts w:ascii="Times New Roman" w:hAnsi="Times New Roman" w:cs="Times New Roman"/>
          <w:sz w:val="24"/>
          <w:szCs w:val="24"/>
        </w:rPr>
        <w:t xml:space="preserve">daily volume had </w:t>
      </w:r>
      <w:r w:rsidR="00AA7FE0">
        <w:rPr>
          <w:rFonts w:ascii="Times New Roman" w:hAnsi="Times New Roman" w:cs="Times New Roman"/>
          <w:sz w:val="24"/>
          <w:szCs w:val="24"/>
        </w:rPr>
        <w:t xml:space="preserve">risen to </w:t>
      </w:r>
      <w:r w:rsidR="004815BE">
        <w:rPr>
          <w:rFonts w:ascii="Times New Roman" w:hAnsi="Times New Roman" w:cs="Times New Roman"/>
          <w:sz w:val="24"/>
          <w:szCs w:val="24"/>
        </w:rPr>
        <w:t>$50b but UBS subtracts out all but $8.75b of this on the grounds that the rest was not corporate related hedging, being inter-bank etc (</w:t>
      </w:r>
      <w:r>
        <w:rPr>
          <w:rFonts w:ascii="Times New Roman" w:hAnsi="Times New Roman" w:cs="Times New Roman"/>
          <w:sz w:val="24"/>
          <w:szCs w:val="24"/>
        </w:rPr>
        <w:t xml:space="preserve">UBS, 2015, </w:t>
      </w:r>
      <w:r w:rsidR="004815BE">
        <w:rPr>
          <w:rFonts w:ascii="Times New Roman" w:hAnsi="Times New Roman" w:cs="Times New Roman"/>
          <w:sz w:val="24"/>
          <w:szCs w:val="24"/>
        </w:rPr>
        <w:t xml:space="preserve">page 4).  However, </w:t>
      </w:r>
      <w:r w:rsidR="00286928">
        <w:rPr>
          <w:rFonts w:ascii="Times New Roman" w:hAnsi="Times New Roman" w:cs="Times New Roman"/>
          <w:sz w:val="24"/>
          <w:szCs w:val="24"/>
        </w:rPr>
        <w:t xml:space="preserve">UBS performs no such subtraction in 2009 nor would such a subtraction be sensible </w:t>
      </w:r>
      <w:r w:rsidR="004815BE">
        <w:rPr>
          <w:rFonts w:ascii="Times New Roman" w:hAnsi="Times New Roman" w:cs="Times New Roman"/>
          <w:sz w:val="24"/>
          <w:szCs w:val="24"/>
        </w:rPr>
        <w:t xml:space="preserve">because the ability of a market to absorb more demand from a particular subset </w:t>
      </w:r>
      <w:r w:rsidR="00E962B6">
        <w:rPr>
          <w:rFonts w:ascii="Times New Roman" w:hAnsi="Times New Roman" w:cs="Times New Roman"/>
          <w:sz w:val="24"/>
          <w:szCs w:val="24"/>
        </w:rPr>
        <w:t xml:space="preserve">of demand </w:t>
      </w:r>
      <w:r w:rsidR="004815BE">
        <w:rPr>
          <w:rFonts w:ascii="Times New Roman" w:hAnsi="Times New Roman" w:cs="Times New Roman"/>
          <w:sz w:val="24"/>
          <w:szCs w:val="24"/>
        </w:rPr>
        <w:t xml:space="preserve">without a material price impact depends on the aggregate size of the market rather than the size of the </w:t>
      </w:r>
      <w:r w:rsidR="00E962B6">
        <w:rPr>
          <w:rFonts w:ascii="Times New Roman" w:hAnsi="Times New Roman" w:cs="Times New Roman"/>
          <w:sz w:val="24"/>
          <w:szCs w:val="24"/>
        </w:rPr>
        <w:t xml:space="preserve">demand subset </w:t>
      </w:r>
      <w:r w:rsidR="004815BE">
        <w:rPr>
          <w:rFonts w:ascii="Times New Roman" w:hAnsi="Times New Roman" w:cs="Times New Roman"/>
          <w:sz w:val="24"/>
          <w:szCs w:val="24"/>
        </w:rPr>
        <w:t>(</w:t>
      </w:r>
      <w:r w:rsidR="00E962B6">
        <w:rPr>
          <w:rFonts w:ascii="Times New Roman" w:hAnsi="Times New Roman" w:cs="Times New Roman"/>
          <w:sz w:val="24"/>
          <w:szCs w:val="24"/>
        </w:rPr>
        <w:t xml:space="preserve">because </w:t>
      </w:r>
      <w:r w:rsidR="00BF4C0B">
        <w:rPr>
          <w:rFonts w:ascii="Times New Roman" w:hAnsi="Times New Roman" w:cs="Times New Roman"/>
          <w:sz w:val="24"/>
          <w:szCs w:val="24"/>
        </w:rPr>
        <w:t xml:space="preserve">suppliers </w:t>
      </w:r>
      <w:r w:rsidR="004815BE">
        <w:rPr>
          <w:rFonts w:ascii="Times New Roman" w:hAnsi="Times New Roman" w:cs="Times New Roman"/>
          <w:sz w:val="24"/>
          <w:szCs w:val="24"/>
        </w:rPr>
        <w:t xml:space="preserve">do not care where demand comes from).  Similarly, the ability of the Sydney </w:t>
      </w:r>
      <w:r w:rsidR="00E962B6">
        <w:rPr>
          <w:rFonts w:ascii="Times New Roman" w:hAnsi="Times New Roman" w:cs="Times New Roman"/>
          <w:sz w:val="24"/>
          <w:szCs w:val="24"/>
        </w:rPr>
        <w:t xml:space="preserve">housing </w:t>
      </w:r>
      <w:r w:rsidR="004815BE">
        <w:rPr>
          <w:rFonts w:ascii="Times New Roman" w:hAnsi="Times New Roman" w:cs="Times New Roman"/>
          <w:sz w:val="24"/>
          <w:szCs w:val="24"/>
        </w:rPr>
        <w:t xml:space="preserve">market to absorb more demand from immigrants without a material price impact depends upon the aggregate size of that market rather than the size of demand from immigrants.  None of </w:t>
      </w:r>
      <w:r w:rsidR="00AB6EC7" w:rsidRPr="00FF40CD">
        <w:rPr>
          <w:rFonts w:ascii="Times New Roman" w:hAnsi="Times New Roman" w:cs="Times New Roman"/>
          <w:sz w:val="24"/>
          <w:szCs w:val="24"/>
        </w:rPr>
        <w:t>these points imply that</w:t>
      </w:r>
      <w:r w:rsidR="004815BE" w:rsidRPr="00FF40CD">
        <w:rPr>
          <w:rFonts w:ascii="Times New Roman" w:hAnsi="Times New Roman" w:cs="Times New Roman"/>
          <w:sz w:val="24"/>
          <w:szCs w:val="24"/>
        </w:rPr>
        <w:t xml:space="preserve"> UBS’s figure of $200m per day is wrong but </w:t>
      </w:r>
      <w:r w:rsidR="00AB6EC7" w:rsidRPr="00FF40CD">
        <w:rPr>
          <w:rFonts w:ascii="Times New Roman" w:hAnsi="Times New Roman" w:cs="Times New Roman"/>
          <w:sz w:val="24"/>
          <w:szCs w:val="24"/>
        </w:rPr>
        <w:t xml:space="preserve">they do raise </w:t>
      </w:r>
      <w:r w:rsidR="0069625A" w:rsidRPr="00FF40CD">
        <w:rPr>
          <w:rFonts w:ascii="Times New Roman" w:hAnsi="Times New Roman" w:cs="Times New Roman"/>
          <w:sz w:val="24"/>
          <w:szCs w:val="24"/>
        </w:rPr>
        <w:t>concerns about their judgement</w:t>
      </w:r>
      <w:r w:rsidR="004815BE" w:rsidRPr="00FF40CD">
        <w:rPr>
          <w:rFonts w:ascii="Times New Roman" w:hAnsi="Times New Roman" w:cs="Times New Roman"/>
          <w:sz w:val="24"/>
          <w:szCs w:val="24"/>
        </w:rPr>
        <w:t>.</w:t>
      </w:r>
    </w:p>
    <w:p w:rsidR="004815BE" w:rsidRDefault="004815BE" w:rsidP="004815BE">
      <w:pPr>
        <w:spacing w:after="0" w:line="360" w:lineRule="auto"/>
        <w:jc w:val="both"/>
        <w:rPr>
          <w:rFonts w:ascii="Times New Roman" w:hAnsi="Times New Roman" w:cs="Times New Roman"/>
          <w:sz w:val="24"/>
          <w:szCs w:val="24"/>
        </w:rPr>
      </w:pPr>
    </w:p>
    <w:p w:rsidR="004815BE" w:rsidRDefault="00652306"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UBS’s (2015, page 2) </w:t>
      </w:r>
      <w:r w:rsidR="004815BE">
        <w:rPr>
          <w:rFonts w:ascii="Times New Roman" w:hAnsi="Times New Roman" w:cs="Times New Roman"/>
          <w:sz w:val="24"/>
          <w:szCs w:val="24"/>
        </w:rPr>
        <w:t>belief that the swaps would require 91 business days to transact in 2009 also rests in part on the assumption that the total hedging requirements of the businesses in 2009 were $18</w:t>
      </w:r>
      <w:r>
        <w:rPr>
          <w:rFonts w:ascii="Times New Roman" w:hAnsi="Times New Roman" w:cs="Times New Roman"/>
          <w:sz w:val="24"/>
          <w:szCs w:val="24"/>
        </w:rPr>
        <w:t>.2</w:t>
      </w:r>
      <w:r w:rsidR="004815BE">
        <w:rPr>
          <w:rFonts w:ascii="Times New Roman" w:hAnsi="Times New Roman" w:cs="Times New Roman"/>
          <w:sz w:val="24"/>
          <w:szCs w:val="24"/>
        </w:rPr>
        <w:t>b, corresponding to the average debt of the businesses ov</w:t>
      </w:r>
      <w:r>
        <w:rPr>
          <w:rFonts w:ascii="Times New Roman" w:hAnsi="Times New Roman" w:cs="Times New Roman"/>
          <w:sz w:val="24"/>
          <w:szCs w:val="24"/>
        </w:rPr>
        <w:t>er the 2009-2014 period</w:t>
      </w:r>
      <w:r w:rsidR="004815BE">
        <w:rPr>
          <w:rFonts w:ascii="Times New Roman" w:hAnsi="Times New Roman" w:cs="Times New Roman"/>
          <w:sz w:val="24"/>
          <w:szCs w:val="24"/>
        </w:rPr>
        <w:t xml:space="preserve">.  However the relevant figure is the debt outstanding in 2009 ($13b) because any increase in borrowing in the following five years would require swap contracts at the time of </w:t>
      </w:r>
      <w:r w:rsidR="004815BE">
        <w:rPr>
          <w:rFonts w:ascii="Times New Roman" w:hAnsi="Times New Roman" w:cs="Times New Roman"/>
          <w:sz w:val="24"/>
          <w:szCs w:val="24"/>
        </w:rPr>
        <w:lastRenderedPageBreak/>
        <w:t xml:space="preserve">borrowing and also in 2014 rather than in 2009.  So, rather than 91 business days being required to effect the swaps, it falls to 66 business days for this reason alone. </w:t>
      </w:r>
    </w:p>
    <w:p w:rsidR="004815BE" w:rsidRDefault="004815BE" w:rsidP="004815BE">
      <w:pPr>
        <w:spacing w:after="0" w:line="360" w:lineRule="auto"/>
        <w:jc w:val="both"/>
        <w:rPr>
          <w:rFonts w:ascii="Times New Roman" w:hAnsi="Times New Roman" w:cs="Times New Roman"/>
          <w:sz w:val="24"/>
          <w:szCs w:val="24"/>
        </w:rPr>
      </w:pPr>
    </w:p>
    <w:p w:rsidR="0089001B" w:rsidRDefault="00652306"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UBS (2015, pp. 4-5) also argues that hedging the </w:t>
      </w:r>
      <w:r w:rsidR="00795613">
        <w:rPr>
          <w:rFonts w:ascii="Times New Roman" w:hAnsi="Times New Roman" w:cs="Times New Roman"/>
          <w:sz w:val="24"/>
          <w:szCs w:val="24"/>
        </w:rPr>
        <w:t>risk-free rate</w:t>
      </w:r>
      <w:r w:rsidR="004815BE">
        <w:rPr>
          <w:rFonts w:ascii="Times New Roman" w:hAnsi="Times New Roman" w:cs="Times New Roman"/>
          <w:sz w:val="24"/>
          <w:szCs w:val="24"/>
        </w:rPr>
        <w:t xml:space="preserve"> component would only be a partial hedge because the DRP component couldn’t be hedged (pp. 4-5).  </w:t>
      </w:r>
      <w:r w:rsidR="00795613">
        <w:rPr>
          <w:rFonts w:ascii="Times New Roman" w:hAnsi="Times New Roman" w:cs="Times New Roman"/>
          <w:sz w:val="24"/>
          <w:szCs w:val="24"/>
        </w:rPr>
        <w:t xml:space="preserve">This point </w:t>
      </w:r>
      <w:r w:rsidR="0089001B">
        <w:rPr>
          <w:rFonts w:ascii="Times New Roman" w:hAnsi="Times New Roman" w:cs="Times New Roman"/>
          <w:sz w:val="24"/>
          <w:szCs w:val="24"/>
        </w:rPr>
        <w:t xml:space="preserve">implies </w:t>
      </w:r>
      <w:r w:rsidR="00795613">
        <w:rPr>
          <w:rFonts w:ascii="Times New Roman" w:hAnsi="Times New Roman" w:cs="Times New Roman"/>
          <w:sz w:val="24"/>
          <w:szCs w:val="24"/>
        </w:rPr>
        <w:t xml:space="preserve">(reasonably) </w:t>
      </w:r>
      <w:r w:rsidR="0089001B">
        <w:rPr>
          <w:rFonts w:ascii="Times New Roman" w:hAnsi="Times New Roman" w:cs="Times New Roman"/>
          <w:sz w:val="24"/>
          <w:szCs w:val="24"/>
        </w:rPr>
        <w:t xml:space="preserve">that the risk assessment should be conducted for the entire cost of debt rather than only the </w:t>
      </w:r>
      <w:r w:rsidR="00795613">
        <w:rPr>
          <w:rFonts w:ascii="Times New Roman" w:hAnsi="Times New Roman" w:cs="Times New Roman"/>
          <w:sz w:val="24"/>
          <w:szCs w:val="24"/>
        </w:rPr>
        <w:t xml:space="preserve">risk-free rate </w:t>
      </w:r>
      <w:r w:rsidR="0089001B">
        <w:rPr>
          <w:rFonts w:ascii="Times New Roman" w:hAnsi="Times New Roman" w:cs="Times New Roman"/>
          <w:sz w:val="24"/>
          <w:szCs w:val="24"/>
        </w:rPr>
        <w:t>component</w:t>
      </w:r>
      <w:r w:rsidR="0001696E">
        <w:rPr>
          <w:rFonts w:ascii="Times New Roman" w:hAnsi="Times New Roman" w:cs="Times New Roman"/>
          <w:sz w:val="24"/>
          <w:szCs w:val="24"/>
        </w:rPr>
        <w:t xml:space="preserve">.  Appendix 2 examines this question and concludes that </w:t>
      </w:r>
      <w:r w:rsidR="0089001B">
        <w:rPr>
          <w:rFonts w:ascii="Times New Roman" w:hAnsi="Times New Roman" w:cs="Times New Roman"/>
          <w:sz w:val="24"/>
          <w:szCs w:val="24"/>
        </w:rPr>
        <w:t xml:space="preserve">hedging the </w:t>
      </w:r>
      <w:r w:rsidR="00795613">
        <w:rPr>
          <w:rFonts w:ascii="Times New Roman" w:hAnsi="Times New Roman" w:cs="Times New Roman"/>
          <w:sz w:val="24"/>
          <w:szCs w:val="24"/>
        </w:rPr>
        <w:t>risk-free rate component significantly reduces risk</w:t>
      </w:r>
      <w:r w:rsidR="0001696E">
        <w:rPr>
          <w:rFonts w:ascii="Times New Roman" w:hAnsi="Times New Roman" w:cs="Times New Roman"/>
          <w:sz w:val="24"/>
          <w:szCs w:val="24"/>
        </w:rPr>
        <w:t xml:space="preserve"> associated with the entire cost of debt.</w:t>
      </w:r>
    </w:p>
    <w:p w:rsidR="0089001B" w:rsidRDefault="0089001B" w:rsidP="004815BE">
      <w:pPr>
        <w:spacing w:after="0" w:line="360" w:lineRule="auto"/>
        <w:jc w:val="both"/>
        <w:rPr>
          <w:rFonts w:ascii="Times New Roman" w:hAnsi="Times New Roman" w:cs="Times New Roman"/>
          <w:sz w:val="24"/>
          <w:szCs w:val="24"/>
        </w:rPr>
      </w:pPr>
    </w:p>
    <w:p w:rsidR="009455DC" w:rsidRDefault="0063315E" w:rsidP="009455DC">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UBS (2015, page 5) also argues that the costs of debt allowed for various businesses by the AER in 2014 </w:t>
      </w:r>
      <w:r w:rsidR="002F6A05">
        <w:rPr>
          <w:rFonts w:ascii="Times New Roman" w:hAnsi="Times New Roman" w:cs="Times New Roman"/>
          <w:sz w:val="24"/>
          <w:szCs w:val="24"/>
        </w:rPr>
        <w:t>under the on-the-day approach are</w:t>
      </w:r>
      <w:r>
        <w:rPr>
          <w:rFonts w:ascii="Times New Roman" w:hAnsi="Times New Roman" w:cs="Times New Roman"/>
          <w:sz w:val="24"/>
          <w:szCs w:val="24"/>
        </w:rPr>
        <w:t xml:space="preserve"> less than the </w:t>
      </w:r>
      <w:r w:rsidR="009455DC">
        <w:rPr>
          <w:rFonts w:ascii="Times New Roman" w:hAnsi="Times New Roman" w:cs="Times New Roman"/>
          <w:sz w:val="24"/>
          <w:szCs w:val="24"/>
        </w:rPr>
        <w:t xml:space="preserve">contemporaneous </w:t>
      </w:r>
      <w:r>
        <w:rPr>
          <w:rFonts w:ascii="Times New Roman" w:hAnsi="Times New Roman" w:cs="Times New Roman"/>
          <w:sz w:val="24"/>
          <w:szCs w:val="24"/>
        </w:rPr>
        <w:t>trailing average costs face</w:t>
      </w:r>
      <w:r w:rsidR="00AB3C68">
        <w:rPr>
          <w:rFonts w:ascii="Times New Roman" w:hAnsi="Times New Roman" w:cs="Times New Roman"/>
          <w:sz w:val="24"/>
          <w:szCs w:val="24"/>
        </w:rPr>
        <w:t xml:space="preserve">d by these businesses.  </w:t>
      </w:r>
      <w:r w:rsidR="00AB3C68" w:rsidRPr="00A85EBC">
        <w:rPr>
          <w:rFonts w:ascii="Times New Roman" w:hAnsi="Times New Roman" w:cs="Times New Roman"/>
          <w:sz w:val="24"/>
          <w:szCs w:val="24"/>
        </w:rPr>
        <w:t>However, in</w:t>
      </w:r>
      <w:r w:rsidR="00946F0E" w:rsidRPr="00A85EBC">
        <w:rPr>
          <w:rFonts w:ascii="Times New Roman" w:hAnsi="Times New Roman" w:cs="Times New Roman"/>
          <w:sz w:val="24"/>
          <w:szCs w:val="24"/>
        </w:rPr>
        <w:t xml:space="preserve"> assuming that the BEE pays the trailing average risk-free rate, UBS implicitly assumes that no swaps were undertaken (because swaps would convert the trailing average risk-free rate paid into </w:t>
      </w:r>
      <w:r w:rsidR="008B75D1" w:rsidRPr="00A85EBC">
        <w:rPr>
          <w:rFonts w:ascii="Times New Roman" w:hAnsi="Times New Roman" w:cs="Times New Roman"/>
          <w:sz w:val="24"/>
          <w:szCs w:val="24"/>
        </w:rPr>
        <w:t xml:space="preserve">the </w:t>
      </w:r>
      <w:r w:rsidR="00946F0E" w:rsidRPr="00A85EBC">
        <w:rPr>
          <w:rFonts w:ascii="Times New Roman" w:hAnsi="Times New Roman" w:cs="Times New Roman"/>
          <w:sz w:val="24"/>
          <w:szCs w:val="24"/>
        </w:rPr>
        <w:t xml:space="preserve">rate prevailing at the beginning of the regulatory cycle).  Since this assumption is unjustified, it </w:t>
      </w:r>
      <w:r w:rsidR="00AB3C68" w:rsidRPr="00A85EBC">
        <w:rPr>
          <w:rFonts w:ascii="Times New Roman" w:hAnsi="Times New Roman" w:cs="Times New Roman"/>
          <w:sz w:val="24"/>
          <w:szCs w:val="24"/>
        </w:rPr>
        <w:t>undercuts the value of the comparisons</w:t>
      </w:r>
      <w:r w:rsidR="00946F0E" w:rsidRPr="00A85EBC">
        <w:rPr>
          <w:rFonts w:ascii="Times New Roman" w:hAnsi="Times New Roman" w:cs="Times New Roman"/>
          <w:sz w:val="24"/>
          <w:szCs w:val="24"/>
        </w:rPr>
        <w:t xml:space="preserve"> at least in respect of the risk-free rate component</w:t>
      </w:r>
      <w:r w:rsidR="00AB3C68" w:rsidRPr="00A85EBC">
        <w:rPr>
          <w:rFonts w:ascii="Times New Roman" w:hAnsi="Times New Roman" w:cs="Times New Roman"/>
          <w:sz w:val="24"/>
          <w:szCs w:val="24"/>
        </w:rPr>
        <w:t>.</w:t>
      </w:r>
      <w:r w:rsidR="00AB3C68">
        <w:rPr>
          <w:rFonts w:ascii="Times New Roman" w:hAnsi="Times New Roman" w:cs="Times New Roman"/>
          <w:sz w:val="24"/>
          <w:szCs w:val="24"/>
        </w:rPr>
        <w:t xml:space="preserve">  In respect of the DRP component of the comparisons, the appropriate period for comparison </w:t>
      </w:r>
      <w:r w:rsidR="009455DC">
        <w:rPr>
          <w:rFonts w:ascii="Times New Roman" w:hAnsi="Times New Roman" w:cs="Times New Roman"/>
          <w:sz w:val="24"/>
          <w:szCs w:val="24"/>
        </w:rPr>
        <w:t>spans the entire GFC-induced spike in the DRP rather than just in 2014, and consideration of this longer period supports use of the AER’s proposed transitional regime</w:t>
      </w:r>
      <w:r w:rsidR="00983E4C">
        <w:rPr>
          <w:rFonts w:ascii="Times New Roman" w:hAnsi="Times New Roman" w:cs="Times New Roman"/>
          <w:sz w:val="24"/>
          <w:szCs w:val="24"/>
        </w:rPr>
        <w:t xml:space="preserve"> (see section 8.5)</w:t>
      </w:r>
      <w:r w:rsidR="009455DC">
        <w:rPr>
          <w:rFonts w:ascii="Times New Roman" w:hAnsi="Times New Roman" w:cs="Times New Roman"/>
          <w:sz w:val="24"/>
          <w:szCs w:val="24"/>
        </w:rPr>
        <w:t>.</w:t>
      </w:r>
    </w:p>
    <w:p w:rsidR="009455DC" w:rsidRDefault="009455DC" w:rsidP="009455DC">
      <w:pPr>
        <w:pStyle w:val="ListParagraph"/>
        <w:spacing w:after="0" w:line="360" w:lineRule="auto"/>
        <w:ind w:left="0"/>
        <w:jc w:val="both"/>
        <w:rPr>
          <w:rFonts w:ascii="Times New Roman" w:hAnsi="Times New Roman" w:cs="Times New Roman"/>
          <w:sz w:val="24"/>
          <w:szCs w:val="24"/>
        </w:rPr>
      </w:pPr>
    </w:p>
    <w:p w:rsidR="004815BE" w:rsidRDefault="009455DC" w:rsidP="001D33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UBS (2015, page 6) also argues that the </w:t>
      </w:r>
      <w:r w:rsidR="004815BE">
        <w:rPr>
          <w:rFonts w:ascii="Times New Roman" w:hAnsi="Times New Roman" w:cs="Times New Roman"/>
          <w:sz w:val="24"/>
          <w:szCs w:val="24"/>
        </w:rPr>
        <w:t>transactions cos</w:t>
      </w:r>
      <w:r w:rsidR="0049666D">
        <w:rPr>
          <w:rFonts w:ascii="Times New Roman" w:hAnsi="Times New Roman" w:cs="Times New Roman"/>
          <w:sz w:val="24"/>
          <w:szCs w:val="24"/>
        </w:rPr>
        <w:t xml:space="preserve">ts of </w:t>
      </w:r>
      <w:r w:rsidR="006C6BE0">
        <w:rPr>
          <w:rFonts w:ascii="Times New Roman" w:hAnsi="Times New Roman" w:cs="Times New Roman"/>
          <w:sz w:val="24"/>
          <w:szCs w:val="24"/>
        </w:rPr>
        <w:t xml:space="preserve">the NSW service providers’ </w:t>
      </w:r>
      <w:r w:rsidR="0049666D">
        <w:rPr>
          <w:rFonts w:ascii="Times New Roman" w:hAnsi="Times New Roman" w:cs="Times New Roman"/>
          <w:sz w:val="24"/>
          <w:szCs w:val="24"/>
        </w:rPr>
        <w:t>debt are about 0.38%</w:t>
      </w:r>
      <w:r w:rsidR="004815BE">
        <w:rPr>
          <w:rFonts w:ascii="Times New Roman" w:hAnsi="Times New Roman" w:cs="Times New Roman"/>
          <w:sz w:val="24"/>
          <w:szCs w:val="24"/>
        </w:rPr>
        <w:t xml:space="preserve">.  </w:t>
      </w:r>
      <w:r w:rsidR="0049666D">
        <w:rPr>
          <w:rFonts w:ascii="Times New Roman" w:hAnsi="Times New Roman" w:cs="Times New Roman"/>
          <w:sz w:val="24"/>
          <w:szCs w:val="24"/>
        </w:rPr>
        <w:t xml:space="preserve">This bears on the question of whether the use of interest rate swap contracts is efficient.  </w:t>
      </w:r>
      <w:r w:rsidR="001D33FF">
        <w:rPr>
          <w:rFonts w:ascii="Times New Roman" w:hAnsi="Times New Roman" w:cs="Times New Roman"/>
          <w:sz w:val="24"/>
          <w:szCs w:val="24"/>
        </w:rPr>
        <w:t xml:space="preserve">Four components are mentioned by UBS.  The first is the transactions costs of cross-currency swaps (0.18%), </w:t>
      </w:r>
      <w:r w:rsidR="001D33FF" w:rsidRPr="00A85EBC">
        <w:rPr>
          <w:rFonts w:ascii="Times New Roman" w:hAnsi="Times New Roman" w:cs="Times New Roman"/>
          <w:sz w:val="24"/>
          <w:szCs w:val="24"/>
        </w:rPr>
        <w:t xml:space="preserve">which are not relevant to the </w:t>
      </w:r>
      <w:r w:rsidR="004815BE" w:rsidRPr="00A85EBC">
        <w:rPr>
          <w:rFonts w:ascii="Times New Roman" w:hAnsi="Times New Roman" w:cs="Times New Roman"/>
          <w:sz w:val="24"/>
          <w:szCs w:val="24"/>
        </w:rPr>
        <w:t>question of whether interest rate swap contracts are effi</w:t>
      </w:r>
      <w:r w:rsidR="001B4059" w:rsidRPr="00A85EBC">
        <w:rPr>
          <w:rFonts w:ascii="Times New Roman" w:hAnsi="Times New Roman" w:cs="Times New Roman"/>
          <w:sz w:val="24"/>
          <w:szCs w:val="24"/>
        </w:rPr>
        <w:t>cient</w:t>
      </w:r>
      <w:r w:rsidR="001D33FF" w:rsidRPr="00A85EBC">
        <w:rPr>
          <w:rFonts w:ascii="Times New Roman" w:hAnsi="Times New Roman" w:cs="Times New Roman"/>
          <w:sz w:val="24"/>
          <w:szCs w:val="24"/>
        </w:rPr>
        <w:t>.</w:t>
      </w:r>
      <w:r w:rsidR="001D33FF">
        <w:rPr>
          <w:rFonts w:ascii="Times New Roman" w:hAnsi="Times New Roman" w:cs="Times New Roman"/>
          <w:sz w:val="24"/>
          <w:szCs w:val="24"/>
        </w:rPr>
        <w:t xml:space="preserve">  The second component is the transaction costs of the swap contracts (0.05%).  This component has already been acknowledged but at a cost of about 0.10% rather t</w:t>
      </w:r>
      <w:r w:rsidR="0049776D">
        <w:rPr>
          <w:rFonts w:ascii="Times New Roman" w:hAnsi="Times New Roman" w:cs="Times New Roman"/>
          <w:sz w:val="24"/>
          <w:szCs w:val="24"/>
        </w:rPr>
        <w:t>han 0.05%</w:t>
      </w:r>
      <w:r w:rsidR="00CF4DE3">
        <w:rPr>
          <w:rFonts w:ascii="Times New Roman" w:hAnsi="Times New Roman" w:cs="Times New Roman"/>
          <w:sz w:val="24"/>
          <w:szCs w:val="24"/>
        </w:rPr>
        <w:t xml:space="preserve"> (Lally, 2014a, page 27)</w:t>
      </w:r>
      <w:r w:rsidR="0049776D">
        <w:rPr>
          <w:rFonts w:ascii="Times New Roman" w:hAnsi="Times New Roman" w:cs="Times New Roman"/>
          <w:sz w:val="24"/>
          <w:szCs w:val="24"/>
        </w:rPr>
        <w:t xml:space="preserve">.  </w:t>
      </w:r>
      <w:r w:rsidR="00456ECB">
        <w:rPr>
          <w:rFonts w:ascii="Times New Roman" w:hAnsi="Times New Roman" w:cs="Times New Roman"/>
          <w:sz w:val="24"/>
          <w:szCs w:val="24"/>
        </w:rPr>
        <w:t xml:space="preserve">So, the lower figure provided by UBS strengthens the conclusion that swaps are efficient.  </w:t>
      </w:r>
      <w:r w:rsidR="0049776D">
        <w:rPr>
          <w:rFonts w:ascii="Times New Roman" w:hAnsi="Times New Roman" w:cs="Times New Roman"/>
          <w:sz w:val="24"/>
          <w:szCs w:val="24"/>
        </w:rPr>
        <w:t>The third component reflects timing differences between the cost of debt allowed by the AER (based upon Bloomberg and RBA data) and the swap contracts engaged in by businesses (0.09%)</w:t>
      </w:r>
      <w:r w:rsidR="00814519">
        <w:rPr>
          <w:rFonts w:ascii="Times New Roman" w:hAnsi="Times New Roman" w:cs="Times New Roman"/>
          <w:sz w:val="24"/>
          <w:szCs w:val="24"/>
        </w:rPr>
        <w:t>, and arises because the exact dates of the data used by the RBA and Bloomberg are not disclosed</w:t>
      </w:r>
      <w:r w:rsidR="0049776D">
        <w:rPr>
          <w:rFonts w:ascii="Times New Roman" w:hAnsi="Times New Roman" w:cs="Times New Roman"/>
          <w:sz w:val="24"/>
          <w:szCs w:val="24"/>
        </w:rPr>
        <w:t xml:space="preserve">.  However the </w:t>
      </w:r>
      <w:r w:rsidR="004815BE">
        <w:rPr>
          <w:rFonts w:ascii="Times New Roman" w:hAnsi="Times New Roman" w:cs="Times New Roman"/>
          <w:sz w:val="24"/>
          <w:szCs w:val="24"/>
        </w:rPr>
        <w:t xml:space="preserve">derivation of </w:t>
      </w:r>
      <w:r w:rsidR="0049776D">
        <w:rPr>
          <w:rFonts w:ascii="Times New Roman" w:hAnsi="Times New Roman" w:cs="Times New Roman"/>
          <w:sz w:val="24"/>
          <w:szCs w:val="24"/>
        </w:rPr>
        <w:t xml:space="preserve">this figure is not </w:t>
      </w:r>
      <w:r w:rsidR="004815BE">
        <w:rPr>
          <w:rFonts w:ascii="Times New Roman" w:hAnsi="Times New Roman" w:cs="Times New Roman"/>
          <w:sz w:val="24"/>
          <w:szCs w:val="24"/>
        </w:rPr>
        <w:t xml:space="preserve">explained </w:t>
      </w:r>
      <w:r w:rsidR="0049776D">
        <w:rPr>
          <w:rFonts w:ascii="Times New Roman" w:hAnsi="Times New Roman" w:cs="Times New Roman"/>
          <w:sz w:val="24"/>
          <w:szCs w:val="24"/>
        </w:rPr>
        <w:t xml:space="preserve">by UBS and, </w:t>
      </w:r>
      <w:r w:rsidR="004815BE">
        <w:rPr>
          <w:rFonts w:ascii="Times New Roman" w:hAnsi="Times New Roman" w:cs="Times New Roman"/>
          <w:sz w:val="24"/>
          <w:szCs w:val="24"/>
        </w:rPr>
        <w:t>in any event</w:t>
      </w:r>
      <w:r w:rsidR="0049776D">
        <w:rPr>
          <w:rFonts w:ascii="Times New Roman" w:hAnsi="Times New Roman" w:cs="Times New Roman"/>
          <w:sz w:val="24"/>
          <w:szCs w:val="24"/>
        </w:rPr>
        <w:t>,</w:t>
      </w:r>
      <w:r w:rsidR="004815BE">
        <w:rPr>
          <w:rFonts w:ascii="Times New Roman" w:hAnsi="Times New Roman" w:cs="Times New Roman"/>
          <w:sz w:val="24"/>
          <w:szCs w:val="24"/>
        </w:rPr>
        <w:t xml:space="preserve"> </w:t>
      </w:r>
      <w:r w:rsidR="0049776D">
        <w:rPr>
          <w:rFonts w:ascii="Times New Roman" w:hAnsi="Times New Roman" w:cs="Times New Roman"/>
          <w:sz w:val="24"/>
          <w:szCs w:val="24"/>
        </w:rPr>
        <w:t xml:space="preserve">it </w:t>
      </w:r>
      <w:r w:rsidR="00C52DB3">
        <w:rPr>
          <w:rFonts w:ascii="Times New Roman" w:hAnsi="Times New Roman" w:cs="Times New Roman"/>
          <w:sz w:val="24"/>
          <w:szCs w:val="24"/>
        </w:rPr>
        <w:t xml:space="preserve">is not a cost but a risk from engaging in swap contracts, which must be compared with the risk from not engaging in </w:t>
      </w:r>
      <w:r w:rsidR="00C52DB3">
        <w:rPr>
          <w:rFonts w:ascii="Times New Roman" w:hAnsi="Times New Roman" w:cs="Times New Roman"/>
          <w:sz w:val="24"/>
          <w:szCs w:val="24"/>
        </w:rPr>
        <w:lastRenderedPageBreak/>
        <w:t>swaps.  This comparison has been done in Appendix 2 and reveals that the risk from undertaking swaps is much less than from not doing so</w:t>
      </w:r>
      <w:r w:rsidR="00814519">
        <w:rPr>
          <w:rFonts w:ascii="Times New Roman" w:hAnsi="Times New Roman" w:cs="Times New Roman"/>
          <w:sz w:val="24"/>
          <w:szCs w:val="24"/>
        </w:rPr>
        <w:t>.  Finally</w:t>
      </w:r>
      <w:r w:rsidR="001E5AC7">
        <w:rPr>
          <w:rFonts w:ascii="Times New Roman" w:hAnsi="Times New Roman" w:cs="Times New Roman"/>
          <w:sz w:val="24"/>
          <w:szCs w:val="24"/>
        </w:rPr>
        <w:t>,</w:t>
      </w:r>
      <w:r w:rsidR="00814519">
        <w:rPr>
          <w:rFonts w:ascii="Times New Roman" w:hAnsi="Times New Roman" w:cs="Times New Roman"/>
          <w:sz w:val="24"/>
          <w:szCs w:val="24"/>
        </w:rPr>
        <w:t xml:space="preserve"> the fourth component reflects risk arising from entering the swap contracts </w:t>
      </w:r>
      <w:r w:rsidR="00BB791F">
        <w:rPr>
          <w:rFonts w:ascii="Times New Roman" w:hAnsi="Times New Roman" w:cs="Times New Roman"/>
          <w:sz w:val="24"/>
          <w:szCs w:val="24"/>
        </w:rPr>
        <w:t xml:space="preserve">over a different period to that used by the regulator in setting the allowed cost of debt (0.06%).  As with the third component, the derivation of this figure is not explained by UBS and, in any event, it is not a cost but a risk from engaging in swap contracts, which must be compared with the risk from not engaging in swaps.  This comparison has been done in Appendix 2 and reveals that the risk from undertaking swaps is much less than from not doing so.  So, of these four components, one is irrelevant to the issue of whether it is efficient to engage in swap contracts, </w:t>
      </w:r>
      <w:r w:rsidR="00456ECB">
        <w:rPr>
          <w:rFonts w:ascii="Times New Roman" w:hAnsi="Times New Roman" w:cs="Times New Roman"/>
          <w:sz w:val="24"/>
          <w:szCs w:val="24"/>
        </w:rPr>
        <w:t>two relate to risk and have been addressed in the risk comparison shown in Appendix 2, and one is the transactions costs of the swaps that have already been recognized in determining that swaps were efficient.</w:t>
      </w:r>
    </w:p>
    <w:p w:rsidR="004815BE" w:rsidRDefault="004815BE" w:rsidP="004815BE">
      <w:pPr>
        <w:spacing w:after="0" w:line="360" w:lineRule="auto"/>
        <w:jc w:val="both"/>
        <w:rPr>
          <w:rFonts w:ascii="Times New Roman" w:hAnsi="Times New Roman" w:cs="Times New Roman"/>
          <w:sz w:val="24"/>
          <w:szCs w:val="24"/>
        </w:rPr>
      </w:pPr>
    </w:p>
    <w:p w:rsidR="004815BE" w:rsidRPr="004B4DC5" w:rsidRDefault="004B4DC5" w:rsidP="004815BE">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9.2 Frontier </w:t>
      </w:r>
      <w:r>
        <w:rPr>
          <w:rFonts w:ascii="Times New Roman" w:hAnsi="Times New Roman" w:cs="Times New Roman"/>
          <w:sz w:val="24"/>
          <w:szCs w:val="24"/>
        </w:rPr>
        <w:t>(</w:t>
      </w:r>
      <w:r>
        <w:rPr>
          <w:rFonts w:ascii="Times New Roman" w:hAnsi="Times New Roman" w:cs="Times New Roman"/>
          <w:i/>
          <w:sz w:val="24"/>
          <w:szCs w:val="24"/>
        </w:rPr>
        <w:t>for TransGrid</w:t>
      </w:r>
      <w:r>
        <w:rPr>
          <w:rFonts w:ascii="Times New Roman" w:hAnsi="Times New Roman" w:cs="Times New Roman"/>
          <w:sz w:val="24"/>
          <w:szCs w:val="24"/>
        </w:rPr>
        <w:t>)</w:t>
      </w:r>
    </w:p>
    <w:p w:rsidR="00942769" w:rsidRDefault="004B4DC5" w:rsidP="000D78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Frontier (2015, section 3.5) argues that the AER’s proposed transitional </w:t>
      </w:r>
      <w:r w:rsidR="000D789D">
        <w:rPr>
          <w:rFonts w:ascii="Times New Roman" w:hAnsi="Times New Roman" w:cs="Times New Roman"/>
          <w:sz w:val="24"/>
          <w:szCs w:val="24"/>
        </w:rPr>
        <w:t xml:space="preserve">process for the DRP involves them keeping a mental accounting of past gains and losses and then seeking to square it up in the next regulatory period, which is inappropriate.  </w:t>
      </w:r>
      <w:r w:rsidR="00AF106A">
        <w:rPr>
          <w:rFonts w:ascii="Times New Roman" w:hAnsi="Times New Roman" w:cs="Times New Roman"/>
          <w:sz w:val="24"/>
          <w:szCs w:val="24"/>
        </w:rPr>
        <w:t xml:space="preserve">I do not agree.  The </w:t>
      </w:r>
      <w:r w:rsidR="000D789D">
        <w:rPr>
          <w:rFonts w:ascii="Times New Roman" w:hAnsi="Times New Roman" w:cs="Times New Roman"/>
          <w:sz w:val="24"/>
          <w:szCs w:val="24"/>
        </w:rPr>
        <w:t xml:space="preserve">on-the-day regime gave rise to accumulated gains and losses that </w:t>
      </w:r>
      <w:r w:rsidR="00AF106A">
        <w:rPr>
          <w:rFonts w:ascii="Times New Roman" w:hAnsi="Times New Roman" w:cs="Times New Roman"/>
          <w:sz w:val="24"/>
          <w:szCs w:val="24"/>
        </w:rPr>
        <w:t xml:space="preserve">reverse over time.  However the </w:t>
      </w:r>
      <w:r w:rsidR="000D789D">
        <w:rPr>
          <w:rFonts w:ascii="Times New Roman" w:hAnsi="Times New Roman" w:cs="Times New Roman"/>
          <w:sz w:val="24"/>
          <w:szCs w:val="24"/>
        </w:rPr>
        <w:t xml:space="preserve">regime change brought that process to </w:t>
      </w:r>
      <w:r w:rsidR="00362DF2">
        <w:rPr>
          <w:rFonts w:ascii="Times New Roman" w:hAnsi="Times New Roman" w:cs="Times New Roman"/>
          <w:sz w:val="24"/>
          <w:szCs w:val="24"/>
        </w:rPr>
        <w:t xml:space="preserve">a premature </w:t>
      </w:r>
      <w:r w:rsidR="000D789D">
        <w:rPr>
          <w:rFonts w:ascii="Times New Roman" w:hAnsi="Times New Roman" w:cs="Times New Roman"/>
          <w:sz w:val="24"/>
          <w:szCs w:val="24"/>
        </w:rPr>
        <w:t xml:space="preserve">end, and at a time when the accumulated position </w:t>
      </w:r>
      <w:r w:rsidR="007928ED">
        <w:rPr>
          <w:rFonts w:ascii="Times New Roman" w:hAnsi="Times New Roman" w:cs="Times New Roman"/>
          <w:sz w:val="24"/>
          <w:szCs w:val="24"/>
        </w:rPr>
        <w:t xml:space="preserve">(of about $2.3b) </w:t>
      </w:r>
      <w:r w:rsidR="000D789D">
        <w:rPr>
          <w:rFonts w:ascii="Times New Roman" w:hAnsi="Times New Roman" w:cs="Times New Roman"/>
          <w:sz w:val="24"/>
          <w:szCs w:val="24"/>
        </w:rPr>
        <w:t xml:space="preserve">was </w:t>
      </w:r>
      <w:r w:rsidR="008F6C3C">
        <w:rPr>
          <w:rFonts w:ascii="Times New Roman" w:hAnsi="Times New Roman" w:cs="Times New Roman"/>
          <w:sz w:val="24"/>
          <w:szCs w:val="24"/>
        </w:rPr>
        <w:t xml:space="preserve">very large.  Consistent with my view that the </w:t>
      </w:r>
      <w:r w:rsidR="00983E4C">
        <w:rPr>
          <w:rFonts w:ascii="Times New Roman" w:hAnsi="Times New Roman" w:cs="Times New Roman"/>
          <w:sz w:val="24"/>
          <w:szCs w:val="24"/>
        </w:rPr>
        <w:t xml:space="preserve">large one-off </w:t>
      </w:r>
      <w:r w:rsidR="008F6C3C">
        <w:rPr>
          <w:rFonts w:ascii="Times New Roman" w:hAnsi="Times New Roman" w:cs="Times New Roman"/>
          <w:sz w:val="24"/>
          <w:szCs w:val="24"/>
        </w:rPr>
        <w:t xml:space="preserve">effects of regime change should be neutralized, and that the AER’s proposed transitional process does so, </w:t>
      </w:r>
      <w:r w:rsidR="00942769">
        <w:rPr>
          <w:rFonts w:ascii="Times New Roman" w:hAnsi="Times New Roman" w:cs="Times New Roman"/>
          <w:sz w:val="24"/>
          <w:szCs w:val="24"/>
        </w:rPr>
        <w:t>I therefore support it.</w:t>
      </w:r>
    </w:p>
    <w:p w:rsidR="00942769" w:rsidRDefault="00942769" w:rsidP="000D789D">
      <w:pPr>
        <w:spacing w:after="0" w:line="360" w:lineRule="auto"/>
        <w:jc w:val="both"/>
        <w:rPr>
          <w:rFonts w:ascii="Times New Roman" w:hAnsi="Times New Roman" w:cs="Times New Roman"/>
          <w:sz w:val="24"/>
          <w:szCs w:val="24"/>
        </w:rPr>
      </w:pPr>
    </w:p>
    <w:p w:rsidR="008F6C3C" w:rsidRDefault="00362DF2" w:rsidP="008F6C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Frontier (2015, section 3.5) also notes that clause 6.5.2 (c) of the NER requires that the rate of return should be commensurate with the costs of a BEE</w:t>
      </w:r>
      <w:r w:rsidR="001629A0">
        <w:rPr>
          <w:rFonts w:ascii="Times New Roman" w:hAnsi="Times New Roman" w:cs="Times New Roman"/>
          <w:sz w:val="24"/>
          <w:szCs w:val="24"/>
        </w:rPr>
        <w:t xml:space="preserve"> and argues that this precludes </w:t>
      </w:r>
      <w:r w:rsidR="00746C19">
        <w:rPr>
          <w:rFonts w:ascii="Times New Roman" w:hAnsi="Times New Roman" w:cs="Times New Roman"/>
          <w:sz w:val="24"/>
          <w:szCs w:val="24"/>
        </w:rPr>
        <w:t xml:space="preserve">consideration of </w:t>
      </w:r>
      <w:r w:rsidR="001629A0">
        <w:rPr>
          <w:rFonts w:ascii="Times New Roman" w:hAnsi="Times New Roman" w:cs="Times New Roman"/>
          <w:sz w:val="24"/>
          <w:szCs w:val="24"/>
        </w:rPr>
        <w:t xml:space="preserve">windfall gains or losses in prior regulatory periods.  </w:t>
      </w:r>
      <w:r w:rsidR="008F6C3C">
        <w:rPr>
          <w:rFonts w:ascii="Times New Roman" w:hAnsi="Times New Roman" w:cs="Times New Roman"/>
          <w:sz w:val="24"/>
          <w:szCs w:val="24"/>
        </w:rPr>
        <w:t xml:space="preserve">However, as discussed in section 8.2, the legal requirement cited is equivalent to the NPV = 0 principle (which is also forward-looking) and as discussed in section 8.3 this </w:t>
      </w:r>
      <w:r w:rsidR="008F6C3C" w:rsidRPr="009F241E">
        <w:rPr>
          <w:rFonts w:ascii="Times New Roman" w:hAnsi="Times New Roman" w:cs="Times New Roman"/>
          <w:sz w:val="24"/>
          <w:szCs w:val="24"/>
        </w:rPr>
        <w:t>implies that the only viable regulatory policy is to neutralize the temporary effects of at least regime changes with large effects in either direction.</w:t>
      </w:r>
      <w:r w:rsidR="008F6C3C">
        <w:rPr>
          <w:rFonts w:ascii="Times New Roman" w:hAnsi="Times New Roman" w:cs="Times New Roman"/>
          <w:sz w:val="24"/>
          <w:szCs w:val="24"/>
        </w:rPr>
        <w:t xml:space="preserve">  Doing so may require, at the time of the regime change, consideration of earlier events.</w:t>
      </w:r>
    </w:p>
    <w:p w:rsidR="007351F7" w:rsidRDefault="007351F7" w:rsidP="004815BE">
      <w:pPr>
        <w:spacing w:after="0" w:line="360" w:lineRule="auto"/>
        <w:jc w:val="both"/>
        <w:rPr>
          <w:rFonts w:ascii="Times New Roman" w:hAnsi="Times New Roman" w:cs="Times New Roman"/>
          <w:sz w:val="24"/>
          <w:szCs w:val="24"/>
        </w:rPr>
      </w:pPr>
    </w:p>
    <w:p w:rsidR="004815BE" w:rsidRDefault="002A661B"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Frontier (2015, section 3.6) argues the AER’s proposed transitional process for the DRP involves a clawback of past</w:t>
      </w:r>
      <w:r w:rsidR="008115DD">
        <w:rPr>
          <w:rFonts w:ascii="Times New Roman" w:hAnsi="Times New Roman" w:cs="Times New Roman"/>
          <w:sz w:val="24"/>
          <w:szCs w:val="24"/>
        </w:rPr>
        <w:t xml:space="preserve"> gains, notes that Lally (2014</w:t>
      </w:r>
      <w:r w:rsidR="001A0498">
        <w:rPr>
          <w:rFonts w:ascii="Times New Roman" w:hAnsi="Times New Roman" w:cs="Times New Roman"/>
          <w:sz w:val="24"/>
          <w:szCs w:val="24"/>
        </w:rPr>
        <w:t>a</w:t>
      </w:r>
      <w:r w:rsidR="008115DD">
        <w:rPr>
          <w:rFonts w:ascii="Times New Roman" w:hAnsi="Times New Roman" w:cs="Times New Roman"/>
          <w:sz w:val="24"/>
          <w:szCs w:val="24"/>
        </w:rPr>
        <w:t xml:space="preserve">, pp. 21-22) argues otherwise, and </w:t>
      </w:r>
      <w:r w:rsidR="008115DD">
        <w:rPr>
          <w:rFonts w:ascii="Times New Roman" w:hAnsi="Times New Roman" w:cs="Times New Roman"/>
          <w:sz w:val="24"/>
          <w:szCs w:val="24"/>
        </w:rPr>
        <w:lastRenderedPageBreak/>
        <w:t>therefore questions what a clawback would look like if this was not an example of it.</w:t>
      </w:r>
      <w:r w:rsidR="004815BE">
        <w:rPr>
          <w:rFonts w:ascii="Times New Roman" w:hAnsi="Times New Roman" w:cs="Times New Roman"/>
          <w:sz w:val="24"/>
          <w:szCs w:val="24"/>
        </w:rPr>
        <w:t xml:space="preserve">  </w:t>
      </w:r>
      <w:r w:rsidR="008115DD">
        <w:rPr>
          <w:rFonts w:ascii="Times New Roman" w:hAnsi="Times New Roman" w:cs="Times New Roman"/>
          <w:sz w:val="24"/>
          <w:szCs w:val="24"/>
        </w:rPr>
        <w:t xml:space="preserve">In response to this question, suppose that </w:t>
      </w:r>
      <w:r w:rsidR="004815BE">
        <w:rPr>
          <w:rFonts w:ascii="Times New Roman" w:hAnsi="Times New Roman" w:cs="Times New Roman"/>
          <w:sz w:val="24"/>
          <w:szCs w:val="24"/>
        </w:rPr>
        <w:t>freak weather generated a favourable outcome for a business</w:t>
      </w:r>
      <w:r w:rsidR="008115DD">
        <w:rPr>
          <w:rFonts w:ascii="Times New Roman" w:hAnsi="Times New Roman" w:cs="Times New Roman"/>
          <w:sz w:val="24"/>
          <w:szCs w:val="24"/>
        </w:rPr>
        <w:t xml:space="preserve"> and the regulator then set the allowed rate of return at the next reset point so as to offset this earlier favourable event.  </w:t>
      </w:r>
      <w:r w:rsidR="004815BE">
        <w:rPr>
          <w:rFonts w:ascii="Times New Roman" w:hAnsi="Times New Roman" w:cs="Times New Roman"/>
          <w:sz w:val="24"/>
          <w:szCs w:val="24"/>
        </w:rPr>
        <w:t xml:space="preserve">This would be clawback.  </w:t>
      </w:r>
      <w:r w:rsidR="00E4432D">
        <w:rPr>
          <w:rFonts w:ascii="Times New Roman" w:hAnsi="Times New Roman" w:cs="Times New Roman"/>
          <w:sz w:val="24"/>
          <w:szCs w:val="24"/>
        </w:rPr>
        <w:t xml:space="preserve">Alternatively, suppose that a </w:t>
      </w:r>
      <w:r w:rsidR="008115DD">
        <w:rPr>
          <w:rFonts w:ascii="Times New Roman" w:hAnsi="Times New Roman" w:cs="Times New Roman"/>
          <w:sz w:val="24"/>
          <w:szCs w:val="24"/>
        </w:rPr>
        <w:t xml:space="preserve">government entity was involved in </w:t>
      </w:r>
      <w:r w:rsidR="00E4432D">
        <w:rPr>
          <w:rFonts w:ascii="Times New Roman" w:hAnsi="Times New Roman" w:cs="Times New Roman"/>
          <w:sz w:val="24"/>
          <w:szCs w:val="24"/>
        </w:rPr>
        <w:t xml:space="preserve">an insurance </w:t>
      </w:r>
      <w:r w:rsidR="008115DD">
        <w:rPr>
          <w:rFonts w:ascii="Times New Roman" w:hAnsi="Times New Roman" w:cs="Times New Roman"/>
          <w:sz w:val="24"/>
          <w:szCs w:val="24"/>
        </w:rPr>
        <w:t xml:space="preserve">business and the government decided to vacate that business.  Naturally, no new insurance contracts would be issued.  However, </w:t>
      </w:r>
      <w:r w:rsidR="00983E4C">
        <w:rPr>
          <w:rFonts w:ascii="Times New Roman" w:hAnsi="Times New Roman" w:cs="Times New Roman"/>
          <w:sz w:val="24"/>
          <w:szCs w:val="24"/>
        </w:rPr>
        <w:t xml:space="preserve">annulling the </w:t>
      </w:r>
      <w:r w:rsidR="00E4432D">
        <w:rPr>
          <w:rFonts w:ascii="Times New Roman" w:hAnsi="Times New Roman" w:cs="Times New Roman"/>
          <w:sz w:val="24"/>
          <w:szCs w:val="24"/>
        </w:rPr>
        <w:t xml:space="preserve">existing liabilities under the </w:t>
      </w:r>
      <w:r w:rsidR="008115DD">
        <w:rPr>
          <w:rFonts w:ascii="Times New Roman" w:hAnsi="Times New Roman" w:cs="Times New Roman"/>
          <w:sz w:val="24"/>
          <w:szCs w:val="24"/>
        </w:rPr>
        <w:t xml:space="preserve">existing contracts would leave those who had already paid the premiums without the potential benefits.  </w:t>
      </w:r>
      <w:r w:rsidR="00830473">
        <w:rPr>
          <w:rFonts w:ascii="Times New Roman" w:hAnsi="Times New Roman" w:cs="Times New Roman"/>
          <w:sz w:val="24"/>
          <w:szCs w:val="24"/>
        </w:rPr>
        <w:t xml:space="preserve">This </w:t>
      </w:r>
      <w:r w:rsidR="004815BE">
        <w:rPr>
          <w:rFonts w:ascii="Times New Roman" w:hAnsi="Times New Roman" w:cs="Times New Roman"/>
          <w:sz w:val="24"/>
          <w:szCs w:val="24"/>
        </w:rPr>
        <w:t xml:space="preserve">would be </w:t>
      </w:r>
      <w:r w:rsidR="00983E4C">
        <w:rPr>
          <w:rFonts w:ascii="Times New Roman" w:hAnsi="Times New Roman" w:cs="Times New Roman"/>
          <w:sz w:val="24"/>
          <w:szCs w:val="24"/>
        </w:rPr>
        <w:t xml:space="preserve">inequitable </w:t>
      </w:r>
      <w:r w:rsidR="004815BE">
        <w:rPr>
          <w:rFonts w:ascii="Times New Roman" w:hAnsi="Times New Roman" w:cs="Times New Roman"/>
          <w:sz w:val="24"/>
          <w:szCs w:val="24"/>
        </w:rPr>
        <w:t xml:space="preserve">because the subsequent obligations are a consequence of receiving the premiums; the good news (premiums) is followed by the bad news (payouts).  Thus, </w:t>
      </w:r>
      <w:r w:rsidR="00830473">
        <w:rPr>
          <w:rFonts w:ascii="Times New Roman" w:hAnsi="Times New Roman" w:cs="Times New Roman"/>
          <w:sz w:val="24"/>
          <w:szCs w:val="24"/>
        </w:rPr>
        <w:t xml:space="preserve">if a </w:t>
      </w:r>
      <w:r w:rsidR="004815BE">
        <w:rPr>
          <w:rFonts w:ascii="Times New Roman" w:hAnsi="Times New Roman" w:cs="Times New Roman"/>
          <w:sz w:val="24"/>
          <w:szCs w:val="24"/>
        </w:rPr>
        <w:t xml:space="preserve">court </w:t>
      </w:r>
      <w:r w:rsidR="00830473">
        <w:rPr>
          <w:rFonts w:ascii="Times New Roman" w:hAnsi="Times New Roman" w:cs="Times New Roman"/>
          <w:sz w:val="24"/>
          <w:szCs w:val="24"/>
        </w:rPr>
        <w:t xml:space="preserve">determined that the liabilities could not be annulled, it would </w:t>
      </w:r>
      <w:r w:rsidR="004815BE">
        <w:rPr>
          <w:rFonts w:ascii="Times New Roman" w:hAnsi="Times New Roman" w:cs="Times New Roman"/>
          <w:sz w:val="24"/>
          <w:szCs w:val="24"/>
        </w:rPr>
        <w:t xml:space="preserve">not be clawing back </w:t>
      </w:r>
      <w:r w:rsidR="00830473">
        <w:rPr>
          <w:rFonts w:ascii="Times New Roman" w:hAnsi="Times New Roman" w:cs="Times New Roman"/>
          <w:sz w:val="24"/>
          <w:szCs w:val="24"/>
        </w:rPr>
        <w:t xml:space="preserve">the </w:t>
      </w:r>
      <w:r w:rsidR="004815BE">
        <w:rPr>
          <w:rFonts w:ascii="Times New Roman" w:hAnsi="Times New Roman" w:cs="Times New Roman"/>
          <w:sz w:val="24"/>
          <w:szCs w:val="24"/>
        </w:rPr>
        <w:t xml:space="preserve">earlier premiums but simply preserving the integrity of a package deal, involving premiums first and payouts later.  </w:t>
      </w:r>
      <w:r w:rsidR="00983E4C">
        <w:rPr>
          <w:rFonts w:ascii="Times New Roman" w:hAnsi="Times New Roman" w:cs="Times New Roman"/>
          <w:sz w:val="24"/>
          <w:szCs w:val="24"/>
        </w:rPr>
        <w:t xml:space="preserve">In my view, the </w:t>
      </w:r>
      <w:r w:rsidR="00830473">
        <w:rPr>
          <w:rFonts w:ascii="Times New Roman" w:hAnsi="Times New Roman" w:cs="Times New Roman"/>
          <w:sz w:val="24"/>
          <w:szCs w:val="24"/>
        </w:rPr>
        <w:t xml:space="preserve">proposed transitional regime is </w:t>
      </w:r>
      <w:r w:rsidR="004815BE">
        <w:rPr>
          <w:rFonts w:ascii="Times New Roman" w:hAnsi="Times New Roman" w:cs="Times New Roman"/>
          <w:sz w:val="24"/>
          <w:szCs w:val="24"/>
        </w:rPr>
        <w:t xml:space="preserve">akin to the </w:t>
      </w:r>
      <w:r w:rsidR="00983E4C">
        <w:rPr>
          <w:rFonts w:ascii="Times New Roman" w:hAnsi="Times New Roman" w:cs="Times New Roman"/>
          <w:sz w:val="24"/>
          <w:szCs w:val="24"/>
        </w:rPr>
        <w:t xml:space="preserve">insurance example rather than the weather example.  </w:t>
      </w:r>
      <w:r w:rsidR="004815BE">
        <w:rPr>
          <w:rFonts w:ascii="Times New Roman" w:hAnsi="Times New Roman" w:cs="Times New Roman"/>
          <w:sz w:val="24"/>
          <w:szCs w:val="24"/>
        </w:rPr>
        <w:t>The windfall DRP gains made by firms under the old regime in the early stages of the GFC spike are part of a package and the rest of the package is the subsequent windfall losses</w:t>
      </w:r>
      <w:r w:rsidR="007B656B">
        <w:rPr>
          <w:rFonts w:ascii="Times New Roman" w:hAnsi="Times New Roman" w:cs="Times New Roman"/>
          <w:sz w:val="24"/>
          <w:szCs w:val="24"/>
        </w:rPr>
        <w:t>, i.e., the subsequent losses are an inevitable consequence of the earlier gains</w:t>
      </w:r>
      <w:r w:rsidR="004815BE">
        <w:rPr>
          <w:rFonts w:ascii="Times New Roman" w:hAnsi="Times New Roman" w:cs="Times New Roman"/>
          <w:sz w:val="24"/>
          <w:szCs w:val="24"/>
        </w:rPr>
        <w:t>.  Thus, if the regulatory regime changes, the package should not be cut up so as to leave the fi</w:t>
      </w:r>
      <w:r w:rsidR="00830473">
        <w:rPr>
          <w:rFonts w:ascii="Times New Roman" w:hAnsi="Times New Roman" w:cs="Times New Roman"/>
          <w:sz w:val="24"/>
          <w:szCs w:val="24"/>
        </w:rPr>
        <w:t xml:space="preserve">rms with the windfall gains but </w:t>
      </w:r>
      <w:r w:rsidR="004815BE">
        <w:rPr>
          <w:rFonts w:ascii="Times New Roman" w:hAnsi="Times New Roman" w:cs="Times New Roman"/>
          <w:sz w:val="24"/>
          <w:szCs w:val="24"/>
        </w:rPr>
        <w:t xml:space="preserve">exempt them from the subsequent losses.  </w:t>
      </w:r>
      <w:r w:rsidR="00830473">
        <w:rPr>
          <w:rFonts w:ascii="Times New Roman" w:hAnsi="Times New Roman" w:cs="Times New Roman"/>
          <w:sz w:val="24"/>
          <w:szCs w:val="24"/>
        </w:rPr>
        <w:t>By contrast, there is no resemblance with the weather example, because favourable weather conditions today do not lead to offsetting bad conditions at some point in the future.</w:t>
      </w:r>
    </w:p>
    <w:p w:rsidR="00830473" w:rsidRDefault="00830473" w:rsidP="004815BE">
      <w:pPr>
        <w:spacing w:after="0" w:line="360" w:lineRule="auto"/>
        <w:jc w:val="both"/>
        <w:rPr>
          <w:rFonts w:ascii="Times New Roman" w:hAnsi="Times New Roman" w:cs="Times New Roman"/>
          <w:sz w:val="24"/>
          <w:szCs w:val="24"/>
        </w:rPr>
      </w:pPr>
    </w:p>
    <w:p w:rsidR="00365F3A" w:rsidRDefault="0011079B" w:rsidP="00365F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Frontier (2015, para 114) argues that the AER’s proposed transitional regime creates risk and </w:t>
      </w:r>
      <w:r w:rsidR="00365F3A">
        <w:rPr>
          <w:rFonts w:ascii="Times New Roman" w:hAnsi="Times New Roman" w:cs="Times New Roman"/>
          <w:sz w:val="24"/>
          <w:szCs w:val="24"/>
        </w:rPr>
        <w:t xml:space="preserve">discourages investment.  I disagree.  Without such a transitional process, regulated businesses could reasonably be concerned that, at some future time, the regulator might again change the regime and it might change it at a time that was particularly unfavourable to them.  Without the expectation that the regulator would seek to </w:t>
      </w:r>
      <w:r w:rsidR="00B170B5">
        <w:rPr>
          <w:rFonts w:ascii="Times New Roman" w:hAnsi="Times New Roman" w:cs="Times New Roman"/>
          <w:sz w:val="24"/>
          <w:szCs w:val="24"/>
        </w:rPr>
        <w:t>neutralize this effect</w:t>
      </w:r>
      <w:r w:rsidR="00365F3A">
        <w:rPr>
          <w:rFonts w:ascii="Times New Roman" w:hAnsi="Times New Roman" w:cs="Times New Roman"/>
          <w:sz w:val="24"/>
          <w:szCs w:val="24"/>
        </w:rPr>
        <w:t>, businesses would face risk.  So, the AER’s proposed actions are risk-reducing rather than risk creating.  Accordingly, they encourage investment.</w:t>
      </w:r>
    </w:p>
    <w:p w:rsidR="0011079B" w:rsidRDefault="0011079B" w:rsidP="004815BE">
      <w:pPr>
        <w:spacing w:after="0" w:line="360" w:lineRule="auto"/>
        <w:jc w:val="both"/>
        <w:rPr>
          <w:rFonts w:ascii="Times New Roman" w:hAnsi="Times New Roman" w:cs="Times New Roman"/>
          <w:sz w:val="24"/>
          <w:szCs w:val="24"/>
        </w:rPr>
      </w:pPr>
    </w:p>
    <w:p w:rsidR="004815BE" w:rsidRPr="00A85EBC" w:rsidRDefault="006F02B3" w:rsidP="00A70A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Frontier (2015, para 115) argues that even if the AER’s proposed </w:t>
      </w:r>
      <w:r w:rsidR="004815BE">
        <w:rPr>
          <w:rFonts w:ascii="Times New Roman" w:hAnsi="Times New Roman" w:cs="Times New Roman"/>
          <w:sz w:val="24"/>
          <w:szCs w:val="24"/>
        </w:rPr>
        <w:t xml:space="preserve">transitional regime </w:t>
      </w:r>
      <w:r>
        <w:rPr>
          <w:rFonts w:ascii="Times New Roman" w:hAnsi="Times New Roman" w:cs="Times New Roman"/>
          <w:sz w:val="24"/>
          <w:szCs w:val="24"/>
        </w:rPr>
        <w:t xml:space="preserve">for the DRP were adopted there would be significant </w:t>
      </w:r>
      <w:r w:rsidR="004815BE">
        <w:rPr>
          <w:rFonts w:ascii="Times New Roman" w:hAnsi="Times New Roman" w:cs="Times New Roman"/>
          <w:sz w:val="24"/>
          <w:szCs w:val="24"/>
        </w:rPr>
        <w:t>practical difficulties in implementing</w:t>
      </w:r>
      <w:r w:rsidR="00552F2B">
        <w:rPr>
          <w:rFonts w:ascii="Times New Roman" w:hAnsi="Times New Roman" w:cs="Times New Roman"/>
          <w:sz w:val="24"/>
          <w:szCs w:val="24"/>
        </w:rPr>
        <w:t xml:space="preserve"> it.  The first alleged difficulty is that</w:t>
      </w:r>
      <w:r w:rsidR="00A70AFB">
        <w:rPr>
          <w:rFonts w:ascii="Times New Roman" w:hAnsi="Times New Roman" w:cs="Times New Roman"/>
          <w:sz w:val="24"/>
          <w:szCs w:val="24"/>
        </w:rPr>
        <w:t xml:space="preserve">, if </w:t>
      </w:r>
      <w:r w:rsidR="004815BE">
        <w:rPr>
          <w:rFonts w:ascii="Times New Roman" w:hAnsi="Times New Roman" w:cs="Times New Roman"/>
          <w:sz w:val="24"/>
          <w:szCs w:val="24"/>
        </w:rPr>
        <w:t xml:space="preserve">the DRP rose again during the transitional period, </w:t>
      </w:r>
      <w:r w:rsidR="00A70AFB">
        <w:rPr>
          <w:rFonts w:ascii="Times New Roman" w:hAnsi="Times New Roman" w:cs="Times New Roman"/>
          <w:sz w:val="24"/>
          <w:szCs w:val="24"/>
        </w:rPr>
        <w:t xml:space="preserve">it would aggravate the windfall gain in which case the proposed transitional regime would fail to achieve its objective of mitigating the windfall gains.  Frontier do not provide any analysis of </w:t>
      </w:r>
      <w:r w:rsidR="00A70AFB">
        <w:rPr>
          <w:rFonts w:ascii="Times New Roman" w:hAnsi="Times New Roman" w:cs="Times New Roman"/>
          <w:sz w:val="24"/>
          <w:szCs w:val="24"/>
        </w:rPr>
        <w:lastRenderedPageBreak/>
        <w:t xml:space="preserve">this issue.  </w:t>
      </w:r>
      <w:r w:rsidR="00A70AFB" w:rsidRPr="00A85EBC">
        <w:rPr>
          <w:rFonts w:ascii="Times New Roman" w:hAnsi="Times New Roman" w:cs="Times New Roman"/>
          <w:sz w:val="24"/>
          <w:szCs w:val="24"/>
        </w:rPr>
        <w:t xml:space="preserve">By contrast, CEG (2015, section 5.5) do analyse this issue and I </w:t>
      </w:r>
      <w:r w:rsidR="004B66F8" w:rsidRPr="00A85EBC">
        <w:rPr>
          <w:rFonts w:ascii="Times New Roman" w:hAnsi="Times New Roman" w:cs="Times New Roman"/>
          <w:sz w:val="24"/>
          <w:szCs w:val="24"/>
        </w:rPr>
        <w:t>therefore defer treatment of it to my review of CEG’s work</w:t>
      </w:r>
      <w:r w:rsidR="00795613" w:rsidRPr="00A85EBC">
        <w:rPr>
          <w:rFonts w:ascii="Times New Roman" w:hAnsi="Times New Roman" w:cs="Times New Roman"/>
          <w:sz w:val="24"/>
          <w:szCs w:val="24"/>
        </w:rPr>
        <w:t xml:space="preserve"> in section 9.6</w:t>
      </w:r>
      <w:r w:rsidR="004B66F8" w:rsidRPr="00A85EBC">
        <w:rPr>
          <w:rFonts w:ascii="Times New Roman" w:hAnsi="Times New Roman" w:cs="Times New Roman"/>
          <w:sz w:val="24"/>
          <w:szCs w:val="24"/>
        </w:rPr>
        <w:t>.</w:t>
      </w:r>
    </w:p>
    <w:p w:rsidR="00A70AFB" w:rsidRDefault="00A70AFB" w:rsidP="00A70AFB">
      <w:pPr>
        <w:spacing w:after="0" w:line="360" w:lineRule="auto"/>
        <w:jc w:val="both"/>
        <w:rPr>
          <w:rFonts w:ascii="Times New Roman" w:hAnsi="Times New Roman" w:cs="Times New Roman"/>
          <w:sz w:val="24"/>
          <w:szCs w:val="24"/>
        </w:rPr>
      </w:pPr>
    </w:p>
    <w:p w:rsidR="00A70AFB" w:rsidRDefault="009059F7" w:rsidP="00A70A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Frontier (2015, para 115) also raises the question of how far back in time one should go in order to assess the w</w:t>
      </w:r>
      <w:r w:rsidR="004B66F8">
        <w:rPr>
          <w:rFonts w:ascii="Times New Roman" w:hAnsi="Times New Roman" w:cs="Times New Roman"/>
          <w:sz w:val="24"/>
          <w:szCs w:val="24"/>
        </w:rPr>
        <w:t>indfall gains.   The windfall gains in question are those accumulated up until the point at which the regime changes (mid 2014), and arise from the analysis in Lally (2014</w:t>
      </w:r>
      <w:r w:rsidR="00E75832">
        <w:rPr>
          <w:rFonts w:ascii="Times New Roman" w:hAnsi="Times New Roman" w:cs="Times New Roman"/>
          <w:sz w:val="24"/>
          <w:szCs w:val="24"/>
        </w:rPr>
        <w:t>a</w:t>
      </w:r>
      <w:r w:rsidR="004B66F8">
        <w:rPr>
          <w:rFonts w:ascii="Times New Roman" w:hAnsi="Times New Roman" w:cs="Times New Roman"/>
          <w:sz w:val="24"/>
          <w:szCs w:val="24"/>
        </w:rPr>
        <w:t xml:space="preserve">, section 3.1).  This analysis is premised upon the DRP being stable at about 1.3% prior to 2007 and, since all parties accept that the BEE uses ten-year debt, stability </w:t>
      </w:r>
      <w:r w:rsidR="00C85E5C">
        <w:rPr>
          <w:rFonts w:ascii="Times New Roman" w:hAnsi="Times New Roman" w:cs="Times New Roman"/>
          <w:sz w:val="24"/>
          <w:szCs w:val="24"/>
        </w:rPr>
        <w:t xml:space="preserve">would need to have </w:t>
      </w:r>
      <w:r w:rsidR="004B66F8">
        <w:rPr>
          <w:rFonts w:ascii="Times New Roman" w:hAnsi="Times New Roman" w:cs="Times New Roman"/>
          <w:sz w:val="24"/>
          <w:szCs w:val="24"/>
        </w:rPr>
        <w:t>prevailed over the period 1</w:t>
      </w:r>
      <w:r w:rsidR="00B170B5">
        <w:rPr>
          <w:rFonts w:ascii="Times New Roman" w:hAnsi="Times New Roman" w:cs="Times New Roman"/>
          <w:sz w:val="24"/>
          <w:szCs w:val="24"/>
        </w:rPr>
        <w:t>998-2007.  As shown in CEG (2014a</w:t>
      </w:r>
      <w:r w:rsidR="004B66F8">
        <w:rPr>
          <w:rFonts w:ascii="Times New Roman" w:hAnsi="Times New Roman" w:cs="Times New Roman"/>
          <w:sz w:val="24"/>
          <w:szCs w:val="24"/>
        </w:rPr>
        <w:t>, Figure 1), this is the case.  The behavior of the DRP prior to 1998 would not affect the analysis and therefore is i</w:t>
      </w:r>
      <w:r w:rsidR="002959A6">
        <w:rPr>
          <w:rFonts w:ascii="Times New Roman" w:hAnsi="Times New Roman" w:cs="Times New Roman"/>
          <w:sz w:val="24"/>
          <w:szCs w:val="24"/>
        </w:rPr>
        <w:t>rrelevant.</w:t>
      </w:r>
    </w:p>
    <w:p w:rsidR="002959A6" w:rsidRDefault="002959A6" w:rsidP="00A70AFB">
      <w:pPr>
        <w:spacing w:after="0" w:line="360" w:lineRule="auto"/>
        <w:jc w:val="both"/>
        <w:rPr>
          <w:rFonts w:ascii="Times New Roman" w:hAnsi="Times New Roman" w:cs="Times New Roman"/>
          <w:sz w:val="24"/>
          <w:szCs w:val="24"/>
        </w:rPr>
      </w:pPr>
    </w:p>
    <w:p w:rsidR="004815BE" w:rsidRDefault="002959A6" w:rsidP="002959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Frontier (2015, para 115) also argue that the </w:t>
      </w:r>
      <w:r w:rsidR="004815BE">
        <w:rPr>
          <w:rFonts w:ascii="Times New Roman" w:hAnsi="Times New Roman" w:cs="Times New Roman"/>
          <w:sz w:val="24"/>
          <w:szCs w:val="24"/>
        </w:rPr>
        <w:t xml:space="preserve">previous </w:t>
      </w:r>
      <w:r>
        <w:rPr>
          <w:rFonts w:ascii="Times New Roman" w:hAnsi="Times New Roman" w:cs="Times New Roman"/>
          <w:sz w:val="24"/>
          <w:szCs w:val="24"/>
        </w:rPr>
        <w:t xml:space="preserve">on-the-day </w:t>
      </w:r>
      <w:r w:rsidR="004815BE">
        <w:rPr>
          <w:rFonts w:ascii="Times New Roman" w:hAnsi="Times New Roman" w:cs="Times New Roman"/>
          <w:sz w:val="24"/>
          <w:szCs w:val="24"/>
        </w:rPr>
        <w:t xml:space="preserve">regime </w:t>
      </w:r>
      <w:r>
        <w:rPr>
          <w:rFonts w:ascii="Times New Roman" w:hAnsi="Times New Roman" w:cs="Times New Roman"/>
          <w:sz w:val="24"/>
          <w:szCs w:val="24"/>
        </w:rPr>
        <w:t>contained</w:t>
      </w:r>
      <w:r w:rsidR="004815BE">
        <w:rPr>
          <w:rFonts w:ascii="Times New Roman" w:hAnsi="Times New Roman" w:cs="Times New Roman"/>
          <w:sz w:val="24"/>
          <w:szCs w:val="24"/>
        </w:rPr>
        <w:t xml:space="preserve"> a natural hedge between the DRP (allowances are too large during a crisis</w:t>
      </w:r>
      <w:r>
        <w:rPr>
          <w:rFonts w:ascii="Times New Roman" w:hAnsi="Times New Roman" w:cs="Times New Roman"/>
          <w:sz w:val="24"/>
          <w:szCs w:val="24"/>
        </w:rPr>
        <w:t xml:space="preserve"> because the prevailing value is used rather than the trailing average</w:t>
      </w:r>
      <w:r w:rsidR="004815BE">
        <w:rPr>
          <w:rFonts w:ascii="Times New Roman" w:hAnsi="Times New Roman" w:cs="Times New Roman"/>
          <w:sz w:val="24"/>
          <w:szCs w:val="24"/>
        </w:rPr>
        <w:t>) and the MRP (allowances are too low during a crisis</w:t>
      </w:r>
      <w:r w:rsidR="00735425">
        <w:rPr>
          <w:rFonts w:ascii="Times New Roman" w:hAnsi="Times New Roman" w:cs="Times New Roman"/>
          <w:sz w:val="24"/>
          <w:szCs w:val="24"/>
        </w:rPr>
        <w:t xml:space="preserve"> because the prevailing value is high but regulators underestimate it by placing high weight on historical averages</w:t>
      </w:r>
      <w:r w:rsidR="004815BE">
        <w:rPr>
          <w:rFonts w:ascii="Times New Roman" w:hAnsi="Times New Roman" w:cs="Times New Roman"/>
          <w:sz w:val="24"/>
          <w:szCs w:val="24"/>
        </w:rPr>
        <w:t xml:space="preserve">).  However, </w:t>
      </w:r>
      <w:r w:rsidR="00735425">
        <w:rPr>
          <w:rFonts w:ascii="Times New Roman" w:hAnsi="Times New Roman" w:cs="Times New Roman"/>
          <w:sz w:val="24"/>
          <w:szCs w:val="24"/>
        </w:rPr>
        <w:t xml:space="preserve">this is an argument in support of retaining the old regime rather than </w:t>
      </w:r>
      <w:r w:rsidR="003147C4">
        <w:rPr>
          <w:rFonts w:ascii="Times New Roman" w:hAnsi="Times New Roman" w:cs="Times New Roman"/>
          <w:sz w:val="24"/>
          <w:szCs w:val="24"/>
        </w:rPr>
        <w:t xml:space="preserve">against the transitional regime proposed by the AER.  In fact, since the proposed transitional regime effectively </w:t>
      </w:r>
      <w:r w:rsidR="00196C70">
        <w:rPr>
          <w:rFonts w:ascii="Times New Roman" w:hAnsi="Times New Roman" w:cs="Times New Roman"/>
          <w:sz w:val="24"/>
          <w:szCs w:val="24"/>
        </w:rPr>
        <w:t xml:space="preserve">prolongs the tenure of the old regime (which has the desirable feature identified by Frontier), the </w:t>
      </w:r>
      <w:r w:rsidR="003147C4">
        <w:rPr>
          <w:rFonts w:ascii="Times New Roman" w:hAnsi="Times New Roman" w:cs="Times New Roman"/>
          <w:sz w:val="24"/>
          <w:szCs w:val="24"/>
        </w:rPr>
        <w:t xml:space="preserve">point raised by Frontier is an argument in support </w:t>
      </w:r>
      <w:r w:rsidR="00196C70">
        <w:rPr>
          <w:rFonts w:ascii="Times New Roman" w:hAnsi="Times New Roman" w:cs="Times New Roman"/>
          <w:sz w:val="24"/>
          <w:szCs w:val="24"/>
        </w:rPr>
        <w:t>of the transitional regime.</w:t>
      </w:r>
    </w:p>
    <w:p w:rsidR="004815BE" w:rsidRDefault="004815BE" w:rsidP="004815BE">
      <w:pPr>
        <w:spacing w:after="0" w:line="360" w:lineRule="auto"/>
        <w:jc w:val="both"/>
        <w:rPr>
          <w:rFonts w:ascii="Times New Roman" w:hAnsi="Times New Roman" w:cs="Times New Roman"/>
          <w:sz w:val="24"/>
          <w:szCs w:val="24"/>
        </w:rPr>
      </w:pPr>
    </w:p>
    <w:p w:rsidR="004815BE" w:rsidRDefault="003B2729"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Frontier (2015, section 3.7) argues that the AEMC (2012, page 76) views transitional arrangements purely as a means of allowing businesses to unwind any financial arrangements entered into under the previous regime</w:t>
      </w:r>
      <w:r w:rsidR="00CF45E2">
        <w:rPr>
          <w:rFonts w:ascii="Times New Roman" w:hAnsi="Times New Roman" w:cs="Times New Roman"/>
          <w:sz w:val="24"/>
          <w:szCs w:val="24"/>
        </w:rPr>
        <w:t>, which is incompatible with the motives underlying the AER’s proposed transitional arrangements for the DRP</w:t>
      </w:r>
      <w:r>
        <w:rPr>
          <w:rFonts w:ascii="Times New Roman" w:hAnsi="Times New Roman" w:cs="Times New Roman"/>
          <w:sz w:val="24"/>
          <w:szCs w:val="24"/>
        </w:rPr>
        <w:t xml:space="preserve">.  </w:t>
      </w:r>
      <w:r w:rsidR="00CF45E2">
        <w:rPr>
          <w:rFonts w:ascii="Times New Roman" w:hAnsi="Times New Roman" w:cs="Times New Roman"/>
          <w:sz w:val="24"/>
          <w:szCs w:val="24"/>
        </w:rPr>
        <w:t xml:space="preserve">However, at this </w:t>
      </w:r>
      <w:r w:rsidR="00F732E5">
        <w:rPr>
          <w:rFonts w:ascii="Times New Roman" w:hAnsi="Times New Roman" w:cs="Times New Roman"/>
          <w:sz w:val="24"/>
          <w:szCs w:val="24"/>
        </w:rPr>
        <w:t>point in its report, the AEMC</w:t>
      </w:r>
      <w:r w:rsidR="00CF45E2">
        <w:rPr>
          <w:rFonts w:ascii="Times New Roman" w:hAnsi="Times New Roman" w:cs="Times New Roman"/>
          <w:sz w:val="24"/>
          <w:szCs w:val="24"/>
        </w:rPr>
        <w:t xml:space="preserve"> </w:t>
      </w:r>
      <w:r>
        <w:rPr>
          <w:rFonts w:ascii="Times New Roman" w:hAnsi="Times New Roman" w:cs="Times New Roman"/>
          <w:sz w:val="24"/>
          <w:szCs w:val="24"/>
        </w:rPr>
        <w:t>merely summarized the views of Professor Gray, who is the author of the Frontier report.  So, P</w:t>
      </w:r>
      <w:r w:rsidR="000535B3">
        <w:rPr>
          <w:rFonts w:ascii="Times New Roman" w:hAnsi="Times New Roman" w:cs="Times New Roman"/>
          <w:sz w:val="24"/>
          <w:szCs w:val="24"/>
        </w:rPr>
        <w:t xml:space="preserve">rofessor Gray is citing himself.  The views of the AEMC (ibid, page 216) are far less restrictive and are not inconsistent with the </w:t>
      </w:r>
      <w:r w:rsidR="00CF45E2">
        <w:rPr>
          <w:rFonts w:ascii="Times New Roman" w:hAnsi="Times New Roman" w:cs="Times New Roman"/>
          <w:sz w:val="24"/>
          <w:szCs w:val="24"/>
        </w:rPr>
        <w:t xml:space="preserve">motives underlying the </w:t>
      </w:r>
      <w:r w:rsidR="000535B3">
        <w:rPr>
          <w:rFonts w:ascii="Times New Roman" w:hAnsi="Times New Roman" w:cs="Times New Roman"/>
          <w:sz w:val="24"/>
          <w:szCs w:val="24"/>
        </w:rPr>
        <w:t>AER’s proposed transitional arrangements for the DRP.</w:t>
      </w:r>
    </w:p>
    <w:p w:rsidR="003B2729" w:rsidRDefault="003B2729" w:rsidP="004815BE">
      <w:pPr>
        <w:spacing w:after="0" w:line="360" w:lineRule="auto"/>
        <w:jc w:val="both"/>
        <w:rPr>
          <w:rFonts w:ascii="Times New Roman" w:hAnsi="Times New Roman" w:cs="Times New Roman"/>
          <w:sz w:val="24"/>
          <w:szCs w:val="24"/>
        </w:rPr>
      </w:pPr>
    </w:p>
    <w:p w:rsidR="004815BE" w:rsidRDefault="006F1CF6"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Frontier (2015, section 4.2.2) argues that the choice of using or not using swaps under the </w:t>
      </w:r>
      <w:r w:rsidR="004815BE">
        <w:rPr>
          <w:rFonts w:ascii="Times New Roman" w:hAnsi="Times New Roman" w:cs="Times New Roman"/>
          <w:sz w:val="24"/>
          <w:szCs w:val="24"/>
        </w:rPr>
        <w:t xml:space="preserve">old regime </w:t>
      </w:r>
      <w:r>
        <w:rPr>
          <w:rFonts w:ascii="Times New Roman" w:hAnsi="Times New Roman" w:cs="Times New Roman"/>
          <w:sz w:val="24"/>
          <w:szCs w:val="24"/>
        </w:rPr>
        <w:t xml:space="preserve">varied according to firm size and ownership, and implies that these choices must </w:t>
      </w:r>
      <w:r w:rsidR="00CD45B7">
        <w:rPr>
          <w:rFonts w:ascii="Times New Roman" w:hAnsi="Times New Roman" w:cs="Times New Roman"/>
          <w:sz w:val="24"/>
          <w:szCs w:val="24"/>
        </w:rPr>
        <w:t xml:space="preserve">therefore </w:t>
      </w:r>
      <w:r>
        <w:rPr>
          <w:rFonts w:ascii="Times New Roman" w:hAnsi="Times New Roman" w:cs="Times New Roman"/>
          <w:sz w:val="24"/>
          <w:szCs w:val="24"/>
        </w:rPr>
        <w:t xml:space="preserve">have been efficient.  </w:t>
      </w:r>
      <w:r w:rsidR="004815BE">
        <w:rPr>
          <w:rFonts w:ascii="Times New Roman" w:hAnsi="Times New Roman" w:cs="Times New Roman"/>
          <w:sz w:val="24"/>
          <w:szCs w:val="24"/>
        </w:rPr>
        <w:t xml:space="preserve">However, </w:t>
      </w:r>
      <w:r w:rsidR="00F63D0D">
        <w:rPr>
          <w:rFonts w:ascii="Times New Roman" w:hAnsi="Times New Roman" w:cs="Times New Roman"/>
          <w:sz w:val="24"/>
          <w:szCs w:val="24"/>
        </w:rPr>
        <w:t xml:space="preserve">whilst efficiency might be presumed in the absence </w:t>
      </w:r>
      <w:r w:rsidR="00F63D0D">
        <w:rPr>
          <w:rFonts w:ascii="Times New Roman" w:hAnsi="Times New Roman" w:cs="Times New Roman"/>
          <w:sz w:val="24"/>
          <w:szCs w:val="24"/>
        </w:rPr>
        <w:lastRenderedPageBreak/>
        <w:t xml:space="preserve">of any contrary information, </w:t>
      </w:r>
      <w:r w:rsidR="0013099A">
        <w:rPr>
          <w:rFonts w:ascii="Times New Roman" w:hAnsi="Times New Roman" w:cs="Times New Roman"/>
          <w:sz w:val="24"/>
          <w:szCs w:val="24"/>
        </w:rPr>
        <w:t xml:space="preserve">the fact that </w:t>
      </w:r>
      <w:r w:rsidR="004815BE">
        <w:rPr>
          <w:rFonts w:ascii="Times New Roman" w:hAnsi="Times New Roman" w:cs="Times New Roman"/>
          <w:sz w:val="24"/>
          <w:szCs w:val="24"/>
        </w:rPr>
        <w:t xml:space="preserve">firms entering into swap contracts would lower their expected </w:t>
      </w:r>
      <w:r>
        <w:rPr>
          <w:rFonts w:ascii="Times New Roman" w:hAnsi="Times New Roman" w:cs="Times New Roman"/>
          <w:sz w:val="24"/>
          <w:szCs w:val="24"/>
        </w:rPr>
        <w:t xml:space="preserve">base rate </w:t>
      </w:r>
      <w:r w:rsidR="004815BE">
        <w:rPr>
          <w:rFonts w:ascii="Times New Roman" w:hAnsi="Times New Roman" w:cs="Times New Roman"/>
          <w:sz w:val="24"/>
          <w:szCs w:val="24"/>
        </w:rPr>
        <w:t xml:space="preserve">costs and markedly reduce their exposure to </w:t>
      </w:r>
      <w:r>
        <w:rPr>
          <w:rFonts w:ascii="Times New Roman" w:hAnsi="Times New Roman" w:cs="Times New Roman"/>
          <w:sz w:val="24"/>
          <w:szCs w:val="24"/>
        </w:rPr>
        <w:t xml:space="preserve">base rate shocks </w:t>
      </w:r>
      <w:r w:rsidR="004815BE">
        <w:rPr>
          <w:rFonts w:ascii="Times New Roman" w:hAnsi="Times New Roman" w:cs="Times New Roman"/>
          <w:sz w:val="24"/>
          <w:szCs w:val="24"/>
        </w:rPr>
        <w:t>relative to not entering t</w:t>
      </w:r>
      <w:r>
        <w:rPr>
          <w:rFonts w:ascii="Times New Roman" w:hAnsi="Times New Roman" w:cs="Times New Roman"/>
          <w:sz w:val="24"/>
          <w:szCs w:val="24"/>
        </w:rPr>
        <w:t>hese swap contracts</w:t>
      </w:r>
      <w:r w:rsidR="0013099A">
        <w:rPr>
          <w:rFonts w:ascii="Times New Roman" w:hAnsi="Times New Roman" w:cs="Times New Roman"/>
          <w:sz w:val="24"/>
          <w:szCs w:val="24"/>
        </w:rPr>
        <w:t xml:space="preserve"> establishes a prima facie case for the use of </w:t>
      </w:r>
      <w:r w:rsidR="00CD45B7">
        <w:rPr>
          <w:rFonts w:ascii="Times New Roman" w:hAnsi="Times New Roman" w:cs="Times New Roman"/>
          <w:sz w:val="24"/>
          <w:szCs w:val="24"/>
        </w:rPr>
        <w:t xml:space="preserve">swap contracts </w:t>
      </w:r>
      <w:r w:rsidR="0013099A">
        <w:rPr>
          <w:rFonts w:ascii="Times New Roman" w:hAnsi="Times New Roman" w:cs="Times New Roman"/>
          <w:sz w:val="24"/>
          <w:szCs w:val="24"/>
        </w:rPr>
        <w:t xml:space="preserve">being </w:t>
      </w:r>
      <w:r w:rsidR="00CD45B7">
        <w:rPr>
          <w:rFonts w:ascii="Times New Roman" w:hAnsi="Times New Roman" w:cs="Times New Roman"/>
          <w:sz w:val="24"/>
          <w:szCs w:val="24"/>
        </w:rPr>
        <w:t>efficient</w:t>
      </w:r>
      <w:r>
        <w:rPr>
          <w:rFonts w:ascii="Times New Roman" w:hAnsi="Times New Roman" w:cs="Times New Roman"/>
          <w:sz w:val="24"/>
          <w:szCs w:val="24"/>
        </w:rPr>
        <w:t xml:space="preserve">.  </w:t>
      </w:r>
      <w:r w:rsidR="0013099A">
        <w:rPr>
          <w:rFonts w:ascii="Times New Roman" w:hAnsi="Times New Roman" w:cs="Times New Roman"/>
          <w:sz w:val="24"/>
          <w:szCs w:val="24"/>
        </w:rPr>
        <w:t xml:space="preserve">Thus, in the absence of </w:t>
      </w:r>
      <w:r w:rsidR="006226D8">
        <w:rPr>
          <w:rFonts w:ascii="Times New Roman" w:hAnsi="Times New Roman" w:cs="Times New Roman"/>
          <w:sz w:val="24"/>
          <w:szCs w:val="24"/>
        </w:rPr>
        <w:t xml:space="preserve">a </w:t>
      </w:r>
      <w:r w:rsidR="0013099A">
        <w:rPr>
          <w:rFonts w:ascii="Times New Roman" w:hAnsi="Times New Roman" w:cs="Times New Roman"/>
          <w:sz w:val="24"/>
          <w:szCs w:val="24"/>
        </w:rPr>
        <w:t>contrary argument, the failure of some businesses (largely the government-owned ones) to use swaps implies that they were inefficient or that there was some feature of their activities that invalidated such reasoning</w:t>
      </w:r>
      <w:r w:rsidR="003C6F6A">
        <w:rPr>
          <w:rFonts w:ascii="Times New Roman" w:hAnsi="Times New Roman" w:cs="Times New Roman"/>
          <w:sz w:val="24"/>
          <w:szCs w:val="24"/>
        </w:rPr>
        <w:t xml:space="preserve"> in their case</w:t>
      </w:r>
      <w:r w:rsidR="0013099A">
        <w:rPr>
          <w:rFonts w:ascii="Times New Roman" w:hAnsi="Times New Roman" w:cs="Times New Roman"/>
          <w:sz w:val="24"/>
          <w:szCs w:val="24"/>
        </w:rPr>
        <w:t>.  One such possibility is that, being government-owned, they were part of a large portfolio of assets that embodied many natural hedges, which obviated the need to engage in swaps so as to reduce interest rate risk</w:t>
      </w:r>
      <w:r w:rsidR="006226D8">
        <w:rPr>
          <w:rFonts w:ascii="Times New Roman" w:hAnsi="Times New Roman" w:cs="Times New Roman"/>
          <w:sz w:val="24"/>
          <w:szCs w:val="24"/>
        </w:rPr>
        <w:t xml:space="preserve"> for individual businesses</w:t>
      </w:r>
      <w:r w:rsidR="0013099A">
        <w:rPr>
          <w:rFonts w:ascii="Times New Roman" w:hAnsi="Times New Roman" w:cs="Times New Roman"/>
          <w:sz w:val="24"/>
          <w:szCs w:val="24"/>
        </w:rPr>
        <w:t xml:space="preserve">.  However, if this is true (and Frontier do hint at it by suggesting that the QTC concentrated the debt maturities of the QLD regulated businesses around the regulatory reset dates because they could compensate for this refinancing risk through other borrowing for the QLD government), it is not efficient behavior for a BEE because the benchmark firm is </w:t>
      </w:r>
      <w:r w:rsidR="003C6F6A">
        <w:rPr>
          <w:rFonts w:ascii="Times New Roman" w:hAnsi="Times New Roman" w:cs="Times New Roman"/>
          <w:sz w:val="24"/>
          <w:szCs w:val="24"/>
        </w:rPr>
        <w:t xml:space="preserve">by definition </w:t>
      </w:r>
      <w:r w:rsidR="004E768F" w:rsidRPr="00FF40CD">
        <w:rPr>
          <w:rFonts w:ascii="Times New Roman" w:hAnsi="Times New Roman" w:cs="Times New Roman"/>
          <w:sz w:val="24"/>
          <w:szCs w:val="24"/>
        </w:rPr>
        <w:t>only engaged in regulated energy network activities and not the wider activities financed by government borrowings</w:t>
      </w:r>
      <w:r w:rsidR="0013099A" w:rsidRPr="00FF40CD">
        <w:rPr>
          <w:rFonts w:ascii="Times New Roman" w:hAnsi="Times New Roman" w:cs="Times New Roman"/>
          <w:sz w:val="24"/>
          <w:szCs w:val="24"/>
        </w:rPr>
        <w:t>.</w:t>
      </w:r>
      <w:r w:rsidR="0013099A">
        <w:rPr>
          <w:rFonts w:ascii="Times New Roman" w:hAnsi="Times New Roman" w:cs="Times New Roman"/>
          <w:sz w:val="24"/>
          <w:szCs w:val="24"/>
        </w:rPr>
        <w:t xml:space="preserve">  </w:t>
      </w:r>
    </w:p>
    <w:p w:rsidR="006F1CF6" w:rsidRDefault="006F1CF6" w:rsidP="004815BE">
      <w:pPr>
        <w:spacing w:after="0" w:line="360" w:lineRule="auto"/>
        <w:jc w:val="both"/>
        <w:rPr>
          <w:rFonts w:ascii="Times New Roman" w:hAnsi="Times New Roman" w:cs="Times New Roman"/>
          <w:sz w:val="24"/>
          <w:szCs w:val="24"/>
        </w:rPr>
      </w:pPr>
    </w:p>
    <w:p w:rsidR="004815BE" w:rsidRDefault="00A05489"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Frontier (2015, section 4.2.5) offers three specific criticisms of the argument that swaps reduce both risk and expected base rate interest costs, and therefore are efficient.  The first is that larger businesses could only transact the swaps over a longer period than the window used by the AER to set the allowed rate under the old regime, and this reduces the benefits of hedging.  However, it is not sufficient to demonstrate that the benefits are lower.  </w:t>
      </w:r>
      <w:r w:rsidR="00E32E5E">
        <w:rPr>
          <w:rFonts w:ascii="Times New Roman" w:hAnsi="Times New Roman" w:cs="Times New Roman"/>
          <w:sz w:val="24"/>
          <w:szCs w:val="24"/>
        </w:rPr>
        <w:t xml:space="preserve">It is necessary to </w:t>
      </w:r>
      <w:r>
        <w:rPr>
          <w:rFonts w:ascii="Times New Roman" w:hAnsi="Times New Roman" w:cs="Times New Roman"/>
          <w:sz w:val="24"/>
          <w:szCs w:val="24"/>
        </w:rPr>
        <w:t>demonstrate that the benefits disappear and Frontier fail to do so.  By contrast, the analysis in Appendix 2 demonstrates that, even with the sw</w:t>
      </w:r>
      <w:r w:rsidR="008D4AF8">
        <w:rPr>
          <w:rFonts w:ascii="Times New Roman" w:hAnsi="Times New Roman" w:cs="Times New Roman"/>
          <w:sz w:val="24"/>
          <w:szCs w:val="24"/>
        </w:rPr>
        <w:t>aps spread out over a period of five months, the swaps significantly reduce risk relative to not using swaps.  Frontier also claim that, even when spreading the swap contracts over a protracted period at the rate of $300m per day for more than three months, that the sheer size of this series of transactions would cause prices to be shaded against the businesses</w:t>
      </w:r>
      <w:r w:rsidR="00E32E5E">
        <w:rPr>
          <w:rFonts w:ascii="Times New Roman" w:hAnsi="Times New Roman" w:cs="Times New Roman"/>
          <w:sz w:val="24"/>
          <w:szCs w:val="24"/>
        </w:rPr>
        <w:t xml:space="preserve"> and this reduces the benefits from hedging</w:t>
      </w:r>
      <w:r w:rsidR="008D4AF8">
        <w:rPr>
          <w:rFonts w:ascii="Times New Roman" w:hAnsi="Times New Roman" w:cs="Times New Roman"/>
          <w:sz w:val="24"/>
          <w:szCs w:val="24"/>
        </w:rPr>
        <w:t xml:space="preserve">.  However, this is not a matter on which Frontier can claim any expertise.  By contrast, Westpac (2014) from whom the $300m figure is drawn claim that </w:t>
      </w:r>
      <w:r w:rsidR="00E32E5E">
        <w:rPr>
          <w:rFonts w:ascii="Times New Roman" w:hAnsi="Times New Roman" w:cs="Times New Roman"/>
          <w:sz w:val="24"/>
          <w:szCs w:val="24"/>
        </w:rPr>
        <w:t xml:space="preserve">$300m could be transacted over 73 consecutive business days without affecting pricing.  Finally, Frontier claims that larger </w:t>
      </w:r>
      <w:r w:rsidR="004815BE">
        <w:rPr>
          <w:rFonts w:ascii="Times New Roman" w:hAnsi="Times New Roman" w:cs="Times New Roman"/>
          <w:sz w:val="24"/>
          <w:szCs w:val="24"/>
        </w:rPr>
        <w:t xml:space="preserve">businesses couldn’t borrow all of their debt in the form of floating-rate debt and would therefore require a pair of swap contracts to hedge the </w:t>
      </w:r>
      <w:r w:rsidR="00E32E5E">
        <w:rPr>
          <w:rFonts w:ascii="Times New Roman" w:hAnsi="Times New Roman" w:cs="Times New Roman"/>
          <w:sz w:val="24"/>
          <w:szCs w:val="24"/>
        </w:rPr>
        <w:t>base rate component under the old regime</w:t>
      </w:r>
      <w:r w:rsidR="00A16DD6">
        <w:rPr>
          <w:rFonts w:ascii="Times New Roman" w:hAnsi="Times New Roman" w:cs="Times New Roman"/>
          <w:sz w:val="24"/>
          <w:szCs w:val="24"/>
        </w:rPr>
        <w:t xml:space="preserve"> (ten-year fixed to floating followed by floating to five-year fixed)</w:t>
      </w:r>
      <w:r w:rsidR="00E32E5E">
        <w:rPr>
          <w:rFonts w:ascii="Times New Roman" w:hAnsi="Times New Roman" w:cs="Times New Roman"/>
          <w:sz w:val="24"/>
          <w:szCs w:val="24"/>
        </w:rPr>
        <w:t>, thereby raising the cost of the swaps</w:t>
      </w:r>
      <w:r w:rsidR="004815BE">
        <w:rPr>
          <w:rFonts w:ascii="Times New Roman" w:hAnsi="Times New Roman" w:cs="Times New Roman"/>
          <w:sz w:val="24"/>
          <w:szCs w:val="24"/>
        </w:rPr>
        <w:t xml:space="preserve">.  However, </w:t>
      </w:r>
      <w:r w:rsidR="00A16DD6">
        <w:rPr>
          <w:rFonts w:ascii="Times New Roman" w:hAnsi="Times New Roman" w:cs="Times New Roman"/>
          <w:sz w:val="24"/>
          <w:szCs w:val="24"/>
        </w:rPr>
        <w:t xml:space="preserve">the </w:t>
      </w:r>
      <w:r w:rsidR="00E32E5E">
        <w:rPr>
          <w:rFonts w:ascii="Times New Roman" w:hAnsi="Times New Roman" w:cs="Times New Roman"/>
          <w:sz w:val="24"/>
          <w:szCs w:val="24"/>
        </w:rPr>
        <w:t xml:space="preserve">estimates of the transactions costs of the swaps </w:t>
      </w:r>
      <w:r w:rsidR="00A16DD6">
        <w:rPr>
          <w:rFonts w:ascii="Times New Roman" w:hAnsi="Times New Roman" w:cs="Times New Roman"/>
          <w:sz w:val="24"/>
          <w:szCs w:val="24"/>
        </w:rPr>
        <w:t>that I have provided, and which underlie my conclusion</w:t>
      </w:r>
      <w:r w:rsidR="00477811">
        <w:rPr>
          <w:rFonts w:ascii="Times New Roman" w:hAnsi="Times New Roman" w:cs="Times New Roman"/>
          <w:sz w:val="24"/>
          <w:szCs w:val="24"/>
        </w:rPr>
        <w:t xml:space="preserve"> that the swaps were efficient, </w:t>
      </w:r>
      <w:r w:rsidR="004815BE">
        <w:rPr>
          <w:rFonts w:ascii="Times New Roman" w:hAnsi="Times New Roman" w:cs="Times New Roman"/>
          <w:sz w:val="24"/>
          <w:szCs w:val="24"/>
        </w:rPr>
        <w:t xml:space="preserve">allow </w:t>
      </w:r>
      <w:r w:rsidR="004815BE">
        <w:rPr>
          <w:rFonts w:ascii="Times New Roman" w:hAnsi="Times New Roman" w:cs="Times New Roman"/>
          <w:sz w:val="24"/>
          <w:szCs w:val="24"/>
        </w:rPr>
        <w:lastRenderedPageBreak/>
        <w:t>for the transactions costs</w:t>
      </w:r>
      <w:r w:rsidR="00E32E5E">
        <w:rPr>
          <w:rFonts w:ascii="Times New Roman" w:hAnsi="Times New Roman" w:cs="Times New Roman"/>
          <w:sz w:val="24"/>
          <w:szCs w:val="24"/>
        </w:rPr>
        <w:t xml:space="preserve"> of both legs (Lally, 2014</w:t>
      </w:r>
      <w:r w:rsidR="00E75832">
        <w:rPr>
          <w:rFonts w:ascii="Times New Roman" w:hAnsi="Times New Roman" w:cs="Times New Roman"/>
          <w:sz w:val="24"/>
          <w:szCs w:val="24"/>
        </w:rPr>
        <w:t>a</w:t>
      </w:r>
      <w:r w:rsidR="00E32E5E">
        <w:rPr>
          <w:rFonts w:ascii="Times New Roman" w:hAnsi="Times New Roman" w:cs="Times New Roman"/>
          <w:sz w:val="24"/>
          <w:szCs w:val="24"/>
        </w:rPr>
        <w:t xml:space="preserve">, page 27).  For example, the transactions costs of 0.09% sourced from Jemena (2013, page 22) </w:t>
      </w:r>
      <w:r w:rsidR="00846B88">
        <w:rPr>
          <w:rFonts w:ascii="Times New Roman" w:hAnsi="Times New Roman" w:cs="Times New Roman"/>
          <w:sz w:val="24"/>
          <w:szCs w:val="24"/>
        </w:rPr>
        <w:t xml:space="preserve">covers both legs because it involves swapping from ten-year fixed to five-year fixed rather than ten-year floating to </w:t>
      </w:r>
      <w:r w:rsidR="00A16DD6">
        <w:rPr>
          <w:rFonts w:ascii="Times New Roman" w:hAnsi="Times New Roman" w:cs="Times New Roman"/>
          <w:sz w:val="24"/>
          <w:szCs w:val="24"/>
        </w:rPr>
        <w:t>five-year fixed.</w:t>
      </w:r>
    </w:p>
    <w:p w:rsidR="004815BE" w:rsidRDefault="004815BE" w:rsidP="004815BE">
      <w:pPr>
        <w:spacing w:after="0" w:line="360" w:lineRule="auto"/>
        <w:jc w:val="both"/>
        <w:rPr>
          <w:rFonts w:ascii="Times New Roman" w:hAnsi="Times New Roman" w:cs="Times New Roman"/>
          <w:sz w:val="24"/>
          <w:szCs w:val="24"/>
        </w:rPr>
      </w:pPr>
    </w:p>
    <w:p w:rsidR="009F15D1" w:rsidRDefault="007A4F55"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Frontier (2015, pp. 35-36) </w:t>
      </w:r>
      <w:r w:rsidR="00C26436">
        <w:rPr>
          <w:rFonts w:ascii="Times New Roman" w:hAnsi="Times New Roman" w:cs="Times New Roman"/>
          <w:sz w:val="24"/>
          <w:szCs w:val="24"/>
        </w:rPr>
        <w:t xml:space="preserve">assesses and rejects some possible explanations presented by the AER (2014, pp. 291-292) for the government-owned businesses failing to use swap contracts.  One such possible explanation is that the government-owned businesses are part of a portfolio of assets held by their owners, which gives rise to various natural hedges that might obviate the risk reduction from engaging in the swaps.  </w:t>
      </w:r>
      <w:r w:rsidR="006D794F">
        <w:rPr>
          <w:rFonts w:ascii="Times New Roman" w:hAnsi="Times New Roman" w:cs="Times New Roman"/>
          <w:sz w:val="24"/>
          <w:szCs w:val="24"/>
        </w:rPr>
        <w:t xml:space="preserve">In response, Frontier argues that government ownership does not undercut the benefit from “keeping financing costs to the minimum possible level”.  However the point concerning government ownership is that it might undercut the risk reductions from using swaps rather than expected cost savings.  So, Frontier’s response </w:t>
      </w:r>
      <w:r w:rsidR="006226D8">
        <w:rPr>
          <w:rFonts w:ascii="Times New Roman" w:hAnsi="Times New Roman" w:cs="Times New Roman"/>
          <w:sz w:val="24"/>
          <w:szCs w:val="24"/>
        </w:rPr>
        <w:t xml:space="preserve">is </w:t>
      </w:r>
      <w:r w:rsidR="006D794F">
        <w:rPr>
          <w:rFonts w:ascii="Times New Roman" w:hAnsi="Times New Roman" w:cs="Times New Roman"/>
          <w:sz w:val="24"/>
          <w:szCs w:val="24"/>
        </w:rPr>
        <w:t xml:space="preserve">not relevant to the argument.  Furthermore, Frontier </w:t>
      </w:r>
      <w:r w:rsidR="009858BE">
        <w:rPr>
          <w:rFonts w:ascii="Times New Roman" w:hAnsi="Times New Roman" w:cs="Times New Roman"/>
          <w:sz w:val="24"/>
          <w:szCs w:val="24"/>
        </w:rPr>
        <w:t xml:space="preserve">(2015, section 2.2) </w:t>
      </w:r>
      <w:r w:rsidR="006D794F">
        <w:rPr>
          <w:rFonts w:ascii="Times New Roman" w:hAnsi="Times New Roman" w:cs="Times New Roman"/>
          <w:sz w:val="24"/>
          <w:szCs w:val="24"/>
        </w:rPr>
        <w:t>clearly accepts that the financing decisions made by firms involve a trade-off between risks and expected costs because they specif</w:t>
      </w:r>
      <w:r w:rsidR="009858BE">
        <w:rPr>
          <w:rFonts w:ascii="Times New Roman" w:hAnsi="Times New Roman" w:cs="Times New Roman"/>
          <w:sz w:val="24"/>
          <w:szCs w:val="24"/>
        </w:rPr>
        <w:t>ically refer to such trade-offs</w:t>
      </w:r>
      <w:r w:rsidR="00445DC5">
        <w:rPr>
          <w:rFonts w:ascii="Times New Roman" w:hAnsi="Times New Roman" w:cs="Times New Roman"/>
          <w:sz w:val="24"/>
          <w:szCs w:val="24"/>
        </w:rPr>
        <w:t xml:space="preserve">.  </w:t>
      </w:r>
    </w:p>
    <w:p w:rsidR="009F15D1" w:rsidRDefault="009F15D1" w:rsidP="004815BE">
      <w:pPr>
        <w:spacing w:after="0" w:line="360" w:lineRule="auto"/>
        <w:jc w:val="both"/>
        <w:rPr>
          <w:rFonts w:ascii="Times New Roman" w:hAnsi="Times New Roman" w:cs="Times New Roman"/>
          <w:sz w:val="24"/>
          <w:szCs w:val="24"/>
        </w:rPr>
      </w:pPr>
    </w:p>
    <w:p w:rsidR="004815BE" w:rsidRDefault="00445DC5"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Another possible explanation is that the government-owned businesses did not understand the full potential of the swaps market.  In response, Frontier argues that TransGrid considered the possibility of using swaps, and refers to the </w:t>
      </w:r>
      <w:r w:rsidR="00540A4C">
        <w:rPr>
          <w:rFonts w:ascii="Times New Roman" w:hAnsi="Times New Roman" w:cs="Times New Roman"/>
          <w:sz w:val="24"/>
          <w:szCs w:val="24"/>
        </w:rPr>
        <w:t xml:space="preserve">statement submitted by one of TransGrid’s senior management (Meehan, </w:t>
      </w:r>
      <w:r>
        <w:rPr>
          <w:rFonts w:ascii="Times New Roman" w:hAnsi="Times New Roman" w:cs="Times New Roman"/>
          <w:sz w:val="24"/>
          <w:szCs w:val="24"/>
        </w:rPr>
        <w:t xml:space="preserve">2015) in support of this.  </w:t>
      </w:r>
      <w:r w:rsidR="0085525A">
        <w:rPr>
          <w:rFonts w:ascii="Times New Roman" w:hAnsi="Times New Roman" w:cs="Times New Roman"/>
          <w:sz w:val="24"/>
          <w:szCs w:val="24"/>
        </w:rPr>
        <w:t xml:space="preserve">I address this </w:t>
      </w:r>
      <w:r w:rsidR="00540A4C">
        <w:rPr>
          <w:rFonts w:ascii="Times New Roman" w:hAnsi="Times New Roman" w:cs="Times New Roman"/>
          <w:sz w:val="24"/>
          <w:szCs w:val="24"/>
        </w:rPr>
        <w:t xml:space="preserve">in the next section </w:t>
      </w:r>
      <w:r w:rsidR="0085525A">
        <w:rPr>
          <w:rFonts w:ascii="Times New Roman" w:hAnsi="Times New Roman" w:cs="Times New Roman"/>
          <w:sz w:val="24"/>
          <w:szCs w:val="24"/>
        </w:rPr>
        <w:t xml:space="preserve">and do not consider that he </w:t>
      </w:r>
      <w:r w:rsidR="009D5103">
        <w:rPr>
          <w:rFonts w:ascii="Times New Roman" w:hAnsi="Times New Roman" w:cs="Times New Roman"/>
          <w:sz w:val="24"/>
          <w:szCs w:val="24"/>
        </w:rPr>
        <w:t xml:space="preserve">even offers comprehensible </w:t>
      </w:r>
      <w:r w:rsidR="0085525A">
        <w:rPr>
          <w:rFonts w:ascii="Times New Roman" w:hAnsi="Times New Roman" w:cs="Times New Roman"/>
          <w:sz w:val="24"/>
          <w:szCs w:val="24"/>
        </w:rPr>
        <w:t xml:space="preserve">reasons for rejecting the use of swaps.  </w:t>
      </w:r>
      <w:r w:rsidR="009D5103">
        <w:rPr>
          <w:rFonts w:ascii="Times New Roman" w:hAnsi="Times New Roman" w:cs="Times New Roman"/>
          <w:sz w:val="24"/>
          <w:szCs w:val="24"/>
        </w:rPr>
        <w:t xml:space="preserve">Furthermore, </w:t>
      </w:r>
      <w:r w:rsidR="0085525A">
        <w:rPr>
          <w:rFonts w:ascii="Times New Roman" w:hAnsi="Times New Roman" w:cs="Times New Roman"/>
          <w:sz w:val="24"/>
          <w:szCs w:val="24"/>
        </w:rPr>
        <w:t>at no point does he compare the costs and risks of using swaps with the consequences of not doing so, and a sensible decision cannot be made without such a comparison.</w:t>
      </w:r>
      <w:r w:rsidR="009F15D1">
        <w:rPr>
          <w:rFonts w:ascii="Times New Roman" w:hAnsi="Times New Roman" w:cs="Times New Roman"/>
          <w:sz w:val="24"/>
          <w:szCs w:val="24"/>
        </w:rPr>
        <w:t xml:space="preserve">  The same holds for </w:t>
      </w:r>
      <w:r w:rsidR="00540A4C">
        <w:rPr>
          <w:rFonts w:ascii="Times New Roman" w:hAnsi="Times New Roman" w:cs="Times New Roman"/>
          <w:sz w:val="24"/>
          <w:szCs w:val="24"/>
        </w:rPr>
        <w:t xml:space="preserve">another </w:t>
      </w:r>
      <w:r w:rsidR="006226D8">
        <w:rPr>
          <w:rFonts w:ascii="Times New Roman" w:hAnsi="Times New Roman" w:cs="Times New Roman"/>
          <w:sz w:val="24"/>
          <w:szCs w:val="24"/>
        </w:rPr>
        <w:t xml:space="preserve">member </w:t>
      </w:r>
      <w:r w:rsidR="00540A4C">
        <w:rPr>
          <w:rFonts w:ascii="Times New Roman" w:hAnsi="Times New Roman" w:cs="Times New Roman"/>
          <w:sz w:val="24"/>
          <w:szCs w:val="24"/>
        </w:rPr>
        <w:t xml:space="preserve">of TransGrid’s senior management (Thiow, </w:t>
      </w:r>
      <w:r w:rsidR="009F15D1">
        <w:rPr>
          <w:rFonts w:ascii="Times New Roman" w:hAnsi="Times New Roman" w:cs="Times New Roman"/>
          <w:sz w:val="24"/>
          <w:szCs w:val="24"/>
        </w:rPr>
        <w:t xml:space="preserve">2015), as discussed in the </w:t>
      </w:r>
      <w:r w:rsidR="00183F3D">
        <w:rPr>
          <w:rFonts w:ascii="Times New Roman" w:hAnsi="Times New Roman" w:cs="Times New Roman"/>
          <w:sz w:val="24"/>
          <w:szCs w:val="24"/>
        </w:rPr>
        <w:t>section</w:t>
      </w:r>
      <w:r w:rsidR="00C85E5C">
        <w:rPr>
          <w:rFonts w:ascii="Times New Roman" w:hAnsi="Times New Roman" w:cs="Times New Roman"/>
          <w:sz w:val="24"/>
          <w:szCs w:val="24"/>
        </w:rPr>
        <w:t xml:space="preserve"> 9.4.  All of this supports the suggestion that the government-owned businesses do not understand the full potential of the swaps market.</w:t>
      </w:r>
    </w:p>
    <w:p w:rsidR="00540A4C" w:rsidRPr="00F35438" w:rsidRDefault="00540A4C" w:rsidP="00540A4C">
      <w:pPr>
        <w:spacing w:after="0" w:line="360" w:lineRule="auto"/>
        <w:jc w:val="both"/>
        <w:rPr>
          <w:rFonts w:ascii="Times New Roman" w:hAnsi="Times New Roman" w:cs="Times New Roman"/>
          <w:sz w:val="24"/>
          <w:szCs w:val="24"/>
        </w:rPr>
      </w:pPr>
    </w:p>
    <w:p w:rsidR="00540A4C" w:rsidRPr="00C1502F" w:rsidRDefault="00540A4C" w:rsidP="00540A4C">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9.3 Meehan</w:t>
      </w:r>
      <w:r w:rsidR="00C1502F">
        <w:rPr>
          <w:rFonts w:ascii="Times New Roman" w:hAnsi="Times New Roman" w:cs="Times New Roman"/>
          <w:sz w:val="24"/>
          <w:szCs w:val="24"/>
        </w:rPr>
        <w:t xml:space="preserve"> (</w:t>
      </w:r>
      <w:r w:rsidR="00C1502F">
        <w:rPr>
          <w:rFonts w:ascii="Times New Roman" w:hAnsi="Times New Roman" w:cs="Times New Roman"/>
          <w:i/>
          <w:sz w:val="24"/>
          <w:szCs w:val="24"/>
        </w:rPr>
        <w:t>for TransGrid</w:t>
      </w:r>
      <w:r w:rsidR="00C1502F">
        <w:rPr>
          <w:rFonts w:ascii="Times New Roman" w:hAnsi="Times New Roman" w:cs="Times New Roman"/>
          <w:sz w:val="24"/>
          <w:szCs w:val="24"/>
        </w:rPr>
        <w:t>)</w:t>
      </w:r>
    </w:p>
    <w:p w:rsidR="00540A4C" w:rsidRDefault="00540A4C" w:rsidP="00540A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Meehan (2015, para 3.17) claims that TransGrid could not have entered swaps shortly before mid 2009 at a reasonable cost, and earlier describes these costs as “transition costs, execution risks, and the uncertainty created by the GFC.”  However, Meehan provides no clarification on these matters, let alone any evidence in support of them.  Furthermore, at no point does he compare the costs and </w:t>
      </w:r>
      <w:r w:rsidR="00741208">
        <w:rPr>
          <w:rFonts w:ascii="Times New Roman" w:hAnsi="Times New Roman" w:cs="Times New Roman"/>
          <w:sz w:val="24"/>
          <w:szCs w:val="24"/>
        </w:rPr>
        <w:t xml:space="preserve">benefits of </w:t>
      </w:r>
      <w:r>
        <w:rPr>
          <w:rFonts w:ascii="Times New Roman" w:hAnsi="Times New Roman" w:cs="Times New Roman"/>
          <w:sz w:val="24"/>
          <w:szCs w:val="24"/>
        </w:rPr>
        <w:t xml:space="preserve">using swaps with </w:t>
      </w:r>
      <w:r w:rsidR="00741208">
        <w:rPr>
          <w:rFonts w:ascii="Times New Roman" w:hAnsi="Times New Roman" w:cs="Times New Roman"/>
          <w:sz w:val="24"/>
          <w:szCs w:val="24"/>
        </w:rPr>
        <w:t xml:space="preserve">those of </w:t>
      </w:r>
      <w:r>
        <w:rPr>
          <w:rFonts w:ascii="Times New Roman" w:hAnsi="Times New Roman" w:cs="Times New Roman"/>
          <w:sz w:val="24"/>
          <w:szCs w:val="24"/>
        </w:rPr>
        <w:t xml:space="preserve">not doing so, and a sensible </w:t>
      </w:r>
      <w:r>
        <w:rPr>
          <w:rFonts w:ascii="Times New Roman" w:hAnsi="Times New Roman" w:cs="Times New Roman"/>
          <w:sz w:val="24"/>
          <w:szCs w:val="24"/>
        </w:rPr>
        <w:lastRenderedPageBreak/>
        <w:t xml:space="preserve">decision cannot be made without such a comparison.  Furthermore, </w:t>
      </w:r>
      <w:r w:rsidR="003227CD">
        <w:rPr>
          <w:rFonts w:ascii="Times New Roman" w:hAnsi="Times New Roman" w:cs="Times New Roman"/>
          <w:sz w:val="24"/>
          <w:szCs w:val="24"/>
        </w:rPr>
        <w:t>material the AER received in confidence from TransGrid supports the use of swaps. [commercial-in-confidence text omitted]</w:t>
      </w:r>
      <w:r w:rsidR="004819D2">
        <w:rPr>
          <w:rFonts w:ascii="Times New Roman" w:hAnsi="Times New Roman" w:cs="Times New Roman"/>
          <w:sz w:val="24"/>
          <w:szCs w:val="24"/>
        </w:rPr>
        <w:t xml:space="preserve"> </w:t>
      </w:r>
    </w:p>
    <w:p w:rsidR="00C26436" w:rsidRDefault="00C26436" w:rsidP="004815BE">
      <w:pPr>
        <w:spacing w:after="0" w:line="360" w:lineRule="auto"/>
        <w:jc w:val="both"/>
        <w:rPr>
          <w:rFonts w:ascii="Times New Roman" w:hAnsi="Times New Roman" w:cs="Times New Roman"/>
          <w:sz w:val="24"/>
          <w:szCs w:val="24"/>
        </w:rPr>
      </w:pPr>
    </w:p>
    <w:p w:rsidR="004815BE" w:rsidRPr="00C1502F" w:rsidRDefault="00300504" w:rsidP="004815BE">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9.4</w:t>
      </w:r>
      <w:r w:rsidR="008B0E0C">
        <w:rPr>
          <w:rFonts w:ascii="Times New Roman" w:hAnsi="Times New Roman" w:cs="Times New Roman"/>
          <w:i/>
          <w:sz w:val="24"/>
          <w:szCs w:val="24"/>
        </w:rPr>
        <w:t xml:space="preserve"> Thiow</w:t>
      </w:r>
      <w:r w:rsidR="00C1502F">
        <w:rPr>
          <w:rFonts w:ascii="Times New Roman" w:hAnsi="Times New Roman" w:cs="Times New Roman"/>
          <w:sz w:val="24"/>
          <w:szCs w:val="24"/>
        </w:rPr>
        <w:t xml:space="preserve"> (</w:t>
      </w:r>
      <w:r w:rsidR="00C1502F">
        <w:rPr>
          <w:rFonts w:ascii="Times New Roman" w:hAnsi="Times New Roman" w:cs="Times New Roman"/>
          <w:i/>
          <w:sz w:val="24"/>
          <w:szCs w:val="24"/>
        </w:rPr>
        <w:t>for TransGrid</w:t>
      </w:r>
      <w:r w:rsidR="00C1502F">
        <w:rPr>
          <w:rFonts w:ascii="Times New Roman" w:hAnsi="Times New Roman" w:cs="Times New Roman"/>
          <w:sz w:val="24"/>
          <w:szCs w:val="24"/>
        </w:rPr>
        <w:t>)</w:t>
      </w:r>
    </w:p>
    <w:p w:rsidR="004815BE" w:rsidRDefault="008B0E0C"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Thiow (2015, paras 3.4, 4.2 and 4.3) notes that TransGrid has never used swap contracts and </w:t>
      </w:r>
      <w:r w:rsidR="0042628F">
        <w:rPr>
          <w:rFonts w:ascii="Times New Roman" w:hAnsi="Times New Roman" w:cs="Times New Roman"/>
          <w:sz w:val="24"/>
          <w:szCs w:val="24"/>
        </w:rPr>
        <w:t xml:space="preserve">whilst acknowledging that they reduce risk </w:t>
      </w:r>
      <w:r>
        <w:rPr>
          <w:rFonts w:ascii="Times New Roman" w:hAnsi="Times New Roman" w:cs="Times New Roman"/>
          <w:sz w:val="24"/>
          <w:szCs w:val="24"/>
        </w:rPr>
        <w:t xml:space="preserve">justifies </w:t>
      </w:r>
      <w:r w:rsidR="0042628F">
        <w:rPr>
          <w:rFonts w:ascii="Times New Roman" w:hAnsi="Times New Roman" w:cs="Times New Roman"/>
          <w:sz w:val="24"/>
          <w:szCs w:val="24"/>
        </w:rPr>
        <w:t xml:space="preserve">not using them </w:t>
      </w:r>
      <w:r>
        <w:rPr>
          <w:rFonts w:ascii="Times New Roman" w:hAnsi="Times New Roman" w:cs="Times New Roman"/>
          <w:sz w:val="24"/>
          <w:szCs w:val="24"/>
        </w:rPr>
        <w:t xml:space="preserve">on the </w:t>
      </w:r>
      <w:r w:rsidR="009C5C0B">
        <w:rPr>
          <w:rFonts w:ascii="Times New Roman" w:hAnsi="Times New Roman" w:cs="Times New Roman"/>
          <w:sz w:val="24"/>
          <w:szCs w:val="24"/>
        </w:rPr>
        <w:t xml:space="preserve">grounds </w:t>
      </w:r>
      <w:r>
        <w:rPr>
          <w:rFonts w:ascii="Times New Roman" w:hAnsi="Times New Roman" w:cs="Times New Roman"/>
          <w:sz w:val="24"/>
          <w:szCs w:val="24"/>
        </w:rPr>
        <w:t>that there are transactions costs, counterparty risks</w:t>
      </w:r>
      <w:r w:rsidR="0042628F">
        <w:rPr>
          <w:rFonts w:ascii="Times New Roman" w:hAnsi="Times New Roman" w:cs="Times New Roman"/>
          <w:sz w:val="24"/>
          <w:szCs w:val="24"/>
        </w:rPr>
        <w:t xml:space="preserve">, and </w:t>
      </w:r>
      <w:r w:rsidR="006226D8">
        <w:rPr>
          <w:rFonts w:ascii="Times New Roman" w:hAnsi="Times New Roman" w:cs="Times New Roman"/>
          <w:sz w:val="24"/>
          <w:szCs w:val="24"/>
        </w:rPr>
        <w:t xml:space="preserve">an </w:t>
      </w:r>
      <w:r w:rsidR="004815BE">
        <w:rPr>
          <w:rFonts w:ascii="Times New Roman" w:hAnsi="Times New Roman" w:cs="Times New Roman"/>
          <w:sz w:val="24"/>
          <w:szCs w:val="24"/>
        </w:rPr>
        <w:t xml:space="preserve">inability to hedge the required volume of debt within </w:t>
      </w:r>
      <w:r w:rsidR="00BA06D2">
        <w:rPr>
          <w:rFonts w:ascii="Times New Roman" w:hAnsi="Times New Roman" w:cs="Times New Roman"/>
          <w:sz w:val="24"/>
          <w:szCs w:val="24"/>
        </w:rPr>
        <w:t>the regulatory window</w:t>
      </w:r>
      <w:r w:rsidR="004815BE">
        <w:rPr>
          <w:rFonts w:ascii="Times New Roman" w:hAnsi="Times New Roman" w:cs="Times New Roman"/>
          <w:sz w:val="24"/>
          <w:szCs w:val="24"/>
        </w:rPr>
        <w:t xml:space="preserve">.  However, counterparty risks are trivial (because the intermediary bears the risk in return for a fee and the </w:t>
      </w:r>
      <w:r w:rsidR="009C5C0B">
        <w:rPr>
          <w:rFonts w:ascii="Times New Roman" w:hAnsi="Times New Roman" w:cs="Times New Roman"/>
          <w:sz w:val="24"/>
          <w:szCs w:val="24"/>
        </w:rPr>
        <w:t xml:space="preserve">intermediary </w:t>
      </w:r>
      <w:r w:rsidR="004815BE">
        <w:rPr>
          <w:rFonts w:ascii="Times New Roman" w:hAnsi="Times New Roman" w:cs="Times New Roman"/>
          <w:sz w:val="24"/>
          <w:szCs w:val="24"/>
        </w:rPr>
        <w:t>would have to fail for TransGrid to suffer) and the other two points have been previously addressed; the transactions costs are less than the expected savings in interest costs, and the inability to hedge all of the debt within the regulatory window is dealt with by widening the period over which the swaps are entered into (with the resulting risk still being much less than not swapping at all</w:t>
      </w:r>
      <w:r w:rsidR="006226D8">
        <w:rPr>
          <w:rFonts w:ascii="Times New Roman" w:hAnsi="Times New Roman" w:cs="Times New Roman"/>
          <w:sz w:val="24"/>
          <w:szCs w:val="24"/>
        </w:rPr>
        <w:t xml:space="preserve"> as shown in Appendix 2</w:t>
      </w:r>
      <w:r w:rsidR="004815BE">
        <w:rPr>
          <w:rFonts w:ascii="Times New Roman" w:hAnsi="Times New Roman" w:cs="Times New Roman"/>
          <w:sz w:val="24"/>
          <w:szCs w:val="24"/>
        </w:rPr>
        <w:t xml:space="preserve">).  </w:t>
      </w:r>
      <w:r w:rsidR="002930C5">
        <w:rPr>
          <w:rFonts w:ascii="Times New Roman" w:hAnsi="Times New Roman" w:cs="Times New Roman"/>
          <w:sz w:val="24"/>
          <w:szCs w:val="24"/>
        </w:rPr>
        <w:t xml:space="preserve">Furthermore, he fails to note that swaps reduce average interest costs, which suggests that he does not appreciate this point.  </w:t>
      </w:r>
      <w:r w:rsidR="009D5103">
        <w:rPr>
          <w:rFonts w:ascii="Times New Roman" w:hAnsi="Times New Roman" w:cs="Times New Roman"/>
          <w:sz w:val="24"/>
          <w:szCs w:val="24"/>
        </w:rPr>
        <w:t xml:space="preserve">Furthermore, at no point does he compare the costs and </w:t>
      </w:r>
      <w:r w:rsidR="00741208">
        <w:rPr>
          <w:rFonts w:ascii="Times New Roman" w:hAnsi="Times New Roman" w:cs="Times New Roman"/>
          <w:sz w:val="24"/>
          <w:szCs w:val="24"/>
        </w:rPr>
        <w:t xml:space="preserve">benefits of </w:t>
      </w:r>
      <w:r w:rsidR="009D5103">
        <w:rPr>
          <w:rFonts w:ascii="Times New Roman" w:hAnsi="Times New Roman" w:cs="Times New Roman"/>
          <w:sz w:val="24"/>
          <w:szCs w:val="24"/>
        </w:rPr>
        <w:t xml:space="preserve">using swaps with </w:t>
      </w:r>
      <w:r w:rsidR="00741208">
        <w:rPr>
          <w:rFonts w:ascii="Times New Roman" w:hAnsi="Times New Roman" w:cs="Times New Roman"/>
          <w:sz w:val="24"/>
          <w:szCs w:val="24"/>
        </w:rPr>
        <w:t xml:space="preserve">those of </w:t>
      </w:r>
      <w:r w:rsidR="009D5103">
        <w:rPr>
          <w:rFonts w:ascii="Times New Roman" w:hAnsi="Times New Roman" w:cs="Times New Roman"/>
          <w:sz w:val="24"/>
          <w:szCs w:val="24"/>
        </w:rPr>
        <w:t xml:space="preserve">not doing so, and a sensible decision cannot be made without </w:t>
      </w:r>
      <w:r w:rsidR="00C8243F">
        <w:rPr>
          <w:rFonts w:ascii="Times New Roman" w:hAnsi="Times New Roman" w:cs="Times New Roman"/>
          <w:sz w:val="24"/>
          <w:szCs w:val="24"/>
        </w:rPr>
        <w:t xml:space="preserve">such a comparison.  </w:t>
      </w:r>
      <w:r w:rsidR="004815BE">
        <w:rPr>
          <w:rFonts w:ascii="Times New Roman" w:hAnsi="Times New Roman" w:cs="Times New Roman"/>
          <w:sz w:val="24"/>
          <w:szCs w:val="24"/>
        </w:rPr>
        <w:t xml:space="preserve">It is also interesting to see from para 6.3 of Annexure BT-2 </w:t>
      </w:r>
      <w:r w:rsidR="007E1D2F">
        <w:rPr>
          <w:rFonts w:ascii="Times New Roman" w:hAnsi="Times New Roman" w:cs="Times New Roman"/>
          <w:sz w:val="24"/>
          <w:szCs w:val="24"/>
        </w:rPr>
        <w:t xml:space="preserve">to Thiow’s Statement </w:t>
      </w:r>
      <w:r w:rsidR="004815BE">
        <w:rPr>
          <w:rFonts w:ascii="Times New Roman" w:hAnsi="Times New Roman" w:cs="Times New Roman"/>
          <w:sz w:val="24"/>
          <w:szCs w:val="24"/>
        </w:rPr>
        <w:t xml:space="preserve">that TransGrid engages in speculation (switching between nominal and inflation-linked debt, and between short-term debt and long-term debt depending upon market conditions), and </w:t>
      </w:r>
      <w:r w:rsidR="00BA06D2">
        <w:rPr>
          <w:rFonts w:ascii="Times New Roman" w:hAnsi="Times New Roman" w:cs="Times New Roman"/>
          <w:sz w:val="24"/>
          <w:szCs w:val="24"/>
        </w:rPr>
        <w:t xml:space="preserve">engaging in such speculation would preclude the </w:t>
      </w:r>
      <w:r w:rsidR="007E1D2F">
        <w:rPr>
          <w:rFonts w:ascii="Times New Roman" w:hAnsi="Times New Roman" w:cs="Times New Roman"/>
          <w:sz w:val="24"/>
          <w:szCs w:val="24"/>
        </w:rPr>
        <w:t xml:space="preserve">use of swaps for hedging in the manner </w:t>
      </w:r>
      <w:r w:rsidR="00BA06D2">
        <w:rPr>
          <w:rFonts w:ascii="Times New Roman" w:hAnsi="Times New Roman" w:cs="Times New Roman"/>
          <w:sz w:val="24"/>
          <w:szCs w:val="24"/>
        </w:rPr>
        <w:t>under discussion here</w:t>
      </w:r>
      <w:r w:rsidR="004815BE">
        <w:rPr>
          <w:rFonts w:ascii="Times New Roman" w:hAnsi="Times New Roman" w:cs="Times New Roman"/>
          <w:sz w:val="24"/>
          <w:szCs w:val="24"/>
        </w:rPr>
        <w:t xml:space="preserve">.  </w:t>
      </w:r>
      <w:r w:rsidR="00BA06D2">
        <w:rPr>
          <w:rFonts w:ascii="Times New Roman" w:hAnsi="Times New Roman" w:cs="Times New Roman"/>
          <w:sz w:val="24"/>
          <w:szCs w:val="24"/>
        </w:rPr>
        <w:t>Thus, an additional reason for TransGrid not using swaps is its desire to speculate</w:t>
      </w:r>
      <w:r w:rsidR="007E1D2F">
        <w:rPr>
          <w:rFonts w:ascii="Times New Roman" w:hAnsi="Times New Roman" w:cs="Times New Roman"/>
          <w:sz w:val="24"/>
          <w:szCs w:val="24"/>
        </w:rPr>
        <w:t xml:space="preserve">, but </w:t>
      </w:r>
      <w:r w:rsidR="00BA06D2">
        <w:rPr>
          <w:rFonts w:ascii="Times New Roman" w:hAnsi="Times New Roman" w:cs="Times New Roman"/>
          <w:sz w:val="24"/>
          <w:szCs w:val="24"/>
        </w:rPr>
        <w:t>this is not efficient behavior and therefore would not warrant a regulator granting the firm a different allowed cost of debt.</w:t>
      </w:r>
    </w:p>
    <w:p w:rsidR="004815BE" w:rsidRDefault="004815BE" w:rsidP="004815BE">
      <w:pPr>
        <w:spacing w:after="0" w:line="360" w:lineRule="auto"/>
        <w:jc w:val="both"/>
        <w:rPr>
          <w:rFonts w:ascii="Times New Roman" w:hAnsi="Times New Roman" w:cs="Times New Roman"/>
          <w:sz w:val="24"/>
          <w:szCs w:val="24"/>
        </w:rPr>
      </w:pPr>
    </w:p>
    <w:p w:rsidR="004815BE" w:rsidRPr="00C1502F" w:rsidRDefault="00C1502F" w:rsidP="004815BE">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9.5 HoustonKemp</w:t>
      </w:r>
      <w:r>
        <w:rPr>
          <w:rFonts w:ascii="Times New Roman" w:hAnsi="Times New Roman" w:cs="Times New Roman"/>
          <w:sz w:val="24"/>
          <w:szCs w:val="24"/>
        </w:rPr>
        <w:t xml:space="preserve"> (</w:t>
      </w:r>
      <w:r>
        <w:rPr>
          <w:rFonts w:ascii="Times New Roman" w:hAnsi="Times New Roman" w:cs="Times New Roman"/>
          <w:i/>
          <w:sz w:val="24"/>
          <w:szCs w:val="24"/>
        </w:rPr>
        <w:t>for TransGrid</w:t>
      </w:r>
      <w:r>
        <w:rPr>
          <w:rFonts w:ascii="Times New Roman" w:hAnsi="Times New Roman" w:cs="Times New Roman"/>
          <w:sz w:val="24"/>
          <w:szCs w:val="24"/>
        </w:rPr>
        <w:t>)</w:t>
      </w:r>
    </w:p>
    <w:p w:rsidR="004815BE" w:rsidRDefault="00C631DC"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Houston Kemp (hereafter HK: 2015, pp. 11-12) argues that a </w:t>
      </w:r>
      <w:r w:rsidR="004815BE">
        <w:rPr>
          <w:rFonts w:ascii="Times New Roman" w:hAnsi="Times New Roman" w:cs="Times New Roman"/>
          <w:sz w:val="24"/>
          <w:szCs w:val="24"/>
        </w:rPr>
        <w:t xml:space="preserve">business that used swaps </w:t>
      </w:r>
      <w:r>
        <w:rPr>
          <w:rFonts w:ascii="Times New Roman" w:hAnsi="Times New Roman" w:cs="Times New Roman"/>
          <w:sz w:val="24"/>
          <w:szCs w:val="24"/>
        </w:rPr>
        <w:t xml:space="preserve">under the previous on-the-day regime </w:t>
      </w:r>
      <w:r w:rsidR="004815BE">
        <w:rPr>
          <w:rFonts w:ascii="Times New Roman" w:hAnsi="Times New Roman" w:cs="Times New Roman"/>
          <w:sz w:val="24"/>
          <w:szCs w:val="24"/>
        </w:rPr>
        <w:t xml:space="preserve">would not then have an incentive to minimize its total cost of debt </w:t>
      </w:r>
      <w:r w:rsidR="00B0379A">
        <w:rPr>
          <w:rFonts w:ascii="Times New Roman" w:hAnsi="Times New Roman" w:cs="Times New Roman"/>
          <w:sz w:val="24"/>
          <w:szCs w:val="24"/>
        </w:rPr>
        <w:t>(</w:t>
      </w:r>
      <w:r w:rsidR="004815BE">
        <w:rPr>
          <w:rFonts w:ascii="Times New Roman" w:hAnsi="Times New Roman" w:cs="Times New Roman"/>
          <w:sz w:val="24"/>
          <w:szCs w:val="24"/>
        </w:rPr>
        <w:t>and instead would seek to</w:t>
      </w:r>
      <w:r>
        <w:rPr>
          <w:rFonts w:ascii="Times New Roman" w:hAnsi="Times New Roman" w:cs="Times New Roman"/>
          <w:sz w:val="24"/>
          <w:szCs w:val="24"/>
        </w:rPr>
        <w:t xml:space="preserve"> minimize only its DRP</w:t>
      </w:r>
      <w:r w:rsidR="00B0379A">
        <w:rPr>
          <w:rFonts w:ascii="Times New Roman" w:hAnsi="Times New Roman" w:cs="Times New Roman"/>
          <w:sz w:val="24"/>
          <w:szCs w:val="24"/>
        </w:rPr>
        <w:t>), and this is inconsistent with the AER’s belief that the BEE should seek to minimize its debt financing costs</w:t>
      </w:r>
      <w:r w:rsidR="004815BE">
        <w:rPr>
          <w:rFonts w:ascii="Times New Roman" w:hAnsi="Times New Roman" w:cs="Times New Roman"/>
          <w:sz w:val="24"/>
          <w:szCs w:val="24"/>
        </w:rPr>
        <w:t xml:space="preserve">.  </w:t>
      </w:r>
      <w:r w:rsidR="00B0379A" w:rsidRPr="00851024">
        <w:rPr>
          <w:rFonts w:ascii="Times New Roman" w:hAnsi="Times New Roman" w:cs="Times New Roman"/>
          <w:sz w:val="24"/>
          <w:szCs w:val="24"/>
        </w:rPr>
        <w:t xml:space="preserve">I think this is </w:t>
      </w:r>
      <w:r w:rsidR="006860E6" w:rsidRPr="00851024">
        <w:rPr>
          <w:rFonts w:ascii="Times New Roman" w:hAnsi="Times New Roman" w:cs="Times New Roman"/>
          <w:sz w:val="24"/>
          <w:szCs w:val="24"/>
        </w:rPr>
        <w:t xml:space="preserve">completely </w:t>
      </w:r>
      <w:r w:rsidR="00B0379A" w:rsidRPr="00851024">
        <w:rPr>
          <w:rFonts w:ascii="Times New Roman" w:hAnsi="Times New Roman" w:cs="Times New Roman"/>
          <w:sz w:val="24"/>
          <w:szCs w:val="24"/>
        </w:rPr>
        <w:t xml:space="preserve">pedantic.  Regulated businesses are subject to a regulatory regime and any attempt to optimize anything (including minimizing financing costs) is subject to the restrictions imposed by the regulatory regime.  Pedantry aside, </w:t>
      </w:r>
      <w:r w:rsidR="001D6538" w:rsidRPr="00851024">
        <w:rPr>
          <w:rFonts w:ascii="Times New Roman" w:hAnsi="Times New Roman" w:cs="Times New Roman"/>
          <w:sz w:val="24"/>
          <w:szCs w:val="24"/>
        </w:rPr>
        <w:t xml:space="preserve">the use of swaps is not forced </w:t>
      </w:r>
      <w:r w:rsidR="001D6538" w:rsidRPr="00851024">
        <w:rPr>
          <w:rFonts w:ascii="Times New Roman" w:hAnsi="Times New Roman" w:cs="Times New Roman"/>
          <w:sz w:val="24"/>
          <w:szCs w:val="24"/>
        </w:rPr>
        <w:lastRenderedPageBreak/>
        <w:t xml:space="preserve">upon a business and HK argues anyway that businesses wouldn’t act in this way because it would be inefficient.  Furthermore, </w:t>
      </w:r>
      <w:r w:rsidR="00B0379A" w:rsidRPr="00851024">
        <w:rPr>
          <w:rFonts w:ascii="Times New Roman" w:hAnsi="Times New Roman" w:cs="Times New Roman"/>
          <w:sz w:val="24"/>
          <w:szCs w:val="24"/>
        </w:rPr>
        <w:t xml:space="preserve">HK’s argument does not bear on </w:t>
      </w:r>
      <w:r w:rsidR="001D6538" w:rsidRPr="00851024">
        <w:rPr>
          <w:rFonts w:ascii="Times New Roman" w:hAnsi="Times New Roman" w:cs="Times New Roman"/>
          <w:sz w:val="24"/>
          <w:szCs w:val="24"/>
        </w:rPr>
        <w:t>either of the relevant issues here: whether it was efficient for businesses to use swaps under the previous regime and whether the AER’s proposed transitional process is appropriate.</w:t>
      </w:r>
      <w:r w:rsidR="001D6538">
        <w:rPr>
          <w:rFonts w:ascii="Times New Roman" w:hAnsi="Times New Roman" w:cs="Times New Roman"/>
          <w:sz w:val="24"/>
          <w:szCs w:val="24"/>
        </w:rPr>
        <w:t xml:space="preserve">  </w:t>
      </w:r>
    </w:p>
    <w:p w:rsidR="001D6538" w:rsidRDefault="001D6538" w:rsidP="004815BE">
      <w:pPr>
        <w:spacing w:after="0" w:line="360" w:lineRule="auto"/>
        <w:jc w:val="both"/>
        <w:rPr>
          <w:rFonts w:ascii="Times New Roman" w:hAnsi="Times New Roman" w:cs="Times New Roman"/>
          <w:sz w:val="24"/>
          <w:szCs w:val="24"/>
        </w:rPr>
      </w:pPr>
    </w:p>
    <w:p w:rsidR="004815BE" w:rsidRDefault="001D6538"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HK (2015, pp. 12-13) claims that the businesses </w:t>
      </w:r>
      <w:r w:rsidR="004815BE">
        <w:rPr>
          <w:rFonts w:ascii="Times New Roman" w:hAnsi="Times New Roman" w:cs="Times New Roman"/>
          <w:sz w:val="24"/>
          <w:szCs w:val="24"/>
        </w:rPr>
        <w:t xml:space="preserve">that didn’t use swaps </w:t>
      </w:r>
      <w:r>
        <w:rPr>
          <w:rFonts w:ascii="Times New Roman" w:hAnsi="Times New Roman" w:cs="Times New Roman"/>
          <w:sz w:val="24"/>
          <w:szCs w:val="24"/>
        </w:rPr>
        <w:t xml:space="preserve">under the previous regime </w:t>
      </w:r>
      <w:r w:rsidR="004815BE">
        <w:rPr>
          <w:rFonts w:ascii="Times New Roman" w:hAnsi="Times New Roman" w:cs="Times New Roman"/>
          <w:sz w:val="24"/>
          <w:szCs w:val="24"/>
        </w:rPr>
        <w:t>have the lowest costs of debt ove</w:t>
      </w:r>
      <w:r>
        <w:rPr>
          <w:rFonts w:ascii="Times New Roman" w:hAnsi="Times New Roman" w:cs="Times New Roman"/>
          <w:sz w:val="24"/>
          <w:szCs w:val="24"/>
        </w:rPr>
        <w:t>r the period 2009-2013</w:t>
      </w:r>
      <w:r w:rsidR="00242A0A">
        <w:rPr>
          <w:rFonts w:ascii="Times New Roman" w:hAnsi="Times New Roman" w:cs="Times New Roman"/>
          <w:sz w:val="24"/>
          <w:szCs w:val="24"/>
        </w:rPr>
        <w:t xml:space="preserve"> </w:t>
      </w:r>
      <w:r w:rsidR="00242A0A" w:rsidRPr="00FF40CD">
        <w:rPr>
          <w:rFonts w:ascii="Times New Roman" w:hAnsi="Times New Roman" w:cs="Times New Roman"/>
          <w:sz w:val="24"/>
          <w:szCs w:val="24"/>
        </w:rPr>
        <w:t>and this vindicates their strategy.  However this result would simply be the consequence of the particular pattern of base rates that prevailed over this 2009-2013 period and for up to ten years prior to it for those whose didn’</w:t>
      </w:r>
      <w:r w:rsidR="009D403E" w:rsidRPr="00FF40CD">
        <w:rPr>
          <w:rFonts w:ascii="Times New Roman" w:hAnsi="Times New Roman" w:cs="Times New Roman"/>
          <w:sz w:val="24"/>
          <w:szCs w:val="24"/>
        </w:rPr>
        <w:t>t hedge.  Similarly, had the on-the-day regime persisted, those who hedged would have faced a lower base rate in 2014 than those who did not because the five-year base rate in 2014 was below the ten-year trailing average ten-year base rate at that point, but this would not vindicate the hedging strategy.</w:t>
      </w:r>
      <w:r w:rsidR="009D403E" w:rsidRPr="009D403E">
        <w:rPr>
          <w:rFonts w:ascii="Times New Roman" w:hAnsi="Times New Roman" w:cs="Times New Roman"/>
          <w:sz w:val="24"/>
          <w:szCs w:val="24"/>
        </w:rPr>
        <w:t xml:space="preserve">  </w:t>
      </w:r>
      <w:r w:rsidR="004815BE">
        <w:rPr>
          <w:rFonts w:ascii="Times New Roman" w:hAnsi="Times New Roman" w:cs="Times New Roman"/>
          <w:sz w:val="24"/>
          <w:szCs w:val="24"/>
        </w:rPr>
        <w:t>A proper assessment of this issue would require a longer period; those who used swaps would pay t</w:t>
      </w:r>
      <w:r>
        <w:rPr>
          <w:rFonts w:ascii="Times New Roman" w:hAnsi="Times New Roman" w:cs="Times New Roman"/>
          <w:sz w:val="24"/>
          <w:szCs w:val="24"/>
        </w:rPr>
        <w:t>he prevailing five-year base rate</w:t>
      </w:r>
      <w:r w:rsidR="004815BE">
        <w:rPr>
          <w:rFonts w:ascii="Times New Roman" w:hAnsi="Times New Roman" w:cs="Times New Roman"/>
          <w:sz w:val="24"/>
          <w:szCs w:val="24"/>
        </w:rPr>
        <w:t xml:space="preserve">, </w:t>
      </w:r>
      <w:r w:rsidR="00242A0A">
        <w:rPr>
          <w:rFonts w:ascii="Times New Roman" w:hAnsi="Times New Roman" w:cs="Times New Roman"/>
          <w:sz w:val="24"/>
          <w:szCs w:val="24"/>
        </w:rPr>
        <w:t xml:space="preserve">and </w:t>
      </w:r>
      <w:r w:rsidR="004815BE">
        <w:rPr>
          <w:rFonts w:ascii="Times New Roman" w:hAnsi="Times New Roman" w:cs="Times New Roman"/>
          <w:sz w:val="24"/>
          <w:szCs w:val="24"/>
        </w:rPr>
        <w:t xml:space="preserve">those who didn’t would pay the </w:t>
      </w:r>
      <w:r>
        <w:rPr>
          <w:rFonts w:ascii="Times New Roman" w:hAnsi="Times New Roman" w:cs="Times New Roman"/>
          <w:sz w:val="24"/>
          <w:szCs w:val="24"/>
        </w:rPr>
        <w:t xml:space="preserve">trailing-average ten-year base rate.  Empirically, the </w:t>
      </w:r>
      <w:r w:rsidR="004815BE">
        <w:rPr>
          <w:rFonts w:ascii="Times New Roman" w:hAnsi="Times New Roman" w:cs="Times New Roman"/>
          <w:sz w:val="24"/>
          <w:szCs w:val="24"/>
        </w:rPr>
        <w:t>ten-year rate has on average been higher than the five-year rate</w:t>
      </w:r>
      <w:r>
        <w:rPr>
          <w:rFonts w:ascii="Times New Roman" w:hAnsi="Times New Roman" w:cs="Times New Roman"/>
          <w:sz w:val="24"/>
          <w:szCs w:val="24"/>
        </w:rPr>
        <w:t xml:space="preserve"> over a long period</w:t>
      </w:r>
      <w:r w:rsidR="004815BE">
        <w:rPr>
          <w:rFonts w:ascii="Times New Roman" w:hAnsi="Times New Roman" w:cs="Times New Roman"/>
          <w:sz w:val="24"/>
          <w:szCs w:val="24"/>
        </w:rPr>
        <w:t>.  So, those who swapped would have lower costs on average over time (as well as facing less risk).</w:t>
      </w:r>
    </w:p>
    <w:p w:rsidR="004815BE" w:rsidRDefault="004815BE" w:rsidP="004815BE">
      <w:pPr>
        <w:spacing w:after="0" w:line="360" w:lineRule="auto"/>
        <w:jc w:val="both"/>
        <w:rPr>
          <w:rFonts w:ascii="Times New Roman" w:hAnsi="Times New Roman" w:cs="Times New Roman"/>
          <w:sz w:val="24"/>
          <w:szCs w:val="24"/>
        </w:rPr>
      </w:pPr>
    </w:p>
    <w:p w:rsidR="004815BE" w:rsidRDefault="00E374D6"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HK (2015, pp. 13-17) argues that larger </w:t>
      </w:r>
      <w:r w:rsidR="004815BE">
        <w:rPr>
          <w:rFonts w:ascii="Times New Roman" w:hAnsi="Times New Roman" w:cs="Times New Roman"/>
          <w:sz w:val="24"/>
          <w:szCs w:val="24"/>
        </w:rPr>
        <w:t xml:space="preserve">businesses </w:t>
      </w:r>
      <w:r>
        <w:rPr>
          <w:rFonts w:ascii="Times New Roman" w:hAnsi="Times New Roman" w:cs="Times New Roman"/>
          <w:sz w:val="24"/>
          <w:szCs w:val="24"/>
        </w:rPr>
        <w:t xml:space="preserve">like </w:t>
      </w:r>
      <w:r w:rsidR="00567F50">
        <w:rPr>
          <w:rFonts w:ascii="Times New Roman" w:hAnsi="Times New Roman" w:cs="Times New Roman"/>
          <w:sz w:val="24"/>
          <w:szCs w:val="24"/>
        </w:rPr>
        <w:t xml:space="preserve">TransGrid </w:t>
      </w:r>
      <w:r w:rsidR="004815BE">
        <w:rPr>
          <w:rFonts w:ascii="Times New Roman" w:hAnsi="Times New Roman" w:cs="Times New Roman"/>
          <w:sz w:val="24"/>
          <w:szCs w:val="24"/>
        </w:rPr>
        <w:t xml:space="preserve">would have to transact the swaps over a longer period than small businesses, </w:t>
      </w:r>
      <w:r>
        <w:rPr>
          <w:rFonts w:ascii="Times New Roman" w:hAnsi="Times New Roman" w:cs="Times New Roman"/>
          <w:sz w:val="24"/>
          <w:szCs w:val="24"/>
        </w:rPr>
        <w:t>this raises their risk in doing so, and therefore undercuts the value in doing so</w:t>
      </w:r>
      <w:r w:rsidR="004815BE">
        <w:rPr>
          <w:rFonts w:ascii="Times New Roman" w:hAnsi="Times New Roman" w:cs="Times New Roman"/>
          <w:sz w:val="24"/>
          <w:szCs w:val="24"/>
        </w:rPr>
        <w:t xml:space="preserve">.  However </w:t>
      </w:r>
      <w:r w:rsidR="00567F50">
        <w:rPr>
          <w:rFonts w:ascii="Times New Roman" w:hAnsi="Times New Roman" w:cs="Times New Roman"/>
          <w:sz w:val="24"/>
          <w:szCs w:val="24"/>
        </w:rPr>
        <w:t xml:space="preserve">no conclusion can be reached on the merits of hedging without comparing the risk arising from an </w:t>
      </w:r>
      <w:r w:rsidR="004815BE">
        <w:rPr>
          <w:rFonts w:ascii="Times New Roman" w:hAnsi="Times New Roman" w:cs="Times New Roman"/>
          <w:sz w:val="24"/>
          <w:szCs w:val="24"/>
        </w:rPr>
        <w:t xml:space="preserve">imperfect hedge </w:t>
      </w:r>
      <w:r w:rsidR="00567F50">
        <w:rPr>
          <w:rFonts w:ascii="Times New Roman" w:hAnsi="Times New Roman" w:cs="Times New Roman"/>
          <w:sz w:val="24"/>
          <w:szCs w:val="24"/>
        </w:rPr>
        <w:t xml:space="preserve">by </w:t>
      </w:r>
      <w:r w:rsidR="004815BE">
        <w:rPr>
          <w:rFonts w:ascii="Times New Roman" w:hAnsi="Times New Roman" w:cs="Times New Roman"/>
          <w:sz w:val="24"/>
          <w:szCs w:val="24"/>
        </w:rPr>
        <w:t xml:space="preserve">transacting in swaps over a longer period versus </w:t>
      </w:r>
      <w:r>
        <w:rPr>
          <w:rFonts w:ascii="Times New Roman" w:hAnsi="Times New Roman" w:cs="Times New Roman"/>
          <w:sz w:val="24"/>
          <w:szCs w:val="24"/>
        </w:rPr>
        <w:t>not engaging in swaps at all, and HK present no evidence on this question.  By contrast, the analysis in Appendix 2 demonstrates that, even with the swaps spread out over a period of five months, the swaps significantly reduce risk relative to not using swaps.</w:t>
      </w:r>
    </w:p>
    <w:p w:rsidR="00E374D6" w:rsidRDefault="00E374D6" w:rsidP="004815BE">
      <w:pPr>
        <w:spacing w:after="0" w:line="360" w:lineRule="auto"/>
        <w:jc w:val="both"/>
        <w:rPr>
          <w:rFonts w:ascii="Times New Roman" w:hAnsi="Times New Roman" w:cs="Times New Roman"/>
          <w:sz w:val="24"/>
          <w:szCs w:val="24"/>
        </w:rPr>
      </w:pPr>
    </w:p>
    <w:p w:rsidR="004815BE" w:rsidRDefault="00567F50"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HK (2015, pp. 17-19) argues that the use of swaps under the previous regime was inefficient because it would eliminate the </w:t>
      </w:r>
      <w:r w:rsidR="004815BE">
        <w:rPr>
          <w:rFonts w:ascii="Times New Roman" w:hAnsi="Times New Roman" w:cs="Times New Roman"/>
          <w:sz w:val="24"/>
          <w:szCs w:val="24"/>
        </w:rPr>
        <w:t xml:space="preserve">natural hedge </w:t>
      </w:r>
      <w:r>
        <w:rPr>
          <w:rFonts w:ascii="Times New Roman" w:hAnsi="Times New Roman" w:cs="Times New Roman"/>
          <w:sz w:val="24"/>
          <w:szCs w:val="24"/>
        </w:rPr>
        <w:t xml:space="preserve">(negative correlation) </w:t>
      </w:r>
      <w:r w:rsidR="004815BE">
        <w:rPr>
          <w:rFonts w:ascii="Times New Roman" w:hAnsi="Times New Roman" w:cs="Times New Roman"/>
          <w:sz w:val="24"/>
          <w:szCs w:val="24"/>
        </w:rPr>
        <w:t xml:space="preserve">between the </w:t>
      </w:r>
      <w:r>
        <w:rPr>
          <w:rFonts w:ascii="Times New Roman" w:hAnsi="Times New Roman" w:cs="Times New Roman"/>
          <w:sz w:val="24"/>
          <w:szCs w:val="24"/>
        </w:rPr>
        <w:t xml:space="preserve">base rate and </w:t>
      </w:r>
      <w:r w:rsidR="004815BE">
        <w:rPr>
          <w:rFonts w:ascii="Times New Roman" w:hAnsi="Times New Roman" w:cs="Times New Roman"/>
          <w:sz w:val="24"/>
          <w:szCs w:val="24"/>
        </w:rPr>
        <w:t xml:space="preserve">DRP components of </w:t>
      </w:r>
      <w:r>
        <w:rPr>
          <w:rFonts w:ascii="Times New Roman" w:hAnsi="Times New Roman" w:cs="Times New Roman"/>
          <w:sz w:val="24"/>
          <w:szCs w:val="24"/>
        </w:rPr>
        <w:t>the cost of debt</w:t>
      </w:r>
      <w:r w:rsidR="004815BE">
        <w:rPr>
          <w:rFonts w:ascii="Times New Roman" w:hAnsi="Times New Roman" w:cs="Times New Roman"/>
          <w:sz w:val="24"/>
          <w:szCs w:val="24"/>
        </w:rPr>
        <w:t xml:space="preserve">.  However, </w:t>
      </w:r>
      <w:r>
        <w:rPr>
          <w:rFonts w:ascii="Times New Roman" w:hAnsi="Times New Roman" w:cs="Times New Roman"/>
          <w:sz w:val="24"/>
          <w:szCs w:val="24"/>
        </w:rPr>
        <w:t xml:space="preserve">negative correlation would not be sufficient to support the conclusion that swapping was inefficient.  It would have to be sufficiently negative to cause the risk from not swapping to be less than from swapping, and HK present no </w:t>
      </w:r>
      <w:r w:rsidR="004815BE">
        <w:rPr>
          <w:rFonts w:ascii="Times New Roman" w:hAnsi="Times New Roman" w:cs="Times New Roman"/>
          <w:sz w:val="24"/>
          <w:szCs w:val="24"/>
        </w:rPr>
        <w:t xml:space="preserve">evidence </w:t>
      </w:r>
      <w:r>
        <w:rPr>
          <w:rFonts w:ascii="Times New Roman" w:hAnsi="Times New Roman" w:cs="Times New Roman"/>
          <w:sz w:val="24"/>
          <w:szCs w:val="24"/>
        </w:rPr>
        <w:t>on this matter</w:t>
      </w:r>
      <w:r w:rsidR="004815BE">
        <w:rPr>
          <w:rFonts w:ascii="Times New Roman" w:hAnsi="Times New Roman" w:cs="Times New Roman"/>
          <w:sz w:val="24"/>
          <w:szCs w:val="24"/>
        </w:rPr>
        <w:t xml:space="preserve">.  Furthermore the claim is inconsistent with the fact that private-sector businesses did engage in swaps, and is also inconsistent with the explanation given by </w:t>
      </w:r>
      <w:r w:rsidR="004815BE">
        <w:rPr>
          <w:rFonts w:ascii="Times New Roman" w:hAnsi="Times New Roman" w:cs="Times New Roman"/>
          <w:sz w:val="24"/>
          <w:szCs w:val="24"/>
        </w:rPr>
        <w:lastRenderedPageBreak/>
        <w:t xml:space="preserve">Thiow </w:t>
      </w:r>
      <w:r>
        <w:rPr>
          <w:rFonts w:ascii="Times New Roman" w:hAnsi="Times New Roman" w:cs="Times New Roman"/>
          <w:sz w:val="24"/>
          <w:szCs w:val="24"/>
        </w:rPr>
        <w:t>for TransGrid not using swaps</w:t>
      </w:r>
      <w:r w:rsidR="006226D8">
        <w:rPr>
          <w:rFonts w:ascii="Times New Roman" w:hAnsi="Times New Roman" w:cs="Times New Roman"/>
          <w:sz w:val="24"/>
          <w:szCs w:val="24"/>
        </w:rPr>
        <w:t xml:space="preserve"> (see previous section)</w:t>
      </w:r>
      <w:r>
        <w:rPr>
          <w:rFonts w:ascii="Times New Roman" w:hAnsi="Times New Roman" w:cs="Times New Roman"/>
          <w:sz w:val="24"/>
          <w:szCs w:val="24"/>
        </w:rPr>
        <w:t>.  By contrast, the analysis in Appendix 2 demonstrates that, even with the swaps spread out over a period of five months, the swaps significantly reduce risk relative to not using swaps.  In addition, swaps reduce expected interest costs.  So, they are efficient.</w:t>
      </w:r>
    </w:p>
    <w:p w:rsidR="00567F50" w:rsidRDefault="00567F50" w:rsidP="004815BE">
      <w:pPr>
        <w:spacing w:after="0" w:line="360" w:lineRule="auto"/>
        <w:jc w:val="both"/>
        <w:rPr>
          <w:rFonts w:ascii="Times New Roman" w:hAnsi="Times New Roman" w:cs="Times New Roman"/>
          <w:sz w:val="24"/>
          <w:szCs w:val="24"/>
        </w:rPr>
      </w:pPr>
    </w:p>
    <w:p w:rsidR="004815BE" w:rsidRDefault="00E92361"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HK (2015, section 3.3.1) argues that transitional </w:t>
      </w:r>
      <w:r w:rsidR="004815BE">
        <w:rPr>
          <w:rFonts w:ascii="Times New Roman" w:hAnsi="Times New Roman" w:cs="Times New Roman"/>
          <w:sz w:val="24"/>
          <w:szCs w:val="24"/>
        </w:rPr>
        <w:t>arrangements for the DRP are not required because of deficiencies in the historical data, as the RBA historical dat</w:t>
      </w:r>
      <w:r>
        <w:rPr>
          <w:rFonts w:ascii="Times New Roman" w:hAnsi="Times New Roman" w:cs="Times New Roman"/>
          <w:sz w:val="24"/>
          <w:szCs w:val="24"/>
        </w:rPr>
        <w:t>a alone are sufficient</w:t>
      </w:r>
      <w:r w:rsidR="004815BE">
        <w:rPr>
          <w:rFonts w:ascii="Times New Roman" w:hAnsi="Times New Roman" w:cs="Times New Roman"/>
          <w:sz w:val="24"/>
          <w:szCs w:val="24"/>
        </w:rPr>
        <w:t xml:space="preserve">.  </w:t>
      </w:r>
      <w:r w:rsidR="004815BE" w:rsidRPr="00851024">
        <w:rPr>
          <w:rFonts w:ascii="Times New Roman" w:hAnsi="Times New Roman" w:cs="Times New Roman"/>
          <w:sz w:val="24"/>
          <w:szCs w:val="24"/>
        </w:rPr>
        <w:t xml:space="preserve">However, </w:t>
      </w:r>
      <w:r w:rsidRPr="00851024">
        <w:rPr>
          <w:rFonts w:ascii="Times New Roman" w:hAnsi="Times New Roman" w:cs="Times New Roman"/>
          <w:sz w:val="24"/>
          <w:szCs w:val="24"/>
        </w:rPr>
        <w:t>as discussed in Lally (2014</w:t>
      </w:r>
      <w:r w:rsidR="00241501" w:rsidRPr="00851024">
        <w:rPr>
          <w:rFonts w:ascii="Times New Roman" w:hAnsi="Times New Roman" w:cs="Times New Roman"/>
          <w:sz w:val="24"/>
          <w:szCs w:val="24"/>
        </w:rPr>
        <w:t>a</w:t>
      </w:r>
      <w:r w:rsidRPr="00851024">
        <w:rPr>
          <w:rFonts w:ascii="Times New Roman" w:hAnsi="Times New Roman" w:cs="Times New Roman"/>
          <w:sz w:val="24"/>
          <w:szCs w:val="24"/>
        </w:rPr>
        <w:t>, section 2.3) and as shown in HK’s own Table 2, the RBA data commence in January 2005 and therefore do not provide a ten-year history up to the regime change in mid 2014.</w:t>
      </w:r>
      <w:r>
        <w:rPr>
          <w:rFonts w:ascii="Times New Roman" w:hAnsi="Times New Roman" w:cs="Times New Roman"/>
          <w:sz w:val="24"/>
          <w:szCs w:val="24"/>
        </w:rPr>
        <w:t xml:space="preserve">  Furthermore, and again as argued in Lally (2014</w:t>
      </w:r>
      <w:r w:rsidR="00241501">
        <w:rPr>
          <w:rFonts w:ascii="Times New Roman" w:hAnsi="Times New Roman" w:cs="Times New Roman"/>
          <w:sz w:val="24"/>
          <w:szCs w:val="24"/>
        </w:rPr>
        <w:t>a</w:t>
      </w:r>
      <w:r>
        <w:rPr>
          <w:rFonts w:ascii="Times New Roman" w:hAnsi="Times New Roman" w:cs="Times New Roman"/>
          <w:sz w:val="24"/>
          <w:szCs w:val="24"/>
        </w:rPr>
        <w:t xml:space="preserve">, section 2.3), </w:t>
      </w:r>
      <w:r w:rsidR="004815BE">
        <w:rPr>
          <w:rFonts w:ascii="Times New Roman" w:hAnsi="Times New Roman" w:cs="Times New Roman"/>
          <w:sz w:val="24"/>
          <w:szCs w:val="24"/>
        </w:rPr>
        <w:t>reliance on just the RBA data exposes one to the considerable risk of it being in error during the GFC</w:t>
      </w:r>
      <w:r w:rsidR="006226D8">
        <w:rPr>
          <w:rFonts w:ascii="Times New Roman" w:hAnsi="Times New Roman" w:cs="Times New Roman"/>
          <w:sz w:val="24"/>
          <w:szCs w:val="24"/>
        </w:rPr>
        <w:t xml:space="preserve">; at </w:t>
      </w:r>
      <w:r w:rsidR="004815BE">
        <w:rPr>
          <w:rFonts w:ascii="Times New Roman" w:hAnsi="Times New Roman" w:cs="Times New Roman"/>
          <w:sz w:val="24"/>
          <w:szCs w:val="24"/>
        </w:rPr>
        <w:t>least one of the available DRP series in that period must be significantly in error because they dif</w:t>
      </w:r>
      <w:r>
        <w:rPr>
          <w:rFonts w:ascii="Times New Roman" w:hAnsi="Times New Roman" w:cs="Times New Roman"/>
          <w:sz w:val="24"/>
          <w:szCs w:val="24"/>
        </w:rPr>
        <w:t>fer so much</w:t>
      </w:r>
      <w:r w:rsidR="004815BE">
        <w:rPr>
          <w:rFonts w:ascii="Times New Roman" w:hAnsi="Times New Roman" w:cs="Times New Roman"/>
          <w:sz w:val="24"/>
          <w:szCs w:val="24"/>
        </w:rPr>
        <w:t>.</w:t>
      </w:r>
    </w:p>
    <w:p w:rsidR="004815BE" w:rsidRDefault="004815BE" w:rsidP="004815BE">
      <w:pPr>
        <w:spacing w:after="0" w:line="360" w:lineRule="auto"/>
        <w:jc w:val="both"/>
        <w:rPr>
          <w:rFonts w:ascii="Times New Roman" w:hAnsi="Times New Roman" w:cs="Times New Roman"/>
          <w:sz w:val="24"/>
          <w:szCs w:val="24"/>
        </w:rPr>
      </w:pPr>
    </w:p>
    <w:p w:rsidR="0037718C" w:rsidRDefault="0037718C"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HK (2015, page 21) argues that the AER’s proposed transitional arr</w:t>
      </w:r>
      <w:r w:rsidR="009E34A2">
        <w:rPr>
          <w:rFonts w:ascii="Times New Roman" w:hAnsi="Times New Roman" w:cs="Times New Roman"/>
          <w:sz w:val="24"/>
          <w:szCs w:val="24"/>
        </w:rPr>
        <w:t>angements in respect of the DRP constitute a clawback, and therefore violate regulatory requirements to not use past data.  These claims have also been raised by Frontier and addressed in section 9.2.</w:t>
      </w:r>
    </w:p>
    <w:p w:rsidR="0064171E" w:rsidRDefault="0064171E" w:rsidP="004815BE">
      <w:pPr>
        <w:spacing w:after="0" w:line="360" w:lineRule="auto"/>
        <w:jc w:val="both"/>
        <w:rPr>
          <w:rFonts w:ascii="Times New Roman" w:hAnsi="Times New Roman" w:cs="Times New Roman"/>
          <w:sz w:val="24"/>
          <w:szCs w:val="24"/>
        </w:rPr>
      </w:pPr>
    </w:p>
    <w:p w:rsidR="004815BE" w:rsidRPr="00851024" w:rsidRDefault="0064171E"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HK (2015, section 3.3.2) argues that transitional </w:t>
      </w:r>
      <w:r w:rsidR="004815BE">
        <w:rPr>
          <w:rFonts w:ascii="Times New Roman" w:hAnsi="Times New Roman" w:cs="Times New Roman"/>
          <w:sz w:val="24"/>
          <w:szCs w:val="24"/>
        </w:rPr>
        <w:t xml:space="preserve">arrangements for the DRP are not needed to address a past windfall gain problem because Lally’s </w:t>
      </w:r>
      <w:r>
        <w:rPr>
          <w:rFonts w:ascii="Times New Roman" w:hAnsi="Times New Roman" w:cs="Times New Roman"/>
          <w:sz w:val="24"/>
          <w:szCs w:val="24"/>
        </w:rPr>
        <w:t>(2014</w:t>
      </w:r>
      <w:r w:rsidR="00241501">
        <w:rPr>
          <w:rFonts w:ascii="Times New Roman" w:hAnsi="Times New Roman" w:cs="Times New Roman"/>
          <w:sz w:val="24"/>
          <w:szCs w:val="24"/>
        </w:rPr>
        <w:t>a</w:t>
      </w:r>
      <w:r>
        <w:rPr>
          <w:rFonts w:ascii="Times New Roman" w:hAnsi="Times New Roman" w:cs="Times New Roman"/>
          <w:sz w:val="24"/>
          <w:szCs w:val="24"/>
        </w:rPr>
        <w:t xml:space="preserve">, section 3.1) </w:t>
      </w:r>
      <w:r w:rsidR="004815BE">
        <w:rPr>
          <w:rFonts w:ascii="Times New Roman" w:hAnsi="Times New Roman" w:cs="Times New Roman"/>
          <w:sz w:val="24"/>
          <w:szCs w:val="24"/>
        </w:rPr>
        <w:t>analysis of this issue assumes that the DRP allowance up to mid 2007 matched that paid by firms (1.3%), and this is inconsistent with TransGrid’s DRP allowance in 2004 of 0.90% and average incurred DRP over the 2004-</w:t>
      </w:r>
      <w:r>
        <w:rPr>
          <w:rFonts w:ascii="Times New Roman" w:hAnsi="Times New Roman" w:cs="Times New Roman"/>
          <w:sz w:val="24"/>
          <w:szCs w:val="24"/>
        </w:rPr>
        <w:t>2009 period of 2.67%</w:t>
      </w:r>
      <w:r w:rsidR="004815BE">
        <w:rPr>
          <w:rFonts w:ascii="Times New Roman" w:hAnsi="Times New Roman" w:cs="Times New Roman"/>
          <w:sz w:val="24"/>
          <w:szCs w:val="24"/>
        </w:rPr>
        <w:t xml:space="preserve">.  However, the 2004-2009 period referred to by </w:t>
      </w:r>
      <w:r>
        <w:rPr>
          <w:rFonts w:ascii="Times New Roman" w:hAnsi="Times New Roman" w:cs="Times New Roman"/>
          <w:sz w:val="24"/>
          <w:szCs w:val="24"/>
        </w:rPr>
        <w:t xml:space="preserve">HK </w:t>
      </w:r>
      <w:r w:rsidR="004815BE">
        <w:rPr>
          <w:rFonts w:ascii="Times New Roman" w:hAnsi="Times New Roman" w:cs="Times New Roman"/>
          <w:sz w:val="24"/>
          <w:szCs w:val="24"/>
        </w:rPr>
        <w:t xml:space="preserve">extends beyond mid 2007 and therefore there is no inconsistency between Lally’s </w:t>
      </w:r>
      <w:r>
        <w:rPr>
          <w:rFonts w:ascii="Times New Roman" w:hAnsi="Times New Roman" w:cs="Times New Roman"/>
          <w:sz w:val="24"/>
          <w:szCs w:val="24"/>
        </w:rPr>
        <w:t>(2014</w:t>
      </w:r>
      <w:r w:rsidR="00241501">
        <w:rPr>
          <w:rFonts w:ascii="Times New Roman" w:hAnsi="Times New Roman" w:cs="Times New Roman"/>
          <w:sz w:val="24"/>
          <w:szCs w:val="24"/>
        </w:rPr>
        <w:t>a</w:t>
      </w:r>
      <w:r>
        <w:rPr>
          <w:rFonts w:ascii="Times New Roman" w:hAnsi="Times New Roman" w:cs="Times New Roman"/>
          <w:sz w:val="24"/>
          <w:szCs w:val="24"/>
        </w:rPr>
        <w:t xml:space="preserve">) </w:t>
      </w:r>
      <w:r w:rsidR="004815BE">
        <w:rPr>
          <w:rFonts w:ascii="Times New Roman" w:hAnsi="Times New Roman" w:cs="Times New Roman"/>
          <w:sz w:val="24"/>
          <w:szCs w:val="24"/>
        </w:rPr>
        <w:t xml:space="preserve">assumption that allowances matched incurred DRPs up to mid 2007 and TransGrid’s experience from 2004-2009.  </w:t>
      </w:r>
      <w:r w:rsidR="004815BE" w:rsidRPr="00851024">
        <w:rPr>
          <w:rFonts w:ascii="Times New Roman" w:hAnsi="Times New Roman" w:cs="Times New Roman"/>
          <w:sz w:val="24"/>
          <w:szCs w:val="24"/>
        </w:rPr>
        <w:t xml:space="preserve">Furthermore, </w:t>
      </w:r>
      <w:r w:rsidRPr="00851024">
        <w:rPr>
          <w:rFonts w:ascii="Times New Roman" w:hAnsi="Times New Roman" w:cs="Times New Roman"/>
          <w:sz w:val="24"/>
          <w:szCs w:val="24"/>
        </w:rPr>
        <w:t xml:space="preserve">HK’s claim that the average DRP over the 2004-2009 period was significantly in excess of the 2004 value is </w:t>
      </w:r>
      <w:r w:rsidR="00F0681E" w:rsidRPr="00851024">
        <w:rPr>
          <w:rFonts w:ascii="Times New Roman" w:hAnsi="Times New Roman" w:cs="Times New Roman"/>
          <w:sz w:val="24"/>
          <w:szCs w:val="24"/>
        </w:rPr>
        <w:t xml:space="preserve">again </w:t>
      </w:r>
      <w:r w:rsidR="00CA5575" w:rsidRPr="00851024">
        <w:rPr>
          <w:rFonts w:ascii="Times New Roman" w:hAnsi="Times New Roman" w:cs="Times New Roman"/>
          <w:sz w:val="24"/>
          <w:szCs w:val="24"/>
        </w:rPr>
        <w:t xml:space="preserve">entirely </w:t>
      </w:r>
      <w:r w:rsidR="004815BE" w:rsidRPr="00851024">
        <w:rPr>
          <w:rFonts w:ascii="Times New Roman" w:hAnsi="Times New Roman" w:cs="Times New Roman"/>
          <w:sz w:val="24"/>
          <w:szCs w:val="24"/>
        </w:rPr>
        <w:t xml:space="preserve">consistent with </w:t>
      </w:r>
      <w:r w:rsidR="00CA5575" w:rsidRPr="00851024">
        <w:rPr>
          <w:rFonts w:ascii="Times New Roman" w:hAnsi="Times New Roman" w:cs="Times New Roman"/>
          <w:sz w:val="24"/>
          <w:szCs w:val="24"/>
        </w:rPr>
        <w:t>the data in Lally (2014</w:t>
      </w:r>
      <w:r w:rsidR="00241501" w:rsidRPr="00851024">
        <w:rPr>
          <w:rFonts w:ascii="Times New Roman" w:hAnsi="Times New Roman" w:cs="Times New Roman"/>
          <w:sz w:val="24"/>
          <w:szCs w:val="24"/>
        </w:rPr>
        <w:t>a</w:t>
      </w:r>
      <w:r w:rsidR="00CA5575" w:rsidRPr="00851024">
        <w:rPr>
          <w:rFonts w:ascii="Times New Roman" w:hAnsi="Times New Roman" w:cs="Times New Roman"/>
          <w:sz w:val="24"/>
          <w:szCs w:val="24"/>
        </w:rPr>
        <w:t xml:space="preserve">, Table 2).  </w:t>
      </w:r>
      <w:r w:rsidR="004815BE" w:rsidRPr="00FF40CD">
        <w:rPr>
          <w:rFonts w:ascii="Times New Roman" w:hAnsi="Times New Roman" w:cs="Times New Roman"/>
          <w:sz w:val="24"/>
          <w:szCs w:val="24"/>
        </w:rPr>
        <w:t xml:space="preserve">Furthermore, TransGrid’s allowance of 0.90% in 2004 </w:t>
      </w:r>
      <w:r w:rsidR="00AA7FE0" w:rsidRPr="00FF40CD">
        <w:rPr>
          <w:rFonts w:ascii="Times New Roman" w:hAnsi="Times New Roman" w:cs="Times New Roman"/>
          <w:sz w:val="24"/>
          <w:szCs w:val="24"/>
        </w:rPr>
        <w:t>(ACCC, 2004, pp. 140-143) was subsequently revised to 1.17% (AER</w:t>
      </w:r>
      <w:r w:rsidR="00381EFD" w:rsidRPr="00FF40CD">
        <w:rPr>
          <w:rFonts w:ascii="Times New Roman" w:hAnsi="Times New Roman" w:cs="Times New Roman"/>
          <w:sz w:val="24"/>
          <w:szCs w:val="24"/>
        </w:rPr>
        <w:t xml:space="preserve">, 2005), and it also reflects a credit rating </w:t>
      </w:r>
      <w:r w:rsidR="008778E3" w:rsidRPr="00FF40CD">
        <w:rPr>
          <w:rFonts w:ascii="Times New Roman" w:hAnsi="Times New Roman" w:cs="Times New Roman"/>
          <w:sz w:val="24"/>
          <w:szCs w:val="24"/>
        </w:rPr>
        <w:t xml:space="preserve">for </w:t>
      </w:r>
      <w:r w:rsidR="00BF6BF0" w:rsidRPr="00FF40CD">
        <w:rPr>
          <w:rFonts w:ascii="Times New Roman" w:hAnsi="Times New Roman" w:cs="Times New Roman"/>
          <w:sz w:val="24"/>
          <w:szCs w:val="24"/>
        </w:rPr>
        <w:t xml:space="preserve">‘A’ </w:t>
      </w:r>
      <w:r w:rsidR="008778E3" w:rsidRPr="00FF40CD">
        <w:rPr>
          <w:rFonts w:ascii="Times New Roman" w:hAnsi="Times New Roman" w:cs="Times New Roman"/>
          <w:sz w:val="24"/>
          <w:szCs w:val="24"/>
        </w:rPr>
        <w:t xml:space="preserve">bonds </w:t>
      </w:r>
      <w:r w:rsidR="00BF6BF0" w:rsidRPr="00FF40CD">
        <w:rPr>
          <w:rFonts w:ascii="Times New Roman" w:hAnsi="Times New Roman" w:cs="Times New Roman"/>
          <w:sz w:val="24"/>
          <w:szCs w:val="24"/>
        </w:rPr>
        <w:t>(ACCC, 2004, pp. 140-143)</w:t>
      </w:r>
      <w:r w:rsidR="00381EFD" w:rsidRPr="00FF40CD">
        <w:rPr>
          <w:rFonts w:ascii="Times New Roman" w:hAnsi="Times New Roman" w:cs="Times New Roman"/>
          <w:sz w:val="24"/>
          <w:szCs w:val="24"/>
        </w:rPr>
        <w:t xml:space="preserve"> whereas Lally’s (2014a, Table 2) figure of 1.3% reflected BBB bonds</w:t>
      </w:r>
      <w:r w:rsidR="004815BE" w:rsidRPr="00FF40CD">
        <w:rPr>
          <w:rFonts w:ascii="Times New Roman" w:hAnsi="Times New Roman" w:cs="Times New Roman"/>
          <w:sz w:val="24"/>
          <w:szCs w:val="24"/>
        </w:rPr>
        <w:t>.</w:t>
      </w:r>
      <w:r w:rsidR="00F0681E" w:rsidRPr="00851024">
        <w:rPr>
          <w:rFonts w:ascii="Times New Roman" w:hAnsi="Times New Roman" w:cs="Times New Roman"/>
          <w:sz w:val="24"/>
          <w:szCs w:val="24"/>
        </w:rPr>
        <w:t xml:space="preserve">  </w:t>
      </w:r>
      <w:r w:rsidR="00381EFD">
        <w:rPr>
          <w:rFonts w:ascii="Times New Roman" w:hAnsi="Times New Roman" w:cs="Times New Roman"/>
          <w:sz w:val="24"/>
          <w:szCs w:val="24"/>
        </w:rPr>
        <w:t xml:space="preserve">So, again, there is no inconsistency here.  </w:t>
      </w:r>
      <w:r w:rsidR="00F0681E" w:rsidRPr="00851024">
        <w:rPr>
          <w:rFonts w:ascii="Times New Roman" w:hAnsi="Times New Roman" w:cs="Times New Roman"/>
          <w:sz w:val="24"/>
          <w:szCs w:val="24"/>
        </w:rPr>
        <w:t>Thus, none of the claims made by HK are inconsistent with the DRP data in Lally (2014a, Table 2), and reproduced in the first two columns of Table 1 above.  This latter data reveals that an immediate adoption of the new regime from 2014 had a windfall effect upo</w:t>
      </w:r>
      <w:r w:rsidR="00241501" w:rsidRPr="00851024">
        <w:rPr>
          <w:rFonts w:ascii="Times New Roman" w:hAnsi="Times New Roman" w:cs="Times New Roman"/>
          <w:sz w:val="24"/>
          <w:szCs w:val="24"/>
        </w:rPr>
        <w:t xml:space="preserve">n the cash </w:t>
      </w:r>
      <w:r w:rsidR="00241501" w:rsidRPr="00851024">
        <w:rPr>
          <w:rFonts w:ascii="Times New Roman" w:hAnsi="Times New Roman" w:cs="Times New Roman"/>
          <w:sz w:val="24"/>
          <w:szCs w:val="24"/>
        </w:rPr>
        <w:lastRenderedPageBreak/>
        <w:t>flows of the BEEs</w:t>
      </w:r>
      <w:r w:rsidR="00F0681E" w:rsidRPr="00851024">
        <w:rPr>
          <w:rFonts w:ascii="Times New Roman" w:hAnsi="Times New Roman" w:cs="Times New Roman"/>
          <w:sz w:val="24"/>
          <w:szCs w:val="24"/>
        </w:rPr>
        <w:t>, this windfall effect should be neutralized, and the AER’s proposed transitional process does so.</w:t>
      </w:r>
    </w:p>
    <w:p w:rsidR="00ED67AE" w:rsidRDefault="00ED67AE" w:rsidP="004815BE">
      <w:pPr>
        <w:spacing w:after="0" w:line="360" w:lineRule="auto"/>
        <w:jc w:val="both"/>
        <w:rPr>
          <w:rFonts w:ascii="Times New Roman" w:hAnsi="Times New Roman" w:cs="Times New Roman"/>
          <w:sz w:val="24"/>
          <w:szCs w:val="24"/>
        </w:rPr>
      </w:pPr>
    </w:p>
    <w:p w:rsidR="00ED67AE" w:rsidRDefault="00ED67AE"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HK (2015, section 3.3.2) also argues that TransGrid was under compensated over the 2004-9 period because its allowed DRP in 2004 was 0.90% and the average DRP over the period 2004-2009 was 2.67%</w:t>
      </w:r>
      <w:r w:rsidR="00241501">
        <w:rPr>
          <w:rFonts w:ascii="Times New Roman" w:hAnsi="Times New Roman" w:cs="Times New Roman"/>
          <w:sz w:val="24"/>
          <w:szCs w:val="24"/>
        </w:rPr>
        <w:t xml:space="preserve">; </w:t>
      </w:r>
      <w:r w:rsidR="00223530">
        <w:rPr>
          <w:rFonts w:ascii="Times New Roman" w:hAnsi="Times New Roman" w:cs="Times New Roman"/>
          <w:sz w:val="24"/>
          <w:szCs w:val="24"/>
        </w:rPr>
        <w:t>it should have accordingly received over compensation in the 2009-2014 period</w:t>
      </w:r>
      <w:r w:rsidR="00D06024">
        <w:rPr>
          <w:rFonts w:ascii="Times New Roman" w:hAnsi="Times New Roman" w:cs="Times New Roman"/>
          <w:sz w:val="24"/>
          <w:szCs w:val="24"/>
        </w:rPr>
        <w:t xml:space="preserve"> but </w:t>
      </w:r>
      <w:r w:rsidR="00223530">
        <w:rPr>
          <w:rFonts w:ascii="Times New Roman" w:hAnsi="Times New Roman" w:cs="Times New Roman"/>
          <w:sz w:val="24"/>
          <w:szCs w:val="24"/>
        </w:rPr>
        <w:t>this was not considered by Lally (2014</w:t>
      </w:r>
      <w:r w:rsidR="00E75832">
        <w:rPr>
          <w:rFonts w:ascii="Times New Roman" w:hAnsi="Times New Roman" w:cs="Times New Roman"/>
          <w:sz w:val="24"/>
          <w:szCs w:val="24"/>
        </w:rPr>
        <w:t>a</w:t>
      </w:r>
      <w:r w:rsidR="00223530">
        <w:rPr>
          <w:rFonts w:ascii="Times New Roman" w:hAnsi="Times New Roman" w:cs="Times New Roman"/>
          <w:sz w:val="24"/>
          <w:szCs w:val="24"/>
        </w:rPr>
        <w:t xml:space="preserve">, section 3.1) because he assumes no over or under recovery in the years leading up to 2007.  However the first claim is </w:t>
      </w:r>
      <w:r w:rsidR="00D06024">
        <w:rPr>
          <w:rFonts w:ascii="Times New Roman" w:hAnsi="Times New Roman" w:cs="Times New Roman"/>
          <w:sz w:val="24"/>
          <w:szCs w:val="24"/>
        </w:rPr>
        <w:t xml:space="preserve">incorrect; </w:t>
      </w:r>
      <w:r w:rsidR="00223530">
        <w:rPr>
          <w:rFonts w:ascii="Times New Roman" w:hAnsi="Times New Roman" w:cs="Times New Roman"/>
          <w:sz w:val="24"/>
          <w:szCs w:val="24"/>
        </w:rPr>
        <w:t>under or over recovery requires a comparison of the allowance in 2004 with the average of the trailing averages over each of the years 2004-2009 rather than with</w:t>
      </w:r>
      <w:r w:rsidR="00D06024">
        <w:rPr>
          <w:rFonts w:ascii="Times New Roman" w:hAnsi="Times New Roman" w:cs="Times New Roman"/>
          <w:sz w:val="24"/>
          <w:szCs w:val="24"/>
        </w:rPr>
        <w:t xml:space="preserve"> the average DRP in those years.  Using the data in Lally (2014</w:t>
      </w:r>
      <w:r w:rsidR="00241501">
        <w:rPr>
          <w:rFonts w:ascii="Times New Roman" w:hAnsi="Times New Roman" w:cs="Times New Roman"/>
          <w:sz w:val="24"/>
          <w:szCs w:val="24"/>
        </w:rPr>
        <w:t>a</w:t>
      </w:r>
      <w:r w:rsidR="00D06024">
        <w:rPr>
          <w:rFonts w:ascii="Times New Roman" w:hAnsi="Times New Roman" w:cs="Times New Roman"/>
          <w:sz w:val="24"/>
          <w:szCs w:val="24"/>
        </w:rPr>
        <w:t>, Table 2), the 2004 allowance was 1.3% whilst the average incurred cost over the following five years was only marginally higher at 1.34%.  The second claim is also incorrect; Lally (2014</w:t>
      </w:r>
      <w:r w:rsidR="00241501">
        <w:rPr>
          <w:rFonts w:ascii="Times New Roman" w:hAnsi="Times New Roman" w:cs="Times New Roman"/>
          <w:sz w:val="24"/>
          <w:szCs w:val="24"/>
        </w:rPr>
        <w:t>a</w:t>
      </w:r>
      <w:r w:rsidR="00D06024">
        <w:rPr>
          <w:rFonts w:ascii="Times New Roman" w:hAnsi="Times New Roman" w:cs="Times New Roman"/>
          <w:sz w:val="24"/>
          <w:szCs w:val="24"/>
        </w:rPr>
        <w:t xml:space="preserve">, Table 2) shows an allowed DRP in 2009 of 4.1% and an average incurred cost over the following five years of 2.16% and this over recovery largely explains the accumulated gain of 9.53% up to mid 2014 (Lally, </w:t>
      </w:r>
      <w:r w:rsidR="00241501">
        <w:rPr>
          <w:rFonts w:ascii="Times New Roman" w:hAnsi="Times New Roman" w:cs="Times New Roman"/>
          <w:sz w:val="24"/>
          <w:szCs w:val="24"/>
        </w:rPr>
        <w:t xml:space="preserve">2014a, </w:t>
      </w:r>
      <w:r w:rsidR="00D06024">
        <w:rPr>
          <w:rFonts w:ascii="Times New Roman" w:hAnsi="Times New Roman" w:cs="Times New Roman"/>
          <w:sz w:val="24"/>
          <w:szCs w:val="24"/>
        </w:rPr>
        <w:t>Table 3).</w:t>
      </w:r>
    </w:p>
    <w:p w:rsidR="004815BE" w:rsidRDefault="004815BE" w:rsidP="004815BE">
      <w:pPr>
        <w:spacing w:after="0" w:line="360" w:lineRule="auto"/>
        <w:jc w:val="both"/>
        <w:rPr>
          <w:rFonts w:ascii="Times New Roman" w:hAnsi="Times New Roman" w:cs="Times New Roman"/>
          <w:sz w:val="24"/>
          <w:szCs w:val="24"/>
        </w:rPr>
      </w:pPr>
    </w:p>
    <w:p w:rsidR="004815BE" w:rsidRDefault="00D06024"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HK (2015, section 3.3.2) </w:t>
      </w:r>
      <w:r w:rsidR="00F27CE6">
        <w:rPr>
          <w:rFonts w:ascii="Times New Roman" w:hAnsi="Times New Roman" w:cs="Times New Roman"/>
          <w:sz w:val="24"/>
          <w:szCs w:val="24"/>
        </w:rPr>
        <w:t xml:space="preserve">argues that, if </w:t>
      </w:r>
      <w:r w:rsidR="004815BE">
        <w:rPr>
          <w:rFonts w:ascii="Times New Roman" w:hAnsi="Times New Roman" w:cs="Times New Roman"/>
          <w:sz w:val="24"/>
          <w:szCs w:val="24"/>
        </w:rPr>
        <w:t>transitional arrangements for the DRP were designed to take account of the past windfall gain problem described by Lally</w:t>
      </w:r>
      <w:r w:rsidR="00241501">
        <w:rPr>
          <w:rFonts w:ascii="Times New Roman" w:hAnsi="Times New Roman" w:cs="Times New Roman"/>
          <w:sz w:val="24"/>
          <w:szCs w:val="24"/>
        </w:rPr>
        <w:t xml:space="preserve"> (2014a, section 3)</w:t>
      </w:r>
      <w:r w:rsidR="004815BE">
        <w:rPr>
          <w:rFonts w:ascii="Times New Roman" w:hAnsi="Times New Roman" w:cs="Times New Roman"/>
          <w:sz w:val="24"/>
          <w:szCs w:val="24"/>
        </w:rPr>
        <w:t xml:space="preserve">, they should also account for under and over compensation back to the beginning of economic regulation.  </w:t>
      </w:r>
      <w:r w:rsidR="00C85E5C">
        <w:rPr>
          <w:rFonts w:ascii="Times New Roman" w:hAnsi="Times New Roman" w:cs="Times New Roman"/>
          <w:sz w:val="24"/>
          <w:szCs w:val="24"/>
        </w:rPr>
        <w:t xml:space="preserve">This point has </w:t>
      </w:r>
      <w:r w:rsidR="0009750D">
        <w:rPr>
          <w:rFonts w:ascii="Times New Roman" w:hAnsi="Times New Roman" w:cs="Times New Roman"/>
          <w:sz w:val="24"/>
          <w:szCs w:val="24"/>
        </w:rPr>
        <w:t xml:space="preserve">also </w:t>
      </w:r>
      <w:r w:rsidR="00C85E5C">
        <w:rPr>
          <w:rFonts w:ascii="Times New Roman" w:hAnsi="Times New Roman" w:cs="Times New Roman"/>
          <w:sz w:val="24"/>
          <w:szCs w:val="24"/>
        </w:rPr>
        <w:t>been raised by Frontier (2015), and addressed in section 9.2 above.</w:t>
      </w:r>
    </w:p>
    <w:p w:rsidR="004815BE" w:rsidRDefault="004815BE" w:rsidP="004815BE">
      <w:pPr>
        <w:spacing w:after="0" w:line="360" w:lineRule="auto"/>
        <w:jc w:val="both"/>
        <w:rPr>
          <w:rFonts w:ascii="Times New Roman" w:hAnsi="Times New Roman" w:cs="Times New Roman"/>
          <w:sz w:val="24"/>
          <w:szCs w:val="24"/>
        </w:rPr>
      </w:pPr>
    </w:p>
    <w:p w:rsidR="004815BE" w:rsidRDefault="00C26F83"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HK (2015, section 3.3.3) argues that Lally’s (2014</w:t>
      </w:r>
      <w:r w:rsidR="00241501">
        <w:rPr>
          <w:rFonts w:ascii="Times New Roman" w:hAnsi="Times New Roman" w:cs="Times New Roman"/>
          <w:sz w:val="24"/>
          <w:szCs w:val="24"/>
        </w:rPr>
        <w:t>a</w:t>
      </w:r>
      <w:r>
        <w:rPr>
          <w:rFonts w:ascii="Times New Roman" w:hAnsi="Times New Roman" w:cs="Times New Roman"/>
          <w:sz w:val="24"/>
          <w:szCs w:val="24"/>
        </w:rPr>
        <w:t>, section</w:t>
      </w:r>
      <w:r w:rsidR="00241501">
        <w:rPr>
          <w:rFonts w:ascii="Times New Roman" w:hAnsi="Times New Roman" w:cs="Times New Roman"/>
          <w:sz w:val="24"/>
          <w:szCs w:val="24"/>
        </w:rPr>
        <w:t xml:space="preserve"> 3</w:t>
      </w:r>
      <w:r>
        <w:rPr>
          <w:rFonts w:ascii="Times New Roman" w:hAnsi="Times New Roman" w:cs="Times New Roman"/>
          <w:sz w:val="24"/>
          <w:szCs w:val="24"/>
        </w:rPr>
        <w:t xml:space="preserve">) </w:t>
      </w:r>
      <w:r w:rsidR="004815BE">
        <w:rPr>
          <w:rFonts w:ascii="Times New Roman" w:hAnsi="Times New Roman" w:cs="Times New Roman"/>
          <w:sz w:val="24"/>
          <w:szCs w:val="24"/>
        </w:rPr>
        <w:t xml:space="preserve">contention that the DRP transitional arrangements produce outcomes that match those that would have prevailed had there been no regime change is false, </w:t>
      </w:r>
      <w:r>
        <w:rPr>
          <w:rFonts w:ascii="Times New Roman" w:hAnsi="Times New Roman" w:cs="Times New Roman"/>
          <w:sz w:val="24"/>
          <w:szCs w:val="24"/>
        </w:rPr>
        <w:t>by presentation of a hypothetical counter example</w:t>
      </w:r>
      <w:r w:rsidR="004815BE">
        <w:rPr>
          <w:rFonts w:ascii="Times New Roman" w:hAnsi="Times New Roman" w:cs="Times New Roman"/>
          <w:sz w:val="24"/>
          <w:szCs w:val="24"/>
        </w:rPr>
        <w:t xml:space="preserve">.  However, the example involves a </w:t>
      </w:r>
      <w:r w:rsidR="00C923A6">
        <w:rPr>
          <w:rFonts w:ascii="Times New Roman" w:hAnsi="Times New Roman" w:cs="Times New Roman"/>
          <w:sz w:val="24"/>
          <w:szCs w:val="24"/>
        </w:rPr>
        <w:t>DRP prevailing at the time of the regime change of 2.0% less than the trailing average.</w:t>
      </w:r>
      <w:r w:rsidR="004815BE">
        <w:rPr>
          <w:rFonts w:ascii="Times New Roman" w:hAnsi="Times New Roman" w:cs="Times New Roman"/>
          <w:sz w:val="24"/>
          <w:szCs w:val="24"/>
        </w:rPr>
        <w:t xml:space="preserve">  </w:t>
      </w:r>
      <w:r w:rsidR="00C923A6">
        <w:rPr>
          <w:rFonts w:ascii="Times New Roman" w:hAnsi="Times New Roman" w:cs="Times New Roman"/>
          <w:sz w:val="24"/>
          <w:szCs w:val="24"/>
        </w:rPr>
        <w:t xml:space="preserve">This differential does not </w:t>
      </w:r>
      <w:r w:rsidR="004815BE">
        <w:rPr>
          <w:rFonts w:ascii="Times New Roman" w:hAnsi="Times New Roman" w:cs="Times New Roman"/>
          <w:sz w:val="24"/>
          <w:szCs w:val="24"/>
        </w:rPr>
        <w:t xml:space="preserve">correspond to the situation in mid 2014 (see </w:t>
      </w:r>
      <w:r w:rsidR="00C923A6">
        <w:rPr>
          <w:rFonts w:ascii="Times New Roman" w:hAnsi="Times New Roman" w:cs="Times New Roman"/>
          <w:sz w:val="24"/>
          <w:szCs w:val="24"/>
        </w:rPr>
        <w:t>Lally, 2014</w:t>
      </w:r>
      <w:r w:rsidR="00241501">
        <w:rPr>
          <w:rFonts w:ascii="Times New Roman" w:hAnsi="Times New Roman" w:cs="Times New Roman"/>
          <w:sz w:val="24"/>
          <w:szCs w:val="24"/>
        </w:rPr>
        <w:t>a</w:t>
      </w:r>
      <w:r w:rsidR="00C923A6">
        <w:rPr>
          <w:rFonts w:ascii="Times New Roman" w:hAnsi="Times New Roman" w:cs="Times New Roman"/>
          <w:sz w:val="24"/>
          <w:szCs w:val="24"/>
        </w:rPr>
        <w:t xml:space="preserve">, Table 2) </w:t>
      </w:r>
      <w:r w:rsidR="004815BE">
        <w:rPr>
          <w:rFonts w:ascii="Times New Roman" w:hAnsi="Times New Roman" w:cs="Times New Roman"/>
          <w:sz w:val="24"/>
          <w:szCs w:val="24"/>
        </w:rPr>
        <w:t xml:space="preserve">and therefore </w:t>
      </w:r>
      <w:r w:rsidR="00C923A6">
        <w:rPr>
          <w:rFonts w:ascii="Times New Roman" w:hAnsi="Times New Roman" w:cs="Times New Roman"/>
          <w:sz w:val="24"/>
          <w:szCs w:val="24"/>
        </w:rPr>
        <w:t xml:space="preserve">is </w:t>
      </w:r>
      <w:r w:rsidR="004815BE">
        <w:rPr>
          <w:rFonts w:ascii="Times New Roman" w:hAnsi="Times New Roman" w:cs="Times New Roman"/>
          <w:sz w:val="24"/>
          <w:szCs w:val="24"/>
        </w:rPr>
        <w:t xml:space="preserve">not of interest.  </w:t>
      </w:r>
      <w:r w:rsidR="00C923A6">
        <w:rPr>
          <w:rFonts w:ascii="Times New Roman" w:hAnsi="Times New Roman" w:cs="Times New Roman"/>
          <w:sz w:val="24"/>
          <w:szCs w:val="24"/>
        </w:rPr>
        <w:t xml:space="preserve">The </w:t>
      </w:r>
      <w:r w:rsidR="004815BE">
        <w:rPr>
          <w:rFonts w:ascii="Times New Roman" w:hAnsi="Times New Roman" w:cs="Times New Roman"/>
          <w:sz w:val="24"/>
          <w:szCs w:val="24"/>
        </w:rPr>
        <w:t xml:space="preserve">analysis </w:t>
      </w:r>
      <w:r w:rsidR="00C923A6">
        <w:rPr>
          <w:rFonts w:ascii="Times New Roman" w:hAnsi="Times New Roman" w:cs="Times New Roman"/>
          <w:sz w:val="24"/>
          <w:szCs w:val="24"/>
        </w:rPr>
        <w:t>in Lally (2014</w:t>
      </w:r>
      <w:r w:rsidR="00241501">
        <w:rPr>
          <w:rFonts w:ascii="Times New Roman" w:hAnsi="Times New Roman" w:cs="Times New Roman"/>
          <w:sz w:val="24"/>
          <w:szCs w:val="24"/>
        </w:rPr>
        <w:t>a</w:t>
      </w:r>
      <w:r w:rsidR="00C923A6">
        <w:rPr>
          <w:rFonts w:ascii="Times New Roman" w:hAnsi="Times New Roman" w:cs="Times New Roman"/>
          <w:sz w:val="24"/>
          <w:szCs w:val="24"/>
        </w:rPr>
        <w:t xml:space="preserve">) </w:t>
      </w:r>
      <w:r w:rsidR="004815BE">
        <w:rPr>
          <w:rFonts w:ascii="Times New Roman" w:hAnsi="Times New Roman" w:cs="Times New Roman"/>
          <w:sz w:val="24"/>
          <w:szCs w:val="24"/>
        </w:rPr>
        <w:t xml:space="preserve">relates to the actual DRP experience in the transitional period whereas </w:t>
      </w:r>
      <w:r w:rsidR="00C923A6">
        <w:rPr>
          <w:rFonts w:ascii="Times New Roman" w:hAnsi="Times New Roman" w:cs="Times New Roman"/>
          <w:sz w:val="24"/>
          <w:szCs w:val="24"/>
        </w:rPr>
        <w:t xml:space="preserve">HK’s </w:t>
      </w:r>
      <w:r w:rsidR="004815BE">
        <w:rPr>
          <w:rFonts w:ascii="Times New Roman" w:hAnsi="Times New Roman" w:cs="Times New Roman"/>
          <w:sz w:val="24"/>
          <w:szCs w:val="24"/>
        </w:rPr>
        <w:t xml:space="preserve">example does not.  Furthermore, </w:t>
      </w:r>
      <w:r w:rsidR="00C923A6">
        <w:rPr>
          <w:rFonts w:ascii="Times New Roman" w:hAnsi="Times New Roman" w:cs="Times New Roman"/>
          <w:sz w:val="24"/>
          <w:szCs w:val="24"/>
        </w:rPr>
        <w:t xml:space="preserve">HK’s </w:t>
      </w:r>
      <w:r w:rsidR="004815BE">
        <w:rPr>
          <w:rFonts w:ascii="Times New Roman" w:hAnsi="Times New Roman" w:cs="Times New Roman"/>
          <w:sz w:val="24"/>
          <w:szCs w:val="24"/>
        </w:rPr>
        <w:t xml:space="preserve">example ignores the windfall gains to the business in the lead up to the regime change.  </w:t>
      </w:r>
      <w:r w:rsidR="00C923A6">
        <w:rPr>
          <w:rFonts w:ascii="Times New Roman" w:hAnsi="Times New Roman" w:cs="Times New Roman"/>
          <w:sz w:val="24"/>
          <w:szCs w:val="24"/>
        </w:rPr>
        <w:t>By contrast, the analysis in Lally (2014</w:t>
      </w:r>
      <w:r w:rsidR="00241501">
        <w:rPr>
          <w:rFonts w:ascii="Times New Roman" w:hAnsi="Times New Roman" w:cs="Times New Roman"/>
          <w:sz w:val="24"/>
          <w:szCs w:val="24"/>
        </w:rPr>
        <w:t>a</w:t>
      </w:r>
      <w:r w:rsidR="00C923A6">
        <w:rPr>
          <w:rFonts w:ascii="Times New Roman" w:hAnsi="Times New Roman" w:cs="Times New Roman"/>
          <w:sz w:val="24"/>
          <w:szCs w:val="24"/>
        </w:rPr>
        <w:t xml:space="preserve">, Table 3) </w:t>
      </w:r>
      <w:r w:rsidR="004815BE">
        <w:rPr>
          <w:rFonts w:ascii="Times New Roman" w:hAnsi="Times New Roman" w:cs="Times New Roman"/>
          <w:sz w:val="24"/>
          <w:szCs w:val="24"/>
        </w:rPr>
        <w:t xml:space="preserve">shows that firms with a mid 2014 cycle end would have gained 4.2% (in PV terms) from the GFC spike without a regime change, 6.6% with a regime change </w:t>
      </w:r>
      <w:r w:rsidR="00F27634">
        <w:rPr>
          <w:rFonts w:ascii="Times New Roman" w:hAnsi="Times New Roman" w:cs="Times New Roman"/>
          <w:sz w:val="24"/>
          <w:szCs w:val="24"/>
        </w:rPr>
        <w:t xml:space="preserve">but without a </w:t>
      </w:r>
      <w:r w:rsidR="004815BE">
        <w:rPr>
          <w:rFonts w:ascii="Times New Roman" w:hAnsi="Times New Roman" w:cs="Times New Roman"/>
          <w:sz w:val="24"/>
          <w:szCs w:val="24"/>
        </w:rPr>
        <w:t xml:space="preserve">transition, and 4.3% with </w:t>
      </w:r>
      <w:r w:rsidR="004815BE">
        <w:rPr>
          <w:rFonts w:ascii="Times New Roman" w:hAnsi="Times New Roman" w:cs="Times New Roman"/>
          <w:sz w:val="24"/>
          <w:szCs w:val="24"/>
        </w:rPr>
        <w:lastRenderedPageBreak/>
        <w:t>a regime change and a transition.  So, the transitional regime merely shaves away some of the gains to these businesses.</w:t>
      </w:r>
    </w:p>
    <w:p w:rsidR="004815BE" w:rsidRDefault="004815BE" w:rsidP="004815BE">
      <w:pPr>
        <w:spacing w:after="0" w:line="360" w:lineRule="auto"/>
        <w:jc w:val="both"/>
        <w:rPr>
          <w:rFonts w:ascii="Times New Roman" w:hAnsi="Times New Roman" w:cs="Times New Roman"/>
          <w:sz w:val="24"/>
          <w:szCs w:val="24"/>
        </w:rPr>
      </w:pPr>
    </w:p>
    <w:p w:rsidR="004815BE" w:rsidRDefault="003C4641"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HK (2015, section 3.4.1) argues that the </w:t>
      </w:r>
      <w:r w:rsidR="004815BE">
        <w:rPr>
          <w:rFonts w:ascii="Times New Roman" w:hAnsi="Times New Roman" w:cs="Times New Roman"/>
          <w:sz w:val="24"/>
          <w:szCs w:val="24"/>
        </w:rPr>
        <w:t>AER’s transitional regime would undercompensate TransGrid for the costs that they will incur using the efficient policy (a ten-year trailing average without hedging), of about 1% of their debt lev</w:t>
      </w:r>
      <w:r>
        <w:rPr>
          <w:rFonts w:ascii="Times New Roman" w:hAnsi="Times New Roman" w:cs="Times New Roman"/>
          <w:sz w:val="24"/>
          <w:szCs w:val="24"/>
        </w:rPr>
        <w:t>el in the first year</w:t>
      </w:r>
      <w:r w:rsidR="004815BE">
        <w:rPr>
          <w:rFonts w:ascii="Times New Roman" w:hAnsi="Times New Roman" w:cs="Times New Roman"/>
          <w:sz w:val="24"/>
          <w:szCs w:val="24"/>
        </w:rPr>
        <w:t xml:space="preserve">.  However, this argument simply repeats that in an earlier NERA report and is dealt with in </w:t>
      </w:r>
      <w:r>
        <w:rPr>
          <w:rFonts w:ascii="Times New Roman" w:hAnsi="Times New Roman" w:cs="Times New Roman"/>
          <w:sz w:val="24"/>
          <w:szCs w:val="24"/>
        </w:rPr>
        <w:t>Lally (2014</w:t>
      </w:r>
      <w:r w:rsidR="00241501">
        <w:rPr>
          <w:rFonts w:ascii="Times New Roman" w:hAnsi="Times New Roman" w:cs="Times New Roman"/>
          <w:sz w:val="24"/>
          <w:szCs w:val="24"/>
        </w:rPr>
        <w:t>a</w:t>
      </w:r>
      <w:r>
        <w:rPr>
          <w:rFonts w:ascii="Times New Roman" w:hAnsi="Times New Roman" w:cs="Times New Roman"/>
          <w:sz w:val="24"/>
          <w:szCs w:val="24"/>
        </w:rPr>
        <w:t xml:space="preserve">, page 32).  </w:t>
      </w:r>
    </w:p>
    <w:p w:rsidR="003C4641" w:rsidRDefault="003C4641" w:rsidP="004815BE">
      <w:pPr>
        <w:spacing w:after="0" w:line="360" w:lineRule="auto"/>
        <w:jc w:val="both"/>
        <w:rPr>
          <w:rFonts w:ascii="Times New Roman" w:hAnsi="Times New Roman" w:cs="Times New Roman"/>
          <w:sz w:val="24"/>
          <w:szCs w:val="24"/>
        </w:rPr>
      </w:pPr>
    </w:p>
    <w:p w:rsidR="004815BE" w:rsidRPr="008943BE" w:rsidRDefault="00D22FA5"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HK (2015, section 4.1) argues that, in </w:t>
      </w:r>
      <w:r w:rsidR="004815BE">
        <w:rPr>
          <w:rFonts w:ascii="Times New Roman" w:hAnsi="Times New Roman" w:cs="Times New Roman"/>
          <w:sz w:val="24"/>
          <w:szCs w:val="24"/>
        </w:rPr>
        <w:t>using DRP data</w:t>
      </w:r>
      <w:r>
        <w:rPr>
          <w:rFonts w:ascii="Times New Roman" w:hAnsi="Times New Roman" w:cs="Times New Roman"/>
          <w:sz w:val="24"/>
          <w:szCs w:val="24"/>
        </w:rPr>
        <w:t xml:space="preserve"> </w:t>
      </w:r>
      <w:r w:rsidR="004815BE">
        <w:rPr>
          <w:rFonts w:ascii="Times New Roman" w:hAnsi="Times New Roman" w:cs="Times New Roman"/>
          <w:sz w:val="24"/>
          <w:szCs w:val="24"/>
        </w:rPr>
        <w:t xml:space="preserve">where the BVAL seven-year curve is not available, the five-year BVAL curve should not be used because it provides “substantially less insight” into the appropriate </w:t>
      </w:r>
      <w:r>
        <w:rPr>
          <w:rFonts w:ascii="Times New Roman" w:hAnsi="Times New Roman" w:cs="Times New Roman"/>
          <w:sz w:val="24"/>
          <w:szCs w:val="24"/>
        </w:rPr>
        <w:t xml:space="preserve">cost of debt </w:t>
      </w:r>
      <w:r w:rsidR="004815BE">
        <w:rPr>
          <w:rFonts w:ascii="Times New Roman" w:hAnsi="Times New Roman" w:cs="Times New Roman"/>
          <w:sz w:val="24"/>
          <w:szCs w:val="24"/>
        </w:rPr>
        <w:t>than the RBA curve, and therefore the RB</w:t>
      </w:r>
      <w:r>
        <w:rPr>
          <w:rFonts w:ascii="Times New Roman" w:hAnsi="Times New Roman" w:cs="Times New Roman"/>
          <w:sz w:val="24"/>
          <w:szCs w:val="24"/>
        </w:rPr>
        <w:t>A curve should be exclusively used</w:t>
      </w:r>
      <w:r w:rsidR="004815BE">
        <w:rPr>
          <w:rFonts w:ascii="Times New Roman" w:hAnsi="Times New Roman" w:cs="Times New Roman"/>
          <w:sz w:val="24"/>
          <w:szCs w:val="24"/>
        </w:rPr>
        <w:t xml:space="preserve">.  However no explanation for the quoted words is provided by </w:t>
      </w:r>
      <w:r w:rsidR="00B05721">
        <w:rPr>
          <w:rFonts w:ascii="Times New Roman" w:hAnsi="Times New Roman" w:cs="Times New Roman"/>
          <w:sz w:val="24"/>
          <w:szCs w:val="24"/>
        </w:rPr>
        <w:t>HK</w:t>
      </w:r>
      <w:r w:rsidR="004815BE">
        <w:rPr>
          <w:rFonts w:ascii="Times New Roman" w:hAnsi="Times New Roman" w:cs="Times New Roman"/>
          <w:sz w:val="24"/>
          <w:szCs w:val="24"/>
        </w:rPr>
        <w:t xml:space="preserve">.  </w:t>
      </w:r>
      <w:r w:rsidR="00B05721">
        <w:rPr>
          <w:rFonts w:ascii="Times New Roman" w:hAnsi="Times New Roman" w:cs="Times New Roman"/>
          <w:sz w:val="24"/>
          <w:szCs w:val="24"/>
        </w:rPr>
        <w:t xml:space="preserve">Furthermore, Lally (2014b) </w:t>
      </w:r>
      <w:r w:rsidR="004815BE">
        <w:rPr>
          <w:rFonts w:ascii="Times New Roman" w:hAnsi="Times New Roman" w:cs="Times New Roman"/>
          <w:sz w:val="24"/>
          <w:szCs w:val="24"/>
        </w:rPr>
        <w:t xml:space="preserve">reveals that there are substantial differences in the BVAL and RBA methodologies, and therefore considerable </w:t>
      </w:r>
      <w:r w:rsidR="00241501">
        <w:rPr>
          <w:rFonts w:ascii="Times New Roman" w:hAnsi="Times New Roman" w:cs="Times New Roman"/>
          <w:sz w:val="24"/>
          <w:szCs w:val="24"/>
        </w:rPr>
        <w:t xml:space="preserve">mean squared error (MSE) </w:t>
      </w:r>
      <w:r w:rsidR="004815BE">
        <w:rPr>
          <w:rFonts w:ascii="Times New Roman" w:hAnsi="Times New Roman" w:cs="Times New Roman"/>
          <w:sz w:val="24"/>
          <w:szCs w:val="24"/>
        </w:rPr>
        <w:t xml:space="preserve">benefits from averaging over results from the two series.  </w:t>
      </w:r>
      <w:r w:rsidR="00B05721">
        <w:rPr>
          <w:rFonts w:ascii="Times New Roman" w:hAnsi="Times New Roman" w:cs="Times New Roman"/>
          <w:sz w:val="24"/>
          <w:szCs w:val="24"/>
        </w:rPr>
        <w:t xml:space="preserve">HK </w:t>
      </w:r>
      <w:r w:rsidR="004815BE">
        <w:rPr>
          <w:rFonts w:ascii="Times New Roman" w:hAnsi="Times New Roman" w:cs="Times New Roman"/>
          <w:sz w:val="24"/>
          <w:szCs w:val="24"/>
        </w:rPr>
        <w:t>does not provide any contrary evidence.</w:t>
      </w:r>
    </w:p>
    <w:p w:rsidR="004815BE" w:rsidRDefault="004815BE" w:rsidP="004815BE">
      <w:pPr>
        <w:spacing w:after="0" w:line="360" w:lineRule="auto"/>
        <w:jc w:val="both"/>
        <w:rPr>
          <w:rFonts w:ascii="Times New Roman" w:hAnsi="Times New Roman" w:cs="Times New Roman"/>
          <w:sz w:val="24"/>
          <w:szCs w:val="24"/>
        </w:rPr>
      </w:pPr>
    </w:p>
    <w:p w:rsidR="004815BE" w:rsidRPr="0009750D" w:rsidRDefault="0009750D" w:rsidP="004815BE">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9.6 CEG</w:t>
      </w:r>
      <w:r>
        <w:rPr>
          <w:rFonts w:ascii="Times New Roman" w:hAnsi="Times New Roman" w:cs="Times New Roman"/>
          <w:sz w:val="24"/>
          <w:szCs w:val="24"/>
        </w:rPr>
        <w:t xml:space="preserve"> (</w:t>
      </w:r>
      <w:r>
        <w:rPr>
          <w:rFonts w:ascii="Times New Roman" w:hAnsi="Times New Roman" w:cs="Times New Roman"/>
          <w:i/>
          <w:sz w:val="24"/>
          <w:szCs w:val="24"/>
        </w:rPr>
        <w:t>for ActewAGL</w:t>
      </w:r>
      <w:r>
        <w:rPr>
          <w:rFonts w:ascii="Times New Roman" w:hAnsi="Times New Roman" w:cs="Times New Roman"/>
          <w:sz w:val="24"/>
          <w:szCs w:val="24"/>
        </w:rPr>
        <w:t>)</w:t>
      </w:r>
    </w:p>
    <w:p w:rsidR="004815BE" w:rsidRDefault="000F6AA8"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(2015, section 4.3) argue that the </w:t>
      </w:r>
      <w:r w:rsidR="004815BE">
        <w:rPr>
          <w:rFonts w:ascii="Times New Roman" w:hAnsi="Times New Roman" w:cs="Times New Roman"/>
          <w:sz w:val="24"/>
          <w:szCs w:val="24"/>
        </w:rPr>
        <w:t xml:space="preserve">regulatory averaging period for ActewAGL for 2009-2014 was set ex-post and several months before the end of the current regulatory cycle, which would </w:t>
      </w:r>
      <w:r>
        <w:rPr>
          <w:rFonts w:ascii="Times New Roman" w:hAnsi="Times New Roman" w:cs="Times New Roman"/>
          <w:sz w:val="24"/>
          <w:szCs w:val="24"/>
        </w:rPr>
        <w:t xml:space="preserve">have made it </w:t>
      </w:r>
      <w:r w:rsidR="004815BE">
        <w:rPr>
          <w:rFonts w:ascii="Times New Roman" w:hAnsi="Times New Roman" w:cs="Times New Roman"/>
          <w:sz w:val="24"/>
          <w:szCs w:val="24"/>
        </w:rPr>
        <w:t>im</w:t>
      </w:r>
      <w:r>
        <w:rPr>
          <w:rFonts w:ascii="Times New Roman" w:hAnsi="Times New Roman" w:cs="Times New Roman"/>
          <w:sz w:val="24"/>
          <w:szCs w:val="24"/>
        </w:rPr>
        <w:t xml:space="preserve">possible to </w:t>
      </w:r>
      <w:r w:rsidR="00241501">
        <w:rPr>
          <w:rFonts w:ascii="Times New Roman" w:hAnsi="Times New Roman" w:cs="Times New Roman"/>
          <w:sz w:val="24"/>
          <w:szCs w:val="24"/>
        </w:rPr>
        <w:t xml:space="preserve">for them </w:t>
      </w:r>
      <w:r>
        <w:rPr>
          <w:rFonts w:ascii="Times New Roman" w:hAnsi="Times New Roman" w:cs="Times New Roman"/>
          <w:sz w:val="24"/>
          <w:szCs w:val="24"/>
        </w:rPr>
        <w:t>hedge using swaps</w:t>
      </w:r>
      <w:r w:rsidR="004815BE">
        <w:rPr>
          <w:rFonts w:ascii="Times New Roman" w:hAnsi="Times New Roman" w:cs="Times New Roman"/>
          <w:sz w:val="24"/>
          <w:szCs w:val="24"/>
        </w:rPr>
        <w:t>.  However, this argument parallels tha</w:t>
      </w:r>
      <w:r>
        <w:rPr>
          <w:rFonts w:ascii="Times New Roman" w:hAnsi="Times New Roman" w:cs="Times New Roman"/>
          <w:sz w:val="24"/>
          <w:szCs w:val="24"/>
        </w:rPr>
        <w:t>t by UBS on behalf of TransGrid, and has been addressed in section 9.1.</w:t>
      </w:r>
      <w:r w:rsidR="004815BE">
        <w:rPr>
          <w:rFonts w:ascii="Times New Roman" w:hAnsi="Times New Roman" w:cs="Times New Roman"/>
          <w:sz w:val="24"/>
          <w:szCs w:val="24"/>
        </w:rPr>
        <w:t xml:space="preserve">  </w:t>
      </w:r>
    </w:p>
    <w:p w:rsidR="004815BE" w:rsidRDefault="004815BE" w:rsidP="004815BE">
      <w:pPr>
        <w:spacing w:after="0" w:line="360" w:lineRule="auto"/>
        <w:jc w:val="both"/>
        <w:rPr>
          <w:rFonts w:ascii="Times New Roman" w:hAnsi="Times New Roman" w:cs="Times New Roman"/>
          <w:sz w:val="24"/>
          <w:szCs w:val="24"/>
        </w:rPr>
      </w:pPr>
    </w:p>
    <w:p w:rsidR="004815BE" w:rsidRDefault="000F6AA8"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(2015, section 4.4) argues that the </w:t>
      </w:r>
      <w:r w:rsidR="004815BE">
        <w:rPr>
          <w:rFonts w:ascii="Times New Roman" w:hAnsi="Times New Roman" w:cs="Times New Roman"/>
          <w:sz w:val="24"/>
          <w:szCs w:val="24"/>
        </w:rPr>
        <w:t>AER’s belief that swapping was efficient because it reduced risk and expected interest costs is flawed because the five-year swap rate was higher than the ten-year swap rate during the relevant averaging periods (late 2008) and the transactions costs of the swaps might outweigh the risk reducti</w:t>
      </w:r>
      <w:r>
        <w:rPr>
          <w:rFonts w:ascii="Times New Roman" w:hAnsi="Times New Roman" w:cs="Times New Roman"/>
          <w:sz w:val="24"/>
          <w:szCs w:val="24"/>
        </w:rPr>
        <w:t>on from using them</w:t>
      </w:r>
      <w:r w:rsidR="004815BE">
        <w:rPr>
          <w:rFonts w:ascii="Times New Roman" w:hAnsi="Times New Roman" w:cs="Times New Roman"/>
          <w:sz w:val="24"/>
          <w:szCs w:val="24"/>
        </w:rPr>
        <w:t>.  However the difference between the five and ten year swap rates during the regulatory averaging period is irrelevant.  The relevant ten-year swap rate is that at the time of the borrowing whilst the relevant five-year swap rate (which displaces the ten-year rate) is that during the subsequent regulatory averaging period (which is up to ten years after the borrowing)</w:t>
      </w:r>
      <w:r w:rsidR="000E7578">
        <w:rPr>
          <w:rFonts w:ascii="Times New Roman" w:hAnsi="Times New Roman" w:cs="Times New Roman"/>
          <w:sz w:val="24"/>
          <w:szCs w:val="24"/>
        </w:rPr>
        <w:t>, and CEG recognize this in their para 58.</w:t>
      </w:r>
      <w:r w:rsidR="004815BE">
        <w:rPr>
          <w:rFonts w:ascii="Times New Roman" w:hAnsi="Times New Roman" w:cs="Times New Roman"/>
          <w:sz w:val="24"/>
          <w:szCs w:val="24"/>
        </w:rPr>
        <w:t xml:space="preserve">  Furthermore, the firm’s decision as to whether or not to engage in swaps must be made at the time of the borrowing (which is up to ten years before </w:t>
      </w:r>
      <w:r w:rsidR="004815BE">
        <w:rPr>
          <w:rFonts w:ascii="Times New Roman" w:hAnsi="Times New Roman" w:cs="Times New Roman"/>
          <w:sz w:val="24"/>
          <w:szCs w:val="24"/>
        </w:rPr>
        <w:lastRenderedPageBreak/>
        <w:t>the last regulatory averaging period relating to that debt).  Thus, at the time of the borrowing, the firm would have to form an expectation regarding the difference between the prevailing ten-year rate and the five-year rates at a series of future points in time</w:t>
      </w:r>
      <w:r w:rsidR="00241501">
        <w:rPr>
          <w:rFonts w:ascii="Times New Roman" w:hAnsi="Times New Roman" w:cs="Times New Roman"/>
          <w:sz w:val="24"/>
          <w:szCs w:val="24"/>
        </w:rPr>
        <w:t xml:space="preserve">.  The </w:t>
      </w:r>
      <w:r w:rsidR="004815BE">
        <w:rPr>
          <w:rFonts w:ascii="Times New Roman" w:hAnsi="Times New Roman" w:cs="Times New Roman"/>
          <w:sz w:val="24"/>
          <w:szCs w:val="24"/>
        </w:rPr>
        <w:t xml:space="preserve">best evidence for this is the historical average difference over a period sufficiently long to provide a credible estimate of the expected differential, and doing so suggests that the ten-year rate is expected to be greater </w:t>
      </w:r>
      <w:r>
        <w:rPr>
          <w:rFonts w:ascii="Times New Roman" w:hAnsi="Times New Roman" w:cs="Times New Roman"/>
          <w:sz w:val="24"/>
          <w:szCs w:val="24"/>
        </w:rPr>
        <w:t>by at least 0.25% (see Lally, 2014a, page 27).</w:t>
      </w:r>
      <w:r w:rsidR="004815BE">
        <w:rPr>
          <w:rFonts w:ascii="Times New Roman" w:hAnsi="Times New Roman" w:cs="Times New Roman"/>
          <w:sz w:val="24"/>
          <w:szCs w:val="24"/>
        </w:rPr>
        <w:t xml:space="preserve">  Furthermore, the transactions costs of the swaps </w:t>
      </w:r>
      <w:r w:rsidR="000E7578">
        <w:rPr>
          <w:rFonts w:ascii="Times New Roman" w:hAnsi="Times New Roman" w:cs="Times New Roman"/>
          <w:sz w:val="24"/>
          <w:szCs w:val="24"/>
        </w:rPr>
        <w:t>of about 0.10% (Lally, 2014a, page 27)</w:t>
      </w:r>
      <w:r w:rsidR="004815BE">
        <w:rPr>
          <w:rFonts w:ascii="Times New Roman" w:hAnsi="Times New Roman" w:cs="Times New Roman"/>
          <w:sz w:val="24"/>
          <w:szCs w:val="24"/>
        </w:rPr>
        <w:t xml:space="preserve"> are less than this expected interest rate savings.  So, the net expected benefit of the swap is positive and there is also a risk reduction (and </w:t>
      </w:r>
      <w:r>
        <w:rPr>
          <w:rFonts w:ascii="Times New Roman" w:hAnsi="Times New Roman" w:cs="Times New Roman"/>
          <w:sz w:val="24"/>
          <w:szCs w:val="24"/>
        </w:rPr>
        <w:t xml:space="preserve">even </w:t>
      </w:r>
      <w:r w:rsidR="004815BE">
        <w:rPr>
          <w:rFonts w:ascii="Times New Roman" w:hAnsi="Times New Roman" w:cs="Times New Roman"/>
          <w:sz w:val="24"/>
          <w:szCs w:val="24"/>
        </w:rPr>
        <w:t>CEG concedes the presence of a risk reduction).  Accordingly, undertaking the s</w:t>
      </w:r>
      <w:r w:rsidR="00872057">
        <w:rPr>
          <w:rFonts w:ascii="Times New Roman" w:hAnsi="Times New Roman" w:cs="Times New Roman"/>
          <w:sz w:val="24"/>
          <w:szCs w:val="24"/>
        </w:rPr>
        <w:t>waps is unambiguously efficient.</w:t>
      </w:r>
    </w:p>
    <w:p w:rsidR="00872057" w:rsidRDefault="00872057" w:rsidP="004815BE">
      <w:pPr>
        <w:spacing w:after="0" w:line="360" w:lineRule="auto"/>
        <w:jc w:val="both"/>
        <w:rPr>
          <w:rFonts w:ascii="Times New Roman" w:hAnsi="Times New Roman" w:cs="Times New Roman"/>
          <w:sz w:val="24"/>
          <w:szCs w:val="24"/>
        </w:rPr>
      </w:pPr>
    </w:p>
    <w:p w:rsidR="00872057" w:rsidRPr="00504069" w:rsidRDefault="00872057" w:rsidP="004815BE">
      <w:pPr>
        <w:spacing w:after="0" w:line="360" w:lineRule="auto"/>
        <w:jc w:val="both"/>
        <w:rPr>
          <w:rFonts w:ascii="Times New Roman" w:hAnsi="Times New Roman" w:cs="Times New Roman"/>
          <w:sz w:val="24"/>
          <w:szCs w:val="24"/>
        </w:rPr>
      </w:pPr>
      <w:r w:rsidRPr="00504069">
        <w:rPr>
          <w:rFonts w:ascii="Times New Roman" w:hAnsi="Times New Roman" w:cs="Times New Roman"/>
          <w:sz w:val="24"/>
          <w:szCs w:val="24"/>
        </w:rPr>
        <w:t>CEG (2014, section 4.4) argues that swapping might be efficient for very highly geared firms because the reduction in bankruptcy risk might outweigh the transactions costs of the swaps.  However, as discussed in the previous paragraph, swapping is unambiguously efficient regardless of whether the risk reduction is large or small.</w:t>
      </w:r>
    </w:p>
    <w:p w:rsidR="004815BE" w:rsidRDefault="004815BE" w:rsidP="004815BE">
      <w:pPr>
        <w:spacing w:after="0" w:line="360" w:lineRule="auto"/>
        <w:jc w:val="both"/>
        <w:rPr>
          <w:rFonts w:ascii="Times New Roman" w:hAnsi="Times New Roman" w:cs="Times New Roman"/>
          <w:sz w:val="24"/>
          <w:szCs w:val="24"/>
        </w:rPr>
      </w:pPr>
    </w:p>
    <w:p w:rsidR="004815BE" w:rsidRDefault="00976567"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(2015, section 4.5) argues that using </w:t>
      </w:r>
      <w:r w:rsidR="004815BE">
        <w:rPr>
          <w:rFonts w:ascii="Times New Roman" w:hAnsi="Times New Roman" w:cs="Times New Roman"/>
          <w:sz w:val="24"/>
          <w:szCs w:val="24"/>
        </w:rPr>
        <w:t>swaps was also undesirable because risk would arise from having to spread the swaps over a longer period than the regulator</w:t>
      </w:r>
      <w:r>
        <w:rPr>
          <w:rFonts w:ascii="Times New Roman" w:hAnsi="Times New Roman" w:cs="Times New Roman"/>
          <w:sz w:val="24"/>
          <w:szCs w:val="24"/>
        </w:rPr>
        <w:t>y averaging period</w:t>
      </w:r>
      <w:r w:rsidR="004815BE">
        <w:rPr>
          <w:rFonts w:ascii="Times New Roman" w:hAnsi="Times New Roman" w:cs="Times New Roman"/>
          <w:sz w:val="24"/>
          <w:szCs w:val="24"/>
        </w:rPr>
        <w:t xml:space="preserve">.  </w:t>
      </w:r>
      <w:r>
        <w:rPr>
          <w:rFonts w:ascii="Times New Roman" w:hAnsi="Times New Roman" w:cs="Times New Roman"/>
          <w:sz w:val="24"/>
          <w:szCs w:val="24"/>
        </w:rPr>
        <w:t xml:space="preserve">However, it is not sufficient to demonstrate that such risk arises.  It </w:t>
      </w:r>
      <w:r w:rsidR="00CE13C9">
        <w:rPr>
          <w:rFonts w:ascii="Times New Roman" w:hAnsi="Times New Roman" w:cs="Times New Roman"/>
          <w:sz w:val="24"/>
          <w:szCs w:val="24"/>
        </w:rPr>
        <w:t xml:space="preserve">is </w:t>
      </w:r>
      <w:r>
        <w:rPr>
          <w:rFonts w:ascii="Times New Roman" w:hAnsi="Times New Roman" w:cs="Times New Roman"/>
          <w:sz w:val="24"/>
          <w:szCs w:val="24"/>
        </w:rPr>
        <w:t xml:space="preserve">also necessary to demonstrate that the risk is greater than that from not engaging in swaps, and CEG fail to do so.  By contrast, the analysis in Appendix 2 demonstrates that, even with the swaps spread out over a period of five months, the swaps significantly reduce risk relative to not using swaps.  </w:t>
      </w:r>
    </w:p>
    <w:p w:rsidR="00976567" w:rsidRDefault="00976567" w:rsidP="004815BE">
      <w:pPr>
        <w:spacing w:after="0" w:line="360" w:lineRule="auto"/>
        <w:jc w:val="both"/>
        <w:rPr>
          <w:rFonts w:ascii="Times New Roman" w:hAnsi="Times New Roman" w:cs="Times New Roman"/>
          <w:sz w:val="24"/>
          <w:szCs w:val="24"/>
        </w:rPr>
      </w:pPr>
    </w:p>
    <w:p w:rsidR="004815BE" w:rsidRPr="00CD30B6" w:rsidRDefault="00BF1987"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(2015, section 4.5) also argue that using swaps </w:t>
      </w:r>
      <w:r w:rsidR="004815BE">
        <w:rPr>
          <w:rFonts w:ascii="Times New Roman" w:hAnsi="Times New Roman" w:cs="Times New Roman"/>
          <w:sz w:val="24"/>
          <w:szCs w:val="24"/>
        </w:rPr>
        <w:t>was undesirable because it would eliminate a natura</w:t>
      </w:r>
      <w:r>
        <w:rPr>
          <w:rFonts w:ascii="Times New Roman" w:hAnsi="Times New Roman" w:cs="Times New Roman"/>
          <w:sz w:val="24"/>
          <w:szCs w:val="24"/>
        </w:rPr>
        <w:t xml:space="preserve">l hedge between the DRP and the base rate component of the cost of debt.  </w:t>
      </w:r>
      <w:r w:rsidR="001B3FE1">
        <w:rPr>
          <w:rFonts w:ascii="Times New Roman" w:hAnsi="Times New Roman" w:cs="Times New Roman"/>
          <w:sz w:val="24"/>
          <w:szCs w:val="24"/>
        </w:rPr>
        <w:t xml:space="preserve">CEG analyse this issue by comparing the risk from swapping with not swapping over the 2004-2014 period using Australian data, and conclude that </w:t>
      </w:r>
      <w:r w:rsidR="004815BE">
        <w:rPr>
          <w:rFonts w:ascii="Times New Roman" w:hAnsi="Times New Roman" w:cs="Times New Roman"/>
          <w:sz w:val="24"/>
          <w:szCs w:val="24"/>
        </w:rPr>
        <w:t xml:space="preserve">swapping would have yielded </w:t>
      </w:r>
      <w:r w:rsidR="009F7D63">
        <w:rPr>
          <w:rFonts w:ascii="Times New Roman" w:hAnsi="Times New Roman" w:cs="Times New Roman"/>
          <w:sz w:val="24"/>
          <w:szCs w:val="24"/>
        </w:rPr>
        <w:t xml:space="preserve">more </w:t>
      </w:r>
      <w:r w:rsidR="004815BE">
        <w:rPr>
          <w:rFonts w:ascii="Times New Roman" w:hAnsi="Times New Roman" w:cs="Times New Roman"/>
          <w:sz w:val="24"/>
          <w:szCs w:val="24"/>
        </w:rPr>
        <w:t xml:space="preserve">risk over the 2004-2013 period than swapping.  </w:t>
      </w:r>
      <w:r w:rsidR="00773A64">
        <w:rPr>
          <w:rFonts w:ascii="Times New Roman" w:hAnsi="Times New Roman" w:cs="Times New Roman"/>
          <w:sz w:val="24"/>
          <w:szCs w:val="24"/>
        </w:rPr>
        <w:t xml:space="preserve">However </w:t>
      </w:r>
      <w:r w:rsidR="00286D3A">
        <w:rPr>
          <w:rFonts w:ascii="Times New Roman" w:hAnsi="Times New Roman" w:cs="Times New Roman"/>
          <w:sz w:val="24"/>
          <w:szCs w:val="24"/>
        </w:rPr>
        <w:t xml:space="preserve">this analysis has </w:t>
      </w:r>
      <w:r w:rsidR="00E567A9">
        <w:rPr>
          <w:rFonts w:ascii="Times New Roman" w:hAnsi="Times New Roman" w:cs="Times New Roman"/>
          <w:sz w:val="24"/>
          <w:szCs w:val="24"/>
        </w:rPr>
        <w:t xml:space="preserve">two </w:t>
      </w:r>
      <w:r w:rsidR="00286D3A">
        <w:rPr>
          <w:rFonts w:ascii="Times New Roman" w:hAnsi="Times New Roman" w:cs="Times New Roman"/>
          <w:sz w:val="24"/>
          <w:szCs w:val="24"/>
        </w:rPr>
        <w:t xml:space="preserve">limitations.  Firstly, </w:t>
      </w:r>
      <w:r w:rsidR="00773A64">
        <w:rPr>
          <w:rFonts w:ascii="Times New Roman" w:hAnsi="Times New Roman" w:cs="Times New Roman"/>
          <w:sz w:val="24"/>
          <w:szCs w:val="24"/>
        </w:rPr>
        <w:t xml:space="preserve">the data period used spanned only two regulatory cycles and is therefore inferior to the analysis carried out by me in </w:t>
      </w:r>
      <w:r w:rsidR="00CA215B">
        <w:rPr>
          <w:rFonts w:ascii="Times New Roman" w:hAnsi="Times New Roman" w:cs="Times New Roman"/>
          <w:sz w:val="24"/>
          <w:szCs w:val="24"/>
        </w:rPr>
        <w:t xml:space="preserve">Appendix 2, spanning ten regulatory cycles.  </w:t>
      </w:r>
      <w:r w:rsidR="00AE5E45">
        <w:rPr>
          <w:rFonts w:ascii="Times New Roman" w:hAnsi="Times New Roman" w:cs="Times New Roman"/>
          <w:sz w:val="24"/>
          <w:szCs w:val="24"/>
        </w:rPr>
        <w:t xml:space="preserve">Secondly, </w:t>
      </w:r>
      <w:r w:rsidR="00E567A9">
        <w:rPr>
          <w:rFonts w:ascii="Times New Roman" w:hAnsi="Times New Roman" w:cs="Times New Roman"/>
          <w:sz w:val="24"/>
          <w:szCs w:val="24"/>
        </w:rPr>
        <w:t xml:space="preserve">the </w:t>
      </w:r>
      <w:r w:rsidR="00CA215B">
        <w:rPr>
          <w:rFonts w:ascii="Times New Roman" w:hAnsi="Times New Roman" w:cs="Times New Roman"/>
          <w:sz w:val="24"/>
          <w:szCs w:val="24"/>
        </w:rPr>
        <w:t xml:space="preserve">analysis carried out by CEG is incorrect because it examines variations between allowed and incurred costs </w:t>
      </w:r>
      <w:r w:rsidR="00AE5E45">
        <w:rPr>
          <w:rFonts w:ascii="Times New Roman" w:hAnsi="Times New Roman" w:cs="Times New Roman"/>
          <w:sz w:val="24"/>
          <w:szCs w:val="24"/>
        </w:rPr>
        <w:t xml:space="preserve">every </w:t>
      </w:r>
      <w:r w:rsidR="00CA215B">
        <w:rPr>
          <w:rFonts w:ascii="Times New Roman" w:hAnsi="Times New Roman" w:cs="Times New Roman"/>
          <w:sz w:val="24"/>
          <w:szCs w:val="24"/>
        </w:rPr>
        <w:t xml:space="preserve">month </w:t>
      </w:r>
      <w:r w:rsidR="00AE5E45">
        <w:rPr>
          <w:rFonts w:ascii="Times New Roman" w:hAnsi="Times New Roman" w:cs="Times New Roman"/>
          <w:sz w:val="24"/>
          <w:szCs w:val="24"/>
        </w:rPr>
        <w:t xml:space="preserve">as if the allowed rate was reset monthly instead of five yearly.  </w:t>
      </w:r>
      <w:r w:rsidR="00CA215B">
        <w:rPr>
          <w:rFonts w:ascii="Times New Roman" w:hAnsi="Times New Roman" w:cs="Times New Roman"/>
          <w:sz w:val="24"/>
          <w:szCs w:val="24"/>
        </w:rPr>
        <w:t xml:space="preserve">To illustrate this, suppose that the reset dates are mid 2004, mid 2009 </w:t>
      </w:r>
      <w:r w:rsidR="00CA215B">
        <w:rPr>
          <w:rFonts w:ascii="Times New Roman" w:hAnsi="Times New Roman" w:cs="Times New Roman"/>
          <w:sz w:val="24"/>
          <w:szCs w:val="24"/>
        </w:rPr>
        <w:lastRenderedPageBreak/>
        <w:t xml:space="preserve">and mid 2014.  If swaps are not used, the appropriate comparisons are between the allowed rate in mid 2004 (the prevailing rate at that time of 7%) and the incurred rates over the following five years (the trailing averages shown in CEG’s orange line) and between the allowed rate in mid 2009 (the prevailing rate at that time of 9%) and the incurred rates over the following five years.  Similarly, if swaps are used, the same process is followed except that the incurred costs are the sum of the five-year swap rate and the trailing average DRP (shown by CEG’s yellow line).  For each of these two </w:t>
      </w:r>
      <w:r w:rsidR="00967D4F">
        <w:rPr>
          <w:rFonts w:ascii="Times New Roman" w:hAnsi="Times New Roman" w:cs="Times New Roman"/>
          <w:sz w:val="24"/>
          <w:szCs w:val="24"/>
        </w:rPr>
        <w:t>policies followed by the firm, the standard deviation should be estimated and a comparison made.  The process could be repeated for other reset dates, and averages taken over the resulting standard deviations.  However, CEG do not act in this way and their calculations therefore fail to reflect the actual situation faced by a firm following each of the two possible strategies.  By contrast, the analysis carried out b</w:t>
      </w:r>
      <w:r w:rsidR="00AE5E45">
        <w:rPr>
          <w:rFonts w:ascii="Times New Roman" w:hAnsi="Times New Roman" w:cs="Times New Roman"/>
          <w:sz w:val="24"/>
          <w:szCs w:val="24"/>
        </w:rPr>
        <w:t xml:space="preserve">y me </w:t>
      </w:r>
      <w:r w:rsidR="0079725C">
        <w:rPr>
          <w:rFonts w:ascii="Times New Roman" w:hAnsi="Times New Roman" w:cs="Times New Roman"/>
          <w:sz w:val="24"/>
          <w:szCs w:val="24"/>
        </w:rPr>
        <w:t xml:space="preserve">in Appendix 2 does reflect this.  </w:t>
      </w:r>
      <w:r w:rsidR="0079725C" w:rsidRPr="00CD30B6">
        <w:rPr>
          <w:rFonts w:ascii="Times New Roman" w:hAnsi="Times New Roman" w:cs="Times New Roman"/>
          <w:sz w:val="24"/>
          <w:szCs w:val="24"/>
        </w:rPr>
        <w:t>Furthermore, even for businesses that had not earlier undertaken the first leg of these transactions (swapping fixed into floating at the time of borrowing) and therefore the second leg (swapping floating into fixed to match the regulatory cycle) would not have been sensible, such businesses could still have commenced the process for any rollovers (and capex), and therefore gradually shifted towards swapping on all of their debt.</w:t>
      </w:r>
    </w:p>
    <w:p w:rsidR="00CA215B" w:rsidRDefault="00CA215B" w:rsidP="004815BE">
      <w:pPr>
        <w:spacing w:after="0" w:line="360" w:lineRule="auto"/>
        <w:jc w:val="both"/>
        <w:rPr>
          <w:rFonts w:ascii="Times New Roman" w:hAnsi="Times New Roman" w:cs="Times New Roman"/>
          <w:sz w:val="24"/>
          <w:szCs w:val="24"/>
        </w:rPr>
      </w:pPr>
    </w:p>
    <w:p w:rsidR="004815BE" w:rsidRDefault="00157491"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(2015, para 59) also argues that using </w:t>
      </w:r>
      <w:r w:rsidR="004815BE">
        <w:rPr>
          <w:rFonts w:ascii="Times New Roman" w:hAnsi="Times New Roman" w:cs="Times New Roman"/>
          <w:sz w:val="24"/>
          <w:szCs w:val="24"/>
        </w:rPr>
        <w:t>swaps was undesirable because the AER did not provide compensation for the associa</w:t>
      </w:r>
      <w:r>
        <w:rPr>
          <w:rFonts w:ascii="Times New Roman" w:hAnsi="Times New Roman" w:cs="Times New Roman"/>
          <w:sz w:val="24"/>
          <w:szCs w:val="24"/>
        </w:rPr>
        <w:t>ted transactions costs</w:t>
      </w:r>
      <w:r w:rsidR="004815BE">
        <w:rPr>
          <w:rFonts w:ascii="Times New Roman" w:hAnsi="Times New Roman" w:cs="Times New Roman"/>
          <w:sz w:val="24"/>
          <w:szCs w:val="24"/>
        </w:rPr>
        <w:t xml:space="preserve">.  However, as discussed </w:t>
      </w:r>
      <w:r>
        <w:rPr>
          <w:rFonts w:ascii="Times New Roman" w:hAnsi="Times New Roman" w:cs="Times New Roman"/>
          <w:sz w:val="24"/>
          <w:szCs w:val="24"/>
        </w:rPr>
        <w:t>in Lally (2014</w:t>
      </w:r>
      <w:r w:rsidR="00CE13C9">
        <w:rPr>
          <w:rFonts w:ascii="Times New Roman" w:hAnsi="Times New Roman" w:cs="Times New Roman"/>
          <w:sz w:val="24"/>
          <w:szCs w:val="24"/>
        </w:rPr>
        <w:t>a</w:t>
      </w:r>
      <w:r>
        <w:rPr>
          <w:rFonts w:ascii="Times New Roman" w:hAnsi="Times New Roman" w:cs="Times New Roman"/>
          <w:sz w:val="24"/>
          <w:szCs w:val="24"/>
        </w:rPr>
        <w:t xml:space="preserve">, page 31), </w:t>
      </w:r>
      <w:r w:rsidR="004815BE">
        <w:rPr>
          <w:rFonts w:ascii="Times New Roman" w:hAnsi="Times New Roman" w:cs="Times New Roman"/>
          <w:sz w:val="24"/>
          <w:szCs w:val="24"/>
        </w:rPr>
        <w:t>swapping is efficient even if the regulator does not provide this compensation</w:t>
      </w:r>
      <w:r w:rsidR="00286FA8">
        <w:rPr>
          <w:rFonts w:ascii="Times New Roman" w:hAnsi="Times New Roman" w:cs="Times New Roman"/>
          <w:sz w:val="24"/>
          <w:szCs w:val="24"/>
        </w:rPr>
        <w:t xml:space="preserve"> because the reduction in expected interest costs more than compensates for the transactions costs of the swaps.</w:t>
      </w:r>
    </w:p>
    <w:p w:rsidR="004815BE" w:rsidRDefault="004815BE" w:rsidP="004815BE">
      <w:pPr>
        <w:spacing w:after="0" w:line="360" w:lineRule="auto"/>
        <w:jc w:val="both"/>
        <w:rPr>
          <w:rFonts w:ascii="Times New Roman" w:hAnsi="Times New Roman" w:cs="Times New Roman"/>
          <w:sz w:val="24"/>
          <w:szCs w:val="24"/>
        </w:rPr>
      </w:pPr>
    </w:p>
    <w:p w:rsidR="004815BE" w:rsidRDefault="00286FA8"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(2015, section 4.6) argues that the </w:t>
      </w:r>
      <w:r w:rsidR="004815BE">
        <w:rPr>
          <w:rFonts w:ascii="Times New Roman" w:hAnsi="Times New Roman" w:cs="Times New Roman"/>
          <w:sz w:val="24"/>
          <w:szCs w:val="24"/>
        </w:rPr>
        <w:t>evidence presented by the AER in support of private-sector firms using swa</w:t>
      </w:r>
      <w:r>
        <w:rPr>
          <w:rFonts w:ascii="Times New Roman" w:hAnsi="Times New Roman" w:cs="Times New Roman"/>
          <w:sz w:val="24"/>
          <w:szCs w:val="24"/>
        </w:rPr>
        <w:t>ps is inconclusive</w:t>
      </w:r>
      <w:r w:rsidR="004815BE">
        <w:rPr>
          <w:rFonts w:ascii="Times New Roman" w:hAnsi="Times New Roman" w:cs="Times New Roman"/>
          <w:sz w:val="24"/>
          <w:szCs w:val="24"/>
        </w:rPr>
        <w:t xml:space="preserve">.  However further evidence in support of the AER’s claim appears </w:t>
      </w:r>
      <w:r>
        <w:rPr>
          <w:rFonts w:ascii="Times New Roman" w:hAnsi="Times New Roman" w:cs="Times New Roman"/>
          <w:sz w:val="24"/>
          <w:szCs w:val="24"/>
        </w:rPr>
        <w:t>in Lally (2014</w:t>
      </w:r>
      <w:r w:rsidR="00CE13C9">
        <w:rPr>
          <w:rFonts w:ascii="Times New Roman" w:hAnsi="Times New Roman" w:cs="Times New Roman"/>
          <w:sz w:val="24"/>
          <w:szCs w:val="24"/>
        </w:rPr>
        <w:t>a</w:t>
      </w:r>
      <w:r>
        <w:rPr>
          <w:rFonts w:ascii="Times New Roman" w:hAnsi="Times New Roman" w:cs="Times New Roman"/>
          <w:sz w:val="24"/>
          <w:szCs w:val="24"/>
        </w:rPr>
        <w:t xml:space="preserve">, page 26), </w:t>
      </w:r>
      <w:r w:rsidR="004815BE">
        <w:rPr>
          <w:rFonts w:ascii="Times New Roman" w:hAnsi="Times New Roman" w:cs="Times New Roman"/>
          <w:sz w:val="24"/>
          <w:szCs w:val="24"/>
        </w:rPr>
        <w:t>from the AER, NERA and SFG.</w:t>
      </w:r>
    </w:p>
    <w:p w:rsidR="004815BE" w:rsidRDefault="004815BE" w:rsidP="004815BE">
      <w:pPr>
        <w:spacing w:after="0" w:line="360" w:lineRule="auto"/>
        <w:jc w:val="both"/>
        <w:rPr>
          <w:rFonts w:ascii="Times New Roman" w:hAnsi="Times New Roman" w:cs="Times New Roman"/>
          <w:sz w:val="24"/>
          <w:szCs w:val="24"/>
        </w:rPr>
      </w:pPr>
    </w:p>
    <w:p w:rsidR="004815BE" w:rsidRDefault="00AD5124"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CEG (</w:t>
      </w:r>
      <w:r w:rsidR="00CE13C9">
        <w:rPr>
          <w:rFonts w:ascii="Times New Roman" w:hAnsi="Times New Roman" w:cs="Times New Roman"/>
          <w:sz w:val="24"/>
          <w:szCs w:val="24"/>
        </w:rPr>
        <w:t xml:space="preserve">2015, </w:t>
      </w:r>
      <w:r>
        <w:rPr>
          <w:rFonts w:ascii="Times New Roman" w:hAnsi="Times New Roman" w:cs="Times New Roman"/>
          <w:sz w:val="24"/>
          <w:szCs w:val="24"/>
        </w:rPr>
        <w:t xml:space="preserve">paras 93-94) notes that clause 6.5.2 (c) of the NEL requires that the allowed rate of return </w:t>
      </w:r>
      <w:r w:rsidRPr="00AD5124">
        <w:rPr>
          <w:rFonts w:ascii="Times New Roman" w:hAnsi="Times New Roman" w:cs="Times New Roman"/>
          <w:sz w:val="24"/>
          <w:szCs w:val="24"/>
        </w:rPr>
        <w:t xml:space="preserve">be commensurate with the efficient financing costs of a </w:t>
      </w:r>
      <w:r>
        <w:rPr>
          <w:rFonts w:ascii="Times New Roman" w:hAnsi="Times New Roman" w:cs="Times New Roman"/>
          <w:sz w:val="24"/>
          <w:szCs w:val="24"/>
        </w:rPr>
        <w:t>BEE, argues that this requirement is prospective in nature, and that this rules out the AER’s consideration of past events (the ‘windfall gain’) in favouring its transitional regime for the DRP.  Howe</w:t>
      </w:r>
      <w:r w:rsidR="009F241E">
        <w:rPr>
          <w:rFonts w:ascii="Times New Roman" w:hAnsi="Times New Roman" w:cs="Times New Roman"/>
          <w:sz w:val="24"/>
          <w:szCs w:val="24"/>
        </w:rPr>
        <w:t>ver, as discussed in section 8.2</w:t>
      </w:r>
      <w:r>
        <w:rPr>
          <w:rFonts w:ascii="Times New Roman" w:hAnsi="Times New Roman" w:cs="Times New Roman"/>
          <w:sz w:val="24"/>
          <w:szCs w:val="24"/>
        </w:rPr>
        <w:t xml:space="preserve">, </w:t>
      </w:r>
      <w:r w:rsidR="009F241E">
        <w:rPr>
          <w:rFonts w:ascii="Times New Roman" w:hAnsi="Times New Roman" w:cs="Times New Roman"/>
          <w:sz w:val="24"/>
          <w:szCs w:val="24"/>
        </w:rPr>
        <w:t>the legal requirement cited is equivalent to the NPV = 0 principle (which is also forward-looking)</w:t>
      </w:r>
      <w:r w:rsidR="00CE13C9">
        <w:rPr>
          <w:rFonts w:ascii="Times New Roman" w:hAnsi="Times New Roman" w:cs="Times New Roman"/>
          <w:sz w:val="24"/>
          <w:szCs w:val="24"/>
        </w:rPr>
        <w:t xml:space="preserve">.  Furthermore, as </w:t>
      </w:r>
      <w:r w:rsidR="003E397B">
        <w:rPr>
          <w:rFonts w:ascii="Times New Roman" w:hAnsi="Times New Roman" w:cs="Times New Roman"/>
          <w:sz w:val="24"/>
          <w:szCs w:val="24"/>
        </w:rPr>
        <w:t>discussed in section 8.3</w:t>
      </w:r>
      <w:r w:rsidR="00D711CC">
        <w:rPr>
          <w:rFonts w:ascii="Times New Roman" w:hAnsi="Times New Roman" w:cs="Times New Roman"/>
          <w:sz w:val="24"/>
          <w:szCs w:val="24"/>
        </w:rPr>
        <w:t>,</w:t>
      </w:r>
      <w:r w:rsidR="003E397B">
        <w:rPr>
          <w:rFonts w:ascii="Times New Roman" w:hAnsi="Times New Roman" w:cs="Times New Roman"/>
          <w:sz w:val="24"/>
          <w:szCs w:val="24"/>
        </w:rPr>
        <w:t xml:space="preserve"> </w:t>
      </w:r>
      <w:r w:rsidR="009F241E">
        <w:rPr>
          <w:rFonts w:ascii="Times New Roman" w:hAnsi="Times New Roman" w:cs="Times New Roman"/>
          <w:sz w:val="24"/>
          <w:szCs w:val="24"/>
        </w:rPr>
        <w:t xml:space="preserve">this </w:t>
      </w:r>
      <w:r w:rsidR="00D711CC">
        <w:rPr>
          <w:rFonts w:ascii="Times New Roman" w:hAnsi="Times New Roman" w:cs="Times New Roman"/>
          <w:sz w:val="24"/>
          <w:szCs w:val="24"/>
        </w:rPr>
        <w:t xml:space="preserve">NPV = 0 </w:t>
      </w:r>
      <w:r w:rsidR="00D711CC">
        <w:rPr>
          <w:rFonts w:ascii="Times New Roman" w:hAnsi="Times New Roman" w:cs="Times New Roman"/>
          <w:sz w:val="24"/>
          <w:szCs w:val="24"/>
        </w:rPr>
        <w:lastRenderedPageBreak/>
        <w:t xml:space="preserve">principle </w:t>
      </w:r>
      <w:r w:rsidR="009F241E" w:rsidRPr="009F241E">
        <w:rPr>
          <w:rFonts w:ascii="Times New Roman" w:hAnsi="Times New Roman" w:cs="Times New Roman"/>
          <w:sz w:val="24"/>
          <w:szCs w:val="24"/>
        </w:rPr>
        <w:t xml:space="preserve">implies that the only viable regulatory policy is to neutralize the </w:t>
      </w:r>
      <w:r w:rsidR="00D711CC">
        <w:rPr>
          <w:rFonts w:ascii="Times New Roman" w:hAnsi="Times New Roman" w:cs="Times New Roman"/>
          <w:sz w:val="24"/>
          <w:szCs w:val="24"/>
        </w:rPr>
        <w:t xml:space="preserve">one-off </w:t>
      </w:r>
      <w:r w:rsidR="009F241E" w:rsidRPr="009F241E">
        <w:rPr>
          <w:rFonts w:ascii="Times New Roman" w:hAnsi="Times New Roman" w:cs="Times New Roman"/>
          <w:sz w:val="24"/>
          <w:szCs w:val="24"/>
        </w:rPr>
        <w:t xml:space="preserve">effects of regime changes </w:t>
      </w:r>
      <w:r w:rsidR="00D711CC">
        <w:rPr>
          <w:rFonts w:ascii="Times New Roman" w:hAnsi="Times New Roman" w:cs="Times New Roman"/>
          <w:sz w:val="24"/>
          <w:szCs w:val="24"/>
        </w:rPr>
        <w:t xml:space="preserve">or at least the one-off effects that are </w:t>
      </w:r>
      <w:r w:rsidR="009F241E" w:rsidRPr="009F241E">
        <w:rPr>
          <w:rFonts w:ascii="Times New Roman" w:hAnsi="Times New Roman" w:cs="Times New Roman"/>
          <w:sz w:val="24"/>
          <w:szCs w:val="24"/>
        </w:rPr>
        <w:t xml:space="preserve">large </w:t>
      </w:r>
      <w:r w:rsidR="00D711CC">
        <w:rPr>
          <w:rFonts w:ascii="Times New Roman" w:hAnsi="Times New Roman" w:cs="Times New Roman"/>
          <w:sz w:val="24"/>
          <w:szCs w:val="24"/>
        </w:rPr>
        <w:t xml:space="preserve">in </w:t>
      </w:r>
      <w:r w:rsidR="009F241E" w:rsidRPr="009F241E">
        <w:rPr>
          <w:rFonts w:ascii="Times New Roman" w:hAnsi="Times New Roman" w:cs="Times New Roman"/>
          <w:sz w:val="24"/>
          <w:szCs w:val="24"/>
        </w:rPr>
        <w:t>either direction</w:t>
      </w:r>
      <w:r w:rsidR="00B16EF1">
        <w:rPr>
          <w:rFonts w:ascii="Times New Roman" w:hAnsi="Times New Roman" w:cs="Times New Roman"/>
          <w:sz w:val="24"/>
          <w:szCs w:val="24"/>
        </w:rPr>
        <w:t>, and the AER’s proposed transitional regime does so</w:t>
      </w:r>
      <w:r w:rsidR="009F241E" w:rsidRPr="009F241E">
        <w:rPr>
          <w:rFonts w:ascii="Times New Roman" w:hAnsi="Times New Roman" w:cs="Times New Roman"/>
          <w:sz w:val="24"/>
          <w:szCs w:val="24"/>
        </w:rPr>
        <w:t>.</w:t>
      </w:r>
      <w:r w:rsidR="009F241E">
        <w:rPr>
          <w:rFonts w:ascii="Times New Roman" w:hAnsi="Times New Roman" w:cs="Times New Roman"/>
          <w:sz w:val="24"/>
          <w:szCs w:val="24"/>
        </w:rPr>
        <w:t xml:space="preserve">  </w:t>
      </w:r>
      <w:r w:rsidR="003E397B">
        <w:rPr>
          <w:rFonts w:ascii="Times New Roman" w:hAnsi="Times New Roman" w:cs="Times New Roman"/>
          <w:sz w:val="24"/>
          <w:szCs w:val="24"/>
        </w:rPr>
        <w:t>Doing so may require, at the time of the regime change, consideration of earlier events.</w:t>
      </w:r>
    </w:p>
    <w:p w:rsidR="009F241E" w:rsidRDefault="009F241E" w:rsidP="004815BE">
      <w:pPr>
        <w:spacing w:after="0" w:line="360" w:lineRule="auto"/>
        <w:jc w:val="both"/>
        <w:rPr>
          <w:rFonts w:ascii="Times New Roman" w:hAnsi="Times New Roman" w:cs="Times New Roman"/>
          <w:sz w:val="24"/>
          <w:szCs w:val="24"/>
        </w:rPr>
      </w:pPr>
    </w:p>
    <w:p w:rsidR="004815BE" w:rsidRPr="00253C45" w:rsidRDefault="003E397B"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(2015, paras 95-97) argues that the </w:t>
      </w:r>
      <w:r w:rsidR="004815BE">
        <w:rPr>
          <w:rFonts w:ascii="Times New Roman" w:hAnsi="Times New Roman" w:cs="Times New Roman"/>
          <w:sz w:val="24"/>
          <w:szCs w:val="24"/>
        </w:rPr>
        <w:t>AER’s approach to the DRP windfall gain issue involves recovery of past windfall gains and this distorts incentives because a business will not know ex ante whether compensation given will be subsequently deemed excessive an</w:t>
      </w:r>
      <w:r>
        <w:rPr>
          <w:rFonts w:ascii="Times New Roman" w:hAnsi="Times New Roman" w:cs="Times New Roman"/>
          <w:sz w:val="24"/>
          <w:szCs w:val="24"/>
        </w:rPr>
        <w:t>d therefore removed</w:t>
      </w:r>
      <w:r w:rsidR="004815BE">
        <w:rPr>
          <w:rFonts w:ascii="Times New Roman" w:hAnsi="Times New Roman" w:cs="Times New Roman"/>
          <w:sz w:val="24"/>
          <w:szCs w:val="24"/>
        </w:rPr>
        <w:t xml:space="preserve">.  However the </w:t>
      </w:r>
      <w:r>
        <w:rPr>
          <w:rFonts w:ascii="Times New Roman" w:hAnsi="Times New Roman" w:cs="Times New Roman"/>
          <w:sz w:val="24"/>
          <w:szCs w:val="24"/>
        </w:rPr>
        <w:t xml:space="preserve">important </w:t>
      </w:r>
      <w:r w:rsidR="004815BE">
        <w:rPr>
          <w:rFonts w:ascii="Times New Roman" w:hAnsi="Times New Roman" w:cs="Times New Roman"/>
          <w:sz w:val="24"/>
          <w:szCs w:val="24"/>
        </w:rPr>
        <w:t xml:space="preserve">moment </w:t>
      </w:r>
      <w:r>
        <w:rPr>
          <w:rFonts w:ascii="Times New Roman" w:hAnsi="Times New Roman" w:cs="Times New Roman"/>
          <w:sz w:val="24"/>
          <w:szCs w:val="24"/>
        </w:rPr>
        <w:t xml:space="preserve">at which </w:t>
      </w:r>
      <w:r w:rsidR="004815BE">
        <w:rPr>
          <w:rFonts w:ascii="Times New Roman" w:hAnsi="Times New Roman" w:cs="Times New Roman"/>
          <w:sz w:val="24"/>
          <w:szCs w:val="24"/>
        </w:rPr>
        <w:t xml:space="preserve">incentives </w:t>
      </w:r>
      <w:r>
        <w:rPr>
          <w:rFonts w:ascii="Times New Roman" w:hAnsi="Times New Roman" w:cs="Times New Roman"/>
          <w:sz w:val="24"/>
          <w:szCs w:val="24"/>
        </w:rPr>
        <w:t xml:space="preserve">matter </w:t>
      </w:r>
      <w:r w:rsidR="004815BE">
        <w:rPr>
          <w:rFonts w:ascii="Times New Roman" w:hAnsi="Times New Roman" w:cs="Times New Roman"/>
          <w:sz w:val="24"/>
          <w:szCs w:val="24"/>
        </w:rPr>
        <w:t>is at the time investment is undertaken</w:t>
      </w:r>
      <w:r>
        <w:rPr>
          <w:rFonts w:ascii="Times New Roman" w:hAnsi="Times New Roman" w:cs="Times New Roman"/>
          <w:sz w:val="24"/>
          <w:szCs w:val="24"/>
        </w:rPr>
        <w:t xml:space="preserve"> and </w:t>
      </w:r>
      <w:r w:rsidR="004815BE">
        <w:rPr>
          <w:rFonts w:ascii="Times New Roman" w:hAnsi="Times New Roman" w:cs="Times New Roman"/>
          <w:sz w:val="24"/>
          <w:szCs w:val="24"/>
        </w:rPr>
        <w:t xml:space="preserve">appropriate incentives </w:t>
      </w:r>
      <w:r w:rsidR="002D14F3">
        <w:rPr>
          <w:rFonts w:ascii="Times New Roman" w:hAnsi="Times New Roman" w:cs="Times New Roman"/>
          <w:sz w:val="24"/>
          <w:szCs w:val="24"/>
        </w:rPr>
        <w:t xml:space="preserve">at this point </w:t>
      </w:r>
      <w:r w:rsidR="004815BE">
        <w:rPr>
          <w:rFonts w:ascii="Times New Roman" w:hAnsi="Times New Roman" w:cs="Times New Roman"/>
          <w:sz w:val="24"/>
          <w:szCs w:val="24"/>
        </w:rPr>
        <w:t>requires that the NPV = 0 principle is observed</w:t>
      </w:r>
      <w:r>
        <w:rPr>
          <w:rFonts w:ascii="Times New Roman" w:hAnsi="Times New Roman" w:cs="Times New Roman"/>
          <w:sz w:val="24"/>
          <w:szCs w:val="24"/>
        </w:rPr>
        <w:t xml:space="preserve">.  </w:t>
      </w:r>
      <w:r w:rsidRPr="00253C45">
        <w:rPr>
          <w:rFonts w:ascii="Times New Roman" w:hAnsi="Times New Roman" w:cs="Times New Roman"/>
          <w:sz w:val="24"/>
          <w:szCs w:val="24"/>
        </w:rPr>
        <w:t xml:space="preserve">As argued in the previous paragraph, this </w:t>
      </w:r>
      <w:r w:rsidR="00B16EF1" w:rsidRPr="00253C45">
        <w:rPr>
          <w:rFonts w:ascii="Times New Roman" w:hAnsi="Times New Roman" w:cs="Times New Roman"/>
          <w:sz w:val="24"/>
          <w:szCs w:val="24"/>
        </w:rPr>
        <w:t>requires neutralizing</w:t>
      </w:r>
      <w:r w:rsidR="0075153F" w:rsidRPr="00253C45">
        <w:rPr>
          <w:rFonts w:ascii="Times New Roman" w:hAnsi="Times New Roman" w:cs="Times New Roman"/>
          <w:sz w:val="24"/>
          <w:szCs w:val="24"/>
        </w:rPr>
        <w:t xml:space="preserve"> the </w:t>
      </w:r>
      <w:r w:rsidR="00F6399F" w:rsidRPr="00253C45">
        <w:rPr>
          <w:rFonts w:ascii="Times New Roman" w:hAnsi="Times New Roman" w:cs="Times New Roman"/>
          <w:sz w:val="24"/>
          <w:szCs w:val="24"/>
        </w:rPr>
        <w:t xml:space="preserve">one-off effects of </w:t>
      </w:r>
      <w:r w:rsidR="0075153F" w:rsidRPr="00253C45">
        <w:rPr>
          <w:rFonts w:ascii="Times New Roman" w:hAnsi="Times New Roman" w:cs="Times New Roman"/>
          <w:sz w:val="24"/>
          <w:szCs w:val="24"/>
        </w:rPr>
        <w:t xml:space="preserve">regime changes and the </w:t>
      </w:r>
      <w:r w:rsidRPr="00253C45">
        <w:rPr>
          <w:rFonts w:ascii="Times New Roman" w:hAnsi="Times New Roman" w:cs="Times New Roman"/>
          <w:sz w:val="24"/>
          <w:szCs w:val="24"/>
        </w:rPr>
        <w:t>AER</w:t>
      </w:r>
      <w:r w:rsidR="0075153F" w:rsidRPr="00253C45">
        <w:rPr>
          <w:rFonts w:ascii="Times New Roman" w:hAnsi="Times New Roman" w:cs="Times New Roman"/>
          <w:sz w:val="24"/>
          <w:szCs w:val="24"/>
        </w:rPr>
        <w:t xml:space="preserve">’s proposed transitional regime does so.  Furthermore, doing so reduces risk to the BEE even if these </w:t>
      </w:r>
      <w:r w:rsidR="00F6399F" w:rsidRPr="00253C45">
        <w:rPr>
          <w:rFonts w:ascii="Times New Roman" w:hAnsi="Times New Roman" w:cs="Times New Roman"/>
          <w:sz w:val="24"/>
          <w:szCs w:val="24"/>
        </w:rPr>
        <w:t xml:space="preserve">one-off </w:t>
      </w:r>
      <w:r w:rsidR="0075153F" w:rsidRPr="00253C45">
        <w:rPr>
          <w:rFonts w:ascii="Times New Roman" w:hAnsi="Times New Roman" w:cs="Times New Roman"/>
          <w:sz w:val="24"/>
          <w:szCs w:val="24"/>
        </w:rPr>
        <w:t>effects are as likely to be positive as negative and therefore don’t violate the NPV = 0 principle</w:t>
      </w:r>
      <w:r w:rsidR="00F6399F" w:rsidRPr="00253C45">
        <w:rPr>
          <w:rFonts w:ascii="Times New Roman" w:hAnsi="Times New Roman" w:cs="Times New Roman"/>
          <w:sz w:val="24"/>
          <w:szCs w:val="24"/>
        </w:rPr>
        <w:t xml:space="preserve">; in </w:t>
      </w:r>
      <w:r w:rsidR="0075153F" w:rsidRPr="00253C45">
        <w:rPr>
          <w:rFonts w:ascii="Times New Roman" w:hAnsi="Times New Roman" w:cs="Times New Roman"/>
          <w:sz w:val="24"/>
          <w:szCs w:val="24"/>
        </w:rPr>
        <w:t xml:space="preserve">effect, without neutralization of these </w:t>
      </w:r>
      <w:r w:rsidR="00F6399F" w:rsidRPr="00253C45">
        <w:rPr>
          <w:rFonts w:ascii="Times New Roman" w:hAnsi="Times New Roman" w:cs="Times New Roman"/>
          <w:sz w:val="24"/>
          <w:szCs w:val="24"/>
        </w:rPr>
        <w:t xml:space="preserve">one-off </w:t>
      </w:r>
      <w:r w:rsidR="0075153F" w:rsidRPr="00253C45">
        <w:rPr>
          <w:rFonts w:ascii="Times New Roman" w:hAnsi="Times New Roman" w:cs="Times New Roman"/>
          <w:sz w:val="24"/>
          <w:szCs w:val="24"/>
        </w:rPr>
        <w:t>effects, the BEE faces a roll of the dice that could be highly unfavourable to it.</w:t>
      </w:r>
    </w:p>
    <w:p w:rsidR="003E397B" w:rsidRDefault="003E397B" w:rsidP="004815BE">
      <w:pPr>
        <w:spacing w:after="0" w:line="360" w:lineRule="auto"/>
        <w:jc w:val="both"/>
        <w:rPr>
          <w:rFonts w:ascii="Times New Roman" w:hAnsi="Times New Roman" w:cs="Times New Roman"/>
          <w:sz w:val="24"/>
          <w:szCs w:val="24"/>
        </w:rPr>
      </w:pPr>
    </w:p>
    <w:p w:rsidR="004815BE" w:rsidRDefault="009703ED"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(2015, para 98) argues that the </w:t>
      </w:r>
      <w:r w:rsidR="004815BE">
        <w:rPr>
          <w:rFonts w:ascii="Times New Roman" w:hAnsi="Times New Roman" w:cs="Times New Roman"/>
          <w:sz w:val="24"/>
          <w:szCs w:val="24"/>
        </w:rPr>
        <w:t xml:space="preserve">AER’s approach to the DRP windfall gain issue involves the same transitional process for all firms and therefore some firms (those with cycles beginning in 2007, 2010, and 2011) </w:t>
      </w:r>
      <w:r>
        <w:rPr>
          <w:rFonts w:ascii="Times New Roman" w:hAnsi="Times New Roman" w:cs="Times New Roman"/>
          <w:sz w:val="24"/>
          <w:szCs w:val="24"/>
        </w:rPr>
        <w:t xml:space="preserve">will be </w:t>
      </w:r>
      <w:r w:rsidR="004815BE">
        <w:rPr>
          <w:rFonts w:ascii="Times New Roman" w:hAnsi="Times New Roman" w:cs="Times New Roman"/>
          <w:sz w:val="24"/>
          <w:szCs w:val="24"/>
        </w:rPr>
        <w:t>subject to losses “greater than any estimated p</w:t>
      </w:r>
      <w:r>
        <w:rPr>
          <w:rFonts w:ascii="Times New Roman" w:hAnsi="Times New Roman" w:cs="Times New Roman"/>
          <w:sz w:val="24"/>
          <w:szCs w:val="24"/>
        </w:rPr>
        <w:t>ast over compensation”</w:t>
      </w:r>
      <w:r w:rsidR="004815BE">
        <w:rPr>
          <w:rFonts w:ascii="Times New Roman" w:hAnsi="Times New Roman" w:cs="Times New Roman"/>
          <w:sz w:val="24"/>
          <w:szCs w:val="24"/>
        </w:rPr>
        <w:t xml:space="preserve">.  However, this claim is false; as shown in </w:t>
      </w:r>
      <w:r>
        <w:rPr>
          <w:rFonts w:ascii="Times New Roman" w:hAnsi="Times New Roman" w:cs="Times New Roman"/>
          <w:sz w:val="24"/>
          <w:szCs w:val="24"/>
        </w:rPr>
        <w:t>Lally (2014</w:t>
      </w:r>
      <w:r w:rsidR="00F6399F">
        <w:rPr>
          <w:rFonts w:ascii="Times New Roman" w:hAnsi="Times New Roman" w:cs="Times New Roman"/>
          <w:sz w:val="24"/>
          <w:szCs w:val="24"/>
        </w:rPr>
        <w:t>a</w:t>
      </w:r>
      <w:r>
        <w:rPr>
          <w:rFonts w:ascii="Times New Roman" w:hAnsi="Times New Roman" w:cs="Times New Roman"/>
          <w:sz w:val="24"/>
          <w:szCs w:val="24"/>
        </w:rPr>
        <w:t xml:space="preserve">, Table 4), </w:t>
      </w:r>
      <w:r w:rsidR="004815BE">
        <w:rPr>
          <w:rFonts w:ascii="Times New Roman" w:hAnsi="Times New Roman" w:cs="Times New Roman"/>
          <w:sz w:val="24"/>
          <w:szCs w:val="24"/>
        </w:rPr>
        <w:t xml:space="preserve">the (small) losses for these firms result from the previous regulatory regime, not from the transitional process.  Furthermore, </w:t>
      </w:r>
      <w:r>
        <w:rPr>
          <w:rFonts w:ascii="Times New Roman" w:hAnsi="Times New Roman" w:cs="Times New Roman"/>
          <w:sz w:val="24"/>
          <w:szCs w:val="24"/>
        </w:rPr>
        <w:t xml:space="preserve">as shown in the same table, the results </w:t>
      </w:r>
      <w:r w:rsidR="004815BE">
        <w:rPr>
          <w:rFonts w:ascii="Times New Roman" w:hAnsi="Times New Roman" w:cs="Times New Roman"/>
          <w:sz w:val="24"/>
          <w:szCs w:val="24"/>
        </w:rPr>
        <w:t>for all firms</w:t>
      </w:r>
      <w:r>
        <w:rPr>
          <w:rFonts w:ascii="Times New Roman" w:hAnsi="Times New Roman" w:cs="Times New Roman"/>
          <w:sz w:val="24"/>
          <w:szCs w:val="24"/>
        </w:rPr>
        <w:t xml:space="preserve"> from </w:t>
      </w:r>
      <w:r w:rsidR="004815BE">
        <w:rPr>
          <w:rFonts w:ascii="Times New Roman" w:hAnsi="Times New Roman" w:cs="Times New Roman"/>
          <w:sz w:val="24"/>
          <w:szCs w:val="24"/>
        </w:rPr>
        <w:t>using the proposed transitional process are almost identical to those that would have occurred had the previous regime been maintained.</w:t>
      </w:r>
    </w:p>
    <w:p w:rsidR="004815BE" w:rsidRDefault="004815BE" w:rsidP="004815BE">
      <w:pPr>
        <w:spacing w:after="0" w:line="360" w:lineRule="auto"/>
        <w:jc w:val="both"/>
        <w:rPr>
          <w:rFonts w:ascii="Times New Roman" w:hAnsi="Times New Roman" w:cs="Times New Roman"/>
          <w:sz w:val="24"/>
          <w:szCs w:val="24"/>
        </w:rPr>
      </w:pPr>
    </w:p>
    <w:p w:rsidR="004815BE" w:rsidRDefault="009703ED"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(2015, paras 99-101) argues that, given the </w:t>
      </w:r>
      <w:r w:rsidR="004815BE">
        <w:rPr>
          <w:rFonts w:ascii="Times New Roman" w:hAnsi="Times New Roman" w:cs="Times New Roman"/>
          <w:sz w:val="24"/>
          <w:szCs w:val="24"/>
        </w:rPr>
        <w:t xml:space="preserve">AER’s approach to the DRP windfall gain, </w:t>
      </w:r>
      <w:r>
        <w:rPr>
          <w:rFonts w:ascii="Times New Roman" w:hAnsi="Times New Roman" w:cs="Times New Roman"/>
          <w:sz w:val="24"/>
          <w:szCs w:val="24"/>
        </w:rPr>
        <w:t xml:space="preserve">it ought to favour </w:t>
      </w:r>
      <w:r w:rsidR="004815BE">
        <w:rPr>
          <w:rFonts w:ascii="Times New Roman" w:hAnsi="Times New Roman" w:cs="Times New Roman"/>
          <w:sz w:val="24"/>
          <w:szCs w:val="24"/>
        </w:rPr>
        <w:t xml:space="preserve">a different transitional process for each firm.  However, the contrary arguments appear </w:t>
      </w:r>
      <w:r>
        <w:rPr>
          <w:rFonts w:ascii="Times New Roman" w:hAnsi="Times New Roman" w:cs="Times New Roman"/>
          <w:sz w:val="24"/>
          <w:szCs w:val="24"/>
        </w:rPr>
        <w:t>in Lally (2014</w:t>
      </w:r>
      <w:r w:rsidR="00F6399F">
        <w:rPr>
          <w:rFonts w:ascii="Times New Roman" w:hAnsi="Times New Roman" w:cs="Times New Roman"/>
          <w:sz w:val="24"/>
          <w:szCs w:val="24"/>
        </w:rPr>
        <w:t>a</w:t>
      </w:r>
      <w:r>
        <w:rPr>
          <w:rFonts w:ascii="Times New Roman" w:hAnsi="Times New Roman" w:cs="Times New Roman"/>
          <w:sz w:val="24"/>
          <w:szCs w:val="24"/>
        </w:rPr>
        <w:t xml:space="preserve">, pp. 29-30) </w:t>
      </w:r>
      <w:r w:rsidR="004815BE">
        <w:rPr>
          <w:rFonts w:ascii="Times New Roman" w:hAnsi="Times New Roman" w:cs="Times New Roman"/>
          <w:sz w:val="24"/>
          <w:szCs w:val="24"/>
        </w:rPr>
        <w:t xml:space="preserve">and CEG do not address any of them. </w:t>
      </w:r>
    </w:p>
    <w:p w:rsidR="004815BE" w:rsidRDefault="004815BE" w:rsidP="004815BE">
      <w:pPr>
        <w:spacing w:after="0" w:line="360" w:lineRule="auto"/>
        <w:jc w:val="both"/>
        <w:rPr>
          <w:rFonts w:ascii="Times New Roman" w:hAnsi="Times New Roman" w:cs="Times New Roman"/>
          <w:sz w:val="24"/>
          <w:szCs w:val="24"/>
        </w:rPr>
      </w:pPr>
    </w:p>
    <w:p w:rsidR="00935CBF" w:rsidRDefault="00296EF5" w:rsidP="00935C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(2015, para 102) argues that, if </w:t>
      </w:r>
      <w:r w:rsidR="004815BE">
        <w:rPr>
          <w:rFonts w:ascii="Times New Roman" w:hAnsi="Times New Roman" w:cs="Times New Roman"/>
          <w:sz w:val="24"/>
          <w:szCs w:val="24"/>
        </w:rPr>
        <w:t xml:space="preserve">transitional arrangements for the DRP </w:t>
      </w:r>
      <w:r>
        <w:rPr>
          <w:rFonts w:ascii="Times New Roman" w:hAnsi="Times New Roman" w:cs="Times New Roman"/>
          <w:sz w:val="24"/>
          <w:szCs w:val="24"/>
        </w:rPr>
        <w:t xml:space="preserve">are warranted so as to </w:t>
      </w:r>
      <w:r w:rsidR="004815BE">
        <w:rPr>
          <w:rFonts w:ascii="Times New Roman" w:hAnsi="Times New Roman" w:cs="Times New Roman"/>
          <w:sz w:val="24"/>
          <w:szCs w:val="24"/>
        </w:rPr>
        <w:t xml:space="preserve">take account of the past windfall gain </w:t>
      </w:r>
      <w:r>
        <w:rPr>
          <w:rFonts w:ascii="Times New Roman" w:hAnsi="Times New Roman" w:cs="Times New Roman"/>
          <w:sz w:val="24"/>
          <w:szCs w:val="24"/>
        </w:rPr>
        <w:t xml:space="preserve">arising from the GFC, </w:t>
      </w:r>
      <w:r w:rsidR="004815BE">
        <w:rPr>
          <w:rFonts w:ascii="Times New Roman" w:hAnsi="Times New Roman" w:cs="Times New Roman"/>
          <w:sz w:val="24"/>
          <w:szCs w:val="24"/>
        </w:rPr>
        <w:t xml:space="preserve">they should also account for earlier under </w:t>
      </w:r>
      <w:r w:rsidR="00935CBF">
        <w:rPr>
          <w:rFonts w:ascii="Times New Roman" w:hAnsi="Times New Roman" w:cs="Times New Roman"/>
          <w:sz w:val="24"/>
          <w:szCs w:val="24"/>
        </w:rPr>
        <w:t>and over compensation</w:t>
      </w:r>
      <w:r w:rsidR="004815BE">
        <w:rPr>
          <w:rFonts w:ascii="Times New Roman" w:hAnsi="Times New Roman" w:cs="Times New Roman"/>
          <w:sz w:val="24"/>
          <w:szCs w:val="24"/>
        </w:rPr>
        <w:t xml:space="preserve">.  However, </w:t>
      </w:r>
      <w:r w:rsidR="00935CBF">
        <w:rPr>
          <w:rFonts w:ascii="Times New Roman" w:hAnsi="Times New Roman" w:cs="Times New Roman"/>
          <w:sz w:val="24"/>
          <w:szCs w:val="24"/>
        </w:rPr>
        <w:t xml:space="preserve">this point has also been raised by </w:t>
      </w:r>
      <w:r w:rsidR="00935CBF">
        <w:rPr>
          <w:rFonts w:ascii="Times New Roman" w:hAnsi="Times New Roman" w:cs="Times New Roman"/>
          <w:sz w:val="24"/>
          <w:szCs w:val="24"/>
        </w:rPr>
        <w:lastRenderedPageBreak/>
        <w:t>Frontier and has been dealt with in section 9.2.  In short, consideration of the behavior of the DRP prior to the GFC would not affect the analysis and therefore is irrelevant.</w:t>
      </w:r>
    </w:p>
    <w:p w:rsidR="004815BE" w:rsidRDefault="004815BE" w:rsidP="004815BE">
      <w:pPr>
        <w:spacing w:after="0" w:line="360" w:lineRule="auto"/>
        <w:jc w:val="both"/>
        <w:rPr>
          <w:rFonts w:ascii="Times New Roman" w:hAnsi="Times New Roman" w:cs="Times New Roman"/>
          <w:sz w:val="24"/>
          <w:szCs w:val="24"/>
        </w:rPr>
      </w:pPr>
    </w:p>
    <w:p w:rsidR="004815BE" w:rsidRDefault="00DF7AAD"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(2015, paras 104-105) argues that the </w:t>
      </w:r>
      <w:r w:rsidR="004815BE">
        <w:rPr>
          <w:rFonts w:ascii="Times New Roman" w:hAnsi="Times New Roman" w:cs="Times New Roman"/>
          <w:sz w:val="24"/>
          <w:szCs w:val="24"/>
        </w:rPr>
        <w:t xml:space="preserve">analysis of windfall gains </w:t>
      </w:r>
      <w:r>
        <w:rPr>
          <w:rFonts w:ascii="Times New Roman" w:hAnsi="Times New Roman" w:cs="Times New Roman"/>
          <w:sz w:val="24"/>
          <w:szCs w:val="24"/>
        </w:rPr>
        <w:t>in Lally (2014</w:t>
      </w:r>
      <w:r w:rsidR="00F6399F">
        <w:rPr>
          <w:rFonts w:ascii="Times New Roman" w:hAnsi="Times New Roman" w:cs="Times New Roman"/>
          <w:sz w:val="24"/>
          <w:szCs w:val="24"/>
        </w:rPr>
        <w:t>a</w:t>
      </w:r>
      <w:r>
        <w:rPr>
          <w:rFonts w:ascii="Times New Roman" w:hAnsi="Times New Roman" w:cs="Times New Roman"/>
          <w:sz w:val="24"/>
          <w:szCs w:val="24"/>
        </w:rPr>
        <w:t xml:space="preserve">, section 3.1) </w:t>
      </w:r>
      <w:r w:rsidR="004815BE">
        <w:rPr>
          <w:rFonts w:ascii="Times New Roman" w:hAnsi="Times New Roman" w:cs="Times New Roman"/>
          <w:sz w:val="24"/>
          <w:szCs w:val="24"/>
        </w:rPr>
        <w:t xml:space="preserve">assumes that businesses with regulatory cycles commencing in mid 2009 received DRP compensation of 4.1% but the compensation granted to the NSW businesses was in fact 2.03%, being the </w:t>
      </w:r>
      <w:r>
        <w:rPr>
          <w:rFonts w:ascii="Times New Roman" w:hAnsi="Times New Roman" w:cs="Times New Roman"/>
          <w:sz w:val="24"/>
          <w:szCs w:val="24"/>
        </w:rPr>
        <w:t xml:space="preserve">cost of debt </w:t>
      </w:r>
      <w:r w:rsidR="004815BE">
        <w:rPr>
          <w:rFonts w:ascii="Times New Roman" w:hAnsi="Times New Roman" w:cs="Times New Roman"/>
          <w:sz w:val="24"/>
          <w:szCs w:val="24"/>
        </w:rPr>
        <w:t>compensation of 8.82% (based upon an averaging period of 18.8.2008 to 5.9.2008) net of the contemporaneous five-year sw</w:t>
      </w:r>
      <w:r>
        <w:rPr>
          <w:rFonts w:ascii="Times New Roman" w:hAnsi="Times New Roman" w:cs="Times New Roman"/>
          <w:sz w:val="24"/>
          <w:szCs w:val="24"/>
        </w:rPr>
        <w:t>ap rate of 6.79%</w:t>
      </w:r>
      <w:r w:rsidR="004815BE">
        <w:rPr>
          <w:rFonts w:ascii="Times New Roman" w:hAnsi="Times New Roman" w:cs="Times New Roman"/>
          <w:sz w:val="24"/>
          <w:szCs w:val="24"/>
        </w:rPr>
        <w:t xml:space="preserve">.  However, the DRP results presented in </w:t>
      </w:r>
      <w:r>
        <w:rPr>
          <w:rFonts w:ascii="Times New Roman" w:hAnsi="Times New Roman" w:cs="Times New Roman"/>
          <w:sz w:val="24"/>
          <w:szCs w:val="24"/>
        </w:rPr>
        <w:t>Lally (2014</w:t>
      </w:r>
      <w:r w:rsidR="00F6399F">
        <w:rPr>
          <w:rFonts w:ascii="Times New Roman" w:hAnsi="Times New Roman" w:cs="Times New Roman"/>
          <w:sz w:val="24"/>
          <w:szCs w:val="24"/>
        </w:rPr>
        <w:t>a</w:t>
      </w:r>
      <w:r>
        <w:rPr>
          <w:rFonts w:ascii="Times New Roman" w:hAnsi="Times New Roman" w:cs="Times New Roman"/>
          <w:sz w:val="24"/>
          <w:szCs w:val="24"/>
        </w:rPr>
        <w:t xml:space="preserve">, </w:t>
      </w:r>
      <w:r w:rsidR="004815BE">
        <w:rPr>
          <w:rFonts w:ascii="Times New Roman" w:hAnsi="Times New Roman" w:cs="Times New Roman"/>
          <w:sz w:val="24"/>
          <w:szCs w:val="24"/>
        </w:rPr>
        <w:t>Table 2</w:t>
      </w:r>
      <w:r>
        <w:rPr>
          <w:rFonts w:ascii="Times New Roman" w:hAnsi="Times New Roman" w:cs="Times New Roman"/>
          <w:sz w:val="24"/>
          <w:szCs w:val="24"/>
        </w:rPr>
        <w:t>)</w:t>
      </w:r>
      <w:r w:rsidR="004815BE">
        <w:rPr>
          <w:rFonts w:ascii="Times New Roman" w:hAnsi="Times New Roman" w:cs="Times New Roman"/>
          <w:sz w:val="24"/>
          <w:szCs w:val="24"/>
        </w:rPr>
        <w:t xml:space="preserve"> are drawn from a CEG report in which the DRP is defined relative to the ten-year CGS rather than the five-year swap rate and therefore derivation of a DRP from an allowed </w:t>
      </w:r>
      <w:r>
        <w:rPr>
          <w:rFonts w:ascii="Times New Roman" w:hAnsi="Times New Roman" w:cs="Times New Roman"/>
          <w:sz w:val="24"/>
          <w:szCs w:val="24"/>
        </w:rPr>
        <w:t xml:space="preserve">cost of debt would have to </w:t>
      </w:r>
      <w:r w:rsidR="004815BE">
        <w:rPr>
          <w:rFonts w:ascii="Times New Roman" w:hAnsi="Times New Roman" w:cs="Times New Roman"/>
          <w:sz w:val="24"/>
          <w:szCs w:val="24"/>
        </w:rPr>
        <w:t xml:space="preserve">deduct the ten-year CGS.  Over the period 18.8.2008 to 5.9.2008, this is 5.75% (data from the RBA), yielding an implied DRP of 3.08%.  Furthermore, since this implied DRP is for 27.8.2008 (the mid-point of the averaging period), it would have to be compared to the DRP value in </w:t>
      </w:r>
      <w:r>
        <w:rPr>
          <w:rFonts w:ascii="Times New Roman" w:hAnsi="Times New Roman" w:cs="Times New Roman"/>
          <w:sz w:val="24"/>
          <w:szCs w:val="24"/>
        </w:rPr>
        <w:t xml:space="preserve">Lally’s </w:t>
      </w:r>
      <w:r w:rsidR="004815BE">
        <w:rPr>
          <w:rFonts w:ascii="Times New Roman" w:hAnsi="Times New Roman" w:cs="Times New Roman"/>
          <w:sz w:val="24"/>
          <w:szCs w:val="24"/>
        </w:rPr>
        <w:t xml:space="preserve">Table 2 for the same point in time and interpolating over the values of 3.2% for mid 2008 and 4.1% for mid 2009 yields a figure of 3.34% for 27.8.2008.  This figure differs from </w:t>
      </w:r>
      <w:r>
        <w:rPr>
          <w:rFonts w:ascii="Times New Roman" w:hAnsi="Times New Roman" w:cs="Times New Roman"/>
          <w:sz w:val="24"/>
          <w:szCs w:val="24"/>
        </w:rPr>
        <w:t xml:space="preserve">CEG’s </w:t>
      </w:r>
      <w:r w:rsidR="004815BE">
        <w:rPr>
          <w:rFonts w:ascii="Times New Roman" w:hAnsi="Times New Roman" w:cs="Times New Roman"/>
          <w:sz w:val="24"/>
          <w:szCs w:val="24"/>
        </w:rPr>
        <w:t>implied DRP of 3.08% by only 0.26% ra</w:t>
      </w:r>
      <w:r w:rsidR="004D125D">
        <w:rPr>
          <w:rFonts w:ascii="Times New Roman" w:hAnsi="Times New Roman" w:cs="Times New Roman"/>
          <w:sz w:val="24"/>
          <w:szCs w:val="24"/>
        </w:rPr>
        <w:t>ther than the difference of 2.03</w:t>
      </w:r>
      <w:r w:rsidR="004815BE">
        <w:rPr>
          <w:rFonts w:ascii="Times New Roman" w:hAnsi="Times New Roman" w:cs="Times New Roman"/>
          <w:sz w:val="24"/>
          <w:szCs w:val="24"/>
        </w:rPr>
        <w:t xml:space="preserve">% claimed by CEG.  </w:t>
      </w:r>
    </w:p>
    <w:p w:rsidR="00DF7AAD" w:rsidRDefault="00DF7AAD" w:rsidP="004815BE">
      <w:pPr>
        <w:spacing w:after="0" w:line="360" w:lineRule="auto"/>
        <w:jc w:val="both"/>
        <w:rPr>
          <w:rFonts w:ascii="Times New Roman" w:hAnsi="Times New Roman" w:cs="Times New Roman"/>
          <w:sz w:val="24"/>
          <w:szCs w:val="24"/>
        </w:rPr>
      </w:pPr>
    </w:p>
    <w:p w:rsidR="004815BE" w:rsidRDefault="00ED6CC2"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(2015, section 5.3.2) analyses the </w:t>
      </w:r>
      <w:r w:rsidR="004815BE">
        <w:rPr>
          <w:rFonts w:ascii="Times New Roman" w:hAnsi="Times New Roman" w:cs="Times New Roman"/>
          <w:sz w:val="24"/>
          <w:szCs w:val="24"/>
        </w:rPr>
        <w:t xml:space="preserve">windfall gain issue for businesses with cycles commencing in mid 2005, mid 2009, etc </w:t>
      </w:r>
      <w:r>
        <w:rPr>
          <w:rFonts w:ascii="Times New Roman" w:hAnsi="Times New Roman" w:cs="Times New Roman"/>
          <w:sz w:val="24"/>
          <w:szCs w:val="24"/>
        </w:rPr>
        <w:t xml:space="preserve">and this </w:t>
      </w:r>
      <w:r w:rsidR="004815BE">
        <w:rPr>
          <w:rFonts w:ascii="Times New Roman" w:hAnsi="Times New Roman" w:cs="Times New Roman"/>
          <w:sz w:val="24"/>
          <w:szCs w:val="24"/>
        </w:rPr>
        <w:t xml:space="preserve">suggests that the accumulated windfall up to mid 2014 was -4.2% rather than the figure of 9.53% in </w:t>
      </w:r>
      <w:r w:rsidR="00EF0623">
        <w:rPr>
          <w:rFonts w:ascii="Times New Roman" w:hAnsi="Times New Roman" w:cs="Times New Roman"/>
          <w:sz w:val="24"/>
          <w:szCs w:val="24"/>
        </w:rPr>
        <w:t>Lally (2014</w:t>
      </w:r>
      <w:r w:rsidR="00F6399F">
        <w:rPr>
          <w:rFonts w:ascii="Times New Roman" w:hAnsi="Times New Roman" w:cs="Times New Roman"/>
          <w:sz w:val="24"/>
          <w:szCs w:val="24"/>
        </w:rPr>
        <w:t>a</w:t>
      </w:r>
      <w:r w:rsidR="00EF0623">
        <w:rPr>
          <w:rFonts w:ascii="Times New Roman" w:hAnsi="Times New Roman" w:cs="Times New Roman"/>
          <w:sz w:val="24"/>
          <w:szCs w:val="24"/>
        </w:rPr>
        <w:t>, Table 2)</w:t>
      </w:r>
      <w:r w:rsidR="004815BE">
        <w:rPr>
          <w:rFonts w:ascii="Times New Roman" w:hAnsi="Times New Roman" w:cs="Times New Roman"/>
          <w:sz w:val="24"/>
          <w:szCs w:val="24"/>
        </w:rPr>
        <w:t xml:space="preserve">.  However, the details of CEG’s analysis are insufficiently clear to check it at all points.  Nevertheless, CEG’s analysis incorporates within it the alleged DRP compensation of 2.03% for the 2009-2014 period referred to in the previous paragraph and therefore inherits all of the errors in that analysis as described.  Furthermore, the figure of -4.2% includes an allowance of 0.30% for swap costs but these have no relevance to the DRP component of the cost of debt (they relate only to the </w:t>
      </w:r>
      <w:r w:rsidR="00EF0623">
        <w:rPr>
          <w:rFonts w:ascii="Times New Roman" w:hAnsi="Times New Roman" w:cs="Times New Roman"/>
          <w:sz w:val="24"/>
          <w:szCs w:val="24"/>
        </w:rPr>
        <w:t xml:space="preserve">base rate </w:t>
      </w:r>
      <w:r w:rsidR="004815BE">
        <w:rPr>
          <w:rFonts w:ascii="Times New Roman" w:hAnsi="Times New Roman" w:cs="Times New Roman"/>
          <w:sz w:val="24"/>
          <w:szCs w:val="24"/>
        </w:rPr>
        <w:t>component).</w:t>
      </w:r>
    </w:p>
    <w:p w:rsidR="004815BE" w:rsidRDefault="004815BE" w:rsidP="004815BE">
      <w:pPr>
        <w:spacing w:after="0" w:line="360" w:lineRule="auto"/>
        <w:jc w:val="both"/>
        <w:rPr>
          <w:rFonts w:ascii="Times New Roman" w:hAnsi="Times New Roman" w:cs="Times New Roman"/>
          <w:sz w:val="24"/>
          <w:szCs w:val="24"/>
        </w:rPr>
      </w:pPr>
    </w:p>
    <w:p w:rsidR="004815BE" w:rsidRDefault="00EF0623"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CEG (2015, section 5.3.3) argues that the analysis of windfall gains in Lally (2014</w:t>
      </w:r>
      <w:r w:rsidR="00F6399F">
        <w:rPr>
          <w:rFonts w:ascii="Times New Roman" w:hAnsi="Times New Roman" w:cs="Times New Roman"/>
          <w:sz w:val="24"/>
          <w:szCs w:val="24"/>
        </w:rPr>
        <w:t>a</w:t>
      </w:r>
      <w:r>
        <w:rPr>
          <w:rFonts w:ascii="Times New Roman" w:hAnsi="Times New Roman" w:cs="Times New Roman"/>
          <w:sz w:val="24"/>
          <w:szCs w:val="24"/>
        </w:rPr>
        <w:t xml:space="preserve">, section 3.1) assumes that businesses with regulatory cycles commencing in mid 2009 received DRP compensation of 4.1% but the compensation granted to </w:t>
      </w:r>
      <w:r w:rsidR="004815BE">
        <w:rPr>
          <w:rFonts w:ascii="Times New Roman" w:hAnsi="Times New Roman" w:cs="Times New Roman"/>
          <w:sz w:val="24"/>
          <w:szCs w:val="24"/>
        </w:rPr>
        <w:t xml:space="preserve">ActewAGL was either 0.99% or 3.44%, being the </w:t>
      </w:r>
      <w:r>
        <w:rPr>
          <w:rFonts w:ascii="Times New Roman" w:hAnsi="Times New Roman" w:cs="Times New Roman"/>
          <w:sz w:val="24"/>
          <w:szCs w:val="24"/>
        </w:rPr>
        <w:t xml:space="preserve">cost of debt </w:t>
      </w:r>
      <w:r w:rsidR="004815BE">
        <w:rPr>
          <w:rFonts w:ascii="Times New Roman" w:hAnsi="Times New Roman" w:cs="Times New Roman"/>
          <w:sz w:val="24"/>
          <w:szCs w:val="24"/>
        </w:rPr>
        <w:t>allowance of 7.78% (based upon an averaging period of 2.2.2009 to 27.2.2009) net of the five-year swap rate of 6.79% for ActewAGL’s proposed averaging period or the five-year swap rate for the actual averaging period use</w:t>
      </w:r>
      <w:r>
        <w:rPr>
          <w:rFonts w:ascii="Times New Roman" w:hAnsi="Times New Roman" w:cs="Times New Roman"/>
          <w:sz w:val="24"/>
          <w:szCs w:val="24"/>
        </w:rPr>
        <w:t xml:space="preserve">d by the AER </w:t>
      </w:r>
      <w:r>
        <w:rPr>
          <w:rFonts w:ascii="Times New Roman" w:hAnsi="Times New Roman" w:cs="Times New Roman"/>
          <w:sz w:val="24"/>
          <w:szCs w:val="24"/>
        </w:rPr>
        <w:lastRenderedPageBreak/>
        <w:t>of 4.34%</w:t>
      </w:r>
      <w:r w:rsidR="004815BE">
        <w:rPr>
          <w:rFonts w:ascii="Times New Roman" w:hAnsi="Times New Roman" w:cs="Times New Roman"/>
          <w:sz w:val="24"/>
          <w:szCs w:val="24"/>
        </w:rPr>
        <w:t xml:space="preserve">.  However, the averaging period proposed by ActewAGL is irrelevant; any base rate deducted from the allowed </w:t>
      </w:r>
      <w:r w:rsidR="001909D3">
        <w:rPr>
          <w:rFonts w:ascii="Times New Roman" w:hAnsi="Times New Roman" w:cs="Times New Roman"/>
          <w:sz w:val="24"/>
          <w:szCs w:val="24"/>
        </w:rPr>
        <w:t xml:space="preserve">cost of debt </w:t>
      </w:r>
      <w:r w:rsidR="004815BE">
        <w:rPr>
          <w:rFonts w:ascii="Times New Roman" w:hAnsi="Times New Roman" w:cs="Times New Roman"/>
          <w:sz w:val="24"/>
          <w:szCs w:val="24"/>
        </w:rPr>
        <w:t xml:space="preserve">of 7.78% must be for the same averaging period as that underlying the allowed cost of debt to produce a meaningful DRP estimate.  Furthermore, the DRP </w:t>
      </w:r>
      <w:r w:rsidR="00F6399F">
        <w:rPr>
          <w:rFonts w:ascii="Times New Roman" w:hAnsi="Times New Roman" w:cs="Times New Roman"/>
          <w:sz w:val="24"/>
          <w:szCs w:val="24"/>
        </w:rPr>
        <w:t xml:space="preserve">figures </w:t>
      </w:r>
      <w:r w:rsidR="004815BE">
        <w:rPr>
          <w:rFonts w:ascii="Times New Roman" w:hAnsi="Times New Roman" w:cs="Times New Roman"/>
          <w:sz w:val="24"/>
          <w:szCs w:val="24"/>
        </w:rPr>
        <w:t xml:space="preserve">presented in </w:t>
      </w:r>
      <w:r w:rsidR="001909D3">
        <w:rPr>
          <w:rFonts w:ascii="Times New Roman" w:hAnsi="Times New Roman" w:cs="Times New Roman"/>
          <w:sz w:val="24"/>
          <w:szCs w:val="24"/>
        </w:rPr>
        <w:t>Lally (2014</w:t>
      </w:r>
      <w:r w:rsidR="00F6399F">
        <w:rPr>
          <w:rFonts w:ascii="Times New Roman" w:hAnsi="Times New Roman" w:cs="Times New Roman"/>
          <w:sz w:val="24"/>
          <w:szCs w:val="24"/>
        </w:rPr>
        <w:t>a</w:t>
      </w:r>
      <w:r w:rsidR="001909D3">
        <w:rPr>
          <w:rFonts w:ascii="Times New Roman" w:hAnsi="Times New Roman" w:cs="Times New Roman"/>
          <w:sz w:val="24"/>
          <w:szCs w:val="24"/>
        </w:rPr>
        <w:t xml:space="preserve">, Table 2) </w:t>
      </w:r>
      <w:r w:rsidR="004815BE">
        <w:rPr>
          <w:rFonts w:ascii="Times New Roman" w:hAnsi="Times New Roman" w:cs="Times New Roman"/>
          <w:sz w:val="24"/>
          <w:szCs w:val="24"/>
        </w:rPr>
        <w:t xml:space="preserve">are drawn from a CEG report in which the DRP is defined relative to the ten-year CGS rather than the five-year swap rate and therefore derivation of a DRP from an allowed </w:t>
      </w:r>
      <w:r w:rsidR="001909D3">
        <w:rPr>
          <w:rFonts w:ascii="Times New Roman" w:hAnsi="Times New Roman" w:cs="Times New Roman"/>
          <w:sz w:val="24"/>
          <w:szCs w:val="24"/>
        </w:rPr>
        <w:t xml:space="preserve">cost of debt </w:t>
      </w:r>
      <w:r w:rsidR="004815BE">
        <w:rPr>
          <w:rFonts w:ascii="Times New Roman" w:hAnsi="Times New Roman" w:cs="Times New Roman"/>
          <w:sz w:val="24"/>
          <w:szCs w:val="24"/>
        </w:rPr>
        <w:t xml:space="preserve">would have to deduct the ten-year CGS.  Over the AER’s averaging period from 2.2.2009 to 27.2.2009, this is 4.25% (data from the RBA), yielding an implied DRP of 3.53%.  Furthermore, since this implied DRP is for 14.2.2009 (the mid-point of the averaging period), it would have to be compared to the DRP value in </w:t>
      </w:r>
      <w:r w:rsidR="001909D3">
        <w:rPr>
          <w:rFonts w:ascii="Times New Roman" w:hAnsi="Times New Roman" w:cs="Times New Roman"/>
          <w:sz w:val="24"/>
          <w:szCs w:val="24"/>
        </w:rPr>
        <w:t>Lally (2014</w:t>
      </w:r>
      <w:r w:rsidR="00F6399F">
        <w:rPr>
          <w:rFonts w:ascii="Times New Roman" w:hAnsi="Times New Roman" w:cs="Times New Roman"/>
          <w:sz w:val="24"/>
          <w:szCs w:val="24"/>
        </w:rPr>
        <w:t>a</w:t>
      </w:r>
      <w:r w:rsidR="001909D3">
        <w:rPr>
          <w:rFonts w:ascii="Times New Roman" w:hAnsi="Times New Roman" w:cs="Times New Roman"/>
          <w:sz w:val="24"/>
          <w:szCs w:val="24"/>
        </w:rPr>
        <w:t xml:space="preserve">, Table 2) for the </w:t>
      </w:r>
      <w:r w:rsidR="004815BE">
        <w:rPr>
          <w:rFonts w:ascii="Times New Roman" w:hAnsi="Times New Roman" w:cs="Times New Roman"/>
          <w:sz w:val="24"/>
          <w:szCs w:val="24"/>
        </w:rPr>
        <w:t>same point in time</w:t>
      </w:r>
      <w:r w:rsidR="00F6399F">
        <w:rPr>
          <w:rFonts w:ascii="Times New Roman" w:hAnsi="Times New Roman" w:cs="Times New Roman"/>
          <w:sz w:val="24"/>
          <w:szCs w:val="24"/>
        </w:rPr>
        <w:t xml:space="preserve">; </w:t>
      </w:r>
      <w:r w:rsidR="004815BE">
        <w:rPr>
          <w:rFonts w:ascii="Times New Roman" w:hAnsi="Times New Roman" w:cs="Times New Roman"/>
          <w:sz w:val="24"/>
          <w:szCs w:val="24"/>
        </w:rPr>
        <w:t xml:space="preserve">interpolating over the values of 3.2% for mid 2008 and 4.1% for mid 2009 yields a figure of 3.76% for 14.2.2009.  This figure differs from </w:t>
      </w:r>
      <w:r w:rsidR="006D3623">
        <w:rPr>
          <w:rFonts w:ascii="Times New Roman" w:hAnsi="Times New Roman" w:cs="Times New Roman"/>
          <w:sz w:val="24"/>
          <w:szCs w:val="24"/>
        </w:rPr>
        <w:t xml:space="preserve">CEG’s </w:t>
      </w:r>
      <w:r w:rsidR="004815BE">
        <w:rPr>
          <w:rFonts w:ascii="Times New Roman" w:hAnsi="Times New Roman" w:cs="Times New Roman"/>
          <w:sz w:val="24"/>
          <w:szCs w:val="24"/>
        </w:rPr>
        <w:t>implied DRP of 3.53% by only 0.23% rather than the difference of either 3.11% or 0.66% claimed by CEG.</w:t>
      </w:r>
    </w:p>
    <w:p w:rsidR="004815BE" w:rsidRDefault="004815BE" w:rsidP="004815BE">
      <w:pPr>
        <w:spacing w:after="0" w:line="360" w:lineRule="auto"/>
        <w:jc w:val="both"/>
        <w:rPr>
          <w:rFonts w:ascii="Times New Roman" w:hAnsi="Times New Roman" w:cs="Times New Roman"/>
          <w:sz w:val="24"/>
          <w:szCs w:val="24"/>
        </w:rPr>
      </w:pPr>
    </w:p>
    <w:p w:rsidR="004815BE" w:rsidRDefault="006D3623" w:rsidP="004815BE">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CEG (2015, section 5.4) refers to </w:t>
      </w:r>
      <w:r w:rsidR="004815BE">
        <w:rPr>
          <w:rFonts w:ascii="Times New Roman" w:hAnsi="Times New Roman" w:cs="Times New Roman"/>
          <w:sz w:val="24"/>
          <w:szCs w:val="24"/>
        </w:rPr>
        <w:t xml:space="preserve">Lally’s </w:t>
      </w:r>
      <w:r>
        <w:rPr>
          <w:rFonts w:ascii="Times New Roman" w:hAnsi="Times New Roman" w:cs="Times New Roman"/>
          <w:sz w:val="24"/>
          <w:szCs w:val="24"/>
        </w:rPr>
        <w:t>(2014</w:t>
      </w:r>
      <w:r w:rsidR="00F6399F">
        <w:rPr>
          <w:rFonts w:ascii="Times New Roman" w:hAnsi="Times New Roman" w:cs="Times New Roman"/>
          <w:sz w:val="24"/>
          <w:szCs w:val="24"/>
        </w:rPr>
        <w:t>a</w:t>
      </w:r>
      <w:r>
        <w:rPr>
          <w:rFonts w:ascii="Times New Roman" w:hAnsi="Times New Roman" w:cs="Times New Roman"/>
          <w:sz w:val="24"/>
          <w:szCs w:val="24"/>
        </w:rPr>
        <w:t xml:space="preserve">, page 36) </w:t>
      </w:r>
      <w:r w:rsidR="004815BE">
        <w:rPr>
          <w:rFonts w:ascii="Times New Roman" w:hAnsi="Times New Roman" w:cs="Times New Roman"/>
          <w:sz w:val="24"/>
          <w:szCs w:val="24"/>
        </w:rPr>
        <w:t xml:space="preserve">analysis of Ausgrid’s DRP compensation versus cost incurred </w:t>
      </w:r>
      <w:r>
        <w:rPr>
          <w:rFonts w:ascii="Times New Roman" w:hAnsi="Times New Roman" w:cs="Times New Roman"/>
          <w:sz w:val="24"/>
          <w:szCs w:val="24"/>
        </w:rPr>
        <w:t xml:space="preserve">(which </w:t>
      </w:r>
      <w:r w:rsidR="004815BE">
        <w:rPr>
          <w:rFonts w:ascii="Times New Roman" w:hAnsi="Times New Roman" w:cs="Times New Roman"/>
          <w:sz w:val="24"/>
          <w:szCs w:val="24"/>
        </w:rPr>
        <w:t>concludes that there is little difference in the first year of the transitional regime</w:t>
      </w:r>
      <w:r>
        <w:rPr>
          <w:rFonts w:ascii="Times New Roman" w:hAnsi="Times New Roman" w:cs="Times New Roman"/>
          <w:sz w:val="24"/>
          <w:szCs w:val="24"/>
        </w:rPr>
        <w:t>)</w:t>
      </w:r>
      <w:r w:rsidR="004815BE">
        <w:rPr>
          <w:rFonts w:ascii="Times New Roman" w:hAnsi="Times New Roman" w:cs="Times New Roman"/>
          <w:sz w:val="24"/>
          <w:szCs w:val="24"/>
        </w:rPr>
        <w:t xml:space="preserve">, </w:t>
      </w:r>
      <w:r>
        <w:rPr>
          <w:rFonts w:ascii="Times New Roman" w:hAnsi="Times New Roman" w:cs="Times New Roman"/>
          <w:sz w:val="24"/>
          <w:szCs w:val="24"/>
        </w:rPr>
        <w:t xml:space="preserve">argues that </w:t>
      </w:r>
      <w:r w:rsidR="004815BE">
        <w:rPr>
          <w:rFonts w:ascii="Times New Roman" w:hAnsi="Times New Roman" w:cs="Times New Roman"/>
          <w:sz w:val="24"/>
          <w:szCs w:val="24"/>
        </w:rPr>
        <w:t xml:space="preserve">this analysis is inadequate because it considers only the first year </w:t>
      </w:r>
      <w:r>
        <w:rPr>
          <w:rFonts w:ascii="Times New Roman" w:hAnsi="Times New Roman" w:cs="Times New Roman"/>
          <w:sz w:val="24"/>
          <w:szCs w:val="24"/>
        </w:rPr>
        <w:t xml:space="preserve">of the transitional period </w:t>
      </w:r>
      <w:r w:rsidR="004815BE">
        <w:rPr>
          <w:rFonts w:ascii="Times New Roman" w:hAnsi="Times New Roman" w:cs="Times New Roman"/>
          <w:sz w:val="24"/>
          <w:szCs w:val="24"/>
        </w:rPr>
        <w:t xml:space="preserve">rather than the entire ten </w:t>
      </w:r>
      <w:r>
        <w:rPr>
          <w:rFonts w:ascii="Times New Roman" w:hAnsi="Times New Roman" w:cs="Times New Roman"/>
          <w:sz w:val="24"/>
          <w:szCs w:val="24"/>
        </w:rPr>
        <w:t xml:space="preserve">years, and also that </w:t>
      </w:r>
      <w:r w:rsidR="004815BE">
        <w:rPr>
          <w:rFonts w:ascii="Times New Roman" w:hAnsi="Times New Roman" w:cs="Times New Roman"/>
          <w:sz w:val="24"/>
          <w:szCs w:val="24"/>
        </w:rPr>
        <w:t xml:space="preserve">consideration of the entire transitional period reveals that </w:t>
      </w:r>
      <w:r w:rsidR="005E0EFA">
        <w:rPr>
          <w:rFonts w:ascii="Times New Roman" w:hAnsi="Times New Roman" w:cs="Times New Roman"/>
          <w:sz w:val="24"/>
          <w:szCs w:val="24"/>
        </w:rPr>
        <w:t xml:space="preserve">under compensation </w:t>
      </w:r>
      <w:r>
        <w:rPr>
          <w:rFonts w:ascii="Times New Roman" w:hAnsi="Times New Roman" w:cs="Times New Roman"/>
          <w:sz w:val="24"/>
          <w:szCs w:val="24"/>
        </w:rPr>
        <w:t>will occur.  However, as discussed in Lally (2014</w:t>
      </w:r>
      <w:r w:rsidR="00F6399F">
        <w:rPr>
          <w:rFonts w:ascii="Times New Roman" w:hAnsi="Times New Roman" w:cs="Times New Roman"/>
          <w:sz w:val="24"/>
          <w:szCs w:val="24"/>
        </w:rPr>
        <w:t>a</w:t>
      </w:r>
      <w:r>
        <w:rPr>
          <w:rFonts w:ascii="Times New Roman" w:hAnsi="Times New Roman" w:cs="Times New Roman"/>
          <w:sz w:val="24"/>
          <w:szCs w:val="24"/>
        </w:rPr>
        <w:t xml:space="preserve">, pp. </w:t>
      </w:r>
      <w:r w:rsidR="004815BE">
        <w:rPr>
          <w:rFonts w:ascii="Times New Roman" w:hAnsi="Times New Roman" w:cs="Times New Roman"/>
          <w:sz w:val="24"/>
          <w:szCs w:val="24"/>
        </w:rPr>
        <w:t>35-36</w:t>
      </w:r>
      <w:r>
        <w:rPr>
          <w:rFonts w:ascii="Times New Roman" w:hAnsi="Times New Roman" w:cs="Times New Roman"/>
          <w:sz w:val="24"/>
          <w:szCs w:val="24"/>
        </w:rPr>
        <w:t>),</w:t>
      </w:r>
      <w:r w:rsidR="004815BE">
        <w:rPr>
          <w:rFonts w:ascii="Times New Roman" w:hAnsi="Times New Roman" w:cs="Times New Roman"/>
          <w:sz w:val="24"/>
          <w:szCs w:val="24"/>
        </w:rPr>
        <w:t xml:space="preserve"> the appropriate period to examine must start with the GFC-induced spike in the DRP rather than just the ten-year transitional period to the new regime, and consideration of this longer period supports use of the AER’s proposed transitional regime.  </w:t>
      </w:r>
      <w:r w:rsidR="00F6399F">
        <w:rPr>
          <w:rFonts w:ascii="Times New Roman" w:hAnsi="Times New Roman" w:cs="Times New Roman"/>
          <w:sz w:val="24"/>
          <w:szCs w:val="24"/>
        </w:rPr>
        <w:t xml:space="preserve">Lally’s (2014a, page 36) </w:t>
      </w:r>
      <w:r>
        <w:rPr>
          <w:rFonts w:ascii="Times New Roman" w:hAnsi="Times New Roman" w:cs="Times New Roman"/>
          <w:sz w:val="24"/>
          <w:szCs w:val="24"/>
        </w:rPr>
        <w:t xml:space="preserve">analysis </w:t>
      </w:r>
      <w:r w:rsidR="004815BE">
        <w:rPr>
          <w:rFonts w:ascii="Times New Roman" w:hAnsi="Times New Roman" w:cs="Times New Roman"/>
          <w:sz w:val="24"/>
          <w:szCs w:val="24"/>
        </w:rPr>
        <w:t xml:space="preserve">of the first year result for Ausgrid was undertaken purely to illustrate an error in Ausgrid’s submission.  </w:t>
      </w:r>
    </w:p>
    <w:p w:rsidR="004815BE" w:rsidRDefault="004815BE" w:rsidP="004815BE">
      <w:pPr>
        <w:pStyle w:val="ListParagraph"/>
        <w:spacing w:after="0" w:line="360" w:lineRule="auto"/>
        <w:ind w:left="0"/>
        <w:jc w:val="both"/>
        <w:rPr>
          <w:rFonts w:ascii="Times New Roman" w:hAnsi="Times New Roman" w:cs="Times New Roman"/>
          <w:sz w:val="24"/>
          <w:szCs w:val="24"/>
        </w:rPr>
      </w:pPr>
    </w:p>
    <w:p w:rsidR="004815BE" w:rsidRDefault="004A5DF3" w:rsidP="004815BE">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CEG (2015, section 5.4.2) argues that an </w:t>
      </w:r>
      <w:r w:rsidR="004815BE">
        <w:rPr>
          <w:rFonts w:ascii="Times New Roman" w:hAnsi="Times New Roman" w:cs="Times New Roman"/>
          <w:sz w:val="24"/>
          <w:szCs w:val="24"/>
        </w:rPr>
        <w:t xml:space="preserve">assessment of the situation for ActewAGL during the ten years of the transitional regime also reveals </w:t>
      </w:r>
      <w:r>
        <w:rPr>
          <w:rFonts w:ascii="Times New Roman" w:hAnsi="Times New Roman" w:cs="Times New Roman"/>
          <w:sz w:val="24"/>
          <w:szCs w:val="24"/>
        </w:rPr>
        <w:t>under compensation</w:t>
      </w:r>
      <w:r w:rsidR="004815BE">
        <w:rPr>
          <w:rFonts w:ascii="Times New Roman" w:hAnsi="Times New Roman" w:cs="Times New Roman"/>
          <w:sz w:val="24"/>
          <w:szCs w:val="24"/>
        </w:rPr>
        <w:t>.  However, as discussed in the previous paragraph, the appropriate period to examine must start with the GFC-induced spike in the DRP rather than just the ten-year transitional period to the new regime, and consideration of this longer period supports use of the AER’s proposed transitional regime.</w:t>
      </w:r>
    </w:p>
    <w:p w:rsidR="004815BE" w:rsidRDefault="004815BE" w:rsidP="004815BE">
      <w:pPr>
        <w:pStyle w:val="ListParagraph"/>
        <w:spacing w:after="0" w:line="360" w:lineRule="auto"/>
        <w:ind w:left="0"/>
        <w:jc w:val="both"/>
        <w:rPr>
          <w:rFonts w:ascii="Times New Roman" w:hAnsi="Times New Roman" w:cs="Times New Roman"/>
          <w:sz w:val="24"/>
          <w:szCs w:val="24"/>
        </w:rPr>
      </w:pPr>
    </w:p>
    <w:p w:rsidR="004815BE" w:rsidRDefault="004A5DF3" w:rsidP="004815BE">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CEG (2015, section 5.5) argues that Lally’s (2014</w:t>
      </w:r>
      <w:r w:rsidR="00F6399F">
        <w:rPr>
          <w:rFonts w:ascii="Times New Roman" w:hAnsi="Times New Roman" w:cs="Times New Roman"/>
          <w:sz w:val="24"/>
          <w:szCs w:val="24"/>
        </w:rPr>
        <w:t>a</w:t>
      </w:r>
      <w:r>
        <w:rPr>
          <w:rFonts w:ascii="Times New Roman" w:hAnsi="Times New Roman" w:cs="Times New Roman"/>
          <w:sz w:val="24"/>
          <w:szCs w:val="24"/>
        </w:rPr>
        <w:t xml:space="preserve">, section 3.1) analysis of the windfall gain issue </w:t>
      </w:r>
      <w:r w:rsidR="004815BE">
        <w:rPr>
          <w:rFonts w:ascii="Times New Roman" w:hAnsi="Times New Roman" w:cs="Times New Roman"/>
          <w:sz w:val="24"/>
          <w:szCs w:val="24"/>
        </w:rPr>
        <w:t xml:space="preserve">presumes that the DRP subsides back to its pre-GFC level over the course of the </w:t>
      </w:r>
      <w:r w:rsidR="004815BE">
        <w:rPr>
          <w:rFonts w:ascii="Times New Roman" w:hAnsi="Times New Roman" w:cs="Times New Roman"/>
          <w:sz w:val="24"/>
          <w:szCs w:val="24"/>
        </w:rPr>
        <w:lastRenderedPageBreak/>
        <w:t xml:space="preserve">transitional period and it may not do so.  For example, </w:t>
      </w:r>
      <w:r w:rsidR="00104A16">
        <w:rPr>
          <w:rFonts w:ascii="Times New Roman" w:hAnsi="Times New Roman" w:cs="Times New Roman"/>
          <w:sz w:val="24"/>
          <w:szCs w:val="24"/>
        </w:rPr>
        <w:t xml:space="preserve">if the </w:t>
      </w:r>
      <w:r w:rsidR="004815BE">
        <w:rPr>
          <w:rFonts w:ascii="Times New Roman" w:hAnsi="Times New Roman" w:cs="Times New Roman"/>
          <w:sz w:val="24"/>
          <w:szCs w:val="24"/>
        </w:rPr>
        <w:t xml:space="preserve">DRP spikes to 3.5% in 2018 and then subsides to 1.5% at the rate of 0.5% per year, </w:t>
      </w:r>
      <w:r w:rsidR="00104A16">
        <w:rPr>
          <w:rFonts w:ascii="Times New Roman" w:hAnsi="Times New Roman" w:cs="Times New Roman"/>
          <w:sz w:val="24"/>
          <w:szCs w:val="24"/>
        </w:rPr>
        <w:t xml:space="preserve">businesses with cycles beginning in 2008, 2013, etc </w:t>
      </w:r>
      <w:r w:rsidR="004815BE">
        <w:rPr>
          <w:rFonts w:ascii="Times New Roman" w:hAnsi="Times New Roman" w:cs="Times New Roman"/>
          <w:sz w:val="24"/>
          <w:szCs w:val="24"/>
        </w:rPr>
        <w:t>will experience a further windfall of 6.36% over the transitional period rather than mitigation of the windfall of 8.24% received up till the</w:t>
      </w:r>
      <w:r>
        <w:rPr>
          <w:rFonts w:ascii="Times New Roman" w:hAnsi="Times New Roman" w:cs="Times New Roman"/>
          <w:sz w:val="24"/>
          <w:szCs w:val="24"/>
        </w:rPr>
        <w:t xml:space="preserve"> transition begins</w:t>
      </w:r>
      <w:r w:rsidR="004815BE">
        <w:rPr>
          <w:rFonts w:ascii="Times New Roman" w:hAnsi="Times New Roman" w:cs="Times New Roman"/>
          <w:sz w:val="24"/>
          <w:szCs w:val="24"/>
        </w:rPr>
        <w:t xml:space="preserve">.  </w:t>
      </w:r>
      <w:r w:rsidR="00886FB1">
        <w:rPr>
          <w:rFonts w:ascii="Times New Roman" w:hAnsi="Times New Roman" w:cs="Times New Roman"/>
          <w:sz w:val="24"/>
          <w:szCs w:val="24"/>
        </w:rPr>
        <w:t xml:space="preserve">However, </w:t>
      </w:r>
      <w:r w:rsidR="00607EFA">
        <w:rPr>
          <w:rFonts w:ascii="Times New Roman" w:hAnsi="Times New Roman" w:cs="Times New Roman"/>
          <w:sz w:val="24"/>
          <w:szCs w:val="24"/>
        </w:rPr>
        <w:t xml:space="preserve">Lally’s </w:t>
      </w:r>
      <w:r w:rsidR="008D6CE0">
        <w:rPr>
          <w:rFonts w:ascii="Times New Roman" w:hAnsi="Times New Roman" w:cs="Times New Roman"/>
          <w:sz w:val="24"/>
          <w:szCs w:val="24"/>
        </w:rPr>
        <w:t xml:space="preserve">present value </w:t>
      </w:r>
      <w:r w:rsidR="00607EFA">
        <w:rPr>
          <w:rFonts w:ascii="Times New Roman" w:hAnsi="Times New Roman" w:cs="Times New Roman"/>
          <w:sz w:val="24"/>
          <w:szCs w:val="24"/>
        </w:rPr>
        <w:t xml:space="preserve">analysis </w:t>
      </w:r>
      <w:r w:rsidR="008D6CE0">
        <w:rPr>
          <w:rFonts w:ascii="Times New Roman" w:hAnsi="Times New Roman" w:cs="Times New Roman"/>
          <w:sz w:val="24"/>
          <w:szCs w:val="24"/>
        </w:rPr>
        <w:t xml:space="preserve">appropriately </w:t>
      </w:r>
      <w:r w:rsidR="00607EFA">
        <w:rPr>
          <w:rFonts w:ascii="Times New Roman" w:hAnsi="Times New Roman" w:cs="Times New Roman"/>
          <w:sz w:val="24"/>
          <w:szCs w:val="24"/>
        </w:rPr>
        <w:t xml:space="preserve">uses </w:t>
      </w:r>
      <w:r w:rsidR="00607EFA" w:rsidRPr="008D6CE0">
        <w:rPr>
          <w:rFonts w:ascii="Times New Roman" w:hAnsi="Times New Roman" w:cs="Times New Roman"/>
          <w:i/>
          <w:sz w:val="24"/>
          <w:szCs w:val="24"/>
        </w:rPr>
        <w:t>expectations</w:t>
      </w:r>
      <w:r w:rsidR="00607EFA">
        <w:rPr>
          <w:rFonts w:ascii="Times New Roman" w:hAnsi="Times New Roman" w:cs="Times New Roman"/>
          <w:sz w:val="24"/>
          <w:szCs w:val="24"/>
        </w:rPr>
        <w:t xml:space="preserve"> of the DRP </w:t>
      </w:r>
      <w:r w:rsidR="008D6CE0">
        <w:rPr>
          <w:rFonts w:ascii="Times New Roman" w:hAnsi="Times New Roman" w:cs="Times New Roman"/>
          <w:sz w:val="24"/>
          <w:szCs w:val="24"/>
        </w:rPr>
        <w:t xml:space="preserve">path </w:t>
      </w:r>
      <w:r w:rsidR="00607EFA">
        <w:rPr>
          <w:rFonts w:ascii="Times New Roman" w:hAnsi="Times New Roman" w:cs="Times New Roman"/>
          <w:sz w:val="24"/>
          <w:szCs w:val="24"/>
        </w:rPr>
        <w:t xml:space="preserve">from 2014 and the assumed reversion of the DRP back to its pre GFC level is </w:t>
      </w:r>
      <w:r w:rsidR="008D6CE0">
        <w:rPr>
          <w:rFonts w:ascii="Times New Roman" w:hAnsi="Times New Roman" w:cs="Times New Roman"/>
          <w:sz w:val="24"/>
          <w:szCs w:val="24"/>
        </w:rPr>
        <w:t xml:space="preserve">appropriate because the </w:t>
      </w:r>
      <w:r w:rsidR="00607EFA">
        <w:rPr>
          <w:rFonts w:ascii="Times New Roman" w:hAnsi="Times New Roman" w:cs="Times New Roman"/>
          <w:sz w:val="24"/>
          <w:szCs w:val="24"/>
        </w:rPr>
        <w:t xml:space="preserve">DRP is a mean-reverting process.  Naturally, actual outcomes may be more or less than </w:t>
      </w:r>
      <w:r w:rsidR="008D6CE0">
        <w:rPr>
          <w:rFonts w:ascii="Times New Roman" w:hAnsi="Times New Roman" w:cs="Times New Roman"/>
          <w:sz w:val="24"/>
          <w:szCs w:val="24"/>
        </w:rPr>
        <w:t xml:space="preserve">the expectation, </w:t>
      </w:r>
      <w:r w:rsidR="00607EFA">
        <w:rPr>
          <w:rFonts w:ascii="Times New Roman" w:hAnsi="Times New Roman" w:cs="Times New Roman"/>
          <w:sz w:val="24"/>
          <w:szCs w:val="24"/>
        </w:rPr>
        <w:t xml:space="preserve">but this does not undercut the validity of the expectations at the time they were formed.  </w:t>
      </w:r>
      <w:r w:rsidR="00FD7342">
        <w:rPr>
          <w:rFonts w:ascii="Times New Roman" w:hAnsi="Times New Roman" w:cs="Times New Roman"/>
          <w:sz w:val="24"/>
          <w:szCs w:val="24"/>
        </w:rPr>
        <w:t xml:space="preserve">Furthermore, </w:t>
      </w:r>
      <w:r w:rsidR="00886FB1">
        <w:rPr>
          <w:rFonts w:ascii="Times New Roman" w:hAnsi="Times New Roman" w:cs="Times New Roman"/>
          <w:sz w:val="24"/>
          <w:szCs w:val="24"/>
        </w:rPr>
        <w:t xml:space="preserve">CEG has selected the most extreme </w:t>
      </w:r>
      <w:r w:rsidR="00FD7342">
        <w:rPr>
          <w:rFonts w:ascii="Times New Roman" w:hAnsi="Times New Roman" w:cs="Times New Roman"/>
          <w:sz w:val="24"/>
          <w:szCs w:val="24"/>
        </w:rPr>
        <w:t xml:space="preserve">counter </w:t>
      </w:r>
      <w:r w:rsidR="00886FB1">
        <w:rPr>
          <w:rFonts w:ascii="Times New Roman" w:hAnsi="Times New Roman" w:cs="Times New Roman"/>
          <w:sz w:val="24"/>
          <w:szCs w:val="24"/>
        </w:rPr>
        <w:t xml:space="preserve">example, </w:t>
      </w:r>
      <w:r w:rsidR="0066441A">
        <w:rPr>
          <w:rFonts w:ascii="Times New Roman" w:hAnsi="Times New Roman" w:cs="Times New Roman"/>
          <w:sz w:val="24"/>
          <w:szCs w:val="24"/>
        </w:rPr>
        <w:t xml:space="preserve">by assuming a DRP shock in </w:t>
      </w:r>
      <w:r w:rsidR="00F6399F">
        <w:rPr>
          <w:rFonts w:ascii="Times New Roman" w:hAnsi="Times New Roman" w:cs="Times New Roman"/>
          <w:sz w:val="24"/>
          <w:szCs w:val="24"/>
        </w:rPr>
        <w:t xml:space="preserve">the same </w:t>
      </w:r>
      <w:r w:rsidR="0066441A">
        <w:rPr>
          <w:rFonts w:ascii="Times New Roman" w:hAnsi="Times New Roman" w:cs="Times New Roman"/>
          <w:sz w:val="24"/>
          <w:szCs w:val="24"/>
        </w:rPr>
        <w:t xml:space="preserve">year in which </w:t>
      </w:r>
      <w:r w:rsidR="008D6CE0">
        <w:rPr>
          <w:rFonts w:ascii="Times New Roman" w:hAnsi="Times New Roman" w:cs="Times New Roman"/>
          <w:sz w:val="24"/>
          <w:szCs w:val="24"/>
        </w:rPr>
        <w:t xml:space="preserve">a </w:t>
      </w:r>
      <w:r w:rsidR="0066441A">
        <w:rPr>
          <w:rFonts w:ascii="Times New Roman" w:hAnsi="Times New Roman" w:cs="Times New Roman"/>
          <w:sz w:val="24"/>
          <w:szCs w:val="24"/>
        </w:rPr>
        <w:t>regulatory reset occurs (2018)</w:t>
      </w:r>
      <w:r w:rsidR="00886FB1">
        <w:rPr>
          <w:rFonts w:ascii="Times New Roman" w:hAnsi="Times New Roman" w:cs="Times New Roman"/>
          <w:sz w:val="24"/>
          <w:szCs w:val="24"/>
        </w:rPr>
        <w:t xml:space="preserve">.  </w:t>
      </w:r>
      <w:r w:rsidR="00FD7342">
        <w:rPr>
          <w:rFonts w:ascii="Times New Roman" w:hAnsi="Times New Roman" w:cs="Times New Roman"/>
          <w:sz w:val="24"/>
          <w:szCs w:val="24"/>
        </w:rPr>
        <w:t xml:space="preserve">The </w:t>
      </w:r>
      <w:r w:rsidR="0066441A">
        <w:rPr>
          <w:rFonts w:ascii="Times New Roman" w:hAnsi="Times New Roman" w:cs="Times New Roman"/>
          <w:sz w:val="24"/>
          <w:szCs w:val="24"/>
        </w:rPr>
        <w:t>key points in Lally’s (2014</w:t>
      </w:r>
      <w:r w:rsidR="00F6399F">
        <w:rPr>
          <w:rFonts w:ascii="Times New Roman" w:hAnsi="Times New Roman" w:cs="Times New Roman"/>
          <w:sz w:val="24"/>
          <w:szCs w:val="24"/>
        </w:rPr>
        <w:t>a</w:t>
      </w:r>
      <w:r w:rsidR="008D6CE0">
        <w:rPr>
          <w:rFonts w:ascii="Times New Roman" w:hAnsi="Times New Roman" w:cs="Times New Roman"/>
          <w:sz w:val="24"/>
          <w:szCs w:val="24"/>
        </w:rPr>
        <w:t>, section 3</w:t>
      </w:r>
      <w:r w:rsidR="0066441A">
        <w:rPr>
          <w:rFonts w:ascii="Times New Roman" w:hAnsi="Times New Roman" w:cs="Times New Roman"/>
          <w:sz w:val="24"/>
          <w:szCs w:val="24"/>
        </w:rPr>
        <w:t xml:space="preserve">) </w:t>
      </w:r>
      <w:r w:rsidR="00FD7342">
        <w:rPr>
          <w:rFonts w:ascii="Times New Roman" w:hAnsi="Times New Roman" w:cs="Times New Roman"/>
          <w:sz w:val="24"/>
          <w:szCs w:val="24"/>
        </w:rPr>
        <w:t xml:space="preserve">analysis </w:t>
      </w:r>
      <w:r w:rsidR="0066441A">
        <w:rPr>
          <w:rFonts w:ascii="Times New Roman" w:hAnsi="Times New Roman" w:cs="Times New Roman"/>
          <w:sz w:val="24"/>
          <w:szCs w:val="24"/>
        </w:rPr>
        <w:t xml:space="preserve">are </w:t>
      </w:r>
      <w:r w:rsidR="008D6CE0">
        <w:rPr>
          <w:rFonts w:ascii="Times New Roman" w:hAnsi="Times New Roman" w:cs="Times New Roman"/>
          <w:sz w:val="24"/>
          <w:szCs w:val="24"/>
        </w:rPr>
        <w:t xml:space="preserve">threefold: </w:t>
      </w:r>
      <w:r w:rsidR="0066441A">
        <w:rPr>
          <w:rFonts w:ascii="Times New Roman" w:hAnsi="Times New Roman" w:cs="Times New Roman"/>
          <w:sz w:val="24"/>
          <w:szCs w:val="24"/>
        </w:rPr>
        <w:t xml:space="preserve">the impact of a DRP shock on the average BEE (with averaging over the possible reset dates) </w:t>
      </w:r>
      <w:r w:rsidR="008D6CE0">
        <w:rPr>
          <w:rFonts w:ascii="Times New Roman" w:hAnsi="Times New Roman" w:cs="Times New Roman"/>
          <w:sz w:val="24"/>
          <w:szCs w:val="24"/>
        </w:rPr>
        <w:t xml:space="preserve">that is regulated in accordance with the </w:t>
      </w:r>
      <w:r w:rsidR="0066441A">
        <w:rPr>
          <w:rFonts w:ascii="Times New Roman" w:hAnsi="Times New Roman" w:cs="Times New Roman"/>
          <w:sz w:val="24"/>
          <w:szCs w:val="24"/>
        </w:rPr>
        <w:t xml:space="preserve">earlier regime </w:t>
      </w:r>
      <w:r w:rsidR="00FD7342">
        <w:rPr>
          <w:rFonts w:ascii="Times New Roman" w:hAnsi="Times New Roman" w:cs="Times New Roman"/>
          <w:sz w:val="24"/>
          <w:szCs w:val="24"/>
        </w:rPr>
        <w:t xml:space="preserve">is </w:t>
      </w:r>
      <w:r w:rsidR="0066441A">
        <w:rPr>
          <w:rFonts w:ascii="Times New Roman" w:hAnsi="Times New Roman" w:cs="Times New Roman"/>
          <w:sz w:val="24"/>
          <w:szCs w:val="24"/>
        </w:rPr>
        <w:t xml:space="preserve">approximately neutral providing the regime remains in force for several years after the shock, that </w:t>
      </w:r>
      <w:r w:rsidR="004D4CFB">
        <w:rPr>
          <w:rFonts w:ascii="Times New Roman" w:hAnsi="Times New Roman" w:cs="Times New Roman"/>
          <w:sz w:val="24"/>
          <w:szCs w:val="24"/>
        </w:rPr>
        <w:t>switching to the new regime coupled with the proposed transitional regime will produce similar results</w:t>
      </w:r>
      <w:r w:rsidR="00F6399F">
        <w:rPr>
          <w:rFonts w:ascii="Times New Roman" w:hAnsi="Times New Roman" w:cs="Times New Roman"/>
          <w:sz w:val="24"/>
          <w:szCs w:val="24"/>
        </w:rPr>
        <w:t xml:space="preserve"> to the old regime over that transitional period</w:t>
      </w:r>
      <w:r w:rsidR="004D4CFB">
        <w:rPr>
          <w:rFonts w:ascii="Times New Roman" w:hAnsi="Times New Roman" w:cs="Times New Roman"/>
          <w:sz w:val="24"/>
          <w:szCs w:val="24"/>
        </w:rPr>
        <w:t xml:space="preserve">, and that </w:t>
      </w:r>
      <w:r w:rsidR="0066441A">
        <w:rPr>
          <w:rFonts w:ascii="Times New Roman" w:hAnsi="Times New Roman" w:cs="Times New Roman"/>
          <w:sz w:val="24"/>
          <w:szCs w:val="24"/>
        </w:rPr>
        <w:t>immediate switching to the new regime</w:t>
      </w:r>
      <w:r w:rsidR="004D4CFB">
        <w:rPr>
          <w:rFonts w:ascii="Times New Roman" w:hAnsi="Times New Roman" w:cs="Times New Roman"/>
          <w:sz w:val="24"/>
          <w:szCs w:val="24"/>
        </w:rPr>
        <w:t xml:space="preserve"> may not have this feature.  This is shown in Lally (2014</w:t>
      </w:r>
      <w:r w:rsidR="00F6399F">
        <w:rPr>
          <w:rFonts w:ascii="Times New Roman" w:hAnsi="Times New Roman" w:cs="Times New Roman"/>
          <w:sz w:val="24"/>
          <w:szCs w:val="24"/>
        </w:rPr>
        <w:t>a</w:t>
      </w:r>
      <w:r w:rsidR="004D4CFB">
        <w:rPr>
          <w:rFonts w:ascii="Times New Roman" w:hAnsi="Times New Roman" w:cs="Times New Roman"/>
          <w:sz w:val="24"/>
          <w:szCs w:val="24"/>
        </w:rPr>
        <w:t xml:space="preserve">, Table 4), in which he </w:t>
      </w:r>
      <w:r w:rsidR="00886FB1">
        <w:rPr>
          <w:rFonts w:ascii="Times New Roman" w:hAnsi="Times New Roman" w:cs="Times New Roman"/>
          <w:sz w:val="24"/>
          <w:szCs w:val="24"/>
        </w:rPr>
        <w:t>presents the present value (in 2007) of the net cash flow effec</w:t>
      </w:r>
      <w:r w:rsidR="004D4CFB">
        <w:rPr>
          <w:rFonts w:ascii="Times New Roman" w:hAnsi="Times New Roman" w:cs="Times New Roman"/>
          <w:sz w:val="24"/>
          <w:szCs w:val="24"/>
        </w:rPr>
        <w:t xml:space="preserve">ts of the </w:t>
      </w:r>
      <w:r w:rsidR="00104A16">
        <w:rPr>
          <w:rFonts w:ascii="Times New Roman" w:hAnsi="Times New Roman" w:cs="Times New Roman"/>
          <w:sz w:val="24"/>
          <w:szCs w:val="24"/>
        </w:rPr>
        <w:t xml:space="preserve">DRP shock induced by the GFC, </w:t>
      </w:r>
      <w:r w:rsidR="004D4CFB">
        <w:rPr>
          <w:rFonts w:ascii="Times New Roman" w:hAnsi="Times New Roman" w:cs="Times New Roman"/>
          <w:sz w:val="24"/>
          <w:szCs w:val="24"/>
        </w:rPr>
        <w:t xml:space="preserve">under the three regulatory regimes just described.  </w:t>
      </w:r>
      <w:r w:rsidR="009A5E2C">
        <w:rPr>
          <w:rFonts w:ascii="Times New Roman" w:hAnsi="Times New Roman" w:cs="Times New Roman"/>
          <w:sz w:val="24"/>
          <w:szCs w:val="24"/>
        </w:rPr>
        <w:t xml:space="preserve">The </w:t>
      </w:r>
      <w:r w:rsidR="00BC26B3">
        <w:rPr>
          <w:rFonts w:ascii="Times New Roman" w:hAnsi="Times New Roman" w:cs="Times New Roman"/>
          <w:sz w:val="24"/>
          <w:szCs w:val="24"/>
        </w:rPr>
        <w:t xml:space="preserve">average results </w:t>
      </w:r>
      <w:r w:rsidR="005678B2">
        <w:rPr>
          <w:rFonts w:ascii="Times New Roman" w:hAnsi="Times New Roman" w:cs="Times New Roman"/>
          <w:sz w:val="24"/>
          <w:szCs w:val="24"/>
        </w:rPr>
        <w:t xml:space="preserve">(across possible regulatory reset dates) </w:t>
      </w:r>
      <w:r w:rsidR="00BC26B3">
        <w:rPr>
          <w:rFonts w:ascii="Times New Roman" w:hAnsi="Times New Roman" w:cs="Times New Roman"/>
          <w:sz w:val="24"/>
          <w:szCs w:val="24"/>
        </w:rPr>
        <w:t>are reproduced in</w:t>
      </w:r>
      <w:r w:rsidR="00A96868">
        <w:rPr>
          <w:rFonts w:ascii="Times New Roman" w:hAnsi="Times New Roman" w:cs="Times New Roman"/>
          <w:sz w:val="24"/>
          <w:szCs w:val="24"/>
        </w:rPr>
        <w:t xml:space="preserve"> the first row of Table 2 below.  </w:t>
      </w:r>
      <w:r w:rsidR="008D6CE0">
        <w:rPr>
          <w:rFonts w:ascii="Times New Roman" w:hAnsi="Times New Roman" w:cs="Times New Roman"/>
          <w:sz w:val="24"/>
          <w:szCs w:val="24"/>
        </w:rPr>
        <w:t xml:space="preserve">CEG notes that this </w:t>
      </w:r>
      <w:r w:rsidR="004D4CFB">
        <w:rPr>
          <w:rFonts w:ascii="Times New Roman" w:hAnsi="Times New Roman" w:cs="Times New Roman"/>
          <w:sz w:val="24"/>
          <w:szCs w:val="24"/>
        </w:rPr>
        <w:t xml:space="preserve">analysis presumes that </w:t>
      </w:r>
      <w:r w:rsidR="00104A16">
        <w:rPr>
          <w:rFonts w:ascii="Times New Roman" w:hAnsi="Times New Roman" w:cs="Times New Roman"/>
          <w:sz w:val="24"/>
          <w:szCs w:val="24"/>
        </w:rPr>
        <w:t xml:space="preserve">there is no future </w:t>
      </w:r>
      <w:r w:rsidR="00607EFA">
        <w:rPr>
          <w:rFonts w:ascii="Times New Roman" w:hAnsi="Times New Roman" w:cs="Times New Roman"/>
          <w:sz w:val="24"/>
          <w:szCs w:val="24"/>
        </w:rPr>
        <w:t>(</w:t>
      </w:r>
      <w:r w:rsidR="008D6CE0">
        <w:rPr>
          <w:rFonts w:ascii="Times New Roman" w:hAnsi="Times New Roman" w:cs="Times New Roman"/>
          <w:sz w:val="24"/>
          <w:szCs w:val="24"/>
        </w:rPr>
        <w:t>expected</w:t>
      </w:r>
      <w:r w:rsidR="00607EFA">
        <w:rPr>
          <w:rFonts w:ascii="Times New Roman" w:hAnsi="Times New Roman" w:cs="Times New Roman"/>
          <w:sz w:val="24"/>
          <w:szCs w:val="24"/>
        </w:rPr>
        <w:t xml:space="preserve">) </w:t>
      </w:r>
      <w:r w:rsidR="00104A16">
        <w:rPr>
          <w:rFonts w:ascii="Times New Roman" w:hAnsi="Times New Roman" w:cs="Times New Roman"/>
          <w:sz w:val="24"/>
          <w:szCs w:val="24"/>
        </w:rPr>
        <w:t>DRP shock before the full effects of the GFC shock have dissipated</w:t>
      </w:r>
      <w:r w:rsidR="004D4CFB">
        <w:rPr>
          <w:rFonts w:ascii="Times New Roman" w:hAnsi="Times New Roman" w:cs="Times New Roman"/>
          <w:sz w:val="24"/>
          <w:szCs w:val="24"/>
        </w:rPr>
        <w:t xml:space="preserve">.  </w:t>
      </w:r>
      <w:r w:rsidR="00607EFA">
        <w:rPr>
          <w:rFonts w:ascii="Times New Roman" w:hAnsi="Times New Roman" w:cs="Times New Roman"/>
          <w:sz w:val="24"/>
          <w:szCs w:val="24"/>
        </w:rPr>
        <w:t xml:space="preserve">This is a reasonable assumption.  </w:t>
      </w:r>
      <w:r w:rsidR="004D4CFB">
        <w:rPr>
          <w:rFonts w:ascii="Times New Roman" w:hAnsi="Times New Roman" w:cs="Times New Roman"/>
          <w:sz w:val="24"/>
          <w:szCs w:val="24"/>
        </w:rPr>
        <w:t xml:space="preserve">However the results </w:t>
      </w:r>
      <w:r w:rsidR="00104A16">
        <w:rPr>
          <w:rFonts w:ascii="Times New Roman" w:hAnsi="Times New Roman" w:cs="Times New Roman"/>
          <w:sz w:val="24"/>
          <w:szCs w:val="24"/>
        </w:rPr>
        <w:t>would be similar even if this were not the case.</w:t>
      </w:r>
      <w:r w:rsidR="004D4CFB">
        <w:rPr>
          <w:rFonts w:ascii="Times New Roman" w:hAnsi="Times New Roman" w:cs="Times New Roman"/>
          <w:sz w:val="24"/>
          <w:szCs w:val="24"/>
        </w:rPr>
        <w:t xml:space="preserve">  For example, the third row of Table 2 </w:t>
      </w:r>
      <w:r w:rsidR="005678B2">
        <w:rPr>
          <w:rFonts w:ascii="Times New Roman" w:hAnsi="Times New Roman" w:cs="Times New Roman"/>
          <w:sz w:val="24"/>
          <w:szCs w:val="24"/>
        </w:rPr>
        <w:t xml:space="preserve">reruns </w:t>
      </w:r>
      <w:r w:rsidR="00104A16">
        <w:rPr>
          <w:rFonts w:ascii="Times New Roman" w:hAnsi="Times New Roman" w:cs="Times New Roman"/>
          <w:sz w:val="24"/>
          <w:szCs w:val="24"/>
        </w:rPr>
        <w:t xml:space="preserve">Lally’s </w:t>
      </w:r>
      <w:r w:rsidR="00F6399F">
        <w:rPr>
          <w:rFonts w:ascii="Times New Roman" w:hAnsi="Times New Roman" w:cs="Times New Roman"/>
          <w:sz w:val="24"/>
          <w:szCs w:val="24"/>
        </w:rPr>
        <w:t xml:space="preserve">(2014a, Table 4) </w:t>
      </w:r>
      <w:r w:rsidR="005678B2">
        <w:rPr>
          <w:rFonts w:ascii="Times New Roman" w:hAnsi="Times New Roman" w:cs="Times New Roman"/>
          <w:sz w:val="24"/>
          <w:szCs w:val="24"/>
        </w:rPr>
        <w:t xml:space="preserve">analysis subject to adding </w:t>
      </w:r>
      <w:r w:rsidR="008D6CE0">
        <w:rPr>
          <w:rFonts w:ascii="Times New Roman" w:hAnsi="Times New Roman" w:cs="Times New Roman"/>
          <w:sz w:val="24"/>
          <w:szCs w:val="24"/>
        </w:rPr>
        <w:t xml:space="preserve">an expected DRP shock of the type described </w:t>
      </w:r>
      <w:r w:rsidR="005678B2">
        <w:rPr>
          <w:rFonts w:ascii="Times New Roman" w:hAnsi="Times New Roman" w:cs="Times New Roman"/>
          <w:sz w:val="24"/>
          <w:szCs w:val="24"/>
        </w:rPr>
        <w:t xml:space="preserve">by CEG (commencing in 2018).  The second </w:t>
      </w:r>
      <w:r w:rsidR="00104A16">
        <w:rPr>
          <w:rFonts w:ascii="Times New Roman" w:hAnsi="Times New Roman" w:cs="Times New Roman"/>
          <w:sz w:val="24"/>
          <w:szCs w:val="24"/>
        </w:rPr>
        <w:t xml:space="preserve">row reruns </w:t>
      </w:r>
      <w:r w:rsidR="005678B2">
        <w:rPr>
          <w:rFonts w:ascii="Times New Roman" w:hAnsi="Times New Roman" w:cs="Times New Roman"/>
          <w:sz w:val="24"/>
          <w:szCs w:val="24"/>
        </w:rPr>
        <w:t xml:space="preserve">the analysis with the </w:t>
      </w:r>
      <w:r w:rsidR="008D6CE0">
        <w:rPr>
          <w:rFonts w:ascii="Times New Roman" w:hAnsi="Times New Roman" w:cs="Times New Roman"/>
          <w:sz w:val="24"/>
          <w:szCs w:val="24"/>
        </w:rPr>
        <w:t xml:space="preserve">additional </w:t>
      </w:r>
      <w:r w:rsidR="005678B2">
        <w:rPr>
          <w:rFonts w:ascii="Times New Roman" w:hAnsi="Times New Roman" w:cs="Times New Roman"/>
          <w:sz w:val="24"/>
          <w:szCs w:val="24"/>
        </w:rPr>
        <w:t xml:space="preserve">shock </w:t>
      </w:r>
      <w:r w:rsidR="008D6CE0">
        <w:rPr>
          <w:rFonts w:ascii="Times New Roman" w:hAnsi="Times New Roman" w:cs="Times New Roman"/>
          <w:sz w:val="24"/>
          <w:szCs w:val="24"/>
        </w:rPr>
        <w:t xml:space="preserve">commencing </w:t>
      </w:r>
      <w:r w:rsidR="00104A16">
        <w:rPr>
          <w:rFonts w:ascii="Times New Roman" w:hAnsi="Times New Roman" w:cs="Times New Roman"/>
          <w:sz w:val="24"/>
          <w:szCs w:val="24"/>
        </w:rPr>
        <w:t xml:space="preserve">instead in 2017, </w:t>
      </w:r>
      <w:r w:rsidR="005678B2">
        <w:rPr>
          <w:rFonts w:ascii="Times New Roman" w:hAnsi="Times New Roman" w:cs="Times New Roman"/>
          <w:sz w:val="24"/>
          <w:szCs w:val="24"/>
        </w:rPr>
        <w:t xml:space="preserve">and </w:t>
      </w:r>
      <w:r w:rsidR="00104A16">
        <w:rPr>
          <w:rFonts w:ascii="Times New Roman" w:hAnsi="Times New Roman" w:cs="Times New Roman"/>
          <w:sz w:val="24"/>
          <w:szCs w:val="24"/>
        </w:rPr>
        <w:t xml:space="preserve">the fourth row reruns it with the additional shock </w:t>
      </w:r>
      <w:r w:rsidR="008D6CE0">
        <w:rPr>
          <w:rFonts w:ascii="Times New Roman" w:hAnsi="Times New Roman" w:cs="Times New Roman"/>
          <w:sz w:val="24"/>
          <w:szCs w:val="24"/>
        </w:rPr>
        <w:t xml:space="preserve">commencing </w:t>
      </w:r>
      <w:r w:rsidR="00104A16">
        <w:rPr>
          <w:rFonts w:ascii="Times New Roman" w:hAnsi="Times New Roman" w:cs="Times New Roman"/>
          <w:sz w:val="24"/>
          <w:szCs w:val="24"/>
        </w:rPr>
        <w:t>instead in 2019</w:t>
      </w:r>
      <w:r w:rsidR="005678B2">
        <w:rPr>
          <w:rFonts w:ascii="Times New Roman" w:hAnsi="Times New Roman" w:cs="Times New Roman"/>
          <w:sz w:val="24"/>
          <w:szCs w:val="24"/>
        </w:rPr>
        <w:t xml:space="preserve">.  The last row averages over the three preceding rows.  In all cases, the </w:t>
      </w:r>
      <w:r w:rsidR="00104A16">
        <w:rPr>
          <w:rFonts w:ascii="Times New Roman" w:hAnsi="Times New Roman" w:cs="Times New Roman"/>
          <w:sz w:val="24"/>
          <w:szCs w:val="24"/>
        </w:rPr>
        <w:t xml:space="preserve">present value effect of these shocks are favourable but they are much more favourable with immediate adoption of the new regime (in 2014) than </w:t>
      </w:r>
      <w:r w:rsidR="008D6CE0">
        <w:rPr>
          <w:rFonts w:ascii="Times New Roman" w:hAnsi="Times New Roman" w:cs="Times New Roman"/>
          <w:sz w:val="24"/>
          <w:szCs w:val="24"/>
        </w:rPr>
        <w:t>with continuation of the old regime</w:t>
      </w:r>
      <w:r w:rsidR="00104A16">
        <w:rPr>
          <w:rFonts w:ascii="Times New Roman" w:hAnsi="Times New Roman" w:cs="Times New Roman"/>
          <w:sz w:val="24"/>
          <w:szCs w:val="24"/>
        </w:rPr>
        <w:t xml:space="preserve">, and adoption of the </w:t>
      </w:r>
      <w:r w:rsidR="005678B2">
        <w:rPr>
          <w:rFonts w:ascii="Times New Roman" w:hAnsi="Times New Roman" w:cs="Times New Roman"/>
          <w:sz w:val="24"/>
          <w:szCs w:val="24"/>
        </w:rPr>
        <w:t xml:space="preserve">transitional regime </w:t>
      </w:r>
      <w:r w:rsidR="00104A16">
        <w:rPr>
          <w:rFonts w:ascii="Times New Roman" w:hAnsi="Times New Roman" w:cs="Times New Roman"/>
          <w:sz w:val="24"/>
          <w:szCs w:val="24"/>
        </w:rPr>
        <w:t xml:space="preserve">produces results similar to those </w:t>
      </w:r>
      <w:r w:rsidR="00F6399F">
        <w:rPr>
          <w:rFonts w:ascii="Times New Roman" w:hAnsi="Times New Roman" w:cs="Times New Roman"/>
          <w:sz w:val="24"/>
          <w:szCs w:val="24"/>
        </w:rPr>
        <w:t xml:space="preserve">from </w:t>
      </w:r>
      <w:r w:rsidR="008D6CE0">
        <w:rPr>
          <w:rFonts w:ascii="Times New Roman" w:hAnsi="Times New Roman" w:cs="Times New Roman"/>
          <w:sz w:val="24"/>
          <w:szCs w:val="24"/>
        </w:rPr>
        <w:t xml:space="preserve">continuation of the old regime.  Thus, CEG’s example does not undercut anything in </w:t>
      </w:r>
      <w:r w:rsidR="00F6399F">
        <w:rPr>
          <w:rFonts w:ascii="Times New Roman" w:hAnsi="Times New Roman" w:cs="Times New Roman"/>
          <w:sz w:val="24"/>
          <w:szCs w:val="24"/>
        </w:rPr>
        <w:t xml:space="preserve">the analysis in Lally </w:t>
      </w:r>
      <w:r w:rsidR="008D6CE0">
        <w:rPr>
          <w:rFonts w:ascii="Times New Roman" w:hAnsi="Times New Roman" w:cs="Times New Roman"/>
          <w:sz w:val="24"/>
          <w:szCs w:val="24"/>
        </w:rPr>
        <w:t>(2014</w:t>
      </w:r>
      <w:r w:rsidR="00F6399F">
        <w:rPr>
          <w:rFonts w:ascii="Times New Roman" w:hAnsi="Times New Roman" w:cs="Times New Roman"/>
          <w:sz w:val="24"/>
          <w:szCs w:val="24"/>
        </w:rPr>
        <w:t>a, Table 4)</w:t>
      </w:r>
      <w:r w:rsidR="008D6CE0">
        <w:rPr>
          <w:rFonts w:ascii="Times New Roman" w:hAnsi="Times New Roman" w:cs="Times New Roman"/>
          <w:sz w:val="24"/>
          <w:szCs w:val="24"/>
        </w:rPr>
        <w:t>.</w:t>
      </w:r>
    </w:p>
    <w:p w:rsidR="00BC26B3" w:rsidRDefault="00BC26B3" w:rsidP="004815BE">
      <w:pPr>
        <w:pStyle w:val="ListParagraph"/>
        <w:spacing w:after="0" w:line="360" w:lineRule="auto"/>
        <w:ind w:left="0"/>
        <w:jc w:val="both"/>
        <w:rPr>
          <w:rFonts w:ascii="Times New Roman" w:hAnsi="Times New Roman" w:cs="Times New Roman"/>
          <w:sz w:val="24"/>
          <w:szCs w:val="24"/>
        </w:rPr>
      </w:pPr>
    </w:p>
    <w:p w:rsidR="00D770E6" w:rsidRDefault="00D770E6" w:rsidP="00D770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(2015, section 5.6) argues that immediate adoption of the new regime will ensure that the allowed DRP matches the costs incurred by a BEE from that point and this is consistent </w:t>
      </w:r>
      <w:r>
        <w:rPr>
          <w:rFonts w:ascii="Times New Roman" w:hAnsi="Times New Roman" w:cs="Times New Roman"/>
          <w:sz w:val="24"/>
          <w:szCs w:val="24"/>
        </w:rPr>
        <w:lastRenderedPageBreak/>
        <w:t xml:space="preserve">with the NPV = 0 principle.  However, by definition, this NPV = 0 principle applies to the cash flows of an investment over its entire life and therefore must be applied from the commencement date of the new investment rather than part-way through its life.  Thus the fact that a new regime (adopted immediately from a point part-way through the life of an asset) yields DRP allowances from that point that match the costs of a DRP does not imply that it satisfies the NPV = 0 principle.  As discussed in section 8.3 above, if the regulatory regime is changed part-way through the life of an asset, the </w:t>
      </w:r>
      <w:r w:rsidRPr="009F241E">
        <w:rPr>
          <w:rFonts w:ascii="Times New Roman" w:hAnsi="Times New Roman" w:cs="Times New Roman"/>
          <w:sz w:val="24"/>
          <w:szCs w:val="24"/>
        </w:rPr>
        <w:t xml:space="preserve">only viable regulatory policy is to </w:t>
      </w:r>
      <w:r>
        <w:rPr>
          <w:rFonts w:ascii="Times New Roman" w:hAnsi="Times New Roman" w:cs="Times New Roman"/>
          <w:sz w:val="24"/>
          <w:szCs w:val="24"/>
        </w:rPr>
        <w:t xml:space="preserve">neutralize the one-off </w:t>
      </w:r>
      <w:r w:rsidRPr="009F241E">
        <w:rPr>
          <w:rFonts w:ascii="Times New Roman" w:hAnsi="Times New Roman" w:cs="Times New Roman"/>
          <w:sz w:val="24"/>
          <w:szCs w:val="24"/>
        </w:rPr>
        <w:t xml:space="preserve">temporary effects of </w:t>
      </w:r>
      <w:r>
        <w:rPr>
          <w:rFonts w:ascii="Times New Roman" w:hAnsi="Times New Roman" w:cs="Times New Roman"/>
          <w:sz w:val="24"/>
          <w:szCs w:val="24"/>
        </w:rPr>
        <w:t>regime changes or at least those effects that are large in either direction.</w:t>
      </w:r>
    </w:p>
    <w:p w:rsidR="00D770E6" w:rsidRDefault="00D770E6" w:rsidP="004815BE">
      <w:pPr>
        <w:pStyle w:val="ListParagraph"/>
        <w:spacing w:after="0" w:line="360" w:lineRule="auto"/>
        <w:ind w:left="0"/>
        <w:jc w:val="both"/>
        <w:rPr>
          <w:rFonts w:ascii="Times New Roman" w:hAnsi="Times New Roman" w:cs="Times New Roman"/>
          <w:sz w:val="24"/>
          <w:szCs w:val="24"/>
        </w:rPr>
      </w:pPr>
    </w:p>
    <w:p w:rsidR="00BC26B3" w:rsidRDefault="00BC26B3" w:rsidP="00BC26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Table 2: Present Value of Cash Flow Effects from GFC </w:t>
      </w:r>
      <w:r w:rsidR="002A3CAB">
        <w:rPr>
          <w:rFonts w:ascii="Times New Roman" w:hAnsi="Times New Roman" w:cs="Times New Roman"/>
          <w:sz w:val="24"/>
          <w:szCs w:val="24"/>
        </w:rPr>
        <w:t>and Later DRP Shocks</w:t>
      </w:r>
    </w:p>
    <w:p w:rsidR="00BC26B3" w:rsidRDefault="00BC26B3" w:rsidP="00BC26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C26B3" w:rsidRDefault="002A3CAB" w:rsidP="00BC2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Shock</w:t>
      </w:r>
      <w:r w:rsidR="00BC26B3">
        <w:rPr>
          <w:rFonts w:ascii="Times New Roman" w:hAnsi="Times New Roman" w:cs="Times New Roman"/>
          <w:sz w:val="24"/>
          <w:szCs w:val="24"/>
        </w:rPr>
        <w:t xml:space="preserve">                                            Old Regime               New: No Trans             New: Trans</w:t>
      </w:r>
    </w:p>
    <w:p w:rsidR="00BC26B3" w:rsidRDefault="00BC26B3" w:rsidP="00BC26B3">
      <w:pPr>
        <w:tabs>
          <w:tab w:val="left" w:pos="1701"/>
          <w:tab w:val="left" w:pos="3119"/>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A3CAB" w:rsidRDefault="002A3CAB" w:rsidP="00BC26B3">
      <w:pPr>
        <w:tabs>
          <w:tab w:val="left" w:pos="3600"/>
          <w:tab w:val="left" w:pos="576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GFC Shock Only</w:t>
      </w:r>
      <w:r>
        <w:rPr>
          <w:rFonts w:ascii="Times New Roman" w:hAnsi="Times New Roman" w:cs="Times New Roman"/>
          <w:sz w:val="24"/>
          <w:szCs w:val="24"/>
        </w:rPr>
        <w:tab/>
        <w:t>1.3%</w:t>
      </w:r>
      <w:r w:rsidR="00BC26B3">
        <w:rPr>
          <w:rFonts w:ascii="Times New Roman" w:hAnsi="Times New Roman" w:cs="Times New Roman"/>
          <w:sz w:val="24"/>
          <w:szCs w:val="24"/>
        </w:rPr>
        <w:tab/>
      </w:r>
      <w:r>
        <w:rPr>
          <w:rFonts w:ascii="Times New Roman" w:hAnsi="Times New Roman" w:cs="Times New Roman"/>
          <w:sz w:val="24"/>
          <w:szCs w:val="24"/>
        </w:rPr>
        <w:t>3.4%</w:t>
      </w:r>
      <w:r w:rsidR="00BC26B3">
        <w:rPr>
          <w:rFonts w:ascii="Times New Roman" w:hAnsi="Times New Roman" w:cs="Times New Roman"/>
          <w:sz w:val="24"/>
          <w:szCs w:val="24"/>
        </w:rPr>
        <w:tab/>
      </w:r>
      <w:r>
        <w:rPr>
          <w:rFonts w:ascii="Times New Roman" w:hAnsi="Times New Roman" w:cs="Times New Roman"/>
          <w:sz w:val="24"/>
          <w:szCs w:val="24"/>
        </w:rPr>
        <w:t>1.3%</w:t>
      </w:r>
    </w:p>
    <w:p w:rsidR="002A3CAB" w:rsidRDefault="002A3CAB" w:rsidP="00BC26B3">
      <w:pPr>
        <w:tabs>
          <w:tab w:val="left" w:pos="3600"/>
          <w:tab w:val="left" w:pos="576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GFC Shock and 2017 Shock</w:t>
      </w:r>
      <w:r>
        <w:rPr>
          <w:rFonts w:ascii="Times New Roman" w:hAnsi="Times New Roman" w:cs="Times New Roman"/>
          <w:sz w:val="24"/>
          <w:szCs w:val="24"/>
        </w:rPr>
        <w:tab/>
        <w:t>1.7%</w:t>
      </w:r>
      <w:r>
        <w:rPr>
          <w:rFonts w:ascii="Times New Roman" w:hAnsi="Times New Roman" w:cs="Times New Roman"/>
          <w:sz w:val="24"/>
          <w:szCs w:val="24"/>
        </w:rPr>
        <w:tab/>
        <w:t>3.4%</w:t>
      </w:r>
      <w:r>
        <w:rPr>
          <w:rFonts w:ascii="Times New Roman" w:hAnsi="Times New Roman" w:cs="Times New Roman"/>
          <w:sz w:val="24"/>
          <w:szCs w:val="24"/>
        </w:rPr>
        <w:tab/>
        <w:t>2.4%</w:t>
      </w:r>
    </w:p>
    <w:p w:rsidR="002A3CAB" w:rsidRDefault="002A3CAB" w:rsidP="00BC26B3">
      <w:pPr>
        <w:tabs>
          <w:tab w:val="left" w:pos="3600"/>
          <w:tab w:val="left" w:pos="576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GFC Shock and 2018 Shock</w:t>
      </w:r>
      <w:r>
        <w:rPr>
          <w:rFonts w:ascii="Times New Roman" w:hAnsi="Times New Roman" w:cs="Times New Roman"/>
          <w:sz w:val="24"/>
          <w:szCs w:val="24"/>
        </w:rPr>
        <w:tab/>
      </w:r>
      <w:r w:rsidR="00A96868">
        <w:rPr>
          <w:rFonts w:ascii="Times New Roman" w:hAnsi="Times New Roman" w:cs="Times New Roman"/>
          <w:sz w:val="24"/>
          <w:szCs w:val="24"/>
        </w:rPr>
        <w:t>1.7%</w:t>
      </w:r>
      <w:r w:rsidR="00A96868">
        <w:rPr>
          <w:rFonts w:ascii="Times New Roman" w:hAnsi="Times New Roman" w:cs="Times New Roman"/>
          <w:sz w:val="24"/>
          <w:szCs w:val="24"/>
        </w:rPr>
        <w:tab/>
        <w:t>3.4%</w:t>
      </w:r>
      <w:r w:rsidR="00A96868">
        <w:rPr>
          <w:rFonts w:ascii="Times New Roman" w:hAnsi="Times New Roman" w:cs="Times New Roman"/>
          <w:sz w:val="24"/>
          <w:szCs w:val="24"/>
        </w:rPr>
        <w:tab/>
        <w:t>2.3%</w:t>
      </w:r>
    </w:p>
    <w:p w:rsidR="00BC26B3" w:rsidRDefault="002A3CAB" w:rsidP="00BC26B3">
      <w:pPr>
        <w:tabs>
          <w:tab w:val="left" w:pos="3600"/>
          <w:tab w:val="left" w:pos="576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GFC Shock and 2019 Shock</w:t>
      </w:r>
      <w:r w:rsidR="00A96868">
        <w:rPr>
          <w:rFonts w:ascii="Times New Roman" w:hAnsi="Times New Roman" w:cs="Times New Roman"/>
          <w:sz w:val="24"/>
          <w:szCs w:val="24"/>
        </w:rPr>
        <w:tab/>
        <w:t>1.7%</w:t>
      </w:r>
      <w:r w:rsidR="00A96868">
        <w:rPr>
          <w:rFonts w:ascii="Times New Roman" w:hAnsi="Times New Roman" w:cs="Times New Roman"/>
          <w:sz w:val="24"/>
          <w:szCs w:val="24"/>
        </w:rPr>
        <w:tab/>
        <w:t>3.4%</w:t>
      </w:r>
      <w:r w:rsidR="00A96868">
        <w:rPr>
          <w:rFonts w:ascii="Times New Roman" w:hAnsi="Times New Roman" w:cs="Times New Roman"/>
          <w:sz w:val="24"/>
          <w:szCs w:val="24"/>
        </w:rPr>
        <w:tab/>
        <w:t>1.3%</w:t>
      </w:r>
      <w:r>
        <w:rPr>
          <w:rFonts w:ascii="Times New Roman" w:hAnsi="Times New Roman" w:cs="Times New Roman"/>
          <w:sz w:val="24"/>
          <w:szCs w:val="24"/>
        </w:rPr>
        <w:tab/>
      </w:r>
    </w:p>
    <w:p w:rsidR="00BC26B3" w:rsidRDefault="00BC26B3" w:rsidP="00BC26B3">
      <w:pPr>
        <w:tabs>
          <w:tab w:val="left" w:pos="3600"/>
          <w:tab w:val="left" w:pos="5760"/>
          <w:tab w:val="left" w:pos="7920"/>
        </w:tabs>
        <w:spacing w:after="0" w:line="240" w:lineRule="auto"/>
        <w:jc w:val="both"/>
        <w:rPr>
          <w:rFonts w:ascii="Times New Roman" w:hAnsi="Times New Roman" w:cs="Times New Roman"/>
          <w:sz w:val="24"/>
          <w:szCs w:val="24"/>
        </w:rPr>
      </w:pPr>
      <w:r w:rsidRPr="00EF2032">
        <w:rPr>
          <w:rFonts w:ascii="Times New Roman" w:hAnsi="Times New Roman" w:cs="Times New Roman"/>
          <w:i/>
          <w:sz w:val="24"/>
          <w:szCs w:val="24"/>
        </w:rPr>
        <w:t>Average</w:t>
      </w:r>
      <w:r>
        <w:rPr>
          <w:rFonts w:ascii="Times New Roman" w:hAnsi="Times New Roman" w:cs="Times New Roman"/>
          <w:sz w:val="24"/>
          <w:szCs w:val="24"/>
        </w:rPr>
        <w:tab/>
      </w:r>
      <w:r w:rsidR="00A96868">
        <w:rPr>
          <w:rFonts w:ascii="Times New Roman" w:hAnsi="Times New Roman" w:cs="Times New Roman"/>
          <w:sz w:val="24"/>
          <w:szCs w:val="24"/>
        </w:rPr>
        <w:t>1.7</w:t>
      </w:r>
      <w:r>
        <w:rPr>
          <w:rFonts w:ascii="Times New Roman" w:hAnsi="Times New Roman" w:cs="Times New Roman"/>
          <w:sz w:val="24"/>
          <w:szCs w:val="24"/>
        </w:rPr>
        <w:t>%</w:t>
      </w:r>
      <w:r>
        <w:rPr>
          <w:rFonts w:ascii="Times New Roman" w:hAnsi="Times New Roman" w:cs="Times New Roman"/>
          <w:sz w:val="24"/>
          <w:szCs w:val="24"/>
        </w:rPr>
        <w:tab/>
        <w:t>3.4%</w:t>
      </w:r>
      <w:r>
        <w:rPr>
          <w:rFonts w:ascii="Times New Roman" w:hAnsi="Times New Roman" w:cs="Times New Roman"/>
          <w:sz w:val="24"/>
          <w:szCs w:val="24"/>
        </w:rPr>
        <w:tab/>
      </w:r>
      <w:r w:rsidR="00A96868">
        <w:rPr>
          <w:rFonts w:ascii="Times New Roman" w:hAnsi="Times New Roman" w:cs="Times New Roman"/>
          <w:sz w:val="24"/>
          <w:szCs w:val="24"/>
        </w:rPr>
        <w:t>1.9</w:t>
      </w:r>
      <w:r>
        <w:rPr>
          <w:rFonts w:ascii="Times New Roman" w:hAnsi="Times New Roman" w:cs="Times New Roman"/>
          <w:sz w:val="24"/>
          <w:szCs w:val="24"/>
        </w:rPr>
        <w:t>%</w:t>
      </w:r>
      <w:r>
        <w:rPr>
          <w:rFonts w:ascii="Times New Roman" w:hAnsi="Times New Roman" w:cs="Times New Roman"/>
          <w:sz w:val="24"/>
          <w:szCs w:val="24"/>
        </w:rPr>
        <w:tab/>
      </w:r>
    </w:p>
    <w:p w:rsidR="00BC26B3" w:rsidRDefault="00BC26B3" w:rsidP="00BC26B3">
      <w:pPr>
        <w:tabs>
          <w:tab w:val="left" w:pos="1701"/>
          <w:tab w:val="left" w:pos="3119"/>
          <w:tab w:val="left" w:pos="4536"/>
          <w:tab w:val="left" w:pos="5954"/>
          <w:tab w:val="left" w:pos="7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815BE" w:rsidRDefault="004815BE" w:rsidP="004815BE">
      <w:pPr>
        <w:spacing w:after="0" w:line="360" w:lineRule="auto"/>
        <w:jc w:val="both"/>
        <w:rPr>
          <w:rFonts w:ascii="Times New Roman" w:hAnsi="Times New Roman" w:cs="Times New Roman"/>
          <w:sz w:val="24"/>
          <w:szCs w:val="24"/>
        </w:rPr>
      </w:pPr>
    </w:p>
    <w:p w:rsidR="004815BE" w:rsidRDefault="00D2024F"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(2015, para 158) argues that immediate adoption (from 2014) of a trailing average is feasible, with equal weight on the two indexes that the AER favours (RBA and BVAL) going forwards.  </w:t>
      </w:r>
      <w:r w:rsidR="004815BE">
        <w:rPr>
          <w:rFonts w:ascii="Times New Roman" w:hAnsi="Times New Roman" w:cs="Times New Roman"/>
          <w:sz w:val="24"/>
          <w:szCs w:val="24"/>
        </w:rPr>
        <w:t>However, neither index is available back to mid 2004</w:t>
      </w:r>
      <w:r>
        <w:rPr>
          <w:rFonts w:ascii="Times New Roman" w:hAnsi="Times New Roman" w:cs="Times New Roman"/>
          <w:sz w:val="24"/>
          <w:szCs w:val="24"/>
        </w:rPr>
        <w:t xml:space="preserve">, which would be required in adopting a trailing average from </w:t>
      </w:r>
      <w:r w:rsidR="001C4262">
        <w:rPr>
          <w:rFonts w:ascii="Times New Roman" w:hAnsi="Times New Roman" w:cs="Times New Roman"/>
          <w:sz w:val="24"/>
          <w:szCs w:val="24"/>
        </w:rPr>
        <w:t xml:space="preserve">mid </w:t>
      </w:r>
      <w:r>
        <w:rPr>
          <w:rFonts w:ascii="Times New Roman" w:hAnsi="Times New Roman" w:cs="Times New Roman"/>
          <w:sz w:val="24"/>
          <w:szCs w:val="24"/>
        </w:rPr>
        <w:t>2014.</w:t>
      </w:r>
    </w:p>
    <w:p w:rsidR="004815BE" w:rsidRDefault="004815BE" w:rsidP="004815BE">
      <w:pPr>
        <w:spacing w:after="0" w:line="360" w:lineRule="auto"/>
        <w:jc w:val="both"/>
        <w:rPr>
          <w:rFonts w:ascii="Times New Roman" w:hAnsi="Times New Roman" w:cs="Times New Roman"/>
          <w:sz w:val="24"/>
          <w:szCs w:val="24"/>
        </w:rPr>
      </w:pPr>
    </w:p>
    <w:p w:rsidR="004815BE" w:rsidRDefault="00D2024F"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(2015, para 158) argues that, although </w:t>
      </w:r>
      <w:r w:rsidR="004815BE">
        <w:rPr>
          <w:rFonts w:ascii="Times New Roman" w:hAnsi="Times New Roman" w:cs="Times New Roman"/>
          <w:sz w:val="24"/>
          <w:szCs w:val="24"/>
        </w:rPr>
        <w:t xml:space="preserve">there are significant differences in DRP estimates from different series during the GFC, such a situation is likely to recur in the future and therefore past differences are not an impediment to immediately applying a </w:t>
      </w:r>
      <w:r>
        <w:rPr>
          <w:rFonts w:ascii="Times New Roman" w:hAnsi="Times New Roman" w:cs="Times New Roman"/>
          <w:sz w:val="24"/>
          <w:szCs w:val="24"/>
        </w:rPr>
        <w:t xml:space="preserve">trailing average.  </w:t>
      </w:r>
      <w:r w:rsidR="004815BE">
        <w:rPr>
          <w:rFonts w:ascii="Times New Roman" w:hAnsi="Times New Roman" w:cs="Times New Roman"/>
          <w:sz w:val="24"/>
          <w:szCs w:val="24"/>
        </w:rPr>
        <w:t>However, the GFC has given rise to the most severe DRP shock in the entire Moody’s US DRP series</w:t>
      </w:r>
      <w:r w:rsidR="001C4262">
        <w:rPr>
          <w:rFonts w:ascii="Times New Roman" w:hAnsi="Times New Roman" w:cs="Times New Roman"/>
          <w:sz w:val="24"/>
          <w:szCs w:val="24"/>
        </w:rPr>
        <w:t xml:space="preserve"> for BBB bonds (from 1953-2014), reaching 6.01% in December 2008, </w:t>
      </w:r>
      <w:r w:rsidR="004815BE">
        <w:rPr>
          <w:rFonts w:ascii="Times New Roman" w:hAnsi="Times New Roman" w:cs="Times New Roman"/>
          <w:sz w:val="24"/>
          <w:szCs w:val="24"/>
        </w:rPr>
        <w:t xml:space="preserve">and </w:t>
      </w:r>
      <w:r w:rsidR="006178CC">
        <w:rPr>
          <w:rFonts w:ascii="Times New Roman" w:hAnsi="Times New Roman" w:cs="Times New Roman"/>
          <w:sz w:val="24"/>
          <w:szCs w:val="24"/>
        </w:rPr>
        <w:t xml:space="preserve">the contemporaneous figure for Australia was over 9% in the RBA index (CEG, 2014a, Figure 1).  A </w:t>
      </w:r>
      <w:r w:rsidR="00BA1005">
        <w:rPr>
          <w:rFonts w:ascii="Times New Roman" w:hAnsi="Times New Roman" w:cs="Times New Roman"/>
          <w:sz w:val="24"/>
          <w:szCs w:val="24"/>
        </w:rPr>
        <w:t xml:space="preserve">shock </w:t>
      </w:r>
      <w:r w:rsidR="001C4262">
        <w:rPr>
          <w:rFonts w:ascii="Times New Roman" w:hAnsi="Times New Roman" w:cs="Times New Roman"/>
          <w:sz w:val="24"/>
          <w:szCs w:val="24"/>
        </w:rPr>
        <w:t xml:space="preserve">of this magnitude </w:t>
      </w:r>
      <w:r w:rsidR="00BA1005">
        <w:rPr>
          <w:rFonts w:ascii="Times New Roman" w:hAnsi="Times New Roman" w:cs="Times New Roman"/>
          <w:sz w:val="24"/>
          <w:szCs w:val="24"/>
        </w:rPr>
        <w:t>may never recur.</w:t>
      </w:r>
    </w:p>
    <w:p w:rsidR="004815BE" w:rsidRDefault="004815BE" w:rsidP="004815BE">
      <w:pPr>
        <w:spacing w:after="0" w:line="360" w:lineRule="auto"/>
        <w:jc w:val="both"/>
        <w:rPr>
          <w:rFonts w:ascii="Times New Roman" w:hAnsi="Times New Roman" w:cs="Times New Roman"/>
          <w:sz w:val="24"/>
          <w:szCs w:val="24"/>
        </w:rPr>
      </w:pPr>
    </w:p>
    <w:p w:rsidR="004815BE" w:rsidRDefault="00CE382C"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CEG (2015, section 6.1) argues that problems </w:t>
      </w:r>
      <w:r w:rsidR="004815BE">
        <w:rPr>
          <w:rFonts w:ascii="Times New Roman" w:hAnsi="Times New Roman" w:cs="Times New Roman"/>
          <w:sz w:val="24"/>
          <w:szCs w:val="24"/>
        </w:rPr>
        <w:t>associated with different DRP estimates across providers will be more severe for the proposed transitional regime than without it, because the latter benefits from random errors t</w:t>
      </w:r>
      <w:r>
        <w:rPr>
          <w:rFonts w:ascii="Times New Roman" w:hAnsi="Times New Roman" w:cs="Times New Roman"/>
          <w:sz w:val="24"/>
          <w:szCs w:val="24"/>
        </w:rPr>
        <w:t>hat tend to offset</w:t>
      </w:r>
      <w:r w:rsidR="004815BE">
        <w:rPr>
          <w:rFonts w:ascii="Times New Roman" w:hAnsi="Times New Roman" w:cs="Times New Roman"/>
          <w:sz w:val="24"/>
          <w:szCs w:val="24"/>
        </w:rPr>
        <w:t xml:space="preserve">.  However, this argument has been </w:t>
      </w:r>
      <w:r>
        <w:rPr>
          <w:rFonts w:ascii="Times New Roman" w:hAnsi="Times New Roman" w:cs="Times New Roman"/>
          <w:sz w:val="24"/>
          <w:szCs w:val="24"/>
        </w:rPr>
        <w:t>raised previously by CEG, and responded to by Lally (2014</w:t>
      </w:r>
      <w:r w:rsidR="003413E2">
        <w:rPr>
          <w:rFonts w:ascii="Times New Roman" w:hAnsi="Times New Roman" w:cs="Times New Roman"/>
          <w:sz w:val="24"/>
          <w:szCs w:val="24"/>
        </w:rPr>
        <w:t>a</w:t>
      </w:r>
      <w:r>
        <w:rPr>
          <w:rFonts w:ascii="Times New Roman" w:hAnsi="Times New Roman" w:cs="Times New Roman"/>
          <w:sz w:val="24"/>
          <w:szCs w:val="24"/>
        </w:rPr>
        <w:t>, page 34), but CEG fails to address these points.</w:t>
      </w:r>
    </w:p>
    <w:p w:rsidR="004815BE" w:rsidRDefault="004815BE" w:rsidP="004815BE">
      <w:pPr>
        <w:spacing w:after="0" w:line="360" w:lineRule="auto"/>
        <w:jc w:val="both"/>
        <w:rPr>
          <w:rFonts w:ascii="Times New Roman" w:hAnsi="Times New Roman" w:cs="Times New Roman"/>
          <w:sz w:val="24"/>
          <w:szCs w:val="24"/>
        </w:rPr>
      </w:pPr>
    </w:p>
    <w:p w:rsidR="004815BE" w:rsidRDefault="00CE382C"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(2015, section 6.1) argues that, although </w:t>
      </w:r>
      <w:r w:rsidR="004815BE">
        <w:rPr>
          <w:rFonts w:ascii="Times New Roman" w:hAnsi="Times New Roman" w:cs="Times New Roman"/>
          <w:sz w:val="24"/>
          <w:szCs w:val="24"/>
        </w:rPr>
        <w:t>there are significant differences in DRP estimates from different series during the GFC, these almost perfectly offset</w:t>
      </w:r>
      <w:r>
        <w:rPr>
          <w:rFonts w:ascii="Times New Roman" w:hAnsi="Times New Roman" w:cs="Times New Roman"/>
          <w:sz w:val="24"/>
          <w:szCs w:val="24"/>
        </w:rPr>
        <w:t xml:space="preserve">.  In particular, the </w:t>
      </w:r>
      <w:r w:rsidR="00E3565F">
        <w:rPr>
          <w:rFonts w:ascii="Times New Roman" w:hAnsi="Times New Roman" w:cs="Times New Roman"/>
          <w:sz w:val="24"/>
          <w:szCs w:val="24"/>
        </w:rPr>
        <w:t xml:space="preserve">BVAL/BFV </w:t>
      </w:r>
      <w:r w:rsidR="00553C3D">
        <w:rPr>
          <w:rFonts w:ascii="Times New Roman" w:hAnsi="Times New Roman" w:cs="Times New Roman"/>
          <w:sz w:val="24"/>
          <w:szCs w:val="24"/>
        </w:rPr>
        <w:t xml:space="preserve">(spliced together) and RBA </w:t>
      </w:r>
      <w:r w:rsidR="00E3565F">
        <w:rPr>
          <w:rFonts w:ascii="Times New Roman" w:hAnsi="Times New Roman" w:cs="Times New Roman"/>
          <w:sz w:val="24"/>
          <w:szCs w:val="24"/>
        </w:rPr>
        <w:t xml:space="preserve">series differ </w:t>
      </w:r>
      <w:r w:rsidR="005549E9">
        <w:rPr>
          <w:rFonts w:ascii="Times New Roman" w:hAnsi="Times New Roman" w:cs="Times New Roman"/>
          <w:sz w:val="24"/>
          <w:szCs w:val="24"/>
        </w:rPr>
        <w:t xml:space="preserve">on average </w:t>
      </w:r>
      <w:r w:rsidR="00E3565F">
        <w:rPr>
          <w:rFonts w:ascii="Times New Roman" w:hAnsi="Times New Roman" w:cs="Times New Roman"/>
          <w:sz w:val="24"/>
          <w:szCs w:val="24"/>
        </w:rPr>
        <w:t xml:space="preserve">by only 0.21% over the period </w:t>
      </w:r>
      <w:r w:rsidR="004815BE">
        <w:rPr>
          <w:rFonts w:ascii="Times New Roman" w:hAnsi="Times New Roman" w:cs="Times New Roman"/>
          <w:sz w:val="24"/>
          <w:szCs w:val="24"/>
        </w:rPr>
        <w:t>2005-2014</w:t>
      </w:r>
      <w:r w:rsidR="0099575B">
        <w:rPr>
          <w:rFonts w:ascii="Times New Roman" w:hAnsi="Times New Roman" w:cs="Times New Roman"/>
          <w:sz w:val="24"/>
          <w:szCs w:val="24"/>
        </w:rPr>
        <w:t xml:space="preserve">.  By comparison, the </w:t>
      </w:r>
      <w:r w:rsidR="004815BE">
        <w:rPr>
          <w:rFonts w:ascii="Times New Roman" w:hAnsi="Times New Roman" w:cs="Times New Roman"/>
          <w:sz w:val="24"/>
          <w:szCs w:val="24"/>
        </w:rPr>
        <w:t>BVAL and RBA series currently (Dec 2014) differ by 0.38%, and therefore use of the transitional regime is more exposed to differences in DRP estimate</w:t>
      </w:r>
      <w:r w:rsidR="0099575B">
        <w:rPr>
          <w:rFonts w:ascii="Times New Roman" w:hAnsi="Times New Roman" w:cs="Times New Roman"/>
          <w:sz w:val="24"/>
          <w:szCs w:val="24"/>
        </w:rPr>
        <w:t>s across providers than is immediate adoption of the trailing average</w:t>
      </w:r>
      <w:r w:rsidR="004815BE">
        <w:rPr>
          <w:rFonts w:ascii="Times New Roman" w:hAnsi="Times New Roman" w:cs="Times New Roman"/>
          <w:sz w:val="24"/>
          <w:szCs w:val="24"/>
        </w:rPr>
        <w:t>.  However,</w:t>
      </w:r>
      <w:r w:rsidR="005C55BA">
        <w:rPr>
          <w:rFonts w:ascii="Times New Roman" w:hAnsi="Times New Roman" w:cs="Times New Roman"/>
          <w:sz w:val="24"/>
          <w:szCs w:val="24"/>
        </w:rPr>
        <w:t xml:space="preserve"> </w:t>
      </w:r>
      <w:r w:rsidR="003413E2" w:rsidRPr="00253C45">
        <w:rPr>
          <w:rFonts w:ascii="Times New Roman" w:hAnsi="Times New Roman" w:cs="Times New Roman"/>
          <w:sz w:val="24"/>
          <w:szCs w:val="24"/>
        </w:rPr>
        <w:t>the first result</w:t>
      </w:r>
      <w:r w:rsidR="005C55BA" w:rsidRPr="00253C45">
        <w:rPr>
          <w:rFonts w:ascii="Times New Roman" w:hAnsi="Times New Roman" w:cs="Times New Roman"/>
          <w:sz w:val="24"/>
          <w:szCs w:val="24"/>
        </w:rPr>
        <w:t xml:space="preserve"> occurs because the RBA </w:t>
      </w:r>
      <w:r w:rsidR="003413E2" w:rsidRPr="00253C45">
        <w:rPr>
          <w:rFonts w:ascii="Times New Roman" w:hAnsi="Times New Roman" w:cs="Times New Roman"/>
          <w:sz w:val="24"/>
          <w:szCs w:val="24"/>
        </w:rPr>
        <w:t xml:space="preserve">index </w:t>
      </w:r>
      <w:r w:rsidR="005C55BA" w:rsidRPr="00253C45">
        <w:rPr>
          <w:rFonts w:ascii="Times New Roman" w:hAnsi="Times New Roman" w:cs="Times New Roman"/>
          <w:sz w:val="24"/>
          <w:szCs w:val="24"/>
        </w:rPr>
        <w:t xml:space="preserve">exceeds the BVAL/BFV </w:t>
      </w:r>
      <w:r w:rsidR="003413E2" w:rsidRPr="00253C45">
        <w:rPr>
          <w:rFonts w:ascii="Times New Roman" w:hAnsi="Times New Roman" w:cs="Times New Roman"/>
          <w:sz w:val="24"/>
          <w:szCs w:val="24"/>
        </w:rPr>
        <w:t xml:space="preserve">index </w:t>
      </w:r>
      <w:r w:rsidR="005C55BA" w:rsidRPr="00253C45">
        <w:rPr>
          <w:rFonts w:ascii="Times New Roman" w:hAnsi="Times New Roman" w:cs="Times New Roman"/>
          <w:sz w:val="24"/>
          <w:szCs w:val="24"/>
        </w:rPr>
        <w:t xml:space="preserve">at some points and is less </w:t>
      </w:r>
      <w:r w:rsidR="00677D78">
        <w:rPr>
          <w:rFonts w:ascii="Times New Roman" w:hAnsi="Times New Roman" w:cs="Times New Roman"/>
          <w:sz w:val="24"/>
          <w:szCs w:val="24"/>
        </w:rPr>
        <w:t xml:space="preserve">at </w:t>
      </w:r>
      <w:r w:rsidR="005C55BA" w:rsidRPr="00253C45">
        <w:rPr>
          <w:rFonts w:ascii="Times New Roman" w:hAnsi="Times New Roman" w:cs="Times New Roman"/>
          <w:sz w:val="24"/>
          <w:szCs w:val="24"/>
        </w:rPr>
        <w:t>othe</w:t>
      </w:r>
      <w:r w:rsidR="003413E2" w:rsidRPr="00253C45">
        <w:rPr>
          <w:rFonts w:ascii="Times New Roman" w:hAnsi="Times New Roman" w:cs="Times New Roman"/>
          <w:sz w:val="24"/>
          <w:szCs w:val="24"/>
        </w:rPr>
        <w:t xml:space="preserve">rs (CEG, 2014a, Figure 1), with approximate </w:t>
      </w:r>
      <w:r w:rsidR="005C55BA" w:rsidRPr="00253C45">
        <w:rPr>
          <w:rFonts w:ascii="Times New Roman" w:hAnsi="Times New Roman" w:cs="Times New Roman"/>
          <w:sz w:val="24"/>
          <w:szCs w:val="24"/>
        </w:rPr>
        <w:t xml:space="preserve">netting out over the period 2005-2014.  Thus, the historical average taken in 2014 for the previous ten years is almost invariant to the choice of index.  </w:t>
      </w:r>
      <w:r w:rsidR="003413E2" w:rsidRPr="00253C45">
        <w:rPr>
          <w:rFonts w:ascii="Times New Roman" w:hAnsi="Times New Roman" w:cs="Times New Roman"/>
          <w:sz w:val="24"/>
          <w:szCs w:val="24"/>
        </w:rPr>
        <w:t xml:space="preserve">However, as one </w:t>
      </w:r>
      <w:r w:rsidR="005C55BA" w:rsidRPr="00253C45">
        <w:rPr>
          <w:rFonts w:ascii="Times New Roman" w:hAnsi="Times New Roman" w:cs="Times New Roman"/>
          <w:sz w:val="24"/>
          <w:szCs w:val="24"/>
        </w:rPr>
        <w:t xml:space="preserve">moves forward in time, and takes a historical average over (say) the period 2010-2020, the same may not be true.  Furthermore, even over the period 2005-2014, </w:t>
      </w:r>
      <w:r w:rsidR="0018578A" w:rsidRPr="00253C45">
        <w:rPr>
          <w:rFonts w:ascii="Times New Roman" w:hAnsi="Times New Roman" w:cs="Times New Roman"/>
          <w:sz w:val="24"/>
          <w:szCs w:val="24"/>
        </w:rPr>
        <w:t xml:space="preserve">the </w:t>
      </w:r>
      <w:r w:rsidR="005549E9" w:rsidRPr="00253C45">
        <w:rPr>
          <w:rFonts w:ascii="Times New Roman" w:hAnsi="Times New Roman" w:cs="Times New Roman"/>
          <w:sz w:val="24"/>
          <w:szCs w:val="24"/>
        </w:rPr>
        <w:t>RBA and BFV/BVAL series differ dramatically at many points</w:t>
      </w:r>
      <w:r w:rsidR="0058557F" w:rsidRPr="00253C45">
        <w:rPr>
          <w:rFonts w:ascii="Times New Roman" w:hAnsi="Times New Roman" w:cs="Times New Roman"/>
          <w:sz w:val="24"/>
          <w:szCs w:val="24"/>
        </w:rPr>
        <w:t xml:space="preserve">, </w:t>
      </w:r>
      <w:r w:rsidR="005549E9" w:rsidRPr="00253C45">
        <w:rPr>
          <w:rFonts w:ascii="Times New Roman" w:hAnsi="Times New Roman" w:cs="Times New Roman"/>
          <w:sz w:val="24"/>
          <w:szCs w:val="24"/>
        </w:rPr>
        <w:t>ranging from the RBA exceeding the BFV by 5.5% in early 2009 to the BFV exceeding the RBA by 2% in early 2011</w:t>
      </w:r>
      <w:r w:rsidR="00AE3010" w:rsidRPr="00253C45">
        <w:rPr>
          <w:rFonts w:ascii="Times New Roman" w:hAnsi="Times New Roman" w:cs="Times New Roman"/>
          <w:sz w:val="24"/>
          <w:szCs w:val="24"/>
        </w:rPr>
        <w:t xml:space="preserve"> (</w:t>
      </w:r>
      <w:r w:rsidR="00E75832" w:rsidRPr="00253C45">
        <w:rPr>
          <w:rFonts w:ascii="Times New Roman" w:hAnsi="Times New Roman" w:cs="Times New Roman"/>
          <w:sz w:val="24"/>
          <w:szCs w:val="24"/>
        </w:rPr>
        <w:t xml:space="preserve">CEG, </w:t>
      </w:r>
      <w:r w:rsidR="00AE3010" w:rsidRPr="00253C45">
        <w:rPr>
          <w:rFonts w:ascii="Times New Roman" w:hAnsi="Times New Roman" w:cs="Times New Roman"/>
          <w:sz w:val="24"/>
          <w:szCs w:val="24"/>
        </w:rPr>
        <w:t>ibid)</w:t>
      </w:r>
      <w:r w:rsidR="005549E9" w:rsidRPr="00253C45">
        <w:rPr>
          <w:rFonts w:ascii="Times New Roman" w:hAnsi="Times New Roman" w:cs="Times New Roman"/>
          <w:sz w:val="24"/>
          <w:szCs w:val="24"/>
        </w:rPr>
        <w:t xml:space="preserve">.  Such differences raise the </w:t>
      </w:r>
      <w:r w:rsidR="006F4593" w:rsidRPr="00504069">
        <w:rPr>
          <w:rFonts w:ascii="Times New Roman" w:hAnsi="Times New Roman" w:cs="Times New Roman"/>
          <w:sz w:val="24"/>
          <w:szCs w:val="24"/>
        </w:rPr>
        <w:t>possibility</w:t>
      </w:r>
      <w:r w:rsidR="005549E9" w:rsidRPr="00504069">
        <w:rPr>
          <w:rFonts w:ascii="Times New Roman" w:hAnsi="Times New Roman" w:cs="Times New Roman"/>
          <w:sz w:val="24"/>
          <w:szCs w:val="24"/>
        </w:rPr>
        <w:t xml:space="preserve"> that (for example) the RBA was correct at </w:t>
      </w:r>
      <w:r w:rsidR="0058557F" w:rsidRPr="00504069">
        <w:rPr>
          <w:rFonts w:ascii="Times New Roman" w:hAnsi="Times New Roman" w:cs="Times New Roman"/>
          <w:sz w:val="24"/>
          <w:szCs w:val="24"/>
        </w:rPr>
        <w:t xml:space="preserve">points </w:t>
      </w:r>
      <w:r w:rsidR="005549E9" w:rsidRPr="00504069">
        <w:rPr>
          <w:rFonts w:ascii="Times New Roman" w:hAnsi="Times New Roman" w:cs="Times New Roman"/>
          <w:sz w:val="24"/>
          <w:szCs w:val="24"/>
        </w:rPr>
        <w:t xml:space="preserve">when it was the higher series whilst the BFV was correct at points when it was the higher series.  </w:t>
      </w:r>
      <w:r w:rsidR="0058557F" w:rsidRPr="00504069">
        <w:rPr>
          <w:rFonts w:ascii="Times New Roman" w:hAnsi="Times New Roman" w:cs="Times New Roman"/>
          <w:sz w:val="24"/>
          <w:szCs w:val="24"/>
        </w:rPr>
        <w:t>Thus, using either series</w:t>
      </w:r>
      <w:r w:rsidR="00174195" w:rsidRPr="00504069">
        <w:rPr>
          <w:rFonts w:ascii="Times New Roman" w:hAnsi="Times New Roman" w:cs="Times New Roman"/>
          <w:sz w:val="24"/>
          <w:szCs w:val="24"/>
        </w:rPr>
        <w:t xml:space="preserve"> consistently</w:t>
      </w:r>
      <w:r w:rsidR="0058557F" w:rsidRPr="00504069">
        <w:rPr>
          <w:rFonts w:ascii="Times New Roman" w:hAnsi="Times New Roman" w:cs="Times New Roman"/>
          <w:sz w:val="24"/>
          <w:szCs w:val="24"/>
        </w:rPr>
        <w:t xml:space="preserve"> over this historical period </w:t>
      </w:r>
      <w:r w:rsidR="003413E2" w:rsidRPr="00504069">
        <w:rPr>
          <w:rFonts w:ascii="Times New Roman" w:hAnsi="Times New Roman" w:cs="Times New Roman"/>
          <w:sz w:val="24"/>
          <w:szCs w:val="24"/>
        </w:rPr>
        <w:t>(</w:t>
      </w:r>
      <w:r w:rsidR="0058557F" w:rsidRPr="00504069">
        <w:rPr>
          <w:rFonts w:ascii="Times New Roman" w:hAnsi="Times New Roman" w:cs="Times New Roman"/>
          <w:sz w:val="24"/>
          <w:szCs w:val="24"/>
        </w:rPr>
        <w:t>or even an average</w:t>
      </w:r>
      <w:r w:rsidR="00174195" w:rsidRPr="00504069">
        <w:rPr>
          <w:rFonts w:ascii="Times New Roman" w:hAnsi="Times New Roman" w:cs="Times New Roman"/>
          <w:sz w:val="24"/>
          <w:szCs w:val="24"/>
        </w:rPr>
        <w:t xml:space="preserve"> at each point</w:t>
      </w:r>
      <w:r w:rsidR="003413E2" w:rsidRPr="00253C45">
        <w:rPr>
          <w:rFonts w:ascii="Times New Roman" w:hAnsi="Times New Roman" w:cs="Times New Roman"/>
          <w:sz w:val="24"/>
          <w:szCs w:val="24"/>
        </w:rPr>
        <w:t>)</w:t>
      </w:r>
      <w:r w:rsidR="0058557F" w:rsidRPr="00253C45">
        <w:rPr>
          <w:rFonts w:ascii="Times New Roman" w:hAnsi="Times New Roman" w:cs="Times New Roman"/>
          <w:sz w:val="24"/>
          <w:szCs w:val="24"/>
        </w:rPr>
        <w:t xml:space="preserve"> would underestimate the true DRP.  </w:t>
      </w:r>
      <w:r w:rsidR="005549E9" w:rsidRPr="00253C45">
        <w:rPr>
          <w:rFonts w:ascii="Times New Roman" w:hAnsi="Times New Roman" w:cs="Times New Roman"/>
          <w:sz w:val="24"/>
          <w:szCs w:val="24"/>
        </w:rPr>
        <w:t xml:space="preserve">If it were necessary to make some choice about these series, averaging would be </w:t>
      </w:r>
      <w:r w:rsidR="0058557F" w:rsidRPr="00253C45">
        <w:rPr>
          <w:rFonts w:ascii="Times New Roman" w:hAnsi="Times New Roman" w:cs="Times New Roman"/>
          <w:sz w:val="24"/>
          <w:szCs w:val="24"/>
        </w:rPr>
        <w:t>better</w:t>
      </w:r>
      <w:r w:rsidR="00AE3010" w:rsidRPr="00253C45">
        <w:rPr>
          <w:rFonts w:ascii="Times New Roman" w:hAnsi="Times New Roman" w:cs="Times New Roman"/>
          <w:sz w:val="24"/>
          <w:szCs w:val="24"/>
        </w:rPr>
        <w:t xml:space="preserve"> as argued in Lally (2014b)</w:t>
      </w:r>
      <w:r w:rsidR="005549E9" w:rsidRPr="00253C45">
        <w:rPr>
          <w:rFonts w:ascii="Times New Roman" w:hAnsi="Times New Roman" w:cs="Times New Roman"/>
          <w:sz w:val="24"/>
          <w:szCs w:val="24"/>
        </w:rPr>
        <w:t xml:space="preserve">.  However, even better would be to avoid the issue altogether by adopting the AER’s proposed transitional process, which does not require </w:t>
      </w:r>
      <w:r w:rsidR="0058557F" w:rsidRPr="00253C45">
        <w:rPr>
          <w:rFonts w:ascii="Times New Roman" w:hAnsi="Times New Roman" w:cs="Times New Roman"/>
          <w:sz w:val="24"/>
          <w:szCs w:val="24"/>
        </w:rPr>
        <w:t xml:space="preserve">this highly problematic </w:t>
      </w:r>
      <w:r w:rsidR="005549E9" w:rsidRPr="00253C45">
        <w:rPr>
          <w:rFonts w:ascii="Times New Roman" w:hAnsi="Times New Roman" w:cs="Times New Roman"/>
          <w:sz w:val="24"/>
          <w:szCs w:val="24"/>
        </w:rPr>
        <w:t>historical data.</w:t>
      </w:r>
      <w:r w:rsidR="005549E9">
        <w:rPr>
          <w:rFonts w:ascii="Times New Roman" w:hAnsi="Times New Roman" w:cs="Times New Roman"/>
          <w:sz w:val="24"/>
          <w:szCs w:val="24"/>
        </w:rPr>
        <w:t xml:space="preserve">  </w:t>
      </w:r>
    </w:p>
    <w:p w:rsidR="005549E9" w:rsidRDefault="005549E9" w:rsidP="004815BE">
      <w:pPr>
        <w:spacing w:after="0" w:line="360" w:lineRule="auto"/>
        <w:jc w:val="both"/>
        <w:rPr>
          <w:rFonts w:ascii="Times New Roman" w:hAnsi="Times New Roman" w:cs="Times New Roman"/>
          <w:sz w:val="24"/>
          <w:szCs w:val="24"/>
        </w:rPr>
      </w:pPr>
    </w:p>
    <w:p w:rsidR="004815BE" w:rsidRDefault="001344F2"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(2015, para 163) argues that much of the </w:t>
      </w:r>
      <w:r w:rsidR="004815BE">
        <w:rPr>
          <w:rFonts w:ascii="Times New Roman" w:hAnsi="Times New Roman" w:cs="Times New Roman"/>
          <w:sz w:val="24"/>
          <w:szCs w:val="24"/>
        </w:rPr>
        <w:t xml:space="preserve">justification for the AER’s adoption of a transitional regime for the DRP rests upon Lally’s </w:t>
      </w:r>
      <w:r>
        <w:rPr>
          <w:rFonts w:ascii="Times New Roman" w:hAnsi="Times New Roman" w:cs="Times New Roman"/>
          <w:sz w:val="24"/>
          <w:szCs w:val="24"/>
        </w:rPr>
        <w:t>(2014</w:t>
      </w:r>
      <w:r w:rsidR="003413E2">
        <w:rPr>
          <w:rFonts w:ascii="Times New Roman" w:hAnsi="Times New Roman" w:cs="Times New Roman"/>
          <w:sz w:val="24"/>
          <w:szCs w:val="24"/>
        </w:rPr>
        <w:t>a</w:t>
      </w:r>
      <w:r>
        <w:rPr>
          <w:rFonts w:ascii="Times New Roman" w:hAnsi="Times New Roman" w:cs="Times New Roman"/>
          <w:sz w:val="24"/>
          <w:szCs w:val="24"/>
        </w:rPr>
        <w:t xml:space="preserve">, section 3) </w:t>
      </w:r>
      <w:r w:rsidR="004815BE">
        <w:rPr>
          <w:rFonts w:ascii="Times New Roman" w:hAnsi="Times New Roman" w:cs="Times New Roman"/>
          <w:sz w:val="24"/>
          <w:szCs w:val="24"/>
        </w:rPr>
        <w:t xml:space="preserve">use of past </w:t>
      </w:r>
      <w:r>
        <w:rPr>
          <w:rFonts w:ascii="Times New Roman" w:hAnsi="Times New Roman" w:cs="Times New Roman"/>
          <w:sz w:val="24"/>
          <w:szCs w:val="24"/>
        </w:rPr>
        <w:t xml:space="preserve">DRP </w:t>
      </w:r>
      <w:r w:rsidR="004815BE">
        <w:rPr>
          <w:rFonts w:ascii="Times New Roman" w:hAnsi="Times New Roman" w:cs="Times New Roman"/>
          <w:sz w:val="24"/>
          <w:szCs w:val="24"/>
        </w:rPr>
        <w:t>data to demonstrate the presence of windfall gains, and it is inconsistent to do so whilst claiming that imperfections in past data are a barrier to immed</w:t>
      </w:r>
      <w:r>
        <w:rPr>
          <w:rFonts w:ascii="Times New Roman" w:hAnsi="Times New Roman" w:cs="Times New Roman"/>
          <w:sz w:val="24"/>
          <w:szCs w:val="24"/>
        </w:rPr>
        <w:t>iate adoption of a trailing average</w:t>
      </w:r>
      <w:r w:rsidR="004815BE">
        <w:rPr>
          <w:rFonts w:ascii="Times New Roman" w:hAnsi="Times New Roman" w:cs="Times New Roman"/>
          <w:sz w:val="24"/>
          <w:szCs w:val="24"/>
        </w:rPr>
        <w:t xml:space="preserve">.  However, the conclusions reached </w:t>
      </w:r>
      <w:r w:rsidR="003413E2">
        <w:rPr>
          <w:rFonts w:ascii="Times New Roman" w:hAnsi="Times New Roman" w:cs="Times New Roman"/>
          <w:sz w:val="24"/>
          <w:szCs w:val="24"/>
        </w:rPr>
        <w:t xml:space="preserve">in Lally (2014a, section 3) </w:t>
      </w:r>
      <w:r w:rsidR="004815BE">
        <w:rPr>
          <w:rFonts w:ascii="Times New Roman" w:hAnsi="Times New Roman" w:cs="Times New Roman"/>
          <w:sz w:val="24"/>
          <w:szCs w:val="24"/>
        </w:rPr>
        <w:t xml:space="preserve">about windfall gains are </w:t>
      </w:r>
      <w:r>
        <w:rPr>
          <w:rFonts w:ascii="Times New Roman" w:hAnsi="Times New Roman" w:cs="Times New Roman"/>
          <w:sz w:val="24"/>
          <w:szCs w:val="24"/>
        </w:rPr>
        <w:t xml:space="preserve">insensitive </w:t>
      </w:r>
      <w:r w:rsidR="004815BE">
        <w:rPr>
          <w:rFonts w:ascii="Times New Roman" w:hAnsi="Times New Roman" w:cs="Times New Roman"/>
          <w:sz w:val="24"/>
          <w:szCs w:val="24"/>
        </w:rPr>
        <w:t xml:space="preserve">to moderate errors in the data that are used.  By contrast, </w:t>
      </w:r>
      <w:r w:rsidR="004815BE" w:rsidRPr="001344F2">
        <w:rPr>
          <w:rFonts w:ascii="Times New Roman" w:hAnsi="Times New Roman" w:cs="Times New Roman"/>
          <w:i/>
          <w:sz w:val="24"/>
          <w:szCs w:val="24"/>
        </w:rPr>
        <w:t>any</w:t>
      </w:r>
      <w:r w:rsidR="004815BE">
        <w:rPr>
          <w:rFonts w:ascii="Times New Roman" w:hAnsi="Times New Roman" w:cs="Times New Roman"/>
          <w:sz w:val="24"/>
          <w:szCs w:val="24"/>
        </w:rPr>
        <w:t xml:space="preserve"> errors in past data </w:t>
      </w:r>
      <w:r>
        <w:rPr>
          <w:rFonts w:ascii="Times New Roman" w:hAnsi="Times New Roman" w:cs="Times New Roman"/>
          <w:sz w:val="24"/>
          <w:szCs w:val="24"/>
        </w:rPr>
        <w:t xml:space="preserve">that are used in </w:t>
      </w:r>
      <w:r>
        <w:rPr>
          <w:rFonts w:ascii="Times New Roman" w:hAnsi="Times New Roman" w:cs="Times New Roman"/>
          <w:sz w:val="24"/>
          <w:szCs w:val="24"/>
        </w:rPr>
        <w:lastRenderedPageBreak/>
        <w:t xml:space="preserve">implementing a trailing average </w:t>
      </w:r>
      <w:r w:rsidR="004815BE">
        <w:rPr>
          <w:rFonts w:ascii="Times New Roman" w:hAnsi="Times New Roman" w:cs="Times New Roman"/>
          <w:sz w:val="24"/>
          <w:szCs w:val="24"/>
        </w:rPr>
        <w:t xml:space="preserve">affect the DRP allowances dollar for dollar.  Thus, there is no inconsistency of the type claimed by CEG.  </w:t>
      </w:r>
    </w:p>
    <w:p w:rsidR="001344F2" w:rsidRDefault="001344F2" w:rsidP="004815BE">
      <w:pPr>
        <w:spacing w:after="0" w:line="360" w:lineRule="auto"/>
        <w:jc w:val="both"/>
        <w:rPr>
          <w:rFonts w:ascii="Times New Roman" w:hAnsi="Times New Roman" w:cs="Times New Roman"/>
          <w:sz w:val="24"/>
          <w:szCs w:val="24"/>
        </w:rPr>
      </w:pPr>
    </w:p>
    <w:p w:rsidR="004815BE" w:rsidRDefault="00C6722F"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(2015, section 6.4) argues that, even if the BEE </w:t>
      </w:r>
      <w:r w:rsidR="004815BE">
        <w:rPr>
          <w:rFonts w:ascii="Times New Roman" w:hAnsi="Times New Roman" w:cs="Times New Roman"/>
          <w:sz w:val="24"/>
          <w:szCs w:val="24"/>
        </w:rPr>
        <w:t xml:space="preserve">did hedge using swaps as argued by the AER, the termination of the on-the-day regime would have led them at the termination point to undertake a set of swaps to convert their outstanding debt (whose </w:t>
      </w:r>
      <w:r>
        <w:rPr>
          <w:rFonts w:ascii="Times New Roman" w:hAnsi="Times New Roman" w:cs="Times New Roman"/>
          <w:sz w:val="24"/>
          <w:szCs w:val="24"/>
        </w:rPr>
        <w:t xml:space="preserve">base rate </w:t>
      </w:r>
      <w:r w:rsidR="004815BE">
        <w:rPr>
          <w:rFonts w:ascii="Times New Roman" w:hAnsi="Times New Roman" w:cs="Times New Roman"/>
          <w:sz w:val="24"/>
          <w:szCs w:val="24"/>
        </w:rPr>
        <w:t xml:space="preserve">components would all be at floating rate) into fixed rate debt for the remainder of the term of each bond.  Consequently the </w:t>
      </w:r>
      <w:r>
        <w:rPr>
          <w:rFonts w:ascii="Times New Roman" w:hAnsi="Times New Roman" w:cs="Times New Roman"/>
          <w:sz w:val="24"/>
          <w:szCs w:val="24"/>
        </w:rPr>
        <w:t xml:space="preserve">cost of debt </w:t>
      </w:r>
      <w:r w:rsidR="004815BE">
        <w:rPr>
          <w:rFonts w:ascii="Times New Roman" w:hAnsi="Times New Roman" w:cs="Times New Roman"/>
          <w:sz w:val="24"/>
          <w:szCs w:val="24"/>
        </w:rPr>
        <w:t xml:space="preserve">allowances </w:t>
      </w:r>
      <w:r>
        <w:rPr>
          <w:rFonts w:ascii="Times New Roman" w:hAnsi="Times New Roman" w:cs="Times New Roman"/>
          <w:sz w:val="24"/>
          <w:szCs w:val="24"/>
        </w:rPr>
        <w:t xml:space="preserve">required to match their </w:t>
      </w:r>
      <w:r w:rsidR="004815BE">
        <w:rPr>
          <w:rFonts w:ascii="Times New Roman" w:hAnsi="Times New Roman" w:cs="Times New Roman"/>
          <w:sz w:val="24"/>
          <w:szCs w:val="24"/>
        </w:rPr>
        <w:t>incurred costs over the following ten years</w:t>
      </w:r>
      <w:r>
        <w:rPr>
          <w:rFonts w:ascii="Times New Roman" w:hAnsi="Times New Roman" w:cs="Times New Roman"/>
          <w:sz w:val="24"/>
          <w:szCs w:val="24"/>
        </w:rPr>
        <w:t xml:space="preserve"> would be the trailing average </w:t>
      </w:r>
      <w:r w:rsidR="004815BE">
        <w:rPr>
          <w:rFonts w:ascii="Times New Roman" w:hAnsi="Times New Roman" w:cs="Times New Roman"/>
          <w:sz w:val="24"/>
          <w:szCs w:val="24"/>
        </w:rPr>
        <w:t>for the DRP, an equally weighted average over the current</w:t>
      </w:r>
      <w:r>
        <w:rPr>
          <w:rFonts w:ascii="Times New Roman" w:hAnsi="Times New Roman" w:cs="Times New Roman"/>
          <w:sz w:val="24"/>
          <w:szCs w:val="24"/>
        </w:rPr>
        <w:t xml:space="preserve"> risk-free</w:t>
      </w:r>
      <w:r w:rsidR="004815BE">
        <w:rPr>
          <w:rFonts w:ascii="Times New Roman" w:hAnsi="Times New Roman" w:cs="Times New Roman"/>
          <w:sz w:val="24"/>
          <w:szCs w:val="24"/>
        </w:rPr>
        <w:t xml:space="preserve"> spot rates for 1, 2, etc year contracts, and progressive replacement of these </w:t>
      </w:r>
      <w:r w:rsidR="003413E2">
        <w:rPr>
          <w:rFonts w:ascii="Times New Roman" w:hAnsi="Times New Roman" w:cs="Times New Roman"/>
          <w:sz w:val="24"/>
          <w:szCs w:val="24"/>
        </w:rPr>
        <w:t xml:space="preserve">latter rates </w:t>
      </w:r>
      <w:r w:rsidR="004815BE">
        <w:rPr>
          <w:rFonts w:ascii="Times New Roman" w:hAnsi="Times New Roman" w:cs="Times New Roman"/>
          <w:sz w:val="24"/>
          <w:szCs w:val="24"/>
        </w:rPr>
        <w:t>by ten year rates a</w:t>
      </w:r>
      <w:r>
        <w:rPr>
          <w:rFonts w:ascii="Times New Roman" w:hAnsi="Times New Roman" w:cs="Times New Roman"/>
          <w:sz w:val="24"/>
          <w:szCs w:val="24"/>
        </w:rPr>
        <w:t>s the bonds mature</w:t>
      </w:r>
      <w:r w:rsidR="004815BE">
        <w:rPr>
          <w:rFonts w:ascii="Times New Roman" w:hAnsi="Times New Roman" w:cs="Times New Roman"/>
          <w:sz w:val="24"/>
          <w:szCs w:val="24"/>
        </w:rPr>
        <w:t xml:space="preserve">.  However, nothing in this argument addresses the AER’s argument for a transitional regime for the DRP.  In respect of the </w:t>
      </w:r>
      <w:r>
        <w:rPr>
          <w:rFonts w:ascii="Times New Roman" w:hAnsi="Times New Roman" w:cs="Times New Roman"/>
          <w:sz w:val="24"/>
          <w:szCs w:val="24"/>
        </w:rPr>
        <w:t xml:space="preserve">risk-free rate </w:t>
      </w:r>
      <w:r w:rsidR="004815BE">
        <w:rPr>
          <w:rFonts w:ascii="Times New Roman" w:hAnsi="Times New Roman" w:cs="Times New Roman"/>
          <w:sz w:val="24"/>
          <w:szCs w:val="24"/>
        </w:rPr>
        <w:t xml:space="preserve">component, the allowed cost proposed by CEG corresponds to that incurred by the </w:t>
      </w:r>
      <w:r w:rsidR="003413E2">
        <w:rPr>
          <w:rFonts w:ascii="Times New Roman" w:hAnsi="Times New Roman" w:cs="Times New Roman"/>
          <w:sz w:val="24"/>
          <w:szCs w:val="24"/>
        </w:rPr>
        <w:t xml:space="preserve">BEE as </w:t>
      </w:r>
      <w:r w:rsidR="004815BE">
        <w:rPr>
          <w:rFonts w:ascii="Times New Roman" w:hAnsi="Times New Roman" w:cs="Times New Roman"/>
          <w:sz w:val="24"/>
          <w:szCs w:val="24"/>
        </w:rPr>
        <w:t xml:space="preserve">shown in equation (4) of </w:t>
      </w:r>
      <w:r>
        <w:rPr>
          <w:rFonts w:ascii="Times New Roman" w:hAnsi="Times New Roman" w:cs="Times New Roman"/>
          <w:sz w:val="24"/>
          <w:szCs w:val="24"/>
        </w:rPr>
        <w:t>Lally (2014</w:t>
      </w:r>
      <w:r w:rsidR="003413E2">
        <w:rPr>
          <w:rFonts w:ascii="Times New Roman" w:hAnsi="Times New Roman" w:cs="Times New Roman"/>
          <w:sz w:val="24"/>
          <w:szCs w:val="24"/>
        </w:rPr>
        <w:t>a</w:t>
      </w:r>
      <w:r>
        <w:rPr>
          <w:rFonts w:ascii="Times New Roman" w:hAnsi="Times New Roman" w:cs="Times New Roman"/>
          <w:sz w:val="24"/>
          <w:szCs w:val="24"/>
        </w:rPr>
        <w:t>)</w:t>
      </w:r>
      <w:r w:rsidR="004815BE">
        <w:rPr>
          <w:rFonts w:ascii="Times New Roman" w:hAnsi="Times New Roman" w:cs="Times New Roman"/>
          <w:sz w:val="24"/>
          <w:szCs w:val="24"/>
        </w:rPr>
        <w:t xml:space="preserve">.  In that paper, </w:t>
      </w:r>
      <w:r>
        <w:rPr>
          <w:rFonts w:ascii="Times New Roman" w:hAnsi="Times New Roman" w:cs="Times New Roman"/>
          <w:sz w:val="24"/>
          <w:szCs w:val="24"/>
        </w:rPr>
        <w:t xml:space="preserve">Lally assumes that </w:t>
      </w:r>
      <w:r w:rsidR="004815BE">
        <w:rPr>
          <w:rFonts w:ascii="Times New Roman" w:hAnsi="Times New Roman" w:cs="Times New Roman"/>
          <w:sz w:val="24"/>
          <w:szCs w:val="24"/>
        </w:rPr>
        <w:t xml:space="preserve">the regulator adopts the AER’s proposed transitional regime and </w:t>
      </w:r>
      <w:r w:rsidR="00353F07">
        <w:rPr>
          <w:rFonts w:ascii="Times New Roman" w:hAnsi="Times New Roman" w:cs="Times New Roman"/>
          <w:sz w:val="24"/>
          <w:szCs w:val="24"/>
        </w:rPr>
        <w:t xml:space="preserve">considers </w:t>
      </w:r>
      <w:r w:rsidR="004815BE">
        <w:rPr>
          <w:rFonts w:ascii="Times New Roman" w:hAnsi="Times New Roman" w:cs="Times New Roman"/>
          <w:sz w:val="24"/>
          <w:szCs w:val="24"/>
        </w:rPr>
        <w:t xml:space="preserve">two possible course of action by the </w:t>
      </w:r>
      <w:r w:rsidR="00353F07">
        <w:rPr>
          <w:rFonts w:ascii="Times New Roman" w:hAnsi="Times New Roman" w:cs="Times New Roman"/>
          <w:sz w:val="24"/>
          <w:szCs w:val="24"/>
        </w:rPr>
        <w:t>BEE</w:t>
      </w:r>
      <w:r w:rsidR="004815BE">
        <w:rPr>
          <w:rFonts w:ascii="Times New Roman" w:hAnsi="Times New Roman" w:cs="Times New Roman"/>
          <w:sz w:val="24"/>
          <w:szCs w:val="24"/>
        </w:rPr>
        <w:t xml:space="preserve">: desist from further hedging arrangements at the termination date of the old regime (leading to average results over the following ten years of something between under compensation of 0.40% per year and overcompensation of 0.60%), or entering </w:t>
      </w:r>
      <w:r w:rsidR="003413E2">
        <w:rPr>
          <w:rFonts w:ascii="Times New Roman" w:hAnsi="Times New Roman" w:cs="Times New Roman"/>
          <w:sz w:val="24"/>
          <w:szCs w:val="24"/>
        </w:rPr>
        <w:t xml:space="preserve">the </w:t>
      </w:r>
      <w:r w:rsidR="004815BE">
        <w:rPr>
          <w:rFonts w:ascii="Times New Roman" w:hAnsi="Times New Roman" w:cs="Times New Roman"/>
          <w:sz w:val="24"/>
          <w:szCs w:val="24"/>
        </w:rPr>
        <w:t>new swap arrangements as described above</w:t>
      </w:r>
      <w:r w:rsidR="00353F07">
        <w:rPr>
          <w:rFonts w:ascii="Times New Roman" w:hAnsi="Times New Roman" w:cs="Times New Roman"/>
          <w:sz w:val="24"/>
          <w:szCs w:val="24"/>
        </w:rPr>
        <w:t xml:space="preserve"> by CEG</w:t>
      </w:r>
      <w:r w:rsidR="004815BE">
        <w:rPr>
          <w:rFonts w:ascii="Times New Roman" w:hAnsi="Times New Roman" w:cs="Times New Roman"/>
          <w:sz w:val="24"/>
          <w:szCs w:val="24"/>
        </w:rPr>
        <w:t xml:space="preserve"> (leading to overcompensation averaging 0.23% over the following ten years).  </w:t>
      </w:r>
      <w:r w:rsidR="00353F07">
        <w:rPr>
          <w:rFonts w:ascii="Times New Roman" w:hAnsi="Times New Roman" w:cs="Times New Roman"/>
          <w:sz w:val="24"/>
          <w:szCs w:val="24"/>
        </w:rPr>
        <w:t xml:space="preserve">By contrast, if the regulator follows CEG’s </w:t>
      </w:r>
      <w:r w:rsidR="004815BE">
        <w:rPr>
          <w:rFonts w:ascii="Times New Roman" w:hAnsi="Times New Roman" w:cs="Times New Roman"/>
          <w:sz w:val="24"/>
          <w:szCs w:val="24"/>
        </w:rPr>
        <w:t xml:space="preserve">proposal </w:t>
      </w:r>
      <w:r w:rsidR="006C5DBE">
        <w:rPr>
          <w:rFonts w:ascii="Times New Roman" w:hAnsi="Times New Roman" w:cs="Times New Roman"/>
          <w:sz w:val="24"/>
          <w:szCs w:val="24"/>
        </w:rPr>
        <w:t>and the BEE acts in the same way, there would be a perfect match</w:t>
      </w:r>
      <w:r w:rsidR="004815BE">
        <w:rPr>
          <w:rFonts w:ascii="Times New Roman" w:hAnsi="Times New Roman" w:cs="Times New Roman"/>
          <w:sz w:val="24"/>
          <w:szCs w:val="24"/>
        </w:rPr>
        <w:t xml:space="preserve">.  However, we do not know if </w:t>
      </w:r>
      <w:r w:rsidR="006C5DBE">
        <w:rPr>
          <w:rFonts w:ascii="Times New Roman" w:hAnsi="Times New Roman" w:cs="Times New Roman"/>
          <w:sz w:val="24"/>
          <w:szCs w:val="24"/>
        </w:rPr>
        <w:t xml:space="preserve">the BEE would </w:t>
      </w:r>
      <w:r w:rsidR="004815BE">
        <w:rPr>
          <w:rFonts w:ascii="Times New Roman" w:hAnsi="Times New Roman" w:cs="Times New Roman"/>
          <w:sz w:val="24"/>
          <w:szCs w:val="24"/>
        </w:rPr>
        <w:t xml:space="preserve">have done so.  Furthermore, since CEG’s </w:t>
      </w:r>
      <w:r w:rsidR="006C5DBE">
        <w:rPr>
          <w:rFonts w:ascii="Times New Roman" w:hAnsi="Times New Roman" w:cs="Times New Roman"/>
          <w:sz w:val="24"/>
          <w:szCs w:val="24"/>
        </w:rPr>
        <w:t xml:space="preserve">proposed regulatory policy </w:t>
      </w:r>
      <w:r w:rsidR="004815BE">
        <w:rPr>
          <w:rFonts w:ascii="Times New Roman" w:hAnsi="Times New Roman" w:cs="Times New Roman"/>
          <w:sz w:val="24"/>
          <w:szCs w:val="24"/>
        </w:rPr>
        <w:t xml:space="preserve">was not announced by the AER at the termination date of the old regime and may never be chosen by the AER, </w:t>
      </w:r>
      <w:r w:rsidR="006C5DBE">
        <w:rPr>
          <w:rFonts w:ascii="Times New Roman" w:hAnsi="Times New Roman" w:cs="Times New Roman"/>
          <w:sz w:val="24"/>
          <w:szCs w:val="24"/>
        </w:rPr>
        <w:t xml:space="preserve">the BEE </w:t>
      </w:r>
      <w:r w:rsidR="004815BE">
        <w:rPr>
          <w:rFonts w:ascii="Times New Roman" w:hAnsi="Times New Roman" w:cs="Times New Roman"/>
          <w:sz w:val="24"/>
          <w:szCs w:val="24"/>
        </w:rPr>
        <w:t xml:space="preserve">would not have been prompted to adopt it at the termination date.  Thus, firms may not have adopted it in which case the regulatory compensation would accord with equations (4) in </w:t>
      </w:r>
      <w:r w:rsidR="008E0DED">
        <w:rPr>
          <w:rFonts w:ascii="Times New Roman" w:hAnsi="Times New Roman" w:cs="Times New Roman"/>
          <w:sz w:val="24"/>
          <w:szCs w:val="24"/>
        </w:rPr>
        <w:t>Lally (2014</w:t>
      </w:r>
      <w:r w:rsidR="00E75832">
        <w:rPr>
          <w:rFonts w:ascii="Times New Roman" w:hAnsi="Times New Roman" w:cs="Times New Roman"/>
          <w:sz w:val="24"/>
          <w:szCs w:val="24"/>
        </w:rPr>
        <w:t>a</w:t>
      </w:r>
      <w:r w:rsidR="008E0DED">
        <w:rPr>
          <w:rFonts w:ascii="Times New Roman" w:hAnsi="Times New Roman" w:cs="Times New Roman"/>
          <w:sz w:val="24"/>
          <w:szCs w:val="24"/>
        </w:rPr>
        <w:t xml:space="preserve">) </w:t>
      </w:r>
      <w:r w:rsidR="004815BE">
        <w:rPr>
          <w:rFonts w:ascii="Times New Roman" w:hAnsi="Times New Roman" w:cs="Times New Roman"/>
          <w:sz w:val="24"/>
          <w:szCs w:val="24"/>
        </w:rPr>
        <w:t>whilst the actual behavior of firms would correspond to equations (1) in that paper.  The difference (incurred – allowed) would then be as follows:</w:t>
      </w:r>
    </w:p>
    <w:p w:rsidR="004815BE" w:rsidRDefault="004815BE" w:rsidP="004815BE">
      <w:pPr>
        <w:pStyle w:val="ListParagraph"/>
        <w:spacing w:after="0" w:line="360" w:lineRule="auto"/>
        <w:ind w:left="0"/>
        <w:jc w:val="both"/>
        <w:rPr>
          <w:rFonts w:ascii="Times New Roman" w:hAnsi="Times New Roman" w:cs="Times New Roman"/>
          <w:sz w:val="24"/>
          <w:szCs w:val="24"/>
        </w:rPr>
      </w:pPr>
    </w:p>
    <w:p w:rsidR="004815BE" w:rsidRDefault="004815BE" w:rsidP="004815BE">
      <w:pPr>
        <w:pStyle w:val="ListParagraph"/>
        <w:tabs>
          <w:tab w:val="left" w:pos="8280"/>
        </w:tabs>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Year 1: </w:t>
      </w:r>
      <w:r>
        <w:rPr>
          <w:rFonts w:ascii="Times New Roman" w:hAnsi="Times New Roman" w:cs="Times New Roman"/>
          <w:sz w:val="24"/>
          <w:szCs w:val="24"/>
        </w:rPr>
        <w:tab/>
      </w:r>
      <w:r w:rsidRPr="002026ED">
        <w:rPr>
          <w:rFonts w:ascii="Times New Roman" w:hAnsi="Times New Roman" w:cs="Times New Roman"/>
          <w:position w:val="-14"/>
          <w:sz w:val="24"/>
          <w:szCs w:val="24"/>
        </w:rPr>
        <w:object w:dxaOrig="4120" w:dyaOrig="380">
          <v:shape id="_x0000_i1041" type="#_x0000_t75" style="width:206.8pt;height:19.25pt" o:ole="">
            <v:imagedata r:id="rId40" o:title=""/>
          </v:shape>
          <o:OLEObject Type="Embed" ProgID="Equation.3" ShapeID="_x0000_i1041" DrawAspect="Content" ObjectID="_1494742917" r:id="rId41"/>
        </w:object>
      </w:r>
      <w:r>
        <w:rPr>
          <w:rFonts w:ascii="Times New Roman" w:hAnsi="Times New Roman" w:cs="Times New Roman"/>
          <w:sz w:val="24"/>
          <w:szCs w:val="24"/>
        </w:rPr>
        <w:tab/>
      </w:r>
    </w:p>
    <w:p w:rsidR="004815BE" w:rsidRDefault="004815BE" w:rsidP="004815BE">
      <w:pPr>
        <w:pStyle w:val="ListParagraph"/>
        <w:tabs>
          <w:tab w:val="left" w:pos="8280"/>
        </w:tabs>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Year 2:</w:t>
      </w:r>
      <w:r>
        <w:rPr>
          <w:rFonts w:ascii="Times New Roman" w:hAnsi="Times New Roman" w:cs="Times New Roman"/>
          <w:sz w:val="24"/>
          <w:szCs w:val="24"/>
        </w:rPr>
        <w:tab/>
      </w:r>
      <w:r w:rsidRPr="002026ED">
        <w:rPr>
          <w:rFonts w:ascii="Times New Roman" w:hAnsi="Times New Roman" w:cs="Times New Roman"/>
          <w:position w:val="-14"/>
          <w:sz w:val="24"/>
          <w:szCs w:val="24"/>
        </w:rPr>
        <w:object w:dxaOrig="3480" w:dyaOrig="380">
          <v:shape id="_x0000_i1042" type="#_x0000_t75" style="width:175pt;height:19.25pt" o:ole="">
            <v:imagedata r:id="rId42" o:title=""/>
          </v:shape>
          <o:OLEObject Type="Embed" ProgID="Equation.3" ShapeID="_x0000_i1042" DrawAspect="Content" ObjectID="_1494742918" r:id="rId43"/>
        </w:object>
      </w:r>
      <w:r>
        <w:rPr>
          <w:rFonts w:ascii="Times New Roman" w:hAnsi="Times New Roman" w:cs="Times New Roman"/>
          <w:sz w:val="24"/>
          <w:szCs w:val="24"/>
        </w:rPr>
        <w:tab/>
      </w:r>
    </w:p>
    <w:p w:rsidR="004815BE" w:rsidRDefault="004815BE" w:rsidP="004815BE">
      <w:pPr>
        <w:pStyle w:val="ListParagraph"/>
        <w:tabs>
          <w:tab w:val="left" w:pos="828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
    <w:p w:rsidR="004815BE" w:rsidRDefault="004815BE" w:rsidP="004815BE">
      <w:pPr>
        <w:pStyle w:val="ListParagraph"/>
        <w:tabs>
          <w:tab w:val="left" w:pos="8280"/>
        </w:tabs>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Year 9:</w:t>
      </w:r>
      <w:r>
        <w:rPr>
          <w:rFonts w:ascii="Times New Roman" w:hAnsi="Times New Roman" w:cs="Times New Roman"/>
          <w:sz w:val="24"/>
          <w:szCs w:val="24"/>
        </w:rPr>
        <w:tab/>
      </w:r>
      <w:r w:rsidRPr="002026ED">
        <w:rPr>
          <w:rFonts w:ascii="Times New Roman" w:hAnsi="Times New Roman" w:cs="Times New Roman"/>
          <w:position w:val="-14"/>
          <w:sz w:val="24"/>
          <w:szCs w:val="24"/>
        </w:rPr>
        <w:object w:dxaOrig="1560" w:dyaOrig="380">
          <v:shape id="_x0000_i1043" type="#_x0000_t75" style="width:77.85pt;height:19.25pt" o:ole="">
            <v:imagedata r:id="rId44" o:title=""/>
          </v:shape>
          <o:OLEObject Type="Embed" ProgID="Equation.3" ShapeID="_x0000_i1043" DrawAspect="Content" ObjectID="_1494742919" r:id="rId45"/>
        </w:object>
      </w:r>
      <w:r>
        <w:rPr>
          <w:rFonts w:ascii="Times New Roman" w:hAnsi="Times New Roman" w:cs="Times New Roman"/>
          <w:sz w:val="24"/>
          <w:szCs w:val="24"/>
        </w:rPr>
        <w:tab/>
      </w:r>
    </w:p>
    <w:p w:rsidR="004815BE" w:rsidRDefault="004815BE" w:rsidP="004815BE">
      <w:pPr>
        <w:pStyle w:val="ListParagraph"/>
        <w:spacing w:after="0" w:line="360" w:lineRule="auto"/>
        <w:ind w:left="0"/>
        <w:jc w:val="both"/>
        <w:rPr>
          <w:rFonts w:ascii="Times New Roman" w:hAnsi="Times New Roman" w:cs="Times New Roman"/>
          <w:sz w:val="24"/>
          <w:szCs w:val="24"/>
        </w:rPr>
      </w:pPr>
    </w:p>
    <w:p w:rsidR="00EF0152" w:rsidRDefault="004815BE"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average outcome (over the nine years) depends upon </w:t>
      </w:r>
      <w:r w:rsidR="008E0DED">
        <w:rPr>
          <w:rFonts w:ascii="Times New Roman" w:hAnsi="Times New Roman" w:cs="Times New Roman"/>
          <w:sz w:val="24"/>
          <w:szCs w:val="24"/>
        </w:rPr>
        <w:t xml:space="preserve">the </w:t>
      </w:r>
      <w:r>
        <w:rPr>
          <w:rFonts w:ascii="Times New Roman" w:hAnsi="Times New Roman" w:cs="Times New Roman"/>
          <w:sz w:val="24"/>
          <w:szCs w:val="24"/>
        </w:rPr>
        <w:t xml:space="preserve">future </w:t>
      </w:r>
      <w:r w:rsidR="008E0DED">
        <w:rPr>
          <w:rFonts w:ascii="Times New Roman" w:hAnsi="Times New Roman" w:cs="Times New Roman"/>
          <w:sz w:val="24"/>
          <w:szCs w:val="24"/>
        </w:rPr>
        <w:t xml:space="preserve">course of one-year </w:t>
      </w:r>
      <w:r>
        <w:rPr>
          <w:rFonts w:ascii="Times New Roman" w:hAnsi="Times New Roman" w:cs="Times New Roman"/>
          <w:sz w:val="24"/>
          <w:szCs w:val="24"/>
        </w:rPr>
        <w:t xml:space="preserve">interest rates.  Considering the two extreme cases in </w:t>
      </w:r>
      <w:r w:rsidR="00EF0152">
        <w:rPr>
          <w:rFonts w:ascii="Times New Roman" w:hAnsi="Times New Roman" w:cs="Times New Roman"/>
          <w:sz w:val="24"/>
          <w:szCs w:val="24"/>
        </w:rPr>
        <w:t>Lally (2014</w:t>
      </w:r>
      <w:r w:rsidR="003413E2">
        <w:rPr>
          <w:rFonts w:ascii="Times New Roman" w:hAnsi="Times New Roman" w:cs="Times New Roman"/>
          <w:sz w:val="24"/>
          <w:szCs w:val="24"/>
        </w:rPr>
        <w:t>a</w:t>
      </w:r>
      <w:r w:rsidR="00EF0152">
        <w:rPr>
          <w:rFonts w:ascii="Times New Roman" w:hAnsi="Times New Roman" w:cs="Times New Roman"/>
          <w:sz w:val="24"/>
          <w:szCs w:val="24"/>
        </w:rPr>
        <w:t xml:space="preserve">, </w:t>
      </w:r>
      <w:r>
        <w:rPr>
          <w:rFonts w:ascii="Times New Roman" w:hAnsi="Times New Roman" w:cs="Times New Roman"/>
          <w:sz w:val="24"/>
          <w:szCs w:val="24"/>
        </w:rPr>
        <w:t>section 2.1</w:t>
      </w:r>
      <w:r w:rsidR="00EF0152">
        <w:rPr>
          <w:rFonts w:ascii="Times New Roman" w:hAnsi="Times New Roman" w:cs="Times New Roman"/>
          <w:sz w:val="24"/>
          <w:szCs w:val="24"/>
        </w:rPr>
        <w:t xml:space="preserve">), </w:t>
      </w:r>
      <w:r w:rsidR="008E0DED">
        <w:rPr>
          <w:rFonts w:ascii="Times New Roman" w:hAnsi="Times New Roman" w:cs="Times New Roman"/>
          <w:sz w:val="24"/>
          <w:szCs w:val="24"/>
        </w:rPr>
        <w:t xml:space="preserve">involving these </w:t>
      </w:r>
      <w:r w:rsidR="003413E2">
        <w:rPr>
          <w:rFonts w:ascii="Times New Roman" w:hAnsi="Times New Roman" w:cs="Times New Roman"/>
          <w:sz w:val="24"/>
          <w:szCs w:val="24"/>
        </w:rPr>
        <w:t xml:space="preserve">one-year </w:t>
      </w:r>
      <w:r w:rsidR="008E0DED">
        <w:rPr>
          <w:rFonts w:ascii="Times New Roman" w:hAnsi="Times New Roman" w:cs="Times New Roman"/>
          <w:sz w:val="24"/>
          <w:szCs w:val="24"/>
        </w:rPr>
        <w:t xml:space="preserve">interest rates not changing and quickly reverting back to the pre-GFC level, the average outcome for the BEE </w:t>
      </w:r>
      <w:r w:rsidR="00ED26EB">
        <w:rPr>
          <w:rFonts w:ascii="Times New Roman" w:hAnsi="Times New Roman" w:cs="Times New Roman"/>
          <w:sz w:val="24"/>
          <w:szCs w:val="24"/>
        </w:rPr>
        <w:t xml:space="preserve">could be as much as under compensation of </w:t>
      </w:r>
      <w:r>
        <w:rPr>
          <w:rFonts w:ascii="Times New Roman" w:hAnsi="Times New Roman" w:cs="Times New Roman"/>
          <w:sz w:val="24"/>
          <w:szCs w:val="24"/>
        </w:rPr>
        <w:t xml:space="preserve">0.60% per year to </w:t>
      </w:r>
      <w:r w:rsidR="00ED26EB">
        <w:rPr>
          <w:rFonts w:ascii="Times New Roman" w:hAnsi="Times New Roman" w:cs="Times New Roman"/>
          <w:sz w:val="24"/>
          <w:szCs w:val="24"/>
        </w:rPr>
        <w:t xml:space="preserve">over compensation of </w:t>
      </w:r>
      <w:r w:rsidR="00A41A28">
        <w:rPr>
          <w:rFonts w:ascii="Times New Roman" w:hAnsi="Times New Roman" w:cs="Times New Roman"/>
          <w:sz w:val="24"/>
          <w:szCs w:val="24"/>
        </w:rPr>
        <w:t xml:space="preserve">0.30% per year.  </w:t>
      </w:r>
      <w:r w:rsidR="008E0DED">
        <w:rPr>
          <w:rFonts w:ascii="Times New Roman" w:hAnsi="Times New Roman" w:cs="Times New Roman"/>
          <w:sz w:val="24"/>
          <w:szCs w:val="24"/>
        </w:rPr>
        <w:t xml:space="preserve">These </w:t>
      </w:r>
      <w:r w:rsidR="00EF0152">
        <w:rPr>
          <w:rFonts w:ascii="Times New Roman" w:hAnsi="Times New Roman" w:cs="Times New Roman"/>
          <w:sz w:val="24"/>
          <w:szCs w:val="24"/>
        </w:rPr>
        <w:t>four possible combinations of regulatory policy and BEE behavior are summarized in Table 3 below.</w:t>
      </w:r>
    </w:p>
    <w:p w:rsidR="00EF0152" w:rsidRDefault="00EF0152" w:rsidP="004815BE">
      <w:pPr>
        <w:spacing w:after="0" w:line="360" w:lineRule="auto"/>
        <w:jc w:val="both"/>
        <w:rPr>
          <w:rFonts w:ascii="Times New Roman" w:hAnsi="Times New Roman" w:cs="Times New Roman"/>
          <w:sz w:val="24"/>
          <w:szCs w:val="24"/>
        </w:rPr>
      </w:pPr>
    </w:p>
    <w:p w:rsidR="00EF0152" w:rsidRDefault="00EF0152" w:rsidP="00ED26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Table 3: Results From Various Combinations of Regulatory and </w:t>
      </w:r>
      <w:r w:rsidR="00A41A28">
        <w:rPr>
          <w:rFonts w:ascii="Times New Roman" w:hAnsi="Times New Roman" w:cs="Times New Roman"/>
          <w:sz w:val="24"/>
          <w:szCs w:val="24"/>
        </w:rPr>
        <w:t xml:space="preserve">BEE </w:t>
      </w:r>
      <w:r>
        <w:rPr>
          <w:rFonts w:ascii="Times New Roman" w:hAnsi="Times New Roman" w:cs="Times New Roman"/>
          <w:sz w:val="24"/>
          <w:szCs w:val="24"/>
        </w:rPr>
        <w:t>Policy</w:t>
      </w:r>
    </w:p>
    <w:p w:rsidR="00EF0152" w:rsidRDefault="00EF0152" w:rsidP="00EF01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F0152" w:rsidRDefault="00A41A28" w:rsidP="00ED26EB">
      <w:pPr>
        <w:tabs>
          <w:tab w:val="left" w:pos="3240"/>
          <w:tab w:val="left" w:pos="64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Regulatory Policy</w:t>
      </w:r>
      <w:r>
        <w:rPr>
          <w:rFonts w:ascii="Times New Roman" w:hAnsi="Times New Roman" w:cs="Times New Roman"/>
          <w:sz w:val="24"/>
          <w:szCs w:val="24"/>
        </w:rPr>
        <w:tab/>
        <w:t>BEE Policy</w:t>
      </w:r>
      <w:r>
        <w:rPr>
          <w:rFonts w:ascii="Times New Roman" w:hAnsi="Times New Roman" w:cs="Times New Roman"/>
          <w:sz w:val="24"/>
          <w:szCs w:val="24"/>
        </w:rPr>
        <w:tab/>
        <w:t>Average Outcome</w:t>
      </w:r>
    </w:p>
    <w:p w:rsidR="00A41A28" w:rsidRDefault="00A41A28" w:rsidP="00A41A28">
      <w:pPr>
        <w:tabs>
          <w:tab w:val="left" w:pos="3240"/>
          <w:tab w:val="left" w:pos="6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F0152" w:rsidRDefault="00A41A28" w:rsidP="00A41A28">
      <w:pPr>
        <w:tabs>
          <w:tab w:val="left" w:pos="3240"/>
          <w:tab w:val="left" w:pos="6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AER Transitional policy</w:t>
      </w:r>
      <w:r>
        <w:rPr>
          <w:rFonts w:ascii="Times New Roman" w:hAnsi="Times New Roman" w:cs="Times New Roman"/>
          <w:sz w:val="24"/>
          <w:szCs w:val="24"/>
        </w:rPr>
        <w:tab/>
        <w:t>No new swaps</w:t>
      </w:r>
      <w:r>
        <w:rPr>
          <w:rFonts w:ascii="Times New Roman" w:hAnsi="Times New Roman" w:cs="Times New Roman"/>
          <w:sz w:val="24"/>
          <w:szCs w:val="24"/>
        </w:rPr>
        <w:tab/>
      </w:r>
      <w:r w:rsidR="00ED26EB">
        <w:rPr>
          <w:rFonts w:ascii="Times New Roman" w:hAnsi="Times New Roman" w:cs="Times New Roman"/>
          <w:sz w:val="24"/>
          <w:szCs w:val="24"/>
        </w:rPr>
        <w:t>-0.40% to</w:t>
      </w:r>
      <w:r>
        <w:rPr>
          <w:rFonts w:ascii="Times New Roman" w:hAnsi="Times New Roman" w:cs="Times New Roman"/>
          <w:sz w:val="24"/>
          <w:szCs w:val="24"/>
        </w:rPr>
        <w:t xml:space="preserve"> 0.60%</w:t>
      </w:r>
    </w:p>
    <w:p w:rsidR="00A41A28" w:rsidRDefault="00A41A28" w:rsidP="00A41A28">
      <w:pPr>
        <w:tabs>
          <w:tab w:val="left" w:pos="3240"/>
          <w:tab w:val="left" w:pos="6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AER Transitional Policy</w:t>
      </w:r>
      <w:r>
        <w:rPr>
          <w:rFonts w:ascii="Times New Roman" w:hAnsi="Times New Roman" w:cs="Times New Roman"/>
          <w:sz w:val="24"/>
          <w:szCs w:val="24"/>
        </w:rPr>
        <w:tab/>
        <w:t>New Swaps</w:t>
      </w:r>
      <w:r>
        <w:rPr>
          <w:rFonts w:ascii="Times New Roman" w:hAnsi="Times New Roman" w:cs="Times New Roman"/>
          <w:sz w:val="24"/>
          <w:szCs w:val="24"/>
        </w:rPr>
        <w:tab/>
        <w:t>0.23%</w:t>
      </w:r>
    </w:p>
    <w:p w:rsidR="00A41A28" w:rsidRDefault="00A41A28" w:rsidP="00A41A28">
      <w:pPr>
        <w:tabs>
          <w:tab w:val="left" w:pos="3240"/>
          <w:tab w:val="left" w:pos="6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CEG Transitional Policy</w:t>
      </w:r>
      <w:r>
        <w:rPr>
          <w:rFonts w:ascii="Times New Roman" w:hAnsi="Times New Roman" w:cs="Times New Roman"/>
          <w:sz w:val="24"/>
          <w:szCs w:val="24"/>
        </w:rPr>
        <w:tab/>
      </w:r>
      <w:r w:rsidR="00ED26EB">
        <w:rPr>
          <w:rFonts w:ascii="Times New Roman" w:hAnsi="Times New Roman" w:cs="Times New Roman"/>
          <w:sz w:val="24"/>
          <w:szCs w:val="24"/>
        </w:rPr>
        <w:t>No New Swaps</w:t>
      </w:r>
      <w:r w:rsidR="00ED26EB">
        <w:rPr>
          <w:rFonts w:ascii="Times New Roman" w:hAnsi="Times New Roman" w:cs="Times New Roman"/>
          <w:sz w:val="24"/>
          <w:szCs w:val="24"/>
        </w:rPr>
        <w:tab/>
        <w:t>-0.60% to</w:t>
      </w:r>
      <w:r>
        <w:rPr>
          <w:rFonts w:ascii="Times New Roman" w:hAnsi="Times New Roman" w:cs="Times New Roman"/>
          <w:sz w:val="24"/>
          <w:szCs w:val="24"/>
        </w:rPr>
        <w:t xml:space="preserve"> 0.30%</w:t>
      </w:r>
    </w:p>
    <w:p w:rsidR="00A41A28" w:rsidRDefault="00A41A28" w:rsidP="00ED26EB">
      <w:pPr>
        <w:tabs>
          <w:tab w:val="left" w:pos="3240"/>
          <w:tab w:val="left" w:pos="64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CEG Transitional Policy</w:t>
      </w:r>
      <w:r>
        <w:rPr>
          <w:rFonts w:ascii="Times New Roman" w:hAnsi="Times New Roman" w:cs="Times New Roman"/>
          <w:sz w:val="24"/>
          <w:szCs w:val="24"/>
        </w:rPr>
        <w:tab/>
        <w:t>New Swaps</w:t>
      </w:r>
      <w:r>
        <w:rPr>
          <w:rFonts w:ascii="Times New Roman" w:hAnsi="Times New Roman" w:cs="Times New Roman"/>
          <w:sz w:val="24"/>
          <w:szCs w:val="24"/>
        </w:rPr>
        <w:tab/>
        <w:t>0</w:t>
      </w:r>
    </w:p>
    <w:p w:rsidR="00A41A28" w:rsidRDefault="00A41A28" w:rsidP="00A41A28">
      <w:pPr>
        <w:tabs>
          <w:tab w:val="left" w:pos="3240"/>
          <w:tab w:val="left" w:pos="64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D26EB" w:rsidRDefault="00ED26EB" w:rsidP="00ED26EB">
      <w:pPr>
        <w:spacing w:after="0" w:line="360" w:lineRule="auto"/>
        <w:jc w:val="both"/>
        <w:rPr>
          <w:rFonts w:ascii="Times New Roman" w:hAnsi="Times New Roman" w:cs="Times New Roman"/>
          <w:sz w:val="24"/>
          <w:szCs w:val="24"/>
        </w:rPr>
      </w:pPr>
    </w:p>
    <w:p w:rsidR="00ED26EB" w:rsidRDefault="00ED26EB" w:rsidP="00ED26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 the reasons given above, I think it more likely that </w:t>
      </w:r>
      <w:r w:rsidR="003413E2">
        <w:rPr>
          <w:rFonts w:ascii="Times New Roman" w:hAnsi="Times New Roman" w:cs="Times New Roman"/>
          <w:sz w:val="24"/>
          <w:szCs w:val="24"/>
        </w:rPr>
        <w:t xml:space="preserve">the BEE </w:t>
      </w:r>
      <w:r>
        <w:rPr>
          <w:rFonts w:ascii="Times New Roman" w:hAnsi="Times New Roman" w:cs="Times New Roman"/>
          <w:sz w:val="24"/>
          <w:szCs w:val="24"/>
        </w:rPr>
        <w:t xml:space="preserve">would </w:t>
      </w:r>
      <w:r w:rsidRPr="00873F06">
        <w:rPr>
          <w:rFonts w:ascii="Times New Roman" w:hAnsi="Times New Roman" w:cs="Times New Roman"/>
          <w:i/>
          <w:sz w:val="24"/>
          <w:szCs w:val="24"/>
        </w:rPr>
        <w:t>not</w:t>
      </w:r>
      <w:r>
        <w:rPr>
          <w:rFonts w:ascii="Times New Roman" w:hAnsi="Times New Roman" w:cs="Times New Roman"/>
          <w:sz w:val="24"/>
          <w:szCs w:val="24"/>
        </w:rPr>
        <w:t xml:space="preserve"> have entered such new swap contracts than that they would have.  If so, the average outcome distributions would be </w:t>
      </w:r>
      <w:r w:rsidR="008E0DED">
        <w:rPr>
          <w:rFonts w:ascii="Times New Roman" w:hAnsi="Times New Roman" w:cs="Times New Roman"/>
          <w:sz w:val="24"/>
          <w:szCs w:val="24"/>
        </w:rPr>
        <w:t xml:space="preserve">as shown in the first and third rows of </w:t>
      </w:r>
      <w:r w:rsidR="003413E2">
        <w:rPr>
          <w:rFonts w:ascii="Times New Roman" w:hAnsi="Times New Roman" w:cs="Times New Roman"/>
          <w:sz w:val="24"/>
          <w:szCs w:val="24"/>
        </w:rPr>
        <w:t xml:space="preserve">Table 3; </w:t>
      </w:r>
      <w:r w:rsidR="008E0DED">
        <w:rPr>
          <w:rFonts w:ascii="Times New Roman" w:hAnsi="Times New Roman" w:cs="Times New Roman"/>
          <w:sz w:val="24"/>
          <w:szCs w:val="24"/>
        </w:rPr>
        <w:t xml:space="preserve">these are </w:t>
      </w:r>
      <w:r>
        <w:rPr>
          <w:rFonts w:ascii="Times New Roman" w:hAnsi="Times New Roman" w:cs="Times New Roman"/>
          <w:sz w:val="24"/>
          <w:szCs w:val="24"/>
        </w:rPr>
        <w:t xml:space="preserve">close to zero under both the AER’s and CEG’s proposed regulatory policies (with the BEE being slightly better off under the AER’s proposed transitional regime).  In view of all this, I don’t see a good case for the AER changing its proposed scheme. </w:t>
      </w:r>
    </w:p>
    <w:p w:rsidR="00EF0152" w:rsidRDefault="00EF0152" w:rsidP="004815BE">
      <w:pPr>
        <w:spacing w:after="0" w:line="360" w:lineRule="auto"/>
        <w:jc w:val="both"/>
        <w:rPr>
          <w:rFonts w:ascii="Times New Roman" w:hAnsi="Times New Roman" w:cs="Times New Roman"/>
          <w:sz w:val="24"/>
          <w:szCs w:val="24"/>
        </w:rPr>
      </w:pPr>
    </w:p>
    <w:p w:rsidR="004815BE" w:rsidRDefault="00B064D6"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(2015, section 8) argues that an </w:t>
      </w:r>
      <w:r w:rsidR="004815BE">
        <w:rPr>
          <w:rFonts w:ascii="Times New Roman" w:hAnsi="Times New Roman" w:cs="Times New Roman"/>
          <w:sz w:val="24"/>
          <w:szCs w:val="24"/>
        </w:rPr>
        <w:t xml:space="preserve">estimate of ActewAGL’s credit rating is no more than BBB, with the maximum value attained using the AER’s estimates for costs </w:t>
      </w:r>
      <w:r>
        <w:rPr>
          <w:rFonts w:ascii="Times New Roman" w:hAnsi="Times New Roman" w:cs="Times New Roman"/>
          <w:sz w:val="24"/>
          <w:szCs w:val="24"/>
        </w:rPr>
        <w:t>and allowed revenues</w:t>
      </w:r>
      <w:r w:rsidR="004815BE">
        <w:rPr>
          <w:rFonts w:ascii="Times New Roman" w:hAnsi="Times New Roman" w:cs="Times New Roman"/>
          <w:sz w:val="24"/>
          <w:szCs w:val="24"/>
        </w:rPr>
        <w:t xml:space="preserve">.  CEG do not explain the purpose of this exercise but it is presumably intended to demonstrate that the revenues allowed by the AER are too low to be consistent with the BBB+ credit rating favoured by </w:t>
      </w:r>
      <w:r w:rsidR="00B57E8A">
        <w:rPr>
          <w:rFonts w:ascii="Times New Roman" w:hAnsi="Times New Roman" w:cs="Times New Roman"/>
          <w:sz w:val="24"/>
          <w:szCs w:val="24"/>
        </w:rPr>
        <w:t xml:space="preserve">the AER </w:t>
      </w:r>
      <w:r w:rsidR="004815BE">
        <w:rPr>
          <w:rFonts w:ascii="Times New Roman" w:hAnsi="Times New Roman" w:cs="Times New Roman"/>
          <w:sz w:val="24"/>
          <w:szCs w:val="24"/>
        </w:rPr>
        <w:t xml:space="preserve">for businesses of this type.  However, with the exception of the leverage assessments, the process that CEG has undertaken is highly subjective and a minimum requirement for such an exercise to be credible would be that the party carrying it out was both independent and experienced in such work.  Clearly, CEG do not satisfy either requirement.  Consequently, I do not think CEG’s </w:t>
      </w:r>
      <w:r>
        <w:rPr>
          <w:rFonts w:ascii="Times New Roman" w:hAnsi="Times New Roman" w:cs="Times New Roman"/>
          <w:sz w:val="24"/>
          <w:szCs w:val="24"/>
        </w:rPr>
        <w:t xml:space="preserve">analysis </w:t>
      </w:r>
      <w:r w:rsidR="004815BE">
        <w:rPr>
          <w:rFonts w:ascii="Times New Roman" w:hAnsi="Times New Roman" w:cs="Times New Roman"/>
          <w:sz w:val="24"/>
          <w:szCs w:val="24"/>
        </w:rPr>
        <w:t xml:space="preserve">warrants </w:t>
      </w:r>
      <w:r>
        <w:rPr>
          <w:rFonts w:ascii="Times New Roman" w:hAnsi="Times New Roman" w:cs="Times New Roman"/>
          <w:sz w:val="24"/>
          <w:szCs w:val="24"/>
        </w:rPr>
        <w:t>further consideration.</w:t>
      </w:r>
      <w:r w:rsidR="004815BE">
        <w:rPr>
          <w:rFonts w:ascii="Times New Roman" w:hAnsi="Times New Roman" w:cs="Times New Roman"/>
          <w:sz w:val="24"/>
          <w:szCs w:val="24"/>
        </w:rPr>
        <w:t xml:space="preserve"> </w:t>
      </w:r>
    </w:p>
    <w:p w:rsidR="00D770E6" w:rsidRDefault="00D770E6" w:rsidP="004815BE">
      <w:pPr>
        <w:spacing w:after="0" w:line="360" w:lineRule="auto"/>
        <w:jc w:val="both"/>
        <w:rPr>
          <w:rFonts w:ascii="Times New Roman" w:hAnsi="Times New Roman" w:cs="Times New Roman"/>
          <w:sz w:val="24"/>
          <w:szCs w:val="24"/>
        </w:rPr>
      </w:pPr>
    </w:p>
    <w:p w:rsidR="004815BE" w:rsidRPr="00DD4FC2" w:rsidRDefault="00DD4FC2" w:rsidP="004815BE">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9.7 </w:t>
      </w:r>
      <w:r w:rsidR="004815BE" w:rsidRPr="00DD4FC2">
        <w:rPr>
          <w:rFonts w:ascii="Times New Roman" w:hAnsi="Times New Roman" w:cs="Times New Roman"/>
          <w:i/>
          <w:sz w:val="24"/>
          <w:szCs w:val="24"/>
        </w:rPr>
        <w:t>ActewAGL Revised Regulatory Proposal</w:t>
      </w:r>
    </w:p>
    <w:p w:rsidR="004815BE" w:rsidRDefault="00293460"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ActewAGL (2015, page 473) argues that the </w:t>
      </w:r>
      <w:r w:rsidR="004815BE">
        <w:rPr>
          <w:rFonts w:ascii="Times New Roman" w:hAnsi="Times New Roman" w:cs="Times New Roman"/>
          <w:sz w:val="24"/>
          <w:szCs w:val="24"/>
        </w:rPr>
        <w:t xml:space="preserve">previous regulatory approach is irrelevant to the definition of </w:t>
      </w:r>
      <w:r>
        <w:rPr>
          <w:rFonts w:ascii="Times New Roman" w:hAnsi="Times New Roman" w:cs="Times New Roman"/>
          <w:sz w:val="24"/>
          <w:szCs w:val="24"/>
        </w:rPr>
        <w:t xml:space="preserve">a BEE, and </w:t>
      </w:r>
      <w:r w:rsidR="004815BE">
        <w:rPr>
          <w:rFonts w:ascii="Times New Roman" w:hAnsi="Times New Roman" w:cs="Times New Roman"/>
          <w:sz w:val="24"/>
          <w:szCs w:val="24"/>
        </w:rPr>
        <w:t>therefore there are no grounds for tran</w:t>
      </w:r>
      <w:r>
        <w:rPr>
          <w:rFonts w:ascii="Times New Roman" w:hAnsi="Times New Roman" w:cs="Times New Roman"/>
          <w:sz w:val="24"/>
          <w:szCs w:val="24"/>
        </w:rPr>
        <w:t>sitional arrangements</w:t>
      </w:r>
      <w:r w:rsidR="004815BE">
        <w:rPr>
          <w:rFonts w:ascii="Times New Roman" w:hAnsi="Times New Roman" w:cs="Times New Roman"/>
          <w:sz w:val="24"/>
          <w:szCs w:val="24"/>
        </w:rPr>
        <w:t xml:space="preserve">.  However </w:t>
      </w:r>
      <w:r>
        <w:rPr>
          <w:rFonts w:ascii="Times New Roman" w:hAnsi="Times New Roman" w:cs="Times New Roman"/>
          <w:sz w:val="24"/>
          <w:szCs w:val="24"/>
        </w:rPr>
        <w:t xml:space="preserve">clause 6.5.2 (k) (4) of the National Electricity Rules requires the AER to have regard to </w:t>
      </w:r>
      <w:r w:rsidRPr="006915DA">
        <w:rPr>
          <w:rFonts w:ascii="Times New Roman" w:hAnsi="Times New Roman" w:cs="Times New Roman"/>
          <w:sz w:val="24"/>
          <w:szCs w:val="24"/>
        </w:rPr>
        <w:t>“any impacts…on a benchmark efficient entity that could arise as a result of changing the methodology that is used to estimate the return on debt…”.</w:t>
      </w:r>
      <w:r>
        <w:rPr>
          <w:rFonts w:ascii="Times New Roman" w:hAnsi="Times New Roman" w:cs="Times New Roman"/>
          <w:sz w:val="24"/>
          <w:szCs w:val="24"/>
        </w:rPr>
        <w:t xml:space="preserve">  </w:t>
      </w:r>
      <w:r w:rsidR="0091635D">
        <w:rPr>
          <w:rFonts w:ascii="Times New Roman" w:hAnsi="Times New Roman" w:cs="Times New Roman"/>
          <w:sz w:val="24"/>
          <w:szCs w:val="24"/>
        </w:rPr>
        <w:t xml:space="preserve">This clause clearly implies that the previous regulatory approach should be considered by the AER, and </w:t>
      </w:r>
      <w:r w:rsidR="00B57E8A">
        <w:rPr>
          <w:rFonts w:ascii="Times New Roman" w:hAnsi="Times New Roman" w:cs="Times New Roman"/>
          <w:sz w:val="24"/>
          <w:szCs w:val="24"/>
        </w:rPr>
        <w:t xml:space="preserve">this </w:t>
      </w:r>
      <w:r w:rsidR="0091635D">
        <w:rPr>
          <w:rFonts w:ascii="Times New Roman" w:hAnsi="Times New Roman" w:cs="Times New Roman"/>
          <w:sz w:val="24"/>
          <w:szCs w:val="24"/>
        </w:rPr>
        <w:t xml:space="preserve">supports the use of a </w:t>
      </w:r>
      <w:r w:rsidR="004815BE">
        <w:rPr>
          <w:rFonts w:ascii="Times New Roman" w:hAnsi="Times New Roman" w:cs="Times New Roman"/>
          <w:sz w:val="24"/>
          <w:szCs w:val="24"/>
        </w:rPr>
        <w:t>transitional regime.</w:t>
      </w:r>
    </w:p>
    <w:p w:rsidR="004815BE" w:rsidRDefault="004815BE" w:rsidP="004815BE">
      <w:pPr>
        <w:spacing w:after="0" w:line="360" w:lineRule="auto"/>
        <w:jc w:val="both"/>
        <w:rPr>
          <w:rFonts w:ascii="Times New Roman" w:hAnsi="Times New Roman" w:cs="Times New Roman"/>
          <w:sz w:val="24"/>
          <w:szCs w:val="24"/>
        </w:rPr>
      </w:pPr>
    </w:p>
    <w:p w:rsidR="004815BE" w:rsidRDefault="004815BE"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ActewAGL </w:t>
      </w:r>
      <w:r w:rsidR="004B7C1A">
        <w:rPr>
          <w:rFonts w:ascii="Times New Roman" w:hAnsi="Times New Roman" w:cs="Times New Roman"/>
          <w:sz w:val="24"/>
          <w:szCs w:val="24"/>
        </w:rPr>
        <w:t xml:space="preserve">(2015, page 476) notes that it </w:t>
      </w:r>
      <w:r>
        <w:rPr>
          <w:rFonts w:ascii="Times New Roman" w:hAnsi="Times New Roman" w:cs="Times New Roman"/>
          <w:sz w:val="24"/>
          <w:szCs w:val="24"/>
        </w:rPr>
        <w:t>has no debt and therefore transitional arrange</w:t>
      </w:r>
      <w:r w:rsidR="004B7C1A">
        <w:rPr>
          <w:rFonts w:ascii="Times New Roman" w:hAnsi="Times New Roman" w:cs="Times New Roman"/>
          <w:sz w:val="24"/>
          <w:szCs w:val="24"/>
        </w:rPr>
        <w:t>ments are unnecessary</w:t>
      </w:r>
      <w:r>
        <w:rPr>
          <w:rFonts w:ascii="Times New Roman" w:hAnsi="Times New Roman" w:cs="Times New Roman"/>
          <w:sz w:val="24"/>
          <w:szCs w:val="24"/>
        </w:rPr>
        <w:t>.  However, the individual circumstances of a business are irrelevant to the definition of a BEE.</w:t>
      </w:r>
    </w:p>
    <w:p w:rsidR="004815BE" w:rsidRDefault="004815BE" w:rsidP="004815BE">
      <w:pPr>
        <w:spacing w:after="0" w:line="360" w:lineRule="auto"/>
        <w:jc w:val="both"/>
        <w:rPr>
          <w:rFonts w:ascii="Times New Roman" w:hAnsi="Times New Roman" w:cs="Times New Roman"/>
          <w:sz w:val="24"/>
          <w:szCs w:val="24"/>
        </w:rPr>
      </w:pPr>
    </w:p>
    <w:p w:rsidR="001975ED" w:rsidRPr="001975ED" w:rsidRDefault="001975ED" w:rsidP="004815BE">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9.8 NSW Treasury</w:t>
      </w:r>
    </w:p>
    <w:p w:rsidR="004815BE" w:rsidRPr="001975ED" w:rsidRDefault="001975ED"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NSW Treasury (2014a, page 1) claims that it is </w:t>
      </w:r>
      <w:r w:rsidR="004815BE">
        <w:rPr>
          <w:rFonts w:ascii="Times New Roman" w:hAnsi="Times New Roman" w:cs="Times New Roman"/>
          <w:sz w:val="24"/>
          <w:szCs w:val="24"/>
        </w:rPr>
        <w:t xml:space="preserve">NSW Government policy to charge </w:t>
      </w:r>
      <w:r>
        <w:rPr>
          <w:rFonts w:ascii="Times New Roman" w:hAnsi="Times New Roman" w:cs="Times New Roman"/>
          <w:sz w:val="24"/>
          <w:szCs w:val="24"/>
        </w:rPr>
        <w:t xml:space="preserve">government-owned </w:t>
      </w:r>
      <w:r w:rsidR="004815BE">
        <w:rPr>
          <w:rFonts w:ascii="Times New Roman" w:hAnsi="Times New Roman" w:cs="Times New Roman"/>
          <w:sz w:val="24"/>
          <w:szCs w:val="24"/>
        </w:rPr>
        <w:t xml:space="preserve">businesses a </w:t>
      </w:r>
      <w:r>
        <w:rPr>
          <w:rFonts w:ascii="Times New Roman" w:hAnsi="Times New Roman" w:cs="Times New Roman"/>
          <w:sz w:val="24"/>
          <w:szCs w:val="24"/>
        </w:rPr>
        <w:t xml:space="preserve">cost of debt </w:t>
      </w:r>
      <w:r w:rsidR="004815BE">
        <w:rPr>
          <w:rFonts w:ascii="Times New Roman" w:hAnsi="Times New Roman" w:cs="Times New Roman"/>
          <w:sz w:val="24"/>
          <w:szCs w:val="24"/>
        </w:rPr>
        <w:t xml:space="preserve">that matches that of a comparable </w:t>
      </w:r>
      <w:r>
        <w:rPr>
          <w:rFonts w:ascii="Times New Roman" w:hAnsi="Times New Roman" w:cs="Times New Roman"/>
          <w:sz w:val="24"/>
          <w:szCs w:val="24"/>
        </w:rPr>
        <w:t>private sector business</w:t>
      </w:r>
      <w:r w:rsidR="004815BE">
        <w:rPr>
          <w:rFonts w:ascii="Times New Roman" w:hAnsi="Times New Roman" w:cs="Times New Roman"/>
          <w:sz w:val="24"/>
          <w:szCs w:val="24"/>
        </w:rPr>
        <w:t xml:space="preserve">.  </w:t>
      </w:r>
      <w:r>
        <w:rPr>
          <w:rFonts w:ascii="Times New Roman" w:hAnsi="Times New Roman" w:cs="Times New Roman"/>
          <w:sz w:val="24"/>
          <w:szCs w:val="24"/>
        </w:rPr>
        <w:t xml:space="preserve">However, NSW Treasury (2014b, pp. 1-2) states that the DRP charged is now uniform across the term for which </w:t>
      </w:r>
      <w:r w:rsidR="00B57E8A">
        <w:rPr>
          <w:rFonts w:ascii="Times New Roman" w:hAnsi="Times New Roman" w:cs="Times New Roman"/>
          <w:sz w:val="24"/>
          <w:szCs w:val="24"/>
        </w:rPr>
        <w:t>a business</w:t>
      </w:r>
      <w:r>
        <w:rPr>
          <w:rFonts w:ascii="Times New Roman" w:hAnsi="Times New Roman" w:cs="Times New Roman"/>
          <w:sz w:val="24"/>
          <w:szCs w:val="24"/>
        </w:rPr>
        <w:t xml:space="preserve"> </w:t>
      </w:r>
      <w:r w:rsidR="00B57E8A">
        <w:rPr>
          <w:rFonts w:ascii="Times New Roman" w:hAnsi="Times New Roman" w:cs="Times New Roman"/>
          <w:sz w:val="24"/>
          <w:szCs w:val="24"/>
        </w:rPr>
        <w:t xml:space="preserve">borrows, </w:t>
      </w:r>
      <w:r>
        <w:rPr>
          <w:rFonts w:ascii="Times New Roman" w:hAnsi="Times New Roman" w:cs="Times New Roman"/>
          <w:sz w:val="24"/>
          <w:szCs w:val="24"/>
        </w:rPr>
        <w:t xml:space="preserve">that this was done because the businesses adopted very high levels of short-term debt when the short-term DRP was lower, and that </w:t>
      </w:r>
      <w:r w:rsidRPr="001975ED">
        <w:rPr>
          <w:rFonts w:ascii="Times New Roman" w:hAnsi="Times New Roman" w:cs="Times New Roman"/>
          <w:sz w:val="24"/>
          <w:szCs w:val="24"/>
        </w:rPr>
        <w:t xml:space="preserve">NSW Treasury was </w:t>
      </w:r>
      <w:r>
        <w:rPr>
          <w:rFonts w:ascii="Times New Roman" w:hAnsi="Times New Roman" w:cs="Times New Roman"/>
          <w:sz w:val="24"/>
          <w:szCs w:val="24"/>
        </w:rPr>
        <w:t xml:space="preserve">very </w:t>
      </w:r>
      <w:r w:rsidRPr="001975ED">
        <w:rPr>
          <w:rFonts w:ascii="Times New Roman" w:hAnsi="Times New Roman" w:cs="Times New Roman"/>
          <w:sz w:val="24"/>
          <w:szCs w:val="24"/>
        </w:rPr>
        <w:t>concerned at the refinancing risk resulting from this</w:t>
      </w:r>
      <w:r>
        <w:rPr>
          <w:rFonts w:ascii="Times New Roman" w:hAnsi="Times New Roman" w:cs="Times New Roman"/>
          <w:sz w:val="24"/>
          <w:szCs w:val="24"/>
        </w:rPr>
        <w:t>.</w:t>
      </w:r>
      <w:r w:rsidRPr="001975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75ED">
        <w:rPr>
          <w:rFonts w:ascii="Times New Roman" w:hAnsi="Times New Roman" w:cs="Times New Roman"/>
          <w:sz w:val="24"/>
          <w:szCs w:val="24"/>
        </w:rPr>
        <w:t xml:space="preserve">All of this </w:t>
      </w:r>
      <w:r>
        <w:rPr>
          <w:rFonts w:ascii="Times New Roman" w:hAnsi="Times New Roman" w:cs="Times New Roman"/>
          <w:sz w:val="24"/>
          <w:szCs w:val="24"/>
        </w:rPr>
        <w:t xml:space="preserve">suggests </w:t>
      </w:r>
      <w:r w:rsidRPr="001975ED">
        <w:rPr>
          <w:rFonts w:ascii="Times New Roman" w:hAnsi="Times New Roman" w:cs="Times New Roman"/>
          <w:sz w:val="24"/>
          <w:szCs w:val="24"/>
        </w:rPr>
        <w:t xml:space="preserve">that NSW Treasury considered that the government businesses </w:t>
      </w:r>
      <w:r w:rsidR="005E479B">
        <w:rPr>
          <w:rFonts w:ascii="Times New Roman" w:hAnsi="Times New Roman" w:cs="Times New Roman"/>
          <w:sz w:val="24"/>
          <w:szCs w:val="24"/>
        </w:rPr>
        <w:t xml:space="preserve">paid little heed to </w:t>
      </w:r>
      <w:r w:rsidRPr="001975ED">
        <w:rPr>
          <w:rFonts w:ascii="Times New Roman" w:hAnsi="Times New Roman" w:cs="Times New Roman"/>
          <w:sz w:val="24"/>
          <w:szCs w:val="24"/>
        </w:rPr>
        <w:t xml:space="preserve">refinancing risk.  If this is true, and NSW Treasury would be in a good position to judge, this would contribute to explaining why these businesses did not use swaps (the rationale for using swaps being to mitigate </w:t>
      </w:r>
      <w:r w:rsidR="005E479B">
        <w:rPr>
          <w:rFonts w:ascii="Times New Roman" w:hAnsi="Times New Roman" w:cs="Times New Roman"/>
          <w:sz w:val="24"/>
          <w:szCs w:val="24"/>
        </w:rPr>
        <w:t xml:space="preserve">the </w:t>
      </w:r>
      <w:r w:rsidRPr="001975ED">
        <w:rPr>
          <w:rFonts w:ascii="Times New Roman" w:hAnsi="Times New Roman" w:cs="Times New Roman"/>
          <w:sz w:val="24"/>
          <w:szCs w:val="24"/>
        </w:rPr>
        <w:t xml:space="preserve">adverse effects resulting from staggering and borrowing long-term so as to minimize refinancing risk).  </w:t>
      </w:r>
      <w:r>
        <w:rPr>
          <w:rFonts w:ascii="Times New Roman" w:hAnsi="Times New Roman" w:cs="Times New Roman"/>
          <w:sz w:val="24"/>
          <w:szCs w:val="24"/>
        </w:rPr>
        <w:t xml:space="preserve">Accordingly, </w:t>
      </w:r>
      <w:r w:rsidR="005E479B">
        <w:rPr>
          <w:rFonts w:ascii="Times New Roman" w:hAnsi="Times New Roman" w:cs="Times New Roman"/>
          <w:sz w:val="24"/>
          <w:szCs w:val="24"/>
        </w:rPr>
        <w:t xml:space="preserve">the </w:t>
      </w:r>
      <w:r>
        <w:rPr>
          <w:rFonts w:ascii="Times New Roman" w:hAnsi="Times New Roman" w:cs="Times New Roman"/>
          <w:sz w:val="24"/>
          <w:szCs w:val="24"/>
        </w:rPr>
        <w:t xml:space="preserve">failure </w:t>
      </w:r>
      <w:r w:rsidR="005E479B">
        <w:rPr>
          <w:rFonts w:ascii="Times New Roman" w:hAnsi="Times New Roman" w:cs="Times New Roman"/>
          <w:sz w:val="24"/>
          <w:szCs w:val="24"/>
        </w:rPr>
        <w:t xml:space="preserve">by these businesses </w:t>
      </w:r>
      <w:r>
        <w:rPr>
          <w:rFonts w:ascii="Times New Roman" w:hAnsi="Times New Roman" w:cs="Times New Roman"/>
          <w:sz w:val="24"/>
          <w:szCs w:val="24"/>
        </w:rPr>
        <w:t>to use swaps does not provide a rationale for applying a different regulatory regime to them.</w:t>
      </w:r>
    </w:p>
    <w:p w:rsidR="001975ED" w:rsidRDefault="001975ED" w:rsidP="004815BE">
      <w:pPr>
        <w:spacing w:after="0" w:line="360" w:lineRule="auto"/>
        <w:jc w:val="both"/>
        <w:rPr>
          <w:rFonts w:ascii="Times New Roman" w:hAnsi="Times New Roman" w:cs="Times New Roman"/>
          <w:sz w:val="24"/>
          <w:szCs w:val="24"/>
        </w:rPr>
      </w:pPr>
    </w:p>
    <w:p w:rsidR="004815BE" w:rsidRPr="00BE79FC" w:rsidRDefault="00BE79FC" w:rsidP="004815BE">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9.9 </w:t>
      </w:r>
      <w:r w:rsidR="004815BE" w:rsidRPr="00BE79FC">
        <w:rPr>
          <w:rFonts w:ascii="Times New Roman" w:hAnsi="Times New Roman" w:cs="Times New Roman"/>
          <w:i/>
          <w:sz w:val="24"/>
          <w:szCs w:val="24"/>
        </w:rPr>
        <w:t>Ausgrid Revised Regulatory Proposal</w:t>
      </w:r>
    </w:p>
    <w:p w:rsidR="004815BE" w:rsidRDefault="008E171F"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Ausgrid (2015, page 179) argues that the AER’s proposed transitional </w:t>
      </w:r>
      <w:r w:rsidR="004815BE">
        <w:rPr>
          <w:rFonts w:ascii="Times New Roman" w:hAnsi="Times New Roman" w:cs="Times New Roman"/>
          <w:sz w:val="24"/>
          <w:szCs w:val="24"/>
        </w:rPr>
        <w:t>process delays the imposition</w:t>
      </w:r>
      <w:r>
        <w:rPr>
          <w:rFonts w:ascii="Times New Roman" w:hAnsi="Times New Roman" w:cs="Times New Roman"/>
          <w:sz w:val="24"/>
          <w:szCs w:val="24"/>
        </w:rPr>
        <w:t xml:space="preserve"> of the best approach (the trailing average), and therefore is unwarranted.</w:t>
      </w:r>
      <w:r w:rsidR="004815BE">
        <w:rPr>
          <w:rFonts w:ascii="Times New Roman" w:hAnsi="Times New Roman" w:cs="Times New Roman"/>
          <w:sz w:val="24"/>
          <w:szCs w:val="24"/>
        </w:rPr>
        <w:t xml:space="preserve">  However, </w:t>
      </w:r>
      <w:r>
        <w:rPr>
          <w:rFonts w:ascii="Times New Roman" w:hAnsi="Times New Roman" w:cs="Times New Roman"/>
          <w:sz w:val="24"/>
          <w:szCs w:val="24"/>
        </w:rPr>
        <w:t xml:space="preserve">this </w:t>
      </w:r>
      <w:r w:rsidR="004815BE">
        <w:rPr>
          <w:rFonts w:ascii="Times New Roman" w:hAnsi="Times New Roman" w:cs="Times New Roman"/>
          <w:sz w:val="24"/>
          <w:szCs w:val="24"/>
        </w:rPr>
        <w:t>claim does not address the</w:t>
      </w:r>
      <w:r>
        <w:rPr>
          <w:rFonts w:ascii="Times New Roman" w:hAnsi="Times New Roman" w:cs="Times New Roman"/>
          <w:sz w:val="24"/>
          <w:szCs w:val="24"/>
        </w:rPr>
        <w:t xml:space="preserve"> arguments for a transition: to neutralize the </w:t>
      </w:r>
      <w:r w:rsidR="005E479B">
        <w:rPr>
          <w:rFonts w:ascii="Times New Roman" w:hAnsi="Times New Roman" w:cs="Times New Roman"/>
          <w:sz w:val="24"/>
          <w:szCs w:val="24"/>
        </w:rPr>
        <w:t xml:space="preserve">one-off effect </w:t>
      </w:r>
      <w:r>
        <w:rPr>
          <w:rFonts w:ascii="Times New Roman" w:hAnsi="Times New Roman" w:cs="Times New Roman"/>
          <w:sz w:val="24"/>
          <w:szCs w:val="24"/>
        </w:rPr>
        <w:t xml:space="preserve">arising from the regime change and therefore </w:t>
      </w:r>
      <w:r w:rsidR="005E479B">
        <w:rPr>
          <w:rFonts w:ascii="Times New Roman" w:hAnsi="Times New Roman" w:cs="Times New Roman"/>
          <w:sz w:val="24"/>
          <w:szCs w:val="24"/>
        </w:rPr>
        <w:t xml:space="preserve">to both </w:t>
      </w:r>
      <w:r>
        <w:rPr>
          <w:rFonts w:ascii="Times New Roman" w:hAnsi="Times New Roman" w:cs="Times New Roman"/>
          <w:sz w:val="24"/>
          <w:szCs w:val="24"/>
        </w:rPr>
        <w:t>produce results that ac</w:t>
      </w:r>
      <w:r w:rsidR="005E479B">
        <w:rPr>
          <w:rFonts w:ascii="Times New Roman" w:hAnsi="Times New Roman" w:cs="Times New Roman"/>
          <w:sz w:val="24"/>
          <w:szCs w:val="24"/>
        </w:rPr>
        <w:t>cord with the NPV = 0 principle and protect the BEE from regulatory risk.</w:t>
      </w:r>
    </w:p>
    <w:p w:rsidR="008E171F" w:rsidRDefault="008E171F" w:rsidP="004815BE">
      <w:pPr>
        <w:spacing w:after="0" w:line="360" w:lineRule="auto"/>
        <w:jc w:val="both"/>
        <w:rPr>
          <w:rFonts w:ascii="Times New Roman" w:hAnsi="Times New Roman" w:cs="Times New Roman"/>
          <w:sz w:val="24"/>
          <w:szCs w:val="24"/>
        </w:rPr>
      </w:pPr>
    </w:p>
    <w:p w:rsidR="008E171F" w:rsidRDefault="008E171F"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Ausgrid (2015, page 179) argues that the AER’s proposed transitional process is premised upon conditions applying to a hypothetical entity that is in a different position to Ausgrid, and is therefore irrelevant to Ausgrid.  However, </w:t>
      </w:r>
      <w:r w:rsidR="0088747A">
        <w:rPr>
          <w:rFonts w:ascii="Times New Roman" w:hAnsi="Times New Roman" w:cs="Times New Roman"/>
          <w:sz w:val="24"/>
          <w:szCs w:val="24"/>
        </w:rPr>
        <w:t>as discussed in section 8.1, the relevant circumstances are those of the BEE and therefore the</w:t>
      </w:r>
      <w:r w:rsidR="00EC7A2B">
        <w:rPr>
          <w:rFonts w:ascii="Times New Roman" w:hAnsi="Times New Roman" w:cs="Times New Roman"/>
          <w:sz w:val="24"/>
          <w:szCs w:val="24"/>
        </w:rPr>
        <w:t xml:space="preserve"> </w:t>
      </w:r>
      <w:r w:rsidR="00EC7A2B" w:rsidRPr="00504069">
        <w:rPr>
          <w:rFonts w:ascii="Times New Roman" w:hAnsi="Times New Roman" w:cs="Times New Roman"/>
          <w:sz w:val="24"/>
          <w:szCs w:val="24"/>
        </w:rPr>
        <w:t>particular</w:t>
      </w:r>
      <w:r w:rsidR="0088747A" w:rsidRPr="00504069">
        <w:rPr>
          <w:rFonts w:ascii="Times New Roman" w:hAnsi="Times New Roman" w:cs="Times New Roman"/>
          <w:sz w:val="24"/>
          <w:szCs w:val="24"/>
        </w:rPr>
        <w:t xml:space="preserve"> </w:t>
      </w:r>
      <w:r w:rsidRPr="00504069">
        <w:rPr>
          <w:rFonts w:ascii="Times New Roman" w:hAnsi="Times New Roman" w:cs="Times New Roman"/>
          <w:sz w:val="24"/>
          <w:szCs w:val="24"/>
        </w:rPr>
        <w:t xml:space="preserve">circumstances of </w:t>
      </w:r>
      <w:r w:rsidR="0088747A" w:rsidRPr="00504069">
        <w:rPr>
          <w:rFonts w:ascii="Times New Roman" w:hAnsi="Times New Roman" w:cs="Times New Roman"/>
          <w:sz w:val="24"/>
          <w:szCs w:val="24"/>
        </w:rPr>
        <w:t xml:space="preserve">Ausgrid are </w:t>
      </w:r>
      <w:r w:rsidRPr="00504069">
        <w:rPr>
          <w:rFonts w:ascii="Times New Roman" w:hAnsi="Times New Roman" w:cs="Times New Roman"/>
          <w:sz w:val="24"/>
          <w:szCs w:val="24"/>
        </w:rPr>
        <w:t>irrel</w:t>
      </w:r>
      <w:r w:rsidR="0088747A" w:rsidRPr="00504069">
        <w:rPr>
          <w:rFonts w:ascii="Times New Roman" w:hAnsi="Times New Roman" w:cs="Times New Roman"/>
          <w:sz w:val="24"/>
          <w:szCs w:val="24"/>
        </w:rPr>
        <w:t>evant</w:t>
      </w:r>
      <w:r w:rsidR="00EC7A2B" w:rsidRPr="00504069">
        <w:rPr>
          <w:rFonts w:ascii="Times New Roman" w:hAnsi="Times New Roman" w:cs="Times New Roman"/>
          <w:sz w:val="24"/>
          <w:szCs w:val="24"/>
        </w:rPr>
        <w:t xml:space="preserve"> to the extent that they differ from that of the BEE</w:t>
      </w:r>
      <w:r w:rsidR="0088747A">
        <w:rPr>
          <w:rFonts w:ascii="Times New Roman" w:hAnsi="Times New Roman" w:cs="Times New Roman"/>
          <w:sz w:val="24"/>
          <w:szCs w:val="24"/>
        </w:rPr>
        <w:t>.</w:t>
      </w:r>
    </w:p>
    <w:p w:rsidR="004815BE" w:rsidRDefault="004815BE" w:rsidP="004815BE">
      <w:pPr>
        <w:spacing w:after="0" w:line="360" w:lineRule="auto"/>
        <w:jc w:val="both"/>
        <w:rPr>
          <w:rFonts w:ascii="Times New Roman" w:hAnsi="Times New Roman" w:cs="Times New Roman"/>
          <w:sz w:val="24"/>
          <w:szCs w:val="24"/>
        </w:rPr>
      </w:pPr>
    </w:p>
    <w:p w:rsidR="004815BE" w:rsidRDefault="0088747A"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Ausgrid (2015, page 180) argues that </w:t>
      </w:r>
      <w:r w:rsidR="004815BE">
        <w:rPr>
          <w:rFonts w:ascii="Times New Roman" w:hAnsi="Times New Roman" w:cs="Times New Roman"/>
          <w:sz w:val="24"/>
          <w:szCs w:val="24"/>
        </w:rPr>
        <w:t>the AER may need to consider more than one BEE and it should do so because it was not efficient for large firm</w:t>
      </w:r>
      <w:r>
        <w:rPr>
          <w:rFonts w:ascii="Times New Roman" w:hAnsi="Times New Roman" w:cs="Times New Roman"/>
          <w:sz w:val="24"/>
          <w:szCs w:val="24"/>
        </w:rPr>
        <w:t>s to enter into swaps</w:t>
      </w:r>
      <w:r w:rsidR="004815BE">
        <w:rPr>
          <w:rFonts w:ascii="Times New Roman" w:hAnsi="Times New Roman" w:cs="Times New Roman"/>
          <w:sz w:val="24"/>
          <w:szCs w:val="24"/>
        </w:rPr>
        <w:t xml:space="preserve">.  However, Ausgrid </w:t>
      </w:r>
      <w:r w:rsidR="00FE6255">
        <w:rPr>
          <w:rFonts w:ascii="Times New Roman" w:hAnsi="Times New Roman" w:cs="Times New Roman"/>
          <w:sz w:val="24"/>
          <w:szCs w:val="24"/>
        </w:rPr>
        <w:t xml:space="preserve">fails to </w:t>
      </w:r>
      <w:r w:rsidR="004815BE">
        <w:rPr>
          <w:rFonts w:ascii="Times New Roman" w:hAnsi="Times New Roman" w:cs="Times New Roman"/>
          <w:sz w:val="24"/>
          <w:szCs w:val="24"/>
        </w:rPr>
        <w:t xml:space="preserve">respond to the contrary arguments </w:t>
      </w:r>
      <w:r w:rsidR="00FE6255">
        <w:rPr>
          <w:rFonts w:ascii="Times New Roman" w:hAnsi="Times New Roman" w:cs="Times New Roman"/>
          <w:sz w:val="24"/>
          <w:szCs w:val="24"/>
        </w:rPr>
        <w:t>on this matter in Lally (2014</w:t>
      </w:r>
      <w:r w:rsidR="005E479B">
        <w:rPr>
          <w:rFonts w:ascii="Times New Roman" w:hAnsi="Times New Roman" w:cs="Times New Roman"/>
          <w:sz w:val="24"/>
          <w:szCs w:val="24"/>
        </w:rPr>
        <w:t>a</w:t>
      </w:r>
      <w:r w:rsidR="00FE6255">
        <w:rPr>
          <w:rFonts w:ascii="Times New Roman" w:hAnsi="Times New Roman" w:cs="Times New Roman"/>
          <w:sz w:val="24"/>
          <w:szCs w:val="24"/>
        </w:rPr>
        <w:t xml:space="preserve">, section 4) to the effect that it </w:t>
      </w:r>
      <w:r w:rsidR="004815BE">
        <w:rPr>
          <w:rFonts w:ascii="Times New Roman" w:hAnsi="Times New Roman" w:cs="Times New Roman"/>
          <w:sz w:val="24"/>
          <w:szCs w:val="24"/>
        </w:rPr>
        <w:t xml:space="preserve">was still efficient for the </w:t>
      </w:r>
      <w:r w:rsidR="00FE6255">
        <w:rPr>
          <w:rFonts w:ascii="Times New Roman" w:hAnsi="Times New Roman" w:cs="Times New Roman"/>
          <w:sz w:val="24"/>
          <w:szCs w:val="24"/>
        </w:rPr>
        <w:t>large firms to enter into swaps</w:t>
      </w:r>
      <w:r w:rsidR="004815BE">
        <w:rPr>
          <w:rFonts w:ascii="Times New Roman" w:hAnsi="Times New Roman" w:cs="Times New Roman"/>
          <w:sz w:val="24"/>
          <w:szCs w:val="24"/>
        </w:rPr>
        <w:t>.</w:t>
      </w:r>
    </w:p>
    <w:p w:rsidR="004815BE" w:rsidRDefault="004815BE" w:rsidP="004815BE">
      <w:pPr>
        <w:spacing w:after="0" w:line="360" w:lineRule="auto"/>
        <w:jc w:val="both"/>
        <w:rPr>
          <w:rFonts w:ascii="Times New Roman" w:hAnsi="Times New Roman" w:cs="Times New Roman"/>
          <w:sz w:val="24"/>
          <w:szCs w:val="24"/>
        </w:rPr>
      </w:pPr>
    </w:p>
    <w:p w:rsidR="004815BE" w:rsidRDefault="00056C9A"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Ausgrid (2015, page 182) argues that the AER’s proposed transitional regime would undercompensate them for the costs that they do incur under the efficient policy (a ten-year trailing average without hedging), of about 1% of their debt level in the first few years.  Similar arguments have been previously presented by Ausgrid and critiqued by Lally (2014</w:t>
      </w:r>
      <w:r w:rsidR="005E479B">
        <w:rPr>
          <w:rFonts w:ascii="Times New Roman" w:hAnsi="Times New Roman" w:cs="Times New Roman"/>
          <w:sz w:val="24"/>
          <w:szCs w:val="24"/>
        </w:rPr>
        <w:t>a</w:t>
      </w:r>
      <w:r>
        <w:rPr>
          <w:rFonts w:ascii="Times New Roman" w:hAnsi="Times New Roman" w:cs="Times New Roman"/>
          <w:sz w:val="24"/>
          <w:szCs w:val="24"/>
        </w:rPr>
        <w:t xml:space="preserve">, pp. 35-36).  Ausgrid (2015) does not respond to these points.  </w:t>
      </w:r>
    </w:p>
    <w:p w:rsidR="00056C9A" w:rsidRDefault="00056C9A" w:rsidP="004815BE">
      <w:pPr>
        <w:spacing w:after="0" w:line="360" w:lineRule="auto"/>
        <w:jc w:val="both"/>
        <w:rPr>
          <w:rFonts w:ascii="Times New Roman" w:hAnsi="Times New Roman" w:cs="Times New Roman"/>
          <w:sz w:val="24"/>
          <w:szCs w:val="24"/>
        </w:rPr>
      </w:pPr>
    </w:p>
    <w:p w:rsidR="004815BE" w:rsidRDefault="004815BE"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Ausgrid </w:t>
      </w:r>
      <w:r w:rsidR="00056C9A">
        <w:rPr>
          <w:rFonts w:ascii="Times New Roman" w:hAnsi="Times New Roman" w:cs="Times New Roman"/>
          <w:sz w:val="24"/>
          <w:szCs w:val="24"/>
        </w:rPr>
        <w:t xml:space="preserve">(2015, pp. 83-84) argues that it could not have </w:t>
      </w:r>
      <w:r>
        <w:rPr>
          <w:rFonts w:ascii="Times New Roman" w:hAnsi="Times New Roman" w:cs="Times New Roman"/>
          <w:sz w:val="24"/>
          <w:szCs w:val="24"/>
        </w:rPr>
        <w:t xml:space="preserve">undertaken the swaps in </w:t>
      </w:r>
      <w:r w:rsidR="00056C9A">
        <w:rPr>
          <w:rFonts w:ascii="Times New Roman" w:hAnsi="Times New Roman" w:cs="Times New Roman"/>
          <w:sz w:val="24"/>
          <w:szCs w:val="24"/>
        </w:rPr>
        <w:t xml:space="preserve">the maximum regulatory window of </w:t>
      </w:r>
      <w:r>
        <w:rPr>
          <w:rFonts w:ascii="Times New Roman" w:hAnsi="Times New Roman" w:cs="Times New Roman"/>
          <w:sz w:val="24"/>
          <w:szCs w:val="24"/>
        </w:rPr>
        <w:t>40 business days and use of a longer period would have provided a poor he</w:t>
      </w:r>
      <w:r w:rsidR="00056C9A">
        <w:rPr>
          <w:rFonts w:ascii="Times New Roman" w:hAnsi="Times New Roman" w:cs="Times New Roman"/>
          <w:sz w:val="24"/>
          <w:szCs w:val="24"/>
        </w:rPr>
        <w:t>dge</w:t>
      </w:r>
      <w:r>
        <w:rPr>
          <w:rFonts w:ascii="Times New Roman" w:hAnsi="Times New Roman" w:cs="Times New Roman"/>
          <w:sz w:val="24"/>
          <w:szCs w:val="24"/>
        </w:rPr>
        <w:t xml:space="preserve">.  However, these claims have been dealt with </w:t>
      </w:r>
      <w:r w:rsidR="005E479B">
        <w:rPr>
          <w:rFonts w:ascii="Times New Roman" w:hAnsi="Times New Roman" w:cs="Times New Roman"/>
          <w:sz w:val="24"/>
          <w:szCs w:val="24"/>
        </w:rPr>
        <w:t xml:space="preserve">in section 9.1 </w:t>
      </w:r>
      <w:r>
        <w:rPr>
          <w:rFonts w:ascii="Times New Roman" w:hAnsi="Times New Roman" w:cs="Times New Roman"/>
          <w:sz w:val="24"/>
          <w:szCs w:val="24"/>
        </w:rPr>
        <w:t>above.</w:t>
      </w:r>
    </w:p>
    <w:p w:rsidR="004815BE" w:rsidRDefault="004815BE" w:rsidP="004815BE">
      <w:pPr>
        <w:spacing w:after="0" w:line="360" w:lineRule="auto"/>
        <w:jc w:val="both"/>
        <w:rPr>
          <w:rFonts w:ascii="Times New Roman" w:hAnsi="Times New Roman" w:cs="Times New Roman"/>
          <w:sz w:val="24"/>
          <w:szCs w:val="24"/>
        </w:rPr>
      </w:pPr>
    </w:p>
    <w:p w:rsidR="004815BE" w:rsidRDefault="00056C9A"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Ausgrid (2015, pp. 184-185) argues that its regulatory averaging period for 2009-2014 was retrospectively set (by the ACT) several months after the commencement of the regulatory period, which </w:t>
      </w:r>
      <w:r w:rsidR="005E479B">
        <w:rPr>
          <w:rFonts w:ascii="Times New Roman" w:hAnsi="Times New Roman" w:cs="Times New Roman"/>
          <w:sz w:val="24"/>
          <w:szCs w:val="24"/>
        </w:rPr>
        <w:t xml:space="preserve">made it </w:t>
      </w:r>
      <w:r>
        <w:rPr>
          <w:rFonts w:ascii="Times New Roman" w:hAnsi="Times New Roman" w:cs="Times New Roman"/>
          <w:sz w:val="24"/>
          <w:szCs w:val="24"/>
        </w:rPr>
        <w:t xml:space="preserve">impossible for </w:t>
      </w:r>
      <w:r w:rsidR="006915DA">
        <w:rPr>
          <w:rFonts w:ascii="Times New Roman" w:hAnsi="Times New Roman" w:cs="Times New Roman"/>
          <w:sz w:val="24"/>
          <w:szCs w:val="24"/>
        </w:rPr>
        <w:t xml:space="preserve">it </w:t>
      </w:r>
      <w:r>
        <w:rPr>
          <w:rFonts w:ascii="Times New Roman" w:hAnsi="Times New Roman" w:cs="Times New Roman"/>
          <w:sz w:val="24"/>
          <w:szCs w:val="24"/>
        </w:rPr>
        <w:t xml:space="preserve">to have undertaken the appropriate hedging actions. </w:t>
      </w:r>
      <w:r w:rsidR="006915DA">
        <w:rPr>
          <w:rFonts w:ascii="Times New Roman" w:hAnsi="Times New Roman" w:cs="Times New Roman"/>
          <w:sz w:val="24"/>
          <w:szCs w:val="24"/>
        </w:rPr>
        <w:t xml:space="preserve"> </w:t>
      </w:r>
      <w:r w:rsidR="004815BE">
        <w:rPr>
          <w:rFonts w:ascii="Times New Roman" w:hAnsi="Times New Roman" w:cs="Times New Roman"/>
          <w:sz w:val="24"/>
          <w:szCs w:val="24"/>
        </w:rPr>
        <w:t xml:space="preserve">However, </w:t>
      </w:r>
      <w:r w:rsidR="006915DA">
        <w:rPr>
          <w:rFonts w:ascii="Times New Roman" w:hAnsi="Times New Roman" w:cs="Times New Roman"/>
          <w:sz w:val="24"/>
          <w:szCs w:val="24"/>
        </w:rPr>
        <w:t xml:space="preserve">the same </w:t>
      </w:r>
      <w:r w:rsidR="004815BE">
        <w:rPr>
          <w:rFonts w:ascii="Times New Roman" w:hAnsi="Times New Roman" w:cs="Times New Roman"/>
          <w:sz w:val="24"/>
          <w:szCs w:val="24"/>
        </w:rPr>
        <w:t xml:space="preserve">argument has been </w:t>
      </w:r>
      <w:r w:rsidR="006915DA">
        <w:rPr>
          <w:rFonts w:ascii="Times New Roman" w:hAnsi="Times New Roman" w:cs="Times New Roman"/>
          <w:sz w:val="24"/>
          <w:szCs w:val="24"/>
        </w:rPr>
        <w:t>presented by UB</w:t>
      </w:r>
      <w:r w:rsidR="005E479B">
        <w:rPr>
          <w:rFonts w:ascii="Times New Roman" w:hAnsi="Times New Roman" w:cs="Times New Roman"/>
          <w:sz w:val="24"/>
          <w:szCs w:val="24"/>
        </w:rPr>
        <w:t>S and dealt with in section 9.1 above.</w:t>
      </w:r>
    </w:p>
    <w:p w:rsidR="004815BE" w:rsidRDefault="004815BE" w:rsidP="004815BE">
      <w:pPr>
        <w:spacing w:after="0" w:line="360" w:lineRule="auto"/>
        <w:jc w:val="both"/>
        <w:rPr>
          <w:rFonts w:ascii="Times New Roman" w:hAnsi="Times New Roman" w:cs="Times New Roman"/>
          <w:sz w:val="24"/>
          <w:szCs w:val="24"/>
        </w:rPr>
      </w:pPr>
    </w:p>
    <w:p w:rsidR="004815BE" w:rsidRPr="00253C45" w:rsidRDefault="006915DA"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Ausgrid (2015, page 185) rejects the contention in Lally (2014</w:t>
      </w:r>
      <w:r w:rsidR="00044245">
        <w:rPr>
          <w:rFonts w:ascii="Times New Roman" w:hAnsi="Times New Roman" w:cs="Times New Roman"/>
          <w:sz w:val="24"/>
          <w:szCs w:val="24"/>
        </w:rPr>
        <w:t>a</w:t>
      </w:r>
      <w:r>
        <w:rPr>
          <w:rFonts w:ascii="Times New Roman" w:hAnsi="Times New Roman" w:cs="Times New Roman"/>
          <w:sz w:val="24"/>
          <w:szCs w:val="24"/>
        </w:rPr>
        <w:t xml:space="preserve">, page 28) that it </w:t>
      </w:r>
      <w:r w:rsidR="004815BE">
        <w:rPr>
          <w:rFonts w:ascii="Times New Roman" w:hAnsi="Times New Roman" w:cs="Times New Roman"/>
          <w:sz w:val="24"/>
          <w:szCs w:val="24"/>
        </w:rPr>
        <w:t xml:space="preserve">might </w:t>
      </w:r>
      <w:r>
        <w:rPr>
          <w:rFonts w:ascii="Times New Roman" w:hAnsi="Times New Roman" w:cs="Times New Roman"/>
          <w:sz w:val="24"/>
          <w:szCs w:val="24"/>
        </w:rPr>
        <w:t xml:space="preserve">not have used swaps because it borrowed via the NSW Treasury and was therefore </w:t>
      </w:r>
      <w:r w:rsidR="004815BE">
        <w:rPr>
          <w:rFonts w:ascii="Times New Roman" w:hAnsi="Times New Roman" w:cs="Times New Roman"/>
          <w:sz w:val="24"/>
          <w:szCs w:val="24"/>
        </w:rPr>
        <w:t>partial</w:t>
      </w:r>
      <w:r>
        <w:rPr>
          <w:rFonts w:ascii="Times New Roman" w:hAnsi="Times New Roman" w:cs="Times New Roman"/>
          <w:sz w:val="24"/>
          <w:szCs w:val="24"/>
        </w:rPr>
        <w:t xml:space="preserve">ly shielded from market signals, on the grounds that its cost of debt was set by the NSW Treasury to </w:t>
      </w:r>
      <w:r w:rsidR="004815BE">
        <w:rPr>
          <w:rFonts w:ascii="Times New Roman" w:hAnsi="Times New Roman" w:cs="Times New Roman"/>
          <w:sz w:val="24"/>
          <w:szCs w:val="24"/>
        </w:rPr>
        <w:t>match a comparable private sect</w:t>
      </w:r>
      <w:r>
        <w:rPr>
          <w:rFonts w:ascii="Times New Roman" w:hAnsi="Times New Roman" w:cs="Times New Roman"/>
          <w:sz w:val="24"/>
          <w:szCs w:val="24"/>
        </w:rPr>
        <w:t>or entity</w:t>
      </w:r>
      <w:r w:rsidR="00A04795">
        <w:rPr>
          <w:rFonts w:ascii="Times New Roman" w:hAnsi="Times New Roman" w:cs="Times New Roman"/>
          <w:sz w:val="24"/>
          <w:szCs w:val="24"/>
        </w:rPr>
        <w:t xml:space="preserve">.  </w:t>
      </w:r>
      <w:r w:rsidR="00A04795" w:rsidRPr="00253C45">
        <w:rPr>
          <w:rFonts w:ascii="Times New Roman" w:hAnsi="Times New Roman" w:cs="Times New Roman"/>
          <w:sz w:val="24"/>
          <w:szCs w:val="24"/>
        </w:rPr>
        <w:t xml:space="preserve">However, as discussed in the previous section, the charges from NSW Treasury </w:t>
      </w:r>
      <w:r w:rsidR="008B5AF5" w:rsidRPr="00253C45">
        <w:rPr>
          <w:rFonts w:ascii="Times New Roman" w:hAnsi="Times New Roman" w:cs="Times New Roman"/>
          <w:sz w:val="24"/>
          <w:szCs w:val="24"/>
        </w:rPr>
        <w:t xml:space="preserve">purposely do not </w:t>
      </w:r>
      <w:r w:rsidR="00A04795" w:rsidRPr="00253C45">
        <w:rPr>
          <w:rFonts w:ascii="Times New Roman" w:hAnsi="Times New Roman" w:cs="Times New Roman"/>
          <w:sz w:val="24"/>
          <w:szCs w:val="24"/>
        </w:rPr>
        <w:t>match those of a comparable private sector entity</w:t>
      </w:r>
      <w:r w:rsidR="008B5AF5" w:rsidRPr="00253C45">
        <w:rPr>
          <w:rFonts w:ascii="Times New Roman" w:hAnsi="Times New Roman" w:cs="Times New Roman"/>
          <w:sz w:val="24"/>
          <w:szCs w:val="24"/>
        </w:rPr>
        <w:t>,</w:t>
      </w:r>
      <w:r w:rsidR="00A04795" w:rsidRPr="00253C45">
        <w:rPr>
          <w:rFonts w:ascii="Times New Roman" w:hAnsi="Times New Roman" w:cs="Times New Roman"/>
          <w:sz w:val="24"/>
          <w:szCs w:val="24"/>
        </w:rPr>
        <w:t xml:space="preserve"> because the government-owned businesses seem to </w:t>
      </w:r>
      <w:r w:rsidR="00CE0E71" w:rsidRPr="00253C45">
        <w:rPr>
          <w:rFonts w:ascii="Times New Roman" w:hAnsi="Times New Roman" w:cs="Times New Roman"/>
          <w:sz w:val="24"/>
          <w:szCs w:val="24"/>
        </w:rPr>
        <w:t xml:space="preserve">pay little heed to </w:t>
      </w:r>
      <w:r w:rsidR="00A04795" w:rsidRPr="00253C45">
        <w:rPr>
          <w:rFonts w:ascii="Times New Roman" w:hAnsi="Times New Roman" w:cs="Times New Roman"/>
          <w:sz w:val="24"/>
          <w:szCs w:val="24"/>
        </w:rPr>
        <w:t>refinancing risk, and this might explain why they have not used swaps.</w:t>
      </w:r>
    </w:p>
    <w:p w:rsidR="004815BE" w:rsidRDefault="004815BE" w:rsidP="004815BE">
      <w:pPr>
        <w:spacing w:after="0" w:line="360" w:lineRule="auto"/>
        <w:jc w:val="both"/>
        <w:rPr>
          <w:rFonts w:ascii="Times New Roman" w:hAnsi="Times New Roman" w:cs="Times New Roman"/>
          <w:sz w:val="24"/>
          <w:szCs w:val="24"/>
        </w:rPr>
      </w:pPr>
    </w:p>
    <w:p w:rsidR="004815BE" w:rsidRDefault="001D6191"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Ausgrid (2015, page 186) rejects the contention in Lally (2014</w:t>
      </w:r>
      <w:r w:rsidR="005525A0">
        <w:rPr>
          <w:rFonts w:ascii="Times New Roman" w:hAnsi="Times New Roman" w:cs="Times New Roman"/>
          <w:sz w:val="24"/>
          <w:szCs w:val="24"/>
        </w:rPr>
        <w:t>a</w:t>
      </w:r>
      <w:r>
        <w:rPr>
          <w:rFonts w:ascii="Times New Roman" w:hAnsi="Times New Roman" w:cs="Times New Roman"/>
          <w:sz w:val="24"/>
          <w:szCs w:val="24"/>
        </w:rPr>
        <w:t xml:space="preserve">, page 28) that government-owned entities did not </w:t>
      </w:r>
      <w:r w:rsidR="004815BE">
        <w:rPr>
          <w:rFonts w:ascii="Times New Roman" w:hAnsi="Times New Roman" w:cs="Times New Roman"/>
          <w:sz w:val="24"/>
          <w:szCs w:val="24"/>
        </w:rPr>
        <w:t>use swaps because they were less aware of the full potenti</w:t>
      </w:r>
      <w:r>
        <w:rPr>
          <w:rFonts w:ascii="Times New Roman" w:hAnsi="Times New Roman" w:cs="Times New Roman"/>
          <w:sz w:val="24"/>
          <w:szCs w:val="24"/>
        </w:rPr>
        <w:t>al of the swaps markets</w:t>
      </w:r>
      <w:r w:rsidR="004815BE">
        <w:rPr>
          <w:rFonts w:ascii="Times New Roman" w:hAnsi="Times New Roman" w:cs="Times New Roman"/>
          <w:sz w:val="24"/>
          <w:szCs w:val="24"/>
        </w:rPr>
        <w:t xml:space="preserve">, </w:t>
      </w:r>
      <w:r>
        <w:rPr>
          <w:rFonts w:ascii="Times New Roman" w:hAnsi="Times New Roman" w:cs="Times New Roman"/>
          <w:sz w:val="24"/>
          <w:szCs w:val="24"/>
        </w:rPr>
        <w:t xml:space="preserve">on the grounds that </w:t>
      </w:r>
      <w:r w:rsidR="004815BE">
        <w:rPr>
          <w:rFonts w:ascii="Times New Roman" w:hAnsi="Times New Roman" w:cs="Times New Roman"/>
          <w:sz w:val="24"/>
          <w:szCs w:val="24"/>
        </w:rPr>
        <w:t xml:space="preserve">the Group CFO of </w:t>
      </w:r>
      <w:r>
        <w:rPr>
          <w:rFonts w:ascii="Times New Roman" w:hAnsi="Times New Roman" w:cs="Times New Roman"/>
          <w:sz w:val="24"/>
          <w:szCs w:val="24"/>
        </w:rPr>
        <w:t xml:space="preserve">Networks NSW </w:t>
      </w:r>
      <w:r w:rsidR="004815BE">
        <w:rPr>
          <w:rFonts w:ascii="Times New Roman" w:hAnsi="Times New Roman" w:cs="Times New Roman"/>
          <w:sz w:val="24"/>
          <w:szCs w:val="24"/>
        </w:rPr>
        <w:t>(De Lorenz) provi</w:t>
      </w:r>
      <w:r>
        <w:rPr>
          <w:rFonts w:ascii="Times New Roman" w:hAnsi="Times New Roman" w:cs="Times New Roman"/>
          <w:sz w:val="24"/>
          <w:szCs w:val="24"/>
        </w:rPr>
        <w:t>des contrary evidence</w:t>
      </w:r>
      <w:r w:rsidR="004815BE">
        <w:rPr>
          <w:rFonts w:ascii="Times New Roman" w:hAnsi="Times New Roman" w:cs="Times New Roman"/>
          <w:sz w:val="24"/>
          <w:szCs w:val="24"/>
        </w:rPr>
        <w:t>.  However, the explanations given by De Lorenz for not using swaps (</w:t>
      </w:r>
      <w:r>
        <w:rPr>
          <w:rFonts w:ascii="Times New Roman" w:hAnsi="Times New Roman" w:cs="Times New Roman"/>
          <w:sz w:val="24"/>
          <w:szCs w:val="24"/>
        </w:rPr>
        <w:t xml:space="preserve">as discussed in the next section) reinforce my </w:t>
      </w:r>
      <w:r w:rsidR="004815BE">
        <w:rPr>
          <w:rFonts w:ascii="Times New Roman" w:hAnsi="Times New Roman" w:cs="Times New Roman"/>
          <w:sz w:val="24"/>
          <w:szCs w:val="24"/>
        </w:rPr>
        <w:t xml:space="preserve">suspicion that the </w:t>
      </w:r>
      <w:r>
        <w:rPr>
          <w:rFonts w:ascii="Times New Roman" w:hAnsi="Times New Roman" w:cs="Times New Roman"/>
          <w:sz w:val="24"/>
          <w:szCs w:val="24"/>
        </w:rPr>
        <w:t xml:space="preserve">government-owned </w:t>
      </w:r>
      <w:r w:rsidR="004815BE">
        <w:rPr>
          <w:rFonts w:ascii="Times New Roman" w:hAnsi="Times New Roman" w:cs="Times New Roman"/>
          <w:sz w:val="24"/>
          <w:szCs w:val="24"/>
        </w:rPr>
        <w:t>businesses were not and still are not aware of the full potential of the swaps market.</w:t>
      </w:r>
    </w:p>
    <w:p w:rsidR="004815BE" w:rsidRDefault="004815BE" w:rsidP="004815BE">
      <w:pPr>
        <w:spacing w:after="0" w:line="360" w:lineRule="auto"/>
        <w:jc w:val="both"/>
        <w:rPr>
          <w:rFonts w:ascii="Times New Roman" w:hAnsi="Times New Roman" w:cs="Times New Roman"/>
          <w:sz w:val="24"/>
          <w:szCs w:val="24"/>
        </w:rPr>
      </w:pPr>
    </w:p>
    <w:p w:rsidR="004815BE" w:rsidRDefault="00A06862"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Ausgrid (2015, page 187) argues that the </w:t>
      </w:r>
      <w:r w:rsidR="004815BE">
        <w:rPr>
          <w:rFonts w:ascii="Times New Roman" w:hAnsi="Times New Roman" w:cs="Times New Roman"/>
          <w:sz w:val="24"/>
          <w:szCs w:val="24"/>
        </w:rPr>
        <w:t>RBA data should be used to estimate the DRP because it is independen</w:t>
      </w:r>
      <w:r>
        <w:rPr>
          <w:rFonts w:ascii="Times New Roman" w:hAnsi="Times New Roman" w:cs="Times New Roman"/>
          <w:sz w:val="24"/>
          <w:szCs w:val="24"/>
        </w:rPr>
        <w:t>t and highly reliable</w:t>
      </w:r>
      <w:r w:rsidR="004815BE">
        <w:rPr>
          <w:rFonts w:ascii="Times New Roman" w:hAnsi="Times New Roman" w:cs="Times New Roman"/>
          <w:sz w:val="24"/>
          <w:szCs w:val="24"/>
        </w:rPr>
        <w:t xml:space="preserve">.  However, as argued in </w:t>
      </w:r>
      <w:r>
        <w:rPr>
          <w:rFonts w:ascii="Times New Roman" w:hAnsi="Times New Roman" w:cs="Times New Roman"/>
          <w:sz w:val="24"/>
          <w:szCs w:val="24"/>
        </w:rPr>
        <w:t>Lally (2014b</w:t>
      </w:r>
      <w:r w:rsidR="00CE0E71">
        <w:rPr>
          <w:rFonts w:ascii="Times New Roman" w:hAnsi="Times New Roman" w:cs="Times New Roman"/>
          <w:sz w:val="24"/>
          <w:szCs w:val="24"/>
        </w:rPr>
        <w:t>, section 2.2</w:t>
      </w:r>
      <w:r>
        <w:rPr>
          <w:rFonts w:ascii="Times New Roman" w:hAnsi="Times New Roman" w:cs="Times New Roman"/>
          <w:sz w:val="24"/>
          <w:szCs w:val="24"/>
        </w:rPr>
        <w:t xml:space="preserve">), </w:t>
      </w:r>
      <w:r w:rsidR="004815BE">
        <w:rPr>
          <w:rFonts w:ascii="Times New Roman" w:hAnsi="Times New Roman" w:cs="Times New Roman"/>
          <w:sz w:val="24"/>
          <w:szCs w:val="24"/>
        </w:rPr>
        <w:t>the substantial variations in DRP estimates across the RBA, Bloomberg and CBA Spectrum reveals that at least one of them is significantly in error at times, it is unclear which of them is better, and averaging over the first two mitigates this problem.  Ausgrid fail to respond to this argument.</w:t>
      </w:r>
    </w:p>
    <w:p w:rsidR="004815BE" w:rsidRDefault="004815BE" w:rsidP="004815BE">
      <w:pPr>
        <w:spacing w:after="0" w:line="360" w:lineRule="auto"/>
        <w:jc w:val="both"/>
        <w:rPr>
          <w:rFonts w:ascii="Times New Roman" w:hAnsi="Times New Roman" w:cs="Times New Roman"/>
          <w:sz w:val="24"/>
          <w:szCs w:val="24"/>
        </w:rPr>
      </w:pPr>
    </w:p>
    <w:p w:rsidR="004815BE" w:rsidRPr="00A06862" w:rsidRDefault="00A06862" w:rsidP="004815BE">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9.10 </w:t>
      </w:r>
      <w:r w:rsidR="004815BE" w:rsidRPr="00A06862">
        <w:rPr>
          <w:rFonts w:ascii="Times New Roman" w:hAnsi="Times New Roman" w:cs="Times New Roman"/>
          <w:i/>
          <w:sz w:val="24"/>
          <w:szCs w:val="24"/>
        </w:rPr>
        <w:t>De Lorenz</w:t>
      </w:r>
    </w:p>
    <w:p w:rsidR="004815BE" w:rsidRDefault="00A06862"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Lorenz (2015, para 22) argues that </w:t>
      </w:r>
      <w:r w:rsidR="004815BE">
        <w:rPr>
          <w:rFonts w:ascii="Times New Roman" w:hAnsi="Times New Roman" w:cs="Times New Roman"/>
          <w:sz w:val="24"/>
          <w:szCs w:val="24"/>
        </w:rPr>
        <w:t>NNSW did not enter into swap contracts because doing so would lead to a</w:t>
      </w:r>
      <w:r w:rsidR="00FF6196">
        <w:rPr>
          <w:rFonts w:ascii="Times New Roman" w:hAnsi="Times New Roman" w:cs="Times New Roman"/>
          <w:sz w:val="24"/>
          <w:szCs w:val="24"/>
        </w:rPr>
        <w:t xml:space="preserve"> “higher cost of debt”</w:t>
      </w:r>
      <w:r w:rsidR="004815BE">
        <w:rPr>
          <w:rFonts w:ascii="Times New Roman" w:hAnsi="Times New Roman" w:cs="Times New Roman"/>
          <w:sz w:val="24"/>
          <w:szCs w:val="24"/>
        </w:rPr>
        <w:t xml:space="preserve">.  However, </w:t>
      </w:r>
      <w:r w:rsidR="00FF6196">
        <w:rPr>
          <w:rFonts w:ascii="Times New Roman" w:hAnsi="Times New Roman" w:cs="Times New Roman"/>
          <w:sz w:val="24"/>
          <w:szCs w:val="24"/>
        </w:rPr>
        <w:t xml:space="preserve">as pointed out in Lally (2014a, section 4), the use of </w:t>
      </w:r>
      <w:r w:rsidR="004815BE">
        <w:rPr>
          <w:rFonts w:ascii="Times New Roman" w:hAnsi="Times New Roman" w:cs="Times New Roman"/>
          <w:sz w:val="24"/>
          <w:szCs w:val="24"/>
        </w:rPr>
        <w:t>swap contracts</w:t>
      </w:r>
      <w:r w:rsidR="00FF6196">
        <w:rPr>
          <w:rFonts w:ascii="Times New Roman" w:hAnsi="Times New Roman" w:cs="Times New Roman"/>
          <w:sz w:val="24"/>
          <w:szCs w:val="24"/>
        </w:rPr>
        <w:t xml:space="preserve"> would substitute the five-year base rate component of the cost of debt </w:t>
      </w:r>
      <w:r w:rsidR="004815BE">
        <w:rPr>
          <w:rFonts w:ascii="Times New Roman" w:hAnsi="Times New Roman" w:cs="Times New Roman"/>
          <w:sz w:val="24"/>
          <w:szCs w:val="24"/>
        </w:rPr>
        <w:t xml:space="preserve">for the ten-year rate, the former is expected to be lower, and therefore </w:t>
      </w:r>
      <w:r w:rsidR="004815BE" w:rsidRPr="00D829A2">
        <w:rPr>
          <w:rFonts w:ascii="Times New Roman" w:hAnsi="Times New Roman" w:cs="Times New Roman"/>
          <w:i/>
          <w:sz w:val="24"/>
          <w:szCs w:val="24"/>
        </w:rPr>
        <w:t>expected</w:t>
      </w:r>
      <w:r w:rsidR="004815BE">
        <w:rPr>
          <w:rFonts w:ascii="Times New Roman" w:hAnsi="Times New Roman" w:cs="Times New Roman"/>
          <w:sz w:val="24"/>
          <w:szCs w:val="24"/>
        </w:rPr>
        <w:t xml:space="preserve"> interest costs would be lower (even after allowing for the transactions costs of the swaps).  De Lorenz can reasonably be presumed to have read that paper</w:t>
      </w:r>
      <w:r w:rsidR="00D829A2">
        <w:rPr>
          <w:rFonts w:ascii="Times New Roman" w:hAnsi="Times New Roman" w:cs="Times New Roman"/>
          <w:sz w:val="24"/>
          <w:szCs w:val="24"/>
        </w:rPr>
        <w:t xml:space="preserve">, but he does not comment upon this point, suggesting that the </w:t>
      </w:r>
      <w:r w:rsidR="004815BE">
        <w:rPr>
          <w:rFonts w:ascii="Times New Roman" w:hAnsi="Times New Roman" w:cs="Times New Roman"/>
          <w:sz w:val="24"/>
          <w:szCs w:val="24"/>
        </w:rPr>
        <w:t xml:space="preserve">argument presented </w:t>
      </w:r>
      <w:r w:rsidR="00FF6196">
        <w:rPr>
          <w:rFonts w:ascii="Times New Roman" w:hAnsi="Times New Roman" w:cs="Times New Roman"/>
          <w:sz w:val="24"/>
          <w:szCs w:val="24"/>
        </w:rPr>
        <w:t xml:space="preserve">there is </w:t>
      </w:r>
      <w:r w:rsidR="004815BE">
        <w:rPr>
          <w:rFonts w:ascii="Times New Roman" w:hAnsi="Times New Roman" w:cs="Times New Roman"/>
          <w:sz w:val="24"/>
          <w:szCs w:val="24"/>
        </w:rPr>
        <w:t>correct.</w:t>
      </w:r>
    </w:p>
    <w:p w:rsidR="004815BE" w:rsidRDefault="004815BE" w:rsidP="004815BE">
      <w:pPr>
        <w:spacing w:after="0" w:line="360" w:lineRule="auto"/>
        <w:jc w:val="both"/>
        <w:rPr>
          <w:rFonts w:ascii="Times New Roman" w:hAnsi="Times New Roman" w:cs="Times New Roman"/>
          <w:sz w:val="24"/>
          <w:szCs w:val="24"/>
        </w:rPr>
      </w:pPr>
    </w:p>
    <w:p w:rsidR="005C0B41" w:rsidRDefault="00FF6196" w:rsidP="00D44C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Lorenz (2015, para 25) argues that, whilst the use of </w:t>
      </w:r>
      <w:r w:rsidR="004815BE">
        <w:rPr>
          <w:rFonts w:ascii="Times New Roman" w:hAnsi="Times New Roman" w:cs="Times New Roman"/>
          <w:sz w:val="24"/>
          <w:szCs w:val="24"/>
        </w:rPr>
        <w:t>swaps could mitigate one source of risk</w:t>
      </w:r>
      <w:r>
        <w:rPr>
          <w:rFonts w:ascii="Times New Roman" w:hAnsi="Times New Roman" w:cs="Times New Roman"/>
          <w:sz w:val="24"/>
          <w:szCs w:val="24"/>
        </w:rPr>
        <w:t xml:space="preserve"> (interest rate risk), it </w:t>
      </w:r>
      <w:r w:rsidR="004815BE">
        <w:rPr>
          <w:rFonts w:ascii="Times New Roman" w:hAnsi="Times New Roman" w:cs="Times New Roman"/>
          <w:sz w:val="24"/>
          <w:szCs w:val="24"/>
        </w:rPr>
        <w:t xml:space="preserve">exposes the firm to five others: counterparty risk, “correlation risk” (because the DRP provides a natural hedge against </w:t>
      </w:r>
      <w:r>
        <w:rPr>
          <w:rFonts w:ascii="Times New Roman" w:hAnsi="Times New Roman" w:cs="Times New Roman"/>
          <w:sz w:val="24"/>
          <w:szCs w:val="24"/>
        </w:rPr>
        <w:t xml:space="preserve">base rate </w:t>
      </w:r>
      <w:r w:rsidR="004815BE">
        <w:rPr>
          <w:rFonts w:ascii="Times New Roman" w:hAnsi="Times New Roman" w:cs="Times New Roman"/>
          <w:sz w:val="24"/>
          <w:szCs w:val="24"/>
        </w:rPr>
        <w:t xml:space="preserve">risk), “liquidity risk”, “basis risk” (the swap is an imperfect hedge to the </w:t>
      </w:r>
      <w:r>
        <w:rPr>
          <w:rFonts w:ascii="Times New Roman" w:hAnsi="Times New Roman" w:cs="Times New Roman"/>
          <w:sz w:val="24"/>
          <w:szCs w:val="24"/>
        </w:rPr>
        <w:t>risk-free rate</w:t>
      </w:r>
      <w:r w:rsidR="004815BE">
        <w:rPr>
          <w:rFonts w:ascii="Times New Roman" w:hAnsi="Times New Roman" w:cs="Times New Roman"/>
          <w:sz w:val="24"/>
          <w:szCs w:val="24"/>
        </w:rPr>
        <w:t>), and “swap regulation risk” (because swap markets are undergoi</w:t>
      </w:r>
      <w:r>
        <w:rPr>
          <w:rFonts w:ascii="Times New Roman" w:hAnsi="Times New Roman" w:cs="Times New Roman"/>
          <w:sz w:val="24"/>
          <w:szCs w:val="24"/>
        </w:rPr>
        <w:t>ng significant review)</w:t>
      </w:r>
      <w:r w:rsidR="004815BE">
        <w:rPr>
          <w:rFonts w:ascii="Times New Roman" w:hAnsi="Times New Roman" w:cs="Times New Roman"/>
          <w:sz w:val="24"/>
          <w:szCs w:val="24"/>
        </w:rPr>
        <w:t xml:space="preserve">.  However, De Lorenz provides no analysis on the significance of these issues and, in respect of the last one, not even an explanation of its meaning.  Furthermore, in respect of “liquidity risk” (presumably the risk that the swaps could not be undertaken in the required volumes at acceptable prices, as discussed in his para 32), this matter has been addressed in </w:t>
      </w:r>
      <w:r>
        <w:rPr>
          <w:rFonts w:ascii="Times New Roman" w:hAnsi="Times New Roman" w:cs="Times New Roman"/>
          <w:sz w:val="24"/>
          <w:szCs w:val="24"/>
        </w:rPr>
        <w:t xml:space="preserve">Lally (2014a, section 4) and </w:t>
      </w:r>
      <w:r w:rsidR="004815BE">
        <w:rPr>
          <w:rFonts w:ascii="Times New Roman" w:hAnsi="Times New Roman" w:cs="Times New Roman"/>
          <w:sz w:val="24"/>
          <w:szCs w:val="24"/>
        </w:rPr>
        <w:t xml:space="preserve">yet De Lorenz again fails to comment on the specific matters there.  In respect of </w:t>
      </w:r>
      <w:r>
        <w:rPr>
          <w:rFonts w:ascii="Times New Roman" w:hAnsi="Times New Roman" w:cs="Times New Roman"/>
          <w:sz w:val="24"/>
          <w:szCs w:val="24"/>
        </w:rPr>
        <w:t xml:space="preserve">counterparty </w:t>
      </w:r>
      <w:r>
        <w:rPr>
          <w:rFonts w:ascii="Times New Roman" w:hAnsi="Times New Roman" w:cs="Times New Roman"/>
          <w:sz w:val="24"/>
          <w:szCs w:val="24"/>
        </w:rPr>
        <w:lastRenderedPageBreak/>
        <w:t xml:space="preserve">risk, this is </w:t>
      </w:r>
      <w:r w:rsidR="004815BE" w:rsidRPr="0036575C">
        <w:rPr>
          <w:rFonts w:ascii="Times New Roman" w:hAnsi="Times New Roman" w:cs="Times New Roman"/>
          <w:sz w:val="24"/>
          <w:szCs w:val="24"/>
        </w:rPr>
        <w:t>borne by the intermediary in return for a fee</w:t>
      </w:r>
      <w:r w:rsidR="00D44C35">
        <w:rPr>
          <w:rFonts w:ascii="Times New Roman" w:hAnsi="Times New Roman" w:cs="Times New Roman"/>
          <w:sz w:val="24"/>
          <w:szCs w:val="24"/>
        </w:rPr>
        <w:t xml:space="preserve"> that is included in the transactions costs</w:t>
      </w:r>
      <w:r w:rsidR="004815BE" w:rsidRPr="0036575C">
        <w:rPr>
          <w:rFonts w:ascii="Times New Roman" w:hAnsi="Times New Roman" w:cs="Times New Roman"/>
          <w:sz w:val="24"/>
          <w:szCs w:val="24"/>
        </w:rPr>
        <w:t xml:space="preserve"> </w:t>
      </w:r>
      <w:r w:rsidR="00D44C35">
        <w:rPr>
          <w:rFonts w:ascii="Times New Roman" w:hAnsi="Times New Roman" w:cs="Times New Roman"/>
          <w:sz w:val="24"/>
          <w:szCs w:val="24"/>
        </w:rPr>
        <w:t xml:space="preserve">of the swaps </w:t>
      </w:r>
      <w:r w:rsidR="004815BE" w:rsidRPr="0036575C">
        <w:rPr>
          <w:rFonts w:ascii="Times New Roman" w:hAnsi="Times New Roman" w:cs="Times New Roman"/>
          <w:sz w:val="24"/>
          <w:szCs w:val="24"/>
        </w:rPr>
        <w:t>(as noted by Jemena</w:t>
      </w:r>
      <w:r w:rsidR="002B221C">
        <w:rPr>
          <w:rFonts w:ascii="Times New Roman" w:hAnsi="Times New Roman" w:cs="Times New Roman"/>
          <w:sz w:val="24"/>
          <w:szCs w:val="24"/>
        </w:rPr>
        <w:t xml:space="preserve">, 2013, </w:t>
      </w:r>
      <w:r w:rsidR="004815BE" w:rsidRPr="0036575C">
        <w:rPr>
          <w:rFonts w:ascii="Times New Roman" w:hAnsi="Times New Roman" w:cs="Times New Roman"/>
          <w:sz w:val="24"/>
          <w:szCs w:val="24"/>
        </w:rPr>
        <w:t>pp. 21-22</w:t>
      </w:r>
      <w:r w:rsidR="002B221C">
        <w:rPr>
          <w:rFonts w:ascii="Times New Roman" w:hAnsi="Times New Roman" w:cs="Times New Roman"/>
          <w:sz w:val="24"/>
          <w:szCs w:val="24"/>
        </w:rPr>
        <w:t>)</w:t>
      </w:r>
      <w:r w:rsidR="00D44C35">
        <w:rPr>
          <w:rFonts w:ascii="Times New Roman" w:hAnsi="Times New Roman" w:cs="Times New Roman"/>
          <w:sz w:val="24"/>
          <w:szCs w:val="24"/>
        </w:rPr>
        <w:t>,</w:t>
      </w:r>
      <w:r w:rsidR="004815BE" w:rsidRPr="0036575C">
        <w:rPr>
          <w:rFonts w:ascii="Times New Roman" w:hAnsi="Times New Roman" w:cs="Times New Roman"/>
          <w:sz w:val="24"/>
          <w:szCs w:val="24"/>
        </w:rPr>
        <w:t xml:space="preserve"> and therefore the only risk is that of the intermediary (a bank) failing.  I am not aware of any such failure</w:t>
      </w:r>
      <w:r w:rsidR="00D44C35">
        <w:rPr>
          <w:rFonts w:ascii="Times New Roman" w:hAnsi="Times New Roman" w:cs="Times New Roman"/>
          <w:sz w:val="24"/>
          <w:szCs w:val="24"/>
        </w:rPr>
        <w:t>s in Australia in recent times.  In respect of correlation risk, this matter</w:t>
      </w:r>
      <w:r w:rsidR="005611E6">
        <w:rPr>
          <w:rFonts w:ascii="Times New Roman" w:hAnsi="Times New Roman" w:cs="Times New Roman"/>
          <w:sz w:val="24"/>
          <w:szCs w:val="24"/>
        </w:rPr>
        <w:t xml:space="preserve"> has been examined in Appendix</w:t>
      </w:r>
      <w:r w:rsidR="00182718">
        <w:rPr>
          <w:rFonts w:ascii="Times New Roman" w:hAnsi="Times New Roman" w:cs="Times New Roman"/>
          <w:sz w:val="24"/>
          <w:szCs w:val="24"/>
        </w:rPr>
        <w:t xml:space="preserve"> 2</w:t>
      </w:r>
      <w:r w:rsidR="00D44C35">
        <w:rPr>
          <w:rFonts w:ascii="Times New Roman" w:hAnsi="Times New Roman" w:cs="Times New Roman"/>
          <w:sz w:val="24"/>
          <w:szCs w:val="24"/>
        </w:rPr>
        <w:t xml:space="preserve"> and risk is considerably less from </w:t>
      </w:r>
      <w:r w:rsidR="00CE0E71">
        <w:rPr>
          <w:rFonts w:ascii="Times New Roman" w:hAnsi="Times New Roman" w:cs="Times New Roman"/>
          <w:sz w:val="24"/>
          <w:szCs w:val="24"/>
        </w:rPr>
        <w:t xml:space="preserve">swapping </w:t>
      </w:r>
      <w:r w:rsidR="00D44C35">
        <w:rPr>
          <w:rFonts w:ascii="Times New Roman" w:hAnsi="Times New Roman" w:cs="Times New Roman"/>
          <w:sz w:val="24"/>
          <w:szCs w:val="24"/>
        </w:rPr>
        <w:t xml:space="preserve">than not </w:t>
      </w:r>
      <w:r w:rsidR="00CE0E71">
        <w:rPr>
          <w:rFonts w:ascii="Times New Roman" w:hAnsi="Times New Roman" w:cs="Times New Roman"/>
          <w:sz w:val="24"/>
          <w:szCs w:val="24"/>
        </w:rPr>
        <w:t xml:space="preserve">swapping, </w:t>
      </w:r>
      <w:r w:rsidR="00D44C35">
        <w:rPr>
          <w:rFonts w:ascii="Times New Roman" w:hAnsi="Times New Roman" w:cs="Times New Roman"/>
          <w:sz w:val="24"/>
          <w:szCs w:val="24"/>
        </w:rPr>
        <w:t xml:space="preserve">even when the </w:t>
      </w:r>
      <w:r w:rsidR="009564E9">
        <w:rPr>
          <w:rFonts w:ascii="Times New Roman" w:hAnsi="Times New Roman" w:cs="Times New Roman"/>
          <w:sz w:val="24"/>
          <w:szCs w:val="24"/>
        </w:rPr>
        <w:t xml:space="preserve">swaps </w:t>
      </w:r>
      <w:r w:rsidR="00D44C35">
        <w:rPr>
          <w:rFonts w:ascii="Times New Roman" w:hAnsi="Times New Roman" w:cs="Times New Roman"/>
          <w:sz w:val="24"/>
          <w:szCs w:val="24"/>
        </w:rPr>
        <w:t>require five mont</w:t>
      </w:r>
      <w:r w:rsidR="005C0B41">
        <w:rPr>
          <w:rFonts w:ascii="Times New Roman" w:hAnsi="Times New Roman" w:cs="Times New Roman"/>
          <w:sz w:val="24"/>
          <w:szCs w:val="24"/>
        </w:rPr>
        <w:t>hs to transact</w:t>
      </w:r>
      <w:r w:rsidR="00794C23">
        <w:rPr>
          <w:rFonts w:ascii="Times New Roman" w:hAnsi="Times New Roman" w:cs="Times New Roman"/>
          <w:sz w:val="24"/>
          <w:szCs w:val="24"/>
        </w:rPr>
        <w:t xml:space="preserve">.  </w:t>
      </w:r>
      <w:r w:rsidR="005C0B41">
        <w:rPr>
          <w:rFonts w:ascii="Times New Roman" w:hAnsi="Times New Roman" w:cs="Times New Roman"/>
          <w:sz w:val="24"/>
          <w:szCs w:val="24"/>
        </w:rPr>
        <w:t>Finally, in respect of basis risk, the analysis in Appendi</w:t>
      </w:r>
      <w:r w:rsidR="005611E6">
        <w:rPr>
          <w:rFonts w:ascii="Times New Roman" w:hAnsi="Times New Roman" w:cs="Times New Roman"/>
          <w:sz w:val="24"/>
          <w:szCs w:val="24"/>
        </w:rPr>
        <w:t>x</w:t>
      </w:r>
      <w:r w:rsidR="00182718">
        <w:rPr>
          <w:rFonts w:ascii="Times New Roman" w:hAnsi="Times New Roman" w:cs="Times New Roman"/>
          <w:sz w:val="24"/>
          <w:szCs w:val="24"/>
        </w:rPr>
        <w:t xml:space="preserve"> 2</w:t>
      </w:r>
      <w:r w:rsidR="00794C23">
        <w:rPr>
          <w:rFonts w:ascii="Times New Roman" w:hAnsi="Times New Roman" w:cs="Times New Roman"/>
          <w:sz w:val="24"/>
          <w:szCs w:val="24"/>
        </w:rPr>
        <w:t xml:space="preserve"> </w:t>
      </w:r>
      <w:r w:rsidR="005611E6">
        <w:rPr>
          <w:rFonts w:ascii="Times New Roman" w:hAnsi="Times New Roman" w:cs="Times New Roman"/>
          <w:sz w:val="24"/>
          <w:szCs w:val="24"/>
        </w:rPr>
        <w:t xml:space="preserve">also </w:t>
      </w:r>
      <w:r w:rsidR="00794C23">
        <w:rPr>
          <w:rFonts w:ascii="Times New Roman" w:hAnsi="Times New Roman" w:cs="Times New Roman"/>
          <w:sz w:val="24"/>
          <w:szCs w:val="24"/>
        </w:rPr>
        <w:t>shows that this does</w:t>
      </w:r>
      <w:r w:rsidR="0000343B">
        <w:rPr>
          <w:rFonts w:ascii="Times New Roman" w:hAnsi="Times New Roman" w:cs="Times New Roman"/>
          <w:sz w:val="24"/>
          <w:szCs w:val="24"/>
        </w:rPr>
        <w:t xml:space="preserve"> not change the conclusion that risk is considerably less from </w:t>
      </w:r>
      <w:r w:rsidR="009564E9">
        <w:rPr>
          <w:rFonts w:ascii="Times New Roman" w:hAnsi="Times New Roman" w:cs="Times New Roman"/>
          <w:sz w:val="24"/>
          <w:szCs w:val="24"/>
        </w:rPr>
        <w:t xml:space="preserve">swapping </w:t>
      </w:r>
      <w:r w:rsidR="0000343B">
        <w:rPr>
          <w:rFonts w:ascii="Times New Roman" w:hAnsi="Times New Roman" w:cs="Times New Roman"/>
          <w:sz w:val="24"/>
          <w:szCs w:val="24"/>
        </w:rPr>
        <w:t xml:space="preserve">than not </w:t>
      </w:r>
      <w:r w:rsidR="009564E9">
        <w:rPr>
          <w:rFonts w:ascii="Times New Roman" w:hAnsi="Times New Roman" w:cs="Times New Roman"/>
          <w:sz w:val="24"/>
          <w:szCs w:val="24"/>
        </w:rPr>
        <w:t>swapping.</w:t>
      </w:r>
    </w:p>
    <w:p w:rsidR="00D44C35" w:rsidRDefault="00D44C35" w:rsidP="00D44C35">
      <w:pPr>
        <w:spacing w:after="0" w:line="360" w:lineRule="auto"/>
        <w:jc w:val="both"/>
        <w:rPr>
          <w:rFonts w:ascii="Times New Roman" w:hAnsi="Times New Roman" w:cs="Times New Roman"/>
          <w:sz w:val="24"/>
          <w:szCs w:val="24"/>
        </w:rPr>
      </w:pPr>
    </w:p>
    <w:p w:rsidR="004815BE" w:rsidRPr="00C453C8" w:rsidRDefault="00C453C8" w:rsidP="004815BE">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9.11 </w:t>
      </w:r>
      <w:r w:rsidR="004815BE" w:rsidRPr="00C453C8">
        <w:rPr>
          <w:rFonts w:ascii="Times New Roman" w:hAnsi="Times New Roman" w:cs="Times New Roman"/>
          <w:i/>
          <w:sz w:val="24"/>
          <w:szCs w:val="24"/>
        </w:rPr>
        <w:t>Endeavour Ener</w:t>
      </w:r>
      <w:r>
        <w:rPr>
          <w:rFonts w:ascii="Times New Roman" w:hAnsi="Times New Roman" w:cs="Times New Roman"/>
          <w:i/>
          <w:sz w:val="24"/>
          <w:szCs w:val="24"/>
        </w:rPr>
        <w:t>gy</w:t>
      </w:r>
    </w:p>
    <w:p w:rsidR="004815BE" w:rsidRDefault="005611E6" w:rsidP="004815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Endeavour Energy (2015, page 10) argues that the </w:t>
      </w:r>
      <w:r w:rsidR="004815BE">
        <w:rPr>
          <w:rFonts w:ascii="Times New Roman" w:hAnsi="Times New Roman" w:cs="Times New Roman"/>
          <w:sz w:val="24"/>
          <w:szCs w:val="24"/>
        </w:rPr>
        <w:t xml:space="preserve">use of </w:t>
      </w:r>
      <w:r w:rsidR="005713C8">
        <w:rPr>
          <w:rFonts w:ascii="Times New Roman" w:hAnsi="Times New Roman" w:cs="Times New Roman"/>
          <w:sz w:val="24"/>
          <w:szCs w:val="24"/>
        </w:rPr>
        <w:t xml:space="preserve">swapping </w:t>
      </w:r>
      <w:r w:rsidR="004815BE">
        <w:rPr>
          <w:rFonts w:ascii="Times New Roman" w:hAnsi="Times New Roman" w:cs="Times New Roman"/>
          <w:sz w:val="24"/>
          <w:szCs w:val="24"/>
        </w:rPr>
        <w:t xml:space="preserve">arrangements to match the allowed </w:t>
      </w:r>
      <w:r>
        <w:rPr>
          <w:rFonts w:ascii="Times New Roman" w:hAnsi="Times New Roman" w:cs="Times New Roman"/>
          <w:sz w:val="24"/>
          <w:szCs w:val="24"/>
        </w:rPr>
        <w:t xml:space="preserve">base rate to </w:t>
      </w:r>
      <w:r w:rsidR="004815BE">
        <w:rPr>
          <w:rFonts w:ascii="Times New Roman" w:hAnsi="Times New Roman" w:cs="Times New Roman"/>
          <w:sz w:val="24"/>
          <w:szCs w:val="24"/>
        </w:rPr>
        <w:t>that incurred would involve “hi</w:t>
      </w:r>
      <w:r>
        <w:rPr>
          <w:rFonts w:ascii="Times New Roman" w:hAnsi="Times New Roman" w:cs="Times New Roman"/>
          <w:sz w:val="24"/>
          <w:szCs w:val="24"/>
        </w:rPr>
        <w:t>gh” transactions costs</w:t>
      </w:r>
      <w:r w:rsidR="004815BE">
        <w:rPr>
          <w:rFonts w:ascii="Times New Roman" w:hAnsi="Times New Roman" w:cs="Times New Roman"/>
          <w:sz w:val="24"/>
          <w:szCs w:val="24"/>
        </w:rPr>
        <w:t xml:space="preserve">.  These allegedly high costs appear to be the basis for rejecting these </w:t>
      </w:r>
      <w:r w:rsidR="005713C8">
        <w:rPr>
          <w:rFonts w:ascii="Times New Roman" w:hAnsi="Times New Roman" w:cs="Times New Roman"/>
          <w:sz w:val="24"/>
          <w:szCs w:val="24"/>
        </w:rPr>
        <w:t xml:space="preserve">swapping </w:t>
      </w:r>
      <w:r w:rsidR="004815BE">
        <w:rPr>
          <w:rFonts w:ascii="Times New Roman" w:hAnsi="Times New Roman" w:cs="Times New Roman"/>
          <w:sz w:val="24"/>
          <w:szCs w:val="24"/>
        </w:rPr>
        <w:t xml:space="preserve">arrangements.  </w:t>
      </w:r>
      <w:r>
        <w:rPr>
          <w:rFonts w:ascii="Times New Roman" w:hAnsi="Times New Roman" w:cs="Times New Roman"/>
          <w:sz w:val="24"/>
          <w:szCs w:val="24"/>
        </w:rPr>
        <w:t xml:space="preserve">However, no comparison is made between the costs </w:t>
      </w:r>
      <w:r w:rsidR="0085544D">
        <w:rPr>
          <w:rFonts w:ascii="Times New Roman" w:hAnsi="Times New Roman" w:cs="Times New Roman"/>
          <w:sz w:val="24"/>
          <w:szCs w:val="24"/>
        </w:rPr>
        <w:t xml:space="preserve">and </w:t>
      </w:r>
      <w:r>
        <w:rPr>
          <w:rFonts w:ascii="Times New Roman" w:hAnsi="Times New Roman" w:cs="Times New Roman"/>
          <w:sz w:val="24"/>
          <w:szCs w:val="24"/>
        </w:rPr>
        <w:t xml:space="preserve">benefits of </w:t>
      </w:r>
      <w:r w:rsidR="005713C8">
        <w:rPr>
          <w:rFonts w:ascii="Times New Roman" w:hAnsi="Times New Roman" w:cs="Times New Roman"/>
          <w:sz w:val="24"/>
          <w:szCs w:val="24"/>
        </w:rPr>
        <w:t xml:space="preserve">swapping </w:t>
      </w:r>
      <w:r>
        <w:rPr>
          <w:rFonts w:ascii="Times New Roman" w:hAnsi="Times New Roman" w:cs="Times New Roman"/>
          <w:sz w:val="24"/>
          <w:szCs w:val="24"/>
        </w:rPr>
        <w:t xml:space="preserve">and not </w:t>
      </w:r>
      <w:r w:rsidR="005713C8">
        <w:rPr>
          <w:rFonts w:ascii="Times New Roman" w:hAnsi="Times New Roman" w:cs="Times New Roman"/>
          <w:sz w:val="24"/>
          <w:szCs w:val="24"/>
        </w:rPr>
        <w:t xml:space="preserve">swapping.  </w:t>
      </w:r>
      <w:r>
        <w:rPr>
          <w:rFonts w:ascii="Times New Roman" w:hAnsi="Times New Roman" w:cs="Times New Roman"/>
          <w:sz w:val="24"/>
          <w:szCs w:val="24"/>
        </w:rPr>
        <w:t xml:space="preserve">So, again, this </w:t>
      </w:r>
      <w:r w:rsidR="004815BE">
        <w:rPr>
          <w:rFonts w:ascii="Times New Roman" w:hAnsi="Times New Roman" w:cs="Times New Roman"/>
          <w:sz w:val="24"/>
          <w:szCs w:val="24"/>
        </w:rPr>
        <w:t xml:space="preserve">reinforces my suspicion that the </w:t>
      </w:r>
      <w:r>
        <w:rPr>
          <w:rFonts w:ascii="Times New Roman" w:hAnsi="Times New Roman" w:cs="Times New Roman"/>
          <w:sz w:val="24"/>
          <w:szCs w:val="24"/>
        </w:rPr>
        <w:t xml:space="preserve">government-owned </w:t>
      </w:r>
      <w:r w:rsidR="004815BE">
        <w:rPr>
          <w:rFonts w:ascii="Times New Roman" w:hAnsi="Times New Roman" w:cs="Times New Roman"/>
          <w:sz w:val="24"/>
          <w:szCs w:val="24"/>
        </w:rPr>
        <w:t>businesses are less aware of the full potential of the swaps market.</w:t>
      </w:r>
    </w:p>
    <w:p w:rsidR="004815BE" w:rsidRDefault="004815BE" w:rsidP="004815BE">
      <w:pPr>
        <w:spacing w:after="0" w:line="360" w:lineRule="auto"/>
        <w:jc w:val="both"/>
        <w:rPr>
          <w:rFonts w:ascii="Times New Roman" w:hAnsi="Times New Roman" w:cs="Times New Roman"/>
          <w:sz w:val="24"/>
          <w:szCs w:val="24"/>
        </w:rPr>
      </w:pPr>
    </w:p>
    <w:p w:rsidR="00122250" w:rsidRPr="00FC5A11" w:rsidRDefault="00C453C8" w:rsidP="00571ECE">
      <w:pPr>
        <w:pStyle w:val="ListParagraph"/>
        <w:numPr>
          <w:ilvl w:val="0"/>
          <w:numId w:val="1"/>
        </w:numPr>
        <w:spacing w:after="0" w:line="360" w:lineRule="auto"/>
        <w:ind w:left="360" w:hanging="336"/>
        <w:jc w:val="both"/>
        <w:rPr>
          <w:rFonts w:ascii="Times New Roman" w:hAnsi="Times New Roman" w:cs="Times New Roman"/>
          <w:b/>
          <w:sz w:val="24"/>
          <w:szCs w:val="24"/>
        </w:rPr>
      </w:pPr>
      <w:r>
        <w:rPr>
          <w:rFonts w:ascii="Times New Roman" w:hAnsi="Times New Roman" w:cs="Times New Roman"/>
          <w:b/>
          <w:sz w:val="24"/>
          <w:szCs w:val="24"/>
        </w:rPr>
        <w:t xml:space="preserve"> </w:t>
      </w:r>
      <w:r w:rsidR="00122250">
        <w:rPr>
          <w:rFonts w:ascii="Times New Roman" w:hAnsi="Times New Roman" w:cs="Times New Roman"/>
          <w:b/>
          <w:sz w:val="24"/>
          <w:szCs w:val="24"/>
        </w:rPr>
        <w:t>Conclusions</w:t>
      </w:r>
    </w:p>
    <w:p w:rsidR="00DE6DB6" w:rsidRDefault="00DE6DB6" w:rsidP="00122250">
      <w:pPr>
        <w:pStyle w:val="ListParagraph"/>
        <w:spacing w:after="0" w:line="360" w:lineRule="auto"/>
        <w:ind w:left="0"/>
        <w:jc w:val="both"/>
        <w:rPr>
          <w:rFonts w:ascii="Times New Roman" w:hAnsi="Times New Roman" w:cs="Times New Roman"/>
          <w:sz w:val="24"/>
          <w:szCs w:val="24"/>
        </w:rPr>
      </w:pPr>
    </w:p>
    <w:p w:rsidR="008811CF" w:rsidRDefault="00DE6DB6" w:rsidP="008811CF">
      <w:pPr>
        <w:pStyle w:val="ListParagraph"/>
        <w:spacing w:after="0" w:line="360" w:lineRule="auto"/>
        <w:ind w:left="0"/>
        <w:jc w:val="both"/>
        <w:rPr>
          <w:rFonts w:ascii="Times New Roman" w:hAnsi="Times New Roman" w:cs="Times New Roman"/>
          <w:sz w:val="24"/>
          <w:szCs w:val="24"/>
        </w:rPr>
      </w:pPr>
      <w:r w:rsidRPr="008811CF">
        <w:rPr>
          <w:rFonts w:ascii="Times New Roman" w:hAnsi="Times New Roman" w:cs="Times New Roman"/>
          <w:sz w:val="24"/>
          <w:szCs w:val="24"/>
        </w:rPr>
        <w:t xml:space="preserve">In response to the questions posed by the AER, my </w:t>
      </w:r>
      <w:r w:rsidR="00122250" w:rsidRPr="008811CF">
        <w:rPr>
          <w:rFonts w:ascii="Times New Roman" w:hAnsi="Times New Roman" w:cs="Times New Roman"/>
          <w:sz w:val="24"/>
          <w:szCs w:val="24"/>
        </w:rPr>
        <w:t xml:space="preserve">conclusions are as follows.  </w:t>
      </w:r>
      <w:r w:rsidR="008811CF" w:rsidRPr="008811CF">
        <w:rPr>
          <w:rFonts w:ascii="Times New Roman" w:hAnsi="Times New Roman" w:cs="Times New Roman"/>
          <w:sz w:val="24"/>
          <w:szCs w:val="24"/>
        </w:rPr>
        <w:t xml:space="preserve">Firstly, in respect of the efficient financing practices of the BEE, this would be to maximize shareholder wealth, which is potentially different to the AER’s goal of minimizing expected financing costs whilst managing the interest rate and refinancing risks.  However, since there is no direct means of assessing which financing policy would achieve either of these subtly different objectives, managers must use judgement and regulators will only be able to rule out some practices as inefficient, leaving a set of policies that it cannot differentiate between unless they are willing to use the observed practices of firms </w:t>
      </w:r>
      <w:r w:rsidR="008811CF">
        <w:rPr>
          <w:rFonts w:ascii="Times New Roman" w:hAnsi="Times New Roman" w:cs="Times New Roman"/>
          <w:sz w:val="24"/>
          <w:szCs w:val="24"/>
        </w:rPr>
        <w:t>as a guide to what is efficient.</w:t>
      </w:r>
    </w:p>
    <w:p w:rsidR="008811CF" w:rsidRDefault="008811CF" w:rsidP="008811CF">
      <w:pPr>
        <w:pStyle w:val="ListParagraph"/>
        <w:spacing w:after="0" w:line="360" w:lineRule="auto"/>
        <w:ind w:left="0"/>
        <w:jc w:val="both"/>
        <w:rPr>
          <w:rFonts w:ascii="Times New Roman" w:hAnsi="Times New Roman" w:cs="Times New Roman"/>
          <w:sz w:val="24"/>
          <w:szCs w:val="24"/>
        </w:rPr>
      </w:pPr>
    </w:p>
    <w:p w:rsidR="00982746" w:rsidRDefault="00982746" w:rsidP="00982746">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Secondly, in respect of how efficient financing practices vary with the regulatory regime, In summary, the efficient strategy under the on-the-day regime is to borrow for ten years, stagger the borrowing, and enter interest rate swap contracts to match the base rate incurred to that allowed by the regulator.  Under the trailing average regime, the efficient strategy differs only in not engaging in these swap contracts.  Finally, under the </w:t>
      </w:r>
      <w:r w:rsidR="00CF07DD">
        <w:rPr>
          <w:rFonts w:ascii="Times New Roman" w:hAnsi="Times New Roman" w:cs="Times New Roman"/>
          <w:sz w:val="24"/>
          <w:szCs w:val="24"/>
        </w:rPr>
        <w:t xml:space="preserve">AER’s </w:t>
      </w:r>
      <w:r>
        <w:rPr>
          <w:rFonts w:ascii="Times New Roman" w:hAnsi="Times New Roman" w:cs="Times New Roman"/>
          <w:sz w:val="24"/>
          <w:szCs w:val="24"/>
        </w:rPr>
        <w:t xml:space="preserve">proposed transitional regime, the efficient strategy is to either desist from entering into any new swap </w:t>
      </w:r>
      <w:r>
        <w:rPr>
          <w:rFonts w:ascii="Times New Roman" w:hAnsi="Times New Roman" w:cs="Times New Roman"/>
          <w:sz w:val="24"/>
          <w:szCs w:val="24"/>
        </w:rPr>
        <w:lastRenderedPageBreak/>
        <w:t>contracts or to enter new swap contracts that convert the floating rate on existing debt to a fixed rate over</w:t>
      </w:r>
      <w:r w:rsidR="009B2C66">
        <w:rPr>
          <w:rFonts w:ascii="Times New Roman" w:hAnsi="Times New Roman" w:cs="Times New Roman"/>
          <w:sz w:val="24"/>
          <w:szCs w:val="24"/>
        </w:rPr>
        <w:t xml:space="preserve"> the remaining life of the debt.</w:t>
      </w:r>
    </w:p>
    <w:p w:rsidR="009B2C66" w:rsidRDefault="009B2C66" w:rsidP="00982746">
      <w:pPr>
        <w:pStyle w:val="ListParagraph"/>
        <w:spacing w:after="0" w:line="360" w:lineRule="auto"/>
        <w:ind w:left="0"/>
        <w:jc w:val="both"/>
        <w:rPr>
          <w:rFonts w:ascii="Times New Roman" w:hAnsi="Times New Roman" w:cs="Times New Roman"/>
          <w:sz w:val="24"/>
          <w:szCs w:val="24"/>
        </w:rPr>
      </w:pPr>
    </w:p>
    <w:p w:rsidR="00902094" w:rsidRDefault="00902094" w:rsidP="00902094">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Thirdly, in respect of other factors that might affect the efficient financing practices of a BEE, neither the size of its debt portfolio nor having a regulatory cycle that matches that of other regulated businesses nor the cost and availability of interest rate swap contracts for such a firm nor having regulatory determinations that occurred during the GFC would cause the financing practice of such a firm to deviate from that described in the previous paragraph.</w:t>
      </w:r>
    </w:p>
    <w:p w:rsidR="009B2C66" w:rsidRDefault="009B2C66" w:rsidP="00982746">
      <w:pPr>
        <w:pStyle w:val="ListParagraph"/>
        <w:spacing w:after="0" w:line="360" w:lineRule="auto"/>
        <w:ind w:left="0"/>
        <w:jc w:val="both"/>
        <w:rPr>
          <w:rFonts w:ascii="Times New Roman" w:hAnsi="Times New Roman" w:cs="Times New Roman"/>
          <w:sz w:val="24"/>
          <w:szCs w:val="24"/>
        </w:rPr>
      </w:pPr>
    </w:p>
    <w:p w:rsidR="002D5041" w:rsidRPr="00851C71" w:rsidRDefault="005214FC" w:rsidP="002D504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Fourthly, in respect of arguments presented by the AER in support of its proposed transitional regime, I agree with three of these arguments.  </w:t>
      </w:r>
      <w:r w:rsidR="002D5041">
        <w:rPr>
          <w:rFonts w:ascii="Times New Roman" w:hAnsi="Times New Roman" w:cs="Times New Roman"/>
          <w:sz w:val="24"/>
          <w:szCs w:val="24"/>
        </w:rPr>
        <w:t xml:space="preserve">Firstly, in respect of the base rate component of the cost of debt, the AER’s proposed transitional regime will minimize potential mismatches between the allowed and incurred rates of the BEE over the transitional period.  Secondly, in respect of the DRP component of the cost of debt, the AER’s proposed transitional regime avoids potential windfall gains or losses to service providers and customers.  </w:t>
      </w:r>
      <w:r w:rsidR="002D5041" w:rsidRPr="00851C71">
        <w:rPr>
          <w:rFonts w:ascii="Times New Roman" w:hAnsi="Times New Roman" w:cs="Times New Roman"/>
          <w:sz w:val="24"/>
          <w:szCs w:val="24"/>
        </w:rPr>
        <w:t xml:space="preserve">Thirdly, and again in relation to the DRP component of the cost of debt, the AER’s proposed transitional regime avoids the use of historical DRP data and this is desirable because the data is contentious.  </w:t>
      </w:r>
    </w:p>
    <w:p w:rsidR="002D5041" w:rsidRDefault="002D5041" w:rsidP="002D5041">
      <w:pPr>
        <w:pStyle w:val="ListParagraph"/>
        <w:spacing w:after="0" w:line="360" w:lineRule="auto"/>
        <w:ind w:left="0"/>
        <w:jc w:val="both"/>
        <w:rPr>
          <w:rFonts w:ascii="Times New Roman" w:hAnsi="Times New Roman" w:cs="Times New Roman"/>
          <w:sz w:val="24"/>
          <w:szCs w:val="24"/>
        </w:rPr>
      </w:pPr>
    </w:p>
    <w:p w:rsidR="00202EDC" w:rsidRDefault="005214FC" w:rsidP="005214FC">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Fift</w:t>
      </w:r>
      <w:r w:rsidR="00202EDC">
        <w:rPr>
          <w:rFonts w:ascii="Times New Roman" w:hAnsi="Times New Roman" w:cs="Times New Roman"/>
          <w:sz w:val="24"/>
          <w:szCs w:val="24"/>
        </w:rPr>
        <w:t>hly, in respect of whether the impact on the BEE of the AER’s proposed transitional arrangements is very similar to that which would have occurred had the AER continued to employ the on-the-day regime, I consider that is very similar in present value terms.</w:t>
      </w:r>
    </w:p>
    <w:p w:rsidR="00202EDC" w:rsidRDefault="00202EDC" w:rsidP="005214FC">
      <w:pPr>
        <w:pStyle w:val="ListParagraph"/>
        <w:spacing w:after="0" w:line="360" w:lineRule="auto"/>
        <w:ind w:left="0"/>
        <w:jc w:val="both"/>
        <w:rPr>
          <w:rFonts w:ascii="Times New Roman" w:hAnsi="Times New Roman" w:cs="Times New Roman"/>
          <w:sz w:val="24"/>
          <w:szCs w:val="24"/>
        </w:rPr>
      </w:pPr>
    </w:p>
    <w:p w:rsidR="007777ED" w:rsidRDefault="007777ED" w:rsidP="007777ED">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Sixthly, and in respect of why the efficient financing practices of the BEE (privately-owned energy networks) may differ from that of government-owned networks, four possible reasons exist.  Firstly, borrowing via another (government) entity may shield the business</w:t>
      </w:r>
      <w:r w:rsidR="008A5A80">
        <w:rPr>
          <w:rFonts w:ascii="Times New Roman" w:hAnsi="Times New Roman" w:cs="Times New Roman"/>
          <w:sz w:val="24"/>
          <w:szCs w:val="24"/>
        </w:rPr>
        <w:t>es from normal market signals.</w:t>
      </w:r>
      <w:r>
        <w:rPr>
          <w:rFonts w:ascii="Times New Roman" w:hAnsi="Times New Roman" w:cs="Times New Roman"/>
          <w:sz w:val="24"/>
          <w:szCs w:val="24"/>
        </w:rPr>
        <w:t xml:space="preserve">  Secondly, these businesses may face low bankruptcy and refinancing risk, because the inability to meet debt payments is more likely to result in support from shareholders or the government-owned intermediary through which debt finance is obtained.  Thirdly, these businesses may have been historically less aware of the full potential of the swaps market.  Finally, these businesses are each part of a much larger portfolio of assets held by their state government owners and decisions made may therefore reflect the natural hedges available within these portfolios.</w:t>
      </w:r>
    </w:p>
    <w:p w:rsidR="007777ED" w:rsidRDefault="007777ED" w:rsidP="007777ED">
      <w:pPr>
        <w:pStyle w:val="ListParagraph"/>
        <w:spacing w:after="0" w:line="360" w:lineRule="auto"/>
        <w:ind w:left="0"/>
        <w:jc w:val="both"/>
        <w:rPr>
          <w:rFonts w:ascii="Times New Roman" w:hAnsi="Times New Roman" w:cs="Times New Roman"/>
          <w:sz w:val="24"/>
          <w:szCs w:val="24"/>
        </w:rPr>
      </w:pPr>
    </w:p>
    <w:p w:rsidR="000D2849" w:rsidRDefault="007D6F39" w:rsidP="000D28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Seventhly, </w:t>
      </w:r>
      <w:r w:rsidR="00CD3D93">
        <w:rPr>
          <w:rFonts w:ascii="Times New Roman" w:hAnsi="Times New Roman" w:cs="Times New Roman"/>
          <w:sz w:val="24"/>
          <w:szCs w:val="24"/>
        </w:rPr>
        <w:t xml:space="preserve">my views on the </w:t>
      </w:r>
      <w:r w:rsidR="00BE140D">
        <w:rPr>
          <w:rFonts w:ascii="Times New Roman" w:hAnsi="Times New Roman" w:cs="Times New Roman"/>
          <w:sz w:val="24"/>
          <w:szCs w:val="24"/>
        </w:rPr>
        <w:t>AER’s proposed transitional process</w:t>
      </w:r>
      <w:r w:rsidR="00CD3D93">
        <w:rPr>
          <w:rFonts w:ascii="Times New Roman" w:hAnsi="Times New Roman" w:cs="Times New Roman"/>
          <w:sz w:val="24"/>
          <w:szCs w:val="24"/>
        </w:rPr>
        <w:t xml:space="preserve"> are as follows.  The </w:t>
      </w:r>
      <w:r w:rsidR="000D2849">
        <w:rPr>
          <w:rFonts w:ascii="Times New Roman" w:hAnsi="Times New Roman" w:cs="Times New Roman"/>
          <w:sz w:val="24"/>
          <w:szCs w:val="24"/>
        </w:rPr>
        <w:t xml:space="preserve">AER is subject to the legal requirement to set the allowed cost of debt commensurate with the costs incurred by a BEE, and this is equivalent to the NPV = 0 principle.  A policy of immediately adopting a new regime only when the one-off impact is favourable to the BEE but not otherwise would necessarily violate this NPV = 0 principle.  Alternatively, a policy of immediately adopting a new regime in all cases would expose the BEE to potentially very large risks, thereby discouraging investment.  It would also expose the BEE to the possibility of an adverse </w:t>
      </w:r>
      <w:r>
        <w:rPr>
          <w:rFonts w:ascii="Times New Roman" w:hAnsi="Times New Roman" w:cs="Times New Roman"/>
          <w:sz w:val="24"/>
          <w:szCs w:val="24"/>
        </w:rPr>
        <w:t xml:space="preserve">shock </w:t>
      </w:r>
      <w:r w:rsidR="000D2849">
        <w:rPr>
          <w:rFonts w:ascii="Times New Roman" w:hAnsi="Times New Roman" w:cs="Times New Roman"/>
          <w:sz w:val="24"/>
          <w:szCs w:val="24"/>
        </w:rPr>
        <w:t xml:space="preserve">so large as to threaten its financial viability, which would either lead to regulatory relief in such cases (and hence violation of the NPV = 0 principle) or the possibility of a supply disruption.  In addition, even if the policy of immediately adopting a regime change regardless of the one-off impact on the BEE were rigorously followed, the upside and downside from </w:t>
      </w:r>
      <w:r>
        <w:rPr>
          <w:rFonts w:ascii="Times New Roman" w:hAnsi="Times New Roman" w:cs="Times New Roman"/>
          <w:sz w:val="24"/>
          <w:szCs w:val="24"/>
        </w:rPr>
        <w:t xml:space="preserve">such a </w:t>
      </w:r>
      <w:r w:rsidR="000D2849">
        <w:rPr>
          <w:rFonts w:ascii="Times New Roman" w:hAnsi="Times New Roman" w:cs="Times New Roman"/>
          <w:sz w:val="24"/>
          <w:szCs w:val="24"/>
        </w:rPr>
        <w:t xml:space="preserve">policy might not be symmetric, in which case the NPV = 0 principle would still be violated.  These disadvantages are all so substantial that the only viable regulatory policy would be to neutralize the one-off effects of regime changes, possibly through a transitional regime, or at least to do so when the effects in </w:t>
      </w:r>
      <w:r w:rsidR="000D2849" w:rsidRPr="006D60E0">
        <w:rPr>
          <w:rFonts w:ascii="Times New Roman" w:hAnsi="Times New Roman" w:cs="Times New Roman"/>
          <w:i/>
          <w:sz w:val="24"/>
          <w:szCs w:val="24"/>
        </w:rPr>
        <w:t>either</w:t>
      </w:r>
      <w:r w:rsidR="000D2849">
        <w:rPr>
          <w:rFonts w:ascii="Times New Roman" w:hAnsi="Times New Roman" w:cs="Times New Roman"/>
          <w:sz w:val="24"/>
          <w:szCs w:val="24"/>
        </w:rPr>
        <w:t xml:space="preserve"> direction </w:t>
      </w:r>
      <w:r w:rsidR="00631F65">
        <w:rPr>
          <w:rFonts w:ascii="Times New Roman" w:hAnsi="Times New Roman" w:cs="Times New Roman"/>
          <w:sz w:val="24"/>
          <w:szCs w:val="24"/>
        </w:rPr>
        <w:t>are</w:t>
      </w:r>
      <w:r w:rsidR="000D2849">
        <w:rPr>
          <w:rFonts w:ascii="Times New Roman" w:hAnsi="Times New Roman" w:cs="Times New Roman"/>
          <w:sz w:val="24"/>
          <w:szCs w:val="24"/>
        </w:rPr>
        <w:t xml:space="preserve"> substantial.</w:t>
      </w:r>
    </w:p>
    <w:p w:rsidR="000D2849" w:rsidRDefault="000D2849" w:rsidP="000D2849">
      <w:pPr>
        <w:spacing w:after="0" w:line="360" w:lineRule="auto"/>
        <w:jc w:val="both"/>
        <w:rPr>
          <w:rFonts w:ascii="Times New Roman" w:hAnsi="Times New Roman" w:cs="Times New Roman"/>
          <w:sz w:val="24"/>
          <w:szCs w:val="24"/>
        </w:rPr>
      </w:pPr>
    </w:p>
    <w:p w:rsidR="000D2849" w:rsidRDefault="000D2849" w:rsidP="000D28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respect of the base rate component of the cost of debt, the regime change in question here would cause a BEE to change its behavior, thereby temporarily leaving it with costs arising from its behavior under the previous regime.  Under such circumstances, immediately applying the new regime would lead to a BEE over recovering its incurred costs by up to $4b over the next nine years.  By contrast, the AER’s proposed transitional regime largely neutralizes this.  Since the </w:t>
      </w:r>
      <w:r w:rsidR="007D6F39">
        <w:rPr>
          <w:rFonts w:ascii="Times New Roman" w:hAnsi="Times New Roman" w:cs="Times New Roman"/>
          <w:sz w:val="24"/>
          <w:szCs w:val="24"/>
        </w:rPr>
        <w:t xml:space="preserve">one-off </w:t>
      </w:r>
      <w:r>
        <w:rPr>
          <w:rFonts w:ascii="Times New Roman" w:hAnsi="Times New Roman" w:cs="Times New Roman"/>
          <w:sz w:val="24"/>
          <w:szCs w:val="24"/>
        </w:rPr>
        <w:t>effect is large and the AER’s proposed transitional regime largely neutralizes it, I therefore favour applying the AER’s proposed transitional regime to the base rate component of the cost of debt.</w:t>
      </w:r>
    </w:p>
    <w:p w:rsidR="000D2849" w:rsidRDefault="000D2849" w:rsidP="000D2849">
      <w:pPr>
        <w:spacing w:after="0" w:line="360" w:lineRule="auto"/>
        <w:jc w:val="both"/>
        <w:rPr>
          <w:rFonts w:ascii="Times New Roman" w:hAnsi="Times New Roman" w:cs="Times New Roman"/>
          <w:sz w:val="24"/>
          <w:szCs w:val="24"/>
        </w:rPr>
      </w:pPr>
    </w:p>
    <w:p w:rsidR="000D2849" w:rsidRDefault="000D2849" w:rsidP="000D28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respect of the DRP component of the cost of debt, the regime change in question here would not cause a BEE to change its behavior.  However, under the previous on-the-day regime, DRP shocks could give rise to substantial differences between the allowed DRP and that incurred and the accumulated effects could be substantial for many years.  Averaged over different regulatory reset dates, these accumulated differences would be initially negative, then positive, and eventually tail away to zero.  Immediate adoption of the new regime at a time when the accumulated effect was positive or negative would prevent these accumulated gains or losses from being gradually eroded away and they would instead be retained by the </w:t>
      </w:r>
      <w:r>
        <w:rPr>
          <w:rFonts w:ascii="Times New Roman" w:hAnsi="Times New Roman" w:cs="Times New Roman"/>
          <w:sz w:val="24"/>
          <w:szCs w:val="24"/>
        </w:rPr>
        <w:lastRenderedPageBreak/>
        <w:t xml:space="preserve">BEE; this would be a </w:t>
      </w:r>
      <w:r w:rsidRPr="00B20D1B">
        <w:rPr>
          <w:rFonts w:ascii="Times New Roman" w:hAnsi="Times New Roman" w:cs="Times New Roman"/>
          <w:sz w:val="24"/>
          <w:szCs w:val="24"/>
        </w:rPr>
        <w:t>‘windfall’</w:t>
      </w:r>
      <w:r>
        <w:rPr>
          <w:rFonts w:ascii="Times New Roman" w:hAnsi="Times New Roman" w:cs="Times New Roman"/>
          <w:sz w:val="24"/>
          <w:szCs w:val="24"/>
        </w:rPr>
        <w:t xml:space="preserve"> benefit or loss to the investors in the BEE.  In this particular case, the new regime has been adopted at a time when these </w:t>
      </w:r>
      <w:r w:rsidR="007D6F39">
        <w:rPr>
          <w:rFonts w:ascii="Times New Roman" w:hAnsi="Times New Roman" w:cs="Times New Roman"/>
          <w:sz w:val="24"/>
          <w:szCs w:val="24"/>
        </w:rPr>
        <w:t xml:space="preserve">one-off </w:t>
      </w:r>
      <w:r>
        <w:rPr>
          <w:rFonts w:ascii="Times New Roman" w:hAnsi="Times New Roman" w:cs="Times New Roman"/>
          <w:sz w:val="24"/>
          <w:szCs w:val="24"/>
        </w:rPr>
        <w:t xml:space="preserve">effects are at their most extreme and immediate adoption would give rise to a $2.3b windfall benefit to the investors in the BEE.  </w:t>
      </w:r>
      <w:r w:rsidRPr="000D2849">
        <w:rPr>
          <w:rFonts w:ascii="Times New Roman" w:hAnsi="Times New Roman" w:cs="Times New Roman"/>
          <w:sz w:val="24"/>
          <w:szCs w:val="24"/>
        </w:rPr>
        <w:t>Equivalently expressed, adopting the new regime at this time leads to double counting of the DRP results from the high DRP years (2008-2015) and therefore benefiting the average BEE.</w:t>
      </w:r>
      <w:r>
        <w:rPr>
          <w:rFonts w:ascii="Times New Roman" w:hAnsi="Times New Roman" w:cs="Times New Roman"/>
          <w:sz w:val="24"/>
          <w:szCs w:val="24"/>
        </w:rPr>
        <w:t xml:space="preserve">  By contrast, the AER’s proposed transitional regime largely neutralizes this outcome not only for the average BEE (with averaging over different regulatory reset dates) but also for individual BEEs with different regulatory reset dates.  So, again, since the one-off effect is large and the AER’s proposed transitional regime largely neutralizes it, I therefore favour applying the AER’s proposed transitional regime to the DRP component of the cost of debt. </w:t>
      </w:r>
    </w:p>
    <w:p w:rsidR="000D2849" w:rsidRDefault="000D2849" w:rsidP="000D2849">
      <w:pPr>
        <w:spacing w:after="0" w:line="360" w:lineRule="auto"/>
        <w:jc w:val="both"/>
        <w:rPr>
          <w:rFonts w:ascii="Times New Roman" w:hAnsi="Times New Roman" w:cs="Times New Roman"/>
          <w:sz w:val="24"/>
          <w:szCs w:val="24"/>
        </w:rPr>
      </w:pPr>
    </w:p>
    <w:p w:rsidR="000D2849" w:rsidRDefault="000D2849" w:rsidP="000D28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Finally, the AER’s proposed approach protects the AER from either consumers or investors in these businesses believing that the AER’s choice of the timing for the regime change is a prejudicial act towards them, and it obviates the need to collect contentious historical DRP data.</w:t>
      </w:r>
    </w:p>
    <w:p w:rsidR="00BE140D" w:rsidRDefault="00BE140D" w:rsidP="00547BB2">
      <w:pPr>
        <w:spacing w:after="0" w:line="360" w:lineRule="auto"/>
        <w:jc w:val="both"/>
        <w:rPr>
          <w:rFonts w:ascii="Times New Roman" w:hAnsi="Times New Roman" w:cs="Times New Roman"/>
          <w:sz w:val="24"/>
          <w:szCs w:val="24"/>
        </w:rPr>
      </w:pPr>
    </w:p>
    <w:p w:rsidR="007777ED" w:rsidRDefault="007777ED" w:rsidP="007777ED">
      <w:pPr>
        <w:pStyle w:val="ListParagraph"/>
        <w:spacing w:after="0" w:line="360" w:lineRule="auto"/>
        <w:ind w:left="0"/>
        <w:jc w:val="both"/>
        <w:rPr>
          <w:rFonts w:ascii="Times New Roman" w:hAnsi="Times New Roman" w:cs="Times New Roman"/>
          <w:sz w:val="24"/>
          <w:szCs w:val="24"/>
        </w:rPr>
      </w:pPr>
    </w:p>
    <w:p w:rsidR="005214FC" w:rsidRPr="005214FC" w:rsidRDefault="005214FC" w:rsidP="005214FC">
      <w:pPr>
        <w:pStyle w:val="ListParagraph"/>
        <w:spacing w:after="0" w:line="360" w:lineRule="auto"/>
        <w:ind w:left="0"/>
        <w:jc w:val="both"/>
        <w:rPr>
          <w:rFonts w:ascii="Times New Roman" w:hAnsi="Times New Roman" w:cs="Times New Roman"/>
          <w:sz w:val="24"/>
          <w:szCs w:val="24"/>
        </w:rPr>
      </w:pPr>
    </w:p>
    <w:p w:rsidR="008811CF" w:rsidRPr="008811CF" w:rsidRDefault="008811CF" w:rsidP="008811CF">
      <w:pPr>
        <w:pStyle w:val="ListParagraph"/>
        <w:spacing w:after="0" w:line="360" w:lineRule="auto"/>
        <w:ind w:left="0"/>
        <w:jc w:val="both"/>
        <w:rPr>
          <w:rFonts w:ascii="Times New Roman" w:hAnsi="Times New Roman" w:cs="Times New Roman"/>
          <w:sz w:val="24"/>
          <w:szCs w:val="24"/>
        </w:rPr>
      </w:pPr>
    </w:p>
    <w:p w:rsidR="00924B45" w:rsidRDefault="00924B45" w:rsidP="0052401D">
      <w:pPr>
        <w:pStyle w:val="ListParagraph"/>
        <w:spacing w:after="0" w:line="360" w:lineRule="auto"/>
        <w:ind w:left="0"/>
        <w:jc w:val="both"/>
        <w:rPr>
          <w:rFonts w:ascii="Times New Roman" w:hAnsi="Times New Roman" w:cs="Times New Roman"/>
          <w:sz w:val="24"/>
          <w:szCs w:val="24"/>
        </w:rPr>
      </w:pPr>
    </w:p>
    <w:p w:rsidR="00EF3C07" w:rsidRDefault="000F55C9">
      <w:pPr>
        <w:rPr>
          <w:rFonts w:ascii="Times New Roman" w:hAnsi="Times New Roman" w:cs="Times New Roman"/>
          <w:sz w:val="24"/>
          <w:szCs w:val="24"/>
        </w:rPr>
      </w:pPr>
      <w:r>
        <w:rPr>
          <w:rFonts w:ascii="Times New Roman" w:hAnsi="Times New Roman" w:cs="Times New Roman"/>
          <w:sz w:val="24"/>
          <w:szCs w:val="24"/>
        </w:rPr>
        <w:t xml:space="preserve"> </w:t>
      </w:r>
      <w:r w:rsidR="00EF3C07">
        <w:rPr>
          <w:rFonts w:ascii="Times New Roman" w:hAnsi="Times New Roman" w:cs="Times New Roman"/>
          <w:sz w:val="24"/>
          <w:szCs w:val="24"/>
        </w:rPr>
        <w:br w:type="page"/>
      </w:r>
    </w:p>
    <w:p w:rsidR="005A3AE8" w:rsidRDefault="000F55C9" w:rsidP="005A3AE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APPENDIX 1</w:t>
      </w:r>
      <w:r w:rsidR="005A3AE8">
        <w:rPr>
          <w:rFonts w:ascii="Times New Roman" w:hAnsi="Times New Roman" w:cs="Times New Roman"/>
          <w:b/>
          <w:sz w:val="24"/>
          <w:szCs w:val="24"/>
        </w:rPr>
        <w:t>: Terms of Reference</w:t>
      </w:r>
    </w:p>
    <w:p w:rsidR="005A3AE8" w:rsidRDefault="005A3AE8" w:rsidP="005A3AE8">
      <w:pPr>
        <w:spacing w:before="100" w:beforeAutospacing="1" w:after="120" w:line="240" w:lineRule="auto"/>
        <w:rPr>
          <w:rFonts w:ascii="Times New Roman" w:eastAsia="Times New Roman" w:hAnsi="Times New Roman" w:cs="Times New Roman"/>
          <w:b/>
          <w:snapToGrid w:val="0"/>
          <w:color w:val="000000"/>
          <w:sz w:val="24"/>
          <w:szCs w:val="24"/>
          <w:lang w:val="en-AU"/>
        </w:rPr>
      </w:pPr>
      <w:r>
        <w:rPr>
          <w:rFonts w:ascii="Times New Roman" w:eastAsia="Times New Roman" w:hAnsi="Times New Roman" w:cs="Times New Roman"/>
          <w:b/>
          <w:snapToGrid w:val="0"/>
          <w:color w:val="000000"/>
          <w:sz w:val="24"/>
          <w:szCs w:val="24"/>
          <w:lang w:val="en-AU"/>
        </w:rPr>
        <w:t>Part one</w:t>
      </w:r>
    </w:p>
    <w:p w:rsidR="005A3AE8" w:rsidRDefault="005A3AE8" w:rsidP="005A3AE8">
      <w:pPr>
        <w:numPr>
          <w:ilvl w:val="0"/>
          <w:numId w:val="25"/>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The AER considered the efficient financing practices of a benchmark efficient entity would be to minimise its financing costs over the life of its assets while managing refinancing risk and interest rate risk</w:t>
      </w:r>
      <w:r>
        <w:rPr>
          <w:rFonts w:ascii="Times New Roman" w:eastAsia="Times New Roman" w:hAnsi="Times New Roman" w:cs="Times New Roman"/>
          <w:snapToGrid w:val="0"/>
          <w:color w:val="000000"/>
          <w:sz w:val="24"/>
          <w:szCs w:val="24"/>
          <w:vertAlign w:val="superscript"/>
          <w:lang w:val="en-AU"/>
        </w:rPr>
        <w:footnoteReference w:id="5"/>
      </w:r>
      <w:r>
        <w:rPr>
          <w:rFonts w:ascii="Times New Roman" w:eastAsia="Times New Roman" w:hAnsi="Times New Roman" w:cs="Times New Roman"/>
          <w:snapToGrid w:val="0"/>
          <w:color w:val="000000"/>
          <w:sz w:val="24"/>
          <w:szCs w:val="24"/>
          <w:lang w:val="en-AU"/>
        </w:rPr>
        <w:t>. The AER seeks a critical review of this view on efficient financing practices.</w:t>
      </w:r>
    </w:p>
    <w:p w:rsidR="005A3AE8" w:rsidRDefault="005A3AE8" w:rsidP="005A3AE8">
      <w:pPr>
        <w:numPr>
          <w:ilvl w:val="0"/>
          <w:numId w:val="25"/>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The AER seeks a critical review of the efficient debt financing practices the AER considered a benchmark efficient entity would undertake under the following regulatory approaches:</w:t>
      </w:r>
    </w:p>
    <w:p w:rsidR="005A3AE8" w:rsidRDefault="005A3AE8" w:rsidP="005A3AE8">
      <w:pPr>
        <w:numPr>
          <w:ilvl w:val="0"/>
          <w:numId w:val="26"/>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The on-the-day approach</w:t>
      </w:r>
    </w:p>
    <w:p w:rsidR="005A3AE8" w:rsidRDefault="005A3AE8" w:rsidP="005A3AE8">
      <w:pPr>
        <w:numPr>
          <w:ilvl w:val="0"/>
          <w:numId w:val="26"/>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The trailing average approach; and</w:t>
      </w:r>
    </w:p>
    <w:p w:rsidR="005A3AE8" w:rsidRDefault="005A3AE8" w:rsidP="005A3AE8">
      <w:pPr>
        <w:numPr>
          <w:ilvl w:val="0"/>
          <w:numId w:val="27"/>
        </w:numPr>
        <w:spacing w:after="240" w:line="240" w:lineRule="auto"/>
        <w:rPr>
          <w:rFonts w:ascii="Times New Roman" w:eastAsia="Times New Roman" w:hAnsi="Times New Roman" w:cs="Times New Roman"/>
          <w:b/>
          <w:snapToGrid w:val="0"/>
          <w:color w:val="000000"/>
          <w:sz w:val="24"/>
          <w:szCs w:val="24"/>
          <w:lang w:val="en-AU"/>
        </w:rPr>
      </w:pPr>
      <w:r>
        <w:rPr>
          <w:rFonts w:ascii="Times New Roman" w:eastAsia="Times New Roman" w:hAnsi="Times New Roman" w:cs="Times New Roman"/>
          <w:snapToGrid w:val="0"/>
          <w:color w:val="000000"/>
          <w:sz w:val="24"/>
          <w:szCs w:val="24"/>
          <w:lang w:val="en-AU"/>
        </w:rPr>
        <w:t>A transition between the on-the-day approach and the trailing average approach (based on the transition path the AER proposed in the rate of return guideline)</w:t>
      </w:r>
      <w:r>
        <w:rPr>
          <w:rFonts w:ascii="Times New Roman" w:eastAsia="Times New Roman" w:hAnsi="Times New Roman" w:cs="Times New Roman"/>
          <w:snapToGrid w:val="0"/>
          <w:color w:val="000000"/>
          <w:sz w:val="24"/>
          <w:szCs w:val="24"/>
          <w:vertAlign w:val="superscript"/>
          <w:lang w:val="en-AU"/>
        </w:rPr>
        <w:footnoteReference w:id="6"/>
      </w:r>
      <w:r>
        <w:rPr>
          <w:rFonts w:ascii="Times New Roman" w:eastAsia="Times New Roman" w:hAnsi="Times New Roman" w:cs="Times New Roman"/>
          <w:snapToGrid w:val="0"/>
          <w:color w:val="000000"/>
          <w:sz w:val="24"/>
          <w:szCs w:val="24"/>
          <w:lang w:val="en-AU"/>
        </w:rPr>
        <w:t>.</w:t>
      </w:r>
    </w:p>
    <w:p w:rsidR="005A3AE8" w:rsidRDefault="005A3AE8" w:rsidP="005A3AE8">
      <w:pPr>
        <w:spacing w:after="240" w:line="240" w:lineRule="auto"/>
        <w:ind w:left="360"/>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The averaging periods for these regulatory approaches are set out in table 2 of attachment 1.</w:t>
      </w:r>
    </w:p>
    <w:p w:rsidR="005A3AE8" w:rsidRDefault="005A3AE8" w:rsidP="005A3AE8">
      <w:pPr>
        <w:spacing w:after="240" w:line="240" w:lineRule="auto"/>
        <w:ind w:left="360"/>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Question (2) should be answered from the perspective of a benchmark efficient entity. The AER defines a benchmark efficient entity as a pure play, regulated energy network business operating within Australia.</w:t>
      </w:r>
    </w:p>
    <w:p w:rsidR="005A3AE8" w:rsidRDefault="005A3AE8" w:rsidP="005A3AE8">
      <w:pPr>
        <w:numPr>
          <w:ilvl w:val="0"/>
          <w:numId w:val="25"/>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Advise on whether the consultant’s advice on the efficient financing practices under the three listed regulatory approaches in question (2) differs for a benchmark efficient entity with a similar degree of risk as each of the NSW/ACT service providers. The consultant’s advice should engage with the following matters, in particular, and any other matters the consultant considers relevant:</w:t>
      </w:r>
    </w:p>
    <w:p w:rsidR="005A3AE8" w:rsidRDefault="005A3AE8" w:rsidP="005A3AE8">
      <w:pPr>
        <w:numPr>
          <w:ilvl w:val="1"/>
          <w:numId w:val="28"/>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The debt portfolio size of a benchmark efficient entity with a similar degree of risk as each of the NSW/ACT service providers (see table 1 in attachment 2)</w:t>
      </w:r>
    </w:p>
    <w:p w:rsidR="005A3AE8" w:rsidRDefault="005A3AE8" w:rsidP="005A3AE8">
      <w:pPr>
        <w:numPr>
          <w:ilvl w:val="1"/>
          <w:numId w:val="28"/>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The cost and availability of hedging instruments to a benchmark efficient entity with a similar degree of risk as each of the NSW/ACT service providers</w:t>
      </w:r>
    </w:p>
    <w:p w:rsidR="005A3AE8" w:rsidRDefault="005A3AE8" w:rsidP="005A3AE8">
      <w:pPr>
        <w:numPr>
          <w:ilvl w:val="1"/>
          <w:numId w:val="28"/>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The similar timing of the NSW/ACT service providers’ regulatory determination with the timing of the regulatory determinations of other service providers</w:t>
      </w:r>
    </w:p>
    <w:p w:rsidR="005A3AE8" w:rsidRDefault="005A3AE8" w:rsidP="005A3AE8">
      <w:pPr>
        <w:numPr>
          <w:ilvl w:val="1"/>
          <w:numId w:val="28"/>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The timing of the NSW/ACT service providers’ 2009–14 regulatory determination in the context of the global financial crisis (GFC).</w:t>
      </w:r>
    </w:p>
    <w:p w:rsidR="005A3AE8" w:rsidRDefault="005A3AE8" w:rsidP="005A3AE8">
      <w:pPr>
        <w:spacing w:before="100" w:beforeAutospacing="1" w:after="120" w:line="240" w:lineRule="auto"/>
        <w:ind w:left="360"/>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In answering question (3), the consultant should assume that the benchmark efficient entity is privately-owned and operates as an independent network.</w:t>
      </w:r>
    </w:p>
    <w:p w:rsidR="005A3AE8" w:rsidRDefault="005A3AE8" w:rsidP="005A3AE8">
      <w:pPr>
        <w:numPr>
          <w:ilvl w:val="0"/>
          <w:numId w:val="25"/>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lastRenderedPageBreak/>
        <w:t>Critically review the reasons for the AER’s position in the November 2014 draft decisions with respect to:</w:t>
      </w:r>
    </w:p>
    <w:p w:rsidR="005A3AE8" w:rsidRDefault="005A3AE8" w:rsidP="005A3AE8">
      <w:pPr>
        <w:numPr>
          <w:ilvl w:val="1"/>
          <w:numId w:val="25"/>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A transition on the risk free rate component—being because a transition minimises the potential mismatch  between  the allowed return on debt and  the actual return on debt of the benchmark efficient entity, as it transitions its financing practices.</w:t>
      </w:r>
    </w:p>
    <w:p w:rsidR="005A3AE8" w:rsidRDefault="005A3AE8" w:rsidP="005A3AE8">
      <w:pPr>
        <w:numPr>
          <w:ilvl w:val="1"/>
          <w:numId w:val="25"/>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A transition on the debt risk premium (DRP) component—because a transition avoids potential windfall gains or losses to service providers or consumers from changing the regulatory regime</w:t>
      </w:r>
    </w:p>
    <w:p w:rsidR="005A3AE8" w:rsidRDefault="005A3AE8" w:rsidP="005A3AE8">
      <w:pPr>
        <w:numPr>
          <w:ilvl w:val="1"/>
          <w:numId w:val="25"/>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Other reasons for a transition on both the risk free rate and DRP components—because:</w:t>
      </w:r>
    </w:p>
    <w:p w:rsidR="005A3AE8" w:rsidRDefault="005A3AE8" w:rsidP="005A3AE8">
      <w:pPr>
        <w:numPr>
          <w:ilvl w:val="2"/>
          <w:numId w:val="25"/>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A transition maintains the same expected average price level while decreasing price volatility over time</w:t>
      </w:r>
    </w:p>
    <w:p w:rsidR="005A3AE8" w:rsidRDefault="005A3AE8" w:rsidP="005A3AE8">
      <w:pPr>
        <w:numPr>
          <w:ilvl w:val="2"/>
          <w:numId w:val="25"/>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A transition reduces the potential for opportunistic behaviour from stakeholders, and</w:t>
      </w:r>
    </w:p>
    <w:p w:rsidR="005A3AE8" w:rsidRDefault="005A3AE8" w:rsidP="005A3AE8">
      <w:pPr>
        <w:numPr>
          <w:ilvl w:val="2"/>
          <w:numId w:val="25"/>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Applying the same transitional arrangements for all service providers is consistent with the AER’s adoption of a single benchmark efficient entity definition.</w:t>
      </w:r>
    </w:p>
    <w:p w:rsidR="005A3AE8" w:rsidRDefault="005A3AE8" w:rsidP="005A3AE8">
      <w:pPr>
        <w:numPr>
          <w:ilvl w:val="0"/>
          <w:numId w:val="25"/>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Critically review the AER’s position in the November 2014 draft decisions that, in relation to existing debt, the impact on the benchmark efficient entity from the AER’s transitional arrangements is not, in principle, different to the impact on the benchmark efficient entity if the AER had continued to adopt the on-the-day approach. The chosen risk management strategies that service providers adopted in the past in relation to their financing arrangements are therefore left to run to their natural conclusion and the service providers will keep any benefits or wear any detriments that flow from those choices.</w:t>
      </w:r>
    </w:p>
    <w:p w:rsidR="005A3AE8" w:rsidRDefault="005A3AE8" w:rsidP="005A3AE8">
      <w:pPr>
        <w:numPr>
          <w:ilvl w:val="0"/>
          <w:numId w:val="25"/>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Critically review the AER’s position in the November 2014 draft decisions on why the efficient financing practices of a privately-owned energy network may differ from the efficient financing practices of a government-owned network.</w:t>
      </w:r>
      <w:r>
        <w:rPr>
          <w:rFonts w:ascii="Times New Roman" w:eastAsia="Times New Roman" w:hAnsi="Times New Roman" w:cs="Times New Roman"/>
          <w:snapToGrid w:val="0"/>
          <w:color w:val="000000"/>
          <w:sz w:val="24"/>
          <w:szCs w:val="24"/>
          <w:vertAlign w:val="superscript"/>
          <w:lang w:val="en-AU"/>
        </w:rPr>
        <w:footnoteReference w:id="7"/>
      </w:r>
    </w:p>
    <w:p w:rsidR="005A3AE8" w:rsidRDefault="005A3AE8" w:rsidP="005A3AE8">
      <w:pPr>
        <w:numPr>
          <w:ilvl w:val="0"/>
          <w:numId w:val="25"/>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Based on the answers to questions (1) to (6), and any other considerations the consultant finds relevant, advise on whether, in the consultant’s opinion, it is reasonable to apply the AER’s debt transition path in the rate of return guideline to the NSW/ACT service providers’ 2014–19 regulatory determinations.</w:t>
      </w:r>
    </w:p>
    <w:p w:rsidR="005A3AE8" w:rsidRDefault="005A3AE8" w:rsidP="005A3AE8">
      <w:pPr>
        <w:spacing w:before="100" w:beforeAutospacing="1" w:after="120" w:line="240" w:lineRule="auto"/>
        <w:ind w:left="360"/>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The consultant’s advice on question (7) should engage with:</w:t>
      </w:r>
    </w:p>
    <w:p w:rsidR="005A3AE8" w:rsidRDefault="005A3AE8" w:rsidP="005A3AE8">
      <w:pPr>
        <w:numPr>
          <w:ilvl w:val="1"/>
          <w:numId w:val="25"/>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The allowed rate of return objective in the National Electricity Rules—The rate of return for a service provider is to be commensurate with the efficient financing costs of a benchmark efficient entity with a similar degree of risk as that which applies to the service provider in respect of the provision of regulated services.</w:t>
      </w:r>
    </w:p>
    <w:p w:rsidR="005A3AE8" w:rsidRDefault="005A3AE8" w:rsidP="005A3AE8">
      <w:pPr>
        <w:numPr>
          <w:ilvl w:val="1"/>
          <w:numId w:val="25"/>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The following factors in the National Electricity Rules that the AER must have regard to:</w:t>
      </w:r>
    </w:p>
    <w:p w:rsidR="005A3AE8" w:rsidRDefault="005A3AE8" w:rsidP="005A3AE8">
      <w:pPr>
        <w:numPr>
          <w:ilvl w:val="2"/>
          <w:numId w:val="25"/>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lastRenderedPageBreak/>
        <w:t>The desirability of minimising any difference between the allowed return on debt and the actual return on debt of a benchmark efficient entity with a similar degree of risk as the NSW/ACT service providers</w:t>
      </w:r>
    </w:p>
    <w:p w:rsidR="005A3AE8" w:rsidRDefault="005A3AE8" w:rsidP="005A3AE8">
      <w:pPr>
        <w:numPr>
          <w:ilvl w:val="2"/>
          <w:numId w:val="25"/>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Any impacts (including in relation to the costs of servicing debt across regulatory control periods) on a benchmark efficient entity with a similar degree of risk as the NSW/ACT service providers) that could arise as a result of the AER changing the methodology that is used to estimate the return on debt from the 2009–14 period to the 2014–19 period</w:t>
      </w:r>
    </w:p>
    <w:p w:rsidR="005A3AE8" w:rsidRDefault="005A3AE8" w:rsidP="005A3AE8">
      <w:pPr>
        <w:numPr>
          <w:ilvl w:val="1"/>
          <w:numId w:val="25"/>
        </w:numPr>
        <w:spacing w:before="100" w:beforeAutospacing="1" w:after="120" w:line="240" w:lineRule="auto"/>
        <w:rPr>
          <w:rFonts w:ascii="Times New Roman" w:eastAsia="Times New Roman" w:hAnsi="Times New Roman" w:cs="Times New Roman"/>
          <w:snapToGrid w:val="0"/>
          <w:color w:val="000000"/>
          <w:sz w:val="24"/>
          <w:szCs w:val="24"/>
          <w:lang w:val="en-AU"/>
        </w:rPr>
      </w:pPr>
      <w:r>
        <w:rPr>
          <w:rFonts w:ascii="Times New Roman" w:eastAsia="Times New Roman" w:hAnsi="Times New Roman" w:cs="Times New Roman"/>
          <w:snapToGrid w:val="0"/>
          <w:color w:val="000000"/>
          <w:sz w:val="24"/>
          <w:szCs w:val="24"/>
          <w:lang w:val="en-AU"/>
        </w:rPr>
        <w:t>The following revenue and pricing principle in the National Electricity Law—a service provider should be provided with a reasonable opportunity to recover at least the efficient costs it incurs in the provision of regulated services.</w:t>
      </w:r>
    </w:p>
    <w:p w:rsidR="005A3AE8" w:rsidRDefault="005A3AE8" w:rsidP="005A3AE8">
      <w:pPr>
        <w:spacing w:after="0" w:line="360" w:lineRule="auto"/>
        <w:rPr>
          <w:rFonts w:ascii="Times New Roman" w:eastAsiaTheme="minorHAnsi" w:hAnsi="Times New Roman" w:cs="Times New Roman"/>
          <w:b/>
          <w:sz w:val="24"/>
          <w:szCs w:val="24"/>
        </w:rPr>
      </w:pPr>
    </w:p>
    <w:p w:rsidR="005A3AE8" w:rsidRDefault="005A3AE8" w:rsidP="005A3AE8">
      <w:pPr>
        <w:rPr>
          <w:rFonts w:ascii="Times New Roman" w:hAnsi="Times New Roman" w:cs="Times New Roman"/>
          <w:b/>
          <w:sz w:val="24"/>
          <w:szCs w:val="24"/>
        </w:rPr>
      </w:pPr>
      <w:r>
        <w:rPr>
          <w:rFonts w:ascii="Times New Roman" w:hAnsi="Times New Roman" w:cs="Times New Roman"/>
          <w:b/>
          <w:sz w:val="24"/>
          <w:szCs w:val="24"/>
        </w:rPr>
        <w:t>Part two</w:t>
      </w:r>
    </w:p>
    <w:p w:rsidR="005A3AE8" w:rsidRDefault="005A3AE8" w:rsidP="005A3AE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Critically evaluate the service providers revised proposals, including consultants reports and other attachments, with respect to the matters set out in Part one.</w:t>
      </w:r>
    </w:p>
    <w:p w:rsidR="00182718" w:rsidRDefault="00182718">
      <w:pPr>
        <w:rPr>
          <w:rFonts w:ascii="Times New Roman" w:hAnsi="Times New Roman" w:cs="Times New Roman"/>
          <w:sz w:val="24"/>
          <w:szCs w:val="24"/>
        </w:rPr>
      </w:pPr>
      <w:r>
        <w:rPr>
          <w:rFonts w:ascii="Times New Roman" w:hAnsi="Times New Roman" w:cs="Times New Roman"/>
          <w:sz w:val="24"/>
          <w:szCs w:val="24"/>
        </w:rPr>
        <w:br w:type="page"/>
      </w:r>
    </w:p>
    <w:p w:rsidR="00EF3C07" w:rsidRDefault="00182718" w:rsidP="00EF3C0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APPENDIX 2</w:t>
      </w:r>
      <w:r w:rsidR="005A3AE8">
        <w:rPr>
          <w:rFonts w:ascii="Times New Roman" w:hAnsi="Times New Roman" w:cs="Times New Roman"/>
          <w:b/>
          <w:sz w:val="24"/>
          <w:szCs w:val="24"/>
        </w:rPr>
        <w:t>: The Comparative Risks of Hedging and Not Hedging</w:t>
      </w:r>
    </w:p>
    <w:p w:rsidR="00182718" w:rsidRPr="00182718" w:rsidRDefault="00182718" w:rsidP="00EF3C07">
      <w:pPr>
        <w:spacing w:after="0" w:line="360" w:lineRule="auto"/>
        <w:jc w:val="both"/>
        <w:rPr>
          <w:rFonts w:ascii="Times New Roman" w:hAnsi="Times New Roman" w:cs="Times New Roman"/>
          <w:b/>
          <w:sz w:val="24"/>
          <w:szCs w:val="24"/>
        </w:rPr>
      </w:pPr>
    </w:p>
    <w:p w:rsidR="0064315D" w:rsidRDefault="00EF3C07" w:rsidP="00EF3C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Appendix examines the question of whether</w:t>
      </w:r>
      <w:r w:rsidR="00AF31AB">
        <w:rPr>
          <w:rFonts w:ascii="Times New Roman" w:hAnsi="Times New Roman" w:cs="Times New Roman"/>
          <w:sz w:val="24"/>
          <w:szCs w:val="24"/>
        </w:rPr>
        <w:t>,</w:t>
      </w:r>
      <w:r>
        <w:rPr>
          <w:rFonts w:ascii="Times New Roman" w:hAnsi="Times New Roman" w:cs="Times New Roman"/>
          <w:sz w:val="24"/>
          <w:szCs w:val="24"/>
        </w:rPr>
        <w:t xml:space="preserve"> under the on-the-day regime</w:t>
      </w:r>
      <w:r w:rsidR="00AF31AB">
        <w:rPr>
          <w:rFonts w:ascii="Times New Roman" w:hAnsi="Times New Roman" w:cs="Times New Roman"/>
          <w:sz w:val="24"/>
          <w:szCs w:val="24"/>
        </w:rPr>
        <w:t>,</w:t>
      </w:r>
      <w:r>
        <w:rPr>
          <w:rFonts w:ascii="Times New Roman" w:hAnsi="Times New Roman" w:cs="Times New Roman"/>
          <w:sz w:val="24"/>
          <w:szCs w:val="24"/>
        </w:rPr>
        <w:t xml:space="preserve"> there would have been more or less risk to </w:t>
      </w:r>
      <w:r w:rsidR="00F70449">
        <w:rPr>
          <w:rFonts w:ascii="Times New Roman" w:hAnsi="Times New Roman" w:cs="Times New Roman"/>
          <w:sz w:val="24"/>
          <w:szCs w:val="24"/>
        </w:rPr>
        <w:t xml:space="preserve">a business </w:t>
      </w:r>
      <w:r>
        <w:rPr>
          <w:rFonts w:ascii="Times New Roman" w:hAnsi="Times New Roman" w:cs="Times New Roman"/>
          <w:sz w:val="24"/>
          <w:szCs w:val="24"/>
        </w:rPr>
        <w:t>from not engaging in interest rate</w:t>
      </w:r>
      <w:r w:rsidR="00BF4529">
        <w:rPr>
          <w:rFonts w:ascii="Times New Roman" w:hAnsi="Times New Roman" w:cs="Times New Roman"/>
          <w:sz w:val="24"/>
          <w:szCs w:val="24"/>
        </w:rPr>
        <w:t xml:space="preserve"> swap contracts versus </w:t>
      </w:r>
      <w:r w:rsidR="00AF31AB">
        <w:rPr>
          <w:rFonts w:ascii="Times New Roman" w:hAnsi="Times New Roman" w:cs="Times New Roman"/>
          <w:sz w:val="24"/>
          <w:szCs w:val="24"/>
        </w:rPr>
        <w:t xml:space="preserve">doing so, </w:t>
      </w:r>
      <w:r w:rsidR="00BF4529">
        <w:rPr>
          <w:rFonts w:ascii="Times New Roman" w:hAnsi="Times New Roman" w:cs="Times New Roman"/>
          <w:sz w:val="24"/>
          <w:szCs w:val="24"/>
        </w:rPr>
        <w:t xml:space="preserve">with the swapping conducted over </w:t>
      </w:r>
      <w:r>
        <w:rPr>
          <w:rFonts w:ascii="Times New Roman" w:hAnsi="Times New Roman" w:cs="Times New Roman"/>
          <w:sz w:val="24"/>
          <w:szCs w:val="24"/>
        </w:rPr>
        <w:t>a five month period</w:t>
      </w:r>
      <w:r w:rsidR="00BF4529">
        <w:rPr>
          <w:rFonts w:ascii="Times New Roman" w:hAnsi="Times New Roman" w:cs="Times New Roman"/>
          <w:sz w:val="24"/>
          <w:szCs w:val="24"/>
        </w:rPr>
        <w:t xml:space="preserve"> around the regulatory reset date</w:t>
      </w:r>
      <w:r w:rsidR="00336268">
        <w:rPr>
          <w:rFonts w:ascii="Times New Roman" w:hAnsi="Times New Roman" w:cs="Times New Roman"/>
          <w:sz w:val="24"/>
          <w:szCs w:val="24"/>
        </w:rPr>
        <w:t xml:space="preserve"> to allow for the high volume of transactions of this kind</w:t>
      </w:r>
      <w:r>
        <w:rPr>
          <w:rFonts w:ascii="Times New Roman" w:hAnsi="Times New Roman" w:cs="Times New Roman"/>
          <w:sz w:val="24"/>
          <w:szCs w:val="24"/>
        </w:rPr>
        <w:t xml:space="preserve">.  Under the on-the-day regime, a </w:t>
      </w:r>
      <w:r w:rsidR="00F70449">
        <w:rPr>
          <w:rFonts w:ascii="Times New Roman" w:hAnsi="Times New Roman" w:cs="Times New Roman"/>
          <w:sz w:val="24"/>
          <w:szCs w:val="24"/>
        </w:rPr>
        <w:t xml:space="preserve">business would </w:t>
      </w:r>
      <w:r>
        <w:rPr>
          <w:rFonts w:ascii="Times New Roman" w:hAnsi="Times New Roman" w:cs="Times New Roman"/>
          <w:sz w:val="24"/>
          <w:szCs w:val="24"/>
        </w:rPr>
        <w:t xml:space="preserve">receive an allowed cost of debt over a regulatory cycle equal to the sum of the </w:t>
      </w:r>
      <w:r w:rsidR="0064315D">
        <w:rPr>
          <w:rFonts w:ascii="Times New Roman" w:hAnsi="Times New Roman" w:cs="Times New Roman"/>
          <w:sz w:val="24"/>
          <w:szCs w:val="24"/>
        </w:rPr>
        <w:t xml:space="preserve">prevailing </w:t>
      </w:r>
      <w:r>
        <w:rPr>
          <w:rFonts w:ascii="Times New Roman" w:hAnsi="Times New Roman" w:cs="Times New Roman"/>
          <w:sz w:val="24"/>
          <w:szCs w:val="24"/>
        </w:rPr>
        <w:t xml:space="preserve">ten-year risk-free rates and DRPs averaged </w:t>
      </w:r>
      <w:r w:rsidR="0064315D">
        <w:rPr>
          <w:rFonts w:ascii="Times New Roman" w:hAnsi="Times New Roman" w:cs="Times New Roman"/>
          <w:sz w:val="24"/>
          <w:szCs w:val="24"/>
        </w:rPr>
        <w:t xml:space="preserve">over a </w:t>
      </w:r>
      <w:r>
        <w:rPr>
          <w:rFonts w:ascii="Times New Roman" w:hAnsi="Times New Roman" w:cs="Times New Roman"/>
          <w:sz w:val="24"/>
          <w:szCs w:val="24"/>
        </w:rPr>
        <w:t>short window shortly before the beginning</w:t>
      </w:r>
      <w:r w:rsidR="0030278F">
        <w:rPr>
          <w:rFonts w:ascii="Times New Roman" w:hAnsi="Times New Roman" w:cs="Times New Roman"/>
          <w:sz w:val="24"/>
          <w:szCs w:val="24"/>
        </w:rPr>
        <w:t xml:space="preserve"> of the regulatory cycle.  Assuming a one-month window, this allowed rate would be as follows:</w:t>
      </w:r>
    </w:p>
    <w:p w:rsidR="00EF3C07" w:rsidRDefault="0068503D" w:rsidP="00685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278F" w:rsidRPr="0064315D">
        <w:rPr>
          <w:rFonts w:ascii="Times New Roman" w:hAnsi="Times New Roman" w:cs="Times New Roman"/>
          <w:position w:val="-14"/>
          <w:sz w:val="24"/>
          <w:szCs w:val="24"/>
        </w:rPr>
        <w:object w:dxaOrig="2740" w:dyaOrig="400">
          <v:shape id="_x0000_i1044" type="#_x0000_t75" style="width:138.15pt;height:20.1pt" o:ole="">
            <v:imagedata r:id="rId46" o:title=""/>
          </v:shape>
          <o:OLEObject Type="Embed" ProgID="Equation.3" ShapeID="_x0000_i1044" DrawAspect="Content" ObjectID="_1494742920" r:id="rId47"/>
        </w:object>
      </w:r>
      <w:r>
        <w:rPr>
          <w:rFonts w:ascii="Times New Roman" w:hAnsi="Times New Roman" w:cs="Times New Roman"/>
          <w:sz w:val="24"/>
          <w:szCs w:val="24"/>
        </w:rPr>
        <w:t xml:space="preserve">               </w:t>
      </w:r>
      <w:r w:rsidR="00A33B43">
        <w:rPr>
          <w:rFonts w:ascii="Times New Roman" w:hAnsi="Times New Roman" w:cs="Times New Roman"/>
          <w:sz w:val="24"/>
          <w:szCs w:val="24"/>
        </w:rPr>
        <w:t xml:space="preserve">                            (13</w:t>
      </w:r>
      <w:r>
        <w:rPr>
          <w:rFonts w:ascii="Times New Roman" w:hAnsi="Times New Roman" w:cs="Times New Roman"/>
          <w:sz w:val="24"/>
          <w:szCs w:val="24"/>
        </w:rPr>
        <w:t>)</w:t>
      </w:r>
    </w:p>
    <w:p w:rsidR="00EF3C07" w:rsidRDefault="00EF3C07" w:rsidP="0068503D">
      <w:pPr>
        <w:spacing w:after="0" w:line="360" w:lineRule="auto"/>
        <w:jc w:val="center"/>
        <w:rPr>
          <w:rFonts w:ascii="Times New Roman" w:hAnsi="Times New Roman" w:cs="Times New Roman"/>
          <w:sz w:val="24"/>
          <w:szCs w:val="24"/>
        </w:rPr>
      </w:pPr>
    </w:p>
    <w:p w:rsidR="0064315D" w:rsidRDefault="00EF3C07" w:rsidP="00EF3C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If a business did not engage in these swaps</w:t>
      </w:r>
      <w:r w:rsidR="0064315D">
        <w:rPr>
          <w:rFonts w:ascii="Times New Roman" w:hAnsi="Times New Roman" w:cs="Times New Roman"/>
          <w:sz w:val="24"/>
          <w:szCs w:val="24"/>
        </w:rPr>
        <w:t>, the incurred cost</w:t>
      </w:r>
      <w:r w:rsidR="00A44A42">
        <w:rPr>
          <w:rFonts w:ascii="Times New Roman" w:hAnsi="Times New Roman" w:cs="Times New Roman"/>
          <w:sz w:val="24"/>
          <w:szCs w:val="24"/>
        </w:rPr>
        <w:t xml:space="preserve"> </w:t>
      </w:r>
      <w:r w:rsidR="00BB0D9B" w:rsidRPr="00844788">
        <w:rPr>
          <w:rFonts w:ascii="Times New Roman" w:hAnsi="Times New Roman" w:cs="Times New Roman"/>
          <w:sz w:val="24"/>
          <w:szCs w:val="24"/>
        </w:rPr>
        <w:t>(</w:t>
      </w:r>
      <w:r w:rsidR="00A44A42" w:rsidRPr="00844788">
        <w:rPr>
          <w:rFonts w:ascii="Times New Roman" w:hAnsi="Times New Roman" w:cs="Times New Roman"/>
          <w:sz w:val="24"/>
          <w:szCs w:val="24"/>
        </w:rPr>
        <w:t>of staggered fixed-rate ten-year debt</w:t>
      </w:r>
      <w:r w:rsidR="00BB0D9B" w:rsidRPr="00844788">
        <w:rPr>
          <w:rFonts w:ascii="Times New Roman" w:hAnsi="Times New Roman" w:cs="Times New Roman"/>
          <w:sz w:val="24"/>
          <w:szCs w:val="24"/>
        </w:rPr>
        <w:t>)</w:t>
      </w:r>
      <w:r w:rsidR="0064315D">
        <w:rPr>
          <w:rFonts w:ascii="Times New Roman" w:hAnsi="Times New Roman" w:cs="Times New Roman"/>
          <w:sz w:val="24"/>
          <w:szCs w:val="24"/>
        </w:rPr>
        <w:t xml:space="preserve"> would </w:t>
      </w:r>
      <w:r w:rsidR="00BB0D9B">
        <w:rPr>
          <w:rFonts w:ascii="Times New Roman" w:hAnsi="Times New Roman" w:cs="Times New Roman"/>
          <w:sz w:val="24"/>
          <w:szCs w:val="24"/>
        </w:rPr>
        <w:t xml:space="preserve">be the </w:t>
      </w:r>
      <w:r w:rsidR="0064315D">
        <w:rPr>
          <w:rFonts w:ascii="Times New Roman" w:hAnsi="Times New Roman" w:cs="Times New Roman"/>
          <w:sz w:val="24"/>
          <w:szCs w:val="24"/>
        </w:rPr>
        <w:t>sum of the ten-year trailing averages</w:t>
      </w:r>
      <w:r w:rsidR="006215FD">
        <w:rPr>
          <w:rFonts w:ascii="Times New Roman" w:hAnsi="Times New Roman" w:cs="Times New Roman"/>
          <w:sz w:val="24"/>
          <w:szCs w:val="24"/>
        </w:rPr>
        <w:t xml:space="preserve"> of </w:t>
      </w:r>
      <w:r w:rsidR="00A44A42">
        <w:rPr>
          <w:rFonts w:ascii="Times New Roman" w:hAnsi="Times New Roman" w:cs="Times New Roman"/>
          <w:sz w:val="24"/>
          <w:szCs w:val="24"/>
        </w:rPr>
        <w:t xml:space="preserve">the </w:t>
      </w:r>
      <w:r w:rsidR="006215FD">
        <w:rPr>
          <w:rFonts w:ascii="Times New Roman" w:hAnsi="Times New Roman" w:cs="Times New Roman"/>
          <w:sz w:val="24"/>
          <w:szCs w:val="24"/>
        </w:rPr>
        <w:t xml:space="preserve">ten-year </w:t>
      </w:r>
      <w:r w:rsidR="00A44A42">
        <w:rPr>
          <w:rFonts w:ascii="Times New Roman" w:hAnsi="Times New Roman" w:cs="Times New Roman"/>
          <w:sz w:val="24"/>
          <w:szCs w:val="24"/>
        </w:rPr>
        <w:t>risk-free rate and the DRP:</w:t>
      </w:r>
    </w:p>
    <w:p w:rsidR="0064315D" w:rsidRDefault="006215FD" w:rsidP="0064315D">
      <w:pPr>
        <w:spacing w:after="0" w:line="360" w:lineRule="auto"/>
        <w:jc w:val="center"/>
        <w:rPr>
          <w:rFonts w:ascii="Times New Roman" w:hAnsi="Times New Roman" w:cs="Times New Roman"/>
          <w:sz w:val="24"/>
          <w:szCs w:val="24"/>
        </w:rPr>
      </w:pPr>
      <w:r w:rsidRPr="0064315D">
        <w:rPr>
          <w:rFonts w:ascii="Times New Roman" w:hAnsi="Times New Roman" w:cs="Times New Roman"/>
          <w:position w:val="-14"/>
          <w:sz w:val="24"/>
          <w:szCs w:val="24"/>
        </w:rPr>
        <w:object w:dxaOrig="2380" w:dyaOrig="400">
          <v:shape id="_x0000_i1045" type="#_x0000_t75" style="width:119.7pt;height:20.1pt" o:ole="">
            <v:imagedata r:id="rId48" o:title=""/>
          </v:shape>
          <o:OLEObject Type="Embed" ProgID="Equation.3" ShapeID="_x0000_i1045" DrawAspect="Content" ObjectID="_1494742921" r:id="rId49"/>
        </w:object>
      </w:r>
    </w:p>
    <w:p w:rsidR="0064315D" w:rsidRDefault="0064315D" w:rsidP="00EF3C07">
      <w:pPr>
        <w:spacing w:after="0" w:line="360" w:lineRule="auto"/>
        <w:jc w:val="both"/>
        <w:rPr>
          <w:rFonts w:ascii="Times New Roman" w:hAnsi="Times New Roman" w:cs="Times New Roman"/>
          <w:sz w:val="24"/>
          <w:szCs w:val="24"/>
        </w:rPr>
      </w:pPr>
    </w:p>
    <w:p w:rsidR="00D55515" w:rsidRDefault="00D55515" w:rsidP="00EF3C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w:t>
      </w:r>
      <w:r w:rsidR="006215FD">
        <w:rPr>
          <w:rFonts w:ascii="Times New Roman" w:hAnsi="Times New Roman" w:cs="Times New Roman"/>
          <w:sz w:val="24"/>
          <w:szCs w:val="24"/>
        </w:rPr>
        <w:t xml:space="preserve"> risk incurred from not engaging in these swaps is then the standard deviation of the difference</w:t>
      </w:r>
      <w:r w:rsidR="0068503D">
        <w:rPr>
          <w:rFonts w:ascii="Times New Roman" w:hAnsi="Times New Roman" w:cs="Times New Roman"/>
          <w:sz w:val="24"/>
          <w:szCs w:val="24"/>
        </w:rPr>
        <w:t xml:space="preserve"> between this allowance and this incurred cost:</w:t>
      </w:r>
    </w:p>
    <w:p w:rsidR="001F79ED" w:rsidRDefault="001F79ED" w:rsidP="00EF3C07">
      <w:pPr>
        <w:spacing w:after="0" w:line="360" w:lineRule="auto"/>
        <w:jc w:val="both"/>
        <w:rPr>
          <w:rFonts w:ascii="Times New Roman" w:hAnsi="Times New Roman" w:cs="Times New Roman"/>
          <w:sz w:val="24"/>
          <w:szCs w:val="24"/>
        </w:rPr>
      </w:pPr>
    </w:p>
    <w:p w:rsidR="001F79ED" w:rsidRDefault="00241DA2" w:rsidP="00241D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278F" w:rsidRPr="0030278F">
        <w:rPr>
          <w:rFonts w:ascii="Times New Roman" w:hAnsi="Times New Roman" w:cs="Times New Roman"/>
          <w:position w:val="-14"/>
          <w:sz w:val="24"/>
          <w:szCs w:val="24"/>
        </w:rPr>
        <w:object w:dxaOrig="5640" w:dyaOrig="400">
          <v:shape id="_x0000_i1046" type="#_x0000_t75" style="width:283.8pt;height:20.1pt" o:ole="">
            <v:imagedata r:id="rId50" o:title=""/>
          </v:shape>
          <o:OLEObject Type="Embed" ProgID="Equation.3" ShapeID="_x0000_i1046" DrawAspect="Content" ObjectID="_1494742922" r:id="rId51"/>
        </w:object>
      </w:r>
      <w:r w:rsidR="00A33B43">
        <w:rPr>
          <w:rFonts w:ascii="Times New Roman" w:hAnsi="Times New Roman" w:cs="Times New Roman"/>
          <w:sz w:val="24"/>
          <w:szCs w:val="24"/>
        </w:rPr>
        <w:t xml:space="preserve">                   (14</w:t>
      </w:r>
      <w:r>
        <w:rPr>
          <w:rFonts w:ascii="Times New Roman" w:hAnsi="Times New Roman" w:cs="Times New Roman"/>
          <w:sz w:val="24"/>
          <w:szCs w:val="24"/>
        </w:rPr>
        <w:t>)</w:t>
      </w:r>
    </w:p>
    <w:p w:rsidR="001F79ED" w:rsidRDefault="001F79ED" w:rsidP="00241DA2">
      <w:pPr>
        <w:spacing w:after="0" w:line="360" w:lineRule="auto"/>
        <w:jc w:val="center"/>
        <w:rPr>
          <w:rFonts w:ascii="Times New Roman" w:hAnsi="Times New Roman" w:cs="Times New Roman"/>
          <w:sz w:val="24"/>
          <w:szCs w:val="24"/>
        </w:rPr>
      </w:pPr>
    </w:p>
    <w:p w:rsidR="0068503D" w:rsidRDefault="0030278F" w:rsidP="00EF3C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By contrast, if the </w:t>
      </w:r>
      <w:r w:rsidR="00F70449">
        <w:rPr>
          <w:rFonts w:ascii="Times New Roman" w:hAnsi="Times New Roman" w:cs="Times New Roman"/>
          <w:sz w:val="24"/>
          <w:szCs w:val="24"/>
        </w:rPr>
        <w:t xml:space="preserve">business </w:t>
      </w:r>
      <w:r>
        <w:rPr>
          <w:rFonts w:ascii="Times New Roman" w:hAnsi="Times New Roman" w:cs="Times New Roman"/>
          <w:sz w:val="24"/>
          <w:szCs w:val="24"/>
        </w:rPr>
        <w:t>does engage in these swaps, the incurred cost</w:t>
      </w:r>
      <w:r w:rsidR="00A030FD">
        <w:rPr>
          <w:rFonts w:ascii="Times New Roman" w:hAnsi="Times New Roman" w:cs="Times New Roman"/>
          <w:sz w:val="24"/>
          <w:szCs w:val="24"/>
        </w:rPr>
        <w:t xml:space="preserve"> </w:t>
      </w:r>
      <w:r w:rsidR="00A030FD" w:rsidRPr="00844788">
        <w:rPr>
          <w:rFonts w:ascii="Times New Roman" w:hAnsi="Times New Roman" w:cs="Times New Roman"/>
          <w:sz w:val="24"/>
          <w:szCs w:val="24"/>
        </w:rPr>
        <w:t>(of the five-year risk-free rate prevailing at the beginning of the regulatory cycle plus the staggered ten-year DRP)</w:t>
      </w:r>
      <w:r>
        <w:rPr>
          <w:rFonts w:ascii="Times New Roman" w:hAnsi="Times New Roman" w:cs="Times New Roman"/>
          <w:sz w:val="24"/>
          <w:szCs w:val="24"/>
        </w:rPr>
        <w:t xml:space="preserve"> would be the sum of the prevailing</w:t>
      </w:r>
      <w:r w:rsidR="00893178">
        <w:rPr>
          <w:rFonts w:ascii="Times New Roman" w:hAnsi="Times New Roman" w:cs="Times New Roman"/>
          <w:sz w:val="24"/>
          <w:szCs w:val="24"/>
        </w:rPr>
        <w:t xml:space="preserve"> five-year risk-free rate (averaged over the regulatory reset month, the two months before</w:t>
      </w:r>
      <w:r w:rsidR="0068503D">
        <w:rPr>
          <w:rFonts w:ascii="Times New Roman" w:hAnsi="Times New Roman" w:cs="Times New Roman"/>
          <w:sz w:val="24"/>
          <w:szCs w:val="24"/>
        </w:rPr>
        <w:t>,</w:t>
      </w:r>
      <w:r w:rsidR="00893178">
        <w:rPr>
          <w:rFonts w:ascii="Times New Roman" w:hAnsi="Times New Roman" w:cs="Times New Roman"/>
          <w:sz w:val="24"/>
          <w:szCs w:val="24"/>
        </w:rPr>
        <w:t xml:space="preserve"> and the two months after)</w:t>
      </w:r>
      <w:r w:rsidR="0071051E">
        <w:rPr>
          <w:rFonts w:ascii="Times New Roman" w:hAnsi="Times New Roman" w:cs="Times New Roman"/>
          <w:sz w:val="24"/>
          <w:szCs w:val="24"/>
        </w:rPr>
        <w:t xml:space="preserve"> and the ten-year trailing average of the ten-year DRP</w:t>
      </w:r>
      <w:r w:rsidR="0068503D">
        <w:rPr>
          <w:rFonts w:ascii="Times New Roman" w:hAnsi="Times New Roman" w:cs="Times New Roman"/>
          <w:sz w:val="24"/>
          <w:szCs w:val="24"/>
        </w:rPr>
        <w:t>:</w:t>
      </w:r>
      <w:r w:rsidR="008D610E">
        <w:rPr>
          <w:rStyle w:val="FootnoteReference"/>
          <w:rFonts w:ascii="Times New Roman" w:hAnsi="Times New Roman" w:cs="Times New Roman"/>
          <w:sz w:val="24"/>
          <w:szCs w:val="24"/>
        </w:rPr>
        <w:footnoteReference w:id="8"/>
      </w:r>
    </w:p>
    <w:p w:rsidR="00A030FD" w:rsidRDefault="00A030FD" w:rsidP="00EF3C07">
      <w:pPr>
        <w:spacing w:after="0" w:line="360" w:lineRule="auto"/>
        <w:jc w:val="both"/>
        <w:rPr>
          <w:rFonts w:ascii="Times New Roman" w:hAnsi="Times New Roman" w:cs="Times New Roman"/>
          <w:sz w:val="24"/>
          <w:szCs w:val="24"/>
        </w:rPr>
      </w:pPr>
    </w:p>
    <w:p w:rsidR="0068503D" w:rsidRDefault="0068503D" w:rsidP="0068503D">
      <w:pPr>
        <w:spacing w:after="0" w:line="360" w:lineRule="auto"/>
        <w:jc w:val="center"/>
        <w:rPr>
          <w:rFonts w:ascii="Times New Roman" w:hAnsi="Times New Roman" w:cs="Times New Roman"/>
          <w:sz w:val="24"/>
          <w:szCs w:val="24"/>
        </w:rPr>
      </w:pPr>
      <w:r w:rsidRPr="0064315D">
        <w:rPr>
          <w:rFonts w:ascii="Times New Roman" w:hAnsi="Times New Roman" w:cs="Times New Roman"/>
          <w:position w:val="-14"/>
          <w:sz w:val="24"/>
          <w:szCs w:val="24"/>
        </w:rPr>
        <w:object w:dxaOrig="2659" w:dyaOrig="400">
          <v:shape id="_x0000_i1047" type="#_x0000_t75" style="width:133.95pt;height:20.1pt" o:ole="">
            <v:imagedata r:id="rId52" o:title=""/>
          </v:shape>
          <o:OLEObject Type="Embed" ProgID="Equation.3" ShapeID="_x0000_i1047" DrawAspect="Content" ObjectID="_1494742923" r:id="rId53"/>
        </w:object>
      </w:r>
    </w:p>
    <w:p w:rsidR="0068503D" w:rsidRDefault="0068503D" w:rsidP="00EF3C07">
      <w:pPr>
        <w:spacing w:after="0" w:line="360" w:lineRule="auto"/>
        <w:jc w:val="both"/>
        <w:rPr>
          <w:rFonts w:ascii="Times New Roman" w:hAnsi="Times New Roman" w:cs="Times New Roman"/>
          <w:sz w:val="24"/>
          <w:szCs w:val="24"/>
        </w:rPr>
      </w:pPr>
    </w:p>
    <w:p w:rsidR="0068503D" w:rsidRDefault="0068503D" w:rsidP="00685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risk incurred from engaging in these swaps is then the standard deviation of the difference between the allowance </w:t>
      </w:r>
      <w:r w:rsidR="00A33B43">
        <w:rPr>
          <w:rFonts w:ascii="Times New Roman" w:hAnsi="Times New Roman" w:cs="Times New Roman"/>
          <w:sz w:val="24"/>
          <w:szCs w:val="24"/>
        </w:rPr>
        <w:t>shown in equation (13</w:t>
      </w:r>
      <w:r>
        <w:rPr>
          <w:rFonts w:ascii="Times New Roman" w:hAnsi="Times New Roman" w:cs="Times New Roman"/>
          <w:sz w:val="24"/>
          <w:szCs w:val="24"/>
        </w:rPr>
        <w:t>) and this incurred cost:</w:t>
      </w:r>
    </w:p>
    <w:p w:rsidR="0068503D" w:rsidRDefault="0068503D" w:rsidP="00241DA2">
      <w:pPr>
        <w:spacing w:after="0" w:line="360" w:lineRule="auto"/>
        <w:jc w:val="center"/>
        <w:rPr>
          <w:rFonts w:ascii="Times New Roman" w:hAnsi="Times New Roman" w:cs="Times New Roman"/>
          <w:sz w:val="24"/>
          <w:szCs w:val="24"/>
        </w:rPr>
      </w:pPr>
    </w:p>
    <w:p w:rsidR="0068503D" w:rsidRDefault="00241DA2" w:rsidP="00241D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503D" w:rsidRPr="0030278F">
        <w:rPr>
          <w:rFonts w:ascii="Times New Roman" w:hAnsi="Times New Roman" w:cs="Times New Roman"/>
          <w:position w:val="-14"/>
          <w:sz w:val="24"/>
          <w:szCs w:val="24"/>
        </w:rPr>
        <w:object w:dxaOrig="5899" w:dyaOrig="400">
          <v:shape id="_x0000_i1048" type="#_x0000_t75" style="width:297.2pt;height:20.1pt" o:ole="">
            <v:imagedata r:id="rId54" o:title=""/>
          </v:shape>
          <o:OLEObject Type="Embed" ProgID="Equation.3" ShapeID="_x0000_i1048" DrawAspect="Content" ObjectID="_1494742924" r:id="rId55"/>
        </w:object>
      </w:r>
      <w:r w:rsidR="00A33B43">
        <w:rPr>
          <w:rFonts w:ascii="Times New Roman" w:hAnsi="Times New Roman" w:cs="Times New Roman"/>
          <w:sz w:val="24"/>
          <w:szCs w:val="24"/>
        </w:rPr>
        <w:t xml:space="preserve">                (15</w:t>
      </w:r>
      <w:r>
        <w:rPr>
          <w:rFonts w:ascii="Times New Roman" w:hAnsi="Times New Roman" w:cs="Times New Roman"/>
          <w:sz w:val="24"/>
          <w:szCs w:val="24"/>
        </w:rPr>
        <w:t>)</w:t>
      </w:r>
    </w:p>
    <w:p w:rsidR="0068503D" w:rsidRDefault="0068503D" w:rsidP="0068503D">
      <w:pPr>
        <w:spacing w:after="0" w:line="360" w:lineRule="auto"/>
        <w:jc w:val="both"/>
        <w:rPr>
          <w:rFonts w:ascii="Times New Roman" w:hAnsi="Times New Roman" w:cs="Times New Roman"/>
          <w:sz w:val="24"/>
          <w:szCs w:val="24"/>
        </w:rPr>
      </w:pPr>
    </w:p>
    <w:p w:rsidR="003C4D4F" w:rsidRDefault="00B34621" w:rsidP="00685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estimate the sta</w:t>
      </w:r>
      <w:r w:rsidR="00A33B43">
        <w:rPr>
          <w:rFonts w:ascii="Times New Roman" w:hAnsi="Times New Roman" w:cs="Times New Roman"/>
          <w:sz w:val="24"/>
          <w:szCs w:val="24"/>
        </w:rPr>
        <w:t>ndard deviations in equations (14) and (15</w:t>
      </w:r>
      <w:r>
        <w:rPr>
          <w:rFonts w:ascii="Times New Roman" w:hAnsi="Times New Roman" w:cs="Times New Roman"/>
          <w:sz w:val="24"/>
          <w:szCs w:val="24"/>
        </w:rPr>
        <w:t>), it is necessary to use some time-series data over a period sufficiently long to produce a reasonably accurate estimate.  This would require several decades of data and therefore precludes Australian data because there is no DRP series sufficiently long.  I therefore draw upon US data, and in particular the US treasury constant maturity series for five and ten year bonds and the DRP series for BBB bonds, which are all available from April 1953 to January 2015.</w:t>
      </w:r>
      <w:r>
        <w:rPr>
          <w:rStyle w:val="FootnoteReference"/>
          <w:rFonts w:ascii="Times New Roman" w:hAnsi="Times New Roman" w:cs="Times New Roman"/>
          <w:sz w:val="24"/>
          <w:szCs w:val="24"/>
        </w:rPr>
        <w:footnoteReference w:id="9"/>
      </w:r>
      <w:r w:rsidR="00582144">
        <w:rPr>
          <w:rFonts w:ascii="Times New Roman" w:hAnsi="Times New Roman" w:cs="Times New Roman"/>
          <w:sz w:val="24"/>
          <w:szCs w:val="24"/>
        </w:rPr>
        <w:t xml:space="preserve">  </w:t>
      </w:r>
      <w:r w:rsidR="004E17F6" w:rsidRPr="00253C45">
        <w:rPr>
          <w:rFonts w:ascii="Times New Roman" w:hAnsi="Times New Roman" w:cs="Times New Roman"/>
          <w:sz w:val="24"/>
          <w:szCs w:val="24"/>
        </w:rPr>
        <w:t>This data has also been used by the QTC (2014) to draw conclusions about appropriate regulatory policy</w:t>
      </w:r>
      <w:r w:rsidR="000A6AD8" w:rsidRPr="00253C45">
        <w:rPr>
          <w:rFonts w:ascii="Times New Roman" w:hAnsi="Times New Roman" w:cs="Times New Roman"/>
          <w:sz w:val="24"/>
          <w:szCs w:val="24"/>
        </w:rPr>
        <w:t xml:space="preserve"> in Australia</w:t>
      </w:r>
      <w:r w:rsidR="004E17F6" w:rsidRPr="00253C45">
        <w:rPr>
          <w:rFonts w:ascii="Times New Roman" w:hAnsi="Times New Roman" w:cs="Times New Roman"/>
          <w:sz w:val="24"/>
          <w:szCs w:val="24"/>
        </w:rPr>
        <w:t xml:space="preserve">.  </w:t>
      </w:r>
      <w:r w:rsidR="000A6AD8" w:rsidRPr="00253C45">
        <w:rPr>
          <w:rFonts w:ascii="Times New Roman" w:hAnsi="Times New Roman" w:cs="Times New Roman"/>
          <w:sz w:val="24"/>
          <w:szCs w:val="24"/>
        </w:rPr>
        <w:t>Furthermore, CEG (2014b, paras 181-190) has also used long-term US data of this type to draw conclusions about appropriate regulatory policy in New Zealand.</w:t>
      </w:r>
      <w:r w:rsidR="000A6AD8">
        <w:rPr>
          <w:rFonts w:ascii="Times New Roman" w:hAnsi="Times New Roman" w:cs="Times New Roman"/>
          <w:sz w:val="24"/>
          <w:szCs w:val="24"/>
        </w:rPr>
        <w:t xml:space="preserve">  </w:t>
      </w:r>
      <w:r w:rsidR="00A33B43">
        <w:rPr>
          <w:rFonts w:ascii="Times New Roman" w:hAnsi="Times New Roman" w:cs="Times New Roman"/>
          <w:sz w:val="24"/>
          <w:szCs w:val="24"/>
        </w:rPr>
        <w:t>Since both equations (14) and (15</w:t>
      </w:r>
      <w:r w:rsidR="00582144">
        <w:rPr>
          <w:rFonts w:ascii="Times New Roman" w:hAnsi="Times New Roman" w:cs="Times New Roman"/>
          <w:sz w:val="24"/>
          <w:szCs w:val="24"/>
        </w:rPr>
        <w:t xml:space="preserve">) each require a ten-year trailing average, the monthly differences shown in these equations are determined from March 1963 to January </w:t>
      </w:r>
      <w:r w:rsidR="00CD0710">
        <w:rPr>
          <w:rFonts w:ascii="Times New Roman" w:hAnsi="Times New Roman" w:cs="Times New Roman"/>
          <w:sz w:val="24"/>
          <w:szCs w:val="24"/>
        </w:rPr>
        <w:t xml:space="preserve">2015.  To replicate the outcomes under a five-year regulatory cycle, the </w:t>
      </w:r>
      <w:r w:rsidR="00A33B43">
        <w:rPr>
          <w:rFonts w:ascii="Times New Roman" w:hAnsi="Times New Roman" w:cs="Times New Roman"/>
          <w:sz w:val="24"/>
          <w:szCs w:val="24"/>
        </w:rPr>
        <w:t>outcomes from equation (14</w:t>
      </w:r>
      <w:r w:rsidR="00F70449">
        <w:rPr>
          <w:rFonts w:ascii="Times New Roman" w:hAnsi="Times New Roman" w:cs="Times New Roman"/>
          <w:sz w:val="24"/>
          <w:szCs w:val="24"/>
        </w:rPr>
        <w:t>) are</w:t>
      </w:r>
      <w:r w:rsidR="006355E6">
        <w:rPr>
          <w:rFonts w:ascii="Times New Roman" w:hAnsi="Times New Roman" w:cs="Times New Roman"/>
          <w:sz w:val="24"/>
          <w:szCs w:val="24"/>
        </w:rPr>
        <w:t xml:space="preserve"> determined for each month from March 1963 to January 2015, with the allowed rate reset every five years, and the standard deviation </w:t>
      </w:r>
      <w:r w:rsidR="00F70449">
        <w:rPr>
          <w:rFonts w:ascii="Times New Roman" w:hAnsi="Times New Roman" w:cs="Times New Roman"/>
          <w:sz w:val="24"/>
          <w:szCs w:val="24"/>
        </w:rPr>
        <w:t xml:space="preserve">is </w:t>
      </w:r>
      <w:r w:rsidR="006355E6">
        <w:rPr>
          <w:rFonts w:ascii="Times New Roman" w:hAnsi="Times New Roman" w:cs="Times New Roman"/>
          <w:sz w:val="24"/>
          <w:szCs w:val="24"/>
        </w:rPr>
        <w:t>then determined.  Since the result here could be influenced by the arbitrary choice of March 1963 as the first reset date, the analysis is repeated for four different initial reset dates: March 1964, March 1965, March 1966, and March 1967.  The five standard deviations resulting from this are then averaged</w:t>
      </w:r>
      <w:r w:rsidR="00ED4568">
        <w:rPr>
          <w:rFonts w:ascii="Times New Roman" w:hAnsi="Times New Roman" w:cs="Times New Roman"/>
          <w:sz w:val="24"/>
          <w:szCs w:val="24"/>
        </w:rPr>
        <w:t>, yielding 1.49%</w:t>
      </w:r>
      <w:r w:rsidR="006355E6">
        <w:rPr>
          <w:rFonts w:ascii="Times New Roman" w:hAnsi="Times New Roman" w:cs="Times New Roman"/>
          <w:sz w:val="24"/>
          <w:szCs w:val="24"/>
        </w:rPr>
        <w:t>.  The same pro</w:t>
      </w:r>
      <w:r w:rsidR="00A33B43">
        <w:rPr>
          <w:rFonts w:ascii="Times New Roman" w:hAnsi="Times New Roman" w:cs="Times New Roman"/>
          <w:sz w:val="24"/>
          <w:szCs w:val="24"/>
        </w:rPr>
        <w:t>cess is followed for equation (15</w:t>
      </w:r>
      <w:r w:rsidR="006355E6">
        <w:rPr>
          <w:rFonts w:ascii="Times New Roman" w:hAnsi="Times New Roman" w:cs="Times New Roman"/>
          <w:sz w:val="24"/>
          <w:szCs w:val="24"/>
        </w:rPr>
        <w:t>)</w:t>
      </w:r>
      <w:r w:rsidR="00ED4568">
        <w:rPr>
          <w:rFonts w:ascii="Times New Roman" w:hAnsi="Times New Roman" w:cs="Times New Roman"/>
          <w:sz w:val="24"/>
          <w:szCs w:val="24"/>
        </w:rPr>
        <w:t>, yielding 0.82%</w:t>
      </w:r>
      <w:r w:rsidR="006355E6">
        <w:rPr>
          <w:rFonts w:ascii="Times New Roman" w:hAnsi="Times New Roman" w:cs="Times New Roman"/>
          <w:sz w:val="24"/>
          <w:szCs w:val="24"/>
        </w:rPr>
        <w:t xml:space="preserve">.  </w:t>
      </w:r>
      <w:r w:rsidR="003A272D">
        <w:rPr>
          <w:rFonts w:ascii="Times New Roman" w:hAnsi="Times New Roman" w:cs="Times New Roman"/>
          <w:sz w:val="24"/>
          <w:szCs w:val="24"/>
        </w:rPr>
        <w:t xml:space="preserve">Thus, risk is markedly less from engaging in these swaps (even when a five-month period </w:t>
      </w:r>
      <w:r w:rsidR="00E21188">
        <w:rPr>
          <w:rFonts w:ascii="Times New Roman" w:hAnsi="Times New Roman" w:cs="Times New Roman"/>
          <w:sz w:val="24"/>
          <w:szCs w:val="24"/>
        </w:rPr>
        <w:t xml:space="preserve">is </w:t>
      </w:r>
      <w:r w:rsidR="003A272D">
        <w:rPr>
          <w:rFonts w:ascii="Times New Roman" w:hAnsi="Times New Roman" w:cs="Times New Roman"/>
          <w:sz w:val="24"/>
          <w:szCs w:val="24"/>
        </w:rPr>
        <w:t xml:space="preserve">used to undertake </w:t>
      </w:r>
      <w:r w:rsidR="00E21188">
        <w:rPr>
          <w:rFonts w:ascii="Times New Roman" w:hAnsi="Times New Roman" w:cs="Times New Roman"/>
          <w:sz w:val="24"/>
          <w:szCs w:val="24"/>
        </w:rPr>
        <w:t>them</w:t>
      </w:r>
      <w:r w:rsidR="003A272D">
        <w:rPr>
          <w:rFonts w:ascii="Times New Roman" w:hAnsi="Times New Roman" w:cs="Times New Roman"/>
          <w:sz w:val="24"/>
          <w:szCs w:val="24"/>
        </w:rPr>
        <w:t>)</w:t>
      </w:r>
      <w:r w:rsidR="007409BB">
        <w:rPr>
          <w:rFonts w:ascii="Times New Roman" w:hAnsi="Times New Roman" w:cs="Times New Roman"/>
          <w:sz w:val="24"/>
          <w:szCs w:val="24"/>
        </w:rPr>
        <w:t xml:space="preserve"> than not engaging in them.  </w:t>
      </w:r>
    </w:p>
    <w:p w:rsidR="003C4D4F" w:rsidRDefault="003C4D4F" w:rsidP="0068503D">
      <w:pPr>
        <w:spacing w:after="0" w:line="360" w:lineRule="auto"/>
        <w:jc w:val="both"/>
        <w:rPr>
          <w:rFonts w:ascii="Times New Roman" w:hAnsi="Times New Roman" w:cs="Times New Roman"/>
          <w:sz w:val="24"/>
          <w:szCs w:val="24"/>
        </w:rPr>
      </w:pPr>
    </w:p>
    <w:p w:rsidR="003F7A97" w:rsidRDefault="003C4D4F" w:rsidP="00685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assist in understanding the sources of risk, one could estim</w:t>
      </w:r>
      <w:r w:rsidR="00A33B43">
        <w:rPr>
          <w:rFonts w:ascii="Times New Roman" w:hAnsi="Times New Roman" w:cs="Times New Roman"/>
          <w:sz w:val="24"/>
          <w:szCs w:val="24"/>
        </w:rPr>
        <w:t>ate the standard deviation of (15</w:t>
      </w:r>
      <w:r>
        <w:rPr>
          <w:rFonts w:ascii="Times New Roman" w:hAnsi="Times New Roman" w:cs="Times New Roman"/>
          <w:sz w:val="24"/>
          <w:szCs w:val="24"/>
        </w:rPr>
        <w:t xml:space="preserve">) subject to the swaps being undertaken in </w:t>
      </w:r>
      <w:r w:rsidR="007409BB">
        <w:rPr>
          <w:rFonts w:ascii="Times New Roman" w:hAnsi="Times New Roman" w:cs="Times New Roman"/>
          <w:sz w:val="24"/>
          <w:szCs w:val="24"/>
        </w:rPr>
        <w:t xml:space="preserve">the same month as the regulatory reset, </w:t>
      </w:r>
      <w:r w:rsidR="00EF5B04">
        <w:rPr>
          <w:rFonts w:ascii="Times New Roman" w:hAnsi="Times New Roman" w:cs="Times New Roman"/>
          <w:sz w:val="24"/>
          <w:szCs w:val="24"/>
        </w:rPr>
        <w:t>as follows:</w:t>
      </w:r>
    </w:p>
    <w:p w:rsidR="003F7A97" w:rsidRDefault="003F7A97" w:rsidP="003F7A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278F">
        <w:rPr>
          <w:rFonts w:ascii="Times New Roman" w:hAnsi="Times New Roman" w:cs="Times New Roman"/>
          <w:position w:val="-14"/>
          <w:sz w:val="24"/>
          <w:szCs w:val="24"/>
        </w:rPr>
        <w:object w:dxaOrig="5840" w:dyaOrig="400">
          <v:shape id="_x0000_i1049" type="#_x0000_t75" style="width:293.85pt;height:20.1pt" o:ole="">
            <v:imagedata r:id="rId56" o:title=""/>
          </v:shape>
          <o:OLEObject Type="Embed" ProgID="Equation.3" ShapeID="_x0000_i1049" DrawAspect="Content" ObjectID="_1494742925" r:id="rId57"/>
        </w:object>
      </w:r>
      <w:r w:rsidR="00A33B43">
        <w:rPr>
          <w:rFonts w:ascii="Times New Roman" w:hAnsi="Times New Roman" w:cs="Times New Roman"/>
          <w:sz w:val="24"/>
          <w:szCs w:val="24"/>
        </w:rPr>
        <w:t xml:space="preserve">                 (16</w:t>
      </w:r>
      <w:r>
        <w:rPr>
          <w:rFonts w:ascii="Times New Roman" w:hAnsi="Times New Roman" w:cs="Times New Roman"/>
          <w:sz w:val="24"/>
          <w:szCs w:val="24"/>
        </w:rPr>
        <w:t>)</w:t>
      </w:r>
    </w:p>
    <w:p w:rsidR="003F7A97" w:rsidRDefault="003F7A97" w:rsidP="0068503D">
      <w:pPr>
        <w:spacing w:after="0" w:line="360" w:lineRule="auto"/>
        <w:jc w:val="both"/>
        <w:rPr>
          <w:rFonts w:ascii="Times New Roman" w:hAnsi="Times New Roman" w:cs="Times New Roman"/>
          <w:sz w:val="24"/>
          <w:szCs w:val="24"/>
        </w:rPr>
      </w:pPr>
    </w:p>
    <w:p w:rsidR="003F7A97" w:rsidRDefault="003F7A97" w:rsidP="00685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ED4568">
        <w:rPr>
          <w:rFonts w:ascii="Times New Roman" w:hAnsi="Times New Roman" w:cs="Times New Roman"/>
          <w:sz w:val="24"/>
          <w:szCs w:val="24"/>
        </w:rPr>
        <w:t xml:space="preserve">result </w:t>
      </w:r>
      <w:r w:rsidR="00F70449">
        <w:rPr>
          <w:rFonts w:ascii="Times New Roman" w:hAnsi="Times New Roman" w:cs="Times New Roman"/>
          <w:sz w:val="24"/>
          <w:szCs w:val="24"/>
        </w:rPr>
        <w:t xml:space="preserve">here </w:t>
      </w:r>
      <w:r w:rsidR="00ED4568">
        <w:rPr>
          <w:rFonts w:ascii="Times New Roman" w:hAnsi="Times New Roman" w:cs="Times New Roman"/>
          <w:sz w:val="24"/>
          <w:szCs w:val="24"/>
        </w:rPr>
        <w:t>is marginally higher at 0.87</w:t>
      </w:r>
      <w:r w:rsidR="00310D4B">
        <w:rPr>
          <w:rFonts w:ascii="Times New Roman" w:hAnsi="Times New Roman" w:cs="Times New Roman"/>
          <w:sz w:val="24"/>
          <w:szCs w:val="24"/>
        </w:rPr>
        <w:t xml:space="preserve">%.  Even </w:t>
      </w:r>
      <w:r w:rsidR="00ED4568">
        <w:rPr>
          <w:rFonts w:ascii="Times New Roman" w:hAnsi="Times New Roman" w:cs="Times New Roman"/>
          <w:sz w:val="24"/>
          <w:szCs w:val="24"/>
        </w:rPr>
        <w:t xml:space="preserve">here, </w:t>
      </w:r>
      <w:r w:rsidR="00310D4B">
        <w:rPr>
          <w:rFonts w:ascii="Times New Roman" w:hAnsi="Times New Roman" w:cs="Times New Roman"/>
          <w:sz w:val="24"/>
          <w:szCs w:val="24"/>
        </w:rPr>
        <w:t xml:space="preserve">the regulator allows the ten-year </w:t>
      </w:r>
      <w:r w:rsidR="00E24437">
        <w:rPr>
          <w:rFonts w:ascii="Times New Roman" w:hAnsi="Times New Roman" w:cs="Times New Roman"/>
          <w:sz w:val="24"/>
          <w:szCs w:val="24"/>
        </w:rPr>
        <w:t xml:space="preserve">risk-free </w:t>
      </w:r>
      <w:r w:rsidR="00310D4B">
        <w:rPr>
          <w:rFonts w:ascii="Times New Roman" w:hAnsi="Times New Roman" w:cs="Times New Roman"/>
          <w:sz w:val="24"/>
          <w:szCs w:val="24"/>
        </w:rPr>
        <w:t xml:space="preserve">rate whilst regulated businesses pay the five-year rate and this is an additional source of risk.  If the regulator allowed the prevailing five-year </w:t>
      </w:r>
      <w:r w:rsidR="00E24437">
        <w:rPr>
          <w:rFonts w:ascii="Times New Roman" w:hAnsi="Times New Roman" w:cs="Times New Roman"/>
          <w:sz w:val="24"/>
          <w:szCs w:val="24"/>
        </w:rPr>
        <w:t xml:space="preserve">risk-free </w:t>
      </w:r>
      <w:r w:rsidR="00310D4B">
        <w:rPr>
          <w:rFonts w:ascii="Times New Roman" w:hAnsi="Times New Roman" w:cs="Times New Roman"/>
          <w:sz w:val="24"/>
          <w:szCs w:val="24"/>
        </w:rPr>
        <w:t xml:space="preserve">rate then the </w:t>
      </w:r>
      <w:r w:rsidR="00F70449">
        <w:rPr>
          <w:rFonts w:ascii="Times New Roman" w:hAnsi="Times New Roman" w:cs="Times New Roman"/>
          <w:sz w:val="24"/>
          <w:szCs w:val="24"/>
        </w:rPr>
        <w:t>equation would be as follows:</w:t>
      </w:r>
    </w:p>
    <w:p w:rsidR="00F70449" w:rsidRDefault="00F70449" w:rsidP="0068503D">
      <w:pPr>
        <w:spacing w:after="0" w:line="360" w:lineRule="auto"/>
        <w:jc w:val="both"/>
        <w:rPr>
          <w:rFonts w:ascii="Times New Roman" w:hAnsi="Times New Roman" w:cs="Times New Roman"/>
          <w:sz w:val="24"/>
          <w:szCs w:val="24"/>
        </w:rPr>
      </w:pPr>
    </w:p>
    <w:p w:rsidR="003F7A97" w:rsidRDefault="003F7A97" w:rsidP="003F7A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1E31" w:rsidRPr="0030278F">
        <w:rPr>
          <w:rFonts w:ascii="Times New Roman" w:hAnsi="Times New Roman" w:cs="Times New Roman"/>
          <w:position w:val="-14"/>
          <w:sz w:val="24"/>
          <w:szCs w:val="24"/>
        </w:rPr>
        <w:object w:dxaOrig="5880" w:dyaOrig="400">
          <v:shape id="_x0000_i1050" type="#_x0000_t75" style="width:296.35pt;height:20.1pt" o:ole="">
            <v:imagedata r:id="rId58" o:title=""/>
          </v:shape>
          <o:OLEObject Type="Embed" ProgID="Equation.3" ShapeID="_x0000_i1050" DrawAspect="Content" ObjectID="_1494742926" r:id="rId59"/>
        </w:object>
      </w:r>
      <w:r>
        <w:rPr>
          <w:rFonts w:ascii="Times New Roman" w:hAnsi="Times New Roman" w:cs="Times New Roman"/>
          <w:sz w:val="24"/>
          <w:szCs w:val="24"/>
        </w:rPr>
        <w:t xml:space="preserve">    </w:t>
      </w:r>
      <w:r w:rsidR="00A33B43">
        <w:rPr>
          <w:rFonts w:ascii="Times New Roman" w:hAnsi="Times New Roman" w:cs="Times New Roman"/>
          <w:sz w:val="24"/>
          <w:szCs w:val="24"/>
        </w:rPr>
        <w:t xml:space="preserve">             (17</w:t>
      </w:r>
      <w:r>
        <w:rPr>
          <w:rFonts w:ascii="Times New Roman" w:hAnsi="Times New Roman" w:cs="Times New Roman"/>
          <w:sz w:val="24"/>
          <w:szCs w:val="24"/>
        </w:rPr>
        <w:t>)</w:t>
      </w:r>
    </w:p>
    <w:p w:rsidR="003F7A97" w:rsidRDefault="003F7A97" w:rsidP="0068503D">
      <w:pPr>
        <w:spacing w:after="0" w:line="360" w:lineRule="auto"/>
        <w:jc w:val="both"/>
        <w:rPr>
          <w:rFonts w:ascii="Times New Roman" w:hAnsi="Times New Roman" w:cs="Times New Roman"/>
          <w:sz w:val="24"/>
          <w:szCs w:val="24"/>
        </w:rPr>
      </w:pPr>
    </w:p>
    <w:p w:rsidR="00310D4B" w:rsidRDefault="00B41E31" w:rsidP="00685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 here is </w:t>
      </w:r>
      <w:r w:rsidR="00310D4B">
        <w:rPr>
          <w:rFonts w:ascii="Times New Roman" w:hAnsi="Times New Roman" w:cs="Times New Roman"/>
          <w:sz w:val="24"/>
          <w:szCs w:val="24"/>
        </w:rPr>
        <w:t xml:space="preserve">0.64% and </w:t>
      </w:r>
      <w:r>
        <w:rPr>
          <w:rFonts w:ascii="Times New Roman" w:hAnsi="Times New Roman" w:cs="Times New Roman"/>
          <w:sz w:val="24"/>
          <w:szCs w:val="24"/>
        </w:rPr>
        <w:t xml:space="preserve">is </w:t>
      </w:r>
      <w:r w:rsidR="00310D4B">
        <w:rPr>
          <w:rFonts w:ascii="Times New Roman" w:hAnsi="Times New Roman" w:cs="Times New Roman"/>
          <w:sz w:val="24"/>
          <w:szCs w:val="24"/>
        </w:rPr>
        <w:t xml:space="preserve">due solely to the difference between the prevailing DRP allowed by the regulator and the trailing average incurred by the </w:t>
      </w:r>
      <w:r w:rsidR="00F70449">
        <w:rPr>
          <w:rFonts w:ascii="Times New Roman" w:hAnsi="Times New Roman" w:cs="Times New Roman"/>
          <w:sz w:val="24"/>
          <w:szCs w:val="24"/>
        </w:rPr>
        <w:t>business</w:t>
      </w:r>
      <w:r w:rsidR="00310D4B">
        <w:rPr>
          <w:rFonts w:ascii="Times New Roman" w:hAnsi="Times New Roman" w:cs="Times New Roman"/>
          <w:sz w:val="24"/>
          <w:szCs w:val="24"/>
        </w:rPr>
        <w:t>.  Th</w:t>
      </w:r>
      <w:r w:rsidR="000F6CC9">
        <w:rPr>
          <w:rFonts w:ascii="Times New Roman" w:hAnsi="Times New Roman" w:cs="Times New Roman"/>
          <w:sz w:val="24"/>
          <w:szCs w:val="24"/>
        </w:rPr>
        <w:t xml:space="preserve">ese results are </w:t>
      </w:r>
      <w:r w:rsidR="00F70449">
        <w:rPr>
          <w:rFonts w:ascii="Times New Roman" w:hAnsi="Times New Roman" w:cs="Times New Roman"/>
          <w:sz w:val="24"/>
          <w:szCs w:val="24"/>
        </w:rPr>
        <w:t xml:space="preserve">summarized in </w:t>
      </w:r>
      <w:r w:rsidR="000F6CC9">
        <w:rPr>
          <w:rFonts w:ascii="Times New Roman" w:hAnsi="Times New Roman" w:cs="Times New Roman"/>
          <w:sz w:val="24"/>
          <w:szCs w:val="24"/>
        </w:rPr>
        <w:t>Table 4</w:t>
      </w:r>
      <w:r w:rsidR="00310D4B">
        <w:rPr>
          <w:rFonts w:ascii="Times New Roman" w:hAnsi="Times New Roman" w:cs="Times New Roman"/>
          <w:sz w:val="24"/>
          <w:szCs w:val="24"/>
        </w:rPr>
        <w:t xml:space="preserve"> below.</w:t>
      </w:r>
      <w:r w:rsidR="00AE663E">
        <w:rPr>
          <w:rFonts w:ascii="Times New Roman" w:hAnsi="Times New Roman" w:cs="Times New Roman"/>
          <w:sz w:val="24"/>
          <w:szCs w:val="24"/>
        </w:rPr>
        <w:t xml:space="preserve">  They reveal that the DRP mismatch in isolation gives rise to a standard de</w:t>
      </w:r>
      <w:r w:rsidR="00E24437">
        <w:rPr>
          <w:rFonts w:ascii="Times New Roman" w:hAnsi="Times New Roman" w:cs="Times New Roman"/>
          <w:sz w:val="24"/>
          <w:szCs w:val="24"/>
        </w:rPr>
        <w:t>viation of 0.64%, rising to 0.87</w:t>
      </w:r>
      <w:r w:rsidR="00AE663E">
        <w:rPr>
          <w:rFonts w:ascii="Times New Roman" w:hAnsi="Times New Roman" w:cs="Times New Roman"/>
          <w:sz w:val="24"/>
          <w:szCs w:val="24"/>
        </w:rPr>
        <w:t xml:space="preserve">% if </w:t>
      </w:r>
      <w:r w:rsidR="00542B56">
        <w:rPr>
          <w:rFonts w:ascii="Times New Roman" w:hAnsi="Times New Roman" w:cs="Times New Roman"/>
          <w:sz w:val="24"/>
          <w:szCs w:val="24"/>
        </w:rPr>
        <w:t xml:space="preserve">risk arising from the risk-free rate is added to this </w:t>
      </w:r>
      <w:r w:rsidR="00AE663E">
        <w:rPr>
          <w:rFonts w:ascii="Times New Roman" w:hAnsi="Times New Roman" w:cs="Times New Roman"/>
          <w:sz w:val="24"/>
          <w:szCs w:val="24"/>
        </w:rPr>
        <w:t xml:space="preserve">(assuming the regulator allows a ten-year </w:t>
      </w:r>
      <w:r w:rsidR="00E24437">
        <w:rPr>
          <w:rFonts w:ascii="Times New Roman" w:hAnsi="Times New Roman" w:cs="Times New Roman"/>
          <w:sz w:val="24"/>
          <w:szCs w:val="24"/>
        </w:rPr>
        <w:t xml:space="preserve">risk-free rate using </w:t>
      </w:r>
      <w:r w:rsidR="00AE663E">
        <w:rPr>
          <w:rFonts w:ascii="Times New Roman" w:hAnsi="Times New Roman" w:cs="Times New Roman"/>
          <w:sz w:val="24"/>
          <w:szCs w:val="24"/>
        </w:rPr>
        <w:t>a window of one month and the firm enters swap</w:t>
      </w:r>
      <w:r w:rsidR="009F4448">
        <w:rPr>
          <w:rFonts w:ascii="Times New Roman" w:hAnsi="Times New Roman" w:cs="Times New Roman"/>
          <w:sz w:val="24"/>
          <w:szCs w:val="24"/>
        </w:rPr>
        <w:t xml:space="preserve">s over a period of </w:t>
      </w:r>
      <w:r w:rsidR="005A3AE8" w:rsidRPr="005A3AE8">
        <w:rPr>
          <w:rFonts w:ascii="Times New Roman" w:hAnsi="Times New Roman" w:cs="Times New Roman"/>
          <w:sz w:val="24"/>
          <w:szCs w:val="24"/>
        </w:rPr>
        <w:t>one month</w:t>
      </w:r>
      <w:r w:rsidR="00E24437">
        <w:rPr>
          <w:rFonts w:ascii="Times New Roman" w:hAnsi="Times New Roman" w:cs="Times New Roman"/>
          <w:sz w:val="24"/>
          <w:szCs w:val="24"/>
        </w:rPr>
        <w:t>), falling slightly to 0.82</w:t>
      </w:r>
      <w:r w:rsidR="009F4448">
        <w:rPr>
          <w:rFonts w:ascii="Times New Roman" w:hAnsi="Times New Roman" w:cs="Times New Roman"/>
          <w:sz w:val="24"/>
          <w:szCs w:val="24"/>
        </w:rPr>
        <w:t xml:space="preserve">% if the firm requires five months to enter the swap contracts, and then dramatically rising to </w:t>
      </w:r>
      <w:r w:rsidR="00E24437">
        <w:rPr>
          <w:rFonts w:ascii="Times New Roman" w:hAnsi="Times New Roman" w:cs="Times New Roman"/>
          <w:sz w:val="24"/>
          <w:szCs w:val="24"/>
        </w:rPr>
        <w:t xml:space="preserve">1.49% </w:t>
      </w:r>
      <w:r w:rsidR="009F4448">
        <w:rPr>
          <w:rFonts w:ascii="Times New Roman" w:hAnsi="Times New Roman" w:cs="Times New Roman"/>
          <w:sz w:val="24"/>
          <w:szCs w:val="24"/>
        </w:rPr>
        <w:t xml:space="preserve">if the firm does not engage in swaps.  So, engaging in swaps </w:t>
      </w:r>
      <w:r w:rsidR="00E24437">
        <w:rPr>
          <w:rFonts w:ascii="Times New Roman" w:hAnsi="Times New Roman" w:cs="Times New Roman"/>
          <w:sz w:val="24"/>
          <w:szCs w:val="24"/>
        </w:rPr>
        <w:t>markedly reduces risk</w:t>
      </w:r>
      <w:r w:rsidR="00542B56">
        <w:rPr>
          <w:rFonts w:ascii="Times New Roman" w:hAnsi="Times New Roman" w:cs="Times New Roman"/>
          <w:sz w:val="24"/>
          <w:szCs w:val="24"/>
        </w:rPr>
        <w:t xml:space="preserve"> and the </w:t>
      </w:r>
      <w:r w:rsidR="00E24437">
        <w:rPr>
          <w:rFonts w:ascii="Times New Roman" w:hAnsi="Times New Roman" w:cs="Times New Roman"/>
          <w:sz w:val="24"/>
          <w:szCs w:val="24"/>
        </w:rPr>
        <w:t xml:space="preserve">inability to transact the swaps in a one-month period has no material </w:t>
      </w:r>
      <w:r w:rsidR="00F70449">
        <w:rPr>
          <w:rFonts w:ascii="Times New Roman" w:hAnsi="Times New Roman" w:cs="Times New Roman"/>
          <w:sz w:val="24"/>
          <w:szCs w:val="24"/>
        </w:rPr>
        <w:t>impact on this.</w:t>
      </w:r>
    </w:p>
    <w:p w:rsidR="00542B56" w:rsidRDefault="00542B56" w:rsidP="0068503D">
      <w:pPr>
        <w:spacing w:after="0" w:line="360" w:lineRule="auto"/>
        <w:jc w:val="both"/>
        <w:rPr>
          <w:rFonts w:ascii="Times New Roman" w:hAnsi="Times New Roman" w:cs="Times New Roman"/>
          <w:sz w:val="24"/>
          <w:szCs w:val="24"/>
        </w:rPr>
      </w:pPr>
    </w:p>
    <w:p w:rsidR="0068503D" w:rsidRDefault="000F6CC9" w:rsidP="00310D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Table 4</w:t>
      </w:r>
      <w:r w:rsidR="00310D4B">
        <w:rPr>
          <w:rFonts w:ascii="Times New Roman" w:hAnsi="Times New Roman" w:cs="Times New Roman"/>
          <w:sz w:val="24"/>
          <w:szCs w:val="24"/>
        </w:rPr>
        <w:t>: The Standard Deviations from Various Policies by Firms and the Regulator</w:t>
      </w:r>
    </w:p>
    <w:p w:rsidR="00310D4B" w:rsidRDefault="00310D4B" w:rsidP="00310D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409BB" w:rsidRDefault="00AE663E" w:rsidP="00310D4B">
      <w:pPr>
        <w:tabs>
          <w:tab w:val="left" w:pos="4320"/>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On-the-day </w:t>
      </w:r>
      <w:r w:rsidR="00BB422F">
        <w:rPr>
          <w:rFonts w:ascii="Times New Roman" w:hAnsi="Times New Roman" w:cs="Times New Roman"/>
          <w:sz w:val="24"/>
          <w:szCs w:val="24"/>
        </w:rPr>
        <w:t>Regulatory Policy</w:t>
      </w:r>
      <w:r w:rsidR="00BB422F">
        <w:rPr>
          <w:rFonts w:ascii="Times New Roman" w:hAnsi="Times New Roman" w:cs="Times New Roman"/>
          <w:sz w:val="24"/>
          <w:szCs w:val="24"/>
        </w:rPr>
        <w:tab/>
        <w:t>Firm Policy</w:t>
      </w:r>
      <w:r w:rsidR="00BB422F">
        <w:rPr>
          <w:rFonts w:ascii="Times New Roman" w:hAnsi="Times New Roman" w:cs="Times New Roman"/>
          <w:sz w:val="24"/>
          <w:szCs w:val="24"/>
        </w:rPr>
        <w:tab/>
        <w:t>Std Dev</w:t>
      </w:r>
    </w:p>
    <w:p w:rsidR="00310D4B" w:rsidRDefault="00310D4B" w:rsidP="00685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10D4B" w:rsidRDefault="00310D4B" w:rsidP="00310D4B">
      <w:pPr>
        <w:tabs>
          <w:tab w:val="left" w:pos="432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Allow 5 yr Rf and 10 yr DRP</w:t>
      </w:r>
      <w:r>
        <w:rPr>
          <w:rFonts w:ascii="Times New Roman" w:hAnsi="Times New Roman" w:cs="Times New Roman"/>
          <w:sz w:val="24"/>
          <w:szCs w:val="24"/>
        </w:rPr>
        <w:tab/>
        <w:t>Enter swaps over 1 mth</w:t>
      </w:r>
      <w:r>
        <w:rPr>
          <w:rFonts w:ascii="Times New Roman" w:hAnsi="Times New Roman" w:cs="Times New Roman"/>
          <w:sz w:val="24"/>
          <w:szCs w:val="24"/>
        </w:rPr>
        <w:tab/>
        <w:t>0.64%</w:t>
      </w:r>
    </w:p>
    <w:p w:rsidR="00310D4B" w:rsidRDefault="00310D4B" w:rsidP="00310D4B">
      <w:pPr>
        <w:tabs>
          <w:tab w:val="left" w:pos="432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Allow 10 yr Rf and 10 yr DRP</w:t>
      </w:r>
      <w:r>
        <w:rPr>
          <w:rFonts w:ascii="Times New Roman" w:hAnsi="Times New Roman" w:cs="Times New Roman"/>
          <w:sz w:val="24"/>
          <w:szCs w:val="24"/>
        </w:rPr>
        <w:tab/>
        <w:t>Enter swaps over 1 mth</w:t>
      </w:r>
      <w:r w:rsidR="00E24437">
        <w:rPr>
          <w:rFonts w:ascii="Times New Roman" w:hAnsi="Times New Roman" w:cs="Times New Roman"/>
          <w:sz w:val="24"/>
          <w:szCs w:val="24"/>
        </w:rPr>
        <w:tab/>
        <w:t>0.87</w:t>
      </w:r>
      <w:r>
        <w:rPr>
          <w:rFonts w:ascii="Times New Roman" w:hAnsi="Times New Roman" w:cs="Times New Roman"/>
          <w:sz w:val="24"/>
          <w:szCs w:val="24"/>
        </w:rPr>
        <w:t>%</w:t>
      </w:r>
    </w:p>
    <w:p w:rsidR="00310D4B" w:rsidRDefault="00310D4B" w:rsidP="00310D4B">
      <w:pPr>
        <w:tabs>
          <w:tab w:val="left" w:pos="432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Allow 10 yr Rf and 10 yr </w:t>
      </w:r>
      <w:r w:rsidR="00E24437">
        <w:rPr>
          <w:rFonts w:ascii="Times New Roman" w:hAnsi="Times New Roman" w:cs="Times New Roman"/>
          <w:sz w:val="24"/>
          <w:szCs w:val="24"/>
        </w:rPr>
        <w:t>DRP</w:t>
      </w:r>
      <w:r w:rsidR="00E24437">
        <w:rPr>
          <w:rFonts w:ascii="Times New Roman" w:hAnsi="Times New Roman" w:cs="Times New Roman"/>
          <w:sz w:val="24"/>
          <w:szCs w:val="24"/>
        </w:rPr>
        <w:tab/>
        <w:t>Enter swaps over 5 mths</w:t>
      </w:r>
      <w:r w:rsidR="00E24437">
        <w:rPr>
          <w:rFonts w:ascii="Times New Roman" w:hAnsi="Times New Roman" w:cs="Times New Roman"/>
          <w:sz w:val="24"/>
          <w:szCs w:val="24"/>
        </w:rPr>
        <w:tab/>
        <w:t>0.82</w:t>
      </w:r>
      <w:r>
        <w:rPr>
          <w:rFonts w:ascii="Times New Roman" w:hAnsi="Times New Roman" w:cs="Times New Roman"/>
          <w:sz w:val="24"/>
          <w:szCs w:val="24"/>
        </w:rPr>
        <w:t>%</w:t>
      </w:r>
    </w:p>
    <w:p w:rsidR="00310D4B" w:rsidRDefault="00310D4B" w:rsidP="00310D4B">
      <w:pPr>
        <w:tabs>
          <w:tab w:val="left" w:pos="4320"/>
          <w:tab w:val="left" w:pos="79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Allow 10 yr Rf and 10 yr DRP</w:t>
      </w:r>
      <w:r>
        <w:rPr>
          <w:rFonts w:ascii="Times New Roman" w:hAnsi="Times New Roman" w:cs="Times New Roman"/>
          <w:sz w:val="24"/>
          <w:szCs w:val="24"/>
        </w:rPr>
        <w:tab/>
        <w:t>Do not use swaps</w:t>
      </w:r>
      <w:r>
        <w:rPr>
          <w:rFonts w:ascii="Times New Roman" w:hAnsi="Times New Roman" w:cs="Times New Roman"/>
          <w:sz w:val="24"/>
          <w:szCs w:val="24"/>
        </w:rPr>
        <w:tab/>
      </w:r>
      <w:r w:rsidR="00E24437">
        <w:rPr>
          <w:rFonts w:ascii="Times New Roman" w:hAnsi="Times New Roman" w:cs="Times New Roman"/>
          <w:sz w:val="24"/>
          <w:szCs w:val="24"/>
        </w:rPr>
        <w:t>1.49%</w:t>
      </w:r>
    </w:p>
    <w:p w:rsidR="00310D4B" w:rsidRDefault="00310D4B" w:rsidP="00310D4B">
      <w:pPr>
        <w:tabs>
          <w:tab w:val="left" w:pos="4320"/>
          <w:tab w:val="left" w:pos="79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10D4B" w:rsidRDefault="00310D4B" w:rsidP="0068503D">
      <w:pPr>
        <w:spacing w:after="0" w:line="360" w:lineRule="auto"/>
        <w:jc w:val="both"/>
        <w:rPr>
          <w:rFonts w:ascii="Times New Roman" w:hAnsi="Times New Roman" w:cs="Times New Roman"/>
          <w:sz w:val="24"/>
          <w:szCs w:val="24"/>
        </w:rPr>
      </w:pPr>
    </w:p>
    <w:p w:rsidR="005C0B41" w:rsidRDefault="005C0B41" w:rsidP="00565A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analysis assumes that the five and ten year swap rates are identical </w:t>
      </w:r>
      <w:r w:rsidR="00182718">
        <w:rPr>
          <w:rFonts w:ascii="Times New Roman" w:hAnsi="Times New Roman" w:cs="Times New Roman"/>
          <w:sz w:val="24"/>
          <w:szCs w:val="24"/>
        </w:rPr>
        <w:t xml:space="preserve">to the </w:t>
      </w:r>
      <w:r>
        <w:rPr>
          <w:rFonts w:ascii="Times New Roman" w:hAnsi="Times New Roman" w:cs="Times New Roman"/>
          <w:sz w:val="24"/>
          <w:szCs w:val="24"/>
        </w:rPr>
        <w:t>corresponding risk-free rates.  However, this is not the case</w:t>
      </w:r>
      <w:r w:rsidR="00B41E31">
        <w:rPr>
          <w:rFonts w:ascii="Times New Roman" w:hAnsi="Times New Roman" w:cs="Times New Roman"/>
          <w:sz w:val="24"/>
          <w:szCs w:val="24"/>
        </w:rPr>
        <w:t xml:space="preserve"> and </w:t>
      </w:r>
      <w:r w:rsidR="00182718">
        <w:rPr>
          <w:rFonts w:ascii="Times New Roman" w:hAnsi="Times New Roman" w:cs="Times New Roman"/>
          <w:sz w:val="24"/>
          <w:szCs w:val="24"/>
        </w:rPr>
        <w:t xml:space="preserve">therefore </w:t>
      </w:r>
      <w:r w:rsidR="00B41E31">
        <w:rPr>
          <w:rFonts w:ascii="Times New Roman" w:hAnsi="Times New Roman" w:cs="Times New Roman"/>
          <w:sz w:val="24"/>
          <w:szCs w:val="24"/>
        </w:rPr>
        <w:t xml:space="preserve">requires adjustments to the base </w:t>
      </w:r>
      <w:r w:rsidR="00F70449">
        <w:rPr>
          <w:rFonts w:ascii="Times New Roman" w:hAnsi="Times New Roman" w:cs="Times New Roman"/>
          <w:sz w:val="24"/>
          <w:szCs w:val="24"/>
        </w:rPr>
        <w:t xml:space="preserve">rates </w:t>
      </w:r>
      <w:r w:rsidR="00A33B43">
        <w:rPr>
          <w:rFonts w:ascii="Times New Roman" w:hAnsi="Times New Roman" w:cs="Times New Roman"/>
          <w:sz w:val="24"/>
          <w:szCs w:val="24"/>
        </w:rPr>
        <w:t>paid in equations (15), (16) and (17).  For example, equation (16</w:t>
      </w:r>
      <w:r>
        <w:rPr>
          <w:rFonts w:ascii="Times New Roman" w:hAnsi="Times New Roman" w:cs="Times New Roman"/>
          <w:sz w:val="24"/>
          <w:szCs w:val="24"/>
        </w:rPr>
        <w:t>) should be</w:t>
      </w:r>
    </w:p>
    <w:p w:rsidR="005C0B41" w:rsidRDefault="005C0B41" w:rsidP="00565AD5">
      <w:pPr>
        <w:spacing w:after="0" w:line="360" w:lineRule="auto"/>
        <w:jc w:val="both"/>
        <w:rPr>
          <w:rFonts w:ascii="Times New Roman" w:hAnsi="Times New Roman" w:cs="Times New Roman"/>
          <w:sz w:val="24"/>
          <w:szCs w:val="24"/>
        </w:rPr>
      </w:pPr>
    </w:p>
    <w:p w:rsidR="005C0B41" w:rsidRDefault="00B41E31" w:rsidP="005C0B41">
      <w:pPr>
        <w:spacing w:after="0" w:line="360" w:lineRule="auto"/>
        <w:jc w:val="center"/>
        <w:rPr>
          <w:rFonts w:ascii="Times New Roman" w:hAnsi="Times New Roman" w:cs="Times New Roman"/>
          <w:sz w:val="24"/>
          <w:szCs w:val="24"/>
        </w:rPr>
      </w:pPr>
      <w:r w:rsidRPr="0030278F">
        <w:rPr>
          <w:rFonts w:ascii="Times New Roman" w:hAnsi="Times New Roman" w:cs="Times New Roman"/>
          <w:position w:val="-14"/>
          <w:sz w:val="24"/>
          <w:szCs w:val="24"/>
        </w:rPr>
        <w:object w:dxaOrig="8559" w:dyaOrig="400">
          <v:shape id="_x0000_i1051" type="#_x0000_t75" style="width:430.35pt;height:20.1pt" o:ole="">
            <v:imagedata r:id="rId60" o:title=""/>
          </v:shape>
          <o:OLEObject Type="Embed" ProgID="Equation.3" ShapeID="_x0000_i1051" DrawAspect="Content" ObjectID="_1494742927" r:id="rId61"/>
        </w:object>
      </w:r>
    </w:p>
    <w:p w:rsidR="005C0B41" w:rsidRDefault="005C0B41" w:rsidP="00565AD5">
      <w:pPr>
        <w:spacing w:after="0" w:line="360" w:lineRule="auto"/>
        <w:jc w:val="both"/>
        <w:rPr>
          <w:rFonts w:ascii="Times New Roman" w:hAnsi="Times New Roman" w:cs="Times New Roman"/>
          <w:sz w:val="24"/>
          <w:szCs w:val="24"/>
        </w:rPr>
      </w:pPr>
    </w:p>
    <w:p w:rsidR="00B41E31" w:rsidRDefault="00B41E31" w:rsidP="00565A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Unfortunately, swap rate data is available from FRED only since July 2000.  So, the substitution shown in the last equation is made only from Jul</w:t>
      </w:r>
      <w:r w:rsidR="00A33B43">
        <w:rPr>
          <w:rFonts w:ascii="Times New Roman" w:hAnsi="Times New Roman" w:cs="Times New Roman"/>
          <w:sz w:val="24"/>
          <w:szCs w:val="24"/>
        </w:rPr>
        <w:t>y 2000 and otherwise equation (16</w:t>
      </w:r>
      <w:r>
        <w:rPr>
          <w:rFonts w:ascii="Times New Roman" w:hAnsi="Times New Roman" w:cs="Times New Roman"/>
          <w:sz w:val="24"/>
          <w:szCs w:val="24"/>
        </w:rPr>
        <w:t xml:space="preserve">) applies.  The result of doing so is that the standard deviation </w:t>
      </w:r>
      <w:r w:rsidR="007504FB">
        <w:rPr>
          <w:rFonts w:ascii="Times New Roman" w:hAnsi="Times New Roman" w:cs="Times New Roman"/>
          <w:sz w:val="24"/>
          <w:szCs w:val="24"/>
        </w:rPr>
        <w:t>of (16</w:t>
      </w:r>
      <w:r w:rsidR="0084284E">
        <w:rPr>
          <w:rFonts w:ascii="Times New Roman" w:hAnsi="Times New Roman" w:cs="Times New Roman"/>
          <w:sz w:val="24"/>
          <w:szCs w:val="24"/>
        </w:rPr>
        <w:t xml:space="preserve">) </w:t>
      </w:r>
      <w:r>
        <w:rPr>
          <w:rFonts w:ascii="Times New Roman" w:hAnsi="Times New Roman" w:cs="Times New Roman"/>
          <w:sz w:val="24"/>
          <w:szCs w:val="24"/>
        </w:rPr>
        <w:t>falls slightly from 0.87% to 0.83%.  This slightly raises the benefit from using swaps compared to not using them.</w:t>
      </w:r>
    </w:p>
    <w:p w:rsidR="00B41E31" w:rsidRDefault="00B41E31" w:rsidP="00565AD5">
      <w:pPr>
        <w:spacing w:after="0" w:line="360" w:lineRule="auto"/>
        <w:jc w:val="both"/>
        <w:rPr>
          <w:rFonts w:ascii="Times New Roman" w:hAnsi="Times New Roman" w:cs="Times New Roman"/>
          <w:sz w:val="24"/>
          <w:szCs w:val="24"/>
        </w:rPr>
      </w:pPr>
    </w:p>
    <w:p w:rsidR="00565AD5" w:rsidRPr="00253C45" w:rsidRDefault="007409BB" w:rsidP="00565A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w:t>
      </w:r>
      <w:r w:rsidR="00565AD5">
        <w:rPr>
          <w:rFonts w:ascii="Times New Roman" w:hAnsi="Times New Roman" w:cs="Times New Roman"/>
          <w:sz w:val="24"/>
          <w:szCs w:val="24"/>
        </w:rPr>
        <w:t>when a regulator uses an on-the-day poli</w:t>
      </w:r>
      <w:r w:rsidR="00336268">
        <w:rPr>
          <w:rFonts w:ascii="Times New Roman" w:hAnsi="Times New Roman" w:cs="Times New Roman"/>
          <w:sz w:val="24"/>
          <w:szCs w:val="24"/>
        </w:rPr>
        <w:t>cy</w:t>
      </w:r>
      <w:r w:rsidR="00D405B6">
        <w:rPr>
          <w:rFonts w:ascii="Times New Roman" w:hAnsi="Times New Roman" w:cs="Times New Roman"/>
          <w:sz w:val="24"/>
          <w:szCs w:val="24"/>
        </w:rPr>
        <w:t xml:space="preserve"> with a one month window for setting the allowed rate</w:t>
      </w:r>
      <w:r w:rsidR="00565AD5">
        <w:rPr>
          <w:rFonts w:ascii="Times New Roman" w:hAnsi="Times New Roman" w:cs="Times New Roman"/>
          <w:sz w:val="24"/>
          <w:szCs w:val="24"/>
        </w:rPr>
        <w:t xml:space="preserve">, </w:t>
      </w:r>
      <w:r w:rsidR="00336268">
        <w:rPr>
          <w:rFonts w:ascii="Times New Roman" w:hAnsi="Times New Roman" w:cs="Times New Roman"/>
          <w:sz w:val="24"/>
          <w:szCs w:val="24"/>
        </w:rPr>
        <w:t xml:space="preserve">the use of interest rate swaps </w:t>
      </w:r>
      <w:r w:rsidR="00565AD5">
        <w:rPr>
          <w:rFonts w:ascii="Times New Roman" w:hAnsi="Times New Roman" w:cs="Times New Roman"/>
          <w:sz w:val="24"/>
          <w:szCs w:val="24"/>
        </w:rPr>
        <w:t>reduces the mismatch between the on-the-day allowance and the incurred costs of debt</w:t>
      </w:r>
      <w:r w:rsidR="00542B56">
        <w:rPr>
          <w:rFonts w:ascii="Times New Roman" w:hAnsi="Times New Roman" w:cs="Times New Roman"/>
          <w:sz w:val="24"/>
          <w:szCs w:val="24"/>
        </w:rPr>
        <w:t xml:space="preserve">.  Furthermore, whether firms can transact the swaps in the one-month period assumed to be used by regulators to set the allowed rate or the longer period of five months has no material impact on the results.  </w:t>
      </w:r>
      <w:r w:rsidR="00D405B6" w:rsidRPr="00253C45">
        <w:rPr>
          <w:rFonts w:ascii="Times New Roman" w:hAnsi="Times New Roman" w:cs="Times New Roman"/>
          <w:sz w:val="24"/>
          <w:szCs w:val="24"/>
        </w:rPr>
        <w:t xml:space="preserve">The one month </w:t>
      </w:r>
      <w:r w:rsidR="00E17518" w:rsidRPr="00253C45">
        <w:rPr>
          <w:rFonts w:ascii="Times New Roman" w:hAnsi="Times New Roman" w:cs="Times New Roman"/>
          <w:sz w:val="24"/>
          <w:szCs w:val="24"/>
        </w:rPr>
        <w:t xml:space="preserve">regulatory window </w:t>
      </w:r>
      <w:r w:rsidR="00D405B6" w:rsidRPr="00253C45">
        <w:rPr>
          <w:rFonts w:ascii="Times New Roman" w:hAnsi="Times New Roman" w:cs="Times New Roman"/>
          <w:sz w:val="24"/>
          <w:szCs w:val="24"/>
        </w:rPr>
        <w:t>assumed for setting the allowed rate is at the lower limit.  Had the window been as much as two months, based upon the results above, it would have had no material impact on the results.</w:t>
      </w:r>
    </w:p>
    <w:p w:rsidR="007409BB" w:rsidRDefault="007409BB" w:rsidP="0068503D">
      <w:pPr>
        <w:spacing w:after="0" w:line="360" w:lineRule="auto"/>
        <w:jc w:val="both"/>
        <w:rPr>
          <w:rFonts w:ascii="Times New Roman" w:hAnsi="Times New Roman" w:cs="Times New Roman"/>
          <w:sz w:val="24"/>
          <w:szCs w:val="24"/>
        </w:rPr>
      </w:pPr>
    </w:p>
    <w:p w:rsidR="00EF3C07" w:rsidRDefault="00EF3C07" w:rsidP="006850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122250" w:rsidRPr="00242DD0" w:rsidRDefault="00122250" w:rsidP="00122250">
      <w:pPr>
        <w:spacing w:after="0" w:line="240" w:lineRule="auto"/>
        <w:jc w:val="both"/>
        <w:rPr>
          <w:rFonts w:ascii="Times New Roman" w:hAnsi="Times New Roman" w:cs="Times New Roman"/>
          <w:sz w:val="24"/>
          <w:szCs w:val="24"/>
        </w:rPr>
      </w:pPr>
      <w:r w:rsidRPr="00242DD0">
        <w:rPr>
          <w:rFonts w:ascii="Times New Roman" w:hAnsi="Times New Roman" w:cs="Times New Roman"/>
          <w:b/>
          <w:sz w:val="24"/>
          <w:szCs w:val="24"/>
        </w:rPr>
        <w:lastRenderedPageBreak/>
        <w:t>REFERENCES</w:t>
      </w:r>
    </w:p>
    <w:p w:rsidR="00122250" w:rsidRDefault="00122250" w:rsidP="00122250">
      <w:pPr>
        <w:pStyle w:val="BodyText"/>
        <w:spacing w:line="240" w:lineRule="auto"/>
      </w:pPr>
    </w:p>
    <w:p w:rsidR="008778E3" w:rsidRPr="008778E3" w:rsidRDefault="008778E3" w:rsidP="00122250">
      <w:pPr>
        <w:pStyle w:val="BodyText"/>
        <w:spacing w:line="240" w:lineRule="auto"/>
      </w:pPr>
      <w:r>
        <w:t xml:space="preserve">ACCC, 2004. </w:t>
      </w:r>
      <w:r>
        <w:rPr>
          <w:i/>
        </w:rPr>
        <w:t>NSW and ACT Transmission Network Revenue Cap TransGrid 2004-05 to 2008-09</w:t>
      </w:r>
      <w:r>
        <w:t xml:space="preserve"> (</w:t>
      </w:r>
      <w:hyperlink r:id="rId62" w:history="1">
        <w:r w:rsidRPr="00F55332">
          <w:rPr>
            <w:rStyle w:val="Hyperlink"/>
          </w:rPr>
          <w:t>www.aer.gov.au</w:t>
        </w:r>
      </w:hyperlink>
      <w:r>
        <w:t>).</w:t>
      </w:r>
    </w:p>
    <w:p w:rsidR="008778E3" w:rsidRDefault="008778E3" w:rsidP="00122250">
      <w:pPr>
        <w:pStyle w:val="BodyText"/>
        <w:spacing w:line="240" w:lineRule="auto"/>
      </w:pPr>
    </w:p>
    <w:p w:rsidR="00E56058" w:rsidRPr="00E56058" w:rsidRDefault="00193CDD" w:rsidP="00122250">
      <w:pPr>
        <w:pStyle w:val="BodyText"/>
        <w:spacing w:line="240" w:lineRule="auto"/>
      </w:pPr>
      <w:r>
        <w:t>ActewAGL, 2015</w:t>
      </w:r>
      <w:r w:rsidR="00E56058">
        <w:t xml:space="preserve">. </w:t>
      </w:r>
      <w:r>
        <w:rPr>
          <w:i/>
        </w:rPr>
        <w:t xml:space="preserve">Revised </w:t>
      </w:r>
      <w:r w:rsidR="00E56058">
        <w:rPr>
          <w:i/>
        </w:rPr>
        <w:t>Regulatory Proposal</w:t>
      </w:r>
      <w:r w:rsidR="00E56058">
        <w:t>, submission to the AER (</w:t>
      </w:r>
      <w:hyperlink r:id="rId63" w:history="1">
        <w:r w:rsidR="00E56058" w:rsidRPr="00A51851">
          <w:rPr>
            <w:rStyle w:val="Hyperlink"/>
          </w:rPr>
          <w:t>www.aer.gov.au</w:t>
        </w:r>
      </w:hyperlink>
      <w:r w:rsidR="001C4262">
        <w:t xml:space="preserve">). </w:t>
      </w:r>
    </w:p>
    <w:p w:rsidR="00E56058" w:rsidRDefault="00E56058" w:rsidP="00122250">
      <w:pPr>
        <w:pStyle w:val="BodyText"/>
        <w:spacing w:line="240" w:lineRule="auto"/>
      </w:pPr>
    </w:p>
    <w:p w:rsidR="003B2729" w:rsidRPr="003B2729" w:rsidRDefault="003B2729" w:rsidP="00122250">
      <w:pPr>
        <w:pStyle w:val="BodyText"/>
        <w:spacing w:line="240" w:lineRule="auto"/>
      </w:pPr>
      <w:r>
        <w:t xml:space="preserve">AEMC, 2012. </w:t>
      </w:r>
      <w:r>
        <w:rPr>
          <w:i/>
        </w:rPr>
        <w:t>Rule Change</w:t>
      </w:r>
      <w:r>
        <w:t xml:space="preserve"> (</w:t>
      </w:r>
      <w:hyperlink r:id="rId64" w:history="1">
        <w:r w:rsidRPr="00F82637">
          <w:rPr>
            <w:rStyle w:val="Hyperlink"/>
          </w:rPr>
          <w:t>www.aemc.gov.au</w:t>
        </w:r>
      </w:hyperlink>
      <w:r w:rsidR="001C4262">
        <w:t>).</w:t>
      </w:r>
    </w:p>
    <w:p w:rsidR="00242DD0" w:rsidRDefault="00242DD0" w:rsidP="00242DD0">
      <w:pPr>
        <w:spacing w:after="0" w:line="240" w:lineRule="auto"/>
        <w:jc w:val="both"/>
        <w:rPr>
          <w:rFonts w:ascii="Times New Roman" w:hAnsi="Times New Roman" w:cs="Times New Roman"/>
          <w:sz w:val="24"/>
          <w:szCs w:val="24"/>
        </w:rPr>
      </w:pPr>
    </w:p>
    <w:p w:rsidR="00621EF7" w:rsidRPr="00621EF7" w:rsidRDefault="001C4262" w:rsidP="00242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AER, </w:t>
      </w:r>
      <w:r w:rsidR="00621EF7">
        <w:rPr>
          <w:rFonts w:ascii="Times New Roman" w:hAnsi="Times New Roman" w:cs="Times New Roman"/>
          <w:sz w:val="24"/>
          <w:szCs w:val="24"/>
        </w:rPr>
        <w:t xml:space="preserve">2004. </w:t>
      </w:r>
      <w:r w:rsidR="00621EF7">
        <w:rPr>
          <w:rFonts w:ascii="Times New Roman" w:hAnsi="Times New Roman" w:cs="Times New Roman"/>
          <w:i/>
          <w:sz w:val="24"/>
          <w:szCs w:val="24"/>
        </w:rPr>
        <w:t>TransGrid 2004/05 – 2008/09 Revenue Cap</w:t>
      </w:r>
      <w:r w:rsidR="00621EF7">
        <w:rPr>
          <w:rFonts w:ascii="Times New Roman" w:hAnsi="Times New Roman" w:cs="Times New Roman"/>
          <w:sz w:val="24"/>
          <w:szCs w:val="24"/>
        </w:rPr>
        <w:t>:</w:t>
      </w:r>
      <w:r w:rsidR="00621EF7">
        <w:rPr>
          <w:rFonts w:ascii="Times New Roman" w:hAnsi="Times New Roman" w:cs="Times New Roman"/>
          <w:i/>
          <w:sz w:val="24"/>
          <w:szCs w:val="24"/>
        </w:rPr>
        <w:t xml:space="preserve"> Application by TransGrid for Revocation and Substitution</w:t>
      </w:r>
      <w:r w:rsidR="00621EF7">
        <w:rPr>
          <w:rFonts w:ascii="Times New Roman" w:hAnsi="Times New Roman" w:cs="Times New Roman"/>
          <w:sz w:val="24"/>
          <w:szCs w:val="24"/>
        </w:rPr>
        <w:t xml:space="preserve"> (</w:t>
      </w:r>
      <w:hyperlink r:id="rId65" w:history="1">
        <w:r w:rsidR="00621EF7" w:rsidRPr="004D0812">
          <w:rPr>
            <w:rStyle w:val="Hyperlink"/>
            <w:rFonts w:ascii="Times New Roman" w:hAnsi="Times New Roman" w:cs="Times New Roman"/>
            <w:sz w:val="24"/>
            <w:szCs w:val="24"/>
          </w:rPr>
          <w:t>www.aer.gov.au</w:t>
        </w:r>
      </w:hyperlink>
      <w:r w:rsidR="00621EF7">
        <w:rPr>
          <w:rFonts w:ascii="Times New Roman" w:hAnsi="Times New Roman" w:cs="Times New Roman"/>
          <w:sz w:val="24"/>
          <w:szCs w:val="24"/>
        </w:rPr>
        <w:t>).</w:t>
      </w:r>
    </w:p>
    <w:p w:rsidR="00621EF7" w:rsidRDefault="00621EF7" w:rsidP="00242DD0">
      <w:pPr>
        <w:spacing w:after="0" w:line="240" w:lineRule="auto"/>
        <w:jc w:val="both"/>
        <w:rPr>
          <w:rFonts w:ascii="Times New Roman" w:hAnsi="Times New Roman" w:cs="Times New Roman"/>
          <w:sz w:val="24"/>
          <w:szCs w:val="24"/>
        </w:rPr>
      </w:pPr>
    </w:p>
    <w:p w:rsidR="007948A5" w:rsidRPr="007948A5" w:rsidRDefault="00621EF7" w:rsidP="00242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 </w:t>
      </w:r>
      <w:r w:rsidR="001C4262">
        <w:rPr>
          <w:rFonts w:ascii="Times New Roman" w:hAnsi="Times New Roman" w:cs="Times New Roman"/>
          <w:sz w:val="24"/>
          <w:szCs w:val="24"/>
        </w:rPr>
        <w:t>2014.</w:t>
      </w:r>
      <w:r w:rsidR="007948A5">
        <w:rPr>
          <w:rFonts w:ascii="Times New Roman" w:hAnsi="Times New Roman" w:cs="Times New Roman"/>
          <w:sz w:val="24"/>
          <w:szCs w:val="24"/>
        </w:rPr>
        <w:t xml:space="preserve"> </w:t>
      </w:r>
      <w:r w:rsidR="007948A5">
        <w:rPr>
          <w:rFonts w:ascii="Times New Roman" w:hAnsi="Times New Roman" w:cs="Times New Roman"/>
          <w:i/>
          <w:sz w:val="24"/>
          <w:szCs w:val="24"/>
        </w:rPr>
        <w:t>Draft Decision TransGrid Transmission Determination 2015-16 to 2017-18 Attachment 3</w:t>
      </w:r>
      <w:r w:rsidR="007948A5">
        <w:rPr>
          <w:rFonts w:ascii="Times New Roman" w:hAnsi="Times New Roman" w:cs="Times New Roman"/>
          <w:sz w:val="24"/>
          <w:szCs w:val="24"/>
        </w:rPr>
        <w:t xml:space="preserve">: </w:t>
      </w:r>
      <w:r w:rsidR="007948A5">
        <w:rPr>
          <w:rFonts w:ascii="Times New Roman" w:hAnsi="Times New Roman" w:cs="Times New Roman"/>
          <w:i/>
          <w:sz w:val="24"/>
          <w:szCs w:val="24"/>
        </w:rPr>
        <w:t>Rate of Return</w:t>
      </w:r>
      <w:r w:rsidR="007948A5">
        <w:rPr>
          <w:rFonts w:ascii="Times New Roman" w:hAnsi="Times New Roman" w:cs="Times New Roman"/>
          <w:sz w:val="24"/>
          <w:szCs w:val="24"/>
        </w:rPr>
        <w:t xml:space="preserve"> (</w:t>
      </w:r>
      <w:hyperlink r:id="rId66" w:history="1">
        <w:r w:rsidR="007948A5" w:rsidRPr="005B439B">
          <w:rPr>
            <w:rStyle w:val="Hyperlink"/>
            <w:rFonts w:ascii="Times New Roman" w:hAnsi="Times New Roman" w:cs="Times New Roman"/>
            <w:sz w:val="24"/>
            <w:szCs w:val="24"/>
          </w:rPr>
          <w:t>www.aer.gov.au</w:t>
        </w:r>
      </w:hyperlink>
      <w:r w:rsidR="001C4262">
        <w:rPr>
          <w:rFonts w:ascii="Times New Roman" w:hAnsi="Times New Roman" w:cs="Times New Roman"/>
          <w:sz w:val="24"/>
          <w:szCs w:val="24"/>
        </w:rPr>
        <w:t>).</w:t>
      </w:r>
    </w:p>
    <w:p w:rsidR="007948A5" w:rsidRDefault="007948A5" w:rsidP="00242DD0">
      <w:pPr>
        <w:spacing w:after="0" w:line="240" w:lineRule="auto"/>
        <w:jc w:val="both"/>
        <w:rPr>
          <w:rFonts w:ascii="Times New Roman" w:hAnsi="Times New Roman" w:cs="Times New Roman"/>
          <w:sz w:val="24"/>
          <w:szCs w:val="24"/>
        </w:rPr>
      </w:pPr>
    </w:p>
    <w:p w:rsidR="00BD5B70" w:rsidRPr="00BD5B70" w:rsidRDefault="00E25941" w:rsidP="00242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Ausgrid, 2015</w:t>
      </w:r>
      <w:r w:rsidR="00BD5B70">
        <w:rPr>
          <w:rFonts w:ascii="Times New Roman" w:hAnsi="Times New Roman" w:cs="Times New Roman"/>
          <w:sz w:val="24"/>
          <w:szCs w:val="24"/>
        </w:rPr>
        <w:t xml:space="preserve">. </w:t>
      </w:r>
      <w:r>
        <w:rPr>
          <w:rFonts w:ascii="Times New Roman" w:hAnsi="Times New Roman" w:cs="Times New Roman"/>
          <w:i/>
          <w:sz w:val="24"/>
          <w:szCs w:val="24"/>
        </w:rPr>
        <w:t xml:space="preserve">Revised </w:t>
      </w:r>
      <w:r w:rsidR="00BD5B70">
        <w:rPr>
          <w:rFonts w:ascii="Times New Roman" w:hAnsi="Times New Roman" w:cs="Times New Roman"/>
          <w:i/>
          <w:sz w:val="24"/>
          <w:szCs w:val="24"/>
        </w:rPr>
        <w:t>Regulatory Proposal 1 July 2014 to 30 June 2019</w:t>
      </w:r>
      <w:r w:rsidR="00BD5B70">
        <w:rPr>
          <w:rFonts w:ascii="Times New Roman" w:hAnsi="Times New Roman" w:cs="Times New Roman"/>
          <w:sz w:val="24"/>
          <w:szCs w:val="24"/>
        </w:rPr>
        <w:t>, submission to the AER (</w:t>
      </w:r>
      <w:hyperlink r:id="rId67" w:history="1">
        <w:r w:rsidR="00BD5B70" w:rsidRPr="00AB1082">
          <w:rPr>
            <w:rStyle w:val="Hyperlink"/>
            <w:rFonts w:ascii="Times New Roman" w:hAnsi="Times New Roman" w:cs="Times New Roman"/>
            <w:sz w:val="24"/>
            <w:szCs w:val="24"/>
          </w:rPr>
          <w:t>www.aer.gov.au</w:t>
        </w:r>
      </w:hyperlink>
      <w:r w:rsidR="00BD5B70">
        <w:rPr>
          <w:rFonts w:ascii="Times New Roman" w:hAnsi="Times New Roman" w:cs="Times New Roman"/>
          <w:sz w:val="24"/>
          <w:szCs w:val="24"/>
        </w:rPr>
        <w:t>).</w:t>
      </w:r>
    </w:p>
    <w:p w:rsidR="00BD5B70" w:rsidRPr="00242DD0" w:rsidRDefault="00BD5B70" w:rsidP="00242DD0">
      <w:pPr>
        <w:spacing w:after="0" w:line="240" w:lineRule="auto"/>
        <w:jc w:val="both"/>
        <w:rPr>
          <w:rFonts w:ascii="Times New Roman" w:hAnsi="Times New Roman" w:cs="Times New Roman"/>
          <w:sz w:val="24"/>
          <w:szCs w:val="24"/>
        </w:rPr>
      </w:pPr>
    </w:p>
    <w:p w:rsidR="00FD7752" w:rsidRPr="00FD7752" w:rsidRDefault="001C4262" w:rsidP="00242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CEG,</w:t>
      </w:r>
      <w:r w:rsidR="00FD7752">
        <w:rPr>
          <w:rFonts w:ascii="Times New Roman" w:hAnsi="Times New Roman" w:cs="Times New Roman"/>
          <w:sz w:val="24"/>
          <w:szCs w:val="24"/>
        </w:rPr>
        <w:t xml:space="preserve"> 2014</w:t>
      </w:r>
      <w:r w:rsidR="005C55BA">
        <w:rPr>
          <w:rFonts w:ascii="Times New Roman" w:hAnsi="Times New Roman" w:cs="Times New Roman"/>
          <w:sz w:val="24"/>
          <w:szCs w:val="24"/>
        </w:rPr>
        <w:t>a</w:t>
      </w:r>
      <w:r w:rsidR="00FD7752">
        <w:rPr>
          <w:rFonts w:ascii="Times New Roman" w:hAnsi="Times New Roman" w:cs="Times New Roman"/>
          <w:sz w:val="24"/>
          <w:szCs w:val="24"/>
        </w:rPr>
        <w:t xml:space="preserve">. </w:t>
      </w:r>
      <w:r w:rsidR="00FD7752">
        <w:rPr>
          <w:rFonts w:ascii="Times New Roman" w:hAnsi="Times New Roman" w:cs="Times New Roman"/>
          <w:i/>
          <w:sz w:val="24"/>
          <w:szCs w:val="24"/>
        </w:rPr>
        <w:t>Debt Transition Consistent with the NER and NEL</w:t>
      </w:r>
      <w:r w:rsidR="00FD7752">
        <w:rPr>
          <w:rFonts w:ascii="Times New Roman" w:hAnsi="Times New Roman" w:cs="Times New Roman"/>
          <w:sz w:val="24"/>
          <w:szCs w:val="24"/>
        </w:rPr>
        <w:t xml:space="preserve">, report prepared for </w:t>
      </w:r>
      <w:r w:rsidR="002558A6">
        <w:rPr>
          <w:rFonts w:ascii="Times New Roman" w:hAnsi="Times New Roman" w:cs="Times New Roman"/>
          <w:sz w:val="24"/>
          <w:szCs w:val="24"/>
        </w:rPr>
        <w:t>the NSW DNSPs</w:t>
      </w:r>
      <w:r w:rsidR="00FD7752">
        <w:rPr>
          <w:rFonts w:ascii="Times New Roman" w:hAnsi="Times New Roman" w:cs="Times New Roman"/>
          <w:sz w:val="24"/>
          <w:szCs w:val="24"/>
        </w:rPr>
        <w:t xml:space="preserve"> (</w:t>
      </w:r>
      <w:hyperlink r:id="rId68" w:history="1">
        <w:r w:rsidR="00FD7752" w:rsidRPr="00BF25C3">
          <w:rPr>
            <w:rStyle w:val="Hyperlink"/>
            <w:rFonts w:ascii="Times New Roman" w:hAnsi="Times New Roman" w:cs="Times New Roman"/>
            <w:sz w:val="24"/>
            <w:szCs w:val="24"/>
          </w:rPr>
          <w:t>www.aer.gov.au</w:t>
        </w:r>
      </w:hyperlink>
      <w:r w:rsidR="00FD7752">
        <w:rPr>
          <w:rFonts w:ascii="Times New Roman" w:hAnsi="Times New Roman" w:cs="Times New Roman"/>
          <w:sz w:val="24"/>
          <w:szCs w:val="24"/>
        </w:rPr>
        <w:t>).</w:t>
      </w:r>
      <w:r>
        <w:rPr>
          <w:rFonts w:ascii="Times New Roman" w:hAnsi="Times New Roman" w:cs="Times New Roman"/>
          <w:sz w:val="24"/>
          <w:szCs w:val="24"/>
        </w:rPr>
        <w:t xml:space="preserve"> </w:t>
      </w:r>
    </w:p>
    <w:p w:rsidR="000A6AD8" w:rsidRDefault="000A6AD8" w:rsidP="000A6AD8">
      <w:pPr>
        <w:spacing w:after="0" w:line="240" w:lineRule="auto"/>
        <w:jc w:val="both"/>
        <w:rPr>
          <w:rFonts w:ascii="Times New Roman" w:hAnsi="Times New Roman" w:cs="Times New Roman"/>
          <w:b/>
          <w:sz w:val="24"/>
          <w:szCs w:val="24"/>
        </w:rPr>
      </w:pPr>
    </w:p>
    <w:p w:rsidR="000A6AD8" w:rsidRPr="00D961FF" w:rsidRDefault="000A6AD8" w:rsidP="000A6A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 2014b.  </w:t>
      </w:r>
      <w:r>
        <w:rPr>
          <w:rFonts w:ascii="Times New Roman" w:hAnsi="Times New Roman" w:cs="Times New Roman"/>
          <w:i/>
          <w:sz w:val="24"/>
          <w:szCs w:val="24"/>
        </w:rPr>
        <w:t>Review of Lally and Oxera Reports on the Cost of Capital</w:t>
      </w:r>
      <w:r>
        <w:rPr>
          <w:rFonts w:ascii="Times New Roman" w:hAnsi="Times New Roman" w:cs="Times New Roman"/>
          <w:sz w:val="24"/>
          <w:szCs w:val="24"/>
        </w:rPr>
        <w:t>, report prepared for Choru</w:t>
      </w:r>
      <w:r w:rsidRPr="00D961FF">
        <w:rPr>
          <w:rFonts w:ascii="Times New Roman" w:hAnsi="Times New Roman" w:cs="Times New Roman"/>
          <w:sz w:val="24"/>
          <w:szCs w:val="24"/>
        </w:rPr>
        <w:t>s (</w:t>
      </w:r>
      <w:hyperlink r:id="rId69" w:history="1">
        <w:r w:rsidRPr="00D961FF">
          <w:rPr>
            <w:rStyle w:val="Hyperlink"/>
            <w:rFonts w:ascii="Times New Roman" w:hAnsi="Times New Roman" w:cs="Times New Roman"/>
            <w:sz w:val="24"/>
            <w:szCs w:val="24"/>
          </w:rPr>
          <w:t>www.comcom.govt.nz</w:t>
        </w:r>
      </w:hyperlink>
      <w:r w:rsidR="001C4262" w:rsidRPr="00D961FF">
        <w:rPr>
          <w:rFonts w:ascii="Times New Roman" w:hAnsi="Times New Roman" w:cs="Times New Roman"/>
          <w:sz w:val="24"/>
          <w:szCs w:val="24"/>
        </w:rPr>
        <w:t xml:space="preserve">). </w:t>
      </w:r>
    </w:p>
    <w:p w:rsidR="000A6AD8" w:rsidRPr="00D961FF" w:rsidRDefault="000A6AD8" w:rsidP="00454FA7">
      <w:pPr>
        <w:spacing w:after="0" w:line="240" w:lineRule="auto"/>
        <w:jc w:val="both"/>
        <w:rPr>
          <w:rFonts w:ascii="Times New Roman" w:hAnsi="Times New Roman" w:cs="Times New Roman"/>
          <w:sz w:val="24"/>
          <w:szCs w:val="24"/>
        </w:rPr>
      </w:pPr>
    </w:p>
    <w:p w:rsidR="000F6AA8" w:rsidRPr="000F6AA8" w:rsidRDefault="000F6AA8" w:rsidP="00454FA7">
      <w:pPr>
        <w:spacing w:after="0" w:line="240" w:lineRule="auto"/>
        <w:jc w:val="both"/>
        <w:rPr>
          <w:rFonts w:ascii="Times New Roman" w:hAnsi="Times New Roman" w:cs="Times New Roman"/>
          <w:sz w:val="24"/>
          <w:szCs w:val="24"/>
        </w:rPr>
      </w:pPr>
      <w:r w:rsidRPr="00D961FF">
        <w:rPr>
          <w:rFonts w:ascii="Times New Roman" w:hAnsi="Times New Roman" w:cs="Times New Roman"/>
          <w:sz w:val="24"/>
          <w:szCs w:val="24"/>
        </w:rPr>
        <w:t>___</w:t>
      </w:r>
      <w:r>
        <w:rPr>
          <w:rFonts w:ascii="Times New Roman" w:hAnsi="Times New Roman" w:cs="Times New Roman"/>
          <w:sz w:val="24"/>
          <w:szCs w:val="24"/>
        </w:rPr>
        <w:t xml:space="preserve">_ 2015. </w:t>
      </w:r>
      <w:r>
        <w:rPr>
          <w:rFonts w:ascii="Times New Roman" w:hAnsi="Times New Roman" w:cs="Times New Roman"/>
          <w:i/>
          <w:sz w:val="24"/>
          <w:szCs w:val="24"/>
        </w:rPr>
        <w:t>Efficient Debt Financing Costs</w:t>
      </w:r>
      <w:r>
        <w:rPr>
          <w:rFonts w:ascii="Times New Roman" w:hAnsi="Times New Roman" w:cs="Times New Roman"/>
          <w:sz w:val="24"/>
          <w:szCs w:val="24"/>
        </w:rPr>
        <w:t>, report prepared for ActewAGL (</w:t>
      </w:r>
      <w:hyperlink r:id="rId70" w:history="1">
        <w:r w:rsidRPr="003C4705">
          <w:rPr>
            <w:rStyle w:val="Hyperlink"/>
            <w:rFonts w:ascii="Times New Roman" w:hAnsi="Times New Roman" w:cs="Times New Roman"/>
            <w:sz w:val="24"/>
            <w:szCs w:val="24"/>
          </w:rPr>
          <w:t>www.aer.gov.au</w:t>
        </w:r>
      </w:hyperlink>
      <w:r w:rsidR="001C4262">
        <w:rPr>
          <w:rFonts w:ascii="Times New Roman" w:hAnsi="Times New Roman" w:cs="Times New Roman"/>
          <w:sz w:val="24"/>
          <w:szCs w:val="24"/>
        </w:rPr>
        <w:t xml:space="preserve">). </w:t>
      </w:r>
    </w:p>
    <w:p w:rsidR="000F6AA8" w:rsidRDefault="000F6AA8" w:rsidP="00454FA7">
      <w:pPr>
        <w:spacing w:after="0" w:line="240" w:lineRule="auto"/>
        <w:jc w:val="both"/>
        <w:rPr>
          <w:rFonts w:ascii="Times New Roman" w:hAnsi="Times New Roman" w:cs="Times New Roman"/>
          <w:sz w:val="24"/>
          <w:szCs w:val="24"/>
        </w:rPr>
      </w:pPr>
    </w:p>
    <w:p w:rsidR="00A06862" w:rsidRPr="00A06862" w:rsidRDefault="00A06862" w:rsidP="00B23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Lorenz, 2015. </w:t>
      </w:r>
      <w:r>
        <w:rPr>
          <w:rFonts w:ascii="Times New Roman" w:hAnsi="Times New Roman" w:cs="Times New Roman"/>
          <w:i/>
          <w:sz w:val="24"/>
          <w:szCs w:val="24"/>
        </w:rPr>
        <w:t>Statement of Justin De Lorenz, Group CFO, Networks NSW</w:t>
      </w:r>
      <w:r>
        <w:rPr>
          <w:rFonts w:ascii="Times New Roman" w:hAnsi="Times New Roman" w:cs="Times New Roman"/>
          <w:sz w:val="24"/>
          <w:szCs w:val="24"/>
        </w:rPr>
        <w:t>, submission to the AER (</w:t>
      </w:r>
      <w:hyperlink r:id="rId71" w:history="1">
        <w:r w:rsidRPr="00353E5A">
          <w:rPr>
            <w:rStyle w:val="Hyperlink"/>
            <w:rFonts w:ascii="Times New Roman" w:hAnsi="Times New Roman" w:cs="Times New Roman"/>
            <w:sz w:val="24"/>
            <w:szCs w:val="24"/>
          </w:rPr>
          <w:t>www.aer.gov.au</w:t>
        </w:r>
      </w:hyperlink>
      <w:r w:rsidR="001C4262">
        <w:rPr>
          <w:rFonts w:ascii="Times New Roman" w:hAnsi="Times New Roman" w:cs="Times New Roman"/>
          <w:sz w:val="24"/>
          <w:szCs w:val="24"/>
        </w:rPr>
        <w:t xml:space="preserve">). </w:t>
      </w:r>
    </w:p>
    <w:p w:rsidR="00A06862" w:rsidRDefault="00A06862" w:rsidP="00B238A0">
      <w:pPr>
        <w:spacing w:after="0" w:line="240" w:lineRule="auto"/>
        <w:jc w:val="both"/>
        <w:rPr>
          <w:rFonts w:ascii="Times New Roman" w:hAnsi="Times New Roman" w:cs="Times New Roman"/>
          <w:sz w:val="24"/>
          <w:szCs w:val="24"/>
        </w:rPr>
      </w:pPr>
    </w:p>
    <w:p w:rsidR="00C453C8" w:rsidRPr="00C453C8" w:rsidRDefault="00C453C8" w:rsidP="00B23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Endeavour Energy, 2015. </w:t>
      </w:r>
      <w:r>
        <w:rPr>
          <w:rFonts w:ascii="Times New Roman" w:hAnsi="Times New Roman" w:cs="Times New Roman"/>
          <w:i/>
          <w:sz w:val="24"/>
          <w:szCs w:val="24"/>
        </w:rPr>
        <w:t>Board Policy</w:t>
      </w:r>
      <w:r>
        <w:rPr>
          <w:rFonts w:ascii="Times New Roman" w:hAnsi="Times New Roman" w:cs="Times New Roman"/>
          <w:sz w:val="24"/>
          <w:szCs w:val="24"/>
        </w:rPr>
        <w:t xml:space="preserve">: </w:t>
      </w:r>
      <w:r>
        <w:rPr>
          <w:rFonts w:ascii="Times New Roman" w:hAnsi="Times New Roman" w:cs="Times New Roman"/>
          <w:i/>
          <w:sz w:val="24"/>
          <w:szCs w:val="24"/>
        </w:rPr>
        <w:t>Finance Management</w:t>
      </w:r>
      <w:r>
        <w:rPr>
          <w:rFonts w:ascii="Times New Roman" w:hAnsi="Times New Roman" w:cs="Times New Roman"/>
          <w:sz w:val="24"/>
          <w:szCs w:val="24"/>
        </w:rPr>
        <w:t>, submission to the AER (</w:t>
      </w:r>
      <w:hyperlink r:id="rId72" w:history="1">
        <w:r w:rsidRPr="00353E5A">
          <w:rPr>
            <w:rStyle w:val="Hyperlink"/>
            <w:rFonts w:ascii="Times New Roman" w:hAnsi="Times New Roman" w:cs="Times New Roman"/>
            <w:sz w:val="24"/>
            <w:szCs w:val="24"/>
          </w:rPr>
          <w:t>www.aer.gov.au</w:t>
        </w:r>
      </w:hyperlink>
      <w:r w:rsidR="001C4262">
        <w:rPr>
          <w:rFonts w:ascii="Times New Roman" w:hAnsi="Times New Roman" w:cs="Times New Roman"/>
          <w:sz w:val="24"/>
          <w:szCs w:val="24"/>
        </w:rPr>
        <w:t xml:space="preserve">). </w:t>
      </w:r>
    </w:p>
    <w:p w:rsidR="00C453C8" w:rsidRDefault="00C453C8" w:rsidP="00B238A0">
      <w:pPr>
        <w:spacing w:after="0" w:line="240" w:lineRule="auto"/>
        <w:jc w:val="both"/>
        <w:rPr>
          <w:rFonts w:ascii="Times New Roman" w:hAnsi="Times New Roman" w:cs="Times New Roman"/>
          <w:sz w:val="24"/>
          <w:szCs w:val="24"/>
        </w:rPr>
      </w:pPr>
    </w:p>
    <w:p w:rsidR="004B4DC5" w:rsidRPr="004B4DC5" w:rsidRDefault="004B4DC5" w:rsidP="00B23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Frontier Economics Ltd, 2015. </w:t>
      </w:r>
      <w:r>
        <w:rPr>
          <w:rFonts w:ascii="Times New Roman" w:hAnsi="Times New Roman" w:cs="Times New Roman"/>
          <w:i/>
          <w:sz w:val="24"/>
          <w:szCs w:val="24"/>
        </w:rPr>
        <w:t>TransGrid Cost of Debt Transition</w:t>
      </w:r>
      <w:r>
        <w:rPr>
          <w:rFonts w:ascii="Times New Roman" w:hAnsi="Times New Roman" w:cs="Times New Roman"/>
          <w:sz w:val="24"/>
          <w:szCs w:val="24"/>
        </w:rPr>
        <w:t>, report prepared for TransGrid (</w:t>
      </w:r>
      <w:hyperlink r:id="rId73" w:history="1">
        <w:r w:rsidRPr="00F82637">
          <w:rPr>
            <w:rStyle w:val="Hyperlink"/>
            <w:rFonts w:ascii="Times New Roman" w:hAnsi="Times New Roman" w:cs="Times New Roman"/>
            <w:sz w:val="24"/>
            <w:szCs w:val="24"/>
          </w:rPr>
          <w:t>www.aer.gov.au</w:t>
        </w:r>
      </w:hyperlink>
      <w:r w:rsidR="001C4262">
        <w:rPr>
          <w:rFonts w:ascii="Times New Roman" w:hAnsi="Times New Roman" w:cs="Times New Roman"/>
          <w:sz w:val="24"/>
          <w:szCs w:val="24"/>
        </w:rPr>
        <w:t xml:space="preserve">).  </w:t>
      </w:r>
    </w:p>
    <w:p w:rsidR="004B4DC5" w:rsidRDefault="004B4DC5" w:rsidP="00B238A0">
      <w:pPr>
        <w:spacing w:after="0" w:line="240" w:lineRule="auto"/>
        <w:jc w:val="both"/>
        <w:rPr>
          <w:rFonts w:ascii="Times New Roman" w:hAnsi="Times New Roman" w:cs="Times New Roman"/>
          <w:sz w:val="24"/>
          <w:szCs w:val="24"/>
        </w:rPr>
      </w:pPr>
    </w:p>
    <w:p w:rsidR="00514BC9" w:rsidRPr="00514BC9" w:rsidRDefault="00514BC9" w:rsidP="00B23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HoustonKemp, 2015. </w:t>
      </w:r>
      <w:r>
        <w:rPr>
          <w:rFonts w:ascii="Times New Roman" w:hAnsi="Times New Roman" w:cs="Times New Roman"/>
          <w:i/>
          <w:sz w:val="24"/>
          <w:szCs w:val="24"/>
        </w:rPr>
        <w:t>Response to the Draft Decision on the Return on Debt Allowance</w:t>
      </w:r>
      <w:r>
        <w:rPr>
          <w:rFonts w:ascii="Times New Roman" w:hAnsi="Times New Roman" w:cs="Times New Roman"/>
          <w:sz w:val="24"/>
          <w:szCs w:val="24"/>
        </w:rPr>
        <w:t>, report prepared for TransGrid (</w:t>
      </w:r>
      <w:hyperlink r:id="rId74" w:history="1">
        <w:r w:rsidRPr="003C4705">
          <w:rPr>
            <w:rStyle w:val="Hyperlink"/>
            <w:rFonts w:ascii="Times New Roman" w:hAnsi="Times New Roman" w:cs="Times New Roman"/>
            <w:sz w:val="24"/>
            <w:szCs w:val="24"/>
          </w:rPr>
          <w:t>www.aer.gov.au</w:t>
        </w:r>
      </w:hyperlink>
      <w:r w:rsidR="001C4262">
        <w:rPr>
          <w:rFonts w:ascii="Times New Roman" w:hAnsi="Times New Roman" w:cs="Times New Roman"/>
          <w:sz w:val="24"/>
          <w:szCs w:val="24"/>
        </w:rPr>
        <w:t>).</w:t>
      </w:r>
    </w:p>
    <w:p w:rsidR="00514BC9" w:rsidRDefault="00514BC9" w:rsidP="00B238A0">
      <w:pPr>
        <w:spacing w:after="0" w:line="240" w:lineRule="auto"/>
        <w:jc w:val="both"/>
        <w:rPr>
          <w:rFonts w:ascii="Times New Roman" w:hAnsi="Times New Roman" w:cs="Times New Roman"/>
          <w:sz w:val="24"/>
          <w:szCs w:val="24"/>
        </w:rPr>
      </w:pPr>
    </w:p>
    <w:p w:rsidR="00663FB1" w:rsidRPr="00663FB1" w:rsidRDefault="00663FB1" w:rsidP="00B23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Jemena, 2013. </w:t>
      </w:r>
      <w:r w:rsidR="002B221C" w:rsidRPr="00BA5940">
        <w:rPr>
          <w:rFonts w:ascii="Times New Roman" w:hAnsi="Times New Roman" w:cs="Times New Roman"/>
          <w:i/>
          <w:sz w:val="24"/>
          <w:szCs w:val="24"/>
        </w:rPr>
        <w:t>Rate of Return Guidelines-Consultation Paper,</w:t>
      </w:r>
      <w:r w:rsidR="002B221C">
        <w:rPr>
          <w:rFonts w:ascii="Times New Roman" w:hAnsi="Times New Roman" w:cs="Times New Roman"/>
          <w:sz w:val="24"/>
          <w:szCs w:val="24"/>
        </w:rPr>
        <w:t xml:space="preserve"> </w:t>
      </w:r>
      <w:r>
        <w:rPr>
          <w:rFonts w:ascii="Times New Roman" w:hAnsi="Times New Roman" w:cs="Times New Roman"/>
          <w:i/>
          <w:sz w:val="24"/>
          <w:szCs w:val="24"/>
        </w:rPr>
        <w:t>Submission from Jemena Limited to the AER</w:t>
      </w:r>
      <w:r w:rsidR="005F40BF">
        <w:rPr>
          <w:rFonts w:ascii="Times New Roman" w:hAnsi="Times New Roman" w:cs="Times New Roman"/>
          <w:sz w:val="24"/>
          <w:szCs w:val="24"/>
        </w:rPr>
        <w:t xml:space="preserve">, submission to the AER </w:t>
      </w:r>
      <w:r>
        <w:rPr>
          <w:rFonts w:ascii="Times New Roman" w:hAnsi="Times New Roman" w:cs="Times New Roman"/>
          <w:sz w:val="24"/>
          <w:szCs w:val="24"/>
        </w:rPr>
        <w:t>(</w:t>
      </w:r>
      <w:hyperlink r:id="rId75" w:history="1">
        <w:r w:rsidRPr="00AB1082">
          <w:rPr>
            <w:rStyle w:val="Hyperlink"/>
            <w:rFonts w:ascii="Times New Roman" w:hAnsi="Times New Roman" w:cs="Times New Roman"/>
            <w:sz w:val="24"/>
            <w:szCs w:val="24"/>
          </w:rPr>
          <w:t>www.aer.gov.au</w:t>
        </w:r>
      </w:hyperlink>
      <w:r w:rsidR="0005319E">
        <w:rPr>
          <w:rFonts w:ascii="Times New Roman" w:hAnsi="Times New Roman" w:cs="Times New Roman"/>
          <w:sz w:val="24"/>
          <w:szCs w:val="24"/>
        </w:rPr>
        <w:t>).</w:t>
      </w:r>
    </w:p>
    <w:p w:rsidR="002660A0" w:rsidRDefault="002660A0" w:rsidP="002660A0">
      <w:pPr>
        <w:spacing w:after="0" w:line="240" w:lineRule="auto"/>
        <w:jc w:val="both"/>
        <w:rPr>
          <w:rFonts w:ascii="Times New Roman" w:hAnsi="Times New Roman" w:cs="Times New Roman"/>
          <w:sz w:val="24"/>
          <w:szCs w:val="24"/>
        </w:rPr>
      </w:pPr>
    </w:p>
    <w:p w:rsidR="002660A0" w:rsidRPr="00303571" w:rsidRDefault="002660A0" w:rsidP="002660A0">
      <w:pPr>
        <w:pStyle w:val="BodyText"/>
        <w:spacing w:line="240" w:lineRule="auto"/>
        <w:rPr>
          <w:b/>
          <w:bCs/>
        </w:rPr>
      </w:pPr>
      <w:r w:rsidRPr="00303571">
        <w:t>Lally</w:t>
      </w:r>
      <w:r>
        <w:t xml:space="preserve">, M., </w:t>
      </w:r>
      <w:r w:rsidRPr="00303571">
        <w:t xml:space="preserve">2004, Regulation and the Choice of the Risk Free Rate, </w:t>
      </w:r>
      <w:r w:rsidRPr="00303571">
        <w:rPr>
          <w:i/>
          <w:iCs/>
        </w:rPr>
        <w:t>Accounting Research Journal</w:t>
      </w:r>
      <w:r w:rsidR="0005319E">
        <w:t xml:space="preserve">, vol. 17 (1), pp. 18-23. </w:t>
      </w:r>
    </w:p>
    <w:p w:rsidR="00663FB1" w:rsidRDefault="00663FB1" w:rsidP="00B238A0">
      <w:pPr>
        <w:spacing w:after="0" w:line="240" w:lineRule="auto"/>
        <w:jc w:val="both"/>
        <w:rPr>
          <w:rFonts w:ascii="Times New Roman" w:hAnsi="Times New Roman" w:cs="Times New Roman"/>
          <w:sz w:val="24"/>
          <w:szCs w:val="24"/>
        </w:rPr>
      </w:pPr>
    </w:p>
    <w:p w:rsidR="00E800B7" w:rsidRPr="00E800B7" w:rsidRDefault="00E800B7" w:rsidP="00B23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 2010. </w:t>
      </w:r>
      <w:r>
        <w:rPr>
          <w:rFonts w:ascii="Times New Roman" w:hAnsi="Times New Roman" w:cs="Times New Roman"/>
          <w:i/>
          <w:sz w:val="24"/>
          <w:szCs w:val="24"/>
        </w:rPr>
        <w:t>The Appropriate Term for the Risk Free Rate and the Debt Margin</w:t>
      </w:r>
      <w:r>
        <w:rPr>
          <w:rFonts w:ascii="Times New Roman" w:hAnsi="Times New Roman" w:cs="Times New Roman"/>
          <w:sz w:val="24"/>
          <w:szCs w:val="24"/>
        </w:rPr>
        <w:t>, report prepared for the QCA (</w:t>
      </w:r>
      <w:hyperlink r:id="rId76" w:history="1">
        <w:r w:rsidRPr="00353E5A">
          <w:rPr>
            <w:rStyle w:val="Hyperlink"/>
            <w:rFonts w:ascii="Times New Roman" w:hAnsi="Times New Roman" w:cs="Times New Roman"/>
            <w:sz w:val="24"/>
            <w:szCs w:val="24"/>
          </w:rPr>
          <w:t>www.qca.org.au</w:t>
        </w:r>
      </w:hyperlink>
      <w:r w:rsidR="0005319E">
        <w:rPr>
          <w:rFonts w:ascii="Times New Roman" w:hAnsi="Times New Roman" w:cs="Times New Roman"/>
          <w:sz w:val="24"/>
          <w:szCs w:val="24"/>
        </w:rPr>
        <w:t xml:space="preserve">). </w:t>
      </w:r>
    </w:p>
    <w:p w:rsidR="00E800B7" w:rsidRPr="00242DD0" w:rsidRDefault="00E800B7" w:rsidP="00B238A0">
      <w:pPr>
        <w:spacing w:after="0" w:line="240" w:lineRule="auto"/>
        <w:jc w:val="both"/>
        <w:rPr>
          <w:rFonts w:ascii="Times New Roman" w:hAnsi="Times New Roman" w:cs="Times New Roman"/>
          <w:sz w:val="24"/>
          <w:szCs w:val="24"/>
        </w:rPr>
      </w:pPr>
    </w:p>
    <w:p w:rsidR="00FA38BF" w:rsidRDefault="002660A0" w:rsidP="00B23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w:t>
      </w:r>
      <w:r w:rsidR="00B238A0" w:rsidRPr="00242DD0">
        <w:rPr>
          <w:rFonts w:ascii="Times New Roman" w:hAnsi="Times New Roman" w:cs="Times New Roman"/>
          <w:sz w:val="24"/>
          <w:szCs w:val="24"/>
        </w:rPr>
        <w:t xml:space="preserve"> 2014</w:t>
      </w:r>
      <w:r w:rsidR="000F55C9">
        <w:rPr>
          <w:rFonts w:ascii="Times New Roman" w:hAnsi="Times New Roman" w:cs="Times New Roman"/>
          <w:sz w:val="24"/>
          <w:szCs w:val="24"/>
        </w:rPr>
        <w:t>a</w:t>
      </w:r>
      <w:r w:rsidR="00B238A0" w:rsidRPr="00242DD0">
        <w:rPr>
          <w:rFonts w:ascii="Times New Roman" w:hAnsi="Times New Roman" w:cs="Times New Roman"/>
          <w:sz w:val="24"/>
          <w:szCs w:val="24"/>
        </w:rPr>
        <w:t xml:space="preserve">. </w:t>
      </w:r>
      <w:r w:rsidR="00FF7959">
        <w:rPr>
          <w:rFonts w:ascii="Times New Roman" w:hAnsi="Times New Roman" w:cs="Times New Roman"/>
          <w:i/>
          <w:sz w:val="24"/>
          <w:szCs w:val="24"/>
        </w:rPr>
        <w:t>Transitional Arrangements for the Cost of Debt</w:t>
      </w:r>
      <w:r w:rsidR="00B238A0" w:rsidRPr="00242DD0">
        <w:rPr>
          <w:rFonts w:ascii="Times New Roman" w:hAnsi="Times New Roman" w:cs="Times New Roman"/>
          <w:sz w:val="24"/>
          <w:szCs w:val="24"/>
        </w:rPr>
        <w:t xml:space="preserve">, report prepared for the </w:t>
      </w:r>
      <w:r w:rsidR="00FF7959">
        <w:rPr>
          <w:rFonts w:ascii="Times New Roman" w:hAnsi="Times New Roman" w:cs="Times New Roman"/>
          <w:sz w:val="24"/>
          <w:szCs w:val="24"/>
        </w:rPr>
        <w:t>AER</w:t>
      </w:r>
      <w:r w:rsidR="00B238A0" w:rsidRPr="00242DD0">
        <w:rPr>
          <w:rFonts w:ascii="Times New Roman" w:hAnsi="Times New Roman" w:cs="Times New Roman"/>
          <w:sz w:val="24"/>
          <w:szCs w:val="24"/>
        </w:rPr>
        <w:t xml:space="preserve"> (</w:t>
      </w:r>
      <w:hyperlink r:id="rId77" w:history="1">
        <w:r w:rsidR="00FF7959" w:rsidRPr="005B439B">
          <w:rPr>
            <w:rStyle w:val="Hyperlink"/>
            <w:rFonts w:ascii="Times New Roman" w:hAnsi="Times New Roman" w:cs="Times New Roman"/>
            <w:sz w:val="24"/>
            <w:szCs w:val="24"/>
          </w:rPr>
          <w:t>www.aer.gov.au</w:t>
        </w:r>
      </w:hyperlink>
      <w:r w:rsidR="00B238A0" w:rsidRPr="00242DD0">
        <w:rPr>
          <w:rFonts w:ascii="Times New Roman" w:hAnsi="Times New Roman" w:cs="Times New Roman"/>
          <w:sz w:val="24"/>
          <w:szCs w:val="24"/>
        </w:rPr>
        <w:t>).</w:t>
      </w:r>
      <w:r w:rsidR="0005319E">
        <w:rPr>
          <w:rFonts w:ascii="Times New Roman" w:hAnsi="Times New Roman" w:cs="Times New Roman"/>
          <w:sz w:val="24"/>
          <w:szCs w:val="24"/>
        </w:rPr>
        <w:t xml:space="preserve"> </w:t>
      </w:r>
    </w:p>
    <w:p w:rsidR="008C6658" w:rsidRDefault="008C6658" w:rsidP="00B238A0">
      <w:pPr>
        <w:spacing w:after="0" w:line="240" w:lineRule="auto"/>
        <w:jc w:val="both"/>
        <w:rPr>
          <w:rFonts w:ascii="Times New Roman" w:hAnsi="Times New Roman" w:cs="Times New Roman"/>
          <w:sz w:val="24"/>
          <w:szCs w:val="24"/>
        </w:rPr>
      </w:pPr>
    </w:p>
    <w:p w:rsidR="008C6658" w:rsidRPr="008C6658" w:rsidRDefault="008C6658" w:rsidP="00B23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 2014b, </w:t>
      </w:r>
      <w:r>
        <w:rPr>
          <w:rFonts w:ascii="Times New Roman" w:hAnsi="Times New Roman" w:cs="Times New Roman"/>
          <w:i/>
          <w:sz w:val="24"/>
          <w:szCs w:val="24"/>
        </w:rPr>
        <w:t>Implementation Issues for the Cost of Debt</w:t>
      </w:r>
      <w:r w:rsidR="0005319E">
        <w:rPr>
          <w:rFonts w:ascii="Times New Roman" w:hAnsi="Times New Roman" w:cs="Times New Roman"/>
          <w:sz w:val="24"/>
          <w:szCs w:val="24"/>
        </w:rPr>
        <w:t>, report prepared for the AER.</w:t>
      </w:r>
    </w:p>
    <w:p w:rsidR="001628C8" w:rsidRPr="00AA3EED" w:rsidRDefault="001628C8" w:rsidP="001628C8">
      <w:pPr>
        <w:spacing w:after="0" w:line="240" w:lineRule="auto"/>
        <w:jc w:val="both"/>
        <w:rPr>
          <w:rFonts w:ascii="Times New Roman" w:hAnsi="Times New Roman" w:cs="Times New Roman"/>
          <w:sz w:val="24"/>
          <w:szCs w:val="24"/>
          <w:lang w:val="en-GB"/>
        </w:rPr>
      </w:pPr>
    </w:p>
    <w:p w:rsidR="001628C8" w:rsidRPr="00AA3EED" w:rsidRDefault="001628C8" w:rsidP="001628C8">
      <w:pPr>
        <w:pStyle w:val="BodyText"/>
        <w:spacing w:line="240" w:lineRule="auto"/>
        <w:ind w:right="24"/>
        <w:rPr>
          <w:b/>
        </w:rPr>
      </w:pPr>
      <w:r w:rsidRPr="00AA3EED">
        <w:t>Marshal, W., Yawitz, J. and Greenberg, E.</w:t>
      </w:r>
      <w:r>
        <w:t xml:space="preserve">, 1981, </w:t>
      </w:r>
      <w:r w:rsidRPr="00AA3EED">
        <w:t xml:space="preserve">‘Optimal Regulation Under Uncertainty’, </w:t>
      </w:r>
      <w:r w:rsidRPr="00AA3EED">
        <w:rPr>
          <w:i/>
          <w:iCs/>
        </w:rPr>
        <w:t>The Journal of Finance</w:t>
      </w:r>
      <w:r w:rsidR="0005319E">
        <w:t xml:space="preserve">, vol. 36, pp. 909-22. </w:t>
      </w:r>
    </w:p>
    <w:p w:rsidR="00242DD0" w:rsidRDefault="00242DD0" w:rsidP="00242DD0">
      <w:pPr>
        <w:spacing w:after="0" w:line="240" w:lineRule="auto"/>
        <w:jc w:val="both"/>
        <w:rPr>
          <w:rFonts w:ascii="Times New Roman" w:hAnsi="Times New Roman" w:cs="Times New Roman"/>
          <w:sz w:val="24"/>
          <w:szCs w:val="24"/>
        </w:rPr>
      </w:pPr>
    </w:p>
    <w:p w:rsidR="00F8220C" w:rsidRPr="00F8220C" w:rsidRDefault="00F8220C" w:rsidP="00242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Meehan, A., 2015, </w:t>
      </w:r>
      <w:r>
        <w:rPr>
          <w:rFonts w:ascii="Times New Roman" w:hAnsi="Times New Roman" w:cs="Times New Roman"/>
          <w:i/>
          <w:sz w:val="24"/>
          <w:szCs w:val="24"/>
        </w:rPr>
        <w:t>Statement on the Development of TransGrid’s Debt Management Policy</w:t>
      </w:r>
      <w:r>
        <w:rPr>
          <w:rFonts w:ascii="Times New Roman" w:hAnsi="Times New Roman" w:cs="Times New Roman"/>
          <w:sz w:val="24"/>
          <w:szCs w:val="24"/>
        </w:rPr>
        <w:t xml:space="preserve">, </w:t>
      </w:r>
      <w:r w:rsidR="00D961FF">
        <w:rPr>
          <w:rFonts w:ascii="Times New Roman" w:hAnsi="Times New Roman" w:cs="Times New Roman"/>
          <w:sz w:val="24"/>
          <w:szCs w:val="24"/>
        </w:rPr>
        <w:t>report submitted to the AER on behalf of TransGrid.</w:t>
      </w:r>
      <w:r w:rsidR="0005319E">
        <w:rPr>
          <w:rFonts w:ascii="Times New Roman" w:hAnsi="Times New Roman" w:cs="Times New Roman"/>
          <w:sz w:val="24"/>
          <w:szCs w:val="24"/>
        </w:rPr>
        <w:t xml:space="preserve"> </w:t>
      </w:r>
    </w:p>
    <w:p w:rsidR="00F8220C" w:rsidRDefault="00F8220C" w:rsidP="00242DD0">
      <w:pPr>
        <w:spacing w:after="0" w:line="240" w:lineRule="auto"/>
        <w:jc w:val="both"/>
        <w:rPr>
          <w:rFonts w:ascii="Times New Roman" w:hAnsi="Times New Roman" w:cs="Times New Roman"/>
          <w:sz w:val="24"/>
          <w:szCs w:val="24"/>
        </w:rPr>
      </w:pPr>
    </w:p>
    <w:p w:rsidR="00A06862" w:rsidRPr="00A06862" w:rsidRDefault="00AE5E45" w:rsidP="00242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NSW Treasury, 2014</w:t>
      </w:r>
      <w:r w:rsidR="00A06862">
        <w:rPr>
          <w:rFonts w:ascii="Times New Roman" w:hAnsi="Times New Roman" w:cs="Times New Roman"/>
          <w:sz w:val="24"/>
          <w:szCs w:val="24"/>
        </w:rPr>
        <w:t xml:space="preserve">a. </w:t>
      </w:r>
      <w:r w:rsidR="00A06862">
        <w:rPr>
          <w:rFonts w:ascii="Times New Roman" w:hAnsi="Times New Roman" w:cs="Times New Roman"/>
          <w:i/>
          <w:sz w:val="24"/>
          <w:szCs w:val="24"/>
        </w:rPr>
        <w:t>Government Guarantee Fee Policy</w:t>
      </w:r>
      <w:r w:rsidR="00A06862">
        <w:rPr>
          <w:rFonts w:ascii="Times New Roman" w:hAnsi="Times New Roman" w:cs="Times New Roman"/>
          <w:sz w:val="24"/>
          <w:szCs w:val="24"/>
        </w:rPr>
        <w:t xml:space="preserve"> </w:t>
      </w:r>
      <w:r w:rsidR="00A06862" w:rsidRPr="00A06862">
        <w:rPr>
          <w:rFonts w:ascii="Times New Roman" w:hAnsi="Times New Roman" w:cs="Times New Roman"/>
          <w:i/>
          <w:sz w:val="24"/>
          <w:szCs w:val="24"/>
        </w:rPr>
        <w:t xml:space="preserve">tpp 14-03 </w:t>
      </w:r>
      <w:r w:rsidR="00A06862">
        <w:rPr>
          <w:rFonts w:ascii="Times New Roman" w:hAnsi="Times New Roman" w:cs="Times New Roman"/>
          <w:sz w:val="24"/>
          <w:szCs w:val="24"/>
        </w:rPr>
        <w:t>(</w:t>
      </w:r>
      <w:hyperlink r:id="rId78" w:history="1">
        <w:r w:rsidR="00A06862" w:rsidRPr="00353E5A">
          <w:rPr>
            <w:rStyle w:val="Hyperlink"/>
            <w:rFonts w:ascii="Times New Roman" w:hAnsi="Times New Roman" w:cs="Times New Roman"/>
            <w:sz w:val="24"/>
            <w:szCs w:val="24"/>
          </w:rPr>
          <w:t>www.treasury.nsw.gov.au</w:t>
        </w:r>
      </w:hyperlink>
      <w:r w:rsidR="0005319E">
        <w:rPr>
          <w:rFonts w:ascii="Times New Roman" w:hAnsi="Times New Roman" w:cs="Times New Roman"/>
          <w:sz w:val="24"/>
          <w:szCs w:val="24"/>
        </w:rPr>
        <w:t xml:space="preserve">). </w:t>
      </w:r>
    </w:p>
    <w:p w:rsidR="00A06862" w:rsidRDefault="00A06862" w:rsidP="00242DD0">
      <w:pPr>
        <w:spacing w:after="0" w:line="240" w:lineRule="auto"/>
        <w:jc w:val="both"/>
        <w:rPr>
          <w:rFonts w:ascii="Times New Roman" w:hAnsi="Times New Roman" w:cs="Times New Roman"/>
          <w:sz w:val="24"/>
          <w:szCs w:val="24"/>
        </w:rPr>
      </w:pPr>
    </w:p>
    <w:p w:rsidR="00AE5E45" w:rsidRPr="00AE5E45" w:rsidRDefault="00A06862" w:rsidP="00242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 2014b. </w:t>
      </w:r>
      <w:r w:rsidR="00AE5E45">
        <w:rPr>
          <w:rFonts w:ascii="Times New Roman" w:hAnsi="Times New Roman" w:cs="Times New Roman"/>
          <w:i/>
          <w:sz w:val="24"/>
          <w:szCs w:val="24"/>
        </w:rPr>
        <w:t>Treasury Circular</w:t>
      </w:r>
      <w:r>
        <w:rPr>
          <w:rFonts w:ascii="Times New Roman" w:hAnsi="Times New Roman" w:cs="Times New Roman"/>
          <w:i/>
          <w:sz w:val="24"/>
          <w:szCs w:val="24"/>
        </w:rPr>
        <w:t xml:space="preserve"> NSW TC 14/08</w:t>
      </w:r>
      <w:r w:rsidR="00AE5E45">
        <w:rPr>
          <w:rFonts w:ascii="Times New Roman" w:hAnsi="Times New Roman" w:cs="Times New Roman"/>
          <w:sz w:val="24"/>
          <w:szCs w:val="24"/>
        </w:rPr>
        <w:t xml:space="preserve">: </w:t>
      </w:r>
      <w:r w:rsidR="00AE5E45">
        <w:rPr>
          <w:rFonts w:ascii="Times New Roman" w:hAnsi="Times New Roman" w:cs="Times New Roman"/>
          <w:i/>
          <w:sz w:val="24"/>
          <w:szCs w:val="24"/>
        </w:rPr>
        <w:t>Government Guarantee Fee Policy</w:t>
      </w:r>
      <w:r w:rsidR="00AE5E45">
        <w:rPr>
          <w:rFonts w:ascii="Times New Roman" w:hAnsi="Times New Roman" w:cs="Times New Roman"/>
          <w:sz w:val="24"/>
          <w:szCs w:val="24"/>
        </w:rPr>
        <w:t xml:space="preserve"> (</w:t>
      </w:r>
      <w:hyperlink r:id="rId79" w:history="1">
        <w:r w:rsidRPr="00353E5A">
          <w:rPr>
            <w:rStyle w:val="Hyperlink"/>
            <w:rFonts w:ascii="Times New Roman" w:hAnsi="Times New Roman" w:cs="Times New Roman"/>
            <w:sz w:val="24"/>
            <w:szCs w:val="24"/>
          </w:rPr>
          <w:t>www.treasury.nsw.gov.au</w:t>
        </w:r>
      </w:hyperlink>
      <w:r>
        <w:rPr>
          <w:rFonts w:ascii="Times New Roman" w:hAnsi="Times New Roman" w:cs="Times New Roman"/>
          <w:sz w:val="24"/>
          <w:szCs w:val="24"/>
        </w:rPr>
        <w:t>)</w:t>
      </w:r>
      <w:r w:rsidR="0005319E">
        <w:rPr>
          <w:rFonts w:ascii="Times New Roman" w:hAnsi="Times New Roman" w:cs="Times New Roman"/>
          <w:sz w:val="24"/>
          <w:szCs w:val="24"/>
        </w:rPr>
        <w:t xml:space="preserve">. </w:t>
      </w:r>
    </w:p>
    <w:p w:rsidR="00AE5E45" w:rsidRPr="00242DD0" w:rsidRDefault="00AE5E45" w:rsidP="00242DD0">
      <w:pPr>
        <w:spacing w:after="0" w:line="240" w:lineRule="auto"/>
        <w:jc w:val="both"/>
        <w:rPr>
          <w:rFonts w:ascii="Times New Roman" w:hAnsi="Times New Roman" w:cs="Times New Roman"/>
          <w:sz w:val="24"/>
          <w:szCs w:val="24"/>
        </w:rPr>
      </w:pPr>
    </w:p>
    <w:p w:rsidR="004E17F6" w:rsidRDefault="004E17F6" w:rsidP="004E17F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QTC, 2014. </w:t>
      </w:r>
      <w:r>
        <w:rPr>
          <w:rFonts w:ascii="Times New Roman" w:hAnsi="Times New Roman" w:cs="Times New Roman"/>
          <w:i/>
          <w:sz w:val="24"/>
          <w:szCs w:val="24"/>
          <w:lang w:val="en-GB"/>
        </w:rPr>
        <w:t>Trailing Average Cost of Debt Draft Decision</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Updated Submission to the QCA October 2014</w:t>
      </w:r>
      <w:r>
        <w:rPr>
          <w:rFonts w:ascii="Times New Roman" w:hAnsi="Times New Roman" w:cs="Times New Roman"/>
          <w:sz w:val="24"/>
          <w:szCs w:val="24"/>
          <w:lang w:val="en-GB"/>
        </w:rPr>
        <w:t>, submission to the QCA (</w:t>
      </w:r>
      <w:hyperlink r:id="rId80" w:history="1">
        <w:r w:rsidRPr="008E17E9">
          <w:rPr>
            <w:rStyle w:val="Hyperlink"/>
            <w:rFonts w:ascii="Times New Roman" w:hAnsi="Times New Roman" w:cs="Times New Roman"/>
            <w:sz w:val="24"/>
            <w:szCs w:val="24"/>
            <w:lang w:val="en-GB"/>
          </w:rPr>
          <w:t>www.qca.org.au</w:t>
        </w:r>
      </w:hyperlink>
      <w:r w:rsidR="0005319E">
        <w:rPr>
          <w:rFonts w:ascii="Times New Roman" w:hAnsi="Times New Roman" w:cs="Times New Roman"/>
          <w:sz w:val="24"/>
          <w:szCs w:val="24"/>
          <w:lang w:val="en-GB"/>
        </w:rPr>
        <w:t xml:space="preserve">). </w:t>
      </w:r>
    </w:p>
    <w:p w:rsidR="002660A0" w:rsidRDefault="002660A0" w:rsidP="002660A0">
      <w:pPr>
        <w:spacing w:after="0" w:line="240" w:lineRule="auto"/>
        <w:jc w:val="both"/>
        <w:rPr>
          <w:rFonts w:ascii="Times New Roman" w:hAnsi="Times New Roman" w:cs="Times New Roman"/>
          <w:sz w:val="24"/>
          <w:szCs w:val="24"/>
          <w:lang w:val="en-GB"/>
        </w:rPr>
      </w:pPr>
    </w:p>
    <w:p w:rsidR="002660A0" w:rsidRPr="00F02447" w:rsidRDefault="002660A0" w:rsidP="002660A0">
      <w:pPr>
        <w:pStyle w:val="BodyText"/>
        <w:spacing w:line="240" w:lineRule="auto"/>
        <w:ind w:right="24"/>
        <w:rPr>
          <w:b/>
        </w:rPr>
      </w:pPr>
      <w:r w:rsidRPr="00F02447">
        <w:t>Schmalensee, R.</w:t>
      </w:r>
      <w:r>
        <w:t>, 1989</w:t>
      </w:r>
      <w:r w:rsidRPr="00F02447">
        <w:t xml:space="preserve">, ‘An Expository Note on Depreciation and Profitability Under Rate-of-Return Regulation’, </w:t>
      </w:r>
      <w:r w:rsidRPr="00F02447">
        <w:rPr>
          <w:i/>
          <w:iCs/>
        </w:rPr>
        <w:t>Journal of Regulatory Economics</w:t>
      </w:r>
      <w:r w:rsidR="0005319E">
        <w:t xml:space="preserve">, vol. 1, pp. 293-298. </w:t>
      </w:r>
    </w:p>
    <w:p w:rsidR="009A6030" w:rsidRPr="009A6030" w:rsidRDefault="009A6030" w:rsidP="009A6030">
      <w:pPr>
        <w:spacing w:after="0" w:line="240" w:lineRule="auto"/>
        <w:jc w:val="both"/>
        <w:rPr>
          <w:rFonts w:ascii="Times New Roman" w:hAnsi="Times New Roman" w:cs="Times New Roman"/>
          <w:sz w:val="24"/>
          <w:szCs w:val="24"/>
        </w:rPr>
      </w:pPr>
    </w:p>
    <w:p w:rsidR="009A6030" w:rsidRDefault="009A6030" w:rsidP="009A6030">
      <w:pPr>
        <w:spacing w:after="0" w:line="240" w:lineRule="auto"/>
        <w:jc w:val="both"/>
        <w:rPr>
          <w:rFonts w:ascii="Times New Roman" w:hAnsi="Times New Roman" w:cs="Times New Roman"/>
          <w:sz w:val="24"/>
          <w:szCs w:val="24"/>
        </w:rPr>
      </w:pPr>
      <w:r w:rsidRPr="009A6030">
        <w:rPr>
          <w:rFonts w:ascii="Times New Roman" w:hAnsi="Times New Roman" w:cs="Times New Roman"/>
          <w:sz w:val="24"/>
          <w:szCs w:val="24"/>
        </w:rPr>
        <w:t xml:space="preserve">SFG, 2012. </w:t>
      </w:r>
      <w:r w:rsidRPr="009A6030">
        <w:rPr>
          <w:rFonts w:ascii="Times New Roman" w:hAnsi="Times New Roman" w:cs="Times New Roman"/>
          <w:i/>
          <w:sz w:val="24"/>
          <w:szCs w:val="24"/>
        </w:rPr>
        <w:t>Rule Change Proposals Relating to the Debt Component of the Regulated Rate of Return</w:t>
      </w:r>
      <w:r w:rsidRPr="009A6030">
        <w:rPr>
          <w:rFonts w:ascii="Times New Roman" w:hAnsi="Times New Roman" w:cs="Times New Roman"/>
          <w:sz w:val="24"/>
          <w:szCs w:val="24"/>
        </w:rPr>
        <w:t>, report prepared for AEMC (</w:t>
      </w:r>
      <w:hyperlink r:id="rId81" w:history="1">
        <w:r w:rsidRPr="009A6030">
          <w:rPr>
            <w:rStyle w:val="Hyperlink"/>
            <w:rFonts w:ascii="Times New Roman" w:hAnsi="Times New Roman" w:cs="Times New Roman"/>
            <w:sz w:val="24"/>
            <w:szCs w:val="24"/>
          </w:rPr>
          <w:t>www.aemc.gov.au</w:t>
        </w:r>
      </w:hyperlink>
      <w:r w:rsidR="00EB2746">
        <w:rPr>
          <w:rFonts w:ascii="Times New Roman" w:hAnsi="Times New Roman" w:cs="Times New Roman"/>
          <w:sz w:val="24"/>
          <w:szCs w:val="24"/>
        </w:rPr>
        <w:t>).</w:t>
      </w:r>
    </w:p>
    <w:p w:rsidR="00EB2746" w:rsidRDefault="00EB2746" w:rsidP="009A6030">
      <w:pPr>
        <w:spacing w:after="0" w:line="240" w:lineRule="auto"/>
        <w:jc w:val="both"/>
        <w:rPr>
          <w:rFonts w:ascii="Times New Roman" w:hAnsi="Times New Roman" w:cs="Times New Roman"/>
          <w:sz w:val="24"/>
          <w:szCs w:val="24"/>
        </w:rPr>
      </w:pPr>
    </w:p>
    <w:p w:rsidR="008B0E0C" w:rsidRPr="008B0E0C" w:rsidRDefault="008B0E0C" w:rsidP="009A60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Thiow, B., 2015. </w:t>
      </w:r>
      <w:r>
        <w:rPr>
          <w:rFonts w:ascii="Times New Roman" w:hAnsi="Times New Roman" w:cs="Times New Roman"/>
          <w:i/>
          <w:sz w:val="24"/>
          <w:szCs w:val="24"/>
        </w:rPr>
        <w:t>Statement of Bon Thiow</w:t>
      </w:r>
      <w:r>
        <w:rPr>
          <w:rFonts w:ascii="Times New Roman" w:hAnsi="Times New Roman" w:cs="Times New Roman"/>
          <w:sz w:val="24"/>
          <w:szCs w:val="24"/>
        </w:rPr>
        <w:t>, submitted to the</w:t>
      </w:r>
      <w:r w:rsidR="0005319E">
        <w:rPr>
          <w:rFonts w:ascii="Times New Roman" w:hAnsi="Times New Roman" w:cs="Times New Roman"/>
          <w:sz w:val="24"/>
          <w:szCs w:val="24"/>
        </w:rPr>
        <w:t xml:space="preserve"> AER on behalf of TransGrid.</w:t>
      </w:r>
    </w:p>
    <w:p w:rsidR="008B0E0C" w:rsidRDefault="008B0E0C" w:rsidP="009A6030">
      <w:pPr>
        <w:spacing w:after="0" w:line="240" w:lineRule="auto"/>
        <w:jc w:val="both"/>
        <w:rPr>
          <w:rFonts w:ascii="Times New Roman" w:hAnsi="Times New Roman" w:cs="Times New Roman"/>
          <w:sz w:val="24"/>
          <w:szCs w:val="24"/>
        </w:rPr>
      </w:pPr>
    </w:p>
    <w:p w:rsidR="00047497" w:rsidRPr="00047497" w:rsidRDefault="00047497" w:rsidP="009A60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TransGrid, 2014. </w:t>
      </w:r>
      <w:r>
        <w:rPr>
          <w:rFonts w:ascii="Times New Roman" w:hAnsi="Times New Roman" w:cs="Times New Roman"/>
          <w:i/>
          <w:sz w:val="24"/>
          <w:szCs w:val="24"/>
        </w:rPr>
        <w:t>Revenue Proposal 2014/15 – 2018/19</w:t>
      </w:r>
      <w:r>
        <w:rPr>
          <w:rFonts w:ascii="Times New Roman" w:hAnsi="Times New Roman" w:cs="Times New Roman"/>
          <w:sz w:val="24"/>
          <w:szCs w:val="24"/>
        </w:rPr>
        <w:t>, submission to the AER (</w:t>
      </w:r>
      <w:hyperlink r:id="rId82" w:history="1">
        <w:r w:rsidRPr="00A51851">
          <w:rPr>
            <w:rStyle w:val="Hyperlink"/>
            <w:rFonts w:ascii="Times New Roman" w:hAnsi="Times New Roman" w:cs="Times New Roman"/>
            <w:sz w:val="24"/>
            <w:szCs w:val="24"/>
          </w:rPr>
          <w:t>www.aer.gov.au</w:t>
        </w:r>
      </w:hyperlink>
      <w:r>
        <w:rPr>
          <w:rFonts w:ascii="Times New Roman" w:hAnsi="Times New Roman" w:cs="Times New Roman"/>
          <w:sz w:val="24"/>
          <w:szCs w:val="24"/>
        </w:rPr>
        <w:t>).</w:t>
      </w:r>
    </w:p>
    <w:p w:rsidR="00047497" w:rsidRDefault="00047497" w:rsidP="009A6030">
      <w:pPr>
        <w:spacing w:after="0" w:line="240" w:lineRule="auto"/>
        <w:jc w:val="both"/>
        <w:rPr>
          <w:rFonts w:ascii="Times New Roman" w:hAnsi="Times New Roman" w:cs="Times New Roman"/>
          <w:sz w:val="24"/>
          <w:szCs w:val="24"/>
        </w:rPr>
      </w:pPr>
    </w:p>
    <w:p w:rsidR="00BF1CF6" w:rsidRPr="00BF1CF6" w:rsidRDefault="00BF1CF6" w:rsidP="009A60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UBS, 2015. </w:t>
      </w:r>
      <w:r>
        <w:rPr>
          <w:rFonts w:ascii="Times New Roman" w:hAnsi="Times New Roman" w:cs="Times New Roman"/>
          <w:i/>
          <w:sz w:val="24"/>
          <w:szCs w:val="24"/>
        </w:rPr>
        <w:t>Analysis of Liquidity of Interest Rate Swaps</w:t>
      </w:r>
      <w:r>
        <w:rPr>
          <w:rFonts w:ascii="Times New Roman" w:hAnsi="Times New Roman" w:cs="Times New Roman"/>
          <w:sz w:val="24"/>
          <w:szCs w:val="24"/>
        </w:rPr>
        <w:t>, r</w:t>
      </w:r>
      <w:r w:rsidR="00844781">
        <w:rPr>
          <w:rFonts w:ascii="Times New Roman" w:hAnsi="Times New Roman" w:cs="Times New Roman"/>
          <w:sz w:val="24"/>
          <w:szCs w:val="24"/>
        </w:rPr>
        <w:t>e</w:t>
      </w:r>
      <w:r w:rsidR="001C1B1D">
        <w:rPr>
          <w:rFonts w:ascii="Times New Roman" w:hAnsi="Times New Roman" w:cs="Times New Roman"/>
          <w:sz w:val="24"/>
          <w:szCs w:val="24"/>
        </w:rPr>
        <w:t xml:space="preserve">port prepared for TransGrid. </w:t>
      </w:r>
    </w:p>
    <w:p w:rsidR="00021DD6" w:rsidRDefault="00021DD6" w:rsidP="009A6030">
      <w:pPr>
        <w:spacing w:after="0" w:line="240" w:lineRule="auto"/>
        <w:jc w:val="both"/>
        <w:rPr>
          <w:rFonts w:ascii="Times New Roman" w:hAnsi="Times New Roman" w:cs="Times New Roman"/>
          <w:sz w:val="24"/>
          <w:szCs w:val="24"/>
        </w:rPr>
      </w:pPr>
    </w:p>
    <w:p w:rsidR="00EB2746" w:rsidRPr="00EB2746" w:rsidRDefault="00EB2746" w:rsidP="009A60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Westpac, 2014, </w:t>
      </w:r>
      <w:r>
        <w:rPr>
          <w:rFonts w:ascii="Times New Roman" w:hAnsi="Times New Roman" w:cs="Times New Roman"/>
          <w:i/>
          <w:sz w:val="24"/>
          <w:szCs w:val="24"/>
        </w:rPr>
        <w:t>Liquidity of the Interest Rate Swap Market</w:t>
      </w:r>
      <w:r>
        <w:rPr>
          <w:rFonts w:ascii="Times New Roman" w:hAnsi="Times New Roman" w:cs="Times New Roman"/>
          <w:sz w:val="24"/>
          <w:szCs w:val="24"/>
        </w:rPr>
        <w:t>, report prepared for Transgrid (</w:t>
      </w:r>
      <w:hyperlink r:id="rId83" w:history="1">
        <w:r w:rsidRPr="00DD033A">
          <w:rPr>
            <w:rStyle w:val="Hyperlink"/>
            <w:rFonts w:ascii="Times New Roman" w:hAnsi="Times New Roman" w:cs="Times New Roman"/>
            <w:sz w:val="24"/>
            <w:szCs w:val="24"/>
          </w:rPr>
          <w:t>www.aer.gov.au</w:t>
        </w:r>
      </w:hyperlink>
      <w:r w:rsidR="001C1B1D">
        <w:rPr>
          <w:rFonts w:ascii="Times New Roman" w:hAnsi="Times New Roman" w:cs="Times New Roman"/>
          <w:sz w:val="24"/>
          <w:szCs w:val="24"/>
        </w:rPr>
        <w:t>).</w:t>
      </w:r>
    </w:p>
    <w:p w:rsidR="009A6030" w:rsidRPr="00242DD0" w:rsidRDefault="009A6030" w:rsidP="00FA38BF">
      <w:pPr>
        <w:spacing w:after="0" w:line="240" w:lineRule="auto"/>
        <w:jc w:val="both"/>
        <w:rPr>
          <w:rFonts w:ascii="Times New Roman" w:hAnsi="Times New Roman" w:cs="Times New Roman"/>
          <w:sz w:val="24"/>
          <w:szCs w:val="24"/>
        </w:rPr>
      </w:pPr>
    </w:p>
    <w:p w:rsidR="004425A5" w:rsidRPr="00122250" w:rsidRDefault="004425A5">
      <w:pPr>
        <w:rPr>
          <w:lang w:val="en-GB"/>
        </w:rPr>
      </w:pPr>
    </w:p>
    <w:sectPr w:rsidR="004425A5" w:rsidRPr="00122250" w:rsidSect="004425A5">
      <w:headerReference w:type="even" r:id="rId84"/>
      <w:headerReference w:type="default" r:id="rId85"/>
      <w:footerReference w:type="even" r:id="rId86"/>
      <w:footerReference w:type="default" r:id="rId87"/>
      <w:headerReference w:type="first" r:id="rId88"/>
      <w:footerReference w:type="first" r:id="rId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4DF" w:rsidRDefault="009814DF" w:rsidP="00122250">
      <w:pPr>
        <w:spacing w:after="0" w:line="240" w:lineRule="auto"/>
      </w:pPr>
      <w:r>
        <w:separator/>
      </w:r>
    </w:p>
  </w:endnote>
  <w:endnote w:type="continuationSeparator" w:id="0">
    <w:p w:rsidR="009814DF" w:rsidRDefault="009814DF" w:rsidP="0012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FB" w:rsidRDefault="007504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603332"/>
      <w:docPartObj>
        <w:docPartGallery w:val="Page Numbers (Bottom of Page)"/>
        <w:docPartUnique/>
      </w:docPartObj>
    </w:sdtPr>
    <w:sdtEndPr/>
    <w:sdtContent>
      <w:p w:rsidR="007504FB" w:rsidRDefault="007504FB">
        <w:pPr>
          <w:pStyle w:val="Footer"/>
          <w:jc w:val="center"/>
        </w:pPr>
        <w:r>
          <w:fldChar w:fldCharType="begin"/>
        </w:r>
        <w:r>
          <w:instrText xml:space="preserve"> PAGE   \* MERGEFORMAT </w:instrText>
        </w:r>
        <w:r>
          <w:fldChar w:fldCharType="separate"/>
        </w:r>
        <w:r w:rsidR="002712E3">
          <w:rPr>
            <w:noProof/>
          </w:rPr>
          <w:t>2</w:t>
        </w:r>
        <w:r>
          <w:rPr>
            <w:noProof/>
          </w:rPr>
          <w:fldChar w:fldCharType="end"/>
        </w:r>
      </w:p>
    </w:sdtContent>
  </w:sdt>
  <w:p w:rsidR="007504FB" w:rsidRDefault="007504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FB" w:rsidRDefault="00750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4DF" w:rsidRDefault="009814DF" w:rsidP="00122250">
      <w:pPr>
        <w:spacing w:after="0" w:line="240" w:lineRule="auto"/>
      </w:pPr>
      <w:r>
        <w:separator/>
      </w:r>
    </w:p>
  </w:footnote>
  <w:footnote w:type="continuationSeparator" w:id="0">
    <w:p w:rsidR="009814DF" w:rsidRDefault="009814DF" w:rsidP="00122250">
      <w:pPr>
        <w:spacing w:after="0" w:line="240" w:lineRule="auto"/>
      </w:pPr>
      <w:r>
        <w:continuationSeparator/>
      </w:r>
    </w:p>
  </w:footnote>
  <w:footnote w:id="1">
    <w:p w:rsidR="007504FB" w:rsidRPr="00336268" w:rsidRDefault="007504FB" w:rsidP="00336268">
      <w:pPr>
        <w:pStyle w:val="FootnoteText"/>
        <w:jc w:val="both"/>
        <w:rPr>
          <w:rFonts w:ascii="Times New Roman" w:hAnsi="Times New Roman" w:cs="Times New Roman"/>
        </w:rPr>
      </w:pPr>
      <w:r w:rsidRPr="00336268">
        <w:rPr>
          <w:rStyle w:val="FootnoteReference"/>
          <w:rFonts w:ascii="Times New Roman" w:hAnsi="Times New Roman" w:cs="Times New Roman"/>
        </w:rPr>
        <w:footnoteRef/>
      </w:r>
      <w:r w:rsidRPr="00336268">
        <w:rPr>
          <w:rFonts w:ascii="Times New Roman" w:hAnsi="Times New Roman" w:cs="Times New Roman"/>
        </w:rPr>
        <w:t xml:space="preserve"> </w:t>
      </w:r>
      <w:r w:rsidRPr="00245073">
        <w:rPr>
          <w:rFonts w:ascii="Times New Roman" w:hAnsi="Times New Roman" w:cs="Times New Roman"/>
        </w:rPr>
        <w:t>This involves borrowing at the fixed rate, immediately swapping this into floating rate debt, and then (at the beginning of each regulatory cycle) swapping the floating rate debt into fixed rate debt that aligns with the regulatory cycle.  Equivalently, one would borrow at a floating rate and then undertake the second set of swap contracts just noted.  Hereafter, I assume that the first option is adopted.</w:t>
      </w:r>
      <w:r>
        <w:rPr>
          <w:rFonts w:ascii="Times New Roman" w:hAnsi="Times New Roman" w:cs="Times New Roman"/>
        </w:rPr>
        <w:t xml:space="preserve">  In addition, it would not be possible to also hedge the DRP component because the credit default swap (CDS) market is insufficiently liquid at the present time to permit hedging on the required scale.</w:t>
      </w:r>
    </w:p>
  </w:footnote>
  <w:footnote w:id="2">
    <w:p w:rsidR="007504FB" w:rsidRPr="002660A0" w:rsidRDefault="007504FB" w:rsidP="002660A0">
      <w:pPr>
        <w:pStyle w:val="FootnoteText"/>
        <w:jc w:val="both"/>
        <w:rPr>
          <w:rFonts w:ascii="Times New Roman" w:hAnsi="Times New Roman" w:cs="Times New Roman"/>
        </w:rPr>
      </w:pPr>
      <w:r w:rsidRPr="002660A0">
        <w:rPr>
          <w:rStyle w:val="FootnoteReference"/>
          <w:rFonts w:ascii="Times New Roman" w:hAnsi="Times New Roman" w:cs="Times New Roman"/>
        </w:rPr>
        <w:footnoteRef/>
      </w:r>
      <w:r w:rsidRPr="002660A0">
        <w:rPr>
          <w:rFonts w:ascii="Times New Roman" w:hAnsi="Times New Roman" w:cs="Times New Roman"/>
        </w:rPr>
        <w:t xml:space="preserve"> If there is uncertainty about revenues or opex, this leads to a risk premium being added to the discount rate, and this does not otherwise affect the analysis.</w:t>
      </w:r>
    </w:p>
    <w:p w:rsidR="007504FB" w:rsidRPr="00E270D7" w:rsidRDefault="007504FB" w:rsidP="002660A0">
      <w:pPr>
        <w:pStyle w:val="FootnoteText"/>
      </w:pPr>
    </w:p>
  </w:footnote>
  <w:footnote w:id="3">
    <w:p w:rsidR="007504FB" w:rsidRPr="002660A0" w:rsidRDefault="007504FB" w:rsidP="002660A0">
      <w:pPr>
        <w:pStyle w:val="FootnoteText"/>
        <w:jc w:val="both"/>
        <w:rPr>
          <w:rFonts w:ascii="Times New Roman" w:hAnsi="Times New Roman" w:cs="Times New Roman"/>
        </w:rPr>
      </w:pPr>
      <w:r w:rsidRPr="002660A0">
        <w:rPr>
          <w:rStyle w:val="FootnoteReference"/>
          <w:rFonts w:ascii="Times New Roman" w:hAnsi="Times New Roman" w:cs="Times New Roman"/>
        </w:rPr>
        <w:footnoteRef/>
      </w:r>
      <w:r w:rsidRPr="002660A0">
        <w:rPr>
          <w:rFonts w:ascii="Times New Roman" w:hAnsi="Times New Roman" w:cs="Times New Roman"/>
        </w:rPr>
        <w:t xml:space="preserve"> In this equation, regulatory depreciation equals the cost of the asset (</w:t>
      </w:r>
      <w:r w:rsidRPr="002660A0">
        <w:rPr>
          <w:rFonts w:ascii="Times New Roman" w:hAnsi="Times New Roman" w:cs="Times New Roman"/>
          <w:i/>
        </w:rPr>
        <w:t>B</w:t>
      </w:r>
      <w:r w:rsidRPr="002660A0">
        <w:rPr>
          <w:rFonts w:ascii="Times New Roman" w:hAnsi="Times New Roman" w:cs="Times New Roman"/>
        </w:rPr>
        <w:t>) because the asset life is only one year.  When the asset life exceeds one year, as in later examples, depreciation each year is less than the purchase price of the assets.</w:t>
      </w:r>
    </w:p>
  </w:footnote>
  <w:footnote w:id="4">
    <w:p w:rsidR="007504FB" w:rsidRPr="00CA4960" w:rsidRDefault="007504FB" w:rsidP="00CA4960">
      <w:pPr>
        <w:pStyle w:val="FootnoteText"/>
        <w:jc w:val="both"/>
        <w:rPr>
          <w:rFonts w:ascii="Times New Roman" w:hAnsi="Times New Roman" w:cs="Times New Roman"/>
        </w:rPr>
      </w:pPr>
      <w:r w:rsidRPr="00CA4960">
        <w:rPr>
          <w:rStyle w:val="FootnoteReference"/>
          <w:rFonts w:ascii="Times New Roman" w:hAnsi="Times New Roman" w:cs="Times New Roman"/>
        </w:rPr>
        <w:footnoteRef/>
      </w:r>
      <w:r w:rsidRPr="00CA4960">
        <w:rPr>
          <w:rFonts w:ascii="Times New Roman" w:hAnsi="Times New Roman" w:cs="Times New Roman"/>
        </w:rPr>
        <w:t xml:space="preserve"> This</w:t>
      </w:r>
      <w:r>
        <w:rPr>
          <w:rFonts w:ascii="Times New Roman" w:hAnsi="Times New Roman" w:cs="Times New Roman"/>
        </w:rPr>
        <w:t xml:space="preserve"> analysis is based upon a DRP shock commencing in 2008, because it did occur at this time, and then considering what the effects on a BEE would be depending upon when the regime change occurred.  However the same pattern of possible results could have been achieved by fixing the date of the regime change in 2014 and varying the commencement date of the DRP shock.</w:t>
      </w:r>
    </w:p>
  </w:footnote>
  <w:footnote w:id="5">
    <w:p w:rsidR="007504FB" w:rsidRDefault="007504FB" w:rsidP="005A3AE8">
      <w:pPr>
        <w:pStyle w:val="FootnoteText"/>
      </w:pPr>
      <w:r>
        <w:rPr>
          <w:rStyle w:val="FootnoteReference"/>
        </w:rPr>
        <w:footnoteRef/>
      </w:r>
      <w:r>
        <w:t xml:space="preserve"> </w:t>
      </w:r>
      <w:r>
        <w:tab/>
        <w:t xml:space="preserve">The AER defined refinancing risk as ‘The risk that the benchmark efficient entity would not be able to efficiently finance its debt at a given point in time. This may be because the debt instruments that it seeks are not available to it; or because they are expensive’. The AER defined interest rate risk as ‘The risk resulting from a potential mismatch between the allowed return on debt and the actual return on debt of a benchmark efficient entity’. AER, </w:t>
      </w:r>
      <w:r>
        <w:rPr>
          <w:i/>
        </w:rPr>
        <w:t>TransGrid draft decision</w:t>
      </w:r>
      <w:r>
        <w:t>, November 2014, p.3-106.</w:t>
      </w:r>
    </w:p>
  </w:footnote>
  <w:footnote w:id="6">
    <w:p w:rsidR="007504FB" w:rsidRDefault="007504FB" w:rsidP="005A3AE8">
      <w:pPr>
        <w:pStyle w:val="FootnoteText"/>
      </w:pPr>
      <w:r>
        <w:rPr>
          <w:rStyle w:val="FootnoteReference"/>
        </w:rPr>
        <w:footnoteRef/>
      </w:r>
      <w:r>
        <w:t xml:space="preserve"> </w:t>
      </w:r>
      <w:r>
        <w:tab/>
        <w:t xml:space="preserve">AER, </w:t>
      </w:r>
      <w:r>
        <w:rPr>
          <w:i/>
        </w:rPr>
        <w:t>Better regulation–Rate of return guideline</w:t>
      </w:r>
      <w:r>
        <w:t>, November 2014, pp.19-20.</w:t>
      </w:r>
    </w:p>
  </w:footnote>
  <w:footnote w:id="7">
    <w:p w:rsidR="007504FB" w:rsidRDefault="007504FB" w:rsidP="005A3AE8">
      <w:pPr>
        <w:pStyle w:val="FootnoteText"/>
      </w:pPr>
      <w:r>
        <w:rPr>
          <w:rStyle w:val="FootnoteReference"/>
        </w:rPr>
        <w:footnoteRef/>
      </w:r>
      <w:r>
        <w:t xml:space="preserve"> </w:t>
      </w:r>
      <w:r>
        <w:tab/>
        <w:t xml:space="preserve">AER, </w:t>
      </w:r>
      <w:r>
        <w:rPr>
          <w:i/>
        </w:rPr>
        <w:t>TransGrid draft decision</w:t>
      </w:r>
      <w:r>
        <w:t>, November 2014, attachment 3, pp.290-292.</w:t>
      </w:r>
    </w:p>
    <w:p w:rsidR="007504FB" w:rsidRDefault="007504FB" w:rsidP="005A3AE8">
      <w:pPr>
        <w:pStyle w:val="FootnoteText"/>
      </w:pPr>
    </w:p>
  </w:footnote>
  <w:footnote w:id="8">
    <w:p w:rsidR="007504FB" w:rsidRPr="008D610E" w:rsidRDefault="007504FB" w:rsidP="008D610E">
      <w:pPr>
        <w:pStyle w:val="FootnoteText"/>
        <w:jc w:val="both"/>
        <w:rPr>
          <w:rFonts w:ascii="Times New Roman" w:hAnsi="Times New Roman" w:cs="Times New Roman"/>
        </w:rPr>
      </w:pPr>
      <w:r w:rsidRPr="008D610E">
        <w:rPr>
          <w:rStyle w:val="FootnoteReference"/>
          <w:rFonts w:ascii="Times New Roman" w:hAnsi="Times New Roman" w:cs="Times New Roman"/>
        </w:rPr>
        <w:footnoteRef/>
      </w:r>
      <w:r w:rsidRPr="008D610E">
        <w:rPr>
          <w:rFonts w:ascii="Times New Roman" w:hAnsi="Times New Roman" w:cs="Times New Roman"/>
        </w:rPr>
        <w:t xml:space="preserve"> This</w:t>
      </w:r>
      <w:r>
        <w:rPr>
          <w:rFonts w:ascii="Times New Roman" w:hAnsi="Times New Roman" w:cs="Times New Roman"/>
        </w:rPr>
        <w:t xml:space="preserve"> assumes that the five and ten-year swap rates match the corresponding risk-free rates, and this matter will be discussed later in this Appendix.</w:t>
      </w:r>
    </w:p>
  </w:footnote>
  <w:footnote w:id="9">
    <w:p w:rsidR="007504FB" w:rsidRPr="00B34621" w:rsidRDefault="007504FB" w:rsidP="00B34621">
      <w:pPr>
        <w:pStyle w:val="FootnoteText"/>
        <w:jc w:val="both"/>
        <w:rPr>
          <w:rFonts w:ascii="Times New Roman" w:hAnsi="Times New Roman" w:cs="Times New Roman"/>
        </w:rPr>
      </w:pPr>
      <w:r w:rsidRPr="00B34621">
        <w:rPr>
          <w:rStyle w:val="FootnoteReference"/>
          <w:rFonts w:ascii="Times New Roman" w:hAnsi="Times New Roman" w:cs="Times New Roman"/>
        </w:rPr>
        <w:footnoteRef/>
      </w:r>
      <w:r w:rsidRPr="00B34621">
        <w:rPr>
          <w:rFonts w:ascii="Times New Roman" w:hAnsi="Times New Roman" w:cs="Times New Roman"/>
        </w:rPr>
        <w:t xml:space="preserve"> The</w:t>
      </w:r>
      <w:r>
        <w:rPr>
          <w:rFonts w:ascii="Times New Roman" w:hAnsi="Times New Roman" w:cs="Times New Roman"/>
        </w:rPr>
        <w:t xml:space="preserve"> three series are drawn from the FRED data, which is available on the website of the US Federal Reserve Bank of St Louis (</w:t>
      </w:r>
      <w:hyperlink r:id="rId1" w:history="1">
        <w:r w:rsidRPr="00F55332">
          <w:rPr>
            <w:rStyle w:val="Hyperlink"/>
            <w:rFonts w:ascii="Times New Roman" w:hAnsi="Times New Roman" w:cs="Times New Roman"/>
          </w:rPr>
          <w:t>http://research.stlouisfed.org/fred2/</w:t>
        </w:r>
      </w:hyperlink>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FB" w:rsidRDefault="007504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FB" w:rsidRDefault="007504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FB" w:rsidRDefault="007504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19E0"/>
    <w:multiLevelType w:val="hybridMultilevel"/>
    <w:tmpl w:val="EA9AAA88"/>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A4389B34">
      <w:numFmt w:val="bullet"/>
      <w:lvlText w:val=""/>
      <w:lvlJc w:val="left"/>
      <w:pPr>
        <w:tabs>
          <w:tab w:val="num" w:pos="2880"/>
        </w:tabs>
        <w:ind w:left="2880" w:hanging="360"/>
      </w:pPr>
      <w:rPr>
        <w:rFonts w:ascii="Symbol" w:eastAsia="Times New Roman" w:hAnsi="Symbol"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02D4169"/>
    <w:multiLevelType w:val="hybridMultilevel"/>
    <w:tmpl w:val="AE8A4FC4"/>
    <w:lvl w:ilvl="0" w:tplc="B8807F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A5088"/>
    <w:multiLevelType w:val="hybridMultilevel"/>
    <w:tmpl w:val="F71C7B9C"/>
    <w:lvl w:ilvl="0" w:tplc="9C5AA38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C57382C"/>
    <w:multiLevelType w:val="multilevel"/>
    <w:tmpl w:val="BBC61C06"/>
    <w:lvl w:ilvl="0">
      <w:start w:val="1"/>
      <w:numFmt w:val="decimal"/>
      <w:pStyle w:val="AERheading1"/>
      <w:lvlText w:val="%1"/>
      <w:lvlJc w:val="left"/>
      <w:pPr>
        <w:tabs>
          <w:tab w:val="num" w:pos="720"/>
        </w:tabs>
        <w:ind w:left="720" w:hanging="720"/>
      </w:pPr>
      <w:rPr>
        <w:rFonts w:hint="default"/>
      </w:rPr>
    </w:lvl>
    <w:lvl w:ilvl="1">
      <w:start w:val="1"/>
      <w:numFmt w:val="decimal"/>
      <w:pStyle w:val="AERheading2"/>
      <w:lvlText w:val="%1.%2"/>
      <w:lvlJc w:val="left"/>
      <w:pPr>
        <w:tabs>
          <w:tab w:val="num" w:pos="720"/>
        </w:tabs>
        <w:ind w:left="720" w:hanging="720"/>
      </w:pPr>
      <w:rPr>
        <w:rFonts w:hint="default"/>
      </w:rPr>
    </w:lvl>
    <w:lvl w:ilvl="2">
      <w:start w:val="1"/>
      <w:numFmt w:val="decimal"/>
      <w:pStyle w:val="AERheading3"/>
      <w:lvlText w:val="%1.%2.%3"/>
      <w:lvlJc w:val="left"/>
      <w:pPr>
        <w:tabs>
          <w:tab w:val="num" w:pos="1080"/>
        </w:tabs>
        <w:ind w:left="1080" w:hanging="720"/>
      </w:pPr>
      <w:rPr>
        <w:rFonts w:hint="default"/>
      </w:rPr>
    </w:lvl>
    <w:lvl w:ilvl="3">
      <w:start w:val="1"/>
      <w:numFmt w:val="decimal"/>
      <w:pStyle w:val="AERheading4"/>
      <w:lvlText w:val="%1.%2.%3.%4"/>
      <w:lvlJc w:val="left"/>
      <w:pPr>
        <w:tabs>
          <w:tab w:val="num" w:pos="1080"/>
        </w:tabs>
        <w:ind w:left="720" w:hanging="720"/>
      </w:pPr>
      <w:rPr>
        <w:rFonts w:hint="default"/>
      </w:rPr>
    </w:lvl>
    <w:lvl w:ilvl="4">
      <w:start w:val="1"/>
      <w:numFmt w:val="decimal"/>
      <w:lvlText w:val="%1.%2.%3.%4.%5"/>
      <w:lvlJc w:val="left"/>
      <w:pPr>
        <w:tabs>
          <w:tab w:val="num" w:pos="144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2D665A1A"/>
    <w:multiLevelType w:val="hybridMultilevel"/>
    <w:tmpl w:val="100633DA"/>
    <w:lvl w:ilvl="0" w:tplc="482C266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4E6257B"/>
    <w:multiLevelType w:val="hybridMultilevel"/>
    <w:tmpl w:val="C0FC24A6"/>
    <w:lvl w:ilvl="0" w:tplc="5C42E6B2">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9A9478C"/>
    <w:multiLevelType w:val="hybridMultilevel"/>
    <w:tmpl w:val="086EA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2606BF"/>
    <w:multiLevelType w:val="hybridMultilevel"/>
    <w:tmpl w:val="F53812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0A24132"/>
    <w:multiLevelType w:val="hybridMultilevel"/>
    <w:tmpl w:val="23889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43056111"/>
    <w:multiLevelType w:val="hybridMultilevel"/>
    <w:tmpl w:val="0BF89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AA721CD"/>
    <w:multiLevelType w:val="hybridMultilevel"/>
    <w:tmpl w:val="E0EA003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nsid w:val="4C145D07"/>
    <w:multiLevelType w:val="hybridMultilevel"/>
    <w:tmpl w:val="F71C7B9C"/>
    <w:lvl w:ilvl="0" w:tplc="9C5AA38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4C947C5B"/>
    <w:multiLevelType w:val="hybridMultilevel"/>
    <w:tmpl w:val="365602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D9E5A1F"/>
    <w:multiLevelType w:val="multilevel"/>
    <w:tmpl w:val="350C647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4">
    <w:nsid w:val="529847DD"/>
    <w:multiLevelType w:val="hybridMultilevel"/>
    <w:tmpl w:val="5378756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53634C00"/>
    <w:multiLevelType w:val="hybridMultilevel"/>
    <w:tmpl w:val="B9B02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536A472A"/>
    <w:multiLevelType w:val="hybridMultilevel"/>
    <w:tmpl w:val="36C47C0C"/>
    <w:lvl w:ilvl="0" w:tplc="C7688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EC59D3"/>
    <w:multiLevelType w:val="hybridMultilevel"/>
    <w:tmpl w:val="5778FA3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600D1902"/>
    <w:multiLevelType w:val="hybridMultilevel"/>
    <w:tmpl w:val="269A2F5E"/>
    <w:lvl w:ilvl="0" w:tplc="A09285FA">
      <w:start w:val="1"/>
      <w:numFmt w:val="lowerLetter"/>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9">
    <w:nsid w:val="616E1198"/>
    <w:multiLevelType w:val="hybridMultilevel"/>
    <w:tmpl w:val="B83A31A0"/>
    <w:lvl w:ilvl="0" w:tplc="71789B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2A5BD0"/>
    <w:multiLevelType w:val="hybridMultilevel"/>
    <w:tmpl w:val="057A7264"/>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6C2B6A3D"/>
    <w:multiLevelType w:val="hybridMultilevel"/>
    <w:tmpl w:val="A992C13C"/>
    <w:lvl w:ilvl="0" w:tplc="4A16B8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70344154"/>
    <w:multiLevelType w:val="hybridMultilevel"/>
    <w:tmpl w:val="EC007954"/>
    <w:lvl w:ilvl="0" w:tplc="06900E9C">
      <w:start w:val="1"/>
      <w:numFmt w:val="lowerLetter"/>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23">
    <w:nsid w:val="70EB3262"/>
    <w:multiLevelType w:val="hybridMultilevel"/>
    <w:tmpl w:val="0A20B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4203C2C"/>
    <w:multiLevelType w:val="hybridMultilevel"/>
    <w:tmpl w:val="3170EF2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7CB92195"/>
    <w:multiLevelType w:val="hybridMultilevel"/>
    <w:tmpl w:val="33940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FDB58EC"/>
    <w:multiLevelType w:val="hybridMultilevel"/>
    <w:tmpl w:val="2018B5F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13"/>
  </w:num>
  <w:num w:numId="2">
    <w:abstractNumId w:val="7"/>
  </w:num>
  <w:num w:numId="3">
    <w:abstractNumId w:val="21"/>
  </w:num>
  <w:num w:numId="4">
    <w:abstractNumId w:val="4"/>
  </w:num>
  <w:num w:numId="5">
    <w:abstractNumId w:val="11"/>
  </w:num>
  <w:num w:numId="6">
    <w:abstractNumId w:val="2"/>
  </w:num>
  <w:num w:numId="7">
    <w:abstractNumId w:val="0"/>
  </w:num>
  <w:num w:numId="8">
    <w:abstractNumId w:val="3"/>
  </w:num>
  <w:num w:numId="9">
    <w:abstractNumId w:val="12"/>
  </w:num>
  <w:num w:numId="10">
    <w:abstractNumId w:val="20"/>
  </w:num>
  <w:num w:numId="11">
    <w:abstractNumId w:val="25"/>
  </w:num>
  <w:num w:numId="12">
    <w:abstractNumId w:val="14"/>
  </w:num>
  <w:num w:numId="13">
    <w:abstractNumId w:val="9"/>
  </w:num>
  <w:num w:numId="14">
    <w:abstractNumId w:val="23"/>
  </w:num>
  <w:num w:numId="15">
    <w:abstractNumId w:val="6"/>
  </w:num>
  <w:num w:numId="16">
    <w:abstractNumId w:val="24"/>
  </w:num>
  <w:num w:numId="17">
    <w:abstractNumId w:val="17"/>
  </w:num>
  <w:num w:numId="18">
    <w:abstractNumId w:val="10"/>
  </w:num>
  <w:num w:numId="19">
    <w:abstractNumId w:val="22"/>
  </w:num>
  <w:num w:numId="20">
    <w:abstractNumId w:val="18"/>
  </w:num>
  <w:num w:numId="21">
    <w:abstractNumId w:val="5"/>
  </w:num>
  <w:num w:numId="22">
    <w:abstractNumId w:val="16"/>
  </w:num>
  <w:num w:numId="23">
    <w:abstractNumId w:val="19"/>
  </w:num>
  <w:num w:numId="24">
    <w:abstractNumId w:val="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656\D15 54734  Lally - Final report - Review of submissions on the cost of debt - 21 April 2015 - PUBLIC VERSION.DOCX"/>
  </w:docVars>
  <w:rsids>
    <w:rsidRoot w:val="00122250"/>
    <w:rsid w:val="00000629"/>
    <w:rsid w:val="000008E5"/>
    <w:rsid w:val="00001900"/>
    <w:rsid w:val="00001E50"/>
    <w:rsid w:val="00002E99"/>
    <w:rsid w:val="0000343B"/>
    <w:rsid w:val="000038AE"/>
    <w:rsid w:val="00004975"/>
    <w:rsid w:val="000064C9"/>
    <w:rsid w:val="00006D6B"/>
    <w:rsid w:val="0001013E"/>
    <w:rsid w:val="000102D0"/>
    <w:rsid w:val="00010E5D"/>
    <w:rsid w:val="000116EE"/>
    <w:rsid w:val="0001212C"/>
    <w:rsid w:val="00012510"/>
    <w:rsid w:val="00012ABA"/>
    <w:rsid w:val="000135C8"/>
    <w:rsid w:val="00013C4F"/>
    <w:rsid w:val="00014774"/>
    <w:rsid w:val="00014855"/>
    <w:rsid w:val="00014A1F"/>
    <w:rsid w:val="00014AA4"/>
    <w:rsid w:val="00014DC9"/>
    <w:rsid w:val="000164F6"/>
    <w:rsid w:val="0001696E"/>
    <w:rsid w:val="0001777C"/>
    <w:rsid w:val="00017B56"/>
    <w:rsid w:val="000212D8"/>
    <w:rsid w:val="00021511"/>
    <w:rsid w:val="000215C0"/>
    <w:rsid w:val="00021DD6"/>
    <w:rsid w:val="00022F39"/>
    <w:rsid w:val="0002318B"/>
    <w:rsid w:val="00023BF7"/>
    <w:rsid w:val="00024155"/>
    <w:rsid w:val="000264C0"/>
    <w:rsid w:val="000269C7"/>
    <w:rsid w:val="000273B6"/>
    <w:rsid w:val="0002747A"/>
    <w:rsid w:val="000275DC"/>
    <w:rsid w:val="0003084C"/>
    <w:rsid w:val="00032465"/>
    <w:rsid w:val="00034AD6"/>
    <w:rsid w:val="00034B78"/>
    <w:rsid w:val="00035451"/>
    <w:rsid w:val="00036651"/>
    <w:rsid w:val="00036B1E"/>
    <w:rsid w:val="00036CCE"/>
    <w:rsid w:val="0003746E"/>
    <w:rsid w:val="00040746"/>
    <w:rsid w:val="00040B3E"/>
    <w:rsid w:val="00040E58"/>
    <w:rsid w:val="00040FD8"/>
    <w:rsid w:val="00041292"/>
    <w:rsid w:val="00041394"/>
    <w:rsid w:val="000414CF"/>
    <w:rsid w:val="000423F3"/>
    <w:rsid w:val="0004247D"/>
    <w:rsid w:val="00043381"/>
    <w:rsid w:val="00043B42"/>
    <w:rsid w:val="00043BF0"/>
    <w:rsid w:val="00043CA6"/>
    <w:rsid w:val="00044245"/>
    <w:rsid w:val="00044361"/>
    <w:rsid w:val="000444F1"/>
    <w:rsid w:val="00047497"/>
    <w:rsid w:val="000475FD"/>
    <w:rsid w:val="000502E5"/>
    <w:rsid w:val="00050E2C"/>
    <w:rsid w:val="000519F7"/>
    <w:rsid w:val="00051F18"/>
    <w:rsid w:val="00052D72"/>
    <w:rsid w:val="0005319E"/>
    <w:rsid w:val="00053445"/>
    <w:rsid w:val="000535B3"/>
    <w:rsid w:val="0005528D"/>
    <w:rsid w:val="000554BA"/>
    <w:rsid w:val="0005559B"/>
    <w:rsid w:val="00056270"/>
    <w:rsid w:val="00056C9A"/>
    <w:rsid w:val="00061014"/>
    <w:rsid w:val="00062005"/>
    <w:rsid w:val="00063276"/>
    <w:rsid w:val="0006497D"/>
    <w:rsid w:val="00064C0D"/>
    <w:rsid w:val="000650F9"/>
    <w:rsid w:val="00065C55"/>
    <w:rsid w:val="0006618B"/>
    <w:rsid w:val="0006687D"/>
    <w:rsid w:val="000668E4"/>
    <w:rsid w:val="0006748F"/>
    <w:rsid w:val="000719A3"/>
    <w:rsid w:val="00071A66"/>
    <w:rsid w:val="00071E6B"/>
    <w:rsid w:val="00074820"/>
    <w:rsid w:val="000752B3"/>
    <w:rsid w:val="00075C4E"/>
    <w:rsid w:val="00075FFD"/>
    <w:rsid w:val="000767D1"/>
    <w:rsid w:val="00076803"/>
    <w:rsid w:val="000769F1"/>
    <w:rsid w:val="000774E6"/>
    <w:rsid w:val="0007754D"/>
    <w:rsid w:val="00077684"/>
    <w:rsid w:val="00080645"/>
    <w:rsid w:val="0008164D"/>
    <w:rsid w:val="00081688"/>
    <w:rsid w:val="000835DC"/>
    <w:rsid w:val="0008360D"/>
    <w:rsid w:val="000862A6"/>
    <w:rsid w:val="000879F8"/>
    <w:rsid w:val="00090988"/>
    <w:rsid w:val="0009323D"/>
    <w:rsid w:val="0009470B"/>
    <w:rsid w:val="0009594A"/>
    <w:rsid w:val="0009750D"/>
    <w:rsid w:val="000976CB"/>
    <w:rsid w:val="000A0B05"/>
    <w:rsid w:val="000A3F1D"/>
    <w:rsid w:val="000A40DB"/>
    <w:rsid w:val="000A44E0"/>
    <w:rsid w:val="000A499F"/>
    <w:rsid w:val="000A4C5F"/>
    <w:rsid w:val="000A4E0A"/>
    <w:rsid w:val="000A6736"/>
    <w:rsid w:val="000A68B4"/>
    <w:rsid w:val="000A6AD8"/>
    <w:rsid w:val="000A791B"/>
    <w:rsid w:val="000A7CAD"/>
    <w:rsid w:val="000B0AEC"/>
    <w:rsid w:val="000B0F91"/>
    <w:rsid w:val="000B2245"/>
    <w:rsid w:val="000B27A1"/>
    <w:rsid w:val="000B2A0D"/>
    <w:rsid w:val="000B2A9A"/>
    <w:rsid w:val="000B44F6"/>
    <w:rsid w:val="000B5CF5"/>
    <w:rsid w:val="000B6B09"/>
    <w:rsid w:val="000B7D35"/>
    <w:rsid w:val="000C0276"/>
    <w:rsid w:val="000C1885"/>
    <w:rsid w:val="000C2FAF"/>
    <w:rsid w:val="000C706B"/>
    <w:rsid w:val="000C71AA"/>
    <w:rsid w:val="000C7B31"/>
    <w:rsid w:val="000D07C7"/>
    <w:rsid w:val="000D0E81"/>
    <w:rsid w:val="000D11CF"/>
    <w:rsid w:val="000D267B"/>
    <w:rsid w:val="000D27FD"/>
    <w:rsid w:val="000D2849"/>
    <w:rsid w:val="000D2B22"/>
    <w:rsid w:val="000D2CC2"/>
    <w:rsid w:val="000D301B"/>
    <w:rsid w:val="000D3097"/>
    <w:rsid w:val="000D50A0"/>
    <w:rsid w:val="000D5F3D"/>
    <w:rsid w:val="000D657B"/>
    <w:rsid w:val="000D6C3E"/>
    <w:rsid w:val="000D6FAA"/>
    <w:rsid w:val="000D789D"/>
    <w:rsid w:val="000E18B5"/>
    <w:rsid w:val="000E1937"/>
    <w:rsid w:val="000E1CE7"/>
    <w:rsid w:val="000E27C5"/>
    <w:rsid w:val="000E2CFF"/>
    <w:rsid w:val="000E39AD"/>
    <w:rsid w:val="000E589F"/>
    <w:rsid w:val="000E7578"/>
    <w:rsid w:val="000E75C4"/>
    <w:rsid w:val="000E7B42"/>
    <w:rsid w:val="000F05EE"/>
    <w:rsid w:val="000F09F4"/>
    <w:rsid w:val="000F1623"/>
    <w:rsid w:val="000F1628"/>
    <w:rsid w:val="000F18FE"/>
    <w:rsid w:val="000F255B"/>
    <w:rsid w:val="000F38BB"/>
    <w:rsid w:val="000F530A"/>
    <w:rsid w:val="000F55C9"/>
    <w:rsid w:val="000F6AA8"/>
    <w:rsid w:val="000F6B7F"/>
    <w:rsid w:val="000F6CC9"/>
    <w:rsid w:val="0010163D"/>
    <w:rsid w:val="001019A2"/>
    <w:rsid w:val="00101D01"/>
    <w:rsid w:val="00102C10"/>
    <w:rsid w:val="00102D57"/>
    <w:rsid w:val="00103ADE"/>
    <w:rsid w:val="00104A16"/>
    <w:rsid w:val="00105705"/>
    <w:rsid w:val="00106399"/>
    <w:rsid w:val="00107103"/>
    <w:rsid w:val="00107680"/>
    <w:rsid w:val="0011079B"/>
    <w:rsid w:val="00110AFA"/>
    <w:rsid w:val="001113EF"/>
    <w:rsid w:val="00112C3E"/>
    <w:rsid w:val="00113F56"/>
    <w:rsid w:val="00114D93"/>
    <w:rsid w:val="00115223"/>
    <w:rsid w:val="00115953"/>
    <w:rsid w:val="00115EF3"/>
    <w:rsid w:val="001173C4"/>
    <w:rsid w:val="00117494"/>
    <w:rsid w:val="00117514"/>
    <w:rsid w:val="001207C0"/>
    <w:rsid w:val="00120AC0"/>
    <w:rsid w:val="00121BF6"/>
    <w:rsid w:val="00121C8E"/>
    <w:rsid w:val="00121CEA"/>
    <w:rsid w:val="00121E1B"/>
    <w:rsid w:val="00122250"/>
    <w:rsid w:val="00123644"/>
    <w:rsid w:val="0012468A"/>
    <w:rsid w:val="001250AA"/>
    <w:rsid w:val="001257BD"/>
    <w:rsid w:val="0012655B"/>
    <w:rsid w:val="00126E04"/>
    <w:rsid w:val="0013099A"/>
    <w:rsid w:val="001327C0"/>
    <w:rsid w:val="00132FE7"/>
    <w:rsid w:val="00133647"/>
    <w:rsid w:val="00133AD0"/>
    <w:rsid w:val="0013416F"/>
    <w:rsid w:val="001344F2"/>
    <w:rsid w:val="00135236"/>
    <w:rsid w:val="001359A5"/>
    <w:rsid w:val="00135C0B"/>
    <w:rsid w:val="001371B6"/>
    <w:rsid w:val="001374B6"/>
    <w:rsid w:val="00137A36"/>
    <w:rsid w:val="00137F7A"/>
    <w:rsid w:val="00141021"/>
    <w:rsid w:val="00141EC0"/>
    <w:rsid w:val="0014231E"/>
    <w:rsid w:val="001424E1"/>
    <w:rsid w:val="00144E99"/>
    <w:rsid w:val="00146960"/>
    <w:rsid w:val="00146B89"/>
    <w:rsid w:val="0015027F"/>
    <w:rsid w:val="00150D2D"/>
    <w:rsid w:val="0015103F"/>
    <w:rsid w:val="0015150C"/>
    <w:rsid w:val="0015344E"/>
    <w:rsid w:val="00153610"/>
    <w:rsid w:val="00154608"/>
    <w:rsid w:val="001549B6"/>
    <w:rsid w:val="00156E5E"/>
    <w:rsid w:val="00157491"/>
    <w:rsid w:val="00157AA9"/>
    <w:rsid w:val="00157DA4"/>
    <w:rsid w:val="0016124C"/>
    <w:rsid w:val="00161BF2"/>
    <w:rsid w:val="00162498"/>
    <w:rsid w:val="001628C8"/>
    <w:rsid w:val="001629A0"/>
    <w:rsid w:val="00163099"/>
    <w:rsid w:val="001633A2"/>
    <w:rsid w:val="00163D36"/>
    <w:rsid w:val="00164DBA"/>
    <w:rsid w:val="00165466"/>
    <w:rsid w:val="00166062"/>
    <w:rsid w:val="0016690C"/>
    <w:rsid w:val="00171CF9"/>
    <w:rsid w:val="00171D0E"/>
    <w:rsid w:val="00174195"/>
    <w:rsid w:val="00174ADE"/>
    <w:rsid w:val="0017502F"/>
    <w:rsid w:val="00176605"/>
    <w:rsid w:val="001770AF"/>
    <w:rsid w:val="0017780B"/>
    <w:rsid w:val="00177D74"/>
    <w:rsid w:val="0018097E"/>
    <w:rsid w:val="00182718"/>
    <w:rsid w:val="0018293F"/>
    <w:rsid w:val="00182ABE"/>
    <w:rsid w:val="00182E5B"/>
    <w:rsid w:val="00183304"/>
    <w:rsid w:val="00183F3D"/>
    <w:rsid w:val="00184FCB"/>
    <w:rsid w:val="0018578A"/>
    <w:rsid w:val="00185EE7"/>
    <w:rsid w:val="001874A1"/>
    <w:rsid w:val="00187E7D"/>
    <w:rsid w:val="00190143"/>
    <w:rsid w:val="001901A9"/>
    <w:rsid w:val="0019066A"/>
    <w:rsid w:val="001909D3"/>
    <w:rsid w:val="00191DE3"/>
    <w:rsid w:val="00192751"/>
    <w:rsid w:val="00192A69"/>
    <w:rsid w:val="00193253"/>
    <w:rsid w:val="0019387F"/>
    <w:rsid w:val="00193CDD"/>
    <w:rsid w:val="0019427B"/>
    <w:rsid w:val="00194683"/>
    <w:rsid w:val="00194B23"/>
    <w:rsid w:val="00195CA7"/>
    <w:rsid w:val="00196C70"/>
    <w:rsid w:val="001975ED"/>
    <w:rsid w:val="00197990"/>
    <w:rsid w:val="001A0498"/>
    <w:rsid w:val="001A06FF"/>
    <w:rsid w:val="001A13F9"/>
    <w:rsid w:val="001A29DF"/>
    <w:rsid w:val="001A3110"/>
    <w:rsid w:val="001A325D"/>
    <w:rsid w:val="001A44C5"/>
    <w:rsid w:val="001A59FF"/>
    <w:rsid w:val="001A5C95"/>
    <w:rsid w:val="001A7635"/>
    <w:rsid w:val="001B0BEC"/>
    <w:rsid w:val="001B0F96"/>
    <w:rsid w:val="001B2C89"/>
    <w:rsid w:val="001B3E71"/>
    <w:rsid w:val="001B3FE1"/>
    <w:rsid w:val="001B4059"/>
    <w:rsid w:val="001B51F6"/>
    <w:rsid w:val="001B5444"/>
    <w:rsid w:val="001B657B"/>
    <w:rsid w:val="001B679B"/>
    <w:rsid w:val="001B6C6A"/>
    <w:rsid w:val="001B73FB"/>
    <w:rsid w:val="001B7610"/>
    <w:rsid w:val="001B7FB0"/>
    <w:rsid w:val="001C0EAD"/>
    <w:rsid w:val="001C1B1D"/>
    <w:rsid w:val="001C2B91"/>
    <w:rsid w:val="001C2D5E"/>
    <w:rsid w:val="001C412B"/>
    <w:rsid w:val="001C4262"/>
    <w:rsid w:val="001C4BD6"/>
    <w:rsid w:val="001C574B"/>
    <w:rsid w:val="001C589F"/>
    <w:rsid w:val="001C6053"/>
    <w:rsid w:val="001C681D"/>
    <w:rsid w:val="001C6C50"/>
    <w:rsid w:val="001D0ED4"/>
    <w:rsid w:val="001D247D"/>
    <w:rsid w:val="001D2951"/>
    <w:rsid w:val="001D2AF0"/>
    <w:rsid w:val="001D33FF"/>
    <w:rsid w:val="001D5D84"/>
    <w:rsid w:val="001D6191"/>
    <w:rsid w:val="001D6248"/>
    <w:rsid w:val="001D6538"/>
    <w:rsid w:val="001D663E"/>
    <w:rsid w:val="001D6CEE"/>
    <w:rsid w:val="001D7BF9"/>
    <w:rsid w:val="001D7C3E"/>
    <w:rsid w:val="001E08D3"/>
    <w:rsid w:val="001E1361"/>
    <w:rsid w:val="001E1D64"/>
    <w:rsid w:val="001E2FBD"/>
    <w:rsid w:val="001E3038"/>
    <w:rsid w:val="001E3B1C"/>
    <w:rsid w:val="001E3C6B"/>
    <w:rsid w:val="001E5AC7"/>
    <w:rsid w:val="001E7396"/>
    <w:rsid w:val="001E77A2"/>
    <w:rsid w:val="001F042D"/>
    <w:rsid w:val="001F0B6B"/>
    <w:rsid w:val="001F10BB"/>
    <w:rsid w:val="001F1534"/>
    <w:rsid w:val="001F1DF5"/>
    <w:rsid w:val="001F1EC0"/>
    <w:rsid w:val="001F2282"/>
    <w:rsid w:val="001F34B7"/>
    <w:rsid w:val="001F395D"/>
    <w:rsid w:val="001F3998"/>
    <w:rsid w:val="001F4BCC"/>
    <w:rsid w:val="001F50C2"/>
    <w:rsid w:val="001F50FD"/>
    <w:rsid w:val="001F5364"/>
    <w:rsid w:val="001F5D2F"/>
    <w:rsid w:val="001F79ED"/>
    <w:rsid w:val="00200383"/>
    <w:rsid w:val="00201468"/>
    <w:rsid w:val="0020154B"/>
    <w:rsid w:val="00201D67"/>
    <w:rsid w:val="002026ED"/>
    <w:rsid w:val="00202EDC"/>
    <w:rsid w:val="0020335F"/>
    <w:rsid w:val="0020467B"/>
    <w:rsid w:val="00205C51"/>
    <w:rsid w:val="002079AB"/>
    <w:rsid w:val="00210668"/>
    <w:rsid w:val="00210F7F"/>
    <w:rsid w:val="00211D9C"/>
    <w:rsid w:val="0021216E"/>
    <w:rsid w:val="00212697"/>
    <w:rsid w:val="00213100"/>
    <w:rsid w:val="00213FF4"/>
    <w:rsid w:val="00214866"/>
    <w:rsid w:val="00215486"/>
    <w:rsid w:val="00215897"/>
    <w:rsid w:val="0021617F"/>
    <w:rsid w:val="00216DAA"/>
    <w:rsid w:val="00216FBA"/>
    <w:rsid w:val="00217681"/>
    <w:rsid w:val="0021784E"/>
    <w:rsid w:val="00221CF9"/>
    <w:rsid w:val="00222582"/>
    <w:rsid w:val="00222CC5"/>
    <w:rsid w:val="00223530"/>
    <w:rsid w:val="00223869"/>
    <w:rsid w:val="00223AA6"/>
    <w:rsid w:val="00224D0C"/>
    <w:rsid w:val="002254BF"/>
    <w:rsid w:val="00226055"/>
    <w:rsid w:val="0023096B"/>
    <w:rsid w:val="00230E3A"/>
    <w:rsid w:val="0023156F"/>
    <w:rsid w:val="0023228D"/>
    <w:rsid w:val="00232807"/>
    <w:rsid w:val="0023285E"/>
    <w:rsid w:val="00233160"/>
    <w:rsid w:val="0023553C"/>
    <w:rsid w:val="00235B76"/>
    <w:rsid w:val="00236DF2"/>
    <w:rsid w:val="0023746F"/>
    <w:rsid w:val="00241404"/>
    <w:rsid w:val="00241501"/>
    <w:rsid w:val="0024158F"/>
    <w:rsid w:val="00241C23"/>
    <w:rsid w:val="00241DA2"/>
    <w:rsid w:val="002424F1"/>
    <w:rsid w:val="0024251C"/>
    <w:rsid w:val="00242813"/>
    <w:rsid w:val="00242A0A"/>
    <w:rsid w:val="00242DD0"/>
    <w:rsid w:val="00242F13"/>
    <w:rsid w:val="00243006"/>
    <w:rsid w:val="002437AF"/>
    <w:rsid w:val="0024448F"/>
    <w:rsid w:val="00244B03"/>
    <w:rsid w:val="00245073"/>
    <w:rsid w:val="0024539E"/>
    <w:rsid w:val="00245778"/>
    <w:rsid w:val="00245F65"/>
    <w:rsid w:val="002477F8"/>
    <w:rsid w:val="002503A8"/>
    <w:rsid w:val="00250A0D"/>
    <w:rsid w:val="00250B3B"/>
    <w:rsid w:val="00252463"/>
    <w:rsid w:val="00252B31"/>
    <w:rsid w:val="00252B54"/>
    <w:rsid w:val="00253020"/>
    <w:rsid w:val="00253C45"/>
    <w:rsid w:val="00253CA5"/>
    <w:rsid w:val="002551A9"/>
    <w:rsid w:val="002558A6"/>
    <w:rsid w:val="0025747D"/>
    <w:rsid w:val="00257B24"/>
    <w:rsid w:val="00257E9C"/>
    <w:rsid w:val="00263648"/>
    <w:rsid w:val="00264330"/>
    <w:rsid w:val="002647B3"/>
    <w:rsid w:val="002648C8"/>
    <w:rsid w:val="00264F3F"/>
    <w:rsid w:val="002654BC"/>
    <w:rsid w:val="002657D6"/>
    <w:rsid w:val="002660A0"/>
    <w:rsid w:val="002669AC"/>
    <w:rsid w:val="00267097"/>
    <w:rsid w:val="00267630"/>
    <w:rsid w:val="00267729"/>
    <w:rsid w:val="002678D6"/>
    <w:rsid w:val="002709CF"/>
    <w:rsid w:val="002712E3"/>
    <w:rsid w:val="00271BE8"/>
    <w:rsid w:val="00271F4A"/>
    <w:rsid w:val="00272407"/>
    <w:rsid w:val="002727AC"/>
    <w:rsid w:val="0027281B"/>
    <w:rsid w:val="00273197"/>
    <w:rsid w:val="00273EA7"/>
    <w:rsid w:val="00275076"/>
    <w:rsid w:val="00275D9F"/>
    <w:rsid w:val="00276597"/>
    <w:rsid w:val="002770A2"/>
    <w:rsid w:val="00280FEA"/>
    <w:rsid w:val="002814A2"/>
    <w:rsid w:val="00281F6E"/>
    <w:rsid w:val="00282A33"/>
    <w:rsid w:val="0028310F"/>
    <w:rsid w:val="002834BC"/>
    <w:rsid w:val="00283DDF"/>
    <w:rsid w:val="00283F3E"/>
    <w:rsid w:val="002844AF"/>
    <w:rsid w:val="002844F5"/>
    <w:rsid w:val="002864C4"/>
    <w:rsid w:val="00286928"/>
    <w:rsid w:val="00286D3A"/>
    <w:rsid w:val="00286FA8"/>
    <w:rsid w:val="0029032D"/>
    <w:rsid w:val="00291631"/>
    <w:rsid w:val="00291A47"/>
    <w:rsid w:val="002930C5"/>
    <w:rsid w:val="00293460"/>
    <w:rsid w:val="00293680"/>
    <w:rsid w:val="00294103"/>
    <w:rsid w:val="002944DE"/>
    <w:rsid w:val="00294960"/>
    <w:rsid w:val="00294A48"/>
    <w:rsid w:val="00294C83"/>
    <w:rsid w:val="00295227"/>
    <w:rsid w:val="00295807"/>
    <w:rsid w:val="002959A6"/>
    <w:rsid w:val="00295B5D"/>
    <w:rsid w:val="00296EF5"/>
    <w:rsid w:val="002A05A1"/>
    <w:rsid w:val="002A08C3"/>
    <w:rsid w:val="002A161E"/>
    <w:rsid w:val="002A2310"/>
    <w:rsid w:val="002A32B4"/>
    <w:rsid w:val="002A369F"/>
    <w:rsid w:val="002A3CAB"/>
    <w:rsid w:val="002A4139"/>
    <w:rsid w:val="002A4B60"/>
    <w:rsid w:val="002A4DD5"/>
    <w:rsid w:val="002A55E0"/>
    <w:rsid w:val="002A661B"/>
    <w:rsid w:val="002B03B9"/>
    <w:rsid w:val="002B221C"/>
    <w:rsid w:val="002B2F42"/>
    <w:rsid w:val="002B3BC2"/>
    <w:rsid w:val="002B4C96"/>
    <w:rsid w:val="002B4F8D"/>
    <w:rsid w:val="002B708C"/>
    <w:rsid w:val="002B7B73"/>
    <w:rsid w:val="002C1DF9"/>
    <w:rsid w:val="002C2BCD"/>
    <w:rsid w:val="002C3147"/>
    <w:rsid w:val="002C5697"/>
    <w:rsid w:val="002C58EE"/>
    <w:rsid w:val="002D14F3"/>
    <w:rsid w:val="002D30F3"/>
    <w:rsid w:val="002D3DEA"/>
    <w:rsid w:val="002D43B1"/>
    <w:rsid w:val="002D5041"/>
    <w:rsid w:val="002D5A62"/>
    <w:rsid w:val="002E1D77"/>
    <w:rsid w:val="002E2E03"/>
    <w:rsid w:val="002E3404"/>
    <w:rsid w:val="002E3DCD"/>
    <w:rsid w:val="002E3F61"/>
    <w:rsid w:val="002E41A8"/>
    <w:rsid w:val="002E462E"/>
    <w:rsid w:val="002E5FDF"/>
    <w:rsid w:val="002E6167"/>
    <w:rsid w:val="002E6E03"/>
    <w:rsid w:val="002F0000"/>
    <w:rsid w:val="002F03EE"/>
    <w:rsid w:val="002F0871"/>
    <w:rsid w:val="002F0E64"/>
    <w:rsid w:val="002F1530"/>
    <w:rsid w:val="002F27BE"/>
    <w:rsid w:val="002F29BD"/>
    <w:rsid w:val="002F3CF4"/>
    <w:rsid w:val="002F6A05"/>
    <w:rsid w:val="002F6BBB"/>
    <w:rsid w:val="002F7988"/>
    <w:rsid w:val="00300504"/>
    <w:rsid w:val="0030188F"/>
    <w:rsid w:val="003018B1"/>
    <w:rsid w:val="00301B81"/>
    <w:rsid w:val="00301D16"/>
    <w:rsid w:val="0030278F"/>
    <w:rsid w:val="00303636"/>
    <w:rsid w:val="0030531F"/>
    <w:rsid w:val="003058C3"/>
    <w:rsid w:val="0030628F"/>
    <w:rsid w:val="00307B3C"/>
    <w:rsid w:val="00307C39"/>
    <w:rsid w:val="00310D4B"/>
    <w:rsid w:val="00312AB2"/>
    <w:rsid w:val="0031471A"/>
    <w:rsid w:val="003147C4"/>
    <w:rsid w:val="0031494D"/>
    <w:rsid w:val="0031548A"/>
    <w:rsid w:val="00315BB7"/>
    <w:rsid w:val="00315F09"/>
    <w:rsid w:val="00315FD6"/>
    <w:rsid w:val="003162CE"/>
    <w:rsid w:val="00320888"/>
    <w:rsid w:val="003218DA"/>
    <w:rsid w:val="00321A0C"/>
    <w:rsid w:val="00322542"/>
    <w:rsid w:val="003227CD"/>
    <w:rsid w:val="00323E5E"/>
    <w:rsid w:val="003241AB"/>
    <w:rsid w:val="0032466C"/>
    <w:rsid w:val="00324880"/>
    <w:rsid w:val="00325447"/>
    <w:rsid w:val="003257D6"/>
    <w:rsid w:val="00330A62"/>
    <w:rsid w:val="003317D5"/>
    <w:rsid w:val="0033229A"/>
    <w:rsid w:val="00332C98"/>
    <w:rsid w:val="00333E99"/>
    <w:rsid w:val="0033458D"/>
    <w:rsid w:val="00335516"/>
    <w:rsid w:val="00335897"/>
    <w:rsid w:val="00336268"/>
    <w:rsid w:val="00336ECF"/>
    <w:rsid w:val="00337574"/>
    <w:rsid w:val="00337780"/>
    <w:rsid w:val="0033795B"/>
    <w:rsid w:val="00337E92"/>
    <w:rsid w:val="0034067F"/>
    <w:rsid w:val="003406C3"/>
    <w:rsid w:val="00340875"/>
    <w:rsid w:val="00340C93"/>
    <w:rsid w:val="00341396"/>
    <w:rsid w:val="003413E2"/>
    <w:rsid w:val="00342734"/>
    <w:rsid w:val="00343C26"/>
    <w:rsid w:val="00344100"/>
    <w:rsid w:val="003454F5"/>
    <w:rsid w:val="00345D96"/>
    <w:rsid w:val="00346AB2"/>
    <w:rsid w:val="00346C9D"/>
    <w:rsid w:val="00347020"/>
    <w:rsid w:val="003475E0"/>
    <w:rsid w:val="00347DD9"/>
    <w:rsid w:val="00347F45"/>
    <w:rsid w:val="00350EA3"/>
    <w:rsid w:val="00350EBF"/>
    <w:rsid w:val="00351253"/>
    <w:rsid w:val="00353F07"/>
    <w:rsid w:val="0035448D"/>
    <w:rsid w:val="00354B32"/>
    <w:rsid w:val="003570D6"/>
    <w:rsid w:val="003572A4"/>
    <w:rsid w:val="0035741A"/>
    <w:rsid w:val="003577B4"/>
    <w:rsid w:val="00361879"/>
    <w:rsid w:val="00361AC1"/>
    <w:rsid w:val="00362562"/>
    <w:rsid w:val="00362AAE"/>
    <w:rsid w:val="00362DF2"/>
    <w:rsid w:val="00363FBB"/>
    <w:rsid w:val="003644C2"/>
    <w:rsid w:val="00365324"/>
    <w:rsid w:val="00365F3A"/>
    <w:rsid w:val="003667D8"/>
    <w:rsid w:val="00367B2D"/>
    <w:rsid w:val="00370EB2"/>
    <w:rsid w:val="00370F92"/>
    <w:rsid w:val="0037123A"/>
    <w:rsid w:val="0037170A"/>
    <w:rsid w:val="00371BAF"/>
    <w:rsid w:val="003720DA"/>
    <w:rsid w:val="003722F0"/>
    <w:rsid w:val="00372CC9"/>
    <w:rsid w:val="00372FA7"/>
    <w:rsid w:val="0037455B"/>
    <w:rsid w:val="003753DF"/>
    <w:rsid w:val="00375464"/>
    <w:rsid w:val="00375692"/>
    <w:rsid w:val="00375875"/>
    <w:rsid w:val="00375A47"/>
    <w:rsid w:val="00375BBA"/>
    <w:rsid w:val="00376E55"/>
    <w:rsid w:val="00376EC3"/>
    <w:rsid w:val="0037718C"/>
    <w:rsid w:val="00377C82"/>
    <w:rsid w:val="00380F3F"/>
    <w:rsid w:val="00381006"/>
    <w:rsid w:val="00381EFD"/>
    <w:rsid w:val="0038281F"/>
    <w:rsid w:val="0038385E"/>
    <w:rsid w:val="00384CE3"/>
    <w:rsid w:val="003856C9"/>
    <w:rsid w:val="003865B4"/>
    <w:rsid w:val="003914AE"/>
    <w:rsid w:val="003914C5"/>
    <w:rsid w:val="003918D6"/>
    <w:rsid w:val="00391985"/>
    <w:rsid w:val="00393839"/>
    <w:rsid w:val="0039408A"/>
    <w:rsid w:val="0039487E"/>
    <w:rsid w:val="00394D98"/>
    <w:rsid w:val="00395225"/>
    <w:rsid w:val="00395C7B"/>
    <w:rsid w:val="003969F6"/>
    <w:rsid w:val="003A080B"/>
    <w:rsid w:val="003A137C"/>
    <w:rsid w:val="003A1FC2"/>
    <w:rsid w:val="003A272D"/>
    <w:rsid w:val="003A323F"/>
    <w:rsid w:val="003A510B"/>
    <w:rsid w:val="003A55A2"/>
    <w:rsid w:val="003A6652"/>
    <w:rsid w:val="003A6723"/>
    <w:rsid w:val="003A7215"/>
    <w:rsid w:val="003A7C12"/>
    <w:rsid w:val="003A7C7E"/>
    <w:rsid w:val="003B1726"/>
    <w:rsid w:val="003B1C25"/>
    <w:rsid w:val="003B1D38"/>
    <w:rsid w:val="003B25FB"/>
    <w:rsid w:val="003B2729"/>
    <w:rsid w:val="003B2FD8"/>
    <w:rsid w:val="003B3B87"/>
    <w:rsid w:val="003B3CC1"/>
    <w:rsid w:val="003B5672"/>
    <w:rsid w:val="003B7E06"/>
    <w:rsid w:val="003C3B64"/>
    <w:rsid w:val="003C4641"/>
    <w:rsid w:val="003C4A65"/>
    <w:rsid w:val="003C4D4F"/>
    <w:rsid w:val="003C5E2A"/>
    <w:rsid w:val="003C647C"/>
    <w:rsid w:val="003C6F6A"/>
    <w:rsid w:val="003C7092"/>
    <w:rsid w:val="003D0426"/>
    <w:rsid w:val="003D08D2"/>
    <w:rsid w:val="003D1728"/>
    <w:rsid w:val="003D2162"/>
    <w:rsid w:val="003D5EC0"/>
    <w:rsid w:val="003D62B0"/>
    <w:rsid w:val="003D7606"/>
    <w:rsid w:val="003D7799"/>
    <w:rsid w:val="003E0365"/>
    <w:rsid w:val="003E14A2"/>
    <w:rsid w:val="003E20DE"/>
    <w:rsid w:val="003E2308"/>
    <w:rsid w:val="003E2B21"/>
    <w:rsid w:val="003E3727"/>
    <w:rsid w:val="003E37F3"/>
    <w:rsid w:val="003E397B"/>
    <w:rsid w:val="003E39C3"/>
    <w:rsid w:val="003E4329"/>
    <w:rsid w:val="003E4635"/>
    <w:rsid w:val="003E47B6"/>
    <w:rsid w:val="003E4897"/>
    <w:rsid w:val="003E5651"/>
    <w:rsid w:val="003E5700"/>
    <w:rsid w:val="003E588E"/>
    <w:rsid w:val="003E5CEC"/>
    <w:rsid w:val="003E6235"/>
    <w:rsid w:val="003E661A"/>
    <w:rsid w:val="003E6A85"/>
    <w:rsid w:val="003E72DA"/>
    <w:rsid w:val="003E7DD4"/>
    <w:rsid w:val="003F0064"/>
    <w:rsid w:val="003F33F0"/>
    <w:rsid w:val="003F4AF5"/>
    <w:rsid w:val="003F4C28"/>
    <w:rsid w:val="003F5486"/>
    <w:rsid w:val="003F5A00"/>
    <w:rsid w:val="003F7811"/>
    <w:rsid w:val="003F7A97"/>
    <w:rsid w:val="003F7E2B"/>
    <w:rsid w:val="00400A11"/>
    <w:rsid w:val="00400EA7"/>
    <w:rsid w:val="00400FA6"/>
    <w:rsid w:val="004010C1"/>
    <w:rsid w:val="004017ED"/>
    <w:rsid w:val="00401891"/>
    <w:rsid w:val="00401E88"/>
    <w:rsid w:val="00402E8E"/>
    <w:rsid w:val="0040311D"/>
    <w:rsid w:val="0040406C"/>
    <w:rsid w:val="00404CBB"/>
    <w:rsid w:val="0040504E"/>
    <w:rsid w:val="00405D01"/>
    <w:rsid w:val="0040746C"/>
    <w:rsid w:val="004076CF"/>
    <w:rsid w:val="00407F27"/>
    <w:rsid w:val="0041053D"/>
    <w:rsid w:val="004117D4"/>
    <w:rsid w:val="0041387D"/>
    <w:rsid w:val="004139D0"/>
    <w:rsid w:val="00414071"/>
    <w:rsid w:val="00414311"/>
    <w:rsid w:val="004156CC"/>
    <w:rsid w:val="00415BB0"/>
    <w:rsid w:val="00416449"/>
    <w:rsid w:val="004175E5"/>
    <w:rsid w:val="00417C6E"/>
    <w:rsid w:val="00417C87"/>
    <w:rsid w:val="0042066F"/>
    <w:rsid w:val="00421341"/>
    <w:rsid w:val="004218B7"/>
    <w:rsid w:val="004220EF"/>
    <w:rsid w:val="00423170"/>
    <w:rsid w:val="00423561"/>
    <w:rsid w:val="00424044"/>
    <w:rsid w:val="00424287"/>
    <w:rsid w:val="0042448F"/>
    <w:rsid w:val="0042564E"/>
    <w:rsid w:val="0042628F"/>
    <w:rsid w:val="004272C2"/>
    <w:rsid w:val="0042788D"/>
    <w:rsid w:val="0042797D"/>
    <w:rsid w:val="004309EF"/>
    <w:rsid w:val="00431F39"/>
    <w:rsid w:val="00431F73"/>
    <w:rsid w:val="00434244"/>
    <w:rsid w:val="00434267"/>
    <w:rsid w:val="00435A94"/>
    <w:rsid w:val="00435ADC"/>
    <w:rsid w:val="00435BF9"/>
    <w:rsid w:val="00435F97"/>
    <w:rsid w:val="00435FBE"/>
    <w:rsid w:val="00437215"/>
    <w:rsid w:val="0044009F"/>
    <w:rsid w:val="00441986"/>
    <w:rsid w:val="00441C3E"/>
    <w:rsid w:val="004425A5"/>
    <w:rsid w:val="00442DD2"/>
    <w:rsid w:val="004435F4"/>
    <w:rsid w:val="00445DC5"/>
    <w:rsid w:val="0044616C"/>
    <w:rsid w:val="004462BD"/>
    <w:rsid w:val="0045140D"/>
    <w:rsid w:val="00451670"/>
    <w:rsid w:val="0045309A"/>
    <w:rsid w:val="00454FA7"/>
    <w:rsid w:val="00456CAA"/>
    <w:rsid w:val="00456ECB"/>
    <w:rsid w:val="004617B2"/>
    <w:rsid w:val="00461F70"/>
    <w:rsid w:val="0046246C"/>
    <w:rsid w:val="004624CD"/>
    <w:rsid w:val="004628EF"/>
    <w:rsid w:val="00462AD7"/>
    <w:rsid w:val="004652C7"/>
    <w:rsid w:val="00466146"/>
    <w:rsid w:val="004662EE"/>
    <w:rsid w:val="004666ED"/>
    <w:rsid w:val="00466958"/>
    <w:rsid w:val="00467BF9"/>
    <w:rsid w:val="00470311"/>
    <w:rsid w:val="00470F92"/>
    <w:rsid w:val="00471333"/>
    <w:rsid w:val="00473418"/>
    <w:rsid w:val="00474053"/>
    <w:rsid w:val="00474903"/>
    <w:rsid w:val="00475254"/>
    <w:rsid w:val="00475C67"/>
    <w:rsid w:val="00477811"/>
    <w:rsid w:val="00477A65"/>
    <w:rsid w:val="004815BE"/>
    <w:rsid w:val="004819D2"/>
    <w:rsid w:val="004826D8"/>
    <w:rsid w:val="0048363D"/>
    <w:rsid w:val="00484D37"/>
    <w:rsid w:val="0048536F"/>
    <w:rsid w:val="00486138"/>
    <w:rsid w:val="0048694D"/>
    <w:rsid w:val="0048793C"/>
    <w:rsid w:val="00487C26"/>
    <w:rsid w:val="0049006A"/>
    <w:rsid w:val="0049036D"/>
    <w:rsid w:val="0049215D"/>
    <w:rsid w:val="00492306"/>
    <w:rsid w:val="00492ADA"/>
    <w:rsid w:val="00492DAE"/>
    <w:rsid w:val="0049417C"/>
    <w:rsid w:val="00494D23"/>
    <w:rsid w:val="00494F27"/>
    <w:rsid w:val="004954A4"/>
    <w:rsid w:val="00495C54"/>
    <w:rsid w:val="0049666D"/>
    <w:rsid w:val="0049776D"/>
    <w:rsid w:val="00497957"/>
    <w:rsid w:val="004A057E"/>
    <w:rsid w:val="004A0C1C"/>
    <w:rsid w:val="004A1372"/>
    <w:rsid w:val="004A1F54"/>
    <w:rsid w:val="004A2362"/>
    <w:rsid w:val="004A25BC"/>
    <w:rsid w:val="004A2D7E"/>
    <w:rsid w:val="004A3F1F"/>
    <w:rsid w:val="004A4448"/>
    <w:rsid w:val="004A4608"/>
    <w:rsid w:val="004A4CDA"/>
    <w:rsid w:val="004A4D29"/>
    <w:rsid w:val="004A4E88"/>
    <w:rsid w:val="004A5DF3"/>
    <w:rsid w:val="004A75A1"/>
    <w:rsid w:val="004A7869"/>
    <w:rsid w:val="004A7872"/>
    <w:rsid w:val="004B0138"/>
    <w:rsid w:val="004B020D"/>
    <w:rsid w:val="004B03D4"/>
    <w:rsid w:val="004B0E85"/>
    <w:rsid w:val="004B2C4E"/>
    <w:rsid w:val="004B3AD2"/>
    <w:rsid w:val="004B4C18"/>
    <w:rsid w:val="004B4DC5"/>
    <w:rsid w:val="004B54C3"/>
    <w:rsid w:val="004B5B21"/>
    <w:rsid w:val="004B66F8"/>
    <w:rsid w:val="004B7329"/>
    <w:rsid w:val="004B7C1A"/>
    <w:rsid w:val="004C0080"/>
    <w:rsid w:val="004C0EB8"/>
    <w:rsid w:val="004C0FD9"/>
    <w:rsid w:val="004C1003"/>
    <w:rsid w:val="004C11D9"/>
    <w:rsid w:val="004C23A0"/>
    <w:rsid w:val="004C24D9"/>
    <w:rsid w:val="004C26B5"/>
    <w:rsid w:val="004C29D1"/>
    <w:rsid w:val="004C360B"/>
    <w:rsid w:val="004C3DD9"/>
    <w:rsid w:val="004C402F"/>
    <w:rsid w:val="004C4229"/>
    <w:rsid w:val="004C4321"/>
    <w:rsid w:val="004C4BC3"/>
    <w:rsid w:val="004C5131"/>
    <w:rsid w:val="004C5465"/>
    <w:rsid w:val="004C54F1"/>
    <w:rsid w:val="004C5516"/>
    <w:rsid w:val="004C69B8"/>
    <w:rsid w:val="004C6DA8"/>
    <w:rsid w:val="004C7D0E"/>
    <w:rsid w:val="004D1137"/>
    <w:rsid w:val="004D125D"/>
    <w:rsid w:val="004D14F6"/>
    <w:rsid w:val="004D1E84"/>
    <w:rsid w:val="004D3A5D"/>
    <w:rsid w:val="004D42D5"/>
    <w:rsid w:val="004D4CFB"/>
    <w:rsid w:val="004D6A05"/>
    <w:rsid w:val="004E0F2B"/>
    <w:rsid w:val="004E17F6"/>
    <w:rsid w:val="004E23F6"/>
    <w:rsid w:val="004E38DA"/>
    <w:rsid w:val="004E4A75"/>
    <w:rsid w:val="004E5E16"/>
    <w:rsid w:val="004E5F68"/>
    <w:rsid w:val="004E61AC"/>
    <w:rsid w:val="004E768F"/>
    <w:rsid w:val="004E78D3"/>
    <w:rsid w:val="004F0C06"/>
    <w:rsid w:val="004F0C7F"/>
    <w:rsid w:val="004F1913"/>
    <w:rsid w:val="004F2364"/>
    <w:rsid w:val="004F24DA"/>
    <w:rsid w:val="004F27D5"/>
    <w:rsid w:val="004F2C1F"/>
    <w:rsid w:val="004F3220"/>
    <w:rsid w:val="004F3D98"/>
    <w:rsid w:val="004F3E4F"/>
    <w:rsid w:val="004F585D"/>
    <w:rsid w:val="004F5985"/>
    <w:rsid w:val="004F6480"/>
    <w:rsid w:val="004F6820"/>
    <w:rsid w:val="004F726F"/>
    <w:rsid w:val="004F730B"/>
    <w:rsid w:val="00501C32"/>
    <w:rsid w:val="00502FAF"/>
    <w:rsid w:val="005031DA"/>
    <w:rsid w:val="00503211"/>
    <w:rsid w:val="0050401B"/>
    <w:rsid w:val="00504069"/>
    <w:rsid w:val="00504638"/>
    <w:rsid w:val="005053F2"/>
    <w:rsid w:val="005059F2"/>
    <w:rsid w:val="005065E6"/>
    <w:rsid w:val="00506B8B"/>
    <w:rsid w:val="005078E6"/>
    <w:rsid w:val="00510334"/>
    <w:rsid w:val="00510E07"/>
    <w:rsid w:val="00511A11"/>
    <w:rsid w:val="00511B4A"/>
    <w:rsid w:val="00513014"/>
    <w:rsid w:val="00514632"/>
    <w:rsid w:val="005146E2"/>
    <w:rsid w:val="00514769"/>
    <w:rsid w:val="00514A67"/>
    <w:rsid w:val="00514BC9"/>
    <w:rsid w:val="00515044"/>
    <w:rsid w:val="00515A75"/>
    <w:rsid w:val="005167B5"/>
    <w:rsid w:val="005174AA"/>
    <w:rsid w:val="005174F0"/>
    <w:rsid w:val="00517610"/>
    <w:rsid w:val="00517C91"/>
    <w:rsid w:val="00520E2D"/>
    <w:rsid w:val="0052141A"/>
    <w:rsid w:val="005214FC"/>
    <w:rsid w:val="00521A39"/>
    <w:rsid w:val="00522145"/>
    <w:rsid w:val="00522442"/>
    <w:rsid w:val="0052401D"/>
    <w:rsid w:val="005257CE"/>
    <w:rsid w:val="005269EE"/>
    <w:rsid w:val="00526B9B"/>
    <w:rsid w:val="00527A3B"/>
    <w:rsid w:val="00533C54"/>
    <w:rsid w:val="005345EF"/>
    <w:rsid w:val="00534C9D"/>
    <w:rsid w:val="00534D91"/>
    <w:rsid w:val="00535D64"/>
    <w:rsid w:val="0053649A"/>
    <w:rsid w:val="005365DE"/>
    <w:rsid w:val="00536B46"/>
    <w:rsid w:val="005379FF"/>
    <w:rsid w:val="00537EDE"/>
    <w:rsid w:val="00540162"/>
    <w:rsid w:val="00540A4C"/>
    <w:rsid w:val="00542B56"/>
    <w:rsid w:val="0054379F"/>
    <w:rsid w:val="0054389D"/>
    <w:rsid w:val="0054450B"/>
    <w:rsid w:val="0054475F"/>
    <w:rsid w:val="00545312"/>
    <w:rsid w:val="005455A6"/>
    <w:rsid w:val="00546687"/>
    <w:rsid w:val="00546A5C"/>
    <w:rsid w:val="00546F21"/>
    <w:rsid w:val="0054782A"/>
    <w:rsid w:val="00547BB2"/>
    <w:rsid w:val="0055112D"/>
    <w:rsid w:val="005518C9"/>
    <w:rsid w:val="005520E5"/>
    <w:rsid w:val="005525A0"/>
    <w:rsid w:val="00552F2B"/>
    <w:rsid w:val="0055384C"/>
    <w:rsid w:val="00553C3D"/>
    <w:rsid w:val="005549E9"/>
    <w:rsid w:val="00554AB3"/>
    <w:rsid w:val="00555C40"/>
    <w:rsid w:val="005601E3"/>
    <w:rsid w:val="00560B9F"/>
    <w:rsid w:val="00560F69"/>
    <w:rsid w:val="005611E6"/>
    <w:rsid w:val="00561255"/>
    <w:rsid w:val="005614C7"/>
    <w:rsid w:val="00561840"/>
    <w:rsid w:val="00562177"/>
    <w:rsid w:val="00565900"/>
    <w:rsid w:val="00565AD5"/>
    <w:rsid w:val="00565AF7"/>
    <w:rsid w:val="00565DAD"/>
    <w:rsid w:val="00566771"/>
    <w:rsid w:val="005678B2"/>
    <w:rsid w:val="00567A65"/>
    <w:rsid w:val="00567AC5"/>
    <w:rsid w:val="00567F50"/>
    <w:rsid w:val="0057053F"/>
    <w:rsid w:val="00570A07"/>
    <w:rsid w:val="00570DD2"/>
    <w:rsid w:val="00570E9C"/>
    <w:rsid w:val="005713C8"/>
    <w:rsid w:val="00571ECE"/>
    <w:rsid w:val="005724A7"/>
    <w:rsid w:val="005727BE"/>
    <w:rsid w:val="00574301"/>
    <w:rsid w:val="00576355"/>
    <w:rsid w:val="0057691E"/>
    <w:rsid w:val="0058098A"/>
    <w:rsid w:val="00580FE5"/>
    <w:rsid w:val="0058188C"/>
    <w:rsid w:val="00581B6F"/>
    <w:rsid w:val="00582144"/>
    <w:rsid w:val="00584873"/>
    <w:rsid w:val="005852CA"/>
    <w:rsid w:val="0058557F"/>
    <w:rsid w:val="0058558B"/>
    <w:rsid w:val="00586D61"/>
    <w:rsid w:val="00591198"/>
    <w:rsid w:val="005943F9"/>
    <w:rsid w:val="00594CA6"/>
    <w:rsid w:val="0059517B"/>
    <w:rsid w:val="005952F7"/>
    <w:rsid w:val="005963C5"/>
    <w:rsid w:val="00596DB4"/>
    <w:rsid w:val="005A04B6"/>
    <w:rsid w:val="005A09AE"/>
    <w:rsid w:val="005A0C2D"/>
    <w:rsid w:val="005A0E0E"/>
    <w:rsid w:val="005A0E20"/>
    <w:rsid w:val="005A16F0"/>
    <w:rsid w:val="005A2A03"/>
    <w:rsid w:val="005A39C2"/>
    <w:rsid w:val="005A3AE8"/>
    <w:rsid w:val="005A3C44"/>
    <w:rsid w:val="005A4119"/>
    <w:rsid w:val="005A49C0"/>
    <w:rsid w:val="005A4C78"/>
    <w:rsid w:val="005A4F77"/>
    <w:rsid w:val="005A5357"/>
    <w:rsid w:val="005A7F8E"/>
    <w:rsid w:val="005B0D4F"/>
    <w:rsid w:val="005B1C90"/>
    <w:rsid w:val="005B29E0"/>
    <w:rsid w:val="005B5570"/>
    <w:rsid w:val="005B6347"/>
    <w:rsid w:val="005B6BA2"/>
    <w:rsid w:val="005C0299"/>
    <w:rsid w:val="005C0B41"/>
    <w:rsid w:val="005C0C1F"/>
    <w:rsid w:val="005C0CCA"/>
    <w:rsid w:val="005C1386"/>
    <w:rsid w:val="005C1AD6"/>
    <w:rsid w:val="005C227C"/>
    <w:rsid w:val="005C329D"/>
    <w:rsid w:val="005C34A7"/>
    <w:rsid w:val="005C3787"/>
    <w:rsid w:val="005C5215"/>
    <w:rsid w:val="005C55BA"/>
    <w:rsid w:val="005C58EB"/>
    <w:rsid w:val="005C6017"/>
    <w:rsid w:val="005C6CCF"/>
    <w:rsid w:val="005C73D0"/>
    <w:rsid w:val="005D08A4"/>
    <w:rsid w:val="005D0A24"/>
    <w:rsid w:val="005D0C52"/>
    <w:rsid w:val="005D1B08"/>
    <w:rsid w:val="005D1E1B"/>
    <w:rsid w:val="005D3143"/>
    <w:rsid w:val="005D34DF"/>
    <w:rsid w:val="005D3A00"/>
    <w:rsid w:val="005D3FE1"/>
    <w:rsid w:val="005D461D"/>
    <w:rsid w:val="005D4A4B"/>
    <w:rsid w:val="005D56CE"/>
    <w:rsid w:val="005D5F6D"/>
    <w:rsid w:val="005D6210"/>
    <w:rsid w:val="005D6334"/>
    <w:rsid w:val="005D6DD6"/>
    <w:rsid w:val="005E0EFA"/>
    <w:rsid w:val="005E18AF"/>
    <w:rsid w:val="005E1C43"/>
    <w:rsid w:val="005E1C60"/>
    <w:rsid w:val="005E1EDB"/>
    <w:rsid w:val="005E2A6F"/>
    <w:rsid w:val="005E316C"/>
    <w:rsid w:val="005E3CEF"/>
    <w:rsid w:val="005E425E"/>
    <w:rsid w:val="005E479B"/>
    <w:rsid w:val="005E7182"/>
    <w:rsid w:val="005E7266"/>
    <w:rsid w:val="005E7630"/>
    <w:rsid w:val="005E79DA"/>
    <w:rsid w:val="005F08B7"/>
    <w:rsid w:val="005F1990"/>
    <w:rsid w:val="005F29D7"/>
    <w:rsid w:val="005F2ED0"/>
    <w:rsid w:val="005F2FEF"/>
    <w:rsid w:val="005F36AB"/>
    <w:rsid w:val="005F38B4"/>
    <w:rsid w:val="005F3F0D"/>
    <w:rsid w:val="005F40BF"/>
    <w:rsid w:val="005F5274"/>
    <w:rsid w:val="005F58D4"/>
    <w:rsid w:val="005F6031"/>
    <w:rsid w:val="005F63D3"/>
    <w:rsid w:val="005F685D"/>
    <w:rsid w:val="005F6998"/>
    <w:rsid w:val="005F69D1"/>
    <w:rsid w:val="006003C8"/>
    <w:rsid w:val="006021BE"/>
    <w:rsid w:val="0060320D"/>
    <w:rsid w:val="00603625"/>
    <w:rsid w:val="00603AB1"/>
    <w:rsid w:val="00603AE6"/>
    <w:rsid w:val="006053DA"/>
    <w:rsid w:val="00606D7F"/>
    <w:rsid w:val="00607A42"/>
    <w:rsid w:val="00607DE8"/>
    <w:rsid w:val="00607EFA"/>
    <w:rsid w:val="006104FE"/>
    <w:rsid w:val="006108DA"/>
    <w:rsid w:val="00610C2D"/>
    <w:rsid w:val="006116A5"/>
    <w:rsid w:val="006120A1"/>
    <w:rsid w:val="006123CB"/>
    <w:rsid w:val="006124AF"/>
    <w:rsid w:val="006131FE"/>
    <w:rsid w:val="00613693"/>
    <w:rsid w:val="006148F7"/>
    <w:rsid w:val="006178CC"/>
    <w:rsid w:val="0062032A"/>
    <w:rsid w:val="00620454"/>
    <w:rsid w:val="00620705"/>
    <w:rsid w:val="0062124E"/>
    <w:rsid w:val="006215FD"/>
    <w:rsid w:val="00621C70"/>
    <w:rsid w:val="00621EF7"/>
    <w:rsid w:val="006226D8"/>
    <w:rsid w:val="0062303F"/>
    <w:rsid w:val="00623236"/>
    <w:rsid w:val="00623F3E"/>
    <w:rsid w:val="00624429"/>
    <w:rsid w:val="00624654"/>
    <w:rsid w:val="00625CA5"/>
    <w:rsid w:val="006279AB"/>
    <w:rsid w:val="00627C78"/>
    <w:rsid w:val="0063001A"/>
    <w:rsid w:val="00630C61"/>
    <w:rsid w:val="00630D71"/>
    <w:rsid w:val="00631BDD"/>
    <w:rsid w:val="00631F65"/>
    <w:rsid w:val="0063315E"/>
    <w:rsid w:val="0063320E"/>
    <w:rsid w:val="0063361A"/>
    <w:rsid w:val="0063373D"/>
    <w:rsid w:val="0063476F"/>
    <w:rsid w:val="006355E6"/>
    <w:rsid w:val="00635E9D"/>
    <w:rsid w:val="00636729"/>
    <w:rsid w:val="00636BBB"/>
    <w:rsid w:val="00637BAE"/>
    <w:rsid w:val="00640AD6"/>
    <w:rsid w:val="00641327"/>
    <w:rsid w:val="0064171E"/>
    <w:rsid w:val="00641B05"/>
    <w:rsid w:val="0064315D"/>
    <w:rsid w:val="00645191"/>
    <w:rsid w:val="00645604"/>
    <w:rsid w:val="00646798"/>
    <w:rsid w:val="0064705E"/>
    <w:rsid w:val="006503A2"/>
    <w:rsid w:val="006514E6"/>
    <w:rsid w:val="00652306"/>
    <w:rsid w:val="0065253E"/>
    <w:rsid w:val="00653653"/>
    <w:rsid w:val="0065436F"/>
    <w:rsid w:val="00654701"/>
    <w:rsid w:val="00655A71"/>
    <w:rsid w:val="00656734"/>
    <w:rsid w:val="006572D9"/>
    <w:rsid w:val="006602A0"/>
    <w:rsid w:val="00660F07"/>
    <w:rsid w:val="0066313B"/>
    <w:rsid w:val="00663FB1"/>
    <w:rsid w:val="00663FE6"/>
    <w:rsid w:val="0066441A"/>
    <w:rsid w:val="0066690B"/>
    <w:rsid w:val="00667DAF"/>
    <w:rsid w:val="00667FE2"/>
    <w:rsid w:val="00670230"/>
    <w:rsid w:val="00671759"/>
    <w:rsid w:val="006729DC"/>
    <w:rsid w:val="006741E1"/>
    <w:rsid w:val="0067659D"/>
    <w:rsid w:val="00677D78"/>
    <w:rsid w:val="00680D6F"/>
    <w:rsid w:val="0068130A"/>
    <w:rsid w:val="00681BED"/>
    <w:rsid w:val="006831BC"/>
    <w:rsid w:val="0068503D"/>
    <w:rsid w:val="00685D9A"/>
    <w:rsid w:val="006860A6"/>
    <w:rsid w:val="006860E6"/>
    <w:rsid w:val="006864D6"/>
    <w:rsid w:val="0069089D"/>
    <w:rsid w:val="00690C7F"/>
    <w:rsid w:val="006915DA"/>
    <w:rsid w:val="006918BB"/>
    <w:rsid w:val="00691EF7"/>
    <w:rsid w:val="006922BF"/>
    <w:rsid w:val="006929AA"/>
    <w:rsid w:val="006941DF"/>
    <w:rsid w:val="006941F3"/>
    <w:rsid w:val="00694DBE"/>
    <w:rsid w:val="0069530D"/>
    <w:rsid w:val="00695603"/>
    <w:rsid w:val="00695A95"/>
    <w:rsid w:val="0069625A"/>
    <w:rsid w:val="006A1C2A"/>
    <w:rsid w:val="006A2184"/>
    <w:rsid w:val="006A3A23"/>
    <w:rsid w:val="006A5334"/>
    <w:rsid w:val="006A57E8"/>
    <w:rsid w:val="006A5847"/>
    <w:rsid w:val="006A6D79"/>
    <w:rsid w:val="006B03EF"/>
    <w:rsid w:val="006B166E"/>
    <w:rsid w:val="006B1876"/>
    <w:rsid w:val="006B1C1C"/>
    <w:rsid w:val="006B27BA"/>
    <w:rsid w:val="006B3B82"/>
    <w:rsid w:val="006B3BDF"/>
    <w:rsid w:val="006B5F41"/>
    <w:rsid w:val="006B6060"/>
    <w:rsid w:val="006B669B"/>
    <w:rsid w:val="006B677D"/>
    <w:rsid w:val="006B723E"/>
    <w:rsid w:val="006B7966"/>
    <w:rsid w:val="006B7E5B"/>
    <w:rsid w:val="006C093F"/>
    <w:rsid w:val="006C16B1"/>
    <w:rsid w:val="006C173F"/>
    <w:rsid w:val="006C1EDB"/>
    <w:rsid w:val="006C234C"/>
    <w:rsid w:val="006C282C"/>
    <w:rsid w:val="006C2C38"/>
    <w:rsid w:val="006C2EBA"/>
    <w:rsid w:val="006C4CDF"/>
    <w:rsid w:val="006C50C7"/>
    <w:rsid w:val="006C57DD"/>
    <w:rsid w:val="006C5DBE"/>
    <w:rsid w:val="006C5EB5"/>
    <w:rsid w:val="006C61F3"/>
    <w:rsid w:val="006C6325"/>
    <w:rsid w:val="006C661D"/>
    <w:rsid w:val="006C6BE0"/>
    <w:rsid w:val="006C7E62"/>
    <w:rsid w:val="006D0AAA"/>
    <w:rsid w:val="006D24DA"/>
    <w:rsid w:val="006D2B57"/>
    <w:rsid w:val="006D2BF8"/>
    <w:rsid w:val="006D3623"/>
    <w:rsid w:val="006D3729"/>
    <w:rsid w:val="006D3774"/>
    <w:rsid w:val="006D5286"/>
    <w:rsid w:val="006D60E0"/>
    <w:rsid w:val="006D794F"/>
    <w:rsid w:val="006D7E40"/>
    <w:rsid w:val="006E03DA"/>
    <w:rsid w:val="006E04C8"/>
    <w:rsid w:val="006E075D"/>
    <w:rsid w:val="006E0F26"/>
    <w:rsid w:val="006E1086"/>
    <w:rsid w:val="006E2ED7"/>
    <w:rsid w:val="006E33C8"/>
    <w:rsid w:val="006E3502"/>
    <w:rsid w:val="006E4472"/>
    <w:rsid w:val="006E4CA9"/>
    <w:rsid w:val="006E50F4"/>
    <w:rsid w:val="006E6679"/>
    <w:rsid w:val="006E6B3A"/>
    <w:rsid w:val="006E71D1"/>
    <w:rsid w:val="006E72E6"/>
    <w:rsid w:val="006E7C79"/>
    <w:rsid w:val="006E7D4C"/>
    <w:rsid w:val="006F02B3"/>
    <w:rsid w:val="006F0B4E"/>
    <w:rsid w:val="006F0F7B"/>
    <w:rsid w:val="006F1CF6"/>
    <w:rsid w:val="006F1F7F"/>
    <w:rsid w:val="006F367C"/>
    <w:rsid w:val="006F4593"/>
    <w:rsid w:val="006F4C9F"/>
    <w:rsid w:val="006F4EC0"/>
    <w:rsid w:val="006F58EA"/>
    <w:rsid w:val="006F692E"/>
    <w:rsid w:val="006F6A92"/>
    <w:rsid w:val="00700558"/>
    <w:rsid w:val="00701354"/>
    <w:rsid w:val="007014E4"/>
    <w:rsid w:val="00701B4C"/>
    <w:rsid w:val="00701DCA"/>
    <w:rsid w:val="00701E03"/>
    <w:rsid w:val="00702518"/>
    <w:rsid w:val="00704712"/>
    <w:rsid w:val="00704DF1"/>
    <w:rsid w:val="00705BAE"/>
    <w:rsid w:val="00705C5F"/>
    <w:rsid w:val="00705FB0"/>
    <w:rsid w:val="00706ED1"/>
    <w:rsid w:val="0070708B"/>
    <w:rsid w:val="0070761B"/>
    <w:rsid w:val="00707A50"/>
    <w:rsid w:val="00707CFF"/>
    <w:rsid w:val="00707EFE"/>
    <w:rsid w:val="00710479"/>
    <w:rsid w:val="0071051E"/>
    <w:rsid w:val="007115F2"/>
    <w:rsid w:val="00711618"/>
    <w:rsid w:val="00711635"/>
    <w:rsid w:val="0071171D"/>
    <w:rsid w:val="00711EB8"/>
    <w:rsid w:val="00712B71"/>
    <w:rsid w:val="00714996"/>
    <w:rsid w:val="007153E9"/>
    <w:rsid w:val="00716AAB"/>
    <w:rsid w:val="00716B3A"/>
    <w:rsid w:val="00716D86"/>
    <w:rsid w:val="00717655"/>
    <w:rsid w:val="00720FF6"/>
    <w:rsid w:val="00721115"/>
    <w:rsid w:val="007216E5"/>
    <w:rsid w:val="00721C2A"/>
    <w:rsid w:val="00722968"/>
    <w:rsid w:val="0072344B"/>
    <w:rsid w:val="00723844"/>
    <w:rsid w:val="00724798"/>
    <w:rsid w:val="007253C7"/>
    <w:rsid w:val="00726BF9"/>
    <w:rsid w:val="00727392"/>
    <w:rsid w:val="00730BBF"/>
    <w:rsid w:val="00731EB6"/>
    <w:rsid w:val="00732AF4"/>
    <w:rsid w:val="00733A4D"/>
    <w:rsid w:val="007341DB"/>
    <w:rsid w:val="00734493"/>
    <w:rsid w:val="007351F7"/>
    <w:rsid w:val="00735425"/>
    <w:rsid w:val="00735B11"/>
    <w:rsid w:val="007402E4"/>
    <w:rsid w:val="00740944"/>
    <w:rsid w:val="007409BB"/>
    <w:rsid w:val="00740F2B"/>
    <w:rsid w:val="00741208"/>
    <w:rsid w:val="007415C5"/>
    <w:rsid w:val="00742721"/>
    <w:rsid w:val="007443B4"/>
    <w:rsid w:val="00744765"/>
    <w:rsid w:val="00744F27"/>
    <w:rsid w:val="00746C19"/>
    <w:rsid w:val="00747023"/>
    <w:rsid w:val="007504FB"/>
    <w:rsid w:val="007507BA"/>
    <w:rsid w:val="0075153F"/>
    <w:rsid w:val="00751580"/>
    <w:rsid w:val="007523EE"/>
    <w:rsid w:val="0075373D"/>
    <w:rsid w:val="00755397"/>
    <w:rsid w:val="007562D4"/>
    <w:rsid w:val="00756973"/>
    <w:rsid w:val="00756A8F"/>
    <w:rsid w:val="00756F73"/>
    <w:rsid w:val="00757D12"/>
    <w:rsid w:val="0076019B"/>
    <w:rsid w:val="00760EEE"/>
    <w:rsid w:val="00760F80"/>
    <w:rsid w:val="007626AE"/>
    <w:rsid w:val="007632AF"/>
    <w:rsid w:val="0076429F"/>
    <w:rsid w:val="007642A2"/>
    <w:rsid w:val="007658D8"/>
    <w:rsid w:val="00770040"/>
    <w:rsid w:val="00770C78"/>
    <w:rsid w:val="007712BE"/>
    <w:rsid w:val="007712CD"/>
    <w:rsid w:val="007724EF"/>
    <w:rsid w:val="00773678"/>
    <w:rsid w:val="00773A64"/>
    <w:rsid w:val="00773C08"/>
    <w:rsid w:val="00775CDB"/>
    <w:rsid w:val="007765CD"/>
    <w:rsid w:val="00776727"/>
    <w:rsid w:val="007767D5"/>
    <w:rsid w:val="00776FDC"/>
    <w:rsid w:val="007777AF"/>
    <w:rsid w:val="007777ED"/>
    <w:rsid w:val="007778C6"/>
    <w:rsid w:val="00780073"/>
    <w:rsid w:val="00783C89"/>
    <w:rsid w:val="00784205"/>
    <w:rsid w:val="00784707"/>
    <w:rsid w:val="00786A04"/>
    <w:rsid w:val="007879C3"/>
    <w:rsid w:val="0079041C"/>
    <w:rsid w:val="007909DA"/>
    <w:rsid w:val="007920B3"/>
    <w:rsid w:val="007921B6"/>
    <w:rsid w:val="007928ED"/>
    <w:rsid w:val="0079409D"/>
    <w:rsid w:val="007948A5"/>
    <w:rsid w:val="00794C23"/>
    <w:rsid w:val="00794DF9"/>
    <w:rsid w:val="00795613"/>
    <w:rsid w:val="007957E0"/>
    <w:rsid w:val="00795DEC"/>
    <w:rsid w:val="00796B6F"/>
    <w:rsid w:val="00796CA0"/>
    <w:rsid w:val="00796D4C"/>
    <w:rsid w:val="0079725C"/>
    <w:rsid w:val="00797D28"/>
    <w:rsid w:val="007A0131"/>
    <w:rsid w:val="007A2651"/>
    <w:rsid w:val="007A27A5"/>
    <w:rsid w:val="007A2CA9"/>
    <w:rsid w:val="007A3A9E"/>
    <w:rsid w:val="007A4743"/>
    <w:rsid w:val="007A4F55"/>
    <w:rsid w:val="007A55CF"/>
    <w:rsid w:val="007A58FB"/>
    <w:rsid w:val="007A7063"/>
    <w:rsid w:val="007A7C1B"/>
    <w:rsid w:val="007B0CFF"/>
    <w:rsid w:val="007B1351"/>
    <w:rsid w:val="007B25BC"/>
    <w:rsid w:val="007B2772"/>
    <w:rsid w:val="007B2994"/>
    <w:rsid w:val="007B2CAD"/>
    <w:rsid w:val="007B51B0"/>
    <w:rsid w:val="007B5419"/>
    <w:rsid w:val="007B5F39"/>
    <w:rsid w:val="007B5F6D"/>
    <w:rsid w:val="007B656B"/>
    <w:rsid w:val="007B7235"/>
    <w:rsid w:val="007B758B"/>
    <w:rsid w:val="007B7A24"/>
    <w:rsid w:val="007C042C"/>
    <w:rsid w:val="007C0C38"/>
    <w:rsid w:val="007C0D1E"/>
    <w:rsid w:val="007C0E1A"/>
    <w:rsid w:val="007C23AD"/>
    <w:rsid w:val="007C4E64"/>
    <w:rsid w:val="007C555D"/>
    <w:rsid w:val="007D00EF"/>
    <w:rsid w:val="007D055F"/>
    <w:rsid w:val="007D0F76"/>
    <w:rsid w:val="007D188A"/>
    <w:rsid w:val="007D1A94"/>
    <w:rsid w:val="007D1AB7"/>
    <w:rsid w:val="007D1C1C"/>
    <w:rsid w:val="007D205A"/>
    <w:rsid w:val="007D3426"/>
    <w:rsid w:val="007D39B7"/>
    <w:rsid w:val="007D4AD7"/>
    <w:rsid w:val="007D4C7D"/>
    <w:rsid w:val="007D4E5E"/>
    <w:rsid w:val="007D636E"/>
    <w:rsid w:val="007D6F39"/>
    <w:rsid w:val="007D76B1"/>
    <w:rsid w:val="007E0C74"/>
    <w:rsid w:val="007E0EAC"/>
    <w:rsid w:val="007E10F9"/>
    <w:rsid w:val="007E1D2F"/>
    <w:rsid w:val="007E244E"/>
    <w:rsid w:val="007E2516"/>
    <w:rsid w:val="007E2517"/>
    <w:rsid w:val="007E3289"/>
    <w:rsid w:val="007E330B"/>
    <w:rsid w:val="007E65D9"/>
    <w:rsid w:val="007E7236"/>
    <w:rsid w:val="007E7527"/>
    <w:rsid w:val="007E7D23"/>
    <w:rsid w:val="007F014B"/>
    <w:rsid w:val="007F0849"/>
    <w:rsid w:val="007F1187"/>
    <w:rsid w:val="007F17FF"/>
    <w:rsid w:val="007F1E76"/>
    <w:rsid w:val="007F1F32"/>
    <w:rsid w:val="007F2639"/>
    <w:rsid w:val="007F27F8"/>
    <w:rsid w:val="007F2F78"/>
    <w:rsid w:val="007F333D"/>
    <w:rsid w:val="007F34F3"/>
    <w:rsid w:val="007F531B"/>
    <w:rsid w:val="007F5608"/>
    <w:rsid w:val="007F58D1"/>
    <w:rsid w:val="007F5ADA"/>
    <w:rsid w:val="007F6405"/>
    <w:rsid w:val="007F67B3"/>
    <w:rsid w:val="007F7490"/>
    <w:rsid w:val="0080069D"/>
    <w:rsid w:val="0080084E"/>
    <w:rsid w:val="008013EF"/>
    <w:rsid w:val="00801F56"/>
    <w:rsid w:val="008034EA"/>
    <w:rsid w:val="00803786"/>
    <w:rsid w:val="00803BE7"/>
    <w:rsid w:val="00803D93"/>
    <w:rsid w:val="008041D6"/>
    <w:rsid w:val="00804D42"/>
    <w:rsid w:val="008053A3"/>
    <w:rsid w:val="008055FC"/>
    <w:rsid w:val="00806E75"/>
    <w:rsid w:val="00807197"/>
    <w:rsid w:val="00807241"/>
    <w:rsid w:val="008076C0"/>
    <w:rsid w:val="00810B7A"/>
    <w:rsid w:val="00810C49"/>
    <w:rsid w:val="008115DD"/>
    <w:rsid w:val="0081184E"/>
    <w:rsid w:val="008122C9"/>
    <w:rsid w:val="0081321E"/>
    <w:rsid w:val="00814519"/>
    <w:rsid w:val="0081584F"/>
    <w:rsid w:val="008171C4"/>
    <w:rsid w:val="00817B0B"/>
    <w:rsid w:val="00817BDC"/>
    <w:rsid w:val="00817C67"/>
    <w:rsid w:val="00821F1F"/>
    <w:rsid w:val="00827510"/>
    <w:rsid w:val="0082783C"/>
    <w:rsid w:val="00830473"/>
    <w:rsid w:val="00830CDC"/>
    <w:rsid w:val="008314DF"/>
    <w:rsid w:val="008318D5"/>
    <w:rsid w:val="008320E9"/>
    <w:rsid w:val="00832220"/>
    <w:rsid w:val="008326DD"/>
    <w:rsid w:val="00834353"/>
    <w:rsid w:val="00834D8A"/>
    <w:rsid w:val="00835FA5"/>
    <w:rsid w:val="0083683B"/>
    <w:rsid w:val="00836845"/>
    <w:rsid w:val="008373BD"/>
    <w:rsid w:val="00837771"/>
    <w:rsid w:val="008378A6"/>
    <w:rsid w:val="008400D5"/>
    <w:rsid w:val="00841DA0"/>
    <w:rsid w:val="0084284E"/>
    <w:rsid w:val="00842E85"/>
    <w:rsid w:val="00842E9F"/>
    <w:rsid w:val="00843485"/>
    <w:rsid w:val="008434AA"/>
    <w:rsid w:val="00843980"/>
    <w:rsid w:val="0084456A"/>
    <w:rsid w:val="00844781"/>
    <w:rsid w:val="00844788"/>
    <w:rsid w:val="00845215"/>
    <w:rsid w:val="0084524A"/>
    <w:rsid w:val="008458BE"/>
    <w:rsid w:val="008462E0"/>
    <w:rsid w:val="00846788"/>
    <w:rsid w:val="00846B88"/>
    <w:rsid w:val="00847257"/>
    <w:rsid w:val="008474BC"/>
    <w:rsid w:val="008477FA"/>
    <w:rsid w:val="00847A24"/>
    <w:rsid w:val="00851024"/>
    <w:rsid w:val="008517A5"/>
    <w:rsid w:val="00851AC9"/>
    <w:rsid w:val="00851C71"/>
    <w:rsid w:val="00852D8D"/>
    <w:rsid w:val="0085525A"/>
    <w:rsid w:val="0085544D"/>
    <w:rsid w:val="008558E8"/>
    <w:rsid w:val="008566C1"/>
    <w:rsid w:val="0085674F"/>
    <w:rsid w:val="00857A60"/>
    <w:rsid w:val="008600D7"/>
    <w:rsid w:val="008605DD"/>
    <w:rsid w:val="0086160A"/>
    <w:rsid w:val="00862147"/>
    <w:rsid w:val="008650A5"/>
    <w:rsid w:val="00865FCC"/>
    <w:rsid w:val="00866D53"/>
    <w:rsid w:val="00867801"/>
    <w:rsid w:val="008704D1"/>
    <w:rsid w:val="008709DA"/>
    <w:rsid w:val="00872057"/>
    <w:rsid w:val="008730DB"/>
    <w:rsid w:val="0087390E"/>
    <w:rsid w:val="00873F06"/>
    <w:rsid w:val="00874700"/>
    <w:rsid w:val="00875CD7"/>
    <w:rsid w:val="00876700"/>
    <w:rsid w:val="00877282"/>
    <w:rsid w:val="00877791"/>
    <w:rsid w:val="008778E3"/>
    <w:rsid w:val="0088080F"/>
    <w:rsid w:val="008811CF"/>
    <w:rsid w:val="008815F4"/>
    <w:rsid w:val="00881806"/>
    <w:rsid w:val="00881F19"/>
    <w:rsid w:val="008823B0"/>
    <w:rsid w:val="008824FF"/>
    <w:rsid w:val="00882938"/>
    <w:rsid w:val="00882EC2"/>
    <w:rsid w:val="00883118"/>
    <w:rsid w:val="00883744"/>
    <w:rsid w:val="008839B7"/>
    <w:rsid w:val="00884717"/>
    <w:rsid w:val="008847F8"/>
    <w:rsid w:val="0088498F"/>
    <w:rsid w:val="008849B8"/>
    <w:rsid w:val="00885327"/>
    <w:rsid w:val="00885B81"/>
    <w:rsid w:val="008869AE"/>
    <w:rsid w:val="00886ADB"/>
    <w:rsid w:val="00886B97"/>
    <w:rsid w:val="00886FB1"/>
    <w:rsid w:val="0088747A"/>
    <w:rsid w:val="0089001B"/>
    <w:rsid w:val="008900CA"/>
    <w:rsid w:val="00890518"/>
    <w:rsid w:val="00890832"/>
    <w:rsid w:val="00890BBC"/>
    <w:rsid w:val="0089257A"/>
    <w:rsid w:val="00893178"/>
    <w:rsid w:val="00897766"/>
    <w:rsid w:val="008A046A"/>
    <w:rsid w:val="008A061D"/>
    <w:rsid w:val="008A0B48"/>
    <w:rsid w:val="008A1351"/>
    <w:rsid w:val="008A1643"/>
    <w:rsid w:val="008A227A"/>
    <w:rsid w:val="008A27F9"/>
    <w:rsid w:val="008A362B"/>
    <w:rsid w:val="008A3746"/>
    <w:rsid w:val="008A39BB"/>
    <w:rsid w:val="008A3CD7"/>
    <w:rsid w:val="008A4280"/>
    <w:rsid w:val="008A57DE"/>
    <w:rsid w:val="008A5A80"/>
    <w:rsid w:val="008A788C"/>
    <w:rsid w:val="008B0C7A"/>
    <w:rsid w:val="008B0E0C"/>
    <w:rsid w:val="008B20E5"/>
    <w:rsid w:val="008B26FE"/>
    <w:rsid w:val="008B3F9B"/>
    <w:rsid w:val="008B4234"/>
    <w:rsid w:val="008B46AD"/>
    <w:rsid w:val="008B4E16"/>
    <w:rsid w:val="008B5AF5"/>
    <w:rsid w:val="008B5C6A"/>
    <w:rsid w:val="008B60A1"/>
    <w:rsid w:val="008B6276"/>
    <w:rsid w:val="008B669F"/>
    <w:rsid w:val="008B66A1"/>
    <w:rsid w:val="008B75D1"/>
    <w:rsid w:val="008C00B6"/>
    <w:rsid w:val="008C024E"/>
    <w:rsid w:val="008C0E89"/>
    <w:rsid w:val="008C175A"/>
    <w:rsid w:val="008C1766"/>
    <w:rsid w:val="008C17C3"/>
    <w:rsid w:val="008C1DBE"/>
    <w:rsid w:val="008C2730"/>
    <w:rsid w:val="008C3FA3"/>
    <w:rsid w:val="008C4177"/>
    <w:rsid w:val="008C6369"/>
    <w:rsid w:val="008C6631"/>
    <w:rsid w:val="008C6658"/>
    <w:rsid w:val="008C6B54"/>
    <w:rsid w:val="008D1904"/>
    <w:rsid w:val="008D1DEB"/>
    <w:rsid w:val="008D366F"/>
    <w:rsid w:val="008D3687"/>
    <w:rsid w:val="008D3BBC"/>
    <w:rsid w:val="008D3DE0"/>
    <w:rsid w:val="008D4AF8"/>
    <w:rsid w:val="008D610E"/>
    <w:rsid w:val="008D6CE0"/>
    <w:rsid w:val="008D6E91"/>
    <w:rsid w:val="008D7614"/>
    <w:rsid w:val="008D7C09"/>
    <w:rsid w:val="008E0144"/>
    <w:rsid w:val="008E0C42"/>
    <w:rsid w:val="008E0DED"/>
    <w:rsid w:val="008E171F"/>
    <w:rsid w:val="008E1CAA"/>
    <w:rsid w:val="008E2C91"/>
    <w:rsid w:val="008E3548"/>
    <w:rsid w:val="008E3EE6"/>
    <w:rsid w:val="008E56B5"/>
    <w:rsid w:val="008E56EA"/>
    <w:rsid w:val="008E59CB"/>
    <w:rsid w:val="008E66B1"/>
    <w:rsid w:val="008E6C98"/>
    <w:rsid w:val="008E7CCA"/>
    <w:rsid w:val="008F055D"/>
    <w:rsid w:val="008F09B2"/>
    <w:rsid w:val="008F10B2"/>
    <w:rsid w:val="008F143B"/>
    <w:rsid w:val="008F18D9"/>
    <w:rsid w:val="008F4DD2"/>
    <w:rsid w:val="008F5226"/>
    <w:rsid w:val="008F60A3"/>
    <w:rsid w:val="008F6483"/>
    <w:rsid w:val="008F6C3C"/>
    <w:rsid w:val="008F6E16"/>
    <w:rsid w:val="008F73A0"/>
    <w:rsid w:val="008F7FF0"/>
    <w:rsid w:val="0090002C"/>
    <w:rsid w:val="00900CCE"/>
    <w:rsid w:val="009013CD"/>
    <w:rsid w:val="009015BB"/>
    <w:rsid w:val="00901FB9"/>
    <w:rsid w:val="00902094"/>
    <w:rsid w:val="009026BC"/>
    <w:rsid w:val="009030B1"/>
    <w:rsid w:val="00903A4A"/>
    <w:rsid w:val="009047F5"/>
    <w:rsid w:val="009059F7"/>
    <w:rsid w:val="00905D1C"/>
    <w:rsid w:val="00907126"/>
    <w:rsid w:val="00907334"/>
    <w:rsid w:val="009073D4"/>
    <w:rsid w:val="00907A7C"/>
    <w:rsid w:val="00910296"/>
    <w:rsid w:val="00913927"/>
    <w:rsid w:val="00914B3D"/>
    <w:rsid w:val="0091551F"/>
    <w:rsid w:val="00915C99"/>
    <w:rsid w:val="0091635D"/>
    <w:rsid w:val="00917108"/>
    <w:rsid w:val="00917789"/>
    <w:rsid w:val="00917CC9"/>
    <w:rsid w:val="00920817"/>
    <w:rsid w:val="00920AAF"/>
    <w:rsid w:val="00921988"/>
    <w:rsid w:val="00922B4B"/>
    <w:rsid w:val="00922C3A"/>
    <w:rsid w:val="00922DC1"/>
    <w:rsid w:val="009238B0"/>
    <w:rsid w:val="0092392B"/>
    <w:rsid w:val="0092432B"/>
    <w:rsid w:val="0092470E"/>
    <w:rsid w:val="0092498C"/>
    <w:rsid w:val="00924B45"/>
    <w:rsid w:val="00924D0A"/>
    <w:rsid w:val="0092534A"/>
    <w:rsid w:val="009261C4"/>
    <w:rsid w:val="00926384"/>
    <w:rsid w:val="00926850"/>
    <w:rsid w:val="00926B1C"/>
    <w:rsid w:val="00931165"/>
    <w:rsid w:val="0093178F"/>
    <w:rsid w:val="009321B0"/>
    <w:rsid w:val="0093403F"/>
    <w:rsid w:val="009341AF"/>
    <w:rsid w:val="009346D7"/>
    <w:rsid w:val="00934ECD"/>
    <w:rsid w:val="00935714"/>
    <w:rsid w:val="009358B5"/>
    <w:rsid w:val="00935CBF"/>
    <w:rsid w:val="0093617A"/>
    <w:rsid w:val="00937A54"/>
    <w:rsid w:val="009406C8"/>
    <w:rsid w:val="00941AC9"/>
    <w:rsid w:val="00942769"/>
    <w:rsid w:val="009429A7"/>
    <w:rsid w:val="009433B4"/>
    <w:rsid w:val="00943622"/>
    <w:rsid w:val="00944582"/>
    <w:rsid w:val="00944D1D"/>
    <w:rsid w:val="009455DC"/>
    <w:rsid w:val="009467F5"/>
    <w:rsid w:val="00946F0E"/>
    <w:rsid w:val="0094762F"/>
    <w:rsid w:val="00947E5E"/>
    <w:rsid w:val="009509E7"/>
    <w:rsid w:val="00951EFD"/>
    <w:rsid w:val="009537AA"/>
    <w:rsid w:val="00953B1D"/>
    <w:rsid w:val="00954CF7"/>
    <w:rsid w:val="00955297"/>
    <w:rsid w:val="00955467"/>
    <w:rsid w:val="00955D33"/>
    <w:rsid w:val="00956314"/>
    <w:rsid w:val="009564E9"/>
    <w:rsid w:val="00956741"/>
    <w:rsid w:val="0095738B"/>
    <w:rsid w:val="00957393"/>
    <w:rsid w:val="00957792"/>
    <w:rsid w:val="00957994"/>
    <w:rsid w:val="00960652"/>
    <w:rsid w:val="00960835"/>
    <w:rsid w:val="00962F56"/>
    <w:rsid w:val="0096382A"/>
    <w:rsid w:val="00964619"/>
    <w:rsid w:val="0096499A"/>
    <w:rsid w:val="00965645"/>
    <w:rsid w:val="00965A38"/>
    <w:rsid w:val="00966028"/>
    <w:rsid w:val="009661C4"/>
    <w:rsid w:val="0096648F"/>
    <w:rsid w:val="009676F4"/>
    <w:rsid w:val="00967D4F"/>
    <w:rsid w:val="009700C8"/>
    <w:rsid w:val="009700F1"/>
    <w:rsid w:val="0097028E"/>
    <w:rsid w:val="009703ED"/>
    <w:rsid w:val="009714D8"/>
    <w:rsid w:val="00972A9D"/>
    <w:rsid w:val="00972CE7"/>
    <w:rsid w:val="0097318C"/>
    <w:rsid w:val="009733B0"/>
    <w:rsid w:val="00973F12"/>
    <w:rsid w:val="00974748"/>
    <w:rsid w:val="00974F7E"/>
    <w:rsid w:val="0097632F"/>
    <w:rsid w:val="00976567"/>
    <w:rsid w:val="0097662C"/>
    <w:rsid w:val="00976726"/>
    <w:rsid w:val="00977AF3"/>
    <w:rsid w:val="009804CB"/>
    <w:rsid w:val="00980521"/>
    <w:rsid w:val="00980BFF"/>
    <w:rsid w:val="00980EC5"/>
    <w:rsid w:val="009814DF"/>
    <w:rsid w:val="00981FA6"/>
    <w:rsid w:val="00982746"/>
    <w:rsid w:val="00983003"/>
    <w:rsid w:val="0098389A"/>
    <w:rsid w:val="00983E4C"/>
    <w:rsid w:val="0098473C"/>
    <w:rsid w:val="00984FE5"/>
    <w:rsid w:val="0098524E"/>
    <w:rsid w:val="00985537"/>
    <w:rsid w:val="009858BE"/>
    <w:rsid w:val="00986567"/>
    <w:rsid w:val="00986A55"/>
    <w:rsid w:val="00987012"/>
    <w:rsid w:val="00987F03"/>
    <w:rsid w:val="00990D5F"/>
    <w:rsid w:val="00991261"/>
    <w:rsid w:val="009924BF"/>
    <w:rsid w:val="00992A7E"/>
    <w:rsid w:val="00992B36"/>
    <w:rsid w:val="009930B9"/>
    <w:rsid w:val="0099395F"/>
    <w:rsid w:val="00994DAC"/>
    <w:rsid w:val="0099514F"/>
    <w:rsid w:val="0099575B"/>
    <w:rsid w:val="00995E43"/>
    <w:rsid w:val="009A01F2"/>
    <w:rsid w:val="009A0CF7"/>
    <w:rsid w:val="009A1DDA"/>
    <w:rsid w:val="009A3B6A"/>
    <w:rsid w:val="009A4919"/>
    <w:rsid w:val="009A4AB6"/>
    <w:rsid w:val="009A51AE"/>
    <w:rsid w:val="009A5E2C"/>
    <w:rsid w:val="009A6030"/>
    <w:rsid w:val="009A66A8"/>
    <w:rsid w:val="009A725B"/>
    <w:rsid w:val="009A76F2"/>
    <w:rsid w:val="009B0EF9"/>
    <w:rsid w:val="009B2C66"/>
    <w:rsid w:val="009B30D0"/>
    <w:rsid w:val="009B3627"/>
    <w:rsid w:val="009B4916"/>
    <w:rsid w:val="009B4E16"/>
    <w:rsid w:val="009B5524"/>
    <w:rsid w:val="009B5D0E"/>
    <w:rsid w:val="009B675D"/>
    <w:rsid w:val="009B6DAD"/>
    <w:rsid w:val="009C0190"/>
    <w:rsid w:val="009C044E"/>
    <w:rsid w:val="009C138D"/>
    <w:rsid w:val="009C4EB2"/>
    <w:rsid w:val="009C51D4"/>
    <w:rsid w:val="009C5339"/>
    <w:rsid w:val="009C5C0B"/>
    <w:rsid w:val="009C6DA7"/>
    <w:rsid w:val="009D3362"/>
    <w:rsid w:val="009D342B"/>
    <w:rsid w:val="009D403E"/>
    <w:rsid w:val="009D5103"/>
    <w:rsid w:val="009D5A35"/>
    <w:rsid w:val="009D74A5"/>
    <w:rsid w:val="009D7DF8"/>
    <w:rsid w:val="009E04D3"/>
    <w:rsid w:val="009E09CE"/>
    <w:rsid w:val="009E1467"/>
    <w:rsid w:val="009E2676"/>
    <w:rsid w:val="009E34A2"/>
    <w:rsid w:val="009E3AEA"/>
    <w:rsid w:val="009E4E40"/>
    <w:rsid w:val="009E5D80"/>
    <w:rsid w:val="009E5EA8"/>
    <w:rsid w:val="009E6392"/>
    <w:rsid w:val="009E6DD9"/>
    <w:rsid w:val="009E7FC5"/>
    <w:rsid w:val="009F0F9D"/>
    <w:rsid w:val="009F15D1"/>
    <w:rsid w:val="009F19BF"/>
    <w:rsid w:val="009F1E3C"/>
    <w:rsid w:val="009F200D"/>
    <w:rsid w:val="009F241E"/>
    <w:rsid w:val="009F312C"/>
    <w:rsid w:val="009F4345"/>
    <w:rsid w:val="009F4448"/>
    <w:rsid w:val="009F484C"/>
    <w:rsid w:val="009F4C29"/>
    <w:rsid w:val="009F5492"/>
    <w:rsid w:val="009F5E58"/>
    <w:rsid w:val="009F6CB9"/>
    <w:rsid w:val="009F7D63"/>
    <w:rsid w:val="00A002CC"/>
    <w:rsid w:val="00A00C97"/>
    <w:rsid w:val="00A01FCA"/>
    <w:rsid w:val="00A030FD"/>
    <w:rsid w:val="00A04795"/>
    <w:rsid w:val="00A05489"/>
    <w:rsid w:val="00A05838"/>
    <w:rsid w:val="00A06119"/>
    <w:rsid w:val="00A06120"/>
    <w:rsid w:val="00A067FD"/>
    <w:rsid w:val="00A06862"/>
    <w:rsid w:val="00A06E42"/>
    <w:rsid w:val="00A1076B"/>
    <w:rsid w:val="00A108D1"/>
    <w:rsid w:val="00A11AC0"/>
    <w:rsid w:val="00A127CD"/>
    <w:rsid w:val="00A1283B"/>
    <w:rsid w:val="00A12E7A"/>
    <w:rsid w:val="00A15AEB"/>
    <w:rsid w:val="00A165AA"/>
    <w:rsid w:val="00A16DD6"/>
    <w:rsid w:val="00A177A6"/>
    <w:rsid w:val="00A17CF8"/>
    <w:rsid w:val="00A20B35"/>
    <w:rsid w:val="00A20D6B"/>
    <w:rsid w:val="00A20DC4"/>
    <w:rsid w:val="00A21FFA"/>
    <w:rsid w:val="00A23746"/>
    <w:rsid w:val="00A26DF3"/>
    <w:rsid w:val="00A30192"/>
    <w:rsid w:val="00A30471"/>
    <w:rsid w:val="00A30D7D"/>
    <w:rsid w:val="00A328DC"/>
    <w:rsid w:val="00A33B43"/>
    <w:rsid w:val="00A34C53"/>
    <w:rsid w:val="00A34FE7"/>
    <w:rsid w:val="00A364C2"/>
    <w:rsid w:val="00A36B8B"/>
    <w:rsid w:val="00A36FC4"/>
    <w:rsid w:val="00A37BF7"/>
    <w:rsid w:val="00A40254"/>
    <w:rsid w:val="00A40B52"/>
    <w:rsid w:val="00A4122D"/>
    <w:rsid w:val="00A41A28"/>
    <w:rsid w:val="00A41F20"/>
    <w:rsid w:val="00A4288F"/>
    <w:rsid w:val="00A43D68"/>
    <w:rsid w:val="00A44A42"/>
    <w:rsid w:val="00A46384"/>
    <w:rsid w:val="00A504DB"/>
    <w:rsid w:val="00A50ABA"/>
    <w:rsid w:val="00A51B9D"/>
    <w:rsid w:val="00A51C5A"/>
    <w:rsid w:val="00A53308"/>
    <w:rsid w:val="00A53859"/>
    <w:rsid w:val="00A56CBF"/>
    <w:rsid w:val="00A60242"/>
    <w:rsid w:val="00A605E2"/>
    <w:rsid w:val="00A60972"/>
    <w:rsid w:val="00A60AD9"/>
    <w:rsid w:val="00A60D29"/>
    <w:rsid w:val="00A61168"/>
    <w:rsid w:val="00A61AB8"/>
    <w:rsid w:val="00A61F62"/>
    <w:rsid w:val="00A62406"/>
    <w:rsid w:val="00A627C5"/>
    <w:rsid w:val="00A63140"/>
    <w:rsid w:val="00A63276"/>
    <w:rsid w:val="00A637C1"/>
    <w:rsid w:val="00A637F0"/>
    <w:rsid w:val="00A66119"/>
    <w:rsid w:val="00A6649F"/>
    <w:rsid w:val="00A6658E"/>
    <w:rsid w:val="00A70AFB"/>
    <w:rsid w:val="00A72349"/>
    <w:rsid w:val="00A7286F"/>
    <w:rsid w:val="00A7367D"/>
    <w:rsid w:val="00A73DDB"/>
    <w:rsid w:val="00A746AD"/>
    <w:rsid w:val="00A747C9"/>
    <w:rsid w:val="00A749FE"/>
    <w:rsid w:val="00A74BA8"/>
    <w:rsid w:val="00A74F79"/>
    <w:rsid w:val="00A75142"/>
    <w:rsid w:val="00A7599B"/>
    <w:rsid w:val="00A808B2"/>
    <w:rsid w:val="00A8107A"/>
    <w:rsid w:val="00A81D74"/>
    <w:rsid w:val="00A81F72"/>
    <w:rsid w:val="00A83BAD"/>
    <w:rsid w:val="00A84815"/>
    <w:rsid w:val="00A84E53"/>
    <w:rsid w:val="00A84FEC"/>
    <w:rsid w:val="00A85451"/>
    <w:rsid w:val="00A855CF"/>
    <w:rsid w:val="00A857D7"/>
    <w:rsid w:val="00A85EBC"/>
    <w:rsid w:val="00A863A8"/>
    <w:rsid w:val="00A86A33"/>
    <w:rsid w:val="00A86C8D"/>
    <w:rsid w:val="00A87DB5"/>
    <w:rsid w:val="00A90257"/>
    <w:rsid w:val="00A92790"/>
    <w:rsid w:val="00A92818"/>
    <w:rsid w:val="00A9308B"/>
    <w:rsid w:val="00A93E3E"/>
    <w:rsid w:val="00A946AD"/>
    <w:rsid w:val="00A94F75"/>
    <w:rsid w:val="00A95309"/>
    <w:rsid w:val="00A965F2"/>
    <w:rsid w:val="00A96868"/>
    <w:rsid w:val="00A96CF3"/>
    <w:rsid w:val="00AA2074"/>
    <w:rsid w:val="00AA23C8"/>
    <w:rsid w:val="00AA2D32"/>
    <w:rsid w:val="00AA451D"/>
    <w:rsid w:val="00AA4F11"/>
    <w:rsid w:val="00AA618A"/>
    <w:rsid w:val="00AA648C"/>
    <w:rsid w:val="00AA68FE"/>
    <w:rsid w:val="00AA732F"/>
    <w:rsid w:val="00AA7DA8"/>
    <w:rsid w:val="00AA7FE0"/>
    <w:rsid w:val="00AB070E"/>
    <w:rsid w:val="00AB1559"/>
    <w:rsid w:val="00AB167F"/>
    <w:rsid w:val="00AB18A7"/>
    <w:rsid w:val="00AB2288"/>
    <w:rsid w:val="00AB26A2"/>
    <w:rsid w:val="00AB2B4C"/>
    <w:rsid w:val="00AB3C68"/>
    <w:rsid w:val="00AB5809"/>
    <w:rsid w:val="00AB5BD5"/>
    <w:rsid w:val="00AB5C40"/>
    <w:rsid w:val="00AB6EC7"/>
    <w:rsid w:val="00AB7087"/>
    <w:rsid w:val="00AB70B7"/>
    <w:rsid w:val="00AB735C"/>
    <w:rsid w:val="00AC0C85"/>
    <w:rsid w:val="00AC139F"/>
    <w:rsid w:val="00AC1431"/>
    <w:rsid w:val="00AC1A5A"/>
    <w:rsid w:val="00AC22D0"/>
    <w:rsid w:val="00AC494A"/>
    <w:rsid w:val="00AC4AA9"/>
    <w:rsid w:val="00AC61CC"/>
    <w:rsid w:val="00AC7CE3"/>
    <w:rsid w:val="00AD004C"/>
    <w:rsid w:val="00AD0207"/>
    <w:rsid w:val="00AD0283"/>
    <w:rsid w:val="00AD0B53"/>
    <w:rsid w:val="00AD136F"/>
    <w:rsid w:val="00AD3FF1"/>
    <w:rsid w:val="00AD4E4C"/>
    <w:rsid w:val="00AD5124"/>
    <w:rsid w:val="00AD6034"/>
    <w:rsid w:val="00AD72BD"/>
    <w:rsid w:val="00AD7748"/>
    <w:rsid w:val="00AD7D89"/>
    <w:rsid w:val="00AE01AD"/>
    <w:rsid w:val="00AE0DA7"/>
    <w:rsid w:val="00AE0E35"/>
    <w:rsid w:val="00AE271C"/>
    <w:rsid w:val="00AE3010"/>
    <w:rsid w:val="00AE3263"/>
    <w:rsid w:val="00AE3874"/>
    <w:rsid w:val="00AE3C7D"/>
    <w:rsid w:val="00AE420D"/>
    <w:rsid w:val="00AE5258"/>
    <w:rsid w:val="00AE551A"/>
    <w:rsid w:val="00AE5662"/>
    <w:rsid w:val="00AE5E45"/>
    <w:rsid w:val="00AE663E"/>
    <w:rsid w:val="00AE6CC0"/>
    <w:rsid w:val="00AE763C"/>
    <w:rsid w:val="00AF106A"/>
    <w:rsid w:val="00AF1A62"/>
    <w:rsid w:val="00AF26C5"/>
    <w:rsid w:val="00AF27E8"/>
    <w:rsid w:val="00AF28C8"/>
    <w:rsid w:val="00AF2CAE"/>
    <w:rsid w:val="00AF31AB"/>
    <w:rsid w:val="00AF365E"/>
    <w:rsid w:val="00AF49BB"/>
    <w:rsid w:val="00AF6F10"/>
    <w:rsid w:val="00B026C7"/>
    <w:rsid w:val="00B0379A"/>
    <w:rsid w:val="00B03E2D"/>
    <w:rsid w:val="00B048A0"/>
    <w:rsid w:val="00B05266"/>
    <w:rsid w:val="00B055A8"/>
    <w:rsid w:val="00B05721"/>
    <w:rsid w:val="00B05A32"/>
    <w:rsid w:val="00B05EF7"/>
    <w:rsid w:val="00B064D6"/>
    <w:rsid w:val="00B0733D"/>
    <w:rsid w:val="00B07D8C"/>
    <w:rsid w:val="00B10E99"/>
    <w:rsid w:val="00B12044"/>
    <w:rsid w:val="00B126AF"/>
    <w:rsid w:val="00B128B6"/>
    <w:rsid w:val="00B14479"/>
    <w:rsid w:val="00B14B02"/>
    <w:rsid w:val="00B1521A"/>
    <w:rsid w:val="00B1536A"/>
    <w:rsid w:val="00B16EF1"/>
    <w:rsid w:val="00B170B5"/>
    <w:rsid w:val="00B174A5"/>
    <w:rsid w:val="00B20D1B"/>
    <w:rsid w:val="00B20DED"/>
    <w:rsid w:val="00B210DB"/>
    <w:rsid w:val="00B225ED"/>
    <w:rsid w:val="00B23283"/>
    <w:rsid w:val="00B238A0"/>
    <w:rsid w:val="00B24C2B"/>
    <w:rsid w:val="00B25239"/>
    <w:rsid w:val="00B25707"/>
    <w:rsid w:val="00B25BDC"/>
    <w:rsid w:val="00B26594"/>
    <w:rsid w:val="00B27F6E"/>
    <w:rsid w:val="00B31C50"/>
    <w:rsid w:val="00B3234E"/>
    <w:rsid w:val="00B344D7"/>
    <w:rsid w:val="00B34621"/>
    <w:rsid w:val="00B347C0"/>
    <w:rsid w:val="00B348A6"/>
    <w:rsid w:val="00B34E3D"/>
    <w:rsid w:val="00B356C6"/>
    <w:rsid w:val="00B35723"/>
    <w:rsid w:val="00B35A77"/>
    <w:rsid w:val="00B35C52"/>
    <w:rsid w:val="00B364D2"/>
    <w:rsid w:val="00B374CE"/>
    <w:rsid w:val="00B37632"/>
    <w:rsid w:val="00B37CFF"/>
    <w:rsid w:val="00B37EDC"/>
    <w:rsid w:val="00B4184D"/>
    <w:rsid w:val="00B41E31"/>
    <w:rsid w:val="00B4350E"/>
    <w:rsid w:val="00B44D76"/>
    <w:rsid w:val="00B4526B"/>
    <w:rsid w:val="00B47A90"/>
    <w:rsid w:val="00B47AE7"/>
    <w:rsid w:val="00B47F68"/>
    <w:rsid w:val="00B504D8"/>
    <w:rsid w:val="00B50CF9"/>
    <w:rsid w:val="00B50D18"/>
    <w:rsid w:val="00B5127F"/>
    <w:rsid w:val="00B51744"/>
    <w:rsid w:val="00B5191B"/>
    <w:rsid w:val="00B5200D"/>
    <w:rsid w:val="00B537B1"/>
    <w:rsid w:val="00B53820"/>
    <w:rsid w:val="00B5435A"/>
    <w:rsid w:val="00B5474D"/>
    <w:rsid w:val="00B547EA"/>
    <w:rsid w:val="00B5595C"/>
    <w:rsid w:val="00B55BC0"/>
    <w:rsid w:val="00B562D6"/>
    <w:rsid w:val="00B566A3"/>
    <w:rsid w:val="00B567EC"/>
    <w:rsid w:val="00B56D31"/>
    <w:rsid w:val="00B57E8A"/>
    <w:rsid w:val="00B60173"/>
    <w:rsid w:val="00B61331"/>
    <w:rsid w:val="00B61CBC"/>
    <w:rsid w:val="00B62954"/>
    <w:rsid w:val="00B634A6"/>
    <w:rsid w:val="00B642FA"/>
    <w:rsid w:val="00B64D06"/>
    <w:rsid w:val="00B6509C"/>
    <w:rsid w:val="00B671B9"/>
    <w:rsid w:val="00B672C5"/>
    <w:rsid w:val="00B6745A"/>
    <w:rsid w:val="00B716E3"/>
    <w:rsid w:val="00B72A38"/>
    <w:rsid w:val="00B72BBC"/>
    <w:rsid w:val="00B72FF8"/>
    <w:rsid w:val="00B73AA7"/>
    <w:rsid w:val="00B758D0"/>
    <w:rsid w:val="00B75E18"/>
    <w:rsid w:val="00B76C2E"/>
    <w:rsid w:val="00B80997"/>
    <w:rsid w:val="00B81D11"/>
    <w:rsid w:val="00B81FF9"/>
    <w:rsid w:val="00B8249B"/>
    <w:rsid w:val="00B83A73"/>
    <w:rsid w:val="00B855B4"/>
    <w:rsid w:val="00B85757"/>
    <w:rsid w:val="00B85D58"/>
    <w:rsid w:val="00B86911"/>
    <w:rsid w:val="00B87469"/>
    <w:rsid w:val="00B9090C"/>
    <w:rsid w:val="00B90B06"/>
    <w:rsid w:val="00B934E0"/>
    <w:rsid w:val="00B93A0C"/>
    <w:rsid w:val="00B94375"/>
    <w:rsid w:val="00B9472F"/>
    <w:rsid w:val="00B949B5"/>
    <w:rsid w:val="00B95041"/>
    <w:rsid w:val="00B952CA"/>
    <w:rsid w:val="00B95666"/>
    <w:rsid w:val="00B95A76"/>
    <w:rsid w:val="00B95DAE"/>
    <w:rsid w:val="00B96529"/>
    <w:rsid w:val="00B9748A"/>
    <w:rsid w:val="00BA01C9"/>
    <w:rsid w:val="00BA06D2"/>
    <w:rsid w:val="00BA1005"/>
    <w:rsid w:val="00BA2382"/>
    <w:rsid w:val="00BA306F"/>
    <w:rsid w:val="00BA5940"/>
    <w:rsid w:val="00BA5BDB"/>
    <w:rsid w:val="00BA603C"/>
    <w:rsid w:val="00BA724D"/>
    <w:rsid w:val="00BA7A18"/>
    <w:rsid w:val="00BB0334"/>
    <w:rsid w:val="00BB0D9B"/>
    <w:rsid w:val="00BB1B5D"/>
    <w:rsid w:val="00BB2EA1"/>
    <w:rsid w:val="00BB3618"/>
    <w:rsid w:val="00BB3A5E"/>
    <w:rsid w:val="00BB422F"/>
    <w:rsid w:val="00BB477C"/>
    <w:rsid w:val="00BB5413"/>
    <w:rsid w:val="00BB5E4B"/>
    <w:rsid w:val="00BB6185"/>
    <w:rsid w:val="00BB68A8"/>
    <w:rsid w:val="00BB73D0"/>
    <w:rsid w:val="00BB7413"/>
    <w:rsid w:val="00BB791F"/>
    <w:rsid w:val="00BC1D8D"/>
    <w:rsid w:val="00BC1F18"/>
    <w:rsid w:val="00BC267E"/>
    <w:rsid w:val="00BC26B3"/>
    <w:rsid w:val="00BC360C"/>
    <w:rsid w:val="00BC3BDD"/>
    <w:rsid w:val="00BC449B"/>
    <w:rsid w:val="00BC467F"/>
    <w:rsid w:val="00BC48BE"/>
    <w:rsid w:val="00BC5F5D"/>
    <w:rsid w:val="00BC68F8"/>
    <w:rsid w:val="00BC73E0"/>
    <w:rsid w:val="00BD04E2"/>
    <w:rsid w:val="00BD0650"/>
    <w:rsid w:val="00BD0C09"/>
    <w:rsid w:val="00BD1884"/>
    <w:rsid w:val="00BD1F90"/>
    <w:rsid w:val="00BD3410"/>
    <w:rsid w:val="00BD379F"/>
    <w:rsid w:val="00BD38E0"/>
    <w:rsid w:val="00BD39D6"/>
    <w:rsid w:val="00BD3C16"/>
    <w:rsid w:val="00BD3F4F"/>
    <w:rsid w:val="00BD5348"/>
    <w:rsid w:val="00BD578A"/>
    <w:rsid w:val="00BD5B70"/>
    <w:rsid w:val="00BD6214"/>
    <w:rsid w:val="00BE0C24"/>
    <w:rsid w:val="00BE138B"/>
    <w:rsid w:val="00BE140D"/>
    <w:rsid w:val="00BE1A1C"/>
    <w:rsid w:val="00BE24E4"/>
    <w:rsid w:val="00BE368D"/>
    <w:rsid w:val="00BE3D67"/>
    <w:rsid w:val="00BE4E42"/>
    <w:rsid w:val="00BE5F4B"/>
    <w:rsid w:val="00BE683F"/>
    <w:rsid w:val="00BE6E52"/>
    <w:rsid w:val="00BE79FC"/>
    <w:rsid w:val="00BF1987"/>
    <w:rsid w:val="00BF1CF6"/>
    <w:rsid w:val="00BF1E56"/>
    <w:rsid w:val="00BF31C6"/>
    <w:rsid w:val="00BF338A"/>
    <w:rsid w:val="00BF3E59"/>
    <w:rsid w:val="00BF40C3"/>
    <w:rsid w:val="00BF4529"/>
    <w:rsid w:val="00BF4C0B"/>
    <w:rsid w:val="00BF64C3"/>
    <w:rsid w:val="00BF6BF0"/>
    <w:rsid w:val="00BF7832"/>
    <w:rsid w:val="00C001CF"/>
    <w:rsid w:val="00C00739"/>
    <w:rsid w:val="00C011C0"/>
    <w:rsid w:val="00C01FD7"/>
    <w:rsid w:val="00C0260B"/>
    <w:rsid w:val="00C04D71"/>
    <w:rsid w:val="00C04E5F"/>
    <w:rsid w:val="00C055C1"/>
    <w:rsid w:val="00C05CEF"/>
    <w:rsid w:val="00C0615E"/>
    <w:rsid w:val="00C07D0E"/>
    <w:rsid w:val="00C07D79"/>
    <w:rsid w:val="00C10474"/>
    <w:rsid w:val="00C11A6F"/>
    <w:rsid w:val="00C11A9F"/>
    <w:rsid w:val="00C11B98"/>
    <w:rsid w:val="00C127E6"/>
    <w:rsid w:val="00C12FD0"/>
    <w:rsid w:val="00C1300A"/>
    <w:rsid w:val="00C13870"/>
    <w:rsid w:val="00C13D48"/>
    <w:rsid w:val="00C1418A"/>
    <w:rsid w:val="00C146E9"/>
    <w:rsid w:val="00C1502F"/>
    <w:rsid w:val="00C1509F"/>
    <w:rsid w:val="00C1652D"/>
    <w:rsid w:val="00C209AB"/>
    <w:rsid w:val="00C21849"/>
    <w:rsid w:val="00C21E7C"/>
    <w:rsid w:val="00C22993"/>
    <w:rsid w:val="00C229A2"/>
    <w:rsid w:val="00C22B1D"/>
    <w:rsid w:val="00C24B6E"/>
    <w:rsid w:val="00C24B94"/>
    <w:rsid w:val="00C24FD1"/>
    <w:rsid w:val="00C256FB"/>
    <w:rsid w:val="00C2571E"/>
    <w:rsid w:val="00C26436"/>
    <w:rsid w:val="00C26EE9"/>
    <w:rsid w:val="00C26F83"/>
    <w:rsid w:val="00C271A8"/>
    <w:rsid w:val="00C275D8"/>
    <w:rsid w:val="00C27798"/>
    <w:rsid w:val="00C27E31"/>
    <w:rsid w:val="00C305B9"/>
    <w:rsid w:val="00C322B4"/>
    <w:rsid w:val="00C33137"/>
    <w:rsid w:val="00C34A8C"/>
    <w:rsid w:val="00C3534C"/>
    <w:rsid w:val="00C35961"/>
    <w:rsid w:val="00C364C4"/>
    <w:rsid w:val="00C36599"/>
    <w:rsid w:val="00C365E0"/>
    <w:rsid w:val="00C37BFE"/>
    <w:rsid w:val="00C40C17"/>
    <w:rsid w:val="00C41393"/>
    <w:rsid w:val="00C4198D"/>
    <w:rsid w:val="00C41B9A"/>
    <w:rsid w:val="00C44308"/>
    <w:rsid w:val="00C45066"/>
    <w:rsid w:val="00C453C8"/>
    <w:rsid w:val="00C4577C"/>
    <w:rsid w:val="00C45864"/>
    <w:rsid w:val="00C4621E"/>
    <w:rsid w:val="00C4736D"/>
    <w:rsid w:val="00C4771A"/>
    <w:rsid w:val="00C500FE"/>
    <w:rsid w:val="00C50306"/>
    <w:rsid w:val="00C50BD4"/>
    <w:rsid w:val="00C514DB"/>
    <w:rsid w:val="00C51898"/>
    <w:rsid w:val="00C51F52"/>
    <w:rsid w:val="00C52049"/>
    <w:rsid w:val="00C52DB3"/>
    <w:rsid w:val="00C53D4D"/>
    <w:rsid w:val="00C54269"/>
    <w:rsid w:val="00C545C1"/>
    <w:rsid w:val="00C54BB9"/>
    <w:rsid w:val="00C554FF"/>
    <w:rsid w:val="00C559B2"/>
    <w:rsid w:val="00C55B63"/>
    <w:rsid w:val="00C565C8"/>
    <w:rsid w:val="00C579EA"/>
    <w:rsid w:val="00C61297"/>
    <w:rsid w:val="00C62AA3"/>
    <w:rsid w:val="00C62F72"/>
    <w:rsid w:val="00C63019"/>
    <w:rsid w:val="00C631DC"/>
    <w:rsid w:val="00C632EE"/>
    <w:rsid w:val="00C63433"/>
    <w:rsid w:val="00C645B6"/>
    <w:rsid w:val="00C64BA9"/>
    <w:rsid w:val="00C6518E"/>
    <w:rsid w:val="00C655F4"/>
    <w:rsid w:val="00C658A4"/>
    <w:rsid w:val="00C6685F"/>
    <w:rsid w:val="00C6722F"/>
    <w:rsid w:val="00C6742F"/>
    <w:rsid w:val="00C706BE"/>
    <w:rsid w:val="00C708CA"/>
    <w:rsid w:val="00C71B99"/>
    <w:rsid w:val="00C72D40"/>
    <w:rsid w:val="00C7408D"/>
    <w:rsid w:val="00C75CB7"/>
    <w:rsid w:val="00C77682"/>
    <w:rsid w:val="00C8052D"/>
    <w:rsid w:val="00C80848"/>
    <w:rsid w:val="00C80FEF"/>
    <w:rsid w:val="00C812C1"/>
    <w:rsid w:val="00C815AD"/>
    <w:rsid w:val="00C81F20"/>
    <w:rsid w:val="00C8243F"/>
    <w:rsid w:val="00C838E1"/>
    <w:rsid w:val="00C841B8"/>
    <w:rsid w:val="00C85C5C"/>
    <w:rsid w:val="00C85CCD"/>
    <w:rsid w:val="00C85E5C"/>
    <w:rsid w:val="00C86CD6"/>
    <w:rsid w:val="00C879AF"/>
    <w:rsid w:val="00C90E62"/>
    <w:rsid w:val="00C91C3A"/>
    <w:rsid w:val="00C923A6"/>
    <w:rsid w:val="00C95513"/>
    <w:rsid w:val="00C96B56"/>
    <w:rsid w:val="00CA0D96"/>
    <w:rsid w:val="00CA15C6"/>
    <w:rsid w:val="00CA1A8E"/>
    <w:rsid w:val="00CA215B"/>
    <w:rsid w:val="00CA2D75"/>
    <w:rsid w:val="00CA349C"/>
    <w:rsid w:val="00CA3BE6"/>
    <w:rsid w:val="00CA3E16"/>
    <w:rsid w:val="00CA4775"/>
    <w:rsid w:val="00CA4960"/>
    <w:rsid w:val="00CA5575"/>
    <w:rsid w:val="00CA6FEE"/>
    <w:rsid w:val="00CA7C7D"/>
    <w:rsid w:val="00CB019C"/>
    <w:rsid w:val="00CB0749"/>
    <w:rsid w:val="00CB1995"/>
    <w:rsid w:val="00CB1A68"/>
    <w:rsid w:val="00CB2D6D"/>
    <w:rsid w:val="00CB3AD0"/>
    <w:rsid w:val="00CB4483"/>
    <w:rsid w:val="00CB44F9"/>
    <w:rsid w:val="00CB5B67"/>
    <w:rsid w:val="00CB7116"/>
    <w:rsid w:val="00CC0485"/>
    <w:rsid w:val="00CC1947"/>
    <w:rsid w:val="00CC2633"/>
    <w:rsid w:val="00CC2918"/>
    <w:rsid w:val="00CC36D6"/>
    <w:rsid w:val="00CC373F"/>
    <w:rsid w:val="00CC3F44"/>
    <w:rsid w:val="00CC4425"/>
    <w:rsid w:val="00CC45B6"/>
    <w:rsid w:val="00CC6472"/>
    <w:rsid w:val="00CC6901"/>
    <w:rsid w:val="00CC6F0F"/>
    <w:rsid w:val="00CC7C28"/>
    <w:rsid w:val="00CD0710"/>
    <w:rsid w:val="00CD110F"/>
    <w:rsid w:val="00CD197F"/>
    <w:rsid w:val="00CD227A"/>
    <w:rsid w:val="00CD2F5F"/>
    <w:rsid w:val="00CD30B6"/>
    <w:rsid w:val="00CD3D14"/>
    <w:rsid w:val="00CD3D93"/>
    <w:rsid w:val="00CD45B7"/>
    <w:rsid w:val="00CD57B8"/>
    <w:rsid w:val="00CD588A"/>
    <w:rsid w:val="00CD679B"/>
    <w:rsid w:val="00CD696F"/>
    <w:rsid w:val="00CD6C86"/>
    <w:rsid w:val="00CD7BAC"/>
    <w:rsid w:val="00CE0E71"/>
    <w:rsid w:val="00CE1211"/>
    <w:rsid w:val="00CE13C9"/>
    <w:rsid w:val="00CE142D"/>
    <w:rsid w:val="00CE1795"/>
    <w:rsid w:val="00CE2458"/>
    <w:rsid w:val="00CE2BE1"/>
    <w:rsid w:val="00CE382C"/>
    <w:rsid w:val="00CE3B56"/>
    <w:rsid w:val="00CE3C11"/>
    <w:rsid w:val="00CE4AB4"/>
    <w:rsid w:val="00CE5B25"/>
    <w:rsid w:val="00CE5DEF"/>
    <w:rsid w:val="00CE5FBE"/>
    <w:rsid w:val="00CE7036"/>
    <w:rsid w:val="00CE7373"/>
    <w:rsid w:val="00CF01AA"/>
    <w:rsid w:val="00CF07DD"/>
    <w:rsid w:val="00CF1089"/>
    <w:rsid w:val="00CF21CE"/>
    <w:rsid w:val="00CF33DF"/>
    <w:rsid w:val="00CF3F6C"/>
    <w:rsid w:val="00CF45E2"/>
    <w:rsid w:val="00CF4DE3"/>
    <w:rsid w:val="00CF50B6"/>
    <w:rsid w:val="00CF51BC"/>
    <w:rsid w:val="00CF6015"/>
    <w:rsid w:val="00CF60DF"/>
    <w:rsid w:val="00CF657B"/>
    <w:rsid w:val="00CF6C27"/>
    <w:rsid w:val="00CF7F78"/>
    <w:rsid w:val="00D005E2"/>
    <w:rsid w:val="00D00E5A"/>
    <w:rsid w:val="00D02799"/>
    <w:rsid w:val="00D02BEE"/>
    <w:rsid w:val="00D0449C"/>
    <w:rsid w:val="00D04DCC"/>
    <w:rsid w:val="00D04F96"/>
    <w:rsid w:val="00D050EF"/>
    <w:rsid w:val="00D058EA"/>
    <w:rsid w:val="00D0598E"/>
    <w:rsid w:val="00D06024"/>
    <w:rsid w:val="00D0607F"/>
    <w:rsid w:val="00D063A9"/>
    <w:rsid w:val="00D06C02"/>
    <w:rsid w:val="00D06CCE"/>
    <w:rsid w:val="00D102D9"/>
    <w:rsid w:val="00D103BC"/>
    <w:rsid w:val="00D10AB1"/>
    <w:rsid w:val="00D132F5"/>
    <w:rsid w:val="00D13B07"/>
    <w:rsid w:val="00D16C01"/>
    <w:rsid w:val="00D2024F"/>
    <w:rsid w:val="00D2091A"/>
    <w:rsid w:val="00D21C95"/>
    <w:rsid w:val="00D22FA5"/>
    <w:rsid w:val="00D231A6"/>
    <w:rsid w:val="00D23FF6"/>
    <w:rsid w:val="00D2524B"/>
    <w:rsid w:val="00D2559E"/>
    <w:rsid w:val="00D25714"/>
    <w:rsid w:val="00D26012"/>
    <w:rsid w:val="00D268A1"/>
    <w:rsid w:val="00D2702B"/>
    <w:rsid w:val="00D27350"/>
    <w:rsid w:val="00D2771A"/>
    <w:rsid w:val="00D27B1A"/>
    <w:rsid w:val="00D3022D"/>
    <w:rsid w:val="00D30929"/>
    <w:rsid w:val="00D31084"/>
    <w:rsid w:val="00D31DA4"/>
    <w:rsid w:val="00D32794"/>
    <w:rsid w:val="00D32C7B"/>
    <w:rsid w:val="00D33BED"/>
    <w:rsid w:val="00D33F4E"/>
    <w:rsid w:val="00D348B3"/>
    <w:rsid w:val="00D34D33"/>
    <w:rsid w:val="00D34FD7"/>
    <w:rsid w:val="00D35420"/>
    <w:rsid w:val="00D35C76"/>
    <w:rsid w:val="00D376E2"/>
    <w:rsid w:val="00D37DF9"/>
    <w:rsid w:val="00D405B6"/>
    <w:rsid w:val="00D40980"/>
    <w:rsid w:val="00D40AF0"/>
    <w:rsid w:val="00D41730"/>
    <w:rsid w:val="00D41E32"/>
    <w:rsid w:val="00D42930"/>
    <w:rsid w:val="00D4417A"/>
    <w:rsid w:val="00D44C35"/>
    <w:rsid w:val="00D44D03"/>
    <w:rsid w:val="00D44E94"/>
    <w:rsid w:val="00D451DE"/>
    <w:rsid w:val="00D47617"/>
    <w:rsid w:val="00D509F6"/>
    <w:rsid w:val="00D5126E"/>
    <w:rsid w:val="00D517B7"/>
    <w:rsid w:val="00D522A6"/>
    <w:rsid w:val="00D5356B"/>
    <w:rsid w:val="00D539F4"/>
    <w:rsid w:val="00D55515"/>
    <w:rsid w:val="00D5579B"/>
    <w:rsid w:val="00D56A05"/>
    <w:rsid w:val="00D5709C"/>
    <w:rsid w:val="00D6082C"/>
    <w:rsid w:val="00D60A1B"/>
    <w:rsid w:val="00D60A64"/>
    <w:rsid w:val="00D60DCE"/>
    <w:rsid w:val="00D613F0"/>
    <w:rsid w:val="00D6175C"/>
    <w:rsid w:val="00D61A59"/>
    <w:rsid w:val="00D61D02"/>
    <w:rsid w:val="00D626D8"/>
    <w:rsid w:val="00D63443"/>
    <w:rsid w:val="00D63AE5"/>
    <w:rsid w:val="00D6462C"/>
    <w:rsid w:val="00D651B2"/>
    <w:rsid w:val="00D653E7"/>
    <w:rsid w:val="00D65A4C"/>
    <w:rsid w:val="00D66813"/>
    <w:rsid w:val="00D668AF"/>
    <w:rsid w:val="00D67035"/>
    <w:rsid w:val="00D6768B"/>
    <w:rsid w:val="00D67A8C"/>
    <w:rsid w:val="00D70528"/>
    <w:rsid w:val="00D7064F"/>
    <w:rsid w:val="00D711CC"/>
    <w:rsid w:val="00D71BB1"/>
    <w:rsid w:val="00D722C1"/>
    <w:rsid w:val="00D7250C"/>
    <w:rsid w:val="00D72B59"/>
    <w:rsid w:val="00D749F8"/>
    <w:rsid w:val="00D75622"/>
    <w:rsid w:val="00D75637"/>
    <w:rsid w:val="00D76255"/>
    <w:rsid w:val="00D7644F"/>
    <w:rsid w:val="00D770E6"/>
    <w:rsid w:val="00D776D6"/>
    <w:rsid w:val="00D77FF3"/>
    <w:rsid w:val="00D803CA"/>
    <w:rsid w:val="00D8105D"/>
    <w:rsid w:val="00D81C6F"/>
    <w:rsid w:val="00D81F30"/>
    <w:rsid w:val="00D820C3"/>
    <w:rsid w:val="00D829A2"/>
    <w:rsid w:val="00D8382A"/>
    <w:rsid w:val="00D839CE"/>
    <w:rsid w:val="00D849B2"/>
    <w:rsid w:val="00D8586E"/>
    <w:rsid w:val="00D85BE1"/>
    <w:rsid w:val="00D866CB"/>
    <w:rsid w:val="00D86FA3"/>
    <w:rsid w:val="00D90FE1"/>
    <w:rsid w:val="00D91599"/>
    <w:rsid w:val="00D930E5"/>
    <w:rsid w:val="00D953AC"/>
    <w:rsid w:val="00D957FC"/>
    <w:rsid w:val="00D961FF"/>
    <w:rsid w:val="00D97DB7"/>
    <w:rsid w:val="00DA0302"/>
    <w:rsid w:val="00DA1773"/>
    <w:rsid w:val="00DA19E1"/>
    <w:rsid w:val="00DA479B"/>
    <w:rsid w:val="00DA48C7"/>
    <w:rsid w:val="00DA4ABE"/>
    <w:rsid w:val="00DA51DB"/>
    <w:rsid w:val="00DA6E48"/>
    <w:rsid w:val="00DA71FC"/>
    <w:rsid w:val="00DA745F"/>
    <w:rsid w:val="00DA78B6"/>
    <w:rsid w:val="00DA7BEC"/>
    <w:rsid w:val="00DA7F96"/>
    <w:rsid w:val="00DB1BA1"/>
    <w:rsid w:val="00DB1C62"/>
    <w:rsid w:val="00DB1FE9"/>
    <w:rsid w:val="00DB286C"/>
    <w:rsid w:val="00DB3B01"/>
    <w:rsid w:val="00DB4107"/>
    <w:rsid w:val="00DB4FCE"/>
    <w:rsid w:val="00DB523A"/>
    <w:rsid w:val="00DB5555"/>
    <w:rsid w:val="00DB670B"/>
    <w:rsid w:val="00DB7675"/>
    <w:rsid w:val="00DB789D"/>
    <w:rsid w:val="00DB7F11"/>
    <w:rsid w:val="00DC1820"/>
    <w:rsid w:val="00DC27E4"/>
    <w:rsid w:val="00DC394E"/>
    <w:rsid w:val="00DC39B7"/>
    <w:rsid w:val="00DC39E4"/>
    <w:rsid w:val="00DC474E"/>
    <w:rsid w:val="00DC4BE8"/>
    <w:rsid w:val="00DC651D"/>
    <w:rsid w:val="00DC6C76"/>
    <w:rsid w:val="00DC739B"/>
    <w:rsid w:val="00DC7D2D"/>
    <w:rsid w:val="00DC7D99"/>
    <w:rsid w:val="00DD091C"/>
    <w:rsid w:val="00DD0FDD"/>
    <w:rsid w:val="00DD14BE"/>
    <w:rsid w:val="00DD453F"/>
    <w:rsid w:val="00DD4FC2"/>
    <w:rsid w:val="00DD5E6A"/>
    <w:rsid w:val="00DD669A"/>
    <w:rsid w:val="00DD66EB"/>
    <w:rsid w:val="00DD6907"/>
    <w:rsid w:val="00DD7557"/>
    <w:rsid w:val="00DD77AB"/>
    <w:rsid w:val="00DE1240"/>
    <w:rsid w:val="00DE14F0"/>
    <w:rsid w:val="00DE351A"/>
    <w:rsid w:val="00DE3A5F"/>
    <w:rsid w:val="00DE5939"/>
    <w:rsid w:val="00DE5ACE"/>
    <w:rsid w:val="00DE6AFB"/>
    <w:rsid w:val="00DE6DB6"/>
    <w:rsid w:val="00DE6FA4"/>
    <w:rsid w:val="00DE7393"/>
    <w:rsid w:val="00DE742A"/>
    <w:rsid w:val="00DF16CA"/>
    <w:rsid w:val="00DF2173"/>
    <w:rsid w:val="00DF2E32"/>
    <w:rsid w:val="00DF697D"/>
    <w:rsid w:val="00DF7AAD"/>
    <w:rsid w:val="00DF7FBC"/>
    <w:rsid w:val="00E00735"/>
    <w:rsid w:val="00E00E5E"/>
    <w:rsid w:val="00E00F13"/>
    <w:rsid w:val="00E00F6D"/>
    <w:rsid w:val="00E0141E"/>
    <w:rsid w:val="00E016D2"/>
    <w:rsid w:val="00E02312"/>
    <w:rsid w:val="00E02D2A"/>
    <w:rsid w:val="00E05E0E"/>
    <w:rsid w:val="00E06178"/>
    <w:rsid w:val="00E0672A"/>
    <w:rsid w:val="00E07BDC"/>
    <w:rsid w:val="00E103A2"/>
    <w:rsid w:val="00E11F73"/>
    <w:rsid w:val="00E1201D"/>
    <w:rsid w:val="00E1295E"/>
    <w:rsid w:val="00E129AD"/>
    <w:rsid w:val="00E12E18"/>
    <w:rsid w:val="00E15ABD"/>
    <w:rsid w:val="00E16776"/>
    <w:rsid w:val="00E17518"/>
    <w:rsid w:val="00E17B1A"/>
    <w:rsid w:val="00E21188"/>
    <w:rsid w:val="00E2217A"/>
    <w:rsid w:val="00E2244A"/>
    <w:rsid w:val="00E225B7"/>
    <w:rsid w:val="00E2341A"/>
    <w:rsid w:val="00E23745"/>
    <w:rsid w:val="00E2418B"/>
    <w:rsid w:val="00E24437"/>
    <w:rsid w:val="00E25788"/>
    <w:rsid w:val="00E25941"/>
    <w:rsid w:val="00E25F97"/>
    <w:rsid w:val="00E263A0"/>
    <w:rsid w:val="00E27644"/>
    <w:rsid w:val="00E27987"/>
    <w:rsid w:val="00E27F6E"/>
    <w:rsid w:val="00E30D36"/>
    <w:rsid w:val="00E313A3"/>
    <w:rsid w:val="00E31F6C"/>
    <w:rsid w:val="00E32443"/>
    <w:rsid w:val="00E325A7"/>
    <w:rsid w:val="00E32B2F"/>
    <w:rsid w:val="00E32CBB"/>
    <w:rsid w:val="00E32E5E"/>
    <w:rsid w:val="00E3350A"/>
    <w:rsid w:val="00E33BDB"/>
    <w:rsid w:val="00E33D96"/>
    <w:rsid w:val="00E347FF"/>
    <w:rsid w:val="00E3501C"/>
    <w:rsid w:val="00E3565F"/>
    <w:rsid w:val="00E35E0C"/>
    <w:rsid w:val="00E35F7C"/>
    <w:rsid w:val="00E374D6"/>
    <w:rsid w:val="00E37CD3"/>
    <w:rsid w:val="00E37D74"/>
    <w:rsid w:val="00E40B4E"/>
    <w:rsid w:val="00E414D7"/>
    <w:rsid w:val="00E41DB3"/>
    <w:rsid w:val="00E424A9"/>
    <w:rsid w:val="00E42740"/>
    <w:rsid w:val="00E42836"/>
    <w:rsid w:val="00E430E7"/>
    <w:rsid w:val="00E4375E"/>
    <w:rsid w:val="00E43FA1"/>
    <w:rsid w:val="00E4432D"/>
    <w:rsid w:val="00E44C1D"/>
    <w:rsid w:val="00E45937"/>
    <w:rsid w:val="00E46043"/>
    <w:rsid w:val="00E467B6"/>
    <w:rsid w:val="00E46B4E"/>
    <w:rsid w:val="00E4711C"/>
    <w:rsid w:val="00E47B16"/>
    <w:rsid w:val="00E504DE"/>
    <w:rsid w:val="00E50790"/>
    <w:rsid w:val="00E50F66"/>
    <w:rsid w:val="00E52843"/>
    <w:rsid w:val="00E52F4E"/>
    <w:rsid w:val="00E53C37"/>
    <w:rsid w:val="00E54682"/>
    <w:rsid w:val="00E551AA"/>
    <w:rsid w:val="00E555B7"/>
    <w:rsid w:val="00E56058"/>
    <w:rsid w:val="00E567A9"/>
    <w:rsid w:val="00E56DE4"/>
    <w:rsid w:val="00E576A9"/>
    <w:rsid w:val="00E57810"/>
    <w:rsid w:val="00E60190"/>
    <w:rsid w:val="00E623E7"/>
    <w:rsid w:val="00E62561"/>
    <w:rsid w:val="00E62839"/>
    <w:rsid w:val="00E6322E"/>
    <w:rsid w:val="00E63C07"/>
    <w:rsid w:val="00E646B7"/>
    <w:rsid w:val="00E64AF7"/>
    <w:rsid w:val="00E64B81"/>
    <w:rsid w:val="00E655DD"/>
    <w:rsid w:val="00E665EA"/>
    <w:rsid w:val="00E66889"/>
    <w:rsid w:val="00E7020C"/>
    <w:rsid w:val="00E70371"/>
    <w:rsid w:val="00E70CFA"/>
    <w:rsid w:val="00E70ECF"/>
    <w:rsid w:val="00E71148"/>
    <w:rsid w:val="00E71439"/>
    <w:rsid w:val="00E71AC5"/>
    <w:rsid w:val="00E71D26"/>
    <w:rsid w:val="00E72E70"/>
    <w:rsid w:val="00E72E7E"/>
    <w:rsid w:val="00E730E4"/>
    <w:rsid w:val="00E7313C"/>
    <w:rsid w:val="00E73379"/>
    <w:rsid w:val="00E75736"/>
    <w:rsid w:val="00E75832"/>
    <w:rsid w:val="00E75ECB"/>
    <w:rsid w:val="00E7639C"/>
    <w:rsid w:val="00E765A4"/>
    <w:rsid w:val="00E77300"/>
    <w:rsid w:val="00E77BD2"/>
    <w:rsid w:val="00E800B7"/>
    <w:rsid w:val="00E80735"/>
    <w:rsid w:val="00E8195B"/>
    <w:rsid w:val="00E826D3"/>
    <w:rsid w:val="00E82D8C"/>
    <w:rsid w:val="00E8521C"/>
    <w:rsid w:val="00E86193"/>
    <w:rsid w:val="00E867CD"/>
    <w:rsid w:val="00E879CF"/>
    <w:rsid w:val="00E87D90"/>
    <w:rsid w:val="00E90266"/>
    <w:rsid w:val="00E904C6"/>
    <w:rsid w:val="00E90CD4"/>
    <w:rsid w:val="00E910AB"/>
    <w:rsid w:val="00E911ED"/>
    <w:rsid w:val="00E92361"/>
    <w:rsid w:val="00E92AA9"/>
    <w:rsid w:val="00E943FA"/>
    <w:rsid w:val="00E948ED"/>
    <w:rsid w:val="00E94F63"/>
    <w:rsid w:val="00E956BB"/>
    <w:rsid w:val="00E962B6"/>
    <w:rsid w:val="00E962F3"/>
    <w:rsid w:val="00E966E3"/>
    <w:rsid w:val="00E96B38"/>
    <w:rsid w:val="00E97446"/>
    <w:rsid w:val="00E9795E"/>
    <w:rsid w:val="00E97FC4"/>
    <w:rsid w:val="00EA14D5"/>
    <w:rsid w:val="00EA1705"/>
    <w:rsid w:val="00EA1C30"/>
    <w:rsid w:val="00EA2089"/>
    <w:rsid w:val="00EA48EE"/>
    <w:rsid w:val="00EA4DC9"/>
    <w:rsid w:val="00EA5576"/>
    <w:rsid w:val="00EA587B"/>
    <w:rsid w:val="00EA7934"/>
    <w:rsid w:val="00EA7F09"/>
    <w:rsid w:val="00EB17F7"/>
    <w:rsid w:val="00EB2746"/>
    <w:rsid w:val="00EB3742"/>
    <w:rsid w:val="00EB394D"/>
    <w:rsid w:val="00EB3C4F"/>
    <w:rsid w:val="00EB3EE0"/>
    <w:rsid w:val="00EB5424"/>
    <w:rsid w:val="00EB5885"/>
    <w:rsid w:val="00EB5A79"/>
    <w:rsid w:val="00EB61C7"/>
    <w:rsid w:val="00EC0CF3"/>
    <w:rsid w:val="00EC1A9F"/>
    <w:rsid w:val="00EC36BB"/>
    <w:rsid w:val="00EC3A94"/>
    <w:rsid w:val="00EC4B60"/>
    <w:rsid w:val="00EC5B54"/>
    <w:rsid w:val="00EC63A4"/>
    <w:rsid w:val="00EC7A2B"/>
    <w:rsid w:val="00ED089C"/>
    <w:rsid w:val="00ED0D53"/>
    <w:rsid w:val="00ED0D5C"/>
    <w:rsid w:val="00ED19A3"/>
    <w:rsid w:val="00ED2543"/>
    <w:rsid w:val="00ED26EB"/>
    <w:rsid w:val="00ED2E3B"/>
    <w:rsid w:val="00ED3079"/>
    <w:rsid w:val="00ED3E12"/>
    <w:rsid w:val="00ED4568"/>
    <w:rsid w:val="00ED45FE"/>
    <w:rsid w:val="00ED5485"/>
    <w:rsid w:val="00ED5777"/>
    <w:rsid w:val="00ED58EF"/>
    <w:rsid w:val="00ED620A"/>
    <w:rsid w:val="00ED622A"/>
    <w:rsid w:val="00ED65CA"/>
    <w:rsid w:val="00ED67AE"/>
    <w:rsid w:val="00ED67E5"/>
    <w:rsid w:val="00ED6CC2"/>
    <w:rsid w:val="00ED7B34"/>
    <w:rsid w:val="00EE038F"/>
    <w:rsid w:val="00EE17B7"/>
    <w:rsid w:val="00EE1998"/>
    <w:rsid w:val="00EE20E5"/>
    <w:rsid w:val="00EE272A"/>
    <w:rsid w:val="00EE2857"/>
    <w:rsid w:val="00EE2ECF"/>
    <w:rsid w:val="00EE2F9F"/>
    <w:rsid w:val="00EE4A6A"/>
    <w:rsid w:val="00EE5A45"/>
    <w:rsid w:val="00EE6135"/>
    <w:rsid w:val="00EE6E6C"/>
    <w:rsid w:val="00EE7BA9"/>
    <w:rsid w:val="00EE7C45"/>
    <w:rsid w:val="00EE7E86"/>
    <w:rsid w:val="00EF0152"/>
    <w:rsid w:val="00EF0455"/>
    <w:rsid w:val="00EF0623"/>
    <w:rsid w:val="00EF0914"/>
    <w:rsid w:val="00EF0A60"/>
    <w:rsid w:val="00EF1405"/>
    <w:rsid w:val="00EF188A"/>
    <w:rsid w:val="00EF2411"/>
    <w:rsid w:val="00EF25F1"/>
    <w:rsid w:val="00EF3C07"/>
    <w:rsid w:val="00EF5155"/>
    <w:rsid w:val="00EF55A7"/>
    <w:rsid w:val="00EF5847"/>
    <w:rsid w:val="00EF5B04"/>
    <w:rsid w:val="00EF5F16"/>
    <w:rsid w:val="00EF7D79"/>
    <w:rsid w:val="00F00144"/>
    <w:rsid w:val="00F00AE8"/>
    <w:rsid w:val="00F014C9"/>
    <w:rsid w:val="00F01937"/>
    <w:rsid w:val="00F02769"/>
    <w:rsid w:val="00F028B0"/>
    <w:rsid w:val="00F04768"/>
    <w:rsid w:val="00F04839"/>
    <w:rsid w:val="00F04F16"/>
    <w:rsid w:val="00F059A4"/>
    <w:rsid w:val="00F060CD"/>
    <w:rsid w:val="00F0681E"/>
    <w:rsid w:val="00F073F2"/>
    <w:rsid w:val="00F07FEA"/>
    <w:rsid w:val="00F111A7"/>
    <w:rsid w:val="00F114D3"/>
    <w:rsid w:val="00F115CE"/>
    <w:rsid w:val="00F1292C"/>
    <w:rsid w:val="00F139EE"/>
    <w:rsid w:val="00F13A54"/>
    <w:rsid w:val="00F13C28"/>
    <w:rsid w:val="00F141BE"/>
    <w:rsid w:val="00F146FA"/>
    <w:rsid w:val="00F159B7"/>
    <w:rsid w:val="00F162BF"/>
    <w:rsid w:val="00F21B1B"/>
    <w:rsid w:val="00F248F4"/>
    <w:rsid w:val="00F255C2"/>
    <w:rsid w:val="00F26311"/>
    <w:rsid w:val="00F27437"/>
    <w:rsid w:val="00F27634"/>
    <w:rsid w:val="00F2770E"/>
    <w:rsid w:val="00F27CE6"/>
    <w:rsid w:val="00F32669"/>
    <w:rsid w:val="00F329CC"/>
    <w:rsid w:val="00F3369D"/>
    <w:rsid w:val="00F33D5A"/>
    <w:rsid w:val="00F33E28"/>
    <w:rsid w:val="00F35194"/>
    <w:rsid w:val="00F351C9"/>
    <w:rsid w:val="00F35438"/>
    <w:rsid w:val="00F359F3"/>
    <w:rsid w:val="00F36490"/>
    <w:rsid w:val="00F372BE"/>
    <w:rsid w:val="00F4055F"/>
    <w:rsid w:val="00F40839"/>
    <w:rsid w:val="00F40D95"/>
    <w:rsid w:val="00F41150"/>
    <w:rsid w:val="00F421FC"/>
    <w:rsid w:val="00F44EAC"/>
    <w:rsid w:val="00F45392"/>
    <w:rsid w:val="00F4599F"/>
    <w:rsid w:val="00F472BD"/>
    <w:rsid w:val="00F477A3"/>
    <w:rsid w:val="00F478E8"/>
    <w:rsid w:val="00F50ED6"/>
    <w:rsid w:val="00F50F97"/>
    <w:rsid w:val="00F54F8E"/>
    <w:rsid w:val="00F5511E"/>
    <w:rsid w:val="00F55838"/>
    <w:rsid w:val="00F55A4C"/>
    <w:rsid w:val="00F55B15"/>
    <w:rsid w:val="00F561B5"/>
    <w:rsid w:val="00F574D1"/>
    <w:rsid w:val="00F610AA"/>
    <w:rsid w:val="00F620CB"/>
    <w:rsid w:val="00F623A6"/>
    <w:rsid w:val="00F623AC"/>
    <w:rsid w:val="00F62F9A"/>
    <w:rsid w:val="00F6322C"/>
    <w:rsid w:val="00F6360A"/>
    <w:rsid w:val="00F6399F"/>
    <w:rsid w:val="00F63D0D"/>
    <w:rsid w:val="00F648C7"/>
    <w:rsid w:val="00F650A1"/>
    <w:rsid w:val="00F653D3"/>
    <w:rsid w:val="00F6628B"/>
    <w:rsid w:val="00F671BF"/>
    <w:rsid w:val="00F67CEE"/>
    <w:rsid w:val="00F67EA2"/>
    <w:rsid w:val="00F70449"/>
    <w:rsid w:val="00F70610"/>
    <w:rsid w:val="00F70C69"/>
    <w:rsid w:val="00F71AE2"/>
    <w:rsid w:val="00F728FC"/>
    <w:rsid w:val="00F732E5"/>
    <w:rsid w:val="00F73F2B"/>
    <w:rsid w:val="00F74B3B"/>
    <w:rsid w:val="00F77F02"/>
    <w:rsid w:val="00F800AA"/>
    <w:rsid w:val="00F803AE"/>
    <w:rsid w:val="00F80F6A"/>
    <w:rsid w:val="00F81951"/>
    <w:rsid w:val="00F8220C"/>
    <w:rsid w:val="00F824C0"/>
    <w:rsid w:val="00F82557"/>
    <w:rsid w:val="00F830E7"/>
    <w:rsid w:val="00F83283"/>
    <w:rsid w:val="00F835E3"/>
    <w:rsid w:val="00F84075"/>
    <w:rsid w:val="00F85AAC"/>
    <w:rsid w:val="00F85E30"/>
    <w:rsid w:val="00F86DF3"/>
    <w:rsid w:val="00F86FF9"/>
    <w:rsid w:val="00F87BB5"/>
    <w:rsid w:val="00F92E48"/>
    <w:rsid w:val="00F9381C"/>
    <w:rsid w:val="00F946D9"/>
    <w:rsid w:val="00F95B7D"/>
    <w:rsid w:val="00F9684D"/>
    <w:rsid w:val="00F969BD"/>
    <w:rsid w:val="00F9704E"/>
    <w:rsid w:val="00F972E4"/>
    <w:rsid w:val="00FA2B1A"/>
    <w:rsid w:val="00FA364F"/>
    <w:rsid w:val="00FA38BF"/>
    <w:rsid w:val="00FA4438"/>
    <w:rsid w:val="00FA575A"/>
    <w:rsid w:val="00FA68B7"/>
    <w:rsid w:val="00FA7DE9"/>
    <w:rsid w:val="00FB0646"/>
    <w:rsid w:val="00FB0955"/>
    <w:rsid w:val="00FB0BBE"/>
    <w:rsid w:val="00FB1A4E"/>
    <w:rsid w:val="00FB1CB3"/>
    <w:rsid w:val="00FB2398"/>
    <w:rsid w:val="00FB3AB3"/>
    <w:rsid w:val="00FB4094"/>
    <w:rsid w:val="00FB487C"/>
    <w:rsid w:val="00FB4D04"/>
    <w:rsid w:val="00FB5588"/>
    <w:rsid w:val="00FB6195"/>
    <w:rsid w:val="00FC0566"/>
    <w:rsid w:val="00FC089E"/>
    <w:rsid w:val="00FC0FF0"/>
    <w:rsid w:val="00FC1EB7"/>
    <w:rsid w:val="00FC241B"/>
    <w:rsid w:val="00FC30FF"/>
    <w:rsid w:val="00FC39C5"/>
    <w:rsid w:val="00FC39C8"/>
    <w:rsid w:val="00FC3B57"/>
    <w:rsid w:val="00FC3CAF"/>
    <w:rsid w:val="00FC42A9"/>
    <w:rsid w:val="00FC4C93"/>
    <w:rsid w:val="00FC53D4"/>
    <w:rsid w:val="00FC5C7E"/>
    <w:rsid w:val="00FC5CDC"/>
    <w:rsid w:val="00FC6767"/>
    <w:rsid w:val="00FC6FD7"/>
    <w:rsid w:val="00FD0C18"/>
    <w:rsid w:val="00FD29B4"/>
    <w:rsid w:val="00FD374C"/>
    <w:rsid w:val="00FD3991"/>
    <w:rsid w:val="00FD3D79"/>
    <w:rsid w:val="00FD4A6D"/>
    <w:rsid w:val="00FD6345"/>
    <w:rsid w:val="00FD7342"/>
    <w:rsid w:val="00FD7752"/>
    <w:rsid w:val="00FD78CE"/>
    <w:rsid w:val="00FE02F7"/>
    <w:rsid w:val="00FE0645"/>
    <w:rsid w:val="00FE0998"/>
    <w:rsid w:val="00FE0DD9"/>
    <w:rsid w:val="00FE1AD9"/>
    <w:rsid w:val="00FE224A"/>
    <w:rsid w:val="00FE2E44"/>
    <w:rsid w:val="00FE32DD"/>
    <w:rsid w:val="00FE38C6"/>
    <w:rsid w:val="00FE425D"/>
    <w:rsid w:val="00FE439A"/>
    <w:rsid w:val="00FE4517"/>
    <w:rsid w:val="00FE488C"/>
    <w:rsid w:val="00FE52DD"/>
    <w:rsid w:val="00FE5E08"/>
    <w:rsid w:val="00FE6255"/>
    <w:rsid w:val="00FE66DF"/>
    <w:rsid w:val="00FE6D60"/>
    <w:rsid w:val="00FF2933"/>
    <w:rsid w:val="00FF31DE"/>
    <w:rsid w:val="00FF3ABD"/>
    <w:rsid w:val="00FF40CD"/>
    <w:rsid w:val="00FF4645"/>
    <w:rsid w:val="00FF573D"/>
    <w:rsid w:val="00FF5E91"/>
    <w:rsid w:val="00FF6196"/>
    <w:rsid w:val="00FF6655"/>
    <w:rsid w:val="00FF7959"/>
    <w:rsid w:val="00FF7A6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2250"/>
    <w:pPr>
      <w:keepNext/>
      <w:spacing w:after="0" w:line="360" w:lineRule="auto"/>
      <w:jc w:val="center"/>
      <w:outlineLvl w:val="0"/>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uiPriority w:val="9"/>
    <w:semiHidden/>
    <w:unhideWhenUsed/>
    <w:qFormat/>
    <w:rsid w:val="00A15A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250"/>
    <w:rPr>
      <w:rFonts w:ascii="Times New Roman" w:eastAsia="Times New Roman" w:hAnsi="Times New Roman" w:cs="Times New Roman"/>
      <w:b/>
      <w:bCs/>
      <w:sz w:val="24"/>
      <w:szCs w:val="24"/>
      <w:lang w:val="en-GB" w:eastAsia="en-US"/>
    </w:rPr>
  </w:style>
  <w:style w:type="paragraph" w:styleId="Date">
    <w:name w:val="Date"/>
    <w:basedOn w:val="Normal"/>
    <w:next w:val="Normal"/>
    <w:link w:val="DateChar"/>
    <w:uiPriority w:val="99"/>
    <w:semiHidden/>
    <w:unhideWhenUsed/>
    <w:rsid w:val="00122250"/>
  </w:style>
  <w:style w:type="character" w:customStyle="1" w:styleId="DateChar">
    <w:name w:val="Date Char"/>
    <w:basedOn w:val="DefaultParagraphFont"/>
    <w:link w:val="Date"/>
    <w:uiPriority w:val="99"/>
    <w:semiHidden/>
    <w:rsid w:val="00122250"/>
  </w:style>
  <w:style w:type="paragraph" w:styleId="ListParagraph">
    <w:name w:val="List Paragraph"/>
    <w:basedOn w:val="Normal"/>
    <w:uiPriority w:val="34"/>
    <w:qFormat/>
    <w:rsid w:val="00122250"/>
    <w:pPr>
      <w:ind w:left="720"/>
      <w:contextualSpacing/>
    </w:pPr>
  </w:style>
  <w:style w:type="paragraph" w:styleId="BodyText">
    <w:name w:val="Body Text"/>
    <w:basedOn w:val="Normal"/>
    <w:link w:val="BodyTextChar"/>
    <w:rsid w:val="00122250"/>
    <w:pPr>
      <w:spacing w:after="0" w:line="36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22250"/>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semiHidden/>
    <w:unhideWhenUsed/>
    <w:rsid w:val="001222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2250"/>
  </w:style>
  <w:style w:type="paragraph" w:styleId="Footer">
    <w:name w:val="footer"/>
    <w:basedOn w:val="Normal"/>
    <w:link w:val="FooterChar"/>
    <w:uiPriority w:val="99"/>
    <w:unhideWhenUsed/>
    <w:rsid w:val="0012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250"/>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rsid w:val="00122250"/>
    <w:pPr>
      <w:spacing w:after="0" w:line="240" w:lineRule="auto"/>
    </w:pPr>
    <w:rPr>
      <w:sz w:val="20"/>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22250"/>
    <w:rPr>
      <w:sz w:val="20"/>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22250"/>
    <w:rPr>
      <w:vertAlign w:val="superscript"/>
    </w:rPr>
  </w:style>
  <w:style w:type="character" w:styleId="Hyperlink">
    <w:name w:val="Hyperlink"/>
    <w:basedOn w:val="DefaultParagraphFont"/>
    <w:uiPriority w:val="99"/>
    <w:rsid w:val="00122250"/>
    <w:rPr>
      <w:color w:val="0000FF"/>
      <w:u w:val="single"/>
    </w:rPr>
  </w:style>
  <w:style w:type="paragraph" w:customStyle="1" w:styleId="AERbodytext">
    <w:name w:val="AER body text"/>
    <w:link w:val="AERbodytextChar"/>
    <w:qFormat/>
    <w:rsid w:val="00A15AEB"/>
    <w:pPr>
      <w:spacing w:after="240" w:line="288" w:lineRule="auto"/>
      <w:jc w:val="both"/>
    </w:pPr>
    <w:rPr>
      <w:rFonts w:ascii="Gautami" w:eastAsia="Times New Roman" w:hAnsi="Gautami" w:cs="Times New Roman"/>
      <w:sz w:val="20"/>
      <w:szCs w:val="24"/>
      <w:lang w:val="en-AU"/>
    </w:rPr>
  </w:style>
  <w:style w:type="character" w:customStyle="1" w:styleId="AERbody">
    <w:name w:val="AER body"/>
    <w:basedOn w:val="DefaultParagraphFont"/>
    <w:rsid w:val="00A15AEB"/>
    <w:rPr>
      <w:rFonts w:ascii="Gautami" w:hAnsi="Gautami"/>
      <w:color w:val="auto"/>
      <w:sz w:val="20"/>
    </w:rPr>
  </w:style>
  <w:style w:type="character" w:customStyle="1" w:styleId="AERbodytextChar">
    <w:name w:val="AER body text Char"/>
    <w:basedOn w:val="DefaultParagraphFont"/>
    <w:link w:val="AERbodytext"/>
    <w:rsid w:val="00A15AEB"/>
    <w:rPr>
      <w:rFonts w:ascii="Gautami" w:eastAsia="Times New Roman" w:hAnsi="Gautami" w:cs="Times New Roman"/>
      <w:sz w:val="20"/>
      <w:szCs w:val="24"/>
      <w:lang w:val="en-AU" w:eastAsia="en-US"/>
    </w:rPr>
  </w:style>
  <w:style w:type="paragraph" w:styleId="Title">
    <w:name w:val="Title"/>
    <w:next w:val="Subtitle"/>
    <w:link w:val="TitleChar"/>
    <w:qFormat/>
    <w:rsid w:val="00A15AEB"/>
    <w:pPr>
      <w:spacing w:before="2400" w:after="1920" w:line="240" w:lineRule="auto"/>
      <w:jc w:val="center"/>
    </w:pPr>
    <w:rPr>
      <w:rFonts w:ascii="Arial" w:eastAsia="Times New Roman" w:hAnsi="Arial" w:cs="Arial"/>
      <w:b/>
      <w:bCs/>
      <w:kern w:val="28"/>
      <w:sz w:val="36"/>
      <w:szCs w:val="32"/>
      <w:lang w:val="en-AU"/>
    </w:rPr>
  </w:style>
  <w:style w:type="character" w:customStyle="1" w:styleId="TitleChar">
    <w:name w:val="Title Char"/>
    <w:basedOn w:val="DefaultParagraphFont"/>
    <w:link w:val="Title"/>
    <w:rsid w:val="00A15AEB"/>
    <w:rPr>
      <w:rFonts w:ascii="Arial" w:eastAsia="Times New Roman" w:hAnsi="Arial" w:cs="Arial"/>
      <w:b/>
      <w:bCs/>
      <w:kern w:val="28"/>
      <w:sz w:val="36"/>
      <w:szCs w:val="32"/>
      <w:lang w:val="en-AU" w:eastAsia="en-US"/>
    </w:rPr>
  </w:style>
  <w:style w:type="paragraph" w:customStyle="1" w:styleId="AERheading1">
    <w:name w:val="AER heading 1"/>
    <w:basedOn w:val="Heading1"/>
    <w:next w:val="Normal"/>
    <w:rsid w:val="00A15AEB"/>
    <w:pPr>
      <w:keepNext w:val="0"/>
      <w:pageBreakBefore/>
      <w:widowControl w:val="0"/>
      <w:numPr>
        <w:numId w:val="8"/>
      </w:numPr>
      <w:spacing w:before="240" w:after="120" w:line="240" w:lineRule="auto"/>
      <w:jc w:val="left"/>
    </w:pPr>
    <w:rPr>
      <w:rFonts w:ascii="Arial Bold" w:hAnsi="Arial Bold"/>
      <w:spacing w:val="5"/>
      <w:kern w:val="36"/>
      <w:sz w:val="36"/>
      <w:szCs w:val="27"/>
      <w:lang w:val="en-AU" w:eastAsia="en-AU"/>
    </w:rPr>
  </w:style>
  <w:style w:type="paragraph" w:customStyle="1" w:styleId="AERheading2">
    <w:name w:val="AER heading 2"/>
    <w:basedOn w:val="Normal"/>
    <w:next w:val="Normal"/>
    <w:rsid w:val="00A15AEB"/>
    <w:pPr>
      <w:keepNext/>
      <w:numPr>
        <w:ilvl w:val="1"/>
        <w:numId w:val="8"/>
      </w:numPr>
      <w:spacing w:before="360" w:after="120" w:line="240" w:lineRule="auto"/>
    </w:pPr>
    <w:rPr>
      <w:rFonts w:ascii="Arial Bold" w:eastAsia="Times New Roman" w:hAnsi="Arial Bold" w:cs="Times New Roman"/>
      <w:sz w:val="30"/>
      <w:szCs w:val="20"/>
      <w:lang w:val="en-AU" w:eastAsia="en-AU"/>
    </w:rPr>
  </w:style>
  <w:style w:type="paragraph" w:customStyle="1" w:styleId="AERheading3">
    <w:name w:val="AER heading 3"/>
    <w:basedOn w:val="Normal"/>
    <w:next w:val="Normal"/>
    <w:rsid w:val="00A15AEB"/>
    <w:pPr>
      <w:keepNext/>
      <w:numPr>
        <w:ilvl w:val="2"/>
        <w:numId w:val="8"/>
      </w:numPr>
      <w:spacing w:before="240" w:after="120" w:line="240" w:lineRule="auto"/>
    </w:pPr>
    <w:rPr>
      <w:rFonts w:ascii="Arial Bold" w:eastAsia="Times New Roman" w:hAnsi="Arial Bold" w:cs="Times New Roman"/>
      <w:sz w:val="24"/>
      <w:szCs w:val="20"/>
      <w:lang w:val="en-AU" w:eastAsia="en-AU"/>
    </w:rPr>
  </w:style>
  <w:style w:type="paragraph" w:customStyle="1" w:styleId="AERheading4">
    <w:name w:val="AER heading 4"/>
    <w:basedOn w:val="Heading4"/>
    <w:next w:val="Normal"/>
    <w:rsid w:val="00A15AEB"/>
    <w:pPr>
      <w:keepLines w:val="0"/>
      <w:numPr>
        <w:ilvl w:val="3"/>
        <w:numId w:val="8"/>
      </w:numPr>
      <w:tabs>
        <w:tab w:val="clear" w:pos="1080"/>
        <w:tab w:val="left" w:pos="720"/>
      </w:tabs>
      <w:spacing w:before="240" w:after="120" w:line="240" w:lineRule="auto"/>
    </w:pPr>
    <w:rPr>
      <w:rFonts w:ascii="Times New Roman" w:eastAsia="Times New Roman" w:hAnsi="Times New Roman" w:cs="Times New Roman"/>
      <w:bCs w:val="0"/>
      <w:i w:val="0"/>
      <w:iCs w:val="0"/>
      <w:color w:val="auto"/>
      <w:szCs w:val="24"/>
      <w:lang w:val="en-AU" w:eastAsia="en-AU"/>
    </w:rPr>
  </w:style>
  <w:style w:type="table" w:styleId="TableGrid">
    <w:name w:val="Table Grid"/>
    <w:basedOn w:val="TableNormal"/>
    <w:uiPriority w:val="59"/>
    <w:rsid w:val="00A15AEB"/>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15A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5AEB"/>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semiHidden/>
    <w:rsid w:val="00A15AE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A15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2250"/>
    <w:pPr>
      <w:keepNext/>
      <w:spacing w:after="0" w:line="360" w:lineRule="auto"/>
      <w:jc w:val="center"/>
      <w:outlineLvl w:val="0"/>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uiPriority w:val="9"/>
    <w:semiHidden/>
    <w:unhideWhenUsed/>
    <w:qFormat/>
    <w:rsid w:val="00A15A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250"/>
    <w:rPr>
      <w:rFonts w:ascii="Times New Roman" w:eastAsia="Times New Roman" w:hAnsi="Times New Roman" w:cs="Times New Roman"/>
      <w:b/>
      <w:bCs/>
      <w:sz w:val="24"/>
      <w:szCs w:val="24"/>
      <w:lang w:val="en-GB" w:eastAsia="en-US"/>
    </w:rPr>
  </w:style>
  <w:style w:type="paragraph" w:styleId="Date">
    <w:name w:val="Date"/>
    <w:basedOn w:val="Normal"/>
    <w:next w:val="Normal"/>
    <w:link w:val="DateChar"/>
    <w:uiPriority w:val="99"/>
    <w:semiHidden/>
    <w:unhideWhenUsed/>
    <w:rsid w:val="00122250"/>
  </w:style>
  <w:style w:type="character" w:customStyle="1" w:styleId="DateChar">
    <w:name w:val="Date Char"/>
    <w:basedOn w:val="DefaultParagraphFont"/>
    <w:link w:val="Date"/>
    <w:uiPriority w:val="99"/>
    <w:semiHidden/>
    <w:rsid w:val="00122250"/>
  </w:style>
  <w:style w:type="paragraph" w:styleId="ListParagraph">
    <w:name w:val="List Paragraph"/>
    <w:basedOn w:val="Normal"/>
    <w:uiPriority w:val="34"/>
    <w:qFormat/>
    <w:rsid w:val="00122250"/>
    <w:pPr>
      <w:ind w:left="720"/>
      <w:contextualSpacing/>
    </w:pPr>
  </w:style>
  <w:style w:type="paragraph" w:styleId="BodyText">
    <w:name w:val="Body Text"/>
    <w:basedOn w:val="Normal"/>
    <w:link w:val="BodyTextChar"/>
    <w:rsid w:val="00122250"/>
    <w:pPr>
      <w:spacing w:after="0" w:line="36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22250"/>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semiHidden/>
    <w:unhideWhenUsed/>
    <w:rsid w:val="001222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2250"/>
  </w:style>
  <w:style w:type="paragraph" w:styleId="Footer">
    <w:name w:val="footer"/>
    <w:basedOn w:val="Normal"/>
    <w:link w:val="FooterChar"/>
    <w:uiPriority w:val="99"/>
    <w:unhideWhenUsed/>
    <w:rsid w:val="0012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250"/>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rsid w:val="00122250"/>
    <w:pPr>
      <w:spacing w:after="0" w:line="240" w:lineRule="auto"/>
    </w:pPr>
    <w:rPr>
      <w:sz w:val="20"/>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22250"/>
    <w:rPr>
      <w:sz w:val="20"/>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22250"/>
    <w:rPr>
      <w:vertAlign w:val="superscript"/>
    </w:rPr>
  </w:style>
  <w:style w:type="character" w:styleId="Hyperlink">
    <w:name w:val="Hyperlink"/>
    <w:basedOn w:val="DefaultParagraphFont"/>
    <w:uiPriority w:val="99"/>
    <w:rsid w:val="00122250"/>
    <w:rPr>
      <w:color w:val="0000FF"/>
      <w:u w:val="single"/>
    </w:rPr>
  </w:style>
  <w:style w:type="paragraph" w:customStyle="1" w:styleId="AERbodytext">
    <w:name w:val="AER body text"/>
    <w:link w:val="AERbodytextChar"/>
    <w:qFormat/>
    <w:rsid w:val="00A15AEB"/>
    <w:pPr>
      <w:spacing w:after="240" w:line="288" w:lineRule="auto"/>
      <w:jc w:val="both"/>
    </w:pPr>
    <w:rPr>
      <w:rFonts w:ascii="Gautami" w:eastAsia="Times New Roman" w:hAnsi="Gautami" w:cs="Times New Roman"/>
      <w:sz w:val="20"/>
      <w:szCs w:val="24"/>
      <w:lang w:val="en-AU"/>
    </w:rPr>
  </w:style>
  <w:style w:type="character" w:customStyle="1" w:styleId="AERbody">
    <w:name w:val="AER body"/>
    <w:basedOn w:val="DefaultParagraphFont"/>
    <w:rsid w:val="00A15AEB"/>
    <w:rPr>
      <w:rFonts w:ascii="Gautami" w:hAnsi="Gautami"/>
      <w:color w:val="auto"/>
      <w:sz w:val="20"/>
    </w:rPr>
  </w:style>
  <w:style w:type="character" w:customStyle="1" w:styleId="AERbodytextChar">
    <w:name w:val="AER body text Char"/>
    <w:basedOn w:val="DefaultParagraphFont"/>
    <w:link w:val="AERbodytext"/>
    <w:rsid w:val="00A15AEB"/>
    <w:rPr>
      <w:rFonts w:ascii="Gautami" w:eastAsia="Times New Roman" w:hAnsi="Gautami" w:cs="Times New Roman"/>
      <w:sz w:val="20"/>
      <w:szCs w:val="24"/>
      <w:lang w:val="en-AU" w:eastAsia="en-US"/>
    </w:rPr>
  </w:style>
  <w:style w:type="paragraph" w:styleId="Title">
    <w:name w:val="Title"/>
    <w:next w:val="Subtitle"/>
    <w:link w:val="TitleChar"/>
    <w:qFormat/>
    <w:rsid w:val="00A15AEB"/>
    <w:pPr>
      <w:spacing w:before="2400" w:after="1920" w:line="240" w:lineRule="auto"/>
      <w:jc w:val="center"/>
    </w:pPr>
    <w:rPr>
      <w:rFonts w:ascii="Arial" w:eastAsia="Times New Roman" w:hAnsi="Arial" w:cs="Arial"/>
      <w:b/>
      <w:bCs/>
      <w:kern w:val="28"/>
      <w:sz w:val="36"/>
      <w:szCs w:val="32"/>
      <w:lang w:val="en-AU"/>
    </w:rPr>
  </w:style>
  <w:style w:type="character" w:customStyle="1" w:styleId="TitleChar">
    <w:name w:val="Title Char"/>
    <w:basedOn w:val="DefaultParagraphFont"/>
    <w:link w:val="Title"/>
    <w:rsid w:val="00A15AEB"/>
    <w:rPr>
      <w:rFonts w:ascii="Arial" w:eastAsia="Times New Roman" w:hAnsi="Arial" w:cs="Arial"/>
      <w:b/>
      <w:bCs/>
      <w:kern w:val="28"/>
      <w:sz w:val="36"/>
      <w:szCs w:val="32"/>
      <w:lang w:val="en-AU" w:eastAsia="en-US"/>
    </w:rPr>
  </w:style>
  <w:style w:type="paragraph" w:customStyle="1" w:styleId="AERheading1">
    <w:name w:val="AER heading 1"/>
    <w:basedOn w:val="Heading1"/>
    <w:next w:val="Normal"/>
    <w:rsid w:val="00A15AEB"/>
    <w:pPr>
      <w:keepNext w:val="0"/>
      <w:pageBreakBefore/>
      <w:widowControl w:val="0"/>
      <w:numPr>
        <w:numId w:val="8"/>
      </w:numPr>
      <w:spacing w:before="240" w:after="120" w:line="240" w:lineRule="auto"/>
      <w:jc w:val="left"/>
    </w:pPr>
    <w:rPr>
      <w:rFonts w:ascii="Arial Bold" w:hAnsi="Arial Bold"/>
      <w:spacing w:val="5"/>
      <w:kern w:val="36"/>
      <w:sz w:val="36"/>
      <w:szCs w:val="27"/>
      <w:lang w:val="en-AU" w:eastAsia="en-AU"/>
    </w:rPr>
  </w:style>
  <w:style w:type="paragraph" w:customStyle="1" w:styleId="AERheading2">
    <w:name w:val="AER heading 2"/>
    <w:basedOn w:val="Normal"/>
    <w:next w:val="Normal"/>
    <w:rsid w:val="00A15AEB"/>
    <w:pPr>
      <w:keepNext/>
      <w:numPr>
        <w:ilvl w:val="1"/>
        <w:numId w:val="8"/>
      </w:numPr>
      <w:spacing w:before="360" w:after="120" w:line="240" w:lineRule="auto"/>
    </w:pPr>
    <w:rPr>
      <w:rFonts w:ascii="Arial Bold" w:eastAsia="Times New Roman" w:hAnsi="Arial Bold" w:cs="Times New Roman"/>
      <w:sz w:val="30"/>
      <w:szCs w:val="20"/>
      <w:lang w:val="en-AU" w:eastAsia="en-AU"/>
    </w:rPr>
  </w:style>
  <w:style w:type="paragraph" w:customStyle="1" w:styleId="AERheading3">
    <w:name w:val="AER heading 3"/>
    <w:basedOn w:val="Normal"/>
    <w:next w:val="Normal"/>
    <w:rsid w:val="00A15AEB"/>
    <w:pPr>
      <w:keepNext/>
      <w:numPr>
        <w:ilvl w:val="2"/>
        <w:numId w:val="8"/>
      </w:numPr>
      <w:spacing w:before="240" w:after="120" w:line="240" w:lineRule="auto"/>
    </w:pPr>
    <w:rPr>
      <w:rFonts w:ascii="Arial Bold" w:eastAsia="Times New Roman" w:hAnsi="Arial Bold" w:cs="Times New Roman"/>
      <w:sz w:val="24"/>
      <w:szCs w:val="20"/>
      <w:lang w:val="en-AU" w:eastAsia="en-AU"/>
    </w:rPr>
  </w:style>
  <w:style w:type="paragraph" w:customStyle="1" w:styleId="AERheading4">
    <w:name w:val="AER heading 4"/>
    <w:basedOn w:val="Heading4"/>
    <w:next w:val="Normal"/>
    <w:rsid w:val="00A15AEB"/>
    <w:pPr>
      <w:keepLines w:val="0"/>
      <w:numPr>
        <w:ilvl w:val="3"/>
        <w:numId w:val="8"/>
      </w:numPr>
      <w:tabs>
        <w:tab w:val="clear" w:pos="1080"/>
        <w:tab w:val="left" w:pos="720"/>
      </w:tabs>
      <w:spacing w:before="240" w:after="120" w:line="240" w:lineRule="auto"/>
    </w:pPr>
    <w:rPr>
      <w:rFonts w:ascii="Times New Roman" w:eastAsia="Times New Roman" w:hAnsi="Times New Roman" w:cs="Times New Roman"/>
      <w:bCs w:val="0"/>
      <w:i w:val="0"/>
      <w:iCs w:val="0"/>
      <w:color w:val="auto"/>
      <w:szCs w:val="24"/>
      <w:lang w:val="en-AU" w:eastAsia="en-AU"/>
    </w:rPr>
  </w:style>
  <w:style w:type="table" w:styleId="TableGrid">
    <w:name w:val="Table Grid"/>
    <w:basedOn w:val="TableNormal"/>
    <w:uiPriority w:val="59"/>
    <w:rsid w:val="00A15AEB"/>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15A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5AEB"/>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semiHidden/>
    <w:rsid w:val="00A15AE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A15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042232">
      <w:bodyDiv w:val="1"/>
      <w:marLeft w:val="0"/>
      <w:marRight w:val="0"/>
      <w:marTop w:val="0"/>
      <w:marBottom w:val="0"/>
      <w:divBdr>
        <w:top w:val="none" w:sz="0" w:space="0" w:color="auto"/>
        <w:left w:val="none" w:sz="0" w:space="0" w:color="auto"/>
        <w:bottom w:val="none" w:sz="0" w:space="0" w:color="auto"/>
        <w:right w:val="none" w:sz="0" w:space="0" w:color="auto"/>
      </w:divBdr>
    </w:div>
    <w:div w:id="1440875470">
      <w:bodyDiv w:val="1"/>
      <w:marLeft w:val="0"/>
      <w:marRight w:val="0"/>
      <w:marTop w:val="0"/>
      <w:marBottom w:val="0"/>
      <w:divBdr>
        <w:top w:val="none" w:sz="0" w:space="0" w:color="auto"/>
        <w:left w:val="none" w:sz="0" w:space="0" w:color="auto"/>
        <w:bottom w:val="none" w:sz="0" w:space="0" w:color="auto"/>
        <w:right w:val="none" w:sz="0" w:space="0" w:color="auto"/>
      </w:divBdr>
    </w:div>
    <w:div w:id="1578634997">
      <w:bodyDiv w:val="1"/>
      <w:marLeft w:val="0"/>
      <w:marRight w:val="0"/>
      <w:marTop w:val="0"/>
      <w:marBottom w:val="0"/>
      <w:divBdr>
        <w:top w:val="none" w:sz="0" w:space="0" w:color="auto"/>
        <w:left w:val="none" w:sz="0" w:space="0" w:color="auto"/>
        <w:bottom w:val="none" w:sz="0" w:space="0" w:color="auto"/>
        <w:right w:val="none" w:sz="0" w:space="0" w:color="auto"/>
      </w:divBdr>
    </w:div>
    <w:div w:id="173696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hyperlink" Target="http://www.aer.gov.au" TargetMode="External"/><Relationship Id="rId68" Type="http://schemas.openxmlformats.org/officeDocument/2006/relationships/hyperlink" Target="http://www.aer.gov.au" TargetMode="External"/><Relationship Id="rId76" Type="http://schemas.openxmlformats.org/officeDocument/2006/relationships/hyperlink" Target="http://www.qca.org.au" TargetMode="External"/><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www.aer.gov.au"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hyperlink" Target="http://www.aer.gov.au" TargetMode="External"/><Relationship Id="rId74" Type="http://schemas.openxmlformats.org/officeDocument/2006/relationships/hyperlink" Target="http://www.aer.gov.au" TargetMode="External"/><Relationship Id="rId79" Type="http://schemas.openxmlformats.org/officeDocument/2006/relationships/hyperlink" Target="http://www.treasury.nsw.gov.au"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hyperlink" Target="http://www.aer.gov.au" TargetMode="External"/><Relationship Id="rId90"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hyperlink" Target="http://www.aemc.gov.au" TargetMode="External"/><Relationship Id="rId69" Type="http://schemas.openxmlformats.org/officeDocument/2006/relationships/hyperlink" Target="http://www.comcom.govt.nz" TargetMode="External"/><Relationship Id="rId77" Type="http://schemas.openxmlformats.org/officeDocument/2006/relationships/hyperlink" Target="http://www.aer.gov.au" TargetMode="Externa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hyperlink" Target="http://www.aer.gov.au" TargetMode="External"/><Relationship Id="rId80" Type="http://schemas.openxmlformats.org/officeDocument/2006/relationships/hyperlink" Target="http://www.qca.org.au" TargetMode="External"/><Relationship Id="rId85"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hyperlink" Target="http://www.aer.gov.au" TargetMode="Externa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hyperlink" Target="http://www.aer.gov.au" TargetMode="External"/><Relationship Id="rId70" Type="http://schemas.openxmlformats.org/officeDocument/2006/relationships/hyperlink" Target="http://www.aer.gov.au" TargetMode="External"/><Relationship Id="rId75" Type="http://schemas.openxmlformats.org/officeDocument/2006/relationships/hyperlink" Target="http://www.aer.gov.au" TargetMode="External"/><Relationship Id="rId83" Type="http://schemas.openxmlformats.org/officeDocument/2006/relationships/hyperlink" Target="http://www.aer.gov.au"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hyperlink" Target="http://www.aer.gov.au" TargetMode="External"/><Relationship Id="rId73" Type="http://schemas.openxmlformats.org/officeDocument/2006/relationships/hyperlink" Target="http://www.aer.gov.au" TargetMode="External"/><Relationship Id="rId78" Type="http://schemas.openxmlformats.org/officeDocument/2006/relationships/hyperlink" Target="http://www.treasury.nsw.gov.au" TargetMode="External"/><Relationship Id="rId81" Type="http://schemas.openxmlformats.org/officeDocument/2006/relationships/hyperlink" Target="http://www.aemc.gov.au"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http://research.stlouisfed.org/fre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45F67B48.dotm</Template>
  <TotalTime>0</TotalTime>
  <Pages>76</Pages>
  <Words>27249</Words>
  <Characters>155320</Characters>
  <Application>Microsoft Office Word</Application>
  <DocSecurity>4</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2015-06-01T23:35:00Z</dcterms:created>
  <dcterms:modified xsi:type="dcterms:W3CDTF">2015-06-01T23:35:00Z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