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35" w:rsidRDefault="000B7FA9" w:rsidP="000B7FA9">
      <w:pPr>
        <w:jc w:val="center"/>
        <w:rPr>
          <w:rFonts w:ascii="Calibri" w:hAnsi="Calibri" w:cs="Calibri"/>
        </w:rPr>
      </w:pPr>
      <w:r w:rsidRPr="000B7FA9">
        <w:rPr>
          <w:rFonts w:ascii="Calibri" w:hAnsi="Calibri" w:cs="Calibri"/>
          <w:noProof/>
          <w:lang w:eastAsia="en-AU"/>
        </w:rPr>
        <w:drawing>
          <wp:inline distT="0" distB="0" distL="0" distR="0" wp14:anchorId="2216F8AD" wp14:editId="664ED34C">
            <wp:extent cx="2345690" cy="564515"/>
            <wp:effectExtent l="0" t="0" r="0" b="0"/>
            <wp:docPr id="1" name="Picture 1" descr="AER Landscap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 Landscape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A9" w:rsidRPr="000B7FA9" w:rsidRDefault="000B7FA9" w:rsidP="000B7FA9">
      <w:pPr>
        <w:jc w:val="center"/>
        <w:rPr>
          <w:rFonts w:ascii="Calibri" w:hAnsi="Calibri" w:cs="Calibri"/>
        </w:rPr>
      </w:pPr>
    </w:p>
    <w:p w:rsidR="000B7FA9" w:rsidRPr="000B7FA9" w:rsidRDefault="000B7FA9" w:rsidP="000B7FA9">
      <w:pPr>
        <w:keepNext/>
        <w:spacing w:before="240" w:after="120"/>
        <w:rPr>
          <w:rFonts w:ascii="Calibri" w:hAnsi="Calibri" w:cs="Calibri"/>
          <w:b/>
          <w:sz w:val="26"/>
        </w:rPr>
      </w:pPr>
      <w:r w:rsidRPr="000B7FA9">
        <w:rPr>
          <w:rFonts w:ascii="Calibri" w:hAnsi="Calibri" w:cs="Calibri"/>
          <w:b/>
          <w:sz w:val="26"/>
        </w:rPr>
        <w:t>Meeting record</w:t>
      </w:r>
    </w:p>
    <w:p w:rsidR="000B7FA9" w:rsidRP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 w:rsidRPr="000B7FA9">
        <w:rPr>
          <w:rFonts w:ascii="Calibri" w:hAnsi="Calibri" w:cs="Calibri"/>
          <w:b/>
        </w:rPr>
        <w:t>Date</w:t>
      </w:r>
      <w:r w:rsidR="000D15D7">
        <w:rPr>
          <w:rFonts w:ascii="Calibri" w:hAnsi="Calibri" w:cs="Calibri"/>
        </w:rPr>
        <w:t>:</w:t>
      </w:r>
      <w:r w:rsidR="000D15D7">
        <w:rPr>
          <w:rFonts w:ascii="Calibri" w:hAnsi="Calibri" w:cs="Calibri"/>
        </w:rPr>
        <w:tab/>
        <w:t>22 July 2020</w:t>
      </w:r>
    </w:p>
    <w:p w:rsidR="000B7FA9" w:rsidRP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 w:rsidRPr="000B7FA9">
        <w:rPr>
          <w:rFonts w:ascii="Calibri" w:hAnsi="Calibri" w:cs="Calibri"/>
          <w:b/>
        </w:rPr>
        <w:t>Time</w:t>
      </w:r>
      <w:r w:rsidRPr="000B7FA9">
        <w:rPr>
          <w:rFonts w:ascii="Calibri" w:hAnsi="Calibri" w:cs="Calibri"/>
        </w:rPr>
        <w:t>:</w:t>
      </w:r>
      <w:r w:rsidRPr="000B7FA9">
        <w:rPr>
          <w:rFonts w:ascii="Calibri" w:hAnsi="Calibri" w:cs="Calibri"/>
        </w:rPr>
        <w:tab/>
        <w:t>1.30 pm to 2.10 pm</w:t>
      </w:r>
    </w:p>
    <w:p w:rsid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 w:rsidRPr="000B7FA9">
        <w:rPr>
          <w:rFonts w:ascii="Calibri" w:hAnsi="Calibri" w:cs="Calibri"/>
          <w:b/>
        </w:rPr>
        <w:t>Purpose</w:t>
      </w:r>
      <w:r w:rsidRPr="000B7FA9">
        <w:rPr>
          <w:rFonts w:ascii="Calibri" w:hAnsi="Calibri" w:cs="Calibri"/>
        </w:rPr>
        <w:t>:</w:t>
      </w:r>
      <w:r w:rsidRPr="000B7FA9">
        <w:rPr>
          <w:rFonts w:ascii="Calibri" w:hAnsi="Calibri" w:cs="Calibri"/>
        </w:rPr>
        <w:tab/>
      </w:r>
      <w:r>
        <w:rPr>
          <w:rFonts w:ascii="Calibri" w:hAnsi="Calibri" w:cs="Calibri"/>
        </w:rPr>
        <w:t>Introductory meeting about</w:t>
      </w:r>
      <w:r w:rsidRPr="000B7FA9">
        <w:rPr>
          <w:rFonts w:ascii="Calibri" w:hAnsi="Calibri" w:cs="Calibri"/>
        </w:rPr>
        <w:t xml:space="preserve"> the </w:t>
      </w:r>
      <w:r w:rsidRPr="00722ADC">
        <w:rPr>
          <w:rFonts w:ascii="Calibri" w:hAnsi="Calibri" w:cs="Calibri"/>
          <w:b/>
        </w:rPr>
        <w:t>Retailer Reference Group</w:t>
      </w:r>
      <w:r w:rsidRPr="000B7FA9">
        <w:rPr>
          <w:rFonts w:ascii="Calibri" w:hAnsi="Calibri" w:cs="Calibri"/>
        </w:rPr>
        <w:t xml:space="preserve"> for the 2022 </w:t>
      </w:r>
      <w:r>
        <w:rPr>
          <w:rFonts w:ascii="Calibri" w:hAnsi="Calibri" w:cs="Calibri"/>
        </w:rPr>
        <w:t>R</w:t>
      </w:r>
      <w:r w:rsidRPr="000B7FA9">
        <w:rPr>
          <w:rFonts w:ascii="Calibri" w:hAnsi="Calibri" w:cs="Calibri"/>
        </w:rPr>
        <w:t>ate of return instrument</w:t>
      </w:r>
    </w:p>
    <w:p w:rsid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>Present</w:t>
      </w:r>
      <w:r w:rsidRPr="000B7FA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0D15D7">
        <w:rPr>
          <w:rFonts w:ascii="Calibri" w:hAnsi="Calibri" w:cs="Calibri"/>
        </w:rPr>
        <w:t>Energy Australia –</w:t>
      </w:r>
      <w:r w:rsidR="00012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Lawrence </w:t>
      </w:r>
      <w:proofErr w:type="spellStart"/>
      <w:r>
        <w:rPr>
          <w:rFonts w:ascii="Calibri" w:hAnsi="Calibri" w:cs="Calibri"/>
        </w:rPr>
        <w:t>Irlam</w:t>
      </w:r>
      <w:proofErr w:type="spellEnd"/>
      <w:r>
        <w:rPr>
          <w:rFonts w:ascii="Calibri" w:hAnsi="Calibri" w:cs="Calibri"/>
        </w:rPr>
        <w:t xml:space="preserve">, </w:t>
      </w:r>
      <w:r w:rsidR="00722ADC">
        <w:rPr>
          <w:rFonts w:ascii="Calibri" w:hAnsi="Calibri" w:cs="Calibri"/>
        </w:rPr>
        <w:t xml:space="preserve">Matt Lynch, </w:t>
      </w:r>
      <w:proofErr w:type="spellStart"/>
      <w:r w:rsidR="00722ADC">
        <w:rPr>
          <w:rFonts w:ascii="Calibri" w:hAnsi="Calibri" w:cs="Calibri"/>
        </w:rPr>
        <w:t>Eleonora</w:t>
      </w:r>
      <w:proofErr w:type="spellEnd"/>
      <w:r w:rsidR="00722ADC">
        <w:rPr>
          <w:rFonts w:ascii="Calibri" w:hAnsi="Calibri" w:cs="Calibri"/>
        </w:rPr>
        <w:t xml:space="preserve"> </w:t>
      </w:r>
      <w:proofErr w:type="spellStart"/>
      <w:r w:rsidR="00722ADC">
        <w:rPr>
          <w:rFonts w:ascii="Calibri" w:hAnsi="Calibri" w:cs="Calibri"/>
        </w:rPr>
        <w:t>Mentyukova</w:t>
      </w:r>
      <w:proofErr w:type="spellEnd"/>
      <w:r w:rsidR="00722ADC">
        <w:rPr>
          <w:rFonts w:ascii="Calibri" w:hAnsi="Calibri" w:cs="Calibri"/>
        </w:rPr>
        <w:t xml:space="preserve"> </w:t>
      </w:r>
      <w:r w:rsidR="0001219A">
        <w:rPr>
          <w:rFonts w:ascii="Calibri" w:hAnsi="Calibri" w:cs="Calibri"/>
        </w:rPr>
        <w:br/>
      </w:r>
      <w:proofErr w:type="spellStart"/>
      <w:r w:rsidR="000D15D7">
        <w:rPr>
          <w:rFonts w:ascii="Calibri" w:hAnsi="Calibri" w:cs="Calibri"/>
        </w:rPr>
        <w:t>Lumo</w:t>
      </w:r>
      <w:proofErr w:type="spellEnd"/>
      <w:r w:rsidR="000D15D7">
        <w:rPr>
          <w:rFonts w:ascii="Calibri" w:hAnsi="Calibri" w:cs="Calibri"/>
        </w:rPr>
        <w:t xml:space="preserve"> Energy –</w:t>
      </w:r>
      <w:r w:rsidR="00012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Constantine </w:t>
      </w:r>
      <w:proofErr w:type="spellStart"/>
      <w:r>
        <w:rPr>
          <w:rFonts w:ascii="Calibri" w:hAnsi="Calibri" w:cs="Calibri"/>
        </w:rPr>
        <w:t>Noutso</w:t>
      </w:r>
      <w:proofErr w:type="spellEnd"/>
      <w:r>
        <w:rPr>
          <w:rFonts w:ascii="Calibri" w:hAnsi="Calibri" w:cs="Calibri"/>
        </w:rPr>
        <w:br/>
      </w:r>
      <w:r w:rsidR="0001219A">
        <w:rPr>
          <w:rFonts w:ascii="Calibri" w:hAnsi="Calibri" w:cs="Calibri"/>
        </w:rPr>
        <w:t xml:space="preserve">AER </w:t>
      </w:r>
      <w:r w:rsidR="000D15D7">
        <w:rPr>
          <w:rFonts w:ascii="Calibri" w:hAnsi="Calibri" w:cs="Calibri"/>
        </w:rPr>
        <w:t>–</w:t>
      </w:r>
      <w:r w:rsidR="00012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Warwick Anderson</w:t>
      </w:r>
      <w:r w:rsidR="0001219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Ben Stonehouse, Scott Johnson, Conor McSween </w:t>
      </w:r>
    </w:p>
    <w:p w:rsidR="000B7FA9" w:rsidRP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>Apologies</w:t>
      </w:r>
      <w:r w:rsidRPr="000B7FA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01219A">
        <w:rPr>
          <w:rFonts w:ascii="Calibri" w:hAnsi="Calibri" w:cs="Calibri"/>
        </w:rPr>
        <w:t>AEC - David Markham</w:t>
      </w:r>
    </w:p>
    <w:p w:rsidR="000B7FA9" w:rsidRPr="000B7FA9" w:rsidRDefault="000B7FA9" w:rsidP="000B7FA9">
      <w:pPr>
        <w:keepNext/>
        <w:spacing w:before="240" w:after="120"/>
        <w:rPr>
          <w:rFonts w:ascii="Calibri" w:hAnsi="Calibri" w:cs="Calibri"/>
          <w:b/>
          <w:sz w:val="26"/>
        </w:rPr>
      </w:pPr>
      <w:r w:rsidRPr="000B7FA9">
        <w:rPr>
          <w:rFonts w:ascii="Calibri" w:hAnsi="Calibri" w:cs="Calibri"/>
          <w:b/>
          <w:sz w:val="26"/>
        </w:rPr>
        <w:t>Meeting notes</w:t>
      </w:r>
    </w:p>
    <w:p w:rsidR="000D15D7" w:rsidRDefault="000D15D7" w:rsidP="000D15D7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 w:rsidRPr="000B7FA9">
        <w:rPr>
          <w:rFonts w:ascii="Calibri" w:hAnsi="Calibri" w:cs="Calibri"/>
        </w:rPr>
        <w:t xml:space="preserve">AER staff </w:t>
      </w:r>
      <w:r>
        <w:rPr>
          <w:rFonts w:ascii="Calibri" w:hAnsi="Calibri" w:cs="Calibri"/>
        </w:rPr>
        <w:t>welcomed retailer representatives and outlined:</w:t>
      </w:r>
    </w:p>
    <w:p w:rsidR="000D15D7" w:rsidRDefault="000D15D7" w:rsidP="000D15D7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The AER considers it very important to hear stakeholder perspectives.</w:t>
      </w:r>
    </w:p>
    <w:p w:rsidR="000D15D7" w:rsidRDefault="000D15D7" w:rsidP="000D15D7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RRG meetings should not discuss confidential information, and there would be a public (high level) record kept.</w:t>
      </w:r>
    </w:p>
    <w:p w:rsidR="000D15D7" w:rsidRDefault="000D15D7" w:rsidP="000D15D7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proposed role of the RRG in the development of the </w:t>
      </w:r>
      <w:bookmarkStart w:id="0" w:name="_GoBack"/>
      <w:bookmarkEnd w:id="0"/>
      <w:r>
        <w:rPr>
          <w:rFonts w:ascii="Calibri" w:hAnsi="Calibri" w:cs="Calibri"/>
        </w:rPr>
        <w:t>upcoming rate of return instrument would build on the 2018 RRG involvement. A draft terms of reference is being prepared and will be circulated for comment.</w:t>
      </w:r>
    </w:p>
    <w:p w:rsidR="000D15D7" w:rsidRDefault="000D15D7" w:rsidP="000D15D7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The RRG as a whole may make submissions to AER processes, but it is also appropriate for any retailer to make direct submissions in its own right.</w:t>
      </w:r>
    </w:p>
    <w:p w:rsidR="00722ADC" w:rsidRDefault="00722ADC" w:rsidP="000B7FA9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AER staff described the current status of the two major review</w:t>
      </w:r>
      <w:r w:rsidR="0001219A">
        <w:rPr>
          <w:rFonts w:ascii="Calibri" w:hAnsi="Calibri" w:cs="Calibri"/>
        </w:rPr>
        <w:t>s relevant to the RRG: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Rate of return review – </w:t>
      </w:r>
      <w:r w:rsidR="0001219A">
        <w:rPr>
          <w:rFonts w:ascii="Calibri" w:hAnsi="Calibri" w:cs="Calibri"/>
        </w:rPr>
        <w:t>our ‘Pathway to 2022’ position paper sets out the overall timeline and key process steps. Main</w:t>
      </w:r>
      <w:r>
        <w:rPr>
          <w:rFonts w:ascii="Calibri" w:hAnsi="Calibri" w:cs="Calibri"/>
        </w:rPr>
        <w:t xml:space="preserve"> phase </w:t>
      </w:r>
      <w:r w:rsidR="0001219A">
        <w:rPr>
          <w:rFonts w:ascii="Calibri" w:hAnsi="Calibri" w:cs="Calibri"/>
        </w:rPr>
        <w:t xml:space="preserve">of the review </w:t>
      </w:r>
      <w:r>
        <w:rPr>
          <w:rFonts w:ascii="Calibri" w:hAnsi="Calibri" w:cs="Calibri"/>
        </w:rPr>
        <w:t xml:space="preserve">commences in mid-2021, but we have already </w:t>
      </w:r>
      <w:r w:rsidR="0001219A">
        <w:rPr>
          <w:rFonts w:ascii="Calibri" w:hAnsi="Calibri" w:cs="Calibri"/>
        </w:rPr>
        <w:t>begun a series of working papers on several foundational areas.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Inflation review</w:t>
      </w:r>
      <w:r w:rsidR="0001219A">
        <w:rPr>
          <w:rFonts w:ascii="Calibri" w:hAnsi="Calibri" w:cs="Calibri"/>
        </w:rPr>
        <w:t xml:space="preserve"> – review commenced in April 2020, currently a discussion paper out for comment, working towards a final position by the end of the year (followed by implementation of changes, if any). </w:t>
      </w:r>
    </w:p>
    <w:p w:rsidR="00722ADC" w:rsidRPr="000B7FA9" w:rsidRDefault="0001219A" w:rsidP="00722ADC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There was g</w:t>
      </w:r>
      <w:r w:rsidR="00722ADC">
        <w:rPr>
          <w:rFonts w:ascii="Calibri" w:hAnsi="Calibri" w:cs="Calibri"/>
        </w:rPr>
        <w:t xml:space="preserve">eneral discussion on the types of activities undertaken by the RRG in the previous review and the </w:t>
      </w:r>
      <w:r>
        <w:rPr>
          <w:rFonts w:ascii="Calibri" w:hAnsi="Calibri" w:cs="Calibri"/>
        </w:rPr>
        <w:t>potential to contribute retailer perspectives in various forums.</w:t>
      </w:r>
    </w:p>
    <w:p w:rsidR="000B7FA9" w:rsidRPr="000B7FA9" w:rsidRDefault="000B7FA9" w:rsidP="000B7FA9">
      <w:pPr>
        <w:keepNext/>
        <w:spacing w:before="240" w:after="120"/>
        <w:rPr>
          <w:rFonts w:ascii="Calibri" w:hAnsi="Calibri" w:cs="Calibri"/>
          <w:b/>
          <w:sz w:val="26"/>
        </w:rPr>
      </w:pPr>
      <w:r w:rsidRPr="000B7FA9">
        <w:rPr>
          <w:rFonts w:ascii="Calibri" w:hAnsi="Calibri" w:cs="Calibri"/>
          <w:b/>
          <w:sz w:val="26"/>
        </w:rPr>
        <w:t>Meeting action items</w:t>
      </w:r>
    </w:p>
    <w:p w:rsidR="00722ADC" w:rsidRDefault="00722ADC" w:rsidP="00722ADC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AER staff to: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Send through a package of information on 2018 RRG involvement (as an introduction for those not previously involved)</w:t>
      </w:r>
      <w:r w:rsidR="00714C81">
        <w:rPr>
          <w:rFonts w:ascii="Calibri" w:hAnsi="Calibri" w:cs="Calibri"/>
        </w:rPr>
        <w:t>.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Send through a list of current processes and dates (for inflation and rate of return)</w:t>
      </w:r>
      <w:r w:rsidR="00714C81">
        <w:rPr>
          <w:rFonts w:ascii="Calibri" w:hAnsi="Calibri" w:cs="Calibri"/>
        </w:rPr>
        <w:t>.</w:t>
      </w:r>
    </w:p>
    <w:p w:rsidR="00722ADC" w:rsidRDefault="00714C81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Prepare and distribute </w:t>
      </w:r>
      <w:r w:rsidR="00722ADC">
        <w:rPr>
          <w:rFonts w:ascii="Calibri" w:hAnsi="Calibri" w:cs="Calibri"/>
        </w:rPr>
        <w:t>a draft terms of reference for the 2022 RRG</w:t>
      </w:r>
      <w:r>
        <w:rPr>
          <w:rFonts w:ascii="Calibri" w:hAnsi="Calibri" w:cs="Calibri"/>
        </w:rPr>
        <w:t>.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Follow up contacts with retailers who participated in the 2018 RRG who might be interested in re-joining</w:t>
      </w:r>
      <w:r w:rsidR="0001219A">
        <w:rPr>
          <w:rFonts w:ascii="Calibri" w:hAnsi="Calibri" w:cs="Calibri"/>
        </w:rPr>
        <w:t xml:space="preserve"> the 2022 RRG</w:t>
      </w:r>
    </w:p>
    <w:p w:rsidR="000B7FA9" w:rsidRPr="00722ADC" w:rsidRDefault="00722ADC" w:rsidP="004C2BA2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 w:rsidRPr="00722ADC">
        <w:rPr>
          <w:rFonts w:ascii="Calibri" w:hAnsi="Calibri" w:cs="Calibri"/>
        </w:rPr>
        <w:t>Set up next meeting and distribute invite (tentatively scheduled for first week September)</w:t>
      </w:r>
    </w:p>
    <w:sectPr w:rsidR="000B7FA9" w:rsidRPr="00722ADC" w:rsidSect="00722ADC">
      <w:footerReference w:type="default" r:id="rId10"/>
      <w:footerReference w:type="first" r:id="rId11"/>
      <w:pgSz w:w="11906" w:h="16838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A9" w:rsidRDefault="000B7FA9" w:rsidP="004B4412">
      <w:pPr>
        <w:spacing w:before="0"/>
      </w:pPr>
      <w:r>
        <w:separator/>
      </w:r>
    </w:p>
  </w:endnote>
  <w:endnote w:type="continuationSeparator" w:id="0">
    <w:p w:rsidR="000B7FA9" w:rsidRDefault="000B7FA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01" w:rsidRDefault="001A7A01">
    <w:pPr>
      <w:pStyle w:val="Footer"/>
    </w:pPr>
    <w:r>
      <w:t>Meeting record – Retailer Reference Group – 22 July 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A9" w:rsidRDefault="000B7FA9" w:rsidP="004B4412">
      <w:pPr>
        <w:spacing w:before="0"/>
      </w:pPr>
      <w:r>
        <w:separator/>
      </w:r>
    </w:p>
  </w:footnote>
  <w:footnote w:type="continuationSeparator" w:id="0">
    <w:p w:rsidR="000B7FA9" w:rsidRDefault="000B7FA9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75396F"/>
    <w:multiLevelType w:val="hybridMultilevel"/>
    <w:tmpl w:val="1CC03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CDE55AC"/>
    <w:multiLevelType w:val="hybridMultilevel"/>
    <w:tmpl w:val="CF300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4"/>
  </w:num>
  <w:num w:numId="16">
    <w:abstractNumId w:val="27"/>
  </w:num>
  <w:num w:numId="17">
    <w:abstractNumId w:val="26"/>
  </w:num>
  <w:num w:numId="18">
    <w:abstractNumId w:val="19"/>
  </w:num>
  <w:num w:numId="19">
    <w:abstractNumId w:val="14"/>
  </w:num>
  <w:num w:numId="20">
    <w:abstractNumId w:val="17"/>
  </w:num>
  <w:num w:numId="21">
    <w:abstractNumId w:val="25"/>
  </w:num>
  <w:num w:numId="22">
    <w:abstractNumId w:val="20"/>
  </w:num>
  <w:num w:numId="23">
    <w:abstractNumId w:val="8"/>
  </w:num>
  <w:num w:numId="24">
    <w:abstractNumId w:val="3"/>
  </w:num>
  <w:num w:numId="25">
    <w:abstractNumId w:val="18"/>
  </w:num>
  <w:num w:numId="26">
    <w:abstractNumId w:val="12"/>
  </w:num>
  <w:num w:numId="27">
    <w:abstractNumId w:val="21"/>
  </w:num>
  <w:num w:numId="28">
    <w:abstractNumId w:val="11"/>
  </w:num>
  <w:num w:numId="29">
    <w:abstractNumId w:val="23"/>
  </w:num>
  <w:num w:numId="30">
    <w:abstractNumId w:val="9"/>
  </w:num>
  <w:num w:numId="31">
    <w:abstractNumId w:val="9"/>
  </w:num>
  <w:num w:numId="3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0B7FA9"/>
    <w:rsid w:val="0001219A"/>
    <w:rsid w:val="0002115F"/>
    <w:rsid w:val="00021202"/>
    <w:rsid w:val="000225C4"/>
    <w:rsid w:val="0002508C"/>
    <w:rsid w:val="0003578C"/>
    <w:rsid w:val="00063247"/>
    <w:rsid w:val="00070F9F"/>
    <w:rsid w:val="0007137B"/>
    <w:rsid w:val="00085663"/>
    <w:rsid w:val="00085EBF"/>
    <w:rsid w:val="000B7FA9"/>
    <w:rsid w:val="000D122C"/>
    <w:rsid w:val="000D15D7"/>
    <w:rsid w:val="000E1819"/>
    <w:rsid w:val="000E61F1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A7A01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5A70"/>
    <w:rsid w:val="0041638D"/>
    <w:rsid w:val="00456A71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14C81"/>
    <w:rsid w:val="00722ADC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D3810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D110"/>
  <w15:chartTrackingRefBased/>
  <w15:docId w15:val="{16FCA3BB-EF3E-49AE-B766-87B28724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C3204-6067-4509-9707-C01E6455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Stonehouse, Ben</dc:creator>
  <cp:keywords/>
  <dc:description/>
  <cp:lastModifiedBy>Stonehouse, Ben</cp:lastModifiedBy>
  <cp:revision>5</cp:revision>
  <dcterms:created xsi:type="dcterms:W3CDTF">2020-07-26T02:56:00Z</dcterms:created>
  <dcterms:modified xsi:type="dcterms:W3CDTF">2020-07-28T01:42:00Z</dcterms:modified>
</cp:coreProperties>
</file>