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71" w:rsidRDefault="00A00171" w:rsidP="00A00171">
      <w:pPr>
        <w:pStyle w:val="AERtitle1"/>
      </w:pPr>
    </w:p>
    <w:p w:rsidR="00A00171" w:rsidRDefault="00A00171" w:rsidP="00A00171">
      <w:pPr>
        <w:pStyle w:val="AERtitle1"/>
      </w:pPr>
      <w:r w:rsidRPr="00A00171">
        <w:rPr>
          <w:noProof/>
        </w:rPr>
        <w:drawing>
          <wp:anchor distT="0" distB="0" distL="114300" distR="114300" simplePos="0" relativeHeight="251660288" behindDoc="1" locked="0" layoutInCell="1" allowOverlap="1">
            <wp:simplePos x="0" y="0"/>
            <wp:positionH relativeFrom="column">
              <wp:posOffset>-916305</wp:posOffset>
            </wp:positionH>
            <wp:positionV relativeFrom="paragraph">
              <wp:posOffset>-1417320</wp:posOffset>
            </wp:positionV>
            <wp:extent cx="7601585" cy="10795000"/>
            <wp:effectExtent l="19050" t="0" r="0" b="0"/>
            <wp:wrapNone/>
            <wp:docPr id="5"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01585" cy="10795000"/>
                    </a:xfrm>
                    <a:prstGeom prst="rect">
                      <a:avLst/>
                    </a:prstGeom>
                    <a:noFill/>
                  </pic:spPr>
                </pic:pic>
              </a:graphicData>
            </a:graphic>
          </wp:anchor>
        </w:drawing>
      </w:r>
    </w:p>
    <w:p w:rsidR="00A00171" w:rsidRDefault="00A00171" w:rsidP="00A00171">
      <w:pPr>
        <w:pStyle w:val="AERtitle1"/>
      </w:pPr>
    </w:p>
    <w:p w:rsidR="00A00171" w:rsidRDefault="00A00171" w:rsidP="00A00171">
      <w:pPr>
        <w:pStyle w:val="AERtitle1"/>
      </w:pPr>
    </w:p>
    <w:p w:rsidR="00A00171" w:rsidRDefault="00A00171" w:rsidP="00A00171">
      <w:pPr>
        <w:pStyle w:val="AERtitle1"/>
      </w:pPr>
    </w:p>
    <w:p w:rsidR="00A00171" w:rsidRDefault="00A00171" w:rsidP="00A00171">
      <w:pPr>
        <w:pStyle w:val="AERtitle1"/>
      </w:pPr>
      <w:r>
        <w:t>Access arrangement final decision</w:t>
      </w:r>
    </w:p>
    <w:p w:rsidR="00A00171" w:rsidRDefault="00A00171" w:rsidP="00A00171">
      <w:pPr>
        <w:pStyle w:val="AERtitle1"/>
      </w:pPr>
      <w:r>
        <w:t>Multinet Gas (DB No. 1) Pty Ltd</w:t>
      </w:r>
    </w:p>
    <w:p w:rsidR="00A00171" w:rsidRDefault="00A00171" w:rsidP="00A00171">
      <w:pPr>
        <w:pStyle w:val="AERtitle1"/>
      </w:pPr>
      <w:r>
        <w:t>Multinet Gas (DB No. 2) Pty Ltd</w:t>
      </w:r>
    </w:p>
    <w:p w:rsidR="00A00171" w:rsidRDefault="00A00171" w:rsidP="00A00171">
      <w:pPr>
        <w:pStyle w:val="AERtitle1"/>
      </w:pPr>
      <w:r>
        <w:t>2013–17</w:t>
      </w:r>
    </w:p>
    <w:p w:rsidR="00CE32D3" w:rsidRDefault="00CE32D3" w:rsidP="00A00171">
      <w:pPr>
        <w:pStyle w:val="AERtitle1"/>
      </w:pPr>
    </w:p>
    <w:p w:rsidR="00A00171" w:rsidRDefault="00A00171" w:rsidP="00A00171">
      <w:pPr>
        <w:pStyle w:val="AERtitle1"/>
      </w:pPr>
      <w:r>
        <w:t>Part 3: Appendices</w:t>
      </w:r>
    </w:p>
    <w:p w:rsidR="00A00171" w:rsidRDefault="00A00171" w:rsidP="00A00171">
      <w:pPr>
        <w:pStyle w:val="AERtitle1"/>
      </w:pPr>
    </w:p>
    <w:p w:rsidR="00A00171" w:rsidRDefault="00A00171" w:rsidP="00A00171">
      <w:pPr>
        <w:pStyle w:val="AERtitle2"/>
      </w:pPr>
      <w:r>
        <w:t>March 2013</w:t>
      </w:r>
    </w:p>
    <w:p w:rsidR="00A00171" w:rsidRDefault="00A00171" w:rsidP="00A00171">
      <w:pPr>
        <w:pStyle w:val="AERtitle2"/>
      </w:pPr>
    </w:p>
    <w:p w:rsidR="00A00171" w:rsidRDefault="00A00171" w:rsidP="00A00171">
      <w:pPr>
        <w:pStyle w:val="AERtitle2"/>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Default="00A00171" w:rsidP="00A00171">
      <w:pPr>
        <w:pStyle w:val="AERbodytextnospace"/>
        <w:numPr>
          <w:ilvl w:val="0"/>
          <w:numId w:val="13"/>
        </w:numPr>
      </w:pPr>
    </w:p>
    <w:p w:rsidR="00A00171" w:rsidRPr="0003436D" w:rsidRDefault="00A00171" w:rsidP="00A00171">
      <w:pPr>
        <w:pStyle w:val="AERbodytext"/>
        <w:numPr>
          <w:ilvl w:val="0"/>
          <w:numId w:val="13"/>
        </w:numPr>
        <w:rPr>
          <w:rStyle w:val="AERtextbold"/>
        </w:rPr>
      </w:pPr>
      <w:r w:rsidRPr="0003436D">
        <w:rPr>
          <w:rStyle w:val="AERtextbold"/>
        </w:rPr>
        <w:lastRenderedPageBreak/>
        <w:t>© Commonwealth of Australia 2013</w:t>
      </w:r>
    </w:p>
    <w:p w:rsidR="00A00171" w:rsidRDefault="00A00171" w:rsidP="00A00171">
      <w:pPr>
        <w:pStyle w:val="AERbodytext"/>
        <w:numPr>
          <w:ilvl w:val="0"/>
          <w:numId w:val="13"/>
        </w:numPr>
        <w:rPr>
          <w:rStyle w:val="AERbody"/>
        </w:rPr>
      </w:pPr>
      <w:r w:rsidRPr="0003436D">
        <w:rPr>
          <w:rStyle w:val="AERbody"/>
        </w:rPr>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A00171" w:rsidRDefault="00A00171" w:rsidP="000D739E">
      <w:pPr>
        <w:pStyle w:val="UnnumberedHeading"/>
        <w:numPr>
          <w:ilvl w:val="0"/>
          <w:numId w:val="0"/>
        </w:numPr>
      </w:pPr>
      <w:bookmarkStart w:id="0" w:name="_Toc350951024"/>
      <w:r>
        <w:lastRenderedPageBreak/>
        <w:t>Contents</w:t>
      </w:r>
      <w:bookmarkEnd w:id="0"/>
    </w:p>
    <w:p w:rsidR="006B0748" w:rsidRDefault="009B2237">
      <w:pPr>
        <w:pStyle w:val="TOC1"/>
        <w:tabs>
          <w:tab w:val="right" w:leader="dot" w:pos="9016"/>
        </w:tabs>
        <w:rPr>
          <w:rFonts w:asciiTheme="minorHAnsi" w:eastAsiaTheme="minorEastAsia" w:hAnsiTheme="minorHAnsi" w:cstheme="minorBidi"/>
          <w:b w:val="0"/>
          <w:bCs w:val="0"/>
          <w:noProof/>
          <w:sz w:val="22"/>
          <w:szCs w:val="22"/>
          <w:lang w:eastAsia="en-AU"/>
        </w:rPr>
      </w:pPr>
      <w:r w:rsidRPr="009B2237">
        <w:fldChar w:fldCharType="begin"/>
      </w:r>
      <w:r w:rsidR="00A00171" w:rsidRPr="00A00171">
        <w:instrText xml:space="preserve"> TOC \o "1-2" \h \z \u \t "Heading 7,1,Heading 8,2" </w:instrText>
      </w:r>
      <w:r w:rsidRPr="009B2237">
        <w:fldChar w:fldCharType="separate"/>
      </w:r>
      <w:hyperlink w:anchor="_Toc350951024" w:history="1">
        <w:r w:rsidR="006B0748" w:rsidRPr="00AA03AB">
          <w:rPr>
            <w:rStyle w:val="Hyperlink"/>
            <w:noProof/>
          </w:rPr>
          <w:t>Contents</w:t>
        </w:r>
        <w:r w:rsidR="006B0748">
          <w:rPr>
            <w:noProof/>
            <w:webHidden/>
          </w:rPr>
          <w:tab/>
        </w:r>
        <w:r>
          <w:rPr>
            <w:noProof/>
            <w:webHidden/>
          </w:rPr>
          <w:fldChar w:fldCharType="begin"/>
        </w:r>
        <w:r w:rsidR="006B0748">
          <w:rPr>
            <w:noProof/>
            <w:webHidden/>
          </w:rPr>
          <w:instrText xml:space="preserve"> PAGEREF _Toc350951024 \h </w:instrText>
        </w:r>
        <w:r>
          <w:rPr>
            <w:noProof/>
            <w:webHidden/>
          </w:rPr>
        </w:r>
        <w:r>
          <w:rPr>
            <w:noProof/>
            <w:webHidden/>
          </w:rPr>
          <w:fldChar w:fldCharType="separate"/>
        </w:r>
        <w:r w:rsidR="00850129">
          <w:rPr>
            <w:noProof/>
            <w:webHidden/>
          </w:rPr>
          <w:t>3</w:t>
        </w:r>
        <w:r>
          <w:rPr>
            <w:noProof/>
            <w:webHidden/>
          </w:rPr>
          <w:fldChar w:fldCharType="end"/>
        </w:r>
      </w:hyperlink>
    </w:p>
    <w:p w:rsidR="006B0748" w:rsidRDefault="009B223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0951025" w:history="1">
        <w:r w:rsidR="006B0748" w:rsidRPr="00AA03AB">
          <w:rPr>
            <w:rStyle w:val="Hyperlink"/>
            <w:noProof/>
          </w:rPr>
          <w:t>Shortened forms</w:t>
        </w:r>
        <w:r w:rsidR="006B0748">
          <w:rPr>
            <w:noProof/>
            <w:webHidden/>
          </w:rPr>
          <w:tab/>
        </w:r>
        <w:r>
          <w:rPr>
            <w:noProof/>
            <w:webHidden/>
          </w:rPr>
          <w:fldChar w:fldCharType="begin"/>
        </w:r>
        <w:r w:rsidR="006B0748">
          <w:rPr>
            <w:noProof/>
            <w:webHidden/>
          </w:rPr>
          <w:instrText xml:space="preserve"> PAGEREF _Toc350951025 \h </w:instrText>
        </w:r>
        <w:r>
          <w:rPr>
            <w:noProof/>
            <w:webHidden/>
          </w:rPr>
        </w:r>
        <w:r>
          <w:rPr>
            <w:noProof/>
            <w:webHidden/>
          </w:rPr>
          <w:fldChar w:fldCharType="separate"/>
        </w:r>
        <w:r w:rsidR="00850129">
          <w:rPr>
            <w:noProof/>
            <w:webHidden/>
          </w:rPr>
          <w:t>4</w:t>
        </w:r>
        <w:r>
          <w:rPr>
            <w:noProof/>
            <w:webHidden/>
          </w:rPr>
          <w:fldChar w:fldCharType="end"/>
        </w:r>
      </w:hyperlink>
    </w:p>
    <w:p w:rsidR="006B0748" w:rsidRDefault="009B223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1026" w:history="1">
        <w:r w:rsidR="006B0748" w:rsidRPr="00AA03AB">
          <w:rPr>
            <w:rStyle w:val="Hyperlink"/>
            <w:noProof/>
          </w:rPr>
          <w:t>A</w:t>
        </w:r>
        <w:r w:rsidR="006B0748">
          <w:rPr>
            <w:rFonts w:asciiTheme="minorHAnsi" w:eastAsiaTheme="minorEastAsia" w:hAnsiTheme="minorHAnsi" w:cstheme="minorBidi"/>
            <w:b w:val="0"/>
            <w:bCs w:val="0"/>
            <w:noProof/>
            <w:sz w:val="22"/>
            <w:szCs w:val="22"/>
            <w:lang w:eastAsia="en-AU"/>
          </w:rPr>
          <w:tab/>
        </w:r>
        <w:r w:rsidR="006B0748" w:rsidRPr="00AA03AB">
          <w:rPr>
            <w:rStyle w:val="Hyperlink"/>
            <w:noProof/>
          </w:rPr>
          <w:t>Real cost escalation</w:t>
        </w:r>
        <w:r w:rsidR="006B0748">
          <w:rPr>
            <w:noProof/>
            <w:webHidden/>
          </w:rPr>
          <w:tab/>
        </w:r>
        <w:r>
          <w:rPr>
            <w:noProof/>
            <w:webHidden/>
          </w:rPr>
          <w:fldChar w:fldCharType="begin"/>
        </w:r>
        <w:r w:rsidR="006B0748">
          <w:rPr>
            <w:noProof/>
            <w:webHidden/>
          </w:rPr>
          <w:instrText xml:space="preserve"> PAGEREF _Toc350951026 \h </w:instrText>
        </w:r>
        <w:r>
          <w:rPr>
            <w:noProof/>
            <w:webHidden/>
          </w:rPr>
        </w:r>
        <w:r>
          <w:rPr>
            <w:noProof/>
            <w:webHidden/>
          </w:rPr>
          <w:fldChar w:fldCharType="separate"/>
        </w:r>
        <w:r w:rsidR="00850129">
          <w:rPr>
            <w:noProof/>
            <w:webHidden/>
          </w:rPr>
          <w:t>5</w:t>
        </w:r>
        <w:r>
          <w:rPr>
            <w:noProof/>
            <w:webHidden/>
          </w:rPr>
          <w:fldChar w:fldCharType="end"/>
        </w:r>
      </w:hyperlink>
    </w:p>
    <w:p w:rsidR="006B0748" w:rsidRDefault="009B223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1032" w:history="1">
        <w:r w:rsidR="006B0748" w:rsidRPr="00AA03AB">
          <w:rPr>
            <w:rStyle w:val="Hyperlink"/>
            <w:noProof/>
          </w:rPr>
          <w:t>B</w:t>
        </w:r>
        <w:r w:rsidR="006B0748">
          <w:rPr>
            <w:rFonts w:asciiTheme="minorHAnsi" w:eastAsiaTheme="minorEastAsia" w:hAnsiTheme="minorHAnsi" w:cstheme="minorBidi"/>
            <w:b w:val="0"/>
            <w:bCs w:val="0"/>
            <w:noProof/>
            <w:sz w:val="22"/>
            <w:szCs w:val="22"/>
            <w:lang w:eastAsia="en-AU"/>
          </w:rPr>
          <w:tab/>
        </w:r>
        <w:r w:rsidR="006B0748" w:rsidRPr="00AA03AB">
          <w:rPr>
            <w:rStyle w:val="Hyperlink"/>
            <w:noProof/>
          </w:rPr>
          <w:t>Rate of return</w:t>
        </w:r>
        <w:r w:rsidR="006B0748">
          <w:rPr>
            <w:noProof/>
            <w:webHidden/>
          </w:rPr>
          <w:tab/>
        </w:r>
        <w:r>
          <w:rPr>
            <w:noProof/>
            <w:webHidden/>
          </w:rPr>
          <w:fldChar w:fldCharType="begin"/>
        </w:r>
        <w:r w:rsidR="006B0748">
          <w:rPr>
            <w:noProof/>
            <w:webHidden/>
          </w:rPr>
          <w:instrText xml:space="preserve"> PAGEREF _Toc350951032 \h </w:instrText>
        </w:r>
        <w:r>
          <w:rPr>
            <w:noProof/>
            <w:webHidden/>
          </w:rPr>
        </w:r>
        <w:r>
          <w:rPr>
            <w:noProof/>
            <w:webHidden/>
          </w:rPr>
          <w:fldChar w:fldCharType="separate"/>
        </w:r>
        <w:r w:rsidR="00850129">
          <w:rPr>
            <w:noProof/>
            <w:webHidden/>
          </w:rPr>
          <w:t>11</w:t>
        </w:r>
        <w:r>
          <w:rPr>
            <w:noProof/>
            <w:webHidden/>
          </w:rPr>
          <w:fldChar w:fldCharType="end"/>
        </w:r>
      </w:hyperlink>
    </w:p>
    <w:p w:rsidR="006B0748" w:rsidRDefault="009B223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1041" w:history="1">
        <w:r w:rsidR="006B0748" w:rsidRPr="00AA03AB">
          <w:rPr>
            <w:rStyle w:val="Hyperlink"/>
            <w:noProof/>
          </w:rPr>
          <w:t>C</w:t>
        </w:r>
        <w:r w:rsidR="006B0748">
          <w:rPr>
            <w:rFonts w:asciiTheme="minorHAnsi" w:eastAsiaTheme="minorEastAsia" w:hAnsiTheme="minorHAnsi" w:cstheme="minorBidi"/>
            <w:b w:val="0"/>
            <w:bCs w:val="0"/>
            <w:noProof/>
            <w:sz w:val="22"/>
            <w:szCs w:val="22"/>
            <w:lang w:eastAsia="en-AU"/>
          </w:rPr>
          <w:tab/>
        </w:r>
        <w:r w:rsidR="006B0748" w:rsidRPr="00AA03AB">
          <w:rPr>
            <w:rStyle w:val="Hyperlink"/>
            <w:noProof/>
          </w:rPr>
          <w:t>Capex</w:t>
        </w:r>
        <w:r w:rsidR="006B0748">
          <w:rPr>
            <w:noProof/>
            <w:webHidden/>
          </w:rPr>
          <w:tab/>
        </w:r>
        <w:r>
          <w:rPr>
            <w:noProof/>
            <w:webHidden/>
          </w:rPr>
          <w:fldChar w:fldCharType="begin"/>
        </w:r>
        <w:r w:rsidR="006B0748">
          <w:rPr>
            <w:noProof/>
            <w:webHidden/>
          </w:rPr>
          <w:instrText xml:space="preserve"> PAGEREF _Toc350951041 \h </w:instrText>
        </w:r>
        <w:r>
          <w:rPr>
            <w:noProof/>
            <w:webHidden/>
          </w:rPr>
        </w:r>
        <w:r>
          <w:rPr>
            <w:noProof/>
            <w:webHidden/>
          </w:rPr>
          <w:fldChar w:fldCharType="separate"/>
        </w:r>
        <w:r w:rsidR="00850129">
          <w:rPr>
            <w:noProof/>
            <w:webHidden/>
          </w:rPr>
          <w:t>77</w:t>
        </w:r>
        <w:r>
          <w:rPr>
            <w:noProof/>
            <w:webHidden/>
          </w:rPr>
          <w:fldChar w:fldCharType="end"/>
        </w:r>
      </w:hyperlink>
    </w:p>
    <w:p w:rsidR="006B0748" w:rsidRDefault="009B223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1042" w:history="1">
        <w:r w:rsidR="006B0748" w:rsidRPr="00AA03AB">
          <w:rPr>
            <w:rStyle w:val="Hyperlink"/>
            <w:noProof/>
          </w:rPr>
          <w:t>D</w:t>
        </w:r>
        <w:r w:rsidR="006B0748">
          <w:rPr>
            <w:rFonts w:asciiTheme="minorHAnsi" w:eastAsiaTheme="minorEastAsia" w:hAnsiTheme="minorHAnsi" w:cstheme="minorBidi"/>
            <w:b w:val="0"/>
            <w:bCs w:val="0"/>
            <w:noProof/>
            <w:sz w:val="22"/>
            <w:szCs w:val="22"/>
            <w:lang w:eastAsia="en-AU"/>
          </w:rPr>
          <w:tab/>
        </w:r>
        <w:r w:rsidR="006B0748" w:rsidRPr="00AA03AB">
          <w:rPr>
            <w:rStyle w:val="Hyperlink"/>
            <w:noProof/>
          </w:rPr>
          <w:t>Opex</w:t>
        </w:r>
        <w:r w:rsidR="006B0748">
          <w:rPr>
            <w:noProof/>
            <w:webHidden/>
          </w:rPr>
          <w:tab/>
        </w:r>
        <w:r>
          <w:rPr>
            <w:noProof/>
            <w:webHidden/>
          </w:rPr>
          <w:fldChar w:fldCharType="begin"/>
        </w:r>
        <w:r w:rsidR="006B0748">
          <w:rPr>
            <w:noProof/>
            <w:webHidden/>
          </w:rPr>
          <w:instrText xml:space="preserve"> PAGEREF _Toc350951042 \h </w:instrText>
        </w:r>
        <w:r>
          <w:rPr>
            <w:noProof/>
            <w:webHidden/>
          </w:rPr>
        </w:r>
        <w:r>
          <w:rPr>
            <w:noProof/>
            <w:webHidden/>
          </w:rPr>
          <w:fldChar w:fldCharType="separate"/>
        </w:r>
        <w:r w:rsidR="00850129">
          <w:rPr>
            <w:noProof/>
            <w:webHidden/>
          </w:rPr>
          <w:t>78</w:t>
        </w:r>
        <w:r>
          <w:rPr>
            <w:noProof/>
            <w:webHidden/>
          </w:rPr>
          <w:fldChar w:fldCharType="end"/>
        </w:r>
      </w:hyperlink>
    </w:p>
    <w:p w:rsidR="00A00171" w:rsidRPr="00AF3E95" w:rsidRDefault="009B2237" w:rsidP="00A00171">
      <w:pPr>
        <w:pStyle w:val="AERbodytext"/>
        <w:numPr>
          <w:ilvl w:val="0"/>
          <w:numId w:val="13"/>
        </w:numPr>
      </w:pPr>
      <w:r>
        <w:fldChar w:fldCharType="end"/>
      </w:r>
    </w:p>
    <w:p w:rsidR="00A00171" w:rsidRDefault="00A00171" w:rsidP="000D739E">
      <w:pPr>
        <w:pStyle w:val="UnnumberedHeading"/>
        <w:numPr>
          <w:ilvl w:val="0"/>
          <w:numId w:val="0"/>
        </w:numPr>
      </w:pPr>
      <w:bookmarkStart w:id="1" w:name="_Toc350951025"/>
      <w:r>
        <w:lastRenderedPageBreak/>
        <w:t>Shortened forms</w:t>
      </w:r>
      <w:bookmarkEnd w:id="1"/>
    </w:p>
    <w:tbl>
      <w:tblPr>
        <w:tblStyle w:val="AERtable-text"/>
        <w:tblW w:w="0" w:type="auto"/>
        <w:tblLook w:val="01E0"/>
      </w:tblPr>
      <w:tblGrid>
        <w:gridCol w:w="3127"/>
        <w:gridCol w:w="5148"/>
      </w:tblGrid>
      <w:tr w:rsidR="00A00171" w:rsidRPr="005E512E" w:rsidTr="00500A89">
        <w:trPr>
          <w:cnfStyle w:val="100000000000"/>
        </w:trPr>
        <w:tc>
          <w:tcPr>
            <w:tcW w:w="3127" w:type="dxa"/>
          </w:tcPr>
          <w:p w:rsidR="00A00171" w:rsidRPr="00A00171" w:rsidRDefault="00A00171" w:rsidP="00A00171">
            <w:r w:rsidRPr="00A00171">
              <w:t>Shortened form</w:t>
            </w:r>
          </w:p>
        </w:tc>
        <w:tc>
          <w:tcPr>
            <w:tcW w:w="5148" w:type="dxa"/>
          </w:tcPr>
          <w:p w:rsidR="00A00171" w:rsidRPr="00A00171" w:rsidRDefault="00A00171" w:rsidP="00A00171">
            <w:r w:rsidRPr="00A00171">
              <w:t>Full title</w:t>
            </w:r>
          </w:p>
        </w:tc>
      </w:tr>
      <w:tr w:rsidR="00A00171" w:rsidRPr="00BC0D09" w:rsidTr="00500A89">
        <w:tc>
          <w:tcPr>
            <w:tcW w:w="3127" w:type="dxa"/>
          </w:tcPr>
          <w:p w:rsidR="00A00171" w:rsidRPr="00BC0D09" w:rsidRDefault="00A00171" w:rsidP="002B005E">
            <w:pPr>
              <w:pStyle w:val="AERtabletextleft"/>
            </w:pPr>
            <w:r w:rsidRPr="00BC0D09">
              <w:t xml:space="preserve">2008-12 access arrangement </w:t>
            </w:r>
          </w:p>
        </w:tc>
        <w:tc>
          <w:tcPr>
            <w:tcW w:w="5148" w:type="dxa"/>
          </w:tcPr>
          <w:p w:rsidR="00A00171" w:rsidRPr="00BC0D09" w:rsidRDefault="00A00171" w:rsidP="002B005E">
            <w:pPr>
              <w:pStyle w:val="AERtabletextleft"/>
            </w:pPr>
            <w:r w:rsidRPr="00BC0D09">
              <w:t>Access arrangement for Multinet effective from 1 January 20</w:t>
            </w:r>
            <w:r w:rsidR="00500A89">
              <w:t xml:space="preserve">08 to 31 December 2012 </w:t>
            </w:r>
          </w:p>
        </w:tc>
      </w:tr>
      <w:tr w:rsidR="00FC0110" w:rsidRPr="00BC0D09" w:rsidTr="00500A89">
        <w:trPr>
          <w:cnfStyle w:val="000000010000"/>
        </w:trPr>
        <w:tc>
          <w:tcPr>
            <w:tcW w:w="3127" w:type="dxa"/>
          </w:tcPr>
          <w:p w:rsidR="00FC0110" w:rsidRPr="00BC0D09" w:rsidRDefault="00FC0110" w:rsidP="00FC0110">
            <w:pPr>
              <w:pStyle w:val="AERtabletextleft"/>
            </w:pPr>
            <w:r w:rsidRPr="00BC0D09">
              <w:t xml:space="preserve">2013-17 access arrangement </w:t>
            </w:r>
          </w:p>
        </w:tc>
        <w:tc>
          <w:tcPr>
            <w:tcW w:w="5148" w:type="dxa"/>
          </w:tcPr>
          <w:p w:rsidR="00FC0110" w:rsidRPr="00BC0D09" w:rsidRDefault="00FC0110" w:rsidP="00FC0110">
            <w:pPr>
              <w:pStyle w:val="AERtabletextleft"/>
            </w:pPr>
            <w:r w:rsidRPr="00BC0D09">
              <w:t>Access arrangement for Multinet effective from 1 January 2013 to 31 December 2017</w:t>
            </w:r>
          </w:p>
        </w:tc>
      </w:tr>
      <w:tr w:rsidR="00FC0110" w:rsidRPr="00BC0D09" w:rsidTr="00500A89">
        <w:tc>
          <w:tcPr>
            <w:tcW w:w="3127" w:type="dxa"/>
          </w:tcPr>
          <w:p w:rsidR="00FC0110" w:rsidRPr="00BC0D09" w:rsidRDefault="00FC0110" w:rsidP="002B005E">
            <w:pPr>
              <w:pStyle w:val="AERtabletextleft"/>
            </w:pPr>
            <w:r w:rsidRPr="00BC0D09">
              <w:t>2018-22 access arrangement</w:t>
            </w:r>
          </w:p>
        </w:tc>
        <w:tc>
          <w:tcPr>
            <w:tcW w:w="5148" w:type="dxa"/>
          </w:tcPr>
          <w:p w:rsidR="00FC0110" w:rsidRPr="00BC0D09" w:rsidRDefault="00FC0110" w:rsidP="00500A89">
            <w:pPr>
              <w:pStyle w:val="AERtabletextleft"/>
            </w:pPr>
            <w:r w:rsidRPr="00BC0D09">
              <w:t xml:space="preserve">Access arrangement for Multinet effective from 1 January 2018 to 31 December 2022 </w:t>
            </w:r>
          </w:p>
        </w:tc>
      </w:tr>
      <w:tr w:rsidR="00FC0110" w:rsidRPr="00BC0D09" w:rsidTr="00500A89">
        <w:trPr>
          <w:cnfStyle w:val="000000010000"/>
        </w:trPr>
        <w:tc>
          <w:tcPr>
            <w:tcW w:w="3127" w:type="dxa"/>
          </w:tcPr>
          <w:p w:rsidR="00FC0110" w:rsidRPr="00BC0D09" w:rsidRDefault="00FC0110" w:rsidP="002B005E">
            <w:pPr>
              <w:pStyle w:val="AERtabletextleft"/>
            </w:pPr>
            <w:r w:rsidRPr="00BC0D09">
              <w:t>ACCC</w:t>
            </w:r>
          </w:p>
        </w:tc>
        <w:tc>
          <w:tcPr>
            <w:tcW w:w="5148" w:type="dxa"/>
          </w:tcPr>
          <w:p w:rsidR="00FC0110" w:rsidRPr="00BC0D09" w:rsidRDefault="00FC0110" w:rsidP="002B005E">
            <w:pPr>
              <w:pStyle w:val="AERtabletextleft"/>
            </w:pPr>
            <w:r w:rsidRPr="00BC0D09">
              <w:t>Australian Competition and Consumer Commission</w:t>
            </w:r>
          </w:p>
        </w:tc>
      </w:tr>
      <w:tr w:rsidR="00FC0110" w:rsidRPr="00BC0D09" w:rsidTr="00500A89">
        <w:tc>
          <w:tcPr>
            <w:tcW w:w="3127" w:type="dxa"/>
          </w:tcPr>
          <w:p w:rsidR="00FC0110" w:rsidRPr="00BC0D09" w:rsidRDefault="00FC0110" w:rsidP="002B005E">
            <w:pPr>
              <w:pStyle w:val="AERtabletextleft"/>
            </w:pPr>
            <w:r w:rsidRPr="00BC0D09">
              <w:t>AER</w:t>
            </w:r>
          </w:p>
        </w:tc>
        <w:tc>
          <w:tcPr>
            <w:tcW w:w="5148" w:type="dxa"/>
          </w:tcPr>
          <w:p w:rsidR="00FC0110" w:rsidRPr="00BC0D09" w:rsidRDefault="00FC0110" w:rsidP="002B005E">
            <w:pPr>
              <w:pStyle w:val="AERtabletextleft"/>
            </w:pPr>
            <w:r w:rsidRPr="00BC0D09">
              <w:t>Australian Energy Regulator</w:t>
            </w:r>
          </w:p>
        </w:tc>
      </w:tr>
      <w:tr w:rsidR="00FC0110" w:rsidRPr="00BC0D09" w:rsidTr="00500A89">
        <w:trPr>
          <w:cnfStyle w:val="000000010000"/>
        </w:trPr>
        <w:tc>
          <w:tcPr>
            <w:tcW w:w="3127" w:type="dxa"/>
          </w:tcPr>
          <w:p w:rsidR="00FC0110" w:rsidRPr="00BC0D09" w:rsidRDefault="00FC0110" w:rsidP="002B005E">
            <w:pPr>
              <w:pStyle w:val="AERtabletextleft"/>
            </w:pPr>
            <w:r w:rsidRPr="00BC0D09">
              <w:t>access arrangement information</w:t>
            </w:r>
          </w:p>
        </w:tc>
        <w:tc>
          <w:tcPr>
            <w:tcW w:w="5148" w:type="dxa"/>
          </w:tcPr>
          <w:p w:rsidR="00FC0110" w:rsidRPr="00BC0D09" w:rsidRDefault="00FC0110" w:rsidP="002B005E">
            <w:pPr>
              <w:pStyle w:val="AERtabletextleft"/>
            </w:pPr>
            <w:r w:rsidRPr="00BC0D09">
              <w:t>Multinet, Access arrangement information, 30 March 2012</w:t>
            </w:r>
          </w:p>
        </w:tc>
      </w:tr>
      <w:tr w:rsidR="00FC0110" w:rsidRPr="00BC0D09" w:rsidTr="00500A89">
        <w:tc>
          <w:tcPr>
            <w:tcW w:w="3127" w:type="dxa"/>
          </w:tcPr>
          <w:p w:rsidR="00FC0110" w:rsidRPr="00BC0D09" w:rsidRDefault="00FC0110" w:rsidP="002B005E">
            <w:pPr>
              <w:pStyle w:val="AERtabletextleft"/>
            </w:pPr>
            <w:r>
              <w:t xml:space="preserve">revised </w:t>
            </w:r>
            <w:r w:rsidRPr="00BC0D09">
              <w:t>access arrangement information</w:t>
            </w:r>
          </w:p>
        </w:tc>
        <w:tc>
          <w:tcPr>
            <w:tcW w:w="5148" w:type="dxa"/>
          </w:tcPr>
          <w:p w:rsidR="00FC0110" w:rsidRPr="00BC0D09" w:rsidRDefault="00FC0110" w:rsidP="002B005E">
            <w:pPr>
              <w:pStyle w:val="AERtabletextleft"/>
            </w:pPr>
            <w:r w:rsidRPr="00BC0D09">
              <w:t xml:space="preserve">Multinet, </w:t>
            </w:r>
            <w:r>
              <w:t>Revised a</w:t>
            </w:r>
            <w:r w:rsidRPr="00BC0D09">
              <w:t xml:space="preserve">ccess arrangement information, </w:t>
            </w:r>
            <w:r>
              <w:t>9 November</w:t>
            </w:r>
            <w:r w:rsidRPr="00BC0D09">
              <w:t xml:space="preserve"> 2012</w:t>
            </w:r>
          </w:p>
        </w:tc>
      </w:tr>
      <w:tr w:rsidR="00FC0110" w:rsidRPr="00BC0D09" w:rsidTr="00500A89">
        <w:trPr>
          <w:cnfStyle w:val="000000010000"/>
        </w:trPr>
        <w:tc>
          <w:tcPr>
            <w:tcW w:w="3127" w:type="dxa"/>
          </w:tcPr>
          <w:p w:rsidR="00FC0110" w:rsidRPr="00BC0D09" w:rsidRDefault="00FC0110" w:rsidP="002B005E">
            <w:pPr>
              <w:pStyle w:val="AERtabletextleft"/>
            </w:pPr>
            <w:r w:rsidRPr="00BC0D09">
              <w:t>access arrangement proposal</w:t>
            </w:r>
          </w:p>
        </w:tc>
        <w:tc>
          <w:tcPr>
            <w:tcW w:w="5148" w:type="dxa"/>
          </w:tcPr>
          <w:p w:rsidR="00FC0110" w:rsidRPr="00BC0D09" w:rsidRDefault="00FC0110" w:rsidP="002B005E">
            <w:pPr>
              <w:pStyle w:val="AERtabletextleft"/>
            </w:pPr>
            <w:r w:rsidRPr="00BC0D09">
              <w:t>Multinet, Access arrangement proposal, 30 March 2012</w:t>
            </w:r>
          </w:p>
        </w:tc>
      </w:tr>
      <w:tr w:rsidR="00FC0110" w:rsidRPr="00BC0D09" w:rsidTr="00500A89">
        <w:tc>
          <w:tcPr>
            <w:tcW w:w="3127" w:type="dxa"/>
          </w:tcPr>
          <w:p w:rsidR="00FC0110" w:rsidRPr="00BC0D09" w:rsidRDefault="00FC0110" w:rsidP="002B005E">
            <w:pPr>
              <w:pStyle w:val="AERtabletextleft"/>
            </w:pPr>
            <w:r>
              <w:t>revised access arrangement proposal</w:t>
            </w:r>
          </w:p>
        </w:tc>
        <w:tc>
          <w:tcPr>
            <w:tcW w:w="5148" w:type="dxa"/>
          </w:tcPr>
          <w:p w:rsidR="00FC0110" w:rsidRPr="00BC0D09" w:rsidRDefault="00FC0110" w:rsidP="002B005E">
            <w:pPr>
              <w:pStyle w:val="AERtabletextleft"/>
            </w:pPr>
            <w:r>
              <w:t>Multinet, Revised access arrangement proposal, 9 November 2012</w:t>
            </w:r>
          </w:p>
        </w:tc>
      </w:tr>
      <w:tr w:rsidR="00FC0110" w:rsidRPr="00BC0D09" w:rsidTr="00500A89">
        <w:trPr>
          <w:cnfStyle w:val="000000010000"/>
        </w:trPr>
        <w:tc>
          <w:tcPr>
            <w:tcW w:w="3127" w:type="dxa"/>
          </w:tcPr>
          <w:p w:rsidR="00FC0110" w:rsidRPr="00BC0D09" w:rsidRDefault="00FC0110" w:rsidP="002B005E">
            <w:pPr>
              <w:pStyle w:val="AERtabletextleft"/>
            </w:pPr>
            <w:r w:rsidRPr="00BC0D09">
              <w:t>capex</w:t>
            </w:r>
          </w:p>
        </w:tc>
        <w:tc>
          <w:tcPr>
            <w:tcW w:w="5148" w:type="dxa"/>
          </w:tcPr>
          <w:p w:rsidR="00FC0110" w:rsidRPr="00BC0D09" w:rsidRDefault="00FC0110" w:rsidP="002B005E">
            <w:pPr>
              <w:pStyle w:val="AERtabletextleft"/>
            </w:pPr>
            <w:r w:rsidRPr="00BC0D09">
              <w:t>capital expenditure</w:t>
            </w:r>
          </w:p>
        </w:tc>
      </w:tr>
      <w:tr w:rsidR="00FC0110" w:rsidRPr="00BC0D09" w:rsidTr="00500A89">
        <w:tc>
          <w:tcPr>
            <w:tcW w:w="3127" w:type="dxa"/>
          </w:tcPr>
          <w:p w:rsidR="00FC0110" w:rsidRPr="00BC0D09" w:rsidRDefault="00FC0110" w:rsidP="002B005E">
            <w:pPr>
              <w:pStyle w:val="AERtabletextleft"/>
            </w:pPr>
            <w:r w:rsidRPr="00BC0D09">
              <w:t>CAPM</w:t>
            </w:r>
          </w:p>
        </w:tc>
        <w:tc>
          <w:tcPr>
            <w:tcW w:w="5148" w:type="dxa"/>
          </w:tcPr>
          <w:p w:rsidR="00FC0110" w:rsidRPr="00BC0D09" w:rsidRDefault="00FC0110" w:rsidP="002B005E">
            <w:pPr>
              <w:pStyle w:val="AERtabletextleft"/>
            </w:pPr>
            <w:r w:rsidRPr="00BC0D09">
              <w:t xml:space="preserve">capital asset pricing model </w:t>
            </w:r>
          </w:p>
        </w:tc>
      </w:tr>
      <w:tr w:rsidR="00FC0110" w:rsidRPr="00BC0D09" w:rsidTr="00500A89">
        <w:trPr>
          <w:cnfStyle w:val="000000010000"/>
        </w:trPr>
        <w:tc>
          <w:tcPr>
            <w:tcW w:w="3127" w:type="dxa"/>
          </w:tcPr>
          <w:p w:rsidR="00FC0110" w:rsidRPr="00BC0D09" w:rsidRDefault="00FC0110" w:rsidP="002B005E">
            <w:pPr>
              <w:pStyle w:val="AERtabletextleft"/>
            </w:pPr>
            <w:r w:rsidRPr="00BC0D09">
              <w:t>CPI</w:t>
            </w:r>
          </w:p>
        </w:tc>
        <w:tc>
          <w:tcPr>
            <w:tcW w:w="5148" w:type="dxa"/>
          </w:tcPr>
          <w:p w:rsidR="00FC0110" w:rsidRPr="00BC0D09" w:rsidRDefault="00FC0110" w:rsidP="002B005E">
            <w:pPr>
              <w:pStyle w:val="AERtabletextleft"/>
            </w:pPr>
            <w:r w:rsidRPr="00BC0D09">
              <w:t>consumer price index</w:t>
            </w:r>
          </w:p>
        </w:tc>
      </w:tr>
      <w:tr w:rsidR="00FC0110" w:rsidRPr="00BC0D09" w:rsidTr="00500A89">
        <w:tc>
          <w:tcPr>
            <w:tcW w:w="3127" w:type="dxa"/>
          </w:tcPr>
          <w:p w:rsidR="00FC0110" w:rsidRPr="00BC0D09" w:rsidRDefault="00FC0110" w:rsidP="002B005E">
            <w:pPr>
              <w:pStyle w:val="AERtabletextleft"/>
            </w:pPr>
            <w:r w:rsidRPr="00BC0D09">
              <w:t>Code</w:t>
            </w:r>
          </w:p>
        </w:tc>
        <w:tc>
          <w:tcPr>
            <w:tcW w:w="5148" w:type="dxa"/>
          </w:tcPr>
          <w:p w:rsidR="00FC0110" w:rsidRPr="00BC0D09" w:rsidRDefault="00FC0110" w:rsidP="002B005E">
            <w:pPr>
              <w:pStyle w:val="AERtabletextleft"/>
            </w:pPr>
            <w:r w:rsidRPr="00BC0D09">
              <w:t>National Third Party Access Code for Natural Gas Pipeline Systems</w:t>
            </w:r>
          </w:p>
        </w:tc>
      </w:tr>
      <w:tr w:rsidR="00FC0110" w:rsidRPr="00BC0D09" w:rsidTr="00500A89">
        <w:trPr>
          <w:cnfStyle w:val="000000010000"/>
        </w:trPr>
        <w:tc>
          <w:tcPr>
            <w:tcW w:w="3127" w:type="dxa"/>
          </w:tcPr>
          <w:p w:rsidR="00FC0110" w:rsidRPr="00BC0D09" w:rsidRDefault="00FC0110" w:rsidP="002B005E">
            <w:pPr>
              <w:pStyle w:val="AERtabletextleft"/>
            </w:pPr>
            <w:r w:rsidRPr="00BC0D09">
              <w:t>DRP</w:t>
            </w:r>
          </w:p>
        </w:tc>
        <w:tc>
          <w:tcPr>
            <w:tcW w:w="5148" w:type="dxa"/>
          </w:tcPr>
          <w:p w:rsidR="00FC0110" w:rsidRPr="00BC0D09" w:rsidRDefault="00FC0110" w:rsidP="002B005E">
            <w:pPr>
              <w:pStyle w:val="AERtabletextleft"/>
            </w:pPr>
            <w:r w:rsidRPr="00BC0D09">
              <w:t>debt risk premium</w:t>
            </w:r>
          </w:p>
        </w:tc>
      </w:tr>
      <w:tr w:rsidR="00FC0110" w:rsidRPr="00BC0D09" w:rsidTr="00500A89">
        <w:tc>
          <w:tcPr>
            <w:tcW w:w="3127" w:type="dxa"/>
          </w:tcPr>
          <w:p w:rsidR="00FC0110" w:rsidRPr="00BC0D09" w:rsidRDefault="00FC0110" w:rsidP="002B005E">
            <w:pPr>
              <w:pStyle w:val="AERtabletextleft"/>
            </w:pPr>
            <w:r w:rsidRPr="00BC0D09">
              <w:t>ESC</w:t>
            </w:r>
          </w:p>
        </w:tc>
        <w:tc>
          <w:tcPr>
            <w:tcW w:w="5148" w:type="dxa"/>
          </w:tcPr>
          <w:p w:rsidR="00FC0110" w:rsidRPr="00BC0D09" w:rsidRDefault="00FC0110" w:rsidP="002B005E">
            <w:pPr>
              <w:pStyle w:val="AERtabletextleft"/>
            </w:pPr>
            <w:r w:rsidRPr="00BC0D09">
              <w:t>Essential Services Commission (Victoria)</w:t>
            </w:r>
          </w:p>
        </w:tc>
      </w:tr>
      <w:tr w:rsidR="00FC0110" w:rsidRPr="00BC0D09" w:rsidTr="00500A89">
        <w:trPr>
          <w:cnfStyle w:val="000000010000"/>
        </w:trPr>
        <w:tc>
          <w:tcPr>
            <w:tcW w:w="3127" w:type="dxa"/>
          </w:tcPr>
          <w:p w:rsidR="00FC0110" w:rsidRPr="00BC0D09" w:rsidRDefault="00FC0110" w:rsidP="002B005E">
            <w:pPr>
              <w:pStyle w:val="AERtabletextleft"/>
            </w:pPr>
            <w:r w:rsidRPr="00BC0D09">
              <w:t>MRP</w:t>
            </w:r>
          </w:p>
        </w:tc>
        <w:tc>
          <w:tcPr>
            <w:tcW w:w="5148" w:type="dxa"/>
          </w:tcPr>
          <w:p w:rsidR="00FC0110" w:rsidRPr="00BC0D09" w:rsidRDefault="00FC0110" w:rsidP="002B005E">
            <w:pPr>
              <w:pStyle w:val="AERtabletextleft"/>
            </w:pPr>
            <w:r w:rsidRPr="00BC0D09">
              <w:t>market risk premium</w:t>
            </w:r>
          </w:p>
        </w:tc>
      </w:tr>
      <w:tr w:rsidR="00FC0110" w:rsidRPr="00BC0D09" w:rsidTr="00500A89">
        <w:tc>
          <w:tcPr>
            <w:tcW w:w="3127" w:type="dxa"/>
          </w:tcPr>
          <w:p w:rsidR="00FC0110" w:rsidRPr="00BC0D09" w:rsidRDefault="00FC0110" w:rsidP="002B005E">
            <w:pPr>
              <w:pStyle w:val="AERtabletextleft"/>
            </w:pPr>
            <w:r w:rsidRPr="00BC0D09">
              <w:t>Multinet</w:t>
            </w:r>
          </w:p>
        </w:tc>
        <w:tc>
          <w:tcPr>
            <w:tcW w:w="5148" w:type="dxa"/>
          </w:tcPr>
          <w:p w:rsidR="00FC0110" w:rsidRPr="00BC0D09" w:rsidRDefault="00FC0110" w:rsidP="002B005E">
            <w:pPr>
              <w:pStyle w:val="AERtabletextleft"/>
            </w:pPr>
            <w:r w:rsidRPr="00BC0D09">
              <w:t>Multinet Gas (DB No.1) Pty Ltd (ACN 086 026 986), Multinet Gas (DB No.2) Pty Ltd (ACN 086 230 122)</w:t>
            </w:r>
          </w:p>
        </w:tc>
      </w:tr>
      <w:tr w:rsidR="00FC0110" w:rsidRPr="00BC0D09" w:rsidTr="00500A89">
        <w:trPr>
          <w:cnfStyle w:val="000000010000"/>
        </w:trPr>
        <w:tc>
          <w:tcPr>
            <w:tcW w:w="3127" w:type="dxa"/>
          </w:tcPr>
          <w:p w:rsidR="00FC0110" w:rsidRPr="00BC0D09" w:rsidRDefault="00FC0110" w:rsidP="002B005E">
            <w:pPr>
              <w:pStyle w:val="AERtabletextleft"/>
            </w:pPr>
            <w:r w:rsidRPr="00BC0D09">
              <w:t>NGL</w:t>
            </w:r>
          </w:p>
        </w:tc>
        <w:tc>
          <w:tcPr>
            <w:tcW w:w="5148" w:type="dxa"/>
          </w:tcPr>
          <w:p w:rsidR="00FC0110" w:rsidRPr="00BC0D09" w:rsidRDefault="00FC0110" w:rsidP="002B005E">
            <w:pPr>
              <w:pStyle w:val="AERtabletextleft"/>
            </w:pPr>
            <w:r w:rsidRPr="00BC0D09">
              <w:t>National Gas Law</w:t>
            </w:r>
          </w:p>
        </w:tc>
      </w:tr>
      <w:tr w:rsidR="00FC0110" w:rsidRPr="00BC0D09" w:rsidTr="00500A89">
        <w:tc>
          <w:tcPr>
            <w:tcW w:w="3127" w:type="dxa"/>
          </w:tcPr>
          <w:p w:rsidR="00FC0110" w:rsidRPr="00BC0D09" w:rsidRDefault="00FC0110" w:rsidP="002B005E">
            <w:pPr>
              <w:pStyle w:val="AERtabletextleft"/>
            </w:pPr>
            <w:r w:rsidRPr="00BC0D09">
              <w:t>NGO</w:t>
            </w:r>
          </w:p>
        </w:tc>
        <w:tc>
          <w:tcPr>
            <w:tcW w:w="5148" w:type="dxa"/>
          </w:tcPr>
          <w:p w:rsidR="00FC0110" w:rsidRPr="00BC0D09" w:rsidRDefault="00FC0110" w:rsidP="002B005E">
            <w:pPr>
              <w:pStyle w:val="AERtabletextleft"/>
            </w:pPr>
            <w:r w:rsidRPr="00BC0D09">
              <w:t>National Gas Objective</w:t>
            </w:r>
          </w:p>
        </w:tc>
      </w:tr>
      <w:tr w:rsidR="00FC0110" w:rsidRPr="00BC0D09" w:rsidTr="00500A89">
        <w:trPr>
          <w:cnfStyle w:val="000000010000"/>
        </w:trPr>
        <w:tc>
          <w:tcPr>
            <w:tcW w:w="3127" w:type="dxa"/>
          </w:tcPr>
          <w:p w:rsidR="00FC0110" w:rsidRPr="00BC0D09" w:rsidRDefault="00FC0110" w:rsidP="002B005E">
            <w:pPr>
              <w:pStyle w:val="AERtabletextleft"/>
            </w:pPr>
            <w:r w:rsidRPr="00BC0D09">
              <w:t>NGR</w:t>
            </w:r>
          </w:p>
        </w:tc>
        <w:tc>
          <w:tcPr>
            <w:tcW w:w="5148" w:type="dxa"/>
          </w:tcPr>
          <w:p w:rsidR="00FC0110" w:rsidRPr="00BC0D09" w:rsidRDefault="00FC0110" w:rsidP="002B005E">
            <w:pPr>
              <w:pStyle w:val="AERtabletextleft"/>
            </w:pPr>
            <w:r w:rsidRPr="00BC0D09">
              <w:t>National Gas Rules</w:t>
            </w:r>
          </w:p>
        </w:tc>
      </w:tr>
      <w:tr w:rsidR="00FC0110" w:rsidRPr="00BC0D09" w:rsidTr="00500A89">
        <w:tc>
          <w:tcPr>
            <w:tcW w:w="3127" w:type="dxa"/>
          </w:tcPr>
          <w:p w:rsidR="00FC0110" w:rsidRPr="00BC0D09" w:rsidRDefault="00FC0110" w:rsidP="002B005E">
            <w:pPr>
              <w:pStyle w:val="AERtabletextleft"/>
            </w:pPr>
            <w:r w:rsidRPr="00BC0D09">
              <w:t>opex</w:t>
            </w:r>
          </w:p>
        </w:tc>
        <w:tc>
          <w:tcPr>
            <w:tcW w:w="5148" w:type="dxa"/>
          </w:tcPr>
          <w:p w:rsidR="00FC0110" w:rsidRPr="00BC0D09" w:rsidRDefault="00FC0110" w:rsidP="002B005E">
            <w:pPr>
              <w:pStyle w:val="AERtabletextleft"/>
            </w:pPr>
            <w:r w:rsidRPr="00BC0D09">
              <w:t>operating expenditure</w:t>
            </w:r>
          </w:p>
        </w:tc>
      </w:tr>
      <w:tr w:rsidR="00FC0110" w:rsidRPr="00BC0D09" w:rsidTr="00500A89">
        <w:trPr>
          <w:cnfStyle w:val="000000010000"/>
        </w:trPr>
        <w:tc>
          <w:tcPr>
            <w:tcW w:w="3127" w:type="dxa"/>
          </w:tcPr>
          <w:p w:rsidR="00FC0110" w:rsidRPr="00BC0D09" w:rsidRDefault="00FC0110" w:rsidP="002B005E">
            <w:pPr>
              <w:pStyle w:val="AERtabletextleft"/>
            </w:pPr>
            <w:r w:rsidRPr="00BC0D09">
              <w:t>PTRM</w:t>
            </w:r>
          </w:p>
        </w:tc>
        <w:tc>
          <w:tcPr>
            <w:tcW w:w="5148" w:type="dxa"/>
          </w:tcPr>
          <w:p w:rsidR="00FC0110" w:rsidRPr="00BC0D09" w:rsidRDefault="00FC0110" w:rsidP="002B005E">
            <w:pPr>
              <w:pStyle w:val="AERtabletextleft"/>
            </w:pPr>
            <w:r w:rsidRPr="00BC0D09">
              <w:t>post tax revenue model</w:t>
            </w:r>
          </w:p>
        </w:tc>
      </w:tr>
      <w:tr w:rsidR="00FC0110" w:rsidRPr="00BC0D09" w:rsidTr="00500A89">
        <w:tc>
          <w:tcPr>
            <w:tcW w:w="3127" w:type="dxa"/>
          </w:tcPr>
          <w:p w:rsidR="00FC0110" w:rsidRPr="00BC0D09" w:rsidRDefault="00FC0110" w:rsidP="002B005E">
            <w:pPr>
              <w:pStyle w:val="AERtabletextleft"/>
            </w:pPr>
            <w:r w:rsidRPr="00BC0D09">
              <w:t>RAB</w:t>
            </w:r>
          </w:p>
        </w:tc>
        <w:tc>
          <w:tcPr>
            <w:tcW w:w="5148" w:type="dxa"/>
          </w:tcPr>
          <w:p w:rsidR="00FC0110" w:rsidRPr="00BC0D09" w:rsidRDefault="00FC0110" w:rsidP="002B005E">
            <w:pPr>
              <w:pStyle w:val="AERtabletextleft"/>
            </w:pPr>
            <w:r w:rsidRPr="00BC0D09">
              <w:t>regulatory asset base</w:t>
            </w:r>
          </w:p>
        </w:tc>
      </w:tr>
      <w:tr w:rsidR="00FC0110" w:rsidRPr="00BC0D09" w:rsidTr="00500A89">
        <w:trPr>
          <w:cnfStyle w:val="000000010000"/>
        </w:trPr>
        <w:tc>
          <w:tcPr>
            <w:tcW w:w="3127" w:type="dxa"/>
          </w:tcPr>
          <w:p w:rsidR="00FC0110" w:rsidRPr="00BC0D09" w:rsidRDefault="00FC0110" w:rsidP="002B005E">
            <w:pPr>
              <w:pStyle w:val="AERtabletextleft"/>
            </w:pPr>
            <w:r w:rsidRPr="00BC0D09">
              <w:t>RFM</w:t>
            </w:r>
          </w:p>
        </w:tc>
        <w:tc>
          <w:tcPr>
            <w:tcW w:w="5148" w:type="dxa"/>
          </w:tcPr>
          <w:p w:rsidR="00FC0110" w:rsidRPr="00BC0D09" w:rsidRDefault="00FC0110" w:rsidP="002B005E">
            <w:pPr>
              <w:pStyle w:val="AERtabletextleft"/>
            </w:pPr>
            <w:r w:rsidRPr="00BC0D09">
              <w:t>roll forward model</w:t>
            </w:r>
          </w:p>
        </w:tc>
      </w:tr>
      <w:tr w:rsidR="00FC0110" w:rsidRPr="00BC0D09" w:rsidTr="00500A89">
        <w:tc>
          <w:tcPr>
            <w:tcW w:w="3127" w:type="dxa"/>
          </w:tcPr>
          <w:p w:rsidR="00FC0110" w:rsidRPr="00BC0D09" w:rsidRDefault="00FC0110" w:rsidP="002B005E">
            <w:pPr>
              <w:pStyle w:val="AERtabletextleft"/>
            </w:pPr>
            <w:r w:rsidRPr="00BC0D09">
              <w:t>RPP</w:t>
            </w:r>
          </w:p>
        </w:tc>
        <w:tc>
          <w:tcPr>
            <w:tcW w:w="5148" w:type="dxa"/>
          </w:tcPr>
          <w:p w:rsidR="00FC0110" w:rsidRPr="00BC0D09" w:rsidRDefault="00FC0110" w:rsidP="002B005E">
            <w:pPr>
              <w:pStyle w:val="AERtabletextleft"/>
            </w:pPr>
            <w:r>
              <w:t>r</w:t>
            </w:r>
            <w:r w:rsidRPr="00BC0D09">
              <w:t>evenue</w:t>
            </w:r>
            <w:r>
              <w:t xml:space="preserve"> and</w:t>
            </w:r>
            <w:r w:rsidRPr="00BC0D09">
              <w:t xml:space="preserve"> pricing principles</w:t>
            </w:r>
          </w:p>
        </w:tc>
      </w:tr>
      <w:tr w:rsidR="00FC0110" w:rsidRPr="00BC0D09" w:rsidTr="00500A89">
        <w:trPr>
          <w:cnfStyle w:val="000000010000"/>
        </w:trPr>
        <w:tc>
          <w:tcPr>
            <w:tcW w:w="3127" w:type="dxa"/>
          </w:tcPr>
          <w:p w:rsidR="00FC0110" w:rsidRPr="00BC0D09" w:rsidRDefault="00FC0110" w:rsidP="002B005E">
            <w:pPr>
              <w:pStyle w:val="AERtabletextleft"/>
            </w:pPr>
            <w:r w:rsidRPr="00BC0D09">
              <w:t>WACC</w:t>
            </w:r>
          </w:p>
        </w:tc>
        <w:tc>
          <w:tcPr>
            <w:tcW w:w="5148" w:type="dxa"/>
          </w:tcPr>
          <w:p w:rsidR="00FC0110" w:rsidRPr="00BC0D09" w:rsidRDefault="00FC0110" w:rsidP="002B005E">
            <w:pPr>
              <w:pStyle w:val="AERtabletextleft"/>
            </w:pPr>
            <w:r w:rsidRPr="00BC0D09">
              <w:t>weighted average cost of capital</w:t>
            </w:r>
          </w:p>
        </w:tc>
      </w:tr>
      <w:tr w:rsidR="00FC0110" w:rsidRPr="00BC0D09" w:rsidTr="00500A89">
        <w:tc>
          <w:tcPr>
            <w:tcW w:w="3127" w:type="dxa"/>
          </w:tcPr>
          <w:p w:rsidR="00FC0110" w:rsidRPr="00BC0D09" w:rsidRDefault="00FC0110" w:rsidP="002B005E">
            <w:pPr>
              <w:pStyle w:val="AERtabletextleft"/>
            </w:pPr>
          </w:p>
        </w:tc>
        <w:tc>
          <w:tcPr>
            <w:tcW w:w="5148" w:type="dxa"/>
          </w:tcPr>
          <w:p w:rsidR="00FC0110" w:rsidRPr="00BC0D09" w:rsidRDefault="00FC0110" w:rsidP="002B005E">
            <w:pPr>
              <w:pStyle w:val="AERtabletextleft"/>
            </w:pPr>
          </w:p>
        </w:tc>
      </w:tr>
    </w:tbl>
    <w:p w:rsidR="00A00171" w:rsidRDefault="00A00171" w:rsidP="00A00171">
      <w:pPr>
        <w:pStyle w:val="AERbodytext"/>
        <w:numPr>
          <w:ilvl w:val="0"/>
          <w:numId w:val="13"/>
        </w:numPr>
      </w:pPr>
    </w:p>
    <w:p w:rsidR="00A00171" w:rsidRDefault="00A00171" w:rsidP="00CE32D3">
      <w:pPr>
        <w:pStyle w:val="Heading7"/>
      </w:pPr>
      <w:bookmarkStart w:id="2" w:name="_Toc350951026"/>
      <w:r>
        <w:t>Real cost escalation</w:t>
      </w:r>
      <w:bookmarkEnd w:id="2"/>
    </w:p>
    <w:p w:rsidR="00A00171" w:rsidRPr="0064714B" w:rsidRDefault="00A00171" w:rsidP="00A00171">
      <w:pPr>
        <w:pStyle w:val="AERbodytext"/>
        <w:numPr>
          <w:ilvl w:val="0"/>
          <w:numId w:val="13"/>
        </w:numPr>
      </w:pPr>
      <w:r w:rsidRPr="00DD7EFC">
        <w:t xml:space="preserve">Real cost escalation is a method for accounting for expected changes in the costs of key factor inputs. Due to market forces, these costs may not increase at the same rate as inflation. </w:t>
      </w:r>
      <w:r>
        <w:t>A forecast or estimate  for labour cost escalators must be arrived at on a reasonable basis and which represent the best forecast or estimate possible in the circumstances.</w:t>
      </w:r>
      <w:r>
        <w:rPr>
          <w:rStyle w:val="FootnoteReference"/>
        </w:rPr>
        <w:footnoteReference w:id="1"/>
      </w:r>
    </w:p>
    <w:p w:rsidR="00A00171" w:rsidRDefault="00A00171" w:rsidP="00CE32D3">
      <w:pPr>
        <w:pStyle w:val="Heading8"/>
      </w:pPr>
      <w:bookmarkStart w:id="3" w:name="_Toc349895722"/>
      <w:bookmarkStart w:id="4" w:name="_Toc349900136"/>
      <w:bookmarkStart w:id="5" w:name="_Toc350422667"/>
      <w:bookmarkStart w:id="6" w:name="_Toc350951027"/>
      <w:r>
        <w:t>Final decision</w:t>
      </w:r>
      <w:bookmarkEnd w:id="3"/>
      <w:bookmarkEnd w:id="4"/>
      <w:bookmarkEnd w:id="5"/>
      <w:bookmarkEnd w:id="6"/>
    </w:p>
    <w:p w:rsidR="00A00171" w:rsidRDefault="00A00171" w:rsidP="00A00171">
      <w:pPr>
        <w:pStyle w:val="AERbodytext"/>
        <w:numPr>
          <w:ilvl w:val="0"/>
          <w:numId w:val="13"/>
        </w:numPr>
      </w:pPr>
      <w:r>
        <w:t>The AER's final decision is not to approve Multinet's proposed labour cost escalators. Applying the proposed escalators will not result in forecast operating expenditure (opex) and capital expenditure (capex) that is arrived at on a reasonable basis</w:t>
      </w:r>
      <w:r w:rsidRPr="00DE59B6">
        <w:t>.</w:t>
      </w:r>
      <w:r>
        <w:rPr>
          <w:rStyle w:val="FootnoteReference"/>
        </w:rPr>
        <w:footnoteReference w:id="2"/>
      </w:r>
      <w:r w:rsidRPr="00DE59B6">
        <w:t xml:space="preserve"> Nor do they provide the best possible forecasts of opex and capex in the circumstances.</w:t>
      </w:r>
      <w:r>
        <w:rPr>
          <w:rStyle w:val="FootnoteReference"/>
        </w:rPr>
        <w:footnoteReference w:id="3"/>
      </w:r>
    </w:p>
    <w:p w:rsidR="00A00171" w:rsidRPr="004949AE" w:rsidRDefault="00A00171" w:rsidP="00A00171">
      <w:pPr>
        <w:pStyle w:val="AERbodytext"/>
        <w:numPr>
          <w:ilvl w:val="0"/>
          <w:numId w:val="13"/>
        </w:numPr>
      </w:pPr>
      <w:r>
        <w:t>The AER considers Deloitte Access Economics' (DAE) forecast of the labour price index (LPI) represents the best possible forecast of labour cost escalations in the circumstances.</w:t>
      </w:r>
      <w:r w:rsidRPr="003340DB">
        <w:rPr>
          <w:rStyle w:val="FootnoteReference"/>
        </w:rPr>
        <w:t xml:space="preserve"> </w:t>
      </w:r>
      <w:r>
        <w:rPr>
          <w:rStyle w:val="FootnoteReference"/>
        </w:rPr>
        <w:footnoteReference w:id="4"/>
      </w:r>
    </w:p>
    <w:p w:rsidR="00A00171" w:rsidRPr="005D1C02" w:rsidRDefault="00A00171" w:rsidP="00A00171">
      <w:pPr>
        <w:pStyle w:val="Caption"/>
      </w:pPr>
      <w:r>
        <w:t xml:space="preserve">Table </w:t>
      </w:r>
      <w:fldSimple w:instr=" STYLEREF 7 \s ">
        <w:r w:rsidR="006B0748">
          <w:rPr>
            <w:noProof/>
          </w:rPr>
          <w:t>A</w:t>
        </w:r>
      </w:fldSimple>
      <w:r>
        <w:t>.</w:t>
      </w:r>
      <w:fldSimple w:instr=" SEQ Table \* ARABIC \s 7 ">
        <w:r w:rsidR="006B0748">
          <w:rPr>
            <w:noProof/>
          </w:rPr>
          <w:t>1</w:t>
        </w:r>
      </w:fldSimple>
      <w:r>
        <w:tab/>
        <w:t>AER determined real cost escalators (per cent)</w:t>
      </w:r>
    </w:p>
    <w:tbl>
      <w:tblPr>
        <w:tblStyle w:val="AERtable-text"/>
        <w:tblW w:w="0" w:type="auto"/>
        <w:tblLook w:val="04A0"/>
      </w:tblPr>
      <w:tblGrid>
        <w:gridCol w:w="2068"/>
        <w:gridCol w:w="1195"/>
        <w:gridCol w:w="1196"/>
        <w:gridCol w:w="1196"/>
        <w:gridCol w:w="1195"/>
        <w:gridCol w:w="1196"/>
        <w:gridCol w:w="1196"/>
      </w:tblGrid>
      <w:tr w:rsidR="00A00171" w:rsidRPr="00B27FF3" w:rsidTr="00500A89">
        <w:trPr>
          <w:cnfStyle w:val="100000000000"/>
        </w:trPr>
        <w:tc>
          <w:tcPr>
            <w:tcW w:w="2068" w:type="dxa"/>
          </w:tcPr>
          <w:p w:rsidR="00A00171" w:rsidRPr="00A00171" w:rsidRDefault="00A00171" w:rsidP="002B005E">
            <w:pPr>
              <w:pStyle w:val="AERtabletextleft"/>
            </w:pPr>
          </w:p>
        </w:tc>
        <w:tc>
          <w:tcPr>
            <w:tcW w:w="1195" w:type="dxa"/>
          </w:tcPr>
          <w:p w:rsidR="00A00171" w:rsidRPr="00A00171" w:rsidRDefault="00A00171" w:rsidP="002B005E">
            <w:pPr>
              <w:pStyle w:val="AERtabletextright"/>
            </w:pPr>
            <w:r w:rsidRPr="00A00171">
              <w:t xml:space="preserve">2012 </w:t>
            </w:r>
          </w:p>
        </w:tc>
        <w:tc>
          <w:tcPr>
            <w:tcW w:w="1196" w:type="dxa"/>
          </w:tcPr>
          <w:p w:rsidR="00A00171" w:rsidRPr="00A00171" w:rsidRDefault="00A00171" w:rsidP="002B005E">
            <w:pPr>
              <w:pStyle w:val="AERtabletextright"/>
            </w:pPr>
            <w:r w:rsidRPr="00A00171">
              <w:t xml:space="preserve">2013 </w:t>
            </w:r>
          </w:p>
        </w:tc>
        <w:tc>
          <w:tcPr>
            <w:tcW w:w="1196" w:type="dxa"/>
          </w:tcPr>
          <w:p w:rsidR="00A00171" w:rsidRPr="00A00171" w:rsidRDefault="00A00171" w:rsidP="002B005E">
            <w:pPr>
              <w:pStyle w:val="AERtabletextright"/>
            </w:pPr>
            <w:r w:rsidRPr="00A00171">
              <w:t xml:space="preserve">2014 </w:t>
            </w:r>
          </w:p>
        </w:tc>
        <w:tc>
          <w:tcPr>
            <w:tcW w:w="1195" w:type="dxa"/>
          </w:tcPr>
          <w:p w:rsidR="00A00171" w:rsidRPr="00A00171" w:rsidRDefault="00A00171" w:rsidP="002B005E">
            <w:pPr>
              <w:pStyle w:val="AERtabletextright"/>
            </w:pPr>
            <w:r w:rsidRPr="00A00171">
              <w:t xml:space="preserve">2015 </w:t>
            </w:r>
          </w:p>
        </w:tc>
        <w:tc>
          <w:tcPr>
            <w:tcW w:w="1196" w:type="dxa"/>
          </w:tcPr>
          <w:p w:rsidR="00A00171" w:rsidRPr="00A00171" w:rsidRDefault="00A00171" w:rsidP="002B005E">
            <w:pPr>
              <w:pStyle w:val="AERtabletextright"/>
            </w:pPr>
            <w:r w:rsidRPr="00A00171">
              <w:t xml:space="preserve">2016 </w:t>
            </w:r>
          </w:p>
        </w:tc>
        <w:tc>
          <w:tcPr>
            <w:tcW w:w="1196" w:type="dxa"/>
          </w:tcPr>
          <w:p w:rsidR="00A00171" w:rsidRPr="00A00171" w:rsidRDefault="00A00171" w:rsidP="002B005E">
            <w:pPr>
              <w:pStyle w:val="AERtabletextright"/>
            </w:pPr>
            <w:r w:rsidRPr="00A00171">
              <w:t xml:space="preserve">2017 </w:t>
            </w:r>
          </w:p>
        </w:tc>
      </w:tr>
      <w:tr w:rsidR="00A00171" w:rsidRPr="00B27FF3" w:rsidTr="00500A89">
        <w:tc>
          <w:tcPr>
            <w:tcW w:w="2068" w:type="dxa"/>
          </w:tcPr>
          <w:p w:rsidR="00A00171" w:rsidRPr="00E54682" w:rsidRDefault="00A00171" w:rsidP="002B005E">
            <w:pPr>
              <w:pStyle w:val="AERtabletextleft"/>
            </w:pPr>
            <w:r w:rsidRPr="00E54682">
              <w:t>EGWWS labour</w:t>
            </w:r>
          </w:p>
        </w:tc>
        <w:tc>
          <w:tcPr>
            <w:tcW w:w="1195" w:type="dxa"/>
          </w:tcPr>
          <w:p w:rsidR="00A00171" w:rsidRPr="00E54682" w:rsidRDefault="00A00171" w:rsidP="002B005E">
            <w:pPr>
              <w:pStyle w:val="AERtabletextright"/>
            </w:pPr>
            <w:r w:rsidRPr="00E54682">
              <w:t>2.2</w:t>
            </w:r>
          </w:p>
        </w:tc>
        <w:tc>
          <w:tcPr>
            <w:tcW w:w="1196" w:type="dxa"/>
          </w:tcPr>
          <w:p w:rsidR="00A00171" w:rsidRPr="00E54682" w:rsidRDefault="00A00171" w:rsidP="002B005E">
            <w:pPr>
              <w:pStyle w:val="AERtabletextright"/>
            </w:pPr>
            <w:r w:rsidRPr="00E54682">
              <w:t>0.9</w:t>
            </w:r>
          </w:p>
        </w:tc>
        <w:tc>
          <w:tcPr>
            <w:tcW w:w="1196" w:type="dxa"/>
          </w:tcPr>
          <w:p w:rsidR="00A00171" w:rsidRPr="00E54682" w:rsidRDefault="00A00171" w:rsidP="002B005E">
            <w:pPr>
              <w:pStyle w:val="AERtabletextright"/>
            </w:pPr>
            <w:r w:rsidRPr="00E54682">
              <w:t>0.5</w:t>
            </w:r>
          </w:p>
        </w:tc>
        <w:tc>
          <w:tcPr>
            <w:tcW w:w="1195" w:type="dxa"/>
          </w:tcPr>
          <w:p w:rsidR="00A00171" w:rsidRPr="00E54682" w:rsidRDefault="00A00171" w:rsidP="002B005E">
            <w:pPr>
              <w:pStyle w:val="AERtabletextright"/>
            </w:pPr>
            <w:r w:rsidRPr="00E54682">
              <w:t>1.0</w:t>
            </w:r>
          </w:p>
        </w:tc>
        <w:tc>
          <w:tcPr>
            <w:tcW w:w="1196" w:type="dxa"/>
          </w:tcPr>
          <w:p w:rsidR="00A00171" w:rsidRPr="00E54682" w:rsidRDefault="00A00171" w:rsidP="002B005E">
            <w:pPr>
              <w:pStyle w:val="AERtabletextright"/>
            </w:pPr>
            <w:r w:rsidRPr="00E54682">
              <w:t>1.0</w:t>
            </w:r>
          </w:p>
        </w:tc>
        <w:tc>
          <w:tcPr>
            <w:tcW w:w="1196" w:type="dxa"/>
          </w:tcPr>
          <w:p w:rsidR="00A00171" w:rsidRPr="00E54682" w:rsidRDefault="00A00171" w:rsidP="002B005E">
            <w:pPr>
              <w:pStyle w:val="AERtabletextright"/>
            </w:pPr>
            <w:r w:rsidRPr="00E54682">
              <w:t>0.9</w:t>
            </w:r>
          </w:p>
        </w:tc>
      </w:tr>
    </w:tbl>
    <w:p w:rsidR="00A00171" w:rsidRPr="00E54682" w:rsidRDefault="00A00171" w:rsidP="00A00171">
      <w:pPr>
        <w:pStyle w:val="AERtablesource"/>
      </w:pPr>
      <w:r w:rsidRPr="00E54682">
        <w:t>Source: AER analysis.</w:t>
      </w:r>
    </w:p>
    <w:p w:rsidR="00A00171" w:rsidRPr="00E54682" w:rsidRDefault="00FC0110" w:rsidP="00500A89">
      <w:pPr>
        <w:pStyle w:val="Heading8"/>
      </w:pPr>
      <w:bookmarkStart w:id="7" w:name="_Toc349895723"/>
      <w:bookmarkStart w:id="8" w:name="_Toc349900137"/>
      <w:bookmarkStart w:id="9" w:name="_Toc350422668"/>
      <w:bookmarkStart w:id="10" w:name="_Toc350951028"/>
      <w:r>
        <w:t>Revised</w:t>
      </w:r>
      <w:r w:rsidR="00A00171" w:rsidRPr="00E54682">
        <w:t xml:space="preserve"> proposal</w:t>
      </w:r>
      <w:bookmarkEnd w:id="7"/>
      <w:bookmarkEnd w:id="8"/>
      <w:bookmarkEnd w:id="9"/>
      <w:bookmarkEnd w:id="10"/>
    </w:p>
    <w:p w:rsidR="00A00171" w:rsidRDefault="00A00171" w:rsidP="00A00171">
      <w:pPr>
        <w:pStyle w:val="AERbodytext"/>
        <w:numPr>
          <w:ilvl w:val="0"/>
          <w:numId w:val="13"/>
        </w:numPr>
      </w:pPr>
      <w:r>
        <w:t>In its revised labour cost escalation proposal Multinet proposed the use of an average of Deloitte Access Economics (DAE) and BIS Shrapnel forecasts of changes in the labour price index (LPI) for the Victorian electricity, gas, water and waste services (EGWWS) sector for 2015–2017.</w:t>
      </w:r>
    </w:p>
    <w:p w:rsidR="00A00171" w:rsidRDefault="00A00171" w:rsidP="00A00171">
      <w:pPr>
        <w:pStyle w:val="AERbodytext"/>
        <w:numPr>
          <w:ilvl w:val="0"/>
          <w:numId w:val="13"/>
        </w:numPr>
      </w:pPr>
      <w:r>
        <w:t>Multinet</w:t>
      </w:r>
      <w:r w:rsidRPr="00DE0EA8">
        <w:t xml:space="preserve"> engaged BIS Shrapnel</w:t>
      </w:r>
      <w:r>
        <w:t xml:space="preserve"> and Professor Jeff Borland</w:t>
      </w:r>
      <w:r w:rsidRPr="00DE0EA8">
        <w:t xml:space="preserve"> for advice on labour cost</w:t>
      </w:r>
      <w:r>
        <w:t>s</w:t>
      </w:r>
      <w:r w:rsidRPr="00DE0EA8">
        <w:t xml:space="preserve"> for the 2013–17 access arrangement </w:t>
      </w:r>
      <w:proofErr w:type="gramStart"/>
      <w:r w:rsidRPr="00DE0EA8">
        <w:t>period</w:t>
      </w:r>
      <w:proofErr w:type="gramEnd"/>
      <w:r w:rsidRPr="00DE0EA8">
        <w:t>.</w:t>
      </w:r>
      <w:r>
        <w:t xml:space="preserve"> Based on this advice, Multinet proposed the labour cost escalators in table A.2.</w:t>
      </w:r>
    </w:p>
    <w:p w:rsidR="00A00171" w:rsidRDefault="00A00171" w:rsidP="00A00171">
      <w:pPr>
        <w:pStyle w:val="Caption"/>
      </w:pPr>
      <w:r>
        <w:t xml:space="preserve">Table </w:t>
      </w:r>
      <w:fldSimple w:instr=" STYLEREF 7 \s ">
        <w:r w:rsidR="006B0748">
          <w:rPr>
            <w:noProof/>
          </w:rPr>
          <w:t>A</w:t>
        </w:r>
      </w:fldSimple>
      <w:r>
        <w:t>.</w:t>
      </w:r>
      <w:fldSimple w:instr=" SEQ Table \* ARABIC \s 7 ">
        <w:r w:rsidR="006B0748">
          <w:rPr>
            <w:noProof/>
          </w:rPr>
          <w:t>2</w:t>
        </w:r>
      </w:fldSimple>
      <w:r>
        <w:tab/>
        <w:t>Multinet revised proposal real cost escalators (per cent)</w:t>
      </w:r>
    </w:p>
    <w:tbl>
      <w:tblPr>
        <w:tblStyle w:val="AERtable-text"/>
        <w:tblW w:w="0" w:type="auto"/>
        <w:tblLook w:val="04A0"/>
      </w:tblPr>
      <w:tblGrid>
        <w:gridCol w:w="1809"/>
        <w:gridCol w:w="1238"/>
        <w:gridCol w:w="1239"/>
        <w:gridCol w:w="1239"/>
        <w:gridCol w:w="1239"/>
        <w:gridCol w:w="1239"/>
        <w:gridCol w:w="1239"/>
      </w:tblGrid>
      <w:tr w:rsidR="00A00171" w:rsidRPr="00AF63AC" w:rsidTr="00500A89">
        <w:trPr>
          <w:cnfStyle w:val="100000000000"/>
        </w:trPr>
        <w:tc>
          <w:tcPr>
            <w:tcW w:w="1809" w:type="dxa"/>
          </w:tcPr>
          <w:p w:rsidR="00A00171" w:rsidRPr="00A00171" w:rsidRDefault="00A00171" w:rsidP="002B005E">
            <w:pPr>
              <w:pStyle w:val="AERtabletextleft"/>
            </w:pPr>
          </w:p>
        </w:tc>
        <w:tc>
          <w:tcPr>
            <w:tcW w:w="1238" w:type="dxa"/>
          </w:tcPr>
          <w:p w:rsidR="00A00171" w:rsidRPr="00A00171" w:rsidRDefault="00A00171" w:rsidP="002B005E">
            <w:pPr>
              <w:pStyle w:val="AERtabletextright"/>
            </w:pPr>
            <w:r w:rsidRPr="00A00171">
              <w:t>2012</w:t>
            </w:r>
          </w:p>
        </w:tc>
        <w:tc>
          <w:tcPr>
            <w:tcW w:w="1239" w:type="dxa"/>
          </w:tcPr>
          <w:p w:rsidR="00A00171" w:rsidRPr="00A00171" w:rsidRDefault="00A00171" w:rsidP="002B005E">
            <w:pPr>
              <w:pStyle w:val="AERtabletextright"/>
            </w:pPr>
            <w:r w:rsidRPr="00A00171">
              <w:t>2013</w:t>
            </w:r>
          </w:p>
        </w:tc>
        <w:tc>
          <w:tcPr>
            <w:tcW w:w="1239" w:type="dxa"/>
          </w:tcPr>
          <w:p w:rsidR="00A00171" w:rsidRPr="00A00171" w:rsidRDefault="00A00171" w:rsidP="002B005E">
            <w:pPr>
              <w:pStyle w:val="AERtabletextright"/>
            </w:pPr>
            <w:r w:rsidRPr="00A00171">
              <w:t>2014</w:t>
            </w:r>
          </w:p>
        </w:tc>
        <w:tc>
          <w:tcPr>
            <w:tcW w:w="1239" w:type="dxa"/>
          </w:tcPr>
          <w:p w:rsidR="00A00171" w:rsidRPr="00A00171" w:rsidRDefault="00A00171" w:rsidP="002B005E">
            <w:pPr>
              <w:pStyle w:val="AERtabletextright"/>
            </w:pPr>
            <w:r w:rsidRPr="00A00171">
              <w:t>2015</w:t>
            </w:r>
          </w:p>
        </w:tc>
        <w:tc>
          <w:tcPr>
            <w:tcW w:w="1239" w:type="dxa"/>
          </w:tcPr>
          <w:p w:rsidR="00A00171" w:rsidRPr="00A00171" w:rsidRDefault="00A00171" w:rsidP="002B005E">
            <w:pPr>
              <w:pStyle w:val="AERtabletextright"/>
            </w:pPr>
            <w:r w:rsidRPr="00A00171">
              <w:t>2016</w:t>
            </w:r>
          </w:p>
        </w:tc>
        <w:tc>
          <w:tcPr>
            <w:tcW w:w="1239" w:type="dxa"/>
          </w:tcPr>
          <w:p w:rsidR="00A00171" w:rsidRPr="00A00171" w:rsidRDefault="00A00171" w:rsidP="002B005E">
            <w:pPr>
              <w:pStyle w:val="AERtabletextright"/>
            </w:pPr>
            <w:r w:rsidRPr="00A00171">
              <w:t>2017</w:t>
            </w:r>
          </w:p>
        </w:tc>
      </w:tr>
      <w:tr w:rsidR="00A00171" w:rsidRPr="00197950" w:rsidTr="00500A89">
        <w:tc>
          <w:tcPr>
            <w:tcW w:w="1809" w:type="dxa"/>
          </w:tcPr>
          <w:p w:rsidR="00A00171" w:rsidRPr="00197950" w:rsidRDefault="00A00171" w:rsidP="002B005E">
            <w:pPr>
              <w:pStyle w:val="AERtabletextleft"/>
            </w:pPr>
            <w:r w:rsidRPr="00197950">
              <w:t xml:space="preserve">EGWWS labour </w:t>
            </w:r>
          </w:p>
        </w:tc>
        <w:tc>
          <w:tcPr>
            <w:tcW w:w="1238" w:type="dxa"/>
          </w:tcPr>
          <w:p w:rsidR="00A00171" w:rsidRPr="00197950" w:rsidRDefault="00A00171" w:rsidP="002B005E">
            <w:pPr>
              <w:pStyle w:val="AERtabletextright"/>
            </w:pPr>
            <w:r>
              <w:t>1.4</w:t>
            </w:r>
          </w:p>
        </w:tc>
        <w:tc>
          <w:tcPr>
            <w:tcW w:w="1239" w:type="dxa"/>
          </w:tcPr>
          <w:p w:rsidR="00A00171" w:rsidRPr="00197950" w:rsidRDefault="00A00171" w:rsidP="002B005E">
            <w:pPr>
              <w:pStyle w:val="AERtabletextright"/>
            </w:pPr>
            <w:r>
              <w:t>1.4</w:t>
            </w:r>
          </w:p>
        </w:tc>
        <w:tc>
          <w:tcPr>
            <w:tcW w:w="1239" w:type="dxa"/>
          </w:tcPr>
          <w:p w:rsidR="00A00171" w:rsidRPr="00197950" w:rsidRDefault="00A00171" w:rsidP="002B005E">
            <w:pPr>
              <w:pStyle w:val="AERtabletextright"/>
            </w:pPr>
            <w:r>
              <w:t>1.4</w:t>
            </w:r>
          </w:p>
        </w:tc>
        <w:tc>
          <w:tcPr>
            <w:tcW w:w="1239" w:type="dxa"/>
          </w:tcPr>
          <w:p w:rsidR="00A00171" w:rsidRPr="00197950" w:rsidRDefault="00A00171" w:rsidP="002B005E">
            <w:pPr>
              <w:pStyle w:val="AERtabletextright"/>
            </w:pPr>
            <w:r>
              <w:t>1.4</w:t>
            </w:r>
          </w:p>
        </w:tc>
        <w:tc>
          <w:tcPr>
            <w:tcW w:w="1239" w:type="dxa"/>
          </w:tcPr>
          <w:p w:rsidR="00A00171" w:rsidRPr="00197950" w:rsidRDefault="00A00171" w:rsidP="002B005E">
            <w:pPr>
              <w:pStyle w:val="AERtabletextright"/>
            </w:pPr>
            <w:r>
              <w:t>1.4</w:t>
            </w:r>
          </w:p>
        </w:tc>
        <w:tc>
          <w:tcPr>
            <w:tcW w:w="1239" w:type="dxa"/>
          </w:tcPr>
          <w:p w:rsidR="00A00171" w:rsidRPr="00197950" w:rsidRDefault="00A00171" w:rsidP="002B005E">
            <w:pPr>
              <w:pStyle w:val="AERtabletextright"/>
            </w:pPr>
            <w:r>
              <w:t>1.4</w:t>
            </w:r>
          </w:p>
        </w:tc>
      </w:tr>
    </w:tbl>
    <w:p w:rsidR="00A00171" w:rsidRPr="00E54682" w:rsidRDefault="00A00171" w:rsidP="00500A89">
      <w:pPr>
        <w:pStyle w:val="Heading8"/>
      </w:pPr>
      <w:bookmarkStart w:id="11" w:name="_Toc350422669"/>
      <w:bookmarkStart w:id="12" w:name="_Toc349895724"/>
      <w:bookmarkStart w:id="13" w:name="_Toc349900138"/>
      <w:bookmarkStart w:id="14" w:name="_Toc350422670"/>
      <w:bookmarkStart w:id="15" w:name="_Toc350951029"/>
      <w:bookmarkEnd w:id="11"/>
      <w:r w:rsidRPr="00E54682">
        <w:t>Assessment approach</w:t>
      </w:r>
      <w:bookmarkEnd w:id="12"/>
      <w:bookmarkEnd w:id="13"/>
      <w:bookmarkEnd w:id="14"/>
      <w:bookmarkEnd w:id="15"/>
    </w:p>
    <w:p w:rsidR="00A00171" w:rsidRDefault="00A00171" w:rsidP="00A00171">
      <w:pPr>
        <w:pStyle w:val="AERbodytext"/>
        <w:numPr>
          <w:ilvl w:val="0"/>
          <w:numId w:val="13"/>
        </w:numPr>
      </w:pPr>
      <w:r w:rsidRPr="002F5C06">
        <w:t xml:space="preserve">The AER </w:t>
      </w:r>
      <w:r>
        <w:t>used the same</w:t>
      </w:r>
      <w:r w:rsidRPr="002F5C06">
        <w:t xml:space="preserve"> assessment approach </w:t>
      </w:r>
      <w:r>
        <w:t xml:space="preserve">as for </w:t>
      </w:r>
      <w:r w:rsidRPr="002F5C06">
        <w:t>its draft decision. The AE</w:t>
      </w:r>
      <w:r>
        <w:t>R’s assessment approach for real cost escalation</w:t>
      </w:r>
      <w:r w:rsidRPr="002F5C06">
        <w:t xml:space="preserve"> is set out in </w:t>
      </w:r>
      <w:r>
        <w:t>appendix C</w:t>
      </w:r>
      <w:r w:rsidRPr="002F5C06">
        <w:t xml:space="preserve"> of the AER’s draft decision.</w:t>
      </w:r>
      <w:r>
        <w:rPr>
          <w:rStyle w:val="FootnoteReference"/>
        </w:rPr>
        <w:footnoteReference w:id="5"/>
      </w:r>
      <w:r>
        <w:t xml:space="preserve"> </w:t>
      </w:r>
    </w:p>
    <w:p w:rsidR="00A00171" w:rsidRDefault="00A00171" w:rsidP="00A00171">
      <w:pPr>
        <w:pStyle w:val="AERbodytext"/>
        <w:numPr>
          <w:ilvl w:val="0"/>
          <w:numId w:val="13"/>
        </w:numPr>
      </w:pPr>
      <w:r>
        <w:t>In undertaking this assessment the AER considered the following information which it received following its draft decision:</w:t>
      </w:r>
    </w:p>
    <w:p w:rsidR="00A00171" w:rsidRPr="00995952" w:rsidRDefault="00A00171" w:rsidP="00A00171">
      <w:pPr>
        <w:pStyle w:val="AERbulletlistfirststyle"/>
      </w:pPr>
      <w:r w:rsidRPr="00995952">
        <w:t>revised labour cost forecasts from BIS Shrapnel</w:t>
      </w:r>
      <w:r>
        <w:t>,</w:t>
      </w:r>
      <w:r w:rsidRPr="00995952">
        <w:rPr>
          <w:rStyle w:val="FootnoteReference"/>
        </w:rPr>
        <w:footnoteReference w:id="6"/>
      </w:r>
      <w:r w:rsidRPr="00995952">
        <w:t xml:space="preserve"> commissioned by Envestra, Multinet and SP AusNet</w:t>
      </w:r>
      <w:r>
        <w:t>,</w:t>
      </w:r>
      <w:r w:rsidRPr="00995952">
        <w:t xml:space="preserve"> and DAE commissioned by the AER</w:t>
      </w:r>
      <w:r w:rsidRPr="00995952">
        <w:rPr>
          <w:rStyle w:val="FootnoteReference"/>
        </w:rPr>
        <w:footnoteReference w:id="7"/>
      </w:r>
      <w:r w:rsidRPr="00995952">
        <w:t xml:space="preserve"> reflecting updated economic data</w:t>
      </w:r>
    </w:p>
    <w:p w:rsidR="00A00171" w:rsidRPr="00995952" w:rsidRDefault="00A00171" w:rsidP="00A00171">
      <w:pPr>
        <w:pStyle w:val="AERbulletlistfirststyle"/>
      </w:pPr>
      <w:r w:rsidRPr="00995952">
        <w:t>Professor Borland's recommendations commissioned by Envestra, Multinet, SP AusNet and APA GasNet for forecasting the wage price index (WPI)/LPI</w:t>
      </w:r>
      <w:r w:rsidRPr="00995952">
        <w:rPr>
          <w:rStyle w:val="FootnoteReference"/>
        </w:rPr>
        <w:footnoteReference w:id="8"/>
      </w:r>
    </w:p>
    <w:p w:rsidR="00A00171" w:rsidRPr="00995952" w:rsidRDefault="00A00171" w:rsidP="00A00171">
      <w:pPr>
        <w:pStyle w:val="AERbulletlistfirststyle"/>
      </w:pPr>
      <w:proofErr w:type="gramStart"/>
      <w:r w:rsidRPr="00995952">
        <w:t>a</w:t>
      </w:r>
      <w:proofErr w:type="gramEnd"/>
      <w:r w:rsidRPr="00995952">
        <w:t xml:space="preserve"> response report by the Energy Users Coalition of Victoria (EUCV) on the AER's draft decision.</w:t>
      </w:r>
      <w:r w:rsidRPr="00995952">
        <w:rPr>
          <w:rStyle w:val="FootnoteReference"/>
        </w:rPr>
        <w:t xml:space="preserve"> </w:t>
      </w:r>
      <w:r w:rsidRPr="00995952">
        <w:rPr>
          <w:rStyle w:val="FootnoteReference"/>
        </w:rPr>
        <w:footnoteReference w:id="9"/>
      </w:r>
    </w:p>
    <w:p w:rsidR="00A00171" w:rsidRDefault="00A00171" w:rsidP="00850129">
      <w:pPr>
        <w:pStyle w:val="Heading8"/>
      </w:pPr>
      <w:bookmarkStart w:id="16" w:name="_Toc349895725"/>
      <w:bookmarkStart w:id="17" w:name="_Toc349900139"/>
      <w:bookmarkStart w:id="18" w:name="_Toc350422671"/>
      <w:bookmarkStart w:id="19" w:name="_Toc350951030"/>
      <w:r>
        <w:t>Reasons for final decision</w:t>
      </w:r>
      <w:bookmarkEnd w:id="16"/>
      <w:bookmarkEnd w:id="17"/>
      <w:bookmarkEnd w:id="18"/>
      <w:bookmarkEnd w:id="19"/>
    </w:p>
    <w:p w:rsidR="00A00171" w:rsidRDefault="00A00171" w:rsidP="00A00171">
      <w:pPr>
        <w:pStyle w:val="AERbodytext"/>
        <w:numPr>
          <w:ilvl w:val="0"/>
          <w:numId w:val="13"/>
        </w:numPr>
      </w:pPr>
      <w:r>
        <w:t>The AER's final</w:t>
      </w:r>
      <w:r w:rsidRPr="00DD7EFC">
        <w:t xml:space="preserve"> decision is not to approve </w:t>
      </w:r>
      <w:r>
        <w:t>Multinet's</w:t>
      </w:r>
      <w:r w:rsidRPr="00DD7EFC">
        <w:t xml:space="preserve"> proposed labour cost escalators. The AER considers that applying </w:t>
      </w:r>
      <w:r>
        <w:t xml:space="preserve">Multinet's </w:t>
      </w:r>
      <w:r w:rsidRPr="00DD7EFC">
        <w:t>proposed escalators will not result in forecast opex and capex that are arrived at on a reasonable basis, or provide the best possible forecasts of opex and capex in the circumstances.</w:t>
      </w:r>
      <w:r>
        <w:rPr>
          <w:rStyle w:val="FootnoteReference"/>
        </w:rPr>
        <w:footnoteReference w:id="10"/>
      </w:r>
      <w:r w:rsidRPr="00DD7EFC">
        <w:t xml:space="preserve"> </w:t>
      </w:r>
    </w:p>
    <w:p w:rsidR="00A00171" w:rsidRDefault="00A00171" w:rsidP="00A00171">
      <w:pPr>
        <w:pStyle w:val="AERbodytext"/>
        <w:numPr>
          <w:ilvl w:val="0"/>
          <w:numId w:val="13"/>
        </w:numPr>
      </w:pPr>
      <w:r>
        <w:t xml:space="preserve">The AER considers DAE's forecast of the LPI represents the best possible forecast of real cost escalations in the circumstances and is arrived at on a reasonable basis.  It takes into account that Multinet has not provided a productivity adjustment to its labour cost escalation forecasts. </w:t>
      </w:r>
    </w:p>
    <w:p w:rsidR="00A00171" w:rsidRDefault="00A00171" w:rsidP="00850129">
      <w:pPr>
        <w:pStyle w:val="Heading9"/>
      </w:pPr>
      <w:r>
        <w:t>The choice of labour price measure and use of productivity adjustments</w:t>
      </w:r>
    </w:p>
    <w:p w:rsidR="00A00171" w:rsidRDefault="00A00171" w:rsidP="00A00171">
      <w:pPr>
        <w:pStyle w:val="AERbodytext"/>
        <w:numPr>
          <w:ilvl w:val="0"/>
          <w:numId w:val="13"/>
        </w:numPr>
      </w:pPr>
      <w:r>
        <w:t>In the draft decision the AER rejected Multinet's use of productivity adjusted average weekly ordinary time earnings (AWOTE) and applied an unadjusted LPI forecast by DAE.</w:t>
      </w:r>
    </w:p>
    <w:p w:rsidR="00A00171" w:rsidRDefault="00A00171" w:rsidP="00A00171">
      <w:pPr>
        <w:pStyle w:val="AERbodytext"/>
        <w:numPr>
          <w:ilvl w:val="0"/>
          <w:numId w:val="13"/>
        </w:numPr>
      </w:pPr>
      <w:r>
        <w:t xml:space="preserve">The AER noted the difficulty in accurately forecasting the change in labour productivity using the standard Australian Bureau of Statistics (ABS) measures of labour productivity for the EGWWS sector as the reason for not applying a labour productivity adjustment. </w:t>
      </w:r>
    </w:p>
    <w:p w:rsidR="00A00171" w:rsidRPr="00165DC9" w:rsidRDefault="00A00171" w:rsidP="00A00171">
      <w:pPr>
        <w:pStyle w:val="AERbodytext"/>
        <w:numPr>
          <w:ilvl w:val="0"/>
          <w:numId w:val="13"/>
        </w:numPr>
      </w:pPr>
      <w:r>
        <w:t>As in its draft decision, the AER considers in its final decision the best forecast of labour costs to be the one that most accurately measures the change in the labour price adjusted for labour productivity. The AER considers the best forecast of labour cost escalation in the circumstances is DAE's LPI.</w:t>
      </w:r>
    </w:p>
    <w:p w:rsidR="00A00171" w:rsidRDefault="00A00171" w:rsidP="00500A89">
      <w:pPr>
        <w:pStyle w:val="HeadingBoldBlue"/>
      </w:pPr>
      <w:r>
        <w:t>Materiality of quality adjusted labour productivity</w:t>
      </w:r>
    </w:p>
    <w:p w:rsidR="00A00171" w:rsidRPr="008C239E" w:rsidRDefault="00A00171" w:rsidP="00A00171">
      <w:pPr>
        <w:pStyle w:val="AERbodytext"/>
        <w:numPr>
          <w:ilvl w:val="0"/>
          <w:numId w:val="13"/>
        </w:numPr>
      </w:pPr>
      <w:r>
        <w:t>The AER considers l</w:t>
      </w:r>
      <w:r w:rsidRPr="008C239E">
        <w:t xml:space="preserve">abour prices should be adjusted for labour productivity improvements to show the impact on labour costs. The quality adjusted labour productivity measure is the appropriate measure to adjust the LPI. </w:t>
      </w:r>
      <w:r>
        <w:t>This is because q</w:t>
      </w:r>
      <w:r w:rsidRPr="008C239E">
        <w:t>uality adjusted labour productivity is largely driven by worker productivity and does not include compositional productivity. The AER considers quality adjusted labour product</w:t>
      </w:r>
      <w:r>
        <w:t>ivity to be material based on the AER's analysis of the ABS data and Professor Borland's productivity data.</w:t>
      </w:r>
    </w:p>
    <w:p w:rsidR="00A00171" w:rsidRDefault="00A00171" w:rsidP="00A00171">
      <w:pPr>
        <w:pStyle w:val="AERbodytext"/>
        <w:numPr>
          <w:ilvl w:val="0"/>
          <w:numId w:val="13"/>
        </w:numPr>
      </w:pPr>
      <w:r w:rsidRPr="008C239E">
        <w:t xml:space="preserve">In the draft decision the AER considered current estimates of the ABS measure of labour productivity in the utilities industry were </w:t>
      </w:r>
      <w:r>
        <w:t>subject to estimation difficulties</w:t>
      </w:r>
      <w:r w:rsidRPr="008C239E">
        <w:t>.</w:t>
      </w:r>
      <w:r w:rsidRPr="008C239E">
        <w:rPr>
          <w:rStyle w:val="FootnoteReference"/>
        </w:rPr>
        <w:footnoteReference w:id="11"/>
      </w:r>
      <w:r w:rsidRPr="008C239E">
        <w:t xml:space="preserve"> BIS Shrapnel and DAE produced conflicting labour productivity forecasts for the 2013–2017 </w:t>
      </w:r>
      <w:r>
        <w:t>a</w:t>
      </w:r>
      <w:r w:rsidRPr="008C239E">
        <w:t xml:space="preserve">ccess </w:t>
      </w:r>
      <w:r>
        <w:t>a</w:t>
      </w:r>
      <w:r w:rsidRPr="008C239E">
        <w:t xml:space="preserve">rrangement </w:t>
      </w:r>
      <w:proofErr w:type="gramStart"/>
      <w:r w:rsidRPr="008C239E">
        <w:t>period</w:t>
      </w:r>
      <w:proofErr w:type="gramEnd"/>
      <w:r w:rsidRPr="008C239E">
        <w:t>. For these reasons the AER did not apply a matching labour productivity adjustment to the LPI forecasts in the draft decision. However the AER considers that labour productivity and worker productivity improves over</w:t>
      </w:r>
      <w:r>
        <w:t xml:space="preserve"> </w:t>
      </w:r>
      <w:r w:rsidRPr="008C239E">
        <w:t xml:space="preserve">time and labour price measures should be adjusted for labour productivity if reasonable data is available. </w:t>
      </w:r>
    </w:p>
    <w:p w:rsidR="00A00171" w:rsidRPr="008C239E" w:rsidRDefault="00A00171" w:rsidP="00A00171">
      <w:pPr>
        <w:pStyle w:val="AERbodytext"/>
        <w:numPr>
          <w:ilvl w:val="0"/>
          <w:numId w:val="13"/>
        </w:numPr>
      </w:pPr>
      <w:r>
        <w:t>The EUCV submitted in response to the AER's draft decision, that labour cost escalations should be adjusted for labour productivity and that by excluding productivity adjustments on the basis that it is difficult to not be reasonable.</w:t>
      </w:r>
      <w:r>
        <w:rPr>
          <w:rStyle w:val="FootnoteReference"/>
        </w:rPr>
        <w:footnoteReference w:id="12"/>
      </w:r>
      <w:r>
        <w:t xml:space="preserve"> </w:t>
      </w:r>
    </w:p>
    <w:p w:rsidR="00A00171" w:rsidRPr="008C239E" w:rsidRDefault="00A00171" w:rsidP="00A00171">
      <w:pPr>
        <w:pStyle w:val="AERbodytext"/>
        <w:numPr>
          <w:ilvl w:val="0"/>
          <w:numId w:val="13"/>
        </w:numPr>
      </w:pPr>
      <w:r w:rsidRPr="008C239E">
        <w:t>Professor Borland stated any adjustment to LPI for changes in labour productivity should be minimal because the largest share of changes to labour productivity is explained by composition</w:t>
      </w:r>
      <w:r>
        <w:t>al</w:t>
      </w:r>
      <w:r w:rsidRPr="008C239E">
        <w:t xml:space="preserve"> productivity effects. Consequently the adjusted measure of labour productivity that would be subtracted from forecast changes to LPI is very small.</w:t>
      </w:r>
      <w:r w:rsidRPr="008C239E">
        <w:rPr>
          <w:rStyle w:val="FootnoteReference"/>
        </w:rPr>
        <w:footnoteReference w:id="13"/>
      </w:r>
    </w:p>
    <w:p w:rsidR="00A00171" w:rsidRPr="008C239E" w:rsidRDefault="00A00171" w:rsidP="00A00171">
      <w:pPr>
        <w:pStyle w:val="AERbodytext"/>
        <w:numPr>
          <w:ilvl w:val="0"/>
          <w:numId w:val="13"/>
        </w:numPr>
      </w:pPr>
      <w:r w:rsidRPr="008C239E">
        <w:t>Professor Borland's empirical analysis of data at the national level is shown in</w:t>
      </w:r>
      <w:r>
        <w:t xml:space="preserve"> table A.3</w:t>
      </w:r>
      <w:r w:rsidRPr="008C239E">
        <w:t>.</w:t>
      </w:r>
    </w:p>
    <w:p w:rsidR="00A00171" w:rsidRPr="008C239E" w:rsidRDefault="00A00171" w:rsidP="00A00171">
      <w:pPr>
        <w:pStyle w:val="Caption"/>
      </w:pPr>
      <w:r w:rsidRPr="004C2D4C">
        <w:t xml:space="preserve">Table </w:t>
      </w:r>
      <w:fldSimple w:instr=" STYLEREF 7 \s ">
        <w:r w:rsidR="006B0748">
          <w:rPr>
            <w:noProof/>
          </w:rPr>
          <w:t>A</w:t>
        </w:r>
      </w:fldSimple>
      <w:r w:rsidRPr="004C2D4C">
        <w:t>.</w:t>
      </w:r>
      <w:fldSimple w:instr=" SEQ Table \* ARABIC \s 7 ">
        <w:r w:rsidR="006B0748">
          <w:rPr>
            <w:noProof/>
          </w:rPr>
          <w:t>3</w:t>
        </w:r>
      </w:fldSimple>
      <w:r>
        <w:tab/>
      </w:r>
      <w:r w:rsidRPr="008C239E">
        <w:t>Professor Borland's empirical analysis on the average annual rate of change</w:t>
      </w:r>
      <w:r>
        <w:t xml:space="preserve"> (per cent)</w:t>
      </w:r>
    </w:p>
    <w:tbl>
      <w:tblPr>
        <w:tblStyle w:val="AERtable-text"/>
        <w:tblW w:w="5000" w:type="pct"/>
        <w:tblLook w:val="04A0"/>
      </w:tblPr>
      <w:tblGrid>
        <w:gridCol w:w="3304"/>
        <w:gridCol w:w="2969"/>
        <w:gridCol w:w="2969"/>
      </w:tblGrid>
      <w:tr w:rsidR="00A00171" w:rsidRPr="00A21C38" w:rsidTr="00500A89">
        <w:trPr>
          <w:cnfStyle w:val="100000000000"/>
        </w:trPr>
        <w:tc>
          <w:tcPr>
            <w:tcW w:w="1788" w:type="pct"/>
          </w:tcPr>
          <w:p w:rsidR="00A00171" w:rsidRPr="00A00171" w:rsidRDefault="00A00171" w:rsidP="002B005E">
            <w:pPr>
              <w:pStyle w:val="AERtabletextright"/>
            </w:pPr>
          </w:p>
        </w:tc>
        <w:tc>
          <w:tcPr>
            <w:tcW w:w="1606" w:type="pct"/>
          </w:tcPr>
          <w:p w:rsidR="00A00171" w:rsidRPr="00A00171" w:rsidRDefault="00A00171" w:rsidP="002B005E">
            <w:pPr>
              <w:pStyle w:val="AERtabletextright"/>
            </w:pPr>
            <w:r w:rsidRPr="00A00171">
              <w:t>1997-98 to 2009-10</w:t>
            </w:r>
            <w:r w:rsidRPr="00A00171">
              <w:rPr>
                <w:rStyle w:val="FootnoteReference"/>
              </w:rPr>
              <w:footnoteReference w:id="14"/>
            </w:r>
          </w:p>
        </w:tc>
        <w:tc>
          <w:tcPr>
            <w:tcW w:w="1606" w:type="pct"/>
          </w:tcPr>
          <w:p w:rsidR="00A00171" w:rsidRPr="00A00171" w:rsidRDefault="00A00171" w:rsidP="002B005E">
            <w:pPr>
              <w:pStyle w:val="AERtabletextright"/>
            </w:pPr>
            <w:r w:rsidRPr="00A00171">
              <w:t>1997-98 to 2010-2011</w:t>
            </w:r>
            <w:r w:rsidRPr="00A00171">
              <w:rPr>
                <w:rStyle w:val="FootnoteReference"/>
              </w:rPr>
              <w:footnoteReference w:id="15"/>
            </w:r>
          </w:p>
        </w:tc>
      </w:tr>
      <w:tr w:rsidR="00A00171" w:rsidTr="00500A89">
        <w:tc>
          <w:tcPr>
            <w:tcW w:w="1788" w:type="pct"/>
          </w:tcPr>
          <w:p w:rsidR="00A00171" w:rsidRPr="008C239E" w:rsidRDefault="00A00171" w:rsidP="002B005E">
            <w:pPr>
              <w:pStyle w:val="AERtabletextleft"/>
            </w:pPr>
            <w:r w:rsidRPr="008C239E">
              <w:t>Labour productivity</w:t>
            </w:r>
          </w:p>
        </w:tc>
        <w:tc>
          <w:tcPr>
            <w:tcW w:w="1606" w:type="pct"/>
          </w:tcPr>
          <w:p w:rsidR="00A00171" w:rsidRPr="008C239E" w:rsidRDefault="00A00171" w:rsidP="002B005E">
            <w:pPr>
              <w:pStyle w:val="AERtabletextright"/>
            </w:pPr>
            <w:r w:rsidRPr="008C239E">
              <w:t>1.55</w:t>
            </w:r>
          </w:p>
        </w:tc>
        <w:tc>
          <w:tcPr>
            <w:tcW w:w="1606" w:type="pct"/>
          </w:tcPr>
          <w:p w:rsidR="00A00171" w:rsidRPr="008C239E" w:rsidRDefault="00A00171" w:rsidP="002B005E">
            <w:pPr>
              <w:pStyle w:val="AERtabletextright"/>
            </w:pPr>
            <w:r w:rsidRPr="008C239E">
              <w:t>1.35</w:t>
            </w:r>
          </w:p>
        </w:tc>
      </w:tr>
      <w:tr w:rsidR="00A00171" w:rsidTr="00500A89">
        <w:trPr>
          <w:cnfStyle w:val="000000010000"/>
        </w:trPr>
        <w:tc>
          <w:tcPr>
            <w:tcW w:w="1788" w:type="pct"/>
          </w:tcPr>
          <w:p w:rsidR="00A00171" w:rsidRPr="008C239E" w:rsidRDefault="00A00171" w:rsidP="002B005E">
            <w:pPr>
              <w:pStyle w:val="AERtabletextleft"/>
            </w:pPr>
            <w:r w:rsidRPr="008C239E">
              <w:t>LPI</w:t>
            </w:r>
          </w:p>
        </w:tc>
        <w:tc>
          <w:tcPr>
            <w:tcW w:w="1606" w:type="pct"/>
          </w:tcPr>
          <w:p w:rsidR="00A00171" w:rsidRPr="008C239E" w:rsidRDefault="00A00171" w:rsidP="002B005E">
            <w:pPr>
              <w:pStyle w:val="AERtabletextright"/>
            </w:pPr>
            <w:r w:rsidRPr="008C239E">
              <w:t>3.60</w:t>
            </w:r>
          </w:p>
        </w:tc>
        <w:tc>
          <w:tcPr>
            <w:tcW w:w="1606" w:type="pct"/>
          </w:tcPr>
          <w:p w:rsidR="00A00171" w:rsidRPr="008C239E" w:rsidRDefault="00A00171" w:rsidP="002B005E">
            <w:pPr>
              <w:pStyle w:val="AERtabletextright"/>
            </w:pPr>
            <w:r w:rsidRPr="008C239E">
              <w:t>3.60</w:t>
            </w:r>
          </w:p>
        </w:tc>
      </w:tr>
      <w:tr w:rsidR="00A00171" w:rsidTr="00500A89">
        <w:tc>
          <w:tcPr>
            <w:tcW w:w="1788" w:type="pct"/>
          </w:tcPr>
          <w:p w:rsidR="00A00171" w:rsidRPr="008C239E" w:rsidRDefault="00A00171" w:rsidP="002B005E">
            <w:pPr>
              <w:pStyle w:val="AERtabletextleft"/>
            </w:pPr>
            <w:r w:rsidRPr="008C239E">
              <w:t>AWOTE</w:t>
            </w:r>
          </w:p>
        </w:tc>
        <w:tc>
          <w:tcPr>
            <w:tcW w:w="1606" w:type="pct"/>
          </w:tcPr>
          <w:p w:rsidR="00A00171" w:rsidRPr="008C239E" w:rsidRDefault="00A00171" w:rsidP="002B005E">
            <w:pPr>
              <w:pStyle w:val="AERtabletextright"/>
            </w:pPr>
            <w:r w:rsidRPr="008C239E">
              <w:t>4.55</w:t>
            </w:r>
          </w:p>
        </w:tc>
        <w:tc>
          <w:tcPr>
            <w:tcW w:w="1606" w:type="pct"/>
          </w:tcPr>
          <w:p w:rsidR="00A00171" w:rsidRPr="008C239E" w:rsidRDefault="00A00171" w:rsidP="002B005E">
            <w:pPr>
              <w:pStyle w:val="AERtabletextright"/>
            </w:pPr>
            <w:r w:rsidRPr="008C239E">
              <w:t>4.60</w:t>
            </w:r>
          </w:p>
        </w:tc>
      </w:tr>
      <w:tr w:rsidR="00A00171" w:rsidTr="00500A89">
        <w:trPr>
          <w:cnfStyle w:val="000000010000"/>
        </w:trPr>
        <w:tc>
          <w:tcPr>
            <w:tcW w:w="1788" w:type="pct"/>
          </w:tcPr>
          <w:p w:rsidR="00A00171" w:rsidRPr="008C239E" w:rsidRDefault="00A00171" w:rsidP="002B005E">
            <w:pPr>
              <w:pStyle w:val="AERtabletextleft"/>
            </w:pPr>
            <w:r w:rsidRPr="008C239E">
              <w:t>CPI</w:t>
            </w:r>
          </w:p>
        </w:tc>
        <w:tc>
          <w:tcPr>
            <w:tcW w:w="1606" w:type="pct"/>
          </w:tcPr>
          <w:p w:rsidR="00A00171" w:rsidRPr="008C239E" w:rsidRDefault="00A00171" w:rsidP="002B005E">
            <w:pPr>
              <w:pStyle w:val="AERtabletextright"/>
            </w:pPr>
            <w:r w:rsidRPr="008C239E">
              <w:t>2.90</w:t>
            </w:r>
          </w:p>
        </w:tc>
        <w:tc>
          <w:tcPr>
            <w:tcW w:w="1606" w:type="pct"/>
          </w:tcPr>
          <w:p w:rsidR="00A00171" w:rsidRPr="008C239E" w:rsidRDefault="00A00171" w:rsidP="002B005E">
            <w:pPr>
              <w:pStyle w:val="AERtabletextright"/>
            </w:pPr>
            <w:r w:rsidRPr="008C239E">
              <w:t>3.05</w:t>
            </w:r>
          </w:p>
        </w:tc>
      </w:tr>
    </w:tbl>
    <w:p w:rsidR="00A00171" w:rsidRPr="008C239E" w:rsidRDefault="00A00171" w:rsidP="00A00171">
      <w:pPr>
        <w:pStyle w:val="AERtablesource"/>
      </w:pPr>
      <w:r w:rsidRPr="008C239E">
        <w:t xml:space="preserve">Source: </w:t>
      </w:r>
      <w:r w:rsidRPr="008C239E">
        <w:tab/>
        <w:t>Professor Jeff Borland, Labour cost escalation: Choosing between AWOTE and LPI Report for Envestra Limited, March 2012</w:t>
      </w:r>
    </w:p>
    <w:p w:rsidR="00A00171" w:rsidRPr="008C239E" w:rsidRDefault="00A00171" w:rsidP="00A00171">
      <w:pPr>
        <w:pStyle w:val="AERbodytext"/>
        <w:numPr>
          <w:ilvl w:val="0"/>
          <w:numId w:val="13"/>
        </w:numPr>
      </w:pPr>
      <w:r w:rsidRPr="008C239E">
        <w:t xml:space="preserve">In his analysis Professor Borland considers </w:t>
      </w:r>
      <w:r>
        <w:t xml:space="preserve">at the national level </w:t>
      </w:r>
      <w:r w:rsidRPr="008C239E">
        <w:t>the composition</w:t>
      </w:r>
      <w:r>
        <w:t>al</w:t>
      </w:r>
      <w:r w:rsidRPr="008C239E">
        <w:t xml:space="preserve"> productivity effect can be inferred to be around one per cent by taking the difference between the AWOTE and LPI.</w:t>
      </w:r>
      <w:r w:rsidRPr="008C239E">
        <w:rPr>
          <w:rStyle w:val="FootnoteReference"/>
        </w:rPr>
        <w:footnoteReference w:id="16"/>
      </w:r>
      <w:r w:rsidRPr="008C239E">
        <w:t xml:space="preserve"> </w:t>
      </w:r>
    </w:p>
    <w:p w:rsidR="00A00171" w:rsidRPr="008C239E" w:rsidRDefault="00A00171" w:rsidP="00A00171">
      <w:pPr>
        <w:pStyle w:val="AERbodytext"/>
        <w:numPr>
          <w:ilvl w:val="0"/>
          <w:numId w:val="13"/>
        </w:numPr>
      </w:pPr>
      <w:r w:rsidRPr="008C239E">
        <w:t>Expanding on Professor Borland's analysis the AER considers the change in quality adjusted labour productivity can be calculated by:</w:t>
      </w:r>
    </w:p>
    <w:p w:rsidR="00A00171" w:rsidRPr="008C239E" w:rsidRDefault="00A00171" w:rsidP="00A00171">
      <w:pPr>
        <w:pStyle w:val="AERbulletlistfirststyle"/>
      </w:pPr>
      <w:r w:rsidRPr="008C239E">
        <w:t>Δ Labour productivity + ΔLPI – ΔAWOTE</w:t>
      </w:r>
    </w:p>
    <w:p w:rsidR="00A00171" w:rsidRPr="00A00171" w:rsidRDefault="00A00171" w:rsidP="001215A4">
      <w:pPr>
        <w:pStyle w:val="AERbodytext"/>
      </w:pPr>
      <w:r w:rsidRPr="008C239E">
        <w:t>This would imply a quality adjusted labour productivity value between 0.6</w:t>
      </w:r>
      <w:r w:rsidRPr="00A00171">
        <w:t xml:space="preserve">0 using Professor Borland's original data and 0.35 using Professor Borland's updated data submitted in the businesses' initial proposal. The AER notes however the AWOTE and the LPI published by the ABS are not from the same source so the two series may not be consistent with each other. The AWOTE may capture wage changes due to other factors such as change in average number of hours worked in a week. </w:t>
      </w:r>
    </w:p>
    <w:p w:rsidR="00A00171" w:rsidRPr="008C239E" w:rsidRDefault="00A00171" w:rsidP="00A00171">
      <w:r w:rsidRPr="008C239E">
        <w:t>Th</w:t>
      </w:r>
      <w:r>
        <w:t xml:space="preserve">e AER has also examined quality </w:t>
      </w:r>
      <w:r w:rsidRPr="008C239E">
        <w:t>adjusted measures of labour inputs and labour productivity for the market sector published by the ABS.</w:t>
      </w:r>
      <w:r w:rsidRPr="008C239E">
        <w:rPr>
          <w:rStyle w:val="FootnoteReference"/>
        </w:rPr>
        <w:footnoteReference w:id="17"/>
      </w:r>
      <w:r w:rsidRPr="008C239E">
        <w:t xml:space="preserve"> The change in the aggregate quality of labour due to compositional changes is captured in the measure of labour inputs so that the compositional productivity effect is not ascribed to the productivity measure. </w:t>
      </w:r>
      <w:r w:rsidR="00850129">
        <w:t>Figure A.1</w:t>
      </w:r>
      <w:r w:rsidRPr="008C239E">
        <w:t xml:space="preserve"> shows the year on year change in labour productivity and quality adjusted labour productivity from June 1996 to June 2012.</w:t>
      </w:r>
    </w:p>
    <w:p w:rsidR="00A00171" w:rsidRPr="008C239E" w:rsidRDefault="00A00171" w:rsidP="00A00171">
      <w:pPr>
        <w:pStyle w:val="Caption"/>
      </w:pPr>
      <w:bookmarkStart w:id="20" w:name="_Ref342313636"/>
      <w:r>
        <w:t xml:space="preserve">Figure </w:t>
      </w:r>
      <w:fldSimple w:instr=" STYLEREF 7 \s ">
        <w:r w:rsidR="006B0748">
          <w:rPr>
            <w:noProof/>
          </w:rPr>
          <w:t>A</w:t>
        </w:r>
      </w:fldSimple>
      <w:r>
        <w:t>.</w:t>
      </w:r>
      <w:fldSimple w:instr=" SEQ AFigure \* ARABIC \s 7 ">
        <w:r w:rsidR="006B0748">
          <w:rPr>
            <w:noProof/>
          </w:rPr>
          <w:t>1</w:t>
        </w:r>
      </w:fldSimple>
      <w:r w:rsidRPr="008C239E">
        <w:tab/>
        <w:t>Comparison of market sector labour productivity indexes</w:t>
      </w:r>
      <w:bookmarkEnd w:id="20"/>
    </w:p>
    <w:p w:rsidR="00A00171" w:rsidRPr="008C239E" w:rsidRDefault="00A00171" w:rsidP="00A00171">
      <w:r w:rsidRPr="00A00171">
        <w:rPr>
          <w:noProof/>
          <w:lang w:eastAsia="en-AU"/>
        </w:rPr>
        <w:drawing>
          <wp:inline distT="0" distB="0" distL="0" distR="0">
            <wp:extent cx="5901055" cy="3604260"/>
            <wp:effectExtent l="0" t="0" r="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0171" w:rsidRPr="008C239E" w:rsidRDefault="00A00171" w:rsidP="00A00171">
      <w:pPr>
        <w:pStyle w:val="AERtablesource"/>
      </w:pPr>
      <w:r w:rsidRPr="008C239E">
        <w:t>Source: ABS, 5204.0, Table 13 Productivity in the market sector</w:t>
      </w:r>
    </w:p>
    <w:p w:rsidR="00A00171" w:rsidRPr="008C239E" w:rsidRDefault="00A00171" w:rsidP="00A00171">
      <w:pPr>
        <w:pStyle w:val="AERbodytext"/>
        <w:numPr>
          <w:ilvl w:val="0"/>
          <w:numId w:val="13"/>
        </w:numPr>
      </w:pPr>
      <w:r w:rsidRPr="008C239E">
        <w:t xml:space="preserve">The ABS data indicates the long-run average quality adjusted labour productivity at the market sector level is 1.78 per cent which makes up a significant proportion of the 2.17 per cent for the long-run labour productivity. </w:t>
      </w:r>
    </w:p>
    <w:p w:rsidR="00A00171" w:rsidRPr="008C239E" w:rsidRDefault="00A00171" w:rsidP="00A00171">
      <w:pPr>
        <w:pStyle w:val="AERbodytext"/>
        <w:numPr>
          <w:ilvl w:val="0"/>
          <w:numId w:val="13"/>
        </w:numPr>
      </w:pPr>
      <w:r w:rsidRPr="008C239E">
        <w:t>Based on this data, DAE considered the overall impact</w:t>
      </w:r>
      <w:r>
        <w:t xml:space="preserve"> </w:t>
      </w:r>
      <w:r w:rsidRPr="008C239E">
        <w:t xml:space="preserve">of compositional productivity </w:t>
      </w:r>
      <w:r>
        <w:t xml:space="preserve">at the national level </w:t>
      </w:r>
      <w:r w:rsidRPr="008C239E">
        <w:t>is not large. DAE also considers the difference between the two series is decreasing over</w:t>
      </w:r>
      <w:r>
        <w:t xml:space="preserve"> </w:t>
      </w:r>
      <w:r w:rsidRPr="008C239E">
        <w:t>time indicating a decline in the growth of compositional productivity.</w:t>
      </w:r>
      <w:r w:rsidRPr="008C239E">
        <w:rPr>
          <w:rStyle w:val="FootnoteReference"/>
        </w:rPr>
        <w:footnoteReference w:id="18"/>
      </w:r>
    </w:p>
    <w:p w:rsidR="00A00171" w:rsidRPr="00BB2818" w:rsidRDefault="00A00171" w:rsidP="00A00171">
      <w:pPr>
        <w:pStyle w:val="AERbodytext"/>
        <w:numPr>
          <w:ilvl w:val="0"/>
          <w:numId w:val="13"/>
        </w:numPr>
      </w:pPr>
      <w:r>
        <w:t>The broad range of values from Professor Borland and DAE's analysis indicates there is a wide range of positive values for worker productivity and compositional productivity over the long run. Moreover, the AER considers that not only is long run worker productivity positive but it also makes up a material proportion of labour productivity.</w:t>
      </w:r>
    </w:p>
    <w:p w:rsidR="00A00171" w:rsidRDefault="00A00171" w:rsidP="00500A89">
      <w:pPr>
        <w:pStyle w:val="HeadingBoldBlue"/>
      </w:pPr>
      <w:r>
        <w:t>Choice of LPI forecasts</w:t>
      </w:r>
    </w:p>
    <w:p w:rsidR="00A00171" w:rsidRDefault="00A00171" w:rsidP="00A00171">
      <w:pPr>
        <w:pStyle w:val="AERbodytext"/>
        <w:numPr>
          <w:ilvl w:val="0"/>
          <w:numId w:val="13"/>
        </w:numPr>
      </w:pPr>
      <w:r w:rsidRPr="008C239E">
        <w:t>The AER considers the best labour price measure in the circumstances is an average of DAE and BIS</w:t>
      </w:r>
      <w:r>
        <w:t> </w:t>
      </w:r>
      <w:r w:rsidRPr="008C239E">
        <w:t>Shrapnel's LPI forecasts</w:t>
      </w:r>
      <w:r>
        <w:t>.  H</w:t>
      </w:r>
      <w:r w:rsidRPr="008C239E">
        <w:t>owever</w:t>
      </w:r>
      <w:r>
        <w:t>,</w:t>
      </w:r>
      <w:r w:rsidRPr="008C239E">
        <w:t xml:space="preserve"> the best labour price measure is not the best labour cost measure.</w:t>
      </w:r>
      <w:r>
        <w:t xml:space="preserve"> The AER considers the choice of the LPI should take into consideration the accuracy of the labour price measure and the use of labour productivity adjustments. Multinet's revised proposal does not include an adjustment for labour productivity.</w:t>
      </w:r>
    </w:p>
    <w:p w:rsidR="00A00171" w:rsidRPr="008C239E" w:rsidRDefault="00A00171" w:rsidP="00A00171">
      <w:pPr>
        <w:pStyle w:val="AERbodytext"/>
        <w:numPr>
          <w:ilvl w:val="0"/>
          <w:numId w:val="13"/>
        </w:numPr>
      </w:pPr>
      <w:r w:rsidRPr="008C239E">
        <w:t xml:space="preserve">In its draft decision the AER applied DAE's LPI forecasts to set labour cost escalations, although the LPI is a labour price measure and not a labour cost measure. The AER considered DAE's LPI forecasts, which are lower than BIS Shrapnel's </w:t>
      </w:r>
      <w:proofErr w:type="gramStart"/>
      <w:r w:rsidRPr="008C239E">
        <w:t>forecasts</w:t>
      </w:r>
      <w:r>
        <w:t>,</w:t>
      </w:r>
      <w:proofErr w:type="gramEnd"/>
      <w:r w:rsidRPr="008C239E">
        <w:t xml:space="preserve"> more closely reflect changes in labour costs. </w:t>
      </w:r>
    </w:p>
    <w:p w:rsidR="00A00171" w:rsidRDefault="00A00171" w:rsidP="00A00171">
      <w:pPr>
        <w:pStyle w:val="AERbodytext"/>
        <w:numPr>
          <w:ilvl w:val="0"/>
          <w:numId w:val="13"/>
        </w:numPr>
      </w:pPr>
      <w:r w:rsidRPr="008C239E">
        <w:t xml:space="preserve">The AER agrees with </w:t>
      </w:r>
      <w:r>
        <w:t>Multinet</w:t>
      </w:r>
      <w:r w:rsidRPr="008C239E">
        <w:t xml:space="preserve"> and Professor Borland that the average of the two forecasts produces a better forecast of the labour price than using either BIS Shrapnel's or DAE's forecast exclusively. This is consistent with the AER's own analysis of six forecast series of LPI where the average had the lowest mean absolute error on three occasions, DAE on two occasions and BIS</w:t>
      </w:r>
      <w:r>
        <w:t> </w:t>
      </w:r>
      <w:r w:rsidRPr="008C239E">
        <w:t>Shrapnel once.</w:t>
      </w:r>
      <w:r w:rsidRPr="008C239E">
        <w:rPr>
          <w:rStyle w:val="FootnoteReference"/>
        </w:rPr>
        <w:footnoteReference w:id="19"/>
      </w:r>
      <w:r w:rsidRPr="008C239E">
        <w:t xml:space="preserve"> </w:t>
      </w:r>
    </w:p>
    <w:p w:rsidR="00A00171" w:rsidRPr="008C239E" w:rsidRDefault="00A00171" w:rsidP="00A00171">
      <w:pPr>
        <w:pStyle w:val="AERbodytext"/>
        <w:numPr>
          <w:ilvl w:val="0"/>
          <w:numId w:val="13"/>
        </w:numPr>
      </w:pPr>
      <w:r>
        <w:t>Multinet</w:t>
      </w:r>
      <w:r w:rsidRPr="008C239E">
        <w:t xml:space="preserve"> would be over compensated for labour cost escalations if the AER were to apply the best measure of the LPI without taking into account quality adjusted labour productivity. </w:t>
      </w:r>
      <w:r>
        <w:t>This is because t</w:t>
      </w:r>
      <w:r w:rsidRPr="008C239E">
        <w:t xml:space="preserve">he AER considers quality adjusted labour productivity to be material at the national level and </w:t>
      </w:r>
      <w:r>
        <w:t>therefore would have</w:t>
      </w:r>
      <w:r w:rsidRPr="008C239E">
        <w:t xml:space="preserve"> a material impact on total forecast opex</w:t>
      </w:r>
      <w:r>
        <w:t xml:space="preserve"> and total forecast capex</w:t>
      </w:r>
      <w:r w:rsidRPr="008C239E">
        <w:t xml:space="preserve">. </w:t>
      </w:r>
    </w:p>
    <w:p w:rsidR="00A00171" w:rsidRPr="008C239E" w:rsidRDefault="00A00171" w:rsidP="00A00171">
      <w:pPr>
        <w:pStyle w:val="AERbodytext"/>
        <w:numPr>
          <w:ilvl w:val="0"/>
          <w:numId w:val="13"/>
        </w:numPr>
      </w:pPr>
      <w:r w:rsidRPr="008C239E">
        <w:t xml:space="preserve">The AER's final decision is to </w:t>
      </w:r>
      <w:r>
        <w:t xml:space="preserve">not approve Multinet's forecast for its labour cost escalations.  The AER considers that </w:t>
      </w:r>
      <w:r w:rsidRPr="008C239E">
        <w:t xml:space="preserve">DAE's LPI forecast for </w:t>
      </w:r>
      <w:r>
        <w:t>Multinet's</w:t>
      </w:r>
      <w:r w:rsidRPr="008C239E">
        <w:t xml:space="preserve"> labour cost escalations </w:t>
      </w:r>
      <w:r>
        <w:t xml:space="preserve">should be applied as this will result in </w:t>
      </w:r>
      <w:r w:rsidRPr="008C239E">
        <w:t>the best forecast</w:t>
      </w:r>
      <w:r>
        <w:t xml:space="preserve"> possible</w:t>
      </w:r>
      <w:r w:rsidRPr="008C239E">
        <w:t xml:space="preserve"> in the circumstances.</w:t>
      </w:r>
      <w:r w:rsidRPr="008C239E">
        <w:rPr>
          <w:rStyle w:val="FootnoteReference"/>
        </w:rPr>
        <w:footnoteReference w:id="20"/>
      </w:r>
      <w:r>
        <w:t xml:space="preserve"> </w:t>
      </w:r>
      <w:r w:rsidRPr="008C239E">
        <w:t xml:space="preserve">DAE's LPI forecast, which is lower than the average of DAE and BIS Shrapnel's forecast, would partially offset the over compensation to </w:t>
      </w:r>
      <w:r>
        <w:t>Multinet</w:t>
      </w:r>
      <w:r w:rsidRPr="008C239E">
        <w:t xml:space="preserve"> for not</w:t>
      </w:r>
      <w:r>
        <w:t xml:space="preserve"> adjusting its labour cost escalations for labour productivity.</w:t>
      </w:r>
      <w:r w:rsidRPr="008C239E">
        <w:t xml:space="preserve"> </w:t>
      </w:r>
    </w:p>
    <w:p w:rsidR="00A00171" w:rsidRDefault="00A00171" w:rsidP="00A00171">
      <w:pPr>
        <w:pStyle w:val="AERbodytext"/>
        <w:numPr>
          <w:ilvl w:val="0"/>
          <w:numId w:val="13"/>
        </w:numPr>
      </w:pPr>
      <w:r w:rsidRPr="000C5B88">
        <w:t xml:space="preserve">The </w:t>
      </w:r>
      <w:r>
        <w:t xml:space="preserve">AER considers the </w:t>
      </w:r>
      <w:r w:rsidRPr="000C5B88">
        <w:t xml:space="preserve">difference between DAE's LPI forecast and the average of DAE and BIS Shrapnel's forecast to be </w:t>
      </w:r>
      <w:r>
        <w:t>the best possible</w:t>
      </w:r>
      <w:r w:rsidRPr="000C5B88">
        <w:t xml:space="preserve"> estimate for quality adjusted labour productivity in the circumstances. </w:t>
      </w:r>
      <w:r>
        <w:t>It is arrived at on a reasonable basis as it takes into account all relevant data. The difference</w:t>
      </w:r>
      <w:r w:rsidRPr="000C5B88">
        <w:t xml:space="preserve"> is similar to the AER's analysis of worker productivity from Professor Borland's data and lower than DAE's analysis of worker productivity.</w:t>
      </w:r>
      <w:r>
        <w:t xml:space="preserve"> The AER considers by using this lower value, the risk of over-adjusting for labour productivity is less likely than if the AER were to adopt the long run average from DAE's analysis. </w:t>
      </w:r>
      <w:r w:rsidRPr="000E1109">
        <w:t xml:space="preserve"> </w:t>
      </w:r>
      <w:r>
        <w:t>This will result in the best forecast possible in the circumstances.</w:t>
      </w:r>
      <w:r>
        <w:rPr>
          <w:rStyle w:val="FootnoteReference"/>
        </w:rPr>
        <w:footnoteReference w:id="21"/>
      </w:r>
    </w:p>
    <w:p w:rsidR="00A00171" w:rsidRDefault="00A00171" w:rsidP="00500A89">
      <w:pPr>
        <w:pStyle w:val="Heading9"/>
      </w:pPr>
      <w:r>
        <w:t>Averaging labour cost escalations</w:t>
      </w:r>
    </w:p>
    <w:p w:rsidR="00A00171" w:rsidRPr="004E6B85" w:rsidRDefault="00A00171" w:rsidP="00A00171">
      <w:pPr>
        <w:pStyle w:val="AERbodytext"/>
        <w:numPr>
          <w:ilvl w:val="0"/>
          <w:numId w:val="13"/>
        </w:numPr>
      </w:pPr>
      <w:r>
        <w:t xml:space="preserve">The AER's final decision is to not approve a single averaged real cost escalation for the 2013–17 access arrangement </w:t>
      </w:r>
      <w:proofErr w:type="gramStart"/>
      <w:r>
        <w:t>period</w:t>
      </w:r>
      <w:proofErr w:type="gramEnd"/>
      <w:r>
        <w:t>. As discussed in the draft decision the AER notes real cost escalation forecasts by BIS Shrapnel and DAE vary each year. The AER considers that labour cost escalation forecasts should reflect the forecast economic conditions during a regulatory year including any variation in costs over the regulatory period.</w:t>
      </w:r>
      <w:r>
        <w:rPr>
          <w:rStyle w:val="FootnoteReference"/>
        </w:rPr>
        <w:footnoteReference w:id="22"/>
      </w:r>
    </w:p>
    <w:p w:rsidR="00A00171" w:rsidRDefault="00A00171" w:rsidP="00500A89">
      <w:pPr>
        <w:pStyle w:val="Heading8"/>
      </w:pPr>
      <w:bookmarkStart w:id="21" w:name="_Toc349895726"/>
      <w:bookmarkStart w:id="22" w:name="_Toc349900140"/>
      <w:bookmarkStart w:id="23" w:name="_Toc350422672"/>
      <w:bookmarkStart w:id="24" w:name="_Toc350951031"/>
      <w:r>
        <w:t>Revisions</w:t>
      </w:r>
      <w:bookmarkEnd w:id="21"/>
      <w:bookmarkEnd w:id="22"/>
      <w:bookmarkEnd w:id="23"/>
      <w:bookmarkEnd w:id="24"/>
    </w:p>
    <w:p w:rsidR="00A00171" w:rsidRDefault="00A00171" w:rsidP="00A00171">
      <w:pPr>
        <w:pStyle w:val="AERbodytext"/>
        <w:numPr>
          <w:ilvl w:val="0"/>
          <w:numId w:val="13"/>
        </w:numPr>
      </w:pPr>
      <w:r w:rsidRPr="00DD7EFC">
        <w:t xml:space="preserve">The AER requires the following revisions to make the </w:t>
      </w:r>
      <w:r>
        <w:t>a</w:t>
      </w:r>
      <w:r w:rsidRPr="00DD7EFC">
        <w:t>ccess arrangement proposal acceptable:</w:t>
      </w:r>
    </w:p>
    <w:p w:rsidR="00A00171" w:rsidRDefault="00A00171" w:rsidP="00A00171">
      <w:pPr>
        <w:pStyle w:val="AERrevisionbox"/>
        <w:numPr>
          <w:ilvl w:val="0"/>
          <w:numId w:val="13"/>
        </w:numPr>
      </w:pPr>
      <w:r>
        <w:rPr>
          <w:rStyle w:val="AERtextbold"/>
        </w:rPr>
        <w:t>Revision A</w:t>
      </w:r>
      <w:r w:rsidRPr="00766115">
        <w:rPr>
          <w:rStyle w:val="AERtextbold"/>
        </w:rPr>
        <w:t>.1</w:t>
      </w:r>
      <w:r w:rsidRPr="00DD7EFC">
        <w:t xml:space="preserve">: </w:t>
      </w:r>
      <w:r>
        <w:t xml:space="preserve">Opex and capex forecasts should be amended to reflect the labour cost forecasts </w:t>
      </w:r>
      <w:r w:rsidRPr="00DD7EFC">
        <w:t>set out in</w:t>
      </w:r>
      <w:r w:rsidR="00662192">
        <w:t xml:space="preserve"> A.1</w:t>
      </w:r>
      <w:r w:rsidRPr="00DD7EFC">
        <w:t>.</w:t>
      </w:r>
    </w:p>
    <w:p w:rsidR="00A00171" w:rsidRPr="00CF2908" w:rsidRDefault="00A00171" w:rsidP="00A00171">
      <w:pPr>
        <w:pStyle w:val="AERbodytext"/>
        <w:numPr>
          <w:ilvl w:val="0"/>
          <w:numId w:val="13"/>
        </w:numPr>
      </w:pPr>
    </w:p>
    <w:p w:rsidR="00A00171" w:rsidRPr="00D00ACD" w:rsidRDefault="00A00171" w:rsidP="00A00171">
      <w:pPr>
        <w:pStyle w:val="AERbodytext"/>
        <w:numPr>
          <w:ilvl w:val="0"/>
          <w:numId w:val="13"/>
        </w:numPr>
      </w:pPr>
    </w:p>
    <w:p w:rsidR="006B0748" w:rsidRDefault="006B0748" w:rsidP="006B0748">
      <w:pPr>
        <w:pStyle w:val="Heading7"/>
      </w:pPr>
      <w:bookmarkStart w:id="25" w:name="_Toc350951032"/>
      <w:r>
        <w:t xml:space="preserve">Rate of </w:t>
      </w:r>
      <w:r w:rsidRPr="002D50E6">
        <w:t>return</w:t>
      </w:r>
      <w:bookmarkEnd w:id="25"/>
      <w:r>
        <w:t xml:space="preserve"> </w:t>
      </w:r>
    </w:p>
    <w:p w:rsidR="006B0748" w:rsidRDefault="006B0748" w:rsidP="006B0748">
      <w:pPr>
        <w:pStyle w:val="AERbodytext"/>
        <w:numPr>
          <w:ilvl w:val="0"/>
          <w:numId w:val="13"/>
        </w:numPr>
      </w:pPr>
      <w:r w:rsidRPr="00F74E42">
        <w:t>In</w:t>
      </w:r>
      <w:r>
        <w:t xml:space="preserve"> attachment 5, the AER sets out its</w:t>
      </w:r>
      <w:r w:rsidRPr="00F74E42">
        <w:t xml:space="preserve"> </w:t>
      </w:r>
      <w:r>
        <w:t>key reasons for adopting a rate of return of 7.03</w:t>
      </w:r>
      <w:r w:rsidRPr="00F74E42">
        <w:t xml:space="preserve"> per cent</w:t>
      </w:r>
      <w:r>
        <w:t xml:space="preserve"> for Multinet. This includes its key reasons for adopting a risk free rate of 3.12 per cent and market risk premium (MRP) of 6 per cent. In this appendix, the AER provides a detailed technical analysis of the substantial amount of material presented to it by the Victorian gas businesses on the cost of equity. The AER also expands upon its reasoning in the attachment in some areas.</w:t>
      </w:r>
    </w:p>
    <w:p w:rsidR="006B0748" w:rsidRDefault="006B0748" w:rsidP="006B0748">
      <w:pPr>
        <w:pStyle w:val="AERbodytext"/>
        <w:numPr>
          <w:ilvl w:val="0"/>
          <w:numId w:val="13"/>
        </w:numPr>
      </w:pPr>
      <w:r>
        <w:t xml:space="preserve">In this appendix the AER identifies the conclusions that the different consultants (both those commissioned by the Victorian gas businesses and the AER) have presented. To the extent possible, the AER prefers that their reports speak for themselves (in terms of both reasons and conclusions) and has identified the relevant sections in the reports. </w:t>
      </w:r>
    </w:p>
    <w:p w:rsidR="006B0748" w:rsidRDefault="006B0748" w:rsidP="006B0748">
      <w:pPr>
        <w:pStyle w:val="AERbodytext"/>
        <w:numPr>
          <w:ilvl w:val="0"/>
          <w:numId w:val="13"/>
        </w:numPr>
      </w:pPr>
      <w:r>
        <w:t>In this appendix, the AER:</w:t>
      </w:r>
    </w:p>
    <w:p w:rsidR="006B0748" w:rsidRDefault="006B0748" w:rsidP="006B0748">
      <w:pPr>
        <w:pStyle w:val="AERbulletlistfirststyle"/>
      </w:pPr>
      <w:r>
        <w:t>Outlines Multinet's main arguments on the cost of equity in its revised proposal and provides a map of where those arguments are addressed in this final decision</w:t>
      </w:r>
    </w:p>
    <w:p w:rsidR="006B0748" w:rsidRDefault="006B0748" w:rsidP="006B0748">
      <w:pPr>
        <w:pStyle w:val="AERbulletlistfirststyle"/>
      </w:pPr>
      <w:r>
        <w:t xml:space="preserve">Briefly outlines the various </w:t>
      </w:r>
      <w:proofErr w:type="gramStart"/>
      <w:r>
        <w:t>cost</w:t>
      </w:r>
      <w:proofErr w:type="gramEnd"/>
      <w:r>
        <w:t xml:space="preserve"> of equity approaches recommended by different experts. </w:t>
      </w:r>
    </w:p>
    <w:p w:rsidR="006B0748" w:rsidRDefault="006B0748" w:rsidP="006B0748">
      <w:pPr>
        <w:pStyle w:val="AERbulletlistfirststyle"/>
      </w:pPr>
      <w:r>
        <w:t xml:space="preserve">Considers the internal consistency of the AER's cost of equity approach, the relevance of "flight to quality" periods, and the discount rates used by market practitioners in takeover valuation reports as surveyed by Ernst &amp; Young. </w:t>
      </w:r>
    </w:p>
    <w:p w:rsidR="006B0748" w:rsidRDefault="006B0748" w:rsidP="006B0748">
      <w:pPr>
        <w:pStyle w:val="AERbulletlistfirststyle"/>
      </w:pPr>
      <w:r>
        <w:t xml:space="preserve">Considers whether interest rates are currently "abnormally" low and considers the specific dates of the averaging period proposed by Multinet. </w:t>
      </w:r>
    </w:p>
    <w:p w:rsidR="006B0748" w:rsidRDefault="006B0748" w:rsidP="006B0748">
      <w:pPr>
        <w:pStyle w:val="AERbulletlistfirststyle"/>
      </w:pPr>
      <w:r>
        <w:t xml:space="preserve">Sets out further detailed analysis on measures of the MRP (including historical estimates, survey evidence, and forward looking estimates). </w:t>
      </w:r>
    </w:p>
    <w:p w:rsidR="006B0748" w:rsidRDefault="006B0748" w:rsidP="006B0748">
      <w:pPr>
        <w:pStyle w:val="AERbulletlistfirststyle"/>
      </w:pPr>
      <w:r>
        <w:t>Sets out further detailed analysis on dividend growth model (DGM) estimates—both to estimate the MRP and overall cost of equity for regulated businesses</w:t>
      </w:r>
    </w:p>
    <w:p w:rsidR="006B0748" w:rsidRDefault="006B0748" w:rsidP="006B0748">
      <w:pPr>
        <w:pStyle w:val="AERbulletlistfirststyle"/>
      </w:pPr>
      <w:r>
        <w:t xml:space="preserve">Considers market commentary and reasonableness checks on the overall rate of return. </w:t>
      </w:r>
    </w:p>
    <w:p w:rsidR="006B0748" w:rsidRDefault="006B0748" w:rsidP="006B0748">
      <w:pPr>
        <w:pStyle w:val="AERbulletlistfirststyle"/>
      </w:pPr>
      <w:r>
        <w:t xml:space="preserve">Explores the cost of equity practices of other regulators in Australia, the UK and the US. </w:t>
      </w:r>
    </w:p>
    <w:p w:rsidR="006B0748" w:rsidRPr="00691ED9" w:rsidRDefault="006B0748" w:rsidP="006B0748">
      <w:pPr>
        <w:pStyle w:val="Heading8"/>
      </w:pPr>
      <w:bookmarkStart w:id="26" w:name="_Toc350951033"/>
      <w:r w:rsidRPr="00691ED9">
        <w:t>Multinet's main arguments</w:t>
      </w:r>
      <w:bookmarkEnd w:id="26"/>
    </w:p>
    <w:p w:rsidR="006B0748" w:rsidRDefault="006B0748" w:rsidP="006B0748">
      <w:pPr>
        <w:pStyle w:val="AERbodytext"/>
        <w:numPr>
          <w:ilvl w:val="0"/>
          <w:numId w:val="13"/>
        </w:numPr>
      </w:pPr>
      <w:r>
        <w:t>The</w:t>
      </w:r>
      <w:r w:rsidRPr="00DE0703">
        <w:t xml:space="preserve"> main arguments that </w:t>
      </w:r>
      <w:r>
        <w:t>Multinet</w:t>
      </w:r>
      <w:r w:rsidRPr="00DE0703">
        <w:t xml:space="preserve"> put to the AER in its revised proposal are identified in </w:t>
      </w:r>
      <w:r w:rsidR="009B2237">
        <w:fldChar w:fldCharType="begin"/>
      </w:r>
      <w:r>
        <w:instrText xml:space="preserve"> REF _Ref350875982 \h </w:instrText>
      </w:r>
      <w:r w:rsidR="009B2237">
        <w:fldChar w:fldCharType="separate"/>
      </w:r>
      <w:r>
        <w:t xml:space="preserve">Table </w:t>
      </w:r>
      <w:r>
        <w:rPr>
          <w:noProof/>
        </w:rPr>
        <w:t>B</w:t>
      </w:r>
      <w:r>
        <w:t>.</w:t>
      </w:r>
      <w:r>
        <w:rPr>
          <w:noProof/>
        </w:rPr>
        <w:t>1</w:t>
      </w:r>
      <w:r w:rsidR="009B2237">
        <w:fldChar w:fldCharType="end"/>
      </w:r>
      <w:r>
        <w:t xml:space="preserve"> </w:t>
      </w:r>
      <w:r w:rsidRPr="00DE0703">
        <w:t>below.</w:t>
      </w:r>
      <w:r w:rsidRPr="00DE0703">
        <w:rPr>
          <w:rStyle w:val="FootnoteReference"/>
        </w:rPr>
        <w:footnoteReference w:id="23"/>
      </w:r>
      <w:r w:rsidRPr="00DE0703">
        <w:t xml:space="preserve"> This decision considers each of these arguments, along with additional relevant material.</w:t>
      </w:r>
    </w:p>
    <w:p w:rsidR="006B0748" w:rsidRPr="00DE0703" w:rsidRDefault="006B0748" w:rsidP="006B0748">
      <w:pPr>
        <w:pStyle w:val="Caption"/>
      </w:pPr>
      <w:bookmarkStart w:id="27" w:name="_Ref350875982"/>
      <w:r>
        <w:t xml:space="preserve">Table </w:t>
      </w:r>
      <w:fldSimple w:instr=" STYLEREF 7 \s ">
        <w:r>
          <w:rPr>
            <w:noProof/>
          </w:rPr>
          <w:t>B</w:t>
        </w:r>
      </w:fldSimple>
      <w:r>
        <w:t>.</w:t>
      </w:r>
      <w:fldSimple w:instr=" SEQ Table \* ARABIC \s 7 ">
        <w:r>
          <w:rPr>
            <w:noProof/>
          </w:rPr>
          <w:t>1</w:t>
        </w:r>
      </w:fldSimple>
      <w:bookmarkEnd w:id="27"/>
      <w:r>
        <w:tab/>
        <w:t>Multin</w:t>
      </w:r>
      <w:r w:rsidRPr="000937AD">
        <w:t>et's main arguments</w:t>
      </w:r>
      <w:r w:rsidRPr="00DE0703">
        <w:t xml:space="preserve"> </w:t>
      </w:r>
    </w:p>
    <w:tbl>
      <w:tblPr>
        <w:tblStyle w:val="AERtable-text"/>
        <w:tblW w:w="0" w:type="auto"/>
        <w:tblLook w:val="04A0"/>
      </w:tblPr>
      <w:tblGrid>
        <w:gridCol w:w="4621"/>
        <w:gridCol w:w="4621"/>
      </w:tblGrid>
      <w:tr w:rsidR="006B0748" w:rsidTr="006B0748">
        <w:trPr>
          <w:cnfStyle w:val="100000000000"/>
        </w:trPr>
        <w:tc>
          <w:tcPr>
            <w:tcW w:w="4621" w:type="dxa"/>
          </w:tcPr>
          <w:p w:rsidR="006B0748" w:rsidRDefault="006B0748" w:rsidP="006B0748">
            <w:pPr>
              <w:pStyle w:val="AERbodytext"/>
              <w:numPr>
                <w:ilvl w:val="0"/>
                <w:numId w:val="13"/>
              </w:numPr>
            </w:pPr>
            <w:r>
              <w:t>Argument</w:t>
            </w:r>
          </w:p>
        </w:tc>
        <w:tc>
          <w:tcPr>
            <w:tcW w:w="4621" w:type="dxa"/>
          </w:tcPr>
          <w:p w:rsidR="006B0748" w:rsidRDefault="006B0748" w:rsidP="006B0748">
            <w:pPr>
              <w:pStyle w:val="AERbodytext"/>
              <w:numPr>
                <w:ilvl w:val="0"/>
                <w:numId w:val="13"/>
              </w:numPr>
            </w:pPr>
            <w:r>
              <w:t>Considered in this section</w:t>
            </w:r>
          </w:p>
        </w:tc>
      </w:tr>
      <w:tr w:rsidR="006B0748" w:rsidTr="006B0748">
        <w:tc>
          <w:tcPr>
            <w:tcW w:w="4621" w:type="dxa"/>
          </w:tcPr>
          <w:p w:rsidR="006B0748" w:rsidRPr="006B0748" w:rsidRDefault="006B0748" w:rsidP="006B0748">
            <w:pPr>
              <w:pStyle w:val="AERtabletextleft"/>
            </w:pPr>
            <w:r w:rsidRPr="00796D11">
              <w:t xml:space="preserve">The input parameters selected by the AER are not internally consistent. </w:t>
            </w:r>
          </w:p>
        </w:tc>
        <w:tc>
          <w:tcPr>
            <w:tcW w:w="4621" w:type="dxa"/>
          </w:tcPr>
          <w:p w:rsidR="006B0748" w:rsidRPr="006B0748" w:rsidRDefault="006B0748" w:rsidP="006B0748">
            <w:pPr>
              <w:pStyle w:val="AERtabletextleft"/>
            </w:pPr>
            <w:r>
              <w:t>Attachment 5</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_Ref350877720 \r \h </w:instrText>
            </w:r>
            <w:r w:rsidR="009B2237" w:rsidRPr="006B0748">
              <w:fldChar w:fldCharType="separate"/>
            </w:r>
            <w:r>
              <w:t>B.3.1</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 AER has incorrectly interpreted rule 87 and the Tribunal's recent decisions. </w:t>
            </w:r>
          </w:p>
        </w:tc>
        <w:tc>
          <w:tcPr>
            <w:tcW w:w="4621" w:type="dxa"/>
          </w:tcPr>
          <w:p w:rsidR="006B0748" w:rsidRPr="006B0748" w:rsidRDefault="006B0748" w:rsidP="006B0748">
            <w:pPr>
              <w:pStyle w:val="AERtabletextleft"/>
            </w:pPr>
            <w:r>
              <w:t>Attachment 5.2.1</w:t>
            </w:r>
          </w:p>
        </w:tc>
      </w:tr>
      <w:tr w:rsidR="006B0748" w:rsidTr="006B0748">
        <w:tc>
          <w:tcPr>
            <w:tcW w:w="4621" w:type="dxa"/>
          </w:tcPr>
          <w:p w:rsidR="006B0748" w:rsidRPr="006B0748" w:rsidRDefault="006B0748" w:rsidP="006B0748">
            <w:pPr>
              <w:pStyle w:val="AERtabletextleft"/>
            </w:pPr>
            <w:r w:rsidRPr="00796D11">
              <w:t>There are two legitimate methods for selecting the parameter values in the CAPM:</w:t>
            </w:r>
          </w:p>
          <w:p w:rsidR="006B0748" w:rsidRPr="006B0748" w:rsidRDefault="006B0748" w:rsidP="006B0748">
            <w:pPr>
              <w:pStyle w:val="AERbulletlistfirststyle"/>
            </w:pPr>
            <w:r w:rsidRPr="00796D11">
              <w:t xml:space="preserve">Adopt </w:t>
            </w:r>
            <w:r w:rsidRPr="006B0748">
              <w:t>'spot estimates' of the risk free rate and MRP</w:t>
            </w:r>
          </w:p>
          <w:p w:rsidR="006B0748" w:rsidRPr="006B0748" w:rsidRDefault="006B0748" w:rsidP="006B0748">
            <w:pPr>
              <w:pStyle w:val="AERbulletlistfirststyle"/>
            </w:pPr>
            <w:r w:rsidRPr="00796D11">
              <w:t xml:space="preserve">Adopt long-term averages of the risk free rate and MRP. </w:t>
            </w:r>
          </w:p>
        </w:tc>
        <w:tc>
          <w:tcPr>
            <w:tcW w:w="4621" w:type="dxa"/>
          </w:tcPr>
          <w:p w:rsidR="006B0748" w:rsidRPr="006B0748" w:rsidRDefault="006B0748" w:rsidP="006B0748">
            <w:pPr>
              <w:pStyle w:val="AERtabletextleft"/>
            </w:pPr>
            <w:r>
              <w:t>Attachment 5</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_Ref350877720 \r \h </w:instrText>
            </w:r>
            <w:r w:rsidR="009B2237" w:rsidRPr="006B0748">
              <w:fldChar w:fldCharType="separate"/>
            </w:r>
            <w:r>
              <w:t>B.3.1</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 AER incorrectly combines the 'spot' risk free rate from method 1 with the long-term average MRP from method 2. Either of the two methods would be appropriate, but mixing the two is not. </w:t>
            </w:r>
          </w:p>
        </w:tc>
        <w:tc>
          <w:tcPr>
            <w:tcW w:w="4621" w:type="dxa"/>
          </w:tcPr>
          <w:p w:rsidR="006B0748" w:rsidRPr="006B0748" w:rsidRDefault="006B0748" w:rsidP="006B0748">
            <w:pPr>
              <w:pStyle w:val="AERtabletextleft"/>
            </w:pPr>
            <w:r>
              <w:t>Attachment 5</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_Ref350877720 \r \h </w:instrText>
            </w:r>
            <w:r w:rsidR="009B2237" w:rsidRPr="006B0748">
              <w:fldChar w:fldCharType="separate"/>
            </w:r>
            <w:r>
              <w:t>B.3.1</w:t>
            </w:r>
            <w:r w:rsidR="009B2237" w:rsidRPr="006B0748">
              <w:fldChar w:fldCharType="end"/>
            </w:r>
          </w:p>
        </w:tc>
      </w:tr>
      <w:tr w:rsidR="006B0748" w:rsidTr="006B0748">
        <w:tc>
          <w:tcPr>
            <w:tcW w:w="4621" w:type="dxa"/>
          </w:tcPr>
          <w:p w:rsidR="006B0748" w:rsidRPr="006B0748" w:rsidRDefault="006B0748" w:rsidP="006B0748">
            <w:pPr>
              <w:pStyle w:val="AERtabletextleft"/>
            </w:pPr>
            <w:r w:rsidRPr="00796D11">
              <w:t xml:space="preserve">Consistency in measuring the MRP and risk free rate is important. </w:t>
            </w:r>
          </w:p>
        </w:tc>
        <w:tc>
          <w:tcPr>
            <w:tcW w:w="4621" w:type="dxa"/>
          </w:tcPr>
          <w:p w:rsidR="006B0748" w:rsidRPr="006B0748" w:rsidRDefault="006B0748" w:rsidP="006B0748">
            <w:pPr>
              <w:pStyle w:val="AERtabletextleft"/>
            </w:pPr>
            <w:r>
              <w:t xml:space="preserve">Appendix </w:t>
            </w:r>
            <w:r w:rsidR="009B2237" w:rsidRPr="006B0748">
              <w:fldChar w:fldCharType="begin"/>
            </w:r>
            <w:r w:rsidRPr="006B0748">
              <w:instrText xml:space="preserve"> REF _Ref350877720 \r \h </w:instrText>
            </w:r>
            <w:r w:rsidR="009B2237" w:rsidRPr="006B0748">
              <w:fldChar w:fldCharType="separate"/>
            </w:r>
            <w:r>
              <w:t>B.3.1</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There is compelling evidence that the AER's MRP estimate is a long-term historic average, not a forward looking spot rate. </w:t>
            </w:r>
          </w:p>
        </w:tc>
        <w:tc>
          <w:tcPr>
            <w:tcW w:w="4621" w:type="dxa"/>
          </w:tcPr>
          <w:p w:rsidR="006B0748" w:rsidRPr="006B0748" w:rsidRDefault="006B0748" w:rsidP="006B0748">
            <w:pPr>
              <w:pStyle w:val="AERtabletextleft"/>
            </w:pPr>
            <w:r>
              <w:t>Attachment 5.3.3</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_Ref350890562 \r \h </w:instrText>
            </w:r>
            <w:r w:rsidR="009B2237" w:rsidRPr="006B0748">
              <w:fldChar w:fldCharType="separate"/>
            </w:r>
            <w:r>
              <w:t>B.5</w:t>
            </w:r>
            <w:r w:rsidR="009B2237" w:rsidRPr="006B0748">
              <w:fldChar w:fldCharType="end"/>
            </w:r>
          </w:p>
        </w:tc>
      </w:tr>
      <w:tr w:rsidR="006B0748" w:rsidTr="006B0748">
        <w:tc>
          <w:tcPr>
            <w:tcW w:w="4621" w:type="dxa"/>
          </w:tcPr>
          <w:p w:rsidR="006B0748" w:rsidRPr="006B0748" w:rsidRDefault="006B0748" w:rsidP="006B0748">
            <w:pPr>
              <w:pStyle w:val="AERtabletextleft"/>
            </w:pPr>
            <w:r w:rsidRPr="00796D11">
              <w:t xml:space="preserve">Experts regard the AER's MRP estimate as a long term historic average, not a forward looking spot rate. </w:t>
            </w:r>
          </w:p>
        </w:tc>
        <w:tc>
          <w:tcPr>
            <w:tcW w:w="4621" w:type="dxa"/>
          </w:tcPr>
          <w:p w:rsidR="006B0748" w:rsidRPr="006B0748" w:rsidRDefault="006B0748" w:rsidP="006B0748">
            <w:pPr>
              <w:pStyle w:val="AERtabletextleft"/>
            </w:pPr>
            <w:r>
              <w:t>Attachment 5.3.3</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_Ref350877766 \r \h </w:instrText>
            </w:r>
            <w:r w:rsidR="009B2237" w:rsidRPr="006B0748">
              <w:fldChar w:fldCharType="separate"/>
            </w:r>
            <w:r>
              <w:t>B.2.1</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 present value principle as described by Lally relies on overly simplistic assumptions that do not apply in practice. </w:t>
            </w:r>
          </w:p>
        </w:tc>
        <w:tc>
          <w:tcPr>
            <w:tcW w:w="4621" w:type="dxa"/>
          </w:tcPr>
          <w:p w:rsidR="006B0748" w:rsidRPr="006B0748" w:rsidRDefault="006B0748" w:rsidP="006B0748">
            <w:pPr>
              <w:pStyle w:val="AERtabletextleft"/>
            </w:pPr>
            <w:r>
              <w:t>Attachment 5</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_Ref350877720 \r \h </w:instrText>
            </w:r>
            <w:r w:rsidR="009B2237" w:rsidRPr="006B0748">
              <w:fldChar w:fldCharType="separate"/>
            </w:r>
            <w:r>
              <w:t>B.3.1</w:t>
            </w:r>
            <w:r w:rsidR="009B2237" w:rsidRPr="006B0748">
              <w:fldChar w:fldCharType="end"/>
            </w:r>
          </w:p>
        </w:tc>
      </w:tr>
      <w:tr w:rsidR="006B0748" w:rsidTr="006B0748">
        <w:tc>
          <w:tcPr>
            <w:tcW w:w="4621" w:type="dxa"/>
          </w:tcPr>
          <w:p w:rsidR="006B0748" w:rsidRPr="006B0748" w:rsidRDefault="006B0748" w:rsidP="006B0748">
            <w:pPr>
              <w:pStyle w:val="AERtabletextleft"/>
            </w:pPr>
            <w:r w:rsidRPr="00796D11">
              <w:t>Market data suggests that the AER's cost of equity estimate is too low:</w:t>
            </w:r>
          </w:p>
          <w:p w:rsidR="006B0748" w:rsidRPr="006B0748" w:rsidRDefault="006B0748" w:rsidP="006B0748">
            <w:pPr>
              <w:pStyle w:val="AERbulletlistfirststyle"/>
            </w:pPr>
            <w:r w:rsidRPr="00796D11">
              <w:t xml:space="preserve">The AER's cost of equity estimate is substantially below the 'lower bound' estimates that can be derived from market information on dividend yields. </w:t>
            </w:r>
          </w:p>
          <w:p w:rsidR="006B0748" w:rsidRPr="006B0748" w:rsidRDefault="006B0748" w:rsidP="006B0748">
            <w:pPr>
              <w:pStyle w:val="AERbulletlistfirststyle"/>
            </w:pPr>
            <w:r w:rsidRPr="00796D11">
              <w:t xml:space="preserve">Dividend yields have increased as CGS yields have fallen, indication that the MRP has increased. </w:t>
            </w:r>
          </w:p>
          <w:p w:rsidR="006B0748" w:rsidRPr="006B0748" w:rsidRDefault="006B0748" w:rsidP="006B0748">
            <w:pPr>
              <w:pStyle w:val="AERbulletlistfirststyle"/>
            </w:pPr>
            <w:r w:rsidRPr="00796D11">
              <w:t xml:space="preserve">DGM estimates of the MRP are substantially above 6 per cent. </w:t>
            </w:r>
          </w:p>
          <w:p w:rsidR="006B0748" w:rsidRPr="006B0748" w:rsidRDefault="006B0748" w:rsidP="006B0748">
            <w:pPr>
              <w:pStyle w:val="AERbulletlistfirststyle"/>
            </w:pPr>
            <w:r w:rsidRPr="00796D11">
              <w:t xml:space="preserve">The spread between low risk assets and the yield on CGS has increased as CGS yields have fallen, which indicates that the MRP has increased. </w:t>
            </w:r>
          </w:p>
          <w:p w:rsidR="006B0748" w:rsidRPr="006B0748" w:rsidRDefault="006B0748" w:rsidP="006B0748">
            <w:pPr>
              <w:pStyle w:val="AERbulletlistfirststyle"/>
            </w:pPr>
            <w:r w:rsidRPr="00796D11">
              <w:t xml:space="preserve">The spread between the cost of debt and the AER's estimate of the cost of equity is unrealistically low. </w:t>
            </w:r>
          </w:p>
        </w:tc>
        <w:tc>
          <w:tcPr>
            <w:tcW w:w="4621" w:type="dxa"/>
          </w:tcPr>
          <w:p w:rsidR="006B0748" w:rsidRPr="006B0748" w:rsidRDefault="006B0748" w:rsidP="006B0748">
            <w:pPr>
              <w:pStyle w:val="AERtabletextleft"/>
            </w:pPr>
            <w:r>
              <w:t xml:space="preserve">Appendix </w:t>
            </w:r>
            <w:r w:rsidR="009B2237" w:rsidRPr="006B0748">
              <w:fldChar w:fldCharType="begin"/>
            </w:r>
            <w:r w:rsidRPr="006B0748">
              <w:instrText xml:space="preserve"> REF _Ref350877826 \r \h </w:instrText>
            </w:r>
            <w:r w:rsidR="009B2237" w:rsidRPr="006B0748">
              <w:fldChar w:fldCharType="separate"/>
            </w:r>
            <w:r>
              <w:t>B.7</w:t>
            </w:r>
            <w:r w:rsidR="009B2237" w:rsidRPr="006B0748">
              <w:fldChar w:fldCharType="end"/>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_Ref350877868 \r \h </w:instrText>
            </w:r>
            <w:r w:rsidR="009B2237" w:rsidRPr="006B0748">
              <w:fldChar w:fldCharType="separate"/>
            </w:r>
            <w:r>
              <w:t>B.2.10</w:t>
            </w:r>
            <w:r w:rsidR="009B2237" w:rsidRPr="006B0748">
              <w:fldChar w:fldCharType="end"/>
            </w:r>
            <w:r w:rsidRPr="006B0748">
              <w:t xml:space="preserve">  </w:t>
            </w:r>
          </w:p>
          <w:p w:rsidR="006B0748" w:rsidRPr="006B0748" w:rsidRDefault="006B0748" w:rsidP="006B0748">
            <w:pPr>
              <w:pStyle w:val="AERtabletextleft"/>
            </w:pPr>
            <w:r>
              <w:t xml:space="preserve">Appendix </w:t>
            </w:r>
            <w:r w:rsidR="009B2237" w:rsidRPr="006B0748">
              <w:fldChar w:fldCharType="begin"/>
            </w:r>
            <w:r w:rsidRPr="006B0748">
              <w:instrText xml:space="preserve"> REF _Ref349836611 \r \h </w:instrText>
            </w:r>
            <w:r w:rsidR="009B2237" w:rsidRPr="006B0748">
              <w:fldChar w:fldCharType="separate"/>
            </w:r>
            <w:r>
              <w:t>B.6.1</w:t>
            </w:r>
            <w:r w:rsidR="009B2237" w:rsidRPr="006B0748">
              <w:fldChar w:fldCharType="end"/>
            </w:r>
          </w:p>
          <w:p w:rsidR="006B0748" w:rsidRPr="006B0748" w:rsidRDefault="006B0748" w:rsidP="006B0748">
            <w:pPr>
              <w:pStyle w:val="AERtabletextleft"/>
            </w:pPr>
            <w:r>
              <w:t xml:space="preserve">Appendix </w:t>
            </w:r>
            <w:r w:rsidR="009B2237" w:rsidRPr="006B0748">
              <w:fldChar w:fldCharType="begin"/>
            </w:r>
            <w:r w:rsidRPr="006B0748">
              <w:instrText xml:space="preserve"> REF _Ref350353004 \r \h </w:instrText>
            </w:r>
            <w:r w:rsidR="009B2237" w:rsidRPr="006B0748">
              <w:fldChar w:fldCharType="separate"/>
            </w:r>
            <w:r>
              <w:t>B.5.3</w:t>
            </w:r>
            <w:r w:rsidR="009B2237" w:rsidRPr="006B0748">
              <w:fldChar w:fldCharType="end"/>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_Ref350879326 \r \h </w:instrText>
            </w:r>
            <w:r w:rsidR="009B2237" w:rsidRPr="006B0748">
              <w:fldChar w:fldCharType="separate"/>
            </w:r>
            <w:r>
              <w:t>B.3.4</w:t>
            </w:r>
            <w:r w:rsidR="009B2237" w:rsidRPr="006B0748">
              <w:fldChar w:fldCharType="end"/>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_Ref350877949 \r \h </w:instrText>
            </w:r>
            <w:r w:rsidR="009B2237" w:rsidRPr="006B0748">
              <w:fldChar w:fldCharType="separate"/>
            </w:r>
            <w:r>
              <w:t>B.7.2</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 AER's reasonableness checks are out of date and provide no meaningful information about the relationship between investors' required returns and the AER's estimate of the cost of capital. </w:t>
            </w:r>
          </w:p>
        </w:tc>
        <w:tc>
          <w:tcPr>
            <w:tcW w:w="4621" w:type="dxa"/>
          </w:tcPr>
          <w:p w:rsidR="006B0748" w:rsidRPr="006B0748" w:rsidRDefault="006B0748" w:rsidP="006B0748">
            <w:pPr>
              <w:pStyle w:val="AERtabletextleft"/>
            </w:pPr>
            <w:r>
              <w:t>Attachment 5.3.8</w:t>
            </w:r>
          </w:p>
          <w:p w:rsidR="006B0748" w:rsidRPr="006B0748" w:rsidRDefault="006B0748" w:rsidP="006B0748">
            <w:pPr>
              <w:pStyle w:val="AERtabletextleft"/>
            </w:pPr>
            <w:r>
              <w:t xml:space="preserve">Appendix </w:t>
            </w:r>
            <w:r w:rsidR="009B2237" w:rsidRPr="006B0748">
              <w:fldChar w:fldCharType="begin"/>
            </w:r>
            <w:r w:rsidRPr="006B0748">
              <w:instrText xml:space="preserve"> REF _Ref350877949 \r \h </w:instrText>
            </w:r>
            <w:r w:rsidR="009B2237" w:rsidRPr="006B0748">
              <w:fldChar w:fldCharType="separate"/>
            </w:r>
            <w:r>
              <w:t>B.7.2</w:t>
            </w:r>
            <w:r w:rsidR="009B2237" w:rsidRPr="006B0748">
              <w:fldChar w:fldCharType="end"/>
            </w:r>
          </w:p>
        </w:tc>
      </w:tr>
      <w:tr w:rsidR="006B0748" w:rsidTr="006B0748">
        <w:tc>
          <w:tcPr>
            <w:tcW w:w="4621" w:type="dxa"/>
          </w:tcPr>
          <w:p w:rsidR="006B0748" w:rsidRPr="006B0748" w:rsidRDefault="006B0748" w:rsidP="006B0748">
            <w:pPr>
              <w:pStyle w:val="AERtabletextleft"/>
            </w:pPr>
            <w:r w:rsidRPr="00796D11">
              <w:t xml:space="preserve">Regulatory precedent from the US, the UK and IPART suggests that the adoption of a long-term average is appropriate. </w:t>
            </w:r>
          </w:p>
        </w:tc>
        <w:tc>
          <w:tcPr>
            <w:tcW w:w="4621" w:type="dxa"/>
          </w:tcPr>
          <w:p w:rsidR="006B0748" w:rsidRPr="006B0748" w:rsidRDefault="006B0748" w:rsidP="006B0748">
            <w:pPr>
              <w:pStyle w:val="AERtabletextleft"/>
            </w:pPr>
            <w:r>
              <w:t xml:space="preserve">Appendix </w:t>
            </w:r>
            <w:r w:rsidR="009B2237" w:rsidRPr="006B0748">
              <w:fldChar w:fldCharType="begin"/>
            </w:r>
            <w:r w:rsidRPr="006B0748">
              <w:instrText xml:space="preserve"> REF _Ref350878035 \r \h </w:instrText>
            </w:r>
            <w:r w:rsidR="009B2237" w:rsidRPr="006B0748">
              <w:fldChar w:fldCharType="separate"/>
            </w:r>
            <w:r>
              <w:t>B.8</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Market evidence from independent expert reports suggests the AER's cost of equity is unreasonable. </w:t>
            </w:r>
          </w:p>
        </w:tc>
        <w:tc>
          <w:tcPr>
            <w:tcW w:w="4621" w:type="dxa"/>
          </w:tcPr>
          <w:p w:rsidR="006B0748" w:rsidRPr="006B0748" w:rsidRDefault="006B0748" w:rsidP="006B0748">
            <w:pPr>
              <w:pStyle w:val="AERtabletextleft"/>
            </w:pPr>
            <w:r>
              <w:t xml:space="preserve">Appendix </w:t>
            </w:r>
            <w:r w:rsidR="009B2237" w:rsidRPr="006B0748">
              <w:fldChar w:fldCharType="begin"/>
            </w:r>
            <w:r w:rsidRPr="006B0748">
              <w:instrText xml:space="preserve"> REF _Ref350878054 \r \h </w:instrText>
            </w:r>
            <w:r w:rsidR="009B2237" w:rsidRPr="006B0748">
              <w:fldChar w:fldCharType="separate"/>
            </w:r>
            <w:r>
              <w:t>B.3.6</w:t>
            </w:r>
            <w:r w:rsidR="009B2237" w:rsidRPr="006B0748">
              <w:fldChar w:fldCharType="end"/>
            </w:r>
          </w:p>
        </w:tc>
      </w:tr>
      <w:tr w:rsidR="006B0748" w:rsidTr="006B0748">
        <w:tc>
          <w:tcPr>
            <w:tcW w:w="4621" w:type="dxa"/>
          </w:tcPr>
          <w:p w:rsidR="006B0748" w:rsidRPr="006B0748" w:rsidRDefault="006B0748" w:rsidP="006B0748">
            <w:pPr>
              <w:pStyle w:val="AERtabletextleft"/>
            </w:pPr>
            <w:r w:rsidRPr="00796D11">
              <w:t xml:space="preserve">Statements from a number of investors and fund managers demonstrate their concerns that the AER's cost of equity estimates are unprecedentedly low, and do not accord with capital market expectations. </w:t>
            </w:r>
          </w:p>
        </w:tc>
        <w:tc>
          <w:tcPr>
            <w:tcW w:w="4621" w:type="dxa"/>
          </w:tcPr>
          <w:p w:rsidR="006B0748" w:rsidRPr="006B0748" w:rsidRDefault="006B0748" w:rsidP="006B0748">
            <w:pPr>
              <w:pStyle w:val="AERtabletextleft"/>
            </w:pPr>
            <w:r>
              <w:t xml:space="preserve">Appendix </w:t>
            </w:r>
            <w:r w:rsidR="009B2237" w:rsidRPr="006B0748">
              <w:fldChar w:fldCharType="begin"/>
            </w:r>
            <w:r w:rsidRPr="006B0748">
              <w:instrText xml:space="preserve"> REF _Ref350877826 \r \h </w:instrText>
            </w:r>
            <w:r w:rsidR="009B2237" w:rsidRPr="006B0748">
              <w:fldChar w:fldCharType="separate"/>
            </w:r>
            <w:r>
              <w:t>B.7</w:t>
            </w:r>
            <w:r w:rsidR="009B2237" w:rsidRPr="006B0748">
              <w:fldChar w:fldCharType="end"/>
            </w:r>
          </w:p>
        </w:tc>
      </w:tr>
      <w:tr w:rsidR="006B0748" w:rsidTr="006B0748">
        <w:trPr>
          <w:cnfStyle w:val="000000010000"/>
        </w:trPr>
        <w:tc>
          <w:tcPr>
            <w:tcW w:w="4621" w:type="dxa"/>
          </w:tcPr>
          <w:p w:rsidR="006B0748" w:rsidRPr="006B0748" w:rsidRDefault="006B0748" w:rsidP="006B0748">
            <w:pPr>
              <w:pStyle w:val="AERtabletextleft"/>
            </w:pPr>
            <w:r w:rsidRPr="00796D11">
              <w:t xml:space="preserve">The AER's estimate of the cost of equity is not consistent with the NGR and </w:t>
            </w:r>
            <w:r w:rsidRPr="006B0748">
              <w:t xml:space="preserve">NGL. </w:t>
            </w:r>
          </w:p>
        </w:tc>
        <w:tc>
          <w:tcPr>
            <w:tcW w:w="4621" w:type="dxa"/>
          </w:tcPr>
          <w:p w:rsidR="006B0748" w:rsidRPr="006B0748" w:rsidRDefault="006B0748" w:rsidP="006B0748">
            <w:pPr>
              <w:pStyle w:val="AERtabletextleft"/>
            </w:pPr>
            <w:r>
              <w:t>Attachment 5.2.1</w:t>
            </w:r>
          </w:p>
        </w:tc>
      </w:tr>
    </w:tbl>
    <w:p w:rsidR="006B0748" w:rsidRPr="00691ED9" w:rsidRDefault="006B0748" w:rsidP="006B0748">
      <w:pPr>
        <w:pStyle w:val="Heading8"/>
      </w:pPr>
      <w:bookmarkStart w:id="28" w:name="_Toc350951034"/>
      <w:r w:rsidRPr="00691ED9">
        <w:t>Cost of equity approaches recommended by different experts</w:t>
      </w:r>
      <w:bookmarkEnd w:id="28"/>
    </w:p>
    <w:p w:rsidR="006B0748" w:rsidRPr="006B0748" w:rsidRDefault="006B0748" w:rsidP="006B0748">
      <w:pPr>
        <w:pStyle w:val="AERbodytext"/>
        <w:numPr>
          <w:ilvl w:val="0"/>
          <w:numId w:val="13"/>
        </w:numPr>
        <w:rPr>
          <w:rFonts w:eastAsia="Calibri"/>
        </w:rPr>
      </w:pPr>
      <w:r w:rsidRPr="006B0748">
        <w:rPr>
          <w:rFonts w:eastAsia="Calibri"/>
        </w:rPr>
        <w:t>In the draft decision and attachment 5 of this final decision, the AER noted there is no consensus among experts on the best method to estimate the MRP (or the overall cost of equity). Different experts have different views both on the best method to estimate the MRP, and on the best design and inputs into particular methods. These differences, both in relation to the different methods and different inputs, have a material impact on the resultant MRP and cost of equity results.</w:t>
      </w:r>
    </w:p>
    <w:p w:rsidR="006B0748" w:rsidRPr="006B0748" w:rsidRDefault="006B0748" w:rsidP="006B0748">
      <w:pPr>
        <w:pStyle w:val="AERbodytext"/>
        <w:numPr>
          <w:ilvl w:val="0"/>
          <w:numId w:val="13"/>
        </w:numPr>
        <w:rPr>
          <w:rFonts w:eastAsia="Calibri"/>
        </w:rPr>
      </w:pPr>
      <w:r w:rsidRPr="006B0748">
        <w:rPr>
          <w:rFonts w:eastAsia="Calibri"/>
        </w:rPr>
        <w:t>Multinet submitted 10 consultant reports on the cost of equity issue in its revised proposal. In this final decision, the AER considers views from different experts on the best method to estimate the MRP and cost of equity. These views include:</w:t>
      </w:r>
    </w:p>
    <w:p w:rsidR="006B0748" w:rsidRPr="006B0748" w:rsidRDefault="006B0748" w:rsidP="006B0748">
      <w:pPr>
        <w:pStyle w:val="AERbulletlistfirststyle"/>
        <w:rPr>
          <w:rFonts w:eastAsia="Calibri"/>
        </w:rPr>
      </w:pPr>
      <w:r w:rsidRPr="006B0748">
        <w:rPr>
          <w:rFonts w:eastAsia="Calibri"/>
        </w:rPr>
        <w:t>advice commissioned by the AER—that is, the approaches preferred by McKenzie and Partington, Lally and CEPA</w:t>
      </w:r>
    </w:p>
    <w:p w:rsidR="006B0748" w:rsidRPr="006B0748" w:rsidRDefault="006B0748" w:rsidP="006B0748">
      <w:pPr>
        <w:pStyle w:val="AERbulletlistfirststyle"/>
        <w:rPr>
          <w:rFonts w:eastAsia="Calibri"/>
        </w:rPr>
      </w:pPr>
      <w:r w:rsidRPr="006B0748">
        <w:rPr>
          <w:rFonts w:eastAsia="Calibri"/>
        </w:rPr>
        <w:t>views submitted by Multinet in support of its initial proposal—that is, the CEG approaches, Capital Research DGM estimates, and NERA regime switching model</w:t>
      </w:r>
    </w:p>
    <w:p w:rsidR="006B0748" w:rsidRPr="006B0748" w:rsidRDefault="006B0748" w:rsidP="006B0748">
      <w:pPr>
        <w:pStyle w:val="AERbulletlistfirststyle"/>
        <w:rPr>
          <w:rFonts w:eastAsia="Calibri"/>
        </w:rPr>
      </w:pPr>
      <w:r w:rsidRPr="006B0748">
        <w:rPr>
          <w:rFonts w:eastAsia="Calibri"/>
        </w:rPr>
        <w:t>new views submitted by Multinet in support of its revised proposal—Gregory and Wright's recommended approaches</w:t>
      </w:r>
    </w:p>
    <w:p w:rsidR="006B0748" w:rsidRPr="006B0748" w:rsidRDefault="006B0748" w:rsidP="006B0748">
      <w:pPr>
        <w:pStyle w:val="AERbulletlistfirststyle"/>
        <w:rPr>
          <w:rFonts w:eastAsia="Calibri"/>
        </w:rPr>
      </w:pPr>
      <w:proofErr w:type="gramStart"/>
      <w:r w:rsidRPr="006B0748">
        <w:rPr>
          <w:rFonts w:eastAsia="Calibri"/>
        </w:rPr>
        <w:t>approaches</w:t>
      </w:r>
      <w:proofErr w:type="gramEnd"/>
      <w:r w:rsidRPr="006B0748">
        <w:rPr>
          <w:rFonts w:eastAsia="Calibri"/>
        </w:rPr>
        <w:t xml:space="preserve"> to estimate MRP proposed by other regulated businesses in recent regulatory processes—that is, the VAA implied volatility glide path approach and the SFG method. </w:t>
      </w:r>
    </w:p>
    <w:p w:rsidR="006B0748" w:rsidRDefault="006B0748" w:rsidP="006B0748">
      <w:pPr>
        <w:pStyle w:val="Caption"/>
      </w:pPr>
      <w:bookmarkStart w:id="29" w:name="_Ref350864467"/>
      <w:r>
        <w:t xml:space="preserve">Table </w:t>
      </w:r>
      <w:fldSimple w:instr=" STYLEREF 7 \s ">
        <w:r>
          <w:rPr>
            <w:noProof/>
          </w:rPr>
          <w:t>B</w:t>
        </w:r>
      </w:fldSimple>
      <w:r>
        <w:t>.</w:t>
      </w:r>
      <w:fldSimple w:instr=" SEQ Table \* ARABIC \s 7 ">
        <w:r>
          <w:rPr>
            <w:noProof/>
          </w:rPr>
          <w:t>2</w:t>
        </w:r>
      </w:fldSimple>
      <w:bookmarkEnd w:id="29"/>
      <w:r w:rsidRPr="00B719FA">
        <w:tab/>
      </w:r>
      <w:r w:rsidRPr="00B719FA">
        <w:tab/>
        <w:t xml:space="preserve">Different approaches </w:t>
      </w:r>
      <w:r>
        <w:t>recommended</w:t>
      </w:r>
      <w:r w:rsidRPr="00B719FA">
        <w:t xml:space="preserve"> by different experts</w:t>
      </w:r>
    </w:p>
    <w:tbl>
      <w:tblPr>
        <w:tblStyle w:val="AERtable-text"/>
        <w:tblW w:w="0" w:type="auto"/>
        <w:tblLook w:val="04A0"/>
      </w:tblPr>
      <w:tblGrid>
        <w:gridCol w:w="2376"/>
        <w:gridCol w:w="3969"/>
        <w:gridCol w:w="2897"/>
      </w:tblGrid>
      <w:tr w:rsidR="006B0748" w:rsidTr="006B0748">
        <w:trPr>
          <w:cnfStyle w:val="100000000000"/>
        </w:trPr>
        <w:tc>
          <w:tcPr>
            <w:tcW w:w="2376" w:type="dxa"/>
          </w:tcPr>
          <w:p w:rsidR="006B0748" w:rsidRPr="005C78BF" w:rsidRDefault="006B0748" w:rsidP="006B0748">
            <w:pPr>
              <w:pStyle w:val="AERtabletextleft"/>
            </w:pPr>
          </w:p>
        </w:tc>
        <w:tc>
          <w:tcPr>
            <w:tcW w:w="3969" w:type="dxa"/>
          </w:tcPr>
          <w:p w:rsidR="006B0748" w:rsidRPr="006B0748" w:rsidRDefault="006B0748" w:rsidP="006B0748">
            <w:pPr>
              <w:pStyle w:val="AERtabletextleft"/>
            </w:pPr>
            <w:r w:rsidRPr="005C78BF">
              <w:t>Preferred approach</w:t>
            </w:r>
          </w:p>
        </w:tc>
        <w:tc>
          <w:tcPr>
            <w:tcW w:w="2897" w:type="dxa"/>
          </w:tcPr>
          <w:p w:rsidR="006B0748" w:rsidRPr="006B0748" w:rsidRDefault="006B0748" w:rsidP="006B0748">
            <w:pPr>
              <w:pStyle w:val="AERtabletextleft"/>
            </w:pPr>
            <w:r w:rsidRPr="005C78BF">
              <w:t>Current / most recent estimate</w:t>
            </w:r>
          </w:p>
        </w:tc>
      </w:tr>
      <w:tr w:rsidR="006B0748" w:rsidTr="006B0748">
        <w:tc>
          <w:tcPr>
            <w:tcW w:w="2376" w:type="dxa"/>
          </w:tcPr>
          <w:p w:rsidR="006B0748" w:rsidRPr="006B0748" w:rsidRDefault="006B0748" w:rsidP="006B0748">
            <w:pPr>
              <w:pStyle w:val="AERtabletextleft"/>
            </w:pPr>
            <w:r w:rsidRPr="00B719FA">
              <w:t>McKenzie and Partington</w:t>
            </w:r>
          </w:p>
        </w:tc>
        <w:tc>
          <w:tcPr>
            <w:tcW w:w="3969" w:type="dxa"/>
          </w:tcPr>
          <w:p w:rsidR="006B0748" w:rsidRPr="006B0748" w:rsidRDefault="006B0748" w:rsidP="006B0748">
            <w:pPr>
              <w:pStyle w:val="AERtabletextleft"/>
            </w:pPr>
            <w:r w:rsidRPr="00B719FA">
              <w:t xml:space="preserve">Prevailing </w:t>
            </w:r>
            <w:r w:rsidRPr="006B0748">
              <w:t>CGS yield as risk free rate proxy combined with unconditional mean MRP of 6 per cent triangulated using other evidence, such as surveys, DGMs and other market indicators.</w:t>
            </w:r>
          </w:p>
        </w:tc>
        <w:tc>
          <w:tcPr>
            <w:tcW w:w="2897" w:type="dxa"/>
          </w:tcPr>
          <w:p w:rsidR="006B0748" w:rsidRPr="006B0748" w:rsidRDefault="006B0748" w:rsidP="006B0748">
            <w:pPr>
              <w:pStyle w:val="AERtabletextleft"/>
            </w:pPr>
            <w:r w:rsidRPr="00B719FA">
              <w:t xml:space="preserve">prevailing </w:t>
            </w:r>
            <w:r w:rsidRPr="006B0748">
              <w:t>CGS yield and 6 per cent MRP</w:t>
            </w:r>
          </w:p>
        </w:tc>
      </w:tr>
      <w:tr w:rsidR="006B0748" w:rsidTr="006B0748">
        <w:trPr>
          <w:cnfStyle w:val="000000010000"/>
        </w:trPr>
        <w:tc>
          <w:tcPr>
            <w:tcW w:w="2376" w:type="dxa"/>
          </w:tcPr>
          <w:p w:rsidR="006B0748" w:rsidRPr="006B0748" w:rsidRDefault="006B0748" w:rsidP="006B0748">
            <w:pPr>
              <w:pStyle w:val="AERtabletextleft"/>
            </w:pPr>
            <w:r w:rsidRPr="00B719FA">
              <w:t>Lally</w:t>
            </w:r>
          </w:p>
        </w:tc>
        <w:tc>
          <w:tcPr>
            <w:tcW w:w="3969" w:type="dxa"/>
          </w:tcPr>
          <w:p w:rsidR="006B0748" w:rsidRPr="006B0748" w:rsidRDefault="006B0748" w:rsidP="006B0748">
            <w:pPr>
              <w:pStyle w:val="AERtabletextleft"/>
            </w:pPr>
            <w:r w:rsidRPr="00B719FA">
              <w:t xml:space="preserve">Prevailing </w:t>
            </w:r>
            <w:r w:rsidRPr="006B0748">
              <w:t>CGS yield as risk free rate proxy and use a range of evidence to minimise the mean squared error of the MRP estimate. Evidence includes historical excess returns, survey evidence, Siegel approach, DGM analysis, real market cost of equity and international data</w:t>
            </w:r>
          </w:p>
        </w:tc>
        <w:tc>
          <w:tcPr>
            <w:tcW w:w="2897" w:type="dxa"/>
          </w:tcPr>
          <w:p w:rsidR="006B0748" w:rsidRPr="006B0748" w:rsidRDefault="006B0748" w:rsidP="006B0748">
            <w:pPr>
              <w:pStyle w:val="AERtabletextleft"/>
            </w:pPr>
            <w:r w:rsidRPr="00B719FA">
              <w:t xml:space="preserve">prevailing </w:t>
            </w:r>
            <w:r w:rsidRPr="006B0748">
              <w:t>CGS yield and 6 per cent MRP</w:t>
            </w:r>
          </w:p>
        </w:tc>
      </w:tr>
      <w:tr w:rsidR="006B0748" w:rsidTr="006B0748">
        <w:tc>
          <w:tcPr>
            <w:tcW w:w="2376" w:type="dxa"/>
          </w:tcPr>
          <w:p w:rsidR="006B0748" w:rsidRPr="006B0748" w:rsidRDefault="006B0748" w:rsidP="006B0748">
            <w:pPr>
              <w:pStyle w:val="AERtabletextleft"/>
            </w:pPr>
            <w:r>
              <w:t>CEPA</w:t>
            </w:r>
          </w:p>
        </w:tc>
        <w:tc>
          <w:tcPr>
            <w:tcW w:w="3969" w:type="dxa"/>
          </w:tcPr>
          <w:p w:rsidR="006B0748" w:rsidRPr="006B0748" w:rsidRDefault="006B0748" w:rsidP="006B0748">
            <w:pPr>
              <w:pStyle w:val="AERtabletextleft"/>
            </w:pPr>
            <w:r>
              <w:t xml:space="preserve">Estimate cost of capital over the life of the asset as in the </w:t>
            </w:r>
            <w:r w:rsidRPr="006B0748">
              <w:t>established UK approach and assume a constant expected cost of equity over the long run.</w:t>
            </w:r>
          </w:p>
        </w:tc>
        <w:tc>
          <w:tcPr>
            <w:tcW w:w="2897" w:type="dxa"/>
          </w:tcPr>
          <w:p w:rsidR="006B0748" w:rsidRPr="006B0748" w:rsidRDefault="006B0748" w:rsidP="006B0748">
            <w:pPr>
              <w:pStyle w:val="AERtabletextleft"/>
            </w:pPr>
            <w:r>
              <w:t>Values not specified.</w:t>
            </w:r>
          </w:p>
        </w:tc>
      </w:tr>
      <w:tr w:rsidR="006B0748" w:rsidTr="006B0748">
        <w:trPr>
          <w:cnfStyle w:val="000000010000"/>
        </w:trPr>
        <w:tc>
          <w:tcPr>
            <w:tcW w:w="2376" w:type="dxa"/>
          </w:tcPr>
          <w:p w:rsidR="006B0748" w:rsidRPr="006B0748" w:rsidRDefault="006B0748" w:rsidP="006B0748">
            <w:pPr>
              <w:pStyle w:val="AERtabletextleft"/>
            </w:pPr>
            <w:r w:rsidRPr="00B719FA">
              <w:t>CEG</w:t>
            </w:r>
          </w:p>
        </w:tc>
        <w:tc>
          <w:tcPr>
            <w:tcW w:w="3969" w:type="dxa"/>
          </w:tcPr>
          <w:p w:rsidR="006B0748" w:rsidRPr="006B0748" w:rsidRDefault="006B0748" w:rsidP="006B0748">
            <w:pPr>
              <w:pStyle w:val="AERtabletextleft"/>
            </w:pPr>
            <w:r w:rsidRPr="00B719FA">
              <w:t>1. Use DGM</w:t>
            </w:r>
            <w:r w:rsidRPr="006B0748">
              <w:t>s to directly estimate the cost of equity for comparable firms</w:t>
            </w:r>
          </w:p>
          <w:p w:rsidR="006B0748" w:rsidRPr="006B0748" w:rsidRDefault="006B0748" w:rsidP="006B0748">
            <w:pPr>
              <w:pStyle w:val="AERtabletextleft"/>
            </w:pPr>
            <w:r w:rsidRPr="00B719FA">
              <w:t>2. Use DGM</w:t>
            </w:r>
            <w:r w:rsidRPr="006B0748">
              <w:t>s to estimate the cost of equity for the market portfolio and apply within the CAPM to derive a DGM estimate for the MRP</w:t>
            </w:r>
          </w:p>
          <w:p w:rsidR="006B0748" w:rsidRPr="006B0748" w:rsidRDefault="006B0748" w:rsidP="006B0748">
            <w:pPr>
              <w:pStyle w:val="AERtabletextleft"/>
            </w:pPr>
            <w:r w:rsidRPr="00B719FA">
              <w:t xml:space="preserve">3. Estimate </w:t>
            </w:r>
            <w:r w:rsidRPr="006B0748">
              <w:t xml:space="preserve">the cost of equity by combining a historical average risk free rate with a historical average MRP.  </w:t>
            </w:r>
          </w:p>
        </w:tc>
        <w:tc>
          <w:tcPr>
            <w:tcW w:w="2897" w:type="dxa"/>
          </w:tcPr>
          <w:p w:rsidR="006B0748" w:rsidRPr="006B0748" w:rsidRDefault="006B0748" w:rsidP="006B0748">
            <w:pPr>
              <w:pStyle w:val="AERtabletextleft"/>
            </w:pPr>
            <w:r w:rsidRPr="00B719FA">
              <w:t>Nominal market cost of equity 10.4-14.1%</w:t>
            </w:r>
          </w:p>
          <w:p w:rsidR="006B0748" w:rsidRPr="006B0748" w:rsidRDefault="006B0748" w:rsidP="006B0748">
            <w:pPr>
              <w:pStyle w:val="AERtabletextleft"/>
            </w:pPr>
            <w:r w:rsidRPr="00B719FA">
              <w:t>Prevailing risk free rate and an MRP of 8.89%</w:t>
            </w:r>
          </w:p>
          <w:p w:rsidR="006B0748" w:rsidRPr="006B0748" w:rsidRDefault="006B0748" w:rsidP="006B0748">
            <w:pPr>
              <w:pStyle w:val="AERtabletextleft"/>
            </w:pPr>
            <w:r w:rsidRPr="00B719FA">
              <w:t>A historical average risk free rate of 5.86% and a 6% MRP.</w:t>
            </w:r>
          </w:p>
        </w:tc>
      </w:tr>
      <w:tr w:rsidR="006B0748" w:rsidTr="006B0748">
        <w:tc>
          <w:tcPr>
            <w:tcW w:w="2376" w:type="dxa"/>
          </w:tcPr>
          <w:p w:rsidR="006B0748" w:rsidRPr="006B0748" w:rsidRDefault="006B0748" w:rsidP="006B0748">
            <w:pPr>
              <w:pStyle w:val="AERtabletextleft"/>
            </w:pPr>
            <w:r w:rsidRPr="00B719FA">
              <w:t>Capital Research</w:t>
            </w:r>
          </w:p>
        </w:tc>
        <w:tc>
          <w:tcPr>
            <w:tcW w:w="3969" w:type="dxa"/>
          </w:tcPr>
          <w:p w:rsidR="006B0748" w:rsidRPr="006B0748" w:rsidRDefault="006B0748" w:rsidP="006B0748">
            <w:pPr>
              <w:pStyle w:val="AERtabletextleft"/>
            </w:pPr>
            <w:r w:rsidRPr="00B719FA">
              <w:t>Us</w:t>
            </w:r>
            <w:r w:rsidRPr="006B0748">
              <w:t>e DGMs to estimate the MRP, no comment on the risk free rate</w:t>
            </w:r>
          </w:p>
        </w:tc>
        <w:tc>
          <w:tcPr>
            <w:tcW w:w="2897" w:type="dxa"/>
          </w:tcPr>
          <w:p w:rsidR="006B0748" w:rsidRPr="006B0748" w:rsidRDefault="006B0748" w:rsidP="006B0748">
            <w:pPr>
              <w:pStyle w:val="AERtabletextleft"/>
            </w:pPr>
            <w:r w:rsidRPr="00B719FA">
              <w:t>An MRP of 9.6%</w:t>
            </w:r>
          </w:p>
        </w:tc>
      </w:tr>
      <w:tr w:rsidR="006B0748" w:rsidTr="006B0748">
        <w:trPr>
          <w:cnfStyle w:val="000000010000"/>
        </w:trPr>
        <w:tc>
          <w:tcPr>
            <w:tcW w:w="2376" w:type="dxa"/>
          </w:tcPr>
          <w:p w:rsidR="006B0748" w:rsidRPr="006B0748" w:rsidRDefault="006B0748" w:rsidP="006B0748">
            <w:pPr>
              <w:pStyle w:val="AERtabletextleft"/>
            </w:pPr>
            <w:r w:rsidRPr="00B719FA">
              <w:t>NERA</w:t>
            </w:r>
          </w:p>
        </w:tc>
        <w:tc>
          <w:tcPr>
            <w:tcW w:w="3969" w:type="dxa"/>
          </w:tcPr>
          <w:p w:rsidR="006B0748" w:rsidRPr="006B0748" w:rsidRDefault="006B0748" w:rsidP="006B0748">
            <w:pPr>
              <w:pStyle w:val="AERtabletextleft"/>
              <w:rPr>
                <w:rStyle w:val="AERtextunderline"/>
              </w:rPr>
            </w:pPr>
            <w:r w:rsidRPr="004B302C">
              <w:rPr>
                <w:rStyle w:val="AERtextunderline"/>
              </w:rPr>
              <w:t>I</w:t>
            </w:r>
            <w:r w:rsidRPr="006B0748">
              <w:rPr>
                <w:rStyle w:val="AERtextunderline"/>
              </w:rPr>
              <w:t>nitial proposal report:</w:t>
            </w:r>
          </w:p>
          <w:p w:rsidR="006B0748" w:rsidRPr="006B0748" w:rsidRDefault="006B0748" w:rsidP="006B0748">
            <w:pPr>
              <w:pStyle w:val="AERtabletextleft"/>
            </w:pPr>
            <w:r>
              <w:t>R</w:t>
            </w:r>
            <w:r w:rsidRPr="006B0748">
              <w:t>egime switching model and DGM estimates of the MRP.  No comment on the risk free rate.</w:t>
            </w:r>
          </w:p>
          <w:p w:rsidR="006B0748" w:rsidRPr="00041403" w:rsidRDefault="006B0748" w:rsidP="006B0748">
            <w:pPr>
              <w:pStyle w:val="AERtabletextleft"/>
              <w:numPr>
                <w:ilvl w:val="2"/>
                <w:numId w:val="45"/>
              </w:numPr>
              <w:rPr>
                <w:rStyle w:val="AERtextunderline"/>
              </w:rPr>
            </w:pPr>
            <w:r w:rsidRPr="004B302C">
              <w:rPr>
                <w:rStyle w:val="AERtextunderline"/>
              </w:rPr>
              <w:t>Revised proposal report:</w:t>
            </w:r>
          </w:p>
          <w:p w:rsidR="006B0748" w:rsidRPr="006B0748" w:rsidRDefault="006B0748" w:rsidP="006B0748">
            <w:pPr>
              <w:pStyle w:val="AERtabletextleft"/>
            </w:pPr>
            <w:r>
              <w:t>Long</w:t>
            </w:r>
            <w:r w:rsidRPr="006B0748">
              <w:t xml:space="preserve"> term historical average risk free rate with historical average MRP. </w:t>
            </w:r>
          </w:p>
        </w:tc>
        <w:tc>
          <w:tcPr>
            <w:tcW w:w="2897" w:type="dxa"/>
          </w:tcPr>
          <w:p w:rsidR="006B0748" w:rsidRPr="006B0748" w:rsidRDefault="006B0748" w:rsidP="006B0748">
            <w:pPr>
              <w:pStyle w:val="AERtabletextleft"/>
            </w:pPr>
            <w:r w:rsidRPr="00B719FA">
              <w:t xml:space="preserve">Regime switching </w:t>
            </w:r>
            <w:r w:rsidRPr="006B0748">
              <w:t>model: an MRP of 8.44%</w:t>
            </w:r>
          </w:p>
          <w:p w:rsidR="006B0748" w:rsidRPr="006B0748" w:rsidRDefault="006B0748" w:rsidP="006B0748">
            <w:pPr>
              <w:pStyle w:val="AERtabletextleft"/>
            </w:pPr>
            <w:r w:rsidRPr="00B719FA">
              <w:t>DGM</w:t>
            </w:r>
            <w:r w:rsidRPr="006B0748">
              <w:t xml:space="preserve"> MRP estimates in the range of 7.69-7.72%.</w:t>
            </w:r>
          </w:p>
          <w:p w:rsidR="006B0748" w:rsidRPr="006B0748" w:rsidRDefault="006B0748" w:rsidP="006B0748">
            <w:pPr>
              <w:pStyle w:val="AERtabletextleft"/>
            </w:pPr>
            <w:r>
              <w:t>V</w:t>
            </w:r>
            <w:r w:rsidRPr="006B0748">
              <w:t xml:space="preserve">alues not specified, </w:t>
            </w:r>
          </w:p>
        </w:tc>
      </w:tr>
      <w:tr w:rsidR="006B0748" w:rsidTr="006B0748">
        <w:tc>
          <w:tcPr>
            <w:tcW w:w="2376" w:type="dxa"/>
          </w:tcPr>
          <w:p w:rsidR="006B0748" w:rsidRPr="006B0748" w:rsidRDefault="006B0748" w:rsidP="006B0748">
            <w:pPr>
              <w:pStyle w:val="AERtabletextleft"/>
            </w:pPr>
            <w:r w:rsidRPr="00B719FA">
              <w:t>Gregory</w:t>
            </w:r>
          </w:p>
        </w:tc>
        <w:tc>
          <w:tcPr>
            <w:tcW w:w="3969" w:type="dxa"/>
          </w:tcPr>
          <w:p w:rsidR="006B0748" w:rsidRPr="006B0748" w:rsidRDefault="006B0748" w:rsidP="006B0748">
            <w:pPr>
              <w:pStyle w:val="AERtabletextleft"/>
            </w:pPr>
            <w:r w:rsidRPr="00B719FA">
              <w:t xml:space="preserve">1. Estimate the expected return on the market directly and use this estimate with </w:t>
            </w:r>
            <w:r w:rsidRPr="006B0748">
              <w:t>the preferred risk free rate in the CAPM.</w:t>
            </w:r>
          </w:p>
          <w:p w:rsidR="006B0748" w:rsidRPr="006B0748" w:rsidRDefault="006B0748" w:rsidP="006B0748">
            <w:pPr>
              <w:pStyle w:val="AERtabletextleft"/>
            </w:pPr>
            <w:r w:rsidRPr="00B719FA">
              <w:t xml:space="preserve">2. </w:t>
            </w:r>
            <w:r w:rsidRPr="006B0748">
              <w:t>Estimate both the risk free rate and the MRP from historically observed data.</w:t>
            </w:r>
          </w:p>
        </w:tc>
        <w:tc>
          <w:tcPr>
            <w:tcW w:w="2897" w:type="dxa"/>
          </w:tcPr>
          <w:p w:rsidR="006B0748" w:rsidRPr="006B0748" w:rsidRDefault="006B0748" w:rsidP="006B0748">
            <w:pPr>
              <w:pStyle w:val="AERtabletextleft"/>
            </w:pPr>
            <w:r w:rsidRPr="00B719FA">
              <w:t>Nominal expected return on the market of 11.31% (with imputation credits adjustment).</w:t>
            </w:r>
          </w:p>
          <w:p w:rsidR="006B0748" w:rsidRPr="006B0748" w:rsidRDefault="006B0748" w:rsidP="006B0748">
            <w:pPr>
              <w:pStyle w:val="AERtabletextleft"/>
            </w:pPr>
            <w:r w:rsidRPr="00B719FA">
              <w:t>Historical risk free rate (5% as currently proposed by the Victorian gas distribution businesses) and historical MRP of 6%</w:t>
            </w:r>
          </w:p>
        </w:tc>
      </w:tr>
      <w:tr w:rsidR="006B0748" w:rsidTr="006B0748">
        <w:trPr>
          <w:cnfStyle w:val="000000010000"/>
        </w:trPr>
        <w:tc>
          <w:tcPr>
            <w:tcW w:w="2376" w:type="dxa"/>
          </w:tcPr>
          <w:p w:rsidR="006B0748" w:rsidRPr="006B0748" w:rsidRDefault="006B0748" w:rsidP="006B0748">
            <w:pPr>
              <w:pStyle w:val="AERtabletextleft"/>
            </w:pPr>
            <w:r w:rsidRPr="00B719FA">
              <w:t>Wright</w:t>
            </w:r>
          </w:p>
        </w:tc>
        <w:tc>
          <w:tcPr>
            <w:tcW w:w="3969" w:type="dxa"/>
          </w:tcPr>
          <w:p w:rsidR="006B0748" w:rsidRPr="006B0748" w:rsidRDefault="006B0748" w:rsidP="006B0748">
            <w:pPr>
              <w:pStyle w:val="AERtabletextleft"/>
            </w:pPr>
            <w:r w:rsidRPr="00B719FA">
              <w:t xml:space="preserve">1. Assume a </w:t>
            </w:r>
            <w:r w:rsidRPr="006B0748">
              <w:t>constant real market cost of equity</w:t>
            </w:r>
          </w:p>
          <w:p w:rsidR="006B0748" w:rsidRPr="00B719FA" w:rsidRDefault="006B0748" w:rsidP="006B0748">
            <w:pPr>
              <w:pStyle w:val="AERtabletextleft"/>
            </w:pPr>
          </w:p>
          <w:p w:rsidR="006B0748" w:rsidRPr="006B0748" w:rsidRDefault="006B0748" w:rsidP="006B0748">
            <w:pPr>
              <w:pStyle w:val="AERtabletextleft"/>
            </w:pPr>
            <w:r w:rsidRPr="00B719FA">
              <w:t>2. Combine historic</w:t>
            </w:r>
            <w:r w:rsidRPr="006B0748">
              <w:t>al average risk free rate with a historical average MRP</w:t>
            </w:r>
          </w:p>
        </w:tc>
        <w:tc>
          <w:tcPr>
            <w:tcW w:w="2897" w:type="dxa"/>
          </w:tcPr>
          <w:p w:rsidR="006B0748" w:rsidRPr="006B0748" w:rsidRDefault="006B0748" w:rsidP="006B0748">
            <w:pPr>
              <w:pStyle w:val="AERtabletextleft"/>
            </w:pPr>
            <w:r w:rsidRPr="00B719FA">
              <w:t>Real market cost of equity in the range of 7.25-7.5% according to recent Ofgem decisions</w:t>
            </w:r>
            <w:r w:rsidRPr="006B0748">
              <w:t>. Australian rate not specified.</w:t>
            </w:r>
          </w:p>
          <w:p w:rsidR="006B0748" w:rsidRPr="006B0748" w:rsidRDefault="006B0748" w:rsidP="006B0748">
            <w:pPr>
              <w:pStyle w:val="AERtabletextleft"/>
            </w:pPr>
            <w:r w:rsidRPr="00B719FA">
              <w:t xml:space="preserve">Historical risk free rate </w:t>
            </w:r>
            <w:r w:rsidRPr="006B0748">
              <w:t>(5% as currently proposed by the Victorian gas distribution businesses) and historical MRP of 6%</w:t>
            </w:r>
          </w:p>
        </w:tc>
      </w:tr>
      <w:tr w:rsidR="006B0748" w:rsidTr="006B0748">
        <w:tc>
          <w:tcPr>
            <w:tcW w:w="2376" w:type="dxa"/>
          </w:tcPr>
          <w:p w:rsidR="006B0748" w:rsidRPr="006B0748" w:rsidRDefault="006B0748" w:rsidP="006B0748">
            <w:pPr>
              <w:pStyle w:val="AERtabletextleft"/>
            </w:pPr>
            <w:r w:rsidRPr="00B719FA">
              <w:t>VAA</w:t>
            </w:r>
          </w:p>
        </w:tc>
        <w:tc>
          <w:tcPr>
            <w:tcW w:w="3969" w:type="dxa"/>
          </w:tcPr>
          <w:p w:rsidR="006B0748" w:rsidRPr="006B0748" w:rsidRDefault="006B0748" w:rsidP="006B0748">
            <w:pPr>
              <w:pStyle w:val="AERtabletextleft"/>
            </w:pPr>
            <w:r>
              <w:t>P</w:t>
            </w:r>
            <w:r w:rsidRPr="006B0748">
              <w:t>revailing risk free rate with implied volatility estimate of the MRP</w:t>
            </w:r>
          </w:p>
        </w:tc>
        <w:tc>
          <w:tcPr>
            <w:tcW w:w="2897" w:type="dxa"/>
          </w:tcPr>
          <w:p w:rsidR="006B0748" w:rsidRPr="006B0748" w:rsidRDefault="006B0748" w:rsidP="006B0748">
            <w:pPr>
              <w:pStyle w:val="AERtabletextleft"/>
            </w:pPr>
            <w:r>
              <w:t>P</w:t>
            </w:r>
            <w:r w:rsidRPr="006B0748">
              <w:t>revailing risk free rate and a 7% MRP</w:t>
            </w:r>
          </w:p>
          <w:p w:rsidR="006B0748" w:rsidRPr="006B0748" w:rsidRDefault="006B0748" w:rsidP="006B0748">
            <w:pPr>
              <w:pStyle w:val="AERtabletextleft"/>
            </w:pPr>
            <w:r>
              <w:t xml:space="preserve">(The </w:t>
            </w:r>
            <w:r w:rsidRPr="006B0748">
              <w:t>AER estimated a 10 year MRP of 5.54 per cent after correcting for its concerns discussed in the attachment.)</w:t>
            </w:r>
          </w:p>
        </w:tc>
      </w:tr>
      <w:tr w:rsidR="006B0748" w:rsidTr="006B0748">
        <w:trPr>
          <w:cnfStyle w:val="000000010000"/>
        </w:trPr>
        <w:tc>
          <w:tcPr>
            <w:tcW w:w="2376" w:type="dxa"/>
          </w:tcPr>
          <w:p w:rsidR="006B0748" w:rsidRPr="006B0748" w:rsidRDefault="006B0748" w:rsidP="006B0748">
            <w:pPr>
              <w:pStyle w:val="AERtabletextleft"/>
            </w:pPr>
            <w:r w:rsidRPr="00B719FA">
              <w:t>SFG</w:t>
            </w:r>
          </w:p>
        </w:tc>
        <w:tc>
          <w:tcPr>
            <w:tcW w:w="3969" w:type="dxa"/>
          </w:tcPr>
          <w:p w:rsidR="006B0748" w:rsidRPr="006B0748" w:rsidRDefault="006B0748" w:rsidP="006B0748">
            <w:pPr>
              <w:pStyle w:val="AERtabletextleft"/>
            </w:pPr>
            <w:r w:rsidRPr="00B719FA">
              <w:t xml:space="preserve">Use financial </w:t>
            </w:r>
            <w:r w:rsidRPr="006B0748">
              <w:t>market indicators (implied volatility, dividend yields, credit spreads, ASX price earnings ratio) to estimate MRP, no comment on the risk free rate</w:t>
            </w:r>
          </w:p>
        </w:tc>
        <w:tc>
          <w:tcPr>
            <w:tcW w:w="2897" w:type="dxa"/>
          </w:tcPr>
          <w:p w:rsidR="006B0748" w:rsidRPr="006B0748" w:rsidRDefault="006B0748" w:rsidP="006B0748">
            <w:pPr>
              <w:pStyle w:val="AERtabletextleft"/>
            </w:pPr>
            <w:r>
              <w:t xml:space="preserve">No </w:t>
            </w:r>
            <w:r w:rsidRPr="006B0748">
              <w:t>specific MRP estimate but considers these indicators show the current MRP is above 6%</w:t>
            </w:r>
          </w:p>
        </w:tc>
      </w:tr>
    </w:tbl>
    <w:p w:rsidR="006B0748" w:rsidRPr="00B719FA" w:rsidRDefault="006B0748" w:rsidP="006B0748">
      <w:pPr>
        <w:pStyle w:val="AERbodytext"/>
        <w:numPr>
          <w:ilvl w:val="0"/>
          <w:numId w:val="13"/>
        </w:numPr>
      </w:pPr>
    </w:p>
    <w:p w:rsidR="006B0748" w:rsidRPr="00B719FA" w:rsidRDefault="009B2237" w:rsidP="006B0748">
      <w:pPr>
        <w:pStyle w:val="AERbodytext"/>
        <w:numPr>
          <w:ilvl w:val="0"/>
          <w:numId w:val="13"/>
        </w:numPr>
      </w:pPr>
      <w:r w:rsidRPr="006B0748">
        <w:rPr>
          <w:rFonts w:eastAsia="Calibri"/>
        </w:rPr>
        <w:fldChar w:fldCharType="begin"/>
      </w:r>
      <w:r w:rsidR="006B0748" w:rsidRPr="006B0748">
        <w:rPr>
          <w:rFonts w:eastAsia="Calibri"/>
        </w:rPr>
        <w:instrText xml:space="preserve"> REF _Ref350864467 \h </w:instrText>
      </w:r>
      <w:r w:rsidRPr="006B0748">
        <w:rPr>
          <w:rFonts w:eastAsia="Calibri"/>
        </w:rPr>
      </w:r>
      <w:r w:rsidRPr="006B0748">
        <w:rPr>
          <w:rFonts w:eastAsia="Calibri"/>
        </w:rPr>
        <w:fldChar w:fldCharType="separate"/>
      </w:r>
      <w:r w:rsidR="006B0748">
        <w:t xml:space="preserve">Table </w:t>
      </w:r>
      <w:r w:rsidR="006B0748">
        <w:rPr>
          <w:noProof/>
        </w:rPr>
        <w:t>B</w:t>
      </w:r>
      <w:r w:rsidR="006B0748">
        <w:t>.</w:t>
      </w:r>
      <w:r w:rsidR="006B0748">
        <w:rPr>
          <w:noProof/>
        </w:rPr>
        <w:t>2</w:t>
      </w:r>
      <w:r w:rsidRPr="006B0748">
        <w:rPr>
          <w:rFonts w:eastAsia="Calibri"/>
        </w:rPr>
        <w:fldChar w:fldCharType="end"/>
      </w:r>
      <w:r w:rsidR="006B0748" w:rsidRPr="006B0748">
        <w:rPr>
          <w:rFonts w:eastAsia="Calibri"/>
        </w:rPr>
        <w:t xml:space="preserve"> above summarises different views of different experts. After carefully assessing these views, the AER considers its current approach is reasonable and it appropriately reflects prevailing conditions in the market for funds. Its reasons are set out in attachment 5 and below. The AER's approach most closely resembles the approaches of McKenzie and Partington and Lally.</w:t>
      </w:r>
    </w:p>
    <w:p w:rsidR="006B0748" w:rsidRPr="00691ED9" w:rsidRDefault="006B0748" w:rsidP="006B0748">
      <w:pPr>
        <w:pStyle w:val="Heading9"/>
      </w:pPr>
      <w:bookmarkStart w:id="30" w:name="_Ref350877766"/>
      <w:r w:rsidRPr="00691ED9">
        <w:t>McKenzie and Partington's recommended cost of equity approach</w:t>
      </w:r>
      <w:bookmarkEnd w:id="30"/>
    </w:p>
    <w:p w:rsidR="006B0748" w:rsidRPr="00B719FA" w:rsidRDefault="006B0748" w:rsidP="006B0748">
      <w:r w:rsidRPr="00B719FA">
        <w:t>McKenzie and Partington considered the current yield on 10 year CGS is a reasonable estimate of the 10 year forward looking RFR. It is possible to invest</w:t>
      </w:r>
      <w:r>
        <w:t xml:space="preserve"> for ten years</w:t>
      </w:r>
      <w:r w:rsidRPr="00B719FA">
        <w:t xml:space="preserve"> at this rate at the current point in time. Thus, it is the natural benchmark with which to compare other investments over a ten year horizon.</w:t>
      </w:r>
      <w:r w:rsidRPr="00B719FA">
        <w:rPr>
          <w:rStyle w:val="FootnoteReference"/>
        </w:rPr>
        <w:footnoteReference w:id="24"/>
      </w:r>
    </w:p>
    <w:p w:rsidR="006B0748" w:rsidRDefault="006B0748" w:rsidP="006B0748">
      <w:pPr>
        <w:pStyle w:val="AERbodytext"/>
        <w:numPr>
          <w:ilvl w:val="0"/>
          <w:numId w:val="13"/>
        </w:numPr>
      </w:pPr>
      <w:r w:rsidRPr="00B719FA">
        <w:t>In relation to the MRP, they noted the objective should be to estimate the unconditional mean MRP, but supplemented by triangulation and reasonableness checks using alternative approaches in determining the current MRP to be used in regulatory decisions.</w:t>
      </w:r>
      <w:r w:rsidRPr="00B719FA">
        <w:rPr>
          <w:rStyle w:val="FootnoteReference"/>
        </w:rPr>
        <w:footnoteReference w:id="25"/>
      </w:r>
      <w:r w:rsidRPr="00B719FA">
        <w:t xml:space="preserve"> In the December 2011 MRP report, they considered four areas of evidence: historical excess returns, survey evidence, DGM analysis and other methods (including using international data, credit spreads and implied volatilities). They advised placing weight on historical excess returns and survey evidence</w:t>
      </w:r>
      <w:r>
        <w:t>:</w:t>
      </w:r>
      <w:r w:rsidRPr="00B719FA">
        <w:t xml:space="preserve"> DGM and other methods can be used only as reasonableness checks and need to be interpreted with caution. </w:t>
      </w:r>
    </w:p>
    <w:p w:rsidR="006B0748" w:rsidRPr="00B719FA" w:rsidRDefault="006B0748" w:rsidP="006B0748">
      <w:pPr>
        <w:pStyle w:val="AERbodytext"/>
        <w:numPr>
          <w:ilvl w:val="0"/>
          <w:numId w:val="13"/>
        </w:numPr>
      </w:pPr>
      <w:r>
        <w:t>They</w:t>
      </w:r>
      <w:r w:rsidRPr="00B719FA">
        <w:t xml:space="preserve"> concluded there is little persuasive evidence for deviating from the long standing regulatory consensus of a market risk premium estimate of 6 per cent. If anything, the risk with this estimate is that it may prove to be an overstatement</w:t>
      </w:r>
      <w:r w:rsidRPr="006B0748">
        <w:rPr>
          <w:rFonts w:eastAsia="Calibri"/>
        </w:rPr>
        <w:t>.</w:t>
      </w:r>
      <w:r w:rsidRPr="006B0748">
        <w:rPr>
          <w:rStyle w:val="FootnoteReference"/>
          <w:rFonts w:eastAsia="Calibri"/>
        </w:rPr>
        <w:footnoteReference w:id="26"/>
      </w:r>
      <w:r w:rsidRPr="006B0748">
        <w:rPr>
          <w:rFonts w:eastAsia="Calibri"/>
        </w:rPr>
        <w:t xml:space="preserve"> They remained of this view in their February 2012 report, August 2012 report and the most recent February 2013 report, after having reviewed further materials submitted by regulated businesses.</w:t>
      </w:r>
      <w:r w:rsidRPr="006B0748">
        <w:rPr>
          <w:rStyle w:val="FootnoteReference"/>
          <w:rFonts w:eastAsia="Calibri"/>
        </w:rPr>
        <w:footnoteReference w:id="27"/>
      </w:r>
      <w:r w:rsidRPr="006B0748">
        <w:rPr>
          <w:rFonts w:eastAsia="Calibri"/>
        </w:rPr>
        <w:t xml:space="preserve"> </w:t>
      </w:r>
    </w:p>
    <w:p w:rsidR="006B0748" w:rsidRDefault="006B0748" w:rsidP="006B0748">
      <w:pPr>
        <w:pStyle w:val="AERbodytext"/>
        <w:numPr>
          <w:ilvl w:val="0"/>
          <w:numId w:val="13"/>
        </w:numPr>
      </w:pPr>
      <w:r w:rsidRPr="00B719FA">
        <w:t>McKenzie and Partington have also critically evaluated the AER's approach in their February 2013 report. They interpreted the AER’s approach as combining an estimate of the current risk free rate with an estimate of the current market risk premium, thus it is an internally consistent approach and consistent with finance theory. They acknowledged the 6 per cent adopted by the AER is not just a choice based on the historic</w:t>
      </w:r>
      <w:r>
        <w:t>al</w:t>
      </w:r>
      <w:r w:rsidRPr="00B719FA">
        <w:t xml:space="preserve"> average of the MRP. Rather it is based on a broader set of evidence</w:t>
      </w:r>
      <w:r>
        <w:t xml:space="preserve"> they</w:t>
      </w:r>
      <w:r w:rsidRPr="00B719FA">
        <w:t xml:space="preserve"> reviewed in their December 2011 report.</w:t>
      </w:r>
      <w:r w:rsidRPr="00B719FA">
        <w:rPr>
          <w:rStyle w:val="FootnoteReference"/>
        </w:rPr>
        <w:footnoteReference w:id="28"/>
      </w:r>
      <w:r w:rsidRPr="00B719FA">
        <w:t xml:space="preserve"> </w:t>
      </w:r>
    </w:p>
    <w:p w:rsidR="006B0748" w:rsidRPr="00B719FA" w:rsidRDefault="006B0748" w:rsidP="006B0748">
      <w:pPr>
        <w:pStyle w:val="AERbodytext"/>
        <w:numPr>
          <w:ilvl w:val="0"/>
          <w:numId w:val="13"/>
        </w:numPr>
      </w:pPr>
      <w:r>
        <w:t xml:space="preserve">In their most recent report, </w:t>
      </w:r>
      <w:r w:rsidRPr="00B719FA">
        <w:t>McKenzie and Partington considered getting the best estimate of the current risk free rate and the best estimate of the current MRP is the key. They supported the AER's approach of using the prevailing yield on the 10 year CGS and a 6 per cent MRP.</w:t>
      </w:r>
      <w:r w:rsidRPr="00B719FA">
        <w:rPr>
          <w:rStyle w:val="FootnoteReference"/>
        </w:rPr>
        <w:footnoteReference w:id="29"/>
      </w:r>
      <w:r w:rsidRPr="00B719FA">
        <w:t xml:space="preserve"> </w:t>
      </w:r>
    </w:p>
    <w:p w:rsidR="006B0748" w:rsidRPr="00691ED9" w:rsidRDefault="006B0748" w:rsidP="006B0748">
      <w:pPr>
        <w:pStyle w:val="Heading9"/>
      </w:pPr>
      <w:r w:rsidRPr="00691ED9">
        <w:t xml:space="preserve">Lally's recommended cost of equity approach </w:t>
      </w:r>
    </w:p>
    <w:p w:rsidR="006B0748" w:rsidRPr="00B719FA" w:rsidRDefault="006B0748" w:rsidP="006B0748">
      <w:r w:rsidRPr="00B719FA">
        <w:t xml:space="preserve">Lally suggested using a risk free rate prevailing at the commencement of the regulatory period, as this ensures the present value of the regulated </w:t>
      </w:r>
      <w:r>
        <w:t>business's</w:t>
      </w:r>
      <w:r w:rsidRPr="00B719FA">
        <w:t xml:space="preserve"> future cash flows matches its initial investment.  He further suggested the risk free rate should be the rate on bonds whose term matches the regulatory cycle (five year</w:t>
      </w:r>
      <w:r>
        <w:t>s</w:t>
      </w:r>
      <w:r w:rsidRPr="00B719FA">
        <w:t xml:space="preserve">) in order to satisfy the present value principle. </w:t>
      </w:r>
    </w:p>
    <w:p w:rsidR="006B0748" w:rsidRPr="00B719FA" w:rsidRDefault="006B0748" w:rsidP="006B0748">
      <w:r w:rsidRPr="00B719FA">
        <w:t>In relation to the MRP, he suggested an approach that minimises the mean squared error (MSE) and this leads to a consideration of the results from a wide range of method</w:t>
      </w:r>
      <w:r>
        <w:t>s</w:t>
      </w:r>
      <w:r w:rsidRPr="00B719FA">
        <w:t>.  These method</w:t>
      </w:r>
      <w:r>
        <w:t>s</w:t>
      </w:r>
      <w:r w:rsidRPr="00B719FA">
        <w:t xml:space="preserve"> should include:</w:t>
      </w:r>
    </w:p>
    <w:p w:rsidR="006B0748" w:rsidRPr="00B719FA" w:rsidRDefault="006B0748" w:rsidP="006B0748">
      <w:pPr>
        <w:pStyle w:val="AERbulletlistfirststyle"/>
      </w:pPr>
      <w:r w:rsidRPr="00B719FA">
        <w:t xml:space="preserve"> the historical averaging of excess returns (6 per cent)</w:t>
      </w:r>
      <w:r w:rsidRPr="00B719FA">
        <w:rPr>
          <w:rStyle w:val="FootnoteReference"/>
        </w:rPr>
        <w:footnoteReference w:id="30"/>
      </w:r>
      <w:r w:rsidRPr="00B719FA">
        <w:t xml:space="preserve">, </w:t>
      </w:r>
    </w:p>
    <w:p w:rsidR="006B0748" w:rsidRPr="00B719FA" w:rsidRDefault="006B0748" w:rsidP="006B0748">
      <w:pPr>
        <w:pStyle w:val="AERbulletlistfirststyle"/>
      </w:pPr>
      <w:r w:rsidRPr="00B719FA">
        <w:t xml:space="preserve">the historical average of excess returns modified for the 'great inflation shock' in the 20th century (4.9 per cent), </w:t>
      </w:r>
    </w:p>
    <w:p w:rsidR="006B0748" w:rsidRPr="00B719FA" w:rsidRDefault="006B0748" w:rsidP="006B0748">
      <w:pPr>
        <w:pStyle w:val="AERbulletlistfirststyle"/>
      </w:pPr>
      <w:r w:rsidRPr="00B719FA">
        <w:t xml:space="preserve">the result from the DGM approach (5.9-8.5 per cent), </w:t>
      </w:r>
    </w:p>
    <w:p w:rsidR="006B0748" w:rsidRPr="00B719FA" w:rsidRDefault="006B0748" w:rsidP="006B0748">
      <w:pPr>
        <w:pStyle w:val="AERbulletlistfirststyle"/>
      </w:pPr>
      <w:r w:rsidRPr="00B719FA">
        <w:t xml:space="preserve">the result from surveys (up to 5.9 per cent), </w:t>
      </w:r>
    </w:p>
    <w:p w:rsidR="006B0748" w:rsidRPr="00B719FA" w:rsidRDefault="006B0748" w:rsidP="006B0748">
      <w:pPr>
        <w:pStyle w:val="AERbulletlistfirststyle"/>
      </w:pPr>
      <w:proofErr w:type="gramStart"/>
      <w:r w:rsidRPr="00B719FA">
        <w:t>evidence</w:t>
      </w:r>
      <w:proofErr w:type="gramEnd"/>
      <w:r w:rsidRPr="00B719FA">
        <w:t xml:space="preserve"> from foreign markets as well as other methodologies can also be considered.  </w:t>
      </w:r>
    </w:p>
    <w:p w:rsidR="006B0748" w:rsidRPr="00B719FA" w:rsidRDefault="006B0748" w:rsidP="006B0748">
      <w:r w:rsidRPr="00B719FA">
        <w:t>Lally noted the median of these approaches (6.0 per cent) provides an appropriate MRP estimate.</w:t>
      </w:r>
      <w:r w:rsidRPr="00B719FA">
        <w:rPr>
          <w:rStyle w:val="FootnoteReference"/>
        </w:rPr>
        <w:footnoteReference w:id="31"/>
      </w:r>
      <w:r w:rsidRPr="00B719FA">
        <w:t xml:space="preserve">  </w:t>
      </w:r>
    </w:p>
    <w:p w:rsidR="006B0748" w:rsidRPr="00B719FA" w:rsidRDefault="006B0748" w:rsidP="006B0748">
      <w:r w:rsidRPr="00B719FA">
        <w:t xml:space="preserve">Lally's estimated MRP matches the AER’s </w:t>
      </w:r>
      <w:r>
        <w:t>current estimate</w:t>
      </w:r>
      <w:r w:rsidRPr="00B719FA">
        <w:t>.</w:t>
      </w:r>
      <w:r w:rsidRPr="00B719FA">
        <w:rPr>
          <w:rStyle w:val="FootnoteReference"/>
        </w:rPr>
        <w:footnoteReference w:id="32"/>
      </w:r>
      <w:r w:rsidRPr="00B719FA">
        <w:t xml:space="preserve"> The AER also applies a risk free rate prevailing at the commencement of the regulatory period. However, it uses a 10 year risk free rate rather than the 5 year CGS yield as recommended by Lally. By doing so, the AER is likely to estimate a cost of equity </w:t>
      </w:r>
      <w:r>
        <w:t>higher</w:t>
      </w:r>
      <w:r w:rsidRPr="00B719FA">
        <w:t xml:space="preserve"> than that suggested by Lally.</w:t>
      </w:r>
      <w:r w:rsidRPr="00B719FA">
        <w:rPr>
          <w:rStyle w:val="FootnoteReference"/>
        </w:rPr>
        <w:footnoteReference w:id="33"/>
      </w:r>
      <w:r w:rsidRPr="00B719FA">
        <w:t xml:space="preserve"> </w:t>
      </w:r>
    </w:p>
    <w:p w:rsidR="006B0748" w:rsidRPr="00691ED9" w:rsidRDefault="006B0748" w:rsidP="006B0748">
      <w:pPr>
        <w:pStyle w:val="Heading9"/>
      </w:pPr>
      <w:r w:rsidRPr="00691ED9">
        <w:t>CEPA’s recommended cost of equity approach</w:t>
      </w:r>
    </w:p>
    <w:p w:rsidR="006B0748" w:rsidRDefault="006B0748" w:rsidP="006B0748">
      <w:pPr>
        <w:pStyle w:val="AERbodytext"/>
        <w:numPr>
          <w:ilvl w:val="0"/>
          <w:numId w:val="13"/>
        </w:numPr>
      </w:pPr>
      <w:r>
        <w:t xml:space="preserve">CEPA noted there is evidence for a constant expected cost of equity over the long </w:t>
      </w:r>
      <w:proofErr w:type="gramStart"/>
      <w:r>
        <w:t>run,</w:t>
      </w:r>
      <w:proofErr w:type="gramEnd"/>
      <w:r>
        <w:t xml:space="preserve"> in this case it is important to apply a consistent approach. It therefore suggested estimating the cost of capital over the life of the asset as in the established UK approach.</w:t>
      </w:r>
      <w:r>
        <w:rPr>
          <w:rStyle w:val="FootnoteReference"/>
        </w:rPr>
        <w:footnoteReference w:id="34"/>
      </w:r>
      <w:r>
        <w:t xml:space="preserve"> </w:t>
      </w:r>
    </w:p>
    <w:p w:rsidR="006B0748" w:rsidRPr="006F035A" w:rsidRDefault="006B0748" w:rsidP="006B0748">
      <w:pPr>
        <w:pStyle w:val="AERbodytext"/>
        <w:numPr>
          <w:ilvl w:val="0"/>
          <w:numId w:val="13"/>
        </w:numPr>
      </w:pPr>
      <w:r>
        <w:t>T</w:t>
      </w:r>
      <w:r w:rsidRPr="006F035A">
        <w:t>he AER has also commissioned CEPA to consider the valuation reports presented by Ernst and Young. CEPA recommended that the AER should not change its current estimation approach after reviewing these valuation reports and considering various criteria it identified in the report.</w:t>
      </w:r>
      <w:r w:rsidRPr="006F035A">
        <w:rPr>
          <w:rStyle w:val="FootnoteReference"/>
        </w:rPr>
        <w:footnoteReference w:id="35"/>
      </w:r>
      <w:r w:rsidRPr="006F035A">
        <w:t xml:space="preserve"> </w:t>
      </w:r>
    </w:p>
    <w:p w:rsidR="006B0748" w:rsidRDefault="006B0748" w:rsidP="006B0748">
      <w:r>
        <w:t>A</w:t>
      </w:r>
      <w:r w:rsidRPr="00B719FA">
        <w:t xml:space="preserve">s discussed in section </w:t>
      </w:r>
      <w:r w:rsidR="009B2237">
        <w:fldChar w:fldCharType="begin"/>
      </w:r>
      <w:r>
        <w:instrText xml:space="preserve"> REF _Ref350877720 \r \h </w:instrText>
      </w:r>
      <w:r w:rsidR="009B2237">
        <w:fldChar w:fldCharType="separate"/>
      </w:r>
      <w:r>
        <w:t>B.3.1</w:t>
      </w:r>
      <w:r w:rsidR="009B2237">
        <w:fldChar w:fldCharType="end"/>
      </w:r>
      <w:r w:rsidRPr="00B719FA">
        <w:t xml:space="preserve">, the AER </w:t>
      </w:r>
      <w:r>
        <w:t>considers its current approach has</w:t>
      </w:r>
      <w:r w:rsidRPr="00B719FA">
        <w:t xml:space="preserve"> consistently estimated a 10 year forward looking risk free rate and a 10 year forward looking MRP.</w:t>
      </w:r>
      <w:r>
        <w:t xml:space="preserve"> </w:t>
      </w:r>
      <w:r w:rsidRPr="006A7351">
        <w:t xml:space="preserve">The evidence has not persuaded the AER that the cost </w:t>
      </w:r>
      <w:r>
        <w:t>of equity is relatively stable or there is a sufficient negative relationship between the risk free rate and the MRP. T</w:t>
      </w:r>
      <w:r w:rsidRPr="006A7351">
        <w:t>he reason</w:t>
      </w:r>
      <w:r>
        <w:t>s are</w:t>
      </w:r>
      <w:r w:rsidRPr="006A7351">
        <w:t xml:space="preserve"> discussed </w:t>
      </w:r>
      <w:r>
        <w:t xml:space="preserve">in sections </w:t>
      </w:r>
      <w:r w:rsidR="009B2237">
        <w:fldChar w:fldCharType="begin"/>
      </w:r>
      <w:r>
        <w:instrText xml:space="preserve"> REF _Ref350878490 \r \h </w:instrText>
      </w:r>
      <w:r w:rsidR="009B2237">
        <w:fldChar w:fldCharType="separate"/>
      </w:r>
      <w:r>
        <w:t>B.3.2</w:t>
      </w:r>
      <w:r w:rsidR="009B2237">
        <w:fldChar w:fldCharType="end"/>
      </w:r>
      <w:r>
        <w:t xml:space="preserve"> and </w:t>
      </w:r>
      <w:r w:rsidR="009B2237">
        <w:fldChar w:fldCharType="begin"/>
      </w:r>
      <w:r>
        <w:instrText xml:space="preserve"> REF _Ref350354851 \r \h </w:instrText>
      </w:r>
      <w:r w:rsidR="009B2237">
        <w:fldChar w:fldCharType="separate"/>
      </w:r>
      <w:r>
        <w:t>B.3.3</w:t>
      </w:r>
      <w:r w:rsidR="009B2237">
        <w:fldChar w:fldCharType="end"/>
      </w:r>
      <w:r>
        <w:t>.</w:t>
      </w:r>
    </w:p>
    <w:p w:rsidR="006B0748" w:rsidRPr="00691ED9" w:rsidRDefault="006B0748" w:rsidP="006B0748">
      <w:pPr>
        <w:pStyle w:val="Heading9"/>
      </w:pPr>
      <w:r w:rsidRPr="00691ED9">
        <w:t>CEG's recommended approaches (DGM or historical average based approaches)</w:t>
      </w:r>
    </w:p>
    <w:p w:rsidR="006B0748" w:rsidRPr="00B719FA" w:rsidRDefault="006B0748" w:rsidP="006B0748">
      <w:pPr>
        <w:pStyle w:val="AERbodytext"/>
        <w:numPr>
          <w:ilvl w:val="0"/>
          <w:numId w:val="13"/>
        </w:numPr>
      </w:pPr>
      <w:r w:rsidRPr="00B719FA">
        <w:t>In both the March and November 2013 reports, CEG proposed three alternative approaches to estimate the cost of equity:</w:t>
      </w:r>
    </w:p>
    <w:p w:rsidR="006B0748" w:rsidRPr="00B719FA" w:rsidRDefault="006B0748" w:rsidP="006B0748">
      <w:pPr>
        <w:pStyle w:val="AERbulletlistfirststyle"/>
      </w:pPr>
      <w:r w:rsidRPr="00B719FA">
        <w:t>use DGM to directly estimate the cost of equity for comparable firms</w:t>
      </w:r>
    </w:p>
    <w:p w:rsidR="006B0748" w:rsidRPr="00B719FA" w:rsidRDefault="006B0748" w:rsidP="006B0748">
      <w:pPr>
        <w:pStyle w:val="AERbulletlistfirststyle"/>
      </w:pPr>
      <w:r w:rsidRPr="00B719FA">
        <w:t>use DGM to estimate the cost of equity for the market portfolio and</w:t>
      </w:r>
      <w:r>
        <w:t xml:space="preserve"> apply within the CAPM to</w:t>
      </w:r>
      <w:r w:rsidRPr="00B719FA">
        <w:t xml:space="preserve"> derive a DGM estimate for the MRP</w:t>
      </w:r>
    </w:p>
    <w:p w:rsidR="006B0748" w:rsidRPr="00B719FA" w:rsidRDefault="006B0748" w:rsidP="006B0748">
      <w:pPr>
        <w:pStyle w:val="AERbulletlistfirststyle"/>
      </w:pPr>
      <w:r>
        <w:t>Proxy prevailing conditions in the market for funds by combining a historical average MRP with a historical average risk free rate</w:t>
      </w:r>
      <w:r w:rsidRPr="00B719FA">
        <w:t>.</w:t>
      </w:r>
      <w:r w:rsidRPr="00B719FA">
        <w:rPr>
          <w:rStyle w:val="FootnoteReference"/>
        </w:rPr>
        <w:footnoteReference w:id="36"/>
      </w:r>
    </w:p>
    <w:p w:rsidR="006B0748" w:rsidRPr="00B719FA" w:rsidRDefault="006B0748" w:rsidP="006B0748">
      <w:pPr>
        <w:pStyle w:val="AERbodytext"/>
        <w:numPr>
          <w:ilvl w:val="0"/>
          <w:numId w:val="13"/>
        </w:numPr>
      </w:pPr>
      <w:r w:rsidRPr="00B719FA">
        <w:t>CEG's estimated DGM cost of equity combin</w:t>
      </w:r>
      <w:r>
        <w:t>es</w:t>
      </w:r>
      <w:r w:rsidRPr="00B719FA">
        <w:t xml:space="preserve"> dividend yield forecasts with estimated dividend per share growth</w:t>
      </w:r>
      <w:r>
        <w:t xml:space="preserve"> forecasts</w:t>
      </w:r>
      <w:r w:rsidRPr="00B719FA">
        <w:t xml:space="preserve">. This approach assumes that, at any point in time, the market cost of equity is the same for all future years. With the first method, CEG estimated a cost of equity for Australian regulated </w:t>
      </w:r>
      <w:r>
        <w:t>businesses</w:t>
      </w:r>
      <w:r w:rsidRPr="00B719FA">
        <w:t xml:space="preserve"> of between 10.4-14.1 per cent.  By applying a prevailing risk free rate, it estimated a prevailing market cost of equity of 10.16 per cent and an MRP of 8.89 per cent from the second method. </w:t>
      </w:r>
    </w:p>
    <w:p w:rsidR="006B0748" w:rsidRPr="00B719FA" w:rsidRDefault="006B0748" w:rsidP="006B0748">
      <w:pPr>
        <w:pStyle w:val="AERbodytext"/>
        <w:numPr>
          <w:ilvl w:val="0"/>
          <w:numId w:val="13"/>
        </w:numPr>
      </w:pPr>
      <w:r w:rsidRPr="00B719FA">
        <w:t>CEG's third approach combines an average historical 10</w:t>
      </w:r>
      <w:r>
        <w:t xml:space="preserve"> </w:t>
      </w:r>
      <w:r w:rsidRPr="00B719FA">
        <w:t xml:space="preserve">year CGS between 1 July 1993 and 28 September 2012 (5.86 per cent nominal) with a beta of 0.8 and an MRP of 6 per cent. It estimated a nominal cost of equity of 10.66 per cent. This cost of equity estimate </w:t>
      </w:r>
      <w:r>
        <w:t>can</w:t>
      </w:r>
      <w:r w:rsidRPr="00B719FA">
        <w:t xml:space="preserve"> then</w:t>
      </w:r>
      <w:r>
        <w:t xml:space="preserve"> be</w:t>
      </w:r>
      <w:r w:rsidRPr="00B719FA">
        <w:t xml:space="preserve"> crosschecked with the DGM cost of equity estimates derived from the first two methods.</w:t>
      </w:r>
      <w:r>
        <w:rPr>
          <w:rStyle w:val="FootnoteReference"/>
        </w:rPr>
        <w:footnoteReference w:id="37"/>
      </w:r>
    </w:p>
    <w:p w:rsidR="006B0748" w:rsidRPr="00B719FA" w:rsidRDefault="006B0748" w:rsidP="006B0748">
      <w:pPr>
        <w:pStyle w:val="AERbodytext"/>
        <w:numPr>
          <w:ilvl w:val="0"/>
          <w:numId w:val="13"/>
        </w:numPr>
      </w:pPr>
      <w:r w:rsidRPr="00B719FA">
        <w:t xml:space="preserve">Based on advice from Lally, the AER considers CEG's DGM method overstates </w:t>
      </w:r>
      <w:r>
        <w:t xml:space="preserve">a </w:t>
      </w:r>
      <w:r w:rsidRPr="00B719FA">
        <w:t>reasonable MRP and cost of equity estimates when the risk free rate is low. The AER's analysis on the use of DGM methods generally, and concerns of CEG's particular DGM method is set out in section</w:t>
      </w:r>
      <w:r>
        <w:t xml:space="preserve"> </w:t>
      </w:r>
      <w:r w:rsidR="009B2237">
        <w:fldChar w:fldCharType="begin"/>
      </w:r>
      <w:r>
        <w:instrText xml:space="preserve"> REF _Ref349052368 \r \h </w:instrText>
      </w:r>
      <w:r w:rsidR="009B2237">
        <w:fldChar w:fldCharType="separate"/>
      </w:r>
      <w:r>
        <w:t>B.6</w:t>
      </w:r>
      <w:r w:rsidR="009B2237">
        <w:fldChar w:fldCharType="end"/>
      </w:r>
      <w:r w:rsidRPr="00B719FA">
        <w:t>.</w:t>
      </w:r>
    </w:p>
    <w:p w:rsidR="006B0748" w:rsidRPr="00B719FA" w:rsidRDefault="006B0748" w:rsidP="006B0748">
      <w:pPr>
        <w:pStyle w:val="AERbodytext"/>
        <w:numPr>
          <w:ilvl w:val="0"/>
          <w:numId w:val="13"/>
        </w:numPr>
      </w:pPr>
      <w:r w:rsidRPr="00B719FA">
        <w:t>In section</w:t>
      </w:r>
      <w:r>
        <w:t xml:space="preserve"> </w:t>
      </w:r>
      <w:r w:rsidR="009B2237">
        <w:fldChar w:fldCharType="begin"/>
      </w:r>
      <w:r>
        <w:instrText xml:space="preserve"> REF _Ref350877720 \r \h </w:instrText>
      </w:r>
      <w:r w:rsidR="009B2237">
        <w:fldChar w:fldCharType="separate"/>
      </w:r>
      <w:r>
        <w:t>B.3.1</w:t>
      </w:r>
      <w:r w:rsidR="009B2237">
        <w:fldChar w:fldCharType="end"/>
      </w:r>
      <w:r w:rsidRPr="00B719FA">
        <w:t>, the AER considers using</w:t>
      </w:r>
      <w:r>
        <w:t xml:space="preserve"> a</w:t>
      </w:r>
      <w:r w:rsidRPr="00B719FA">
        <w:t xml:space="preserve"> historical average risk free rate according to the third CEG approach </w:t>
      </w:r>
      <w:r>
        <w:t>will</w:t>
      </w:r>
      <w:r w:rsidRPr="00B719FA">
        <w:t xml:space="preserve"> violate the present value principle. CEG recommended this approach as it suggested the AER has incorrectly combined a spot risk free rate with a long term average MRP. However, as discussed in section</w:t>
      </w:r>
      <w:r>
        <w:t xml:space="preserve"> </w:t>
      </w:r>
      <w:r w:rsidR="009B2237">
        <w:fldChar w:fldCharType="begin"/>
      </w:r>
      <w:r>
        <w:instrText xml:space="preserve"> REF _Ref350877720 \r \h </w:instrText>
      </w:r>
      <w:r w:rsidR="009B2237">
        <w:fldChar w:fldCharType="separate"/>
      </w:r>
      <w:r>
        <w:t>B.3.1</w:t>
      </w:r>
      <w:r w:rsidR="009B2237">
        <w:fldChar w:fldCharType="end"/>
      </w:r>
      <w:r w:rsidRPr="00B719FA">
        <w:t>, the AER has consistently estimated a 10 year forward looking risk free rate and a 10 year forward looking MRP.</w:t>
      </w:r>
    </w:p>
    <w:p w:rsidR="006B0748" w:rsidRPr="00691ED9" w:rsidRDefault="006B0748" w:rsidP="006B0748">
      <w:pPr>
        <w:pStyle w:val="Heading9"/>
      </w:pPr>
      <w:r w:rsidRPr="00691ED9">
        <w:t>Capital Research's recommended MRP approach (DGM based approach)</w:t>
      </w:r>
    </w:p>
    <w:p w:rsidR="006B0748" w:rsidRPr="006B0748" w:rsidRDefault="006B0748" w:rsidP="006B0748">
      <w:pPr>
        <w:pStyle w:val="AERbodytext"/>
        <w:numPr>
          <w:ilvl w:val="0"/>
          <w:numId w:val="13"/>
        </w:numPr>
        <w:rPr>
          <w:rFonts w:eastAsia="Calibri"/>
        </w:rPr>
      </w:pPr>
      <w:r w:rsidRPr="006B0748">
        <w:rPr>
          <w:rFonts w:eastAsia="Calibri"/>
        </w:rPr>
        <w:t>Multinet submitted a Capital Research report which used a DGM to directly estimate the forward MRP in its initial proposal. It did not submit another Capital Research report with its revised proposal. In its March 2012 report, Capital Research suggested the best forward looking MRP was 9.6 per cent, assuming a risk free rate of 3.73 per cent and a net theta of 0.2625.</w:t>
      </w:r>
      <w:r w:rsidRPr="006B0748">
        <w:rPr>
          <w:rStyle w:val="FootnoteReference"/>
          <w:rFonts w:eastAsia="Calibri"/>
        </w:rPr>
        <w:footnoteReference w:id="38"/>
      </w:r>
    </w:p>
    <w:p w:rsidR="006B0748" w:rsidRPr="006B0748" w:rsidRDefault="006B0748" w:rsidP="006B0748">
      <w:pPr>
        <w:pStyle w:val="AERbodytext"/>
        <w:numPr>
          <w:ilvl w:val="0"/>
          <w:numId w:val="13"/>
        </w:numPr>
        <w:rPr>
          <w:rFonts w:eastAsia="Calibri"/>
        </w:rPr>
      </w:pPr>
      <w:r w:rsidRPr="006B0748">
        <w:rPr>
          <w:rFonts w:eastAsia="Calibri"/>
        </w:rPr>
        <w:t xml:space="preserve">The AER noted Capital Research's DGM estimate is subject to some limitations as discussed in sections B.2.3 and B.2.4 of the draft decision. As no further Capital Research report was submitted in the revised proposal, the AER does not address Capital Research's DGM estimates again in this final decision. </w:t>
      </w:r>
    </w:p>
    <w:p w:rsidR="006B0748" w:rsidRPr="00691ED9" w:rsidRDefault="006B0748" w:rsidP="006B0748">
      <w:pPr>
        <w:pStyle w:val="Heading9"/>
      </w:pPr>
      <w:r w:rsidRPr="00691ED9">
        <w:t>NERA's recommended cost of equity approaches</w:t>
      </w:r>
    </w:p>
    <w:p w:rsidR="006B0748" w:rsidRPr="00B719FA" w:rsidRDefault="006B0748" w:rsidP="006B0748">
      <w:pPr>
        <w:pStyle w:val="AERbodytext"/>
        <w:numPr>
          <w:ilvl w:val="0"/>
          <w:numId w:val="13"/>
        </w:numPr>
      </w:pPr>
      <w:r w:rsidRPr="00B719FA">
        <w:t xml:space="preserve">In </w:t>
      </w:r>
      <w:r>
        <w:t>its</w:t>
      </w:r>
      <w:r w:rsidRPr="00B719FA">
        <w:t xml:space="preserve"> initial proposal, </w:t>
      </w:r>
      <w:r>
        <w:t>Multinet</w:t>
      </w:r>
      <w:r w:rsidRPr="00B719FA">
        <w:t xml:space="preserve"> submitted a report</w:t>
      </w:r>
      <w:r>
        <w:t xml:space="preserve"> from NERA on the MRP</w:t>
      </w:r>
      <w:r w:rsidRPr="00B719FA">
        <w:t xml:space="preserve">. In that report, NERA proposed </w:t>
      </w:r>
      <w:r>
        <w:t xml:space="preserve">estimating the MRP based on </w:t>
      </w:r>
      <w:r w:rsidRPr="00B719FA">
        <w:t>a regime switching model</w:t>
      </w:r>
      <w:r>
        <w:t xml:space="preserve">. NERA </w:t>
      </w:r>
      <w:r w:rsidRPr="00B719FA">
        <w:t xml:space="preserve">suggested </w:t>
      </w:r>
      <w:r>
        <w:t>this method</w:t>
      </w:r>
      <w:r w:rsidRPr="00B719FA">
        <w:t xml:space="preserve"> would provide the most suitable MRP in prevailing market condition</w:t>
      </w:r>
      <w:r>
        <w:t>s</w:t>
      </w:r>
      <w:r w:rsidRPr="00B719FA">
        <w:t xml:space="preserve">. The model produced an MRP estimate of 8.44 per cent. </w:t>
      </w:r>
      <w:r>
        <w:t>The AER raised concerns about the regime switching model in the draft decision. In particular, it considered t</w:t>
      </w:r>
      <w:r w:rsidRPr="00B719FA">
        <w:t xml:space="preserve">his model </w:t>
      </w:r>
      <w:r>
        <w:t>wa</w:t>
      </w:r>
      <w:r w:rsidRPr="00B719FA">
        <w:t>s complex and involves:</w:t>
      </w:r>
    </w:p>
    <w:p w:rsidR="006B0748" w:rsidRPr="00B719FA" w:rsidRDefault="006B0748" w:rsidP="006B0748">
      <w:pPr>
        <w:pStyle w:val="AERbulletlistfirststyle"/>
      </w:pPr>
      <w:r w:rsidRPr="00B719FA">
        <w:t>determining the appropriate assumptions of high and low volatility states</w:t>
      </w:r>
    </w:p>
    <w:p w:rsidR="006B0748" w:rsidRPr="00B719FA" w:rsidRDefault="006B0748" w:rsidP="006B0748">
      <w:pPr>
        <w:pStyle w:val="AERbulletlistfirststyle"/>
      </w:pPr>
      <w:r w:rsidRPr="00B719FA">
        <w:t>estimating the current probability of being in the high volatility state</w:t>
      </w:r>
    </w:p>
    <w:p w:rsidR="006B0748" w:rsidRPr="00B719FA" w:rsidRDefault="006B0748" w:rsidP="006B0748">
      <w:pPr>
        <w:pStyle w:val="AERbulletlistfirststyle"/>
      </w:pPr>
      <w:r w:rsidRPr="00B719FA">
        <w:t>using a Markov chain to roll over this probability</w:t>
      </w:r>
    </w:p>
    <w:p w:rsidR="006B0748" w:rsidRPr="00B719FA" w:rsidRDefault="006B0748" w:rsidP="006B0748">
      <w:pPr>
        <w:pStyle w:val="AERbulletlistfirststyle"/>
      </w:pPr>
      <w:r w:rsidRPr="00B719FA">
        <w:t>calculating a short term MRP in relation to the three month bill return</w:t>
      </w:r>
    </w:p>
    <w:p w:rsidR="006B0748" w:rsidRPr="00B719FA" w:rsidRDefault="006B0748" w:rsidP="006B0748">
      <w:pPr>
        <w:pStyle w:val="AERbulletlistfirststyle"/>
      </w:pPr>
      <w:r w:rsidRPr="00B719FA">
        <w:t>deriving a forward one year bill rate</w:t>
      </w:r>
    </w:p>
    <w:p w:rsidR="006B0748" w:rsidRPr="00B719FA" w:rsidRDefault="006B0748" w:rsidP="006B0748">
      <w:pPr>
        <w:pStyle w:val="AERbulletlistfirststyle"/>
      </w:pPr>
      <w:proofErr w:type="gramStart"/>
      <w:r w:rsidRPr="00B719FA">
        <w:t>converting</w:t>
      </w:r>
      <w:proofErr w:type="gramEnd"/>
      <w:r w:rsidRPr="00B719FA">
        <w:t xml:space="preserve"> the short term MRP to a five year MRP.</w:t>
      </w:r>
      <w:r w:rsidRPr="00B719FA">
        <w:rPr>
          <w:rStyle w:val="FootnoteReference"/>
        </w:rPr>
        <w:footnoteReference w:id="39"/>
      </w:r>
      <w:r w:rsidRPr="00B719FA">
        <w:t xml:space="preserve"> </w:t>
      </w:r>
    </w:p>
    <w:p w:rsidR="006B0748" w:rsidRPr="00B719FA" w:rsidRDefault="006B0748" w:rsidP="006B0748">
      <w:r w:rsidRPr="00B719FA">
        <w:t>The AER is not aware of any regulators that</w:t>
      </w:r>
      <w:r>
        <w:t xml:space="preserve"> have</w:t>
      </w:r>
      <w:r w:rsidRPr="00B719FA">
        <w:t xml:space="preserve"> used a regime switching model in deriving their MRP estimates. In their August 2012 report, McKenzie and Partington noted the available sample size is too small for any meaningful statistical model fitting. NERA's regime switching model is not a good fit of the data and does not provide sensible volatility estimates. Further, the SFG report that reviewed the NERA regime switching model did not provide insights to address this problem.</w:t>
      </w:r>
      <w:r w:rsidRPr="00B719FA">
        <w:rPr>
          <w:rStyle w:val="FootnoteReference"/>
        </w:rPr>
        <w:footnoteReference w:id="40"/>
      </w:r>
      <w:r w:rsidRPr="00B719FA">
        <w:t xml:space="preserve"> </w:t>
      </w:r>
    </w:p>
    <w:p w:rsidR="006B0748" w:rsidRPr="00B719FA" w:rsidRDefault="006B0748" w:rsidP="006B0748">
      <w:r w:rsidRPr="00B719FA">
        <w:t>In its initial report, NERA also calculated DGM estimates of 7.69 and 7.72 per cent based on Bloomberg and I/B/E/S forecasts. However, it considered the regime-switching model provided the most suitable MRP estimate as the model provided an estimate of the MRP in each future year.</w:t>
      </w:r>
      <w:r w:rsidRPr="00B719FA">
        <w:rPr>
          <w:rStyle w:val="FootnoteReference"/>
        </w:rPr>
        <w:footnoteReference w:id="41"/>
      </w:r>
    </w:p>
    <w:p w:rsidR="006B0748" w:rsidRPr="00B719FA" w:rsidRDefault="006B0748" w:rsidP="006B0748">
      <w:r>
        <w:t>Multinet</w:t>
      </w:r>
      <w:r w:rsidRPr="00B719FA">
        <w:t xml:space="preserve"> submitted another NERA report in the revised proposal. The AER notes the Term</w:t>
      </w:r>
      <w:r>
        <w:t>s</w:t>
      </w:r>
      <w:r w:rsidRPr="00B719FA">
        <w:t xml:space="preserve"> of Reference asked a different set of questions. Therefore, instead of </w:t>
      </w:r>
      <w:r>
        <w:t>updating</w:t>
      </w:r>
      <w:r w:rsidRPr="00B719FA">
        <w:t xml:space="preserve"> its regime switching model and DGM estimates, NERA provided an account of the historical development of the determination of the cost of equity by Australian regulators. It presented evidence such as dividend yield and US regulatory decisions and recommended that current market circumstances warrant a departure from the standard AER approach.</w:t>
      </w:r>
      <w:r w:rsidRPr="00B719FA">
        <w:rPr>
          <w:rStyle w:val="FootnoteReference"/>
        </w:rPr>
        <w:footnoteReference w:id="42"/>
      </w:r>
      <w:r w:rsidRPr="00B719FA">
        <w:t xml:space="preserve">  It concluded using a long term average risk free rate is appropriate in current market circumstances if the long term historical MRP is used. </w:t>
      </w:r>
    </w:p>
    <w:p w:rsidR="006B0748" w:rsidRPr="00B719FA" w:rsidRDefault="006B0748" w:rsidP="006B0748">
      <w:r w:rsidRPr="00B719FA">
        <w:t>It is not clear which of the two approaches is preferred by NERA as the two NERA reports addressed different questions. However, the AER is not persuaded that either approach is appropriate. Dividend yields and the US regulatory decisions do not warrant a change in the AER's current approach. The</w:t>
      </w:r>
      <w:r>
        <w:t>se issues</w:t>
      </w:r>
      <w:r w:rsidRPr="00B719FA">
        <w:t xml:space="preserve"> are discussed in sections </w:t>
      </w:r>
      <w:r w:rsidR="009B2237">
        <w:fldChar w:fldCharType="begin"/>
      </w:r>
      <w:r>
        <w:instrText xml:space="preserve"> REF _Ref349052561 \r \h </w:instrText>
      </w:r>
      <w:r w:rsidR="009B2237">
        <w:fldChar w:fldCharType="separate"/>
      </w:r>
      <w:r>
        <w:t>B.6.4</w:t>
      </w:r>
      <w:r w:rsidR="009B2237">
        <w:fldChar w:fldCharType="end"/>
      </w:r>
      <w:r w:rsidRPr="00B719FA">
        <w:t xml:space="preserve"> and</w:t>
      </w:r>
      <w:r>
        <w:t xml:space="preserve"> </w:t>
      </w:r>
      <w:r w:rsidR="009B2237">
        <w:fldChar w:fldCharType="begin"/>
      </w:r>
      <w:r>
        <w:instrText xml:space="preserve"> REF _Ref349052571 \r \h </w:instrText>
      </w:r>
      <w:r w:rsidR="009B2237">
        <w:fldChar w:fldCharType="separate"/>
      </w:r>
      <w:r>
        <w:t>B.8.4</w:t>
      </w:r>
      <w:r w:rsidR="009B2237">
        <w:fldChar w:fldCharType="end"/>
      </w:r>
      <w:r w:rsidRPr="00B719FA">
        <w:t xml:space="preserve">, respectively. In addition, the AER does not consider it appropriate to use a long term average risk free rate for the reasons discussed in attachment </w:t>
      </w:r>
      <w:r>
        <w:t>5</w:t>
      </w:r>
      <w:r w:rsidRPr="00B719FA">
        <w:t xml:space="preserve">. </w:t>
      </w:r>
    </w:p>
    <w:p w:rsidR="006B0748" w:rsidRPr="00691ED9" w:rsidRDefault="006B0748" w:rsidP="006B0748">
      <w:pPr>
        <w:pStyle w:val="Heading9"/>
      </w:pPr>
      <w:r w:rsidRPr="00691ED9">
        <w:t>Gregory's recommended cost of equity approaches</w:t>
      </w:r>
    </w:p>
    <w:p w:rsidR="006B0748" w:rsidRPr="00B719FA" w:rsidRDefault="006B0748" w:rsidP="006B0748">
      <w:r w:rsidRPr="00B719FA">
        <w:t xml:space="preserve">Gregory </w:t>
      </w:r>
      <w:r>
        <w:t>considers the historical return on equities has a relatively stable mean over time.</w:t>
      </w:r>
      <w:r>
        <w:rPr>
          <w:rStyle w:val="FootnoteReference"/>
        </w:rPr>
        <w:footnoteReference w:id="43"/>
      </w:r>
      <w:r>
        <w:t xml:space="preserve"> Therefore, he </w:t>
      </w:r>
      <w:r w:rsidRPr="00B719FA">
        <w:t>suggested the AER could adopt one of two approaches:</w:t>
      </w:r>
      <w:r w:rsidRPr="00B719FA">
        <w:rPr>
          <w:rStyle w:val="FootnoteReference"/>
        </w:rPr>
        <w:footnoteReference w:id="44"/>
      </w:r>
    </w:p>
    <w:p w:rsidR="006B0748" w:rsidRPr="00B719FA" w:rsidRDefault="006B0748" w:rsidP="006B0748">
      <w:pPr>
        <w:pStyle w:val="AERbulletlistfirststyle"/>
      </w:pPr>
      <w:r w:rsidRPr="00B719FA">
        <w:t>Estimate the expected return on the market directly and use this estimate with its preferred risk free rate in the CAPM.</w:t>
      </w:r>
    </w:p>
    <w:p w:rsidR="006B0748" w:rsidRPr="00B719FA" w:rsidRDefault="006B0748" w:rsidP="006B0748">
      <w:pPr>
        <w:pStyle w:val="AERbulletlistfirststyle"/>
      </w:pPr>
      <w:r>
        <w:t>M</w:t>
      </w:r>
      <w:r w:rsidRPr="00B719FA">
        <w:t xml:space="preserve">ake allowance for the exceptional conditions in global government bond markets following the GFC by estimating both the risk free rate and the MRP from historically observed data. </w:t>
      </w:r>
    </w:p>
    <w:p w:rsidR="006B0748" w:rsidRPr="00B719FA" w:rsidRDefault="006B0748" w:rsidP="006B0748">
      <w:pPr>
        <w:pStyle w:val="AERbodytext"/>
        <w:numPr>
          <w:ilvl w:val="0"/>
          <w:numId w:val="13"/>
        </w:numPr>
      </w:pPr>
      <w:r w:rsidRPr="00B719FA">
        <w:t xml:space="preserve">Gregory suggested these approaches to address what he considered were errors in the AER's approach. He compared the AER's approach to those used by UK regulators and found the AER is in error in the assessment of the cost of equity capital for the </w:t>
      </w:r>
      <w:r>
        <w:t xml:space="preserve">Victorian </w:t>
      </w:r>
      <w:r w:rsidRPr="00B719FA">
        <w:t>Gas Businesses. Gregory considered this is a result of the AER inconsistently appl</w:t>
      </w:r>
      <w:r>
        <w:t>ying</w:t>
      </w:r>
      <w:r w:rsidRPr="00B719FA">
        <w:t xml:space="preserve"> its approach to estimate the MRP</w:t>
      </w:r>
      <w:r>
        <w:t xml:space="preserve"> and risk free rate.</w:t>
      </w:r>
      <w:r w:rsidRPr="00B719FA">
        <w:t xml:space="preserve"> </w:t>
      </w:r>
      <w:r>
        <w:t>He suggests that i</w:t>
      </w:r>
      <w:r w:rsidRPr="00B719FA">
        <w:t>n doing so</w:t>
      </w:r>
      <w:r>
        <w:t xml:space="preserve"> the AER</w:t>
      </w:r>
      <w:r w:rsidRPr="00B719FA">
        <w:t xml:space="preserve"> has combined two different measures of the risk free rate in the CAPM.</w:t>
      </w:r>
    </w:p>
    <w:p w:rsidR="006B0748" w:rsidRPr="00B719FA" w:rsidRDefault="006B0748" w:rsidP="006B0748">
      <w:pPr>
        <w:pStyle w:val="AERbodytext"/>
        <w:numPr>
          <w:ilvl w:val="0"/>
          <w:numId w:val="13"/>
        </w:numPr>
      </w:pPr>
      <w:r w:rsidRPr="00B719FA">
        <w:t>T</w:t>
      </w:r>
      <w:r>
        <w:t>he AER considers its approach to</w:t>
      </w:r>
      <w:r w:rsidRPr="00B719FA">
        <w:t xml:space="preserve"> estimating</w:t>
      </w:r>
      <w:r>
        <w:t xml:space="preserve"> the</w:t>
      </w:r>
      <w:r w:rsidRPr="00B719FA">
        <w:t xml:space="preserve"> cost of equity is internally consistent as discussed in section </w:t>
      </w:r>
      <w:r w:rsidR="009B2237">
        <w:fldChar w:fldCharType="begin"/>
      </w:r>
      <w:r>
        <w:instrText xml:space="preserve"> REF _Ref350877720 \r \h </w:instrText>
      </w:r>
      <w:r w:rsidR="009B2237">
        <w:fldChar w:fldCharType="separate"/>
      </w:r>
      <w:r>
        <w:t>B.3.1</w:t>
      </w:r>
      <w:r w:rsidR="009B2237">
        <w:fldChar w:fldCharType="end"/>
      </w:r>
      <w:r>
        <w:t xml:space="preserve"> </w:t>
      </w:r>
      <w:r w:rsidRPr="00B719FA">
        <w:t xml:space="preserve">below. It estimates a forward looking 10 year risk free rate and MRP, although different methods are used due to the different nature of these parameters. </w:t>
      </w:r>
    </w:p>
    <w:p w:rsidR="006B0748" w:rsidRPr="00B719FA" w:rsidRDefault="006B0748" w:rsidP="006B0748">
      <w:pPr>
        <w:pStyle w:val="AERbodytext"/>
        <w:numPr>
          <w:ilvl w:val="0"/>
          <w:numId w:val="13"/>
        </w:numPr>
      </w:pPr>
      <w:r w:rsidRPr="00B719FA">
        <w:t>The cost of equity is inherently unobservable.</w:t>
      </w:r>
      <w:r w:rsidRPr="00B719FA">
        <w:rPr>
          <w:rStyle w:val="FootnoteReference"/>
        </w:rPr>
        <w:footnoteReference w:id="45"/>
      </w:r>
      <w:r w:rsidRPr="00B719FA">
        <w:t xml:space="preserve"> The AER examined </w:t>
      </w:r>
      <w:r w:rsidRPr="00B719FA">
        <w:rPr>
          <w:rStyle w:val="AERbody"/>
        </w:rPr>
        <w:t>the theoretical and empirical evidence and concluded the evidence does not support a relatively stable cost of equity as discussed in section</w:t>
      </w:r>
      <w:r>
        <w:rPr>
          <w:rStyle w:val="AERbody"/>
        </w:rPr>
        <w:t xml:space="preserve"> </w:t>
      </w:r>
      <w:r w:rsidR="009B2237">
        <w:rPr>
          <w:rStyle w:val="AERbody"/>
        </w:rPr>
        <w:fldChar w:fldCharType="begin"/>
      </w:r>
      <w:r>
        <w:rPr>
          <w:rStyle w:val="AERbody"/>
        </w:rPr>
        <w:instrText xml:space="preserve"> REF _Ref350878490 \r \h </w:instrText>
      </w:r>
      <w:r w:rsidR="009B2237">
        <w:rPr>
          <w:rStyle w:val="AERbody"/>
        </w:rPr>
      </w:r>
      <w:r w:rsidR="009B2237">
        <w:rPr>
          <w:rStyle w:val="AERbody"/>
        </w:rPr>
        <w:fldChar w:fldCharType="separate"/>
      </w:r>
      <w:r>
        <w:rPr>
          <w:rStyle w:val="AERbody"/>
        </w:rPr>
        <w:t>B.3.2</w:t>
      </w:r>
      <w:r w:rsidR="009B2237">
        <w:rPr>
          <w:rStyle w:val="AERbody"/>
        </w:rPr>
        <w:fldChar w:fldCharType="end"/>
      </w:r>
      <w:r w:rsidRPr="00B719FA">
        <w:rPr>
          <w:rStyle w:val="AERbody"/>
        </w:rPr>
        <w:t>. In the absence of</w:t>
      </w:r>
      <w:r>
        <w:rPr>
          <w:rStyle w:val="AERbody"/>
        </w:rPr>
        <w:t xml:space="preserve"> evidence to support</w:t>
      </w:r>
      <w:r w:rsidRPr="00B719FA">
        <w:rPr>
          <w:rStyle w:val="AERbody"/>
        </w:rPr>
        <w:t xml:space="preserve"> a </w:t>
      </w:r>
      <w:r w:rsidRPr="00B719FA">
        <w:t>relatively stable cost of equity in the Australian context, the AER is not persuaded that it is appropriate to adopt Gregory's preferred approaches.</w:t>
      </w:r>
    </w:p>
    <w:p w:rsidR="006B0748" w:rsidRPr="00691ED9" w:rsidRDefault="006B0748" w:rsidP="006B0748">
      <w:pPr>
        <w:pStyle w:val="Heading9"/>
      </w:pPr>
      <w:r w:rsidRPr="00691ED9">
        <w:t>Wright's recommended cost of equity approach (assumed constant cost of equity approach)</w:t>
      </w:r>
    </w:p>
    <w:p w:rsidR="006B0748" w:rsidRPr="00B719FA" w:rsidRDefault="006B0748" w:rsidP="006B0748">
      <w:r w:rsidRPr="00B719FA">
        <w:t xml:space="preserve">Wright considered both the cost of equity and the MRP are inherently unobservable. However he believed regulators have to commit themselves to a particular set of assumptions about these unobservable magnitudes. </w:t>
      </w:r>
      <w:r>
        <w:t>Two strategies he considered are that r</w:t>
      </w:r>
      <w:r w:rsidRPr="00B719FA">
        <w:t xml:space="preserve">egulators can either assume the real market return is stable or the MRP is stable. He suggested regulators should work on the core assumption that the real cost of equity is </w:t>
      </w:r>
      <w:r>
        <w:t>relatively stable</w:t>
      </w:r>
      <w:r w:rsidRPr="00B719FA">
        <w:t xml:space="preserve">, </w:t>
      </w:r>
      <w:r>
        <w:t>consistent with</w:t>
      </w:r>
      <w:r w:rsidRPr="00B719FA">
        <w:t xml:space="preserve"> Mason, Miles and Wright (2003). As a direct implication of this assumption, the implied MRP must move point by point in the opposite direction of the risk free rate.</w:t>
      </w:r>
      <w:r w:rsidRPr="00B719FA">
        <w:rPr>
          <w:rStyle w:val="FootnoteReference"/>
        </w:rPr>
        <w:t xml:space="preserve"> </w:t>
      </w:r>
      <w:r w:rsidRPr="00B719FA">
        <w:rPr>
          <w:rStyle w:val="FootnoteReference"/>
        </w:rPr>
        <w:footnoteReference w:id="46"/>
      </w:r>
    </w:p>
    <w:p w:rsidR="006B0748" w:rsidRPr="00B719FA" w:rsidRDefault="006B0748" w:rsidP="006B0748">
      <w:r w:rsidRPr="00B719FA">
        <w:t>Wright suggested the current AER methodology introduces instability into the assumed figure for the real cost of equity. The preferred approach should assume a constant real market cost of equity as adopted by UK regulators. However, if the AER continues to assume a constant MRP, a possible compromise approach would be to combine this with a historic</w:t>
      </w:r>
      <w:r>
        <w:t>al</w:t>
      </w:r>
      <w:r w:rsidRPr="00B719FA">
        <w:t xml:space="preserve"> average risk-free rate.</w:t>
      </w:r>
      <w:r w:rsidRPr="00B719FA">
        <w:rPr>
          <w:rStyle w:val="FootnoteReference"/>
        </w:rPr>
        <w:footnoteReference w:id="47"/>
      </w:r>
    </w:p>
    <w:p w:rsidR="006B0748" w:rsidRDefault="006B0748" w:rsidP="006B0748">
      <w:pPr>
        <w:pStyle w:val="AERbodytext"/>
        <w:numPr>
          <w:ilvl w:val="0"/>
          <w:numId w:val="13"/>
        </w:numPr>
      </w:pPr>
      <w:r>
        <w:t>Applying</w:t>
      </w:r>
      <w:r w:rsidRPr="00FE355B">
        <w:t xml:space="preserve"> Wright’s approach </w:t>
      </w:r>
      <w:r>
        <w:t>to</w:t>
      </w:r>
      <w:r w:rsidRPr="00FE355B">
        <w:t xml:space="preserve"> Australian data, </w:t>
      </w:r>
      <w:r>
        <w:t>Lally</w:t>
      </w:r>
      <w:r w:rsidRPr="00FE355B">
        <w:t xml:space="preserve"> found the estimated MRP series is more stable than the average real market return series.</w:t>
      </w:r>
      <w:r w:rsidRPr="00FE355B">
        <w:rPr>
          <w:rStyle w:val="FootnoteReference"/>
        </w:rPr>
        <w:footnoteReference w:id="48"/>
      </w:r>
      <w:r>
        <w:t xml:space="preserve"> Therefore, the evidence does not currently support Wright's preferred approach</w:t>
      </w:r>
      <w:r w:rsidRPr="00B719FA">
        <w:t xml:space="preserve">. This is </w:t>
      </w:r>
      <w:r>
        <w:t xml:space="preserve">discussed </w:t>
      </w:r>
      <w:r w:rsidRPr="00B719FA">
        <w:t xml:space="preserve">in </w:t>
      </w:r>
      <w:r>
        <w:t xml:space="preserve">detail in </w:t>
      </w:r>
      <w:r w:rsidRPr="00B719FA">
        <w:t xml:space="preserve">sections </w:t>
      </w:r>
      <w:r w:rsidR="009B2237">
        <w:fldChar w:fldCharType="begin"/>
      </w:r>
      <w:r>
        <w:instrText xml:space="preserve"> REF _Ref350878490 \r \h </w:instrText>
      </w:r>
      <w:r w:rsidR="009B2237">
        <w:fldChar w:fldCharType="separate"/>
      </w:r>
      <w:r>
        <w:t>B.3.2</w:t>
      </w:r>
      <w:r w:rsidR="009B2237">
        <w:fldChar w:fldCharType="end"/>
      </w:r>
      <w:r>
        <w:t xml:space="preserve"> </w:t>
      </w:r>
      <w:r w:rsidRPr="00B719FA">
        <w:t>and</w:t>
      </w:r>
      <w:r>
        <w:t xml:space="preserve"> </w:t>
      </w:r>
      <w:r w:rsidR="009B2237">
        <w:fldChar w:fldCharType="begin"/>
      </w:r>
      <w:r>
        <w:instrText xml:space="preserve"> REF _Ref350354851 \r \h </w:instrText>
      </w:r>
      <w:r w:rsidR="009B2237">
        <w:fldChar w:fldCharType="separate"/>
      </w:r>
      <w:r>
        <w:t>B.3.3</w:t>
      </w:r>
      <w:r w:rsidR="009B2237">
        <w:fldChar w:fldCharType="end"/>
      </w:r>
      <w:r w:rsidRPr="00B719FA">
        <w:t>. Further, Lally noted Wright in principle agrees with the present value principle and the use of Sharpe-Lintner CAPM.</w:t>
      </w:r>
      <w:r w:rsidRPr="00B719FA">
        <w:rPr>
          <w:rStyle w:val="FootnoteReference"/>
        </w:rPr>
        <w:footnoteReference w:id="49"/>
      </w:r>
    </w:p>
    <w:p w:rsidR="006B0748" w:rsidRPr="00691ED9" w:rsidRDefault="006B0748" w:rsidP="006B0748">
      <w:pPr>
        <w:pStyle w:val="Heading9"/>
      </w:pPr>
      <w:r w:rsidRPr="00691ED9">
        <w:t>VAA's recommended MRP approach (implied volatility glide path approach)</w:t>
      </w:r>
    </w:p>
    <w:p w:rsidR="006B0748" w:rsidRPr="006B0748" w:rsidRDefault="006B0748" w:rsidP="006B0748">
      <w:pPr>
        <w:pStyle w:val="AERbodytext"/>
        <w:numPr>
          <w:ilvl w:val="0"/>
          <w:numId w:val="13"/>
        </w:numPr>
        <w:rPr>
          <w:rFonts w:eastAsia="Calibri"/>
        </w:rPr>
      </w:pPr>
      <w:r w:rsidRPr="006B0748">
        <w:rPr>
          <w:rFonts w:eastAsia="Calibri"/>
        </w:rPr>
        <w:t>The AER also considers Value Adviser Associates' (VAA's) implied volatility "glide path" approach. Multinet did not propose this approach in this review. However, in previous reviews, Multinet and other regulated businesses have proposed the AER should have regard to this approach.</w:t>
      </w:r>
      <w:r w:rsidRPr="006B0748">
        <w:rPr>
          <w:rStyle w:val="FootnoteReference"/>
          <w:rFonts w:eastAsia="Calibri"/>
        </w:rPr>
        <w:footnoteReference w:id="50"/>
      </w:r>
      <w:r w:rsidRPr="006B0748">
        <w:rPr>
          <w:rFonts w:eastAsia="Calibri"/>
        </w:rPr>
        <w:t xml:space="preserve"> The VAA approach has been put forward:</w:t>
      </w:r>
      <w:r w:rsidRPr="006B0748">
        <w:rPr>
          <w:rStyle w:val="FootnoteReference"/>
          <w:rFonts w:eastAsia="Calibri"/>
        </w:rPr>
        <w:footnoteReference w:id="51"/>
      </w:r>
    </w:p>
    <w:p w:rsidR="006B0748" w:rsidRPr="00B719FA" w:rsidRDefault="006B0748" w:rsidP="006B0748">
      <w:pPr>
        <w:pStyle w:val="AERbulletlistfirststyle"/>
      </w:pPr>
      <w:r w:rsidRPr="006B0748">
        <w:rPr>
          <w:rFonts w:eastAsia="Calibri"/>
        </w:rPr>
        <w:t>by the Victorian electricity distribution network service providers (noting the which overlap in ownership between these businesses and with the Victorian gas networks) in their 2010 regulatory determination,</w:t>
      </w:r>
      <w:r w:rsidRPr="006B0748">
        <w:rPr>
          <w:rStyle w:val="FootnoteReference"/>
          <w:rFonts w:eastAsia="Calibri"/>
        </w:rPr>
        <w:footnoteReference w:id="52"/>
      </w:r>
      <w:r w:rsidRPr="006B0748">
        <w:rPr>
          <w:rFonts w:eastAsia="Calibri"/>
        </w:rPr>
        <w:t xml:space="preserve"> as well as the 2011 Advanced Metering Infrastructure determination</w:t>
      </w:r>
      <w:r w:rsidRPr="006B0748">
        <w:rPr>
          <w:rStyle w:val="FootnoteReference"/>
          <w:rFonts w:eastAsia="Calibri"/>
        </w:rPr>
        <w:footnoteReference w:id="53"/>
      </w:r>
    </w:p>
    <w:p w:rsidR="006B0748" w:rsidRPr="00B719FA" w:rsidRDefault="006B0748" w:rsidP="006B0748">
      <w:pPr>
        <w:pStyle w:val="AERbulletlistfirststyle"/>
      </w:pPr>
      <w:proofErr w:type="gramStart"/>
      <w:r w:rsidRPr="006B0748">
        <w:rPr>
          <w:rFonts w:eastAsia="Calibri"/>
        </w:rPr>
        <w:t>by</w:t>
      </w:r>
      <w:proofErr w:type="gramEnd"/>
      <w:r w:rsidRPr="006B0748">
        <w:rPr>
          <w:rFonts w:eastAsia="Calibri"/>
        </w:rPr>
        <w:t xml:space="preserve"> Envestra in the South Australia and Queensland gas access arrangements in 2011.</w:t>
      </w:r>
      <w:r w:rsidRPr="006B0748">
        <w:rPr>
          <w:rStyle w:val="FootnoteReference"/>
          <w:rFonts w:eastAsia="Calibri"/>
        </w:rPr>
        <w:footnoteReference w:id="54"/>
      </w:r>
    </w:p>
    <w:p w:rsidR="006B0748" w:rsidRPr="00B719FA" w:rsidRDefault="006B0748" w:rsidP="006B0748">
      <w:pPr>
        <w:pStyle w:val="AERbodytext"/>
        <w:numPr>
          <w:ilvl w:val="0"/>
          <w:numId w:val="13"/>
        </w:numPr>
      </w:pPr>
      <w:r w:rsidRPr="00B719FA">
        <w:t>The AER notes NBN Co. submitted a VAA report for its Special Access Undertaking in September 2012. In this report, VAA suggested it is appropriate to derive a cost of equity by combining a prevailing 10 year risk free rate with a 7 per cent MRP, derived from the implied volatility glide path approach in the CAPM.</w:t>
      </w:r>
      <w:r w:rsidRPr="00B719FA">
        <w:rPr>
          <w:rStyle w:val="FootnoteReference"/>
        </w:rPr>
        <w:footnoteReference w:id="55"/>
      </w:r>
      <w:r w:rsidRPr="00B719FA">
        <w:t xml:space="preserve"> In the attachment, the AER applied VAA's approach directly to the current volatility data and estimated a current one year MRP of 5.8 per cent. Further, if VAA's approach is corrected for the AER's concerns discussed in the attachment, it produces a current one year MRP of 3.7 per cent.  </w:t>
      </w:r>
      <w:r>
        <w:t>This converts to a 10 year MRP of 5.54 per cent.</w:t>
      </w:r>
      <w:r>
        <w:rPr>
          <w:rStyle w:val="FootnoteReference"/>
        </w:rPr>
        <w:footnoteReference w:id="56"/>
      </w:r>
    </w:p>
    <w:p w:rsidR="006B0748" w:rsidRPr="00B719FA" w:rsidRDefault="006B0748" w:rsidP="006B0748">
      <w:r w:rsidRPr="00B719FA">
        <w:t>VAA's approach in estimating the risk free rate coincides with the AER's current approach. The AER considers using a prevailing 10 year CGS rate is reasonable for the reasons discussed in the attachment. It does not consider VAA's implied volatility glide path approach</w:t>
      </w:r>
      <w:r w:rsidRPr="00B719FA">
        <w:rPr>
          <w:rStyle w:val="FootnoteReference"/>
        </w:rPr>
        <w:footnoteReference w:id="57"/>
      </w:r>
      <w:r w:rsidRPr="00B719FA">
        <w:t xml:space="preserve"> produces an appropriate estimate of the forward looking 10 year MRP as discussed in attachment </w:t>
      </w:r>
      <w:r>
        <w:t>5.3.3</w:t>
      </w:r>
      <w:r w:rsidRPr="00B719FA">
        <w:t xml:space="preserve">. However, even if weight were to be given to this approach, it would currently support an MRP estimate below 6 per cent. </w:t>
      </w:r>
    </w:p>
    <w:p w:rsidR="006B0748" w:rsidRPr="00691ED9" w:rsidRDefault="006B0748" w:rsidP="006B0748">
      <w:pPr>
        <w:pStyle w:val="Heading9"/>
      </w:pPr>
      <w:bookmarkStart w:id="31" w:name="_Ref350877868"/>
      <w:r w:rsidRPr="00691ED9">
        <w:t>SFG's recommended MRP approach (three conditioning variable based approach)</w:t>
      </w:r>
      <w:bookmarkEnd w:id="31"/>
    </w:p>
    <w:p w:rsidR="006B0748" w:rsidRPr="00B719FA" w:rsidRDefault="006B0748" w:rsidP="006B0748">
      <w:pPr>
        <w:pStyle w:val="AERbodytext"/>
        <w:numPr>
          <w:ilvl w:val="0"/>
          <w:numId w:val="13"/>
        </w:numPr>
      </w:pPr>
      <w:r w:rsidRPr="00B719FA">
        <w:t>In the draft decision, the AER considered the use of other financial market indicators put forward in recent SFG reports. SFG used three financial market indicators as 'conditioning variables' to adjust the MRP estimate around its long run average</w:t>
      </w:r>
      <w:r>
        <w:t xml:space="preserve"> of 6 per cent</w:t>
      </w:r>
      <w:r w:rsidRPr="00B719FA">
        <w:t>:</w:t>
      </w:r>
      <w:r w:rsidRPr="00B719FA">
        <w:rPr>
          <w:rStyle w:val="FootnoteReference"/>
        </w:rPr>
        <w:footnoteReference w:id="58"/>
      </w:r>
    </w:p>
    <w:p w:rsidR="006B0748" w:rsidRPr="00B719FA" w:rsidRDefault="006B0748" w:rsidP="006B0748">
      <w:pPr>
        <w:pStyle w:val="AERbulletlistfirststyle"/>
      </w:pPr>
      <w:r>
        <w:t>Implied volatility—</w:t>
      </w:r>
      <w:proofErr w:type="gramStart"/>
      <w:r w:rsidRPr="00B719FA">
        <w:t>Implied</w:t>
      </w:r>
      <w:proofErr w:type="gramEnd"/>
      <w:r w:rsidRPr="00B719FA">
        <w:t xml:space="preserve"> volatility relies on contentious assumptions to derive an MRP estimate.</w:t>
      </w:r>
      <w:r w:rsidRPr="00B719FA">
        <w:rPr>
          <w:rStyle w:val="FootnoteReference"/>
        </w:rPr>
        <w:footnoteReference w:id="59"/>
      </w:r>
      <w:r w:rsidRPr="00B719FA">
        <w:t xml:space="preserve"> In particular, the AER </w:t>
      </w:r>
      <w:r>
        <w:t>does not agree</w:t>
      </w:r>
      <w:r w:rsidRPr="00B719FA">
        <w:t xml:space="preserve"> with the assumption that the price of risk per unit of implied volatility is constant on theoretical and empirical grounds.</w:t>
      </w:r>
      <w:r w:rsidRPr="00B719FA">
        <w:rPr>
          <w:rStyle w:val="FootnoteReference"/>
        </w:rPr>
        <w:footnoteReference w:id="60"/>
      </w:r>
      <w:r w:rsidRPr="00B719FA">
        <w:t xml:space="preserve"> This method provides only a short term estimate of the MRP (usually three months, matching the term of the implied volatility measure). Further, the AER is unaware of any settled method to extrapolate to a longer term. Given the relevant MRP is the 10 year forward looking rate, the AER placed limited weight on the MRP estimate derived on this basis. </w:t>
      </w:r>
    </w:p>
    <w:p w:rsidR="006B0748" w:rsidRPr="00B719FA" w:rsidRDefault="006B0748" w:rsidP="006B0748">
      <w:pPr>
        <w:pStyle w:val="AERbulletlistfirststyle"/>
      </w:pPr>
      <w:r>
        <w:t>Credit spreads—C</w:t>
      </w:r>
      <w:r w:rsidRPr="00B719FA">
        <w:t>redit spread</w:t>
      </w:r>
      <w:r>
        <w:t>s</w:t>
      </w:r>
      <w:r w:rsidRPr="00B719FA">
        <w:t xml:space="preserve"> </w:t>
      </w:r>
      <w:r>
        <w:t xml:space="preserve">in this context </w:t>
      </w:r>
      <w:r w:rsidRPr="00B719FA">
        <w:t xml:space="preserve">refer to the difference in yields between bonds with high (AAA rated) and low (BBB rated) credit ratings. Similarly, relative </w:t>
      </w:r>
      <w:r>
        <w:t>credit</w:t>
      </w:r>
      <w:r w:rsidRPr="00B719FA">
        <w:t xml:space="preserve"> spreads will differ based on the method chosen to measure the bond yields. McKenzie and Partington noted th</w:t>
      </w:r>
      <w:r>
        <w:t xml:space="preserve">ere is no </w:t>
      </w:r>
      <w:r w:rsidRPr="00B719FA">
        <w:t>well developed, reliable</w:t>
      </w:r>
      <w:r>
        <w:t xml:space="preserve"> or</w:t>
      </w:r>
      <w:r w:rsidRPr="00B719FA">
        <w:t xml:space="preserve"> precise way to separate out the effect of changes in the MRP from other effects.</w:t>
      </w:r>
      <w:r w:rsidRPr="00B719FA">
        <w:rPr>
          <w:rStyle w:val="FootnoteReference"/>
        </w:rPr>
        <w:footnoteReference w:id="61"/>
      </w:r>
      <w:r w:rsidRPr="00B719FA">
        <w:t xml:space="preserve"> Given this key limitation to the credit spread analysis, the AER placed limited weight on this method when determining the 10 year forward looking MRP. </w:t>
      </w:r>
    </w:p>
    <w:p w:rsidR="006B0748" w:rsidRPr="00B719FA" w:rsidRDefault="006B0748" w:rsidP="006B0748">
      <w:pPr>
        <w:pStyle w:val="AERbulletlistfirststyle"/>
      </w:pPr>
      <w:r>
        <w:t>Dividend yields—</w:t>
      </w:r>
      <w:r w:rsidRPr="00B719FA">
        <w:t>Dividend yield</w:t>
      </w:r>
      <w:r>
        <w:t>s</w:t>
      </w:r>
      <w:r w:rsidRPr="00B719FA">
        <w:t xml:space="preserve"> in this context is calculated for the entire market, using forecast distributions (dividends) for all firms in a broad share market index divided by the total value of those shares. The dividend yield estimate will differ based on the choice of index, the method of obtaining and aggregating dividend forecasts, and the horizon of those dividend forecasts. The AER considers the key limitation is the unclear relationship (if any) between dividend yield and the 10 year forward looking MRP.</w:t>
      </w:r>
      <w:r w:rsidRPr="00B719FA">
        <w:rPr>
          <w:rStyle w:val="FootnoteReference"/>
        </w:rPr>
        <w:footnoteReference w:id="62"/>
      </w:r>
    </w:p>
    <w:p w:rsidR="006B0748" w:rsidRPr="00B719FA" w:rsidRDefault="006B0748" w:rsidP="006B0748">
      <w:pPr>
        <w:pStyle w:val="AERbodytext"/>
        <w:numPr>
          <w:ilvl w:val="0"/>
          <w:numId w:val="13"/>
        </w:numPr>
      </w:pPr>
      <w:r w:rsidRPr="00B719FA">
        <w:t xml:space="preserve">In the revised proposal, SFG agreed with the AER that </w:t>
      </w:r>
      <w:r>
        <w:t xml:space="preserve">the </w:t>
      </w:r>
      <w:r w:rsidRPr="00B719FA">
        <w:t>literature has not reached the state where there is a consensus about the precise mathematical relationship between each financial indicator variable and the MRP.</w:t>
      </w:r>
      <w:r w:rsidRPr="00B719FA">
        <w:rPr>
          <w:rStyle w:val="FootnoteReference"/>
        </w:rPr>
        <w:footnoteReference w:id="63"/>
      </w:r>
      <w:r w:rsidRPr="00B719FA">
        <w:t xml:space="preserve"> However, SFG again pointed to indicators such as regulatory risk premiums on debt, ASX dividend yield</w:t>
      </w:r>
      <w:r>
        <w:t>s</w:t>
      </w:r>
      <w:r w:rsidRPr="00B719FA">
        <w:t xml:space="preserve"> and ASX price/earning</w:t>
      </w:r>
      <w:r>
        <w:t>s</w:t>
      </w:r>
      <w:r w:rsidRPr="00B719FA">
        <w:t xml:space="preserve"> ratio</w:t>
      </w:r>
      <w:r>
        <w:t>s</w:t>
      </w:r>
      <w:r w:rsidRPr="00B719FA">
        <w:t xml:space="preserve"> in support of a higher required return on equity.</w:t>
      </w:r>
      <w:r w:rsidRPr="00B719FA">
        <w:rPr>
          <w:rStyle w:val="FootnoteReference"/>
        </w:rPr>
        <w:footnoteReference w:id="64"/>
      </w:r>
      <w:r w:rsidRPr="00B719FA">
        <w:t xml:space="preserve">  </w:t>
      </w:r>
    </w:p>
    <w:p w:rsidR="006B0748" w:rsidRPr="00B719FA" w:rsidRDefault="006B0748" w:rsidP="006B0748">
      <w:pPr>
        <w:pStyle w:val="AERbodytext"/>
        <w:numPr>
          <w:ilvl w:val="0"/>
          <w:numId w:val="13"/>
        </w:numPr>
      </w:pPr>
      <w:r w:rsidRPr="00B719FA">
        <w:t xml:space="preserve">SFG's implied volatility indicator is similar to VAA's implied volatility glide path approach discussed above. The AER notes SFG did not present implied volatility data in this most recent report, however, it did present data on the other market indicators. </w:t>
      </w:r>
      <w:r>
        <w:t>While</w:t>
      </w:r>
      <w:r w:rsidRPr="00B719FA">
        <w:t xml:space="preserve"> the AER does not consider implied volatility can provide an appropriate indicator for the forward looking 10 year MRP,</w:t>
      </w:r>
      <w:r>
        <w:t xml:space="preserve"> it would currently support an MRP estimate below 6 per cent. SFG does not explain why it no longer gives weight to this approach. Attachment section 5.3.3 considers implied volatility analysis in more detail.  </w:t>
      </w:r>
    </w:p>
    <w:p w:rsidR="006B0748" w:rsidRDefault="006B0748" w:rsidP="006B0748">
      <w:pPr>
        <w:pStyle w:val="AERbodytext"/>
        <w:numPr>
          <w:ilvl w:val="0"/>
          <w:numId w:val="13"/>
        </w:numPr>
      </w:pPr>
      <w:r w:rsidRPr="00B719FA">
        <w:t>Price/earning</w:t>
      </w:r>
      <w:r>
        <w:t>s</w:t>
      </w:r>
      <w:r w:rsidRPr="00B719FA">
        <w:t xml:space="preserve"> ratio</w:t>
      </w:r>
      <w:r>
        <w:t xml:space="preserve"> analysis</w:t>
      </w:r>
      <w:r w:rsidRPr="00B719FA">
        <w:t xml:space="preserve"> is in many ways similar to the dividend yield analysis. The fundamental drive</w:t>
      </w:r>
      <w:r>
        <w:t>r</w:t>
      </w:r>
      <w:r w:rsidRPr="00B719FA">
        <w:t xml:space="preserve"> is the relationship between </w:t>
      </w:r>
      <w:r>
        <w:t xml:space="preserve">the </w:t>
      </w:r>
      <w:r w:rsidRPr="00B719FA">
        <w:t xml:space="preserve">current </w:t>
      </w:r>
      <w:r>
        <w:t xml:space="preserve">share </w:t>
      </w:r>
      <w:r w:rsidRPr="00B719FA">
        <w:t>price and cash flow</w:t>
      </w:r>
      <w:r>
        <w:t>s—</w:t>
      </w:r>
      <w:r w:rsidRPr="00B719FA">
        <w:t xml:space="preserve">either at the firm level (earnings) or to shareholders (dividends). The AER does not separately discuss price earnings ratio. Section </w:t>
      </w:r>
      <w:r w:rsidR="009B2237">
        <w:fldChar w:fldCharType="begin"/>
      </w:r>
      <w:r>
        <w:instrText xml:space="preserve"> REF _Ref349052561 \r \h </w:instrText>
      </w:r>
      <w:r w:rsidR="009B2237">
        <w:fldChar w:fldCharType="separate"/>
      </w:r>
      <w:r>
        <w:t>B.6.4</w:t>
      </w:r>
      <w:r w:rsidR="009B2237">
        <w:fldChar w:fldCharType="end"/>
      </w:r>
      <w:r>
        <w:t xml:space="preserve"> </w:t>
      </w:r>
      <w:r w:rsidRPr="00B719FA">
        <w:t xml:space="preserve">and </w:t>
      </w:r>
      <w:r w:rsidR="009B2237">
        <w:fldChar w:fldCharType="begin"/>
      </w:r>
      <w:r>
        <w:instrText xml:space="preserve"> REF _Ref350353004 \r \h </w:instrText>
      </w:r>
      <w:r w:rsidR="009B2237">
        <w:fldChar w:fldCharType="separate"/>
      </w:r>
      <w:r>
        <w:t>B.5.3</w:t>
      </w:r>
      <w:r w:rsidR="009B2237">
        <w:fldChar w:fldCharType="end"/>
      </w:r>
      <w:r>
        <w:t xml:space="preserve"> </w:t>
      </w:r>
      <w:r w:rsidRPr="00B719FA">
        <w:t xml:space="preserve">discuss dividend yield and credit spreads in more detail. </w:t>
      </w:r>
    </w:p>
    <w:p w:rsidR="006B0748" w:rsidRPr="00691ED9" w:rsidRDefault="006B0748" w:rsidP="006B0748">
      <w:pPr>
        <w:pStyle w:val="Heading8"/>
      </w:pPr>
      <w:bookmarkStart w:id="32" w:name="_Toc350951035"/>
      <w:r w:rsidRPr="00691ED9">
        <w:t>Cost of equity issues</w:t>
      </w:r>
      <w:bookmarkEnd w:id="32"/>
    </w:p>
    <w:p w:rsidR="006B0748" w:rsidRDefault="006B0748" w:rsidP="006B0748">
      <w:pPr>
        <w:pStyle w:val="AERbodytext"/>
        <w:numPr>
          <w:ilvl w:val="0"/>
          <w:numId w:val="13"/>
        </w:numPr>
      </w:pPr>
      <w:r w:rsidRPr="00B719FA">
        <w:t xml:space="preserve">There is a general consensus that the cost of equity is not directly observable and therefore a model is required in order to estimate it. </w:t>
      </w:r>
      <w:r>
        <w:t>Multinet</w:t>
      </w:r>
      <w:r w:rsidRPr="00B719FA">
        <w:t xml:space="preserve"> acknowledged this fact.</w:t>
      </w:r>
      <w:r>
        <w:rPr>
          <w:rStyle w:val="FootnoteReference"/>
        </w:rPr>
        <w:footnoteReference w:id="65"/>
      </w:r>
      <w:r>
        <w:t xml:space="preserve"> </w:t>
      </w:r>
      <w:r w:rsidRPr="00B719FA">
        <w:t>This position is similarly acknowledged by Wright</w:t>
      </w:r>
      <w:r w:rsidRPr="00B719FA">
        <w:rPr>
          <w:rStyle w:val="FootnoteReference"/>
        </w:rPr>
        <w:footnoteReference w:id="66"/>
      </w:r>
      <w:r w:rsidRPr="00B719FA">
        <w:t xml:space="preserve"> and Ernst and Young.</w:t>
      </w:r>
      <w:r w:rsidRPr="00B719FA">
        <w:rPr>
          <w:rStyle w:val="FootnoteReference"/>
        </w:rPr>
        <w:footnoteReference w:id="67"/>
      </w:r>
    </w:p>
    <w:p w:rsidR="006B0748" w:rsidRDefault="006B0748" w:rsidP="006B0748">
      <w:pPr>
        <w:pStyle w:val="AERbodytext"/>
        <w:numPr>
          <w:ilvl w:val="0"/>
          <w:numId w:val="13"/>
        </w:numPr>
        <w:rPr>
          <w:rStyle w:val="AERbody"/>
        </w:rPr>
      </w:pPr>
      <w:r w:rsidRPr="002A7414">
        <w:t xml:space="preserve">The AER, </w:t>
      </w:r>
      <w:r>
        <w:t>Multinet</w:t>
      </w:r>
      <w:r w:rsidRPr="002A7414">
        <w:t xml:space="preserve"> and the Tribunal have all agreed that the Sharpe Lintner CAPM is a well accepted financial model and is appropriate to use in order to estimate the cost of equity.</w:t>
      </w:r>
      <w:r>
        <w:rPr>
          <w:rStyle w:val="FootnoteReference"/>
        </w:rPr>
        <w:footnoteReference w:id="68"/>
      </w:r>
      <w:r w:rsidRPr="002A7414">
        <w:t xml:space="preserve"> </w:t>
      </w:r>
      <w:r w:rsidRPr="00E12F84">
        <w:t xml:space="preserve">The AER </w:t>
      </w:r>
      <w:r>
        <w:t xml:space="preserve">therefore </w:t>
      </w:r>
      <w:r w:rsidRPr="00E12F84">
        <w:t xml:space="preserve">estimates the cost of equity by combining the best estimate of each parameter that is required within the CAPM. </w:t>
      </w:r>
      <w:r>
        <w:t>The AER determines</w:t>
      </w:r>
      <w:r w:rsidRPr="00727CB4">
        <w:rPr>
          <w:rStyle w:val="AERbody"/>
        </w:rPr>
        <w:t xml:space="preserve"> the cost of equity (r</w:t>
      </w:r>
      <w:r w:rsidRPr="00727CB4">
        <w:rPr>
          <w:rStyle w:val="AERsubscript"/>
        </w:rPr>
        <w:t>e</w:t>
      </w:r>
      <w:r w:rsidRPr="00727CB4">
        <w:rPr>
          <w:rStyle w:val="AERbody"/>
        </w:rPr>
        <w:t>) using the CAPM formula:</w:t>
      </w:r>
    </w:p>
    <w:p w:rsidR="006B0748" w:rsidRPr="00727CB4" w:rsidRDefault="006B0748" w:rsidP="006B0748">
      <w:pPr>
        <w:pStyle w:val="AERbodytextindent2"/>
      </w:pPr>
      <w:r w:rsidRPr="00727CB4">
        <w:object w:dxaOrig="1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20.95pt" o:ole="">
            <v:imagedata r:id="rId10" o:title=""/>
          </v:shape>
          <o:OLEObject Type="Embed" ProgID="Equation.3" ShapeID="_x0000_i1025" DrawAspect="Content" ObjectID="_1424776909" r:id="rId11"/>
        </w:object>
      </w:r>
    </w:p>
    <w:p w:rsidR="006B0748" w:rsidRDefault="006B0748" w:rsidP="006B0748">
      <w:pPr>
        <w:pStyle w:val="AERbodytextindent1"/>
      </w:pPr>
      <w:proofErr w:type="gramStart"/>
      <w:r>
        <w:t>w</w:t>
      </w:r>
      <w:r w:rsidRPr="00EB0C53">
        <w:t>here</w:t>
      </w:r>
      <w:proofErr w:type="gramEnd"/>
      <w:r>
        <w:t>:</w:t>
      </w:r>
    </w:p>
    <w:p w:rsidR="006B0748" w:rsidRPr="004F1E3D" w:rsidRDefault="006B0748" w:rsidP="006B0748">
      <w:pPr>
        <w:pStyle w:val="AERbodytextindent2"/>
      </w:pPr>
      <w:proofErr w:type="gramStart"/>
      <w:r w:rsidRPr="00EB0C53">
        <w:t>the</w:t>
      </w:r>
      <w:proofErr w:type="gramEnd"/>
      <w:r w:rsidRPr="00EB0C53">
        <w:t xml:space="preserve"> AER and </w:t>
      </w:r>
      <w:r>
        <w:t>Multinet</w:t>
      </w:r>
      <w:r w:rsidRPr="00EB0C53">
        <w:t xml:space="preserve"> agree the equity beta estimate (β</w:t>
      </w:r>
      <w:r w:rsidRPr="00EB0C53">
        <w:rPr>
          <w:rStyle w:val="AERsubscript"/>
        </w:rPr>
        <w:t>e</w:t>
      </w:r>
      <w:r w:rsidRPr="00EB0C53">
        <w:t>) is 0.8.</w:t>
      </w:r>
      <w:r w:rsidRPr="00EB0C53">
        <w:rPr>
          <w:rStyle w:val="FootnoteReference"/>
        </w:rPr>
        <w:footnoteReference w:id="69"/>
      </w:r>
      <w:r w:rsidRPr="00EB0C53">
        <w:t xml:space="preserve"> </w:t>
      </w:r>
    </w:p>
    <w:p w:rsidR="006B0748" w:rsidRPr="00B719FA" w:rsidRDefault="006B0748" w:rsidP="006B0748">
      <w:pPr>
        <w:pStyle w:val="AERbodytext"/>
        <w:numPr>
          <w:ilvl w:val="0"/>
          <w:numId w:val="13"/>
        </w:numPr>
      </w:pPr>
      <w:r w:rsidRPr="00B719FA">
        <w:t xml:space="preserve">The cost of equity is the key area of disagreement between the AER and </w:t>
      </w:r>
      <w:r>
        <w:t>Multinet</w:t>
      </w:r>
      <w:r w:rsidRPr="00B719FA">
        <w:t xml:space="preserve">.  </w:t>
      </w:r>
    </w:p>
    <w:p w:rsidR="006B0748" w:rsidRPr="00B719FA" w:rsidRDefault="006B0748" w:rsidP="006B0748">
      <w:r w:rsidRPr="00B719FA">
        <w:t xml:space="preserve">In this section the AER considers a number of issues that are relevant to the cost of equity as a whole, namely: </w:t>
      </w:r>
    </w:p>
    <w:p w:rsidR="006B0748" w:rsidRPr="00B719FA" w:rsidRDefault="006B0748" w:rsidP="006B0748">
      <w:pPr>
        <w:pStyle w:val="AERbulletlistfirststyle"/>
      </w:pPr>
      <w:r w:rsidRPr="00B719FA">
        <w:t>The consistency of the approach</w:t>
      </w:r>
    </w:p>
    <w:p w:rsidR="006B0748" w:rsidRPr="00B719FA" w:rsidRDefault="006B0748" w:rsidP="006B0748">
      <w:pPr>
        <w:pStyle w:val="AERbulletlistfirststyle"/>
      </w:pPr>
      <w:r w:rsidRPr="00B719FA">
        <w:t>Is the cost of equity is relatively stable over time?</w:t>
      </w:r>
    </w:p>
    <w:p w:rsidR="006B0748" w:rsidRPr="00B719FA" w:rsidRDefault="006B0748" w:rsidP="006B0748">
      <w:pPr>
        <w:pStyle w:val="AERbulletlistfirststyle"/>
      </w:pPr>
      <w:r w:rsidRPr="00B719FA">
        <w:t xml:space="preserve">Is there is a negative relationship between risk free rate and MRP? </w:t>
      </w:r>
    </w:p>
    <w:p w:rsidR="006B0748" w:rsidRPr="00B719FA" w:rsidRDefault="006B0748" w:rsidP="006B0748">
      <w:pPr>
        <w:pStyle w:val="AERbulletlistfirststyle"/>
      </w:pPr>
      <w:r w:rsidRPr="00B719FA">
        <w:t>Flight to quality periods</w:t>
      </w:r>
    </w:p>
    <w:p w:rsidR="006B0748" w:rsidRPr="00B719FA" w:rsidRDefault="006B0748" w:rsidP="006B0748">
      <w:pPr>
        <w:pStyle w:val="AERbulletlistfirststyle"/>
      </w:pPr>
      <w:r w:rsidRPr="00B719FA">
        <w:t xml:space="preserve">State government bond yields </w:t>
      </w:r>
    </w:p>
    <w:p w:rsidR="006B0748" w:rsidRPr="00B719FA" w:rsidRDefault="006B0748" w:rsidP="006B0748">
      <w:pPr>
        <w:pStyle w:val="AERbulletlistfirststyle"/>
      </w:pPr>
      <w:r w:rsidRPr="00B719FA">
        <w:t>The appropriate term of the risk free rate and the MRP</w:t>
      </w:r>
    </w:p>
    <w:p w:rsidR="006B0748" w:rsidRPr="00B719FA" w:rsidRDefault="006B0748" w:rsidP="006B0748">
      <w:pPr>
        <w:pStyle w:val="AERbulletlistfirststyle"/>
      </w:pPr>
      <w:r w:rsidRPr="00B719FA">
        <w:t xml:space="preserve">Ernst and Young's analysis of market evidence </w:t>
      </w:r>
    </w:p>
    <w:p w:rsidR="006B0748" w:rsidRPr="00B719FA" w:rsidRDefault="006B0748" w:rsidP="006B0748">
      <w:pPr>
        <w:pStyle w:val="AERbulletlistfirststyle"/>
      </w:pPr>
      <w:r w:rsidRPr="00B719FA">
        <w:t>RBA advice.</w:t>
      </w:r>
    </w:p>
    <w:p w:rsidR="006B0748" w:rsidRDefault="006B0748" w:rsidP="006B0748">
      <w:r w:rsidRPr="00B719FA">
        <w:t xml:space="preserve"> The AER discusses each of these issues below. </w:t>
      </w:r>
    </w:p>
    <w:p w:rsidR="006B0748" w:rsidRPr="00691ED9" w:rsidRDefault="006B0748" w:rsidP="006B0748">
      <w:pPr>
        <w:pStyle w:val="Heading9"/>
      </w:pPr>
      <w:bookmarkStart w:id="33" w:name="_Ref350877720"/>
      <w:r w:rsidRPr="00691ED9">
        <w:t>Consistency of the approach to the cost of equity</w:t>
      </w:r>
      <w:bookmarkEnd w:id="33"/>
    </w:p>
    <w:p w:rsidR="006B0748" w:rsidRPr="005B3549" w:rsidRDefault="006B0748" w:rsidP="006B0748">
      <w:pPr>
        <w:pStyle w:val="AERbodytext"/>
        <w:numPr>
          <w:ilvl w:val="0"/>
          <w:numId w:val="13"/>
        </w:numPr>
      </w:pPr>
      <w:r>
        <w:t xml:space="preserve">In attachment section 5.3.2, the AER briefly discusses the importance of consistency with the present value principle and building block model. This section explores these concepts in more detail and also considers other aspects of consistency.   </w:t>
      </w:r>
      <w:r w:rsidRPr="005B3549">
        <w:t xml:space="preserve"> </w:t>
      </w:r>
    </w:p>
    <w:p w:rsidR="006B0748" w:rsidRPr="005B3549" w:rsidRDefault="006B0748" w:rsidP="006B0748">
      <w:pPr>
        <w:pStyle w:val="HeadingBoldBlue"/>
        <w:numPr>
          <w:ilvl w:val="0"/>
          <w:numId w:val="13"/>
        </w:numPr>
      </w:pPr>
      <w:bookmarkStart w:id="34" w:name="_Ref349052491"/>
      <w:r w:rsidRPr="005B3549">
        <w:t>Consistency with present value principle</w:t>
      </w:r>
      <w:bookmarkEnd w:id="34"/>
    </w:p>
    <w:p w:rsidR="006B0748" w:rsidRPr="005B3549" w:rsidRDefault="006B0748" w:rsidP="006B0748">
      <w:pPr>
        <w:pStyle w:val="AERbodytext"/>
        <w:numPr>
          <w:ilvl w:val="0"/>
          <w:numId w:val="13"/>
        </w:numPr>
      </w:pPr>
      <w:r>
        <w:t>T</w:t>
      </w:r>
      <w:r w:rsidRPr="005B3549">
        <w:t xml:space="preserve">he present value principle is a fundamental principle underlying the building block model and the application of the CAPM. </w:t>
      </w:r>
    </w:p>
    <w:p w:rsidR="006B0748" w:rsidRPr="005B3549" w:rsidRDefault="006B0748" w:rsidP="006B0748">
      <w:pPr>
        <w:pStyle w:val="AERbodytext"/>
        <w:numPr>
          <w:ilvl w:val="0"/>
          <w:numId w:val="13"/>
        </w:numPr>
      </w:pPr>
      <w:r w:rsidRPr="005B3549">
        <w:t>Lally defines the present value principle in this manner:</w:t>
      </w:r>
    </w:p>
    <w:p w:rsidR="006B0748" w:rsidRPr="005B3549" w:rsidRDefault="006B0748" w:rsidP="006B0748">
      <w:pPr>
        <w:pStyle w:val="AERquote"/>
      </w:pPr>
      <w:r w:rsidRPr="005B3549">
        <w:t>The Present Value principle states that the present value of a regulated firm's revenue stream should match the present value of its expenditure stream plus or minus any efficiency incentive rewards or penalties...the Present Value principle applies equally to risk free and risky situations and, in the latter case, requires both a risk free rate and a risk premium that are defined over the regulatory period and based upon conditions prevailing at the start of that period.</w:t>
      </w:r>
      <w:r w:rsidRPr="005B3549">
        <w:rPr>
          <w:rStyle w:val="FootnoteReference"/>
        </w:rPr>
        <w:footnoteReference w:id="70"/>
      </w:r>
    </w:p>
    <w:p w:rsidR="006B0748" w:rsidRPr="005B3549" w:rsidRDefault="006B0748" w:rsidP="006B0748">
      <w:pPr>
        <w:pStyle w:val="AERbodytext"/>
        <w:numPr>
          <w:ilvl w:val="0"/>
          <w:numId w:val="13"/>
        </w:numPr>
      </w:pPr>
      <w:r>
        <w:t>In the present context, t</w:t>
      </w:r>
      <w:r w:rsidRPr="005B3549">
        <w:t xml:space="preserve">he present value principle </w:t>
      </w:r>
      <w:r>
        <w:t xml:space="preserve">requires </w:t>
      </w:r>
      <w:r w:rsidRPr="005B3549">
        <w:t xml:space="preserve">that the cost of equity </w:t>
      </w:r>
      <w:r>
        <w:t>th</w:t>
      </w:r>
      <w:r w:rsidRPr="005B3549">
        <w:t xml:space="preserve">at should apply in the building block model is the cost of equity that is prevailing at the </w:t>
      </w:r>
      <w:r>
        <w:t xml:space="preserve">commencement </w:t>
      </w:r>
      <w:r w:rsidRPr="005B3549">
        <w:t xml:space="preserve">of the </w:t>
      </w:r>
      <w:r>
        <w:t xml:space="preserve">access arrangement </w:t>
      </w:r>
      <w:r w:rsidRPr="005B3549">
        <w:t xml:space="preserve">period and reflects the length of the period. </w:t>
      </w:r>
    </w:p>
    <w:p w:rsidR="006B0748" w:rsidRPr="005B3549" w:rsidRDefault="006B0748" w:rsidP="006B0748">
      <w:pPr>
        <w:pStyle w:val="AERbodytext"/>
        <w:numPr>
          <w:ilvl w:val="0"/>
          <w:numId w:val="13"/>
        </w:numPr>
      </w:pPr>
      <w:r w:rsidRPr="005B3549">
        <w:t>The AER makes two departures from strict compliance with the present value principle as defined</w:t>
      </w:r>
      <w:r>
        <w:t xml:space="preserve"> as</w:t>
      </w:r>
      <w:r w:rsidRPr="005B3549">
        <w:t xml:space="preserve">: </w:t>
      </w:r>
    </w:p>
    <w:p w:rsidR="006B0748" w:rsidRPr="005B3549" w:rsidRDefault="006B0748" w:rsidP="006B0748">
      <w:pPr>
        <w:pStyle w:val="AERbulletlistfirststyle"/>
      </w:pPr>
      <w:r w:rsidRPr="005B3549">
        <w:t xml:space="preserve">a short averaging period as close as practically possible to the </w:t>
      </w:r>
      <w:r>
        <w:t>commencement</w:t>
      </w:r>
      <w:r w:rsidRPr="005B3549">
        <w:t xml:space="preserve"> of the </w:t>
      </w:r>
      <w:r>
        <w:t xml:space="preserve">access arrangement </w:t>
      </w:r>
      <w:r w:rsidRPr="005B3549">
        <w:t>period is applied</w:t>
      </w:r>
    </w:p>
    <w:p w:rsidR="006B0748" w:rsidRPr="005B3549" w:rsidRDefault="006B0748" w:rsidP="006B0748">
      <w:pPr>
        <w:pStyle w:val="AERbulletlistfirststyle"/>
      </w:pPr>
      <w:proofErr w:type="gramStart"/>
      <w:r w:rsidRPr="005B3549">
        <w:t>a</w:t>
      </w:r>
      <w:proofErr w:type="gramEnd"/>
      <w:r w:rsidRPr="005B3549">
        <w:t xml:space="preserve"> 10 year term is applied. </w:t>
      </w:r>
    </w:p>
    <w:p w:rsidR="006B0748" w:rsidRPr="003361B2" w:rsidRDefault="006B0748" w:rsidP="006B0748">
      <w:pPr>
        <w:pStyle w:val="AERbodytext"/>
        <w:numPr>
          <w:ilvl w:val="0"/>
          <w:numId w:val="13"/>
        </w:numPr>
      </w:pPr>
      <w:r w:rsidRPr="005B3549">
        <w:t>These departures do not justify the application of a long term average risk free rate. Elsewhere in this appendix the AER discusses the averaging period and the term of the cost of equity.</w:t>
      </w:r>
      <w:r w:rsidRPr="003361B2">
        <w:rPr>
          <w:rStyle w:val="FootnoteReference"/>
        </w:rPr>
        <w:footnoteReference w:id="71"/>
      </w:r>
      <w:r w:rsidRPr="003361B2">
        <w:t xml:space="preserve"> </w:t>
      </w:r>
    </w:p>
    <w:p w:rsidR="006B0748" w:rsidRDefault="006B0748" w:rsidP="006B0748">
      <w:pPr>
        <w:pStyle w:val="AERbodytext"/>
        <w:numPr>
          <w:ilvl w:val="0"/>
          <w:numId w:val="13"/>
        </w:numPr>
      </w:pPr>
      <w:r>
        <w:t>For this decision, the AER estimates:</w:t>
      </w:r>
    </w:p>
    <w:p w:rsidR="006B0748" w:rsidRDefault="006B0748" w:rsidP="006B0748">
      <w:pPr>
        <w:pStyle w:val="AERbulletlistfirststyle"/>
      </w:pPr>
      <w:r>
        <w:t>a 10 year forward looking risk free rate</w:t>
      </w:r>
    </w:p>
    <w:p w:rsidR="006B0748" w:rsidRDefault="006B0748" w:rsidP="006B0748">
      <w:pPr>
        <w:pStyle w:val="AERbulletlistfirststyle"/>
      </w:pPr>
      <w:r>
        <w:t>a 10 year forward looking MRP</w:t>
      </w:r>
    </w:p>
    <w:p w:rsidR="006B0748" w:rsidRDefault="006B0748" w:rsidP="006B0748">
      <w:pPr>
        <w:pStyle w:val="AERbulletlistfirststyle"/>
      </w:pPr>
      <w:r>
        <w:t>taking into account the economic interdependencies between these parameters</w:t>
      </w:r>
    </w:p>
    <w:p w:rsidR="006B0748" w:rsidRDefault="006B0748" w:rsidP="006B0748">
      <w:pPr>
        <w:pStyle w:val="AERbulletlistfirststyle"/>
      </w:pPr>
      <w:proofErr w:type="gramStart"/>
      <w:r>
        <w:t>based</w:t>
      </w:r>
      <w:proofErr w:type="gramEnd"/>
      <w:r>
        <w:t xml:space="preserve"> on expectations prevailing at the commencement of the access arrangement period. </w:t>
      </w:r>
    </w:p>
    <w:p w:rsidR="006B0748" w:rsidRPr="005B3549" w:rsidRDefault="006B0748" w:rsidP="006B0748">
      <w:pPr>
        <w:pStyle w:val="AERbodytext"/>
        <w:numPr>
          <w:ilvl w:val="0"/>
          <w:numId w:val="13"/>
        </w:numPr>
      </w:pPr>
      <w:r>
        <w:t>Accordingly, t</w:t>
      </w:r>
      <w:r w:rsidRPr="005B3549">
        <w:t xml:space="preserve">he AER </w:t>
      </w:r>
      <w:r>
        <w:t>estimates</w:t>
      </w:r>
      <w:r w:rsidRPr="005B3549">
        <w:t xml:space="preserve"> the prevailing 10 year cost of equity as close as practicably possible to the </w:t>
      </w:r>
      <w:r>
        <w:t>commencement of the access arrangement period</w:t>
      </w:r>
      <w:r w:rsidRPr="005B3549">
        <w:t xml:space="preserve">. This cost of equity is, to the extent possible, consistent with the present value principle, the building block model and the CAPM. The AER has formed its estimate using a prevailing estimate of the risk free rate, a prevailing estimate of the MRP and a prevailing estimate of the equity beta. The AER has also considered a possible relationship between the risk free rate and the MRP and whether the cost of equity is stable through time. </w:t>
      </w:r>
    </w:p>
    <w:p w:rsidR="006B0748" w:rsidRPr="005B3549" w:rsidRDefault="006B0748" w:rsidP="006B0748">
      <w:pPr>
        <w:pStyle w:val="AERbodytext"/>
        <w:numPr>
          <w:ilvl w:val="0"/>
          <w:numId w:val="13"/>
        </w:numPr>
      </w:pPr>
      <w:r w:rsidRPr="005B3549">
        <w:t>The AER</w:t>
      </w:r>
      <w:r>
        <w:t xml:space="preserve"> also</w:t>
      </w:r>
      <w:r w:rsidRPr="005B3549">
        <w:t xml:space="preserve"> applied the present value principle in forming its estimate of the cost of equity in the draft decision.</w:t>
      </w:r>
      <w:r w:rsidRPr="005B3549">
        <w:rPr>
          <w:rStyle w:val="FootnoteReference"/>
        </w:rPr>
        <w:footnoteReference w:id="72"/>
      </w:r>
      <w:r w:rsidRPr="005B3549">
        <w:t xml:space="preserve"> In its revised proposal, </w:t>
      </w:r>
      <w:r>
        <w:t>Multinet</w:t>
      </w:r>
      <w:r w:rsidRPr="005B3549">
        <w:t xml:space="preserve"> submits that the AER's reliance on the present value principle is in error.</w:t>
      </w:r>
      <w:r w:rsidRPr="005B3549">
        <w:rPr>
          <w:rStyle w:val="FootnoteReference"/>
        </w:rPr>
        <w:footnoteReference w:id="73"/>
      </w:r>
      <w:r w:rsidRPr="005B3549">
        <w:t xml:space="preserve"> Advice from Professor Wright and Professor Gregory informs </w:t>
      </w:r>
      <w:r>
        <w:t>Multinet's</w:t>
      </w:r>
      <w:r w:rsidRPr="005B3549">
        <w:t xml:space="preserve"> position.</w:t>
      </w:r>
      <w:r w:rsidRPr="005B3549">
        <w:rPr>
          <w:rStyle w:val="FootnoteReference"/>
        </w:rPr>
        <w:footnoteReference w:id="74"/>
      </w:r>
      <w:r>
        <w:t xml:space="preserve"> CEG also provides advice that supports</w:t>
      </w:r>
      <w:r w:rsidRPr="005B3549">
        <w:t xml:space="preserve"> </w:t>
      </w:r>
      <w:r>
        <w:t>Multinet's</w:t>
      </w:r>
      <w:r w:rsidRPr="005B3549">
        <w:t xml:space="preserve"> </w:t>
      </w:r>
      <w:r>
        <w:t>position</w:t>
      </w:r>
      <w:r w:rsidRPr="005B3549">
        <w:t>.</w:t>
      </w:r>
      <w:r w:rsidRPr="005B3549">
        <w:rPr>
          <w:rStyle w:val="FootnoteReference"/>
        </w:rPr>
        <w:footnoteReference w:id="75"/>
      </w:r>
      <w:r w:rsidRPr="005B3549">
        <w:t xml:space="preserve"> </w:t>
      </w:r>
    </w:p>
    <w:p w:rsidR="006B0748" w:rsidRDefault="006B0748" w:rsidP="006B0748">
      <w:pPr>
        <w:pStyle w:val="AERbodytext"/>
        <w:numPr>
          <w:ilvl w:val="0"/>
          <w:numId w:val="13"/>
        </w:numPr>
      </w:pPr>
      <w:r>
        <w:t>Prior to the draft decision, Associate Professor Lally provided advice on the present value principle. That advice</w:t>
      </w:r>
      <w:r w:rsidRPr="005B3549">
        <w:t xml:space="preserve"> focussed on the risk free rate as this was the focus of the AER's questions to him</w:t>
      </w:r>
      <w:r>
        <w:t>, based on the material submitted by the businesses</w:t>
      </w:r>
      <w:r w:rsidRPr="005B3549">
        <w:t>.</w:t>
      </w:r>
      <w:r w:rsidRPr="005B3549">
        <w:rPr>
          <w:rStyle w:val="FootnoteReference"/>
        </w:rPr>
        <w:footnoteReference w:id="76"/>
      </w:r>
    </w:p>
    <w:p w:rsidR="006B0748" w:rsidRDefault="006B0748" w:rsidP="006B0748">
      <w:pPr>
        <w:pStyle w:val="AERbodytext"/>
        <w:numPr>
          <w:ilvl w:val="0"/>
          <w:numId w:val="13"/>
        </w:numPr>
      </w:pPr>
      <w:r>
        <w:t>Multinet's consultants submit that Lally's advice was too simplistic and did not take into account the effect of risk and inflation.</w:t>
      </w:r>
      <w:r>
        <w:rPr>
          <w:rStyle w:val="FootnoteReference"/>
        </w:rPr>
        <w:footnoteReference w:id="77"/>
      </w:r>
      <w:r>
        <w:t xml:space="preserve"> </w:t>
      </w:r>
    </w:p>
    <w:p w:rsidR="006B0748" w:rsidRPr="005B3549" w:rsidRDefault="006B0748" w:rsidP="006B0748">
      <w:pPr>
        <w:pStyle w:val="AERbodytext"/>
        <w:numPr>
          <w:ilvl w:val="0"/>
          <w:numId w:val="13"/>
        </w:numPr>
      </w:pPr>
      <w:r w:rsidRPr="005B3549">
        <w:t xml:space="preserve">In </w:t>
      </w:r>
      <w:r>
        <w:t>response to the advice from Professors Wright and Gregory, and CEG</w:t>
      </w:r>
      <w:r w:rsidRPr="005B3549">
        <w:t>, Lally</w:t>
      </w:r>
      <w:r>
        <w:t xml:space="preserve"> </w:t>
      </w:r>
      <w:r w:rsidRPr="005B3549">
        <w:t>states:</w:t>
      </w:r>
    </w:p>
    <w:p w:rsidR="006B0748" w:rsidRPr="005B3549" w:rsidRDefault="006B0748" w:rsidP="006B0748">
      <w:pPr>
        <w:pStyle w:val="AERquote"/>
      </w:pPr>
      <w:r w:rsidRPr="005B3549">
        <w:t>...in respect of the implications of risk for the Present Value principle,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r w:rsidRPr="005B3549">
        <w:rPr>
          <w:rStyle w:val="FootnoteReference"/>
        </w:rPr>
        <w:footnoteReference w:id="78"/>
      </w:r>
    </w:p>
    <w:p w:rsidR="006B0748" w:rsidRDefault="006B0748" w:rsidP="006B0748">
      <w:pPr>
        <w:pStyle w:val="AERbodytext"/>
        <w:numPr>
          <w:ilvl w:val="0"/>
          <w:numId w:val="13"/>
        </w:numPr>
      </w:pPr>
      <w:r w:rsidRPr="005B3549">
        <w:t>Lally</w:t>
      </w:r>
      <w:r>
        <w:t xml:space="preserve"> concludes that Wright agrees with the present value principle.</w:t>
      </w:r>
      <w:r>
        <w:rPr>
          <w:rStyle w:val="FootnoteReference"/>
        </w:rPr>
        <w:footnoteReference w:id="79"/>
      </w:r>
      <w:r w:rsidRPr="005B3549">
        <w:t xml:space="preserve"> </w:t>
      </w:r>
      <w:r>
        <w:t xml:space="preserve">The central issue from Professor Wright's advice appears to not be with the present value principle itself, but with the preferred application of the CAPM to satisfy that principle. </w:t>
      </w:r>
      <w:r w:rsidRPr="005B3549">
        <w:t xml:space="preserve">  </w:t>
      </w:r>
    </w:p>
    <w:p w:rsidR="006B0748" w:rsidRDefault="006B0748" w:rsidP="006B0748">
      <w:pPr>
        <w:pStyle w:val="AERbodytext"/>
        <w:numPr>
          <w:ilvl w:val="0"/>
          <w:numId w:val="13"/>
        </w:numPr>
      </w:pPr>
      <w:r>
        <w:t>CEG makes an additional suggestion about the application of the present value principle through time. It suggests that there are two alternative versions of the principle.</w:t>
      </w:r>
      <w:r>
        <w:rPr>
          <w:rStyle w:val="FootnoteReference"/>
        </w:rPr>
        <w:footnoteReference w:id="80"/>
      </w:r>
      <w:r>
        <w:t xml:space="preserve"> Lally also identifies this proposal and suggests:</w:t>
      </w:r>
    </w:p>
    <w:p w:rsidR="006B0748" w:rsidRDefault="006B0748" w:rsidP="006B0748">
      <w:pPr>
        <w:pStyle w:val="AERquote"/>
      </w:pPr>
      <w:r>
        <w:t>I agree that these two versions of the present Value principle exist, with the first version merely being that one used by a regulator to operationalise the second version.</w:t>
      </w:r>
      <w:r>
        <w:rPr>
          <w:rStyle w:val="FootnoteReference"/>
        </w:rPr>
        <w:footnoteReference w:id="81"/>
      </w:r>
      <w:r>
        <w:t xml:space="preserve"> </w:t>
      </w:r>
    </w:p>
    <w:p w:rsidR="006B0748" w:rsidRDefault="006B0748" w:rsidP="006B0748">
      <w:pPr>
        <w:pStyle w:val="AERbodytext"/>
        <w:numPr>
          <w:ilvl w:val="0"/>
          <w:numId w:val="13"/>
        </w:numPr>
      </w:pPr>
      <w:r>
        <w:t xml:space="preserve">See section 5.3 of that report for further discussion of this proposal. </w:t>
      </w:r>
    </w:p>
    <w:p w:rsidR="006B0748" w:rsidRPr="005B3549" w:rsidRDefault="006B0748" w:rsidP="006B0748">
      <w:pPr>
        <w:pStyle w:val="HeadingBoldBlue"/>
        <w:numPr>
          <w:ilvl w:val="0"/>
          <w:numId w:val="13"/>
        </w:numPr>
      </w:pPr>
      <w:r w:rsidRPr="005B3549">
        <w:t xml:space="preserve">Consistency with </w:t>
      </w:r>
      <w:r>
        <w:t xml:space="preserve">the </w:t>
      </w:r>
      <w:r w:rsidRPr="005B3549">
        <w:t>building block model</w:t>
      </w:r>
    </w:p>
    <w:p w:rsidR="006B0748" w:rsidRPr="005B3549" w:rsidRDefault="006B0748" w:rsidP="006B0748">
      <w:pPr>
        <w:pStyle w:val="AERbodytext"/>
        <w:numPr>
          <w:ilvl w:val="0"/>
          <w:numId w:val="13"/>
        </w:numPr>
      </w:pPr>
      <w:r w:rsidRPr="005B3549">
        <w:t>The NGR pr</w:t>
      </w:r>
      <w:r>
        <w:t>e</w:t>
      </w:r>
      <w:r w:rsidRPr="005B3549">
        <w:t>scribe the use of the building block model when the AER is calculating the total revenue allowance.</w:t>
      </w:r>
      <w:r w:rsidRPr="005B3549">
        <w:rPr>
          <w:rStyle w:val="FootnoteReference"/>
        </w:rPr>
        <w:footnoteReference w:id="82"/>
      </w:r>
      <w:r w:rsidRPr="005B3549">
        <w:t xml:space="preserve"> The building block model has a long history in regulation in Australia.</w:t>
      </w:r>
      <w:r w:rsidRPr="005B3549">
        <w:rPr>
          <w:rStyle w:val="FootnoteReference"/>
        </w:rPr>
        <w:footnoteReference w:id="83"/>
      </w:r>
      <w:r w:rsidRPr="005B3549">
        <w:t xml:space="preserve"> </w:t>
      </w:r>
    </w:p>
    <w:p w:rsidR="006B0748" w:rsidRPr="005B3549" w:rsidRDefault="006B0748" w:rsidP="006B0748">
      <w:pPr>
        <w:pStyle w:val="AERbodytext"/>
        <w:numPr>
          <w:ilvl w:val="0"/>
          <w:numId w:val="13"/>
        </w:numPr>
      </w:pPr>
      <w:r w:rsidRPr="005B3549">
        <w:t xml:space="preserve">An important principle of the building block model is the present value principle. In a 2011 paper on public utility regulation in Australia, Dr Darryl Biggar explained the origins of the building block model and </w:t>
      </w:r>
      <w:r>
        <w:t>its goals</w:t>
      </w:r>
      <w:r w:rsidRPr="005B3549">
        <w:t>.</w:t>
      </w:r>
      <w:r w:rsidRPr="005B3549">
        <w:rPr>
          <w:rStyle w:val="FootnoteReference"/>
        </w:rPr>
        <w:footnoteReference w:id="84"/>
      </w:r>
      <w:r w:rsidRPr="005B3549">
        <w:t xml:space="preserve"> </w:t>
      </w:r>
    </w:p>
    <w:p w:rsidR="006B0748" w:rsidRDefault="006B0748" w:rsidP="006B0748">
      <w:pPr>
        <w:pStyle w:val="AERbodytext"/>
        <w:numPr>
          <w:ilvl w:val="0"/>
          <w:numId w:val="13"/>
        </w:numPr>
      </w:pPr>
      <w:r>
        <w:t>Lally states:</w:t>
      </w:r>
    </w:p>
    <w:p w:rsidR="006B0748" w:rsidRDefault="006B0748" w:rsidP="006B0748">
      <w:pPr>
        <w:pStyle w:val="AERquote"/>
      </w:pPr>
      <w:r>
        <w:t>...the Building Block model requires use of the risk free rate at the beginning of the regulatory period and therefore the rate should be averaged over a short period as close as practical to the start of the regulatory period. Rates averaged over a much longer historical period would be inconsistent with the Building Block model.</w:t>
      </w:r>
      <w:r>
        <w:rPr>
          <w:rStyle w:val="FootnoteReference"/>
        </w:rPr>
        <w:footnoteReference w:id="85"/>
      </w:r>
      <w:r>
        <w:t xml:space="preserve"> </w:t>
      </w:r>
    </w:p>
    <w:p w:rsidR="006B0748" w:rsidRPr="008264EE" w:rsidRDefault="006B0748" w:rsidP="006B0748">
      <w:pPr>
        <w:pStyle w:val="AERbodytext"/>
        <w:numPr>
          <w:ilvl w:val="0"/>
          <w:numId w:val="13"/>
        </w:numPr>
      </w:pPr>
      <w:r>
        <w:t>As this decision is consistent with the present value principle, it is also consistent with the building block model.</w:t>
      </w:r>
      <w:r>
        <w:rPr>
          <w:rStyle w:val="FootnoteReference"/>
        </w:rPr>
        <w:footnoteReference w:id="86"/>
      </w:r>
      <w:r>
        <w:t xml:space="preserve"> </w:t>
      </w:r>
    </w:p>
    <w:p w:rsidR="006B0748" w:rsidRPr="005B3549" w:rsidRDefault="006B0748" w:rsidP="006B0748">
      <w:pPr>
        <w:pStyle w:val="HeadingBoldBlue"/>
        <w:numPr>
          <w:ilvl w:val="0"/>
          <w:numId w:val="13"/>
        </w:numPr>
      </w:pPr>
      <w:r w:rsidRPr="005B3549">
        <w:t>Consistency with</w:t>
      </w:r>
      <w:r>
        <w:t xml:space="preserve"> the Capital Asset Pricing Model (CAPM)</w:t>
      </w:r>
    </w:p>
    <w:p w:rsidR="006B0748" w:rsidRPr="005B3549" w:rsidRDefault="006B0748" w:rsidP="006B0748">
      <w:pPr>
        <w:pStyle w:val="AERbodytext"/>
        <w:numPr>
          <w:ilvl w:val="0"/>
          <w:numId w:val="13"/>
        </w:numPr>
      </w:pPr>
      <w:r w:rsidRPr="005B3549">
        <w:t xml:space="preserve">The AER has applied the CAPM consistently. </w:t>
      </w:r>
      <w:r>
        <w:t>Multinet proposed the Sharpe-Lintner CAPM be applied for this decision.</w:t>
      </w:r>
      <w:r>
        <w:rPr>
          <w:rStyle w:val="FootnoteReference"/>
        </w:rPr>
        <w:footnoteReference w:id="87"/>
      </w:r>
      <w:r>
        <w:t xml:space="preserve"> The AER accepts that proposal. The AER has also ensured that there is consistency within the CAPM. </w:t>
      </w:r>
    </w:p>
    <w:p w:rsidR="006B0748" w:rsidRPr="005B3549" w:rsidRDefault="006B0748" w:rsidP="006B0748">
      <w:pPr>
        <w:pStyle w:val="AERbodytext"/>
        <w:numPr>
          <w:ilvl w:val="0"/>
          <w:numId w:val="13"/>
        </w:numPr>
      </w:pPr>
      <w:r w:rsidRPr="005B3549">
        <w:t>The Sharpe-Lintner CAPM is described by the following equation:</w:t>
      </w:r>
    </w:p>
    <w:p w:rsidR="006B0748" w:rsidRPr="005B3549" w:rsidRDefault="006B0748" w:rsidP="006B0748">
      <w:pPr>
        <w:pStyle w:val="AERbodytext"/>
        <w:numPr>
          <w:ilvl w:val="0"/>
          <w:numId w:val="13"/>
        </w:numPr>
      </w:pPr>
      <w:r w:rsidRPr="005B3549">
        <w:t xml:space="preserve"> </w:t>
      </w:r>
      <w:r w:rsidRPr="005B3549">
        <w:tab/>
        <w:t xml:space="preserve">(1) </w:t>
      </w:r>
      <w:r>
        <w:t xml:space="preserve">E(Ri) = Rf + </w:t>
      </w:r>
      <w:r w:rsidRPr="003361B2">
        <w:rPr>
          <w:rStyle w:val="AERbody"/>
        </w:rPr>
        <w:t>β</w:t>
      </w:r>
      <w:r w:rsidRPr="005B3549">
        <w:t>.[E(Rm) - Rf]</w:t>
      </w:r>
    </w:p>
    <w:p w:rsidR="006B0748" w:rsidRPr="005B3549" w:rsidRDefault="006B0748" w:rsidP="006B0748">
      <w:pPr>
        <w:pStyle w:val="AERbodytext"/>
        <w:numPr>
          <w:ilvl w:val="0"/>
          <w:numId w:val="13"/>
        </w:numPr>
      </w:pPr>
      <w:r>
        <w:t>Where: E(Ri</w:t>
      </w:r>
      <w:r w:rsidRPr="005B3549">
        <w:t>) is the return</w:t>
      </w:r>
      <w:r>
        <w:t xml:space="preserve"> on the investment</w:t>
      </w:r>
    </w:p>
    <w:p w:rsidR="006B0748" w:rsidRPr="005B3549" w:rsidRDefault="006B0748" w:rsidP="006B0748">
      <w:pPr>
        <w:pStyle w:val="AERbodytext"/>
        <w:numPr>
          <w:ilvl w:val="0"/>
          <w:numId w:val="13"/>
        </w:numPr>
      </w:pPr>
      <w:r w:rsidRPr="005B3549">
        <w:tab/>
        <w:t xml:space="preserve">Rf is the risk free rate </w:t>
      </w:r>
    </w:p>
    <w:p w:rsidR="006B0748" w:rsidRPr="005B3549" w:rsidRDefault="006B0748" w:rsidP="006B0748">
      <w:pPr>
        <w:pStyle w:val="AERbodytext"/>
        <w:numPr>
          <w:ilvl w:val="0"/>
          <w:numId w:val="13"/>
        </w:numPr>
      </w:pPr>
      <w:r w:rsidRPr="005B3549">
        <w:t xml:space="preserve"> </w:t>
      </w:r>
      <w:r w:rsidRPr="005B3549">
        <w:tab/>
      </w:r>
      <w:r w:rsidRPr="003361B2">
        <w:rPr>
          <w:rStyle w:val="AERbody"/>
        </w:rPr>
        <w:t>β</w:t>
      </w:r>
      <w:r w:rsidRPr="005B3549">
        <w:t xml:space="preserve"> is the equity beta</w:t>
      </w:r>
    </w:p>
    <w:p w:rsidR="006B0748" w:rsidRPr="005B3549" w:rsidRDefault="006B0748" w:rsidP="006B0748">
      <w:pPr>
        <w:pStyle w:val="AERbodytext"/>
        <w:numPr>
          <w:ilvl w:val="0"/>
          <w:numId w:val="13"/>
        </w:numPr>
      </w:pPr>
      <w:r w:rsidRPr="005B3549">
        <w:tab/>
        <w:t>E(Rm) is the expected market return</w:t>
      </w:r>
    </w:p>
    <w:p w:rsidR="006B0748" w:rsidRPr="005B3549" w:rsidRDefault="006B0748" w:rsidP="006B0748">
      <w:pPr>
        <w:pStyle w:val="AERbodytext"/>
        <w:numPr>
          <w:ilvl w:val="0"/>
          <w:numId w:val="13"/>
        </w:numPr>
      </w:pPr>
      <w:r w:rsidRPr="005B3549">
        <w:t>The term in the [</w:t>
      </w:r>
      <w:r>
        <w:t xml:space="preserve"> </w:t>
      </w:r>
      <w:r w:rsidRPr="005B3549">
        <w:t>] brackets can also be simplified to:</w:t>
      </w:r>
      <w:r>
        <w:t xml:space="preserve"> </w:t>
      </w:r>
    </w:p>
    <w:p w:rsidR="006B0748" w:rsidRPr="005B3549" w:rsidRDefault="006B0748" w:rsidP="006B0748">
      <w:pPr>
        <w:pStyle w:val="AERbodytext"/>
        <w:numPr>
          <w:ilvl w:val="0"/>
          <w:numId w:val="13"/>
        </w:numPr>
      </w:pPr>
      <w:r w:rsidRPr="005B3549">
        <w:t xml:space="preserve"> </w:t>
      </w:r>
      <w:r w:rsidRPr="005B3549">
        <w:tab/>
        <w:t>(2) MRP = E(Rm) - Rf</w:t>
      </w:r>
    </w:p>
    <w:p w:rsidR="006B0748" w:rsidRPr="005B3549" w:rsidRDefault="006B0748" w:rsidP="006B0748">
      <w:pPr>
        <w:pStyle w:val="AERbodytext"/>
        <w:numPr>
          <w:ilvl w:val="0"/>
          <w:numId w:val="13"/>
        </w:numPr>
      </w:pPr>
      <w:r w:rsidRPr="005B3549">
        <w:t>Therefore, the Sharpe-Lintner CAPM can be simplified to:</w:t>
      </w:r>
    </w:p>
    <w:p w:rsidR="006B0748" w:rsidRPr="005B3549" w:rsidRDefault="006B0748" w:rsidP="006B0748">
      <w:pPr>
        <w:pStyle w:val="AERbodytext"/>
        <w:numPr>
          <w:ilvl w:val="0"/>
          <w:numId w:val="13"/>
        </w:numPr>
      </w:pPr>
      <w:r>
        <w:t xml:space="preserve"> </w:t>
      </w:r>
      <w:r>
        <w:tab/>
        <w:t xml:space="preserve">(3) E(Ri) = Rf - </w:t>
      </w:r>
      <w:r w:rsidRPr="003361B2">
        <w:rPr>
          <w:rStyle w:val="AERbody"/>
        </w:rPr>
        <w:t>β</w:t>
      </w:r>
      <w:r w:rsidRPr="005B3549">
        <w:t xml:space="preserve">.MRP </w:t>
      </w:r>
    </w:p>
    <w:p w:rsidR="006B0748" w:rsidRPr="005B3549" w:rsidRDefault="006B0748" w:rsidP="006B0748">
      <w:pPr>
        <w:pStyle w:val="AERbodytext"/>
        <w:numPr>
          <w:ilvl w:val="0"/>
          <w:numId w:val="13"/>
        </w:numPr>
      </w:pPr>
      <w:r>
        <w:t>Multinet</w:t>
      </w:r>
      <w:r w:rsidRPr="005B3549">
        <w:t>, CEG, Professor Gregory, Professor Wright, SFG and NERA all submit that the AER has inconsistently applied the CAPM by combining a long term average MRP with a spot risk free rate.</w:t>
      </w:r>
      <w:r w:rsidRPr="005B3549">
        <w:rPr>
          <w:rStyle w:val="FootnoteReference"/>
        </w:rPr>
        <w:footnoteReference w:id="88"/>
      </w:r>
      <w:r w:rsidRPr="005B3549">
        <w:t xml:space="preserve"> </w:t>
      </w:r>
      <w:r>
        <w:t xml:space="preserve"> </w:t>
      </w:r>
      <w:r w:rsidRPr="005B3549">
        <w:t xml:space="preserve"> </w:t>
      </w:r>
    </w:p>
    <w:p w:rsidR="006B0748" w:rsidRDefault="006B0748" w:rsidP="006B0748">
      <w:pPr>
        <w:pStyle w:val="AERbodytext"/>
        <w:numPr>
          <w:ilvl w:val="0"/>
          <w:numId w:val="13"/>
        </w:numPr>
      </w:pPr>
      <w:r w:rsidRPr="005B3549">
        <w:t xml:space="preserve">The AER disagrees with this </w:t>
      </w:r>
      <w:r>
        <w:t>characterisation</w:t>
      </w:r>
      <w:r w:rsidRPr="005B3549">
        <w:t xml:space="preserve">. </w:t>
      </w:r>
      <w:r>
        <w:t xml:space="preserve">It </w:t>
      </w:r>
      <w:r w:rsidRPr="005B3549">
        <w:t xml:space="preserve">relies on a </w:t>
      </w:r>
      <w:r>
        <w:t>misunderstanding</w:t>
      </w:r>
      <w:r w:rsidRPr="005B3549">
        <w:t xml:space="preserve"> of how the AER determines the MRP. As discussed in </w:t>
      </w:r>
      <w:r>
        <w:t>attachment 5</w:t>
      </w:r>
      <w:r w:rsidRPr="005B3549">
        <w:t>, the AER does not simply employ a long term average MRP.</w:t>
      </w:r>
      <w:r>
        <w:t xml:space="preserve"> Conceptually, the AER estimates a </w:t>
      </w:r>
      <w:r w:rsidRPr="005B3549">
        <w:t xml:space="preserve">10 year </w:t>
      </w:r>
      <w:r>
        <w:t xml:space="preserve">forward looking </w:t>
      </w:r>
      <w:r w:rsidRPr="005B3549">
        <w:t xml:space="preserve">cost of equity. </w:t>
      </w:r>
      <w:r>
        <w:t>To do so, the AER</w:t>
      </w:r>
      <w:r w:rsidRPr="005B3549">
        <w:t xml:space="preserve"> determine</w:t>
      </w:r>
      <w:r>
        <w:t>s</w:t>
      </w:r>
      <w:r w:rsidRPr="005B3549">
        <w:t xml:space="preserve"> an estimate of the 10 year </w:t>
      </w:r>
      <w:r>
        <w:t xml:space="preserve">forward looking </w:t>
      </w:r>
      <w:r w:rsidRPr="005B3549">
        <w:t>risk free rate</w:t>
      </w:r>
      <w:r>
        <w:t xml:space="preserve"> and </w:t>
      </w:r>
      <w:r w:rsidRPr="005B3549">
        <w:t xml:space="preserve">10 year </w:t>
      </w:r>
      <w:r>
        <w:t xml:space="preserve">forward looking </w:t>
      </w:r>
      <w:r w:rsidRPr="005B3549">
        <w:t xml:space="preserve">MRP. </w:t>
      </w:r>
    </w:p>
    <w:p w:rsidR="006B0748" w:rsidRDefault="006B0748" w:rsidP="006B0748">
      <w:pPr>
        <w:pStyle w:val="AERbodytext"/>
        <w:numPr>
          <w:ilvl w:val="0"/>
          <w:numId w:val="13"/>
        </w:numPr>
      </w:pPr>
      <w:r>
        <w:t>For clarity, the AER's application of the CAPM can also be expressed mathematically (Lally discusses this equation in more detail</w:t>
      </w:r>
      <w:r>
        <w:rPr>
          <w:rStyle w:val="FootnoteReference"/>
        </w:rPr>
        <w:footnoteReference w:id="89"/>
      </w:r>
      <w:r>
        <w:t xml:space="preserve">):  </w:t>
      </w:r>
    </w:p>
    <w:p w:rsidR="006B0748" w:rsidRDefault="006B0748" w:rsidP="006B0748">
      <w:pPr>
        <w:pStyle w:val="AERbodytextindent2"/>
      </w:pPr>
      <w:r w:rsidRPr="006B0748">
        <w:rPr>
          <w:noProof/>
          <w:lang w:eastAsia="en-AU"/>
        </w:rPr>
        <w:drawing>
          <wp:inline distT="0" distB="0" distL="0" distR="0">
            <wp:extent cx="1750373" cy="226310"/>
            <wp:effectExtent l="19050" t="0" r="2227"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51946" cy="226513"/>
                    </a:xfrm>
                    <a:prstGeom prst="rect">
                      <a:avLst/>
                    </a:prstGeom>
                    <a:noFill/>
                    <a:ln w="9525">
                      <a:noFill/>
                      <a:miter lim="800000"/>
                      <a:headEnd/>
                      <a:tailEnd/>
                    </a:ln>
                  </pic:spPr>
                </pic:pic>
              </a:graphicData>
            </a:graphic>
          </wp:inline>
        </w:drawing>
      </w:r>
    </w:p>
    <w:p w:rsidR="006B0748" w:rsidRDefault="006B0748" w:rsidP="006B0748">
      <w:pPr>
        <w:pStyle w:val="AERbodytext"/>
        <w:numPr>
          <w:ilvl w:val="0"/>
          <w:numId w:val="13"/>
        </w:numPr>
      </w:pPr>
      <w:r>
        <w:t>Perhaps unsurprisingly a</w:t>
      </w:r>
      <w:r w:rsidRPr="005B3549">
        <w:t>s the cost of equity is unobservable, experts disagree on the best method of estimating the expected return on the market (</w:t>
      </w:r>
      <w:proofErr w:type="gramStart"/>
      <w:r w:rsidRPr="005B3549">
        <w:t>E(</w:t>
      </w:r>
      <w:proofErr w:type="gramEnd"/>
      <w:r w:rsidRPr="005B3549">
        <w:t>Rm)). As the MRP is unobservable, experts also disagree on the best method of estimating the MRP.</w:t>
      </w:r>
      <w:r>
        <w:t xml:space="preserve"> </w:t>
      </w:r>
      <w:r w:rsidRPr="005B3549">
        <w:t xml:space="preserve">Neither of these points makes the AER's approach inconsistent with the CAPM. </w:t>
      </w:r>
    </w:p>
    <w:p w:rsidR="006B0748" w:rsidRPr="003361B2" w:rsidRDefault="006B0748" w:rsidP="006B0748">
      <w:pPr>
        <w:pStyle w:val="AERbodytext"/>
        <w:numPr>
          <w:ilvl w:val="0"/>
          <w:numId w:val="13"/>
        </w:numPr>
      </w:pPr>
      <w:r>
        <w:t>McKenzie and Partington also suggest that the consistency argued for by Multinet and its consultants misses the point of the exercise:</w:t>
      </w:r>
    </w:p>
    <w:p w:rsidR="006B0748" w:rsidRPr="005B3549" w:rsidRDefault="006B0748" w:rsidP="006B0748">
      <w:pPr>
        <w:pStyle w:val="AERquote"/>
      </w:pPr>
      <w:r>
        <w:t xml:space="preserve">The argument of the consultants that the AER approach mixes current and historic estimates of the risk-free rate in the CAPM and the consultants' insistency that whatever is used as the estimate of the current risk free rate should also be used to estimate the market risk </w:t>
      </w:r>
      <w:proofErr w:type="gramStart"/>
      <w:r>
        <w:t>premium,</w:t>
      </w:r>
      <w:proofErr w:type="gramEnd"/>
      <w:r>
        <w:t xml:space="preserve"> rather misses the point. What matters is getting the best estimate of the current risk free rate and the best estimate of the current market risk premium. Using the same estimate of the risk free rate for both provides no assurance whatsoever that the best estimates will be obtained. Such 'consistency' may simply result in giving consistently the wrong estimate.</w:t>
      </w:r>
      <w:r>
        <w:rPr>
          <w:rStyle w:val="FootnoteReference"/>
        </w:rPr>
        <w:footnoteReference w:id="90"/>
      </w:r>
      <w:r>
        <w:t xml:space="preserve"> </w:t>
      </w:r>
    </w:p>
    <w:p w:rsidR="006B0748" w:rsidRDefault="006B0748" w:rsidP="006B0748">
      <w:pPr>
        <w:pStyle w:val="AERbodytext"/>
        <w:numPr>
          <w:ilvl w:val="0"/>
          <w:numId w:val="13"/>
        </w:numPr>
      </w:pPr>
      <w:r>
        <w:t>CEPA concludes the AER's estimate is consistent as the AER calculates the risk free rate and the MRP over the same timeframe.</w:t>
      </w:r>
      <w:r>
        <w:rPr>
          <w:rStyle w:val="FootnoteReference"/>
        </w:rPr>
        <w:footnoteReference w:id="91"/>
      </w:r>
      <w:r>
        <w:t xml:space="preserve"> CEPA also suggests the central question for consistency in the CAPM is whether there is a relationship between the risk free rate and MRP.</w:t>
      </w:r>
      <w:r>
        <w:rPr>
          <w:rStyle w:val="FootnoteReference"/>
        </w:rPr>
        <w:footnoteReference w:id="92"/>
      </w:r>
    </w:p>
    <w:p w:rsidR="006B0748" w:rsidRPr="005B3549" w:rsidRDefault="006B0748" w:rsidP="006B0748">
      <w:pPr>
        <w:pStyle w:val="AERbodytext"/>
        <w:numPr>
          <w:ilvl w:val="0"/>
          <w:numId w:val="13"/>
        </w:numPr>
      </w:pPr>
      <w:r>
        <w:t>Lally also concludes, t</w:t>
      </w:r>
      <w:r w:rsidRPr="005B3549">
        <w:t>he present value principle info</w:t>
      </w:r>
      <w:r>
        <w:t>rms the application of the CAPM</w:t>
      </w:r>
      <w:r w:rsidRPr="005B3549">
        <w:t>:</w:t>
      </w:r>
    </w:p>
    <w:p w:rsidR="006B0748" w:rsidRPr="005B3549" w:rsidRDefault="006B0748" w:rsidP="006B0748">
      <w:pPr>
        <w:pStyle w:val="AERquote"/>
      </w:pPr>
      <w:r w:rsidRPr="005B3549">
        <w:t>...if the regulatory period were five years, the appropriate values for Rf and E(Rm) would be the five year rates prevailing at the commencement of the regulatory period and β</w:t>
      </w:r>
      <w:r>
        <w:t>j</w:t>
      </w:r>
      <w:r w:rsidRPr="005B3549">
        <w:t xml:space="preserve"> should be defined with respect to the prob</w:t>
      </w:r>
      <w:r>
        <w:t>ability distributions for the Rj</w:t>
      </w:r>
      <w:r w:rsidRPr="005B3549">
        <w:t xml:space="preserve"> and Rm over the five year period.</w:t>
      </w:r>
      <w:r>
        <w:rPr>
          <w:rStyle w:val="FootnoteReference"/>
        </w:rPr>
        <w:footnoteReference w:id="93"/>
      </w:r>
      <w:r w:rsidRPr="005B3549">
        <w:t xml:space="preserve"> </w:t>
      </w:r>
    </w:p>
    <w:p w:rsidR="006B0748" w:rsidRDefault="006B0748" w:rsidP="006B0748">
      <w:pPr>
        <w:pStyle w:val="AERbodytext"/>
        <w:numPr>
          <w:ilvl w:val="0"/>
          <w:numId w:val="13"/>
        </w:numPr>
      </w:pPr>
      <w:r w:rsidRPr="005B3549">
        <w:t>Lally finds that a long term average risk free rate is not consistent with the CAPM.</w:t>
      </w:r>
      <w:r w:rsidRPr="005B3549">
        <w:rPr>
          <w:rStyle w:val="FootnoteReference"/>
        </w:rPr>
        <w:footnoteReference w:id="94"/>
      </w:r>
      <w:r w:rsidRPr="005B3549">
        <w:t xml:space="preserve"> He does, however, consider that a long term average estimate of the expected return on the market would be consistent with the CAPM when applied with a prevailing estimate of the risk free rate.</w:t>
      </w:r>
      <w:r w:rsidRPr="005B3549">
        <w:rPr>
          <w:rStyle w:val="FootnoteReference"/>
        </w:rPr>
        <w:footnoteReference w:id="95"/>
      </w:r>
      <w:r w:rsidRPr="005B3549">
        <w:t xml:space="preserve"> </w:t>
      </w:r>
    </w:p>
    <w:p w:rsidR="006B0748" w:rsidRDefault="006B0748" w:rsidP="006B0748">
      <w:pPr>
        <w:pStyle w:val="AERbodytext"/>
        <w:numPr>
          <w:ilvl w:val="0"/>
          <w:numId w:val="13"/>
        </w:numPr>
      </w:pPr>
      <w:r>
        <w:t>Furthermore, Gregory suggests that the Sharpe Lintner CAPM is a single period model and is therefore incompatible with the multi-period regulatory application.</w:t>
      </w:r>
      <w:r>
        <w:rPr>
          <w:rStyle w:val="FootnoteReference"/>
        </w:rPr>
        <w:footnoteReference w:id="96"/>
      </w:r>
      <w:r>
        <w:t xml:space="preserve"> Lally has advised the AER that the Sharpe Lintner CAPM is a single period model and therefore not necessarily consistent with the multi-period regulatory application. However, he also advised:</w:t>
      </w:r>
    </w:p>
    <w:p w:rsidR="006B0748" w:rsidRDefault="006B0748" w:rsidP="006B0748">
      <w:pPr>
        <w:pStyle w:val="AERquote"/>
      </w:pPr>
      <w:r>
        <w:t>...this is merely one of many features of the model that simplify reality and recourse to models with more realistic assumptions generally incurs greater difficulties in estimating parameters, thereby requiring a judgment over the trade-off. The AER's preference for a one-period version of the model is universal amongst regulators, overwhelmingly typical of submissions to them, and consistent with most other applications of the CAPM, presumably in recognition of this trade-off.</w:t>
      </w:r>
      <w:r>
        <w:rPr>
          <w:rStyle w:val="FootnoteReference"/>
        </w:rPr>
        <w:footnoteReference w:id="97"/>
      </w:r>
      <w:r>
        <w:t xml:space="preserve"> </w:t>
      </w:r>
    </w:p>
    <w:p w:rsidR="006B0748" w:rsidRDefault="006B0748" w:rsidP="006B0748">
      <w:pPr>
        <w:pStyle w:val="AERbodytext"/>
        <w:numPr>
          <w:ilvl w:val="0"/>
          <w:numId w:val="13"/>
        </w:numPr>
      </w:pPr>
      <w:r>
        <w:t>In any case, Multinet has proposed the Sharpe Lintner CAPM in this decision, and the AER agrees with the use of this model.</w:t>
      </w:r>
      <w:r>
        <w:rPr>
          <w:rStyle w:val="FootnoteReference"/>
        </w:rPr>
        <w:footnoteReference w:id="98"/>
      </w:r>
    </w:p>
    <w:p w:rsidR="006B0748" w:rsidRPr="005B3549" w:rsidRDefault="006B0748" w:rsidP="006B0748">
      <w:pPr>
        <w:pStyle w:val="HeadingBoldBlue"/>
        <w:numPr>
          <w:ilvl w:val="0"/>
          <w:numId w:val="13"/>
        </w:numPr>
      </w:pPr>
      <w:r>
        <w:t>Internal consistency</w:t>
      </w:r>
    </w:p>
    <w:p w:rsidR="006B0748" w:rsidRDefault="006B0748" w:rsidP="006B0748">
      <w:pPr>
        <w:pStyle w:val="AERbodytext"/>
        <w:numPr>
          <w:ilvl w:val="0"/>
          <w:numId w:val="13"/>
        </w:numPr>
      </w:pPr>
      <w:r>
        <w:t xml:space="preserve">As well as being consistent with the CAPM, the AER applies an approach that employs consistent definitions and logic throughout. </w:t>
      </w:r>
    </w:p>
    <w:p w:rsidR="006B0748" w:rsidRPr="005B3549" w:rsidRDefault="006B0748" w:rsidP="006B0748">
      <w:pPr>
        <w:pStyle w:val="AERbodytext"/>
        <w:numPr>
          <w:ilvl w:val="0"/>
          <w:numId w:val="13"/>
        </w:numPr>
      </w:pPr>
      <w:r w:rsidRPr="005B3549">
        <w:t>CEG s</w:t>
      </w:r>
      <w:r>
        <w:t>tates</w:t>
      </w:r>
      <w:r w:rsidRPr="005B3549">
        <w:t>:</w:t>
      </w:r>
    </w:p>
    <w:p w:rsidR="006B0748" w:rsidRPr="005B3549" w:rsidRDefault="006B0748" w:rsidP="006B0748">
      <w:pPr>
        <w:pStyle w:val="AERquote"/>
      </w:pPr>
      <w:r w:rsidRPr="005B3549">
        <w:t>The AER uses the same terminology to mean different things at different places in its decision and logic. Specifically, the AER uses the same terminology to mean different things when applied to the risk free rate and when applied to the MRP.</w:t>
      </w:r>
      <w:r w:rsidRPr="005B3549">
        <w:rPr>
          <w:rStyle w:val="FootnoteReference"/>
        </w:rPr>
        <w:footnoteReference w:id="99"/>
      </w:r>
      <w:r w:rsidRPr="005B3549">
        <w:t xml:space="preserve"> </w:t>
      </w:r>
    </w:p>
    <w:p w:rsidR="006B0748" w:rsidRDefault="006B0748" w:rsidP="006B0748">
      <w:pPr>
        <w:pStyle w:val="AERbodytext"/>
        <w:numPr>
          <w:ilvl w:val="0"/>
          <w:numId w:val="13"/>
        </w:numPr>
      </w:pPr>
      <w:r>
        <w:t xml:space="preserve">A misunderstanding of the AER's MRP estimate appears to underlie this suggestion. </w:t>
      </w:r>
      <w:r w:rsidRPr="005B3549">
        <w:t xml:space="preserve">The AER estimates a 10 year forward looking </w:t>
      </w:r>
      <w:r>
        <w:t>cost of equity</w:t>
      </w:r>
      <w:r w:rsidRPr="005B3549">
        <w:t xml:space="preserve"> using an estimate of the </w:t>
      </w:r>
      <w:r>
        <w:t>10 year forward looking</w:t>
      </w:r>
      <w:r w:rsidRPr="005B3549">
        <w:t xml:space="preserve"> MRP. </w:t>
      </w:r>
      <w:r>
        <w:t>Lally suggests:</w:t>
      </w:r>
    </w:p>
    <w:p w:rsidR="006B0748" w:rsidRDefault="006B0748" w:rsidP="006B0748">
      <w:pPr>
        <w:pStyle w:val="AERquote"/>
      </w:pPr>
      <w:r>
        <w:t>CEG's unwarranted belief that there is an inconsistency may arise because the ten-year risk free rate prevailing at the present time is observable, and therefore requires no comment upon its composition, whilst the ten-year MRP prevailing at the present time is not observable, thereby leading the AER to comment upon its components (which include the annual MRPs expected to prevail in each of the next ten years).</w:t>
      </w:r>
      <w:r>
        <w:rPr>
          <w:rStyle w:val="FootnoteReference"/>
        </w:rPr>
        <w:footnoteReference w:id="100"/>
      </w:r>
      <w:r>
        <w:t xml:space="preserve"> </w:t>
      </w:r>
    </w:p>
    <w:p w:rsidR="006B0748" w:rsidRPr="005B3549" w:rsidRDefault="006B0748" w:rsidP="006B0748">
      <w:pPr>
        <w:pStyle w:val="AERbodytext"/>
        <w:numPr>
          <w:ilvl w:val="0"/>
          <w:numId w:val="13"/>
        </w:numPr>
      </w:pPr>
      <w:r w:rsidRPr="005B3549">
        <w:t xml:space="preserve">CEG's suggestion </w:t>
      </w:r>
      <w:r>
        <w:t>may also stem</w:t>
      </w:r>
      <w:r w:rsidRPr="005B3549">
        <w:t xml:space="preserve"> from its consideration that prevailing equity prices can provide a reliable estimate of the prevailing MRP—using DGM models for example.</w:t>
      </w:r>
      <w:r w:rsidRPr="005B3549">
        <w:rPr>
          <w:rStyle w:val="FootnoteReference"/>
        </w:rPr>
        <w:footnoteReference w:id="101"/>
      </w:r>
      <w:r w:rsidRPr="005B3549">
        <w:t xml:space="preserve"> If this were the case, it would be appropriate to use these estimates ahead of others. Equity market prices </w:t>
      </w:r>
      <w:r>
        <w:t>likely</w:t>
      </w:r>
      <w:r w:rsidRPr="005B3549">
        <w:t xml:space="preserve"> </w:t>
      </w:r>
      <w:r>
        <w:t>reflect market conditions</w:t>
      </w:r>
      <w:r w:rsidRPr="005B3549">
        <w:t xml:space="preserve"> in the same manner as the market for CGS.</w:t>
      </w:r>
      <w:r w:rsidRPr="005B3549">
        <w:rPr>
          <w:rStyle w:val="FootnoteReference"/>
        </w:rPr>
        <w:footnoteReference w:id="102"/>
      </w:r>
      <w:r w:rsidRPr="005B3549">
        <w:t xml:space="preserve"> </w:t>
      </w:r>
    </w:p>
    <w:p w:rsidR="006B0748" w:rsidRPr="005B3549" w:rsidRDefault="006B0748" w:rsidP="006B0748">
      <w:pPr>
        <w:pStyle w:val="AERbodytext"/>
        <w:numPr>
          <w:ilvl w:val="0"/>
          <w:numId w:val="13"/>
        </w:numPr>
      </w:pPr>
      <w:r w:rsidRPr="005B3549">
        <w:t>However, the AER does not agree wi</w:t>
      </w:r>
      <w:r>
        <w:t>th CEG's view. As discussed in section B.6</w:t>
      </w:r>
      <w:r w:rsidRPr="005B3549">
        <w:t xml:space="preserve"> </w:t>
      </w:r>
      <w:r>
        <w:t>below</w:t>
      </w:r>
      <w:r w:rsidRPr="005B3549">
        <w:t>, the AER does not consider DGM estimates to be</w:t>
      </w:r>
      <w:r>
        <w:t xml:space="preserve"> sufficiently</w:t>
      </w:r>
      <w:r w:rsidRPr="005B3549">
        <w:t xml:space="preserve"> reliable indicators of prevailing MRP estimates. As a result, the AER estimates a prevailing MRP based on a number of different methods, including historical averages. </w:t>
      </w:r>
    </w:p>
    <w:p w:rsidR="006B0748" w:rsidRPr="005B3549" w:rsidRDefault="006B0748" w:rsidP="006B0748">
      <w:pPr>
        <w:pStyle w:val="AERbodytext"/>
        <w:numPr>
          <w:ilvl w:val="0"/>
          <w:numId w:val="13"/>
        </w:numPr>
      </w:pPr>
      <w:r w:rsidRPr="005B3549">
        <w:t>CEG</w:t>
      </w:r>
      <w:r>
        <w:t xml:space="preserve"> also</w:t>
      </w:r>
      <w:r w:rsidRPr="005B3549">
        <w:t xml:space="preserve"> s</w:t>
      </w:r>
      <w:r>
        <w:t>tates</w:t>
      </w:r>
      <w:r w:rsidRPr="005B3549">
        <w:t>:</w:t>
      </w:r>
    </w:p>
    <w:p w:rsidR="006B0748" w:rsidRPr="005B3549" w:rsidRDefault="006B0748" w:rsidP="006B0748">
      <w:pPr>
        <w:pStyle w:val="AERquote"/>
      </w:pPr>
      <w:r w:rsidRPr="005B3549">
        <w:t xml:space="preserve">The AER also, unsurprisingly given the inconsistency in definitions, adopts inconsistent supporting logic for its definitions. The AER decision employs logic: </w:t>
      </w:r>
    </w:p>
    <w:p w:rsidR="006B0748" w:rsidRPr="005B3549" w:rsidRDefault="006B0748" w:rsidP="006B0748">
      <w:pPr>
        <w:pStyle w:val="AERquote"/>
      </w:pPr>
      <w:r w:rsidRPr="005B3549">
        <w:t>- in support of why short run fluctuations in the spot rate for the 10 year CGS must be fully reflected in the risk free rate estimate in the form of recourse to the 'present value principle'; but does not apply the same logic to the determination of the MRP;</w:t>
      </w:r>
    </w:p>
    <w:p w:rsidR="006B0748" w:rsidRPr="005B3549" w:rsidRDefault="006B0748" w:rsidP="006B0748">
      <w:pPr>
        <w:pStyle w:val="AERquote"/>
      </w:pPr>
      <w:r w:rsidRPr="005B3549">
        <w:t>- in support of why short term fluctuations in equity market conditions should not be reflected in its long-term cost of equity estimate; but does not apply the same logic to the determination of the risk free rate.</w:t>
      </w:r>
      <w:r w:rsidRPr="005B3549">
        <w:rPr>
          <w:rStyle w:val="FootnoteReference"/>
        </w:rPr>
        <w:footnoteReference w:id="103"/>
      </w:r>
      <w:r w:rsidRPr="005B3549">
        <w:t xml:space="preserve"> </w:t>
      </w:r>
    </w:p>
    <w:p w:rsidR="006B0748" w:rsidRDefault="006B0748" w:rsidP="006B0748">
      <w:pPr>
        <w:pStyle w:val="AERbodytext"/>
        <w:numPr>
          <w:ilvl w:val="0"/>
          <w:numId w:val="13"/>
        </w:numPr>
      </w:pPr>
      <w:r w:rsidRPr="005B3549">
        <w:t>The AER con</w:t>
      </w:r>
      <w:r>
        <w:t>siders</w:t>
      </w:r>
      <w:r w:rsidRPr="005B3549">
        <w:t xml:space="preserve"> that the approa</w:t>
      </w:r>
      <w:r>
        <w:t>ch in this decision is consistent with the present value principle. The 'short run fluctuations' that are reflected in the prevailing risk free rate reflect changes in market conditions and market prices. If a reliable estimate of the MRP could be generated from market prices it would be reasonable to use this estimate. However, no such estimate exists.</w:t>
      </w:r>
      <w:r>
        <w:rPr>
          <w:rStyle w:val="FootnoteReference"/>
        </w:rPr>
        <w:footnoteReference w:id="104"/>
      </w:r>
      <w:r>
        <w:t xml:space="preserve"> </w:t>
      </w:r>
      <w:r w:rsidRPr="005B3549">
        <w:t xml:space="preserve"> </w:t>
      </w:r>
    </w:p>
    <w:p w:rsidR="006B0748" w:rsidRDefault="006B0748" w:rsidP="006B0748">
      <w:pPr>
        <w:pStyle w:val="AERbodytext"/>
        <w:numPr>
          <w:ilvl w:val="0"/>
          <w:numId w:val="13"/>
        </w:numPr>
      </w:pPr>
      <w:r w:rsidRPr="005B3549">
        <w:t>In support of the second dot point, CEG points to evidence in other sections of its advice.</w:t>
      </w:r>
      <w:r w:rsidRPr="005B3549">
        <w:rPr>
          <w:rStyle w:val="FootnoteReference"/>
        </w:rPr>
        <w:footnoteReference w:id="105"/>
      </w:r>
      <w:r w:rsidRPr="005B3549">
        <w:t xml:space="preserve"> Elsewhere in this appendix the AER considers the evidence in CEG's report, and concludes that the approach used in this decision is </w:t>
      </w:r>
      <w:r>
        <w:t>appropriate</w:t>
      </w:r>
      <w:r w:rsidRPr="005B3549">
        <w:t xml:space="preserve">. </w:t>
      </w:r>
      <w:r>
        <w:t>Also</w:t>
      </w:r>
      <w:r w:rsidRPr="005B3549">
        <w:t>, there is insufficient evidence</w:t>
      </w:r>
      <w:r>
        <w:t xml:space="preserve"> to conclude</w:t>
      </w:r>
      <w:r w:rsidRPr="005B3549">
        <w:t xml:space="preserve"> there are superior alternatives.</w:t>
      </w:r>
      <w:r>
        <w:rPr>
          <w:rStyle w:val="FootnoteReference"/>
        </w:rPr>
        <w:footnoteReference w:id="106"/>
      </w:r>
      <w:r w:rsidRPr="005B3549">
        <w:t xml:space="preserve"> </w:t>
      </w:r>
    </w:p>
    <w:p w:rsidR="006B0748" w:rsidRDefault="006B0748" w:rsidP="006B0748">
      <w:pPr>
        <w:pStyle w:val="AERbodytext"/>
        <w:numPr>
          <w:ilvl w:val="0"/>
          <w:numId w:val="13"/>
        </w:numPr>
      </w:pPr>
      <w:r>
        <w:t>CEG also suggests that a period of flight to quality at the time of the APTPPL averaging period provides the clearest example that the AER's approach is inconsistent.</w:t>
      </w:r>
      <w:r>
        <w:rPr>
          <w:rStyle w:val="FootnoteReference"/>
        </w:rPr>
        <w:footnoteReference w:id="107"/>
      </w:r>
      <w:r>
        <w:t xml:space="preserve"> The AER considers flight to quality periods below. </w:t>
      </w:r>
    </w:p>
    <w:p w:rsidR="006B0748" w:rsidRDefault="006B0748" w:rsidP="006B0748">
      <w:pPr>
        <w:pStyle w:val="HeadingBoldBlue"/>
        <w:numPr>
          <w:ilvl w:val="0"/>
          <w:numId w:val="13"/>
        </w:numPr>
      </w:pPr>
      <w:r>
        <w:t xml:space="preserve">Consistency in flight to quality periods </w:t>
      </w:r>
    </w:p>
    <w:p w:rsidR="006B0748" w:rsidRDefault="006B0748" w:rsidP="006B0748">
      <w:pPr>
        <w:pStyle w:val="AERbodytext"/>
        <w:numPr>
          <w:ilvl w:val="0"/>
          <w:numId w:val="13"/>
        </w:numPr>
      </w:pPr>
      <w:r w:rsidRPr="005B3549">
        <w:t xml:space="preserve">This section considers the evidence presented </w:t>
      </w:r>
      <w:r>
        <w:t xml:space="preserve">to </w:t>
      </w:r>
      <w:r w:rsidRPr="005B3549">
        <w:t xml:space="preserve">support </w:t>
      </w:r>
      <w:r>
        <w:t xml:space="preserve">the suggestion flight to quality periods </w:t>
      </w:r>
      <w:proofErr w:type="gramStart"/>
      <w:r>
        <w:t>are</w:t>
      </w:r>
      <w:proofErr w:type="gramEnd"/>
      <w:r>
        <w:t xml:space="preserve"> increasing the MRP. This</w:t>
      </w:r>
      <w:r w:rsidRPr="005B3549">
        <w:t xml:space="preserve"> </w:t>
      </w:r>
      <w:r>
        <w:t>suggestion</w:t>
      </w:r>
      <w:r w:rsidRPr="005B3549">
        <w:t xml:space="preserve"> is not well supported and does not provide a sufficient basis to justify departing from the current approach. </w:t>
      </w:r>
      <w:r>
        <w:t>Multinet</w:t>
      </w:r>
      <w:r w:rsidRPr="005B3549">
        <w:t>, CEG and SFG have raised concerns that 'flight to quality' pe</w:t>
      </w:r>
      <w:r>
        <w:t>riods make the AER's approach for</w:t>
      </w:r>
      <w:r w:rsidRPr="005B3549">
        <w:t xml:space="preserve"> determining the cost of equity unreasonable.</w:t>
      </w:r>
      <w:r w:rsidRPr="005B3549">
        <w:rPr>
          <w:rStyle w:val="FootnoteReference"/>
        </w:rPr>
        <w:footnoteReference w:id="108"/>
      </w:r>
      <w:r w:rsidRPr="005B3549">
        <w:t xml:space="preserve">  </w:t>
      </w:r>
    </w:p>
    <w:p w:rsidR="006B0748" w:rsidRPr="005B3549" w:rsidRDefault="006B0748" w:rsidP="006B0748">
      <w:pPr>
        <w:pStyle w:val="AERbodytext"/>
        <w:numPr>
          <w:ilvl w:val="0"/>
          <w:numId w:val="13"/>
        </w:numPr>
      </w:pPr>
      <w:r>
        <w:t>T</w:t>
      </w:r>
      <w:r w:rsidRPr="005B3549">
        <w:t xml:space="preserve">he AER </w:t>
      </w:r>
      <w:r>
        <w:t xml:space="preserve">does not consider it </w:t>
      </w:r>
      <w:r w:rsidRPr="005B3549">
        <w:t>has applied the cost of equity in a</w:t>
      </w:r>
      <w:r>
        <w:t>n</w:t>
      </w:r>
      <w:r w:rsidRPr="005B3549">
        <w:t xml:space="preserve"> </w:t>
      </w:r>
      <w:r>
        <w:t>in</w:t>
      </w:r>
      <w:r w:rsidRPr="005B3549">
        <w:t>consistent manner by</w:t>
      </w:r>
      <w:r>
        <w:t xml:space="preserve"> failing to consider</w:t>
      </w:r>
      <w:r w:rsidRPr="005B3549">
        <w:t xml:space="preserve"> flight to quality periods.</w:t>
      </w:r>
      <w:r w:rsidRPr="005B3549">
        <w:rPr>
          <w:rStyle w:val="FootnoteReference"/>
        </w:rPr>
        <w:footnoteReference w:id="109"/>
      </w:r>
    </w:p>
    <w:p w:rsidR="006B0748" w:rsidRDefault="006B0748" w:rsidP="006B0748">
      <w:pPr>
        <w:pStyle w:val="AERbodytext"/>
        <w:numPr>
          <w:ilvl w:val="0"/>
          <w:numId w:val="13"/>
        </w:numPr>
      </w:pPr>
      <w:r w:rsidRPr="005B3549">
        <w:t>Lit</w:t>
      </w:r>
      <w:r>
        <w:t xml:space="preserve">tle evidence has been presented supporting </w:t>
      </w:r>
      <w:r w:rsidRPr="005B3549">
        <w:t>the suggestion that flight to quality periods make the AER's approach unreasonable. CEG has not provided a definition of flight to quality periods, nor identified academic literature that does so. In the draft decision the AER attempted to identify a possible definition from academic literature.</w:t>
      </w:r>
      <w:r w:rsidRPr="005B3549">
        <w:rPr>
          <w:rStyle w:val="FootnoteReference"/>
        </w:rPr>
        <w:footnoteReference w:id="110"/>
      </w:r>
      <w:r w:rsidRPr="005B3549">
        <w:t xml:space="preserve"> CEG has not responded to this definition, nor provided its own in response. </w:t>
      </w:r>
    </w:p>
    <w:p w:rsidR="006B0748" w:rsidRPr="005B3549" w:rsidRDefault="006B0748" w:rsidP="006B0748">
      <w:pPr>
        <w:pStyle w:val="AERbodytext"/>
        <w:numPr>
          <w:ilvl w:val="0"/>
          <w:numId w:val="13"/>
        </w:numPr>
      </w:pPr>
      <w:r w:rsidRPr="005B3549">
        <w:t>The following statement offers an understanding of CEG's position:</w:t>
      </w:r>
    </w:p>
    <w:p w:rsidR="006B0748" w:rsidRPr="005B3549" w:rsidRDefault="006B0748" w:rsidP="006B0748">
      <w:pPr>
        <w:pStyle w:val="AERquote"/>
      </w:pPr>
      <w:r w:rsidRPr="005B3549">
        <w:t xml:space="preserve">...there will be times when market conditions are such that very low spot CGS yields are associated with a normal (or even heightened) spot </w:t>
      </w:r>
      <w:r>
        <w:t>cost of equity for the market—</w:t>
      </w:r>
      <w:r w:rsidRPr="005B3549">
        <w:t>such that the spot MRP is heightened relative to normal.</w:t>
      </w:r>
      <w:r w:rsidRPr="005B3549">
        <w:rPr>
          <w:rStyle w:val="FootnoteReference"/>
        </w:rPr>
        <w:footnoteReference w:id="111"/>
      </w:r>
      <w:r w:rsidRPr="005B3549">
        <w:t xml:space="preserve"> </w:t>
      </w:r>
    </w:p>
    <w:p w:rsidR="006B0748" w:rsidRPr="005B3549" w:rsidRDefault="006B0748" w:rsidP="006B0748">
      <w:pPr>
        <w:pStyle w:val="AERbodytext"/>
        <w:numPr>
          <w:ilvl w:val="0"/>
          <w:numId w:val="13"/>
        </w:numPr>
      </w:pPr>
      <w:r>
        <w:t xml:space="preserve">It appears </w:t>
      </w:r>
      <w:r w:rsidRPr="005B3549">
        <w:t>CEG suggest</w:t>
      </w:r>
      <w:r>
        <w:t>s</w:t>
      </w:r>
      <w:r w:rsidRPr="005B3549">
        <w:t xml:space="preserve"> there is a negative relationship between the risk free rate and the </w:t>
      </w:r>
      <w:r>
        <w:t>MRP</w:t>
      </w:r>
      <w:r w:rsidRPr="005B3549">
        <w:t xml:space="preserve"> during flight to quality periods. CEG concludes that such periods make the AER's approach unreasonable:</w:t>
      </w:r>
    </w:p>
    <w:p w:rsidR="006B0748" w:rsidRPr="005B3549" w:rsidRDefault="006B0748" w:rsidP="006B0748">
      <w:pPr>
        <w:pStyle w:val="AERquote"/>
      </w:pPr>
      <w:r w:rsidRPr="005B3549">
        <w:t>...if even a very brief flight to quality occurs during a business's averaging period then CGS yields will be pushed down even though the cost of equity (neither spot nor long term forecast) is not similarly pushed down.</w:t>
      </w:r>
      <w:r w:rsidRPr="005B3549">
        <w:rPr>
          <w:rStyle w:val="FootnoteReference"/>
        </w:rPr>
        <w:footnoteReference w:id="112"/>
      </w:r>
      <w:r w:rsidRPr="005B3549">
        <w:t xml:space="preserve"> </w:t>
      </w:r>
    </w:p>
    <w:p w:rsidR="006B0748" w:rsidRPr="005B3549" w:rsidRDefault="006B0748" w:rsidP="006B0748">
      <w:pPr>
        <w:pStyle w:val="AERbodytext"/>
        <w:numPr>
          <w:ilvl w:val="0"/>
          <w:numId w:val="13"/>
        </w:numPr>
      </w:pPr>
      <w:r>
        <w:t>O</w:t>
      </w:r>
      <w:r w:rsidRPr="005B3549">
        <w:t>n the other hand</w:t>
      </w:r>
      <w:r>
        <w:t>, SFG</w:t>
      </w:r>
      <w:r w:rsidRPr="005B3549">
        <w:t xml:space="preserve"> states:</w:t>
      </w:r>
    </w:p>
    <w:p w:rsidR="006B0748" w:rsidRPr="005B3549" w:rsidRDefault="006B0748" w:rsidP="006B0748">
      <w:pPr>
        <w:pStyle w:val="AERquote"/>
      </w:pPr>
      <w:r w:rsidRPr="005B3549">
        <w:t>...it is well-known, and generally accepted by finance academics and financial market professionals, that periods of historically low government bond yields are caused by a phenomenon known as "flight to quality".</w:t>
      </w:r>
      <w:r w:rsidRPr="005B3549">
        <w:rPr>
          <w:rStyle w:val="FootnoteReference"/>
        </w:rPr>
        <w:footnoteReference w:id="113"/>
      </w:r>
    </w:p>
    <w:p w:rsidR="006B0748" w:rsidRDefault="006B0748" w:rsidP="006B0748">
      <w:pPr>
        <w:pStyle w:val="AERbodytext"/>
        <w:numPr>
          <w:ilvl w:val="0"/>
          <w:numId w:val="13"/>
        </w:numPr>
      </w:pPr>
      <w:r w:rsidRPr="005B3549">
        <w:t xml:space="preserve">The AER is unable to verify this statement as SFG provides no evidence to support it. </w:t>
      </w:r>
      <w:r>
        <w:t>Lally also notes this point.</w:t>
      </w:r>
      <w:r>
        <w:rPr>
          <w:rStyle w:val="FootnoteReference"/>
        </w:rPr>
        <w:footnoteReference w:id="114"/>
      </w:r>
      <w:r w:rsidRPr="005B3549">
        <w:t xml:space="preserve"> </w:t>
      </w:r>
    </w:p>
    <w:p w:rsidR="006B0748" w:rsidRPr="005B3549" w:rsidRDefault="006B0748" w:rsidP="006B0748">
      <w:pPr>
        <w:pStyle w:val="AERbodytext"/>
        <w:numPr>
          <w:ilvl w:val="0"/>
          <w:numId w:val="13"/>
        </w:numPr>
      </w:pPr>
      <w:r>
        <w:t xml:space="preserve">The suggestion Multinet, CEG and SFG put forward is also not well supported with evidence. </w:t>
      </w:r>
      <w:r w:rsidRPr="005B3549">
        <w:t xml:space="preserve">CEG identifies a number of sources of information </w:t>
      </w:r>
      <w:r>
        <w:t>it suggests</w:t>
      </w:r>
      <w:r w:rsidRPr="005B3549">
        <w:t xml:space="preserve"> may provide evidence of flight to quality periods.</w:t>
      </w:r>
      <w:r w:rsidRPr="005B3549">
        <w:rPr>
          <w:rStyle w:val="FootnoteReference"/>
        </w:rPr>
        <w:footnoteReference w:id="115"/>
      </w:r>
      <w:r w:rsidRPr="005B3549">
        <w:t xml:space="preserve"> These include various debt spreads and dividend yields.</w:t>
      </w:r>
      <w:r w:rsidRPr="005B3549">
        <w:rPr>
          <w:rStyle w:val="FootnoteReference"/>
        </w:rPr>
        <w:footnoteReference w:id="116"/>
      </w:r>
      <w:r w:rsidRPr="005B3549">
        <w:t xml:space="preserve"> Sections </w:t>
      </w:r>
      <w:r>
        <w:t>B.5.3</w:t>
      </w:r>
      <w:r w:rsidRPr="005B3549">
        <w:t xml:space="preserve"> and </w:t>
      </w:r>
      <w:r>
        <w:t>B.6.4</w:t>
      </w:r>
      <w:r w:rsidRPr="005B3549">
        <w:t xml:space="preserve"> consider the explanatory power of these sources of evidence. The evidence</w:t>
      </w:r>
      <w:r>
        <w:t xml:space="preserve"> presented is </w:t>
      </w:r>
      <w:r w:rsidRPr="005B3549">
        <w:t>anecdotal</w:t>
      </w:r>
      <w:r>
        <w:t xml:space="preserve"> and inconclusive.  </w:t>
      </w:r>
    </w:p>
    <w:p w:rsidR="006B0748" w:rsidRDefault="006B0748" w:rsidP="006B0748">
      <w:pPr>
        <w:pStyle w:val="AERbodytext"/>
        <w:numPr>
          <w:ilvl w:val="0"/>
          <w:numId w:val="13"/>
        </w:numPr>
      </w:pPr>
      <w:r>
        <w:t xml:space="preserve">In any case, it may be true that during flight to quality periods the risk free rate and the MRP falls. It may also be true that this provides some explanation for bond yields that are low by historical comparison. This would not make the AER's approach inconsistent. </w:t>
      </w:r>
    </w:p>
    <w:p w:rsidR="006B0748" w:rsidRPr="003361B2" w:rsidRDefault="006B0748" w:rsidP="006B0748">
      <w:pPr>
        <w:pStyle w:val="AERbodytext"/>
        <w:numPr>
          <w:ilvl w:val="0"/>
          <w:numId w:val="13"/>
        </w:numPr>
      </w:pPr>
      <w:proofErr w:type="gramStart"/>
      <w:r>
        <w:t>Flight to quality periods do</w:t>
      </w:r>
      <w:proofErr w:type="gramEnd"/>
      <w:r>
        <w:t xml:space="preserve"> not make CGS an inappropria</w:t>
      </w:r>
      <w:r w:rsidRPr="003361B2">
        <w:t>te proxy for the risk free rate; CEG acknowledges this.</w:t>
      </w:r>
      <w:r w:rsidRPr="003361B2">
        <w:rPr>
          <w:rStyle w:val="FootnoteReference"/>
        </w:rPr>
        <w:footnoteReference w:id="117"/>
      </w:r>
      <w:r w:rsidRPr="003361B2">
        <w:t xml:space="preserve"> During such periods the MRP may increase. However, the AER has considered the available evidence on the MRP and concludes that 6 per cent is the best estimate of the 10 year forward looking MRP at this time. The flight to quality theory is one of a number of competing theories about the MRP, some of which suggest there may be a positive relationship. </w:t>
      </w:r>
    </w:p>
    <w:p w:rsidR="006B0748" w:rsidRPr="003361B2" w:rsidRDefault="006B0748" w:rsidP="006B0748">
      <w:pPr>
        <w:pStyle w:val="AERbodytext"/>
        <w:numPr>
          <w:ilvl w:val="0"/>
          <w:numId w:val="13"/>
        </w:numPr>
      </w:pPr>
      <w:r>
        <w:t xml:space="preserve">As the evidence Multinet and CEG have presented is anecdotal and inconclusive, it is not sufficient to justify an adjustment to the MRP. </w:t>
      </w:r>
    </w:p>
    <w:p w:rsidR="006B0748" w:rsidRPr="005B3549" w:rsidRDefault="006B0748" w:rsidP="006B0748">
      <w:pPr>
        <w:pStyle w:val="AERbodytext"/>
        <w:numPr>
          <w:ilvl w:val="0"/>
          <w:numId w:val="13"/>
        </w:numPr>
      </w:pPr>
      <w:r>
        <w:t>Further, i</w:t>
      </w:r>
      <w:r w:rsidRPr="005B3549">
        <w:t>n the draft decision the AER identified a statement by RBA Governor Glenn Stevens that suggested a flight to quality had occurred in the middle of 2012.</w:t>
      </w:r>
      <w:r w:rsidRPr="005B3549">
        <w:rPr>
          <w:rStyle w:val="FootnoteReference"/>
        </w:rPr>
        <w:footnoteReference w:id="118"/>
      </w:r>
      <w:r w:rsidRPr="005B3549">
        <w:t xml:space="preserve"> The AER then identified advice provided by the RBA at around the same time that concluded that CGS yields remained the best proxy for the risk free rate.</w:t>
      </w:r>
      <w:r w:rsidRPr="005B3549">
        <w:rPr>
          <w:rStyle w:val="FootnoteReference"/>
        </w:rPr>
        <w:footnoteReference w:id="119"/>
      </w:r>
      <w:r w:rsidRPr="005B3549">
        <w:t xml:space="preserve"> </w:t>
      </w:r>
    </w:p>
    <w:p w:rsidR="006B0748" w:rsidRPr="005B3549" w:rsidRDefault="006B0748" w:rsidP="006B0748">
      <w:pPr>
        <w:pStyle w:val="AERbodytext"/>
        <w:numPr>
          <w:ilvl w:val="0"/>
          <w:numId w:val="13"/>
        </w:numPr>
      </w:pPr>
      <w:r w:rsidRPr="005B3549">
        <w:t xml:space="preserve">As the RBA simultaneously supported the use of CGS yields as a proxy for the risk free rate, the AER's </w:t>
      </w:r>
      <w:r>
        <w:t>cost of equity</w:t>
      </w:r>
      <w:r w:rsidRPr="005B3549">
        <w:t xml:space="preserve"> could only </w:t>
      </w:r>
      <w:r>
        <w:t xml:space="preserve">have </w:t>
      </w:r>
      <w:r w:rsidRPr="005B3549">
        <w:t>be</w:t>
      </w:r>
      <w:r>
        <w:t>en</w:t>
      </w:r>
      <w:r w:rsidRPr="005B3549">
        <w:t xml:space="preserve"> found unreasonable if:</w:t>
      </w:r>
    </w:p>
    <w:p w:rsidR="006B0748" w:rsidRPr="005B3549" w:rsidRDefault="006B0748" w:rsidP="006B0748">
      <w:pPr>
        <w:pStyle w:val="AERbulletlistfirststyle"/>
      </w:pPr>
      <w:r w:rsidRPr="005B3549">
        <w:t>the MRP was inappropriate</w:t>
      </w:r>
    </w:p>
    <w:p w:rsidR="006B0748" w:rsidRPr="005B3549" w:rsidRDefault="006B0748" w:rsidP="006B0748">
      <w:pPr>
        <w:pStyle w:val="AERbulletlistfirststyle"/>
      </w:pPr>
      <w:proofErr w:type="gramStart"/>
      <w:r w:rsidRPr="005B3549">
        <w:t>the</w:t>
      </w:r>
      <w:proofErr w:type="gramEnd"/>
      <w:r w:rsidRPr="005B3549">
        <w:t xml:space="preserve"> AER had not considered any relationship between the risk free rate and the MRP. </w:t>
      </w:r>
    </w:p>
    <w:p w:rsidR="006B0748" w:rsidRPr="005B3549" w:rsidRDefault="006B0748" w:rsidP="006B0748">
      <w:pPr>
        <w:pStyle w:val="AERbodytext"/>
        <w:numPr>
          <w:ilvl w:val="0"/>
          <w:numId w:val="13"/>
        </w:numPr>
      </w:pPr>
      <w:r w:rsidRPr="005B3549">
        <w:t>In the APTPPL decision the AER considered the evidence before it and concluded an MRP of 6 per cent was appropriate.</w:t>
      </w:r>
      <w:r w:rsidRPr="005B3549">
        <w:rPr>
          <w:rStyle w:val="FootnoteReference"/>
        </w:rPr>
        <w:footnoteReference w:id="120"/>
      </w:r>
      <w:r w:rsidRPr="005B3549">
        <w:t xml:space="preserve"> The AER also considered the possibility of a relationship between the risk free rate and the MRP.</w:t>
      </w:r>
      <w:r w:rsidRPr="005B3549">
        <w:rPr>
          <w:rStyle w:val="FootnoteReference"/>
        </w:rPr>
        <w:footnoteReference w:id="121"/>
      </w:r>
      <w:r w:rsidRPr="005B3549">
        <w:t xml:space="preserve"> There was insufficient evidence of a relationship to suggest the MRP was inappropriate or justify a change of approach.</w:t>
      </w:r>
      <w:r w:rsidRPr="005B3549">
        <w:rPr>
          <w:rStyle w:val="FootnoteReference"/>
        </w:rPr>
        <w:footnoteReference w:id="122"/>
      </w:r>
      <w:r w:rsidRPr="005B3549">
        <w:t xml:space="preserve"> </w:t>
      </w:r>
    </w:p>
    <w:p w:rsidR="006B0748" w:rsidRDefault="006B0748" w:rsidP="006B0748">
      <w:r w:rsidRPr="005B3549">
        <w:t xml:space="preserve">In this decision the AER has likewise considered the most appropriate estimate of the MRP. The AER has also considered the possibility of a relationship between the risk free rate and the MRP. As was the case in the APTPPL final decision, there is insufficient evidence of a </w:t>
      </w:r>
      <w:r>
        <w:t xml:space="preserve">strong </w:t>
      </w:r>
      <w:r w:rsidRPr="005B3549">
        <w:t>relationship to suggest the MRP is inappropriate or justify a change of approach.</w:t>
      </w:r>
      <w:r w:rsidRPr="005B3549">
        <w:rPr>
          <w:rStyle w:val="FootnoteReference"/>
        </w:rPr>
        <w:footnoteReference w:id="123"/>
      </w:r>
    </w:p>
    <w:p w:rsidR="006B0748" w:rsidRPr="00691ED9" w:rsidRDefault="006B0748" w:rsidP="006B0748">
      <w:pPr>
        <w:pStyle w:val="Heading9"/>
      </w:pPr>
      <w:bookmarkStart w:id="35" w:name="_Ref350878490"/>
      <w:bookmarkStart w:id="36" w:name="_Ref349052803"/>
      <w:r w:rsidRPr="00691ED9">
        <w:t>Is the cost of equity stable?</w:t>
      </w:r>
      <w:bookmarkEnd w:id="35"/>
    </w:p>
    <w:p w:rsidR="006B0748" w:rsidRPr="006A7351" w:rsidRDefault="006B0748" w:rsidP="006B0748">
      <w:r w:rsidRPr="006A7351">
        <w:t xml:space="preserve">In this section, the AER considers whether the cost of equity is relatively stable over time. In the next section, it considers the evidence on whether there is a negative relationship between the risk free rate and the MRP. </w:t>
      </w:r>
      <w:r>
        <w:t>Multinet</w:t>
      </w:r>
      <w:r w:rsidRPr="006A7351">
        <w:t xml:space="preserve"> </w:t>
      </w:r>
      <w:r>
        <w:t>referred to the UK consultants report in the revised proposal that suggested</w:t>
      </w:r>
      <w:r w:rsidRPr="006A7351">
        <w:t xml:space="preserve"> the cost of equity is relatively stable over time. Therefore, there is a negative relationship between the risk free rate and the MRP.</w:t>
      </w:r>
      <w:r w:rsidRPr="006A7351">
        <w:rPr>
          <w:rStyle w:val="FootnoteReference"/>
        </w:rPr>
        <w:footnoteReference w:id="124"/>
      </w:r>
      <w:r w:rsidRPr="006A7351">
        <w:t xml:space="preserve"> </w:t>
      </w:r>
    </w:p>
    <w:p w:rsidR="006B0748" w:rsidRDefault="006B0748" w:rsidP="006B0748">
      <w:r w:rsidRPr="006A7351">
        <w:t xml:space="preserve">The UK consultants engaged by </w:t>
      </w:r>
      <w:r>
        <w:t>Multinet</w:t>
      </w:r>
      <w:r w:rsidRPr="006A7351">
        <w:t xml:space="preserve"> suggested the real cost of equity is relatively stable over time</w:t>
      </w:r>
      <w:r w:rsidRPr="006A7351">
        <w:rPr>
          <w:rStyle w:val="FootnoteReference"/>
        </w:rPr>
        <w:footnoteReference w:id="125"/>
      </w:r>
      <w:r w:rsidRPr="006A7351">
        <w:t>. In addition, CEG and NERA suggested the market cost of equity is more stable than the MRP based upon US regulatory decisions on the cost of equity.</w:t>
      </w:r>
      <w:r w:rsidRPr="006A7351">
        <w:rPr>
          <w:rStyle w:val="FootnoteReference"/>
        </w:rPr>
        <w:footnoteReference w:id="126"/>
      </w:r>
      <w:r w:rsidRPr="006A7351">
        <w:t xml:space="preserve"> The AER commissioned Associate Professor Lally to consider the evidence these consultants presented.</w:t>
      </w:r>
    </w:p>
    <w:p w:rsidR="006B0748" w:rsidRDefault="006B0748" w:rsidP="006B0748">
      <w:r w:rsidRPr="00825E30">
        <w:t xml:space="preserve">CEPA considered Siegel’s research, Gregory and Wright’s reports submitted by </w:t>
      </w:r>
      <w:r>
        <w:t>Multinet</w:t>
      </w:r>
      <w:r w:rsidRPr="00825E30">
        <w:t xml:space="preserve"> in the revised proposal and Lally’s July 2012 advice to the AER.  </w:t>
      </w:r>
      <w:r>
        <w:t>CEPA found evidence in favour of a stable real long run cost of equity based on:</w:t>
      </w:r>
      <w:r>
        <w:rPr>
          <w:rStyle w:val="FootnoteReference"/>
        </w:rPr>
        <w:footnoteReference w:id="127"/>
      </w:r>
    </w:p>
    <w:p w:rsidR="006B0748" w:rsidRDefault="006B0748" w:rsidP="006B0748">
      <w:pPr>
        <w:pStyle w:val="AERbulletlistfirststyle"/>
      </w:pPr>
      <w:r>
        <w:t xml:space="preserve">Siegel (1998) and Smithers and Co (2003) analysis on US returns data, </w:t>
      </w:r>
    </w:p>
    <w:p w:rsidR="006B0748" w:rsidRDefault="006B0748" w:rsidP="006B0748">
      <w:pPr>
        <w:pStyle w:val="AERbulletlistfirststyle"/>
      </w:pPr>
      <w:r>
        <w:t xml:space="preserve">Gregory and Wright’s conclusions, and </w:t>
      </w:r>
    </w:p>
    <w:p w:rsidR="006B0748" w:rsidRDefault="006B0748" w:rsidP="006B0748">
      <w:pPr>
        <w:pStyle w:val="AERbulletlistfirststyle"/>
      </w:pPr>
      <w:r>
        <w:t>Competition Commission’s proposition that market returns have a lower volatility than the MRP.</w:t>
      </w:r>
    </w:p>
    <w:p w:rsidR="006B0748" w:rsidRDefault="006B0748" w:rsidP="006B0748">
      <w:r>
        <w:t xml:space="preserve">Based on this assumption, CEPA’s general approach to the cost of capital is to “utilise long-term estimates for these components based on market evidence”. </w:t>
      </w:r>
      <w:r w:rsidRPr="00825E30">
        <w:t xml:space="preserve">However, </w:t>
      </w:r>
      <w:r>
        <w:t>it</w:t>
      </w:r>
      <w:r w:rsidRPr="00825E30">
        <w:t xml:space="preserve"> note</w:t>
      </w:r>
      <w:r>
        <w:t>d:</w:t>
      </w:r>
      <w:r>
        <w:rPr>
          <w:rStyle w:val="FootnoteReference"/>
        </w:rPr>
        <w:footnoteReference w:id="128"/>
      </w:r>
    </w:p>
    <w:p w:rsidR="006B0748" w:rsidRDefault="006B0748" w:rsidP="006B0748">
      <w:pPr>
        <w:pStyle w:val="AERquote"/>
      </w:pPr>
      <w:r>
        <w:t>...</w:t>
      </w:r>
      <w:r w:rsidRPr="00825E30">
        <w:t xml:space="preserve"> </w:t>
      </w:r>
      <w:proofErr w:type="gramStart"/>
      <w:r w:rsidRPr="00825E30">
        <w:t>this</w:t>
      </w:r>
      <w:proofErr w:type="gramEnd"/>
      <w:r w:rsidRPr="00825E30">
        <w:t xml:space="preserve"> approach would need to be tested with Australian data to ensure that this approach would be fit-for-purpose in AER's context.</w:t>
      </w:r>
    </w:p>
    <w:p w:rsidR="006B0748" w:rsidRPr="006A7351" w:rsidRDefault="006B0748" w:rsidP="006B0748">
      <w:r w:rsidRPr="006A7351">
        <w:t>The AER has considered all of the consultants’ views. The evidence has not persuaded the AER that the cost of equity is relatively stable, for the reason discussed below. Lally notes that if Australian data is used (instead of US data as used by Wright)</w:t>
      </w:r>
      <w:proofErr w:type="gramStart"/>
      <w:r w:rsidRPr="006A7351">
        <w:t>,</w:t>
      </w:r>
      <w:proofErr w:type="gramEnd"/>
      <w:r w:rsidRPr="006A7351">
        <w:t xml:space="preserve"> the conclusions from Wright's analysis are reversed. This suggests the MRP is relatively more stable than the cost of equity.  </w:t>
      </w:r>
    </w:p>
    <w:p w:rsidR="006B0748" w:rsidRPr="006A7351" w:rsidRDefault="006B0748" w:rsidP="006B0748">
      <w:pPr>
        <w:pStyle w:val="AERbodytext"/>
        <w:numPr>
          <w:ilvl w:val="0"/>
          <w:numId w:val="13"/>
        </w:numPr>
      </w:pPr>
      <w:r w:rsidRPr="006A7351">
        <w:t>Associate Professor Lally noted Wright's view on a relatively stable cost of equity is influenced by the relatively stable time-series of rolling 30-year average market returns for the US from 1831.  This evidence does not persuade Lally for the following reasons.</w:t>
      </w:r>
      <w:r w:rsidRPr="006A7351">
        <w:rPr>
          <w:rStyle w:val="FootnoteReference"/>
        </w:rPr>
        <w:footnoteReference w:id="129"/>
      </w:r>
    </w:p>
    <w:p w:rsidR="006B0748" w:rsidRPr="006A7351" w:rsidRDefault="006B0748" w:rsidP="006B0748">
      <w:pPr>
        <w:pStyle w:val="AERbulletlistfirststyle"/>
      </w:pPr>
      <w:proofErr w:type="gramStart"/>
      <w:r w:rsidRPr="006A7351">
        <w:t>the</w:t>
      </w:r>
      <w:proofErr w:type="gramEnd"/>
      <w:r w:rsidRPr="006A7351">
        <w:t xml:space="preserve"> concern here is with the cost of equity in Australia, accordingly Australian evidence would be more relevant than US evidence.  </w:t>
      </w:r>
    </w:p>
    <w:p w:rsidR="006B0748" w:rsidRPr="006A7351" w:rsidRDefault="006B0748" w:rsidP="006B0748">
      <w:pPr>
        <w:pStyle w:val="AERbulletlistfirststyle"/>
      </w:pPr>
      <w:proofErr w:type="gramStart"/>
      <w:r w:rsidRPr="006A7351">
        <w:t>the</w:t>
      </w:r>
      <w:proofErr w:type="gramEnd"/>
      <w:r w:rsidRPr="006A7351">
        <w:t xml:space="preserve"> definition of the MRP used by the AER is the excess of the expected market return over the bond yield rather than the bond return. The time-series behaviours of the bond yield vs bond return series is quite different.  For example, in the last few years, bond yields have been very low whilst Wright’s figure shows bond returns in recent years to be extremely high.  </w:t>
      </w:r>
    </w:p>
    <w:p w:rsidR="006B0748" w:rsidRPr="006A7351" w:rsidRDefault="006B0748" w:rsidP="006B0748">
      <w:pPr>
        <w:pStyle w:val="AERbulletlistfirststyle"/>
      </w:pPr>
      <w:proofErr w:type="gramStart"/>
      <w:r w:rsidRPr="006A7351">
        <w:t>since</w:t>
      </w:r>
      <w:proofErr w:type="gramEnd"/>
      <w:r w:rsidRPr="006A7351">
        <w:t xml:space="preserve"> Wright’s point is that the expected market return is more stable over time than the MRP, he ought to have reviewed the time-series of MRP estimates.  </w:t>
      </w:r>
    </w:p>
    <w:p w:rsidR="006B0748" w:rsidRPr="006A7351" w:rsidRDefault="006B0748" w:rsidP="006B0748">
      <w:pPr>
        <w:pStyle w:val="AERbulletlistfirststyle"/>
      </w:pPr>
      <w:r w:rsidRPr="006A7351">
        <w:t xml:space="preserve">Wright refers only to the visual evidence in the figure included in his report. An appropriate statistical test would be the standard deviations for both the average market return series and the estimated MRP series.  </w:t>
      </w:r>
    </w:p>
    <w:p w:rsidR="006B0748" w:rsidRPr="006A7351" w:rsidRDefault="006B0748" w:rsidP="006B0748">
      <w:pPr>
        <w:pStyle w:val="AERbodytext"/>
        <w:numPr>
          <w:ilvl w:val="0"/>
          <w:numId w:val="13"/>
        </w:numPr>
      </w:pPr>
      <w:r w:rsidRPr="006A7351">
        <w:t>When Lally applied Wright’s approach using Australian data, he found the estimated MRP series is much more stable than the average real market return series.</w:t>
      </w:r>
      <w:r w:rsidRPr="006A7351">
        <w:rPr>
          <w:rStyle w:val="FootnoteReference"/>
        </w:rPr>
        <w:footnoteReference w:id="130"/>
      </w:r>
    </w:p>
    <w:p w:rsidR="006B0748" w:rsidRPr="006A7351" w:rsidRDefault="006B0748" w:rsidP="006B0748">
      <w:r w:rsidRPr="006A7351">
        <w:t>Gregory's submission supports a relatively more stable real market cost of equity. It reports the average real returns on equities and the estimated MRP for 19 markets over the period since 1900. Gregory estimated the standard deviation of the real estimated MRPs across these markets. He found it exceeds the standard deviation of the average real market returns (1.66 per cent versus 1.26 per cent).  Lally identified two issues with Gregory's observation:</w:t>
      </w:r>
      <w:r w:rsidRPr="006A7351">
        <w:rPr>
          <w:rStyle w:val="FootnoteReference"/>
        </w:rPr>
        <w:footnoteReference w:id="131"/>
      </w:r>
    </w:p>
    <w:p w:rsidR="006B0748" w:rsidRPr="006A7351" w:rsidRDefault="006B0748" w:rsidP="006B0748">
      <w:pPr>
        <w:pStyle w:val="AERbulletlistfirststyle"/>
      </w:pPr>
      <w:r w:rsidRPr="006A7351">
        <w:t xml:space="preserve">Firstly, Gregory’s standard deviations relate to cross-country variation rather than time-series variation and are therefore not relevant. The comparison of cross-country variations on the estimated MRPs does not provide information on their relative stability over time.  </w:t>
      </w:r>
    </w:p>
    <w:p w:rsidR="006B0748" w:rsidRPr="006A7351" w:rsidRDefault="006B0748" w:rsidP="006B0748">
      <w:pPr>
        <w:pStyle w:val="AERbulletlistfirststyle"/>
      </w:pPr>
      <w:r w:rsidRPr="006A7351">
        <w:t xml:space="preserve">Secondly, the definition of the MRP used by Australian regulators and more generally is the excess of the expected market return over the bond yield. Instead Gregory has employed the bond return. The time-series behaviours of the two series are quite different.  </w:t>
      </w:r>
    </w:p>
    <w:p w:rsidR="006B0748" w:rsidRDefault="006B0748" w:rsidP="006B0748">
      <w:r w:rsidRPr="006A7351">
        <w:t>The relevant section in Associate Professor Lally’s report is section 2.</w:t>
      </w:r>
    </w:p>
    <w:p w:rsidR="006B0748" w:rsidRPr="00691ED9" w:rsidRDefault="006B0748" w:rsidP="006B0748">
      <w:pPr>
        <w:pStyle w:val="Heading9"/>
      </w:pPr>
      <w:bookmarkStart w:id="37" w:name="_Ref350354851"/>
      <w:r w:rsidRPr="00691ED9">
        <w:t>Is there a relationship between the risk free rate and MRP</w:t>
      </w:r>
      <w:bookmarkEnd w:id="36"/>
      <w:r w:rsidRPr="00691ED9">
        <w:t>?</w:t>
      </w:r>
      <w:bookmarkEnd w:id="37"/>
    </w:p>
    <w:p w:rsidR="006B0748" w:rsidRDefault="006B0748" w:rsidP="006B0748">
      <w:pPr>
        <w:pStyle w:val="AERbodytext"/>
        <w:numPr>
          <w:ilvl w:val="0"/>
          <w:numId w:val="13"/>
        </w:numPr>
      </w:pPr>
      <w:r>
        <w:t>Multinet submitted several consultant reports in support of a negative relationship between the risk free rate and the MRP, these include:</w:t>
      </w:r>
    </w:p>
    <w:p w:rsidR="006B0748" w:rsidRDefault="006B0748" w:rsidP="006B0748">
      <w:pPr>
        <w:pStyle w:val="AERbulletlistfirststyle"/>
      </w:pPr>
      <w:r>
        <w:t>CEG's AMP DGM chart</w:t>
      </w:r>
    </w:p>
    <w:p w:rsidR="006B0748" w:rsidRDefault="006B0748" w:rsidP="006B0748">
      <w:pPr>
        <w:pStyle w:val="AERbulletlistfirststyle"/>
      </w:pPr>
      <w:r>
        <w:t>Wright's indirect evidence</w:t>
      </w:r>
    </w:p>
    <w:p w:rsidR="006B0748" w:rsidRDefault="006B0748" w:rsidP="006B0748">
      <w:pPr>
        <w:pStyle w:val="AERbulletlistfirststyle"/>
      </w:pPr>
      <w:r>
        <w:t xml:space="preserve">SFG's argument </w:t>
      </w:r>
      <w:r w:rsidRPr="009A6B17">
        <w:t>that the risk free rate and the MRP must be negatively correlated</w:t>
      </w:r>
    </w:p>
    <w:p w:rsidR="006B0748" w:rsidRDefault="006B0748" w:rsidP="006B0748">
      <w:pPr>
        <w:pStyle w:val="AERbodytext"/>
        <w:numPr>
          <w:ilvl w:val="0"/>
          <w:numId w:val="13"/>
        </w:numPr>
      </w:pPr>
      <w:r>
        <w:t>The AER commissioned Associate Professor Lally, Professor McKenzie and Associate Professor Partington and CEPA to consider these submissions.</w:t>
      </w:r>
      <w:r w:rsidRPr="00CC3060">
        <w:t xml:space="preserve"> </w:t>
      </w:r>
    </w:p>
    <w:p w:rsidR="006B0748" w:rsidRDefault="006B0748" w:rsidP="006B0748">
      <w:pPr>
        <w:pStyle w:val="AERbodytext"/>
        <w:numPr>
          <w:ilvl w:val="0"/>
          <w:numId w:val="13"/>
        </w:numPr>
        <w:rPr>
          <w:rStyle w:val="AERbody"/>
        </w:rPr>
      </w:pPr>
      <w:r>
        <w:t>T</w:t>
      </w:r>
      <w:r w:rsidRPr="00A53AC5">
        <w:rPr>
          <w:rStyle w:val="AERbody"/>
        </w:rPr>
        <w:t xml:space="preserve">he AER considered three aspects of this issue: the theoretical argument, </w:t>
      </w:r>
      <w:r>
        <w:rPr>
          <w:rStyle w:val="AERbody"/>
        </w:rPr>
        <w:t>the academic research on this topic</w:t>
      </w:r>
      <w:r w:rsidRPr="00A53AC5">
        <w:rPr>
          <w:rStyle w:val="AERbody"/>
        </w:rPr>
        <w:t xml:space="preserve"> </w:t>
      </w:r>
      <w:r>
        <w:rPr>
          <w:rStyle w:val="AERbody"/>
        </w:rPr>
        <w:t xml:space="preserve">and </w:t>
      </w:r>
      <w:r w:rsidRPr="00A53AC5">
        <w:rPr>
          <w:rStyle w:val="AERbody"/>
        </w:rPr>
        <w:t xml:space="preserve">the empirical evidence </w:t>
      </w:r>
      <w:r>
        <w:rPr>
          <w:rStyle w:val="AERbody"/>
        </w:rPr>
        <w:t>presented by Multinet and its consultants</w:t>
      </w:r>
      <w:r w:rsidRPr="00A53AC5">
        <w:rPr>
          <w:rStyle w:val="AERbody"/>
        </w:rPr>
        <w:t>.</w:t>
      </w:r>
      <w:r>
        <w:rPr>
          <w:rStyle w:val="AERbody"/>
        </w:rPr>
        <w:t xml:space="preserve"> McKenzie and Partington undertook a more comprehensive literature review than what was presented by Multinet's consultants. They found there is evidence that supports both views. As a result, the evidence is inconclusive. The evidence has not persuaded the AER that there is a strong negative relationship between the 10 year risk free rate and the 10 year MRP. Therefore it is not sufficiently well established to form the basis for any adjustment.</w:t>
      </w:r>
    </w:p>
    <w:p w:rsidR="006B0748" w:rsidRPr="000937AD" w:rsidRDefault="006B0748" w:rsidP="006B0748">
      <w:pPr>
        <w:pStyle w:val="HeadingBoldBlue"/>
        <w:numPr>
          <w:ilvl w:val="0"/>
          <w:numId w:val="13"/>
        </w:numPr>
        <w:rPr>
          <w:rStyle w:val="AERbody"/>
        </w:rPr>
      </w:pPr>
      <w:r w:rsidRPr="000937AD">
        <w:rPr>
          <w:rStyle w:val="AERbody"/>
        </w:rPr>
        <w:t>Theoretical argument</w:t>
      </w:r>
    </w:p>
    <w:p w:rsidR="006B0748" w:rsidRDefault="006B0748" w:rsidP="006B0748">
      <w:pPr>
        <w:pStyle w:val="AERbodytext"/>
        <w:numPr>
          <w:ilvl w:val="0"/>
          <w:numId w:val="13"/>
        </w:numPr>
      </w:pPr>
      <w:r w:rsidRPr="00507F1D">
        <w:t>SFG argued the risk free rate and the MRP must be negatively correlated because any reduction in the risk free rate arises from an increased desire for risk free assets. This change in preference for risk free assets must simultaneously raise the market cost of equity, thereby raising the MRP.  Lally noted SFG presented no theoretical analysis that supports this claim.  Furthermore, changes in risk free rates may arise from changes in monetary policy, the level of government deficits, the savings rate, or the availability of desirable investment projects in the private sector. None of these phenomena suggest that the MRP should change.</w:t>
      </w:r>
      <w:r w:rsidRPr="00507F1D">
        <w:rPr>
          <w:rStyle w:val="FootnoteReference"/>
        </w:rPr>
        <w:footnoteReference w:id="132"/>
      </w:r>
    </w:p>
    <w:p w:rsidR="006B0748" w:rsidRDefault="006B0748" w:rsidP="006B0748">
      <w:pPr>
        <w:pStyle w:val="AERbodytext"/>
        <w:numPr>
          <w:ilvl w:val="0"/>
          <w:numId w:val="13"/>
        </w:numPr>
      </w:pPr>
      <w:r>
        <w:t>CEPA noted the relationship between the risk free rate and the MRP is difficult to test empirically as the MRP is unobservable and any regressions would rely on developing a robust/consistent time series of investors' expectations. As such,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risk free rate and the MRP.</w:t>
      </w:r>
      <w:r>
        <w:rPr>
          <w:rStyle w:val="FootnoteReference"/>
        </w:rPr>
        <w:footnoteReference w:id="133"/>
      </w:r>
      <w:r>
        <w:t xml:space="preserve"> </w:t>
      </w:r>
    </w:p>
    <w:p w:rsidR="006B0748" w:rsidRPr="006B0748" w:rsidRDefault="006B0748" w:rsidP="006B0748">
      <w:pPr>
        <w:pStyle w:val="AERbodytext"/>
        <w:numPr>
          <w:ilvl w:val="0"/>
          <w:numId w:val="13"/>
        </w:numPr>
        <w:rPr>
          <w:rStyle w:val="AERbody"/>
          <w:rFonts w:eastAsia="Calibri"/>
        </w:rPr>
      </w:pPr>
      <w:r w:rsidRPr="00A53AC5">
        <w:rPr>
          <w:rStyle w:val="AERbody"/>
        </w:rPr>
        <w:t>Lally</w:t>
      </w:r>
      <w:r>
        <w:rPr>
          <w:rStyle w:val="AERbody"/>
        </w:rPr>
        <w:t xml:space="preserve"> noted a negative relationship between the CGS rate and the MRP may be plausible. However the significant issue for regulatory purposes is the strength of this relationship and especially its strength in respect of the ten year risk free rate and the ten year MRP.</w:t>
      </w:r>
      <w:r w:rsidRPr="008D5DE2">
        <w:rPr>
          <w:rStyle w:val="AERsuperscript"/>
        </w:rPr>
        <w:footnoteReference w:id="134"/>
      </w:r>
      <w:r>
        <w:rPr>
          <w:rStyle w:val="AERbody"/>
        </w:rPr>
        <w:t xml:space="preserve"> Ang and Bekaert (2007) only found a negative relationship between short term risk free rates and the equity risk premium. As discussed below, McKenzie and Partington noted such results indicate that predictive regressions might help forecast market returns at a one year horizon, but are little use at a ten year horizon.</w:t>
      </w:r>
      <w:r>
        <w:rPr>
          <w:rStyle w:val="FootnoteReference"/>
        </w:rPr>
        <w:footnoteReference w:id="135"/>
      </w:r>
      <w:r>
        <w:rPr>
          <w:rStyle w:val="AERbody"/>
        </w:rPr>
        <w:t xml:space="preserve">  </w:t>
      </w:r>
    </w:p>
    <w:p w:rsidR="006B0748" w:rsidRPr="00B367FF" w:rsidRDefault="006B0748" w:rsidP="006B0748">
      <w:pPr>
        <w:pStyle w:val="HeadingBoldBlue"/>
        <w:numPr>
          <w:ilvl w:val="0"/>
          <w:numId w:val="13"/>
        </w:numPr>
      </w:pPr>
      <w:r w:rsidRPr="00B367FF">
        <w:t>Academic literature</w:t>
      </w:r>
    </w:p>
    <w:p w:rsidR="006B0748" w:rsidRDefault="006B0748" w:rsidP="006B0748">
      <w:pPr>
        <w:pStyle w:val="AERbodytext"/>
        <w:numPr>
          <w:ilvl w:val="0"/>
          <w:numId w:val="13"/>
        </w:numPr>
      </w:pPr>
      <w:r>
        <w:t>Multinet's consultants submitted there is a negative relationship between the risk free rate and the MRP. However, McKenzie and Partington have performed a comprehensive literature review and found there is academic support for both a negative and a positive relationship. They conclude the relation between the MRP and the level of interest rates is an open question and this relation is not sufficiently well established to form the basis for a regulatory adjustment to the MRP</w:t>
      </w:r>
      <w:r>
        <w:rPr>
          <w:rStyle w:val="FootnoteReference"/>
        </w:rPr>
        <w:footnoteReference w:id="136"/>
      </w:r>
      <w:r>
        <w:t>.</w:t>
      </w:r>
    </w:p>
    <w:p w:rsidR="006B0748" w:rsidRDefault="006B0748" w:rsidP="006B0748">
      <w:pPr>
        <w:pStyle w:val="AERbodytext"/>
        <w:numPr>
          <w:ilvl w:val="0"/>
          <w:numId w:val="13"/>
        </w:numPr>
      </w:pPr>
      <w:r>
        <w:t>Among other findings, McKenzie and Partington noted when examining the 10 year CGS yield from the RBA website and the Australian market dividend yield for Datastream's proprietary country indices, McKenzie and Partington found the 12 month rolling correlation is positive for 55 per cent of the sample and negative for 45 per cent of the sample.</w:t>
      </w:r>
      <w:r>
        <w:rPr>
          <w:rStyle w:val="FootnoteReference"/>
        </w:rPr>
        <w:footnoteReference w:id="137"/>
      </w:r>
      <w:r>
        <w:t xml:space="preserve"> This is illustrated in </w:t>
      </w:r>
      <w:r w:rsidR="009B2237">
        <w:fldChar w:fldCharType="begin"/>
      </w:r>
      <w:r>
        <w:instrText xml:space="preserve"> REF _Ref350870561 \h </w:instrText>
      </w:r>
      <w:r w:rsidR="009B2237">
        <w:fldChar w:fldCharType="separate"/>
      </w:r>
      <w:r>
        <w:t xml:space="preserve">Figure </w:t>
      </w:r>
      <w:r>
        <w:rPr>
          <w:noProof/>
        </w:rPr>
        <w:t>B</w:t>
      </w:r>
      <w:r>
        <w:t>.</w:t>
      </w:r>
      <w:r>
        <w:rPr>
          <w:noProof/>
        </w:rPr>
        <w:t>1</w:t>
      </w:r>
      <w:r w:rsidR="009B2237">
        <w:fldChar w:fldCharType="end"/>
      </w:r>
      <w:r>
        <w:t xml:space="preserve"> below. </w:t>
      </w:r>
    </w:p>
    <w:p w:rsidR="006B0748" w:rsidRDefault="006B0748" w:rsidP="006B0748">
      <w:pPr>
        <w:pStyle w:val="Caption"/>
      </w:pPr>
      <w:bookmarkStart w:id="38" w:name="_Ref350870561"/>
      <w:r>
        <w:t xml:space="preserve">Figure </w:t>
      </w:r>
      <w:fldSimple w:instr=" STYLEREF 7 \s ">
        <w:r>
          <w:rPr>
            <w:noProof/>
          </w:rPr>
          <w:t>B</w:t>
        </w:r>
      </w:fldSimple>
      <w:r>
        <w:t>.</w:t>
      </w:r>
      <w:fldSimple w:instr=" SEQ Figure \* ARABIC \s 7 ">
        <w:r>
          <w:rPr>
            <w:noProof/>
          </w:rPr>
          <w:t>1</w:t>
        </w:r>
      </w:fldSimple>
      <w:bookmarkEnd w:id="38"/>
      <w:r>
        <w:tab/>
        <w:t>Correlation between 10 year CGS yield and the Australian market dividend yield</w:t>
      </w:r>
    </w:p>
    <w:p w:rsidR="006B0748" w:rsidRDefault="006B0748" w:rsidP="006B0748">
      <w:pPr>
        <w:pStyle w:val="AERbodytext"/>
        <w:numPr>
          <w:ilvl w:val="0"/>
          <w:numId w:val="13"/>
        </w:numPr>
      </w:pPr>
      <w:r w:rsidRPr="006B0748">
        <w:rPr>
          <w:noProof/>
          <w:lang w:eastAsia="en-AU"/>
        </w:rPr>
        <w:drawing>
          <wp:inline distT="0" distB="0" distL="0" distR="0">
            <wp:extent cx="5745480" cy="3507740"/>
            <wp:effectExtent l="19050" t="0" r="762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45480" cy="3507740"/>
                    </a:xfrm>
                    <a:prstGeom prst="rect">
                      <a:avLst/>
                    </a:prstGeom>
                    <a:noFill/>
                    <a:ln w="9525">
                      <a:noFill/>
                      <a:miter lim="800000"/>
                      <a:headEnd/>
                      <a:tailEnd/>
                    </a:ln>
                  </pic:spPr>
                </pic:pic>
              </a:graphicData>
            </a:graphic>
          </wp:inline>
        </w:drawing>
      </w:r>
    </w:p>
    <w:p w:rsidR="006B0748" w:rsidRDefault="006B0748" w:rsidP="006B0748">
      <w:pPr>
        <w:pStyle w:val="AERtablesource"/>
      </w:pPr>
      <w:r>
        <w:t xml:space="preserve">Source: </w:t>
      </w:r>
      <w:r w:rsidRPr="007B37B5">
        <w:t xml:space="preserve">McKenzie and Partington, </w:t>
      </w:r>
      <w:r w:rsidRPr="00980CE6">
        <w:rPr>
          <w:rStyle w:val="AERtextitalic"/>
        </w:rPr>
        <w:t>Review of the AER’s overall approach</w:t>
      </w:r>
      <w:r w:rsidRPr="00980CE6">
        <w:t xml:space="preserve">, February 2013, </w:t>
      </w:r>
      <w:r>
        <w:t>p.24.</w:t>
      </w:r>
    </w:p>
    <w:p w:rsidR="006B0748" w:rsidRDefault="006B0748" w:rsidP="006B0748">
      <w:pPr>
        <w:pStyle w:val="AERbodytext"/>
        <w:numPr>
          <w:ilvl w:val="0"/>
          <w:numId w:val="13"/>
        </w:numPr>
      </w:pPr>
      <w:r>
        <w:t>McKenzie and Partington found the literature in support of a negative relationship includes:</w:t>
      </w:r>
    </w:p>
    <w:p w:rsidR="006B0748" w:rsidRDefault="006B0748" w:rsidP="006B0748">
      <w:pPr>
        <w:pStyle w:val="AERbulletlistfirststyle"/>
      </w:pPr>
      <w:r>
        <w:t xml:space="preserve">Campbell and Cochrane (1999), Lettau and Ludvigson (2011), Li (2001), Bansal and Yaron (2004), Bhamra, Kuehn and Strebulaev (2010) all used consumption based models to show people become more risk averse in recessions, which leads to higher expected equity returns. </w:t>
      </w:r>
    </w:p>
    <w:p w:rsidR="006B0748" w:rsidRDefault="006B0748" w:rsidP="006B0748">
      <w:pPr>
        <w:pStyle w:val="AERbulletlistfirststyle"/>
      </w:pPr>
      <w:r>
        <w:t>Menzly, Santos and Veronesi (2004), Bekaert, Engstrom and Xing (2009), Guvenen (2009), Verdelhan (2010) and Jouini and Napp (2011) explicitly model time variation in the risk parameters and find evidence of counter-cyclicality.</w:t>
      </w:r>
    </w:p>
    <w:p w:rsidR="006B0748" w:rsidRDefault="006B0748" w:rsidP="006B0748">
      <w:pPr>
        <w:pStyle w:val="AERbulletlistfirststyle"/>
      </w:pPr>
      <w:r>
        <w:t>Harvey (1989) and Li (2001) show the US equity risk premia are higher at business cycle troughs than at peaks.</w:t>
      </w:r>
    </w:p>
    <w:p w:rsidR="006B0748" w:rsidRDefault="006B0748" w:rsidP="006B0748">
      <w:pPr>
        <w:pStyle w:val="AERbulletlistfirststyle"/>
      </w:pPr>
      <w:r>
        <w:t>Ang and Bekaert (2007) find a negative relationship between short term risk free rates and the equity risk premium.</w:t>
      </w:r>
    </w:p>
    <w:p w:rsidR="006B0748" w:rsidRDefault="006B0748" w:rsidP="006B0748">
      <w:pPr>
        <w:pStyle w:val="AERbulletlistfirststyle"/>
      </w:pPr>
      <w:r>
        <w:t xml:space="preserve">Henkel, Martin Nardari (2011) estimate the market risk premium is higher during recessions across a range of countries. </w:t>
      </w:r>
    </w:p>
    <w:p w:rsidR="006B0748" w:rsidRDefault="006B0748" w:rsidP="006B0748">
      <w:pPr>
        <w:pStyle w:val="AERbodytext"/>
        <w:numPr>
          <w:ilvl w:val="0"/>
          <w:numId w:val="13"/>
        </w:numPr>
      </w:pPr>
      <w:r>
        <w:t>McKenzie and Partington found the literature in support of a positive relationship includes:</w:t>
      </w:r>
    </w:p>
    <w:p w:rsidR="006B0748" w:rsidRDefault="006B0748" w:rsidP="006B0748">
      <w:pPr>
        <w:pStyle w:val="AERbulletlistfirststyle"/>
      </w:pPr>
      <w:r>
        <w:t>Li (2007) shows a counter-cyclical variation of risk aversion drives a pro-cyclical conditional risk premium.</w:t>
      </w:r>
    </w:p>
    <w:p w:rsidR="006B0748" w:rsidRDefault="006B0748" w:rsidP="006B0748">
      <w:pPr>
        <w:pStyle w:val="AERbulletlistfirststyle"/>
      </w:pPr>
      <w:r>
        <w:t>Kim and Lee (2008) find investors become more risk averse during boom periods.</w:t>
      </w:r>
    </w:p>
    <w:p w:rsidR="006B0748" w:rsidRDefault="006B0748" w:rsidP="006B0748">
      <w:pPr>
        <w:pStyle w:val="AERbulletlistfirststyle"/>
      </w:pPr>
      <w:r>
        <w:t>Damodoran (2012) finds there is a positive relationship between interest rates and equity risk premium.</w:t>
      </w:r>
    </w:p>
    <w:p w:rsidR="006B0748" w:rsidRDefault="006B0748" w:rsidP="006B0748">
      <w:pPr>
        <w:pStyle w:val="AERbulletlistfirststyle"/>
      </w:pPr>
      <w:r>
        <w:t xml:space="preserve">Amromin and Sharpe (2009) and Amromin and Sharpe (2012) find when investors believe macroeconomic conditions are more expansionary, they tend to expect both higher returns and lower volatility. The data they have used contains information about the revealed preference of actual investors, rather than the mathematical outcomes of a representative agent model, or broad based conclusion from studying aggregated return information. </w:t>
      </w:r>
    </w:p>
    <w:p w:rsidR="006B0748" w:rsidRDefault="006B0748" w:rsidP="006B0748">
      <w:pPr>
        <w:pStyle w:val="AERbulletlistfirststyle"/>
      </w:pPr>
      <w:r>
        <w:t>Greenwood and Shleifer (2013) find investor expectations are highly positively correlated with past stock returns and the level of the stock market.</w:t>
      </w:r>
    </w:p>
    <w:p w:rsidR="006B0748" w:rsidRDefault="006B0748" w:rsidP="006B0748">
      <w:pPr>
        <w:pStyle w:val="AERbulletlistfirststyle"/>
      </w:pPr>
      <w:r>
        <w:t>Graham and Harvey (2005) present evidence from surveying managers, which indicated there is a positive correlation between the expected equity risk premium and real interest rates. However, Graham and Harvey (2010) indicate this positive relationship gets weaker post GFC.</w:t>
      </w:r>
    </w:p>
    <w:p w:rsidR="006B0748" w:rsidRDefault="006B0748" w:rsidP="006B0748">
      <w:pPr>
        <w:pStyle w:val="AERbodytext"/>
        <w:numPr>
          <w:ilvl w:val="0"/>
          <w:numId w:val="13"/>
        </w:numPr>
      </w:pPr>
      <w:r>
        <w:t xml:space="preserve">McKenzie and Partington also found there was some support in the literature for oscillating relationship (that is, the relationship is at times </w:t>
      </w:r>
      <w:proofErr w:type="gramStart"/>
      <w:r>
        <w:t>positive,</w:t>
      </w:r>
      <w:proofErr w:type="gramEnd"/>
      <w:r>
        <w:t xml:space="preserve"> and at other times negative). Specifically:</w:t>
      </w:r>
    </w:p>
    <w:p w:rsidR="006B0748" w:rsidRDefault="006B0748" w:rsidP="006B0748">
      <w:pPr>
        <w:pStyle w:val="AERbulletlistfirststyle"/>
      </w:pPr>
      <w:r>
        <w:t xml:space="preserve">De Paoli and Zabczyk (2009) shows the MRP can be </w:t>
      </w:r>
      <w:proofErr w:type="gramStart"/>
      <w:r>
        <w:t>either pro- or counter-cyclical and</w:t>
      </w:r>
      <w:proofErr w:type="gramEnd"/>
      <w:r>
        <w:t xml:space="preserve"> investors' assessment of future prospects is crucial in determining its behaviour. </w:t>
      </w:r>
    </w:p>
    <w:p w:rsidR="006B0748" w:rsidRPr="00537F18" w:rsidRDefault="006B0748" w:rsidP="006B0748">
      <w:r w:rsidRPr="00F3389D">
        <w:t>McKenzie and Partington's review of the academic literature on the theoretical and empirical evidence on the relationship between the risk free rate and the MRP was more compre</w:t>
      </w:r>
      <w:r w:rsidRPr="0077759E">
        <w:t xml:space="preserve">hensive than the review of the academic literature in any of the consultant reports submitted by </w:t>
      </w:r>
      <w:r>
        <w:t>Multinet</w:t>
      </w:r>
      <w:r w:rsidRPr="0077759E">
        <w:t xml:space="preserve">. For this reason, the AER has relied on the conclusion of McKenzie and Partington's report over the conclusion from the reports submitted by </w:t>
      </w:r>
      <w:r>
        <w:t>Multinet</w:t>
      </w:r>
      <w:r w:rsidRPr="00537F18">
        <w:t>.</w:t>
      </w:r>
    </w:p>
    <w:p w:rsidR="006B0748" w:rsidRPr="00537F18" w:rsidRDefault="006B0748" w:rsidP="006B0748">
      <w:r w:rsidRPr="00537F18">
        <w:t>The relevant section in McKenzie and Partington’s report is section 1.3.2.</w:t>
      </w:r>
    </w:p>
    <w:p w:rsidR="006B0748" w:rsidRPr="00B367FF" w:rsidRDefault="006B0748" w:rsidP="006B0748">
      <w:pPr>
        <w:pStyle w:val="HeadingBoldBlue"/>
        <w:numPr>
          <w:ilvl w:val="0"/>
          <w:numId w:val="13"/>
        </w:numPr>
      </w:pPr>
      <w:r w:rsidRPr="00B367FF">
        <w:t xml:space="preserve">Empirical evidence presented by </w:t>
      </w:r>
      <w:r>
        <w:t>Multin</w:t>
      </w:r>
      <w:r w:rsidRPr="00B367FF">
        <w:t>et's consultants</w:t>
      </w:r>
    </w:p>
    <w:p w:rsidR="006B0748" w:rsidRDefault="006B0748" w:rsidP="006B0748">
      <w:r>
        <w:t>CEG updated its AMP DGM chart from its March 2012 report in support of a</w:t>
      </w:r>
      <w:r w:rsidRPr="00C9490A">
        <w:t xml:space="preserve"> negative </w:t>
      </w:r>
      <w:r>
        <w:t xml:space="preserve">relationship </w:t>
      </w:r>
      <w:r w:rsidRPr="00C9490A">
        <w:t>between the CGS yield and the estimated MRP.</w:t>
      </w:r>
      <w:r w:rsidRPr="00696CE6">
        <w:t xml:space="preserve"> </w:t>
      </w:r>
      <w:r>
        <w:t>Lally addressed the CEG chart in his report to the AER prior to the draft decision. CEG responded to Lally's criticisms in its November 2012 reports. Lally reviewed CEG's response in its March 2013 reports and he continues to hold the view that</w:t>
      </w:r>
      <w:r w:rsidRPr="00696CE6">
        <w:t xml:space="preserve"> CEG’s analysis is predisposed to producing such results</w:t>
      </w:r>
      <w:r>
        <w:t>. This is</w:t>
      </w:r>
      <w:r w:rsidRPr="00696CE6">
        <w:t xml:space="preserve"> because it assumes that, at any point in time, the market cost of equity is the same for all future years</w:t>
      </w:r>
      <w:r>
        <w:t xml:space="preserve">. </w:t>
      </w:r>
      <w:r w:rsidRPr="00696CE6">
        <w:t>This perfect-offset assumption is neither plausible nor do CEG present any evidence in support of it.</w:t>
      </w:r>
      <w:r>
        <w:rPr>
          <w:rStyle w:val="FootnoteReference"/>
        </w:rPr>
        <w:footnoteReference w:id="138"/>
      </w:r>
      <w:r w:rsidRPr="00696CE6">
        <w:t xml:space="preserve"> </w:t>
      </w:r>
      <w:r>
        <w:t xml:space="preserve">More details of the CEG chart and the limitation of the DGM is discussed in section </w:t>
      </w:r>
      <w:r w:rsidR="009B2237">
        <w:fldChar w:fldCharType="begin"/>
      </w:r>
      <w:r>
        <w:instrText xml:space="preserve"> REF _Ref349052368 \n \h </w:instrText>
      </w:r>
      <w:r w:rsidR="009B2237">
        <w:fldChar w:fldCharType="separate"/>
      </w:r>
      <w:r>
        <w:t>B.6</w:t>
      </w:r>
      <w:r w:rsidR="009B2237">
        <w:fldChar w:fldCharType="end"/>
      </w:r>
      <w:r>
        <w:t>.</w:t>
      </w:r>
    </w:p>
    <w:p w:rsidR="006B0748" w:rsidRDefault="006B0748" w:rsidP="006B0748">
      <w:r w:rsidRPr="00896C1B">
        <w:t>Wright</w:t>
      </w:r>
      <w:r>
        <w:t xml:space="preserve"> presented several pieces of </w:t>
      </w:r>
      <w:r w:rsidRPr="00896C1B">
        <w:t xml:space="preserve">indirect evidence </w:t>
      </w:r>
      <w:r>
        <w:t>in support of</w:t>
      </w:r>
      <w:r w:rsidRPr="00896C1B">
        <w:t xml:space="preserve"> a negative relationship between t</w:t>
      </w:r>
      <w:r>
        <w:t xml:space="preserve">he risk free rate and the MRP. </w:t>
      </w:r>
      <w:r w:rsidRPr="00896C1B">
        <w:t xml:space="preserve">His principal argument is that the risk free rate is pro-cyclical (lowest in depressed economic conditions and highest in favourable economic conditions), </w:t>
      </w:r>
      <w:r>
        <w:t xml:space="preserve">while </w:t>
      </w:r>
      <w:r w:rsidRPr="00896C1B">
        <w:t>the MRP is counter-cyclical</w:t>
      </w:r>
      <w:r>
        <w:t xml:space="preserve"> (highest in depressed economic conditions and lowest in favourable economic conditions).</w:t>
      </w:r>
      <w:r w:rsidRPr="00896C1B">
        <w:t xml:space="preserve"> </w:t>
      </w:r>
    </w:p>
    <w:p w:rsidR="006B0748" w:rsidRDefault="006B0748" w:rsidP="006B0748">
      <w:r>
        <w:t>Lally noted the crucial question is not whether the correlation is negative but whether it is sufficiently negative. A negative correlation is not a sufficient condition for the real market cost of equity to be more stable than the MRP. Using the Australian data, Lally found the correlation coefficient between the risk free rate and the MRP needs to be at least -0.76 for the real market cost of equity to exhibit greater stability than the MRP. However, the actual correlation between the two in Australia was only -0.12. He also noted other indirect evidence presented by Wright similarly does not reveal the extent of the correlation. Therefore, it is not sufficient to support the argument that the real market cost of equity is more stable over time than the MRP.</w:t>
      </w:r>
      <w:r>
        <w:rPr>
          <w:rStyle w:val="FootnoteReference"/>
        </w:rPr>
        <w:footnoteReference w:id="139"/>
      </w:r>
      <w:r>
        <w:t xml:space="preserve"> </w:t>
      </w:r>
    </w:p>
    <w:p w:rsidR="006B0748" w:rsidRPr="00691ED9" w:rsidRDefault="006B0748" w:rsidP="006B0748">
      <w:pPr>
        <w:pStyle w:val="AERbulletlistfirststyle"/>
      </w:pPr>
      <w:r w:rsidRPr="006A7351">
        <w:t>The relevant section in Associate Professor Lally’s report is section 2.</w:t>
      </w:r>
    </w:p>
    <w:p w:rsidR="006B0748" w:rsidRPr="00691ED9" w:rsidRDefault="006B0748" w:rsidP="006B0748">
      <w:pPr>
        <w:pStyle w:val="Heading9"/>
      </w:pPr>
      <w:bookmarkStart w:id="39" w:name="_Ref350879326"/>
      <w:r w:rsidRPr="00691ED9">
        <w:t>State government bond yields</w:t>
      </w:r>
      <w:bookmarkEnd w:id="39"/>
      <w:r w:rsidRPr="00691ED9">
        <w:t xml:space="preserve"> </w:t>
      </w:r>
    </w:p>
    <w:p w:rsidR="006B0748" w:rsidRPr="006A7351" w:rsidRDefault="006B0748" w:rsidP="006B0748">
      <w:pPr>
        <w:pStyle w:val="AERbodytext"/>
        <w:numPr>
          <w:ilvl w:val="0"/>
          <w:numId w:val="13"/>
        </w:numPr>
      </w:pPr>
      <w:r w:rsidRPr="006A7351">
        <w:t>The AER has considered the spread between the State government bond yield and the 10 year CGS yield. The increasing spread does not persuade the AER that CGS is an inappropriate proxy for the risk free rate. The AER is also not persuaded by this evidence that the MRP is currently higher than it has been in the recent past.</w:t>
      </w:r>
    </w:p>
    <w:p w:rsidR="006B0748" w:rsidRPr="006A7351" w:rsidRDefault="006B0748" w:rsidP="006B0748">
      <w:pPr>
        <w:pStyle w:val="AERbodytext"/>
        <w:numPr>
          <w:ilvl w:val="0"/>
          <w:numId w:val="13"/>
        </w:numPr>
      </w:pPr>
      <w:r w:rsidRPr="006A7351">
        <w:t>CEG submitted there is an increasing spread between the prevailing 10 year CGS yield and state government bond yields.</w:t>
      </w:r>
      <w:r w:rsidRPr="006A7351">
        <w:rPr>
          <w:rStyle w:val="FootnoteReference"/>
        </w:rPr>
        <w:footnoteReference w:id="140"/>
      </w:r>
      <w:r w:rsidRPr="006A7351">
        <w:t xml:space="preserve"> However, this is not a unique situation. During the 2009 WACC review, CEG submitted that the fall in CGS yields in the latter half of 2008 coincided with a rise in the required cost of equity. CEG submitted that this outcome was consistent with two possible explanations:</w:t>
      </w:r>
    </w:p>
    <w:p w:rsidR="006B0748" w:rsidRPr="006A7351" w:rsidRDefault="006B0748" w:rsidP="006B0748">
      <w:pPr>
        <w:pStyle w:val="AERbulletlistfirststyle"/>
      </w:pPr>
      <w:r w:rsidRPr="006A7351">
        <w:t>the yield on CGS is a poor proxy for the risk free rate used to estimate the cost of equity in the CAPM, or</w:t>
      </w:r>
    </w:p>
    <w:p w:rsidR="006B0748" w:rsidRPr="006A7351" w:rsidRDefault="006B0748" w:rsidP="006B0748">
      <w:pPr>
        <w:pStyle w:val="AERbulletlistfirststyle"/>
      </w:pPr>
      <w:proofErr w:type="gramStart"/>
      <w:r w:rsidRPr="006A7351">
        <w:t>the</w:t>
      </w:r>
      <w:proofErr w:type="gramEnd"/>
      <w:r w:rsidRPr="006A7351">
        <w:t xml:space="preserve"> yield on CGS is a good proxy for the risk free rate used in the CAPM but the MRP had recently moved in the opposite direction to the yield on CGS.</w:t>
      </w:r>
    </w:p>
    <w:p w:rsidR="006B0748" w:rsidRPr="006A7351" w:rsidRDefault="006B0748" w:rsidP="006B0748">
      <w:pPr>
        <w:pStyle w:val="AERbodytext"/>
        <w:numPr>
          <w:ilvl w:val="0"/>
          <w:numId w:val="13"/>
        </w:numPr>
        <w:rPr>
          <w:rStyle w:val="AERbody"/>
        </w:rPr>
      </w:pPr>
      <w:r w:rsidRPr="006A7351">
        <w:rPr>
          <w:rStyle w:val="AERbody"/>
        </w:rPr>
        <w:t>In support of the first possible explanation, CEG noted the divergence between the yields on CGS and other (zero beta) risk free assets.</w:t>
      </w:r>
      <w:r w:rsidRPr="006A7351">
        <w:rPr>
          <w:rStyle w:val="FootnoteReference"/>
        </w:rPr>
        <w:footnoteReference w:id="141"/>
      </w:r>
      <w:r w:rsidRPr="006A7351">
        <w:rPr>
          <w:rStyle w:val="AERbody"/>
        </w:rPr>
        <w:t xml:space="preserve"> It submitted this was evidence that CGS were no longer a true reflection of the risk free rate. CEG submitted that this divergence represented a 'convenience yield.' It reflected </w:t>
      </w:r>
      <w:proofErr w:type="gramStart"/>
      <w:r w:rsidRPr="006A7351">
        <w:rPr>
          <w:rStyle w:val="AERbody"/>
        </w:rPr>
        <w:t>investors</w:t>
      </w:r>
      <w:proofErr w:type="gramEnd"/>
      <w:r w:rsidRPr="006A7351">
        <w:rPr>
          <w:rStyle w:val="AERbody"/>
        </w:rPr>
        <w:t xml:space="preserve"> willingness to pay a premium for the 'non-beta' attributes of CGS, which CEG submitted included liquidity.</w:t>
      </w:r>
      <w:r w:rsidRPr="006A7351">
        <w:rPr>
          <w:rStyle w:val="FootnoteReference"/>
        </w:rPr>
        <w:footnoteReference w:id="142"/>
      </w:r>
    </w:p>
    <w:p w:rsidR="006B0748" w:rsidRPr="006A7351" w:rsidRDefault="006B0748" w:rsidP="006B0748">
      <w:pPr>
        <w:pStyle w:val="AERbodytext"/>
        <w:numPr>
          <w:ilvl w:val="0"/>
          <w:numId w:val="13"/>
        </w:numPr>
      </w:pPr>
      <w:r w:rsidRPr="006A7351">
        <w:t xml:space="preserve">As part of </w:t>
      </w:r>
      <w:r>
        <w:t>Multin</w:t>
      </w:r>
      <w:r w:rsidRPr="006A7351">
        <w:t>et’s revised proposal, CEG again noted widening spreads between State Government bond yields and CGS yields.</w:t>
      </w:r>
      <w:r w:rsidRPr="006B0748">
        <w:rPr>
          <w:rStyle w:val="FootnoteReference"/>
          <w:rFonts w:eastAsia="SimSun"/>
        </w:rPr>
        <w:footnoteReference w:id="143"/>
      </w:r>
      <w:r w:rsidRPr="006A7351">
        <w:t xml:space="preserve"> CEG again appears to consider that liquidity is a major driver of this difference. The AER agrees that CGS </w:t>
      </w:r>
      <w:proofErr w:type="gramStart"/>
      <w:r w:rsidRPr="006A7351">
        <w:t>are</w:t>
      </w:r>
      <w:proofErr w:type="gramEnd"/>
      <w:r w:rsidRPr="006A7351">
        <w:t xml:space="preserve"> more liquid than State Government bonds. However, the key issue is whether this has made CGS an inappropriate proxy for the risk free rate.</w:t>
      </w:r>
    </w:p>
    <w:p w:rsidR="006B0748" w:rsidRDefault="006B0748" w:rsidP="006B0748">
      <w:pPr>
        <w:pStyle w:val="AERbodytext"/>
        <w:numPr>
          <w:ilvl w:val="0"/>
          <w:numId w:val="13"/>
        </w:numPr>
      </w:pPr>
      <w:r w:rsidRPr="006A7351">
        <w:t>In the WACC review, the evidence did not persuade the AER that CGS were an inappropriate proxy for the risk free rate.</w:t>
      </w:r>
      <w:r w:rsidRPr="006A7351">
        <w:rPr>
          <w:rStyle w:val="FootnoteReference"/>
        </w:rPr>
        <w:footnoteReference w:id="144"/>
      </w:r>
      <w:r w:rsidRPr="006A7351">
        <w:t xml:space="preserve"> Advice from Associate Professor Handley supported this view.</w:t>
      </w:r>
      <w:r w:rsidRPr="006A7351">
        <w:rPr>
          <w:rStyle w:val="FootnoteReference"/>
        </w:rPr>
        <w:footnoteReference w:id="145"/>
      </w:r>
      <w:r w:rsidRPr="006A7351">
        <w:t xml:space="preserve"> </w:t>
      </w:r>
      <w:r>
        <w:t>While not directly responding to the AER's and Associate Professor Handley's argument from the WACC Review, it appears that CEG does not consider the greater liquidity of CGS affect its appropriateness as the risk free rate proxy. This is because CEG states in its latest report:</w:t>
      </w:r>
    </w:p>
    <w:p w:rsidR="006B0748" w:rsidRDefault="006B0748" w:rsidP="006B0748">
      <w:pPr>
        <w:pStyle w:val="AERquote"/>
      </w:pPr>
      <w:r>
        <w:t>The AER goes on to address the issues that I raised and, in each case, the AER concludes that CGS is nonetheless the best proxy for the risk free rate. However, I did not argue otherwise...</w:t>
      </w:r>
      <w:r>
        <w:rPr>
          <w:rStyle w:val="FootnoteReference"/>
        </w:rPr>
        <w:footnoteReference w:id="146"/>
      </w:r>
    </w:p>
    <w:p w:rsidR="006B0748" w:rsidRPr="006A7351" w:rsidRDefault="006B0748" w:rsidP="006B0748">
      <w:pPr>
        <w:pStyle w:val="AERbodytext"/>
        <w:numPr>
          <w:ilvl w:val="0"/>
          <w:numId w:val="13"/>
        </w:numPr>
      </w:pPr>
      <w:r w:rsidRPr="006A7351">
        <w:t>Also, without being conclusive, the higher yields on some State Government bonds may reflect the increased risk of those bonds. For example, the Queensland government lost its AAA rating in February 2009.</w:t>
      </w:r>
      <w:r>
        <w:t xml:space="preserve"> Lally notes that t</w:t>
      </w:r>
      <w:r w:rsidRPr="00A208E5">
        <w:t>he rise in the expected rate of return on state government debt might have been due entirely to increases in expected default losses and liquid premium relative to CGS yield. In this case, the MRP would not increase with the debt risk premium</w:t>
      </w:r>
      <w:r>
        <w:t>.</w:t>
      </w:r>
      <w:r>
        <w:rPr>
          <w:rStyle w:val="FootnoteReference"/>
        </w:rPr>
        <w:footnoteReference w:id="147"/>
      </w:r>
    </w:p>
    <w:p w:rsidR="006B0748" w:rsidRPr="006A7351" w:rsidRDefault="006B0748" w:rsidP="006B0748">
      <w:pPr>
        <w:pStyle w:val="AERbodytext"/>
        <w:numPr>
          <w:ilvl w:val="0"/>
          <w:numId w:val="13"/>
        </w:numPr>
      </w:pPr>
      <w:r w:rsidRPr="006A7351">
        <w:t xml:space="preserve">The relevant section in Associate Professor Handley’s report is section </w:t>
      </w:r>
      <w:r>
        <w:t>2.1</w:t>
      </w:r>
      <w:r w:rsidRPr="006A7351">
        <w:t>.</w:t>
      </w:r>
    </w:p>
    <w:p w:rsidR="006B0748" w:rsidRPr="00691ED9" w:rsidRDefault="006B0748" w:rsidP="006B0748">
      <w:pPr>
        <w:pStyle w:val="Heading9"/>
      </w:pPr>
      <w:bookmarkStart w:id="40" w:name="_Ref350891510"/>
      <w:r w:rsidRPr="00691ED9">
        <w:t>Term of the risk free rate and MRP</w:t>
      </w:r>
      <w:bookmarkEnd w:id="40"/>
    </w:p>
    <w:p w:rsidR="006B0748" w:rsidRPr="005B3549" w:rsidRDefault="006B0748" w:rsidP="006B0748">
      <w:pPr>
        <w:pStyle w:val="AERbodytext"/>
        <w:numPr>
          <w:ilvl w:val="0"/>
          <w:numId w:val="13"/>
        </w:numPr>
      </w:pPr>
      <w:r w:rsidRPr="005B3549">
        <w:t xml:space="preserve">In attachment </w:t>
      </w:r>
      <w:r>
        <w:t>section 5.3.2</w:t>
      </w:r>
      <w:r w:rsidRPr="005B3549">
        <w:t xml:space="preserve">, the AER noted that there would be further discussion of the term of the cost of equity. This section contains that discussion. </w:t>
      </w:r>
    </w:p>
    <w:p w:rsidR="006B0748" w:rsidRPr="005B3549" w:rsidRDefault="006B0748" w:rsidP="006B0748">
      <w:pPr>
        <w:pStyle w:val="AERbodytext"/>
        <w:numPr>
          <w:ilvl w:val="0"/>
          <w:numId w:val="13"/>
        </w:numPr>
      </w:pPr>
      <w:r w:rsidRPr="005B3549">
        <w:t xml:space="preserve">The AER applies a 10 year term for the cost of equity in this decision. </w:t>
      </w:r>
      <w:r>
        <w:t>Multinet</w:t>
      </w:r>
      <w:r w:rsidRPr="005B3549">
        <w:t xml:space="preserve"> proposed the use of a 10 year term and the AER accepts a 10 year term is appropriate. </w:t>
      </w:r>
      <w:r>
        <w:t>H</w:t>
      </w:r>
      <w:r w:rsidRPr="005B3549">
        <w:t xml:space="preserve">owever, </w:t>
      </w:r>
      <w:r>
        <w:t>the use of</w:t>
      </w:r>
      <w:r w:rsidRPr="005B3549">
        <w:t xml:space="preserve"> a 10 year term is a departure from strict compliance with the present value principle.</w:t>
      </w:r>
      <w:r w:rsidRPr="005B3549">
        <w:rPr>
          <w:rStyle w:val="FootnoteReference"/>
        </w:rPr>
        <w:footnoteReference w:id="148"/>
      </w:r>
      <w:r w:rsidRPr="005B3549">
        <w:t xml:space="preserve"> This section discusses the reasons for using a 10 year term. </w:t>
      </w:r>
    </w:p>
    <w:p w:rsidR="006B0748" w:rsidRPr="005B3549" w:rsidRDefault="006B0748" w:rsidP="006B0748">
      <w:pPr>
        <w:pStyle w:val="AERbodytext"/>
        <w:numPr>
          <w:ilvl w:val="0"/>
          <w:numId w:val="13"/>
        </w:numPr>
      </w:pPr>
      <w:r w:rsidRPr="005B3549">
        <w:t xml:space="preserve">The selection of an appropriate term is not straightforward. When determining the term of the risk free rate there are a number of considerations involved. It is important to consider consistency with the present value principle. The AER has also previously considered </w:t>
      </w:r>
      <w:r>
        <w:t>average debt matures at time of issuance</w:t>
      </w:r>
      <w:r w:rsidRPr="005B3549">
        <w:t xml:space="preserve"> by regulated businesses.</w:t>
      </w:r>
      <w:r w:rsidRPr="005B3549">
        <w:rPr>
          <w:rStyle w:val="FootnoteReference"/>
        </w:rPr>
        <w:footnoteReference w:id="149"/>
      </w:r>
      <w:r w:rsidRPr="005B3549">
        <w:t xml:space="preserve"> Finally, a 10 year term ensures consistency in this decision between the cost of equity and the cost of debt, including in the calculation of the MRP and DRP.  On balance, the </w:t>
      </w:r>
      <w:r>
        <w:t xml:space="preserve">AER considers </w:t>
      </w:r>
      <w:r w:rsidRPr="005B3549">
        <w:t>us</w:t>
      </w:r>
      <w:r>
        <w:t>ing</w:t>
      </w:r>
      <w:r w:rsidRPr="005B3549">
        <w:t xml:space="preserve"> a 10 year term is appropriate for this decision.    </w:t>
      </w:r>
    </w:p>
    <w:p w:rsidR="006B0748" w:rsidRPr="005B3549" w:rsidRDefault="006B0748" w:rsidP="006B0748">
      <w:pPr>
        <w:pStyle w:val="AERbodytext"/>
        <w:numPr>
          <w:ilvl w:val="0"/>
          <w:numId w:val="13"/>
        </w:numPr>
      </w:pPr>
      <w:r w:rsidRPr="005B3549">
        <w:t xml:space="preserve">The present value principle is a fundamental element when determining the term of the </w:t>
      </w:r>
      <w:r>
        <w:t>cost of equity</w:t>
      </w:r>
      <w:r w:rsidRPr="005B3549">
        <w:t xml:space="preserve">. The AER notes that there are divergent schools of thought on the appropriate term to ensure consistency with the present value principle. </w:t>
      </w:r>
    </w:p>
    <w:p w:rsidR="006B0748" w:rsidRPr="005B3549" w:rsidRDefault="006B0748" w:rsidP="006B0748">
      <w:pPr>
        <w:pStyle w:val="AERbodytext"/>
        <w:numPr>
          <w:ilvl w:val="0"/>
          <w:numId w:val="13"/>
        </w:numPr>
      </w:pPr>
      <w:r w:rsidRPr="005B3549">
        <w:t>Associate Professor Lally suggests that the AER should use a term that is consistent with the regulatory period when estimating a risk free rate at the start of the period.</w:t>
      </w:r>
      <w:r w:rsidRPr="005B3549">
        <w:rPr>
          <w:rStyle w:val="FootnoteReference"/>
        </w:rPr>
        <w:footnoteReference w:id="150"/>
      </w:r>
      <w:r w:rsidRPr="005B3549">
        <w:t xml:space="preserve"> This suggests the AER should use a 5 year term. </w:t>
      </w:r>
    </w:p>
    <w:p w:rsidR="006B0748" w:rsidRPr="005B3549" w:rsidRDefault="006B0748" w:rsidP="006B0748">
      <w:pPr>
        <w:pStyle w:val="AERbodytext"/>
        <w:numPr>
          <w:ilvl w:val="0"/>
          <w:numId w:val="13"/>
        </w:numPr>
      </w:pPr>
      <w:r w:rsidRPr="005B3549">
        <w:t>Lally has also advised:</w:t>
      </w:r>
    </w:p>
    <w:p w:rsidR="006B0748" w:rsidRPr="005B3549" w:rsidRDefault="006B0748" w:rsidP="006B0748">
      <w:pPr>
        <w:pStyle w:val="AERquote"/>
      </w:pPr>
      <w:r w:rsidRPr="005B3549">
        <w:t xml:space="preserve">...the particular risk free rate should be the rate whose term matches the regulatory period and this is incompatible with the ten year bonds used by the AER. However, this second issue is much less important </w:t>
      </w:r>
      <w:r>
        <w:t>than</w:t>
      </w:r>
      <w:r w:rsidRPr="005B3549">
        <w:t xml:space="preserve"> the first issue becau</w:t>
      </w:r>
      <w:r>
        <w:t>se the choice of the current te</w:t>
      </w:r>
      <w:r w:rsidRPr="005B3549">
        <w:t>n-year rather than the current five-year risk free rate raises the rate by only about 0.40% (from 2.86 to 3.26%) whilst the use of a historical average ten-year rate rather than the prevailing then-year rate raises it by about 2.60% (from 3.26% to 5.86%).</w:t>
      </w:r>
      <w:r>
        <w:rPr>
          <w:rStyle w:val="FootnoteReference"/>
        </w:rPr>
        <w:footnoteReference w:id="151"/>
      </w:r>
      <w:r w:rsidRPr="005B3549">
        <w:t xml:space="preserve"> </w:t>
      </w:r>
    </w:p>
    <w:p w:rsidR="006B0748" w:rsidRPr="005B3549" w:rsidRDefault="006B0748" w:rsidP="006B0748">
      <w:pPr>
        <w:pStyle w:val="AERbodytext"/>
        <w:numPr>
          <w:ilvl w:val="0"/>
          <w:numId w:val="13"/>
        </w:numPr>
      </w:pPr>
      <w:r w:rsidRPr="005B3549">
        <w:t>On the other hand, the AER notes that there are arguments in favour of using a longer term to more closely match the life of the assets.</w:t>
      </w:r>
      <w:r w:rsidRPr="005B3549">
        <w:rPr>
          <w:rStyle w:val="FootnoteReference"/>
        </w:rPr>
        <w:footnoteReference w:id="152"/>
      </w:r>
      <w:r w:rsidRPr="005B3549">
        <w:t xml:space="preserve"> Broadly, the argument suggests that regulated assets have long lives and corresponding cash flows</w:t>
      </w:r>
      <w:r>
        <w:t>.</w:t>
      </w:r>
      <w:r w:rsidRPr="005B3549">
        <w:t xml:space="preserve"> </w:t>
      </w:r>
      <w:r>
        <w:t>T</w:t>
      </w:r>
      <w:r w:rsidRPr="005B3549">
        <w:t>herefore</w:t>
      </w:r>
      <w:r>
        <w:t>,</w:t>
      </w:r>
      <w:r w:rsidRPr="005B3549">
        <w:t xml:space="preserve"> the duration of the risk free rate should be as long as is practically possible. </w:t>
      </w:r>
    </w:p>
    <w:p w:rsidR="006B0748" w:rsidRPr="005B3549" w:rsidRDefault="006B0748" w:rsidP="006B0748">
      <w:pPr>
        <w:pStyle w:val="AERbodytext"/>
        <w:numPr>
          <w:ilvl w:val="0"/>
          <w:numId w:val="13"/>
        </w:numPr>
      </w:pPr>
      <w:r w:rsidRPr="005B3549">
        <w:t>In the WACC Review in 2009, the AER also considered arguments put forward by businesses that common practice was to use long dated financing to manage refinancing risk.</w:t>
      </w:r>
      <w:r w:rsidRPr="005B3549">
        <w:rPr>
          <w:rStyle w:val="FootnoteReference"/>
        </w:rPr>
        <w:footnoteReference w:id="153"/>
      </w:r>
      <w:r w:rsidRPr="005B3549">
        <w:t xml:space="preserve"> This formed an important consideration for the estimation of the DRP using a 10 year term.</w:t>
      </w:r>
      <w:r w:rsidRPr="005B3549">
        <w:rPr>
          <w:rStyle w:val="FootnoteReference"/>
        </w:rPr>
        <w:footnoteReference w:id="154"/>
      </w:r>
      <w:r w:rsidRPr="005B3549">
        <w:t xml:space="preserve"> In contrast, the ERA has recently analysed the average maturity of debt issued by regulated businesses and found this </w:t>
      </w:r>
      <w:r>
        <w:t>was</w:t>
      </w:r>
      <w:r w:rsidRPr="005B3549">
        <w:t xml:space="preserve"> approximately 5 years.</w:t>
      </w:r>
      <w:r w:rsidRPr="005B3549">
        <w:rPr>
          <w:rStyle w:val="FootnoteReference"/>
        </w:rPr>
        <w:footnoteReference w:id="155"/>
      </w:r>
      <w:r w:rsidRPr="005B3549">
        <w:t xml:space="preserve"> The AER applies a 10 year term for the cost of debt in this decision. </w:t>
      </w:r>
    </w:p>
    <w:p w:rsidR="006B0748" w:rsidRPr="005B3549" w:rsidRDefault="006B0748" w:rsidP="006B0748">
      <w:pPr>
        <w:pStyle w:val="AERbodytext"/>
        <w:numPr>
          <w:ilvl w:val="0"/>
          <w:numId w:val="13"/>
        </w:numPr>
      </w:pPr>
      <w:r w:rsidRPr="005B3549">
        <w:t>Consistency between the cost of equity and the cost of debt may also be important. This would mean that the MRP and DRP would need to be estimated consistently. In the recent DBNGP matter, the Tribunal supported the ERA's consideration that this consistency is important.</w:t>
      </w:r>
      <w:r w:rsidRPr="005B3549">
        <w:rPr>
          <w:rStyle w:val="FootnoteReference"/>
        </w:rPr>
        <w:footnoteReference w:id="156"/>
      </w:r>
      <w:r w:rsidRPr="005B3549">
        <w:t xml:space="preserve"> The Tribunal considered consistency with the calculation of the DRP to be most important.</w:t>
      </w:r>
      <w:r w:rsidRPr="005B3549">
        <w:rPr>
          <w:rStyle w:val="FootnoteReference"/>
        </w:rPr>
        <w:footnoteReference w:id="157"/>
      </w:r>
      <w:r w:rsidRPr="005B3549">
        <w:t xml:space="preserve"> </w:t>
      </w:r>
    </w:p>
    <w:p w:rsidR="006B0748" w:rsidRDefault="006B0748" w:rsidP="006B0748">
      <w:pPr>
        <w:pStyle w:val="AERbodytext"/>
        <w:numPr>
          <w:ilvl w:val="0"/>
          <w:numId w:val="13"/>
        </w:numPr>
      </w:pPr>
      <w:r w:rsidRPr="005B3549">
        <w:t xml:space="preserve">In summary, while there are arguments in favour of a shorter term, it is appropriate at this time to continue to use a 10 year term. The AER therefore accepts </w:t>
      </w:r>
      <w:r>
        <w:t>Multin</w:t>
      </w:r>
      <w:r w:rsidRPr="005B3549">
        <w:t>et's proposal. The AER also notes that a 10 year term is likely to provide a</w:t>
      </w:r>
      <w:r>
        <w:t>n</w:t>
      </w:r>
      <w:r w:rsidRPr="005B3549">
        <w:t xml:space="preserve"> estimate of the risk free rate</w:t>
      </w:r>
      <w:r>
        <w:t xml:space="preserve"> that is above an estimate using a 5 year term. This is a result of the fact that a term premium is generally observed between bonds of different maturities.</w:t>
      </w:r>
      <w:r>
        <w:rPr>
          <w:rStyle w:val="FootnoteReference"/>
        </w:rPr>
        <w:footnoteReference w:id="158"/>
      </w:r>
      <w:r>
        <w:t xml:space="preserve"> That is, a bond with a 10 year maturity will generally carry a premium (higher yield) over a bond with a 5 year maturity.  </w:t>
      </w:r>
    </w:p>
    <w:p w:rsidR="006B0748" w:rsidRPr="00691ED9" w:rsidRDefault="006B0748" w:rsidP="006B0748">
      <w:pPr>
        <w:pStyle w:val="Heading9"/>
      </w:pPr>
      <w:bookmarkStart w:id="41" w:name="_Ref350878054"/>
      <w:r w:rsidRPr="00691ED9">
        <w:t>Ernst and Young's survey of takeover report discount rates</w:t>
      </w:r>
      <w:bookmarkEnd w:id="41"/>
    </w:p>
    <w:p w:rsidR="006B0748" w:rsidRDefault="006B0748" w:rsidP="006B0748">
      <w:pPr>
        <w:pStyle w:val="AERbodytext"/>
        <w:numPr>
          <w:ilvl w:val="0"/>
          <w:numId w:val="13"/>
        </w:numPr>
      </w:pPr>
      <w:bookmarkStart w:id="42" w:name="_Ref348532185"/>
      <w:r w:rsidRPr="00B719FA">
        <w:t xml:space="preserve">In the revised proposal, </w:t>
      </w:r>
      <w:r>
        <w:t>Multinet</w:t>
      </w:r>
      <w:r w:rsidRPr="00B719FA">
        <w:t xml:space="preserve"> submitted </w:t>
      </w:r>
      <w:r>
        <w:t xml:space="preserve">a report from </w:t>
      </w:r>
      <w:r w:rsidRPr="00B719FA">
        <w:t xml:space="preserve">Ernst and Young (EY) </w:t>
      </w:r>
      <w:r>
        <w:t xml:space="preserve">surveying </w:t>
      </w:r>
      <w:r w:rsidRPr="00B719FA">
        <w:t>takeover valuation report discount rates.</w:t>
      </w:r>
      <w:r w:rsidRPr="00B719FA">
        <w:rPr>
          <w:rStyle w:val="FootnoteReference"/>
        </w:rPr>
        <w:footnoteReference w:id="159"/>
      </w:r>
      <w:r w:rsidRPr="00B719FA">
        <w:t xml:space="preserve"> </w:t>
      </w:r>
      <w:r>
        <w:t>Multinet</w:t>
      </w:r>
      <w:r w:rsidRPr="00B719FA">
        <w:t xml:space="preserve"> suggested EY</w:t>
      </w:r>
      <w:r>
        <w:t>'s</w:t>
      </w:r>
      <w:r w:rsidRPr="00B719FA">
        <w:t xml:space="preserve"> analysis support</w:t>
      </w:r>
      <w:r>
        <w:t>ed</w:t>
      </w:r>
      <w:r w:rsidRPr="00B719FA">
        <w:t xml:space="preserve"> </w:t>
      </w:r>
      <w:r>
        <w:t>its</w:t>
      </w:r>
      <w:r w:rsidRPr="00B719FA">
        <w:t xml:space="preserve"> view that the cost of equity provided by the AER in the draft decision is too low. The AER has considered EY's report, which indicated the prevailing cost of equity is 10.7 per cent. It commissioned CEPA to consider the market evidence presented by EY.</w:t>
      </w:r>
    </w:p>
    <w:p w:rsidR="006B0748" w:rsidRDefault="006B0748" w:rsidP="006B0748">
      <w:pPr>
        <w:pStyle w:val="AERbodytext"/>
        <w:numPr>
          <w:ilvl w:val="0"/>
          <w:numId w:val="13"/>
        </w:numPr>
      </w:pPr>
      <w:r w:rsidRPr="00B719FA">
        <w:t xml:space="preserve">CEPA did not find the evidence </w:t>
      </w:r>
      <w:r>
        <w:t xml:space="preserve">presented </w:t>
      </w:r>
      <w:r w:rsidRPr="00B719FA">
        <w:t xml:space="preserve">by EY compelling. Further if anything, </w:t>
      </w:r>
      <w:r>
        <w:t xml:space="preserve">it considered </w:t>
      </w:r>
      <w:r w:rsidRPr="00B719FA">
        <w:t xml:space="preserve">the results are more supportive of a short term risk free rate and </w:t>
      </w:r>
      <w:r>
        <w:t xml:space="preserve">a </w:t>
      </w:r>
      <w:r w:rsidRPr="00B719FA">
        <w:t>6 per cent MRP.</w:t>
      </w:r>
      <w:r>
        <w:rPr>
          <w:rStyle w:val="FootnoteReference"/>
        </w:rPr>
        <w:footnoteReference w:id="160"/>
      </w:r>
      <w:r w:rsidRPr="00B719FA">
        <w:t xml:space="preserve"> Its analysis of the EY information suggested:</w:t>
      </w:r>
      <w:r>
        <w:rPr>
          <w:rStyle w:val="FootnoteReference"/>
        </w:rPr>
        <w:footnoteReference w:id="161"/>
      </w:r>
    </w:p>
    <w:p w:rsidR="006B0748" w:rsidRPr="00B719FA" w:rsidRDefault="006B0748" w:rsidP="006B0748">
      <w:pPr>
        <w:pStyle w:val="AERbulletlistfirststyle"/>
      </w:pPr>
      <w:r w:rsidRPr="00B719FA">
        <w:t xml:space="preserve">the credibility of some </w:t>
      </w:r>
      <w:r>
        <w:t>reports</w:t>
      </w:r>
      <w:r w:rsidRPr="00B719FA">
        <w:t xml:space="preserve"> is undermined by unexplained </w:t>
      </w:r>
      <w:r>
        <w:t>"</w:t>
      </w:r>
      <w:r w:rsidRPr="00B719FA">
        <w:t>swings</w:t>
      </w:r>
      <w:r>
        <w:t>"</w:t>
      </w:r>
      <w:r w:rsidRPr="00B719FA">
        <w:t xml:space="preserve"> in estimates over short time horizons;</w:t>
      </w:r>
    </w:p>
    <w:p w:rsidR="006B0748" w:rsidRPr="00B719FA" w:rsidRDefault="006B0748" w:rsidP="006B0748">
      <w:pPr>
        <w:pStyle w:val="AERbulletlistfirststyle"/>
      </w:pPr>
      <w:r>
        <w:t>there is a strong</w:t>
      </w:r>
      <w:r w:rsidRPr="00B719FA">
        <w:t xml:space="preserve"> </w:t>
      </w:r>
      <w:r>
        <w:t>time trend—</w:t>
      </w:r>
      <w:r w:rsidRPr="00B719FA">
        <w:t xml:space="preserve">more recent studies should </w:t>
      </w:r>
      <w:r>
        <w:t>be considered more relevant—cost of equity discount rates decrease over 2012 and so the latest discount rates are lower than the 2012 average presented by EY</w:t>
      </w:r>
      <w:r w:rsidRPr="00B719FA">
        <w:t>;</w:t>
      </w:r>
    </w:p>
    <w:p w:rsidR="006B0748" w:rsidRPr="00B719FA" w:rsidRDefault="006B0748" w:rsidP="006B0748">
      <w:pPr>
        <w:pStyle w:val="AERbulletlistfirststyle"/>
      </w:pPr>
      <w:r>
        <w:t>modal</w:t>
      </w:r>
      <w:r w:rsidRPr="00B719FA">
        <w:t xml:space="preserve"> estimates of the individual parameters</w:t>
      </w:r>
      <w:r>
        <w:t xml:space="preserve"> indicate</w:t>
      </w:r>
      <w:r w:rsidRPr="00B719FA">
        <w:t xml:space="preserve"> the discrepancy between the </w:t>
      </w:r>
      <w:r>
        <w:t>valuers</w:t>
      </w:r>
      <w:r w:rsidRPr="00B719FA">
        <w:t xml:space="preserve"> and AER is less marked; and</w:t>
      </w:r>
    </w:p>
    <w:p w:rsidR="006B0748" w:rsidRPr="00B719FA" w:rsidRDefault="006B0748" w:rsidP="006B0748">
      <w:pPr>
        <w:pStyle w:val="AERbulletlistfirststyle"/>
      </w:pPr>
      <w:proofErr w:type="gramStart"/>
      <w:r w:rsidRPr="00B719FA">
        <w:t>the</w:t>
      </w:r>
      <w:proofErr w:type="gramEnd"/>
      <w:r w:rsidRPr="00B719FA">
        <w:t xml:space="preserve"> analysis of the KPMG Consolidated Media Holdings report shows how important each report’s idiosyncrasies are.</w:t>
      </w:r>
    </w:p>
    <w:p w:rsidR="006B0748" w:rsidRDefault="006B0748" w:rsidP="006B0748">
      <w:pPr>
        <w:pStyle w:val="AERbodytext"/>
        <w:numPr>
          <w:ilvl w:val="0"/>
          <w:numId w:val="13"/>
        </w:numPr>
      </w:pPr>
      <w:r w:rsidRPr="00B719FA">
        <w:t>CEPA did not consider the data presented by EY represented direct empirical evidence. It agreed that the appropriate regulatory approach should utilise cross-checks, such as EY's analysis of takeover reports. However, any adjustment should be justified and based on criteria. It found neither Grant Samuel nor Deloitte made an appropriate justification for their adjustments.</w:t>
      </w:r>
      <w:r w:rsidRPr="00B719FA">
        <w:rPr>
          <w:rStyle w:val="FootnoteReference"/>
        </w:rPr>
        <w:footnoteReference w:id="162"/>
      </w:r>
      <w:r w:rsidRPr="00B719FA">
        <w:t xml:space="preserve"> Further, the credibility of some findings of expert reports is hard to understand.</w:t>
      </w:r>
      <w:r w:rsidRPr="00B719FA">
        <w:rPr>
          <w:rStyle w:val="FootnoteReference"/>
        </w:rPr>
        <w:footnoteReference w:id="163"/>
      </w:r>
      <w:r w:rsidRPr="00B719FA">
        <w:t xml:space="preserve"> </w:t>
      </w:r>
    </w:p>
    <w:p w:rsidR="006B0748" w:rsidRDefault="006B0748" w:rsidP="006B0748">
      <w:pPr>
        <w:pStyle w:val="AERbodytext"/>
        <w:numPr>
          <w:ilvl w:val="0"/>
          <w:numId w:val="13"/>
        </w:numPr>
      </w:pPr>
      <w:r w:rsidRPr="00B719FA">
        <w:t>As 2012 reports are a focus for the EY review, CEPA identified a useful check would be looking at how the market cost of equity implied by independent experts changes over the ten months to October 2012 (as analysed by EY).</w:t>
      </w:r>
      <w:r w:rsidRPr="00B719FA">
        <w:rPr>
          <w:rStyle w:val="FootnoteReference"/>
        </w:rPr>
        <w:footnoteReference w:id="164"/>
      </w:r>
      <w:r w:rsidRPr="00B719FA">
        <w:t xml:space="preserve"> CEPA's analysis is replicated in </w:t>
      </w:r>
      <w:r w:rsidR="009B2237">
        <w:fldChar w:fldCharType="begin"/>
      </w:r>
      <w:r>
        <w:instrText xml:space="preserve"> REF _Ref350870330 \h </w:instrText>
      </w:r>
      <w:r w:rsidR="009B2237">
        <w:fldChar w:fldCharType="separate"/>
      </w:r>
      <w:r>
        <w:t xml:space="preserve">Figure </w:t>
      </w:r>
      <w:r>
        <w:rPr>
          <w:noProof/>
        </w:rPr>
        <w:t>B</w:t>
      </w:r>
      <w:r>
        <w:t>.</w:t>
      </w:r>
      <w:r>
        <w:rPr>
          <w:noProof/>
        </w:rPr>
        <w:t>2</w:t>
      </w:r>
      <w:r w:rsidR="009B2237">
        <w:fldChar w:fldCharType="end"/>
      </w:r>
      <w:r>
        <w:t xml:space="preserve"> b</w:t>
      </w:r>
      <w:r w:rsidRPr="00B719FA">
        <w:t>elow</w:t>
      </w:r>
      <w:r>
        <w:t xml:space="preserve">. </w:t>
      </w:r>
      <w:r w:rsidR="009B2237">
        <w:fldChar w:fldCharType="begin"/>
      </w:r>
      <w:r>
        <w:instrText xml:space="preserve"> REF _Ref350870343 \h </w:instrText>
      </w:r>
      <w:r w:rsidR="009B2237">
        <w:fldChar w:fldCharType="separate"/>
      </w:r>
      <w:r>
        <w:t xml:space="preserve">Figure </w:t>
      </w:r>
      <w:r>
        <w:rPr>
          <w:noProof/>
        </w:rPr>
        <w:t>B</w:t>
      </w:r>
      <w:r>
        <w:t>.</w:t>
      </w:r>
      <w:r>
        <w:rPr>
          <w:noProof/>
        </w:rPr>
        <w:t>3</w:t>
      </w:r>
      <w:r w:rsidR="009B2237">
        <w:fldChar w:fldCharType="end"/>
      </w:r>
      <w:r>
        <w:t xml:space="preserve"> </w:t>
      </w:r>
      <w:r w:rsidRPr="00B719FA">
        <w:t xml:space="preserve">shows the </w:t>
      </w:r>
      <w:r>
        <w:t xml:space="preserve">relevant </w:t>
      </w:r>
      <w:r w:rsidRPr="00B719FA">
        <w:t xml:space="preserve">estimates of the risk free rate and MRP. There is a general downward trend of the independent expert cost of equity estimates since the start of 2012. Contrary to the relatively stable cost of equity concept submitted by </w:t>
      </w:r>
      <w:r>
        <w:t>Multinet</w:t>
      </w:r>
      <w:r w:rsidRPr="00B719FA">
        <w:t xml:space="preserve">, </w:t>
      </w:r>
      <w:r>
        <w:t xml:space="preserve">most </w:t>
      </w:r>
      <w:r w:rsidRPr="00B719FA">
        <w:t>valuers do change their cost of equity estimates over time</w:t>
      </w:r>
      <w:r>
        <w:t xml:space="preserve"> (based on their underlying risk free rate and MRP assumptions), which resembles the downward movement of the prevailing risk free rate across 2012</w:t>
      </w:r>
      <w:r w:rsidRPr="00B719FA">
        <w:t>. Their cost of equity estimates are generally below 10 per cent in the second half of 2012. Therefore, comparing AER's cost of equity determined in the draft decision (which was made in September 2012) with the 2012 average is</w:t>
      </w:r>
      <w:r>
        <w:t xml:space="preserve"> not comparable</w:t>
      </w:r>
      <w:r w:rsidRPr="00B719FA">
        <w:t xml:space="preserve">. </w:t>
      </w:r>
    </w:p>
    <w:p w:rsidR="006B0748" w:rsidRPr="00B719FA" w:rsidRDefault="006B0748" w:rsidP="006B0748">
      <w:pPr>
        <w:pStyle w:val="Caption"/>
      </w:pPr>
      <w:bookmarkStart w:id="43" w:name="_Ref350870330"/>
      <w:bookmarkEnd w:id="42"/>
      <w:r>
        <w:t xml:space="preserve">Figure </w:t>
      </w:r>
      <w:fldSimple w:instr=" STYLEREF 7 \s ">
        <w:r>
          <w:rPr>
            <w:noProof/>
          </w:rPr>
          <w:t>B</w:t>
        </w:r>
      </w:fldSimple>
      <w:r>
        <w:t>.</w:t>
      </w:r>
      <w:fldSimple w:instr=" SEQ Figure \* ARABIC \s 7 ">
        <w:r>
          <w:rPr>
            <w:noProof/>
          </w:rPr>
          <w:t>2</w:t>
        </w:r>
      </w:fldSimple>
      <w:bookmarkEnd w:id="43"/>
      <w:r w:rsidRPr="00B719FA">
        <w:tab/>
      </w:r>
      <w:r>
        <w:t xml:space="preserve">Takeover valuation report estimates </w:t>
      </w:r>
      <w:r w:rsidRPr="00B719FA">
        <w:t>of the cost of equity in 2012</w:t>
      </w:r>
    </w:p>
    <w:p w:rsidR="006B0748" w:rsidRPr="00B719FA" w:rsidRDefault="006B0748" w:rsidP="006B0748">
      <w:r w:rsidRPr="006B0748">
        <w:rPr>
          <w:noProof/>
          <w:lang w:eastAsia="en-AU"/>
        </w:rPr>
        <w:drawing>
          <wp:inline distT="0" distB="0" distL="0" distR="0">
            <wp:extent cx="5114290" cy="266890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14290" cy="2668905"/>
                    </a:xfrm>
                    <a:prstGeom prst="rect">
                      <a:avLst/>
                    </a:prstGeom>
                    <a:noFill/>
                    <a:ln w="9525">
                      <a:noFill/>
                      <a:miter lim="800000"/>
                      <a:headEnd/>
                      <a:tailEnd/>
                    </a:ln>
                  </pic:spPr>
                </pic:pic>
              </a:graphicData>
            </a:graphic>
          </wp:inline>
        </w:drawing>
      </w:r>
    </w:p>
    <w:p w:rsidR="006B0748" w:rsidRPr="00B719FA" w:rsidRDefault="006B0748" w:rsidP="006B0748">
      <w:pPr>
        <w:pStyle w:val="AERtablesource"/>
      </w:pPr>
      <w:r w:rsidRPr="00B719FA">
        <w:t xml:space="preserve">Source: CEPA, </w:t>
      </w:r>
      <w:r w:rsidRPr="00B719FA">
        <w:rPr>
          <w:rStyle w:val="AERtextitalic"/>
        </w:rPr>
        <w:t>Australian energy regulator: Victorian gas networks market evidence paper</w:t>
      </w:r>
      <w:r w:rsidRPr="00B719FA">
        <w:t xml:space="preserve">, </w:t>
      </w:r>
      <w:r>
        <w:t>March</w:t>
      </w:r>
      <w:r w:rsidRPr="00444EE0">
        <w:t xml:space="preserve"> </w:t>
      </w:r>
      <w:r>
        <w:t>2013, p.47</w:t>
      </w:r>
      <w:r w:rsidRPr="00B719FA">
        <w:t>.</w:t>
      </w:r>
    </w:p>
    <w:p w:rsidR="006B0748" w:rsidRDefault="006B0748" w:rsidP="006B0748">
      <w:pPr>
        <w:pStyle w:val="Caption"/>
      </w:pPr>
      <w:bookmarkStart w:id="44" w:name="_Ref350870343"/>
      <w:r>
        <w:t xml:space="preserve">Figure </w:t>
      </w:r>
      <w:fldSimple w:instr=" STYLEREF 7 \s ">
        <w:r>
          <w:rPr>
            <w:noProof/>
          </w:rPr>
          <w:t>B</w:t>
        </w:r>
      </w:fldSimple>
      <w:r>
        <w:t>.</w:t>
      </w:r>
      <w:fldSimple w:instr=" SEQ Figure \* ARABIC \s 7 ">
        <w:r>
          <w:rPr>
            <w:noProof/>
          </w:rPr>
          <w:t>3</w:t>
        </w:r>
      </w:fldSimple>
      <w:bookmarkEnd w:id="44"/>
      <w:r w:rsidRPr="00B719FA">
        <w:tab/>
      </w:r>
      <w:r>
        <w:t xml:space="preserve">Takeover valuation report </w:t>
      </w:r>
      <w:r w:rsidRPr="00B719FA">
        <w:t>estimates of the risk free rate and MRP in 2012</w:t>
      </w:r>
    </w:p>
    <w:p w:rsidR="006B0748" w:rsidRDefault="006B0748" w:rsidP="006B0748">
      <w:pPr>
        <w:pStyle w:val="AERbodytext"/>
        <w:numPr>
          <w:ilvl w:val="0"/>
          <w:numId w:val="13"/>
        </w:numPr>
      </w:pPr>
      <w:r w:rsidRPr="006B0748">
        <w:rPr>
          <w:noProof/>
          <w:lang w:eastAsia="en-AU"/>
        </w:rPr>
        <w:drawing>
          <wp:inline distT="0" distB="0" distL="0" distR="0">
            <wp:extent cx="4909210" cy="2881150"/>
            <wp:effectExtent l="19050" t="0" r="569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07037" cy="2879875"/>
                    </a:xfrm>
                    <a:prstGeom prst="rect">
                      <a:avLst/>
                    </a:prstGeom>
                    <a:noFill/>
                    <a:ln w="9525">
                      <a:noFill/>
                      <a:miter lim="800000"/>
                      <a:headEnd/>
                      <a:tailEnd/>
                    </a:ln>
                  </pic:spPr>
                </pic:pic>
              </a:graphicData>
            </a:graphic>
          </wp:inline>
        </w:drawing>
      </w:r>
    </w:p>
    <w:p w:rsidR="006B0748" w:rsidRDefault="006B0748" w:rsidP="006B0748">
      <w:pPr>
        <w:pStyle w:val="AERtablesource"/>
      </w:pPr>
      <w:r w:rsidRPr="00B719FA">
        <w:t xml:space="preserve">Source: CEPA, </w:t>
      </w:r>
      <w:r w:rsidRPr="00B719FA">
        <w:rPr>
          <w:rStyle w:val="AERtextitalic"/>
        </w:rPr>
        <w:t>Australian energy regulator: Victorian gas networks market evidence paper</w:t>
      </w:r>
      <w:r w:rsidRPr="00B719FA">
        <w:t xml:space="preserve">, </w:t>
      </w:r>
      <w:r>
        <w:t>March</w:t>
      </w:r>
      <w:r w:rsidRPr="00444EE0">
        <w:t xml:space="preserve"> </w:t>
      </w:r>
      <w:r>
        <w:t>2013, p.47</w:t>
      </w:r>
      <w:r w:rsidRPr="00B719FA">
        <w:t>.</w:t>
      </w:r>
    </w:p>
    <w:p w:rsidR="006B0748" w:rsidRDefault="006B0748" w:rsidP="006B0748">
      <w:pPr>
        <w:pStyle w:val="AERbodytext"/>
        <w:numPr>
          <w:ilvl w:val="0"/>
          <w:numId w:val="13"/>
        </w:numPr>
      </w:pPr>
      <w:r w:rsidRPr="00B719FA">
        <w:t xml:space="preserve">CEPA also examined other direct market evidence such as trading multiples and share prices of the regulated utility firms. The trading multiples would be expected to fall if the AER's approach in the draft decision produced a rate of return that is too low. However, CEPA noted the trading multiples continued to rise over this period. Similarly, CEPA found the share price of these regulated utility firms stayed stable (if not increasing) after </w:t>
      </w:r>
      <w:r>
        <w:t xml:space="preserve">the </w:t>
      </w:r>
      <w:r w:rsidRPr="00B719FA">
        <w:t>AER released its draft decision. Share price of regulated utility firms is likely to decrease sharply if the AER's dra</w:t>
      </w:r>
      <w:r>
        <w:t>f</w:t>
      </w:r>
      <w:r w:rsidRPr="00B719FA">
        <w:t xml:space="preserve">t decision results in a return that is unreasonably low for these businesses. However, this is not the case. </w:t>
      </w:r>
    </w:p>
    <w:p w:rsidR="006B0748" w:rsidRPr="00B719FA" w:rsidRDefault="006B0748" w:rsidP="006B0748">
      <w:r w:rsidRPr="00B719FA">
        <w:t xml:space="preserve">The AER has considered EY's report and CEPA's advice. It concludes EY's analysis, which recommended a prevailing 10.7 per cent cost of equity estimate based on 17 independent expert reports in 2012 provides limited value.  </w:t>
      </w:r>
    </w:p>
    <w:p w:rsidR="006B0748" w:rsidRPr="00B719FA" w:rsidRDefault="006B0748" w:rsidP="006B0748">
      <w:r>
        <w:t xml:space="preserve">Further to the above conclusion, the AER notes that there may be concerns with the approaches typically taken by valuers in estimating discount rates. </w:t>
      </w:r>
      <w:r w:rsidRPr="00B719FA">
        <w:t>Damodaran's 2008 report supported the use of the current risk free rate even if the rates deviate from what people regard as "normal".  He identified three potential problems associated with analysts bring</w:t>
      </w:r>
      <w:r>
        <w:t>ing</w:t>
      </w:r>
      <w:r w:rsidRPr="00B719FA">
        <w:t xml:space="preserve"> in their 'idiosyncratic views on interest rates':</w:t>
      </w:r>
      <w:r w:rsidRPr="00B719FA">
        <w:rPr>
          <w:rStyle w:val="FootnoteReference"/>
        </w:rPr>
        <w:footnoteReference w:id="165"/>
      </w:r>
    </w:p>
    <w:p w:rsidR="006B0748" w:rsidRDefault="006B0748" w:rsidP="006B0748">
      <w:pPr>
        <w:pStyle w:val="AERbulletlistfirststyle"/>
      </w:pPr>
      <w:r>
        <w:t>"N</w:t>
      </w:r>
      <w:r w:rsidRPr="00B719FA">
        <w:t>ormal" is in the eyes of the beholder, different analysts mak</w:t>
      </w:r>
      <w:r>
        <w:t>e</w:t>
      </w:r>
      <w:r w:rsidRPr="00B719FA">
        <w:t xml:space="preserve"> different judgments on what comprise that number. </w:t>
      </w:r>
    </w:p>
    <w:p w:rsidR="006B0748" w:rsidRDefault="006B0748" w:rsidP="006B0748">
      <w:pPr>
        <w:pStyle w:val="AERbulletlistfirststyle"/>
      </w:pPr>
      <w:r w:rsidRPr="00B719FA">
        <w:t xml:space="preserve">Use a </w:t>
      </w:r>
      <w:r>
        <w:t>"</w:t>
      </w:r>
      <w:r w:rsidRPr="00B719FA">
        <w:t>normal</w:t>
      </w:r>
      <w:r>
        <w:t>"</w:t>
      </w:r>
      <w:r w:rsidRPr="00B719FA">
        <w:t xml:space="preserve"> risk free rate, rather than the current interest rate, </w:t>
      </w:r>
      <w:r>
        <w:t>w</w:t>
      </w:r>
      <w:r w:rsidRPr="00B719FA">
        <w:t xml:space="preserve">ill have valuation consequences. </w:t>
      </w:r>
      <w:r>
        <w:t>Applying</w:t>
      </w:r>
      <w:r w:rsidRPr="00B719FA">
        <w:t xml:space="preserve"> a higher risk free rate than the current rate may over value a company.</w:t>
      </w:r>
    </w:p>
    <w:p w:rsidR="006B0748" w:rsidRDefault="006B0748" w:rsidP="006B0748">
      <w:pPr>
        <w:pStyle w:val="AERbulletlistfirststyle"/>
      </w:pPr>
      <w:r w:rsidRPr="00B719FA">
        <w:t xml:space="preserve">Interest rates generally change over time </w:t>
      </w:r>
      <w:r>
        <w:t>due to</w:t>
      </w:r>
      <w:r w:rsidRPr="00B719FA">
        <w:t xml:space="preserve"> changes in the underlying fundamentals. Making adjustment</w:t>
      </w:r>
      <w:r>
        <w:t>s</w:t>
      </w:r>
      <w:r w:rsidRPr="00B719FA">
        <w:t xml:space="preserve"> to the current rate, without also adjusting the fundamentals that caused the current rate will result in inconsistent valuation. </w:t>
      </w:r>
    </w:p>
    <w:p w:rsidR="006B0748" w:rsidRDefault="006B0748" w:rsidP="006B0748">
      <w:pPr>
        <w:pStyle w:val="AERbodytext"/>
        <w:numPr>
          <w:ilvl w:val="0"/>
          <w:numId w:val="13"/>
        </w:numPr>
      </w:pPr>
      <w:r w:rsidRPr="00B719FA">
        <w:t xml:space="preserve">The relevant section in Damodaran’s report is </w:t>
      </w:r>
      <w:r w:rsidRPr="002A0880">
        <w:rPr>
          <w:rStyle w:val="AERtextitalic"/>
        </w:rPr>
        <w:t>Common (and dangerous) practices</w:t>
      </w:r>
      <w:r w:rsidRPr="00B719FA">
        <w:t xml:space="preserve"> section.</w:t>
      </w:r>
    </w:p>
    <w:p w:rsidR="006B0748" w:rsidRPr="00691ED9" w:rsidRDefault="006B0748" w:rsidP="006B0748">
      <w:pPr>
        <w:pStyle w:val="Heading9"/>
      </w:pPr>
      <w:r w:rsidRPr="00691ED9">
        <w:t>RBA advice</w:t>
      </w:r>
    </w:p>
    <w:p w:rsidR="006B0748" w:rsidRDefault="006B0748" w:rsidP="006B0748">
      <w:pPr>
        <w:pStyle w:val="AERbodytext"/>
        <w:numPr>
          <w:ilvl w:val="0"/>
          <w:numId w:val="13"/>
        </w:numPr>
      </w:pPr>
      <w:r>
        <w:t>In this decision and the draft decision the AER refers to advice provided by the RBA that suggests that CGS yields remain the best proxy for the risk free rate in Australia.</w:t>
      </w:r>
      <w:r>
        <w:rPr>
          <w:rStyle w:val="FootnoteReference"/>
        </w:rPr>
        <w:footnoteReference w:id="166"/>
      </w:r>
      <w:r>
        <w:t xml:space="preserve"> In advice to Multinet, CEG considers the RBA letter and concludes:</w:t>
      </w:r>
    </w:p>
    <w:p w:rsidR="006B0748" w:rsidRDefault="006B0748" w:rsidP="006B0748">
      <w:pPr>
        <w:pStyle w:val="AERquote"/>
      </w:pPr>
      <w:r>
        <w:t>The draft decision refers to these letters as support for rejecting arguments that CGS is not the best proxy for the risk free rate. However, in my view, these letters provide support for my core contention which is that the factors driving down CGS yields cannot be presumed to be driving down equity yields.</w:t>
      </w:r>
      <w:r>
        <w:rPr>
          <w:rStyle w:val="FootnoteReference"/>
        </w:rPr>
        <w:footnoteReference w:id="167"/>
      </w:r>
      <w:r>
        <w:t xml:space="preserve"> </w:t>
      </w:r>
    </w:p>
    <w:p w:rsidR="006B0748" w:rsidRDefault="006B0748" w:rsidP="006B0748">
      <w:pPr>
        <w:pStyle w:val="AERbodytext"/>
        <w:numPr>
          <w:ilvl w:val="0"/>
          <w:numId w:val="13"/>
        </w:numPr>
      </w:pPr>
      <w:r>
        <w:t>The AER does not agree with CEG's interpretation of the RBA letter. The central area of contention relates to this section of the RBA letter:</w:t>
      </w:r>
    </w:p>
    <w:p w:rsidR="006B0748" w:rsidRDefault="006B0748" w:rsidP="006B0748">
      <w:pPr>
        <w:pStyle w:val="AERquote"/>
      </w:pPr>
      <w:r>
        <w:t xml:space="preserve">I therefore remain of the view that CGS yields are the most appropriate measure of a risk-free rate in Australia. </w:t>
      </w:r>
    </w:p>
    <w:p w:rsidR="006B0748" w:rsidRDefault="006B0748" w:rsidP="006B0748">
      <w:pPr>
        <w:pStyle w:val="AERquote"/>
      </w:pPr>
      <w:r>
        <w:t>That said</w:t>
      </w:r>
      <w:proofErr w:type="gramStart"/>
      <w:r>
        <w:t>,</w:t>
      </w:r>
      <w:proofErr w:type="gramEnd"/>
      <w:r>
        <w:t xml:space="preserve"> market risk premia are unlikely to be stable through time. While it is a reasonably simple matter to infer changes in debt risk premia from market prices, it is less straightforward to do so for equity premia. In making use of a risk-free rate to estimate a cost of capital, it is important to be mindful of how the resulting relativity between the cost of debt and that of equity can change over time and whether that is reasonable.</w:t>
      </w:r>
      <w:r>
        <w:rPr>
          <w:rStyle w:val="FootnoteReference"/>
        </w:rPr>
        <w:footnoteReference w:id="168"/>
      </w:r>
      <w:r>
        <w:t xml:space="preserve"> </w:t>
      </w:r>
    </w:p>
    <w:p w:rsidR="006B0748" w:rsidRPr="00C7076F" w:rsidRDefault="006B0748" w:rsidP="006B0748">
      <w:pPr>
        <w:pStyle w:val="AERbodytext"/>
        <w:numPr>
          <w:ilvl w:val="0"/>
          <w:numId w:val="13"/>
        </w:numPr>
      </w:pPr>
      <w:r>
        <w:t>In the draft decision, the AER referred to the last two sentences of this quote and concluded:</w:t>
      </w:r>
    </w:p>
    <w:p w:rsidR="006B0748" w:rsidRDefault="006B0748" w:rsidP="006B0748">
      <w:pPr>
        <w:pStyle w:val="AERquote"/>
      </w:pPr>
      <w:r>
        <w:t>...the RBA cautioned against directly equating changes in the cost of debt with changes in the cost of equity...Consistent with this advice from the RBA, the AER is mindful of the relative positions of the cost of debt and cost of equity set in this decision. The AER considers that, since the cost of equity exceeds the cost of debt, this check indicates that the AER's estimates are reasonable.</w:t>
      </w:r>
      <w:r>
        <w:rPr>
          <w:rStyle w:val="FootnoteReference"/>
        </w:rPr>
        <w:footnoteReference w:id="169"/>
      </w:r>
      <w:r>
        <w:t xml:space="preserve"> </w:t>
      </w:r>
    </w:p>
    <w:p w:rsidR="006B0748" w:rsidRPr="00B719FA" w:rsidRDefault="006B0748" w:rsidP="006B0748">
      <w:pPr>
        <w:pStyle w:val="AERbodytext"/>
        <w:numPr>
          <w:ilvl w:val="0"/>
          <w:numId w:val="13"/>
        </w:numPr>
      </w:pPr>
      <w:r>
        <w:t xml:space="preserve">In this decision, the AER has extensively reviewed material </w:t>
      </w:r>
      <w:proofErr w:type="gramStart"/>
      <w:r>
        <w:t>on  the</w:t>
      </w:r>
      <w:proofErr w:type="gramEnd"/>
      <w:r>
        <w:t xml:space="preserve"> stability of the market risk premia over time. The AER's conclusions can be found in sections </w:t>
      </w:r>
      <w:r w:rsidR="009B2237">
        <w:fldChar w:fldCharType="begin"/>
      </w:r>
      <w:r>
        <w:instrText xml:space="preserve"> REF _Ref350878490 \r \h </w:instrText>
      </w:r>
      <w:r w:rsidR="009B2237">
        <w:fldChar w:fldCharType="separate"/>
      </w:r>
      <w:r>
        <w:t>B.3.2</w:t>
      </w:r>
      <w:r w:rsidR="009B2237">
        <w:fldChar w:fldCharType="end"/>
      </w:r>
      <w:r>
        <w:t xml:space="preserve">, </w:t>
      </w:r>
      <w:r w:rsidR="009B2237">
        <w:fldChar w:fldCharType="begin"/>
      </w:r>
      <w:r>
        <w:instrText xml:space="preserve"> REF _Ref350354851 \r \h </w:instrText>
      </w:r>
      <w:r w:rsidR="009B2237">
        <w:fldChar w:fldCharType="separate"/>
      </w:r>
      <w:r>
        <w:t>B.3.3</w:t>
      </w:r>
      <w:r w:rsidR="009B2237">
        <w:fldChar w:fldCharType="end"/>
      </w:r>
      <w:r>
        <w:t xml:space="preserve"> and </w:t>
      </w:r>
      <w:r w:rsidR="009B2237">
        <w:fldChar w:fldCharType="begin"/>
      </w:r>
      <w:r>
        <w:instrText xml:space="preserve"> REF _Ref350877949 \r \h </w:instrText>
      </w:r>
      <w:r w:rsidR="009B2237">
        <w:fldChar w:fldCharType="separate"/>
      </w:r>
      <w:r>
        <w:t>B.7.2</w:t>
      </w:r>
      <w:r w:rsidR="009B2237">
        <w:fldChar w:fldCharType="end"/>
      </w:r>
      <w:r>
        <w:t>. In any case, what is clear from the RBA letter is that CGS yields remain a good proxy for the risk free rate in Australia.</w:t>
      </w:r>
      <w:r>
        <w:rPr>
          <w:rStyle w:val="FootnoteReference"/>
        </w:rPr>
        <w:footnoteReference w:id="170"/>
      </w:r>
      <w:r>
        <w:t xml:space="preserve"> Elsewhere in this decision, the AER considers the evidence on MRP estimates and concludes that 6 per cent is the best estimate of the MRP at this time.</w:t>
      </w:r>
      <w:r>
        <w:rPr>
          <w:rStyle w:val="FootnoteReference"/>
        </w:rPr>
        <w:footnoteReference w:id="171"/>
      </w:r>
    </w:p>
    <w:p w:rsidR="006B0748" w:rsidRPr="00691ED9" w:rsidRDefault="006B0748" w:rsidP="006B0748">
      <w:pPr>
        <w:pStyle w:val="Heading8"/>
      </w:pPr>
      <w:bookmarkStart w:id="45" w:name="_Toc350951036"/>
      <w:r w:rsidRPr="00691ED9">
        <w:t>Risk free rate issues</w:t>
      </w:r>
      <w:bookmarkEnd w:id="45"/>
    </w:p>
    <w:p w:rsidR="006B0748" w:rsidRDefault="006B0748" w:rsidP="006B0748">
      <w:pPr>
        <w:pStyle w:val="AERbodytext"/>
        <w:numPr>
          <w:ilvl w:val="0"/>
          <w:numId w:val="13"/>
        </w:numPr>
      </w:pPr>
      <w:r>
        <w:t xml:space="preserve">In this section the AER consider a number of risk free rate specific issues, namely: </w:t>
      </w:r>
    </w:p>
    <w:p w:rsidR="006B0748" w:rsidRDefault="006B0748" w:rsidP="006B0748">
      <w:pPr>
        <w:pStyle w:val="AERbulletlistfirststyle"/>
      </w:pPr>
      <w:r>
        <w:t xml:space="preserve">Are interest rates abnormally low? </w:t>
      </w:r>
    </w:p>
    <w:p w:rsidR="006B0748" w:rsidRDefault="006B0748" w:rsidP="006B0748">
      <w:pPr>
        <w:pStyle w:val="AERbulletlistfirststyle"/>
      </w:pPr>
      <w:r>
        <w:t>The averaging period</w:t>
      </w:r>
    </w:p>
    <w:p w:rsidR="006B0748" w:rsidRPr="008675D9" w:rsidRDefault="006B0748" w:rsidP="006B0748">
      <w:pPr>
        <w:pStyle w:val="AERbodytext"/>
        <w:numPr>
          <w:ilvl w:val="0"/>
          <w:numId w:val="13"/>
        </w:numPr>
      </w:pPr>
      <w:r>
        <w:t xml:space="preserve">These issues are considered below. </w:t>
      </w:r>
    </w:p>
    <w:p w:rsidR="006B0748" w:rsidRPr="00691ED9" w:rsidRDefault="006B0748" w:rsidP="006B0748">
      <w:pPr>
        <w:pStyle w:val="Heading9"/>
      </w:pPr>
      <w:r w:rsidRPr="00691ED9">
        <w:t xml:space="preserve">Are interest rates abnormally low? </w:t>
      </w:r>
    </w:p>
    <w:p w:rsidR="006B0748" w:rsidRPr="00040D8E" w:rsidRDefault="006B0748" w:rsidP="006B0748">
      <w:pPr>
        <w:pStyle w:val="AERbodytext"/>
        <w:numPr>
          <w:ilvl w:val="0"/>
          <w:numId w:val="13"/>
        </w:numPr>
      </w:pPr>
      <w:r w:rsidRPr="00040D8E">
        <w:t xml:space="preserve">As discussed briefly in attachment </w:t>
      </w:r>
      <w:r>
        <w:t>5.3.2</w:t>
      </w:r>
      <w:r w:rsidRPr="00040D8E">
        <w:t xml:space="preserve"> above, while interest rates are currently low by historical comparison</w:t>
      </w:r>
      <w:r>
        <w:t xml:space="preserve"> with recent decades</w:t>
      </w:r>
      <w:r w:rsidRPr="00040D8E">
        <w:t xml:space="preserve">, there is insufficient evidence to suggest they are </w:t>
      </w:r>
      <w:r>
        <w:t>"</w:t>
      </w:r>
      <w:r w:rsidRPr="00040D8E">
        <w:t>abnormally</w:t>
      </w:r>
      <w:r>
        <w:t>"</w:t>
      </w:r>
      <w:r w:rsidRPr="00040D8E">
        <w:t xml:space="preserve"> low. This section discusses in more detail why the AER reaches this conclusion. </w:t>
      </w:r>
    </w:p>
    <w:p w:rsidR="006B0748" w:rsidRPr="00040D8E" w:rsidRDefault="006B0748" w:rsidP="006B0748">
      <w:pPr>
        <w:pStyle w:val="AERbodytext"/>
        <w:numPr>
          <w:ilvl w:val="0"/>
          <w:numId w:val="13"/>
        </w:numPr>
      </w:pPr>
      <w:r w:rsidRPr="00040D8E">
        <w:t xml:space="preserve">There are references in </w:t>
      </w:r>
      <w:r>
        <w:t>the Multinet's</w:t>
      </w:r>
      <w:r w:rsidRPr="00040D8E">
        <w:t xml:space="preserve"> revised proposal, and in CEG and SFG's reports, that suggest that CGS yields and/or the cost of equity are likely to return to 'normal'. For example, </w:t>
      </w:r>
      <w:r>
        <w:t>Multinet</w:t>
      </w:r>
      <w:r w:rsidRPr="00040D8E">
        <w:t xml:space="preserve"> states:</w:t>
      </w:r>
    </w:p>
    <w:p w:rsidR="006B0748" w:rsidRPr="00040D8E" w:rsidRDefault="006B0748" w:rsidP="006B0748">
      <w:pPr>
        <w:pStyle w:val="AERquote"/>
      </w:pPr>
      <w:r w:rsidRPr="00040D8E">
        <w:t>Under conditions of normally functioning capital markets, the AER's standard approach would generally result in reasonable estimates of the cost of equity. However, we cannot rely on normal conditions persisting and, therefore, the AER's standard regulatory approach will only by chance produce an estimate of the cost of equity that is consistent with clause 87(1) of the NGR. Furthermore, the current market conditions are far from normal.</w:t>
      </w:r>
      <w:r w:rsidRPr="00040D8E">
        <w:rPr>
          <w:rStyle w:val="FootnoteReference"/>
        </w:rPr>
        <w:footnoteReference w:id="172"/>
      </w:r>
      <w:r w:rsidRPr="00040D8E">
        <w:t xml:space="preserve"> </w:t>
      </w:r>
    </w:p>
    <w:p w:rsidR="006B0748" w:rsidRDefault="006B0748" w:rsidP="006B0748">
      <w:pPr>
        <w:pStyle w:val="AERbodytext"/>
        <w:numPr>
          <w:ilvl w:val="0"/>
          <w:numId w:val="13"/>
        </w:numPr>
      </w:pPr>
      <w:r w:rsidRPr="00040D8E">
        <w:t>This position finds support in the advice from CEG</w:t>
      </w:r>
      <w:r>
        <w:t>.</w:t>
      </w:r>
      <w:r>
        <w:rPr>
          <w:rStyle w:val="FootnoteReference"/>
        </w:rPr>
        <w:footnoteReference w:id="173"/>
      </w:r>
      <w:r w:rsidRPr="00040D8E">
        <w:t xml:space="preserve"> </w:t>
      </w:r>
    </w:p>
    <w:p w:rsidR="006B0748" w:rsidRPr="00040D8E" w:rsidRDefault="006B0748" w:rsidP="006B0748">
      <w:pPr>
        <w:pStyle w:val="AERbodytext"/>
        <w:numPr>
          <w:ilvl w:val="0"/>
          <w:numId w:val="13"/>
        </w:numPr>
      </w:pPr>
      <w:r w:rsidRPr="00040D8E">
        <w:t xml:space="preserve">The AER is unable to discern precisely what </w:t>
      </w:r>
      <w:r>
        <w:t>Multinet</w:t>
      </w:r>
      <w:r w:rsidRPr="00040D8E">
        <w:t xml:space="preserve"> and CEG consider normal to mean. As McKenzie and Partington suggest, determining whether something is normal, or not, is a relative statement.</w:t>
      </w:r>
      <w:r w:rsidRPr="00040D8E">
        <w:rPr>
          <w:rStyle w:val="FootnoteReference"/>
        </w:rPr>
        <w:footnoteReference w:id="174"/>
      </w:r>
    </w:p>
    <w:p w:rsidR="006B0748" w:rsidRPr="00040D8E" w:rsidRDefault="006B0748" w:rsidP="006B0748">
      <w:pPr>
        <w:pStyle w:val="AERbodytext"/>
        <w:numPr>
          <w:ilvl w:val="0"/>
          <w:numId w:val="13"/>
        </w:numPr>
      </w:pPr>
      <w:r w:rsidRPr="00040D8E">
        <w:t xml:space="preserve">McKenzie and Partington considered the question of whether CGS yields are abnormally low. They did not find that there was reason to describe current CGS yields as abnormally low. They state: </w:t>
      </w:r>
    </w:p>
    <w:p w:rsidR="006B0748" w:rsidRPr="00040D8E" w:rsidRDefault="006B0748" w:rsidP="006B0748">
      <w:pPr>
        <w:pStyle w:val="AERquote"/>
      </w:pPr>
      <w:r w:rsidRPr="00040D8E">
        <w:t>What history reveals is that current Australian bond yields rates are low, but not abnormally so, particularly when compared to the first seventy or so years of the twentieth century.</w:t>
      </w:r>
      <w:r w:rsidRPr="00040D8E">
        <w:rPr>
          <w:rStyle w:val="FootnoteReference"/>
        </w:rPr>
        <w:footnoteReference w:id="175"/>
      </w:r>
    </w:p>
    <w:p w:rsidR="006B0748" w:rsidRPr="00040D8E" w:rsidRDefault="006B0748" w:rsidP="006B0748">
      <w:pPr>
        <w:pStyle w:val="AERbodytext"/>
        <w:numPr>
          <w:ilvl w:val="0"/>
          <w:numId w:val="13"/>
        </w:numPr>
      </w:pPr>
      <w:r w:rsidRPr="00040D8E">
        <w:t>They also state:</w:t>
      </w:r>
    </w:p>
    <w:p w:rsidR="006B0748" w:rsidRPr="00040D8E" w:rsidRDefault="006B0748" w:rsidP="006B0748">
      <w:pPr>
        <w:pStyle w:val="AERquote"/>
      </w:pPr>
      <w:r>
        <w:t>The evidence provided by the data suggests that the history of interest rates over the last few decades is not truly representative of the long run in this market. For both the U.S., UK and Australian markets, evidence exists which suggests that bond yields were stable (and possibly even falling) in the long run. The history of data over the last few decades is anomalous and the high interest rates observed during this period are clearly not representative of the longer time series. As such, one conclusion may be that the current environment is nothing more than a return to the 'normal' long run interest rate regime. On the other hand, it could be argued that there is a new normal and the GFC represents a true regime shirt for global financial markets. It is difficult to determine whether this is the case or not - only in the fullness of time will we be able to comment on this with any certainty</w:t>
      </w:r>
      <w:r w:rsidRPr="00040D8E">
        <w:t>.</w:t>
      </w:r>
      <w:r w:rsidRPr="00040D8E">
        <w:rPr>
          <w:rStyle w:val="FootnoteReference"/>
        </w:rPr>
        <w:footnoteReference w:id="176"/>
      </w:r>
      <w:r w:rsidRPr="00040D8E">
        <w:t xml:space="preserve"> </w:t>
      </w:r>
    </w:p>
    <w:p w:rsidR="006B0748" w:rsidRPr="00040D8E" w:rsidRDefault="006B0748" w:rsidP="006B0748">
      <w:pPr>
        <w:pStyle w:val="AERbodytext"/>
        <w:numPr>
          <w:ilvl w:val="0"/>
          <w:numId w:val="13"/>
        </w:numPr>
      </w:pPr>
      <w:r w:rsidRPr="00040D8E">
        <w:t>McKenzie and Partington investigate various sources of historical yields and conclude that very long term nominal yields have been 5.5 per cent as reported by Dimson, Marsh and Staunton, and 5.65</w:t>
      </w:r>
      <w:r>
        <w:t> </w:t>
      </w:r>
      <w:r w:rsidRPr="00040D8E">
        <w:t>per cent as reported in Brailsford et al. (2012).</w:t>
      </w:r>
      <w:r w:rsidRPr="00040D8E">
        <w:rPr>
          <w:rStyle w:val="FootnoteReference"/>
        </w:rPr>
        <w:footnoteReference w:id="177"/>
      </w:r>
      <w:r w:rsidRPr="00040D8E">
        <w:t xml:space="preserve"> However, the difference between the long term average and the prevailing yield is less pronounced if the high interest rate period is excluded.</w:t>
      </w:r>
      <w:r>
        <w:rPr>
          <w:rStyle w:val="FootnoteReference"/>
        </w:rPr>
        <w:footnoteReference w:id="178"/>
      </w:r>
      <w:r w:rsidRPr="00040D8E">
        <w:t xml:space="preserve"> They find the average return over the period 1883 to 1972 is 4.23 per cent using the Brailsford et al. (2012) data.</w:t>
      </w:r>
      <w:r w:rsidRPr="00040D8E">
        <w:rPr>
          <w:rStyle w:val="FootnoteReference"/>
        </w:rPr>
        <w:footnoteReference w:id="179"/>
      </w:r>
      <w:r w:rsidRPr="00040D8E">
        <w:t xml:space="preserve"> The risk free rate in this decision is </w:t>
      </w:r>
      <w:r>
        <w:t>3.12</w:t>
      </w:r>
      <w:r w:rsidRPr="00040D8E">
        <w:t xml:space="preserve"> per cent. While the current yield is less than these long term averages, it is not clear it is unusually low. </w:t>
      </w:r>
    </w:p>
    <w:p w:rsidR="006B0748" w:rsidRPr="00040D8E" w:rsidRDefault="006B0748" w:rsidP="006B0748">
      <w:pPr>
        <w:pStyle w:val="AERbodytext"/>
        <w:numPr>
          <w:ilvl w:val="0"/>
          <w:numId w:val="13"/>
        </w:numPr>
      </w:pPr>
      <w:r w:rsidRPr="00040D8E">
        <w:t>The Mckenzie and Partington report also presents the following figure from Brailsford et al (2012).</w:t>
      </w:r>
      <w:r w:rsidRPr="00040D8E">
        <w:rPr>
          <w:rStyle w:val="FootnoteReference"/>
        </w:rPr>
        <w:footnoteReference w:id="180"/>
      </w:r>
      <w:r w:rsidRPr="00040D8E">
        <w:t xml:space="preserve"> </w:t>
      </w:r>
    </w:p>
    <w:p w:rsidR="006B0748" w:rsidRPr="00040D8E" w:rsidRDefault="006B0748" w:rsidP="006B0748">
      <w:pPr>
        <w:pStyle w:val="Caption"/>
      </w:pPr>
      <w:r>
        <w:t xml:space="preserve">Figure </w:t>
      </w:r>
      <w:fldSimple w:instr=" STYLEREF 7 \s ">
        <w:r>
          <w:rPr>
            <w:noProof/>
          </w:rPr>
          <w:t>B</w:t>
        </w:r>
      </w:fldSimple>
      <w:r>
        <w:t>.</w:t>
      </w:r>
      <w:fldSimple w:instr=" SEQ Figure \* ARABIC \s 7 ">
        <w:r>
          <w:rPr>
            <w:noProof/>
          </w:rPr>
          <w:t>4</w:t>
        </w:r>
      </w:fldSimple>
      <w:r>
        <w:tab/>
        <w:t>Bond yields, bill yields and inflation rates over time</w:t>
      </w:r>
      <w:r w:rsidDel="003423DE">
        <w:t xml:space="preserve"> </w:t>
      </w:r>
    </w:p>
    <w:p w:rsidR="006B0748" w:rsidRPr="00040D8E" w:rsidRDefault="006B0748" w:rsidP="006B0748">
      <w:pPr>
        <w:pStyle w:val="AERbodytext"/>
        <w:numPr>
          <w:ilvl w:val="0"/>
          <w:numId w:val="13"/>
        </w:numPr>
      </w:pPr>
      <w:r w:rsidRPr="006B0748">
        <w:rPr>
          <w:noProof/>
          <w:lang w:eastAsia="en-AU"/>
        </w:rPr>
        <w:drawing>
          <wp:inline distT="0" distB="0" distL="0" distR="0">
            <wp:extent cx="4859020" cy="2647315"/>
            <wp:effectExtent l="1905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4859020" cy="2647315"/>
                    </a:xfrm>
                    <a:prstGeom prst="rect">
                      <a:avLst/>
                    </a:prstGeom>
                    <a:noFill/>
                    <a:ln w="9525">
                      <a:noFill/>
                      <a:miter lim="800000"/>
                      <a:headEnd/>
                      <a:tailEnd/>
                    </a:ln>
                  </pic:spPr>
                </pic:pic>
              </a:graphicData>
            </a:graphic>
          </wp:inline>
        </w:drawing>
      </w:r>
    </w:p>
    <w:p w:rsidR="006B0748" w:rsidRPr="00040D8E" w:rsidRDefault="006B0748" w:rsidP="006B0748">
      <w:pPr>
        <w:pStyle w:val="AERbodytext"/>
        <w:numPr>
          <w:ilvl w:val="0"/>
          <w:numId w:val="13"/>
        </w:numPr>
      </w:pPr>
      <w:r w:rsidRPr="00040D8E">
        <w:t xml:space="preserve">The figure shows </w:t>
      </w:r>
      <w:r>
        <w:t>two i</w:t>
      </w:r>
      <w:r w:rsidRPr="00040D8E">
        <w:t>mportant things clearly:</w:t>
      </w:r>
    </w:p>
    <w:p w:rsidR="006B0748" w:rsidRDefault="006B0748" w:rsidP="006B0748">
      <w:pPr>
        <w:pStyle w:val="AERbulletlistfirststyle"/>
      </w:pPr>
      <w:r w:rsidRPr="00040D8E">
        <w:t>Yields in the 1970s and 1980s were exceptionally high by comparison with historical rates.</w:t>
      </w:r>
    </w:p>
    <w:p w:rsidR="006B0748" w:rsidRDefault="006B0748" w:rsidP="006B0748">
      <w:pPr>
        <w:pStyle w:val="AERbulletlistfirststyle"/>
      </w:pPr>
      <w:r w:rsidRPr="00040D8E">
        <w:t xml:space="preserve">Yields have remained elevated (depressed) for long periods before falling (increasing). </w:t>
      </w:r>
    </w:p>
    <w:p w:rsidR="006B0748" w:rsidRPr="00040D8E" w:rsidRDefault="006B0748" w:rsidP="006B0748">
      <w:pPr>
        <w:pStyle w:val="AERbodytext"/>
        <w:numPr>
          <w:ilvl w:val="0"/>
          <w:numId w:val="13"/>
        </w:numPr>
      </w:pPr>
      <w:r w:rsidRPr="00040D8E">
        <w:t xml:space="preserve">There is no clear evidence that CGS yields are currently abnormally low. The AER has considered the stability of the cost of equity and the interaction between the risk free rate and MRP in forming the cost of equity in sections </w:t>
      </w:r>
      <w:r>
        <w:t>B.3.2</w:t>
      </w:r>
      <w:r w:rsidRPr="00040D8E">
        <w:t xml:space="preserve"> and </w:t>
      </w:r>
      <w:r>
        <w:t>B.3.3</w:t>
      </w:r>
      <w:r w:rsidRPr="00040D8E">
        <w:t xml:space="preserve"> above.</w:t>
      </w:r>
    </w:p>
    <w:p w:rsidR="006B0748" w:rsidRPr="00040D8E" w:rsidRDefault="006B0748" w:rsidP="006B0748">
      <w:pPr>
        <w:pStyle w:val="AERbodytext"/>
        <w:numPr>
          <w:ilvl w:val="0"/>
          <w:numId w:val="13"/>
        </w:numPr>
      </w:pPr>
      <w:r w:rsidRPr="00040D8E">
        <w:t>At this point the AER notes that in the EnergyAustralia matter, the Tribunal considered the normality of interest rates.</w:t>
      </w:r>
      <w:r w:rsidRPr="00040D8E">
        <w:rPr>
          <w:rStyle w:val="FootnoteReference"/>
        </w:rPr>
        <w:footnoteReference w:id="181"/>
      </w:r>
      <w:r>
        <w:t xml:space="preserve"> </w:t>
      </w:r>
      <w:r w:rsidRPr="00040D8E">
        <w:t>The AER considers the relevance of the EnergyAustralia matter in more detail in the draft decision.</w:t>
      </w:r>
      <w:r w:rsidRPr="00040D8E">
        <w:rPr>
          <w:rStyle w:val="FootnoteReference"/>
        </w:rPr>
        <w:footnoteReference w:id="182"/>
      </w:r>
      <w:r w:rsidRPr="00040D8E">
        <w:t xml:space="preserve"> </w:t>
      </w:r>
      <w:r>
        <w:t>In discussing the EnergyAustralia matter, SFG and CEG do not engage with the AER's comments in the draft decision</w:t>
      </w:r>
      <w:r>
        <w:rPr>
          <w:rStyle w:val="FootnoteReference"/>
        </w:rPr>
        <w:footnoteReference w:id="183"/>
      </w:r>
      <w:r>
        <w:t xml:space="preserve">. Accordingly, this section does not repeat that discussion. </w:t>
      </w:r>
    </w:p>
    <w:p w:rsidR="006B0748" w:rsidRPr="005B3549" w:rsidRDefault="006B0748" w:rsidP="006B0748">
      <w:pPr>
        <w:pStyle w:val="AERbodytext"/>
        <w:numPr>
          <w:ilvl w:val="0"/>
          <w:numId w:val="13"/>
        </w:numPr>
      </w:pPr>
      <w:r w:rsidRPr="00040D8E">
        <w:t>The applicability of forward interest rates was also considered in the EnergyAustralia matter. In the draft decision, the AER considered this issue and concluded that there are both in principle and practical difficulties with using forward interest rates in determining the risk free rate.</w:t>
      </w:r>
      <w:r w:rsidRPr="00040D8E">
        <w:rPr>
          <w:rStyle w:val="FootnoteReference"/>
        </w:rPr>
        <w:footnoteReference w:id="184"/>
      </w:r>
      <w:r w:rsidRPr="00040D8E">
        <w:t xml:space="preserve"> As no submissions were made on this </w:t>
      </w:r>
      <w:proofErr w:type="gramStart"/>
      <w:r w:rsidRPr="00040D8E">
        <w:t>topic, that</w:t>
      </w:r>
      <w:proofErr w:type="gramEnd"/>
      <w:r w:rsidRPr="00040D8E">
        <w:t xml:space="preserve"> discussion is</w:t>
      </w:r>
      <w:r>
        <w:t xml:space="preserve"> also</w:t>
      </w:r>
      <w:r w:rsidRPr="00040D8E">
        <w:t xml:space="preserve"> not repeated here.  </w:t>
      </w:r>
    </w:p>
    <w:p w:rsidR="006B0748" w:rsidRPr="00691ED9" w:rsidRDefault="006B0748" w:rsidP="006B0748">
      <w:pPr>
        <w:pStyle w:val="Heading9"/>
      </w:pPr>
      <w:bookmarkStart w:id="46" w:name="_Ref350266600"/>
      <w:r w:rsidRPr="00691ED9">
        <w:t>Averaging period</w:t>
      </w:r>
      <w:bookmarkEnd w:id="46"/>
    </w:p>
    <w:p w:rsidR="006B0748" w:rsidRDefault="006B0748" w:rsidP="006B0748">
      <w:pPr>
        <w:pStyle w:val="AERbodytext"/>
        <w:numPr>
          <w:ilvl w:val="0"/>
          <w:numId w:val="13"/>
        </w:numPr>
      </w:pPr>
      <w:r w:rsidRPr="005B3549">
        <w:t xml:space="preserve">In attachment </w:t>
      </w:r>
      <w:r>
        <w:t>5.3.2</w:t>
      </w:r>
      <w:r w:rsidRPr="005B3549">
        <w:t xml:space="preserve"> the AER noted that there would be further discussion of </w:t>
      </w:r>
      <w:r>
        <w:t>Multinet's</w:t>
      </w:r>
      <w:r w:rsidRPr="005B3549">
        <w:t xml:space="preserve"> averaging period in this appendix. This section contains that discussion. </w:t>
      </w:r>
    </w:p>
    <w:p w:rsidR="006B0748" w:rsidRDefault="006B0748" w:rsidP="006B0748">
      <w:pPr>
        <w:pStyle w:val="AERbodytext"/>
        <w:numPr>
          <w:ilvl w:val="0"/>
          <w:numId w:val="13"/>
        </w:numPr>
      </w:pPr>
      <w:r>
        <w:t>As discussed at section B.3.1 above, the present value principle requires the prevailing risk free rate to be estimated on the first day of the access arrangement period. The AER makes a pragmatic departure from strict compliance with this principle.  The AER allows discretion to regulated businesses in the selection of the averaging period, subject to three principles:</w:t>
      </w:r>
    </w:p>
    <w:p w:rsidR="006B0748" w:rsidRDefault="006B0748" w:rsidP="006B0748">
      <w:pPr>
        <w:pStyle w:val="AERbulletlistfirststyle"/>
      </w:pPr>
      <w:r>
        <w:t>the averaging period must be short (i.e. at least 10 and not more than 40 business days)</w:t>
      </w:r>
    </w:p>
    <w:p w:rsidR="006B0748" w:rsidRDefault="006B0748" w:rsidP="006B0748">
      <w:pPr>
        <w:pStyle w:val="AERbulletlistfirststyle"/>
      </w:pPr>
      <w:proofErr w:type="gramStart"/>
      <w:r>
        <w:t>the</w:t>
      </w:r>
      <w:proofErr w:type="gramEnd"/>
      <w:r>
        <w:t xml:space="preserve"> averaging period must be as close as practicably possible to the commencement to the access arrangement period the averaging period must be nominated in advance.  </w:t>
      </w:r>
    </w:p>
    <w:p w:rsidR="006B0748" w:rsidRPr="00882360" w:rsidRDefault="006B0748" w:rsidP="006B0748">
      <w:pPr>
        <w:pStyle w:val="AERbodytext"/>
        <w:numPr>
          <w:ilvl w:val="0"/>
          <w:numId w:val="13"/>
        </w:numPr>
      </w:pPr>
      <w:r>
        <w:t>The draft decision contained a detailed discussion of the correspondence between the AER and Multinet on this topic.</w:t>
      </w:r>
      <w:r w:rsidRPr="00882360">
        <w:rPr>
          <w:rStyle w:val="FootnoteReference"/>
        </w:rPr>
        <w:footnoteReference w:id="185"/>
      </w:r>
      <w:r w:rsidRPr="00882360">
        <w:t xml:space="preserve"> In a letter to </w:t>
      </w:r>
      <w:r>
        <w:t>Multinet</w:t>
      </w:r>
      <w:r w:rsidRPr="00882360">
        <w:t xml:space="preserve"> on April 5 the AER outlined conditions for nominating an averaging period:</w:t>
      </w:r>
    </w:p>
    <w:p w:rsidR="006B0748" w:rsidRPr="002773E8" w:rsidRDefault="006B0748" w:rsidP="006B0748">
      <w:pPr>
        <w:pStyle w:val="AERquote"/>
      </w:pPr>
      <w:r w:rsidRPr="002773E8">
        <w:t xml:space="preserve">1. At the time of publishing </w:t>
      </w:r>
      <w:r>
        <w:t>Multinet's</w:t>
      </w:r>
      <w:r w:rsidRPr="002773E8">
        <w:t xml:space="preserve"> proposal the AER will publish an indicative timeline for decisions. </w:t>
      </w:r>
    </w:p>
    <w:p w:rsidR="006B0748" w:rsidRPr="002773E8" w:rsidRDefault="006B0748" w:rsidP="006B0748">
      <w:pPr>
        <w:pStyle w:val="AERquote"/>
      </w:pPr>
      <w:r w:rsidRPr="002773E8">
        <w:t xml:space="preserve">2. The AER will notify </w:t>
      </w:r>
      <w:r>
        <w:t>Multinet</w:t>
      </w:r>
      <w:r w:rsidRPr="002773E8">
        <w:t xml:space="preserve">, at least 20 business days before and not more than 25 business days before, the release of its draft decision on the revisions to the </w:t>
      </w:r>
      <w:r>
        <w:t>Multinet</w:t>
      </w:r>
      <w:r w:rsidRPr="002773E8">
        <w:t xml:space="preserve"> access arrangement, of the date on which that draft decision is expected to be released and the date on which the final decision is expected to be released. </w:t>
      </w:r>
    </w:p>
    <w:p w:rsidR="006B0748" w:rsidRPr="002773E8" w:rsidRDefault="006B0748" w:rsidP="006B0748">
      <w:pPr>
        <w:pStyle w:val="AERquote"/>
      </w:pPr>
      <w:r w:rsidRPr="002773E8">
        <w:t xml:space="preserve">3. Not later than 10 business days following the AER's notification, </w:t>
      </w:r>
      <w:r>
        <w:t>Multinet</w:t>
      </w:r>
      <w:r w:rsidRPr="002773E8">
        <w:t xml:space="preserve"> undertakes to advise the AER of its nominated averaging period. </w:t>
      </w:r>
      <w:r>
        <w:t>Multinet's</w:t>
      </w:r>
      <w:r w:rsidRPr="002773E8">
        <w:t xml:space="preserve"> nominated averaging period will be for a period commencing after the expected release date of the draft decision and ending not later than 15 business days before the expected release date of the final decision. The advice will specify the term of the averaging period which must be at least 10 and not more than 40 business days.</w:t>
      </w:r>
      <w:r w:rsidRPr="002773E8">
        <w:rPr>
          <w:rStyle w:val="FootnoteReference"/>
        </w:rPr>
        <w:footnoteReference w:id="186"/>
      </w:r>
      <w:r w:rsidRPr="002773E8">
        <w:t xml:space="preserve">  </w:t>
      </w:r>
    </w:p>
    <w:p w:rsidR="006B0748" w:rsidRDefault="006B0748" w:rsidP="006B0748">
      <w:pPr>
        <w:pStyle w:val="AERbodytext"/>
        <w:numPr>
          <w:ilvl w:val="0"/>
          <w:numId w:val="13"/>
        </w:numPr>
      </w:pPr>
      <w:r>
        <w:t>The range of acceptable dates (not before the expected release of the draft decision; not later than 15 business days before the expected release of the final decision) was the condition the AER applied to determine if the proposed averaging period was as close as practicably possible to the commencement of the access arrangement period. This allowed Multinet to nominate an averaging period in a broad window.</w:t>
      </w:r>
      <w:r>
        <w:rPr>
          <w:rStyle w:val="FootnoteReference"/>
        </w:rPr>
        <w:footnoteReference w:id="187"/>
      </w:r>
      <w:r>
        <w:t xml:space="preserve"> </w:t>
      </w:r>
    </w:p>
    <w:p w:rsidR="006B0748" w:rsidRDefault="009B2237" w:rsidP="006B0748">
      <w:pPr>
        <w:pStyle w:val="AERbodytext"/>
        <w:numPr>
          <w:ilvl w:val="0"/>
          <w:numId w:val="13"/>
        </w:numPr>
      </w:pPr>
      <w:r>
        <w:fldChar w:fldCharType="begin"/>
      </w:r>
      <w:r w:rsidR="006B0748">
        <w:instrText xml:space="preserve"> REF _Ref350878779 \h </w:instrText>
      </w:r>
      <w:r>
        <w:fldChar w:fldCharType="separate"/>
      </w:r>
      <w:r w:rsidR="006B0748">
        <w:t xml:space="preserve">Table </w:t>
      </w:r>
      <w:r w:rsidR="006B0748">
        <w:rPr>
          <w:noProof/>
        </w:rPr>
        <w:t>B</w:t>
      </w:r>
      <w:r w:rsidR="006B0748">
        <w:t>.</w:t>
      </w:r>
      <w:r w:rsidR="006B0748">
        <w:rPr>
          <w:noProof/>
        </w:rPr>
        <w:t>3</w:t>
      </w:r>
      <w:r>
        <w:fldChar w:fldCharType="end"/>
      </w:r>
      <w:r w:rsidR="006B0748">
        <w:t xml:space="preserve"> below shows that the Victorian gas businesses proposed different averaging periods. However, each period proposed by the Victorian gas businesses adhered to the above conditions. The AER is indifferent to the particular averaging period that is chosen by the businesses, so long as it is consistent with the principles outlined above. The AER understands that regulated businesses generally managing their borrowing and hedging arrangements around the nominated averaging period, in order to reduce their exposure to interest rate risk. CEG acknowledges this understanding in its report.</w:t>
      </w:r>
      <w:r w:rsidR="006B0748">
        <w:rPr>
          <w:rStyle w:val="FootnoteReference"/>
        </w:rPr>
        <w:footnoteReference w:id="188"/>
      </w:r>
    </w:p>
    <w:p w:rsidR="006B0748" w:rsidRPr="00882360" w:rsidRDefault="006B0748" w:rsidP="006B0748">
      <w:pPr>
        <w:pStyle w:val="AERbodytext"/>
        <w:numPr>
          <w:ilvl w:val="0"/>
          <w:numId w:val="13"/>
        </w:numPr>
      </w:pPr>
      <w:r>
        <w:t>As a result of th</w:t>
      </w:r>
      <w:r w:rsidRPr="00882360">
        <w:t xml:space="preserve">e different averaging periods, the risk free rate varies somewhat between each business. The variation also affects the cost of debt. The AER considers that the estimate of the MRP applied in this decision (6 per cent) is appropriate for </w:t>
      </w:r>
      <w:r>
        <w:t>Multinet's</w:t>
      </w:r>
      <w:r w:rsidRPr="00882360">
        <w:t xml:space="preserve"> averaging period. Similarly, the AER considers a 6 per cent MRP to be appropriate for each of the averaging periods identified below. </w:t>
      </w:r>
    </w:p>
    <w:p w:rsidR="006B0748" w:rsidRDefault="006B0748" w:rsidP="006B0748">
      <w:pPr>
        <w:pStyle w:val="Caption"/>
      </w:pPr>
      <w:bookmarkStart w:id="47" w:name="_Ref350878779"/>
      <w:r>
        <w:t xml:space="preserve">Table </w:t>
      </w:r>
      <w:fldSimple w:instr=" STYLEREF 7 \s ">
        <w:r>
          <w:rPr>
            <w:noProof/>
          </w:rPr>
          <w:t>B</w:t>
        </w:r>
      </w:fldSimple>
      <w:r>
        <w:t>.</w:t>
      </w:r>
      <w:fldSimple w:instr=" SEQ Table \* ARABIC \s 7 ">
        <w:r>
          <w:rPr>
            <w:noProof/>
          </w:rPr>
          <w:t>3</w:t>
        </w:r>
      </w:fldSimple>
      <w:bookmarkEnd w:id="47"/>
      <w:r>
        <w:tab/>
        <w:t>Averaging periods</w:t>
      </w:r>
    </w:p>
    <w:tbl>
      <w:tblPr>
        <w:tblStyle w:val="AERtable-text"/>
        <w:tblW w:w="0" w:type="auto"/>
        <w:tblLook w:val="04A0"/>
      </w:tblPr>
      <w:tblGrid>
        <w:gridCol w:w="3080"/>
        <w:gridCol w:w="3081"/>
        <w:gridCol w:w="3081"/>
      </w:tblGrid>
      <w:tr w:rsidR="006B0748" w:rsidTr="006B0748">
        <w:trPr>
          <w:cnfStyle w:val="100000000000"/>
        </w:trPr>
        <w:tc>
          <w:tcPr>
            <w:tcW w:w="3080" w:type="dxa"/>
          </w:tcPr>
          <w:p w:rsidR="006B0748" w:rsidRPr="00882360" w:rsidRDefault="006B0748" w:rsidP="006B0748">
            <w:pPr>
              <w:pStyle w:val="AERbodytext"/>
              <w:numPr>
                <w:ilvl w:val="0"/>
                <w:numId w:val="13"/>
              </w:numPr>
            </w:pPr>
            <w:r w:rsidRPr="00882360">
              <w:t>Business</w:t>
            </w:r>
          </w:p>
        </w:tc>
        <w:tc>
          <w:tcPr>
            <w:tcW w:w="3081" w:type="dxa"/>
          </w:tcPr>
          <w:p w:rsidR="006B0748" w:rsidRPr="00882360" w:rsidRDefault="006B0748" w:rsidP="006B0748">
            <w:pPr>
              <w:pStyle w:val="AERbodytext"/>
              <w:numPr>
                <w:ilvl w:val="0"/>
                <w:numId w:val="13"/>
              </w:numPr>
            </w:pPr>
            <w:r w:rsidRPr="00882360">
              <w:t>Averaging period</w:t>
            </w:r>
          </w:p>
        </w:tc>
        <w:tc>
          <w:tcPr>
            <w:tcW w:w="3081" w:type="dxa"/>
          </w:tcPr>
          <w:p w:rsidR="006B0748" w:rsidRPr="00882360" w:rsidRDefault="006B0748" w:rsidP="006B0748">
            <w:pPr>
              <w:pStyle w:val="AERbodytext"/>
              <w:numPr>
                <w:ilvl w:val="0"/>
                <w:numId w:val="13"/>
              </w:numPr>
            </w:pPr>
            <w:r w:rsidRPr="00882360">
              <w:t>Risk free rate</w:t>
            </w:r>
          </w:p>
        </w:tc>
      </w:tr>
      <w:tr w:rsidR="006B0748" w:rsidTr="006B0748">
        <w:tc>
          <w:tcPr>
            <w:tcW w:w="3080" w:type="dxa"/>
          </w:tcPr>
          <w:p w:rsidR="006B0748" w:rsidRPr="006B0748" w:rsidRDefault="006B0748" w:rsidP="006B0748">
            <w:pPr>
              <w:pStyle w:val="AERtabletextleft"/>
            </w:pPr>
            <w:r w:rsidRPr="00882360">
              <w:t>APA GasNet</w:t>
            </w:r>
          </w:p>
        </w:tc>
        <w:tc>
          <w:tcPr>
            <w:tcW w:w="3081" w:type="dxa"/>
          </w:tcPr>
          <w:p w:rsidR="006B0748" w:rsidRPr="006B0748" w:rsidRDefault="006B0748" w:rsidP="006B0748">
            <w:pPr>
              <w:pStyle w:val="AERtabletextleft"/>
            </w:pPr>
            <w:r w:rsidRPr="00882360">
              <w:t>13 Sep - 26 Sep</w:t>
            </w:r>
          </w:p>
        </w:tc>
        <w:tc>
          <w:tcPr>
            <w:tcW w:w="3081" w:type="dxa"/>
          </w:tcPr>
          <w:p w:rsidR="006B0748" w:rsidRPr="006B0748" w:rsidRDefault="006B0748" w:rsidP="006B0748">
            <w:pPr>
              <w:pStyle w:val="AERtabletextleft"/>
            </w:pPr>
            <w:r w:rsidRPr="00882360">
              <w:t>3.22</w:t>
            </w:r>
          </w:p>
        </w:tc>
      </w:tr>
      <w:tr w:rsidR="006B0748" w:rsidTr="006B0748">
        <w:trPr>
          <w:cnfStyle w:val="000000010000"/>
        </w:trPr>
        <w:tc>
          <w:tcPr>
            <w:tcW w:w="3080" w:type="dxa"/>
          </w:tcPr>
          <w:p w:rsidR="006B0748" w:rsidRPr="006B0748" w:rsidRDefault="006B0748" w:rsidP="006B0748">
            <w:pPr>
              <w:pStyle w:val="AERtabletextleft"/>
            </w:pPr>
            <w:r w:rsidRPr="00882360">
              <w:t>Multinet</w:t>
            </w:r>
          </w:p>
        </w:tc>
        <w:tc>
          <w:tcPr>
            <w:tcW w:w="3081" w:type="dxa"/>
          </w:tcPr>
          <w:p w:rsidR="006B0748" w:rsidRPr="006B0748" w:rsidRDefault="006B0748" w:rsidP="006B0748">
            <w:pPr>
              <w:pStyle w:val="AERtabletextleft"/>
            </w:pPr>
            <w:r w:rsidRPr="00882360">
              <w:t>24 Oct - 20 Nov</w:t>
            </w:r>
          </w:p>
        </w:tc>
        <w:tc>
          <w:tcPr>
            <w:tcW w:w="3081" w:type="dxa"/>
          </w:tcPr>
          <w:p w:rsidR="006B0748" w:rsidRPr="006B0748" w:rsidRDefault="006B0748" w:rsidP="006B0748">
            <w:pPr>
              <w:pStyle w:val="AERtabletextleft"/>
            </w:pPr>
            <w:r w:rsidRPr="00882360">
              <w:t>3.12</w:t>
            </w:r>
          </w:p>
        </w:tc>
      </w:tr>
      <w:tr w:rsidR="006B0748" w:rsidTr="006B0748">
        <w:tc>
          <w:tcPr>
            <w:tcW w:w="3080" w:type="dxa"/>
          </w:tcPr>
          <w:p w:rsidR="006B0748" w:rsidRPr="006B0748" w:rsidRDefault="006B0748" w:rsidP="006B0748">
            <w:pPr>
              <w:pStyle w:val="AERtabletextleft"/>
            </w:pPr>
            <w:r>
              <w:t>SP Au</w:t>
            </w:r>
            <w:r w:rsidRPr="006B0748">
              <w:t>sNet</w:t>
            </w:r>
          </w:p>
        </w:tc>
        <w:tc>
          <w:tcPr>
            <w:tcW w:w="3081" w:type="dxa"/>
          </w:tcPr>
          <w:p w:rsidR="006B0748" w:rsidRPr="006B0748" w:rsidRDefault="006B0748" w:rsidP="006B0748">
            <w:pPr>
              <w:pStyle w:val="AERtabletextleft"/>
            </w:pPr>
            <w:r w:rsidRPr="00882360">
              <w:t>12 Nov - 7 Dec</w:t>
            </w:r>
          </w:p>
        </w:tc>
        <w:tc>
          <w:tcPr>
            <w:tcW w:w="3081" w:type="dxa"/>
          </w:tcPr>
          <w:p w:rsidR="006B0748" w:rsidRPr="006B0748" w:rsidRDefault="006B0748" w:rsidP="006B0748">
            <w:pPr>
              <w:pStyle w:val="AERtabletextleft"/>
            </w:pPr>
            <w:r w:rsidRPr="00882360">
              <w:t>3.14</w:t>
            </w:r>
          </w:p>
        </w:tc>
      </w:tr>
      <w:tr w:rsidR="006B0748" w:rsidTr="006B0748">
        <w:trPr>
          <w:cnfStyle w:val="000000010000"/>
        </w:trPr>
        <w:tc>
          <w:tcPr>
            <w:tcW w:w="3080" w:type="dxa"/>
          </w:tcPr>
          <w:p w:rsidR="006B0748" w:rsidRPr="006B0748" w:rsidRDefault="006B0748" w:rsidP="006B0748">
            <w:pPr>
              <w:pStyle w:val="AERtabletextleft"/>
            </w:pPr>
            <w:r w:rsidRPr="00882360">
              <w:t>Envestra</w:t>
            </w:r>
          </w:p>
        </w:tc>
        <w:tc>
          <w:tcPr>
            <w:tcW w:w="3081" w:type="dxa"/>
          </w:tcPr>
          <w:p w:rsidR="006B0748" w:rsidRPr="006B0748" w:rsidRDefault="006B0748" w:rsidP="006B0748">
            <w:pPr>
              <w:pStyle w:val="AERtabletextleft"/>
            </w:pPr>
            <w:r w:rsidRPr="00882360">
              <w:t xml:space="preserve">31 </w:t>
            </w:r>
            <w:r w:rsidRPr="006B0748">
              <w:t>Jan - 20 Feb</w:t>
            </w:r>
          </w:p>
        </w:tc>
        <w:tc>
          <w:tcPr>
            <w:tcW w:w="3081" w:type="dxa"/>
          </w:tcPr>
          <w:p w:rsidR="006B0748" w:rsidRPr="006B0748" w:rsidRDefault="006B0748" w:rsidP="006B0748">
            <w:pPr>
              <w:pStyle w:val="AERtabletextleft"/>
            </w:pPr>
            <w:r w:rsidRPr="00882360">
              <w:t>3.53</w:t>
            </w:r>
          </w:p>
        </w:tc>
      </w:tr>
    </w:tbl>
    <w:p w:rsidR="006B0748" w:rsidRDefault="006B0748" w:rsidP="006B0748">
      <w:pPr>
        <w:pStyle w:val="AERbodytext"/>
        <w:numPr>
          <w:ilvl w:val="0"/>
          <w:numId w:val="13"/>
        </w:numPr>
      </w:pPr>
    </w:p>
    <w:p w:rsidR="006B0748" w:rsidRPr="00691ED9" w:rsidRDefault="006B0748" w:rsidP="006B0748">
      <w:pPr>
        <w:pStyle w:val="Heading8"/>
      </w:pPr>
      <w:bookmarkStart w:id="48" w:name="_Ref350890562"/>
      <w:bookmarkStart w:id="49" w:name="_Toc350951037"/>
      <w:r w:rsidRPr="00691ED9">
        <w:t>Market risk premium issues</w:t>
      </w:r>
      <w:bookmarkEnd w:id="48"/>
      <w:bookmarkEnd w:id="49"/>
    </w:p>
    <w:p w:rsidR="006B0748" w:rsidRPr="00AC2664" w:rsidRDefault="006B0748" w:rsidP="006B0748">
      <w:pPr>
        <w:pStyle w:val="AERbodytext"/>
        <w:numPr>
          <w:ilvl w:val="0"/>
          <w:numId w:val="13"/>
        </w:numPr>
      </w:pPr>
      <w:r>
        <w:t>In the attachment</w:t>
      </w:r>
      <w:r w:rsidRPr="00AC2664">
        <w:t xml:space="preserve">, the AER presented its considerations on why an MRP of 6 per cent is commensurate with prevailing conditions in the market for funds. The AER also noted that some matters would be addressed, or addressed in more detail, in </w:t>
      </w:r>
      <w:r>
        <w:t xml:space="preserve">the </w:t>
      </w:r>
      <w:r w:rsidRPr="00AC2664">
        <w:t xml:space="preserve">appendix. </w:t>
      </w:r>
    </w:p>
    <w:p w:rsidR="006B0748" w:rsidRPr="00AC2664" w:rsidRDefault="006B0748" w:rsidP="006B0748">
      <w:pPr>
        <w:pStyle w:val="AERbodytext"/>
        <w:numPr>
          <w:ilvl w:val="0"/>
          <w:numId w:val="13"/>
        </w:numPr>
      </w:pPr>
      <w:r w:rsidRPr="00AC2664">
        <w:t xml:space="preserve">In this </w:t>
      </w:r>
      <w:r>
        <w:t>section</w:t>
      </w:r>
      <w:r w:rsidRPr="00AC2664">
        <w:t>, the AER</w:t>
      </w:r>
      <w:r>
        <w:t xml:space="preserve"> addresses:</w:t>
      </w:r>
    </w:p>
    <w:p w:rsidR="006B0748" w:rsidRDefault="006B0748" w:rsidP="006B0748">
      <w:pPr>
        <w:pStyle w:val="AERbulletlistfirststyle"/>
      </w:pPr>
      <w:r>
        <w:t>concerns raised by some consultants</w:t>
      </w:r>
      <w:r w:rsidRPr="00AC2664">
        <w:t xml:space="preserve"> on the use of arithmetic averages</w:t>
      </w:r>
      <w:r>
        <w:t xml:space="preserve"> of historical excess returns</w:t>
      </w:r>
      <w:r w:rsidRPr="00AC2664">
        <w:t xml:space="preserve"> </w:t>
      </w:r>
    </w:p>
    <w:p w:rsidR="006B0748" w:rsidRPr="00AC2664" w:rsidRDefault="006B0748" w:rsidP="006B0748">
      <w:pPr>
        <w:pStyle w:val="AERbulletlistfirststyle"/>
      </w:pPr>
      <w:r>
        <w:t xml:space="preserve">SFG's concerns on the use of survey evidence </w:t>
      </w:r>
    </w:p>
    <w:p w:rsidR="006B0748" w:rsidRPr="00D3530B" w:rsidRDefault="006B0748" w:rsidP="006B0748">
      <w:pPr>
        <w:pStyle w:val="AERbulletlistfirststyle"/>
      </w:pPr>
      <w:r>
        <w:t xml:space="preserve">SFG's credit spread analysis. </w:t>
      </w:r>
    </w:p>
    <w:p w:rsidR="006B0748" w:rsidRPr="00691ED9" w:rsidRDefault="006B0748" w:rsidP="006B0748">
      <w:pPr>
        <w:pStyle w:val="Heading9"/>
      </w:pPr>
      <w:bookmarkStart w:id="50" w:name="_Ref350261978"/>
      <w:r w:rsidRPr="00691ED9">
        <w:t>Arithmetic average vs. geometric average</w:t>
      </w:r>
      <w:bookmarkEnd w:id="50"/>
      <w:r w:rsidRPr="00691ED9">
        <w:t xml:space="preserve"> </w:t>
      </w:r>
    </w:p>
    <w:p w:rsidR="006B0748" w:rsidRDefault="006B0748" w:rsidP="006B0748">
      <w:r w:rsidRPr="00561CAE">
        <w:t xml:space="preserve">In the draft decision, the AER explained the difference between arithmetic averages and geometric averages. </w:t>
      </w:r>
      <w:r>
        <w:t>It</w:t>
      </w:r>
      <w:r w:rsidRPr="00561CAE">
        <w:t xml:space="preserve"> concluded the arithmetic average of the data was an overestimate of the relevant benchmark and the best estimate of historical excess returns over a 10 year period was likely to be somewhere between the geometric and arithmetic averages of annual excess returns</w:t>
      </w:r>
      <w:r w:rsidRPr="00C37844">
        <w:t>.</w:t>
      </w:r>
      <w:r w:rsidRPr="00C37844">
        <w:rPr>
          <w:rStyle w:val="FootnoteReference"/>
        </w:rPr>
        <w:footnoteReference w:id="189"/>
      </w:r>
      <w:r>
        <w:t>Section B.2.1 of the draft decision discusses the AER's considerations in detail.</w:t>
      </w:r>
    </w:p>
    <w:p w:rsidR="006B0748" w:rsidRDefault="006B0748" w:rsidP="006B0748">
      <w:pPr>
        <w:pStyle w:val="AERbodytext"/>
        <w:numPr>
          <w:ilvl w:val="0"/>
          <w:numId w:val="13"/>
        </w:numPr>
      </w:pPr>
      <w:r>
        <w:t xml:space="preserve">Nothing in the revised proposal has persuaded the AER to change from this view. Therefore, the AER still holds the position in the draft decision. In this appendix, the AER addresses the further concerns raised by SFG in a report submitted by Multinet in the revised proposal. </w:t>
      </w:r>
    </w:p>
    <w:p w:rsidR="006B0748" w:rsidRPr="00B03698" w:rsidRDefault="006B0748" w:rsidP="006B0748">
      <w:pPr>
        <w:pStyle w:val="AERbodytext"/>
        <w:numPr>
          <w:ilvl w:val="0"/>
          <w:numId w:val="13"/>
        </w:numPr>
      </w:pPr>
      <w:r w:rsidRPr="00B03698">
        <w:t xml:space="preserve">In </w:t>
      </w:r>
      <w:r>
        <w:rPr>
          <w:rFonts w:hint="eastAsia"/>
        </w:rPr>
        <w:t xml:space="preserve">a report prepared by SFG in the Roma to Brisbane Pipeline process, </w:t>
      </w:r>
      <w:r w:rsidRPr="00B03698">
        <w:t>SFG submitted it was wrong to place any reliance on geometric averages and to the extent that reliance is (incorrectly) placed on geometric averages, the resulting MRP estimate is downwards biased. SFG presented a Harvard Business School case note in support of this position.</w:t>
      </w:r>
      <w:r w:rsidRPr="00B03698">
        <w:rPr>
          <w:rStyle w:val="FootnoteReference"/>
        </w:rPr>
        <w:footnoteReference w:id="190"/>
      </w:r>
    </w:p>
    <w:p w:rsidR="006B0748" w:rsidRPr="00B03698" w:rsidRDefault="006B0748" w:rsidP="006B0748">
      <w:pPr>
        <w:pStyle w:val="AERbodytext"/>
        <w:numPr>
          <w:ilvl w:val="0"/>
          <w:numId w:val="13"/>
        </w:numPr>
      </w:pPr>
      <w:r w:rsidRPr="00B03698">
        <w:t>The AER sought advice from McKenzie and Partington on the SFG report and Harvard Business School case note. In their February 2012 supplementary MRP report, McKenzie and Partington explained the Harvard case study 'assumes away the source of bias in arithmetic averages'.</w:t>
      </w:r>
      <w:r w:rsidRPr="00B03698">
        <w:rPr>
          <w:rStyle w:val="FootnoteReference"/>
        </w:rPr>
        <w:footnoteReference w:id="191"/>
      </w:r>
      <w:r w:rsidRPr="00B03698">
        <w:t xml:space="preserve"> The AER does not consider it is appropriate to assume no uncertainty about the mean of the distribution when analysing historical excess returns. </w:t>
      </w:r>
      <w:r>
        <w:t>According to Blume (1974), the one year returns are assumed to be normally distributed random variables, therefore the arithmetic average of these one year returns would also be a random variable</w:t>
      </w:r>
      <w:r>
        <w:rPr>
          <w:rStyle w:val="FootnoteReference"/>
        </w:rPr>
        <w:footnoteReference w:id="192"/>
      </w:r>
      <w:r>
        <w:t xml:space="preserve">. (For example, let Rt represent a one year return, Rt is an independent normally distributed random variable, then the arithmetic average of these one year returns is also random variables (R1+R2+R3...)/N.) Whereas the Harvard case study takes the expectation of these one year returns when calculating arithmetic average, by doing so, it turns the arithmetic return into a constant (ie. </w:t>
      </w:r>
      <w:proofErr w:type="gramStart"/>
      <w:r>
        <w:t>E[</w:t>
      </w:r>
      <w:proofErr w:type="gramEnd"/>
      <w:r>
        <w:t xml:space="preserve">(R1+R2+R3...)/N]). Therefore, the Harvard Business School case assumes away the bias created as a result of taking arithmetic average of random variables. </w:t>
      </w:r>
      <w:r w:rsidRPr="00B03698">
        <w:t xml:space="preserve">Accordingly, </w:t>
      </w:r>
      <w:r>
        <w:t xml:space="preserve">the AER </w:t>
      </w:r>
      <w:r w:rsidRPr="00B03698">
        <w:t xml:space="preserve">did not find SFG's </w:t>
      </w:r>
      <w:r>
        <w:t>view</w:t>
      </w:r>
      <w:r w:rsidRPr="00B03698">
        <w:t xml:space="preserve"> persuasive.</w:t>
      </w:r>
    </w:p>
    <w:p w:rsidR="006B0748" w:rsidRDefault="006B0748" w:rsidP="006B0748">
      <w:pPr>
        <w:pStyle w:val="AERbodytext"/>
        <w:numPr>
          <w:ilvl w:val="0"/>
          <w:numId w:val="13"/>
        </w:numPr>
      </w:pPr>
      <w:r>
        <w:t>In the revised proposal, SFG again renewed its view by presenting the Harvard Business School Case and argued the calculation of an arithmetic average does not in fact require any assumption about the mean being known exactly. Nor does the calculation of a geometric average.</w:t>
      </w:r>
      <w:r>
        <w:rPr>
          <w:rStyle w:val="FootnoteReference"/>
        </w:rPr>
        <w:footnoteReference w:id="193"/>
      </w:r>
      <w:r>
        <w:t xml:space="preserve"> The AER does not contend that the calculation of an arithmetic average or a geometric average requires the mean being known exactly. As discussed above, the AER only notes the arithmetic average calculation in Harvard Business School case takes the expectation of the arithmetic average of the one year returns, which are random variables, thereby assumes away the source of bias in the arithmetic average. SFG has not presented any new arguments that persuade the AER to change from this view. </w:t>
      </w:r>
    </w:p>
    <w:p w:rsidR="006B0748" w:rsidRDefault="006B0748" w:rsidP="006B0748">
      <w:pPr>
        <w:pStyle w:val="AERbodytext"/>
        <w:numPr>
          <w:ilvl w:val="0"/>
          <w:numId w:val="13"/>
        </w:numPr>
      </w:pPr>
      <w:r>
        <w:t>SFG further submitted the Harvard Case Study has been used by leading business schools for over 20 years and no error has ever been raised in relation to its conclusion that the arithmetic mean is an appropriate estimate of the expected return and the geometric mean is not.</w:t>
      </w:r>
      <w:r>
        <w:rPr>
          <w:rStyle w:val="FootnoteReference"/>
        </w:rPr>
        <w:footnoteReference w:id="194"/>
      </w:r>
      <w:r>
        <w:t xml:space="preserve"> It appears that SFG is suggesting that there is no debate in the academic literature on the use of arithmetic or geometric averages. Clearly this is not the case, as McKenzie and Partington's report makes evident.</w:t>
      </w:r>
      <w:r>
        <w:rPr>
          <w:rStyle w:val="FootnoteReference"/>
        </w:rPr>
        <w:footnoteReference w:id="195"/>
      </w:r>
      <w:r>
        <w:t xml:space="preserve"> That said</w:t>
      </w:r>
      <w:proofErr w:type="gramStart"/>
      <w:r>
        <w:t>,</w:t>
      </w:r>
      <w:proofErr w:type="gramEnd"/>
      <w:r>
        <w:t xml:space="preserve"> it is reasonably well recognised in the academic literature that </w:t>
      </w:r>
      <w:r w:rsidRPr="00B03698">
        <w:t>if the one year historical excess returns are variable, then the arithmetic average of one year historical excess returns overstates the arithmetic average of historical excess returns</w:t>
      </w:r>
      <w:r>
        <w:t xml:space="preserve"> for a term greater than one year.</w:t>
      </w:r>
      <w:r>
        <w:rPr>
          <w:rStyle w:val="FootnoteReference"/>
        </w:rPr>
        <w:footnoteReference w:id="196"/>
      </w:r>
      <w:r>
        <w:t xml:space="preserve"> </w:t>
      </w:r>
    </w:p>
    <w:p w:rsidR="006B0748" w:rsidRPr="00691ED9" w:rsidRDefault="006B0748" w:rsidP="006B0748">
      <w:pPr>
        <w:pStyle w:val="Heading9"/>
      </w:pPr>
      <w:r w:rsidRPr="00691ED9">
        <w:t>Surveys</w:t>
      </w:r>
    </w:p>
    <w:p w:rsidR="006B0748" w:rsidRDefault="006B0748" w:rsidP="006B0748">
      <w:r>
        <w:t xml:space="preserve">In the draft decision, the AER considered McKenzie and Partington's detailed analysis of survey evidence on the MRP. Specifically, McKenzie and Partington applied the Tribunal's criteria on survey evidence. They also explained how triangulation across </w:t>
      </w:r>
      <w:r w:rsidRPr="00A738DD">
        <w:t xml:space="preserve">surveys </w:t>
      </w:r>
      <w:r>
        <w:t>enhanced their confidence in survey</w:t>
      </w:r>
      <w:r w:rsidRPr="00A738DD">
        <w:t xml:space="preserve"> results</w:t>
      </w:r>
      <w:r>
        <w:t>. The AER discussed these in section B.2.2</w:t>
      </w:r>
      <w:r w:rsidRPr="00A738DD">
        <w:t xml:space="preserve"> </w:t>
      </w:r>
      <w:r>
        <w:t>of the draft decision.</w:t>
      </w:r>
    </w:p>
    <w:p w:rsidR="006B0748" w:rsidRPr="00A738DD" w:rsidRDefault="006B0748" w:rsidP="006B0748">
      <w:pPr>
        <w:pStyle w:val="AERbodytext"/>
        <w:numPr>
          <w:ilvl w:val="0"/>
          <w:numId w:val="13"/>
        </w:numPr>
      </w:pPr>
      <w:r>
        <w:t>No new information</w:t>
      </w:r>
      <w:r w:rsidRPr="00A738DD">
        <w:t xml:space="preserve"> in </w:t>
      </w:r>
      <w:r>
        <w:t>Multinet's</w:t>
      </w:r>
      <w:r w:rsidRPr="00A738DD">
        <w:t xml:space="preserve"> revised proposal has persuaded the AER to change from this view. Therefore, the AER </w:t>
      </w:r>
      <w:r>
        <w:t xml:space="preserve">maintains its </w:t>
      </w:r>
      <w:r w:rsidRPr="00A738DD">
        <w:t xml:space="preserve">position </w:t>
      </w:r>
      <w:r>
        <w:t>from</w:t>
      </w:r>
      <w:r w:rsidRPr="00A738DD">
        <w:t xml:space="preserve"> the draft decision</w:t>
      </w:r>
      <w:r>
        <w:t xml:space="preserve"> that survey evidence should be considered</w:t>
      </w:r>
      <w:r w:rsidRPr="00A738DD">
        <w:t xml:space="preserve">. In this appendix, the AER addresses the further </w:t>
      </w:r>
      <w:r>
        <w:t>concerns</w:t>
      </w:r>
      <w:r w:rsidRPr="00A738DD">
        <w:t xml:space="preserve"> raised by SFG in a report submitted by </w:t>
      </w:r>
      <w:r>
        <w:t>Multinet</w:t>
      </w:r>
      <w:r w:rsidRPr="00A738DD">
        <w:t xml:space="preserve"> in the revised proposal. </w:t>
      </w:r>
    </w:p>
    <w:p w:rsidR="006B0748" w:rsidRDefault="006B0748" w:rsidP="006B0748">
      <w:pPr>
        <w:pStyle w:val="AERbodytext"/>
        <w:numPr>
          <w:ilvl w:val="0"/>
          <w:numId w:val="13"/>
        </w:numPr>
      </w:pPr>
      <w:r>
        <w:t>SFG submitted that this MRP varies over time with changes in prevailing conditions in the market for funds. Therefore the survey evidence is only reliable when respondents are asked what they actually do and it is timely in the sense that their response is unlikely to have changed since the survey was conducted.</w:t>
      </w:r>
      <w:r>
        <w:rPr>
          <w:rStyle w:val="FootnoteReference"/>
        </w:rPr>
        <w:footnoteReference w:id="197"/>
      </w:r>
      <w:r>
        <w:t xml:space="preserve"> </w:t>
      </w:r>
    </w:p>
    <w:p w:rsidR="006B0748" w:rsidRDefault="006B0748" w:rsidP="006B0748">
      <w:pPr>
        <w:pStyle w:val="AERbodytext"/>
        <w:numPr>
          <w:ilvl w:val="0"/>
          <w:numId w:val="13"/>
        </w:numPr>
      </w:pPr>
      <w:r>
        <w:t>Asher and Fernandez et al. have recently published their 2012 survey results for surveys conducted in March 2012 and June 2012, respectively. These surveys explicitly asked the respondents what MRP they use not what they "think". In this sense, the AER considers the recent Asher and Fernandez et al. surveys satisfy SFG's criteria discussed above. As noted in the attachment, these two recent surveys indicate the MRP is currently below 6 per cent.</w:t>
      </w:r>
    </w:p>
    <w:p w:rsidR="006B0748" w:rsidRDefault="006B0748" w:rsidP="006B0748">
      <w:pPr>
        <w:pStyle w:val="AERbodytext"/>
        <w:numPr>
          <w:ilvl w:val="0"/>
          <w:numId w:val="13"/>
        </w:numPr>
      </w:pPr>
      <w:r>
        <w:t xml:space="preserve">Further, Lally also supported the use of survey evidence and suggested the recent Fernandez survey is the most relevant survey evidence. In addition, he noted the average of 5.9 per cent in the Fernandez survey should be considered as an upper bound. This is because </w:t>
      </w:r>
      <w:r w:rsidRPr="00C57674">
        <w:t xml:space="preserve">some respondents </w:t>
      </w:r>
      <w:r>
        <w:t>to this survey might</w:t>
      </w:r>
      <w:r w:rsidRPr="00C57674">
        <w:t xml:space="preserve"> have provided responses for an MRP defined against bills.</w:t>
      </w:r>
      <w:r>
        <w:t xml:space="preserve"> The AER's MRP estimate is defined against bonds and bond yields both currently and typically exceed bill yields. Therefore, the estimates provided by respondents who define the MRP against bills will be too high.</w:t>
      </w:r>
      <w:r>
        <w:rPr>
          <w:rStyle w:val="FootnoteReference"/>
        </w:rPr>
        <w:footnoteReference w:id="198"/>
      </w:r>
      <w:r w:rsidRPr="00C57674">
        <w:t xml:space="preserve">  </w:t>
      </w:r>
      <w:r>
        <w:t>In addition, the AER notes the Asher survey explicitly asked the respondents for an MRP with regard to 'government bonds of the same term' and it reported survey responses on both the respondents expected 1 year MRP and expected 10 year MRP.</w:t>
      </w:r>
      <w:r>
        <w:rPr>
          <w:rStyle w:val="FootnoteReference"/>
        </w:rPr>
        <w:footnoteReference w:id="199"/>
      </w:r>
      <w:r>
        <w:t xml:space="preserve"> This addresses SFG's concern that the MRP estimates respondents should correspond to the term of the respondents' risk free rate.</w:t>
      </w:r>
      <w:r>
        <w:rPr>
          <w:rStyle w:val="FootnoteReference"/>
        </w:rPr>
        <w:footnoteReference w:id="200"/>
      </w:r>
      <w:r>
        <w:t xml:space="preserve"> </w:t>
      </w:r>
    </w:p>
    <w:p w:rsidR="006B0748" w:rsidRPr="00691ED9" w:rsidRDefault="006B0748" w:rsidP="006B0748">
      <w:pPr>
        <w:pStyle w:val="Heading9"/>
      </w:pPr>
      <w:bookmarkStart w:id="51" w:name="_Ref350353004"/>
      <w:r w:rsidRPr="00691ED9">
        <w:t>Credit spreads</w:t>
      </w:r>
      <w:bookmarkEnd w:id="51"/>
    </w:p>
    <w:p w:rsidR="006B0748" w:rsidRDefault="006B0748" w:rsidP="006B0748">
      <w:pPr>
        <w:pStyle w:val="AERbodytext"/>
        <w:numPr>
          <w:ilvl w:val="0"/>
          <w:numId w:val="13"/>
        </w:numPr>
      </w:pPr>
      <w:r>
        <w:t xml:space="preserve">Credit spreads, in this context, refer to the ability to predict changes in the market risk premium from movements in </w:t>
      </w:r>
      <w:r w:rsidRPr="006C4F2D">
        <w:t>observable debt premiums</w:t>
      </w:r>
      <w:r>
        <w:t>.</w:t>
      </w:r>
      <w:r w:rsidRPr="0086144D">
        <w:rPr>
          <w:rStyle w:val="FootnoteReference"/>
        </w:rPr>
        <w:footnoteReference w:id="201"/>
      </w:r>
      <w:r w:rsidRPr="00E75816">
        <w:t xml:space="preserve"> </w:t>
      </w:r>
      <w:r>
        <w:t xml:space="preserve">Specifically, </w:t>
      </w:r>
      <w:r w:rsidRPr="00E75816">
        <w:t xml:space="preserve">SFG </w:t>
      </w:r>
      <w:r>
        <w:t>proposed that the market risk premium cannot move independently of the debt risk premium</w:t>
      </w:r>
      <w:r w:rsidRPr="00E75816">
        <w:t>.</w:t>
      </w:r>
      <w:r>
        <w:rPr>
          <w:rStyle w:val="FootnoteReference"/>
        </w:rPr>
        <w:footnoteReference w:id="202"/>
      </w:r>
      <w:r w:rsidRPr="00E75816">
        <w:t xml:space="preserve"> </w:t>
      </w:r>
      <w:r>
        <w:t>CEG also proposed a similar line of reasoning.</w:t>
      </w:r>
      <w:r>
        <w:rPr>
          <w:rStyle w:val="FootnoteReference"/>
        </w:rPr>
        <w:footnoteReference w:id="203"/>
      </w:r>
    </w:p>
    <w:p w:rsidR="006B0748" w:rsidRDefault="006B0748" w:rsidP="006B0748">
      <w:pPr>
        <w:pStyle w:val="AERbodytext"/>
        <w:numPr>
          <w:ilvl w:val="0"/>
          <w:numId w:val="13"/>
        </w:numPr>
      </w:pPr>
      <w:r w:rsidRPr="0086144D">
        <w:t>The AER considered the use of credit spreads to inform the forward looking MRP.</w:t>
      </w:r>
      <w:r>
        <w:t xml:space="preserve"> However, there is no consensus in academic literature on the direction or magnitude of the relationship between observed credit spreads and the MRP. The lack of academic consensus on the direction of any relationship casts doubt on the reliability of drawing any</w:t>
      </w:r>
      <w:r w:rsidRPr="006C4F2D">
        <w:t xml:space="preserve"> conclusions </w:t>
      </w:r>
      <w:r>
        <w:t xml:space="preserve">on the MRP </w:t>
      </w:r>
      <w:r w:rsidRPr="006C4F2D">
        <w:t xml:space="preserve">from </w:t>
      </w:r>
      <w:r>
        <w:t>observable debt premiums. Moreover, the inability to reliably quantify the magnitude of any relationship limits its usefulness in a regulatory framework. For these reasons, the AER has given limited weight to credit spreads when estimating the MRP.</w:t>
      </w:r>
    </w:p>
    <w:p w:rsidR="006B0748" w:rsidRDefault="006B0748" w:rsidP="006B0748">
      <w:pPr>
        <w:pStyle w:val="AERbodytext"/>
        <w:numPr>
          <w:ilvl w:val="0"/>
          <w:numId w:val="13"/>
        </w:numPr>
        <w:rPr>
          <w:rStyle w:val="AERbody"/>
        </w:rPr>
      </w:pPr>
      <w:r>
        <w:rPr>
          <w:rStyle w:val="AERbody"/>
        </w:rPr>
        <w:t>For the following reasons, the AER has also given limited weight to SFG’s and CEG’s analysis (in support of using credit spreads to inform the MRP):</w:t>
      </w:r>
    </w:p>
    <w:p w:rsidR="006B0748" w:rsidRDefault="006B0748" w:rsidP="006B0748">
      <w:pPr>
        <w:pStyle w:val="AERbulletlistfirststyle"/>
      </w:pPr>
      <w:r>
        <w:t>For the cost of equity, expected cash flows (and not required returns) adjust to reflect changes in the level of default risk.</w:t>
      </w:r>
    </w:p>
    <w:p w:rsidR="006B0748" w:rsidRDefault="006B0748" w:rsidP="006B0748">
      <w:pPr>
        <w:pStyle w:val="AERbulletlistfirststyle"/>
      </w:pPr>
      <w:r>
        <w:t>SFG have compared promised debt returns with expected equity returns, and post–tax debt returns with pre–tax equity returns. Comparisons of debt and equity returns, however, should be made on a consistent basis.</w:t>
      </w:r>
    </w:p>
    <w:p w:rsidR="006B0748" w:rsidRPr="0066275B" w:rsidRDefault="006B0748" w:rsidP="006B0748">
      <w:pPr>
        <w:rPr>
          <w:rStyle w:val="AERbody"/>
        </w:rPr>
      </w:pPr>
      <w:r>
        <w:rPr>
          <w:rStyle w:val="AERbody"/>
        </w:rPr>
        <w:t>The AER discusses these reasons, including the lack of academic and empirical evidence, in greater detail below.</w:t>
      </w:r>
    </w:p>
    <w:p w:rsidR="006B0748" w:rsidRDefault="006B0748" w:rsidP="006B0748">
      <w:pPr>
        <w:pStyle w:val="HeadingBoldBlue"/>
        <w:numPr>
          <w:ilvl w:val="0"/>
          <w:numId w:val="13"/>
        </w:numPr>
      </w:pPr>
      <w:r>
        <w:t>Lack of academic consensus and empirical evidence that observed debt premiums can predict the MRP</w:t>
      </w:r>
    </w:p>
    <w:p w:rsidR="006B0748" w:rsidRDefault="006B0748" w:rsidP="006B0748">
      <w:pPr>
        <w:pStyle w:val="AERbodytext"/>
        <w:numPr>
          <w:ilvl w:val="0"/>
          <w:numId w:val="13"/>
        </w:numPr>
      </w:pPr>
      <w:r>
        <w:t xml:space="preserve">The relationship between </w:t>
      </w:r>
      <w:r w:rsidRPr="003D521E">
        <w:t>observable debt risk premiums and unobservable equity risk premiums is complex. As discussed in attachment</w:t>
      </w:r>
      <w:r>
        <w:t xml:space="preserve"> 5.3.3</w:t>
      </w:r>
      <w:r w:rsidRPr="003D521E">
        <w:t>, there is no consensus in academic literature on the direction or magnitude of this relationship.</w:t>
      </w:r>
    </w:p>
    <w:p w:rsidR="006B0748" w:rsidRDefault="006B0748" w:rsidP="006B0748">
      <w:pPr>
        <w:pStyle w:val="AERbodytext"/>
        <w:numPr>
          <w:ilvl w:val="0"/>
          <w:numId w:val="13"/>
        </w:numPr>
      </w:pPr>
      <w:r>
        <w:t>McKenzie and Partington,</w:t>
      </w:r>
      <w:r w:rsidRPr="00276019">
        <w:t xml:space="preserve"> </w:t>
      </w:r>
      <w:r>
        <w:t>in a report prepared for the AER, also provided a comprehensive review of the academic literature on this issue. In regard to the relationship between debt and equity risk premiums, McKenzie and Partington concluded that:</w:t>
      </w:r>
      <w:r>
        <w:rPr>
          <w:rStyle w:val="FootnoteReference"/>
        </w:rPr>
        <w:footnoteReference w:id="204"/>
      </w:r>
    </w:p>
    <w:p w:rsidR="006B0748" w:rsidRDefault="006B0748" w:rsidP="006B0748">
      <w:pPr>
        <w:pStyle w:val="AERquote"/>
      </w:pPr>
      <w:r>
        <w:t>[T]here are competing theoretical and empirical models which support both positive and non–positive relations between the debt risk premium and the equity risk premium. There is no clear consensus, but the weight of evidence may somewhat favour a non–positive relation. What is clear, given the mixed evidence, is that the relation is not strong and stable.</w:t>
      </w:r>
    </w:p>
    <w:p w:rsidR="006B0748" w:rsidRPr="00276019" w:rsidRDefault="006B0748" w:rsidP="006B0748">
      <w:pPr>
        <w:pStyle w:val="AERbodytext"/>
        <w:numPr>
          <w:ilvl w:val="0"/>
          <w:numId w:val="13"/>
        </w:numPr>
      </w:pPr>
      <w:r>
        <w:t>The above analysis, including the summary included in the McKenzie and Partington report, demonstrates that the relationship between debt and equity premiums is complex and unresolved. For these reasons, the AER has given limited weight to the analysis provided by SFG and CEG.</w:t>
      </w:r>
    </w:p>
    <w:p w:rsidR="006B0748" w:rsidRDefault="006B0748" w:rsidP="006B0748">
      <w:pPr>
        <w:pStyle w:val="HeadingBoldBlue"/>
        <w:numPr>
          <w:ilvl w:val="0"/>
          <w:numId w:val="13"/>
        </w:numPr>
      </w:pPr>
      <w:r>
        <w:t>Default spreads can move independently of the MRP</w:t>
      </w:r>
    </w:p>
    <w:p w:rsidR="006B0748" w:rsidRDefault="006B0748" w:rsidP="006B0748">
      <w:pPr>
        <w:pStyle w:val="AERbodytext"/>
        <w:numPr>
          <w:ilvl w:val="0"/>
          <w:numId w:val="13"/>
        </w:numPr>
      </w:pPr>
      <w:r>
        <w:t>The AER considers default spreads can move independently of the MRP. McKenzie and Partington explained that for the cost of debt, the DRP captures changes in default risk. T</w:t>
      </w:r>
      <w:r w:rsidRPr="006E2BD3">
        <w:t>here is</w:t>
      </w:r>
      <w:r>
        <w:t>, however,</w:t>
      </w:r>
      <w:r w:rsidRPr="006E2BD3">
        <w:t xml:space="preserve"> no </w:t>
      </w:r>
      <w:r>
        <w:t xml:space="preserve">corresponding </w:t>
      </w:r>
      <w:r w:rsidRPr="006E2BD3">
        <w:t>default risk adjustment in the CAPM</w:t>
      </w:r>
      <w:r>
        <w:t>. Instead, for the cost of equity, expected cash flows adjust to reflect changes in the level of default risk. The required return on equity, therefore, does not necessarily change given a change in default spreads.</w:t>
      </w:r>
      <w:r w:rsidRPr="00543C83">
        <w:rPr>
          <w:rStyle w:val="FootnoteReference"/>
        </w:rPr>
        <w:t xml:space="preserve"> </w:t>
      </w:r>
      <w:r>
        <w:rPr>
          <w:rStyle w:val="FootnoteReference"/>
        </w:rPr>
        <w:footnoteReference w:id="205"/>
      </w:r>
    </w:p>
    <w:p w:rsidR="006B0748" w:rsidRDefault="006B0748" w:rsidP="006B0748">
      <w:pPr>
        <w:pStyle w:val="AERbodytext"/>
        <w:numPr>
          <w:ilvl w:val="0"/>
          <w:numId w:val="13"/>
        </w:numPr>
      </w:pPr>
      <w:r>
        <w:t xml:space="preserve">The explanation above is particularly important in the context of SFG’s and CEG’s assumption that increases in default spreads must correspond with a higher MRP. On the basis of the McKenzie and Partington report, it appears that SFG’s and CEG’s fundamental assumptions are incorrect. The relevant section in McKenzie and Partington’s report is section 1. </w:t>
      </w:r>
    </w:p>
    <w:p w:rsidR="006B0748" w:rsidRDefault="006B0748" w:rsidP="006B0748">
      <w:pPr>
        <w:pStyle w:val="HeadingBoldBlue"/>
        <w:numPr>
          <w:ilvl w:val="0"/>
          <w:numId w:val="13"/>
        </w:numPr>
      </w:pPr>
      <w:r>
        <w:t>Comparability of debt and equity returns</w:t>
      </w:r>
    </w:p>
    <w:p w:rsidR="006B0748" w:rsidRDefault="006B0748" w:rsidP="006B0748">
      <w:pPr>
        <w:pStyle w:val="AERbodytext"/>
        <w:numPr>
          <w:ilvl w:val="0"/>
          <w:numId w:val="13"/>
        </w:numPr>
      </w:pPr>
      <w:r>
        <w:t>Setting aside the lack of consensus on the relationship between debt and equity premiums, co</w:t>
      </w:r>
      <w:r w:rsidRPr="006C4F2D">
        <w:t xml:space="preserve">mparisons between the </w:t>
      </w:r>
      <w:r>
        <w:t xml:space="preserve">relative </w:t>
      </w:r>
      <w:r w:rsidRPr="006C4F2D">
        <w:t>costs of debt and equity</w:t>
      </w:r>
      <w:r>
        <w:t xml:space="preserve"> </w:t>
      </w:r>
      <w:r w:rsidRPr="006C4F2D">
        <w:t xml:space="preserve">should </w:t>
      </w:r>
      <w:r>
        <w:t xml:space="preserve">still </w:t>
      </w:r>
      <w:r w:rsidRPr="006C4F2D">
        <w:t>be considered with caution.</w:t>
      </w:r>
      <w:r>
        <w:t xml:space="preserve"> In particular</w:t>
      </w:r>
      <w:r w:rsidRPr="006C4F2D">
        <w:t xml:space="preserve">, to the extent that </w:t>
      </w:r>
      <w:r>
        <w:t>debt and equity returns are compared,</w:t>
      </w:r>
      <w:r w:rsidRPr="006C4F2D">
        <w:t xml:space="preserve"> it is important comparisons be</w:t>
      </w:r>
      <w:r>
        <w:t xml:space="preserve"> made on a consistent basis. For example, the return on equity estimated by the AER </w:t>
      </w:r>
      <w:r w:rsidRPr="006C4F2D">
        <w:t>is an expected return, while the return on debt is a promised return</w:t>
      </w:r>
      <w:r>
        <w:t>. Additionally, the return on equity estimated by the AER is a post–tax measure, while the return on debt is a pre–tax value. The need to compare estimates on a consistent basis is supported by McKenzie and Partington.</w:t>
      </w:r>
      <w:r>
        <w:rPr>
          <w:rStyle w:val="FootnoteReference"/>
        </w:rPr>
        <w:footnoteReference w:id="206"/>
      </w:r>
    </w:p>
    <w:p w:rsidR="006B0748" w:rsidRDefault="006B0748" w:rsidP="006B0748">
      <w:pPr>
        <w:pStyle w:val="AERbodytext"/>
        <w:numPr>
          <w:ilvl w:val="0"/>
          <w:numId w:val="13"/>
        </w:numPr>
      </w:pPr>
      <w:r>
        <w:t>The need for adjustments</w:t>
      </w:r>
      <w:r w:rsidRPr="0055684B">
        <w:t xml:space="preserve"> is discussed in greater detail in </w:t>
      </w:r>
      <w:r w:rsidRPr="00290853">
        <w:t>section</w:t>
      </w:r>
      <w:r>
        <w:t> </w:t>
      </w:r>
      <w:r w:rsidR="009B2237">
        <w:fldChar w:fldCharType="begin"/>
      </w:r>
      <w:r>
        <w:instrText xml:space="preserve"> </w:instrText>
      </w:r>
      <w:r>
        <w:rPr>
          <w:rFonts w:hint="eastAsia"/>
        </w:rPr>
        <w:instrText>REF _Ref350877949 \r \h</w:instrText>
      </w:r>
      <w:r>
        <w:instrText xml:space="preserve"> </w:instrText>
      </w:r>
      <w:r w:rsidR="009B2237">
        <w:fldChar w:fldCharType="separate"/>
      </w:r>
      <w:r>
        <w:t>B.7.2</w:t>
      </w:r>
      <w:r w:rsidR="009B2237">
        <w:fldChar w:fldCharType="end"/>
      </w:r>
      <w:r w:rsidRPr="0055684B">
        <w:t xml:space="preserve">. </w:t>
      </w:r>
      <w:r>
        <w:t xml:space="preserve">It is </w:t>
      </w:r>
      <w:proofErr w:type="gramStart"/>
      <w:r>
        <w:t>notable,</w:t>
      </w:r>
      <w:proofErr w:type="gramEnd"/>
      <w:r>
        <w:t xml:space="preserve"> however, that SFG do not make any adjustments when</w:t>
      </w:r>
      <w:r w:rsidRPr="00B23B88">
        <w:t xml:space="preserve"> </w:t>
      </w:r>
      <w:r>
        <w:t>comparing promised debt returns to expected equity returns.</w:t>
      </w:r>
      <w:r>
        <w:rPr>
          <w:rStyle w:val="FootnoteReference"/>
        </w:rPr>
        <w:footnoteReference w:id="207"/>
      </w:r>
      <w:r>
        <w:t xml:space="preserve"> This underestimates the existing spread between regulatory debt and equity returns. In contrast, it is likely to lead to overstated expectations of any</w:t>
      </w:r>
      <w:r w:rsidRPr="0055684B">
        <w:t xml:space="preserve"> increases in the MRP inferred from relative debt premiums.</w:t>
      </w:r>
      <w:r w:rsidRPr="0055684B">
        <w:rPr>
          <w:rStyle w:val="FootnoteReference"/>
        </w:rPr>
        <w:footnoteReference w:id="208"/>
      </w:r>
      <w:r w:rsidRPr="0055684B">
        <w:t xml:space="preserve"> This is because promised returns will be greater than expected returns, and pre–tax returns greater than post–tax returns.</w:t>
      </w:r>
    </w:p>
    <w:p w:rsidR="006B0748" w:rsidRPr="00691ED9" w:rsidRDefault="006B0748" w:rsidP="006B0748">
      <w:pPr>
        <w:pStyle w:val="Heading8"/>
      </w:pPr>
      <w:bookmarkStart w:id="52" w:name="_Ref349052368"/>
      <w:bookmarkStart w:id="53" w:name="_Toc350951038"/>
      <w:bookmarkStart w:id="54" w:name="_Ref350354884"/>
      <w:r w:rsidRPr="00691ED9">
        <w:t>Dividend Growth Model</w:t>
      </w:r>
      <w:bookmarkEnd w:id="52"/>
      <w:bookmarkEnd w:id="53"/>
    </w:p>
    <w:p w:rsidR="006B0748" w:rsidRPr="00502A16" w:rsidRDefault="006B0748" w:rsidP="006B0748">
      <w:pPr>
        <w:pStyle w:val="AERbodytext"/>
        <w:numPr>
          <w:ilvl w:val="0"/>
          <w:numId w:val="13"/>
        </w:numPr>
      </w:pPr>
      <w:r w:rsidRPr="00502A16">
        <w:t xml:space="preserve">In both the initial proposal and the revised proposal, </w:t>
      </w:r>
      <w:r>
        <w:t>Multinet</w:t>
      </w:r>
      <w:r w:rsidRPr="00502A16">
        <w:t xml:space="preserve"> submitted consultant reports that derived DGM </w:t>
      </w:r>
      <w:r>
        <w:t xml:space="preserve">based </w:t>
      </w:r>
      <w:r w:rsidRPr="00502A16">
        <w:t>MRP estimates. In attachment</w:t>
      </w:r>
      <w:r>
        <w:t xml:space="preserve"> 5, the AER considers</w:t>
      </w:r>
      <w:r w:rsidRPr="00502A16">
        <w:t xml:space="preserve"> the use of DGM to estimate the prevailing MRP and noted it </w:t>
      </w:r>
      <w:r>
        <w:t>would</w:t>
      </w:r>
      <w:r w:rsidRPr="00502A16">
        <w:t xml:space="preserve"> discuss further considerations on the DGM in the appendix. This appendix considers four aspects of the dividend growth model:</w:t>
      </w:r>
    </w:p>
    <w:p w:rsidR="006B0748" w:rsidRPr="00502A16" w:rsidRDefault="006B0748" w:rsidP="006B0748">
      <w:pPr>
        <w:pStyle w:val="AERbulletlistfirststyle"/>
      </w:pPr>
      <w:r w:rsidRPr="00502A16">
        <w:t xml:space="preserve">use of </w:t>
      </w:r>
      <w:r>
        <w:t xml:space="preserve">the </w:t>
      </w:r>
      <w:r w:rsidRPr="00502A16">
        <w:t>dividend growth model to estimate the MRP</w:t>
      </w:r>
    </w:p>
    <w:p w:rsidR="006B0748" w:rsidRPr="00502A16" w:rsidRDefault="006B0748" w:rsidP="006B0748">
      <w:pPr>
        <w:pStyle w:val="AERbulletlistfirststyle"/>
      </w:pPr>
      <w:r w:rsidRPr="00502A16">
        <w:t xml:space="preserve">use of </w:t>
      </w:r>
      <w:r>
        <w:t xml:space="preserve">the </w:t>
      </w:r>
      <w:r w:rsidRPr="00502A16">
        <w:t>dividend growth model to estimate the cost of equity</w:t>
      </w:r>
    </w:p>
    <w:p w:rsidR="006B0748" w:rsidRPr="00502A16" w:rsidRDefault="006B0748" w:rsidP="006B0748">
      <w:pPr>
        <w:pStyle w:val="AERbulletlistfirststyle"/>
      </w:pPr>
      <w:r>
        <w:t>the dividend growth model as a source of</w:t>
      </w:r>
      <w:r w:rsidRPr="00502A16">
        <w:t xml:space="preserve"> evidence of </w:t>
      </w:r>
      <w:r>
        <w:t xml:space="preserve">a </w:t>
      </w:r>
      <w:r w:rsidRPr="00502A16">
        <w:t>negative relationship between the risk free rate and the MRP, and</w:t>
      </w:r>
    </w:p>
    <w:p w:rsidR="006B0748" w:rsidRPr="00502A16" w:rsidRDefault="006B0748" w:rsidP="006B0748">
      <w:pPr>
        <w:pStyle w:val="AERbulletlistfirststyle"/>
      </w:pPr>
      <w:r w:rsidRPr="00502A16">
        <w:t>dividend yields</w:t>
      </w:r>
      <w:r>
        <w:t xml:space="preserve"> (which are a key input into the DGM constructed by CEG)</w:t>
      </w:r>
    </w:p>
    <w:p w:rsidR="006B0748" w:rsidRPr="00691ED9" w:rsidRDefault="006B0748" w:rsidP="006B0748">
      <w:pPr>
        <w:pStyle w:val="Heading9"/>
      </w:pPr>
      <w:bookmarkStart w:id="55" w:name="_Ref349836611"/>
      <w:r w:rsidRPr="00691ED9">
        <w:t>Dividend growth model estimates of the market risk premium</w:t>
      </w:r>
      <w:bookmarkEnd w:id="55"/>
    </w:p>
    <w:p w:rsidR="006B0748" w:rsidRPr="00502A16" w:rsidRDefault="006B0748" w:rsidP="006B0748">
      <w:r>
        <w:t>Multinet</w:t>
      </w:r>
      <w:r w:rsidRPr="00502A16">
        <w:t xml:space="preserve"> submitted DGM </w:t>
      </w:r>
      <w:r>
        <w:t xml:space="preserve">based </w:t>
      </w:r>
      <w:r w:rsidRPr="00502A16">
        <w:t xml:space="preserve">MRP estimates derived by CEG, Capital Research and NERA in </w:t>
      </w:r>
      <w:r>
        <w:t>its</w:t>
      </w:r>
      <w:r w:rsidRPr="00502A16">
        <w:t xml:space="preserve"> initial proposal. However, in </w:t>
      </w:r>
      <w:r>
        <w:t>its</w:t>
      </w:r>
      <w:r w:rsidRPr="00502A16">
        <w:t xml:space="preserve"> revised proposal, only </w:t>
      </w:r>
      <w:r>
        <w:t xml:space="preserve">an update of </w:t>
      </w:r>
      <w:r w:rsidRPr="00502A16">
        <w:t xml:space="preserve">DGM </w:t>
      </w:r>
      <w:r>
        <w:t xml:space="preserve">based </w:t>
      </w:r>
      <w:r w:rsidRPr="00502A16">
        <w:t xml:space="preserve">MRP </w:t>
      </w:r>
      <w:r>
        <w:t>estimates from CEG</w:t>
      </w:r>
      <w:r w:rsidRPr="00502A16">
        <w:t xml:space="preserve"> was submitted. The AER considers DGM analysis can provide some information on the expected MRP, but it is subject to a number of limitations.</w:t>
      </w:r>
    </w:p>
    <w:p w:rsidR="006B0748" w:rsidRPr="00502A16" w:rsidRDefault="006B0748" w:rsidP="006B0748">
      <w:r w:rsidRPr="00502A16">
        <w:t xml:space="preserve">In response to </w:t>
      </w:r>
      <w:r>
        <w:t>Multin</w:t>
      </w:r>
      <w:r w:rsidRPr="00502A16">
        <w:t xml:space="preserve">et's revised proposal and CEG's updated cost of equity submission, the AER commissioned and received a further report from Associate Professor Lally on the dividend growth model. In the February 2013 DGM report, Lally found CEG's DGM approach is subject to </w:t>
      </w:r>
      <w:r>
        <w:t xml:space="preserve">the </w:t>
      </w:r>
      <w:r w:rsidRPr="00502A16">
        <w:t>following problems:</w:t>
      </w:r>
      <w:r w:rsidRPr="00502A16">
        <w:rPr>
          <w:rStyle w:val="FootnoteReference"/>
        </w:rPr>
        <w:footnoteReference w:id="209"/>
      </w:r>
      <w:r w:rsidRPr="00502A16">
        <w:t xml:space="preserve"> </w:t>
      </w:r>
    </w:p>
    <w:p w:rsidR="006B0748" w:rsidRPr="00502A16" w:rsidRDefault="006B0748" w:rsidP="006B0748">
      <w:pPr>
        <w:pStyle w:val="AERbulletlistfirststyle"/>
      </w:pPr>
      <w:r w:rsidRPr="00502A16">
        <w:t xml:space="preserve">CEG's conventional DGM approach will overestimate the MRP when the risk free rate is low, because the DGM assumes that the market cost of equity never changes over time, and therefore that any changes in the MRP and the risk free rate are perfectly offsetting. </w:t>
      </w:r>
    </w:p>
    <w:p w:rsidR="006B0748" w:rsidRPr="00502A16" w:rsidRDefault="006B0748" w:rsidP="006B0748">
      <w:pPr>
        <w:pStyle w:val="AERbulletlistfirststyle"/>
      </w:pPr>
      <w:r w:rsidRPr="00502A16">
        <w:t>The DGM estimates assume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discount rate. CEG’s observation that the CGS yield might also not be rational is not only irrelevant to this point but would in any case net</w:t>
      </w:r>
      <w:r>
        <w:t>s</w:t>
      </w:r>
      <w:r w:rsidRPr="00502A16">
        <w:t xml:space="preserve"> out in the MRP estimate.</w:t>
      </w:r>
    </w:p>
    <w:p w:rsidR="006B0748" w:rsidRPr="00502A16" w:rsidRDefault="006B0748" w:rsidP="006B0748">
      <w:pPr>
        <w:pStyle w:val="AERbulletlistfirststyle"/>
      </w:pPr>
      <w:r w:rsidRPr="00502A16">
        <w:t>DGM is prone to errors in the presence of both short term and long term changes in the market’s earnings retention rate. CEG does not contest this point.</w:t>
      </w:r>
    </w:p>
    <w:p w:rsidR="006B0748" w:rsidRPr="00502A16" w:rsidRDefault="006B0748" w:rsidP="006B0748">
      <w:pPr>
        <w:pStyle w:val="AERbulletlistfirststyle"/>
      </w:pPr>
      <w:r w:rsidRPr="00502A16">
        <w:t xml:space="preserve">In relation to </w:t>
      </w:r>
      <w:r>
        <w:t>Lally's previous</w:t>
      </w:r>
      <w:r w:rsidRPr="00502A16">
        <w:t xml:space="preserve"> point that CEG’s formula for the market cost of equity is mathematically wrong, CEG neither contest this point nor does it correct it in its latest paper.</w:t>
      </w:r>
    </w:p>
    <w:p w:rsidR="006B0748" w:rsidRPr="00502A16" w:rsidRDefault="006B0748" w:rsidP="006B0748">
      <w:pPr>
        <w:pStyle w:val="AERbulletlistfirststyle"/>
      </w:pPr>
      <w:r w:rsidRPr="00502A16">
        <w:t>CEG’s argument that the long run growth rate in the dividends per share of existing firms matches that for GDP, because new firms are funded from the dividends paid by existing firms, is not valid.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does not supply any analysis in support of this argument.</w:t>
      </w:r>
    </w:p>
    <w:p w:rsidR="006B0748" w:rsidRPr="00502A16" w:rsidRDefault="006B0748" w:rsidP="006B0748">
      <w:pPr>
        <w:pStyle w:val="AERbodytext"/>
        <w:numPr>
          <w:ilvl w:val="0"/>
          <w:numId w:val="13"/>
        </w:numPr>
        <w:rPr>
          <w:rStyle w:val="AERbody"/>
        </w:rPr>
      </w:pPr>
      <w:bookmarkStart w:id="56" w:name="_Ref331513371"/>
      <w:r w:rsidRPr="00502A16">
        <w:t>Aside from the CEG, Capital Research, NERA and Associate Professor Lally all recommended the use of DGM analysis in estimating a forwarding looking MRP, although to a different degree. The DGM estimates derived by CEG, Capital Research and NERA support an MRP estimate significantly above 6 per cent.</w:t>
      </w:r>
      <w:r w:rsidRPr="00502A16">
        <w:rPr>
          <w:rStyle w:val="FootnoteReference"/>
        </w:rPr>
        <w:footnoteReference w:id="210"/>
      </w:r>
      <w:r w:rsidRPr="00502A16">
        <w:t xml:space="preserve"> Lally estimated a prevailing DGM </w:t>
      </w:r>
      <w:r>
        <w:t xml:space="preserve">based </w:t>
      </w:r>
      <w:r w:rsidRPr="00502A16">
        <w:t>MRP in the range of 5.9-8.4 per cent</w:t>
      </w:r>
      <w:r w:rsidRPr="00502A16">
        <w:rPr>
          <w:rStyle w:val="FootnoteReference"/>
        </w:rPr>
        <w:footnoteReference w:id="211"/>
      </w:r>
      <w:r w:rsidRPr="00502A16">
        <w:t xml:space="preserve">. As noted in attachment </w:t>
      </w:r>
      <w:r>
        <w:t>5.3.3</w:t>
      </w:r>
      <w:r w:rsidRPr="00502A16">
        <w:t>, the AER considers DGM based analysis of the MRP can provide some information on the expected MRP. However, due to the sensitivity of results to input assumptions in the model, it considers the DGM estimates should be treated with caution. This view is also consistent with McKenzie and Partington's recommendation.</w:t>
      </w:r>
      <w:r w:rsidRPr="00502A16">
        <w:rPr>
          <w:rStyle w:val="FootnoteReference"/>
        </w:rPr>
        <w:footnoteReference w:id="212"/>
      </w:r>
    </w:p>
    <w:p w:rsidR="006B0748" w:rsidRPr="006B0748" w:rsidRDefault="006B0748" w:rsidP="006B0748">
      <w:pPr>
        <w:pStyle w:val="AERbodytext"/>
        <w:numPr>
          <w:ilvl w:val="0"/>
          <w:numId w:val="13"/>
        </w:numPr>
        <w:rPr>
          <w:rFonts w:eastAsia="Calibri"/>
        </w:rPr>
      </w:pPr>
      <w:r w:rsidRPr="006B0748">
        <w:rPr>
          <w:rFonts w:eastAsia="Calibri"/>
        </w:rPr>
        <w:t xml:space="preserve">Capital Research's DGM analysis demonstrated the DGM analysis can be very sensitive to the assumptions made. </w:t>
      </w:r>
      <w:r w:rsidRPr="00502A16">
        <w:t xml:space="preserve">In the February 2012 report, Capital Research </w:t>
      </w:r>
      <w:r w:rsidRPr="006B0748">
        <w:rPr>
          <w:rFonts w:eastAsia="Calibri"/>
        </w:rPr>
        <w:t>estimated an implied MRP range of 6.6 to 7.5 per cent. In estimating this range, it assumed a compound average growth rate of 7 per cent based on analysts' forecasts, and a theta value of between 0 and 0.5.</w:t>
      </w:r>
      <w:r w:rsidRPr="006B0748">
        <w:rPr>
          <w:rStyle w:val="FootnoteReference"/>
          <w:rFonts w:eastAsia="Calibri"/>
        </w:rPr>
        <w:footnoteReference w:id="213"/>
      </w:r>
      <w:r w:rsidRPr="006B0748">
        <w:rPr>
          <w:rFonts w:eastAsia="Calibri"/>
        </w:rPr>
        <w:t xml:space="preserve">  It also illustrated an increase of 0.5 in the theta assumption translates to a 0.8 to 1.2 per cent increase in the implied MRP.</w:t>
      </w:r>
      <w:r w:rsidRPr="006B0748">
        <w:rPr>
          <w:rStyle w:val="FootnoteReference"/>
          <w:rFonts w:eastAsia="Calibri"/>
        </w:rPr>
        <w:footnoteReference w:id="214"/>
      </w:r>
      <w:r w:rsidRPr="006B0748">
        <w:rPr>
          <w:rFonts w:eastAsia="Calibri"/>
        </w:rPr>
        <w:t xml:space="preserve"> Further, in the March 2012 report, just one month apart, Capital Research updated this estimate to 9.6 per cent (an increase of more than 2 per cent) with a more recent risk free rate and a net theta value of 0.2625.</w:t>
      </w:r>
      <w:r w:rsidRPr="006B0748">
        <w:rPr>
          <w:rStyle w:val="FootnoteReference"/>
          <w:rFonts w:eastAsia="Calibri"/>
        </w:rPr>
        <w:footnoteReference w:id="215"/>
      </w:r>
    </w:p>
    <w:p w:rsidR="006B0748" w:rsidRDefault="006B0748" w:rsidP="006B0748">
      <w:pPr>
        <w:pStyle w:val="AERbodytext"/>
        <w:numPr>
          <w:ilvl w:val="0"/>
          <w:numId w:val="13"/>
        </w:numPr>
      </w:pPr>
      <w:r w:rsidRPr="00502A16">
        <w:t>The AER also notes Capital Research has derived negative MRP estimates from DGM analysis for the period 1980–2004 in its 2005 report. Capital Research suggested a negative result is ‘nonsense’.</w:t>
      </w:r>
      <w:r w:rsidRPr="00502A16">
        <w:rPr>
          <w:rStyle w:val="FootnoteReference"/>
        </w:rPr>
        <w:footnoteReference w:id="216"/>
      </w:r>
      <w:r w:rsidRPr="00502A16">
        <w:t xml:space="preserve">  </w:t>
      </w:r>
    </w:p>
    <w:p w:rsidR="006B0748" w:rsidRPr="006B0748" w:rsidRDefault="006B0748" w:rsidP="006B0748">
      <w:pPr>
        <w:pStyle w:val="AERbodytext"/>
        <w:numPr>
          <w:ilvl w:val="0"/>
          <w:numId w:val="13"/>
        </w:numPr>
        <w:rPr>
          <w:rFonts w:eastAsia="Calibri"/>
        </w:rPr>
      </w:pPr>
      <w:r w:rsidRPr="00502A16">
        <w:t>Similarly, the CEG AMP method was producing MRP estimates at or below zero per cent back in 1994. Lally identified this problem in its July 2012 report. CEG accepted Lally's criticism and has revised the chart using 10 year inflation indexed CGS yields. This leads to a new time series of MRP estimates that is free of the implausible zero values.</w:t>
      </w:r>
      <w:r w:rsidRPr="00502A16">
        <w:rPr>
          <w:rStyle w:val="FootnoteReference"/>
        </w:rPr>
        <w:footnoteReference w:id="217"/>
      </w:r>
      <w:r w:rsidRPr="00502A16">
        <w:t xml:space="preserve"> However, Lally further noted even with this revision, the MRP estimates are still subject to the problem that they will be too extreme when the risk free rate is extreme. The AER notes the revised CEG chart was still producing an MRP close to 2 per cent back in 1994.  </w:t>
      </w:r>
    </w:p>
    <w:p w:rsidR="006B0748" w:rsidRPr="00B367FF" w:rsidRDefault="006B0748" w:rsidP="006B0748">
      <w:pPr>
        <w:pStyle w:val="HeadingBoldBlue"/>
        <w:numPr>
          <w:ilvl w:val="0"/>
          <w:numId w:val="13"/>
        </w:numPr>
      </w:pPr>
      <w:r w:rsidRPr="00B367FF">
        <w:t>Bias in the dividend growth model estimates</w:t>
      </w:r>
    </w:p>
    <w:p w:rsidR="006B0748" w:rsidRPr="00502A16" w:rsidRDefault="006B0748" w:rsidP="006B0748">
      <w:pPr>
        <w:pStyle w:val="AERbodytext"/>
        <w:numPr>
          <w:ilvl w:val="0"/>
          <w:numId w:val="13"/>
        </w:numPr>
      </w:pPr>
      <w:r w:rsidRPr="00502A16">
        <w:rPr>
          <w:rStyle w:val="AERbody"/>
        </w:rPr>
        <w:t>In the July 2012 report, Lally noted other problems with the DGM analysis</w:t>
      </w:r>
      <w:r w:rsidRPr="00502A16">
        <w:t>:</w:t>
      </w:r>
    </w:p>
    <w:p w:rsidR="006B0748" w:rsidRPr="00502A16" w:rsidRDefault="006B0748" w:rsidP="006B0748">
      <w:pPr>
        <w:pStyle w:val="AERbulletlistfirststyle"/>
      </w:pPr>
      <w:r w:rsidRPr="00502A16">
        <w:t>At a given time, the estimated cost of equity for the market is assumed to be the same for all future years. This ‘perfect offsetting’ hypothesis is implausible.</w:t>
      </w:r>
    </w:p>
    <w:p w:rsidR="006B0748" w:rsidRPr="00502A16" w:rsidRDefault="006B0748" w:rsidP="006B0748">
      <w:pPr>
        <w:pStyle w:val="AERbulletlistfirststyle"/>
      </w:pPr>
      <w:r w:rsidRPr="00502A16">
        <w:t>The method assumes the current value of the market matches the present value of future dividends. If the current value of the market is below the present value of future dividends, then the resulting estimate of the market risk premium will be too high.</w:t>
      </w:r>
    </w:p>
    <w:p w:rsidR="006B0748" w:rsidRPr="00502A16" w:rsidRDefault="006B0748" w:rsidP="006B0748">
      <w:pPr>
        <w:pStyle w:val="AERbulletlistfirststyle"/>
      </w:pPr>
      <w:r w:rsidRPr="00502A16">
        <w:t>Short term fluctuations in the market’s earnings retention rate have a significant impact on the estimates. The DGM method does not account for these changes.</w:t>
      </w:r>
      <w:r w:rsidRPr="00502A16">
        <w:rPr>
          <w:rStyle w:val="FootnoteReference"/>
        </w:rPr>
        <w:footnoteReference w:id="218"/>
      </w:r>
    </w:p>
    <w:bookmarkEnd w:id="56"/>
    <w:p w:rsidR="006B0748" w:rsidRPr="00502A16" w:rsidRDefault="006B0748" w:rsidP="006B0748">
      <w:pPr>
        <w:pStyle w:val="AERbodytext"/>
        <w:numPr>
          <w:ilvl w:val="0"/>
          <w:numId w:val="13"/>
        </w:numPr>
        <w:rPr>
          <w:rStyle w:val="AERbody"/>
        </w:rPr>
      </w:pPr>
      <w:r w:rsidRPr="00502A16">
        <w:rPr>
          <w:rStyle w:val="AERbody"/>
        </w:rPr>
        <w:t xml:space="preserve">In addition to the above limitations, Lally identified two further problems with the DGM MRP estimate derived by CEG: </w:t>
      </w:r>
    </w:p>
    <w:p w:rsidR="006B0748" w:rsidRPr="00502A16" w:rsidRDefault="006B0748" w:rsidP="006B0748">
      <w:pPr>
        <w:pStyle w:val="AERbulletlistfirststyle"/>
        <w:rPr>
          <w:rStyle w:val="AERbody"/>
        </w:rPr>
      </w:pPr>
      <w:r w:rsidRPr="00502A16">
        <w:rPr>
          <w:rStyle w:val="AERbody"/>
        </w:rPr>
        <w:t>By using the historical dividend yield, CEG ignores the (1+g) term in deriving the market cost of equity.</w:t>
      </w:r>
    </w:p>
    <w:p w:rsidR="006B0748" w:rsidRPr="00502A16" w:rsidRDefault="006B0748" w:rsidP="006B0748">
      <w:pPr>
        <w:pStyle w:val="AERbulletlistfirststyle"/>
        <w:rPr>
          <w:rStyle w:val="AERbody"/>
        </w:rPr>
      </w:pPr>
      <w:r w:rsidRPr="00502A16">
        <w:rPr>
          <w:rStyle w:val="AERbody"/>
        </w:rPr>
        <w:t>It is inappropriate for CEG to set the dividend growth to the long term GDP growth. By making such an assumption, the expected long term growth rate in all dividends from all companies would exceed that for gross domestic product. This outcome is logically impossible.</w:t>
      </w:r>
      <w:r w:rsidRPr="00502A16">
        <w:rPr>
          <w:rStyle w:val="FootnoteReference"/>
        </w:rPr>
        <w:footnoteReference w:id="219"/>
      </w:r>
      <w:r w:rsidRPr="00502A16">
        <w:rPr>
          <w:rStyle w:val="AERbody"/>
        </w:rPr>
        <w:t xml:space="preserve"> </w:t>
      </w:r>
    </w:p>
    <w:p w:rsidR="006B0748" w:rsidRPr="00502A16" w:rsidRDefault="006B0748" w:rsidP="006B0748">
      <w:pPr>
        <w:pStyle w:val="AERbodytext"/>
        <w:numPr>
          <w:ilvl w:val="0"/>
          <w:numId w:val="13"/>
        </w:numPr>
      </w:pPr>
      <w:r w:rsidRPr="00502A16">
        <w:t>Lally considered the net effect of these two problems is to overestimate the MRP by about 1 per cent. This overestimation is additional to the limitations discussed above.</w:t>
      </w:r>
      <w:r w:rsidRPr="00502A16">
        <w:rPr>
          <w:rStyle w:val="FootnoteReference"/>
        </w:rPr>
        <w:footnoteReference w:id="220"/>
      </w:r>
      <w:r w:rsidRPr="00502A16">
        <w:t xml:space="preserve"> </w:t>
      </w:r>
    </w:p>
    <w:p w:rsidR="006B0748" w:rsidRPr="00B367FF" w:rsidRDefault="006B0748" w:rsidP="006B0748">
      <w:pPr>
        <w:pStyle w:val="HeadingBoldBlue"/>
        <w:numPr>
          <w:ilvl w:val="0"/>
          <w:numId w:val="13"/>
        </w:numPr>
      </w:pPr>
      <w:r w:rsidRPr="00B367FF">
        <w:t>Conclusion</w:t>
      </w:r>
    </w:p>
    <w:p w:rsidR="006B0748" w:rsidRPr="00502A16" w:rsidRDefault="006B0748" w:rsidP="006B0748">
      <w:pPr>
        <w:pStyle w:val="AERbodytext"/>
        <w:numPr>
          <w:ilvl w:val="0"/>
          <w:numId w:val="13"/>
        </w:numPr>
      </w:pPr>
      <w:r w:rsidRPr="00502A16">
        <w:t xml:space="preserve">Based on the above considerations, the AER considers DGM estimates should be treated with caution when estimating the appropriate MRP. While DGM analysis is producing high MRP estimates, it was producing MRP estimates below 6 per cent prior to 2008. In addition, the AER's preferred MRP estimate of 6 per cent falls in the DGM MRP estimation range calculated by Lally. </w:t>
      </w:r>
    </w:p>
    <w:p w:rsidR="006B0748" w:rsidRPr="00502A16" w:rsidRDefault="006B0748" w:rsidP="006B0748">
      <w:r w:rsidRPr="00502A16">
        <w:t>Further, some fund managers believe the DGM MRP estimates in the US provide a lower bound while the DGM estimates in Australia represent an upper bound for developed capital markets.</w:t>
      </w:r>
      <w:r w:rsidRPr="00502A16">
        <w:rPr>
          <w:rStyle w:val="FootnoteReference"/>
        </w:rPr>
        <w:footnoteReference w:id="221"/>
      </w:r>
      <w:r w:rsidRPr="00502A16">
        <w:t xml:space="preserve"> Based on this observation, the AER considers Australian DGM estimates might be somewhat anomalous. It does not consider Australia has the highest market risk across all the developed countries.</w:t>
      </w:r>
    </w:p>
    <w:p w:rsidR="006B0748" w:rsidRDefault="006B0748" w:rsidP="006B0748">
      <w:pPr>
        <w:pStyle w:val="AERbodytext"/>
        <w:numPr>
          <w:ilvl w:val="0"/>
          <w:numId w:val="13"/>
        </w:numPr>
      </w:pPr>
      <w:r w:rsidRPr="00502A16">
        <w:t>The relevant sections in Associate Professo</w:t>
      </w:r>
      <w:r>
        <w:t xml:space="preserve">r Lally’s report are sections 2 to </w:t>
      </w:r>
      <w:r w:rsidRPr="00502A16">
        <w:t>7.</w:t>
      </w:r>
    </w:p>
    <w:p w:rsidR="006B0748" w:rsidRPr="00691ED9" w:rsidRDefault="006B0748" w:rsidP="006B0748">
      <w:pPr>
        <w:pStyle w:val="Heading9"/>
      </w:pPr>
      <w:bookmarkStart w:id="57" w:name="_Ref349553251"/>
      <w:r w:rsidRPr="00691ED9">
        <w:t>Dividend growth model estimates of the cost of equity</w:t>
      </w:r>
      <w:bookmarkEnd w:id="57"/>
    </w:p>
    <w:p w:rsidR="006B0748" w:rsidRPr="00502A16" w:rsidRDefault="006B0748" w:rsidP="006B0748">
      <w:pPr>
        <w:pStyle w:val="AERbodytext"/>
        <w:numPr>
          <w:ilvl w:val="0"/>
          <w:numId w:val="13"/>
        </w:numPr>
      </w:pPr>
      <w:r>
        <w:t xml:space="preserve">A </w:t>
      </w:r>
      <w:r w:rsidRPr="00502A16">
        <w:t xml:space="preserve">DGM can also be used to derive </w:t>
      </w:r>
      <w:r>
        <w:t xml:space="preserve">overall </w:t>
      </w:r>
      <w:r w:rsidRPr="00502A16">
        <w:t>cost of equity estimates</w:t>
      </w:r>
      <w:r>
        <w:t>, rather than MRP estimates</w:t>
      </w:r>
      <w:r w:rsidRPr="00502A16">
        <w:t xml:space="preserve">. CEG estimated a DGM </w:t>
      </w:r>
      <w:r>
        <w:t xml:space="preserve">based </w:t>
      </w:r>
      <w:r w:rsidRPr="00502A16">
        <w:t>nominal cost of equity for regulated businesses in the range of 10.4 - 14.1 per cent and a DGM nominal cost of equity for the market of 10.16 per cent.</w:t>
      </w:r>
      <w:r w:rsidRPr="00502A16">
        <w:rPr>
          <w:rStyle w:val="FootnoteReference"/>
        </w:rPr>
        <w:footnoteReference w:id="222"/>
      </w:r>
      <w:r w:rsidRPr="00502A16">
        <w:t xml:space="preserve"> However, none of the Victorian </w:t>
      </w:r>
      <w:r>
        <w:t xml:space="preserve">gas </w:t>
      </w:r>
      <w:r w:rsidRPr="00502A16">
        <w:t xml:space="preserve">businesses proposed this approach. Therefore the AER does not discuss this approach extensively here. It notes using DGM to estimate the cost of equity is subject to similar limitations as using DGM to estimate MRP. </w:t>
      </w:r>
    </w:p>
    <w:p w:rsidR="006B0748" w:rsidRPr="00502A16" w:rsidRDefault="006B0748" w:rsidP="006B0748">
      <w:pPr>
        <w:pStyle w:val="AERbodytext"/>
        <w:numPr>
          <w:ilvl w:val="0"/>
          <w:numId w:val="13"/>
        </w:numPr>
      </w:pPr>
      <w:r w:rsidRPr="00502A16">
        <w:t>In the July 2012 report, Lally noted if the DGM approach is applied to individual firms, then this DGM approach is subject to additional problems, such as:</w:t>
      </w:r>
      <w:r w:rsidRPr="00502A16">
        <w:rPr>
          <w:rStyle w:val="FootnoteReference"/>
        </w:rPr>
        <w:footnoteReference w:id="223"/>
      </w:r>
    </w:p>
    <w:p w:rsidR="006B0748" w:rsidRPr="00502A16" w:rsidRDefault="006B0748" w:rsidP="006B0748">
      <w:pPr>
        <w:pStyle w:val="AERbulletlistfirststyle"/>
      </w:pPr>
      <w:r w:rsidRPr="00502A16">
        <w:t xml:space="preserve">greater exposure to fluctuations in the earnings payout rate, </w:t>
      </w:r>
    </w:p>
    <w:p w:rsidR="006B0748" w:rsidRPr="00502A16" w:rsidRDefault="006B0748" w:rsidP="006B0748">
      <w:pPr>
        <w:pStyle w:val="AERbulletlistfirststyle"/>
      </w:pPr>
      <w:r w:rsidRPr="00502A16">
        <w:t xml:space="preserve">incentives for the firms in question to manipulate their earnings payout rate, and </w:t>
      </w:r>
    </w:p>
    <w:p w:rsidR="006B0748" w:rsidRPr="00502A16" w:rsidRDefault="006B0748" w:rsidP="006B0748">
      <w:pPr>
        <w:pStyle w:val="AERbulletlistfirststyle"/>
      </w:pPr>
      <w:proofErr w:type="gramStart"/>
      <w:r w:rsidRPr="00502A16">
        <w:t>implicitly</w:t>
      </w:r>
      <w:proofErr w:type="gramEnd"/>
      <w:r w:rsidRPr="00502A16">
        <w:t xml:space="preserve"> (and wrongly) assumes that the entire firms’ activities are regulated.</w:t>
      </w:r>
    </w:p>
    <w:p w:rsidR="006B0748" w:rsidRPr="00691ED9" w:rsidRDefault="006B0748" w:rsidP="006B0748">
      <w:pPr>
        <w:pStyle w:val="Heading9"/>
      </w:pPr>
      <w:r w:rsidRPr="00691ED9">
        <w:t>DGM as evidence of negative relationship between the risk free rate and MRP</w:t>
      </w:r>
    </w:p>
    <w:p w:rsidR="006B0748" w:rsidRPr="00502A16" w:rsidRDefault="006B0748" w:rsidP="006B0748">
      <w:pPr>
        <w:pStyle w:val="AERbodytext"/>
        <w:numPr>
          <w:ilvl w:val="0"/>
          <w:numId w:val="13"/>
        </w:numPr>
        <w:rPr>
          <w:rStyle w:val="AERbody"/>
        </w:rPr>
      </w:pPr>
      <w:r w:rsidRPr="00502A16">
        <w:rPr>
          <w:rStyle w:val="AERbody"/>
        </w:rPr>
        <w:t>The AER considered CEG'</w:t>
      </w:r>
      <w:r>
        <w:rPr>
          <w:rStyle w:val="AERbody"/>
        </w:rPr>
        <w:t xml:space="preserve">s chart on the </w:t>
      </w:r>
      <w:r w:rsidRPr="00502A16">
        <w:rPr>
          <w:rStyle w:val="AERbody"/>
        </w:rPr>
        <w:t xml:space="preserve">AMP method estimate of </w:t>
      </w:r>
      <w:r>
        <w:rPr>
          <w:rStyle w:val="AERbody"/>
        </w:rPr>
        <w:t xml:space="preserve">the </w:t>
      </w:r>
      <w:r w:rsidRPr="00502A16">
        <w:rPr>
          <w:rStyle w:val="AERbody"/>
        </w:rPr>
        <w:t>return of equity and MRP relative to 10 year CGS rates</w:t>
      </w:r>
      <w:r>
        <w:rPr>
          <w:rStyle w:val="AERbody"/>
        </w:rPr>
        <w:t xml:space="preserve">, which featured in both Multinet's </w:t>
      </w:r>
      <w:r w:rsidRPr="00502A16">
        <w:rPr>
          <w:rStyle w:val="AERbody"/>
        </w:rPr>
        <w:t xml:space="preserve">initial </w:t>
      </w:r>
      <w:r>
        <w:rPr>
          <w:rStyle w:val="AERbody"/>
        </w:rPr>
        <w:t xml:space="preserve">and </w:t>
      </w:r>
      <w:r w:rsidRPr="00502A16">
        <w:rPr>
          <w:rStyle w:val="AERbody"/>
        </w:rPr>
        <w:t>revised proposal</w:t>
      </w:r>
      <w:r>
        <w:rPr>
          <w:rStyle w:val="AERbody"/>
        </w:rPr>
        <w:t>s</w:t>
      </w:r>
      <w:r w:rsidRPr="00502A16">
        <w:rPr>
          <w:rStyle w:val="AERbody"/>
        </w:rPr>
        <w:t xml:space="preserve">. The most recent chart is reproduced in </w:t>
      </w:r>
      <w:r w:rsidR="009B2237">
        <w:rPr>
          <w:rStyle w:val="AERbody"/>
        </w:rPr>
        <w:fldChar w:fldCharType="begin"/>
      </w:r>
      <w:r>
        <w:rPr>
          <w:rStyle w:val="AERbody"/>
        </w:rPr>
        <w:instrText xml:space="preserve"> REF _Ref350878882 \h </w:instrText>
      </w:r>
      <w:r w:rsidR="009B2237">
        <w:rPr>
          <w:rStyle w:val="AERbody"/>
        </w:rPr>
      </w:r>
      <w:r w:rsidR="009B2237">
        <w:rPr>
          <w:rStyle w:val="AERbody"/>
        </w:rPr>
        <w:fldChar w:fldCharType="separate"/>
      </w:r>
      <w:r>
        <w:t xml:space="preserve">Figure </w:t>
      </w:r>
      <w:r>
        <w:rPr>
          <w:noProof/>
        </w:rPr>
        <w:t>B</w:t>
      </w:r>
      <w:r>
        <w:t>.</w:t>
      </w:r>
      <w:r>
        <w:rPr>
          <w:noProof/>
        </w:rPr>
        <w:t>5</w:t>
      </w:r>
      <w:r w:rsidR="009B2237">
        <w:rPr>
          <w:rStyle w:val="AERbody"/>
        </w:rPr>
        <w:fldChar w:fldCharType="end"/>
      </w:r>
      <w:r>
        <w:rPr>
          <w:rStyle w:val="AERbody"/>
        </w:rPr>
        <w:t xml:space="preserve"> </w:t>
      </w:r>
      <w:r w:rsidRPr="00502A16">
        <w:rPr>
          <w:rStyle w:val="AERbody"/>
        </w:rPr>
        <w:t xml:space="preserve">below. Lally has considered CEG's DGM chart in both </w:t>
      </w:r>
      <w:r>
        <w:rPr>
          <w:rStyle w:val="AERbody"/>
        </w:rPr>
        <w:t>his</w:t>
      </w:r>
      <w:r w:rsidRPr="00502A16">
        <w:rPr>
          <w:rStyle w:val="AERbody"/>
        </w:rPr>
        <w:t xml:space="preserve"> July 2012 report and </w:t>
      </w:r>
      <w:r>
        <w:rPr>
          <w:rStyle w:val="AERbody"/>
        </w:rPr>
        <w:t xml:space="preserve">March </w:t>
      </w:r>
      <w:r w:rsidRPr="00502A16">
        <w:rPr>
          <w:rStyle w:val="AERbody"/>
        </w:rPr>
        <w:t>2</w:t>
      </w:r>
      <w:r>
        <w:rPr>
          <w:rStyle w:val="AERbody"/>
        </w:rPr>
        <w:t>013</w:t>
      </w:r>
      <w:r w:rsidRPr="00502A16">
        <w:rPr>
          <w:rStyle w:val="AERbody"/>
        </w:rPr>
        <w:t xml:space="preserve"> report.</w:t>
      </w:r>
    </w:p>
    <w:p w:rsidR="006B0748" w:rsidRPr="00502A16" w:rsidRDefault="006B0748" w:rsidP="006B0748">
      <w:pPr>
        <w:pStyle w:val="AERbodytext"/>
        <w:numPr>
          <w:ilvl w:val="0"/>
          <w:numId w:val="13"/>
        </w:numPr>
      </w:pPr>
      <w:r w:rsidRPr="00502A16">
        <w:t>The AER has considered CEG</w:t>
      </w:r>
      <w:r>
        <w:t>'s</w:t>
      </w:r>
      <w:r w:rsidRPr="00502A16">
        <w:t xml:space="preserve"> and Lally's view. As noted above, </w:t>
      </w:r>
      <w:r>
        <w:t xml:space="preserve">the </w:t>
      </w:r>
      <w:r w:rsidRPr="00502A16">
        <w:t xml:space="preserve">MRP estimate </w:t>
      </w:r>
      <w:r>
        <w:t xml:space="preserve">based oN DGM </w:t>
      </w:r>
      <w:r w:rsidRPr="00502A16">
        <w:t>was slightly above 2 per cent in 1994 and was below 6 per cent for the entire pre-GFC period. The AER is not aware of any proposals submitted by the businesses or their consultants prior to the GFC that the MRP should be below 6 per cent. CEG's chart has not persuaded the AER that there is sufficient empirical evidence of a negative relationship between the risk free rate and the MRP.</w:t>
      </w:r>
    </w:p>
    <w:p w:rsidR="006B0748" w:rsidRPr="00502A16" w:rsidRDefault="006B0748" w:rsidP="006B0748">
      <w:pPr>
        <w:pStyle w:val="AERbodytext"/>
        <w:numPr>
          <w:ilvl w:val="0"/>
          <w:numId w:val="13"/>
        </w:numPr>
        <w:rPr>
          <w:rStyle w:val="AERbody"/>
        </w:rPr>
      </w:pPr>
      <w:r w:rsidRPr="00502A16">
        <w:rPr>
          <w:rStyle w:val="AERbody"/>
        </w:rPr>
        <w:t>CEG estimated the return of equity time series by first estimating the prevailing cost of equity (the red line) and then calculating the MRP (the green line) by subtracting the prevailing 10 year CGS yield at any point in time (the blue line).</w:t>
      </w:r>
      <w:r w:rsidRPr="00502A16">
        <w:rPr>
          <w:rStyle w:val="FootnoteReference"/>
        </w:rPr>
        <w:footnoteReference w:id="224"/>
      </w:r>
      <w:r w:rsidRPr="00502A16">
        <w:rPr>
          <w:rStyle w:val="AERbody"/>
        </w:rPr>
        <w:t xml:space="preserve"> The red line is relatively stable over time. As the risk free rate (blue line) varies over time, subtracting the blue line from the red line thus creates the appearance of a strong negative correlation between the risk free rate (green line) and MRP (blue line). </w:t>
      </w:r>
    </w:p>
    <w:p w:rsidR="006B0748" w:rsidRPr="00502A16" w:rsidRDefault="006B0748" w:rsidP="006B0748">
      <w:pPr>
        <w:pStyle w:val="AERbodytext"/>
        <w:numPr>
          <w:ilvl w:val="0"/>
          <w:numId w:val="13"/>
        </w:numPr>
        <w:rPr>
          <w:rStyle w:val="AERbody"/>
        </w:rPr>
      </w:pPr>
      <w:r w:rsidRPr="00502A16">
        <w:rPr>
          <w:rStyle w:val="AERbody"/>
        </w:rPr>
        <w:t>Lally identified this problem in his recent reports. Lally found the CEG AMP method uses a perfect offset assumption</w:t>
      </w:r>
      <w:r w:rsidRPr="00502A16">
        <w:rPr>
          <w:rStyle w:val="FootnoteReference"/>
        </w:rPr>
        <w:footnoteReference w:id="225"/>
      </w:r>
      <w:r w:rsidRPr="00502A16">
        <w:rPr>
          <w:rStyle w:val="AERbody"/>
        </w:rPr>
        <w:t xml:space="preserve"> and thus generates results showing a stable cost of equity over time.</w:t>
      </w:r>
      <w:r w:rsidRPr="00502A16">
        <w:rPr>
          <w:rStyle w:val="FootnoteReference"/>
        </w:rPr>
        <w:footnoteReference w:id="226"/>
      </w:r>
      <w:r w:rsidRPr="00502A16">
        <w:rPr>
          <w:rStyle w:val="AERbody"/>
        </w:rPr>
        <w:t xml:space="preserve"> In his July 2012 report, Lally described CEG's chart as being 'predisposed' to the result that it displays.</w:t>
      </w:r>
      <w:r w:rsidRPr="00502A16">
        <w:rPr>
          <w:rStyle w:val="FootnoteReference"/>
        </w:rPr>
        <w:footnoteReference w:id="227"/>
      </w:r>
      <w:r w:rsidRPr="00502A16">
        <w:rPr>
          <w:rStyle w:val="AERbody"/>
        </w:rPr>
        <w:t xml:space="preserve"> Both CEG and Lally agreed the assumption of a constant cost of equity is unavoidable when applying the DGM. Lally noted such disadvantages must be recognised and this 'perfect offset assumption' problem is particularly significant when the risk free rate is high or low.</w:t>
      </w:r>
      <w:r w:rsidRPr="00502A16">
        <w:rPr>
          <w:rStyle w:val="FootnoteReference"/>
        </w:rPr>
        <w:footnoteReference w:id="228"/>
      </w:r>
      <w:r w:rsidRPr="00502A16">
        <w:rPr>
          <w:rStyle w:val="AERbody"/>
        </w:rPr>
        <w:t xml:space="preserve"> </w:t>
      </w:r>
    </w:p>
    <w:p w:rsidR="006B0748" w:rsidRDefault="006B0748" w:rsidP="006B0748">
      <w:pPr>
        <w:pStyle w:val="AERbodytext"/>
        <w:numPr>
          <w:ilvl w:val="0"/>
          <w:numId w:val="13"/>
        </w:numPr>
        <w:rPr>
          <w:rStyle w:val="AERbody"/>
        </w:rPr>
      </w:pPr>
      <w:r w:rsidRPr="00502A16">
        <w:rPr>
          <w:rStyle w:val="AERbody"/>
        </w:rPr>
        <w:t xml:space="preserve">Given the perfect offset assumption is a well accepted disadvantage of the DGM, the AER considers this chart does not present a persuasive empirical evidence of a negative relationship between the prevailing market risk premium and the prevailing risk free rate. Additionally, because CEG's AMP method is based on the DGM model, the model's general limitations (outlined in section </w:t>
      </w:r>
      <w:r w:rsidR="009B2237" w:rsidRPr="00502A16">
        <w:rPr>
          <w:rStyle w:val="AERbody"/>
        </w:rPr>
        <w:fldChar w:fldCharType="begin"/>
      </w:r>
      <w:r w:rsidRPr="00502A16">
        <w:rPr>
          <w:rStyle w:val="AERbody"/>
        </w:rPr>
        <w:instrText xml:space="preserve"> REF _Ref349836611 \r \h </w:instrText>
      </w:r>
      <w:r w:rsidR="009B2237" w:rsidRPr="00502A16">
        <w:rPr>
          <w:rStyle w:val="AERbody"/>
        </w:rPr>
      </w:r>
      <w:r w:rsidR="009B2237" w:rsidRPr="00502A16">
        <w:rPr>
          <w:rStyle w:val="AERbody"/>
        </w:rPr>
        <w:fldChar w:fldCharType="separate"/>
      </w:r>
      <w:r>
        <w:rPr>
          <w:rStyle w:val="AERbody"/>
        </w:rPr>
        <w:t>B.6.1</w:t>
      </w:r>
      <w:r w:rsidR="009B2237" w:rsidRPr="00502A16">
        <w:rPr>
          <w:rStyle w:val="AERbody"/>
        </w:rPr>
        <w:fldChar w:fldCharType="end"/>
      </w:r>
      <w:r w:rsidRPr="00502A16">
        <w:rPr>
          <w:rStyle w:val="AERbody"/>
        </w:rPr>
        <w:t xml:space="preserve"> above) also apply to this analysis.</w:t>
      </w:r>
    </w:p>
    <w:p w:rsidR="006B0748" w:rsidRPr="00DE348E" w:rsidRDefault="006B0748" w:rsidP="006B0748">
      <w:pPr>
        <w:pStyle w:val="AERbodytext"/>
        <w:numPr>
          <w:ilvl w:val="0"/>
          <w:numId w:val="13"/>
        </w:numPr>
        <w:rPr>
          <w:rStyle w:val="AERbody"/>
        </w:rPr>
      </w:pPr>
      <w:r w:rsidRPr="00DE348E">
        <w:rPr>
          <w:rStyle w:val="AERbody"/>
        </w:rPr>
        <w:t>In the July 2012 report, Lally pointed out CEG's AMP method produced an MRP estimate of zero in 1994—an 'implausible' result. Combining these points, Lally concluded:</w:t>
      </w:r>
      <w:r w:rsidRPr="00DE348E">
        <w:rPr>
          <w:rStyle w:val="AERsuperscript"/>
        </w:rPr>
        <w:t xml:space="preserve"> </w:t>
      </w:r>
      <w:r w:rsidRPr="00DE348E">
        <w:rPr>
          <w:rStyle w:val="AERsuperscript"/>
        </w:rPr>
        <w:footnoteReference w:id="229"/>
      </w:r>
    </w:p>
    <w:p w:rsidR="006B0748" w:rsidRPr="008E6758" w:rsidRDefault="006B0748" w:rsidP="006B0748">
      <w:pPr>
        <w:pStyle w:val="AERquote"/>
        <w:rPr>
          <w:rStyle w:val="AERbody"/>
        </w:rPr>
      </w:pPr>
      <w:r w:rsidRPr="008E6758">
        <w:rPr>
          <w:rStyle w:val="AERbody"/>
        </w:rPr>
        <w:t>Thus, if the perfect-offset hypothesis should be rejected in 1994 when the risk free rate was unusually high, it should also be rejected in 2012 when the risk free rate was unusually low.</w:t>
      </w:r>
    </w:p>
    <w:p w:rsidR="006B0748" w:rsidRPr="00DE348E" w:rsidRDefault="006B0748" w:rsidP="006B0748">
      <w:pPr>
        <w:pStyle w:val="AERbodytext"/>
        <w:numPr>
          <w:ilvl w:val="0"/>
          <w:numId w:val="13"/>
        </w:numPr>
      </w:pPr>
      <w:r w:rsidRPr="00DE348E">
        <w:t>CEG accepted Lally's criticism and has revised the chart using 10 year inflation indexed CGS yields, which leads to a new time series of MRP estimates that is free of the implausible zero values.</w:t>
      </w:r>
      <w:r w:rsidRPr="00DE348E">
        <w:rPr>
          <w:rStyle w:val="FootnoteReference"/>
        </w:rPr>
        <w:footnoteReference w:id="230"/>
      </w:r>
      <w:r w:rsidRPr="00DE348E">
        <w:t>.  However, Lally noted even with this revision, the MRP estimates are still subject to the perfect offset assumption that leads to predetermined outcome. Such a position does not hold unless the MRP and the risk free rate have a perfectly negative relationship. CEG neither presented evidence to support this assumption nor even claimed it to be true.</w:t>
      </w:r>
      <w:r w:rsidRPr="00DE348E">
        <w:rPr>
          <w:rStyle w:val="FootnoteReference"/>
        </w:rPr>
        <w:footnoteReference w:id="231"/>
      </w:r>
    </w:p>
    <w:p w:rsidR="006B0748" w:rsidRPr="00DE348E" w:rsidRDefault="006B0748" w:rsidP="006B0748">
      <w:pPr>
        <w:pStyle w:val="AERbodytext"/>
        <w:numPr>
          <w:ilvl w:val="0"/>
          <w:numId w:val="13"/>
        </w:numPr>
      </w:pPr>
      <w:r w:rsidRPr="00DE348E">
        <w:t>The relevant section in Associate Professor Lally’s report is section 2.</w:t>
      </w:r>
    </w:p>
    <w:p w:rsidR="006B0748" w:rsidRPr="00502A16" w:rsidRDefault="006B0748" w:rsidP="006B0748">
      <w:pPr>
        <w:pStyle w:val="Caption"/>
        <w:rPr>
          <w:rStyle w:val="AERbody"/>
        </w:rPr>
      </w:pPr>
      <w:bookmarkStart w:id="58" w:name="_Ref350878882"/>
      <w:r>
        <w:t xml:space="preserve">Figure </w:t>
      </w:r>
      <w:fldSimple w:instr=" STYLEREF 7 \s ">
        <w:r>
          <w:rPr>
            <w:noProof/>
          </w:rPr>
          <w:t>B</w:t>
        </w:r>
      </w:fldSimple>
      <w:r>
        <w:t>.</w:t>
      </w:r>
      <w:fldSimple w:instr=" SEQ Figure \* ARABIC \s 7 ">
        <w:r>
          <w:rPr>
            <w:noProof/>
          </w:rPr>
          <w:t>5</w:t>
        </w:r>
      </w:fldSimple>
      <w:bookmarkEnd w:id="58"/>
      <w:r w:rsidRPr="00502A16">
        <w:tab/>
      </w:r>
      <w:r w:rsidRPr="00502A16">
        <w:rPr>
          <w:rStyle w:val="AERbody"/>
        </w:rPr>
        <w:t>CEG AMP method estimate of Return on Equity and MRP relative to 10 year CGS yields</w:t>
      </w:r>
    </w:p>
    <w:p w:rsidR="006B0748" w:rsidRPr="00502A16" w:rsidRDefault="006B0748" w:rsidP="006B0748">
      <w:pPr>
        <w:pStyle w:val="AERbodytext"/>
        <w:numPr>
          <w:ilvl w:val="0"/>
          <w:numId w:val="13"/>
        </w:numPr>
        <w:rPr>
          <w:rStyle w:val="AERbody"/>
        </w:rPr>
      </w:pPr>
      <w:r w:rsidRPr="006B0748">
        <w:rPr>
          <w:noProof/>
          <w:lang w:eastAsia="en-AU"/>
        </w:rPr>
        <w:drawing>
          <wp:inline distT="0" distB="0" distL="0" distR="0">
            <wp:extent cx="5722531" cy="376090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21981" cy="3760539"/>
                    </a:xfrm>
                    <a:prstGeom prst="rect">
                      <a:avLst/>
                    </a:prstGeom>
                    <a:noFill/>
                    <a:ln w="9525">
                      <a:noFill/>
                      <a:miter lim="800000"/>
                      <a:headEnd/>
                      <a:tailEnd/>
                    </a:ln>
                  </pic:spPr>
                </pic:pic>
              </a:graphicData>
            </a:graphic>
          </wp:inline>
        </w:drawing>
      </w:r>
    </w:p>
    <w:p w:rsidR="006B0748" w:rsidRPr="00502A16" w:rsidRDefault="006B0748" w:rsidP="006B0748">
      <w:pPr>
        <w:pStyle w:val="AERtablesource"/>
      </w:pPr>
      <w:r w:rsidRPr="00502A16">
        <w:rPr>
          <w:rStyle w:val="AERbody"/>
        </w:rPr>
        <w:t xml:space="preserve">Source: </w:t>
      </w:r>
      <w:r w:rsidRPr="00502A16">
        <w:rPr>
          <w:rStyle w:val="AERbody"/>
        </w:rPr>
        <w:tab/>
        <w:t xml:space="preserve">CEG, </w:t>
      </w:r>
      <w:r w:rsidRPr="00502A16">
        <w:rPr>
          <w:rStyle w:val="AERtextitalic"/>
        </w:rPr>
        <w:t>Update to March 2012 Report</w:t>
      </w:r>
      <w:r>
        <w:t>, November 2012, Figure 7</w:t>
      </w:r>
    </w:p>
    <w:p w:rsidR="006B0748" w:rsidRPr="00691ED9" w:rsidRDefault="006B0748" w:rsidP="006B0748">
      <w:pPr>
        <w:pStyle w:val="Heading9"/>
      </w:pPr>
      <w:bookmarkStart w:id="59" w:name="_Ref349052561"/>
      <w:r w:rsidRPr="00691ED9">
        <w:t>Dividend yields</w:t>
      </w:r>
      <w:bookmarkEnd w:id="59"/>
    </w:p>
    <w:p w:rsidR="006B0748" w:rsidRPr="00502A16" w:rsidRDefault="006B0748" w:rsidP="006B0748">
      <w:pPr>
        <w:pStyle w:val="AERbodytext"/>
        <w:numPr>
          <w:ilvl w:val="0"/>
          <w:numId w:val="13"/>
        </w:numPr>
      </w:pPr>
      <w:r w:rsidRPr="00502A16">
        <w:t xml:space="preserve">Dividend yields refer to the </w:t>
      </w:r>
      <w:r>
        <w:t xml:space="preserve">current observable </w:t>
      </w:r>
      <w:r w:rsidRPr="00502A16">
        <w:t xml:space="preserve">dividends for all shares in a broad based market index divided by the current price of all shares in that index. The dividend yield is thus a simple indicator </w:t>
      </w:r>
      <w:r>
        <w:t>for prevailing level of risk aversion.</w:t>
      </w:r>
    </w:p>
    <w:p w:rsidR="006B0748" w:rsidRPr="00502A16" w:rsidRDefault="006B0748" w:rsidP="006B0748">
      <w:pPr>
        <w:pStyle w:val="AERbodytext"/>
        <w:numPr>
          <w:ilvl w:val="0"/>
          <w:numId w:val="13"/>
        </w:numPr>
      </w:pPr>
      <w:r w:rsidRPr="00502A16">
        <w:t>CEG, NERA and SFG have all referred to the recent increase in dividend yield as an indication of heightened MRP in their most recent reports.</w:t>
      </w:r>
      <w:r w:rsidRPr="00502A16">
        <w:rPr>
          <w:rStyle w:val="FootnoteReference"/>
        </w:rPr>
        <w:footnoteReference w:id="232"/>
      </w:r>
      <w:r w:rsidRPr="00502A16">
        <w:t xml:space="preserve"> As noted by CEG, dividend yield on listed equities can be used to arrive at a MRP estimate by way of a DGM.</w:t>
      </w:r>
      <w:r w:rsidRPr="00502A16">
        <w:rPr>
          <w:rStyle w:val="FootnoteReference"/>
        </w:rPr>
        <w:footnoteReference w:id="233"/>
      </w:r>
      <w:r w:rsidRPr="00502A16">
        <w:t xml:space="preserve"> The AER considers the dividend yields are closely related to the DGM estimates. The high DGM </w:t>
      </w:r>
      <w:r>
        <w:t xml:space="preserve">based </w:t>
      </w:r>
      <w:r w:rsidRPr="00502A16">
        <w:t xml:space="preserve">MRP or cost of equity estimates submitted by </w:t>
      </w:r>
      <w:r>
        <w:t>Multin</w:t>
      </w:r>
      <w:r w:rsidRPr="00502A16">
        <w:t>et's consultants are the result of the current high current dividend yield.</w:t>
      </w:r>
    </w:p>
    <w:p w:rsidR="006B0748" w:rsidRPr="00502A16" w:rsidRDefault="006B0748" w:rsidP="006B0748">
      <w:pPr>
        <w:pStyle w:val="AERbodytext"/>
        <w:numPr>
          <w:ilvl w:val="0"/>
          <w:numId w:val="13"/>
        </w:numPr>
      </w:pPr>
      <w:r w:rsidRPr="00502A16">
        <w:t>The AER considers the evidence of a relationship between the dividend yield and the MRP is insufficient. McKenzie and Partington conducted a broader consideration of the academic literature in their February report. They found the relationship between the dividend yield and the MRP is still a developing area of research and the literature does not indicate this relationship is statistically reliable.</w:t>
      </w:r>
      <w:r w:rsidRPr="00502A16">
        <w:rPr>
          <w:rStyle w:val="FootnoteReference"/>
        </w:rPr>
        <w:footnoteReference w:id="234"/>
      </w:r>
    </w:p>
    <w:p w:rsidR="006B0748" w:rsidRPr="00502A16" w:rsidRDefault="006B0748" w:rsidP="006B0748">
      <w:pPr>
        <w:pStyle w:val="AERbodytext"/>
        <w:numPr>
          <w:ilvl w:val="0"/>
          <w:numId w:val="13"/>
        </w:numPr>
      </w:pPr>
      <w:r w:rsidRPr="00502A16">
        <w:t>The AER considers the underlying mechanism relating dividend yields and the MRP (as presented by CEG, NERA and SFG) is not persuasive. They appear to overlook other factors that could result in a higher observed dividend yield even when the MRP was unchanged (or lower).</w:t>
      </w:r>
      <w:r w:rsidRPr="00502A16">
        <w:rPr>
          <w:rStyle w:val="FootnoteReference"/>
        </w:rPr>
        <w:footnoteReference w:id="235"/>
      </w:r>
      <w:r w:rsidRPr="00502A16">
        <w:t xml:space="preserve"> McKenzie and Partington</w:t>
      </w:r>
      <w:r>
        <w:t xml:space="preserve"> noted t</w:t>
      </w:r>
      <w:r w:rsidRPr="00502A16">
        <w:t>he dividend yield calculation does not account for expectations about capital gain or loss. So, a change to expect relatively more of the total return from dividends instead of capital appreciation would also result in a higher dividend yield, even if the MRP did not change.</w:t>
      </w:r>
      <w:r w:rsidRPr="00502A16">
        <w:rPr>
          <w:rStyle w:val="FootnoteReference"/>
        </w:rPr>
        <w:footnoteReference w:id="236"/>
      </w:r>
    </w:p>
    <w:p w:rsidR="006B0748" w:rsidRPr="00691ED9" w:rsidRDefault="006B0748" w:rsidP="006B0748">
      <w:pPr>
        <w:pStyle w:val="Heading8"/>
      </w:pPr>
      <w:bookmarkStart w:id="60" w:name="_Ref350877826"/>
      <w:bookmarkStart w:id="61" w:name="_Toc350951039"/>
      <w:r w:rsidRPr="00691ED9">
        <w:t>Other considerations</w:t>
      </w:r>
      <w:bookmarkEnd w:id="60"/>
      <w:bookmarkEnd w:id="61"/>
    </w:p>
    <w:p w:rsidR="006B0748" w:rsidRDefault="006B0748" w:rsidP="006B0748">
      <w:pPr>
        <w:pStyle w:val="AERbodytext"/>
        <w:numPr>
          <w:ilvl w:val="0"/>
          <w:numId w:val="13"/>
        </w:numPr>
      </w:pPr>
      <w:r>
        <w:t>In this section the AER considers some other considerations, namely:</w:t>
      </w:r>
    </w:p>
    <w:p w:rsidR="006B0748" w:rsidRDefault="006B0748" w:rsidP="006B0748">
      <w:pPr>
        <w:pStyle w:val="AERbulletlistfirststyle"/>
      </w:pPr>
      <w:r>
        <w:t>market commentary</w:t>
      </w:r>
    </w:p>
    <w:p w:rsidR="006B0748" w:rsidRDefault="006B0748" w:rsidP="006B0748">
      <w:pPr>
        <w:pStyle w:val="AERbulletlistfirststyle"/>
      </w:pPr>
      <w:r>
        <w:t>reasonableness checks</w:t>
      </w:r>
    </w:p>
    <w:p w:rsidR="006B0748" w:rsidRDefault="006B0748" w:rsidP="006B0748">
      <w:pPr>
        <w:pStyle w:val="AERbodytext"/>
        <w:numPr>
          <w:ilvl w:val="0"/>
          <w:numId w:val="13"/>
        </w:numPr>
      </w:pPr>
      <w:r>
        <w:t>These considerations are discussed below.</w:t>
      </w:r>
    </w:p>
    <w:p w:rsidR="006B0748" w:rsidRPr="00691ED9" w:rsidRDefault="006B0748" w:rsidP="006B0748">
      <w:pPr>
        <w:pStyle w:val="Heading9"/>
      </w:pPr>
      <w:r w:rsidRPr="00691ED9">
        <w:t>Market commentary</w:t>
      </w:r>
    </w:p>
    <w:p w:rsidR="006B0748" w:rsidRPr="005B3549" w:rsidRDefault="006B0748" w:rsidP="006B0748">
      <w:pPr>
        <w:pStyle w:val="AERbodytext"/>
        <w:numPr>
          <w:ilvl w:val="0"/>
          <w:numId w:val="13"/>
        </w:numPr>
      </w:pPr>
      <w:r>
        <w:t xml:space="preserve"> </w:t>
      </w:r>
      <w:r w:rsidRPr="005B3549">
        <w:t xml:space="preserve">The AER has </w:t>
      </w:r>
      <w:r>
        <w:t>considered</w:t>
      </w:r>
      <w:r w:rsidRPr="005B3549">
        <w:t xml:space="preserve"> </w:t>
      </w:r>
      <w:r>
        <w:t xml:space="preserve">the </w:t>
      </w:r>
      <w:r w:rsidRPr="005B3549">
        <w:t xml:space="preserve">material submitted by </w:t>
      </w:r>
      <w:r>
        <w:t>Multinet</w:t>
      </w:r>
      <w:r w:rsidRPr="005B3549">
        <w:t xml:space="preserve"> and </w:t>
      </w:r>
      <w:r>
        <w:t xml:space="preserve">the </w:t>
      </w:r>
      <w:r w:rsidRPr="005B3549">
        <w:t xml:space="preserve">other </w:t>
      </w:r>
      <w:r>
        <w:t xml:space="preserve">Victorian gas businesses on </w:t>
      </w:r>
      <w:r w:rsidRPr="005B3549">
        <w:t xml:space="preserve">the opinions of investors, fund managers and credit rating agencies. This section </w:t>
      </w:r>
      <w:r>
        <w:t>discusses</w:t>
      </w:r>
      <w:r w:rsidRPr="005B3549">
        <w:t xml:space="preserve"> that material. </w:t>
      </w:r>
    </w:p>
    <w:p w:rsidR="006B0748" w:rsidRPr="00B367FF" w:rsidRDefault="006B0748" w:rsidP="006B0748">
      <w:pPr>
        <w:pStyle w:val="HeadingBoldBlue"/>
        <w:numPr>
          <w:ilvl w:val="0"/>
          <w:numId w:val="13"/>
        </w:numPr>
      </w:pPr>
      <w:r w:rsidRPr="00B367FF">
        <w:t>Investors and fund managers</w:t>
      </w:r>
    </w:p>
    <w:p w:rsidR="006B0748" w:rsidRPr="005B3549" w:rsidRDefault="006B0748" w:rsidP="006B0748">
      <w:r>
        <w:t>Multinet</w:t>
      </w:r>
      <w:r w:rsidRPr="005B3549">
        <w:t xml:space="preserve"> and others submitted </w:t>
      </w:r>
      <w:r>
        <w:t xml:space="preserve">that there are </w:t>
      </w:r>
      <w:r w:rsidRPr="005B3549">
        <w:t xml:space="preserve">concerns in the investment community </w:t>
      </w:r>
      <w:r>
        <w:t>about</w:t>
      </w:r>
      <w:r w:rsidRPr="005B3549">
        <w:t xml:space="preserve"> the AER's recent cost of capital decisions.</w:t>
      </w:r>
      <w:r w:rsidRPr="005B3549">
        <w:rPr>
          <w:rStyle w:val="FootnoteReference"/>
        </w:rPr>
        <w:footnoteReference w:id="237"/>
      </w:r>
      <w:r w:rsidRPr="005B3549">
        <w:t xml:space="preserve"> The statements highlighted were submitted to the AEMC as part of its recent rule change process</w:t>
      </w:r>
      <w:r>
        <w:t xml:space="preserve"> and provide insights into the opinions of investors about regulatory decisions</w:t>
      </w:r>
      <w:r w:rsidRPr="005B3549">
        <w:t>.</w:t>
      </w:r>
      <w:r w:rsidRPr="005B3549">
        <w:rPr>
          <w:rStyle w:val="FootnoteReference"/>
        </w:rPr>
        <w:footnoteReference w:id="238"/>
      </w:r>
      <w:r w:rsidRPr="005B3549">
        <w:t xml:space="preserve">   </w:t>
      </w:r>
    </w:p>
    <w:p w:rsidR="006B0748" w:rsidRPr="005B3549" w:rsidRDefault="006B0748" w:rsidP="006B0748">
      <w:r w:rsidRPr="005B3549">
        <w:t xml:space="preserve">This </w:t>
      </w:r>
      <w:r>
        <w:t>submission</w:t>
      </w:r>
      <w:r w:rsidRPr="005B3549">
        <w:t xml:space="preserve"> included the following statement from Paradice Investment Management Pty Ltd: </w:t>
      </w:r>
    </w:p>
    <w:p w:rsidR="006B0748" w:rsidRPr="005B3549" w:rsidRDefault="006B0748" w:rsidP="006B0748">
      <w:pPr>
        <w:pStyle w:val="AERquote"/>
      </w:pPr>
      <w:r w:rsidRPr="005B3549">
        <w:t>...the current low risk free rate in the form of the 10 year bond yield is a function of the heightened level of uncertainty that exists in the market at the moment which in turn should be reflected by a higher equity risk premium. There is ample evidence of this higher equity risk premium in the current subdued activity levels in the primary and secondary issuance markets. Additionally, there is also a fair argument that the Australian 10 year bond yield is being artificially subdued by high levels of foreign buying given its place in the increasingly scarce pool of AAA rated securities.</w:t>
      </w:r>
      <w:r w:rsidRPr="005B3549">
        <w:rPr>
          <w:rStyle w:val="FootnoteReference"/>
        </w:rPr>
        <w:footnoteReference w:id="239"/>
      </w:r>
      <w:r w:rsidRPr="005B3549">
        <w:t xml:space="preserve"> </w:t>
      </w:r>
    </w:p>
    <w:p w:rsidR="006B0748" w:rsidRPr="005B3549" w:rsidRDefault="006B0748" w:rsidP="006B0748">
      <w:r w:rsidRPr="005B3549">
        <w:t xml:space="preserve">Similarly, the </w:t>
      </w:r>
      <w:r>
        <w:t>submission</w:t>
      </w:r>
      <w:r w:rsidRPr="005B3549">
        <w:t xml:space="preserve"> included a statement from RARE Infrastructure:</w:t>
      </w:r>
    </w:p>
    <w:p w:rsidR="006B0748" w:rsidRPr="005B3549" w:rsidRDefault="006B0748" w:rsidP="006B0748">
      <w:pPr>
        <w:pStyle w:val="AERquote"/>
      </w:pPr>
      <w:r w:rsidRPr="005B3549">
        <w:t>Regulators need to ensure returns are sufficient for companies to attract capital, both debt and equity, to expand networks to meet customer requirements. Global Funds like RARE have a choice whether to invest in regulated assets in Australia. Despite RARE liking the Australian regulatory framework, if allowed returns are insufficient to compensate us for the risk, we will invest our clients' capital elsewhere in the world.</w:t>
      </w:r>
      <w:r w:rsidRPr="005B3549">
        <w:rPr>
          <w:rStyle w:val="FootnoteReference"/>
        </w:rPr>
        <w:footnoteReference w:id="240"/>
      </w:r>
      <w:r w:rsidRPr="005B3549">
        <w:t xml:space="preserve">  </w:t>
      </w:r>
    </w:p>
    <w:p w:rsidR="006B0748" w:rsidRPr="005B3549" w:rsidRDefault="006B0748" w:rsidP="006B0748">
      <w:r w:rsidRPr="005B3549">
        <w:t>The AER has given consideration to this feedback w</w:t>
      </w:r>
      <w:r>
        <w:t>hen forming this final decision. E</w:t>
      </w:r>
      <w:r w:rsidRPr="005B3549">
        <w:t xml:space="preserve">lsewhere in this decision careful consideration is given to many of the issues identified in this </w:t>
      </w:r>
      <w:proofErr w:type="gramStart"/>
      <w:r w:rsidRPr="005B3549">
        <w:t>feedback.</w:t>
      </w:r>
      <w:proofErr w:type="gramEnd"/>
      <w:r w:rsidRPr="005B3549">
        <w:t xml:space="preserve"> For example, section </w:t>
      </w:r>
      <w:r>
        <w:t>B.4.1</w:t>
      </w:r>
      <w:r w:rsidRPr="005B3549">
        <w:t xml:space="preserve"> considers the suggestion that the 10 year bond yield is artificially subdued. Similarly, section </w:t>
      </w:r>
      <w:r>
        <w:t>B.5</w:t>
      </w:r>
      <w:r w:rsidRPr="005B3549">
        <w:t xml:space="preserve"> considers the MRP in detail. </w:t>
      </w:r>
      <w:r>
        <w:t>E</w:t>
      </w:r>
      <w:r w:rsidRPr="005B3549">
        <w:t>lsewhere in this appendix the possibility of a negative relationship between the risk free rate and the MRP is</w:t>
      </w:r>
      <w:r>
        <w:t xml:space="preserve"> also</w:t>
      </w:r>
      <w:r w:rsidRPr="005B3549">
        <w:t xml:space="preserve"> considered. </w:t>
      </w:r>
    </w:p>
    <w:p w:rsidR="006B0748" w:rsidRPr="00B367FF" w:rsidRDefault="006B0748" w:rsidP="006B0748">
      <w:pPr>
        <w:pStyle w:val="HeadingBoldBlue"/>
        <w:numPr>
          <w:ilvl w:val="0"/>
          <w:numId w:val="13"/>
        </w:numPr>
      </w:pPr>
      <w:r w:rsidRPr="00B367FF">
        <w:t>Credit rating agencies</w:t>
      </w:r>
    </w:p>
    <w:p w:rsidR="006B0748" w:rsidRPr="005B3549" w:rsidRDefault="006B0748" w:rsidP="006B0748">
      <w:r w:rsidRPr="005B3549">
        <w:t>Envestra submi</w:t>
      </w:r>
      <w:r>
        <w:t>tted</w:t>
      </w:r>
      <w:r w:rsidRPr="005B3549">
        <w:t xml:space="preserve"> </w:t>
      </w:r>
      <w:r>
        <w:t xml:space="preserve">reports from two </w:t>
      </w:r>
      <w:r w:rsidRPr="005B3549">
        <w:t>credit rating agencies</w:t>
      </w:r>
      <w:r>
        <w:t xml:space="preserve"> on the Victorian gas review draft decisions. These reports were from </w:t>
      </w:r>
      <w:r w:rsidRPr="005B3549">
        <w:t>Standard &amp; Poor's and Moody's.</w:t>
      </w:r>
      <w:r w:rsidRPr="005B3549">
        <w:rPr>
          <w:rStyle w:val="FootnoteReference"/>
        </w:rPr>
        <w:footnoteReference w:id="241"/>
      </w:r>
      <w:r w:rsidRPr="005B3549">
        <w:t xml:space="preserve"> </w:t>
      </w:r>
      <w:r>
        <w:t>The AER considers these reports in this section.</w:t>
      </w:r>
    </w:p>
    <w:p w:rsidR="006B0748" w:rsidRPr="005B3549" w:rsidRDefault="006B0748" w:rsidP="006B0748">
      <w:r w:rsidRPr="005B3549">
        <w:t xml:space="preserve">On face value, these reports may appear to predict dire consequences from the AER's </w:t>
      </w:r>
      <w:r>
        <w:t xml:space="preserve">draft decision </w:t>
      </w:r>
      <w:r w:rsidRPr="005B3549">
        <w:t xml:space="preserve">approach </w:t>
      </w:r>
      <w:r>
        <w:t>on</w:t>
      </w:r>
      <w:r w:rsidRPr="005B3549">
        <w:t xml:space="preserve"> the cost of equity</w:t>
      </w:r>
      <w:r>
        <w:t xml:space="preserve"> for the Victorian gas businesses</w:t>
      </w:r>
      <w:r w:rsidRPr="005B3549">
        <w:t xml:space="preserve">. However, </w:t>
      </w:r>
      <w:r>
        <w:t xml:space="preserve">upon examining these reports </w:t>
      </w:r>
      <w:r w:rsidRPr="005B3549">
        <w:t xml:space="preserve">more closely, this is not the case. Rather, these statements are more circumspect than they might seem and would apply equally to any reduction in the rate of return. Below, we explain in detail why this is the case. Credit ratings are also discussed in more detail in appendix </w:t>
      </w:r>
      <w:r>
        <w:t>D</w:t>
      </w:r>
      <w:r w:rsidRPr="005B3549">
        <w:t xml:space="preserve"> of the APA</w:t>
      </w:r>
      <w:r>
        <w:t> </w:t>
      </w:r>
      <w:r w:rsidRPr="005B3549">
        <w:t>GasNet final decision.</w:t>
      </w:r>
    </w:p>
    <w:p w:rsidR="006B0748" w:rsidRPr="005B3549" w:rsidRDefault="006B0748" w:rsidP="006B0748">
      <w:r w:rsidRPr="005B3549">
        <w:t>Envestra made the following statement about the Moody's report:</w:t>
      </w:r>
    </w:p>
    <w:p w:rsidR="006B0748" w:rsidRPr="005B3549" w:rsidRDefault="006B0748" w:rsidP="006B0748">
      <w:pPr>
        <w:pStyle w:val="AERquote"/>
      </w:pPr>
      <w:r w:rsidRPr="005B3549">
        <w:t>Moody's in its report on the Draft Decisions released on 1 October was more direct</w:t>
      </w:r>
      <w:r>
        <w:t xml:space="preserve"> [than Standard &amp; Poors]</w:t>
      </w:r>
      <w:r w:rsidRPr="005B3549">
        <w:t>, stating that the Draft Decisions for Envestra would be "credit negative" if they were to be made final.</w:t>
      </w:r>
      <w:r w:rsidRPr="005B3549">
        <w:rPr>
          <w:rStyle w:val="FootnoteReference"/>
        </w:rPr>
        <w:footnoteReference w:id="242"/>
      </w:r>
      <w:r w:rsidRPr="005B3549">
        <w:t xml:space="preserve"> </w:t>
      </w:r>
    </w:p>
    <w:p w:rsidR="006B0748" w:rsidRDefault="006B0748" w:rsidP="006B0748">
      <w:r>
        <w:t>Firstly, the AER notes Moody's does not say the AER's rate of return is not commensurate with prevailing conditions in the market for funds or the risks in providing reference services. Rather, Moody's says the draft decision approach is "credit negative". These two concepts are very different.</w:t>
      </w:r>
    </w:p>
    <w:p w:rsidR="006B0748" w:rsidRDefault="006B0748" w:rsidP="006B0748">
      <w:r>
        <w:t>The AER understands that any</w:t>
      </w:r>
      <w:r w:rsidRPr="005B3549">
        <w:t xml:space="preserve"> reduction in the </w:t>
      </w:r>
      <w:r>
        <w:t>regulatory rate of return</w:t>
      </w:r>
      <w:r w:rsidRPr="005B3549">
        <w:t xml:space="preserve"> would be credit negative. Moody's appears to rank specific events as credit positive, negative or neutral. These events are combined into Moody's outlook which can either be positive, negative, stable or developing.</w:t>
      </w:r>
      <w:r w:rsidRPr="005B3549">
        <w:rPr>
          <w:rStyle w:val="FootnoteReference"/>
        </w:rPr>
        <w:footnoteReference w:id="243"/>
      </w:r>
      <w:r w:rsidRPr="005B3549">
        <w:t xml:space="preserve"> The fact that a lower </w:t>
      </w:r>
      <w:r>
        <w:t xml:space="preserve">regulator </w:t>
      </w:r>
      <w:r w:rsidRPr="005B3549">
        <w:t>cost of equity means a lower revenue allowance is, all else the sam</w:t>
      </w:r>
      <w:r>
        <w:t>e, necessarily credit negative.</w:t>
      </w:r>
      <w:r>
        <w:rPr>
          <w:rStyle w:val="FootnoteReference"/>
        </w:rPr>
        <w:footnoteReference w:id="244"/>
      </w:r>
    </w:p>
    <w:p w:rsidR="006B0748" w:rsidRPr="005B3549" w:rsidRDefault="006B0748" w:rsidP="006B0748">
      <w:r w:rsidRPr="005B3549">
        <w:t>As Moody's notes, the actual impact of that event on the credit rating is dependent on a number of factors:</w:t>
      </w:r>
    </w:p>
    <w:p w:rsidR="006B0748" w:rsidRPr="005B3549" w:rsidRDefault="006B0748" w:rsidP="006B0748">
      <w:r w:rsidRPr="005B3549">
        <w:t>Furthermore, while Moody's suggests the Envestra</w:t>
      </w:r>
      <w:r>
        <w:t>'s</w:t>
      </w:r>
      <w:r w:rsidRPr="005B3549">
        <w:t xml:space="preserve"> draft decision would be credit negative, it also suggests:</w:t>
      </w:r>
    </w:p>
    <w:p w:rsidR="006B0748" w:rsidRPr="005B3549" w:rsidRDefault="006B0748" w:rsidP="006B0748">
      <w:pPr>
        <w:pStyle w:val="AERquote"/>
      </w:pPr>
      <w:r w:rsidRPr="005B3549">
        <w:t xml:space="preserve">Despite the sector's high financial leverage compared to industrial companies, its predictable revenue stream provides visibility to a utility's ability to service its debt in the long run and underpins its investment-grade credit profile. </w:t>
      </w:r>
    </w:p>
    <w:p w:rsidR="006B0748" w:rsidRPr="005B3549" w:rsidRDefault="006B0748" w:rsidP="006B0748">
      <w:r w:rsidRPr="005B3549">
        <w:t>Envestra highlight</w:t>
      </w:r>
      <w:r>
        <w:t>ed</w:t>
      </w:r>
      <w:r w:rsidRPr="005B3549">
        <w:t xml:space="preserve"> the following statement from the Standard &amp; Poor's report:</w:t>
      </w:r>
    </w:p>
    <w:p w:rsidR="006B0748" w:rsidRPr="005B3549" w:rsidRDefault="006B0748" w:rsidP="006B0748">
      <w:pPr>
        <w:pStyle w:val="AERquote"/>
      </w:pPr>
      <w:r w:rsidRPr="005B3549">
        <w:t>The allowed WACC is significantly lower compared to the levels allowed in the past. This is mostly due to the fact of a lower risk-free rate prevailing in the market. While the impact of a lower risk-free [sic] is mitigated through a typical interest rate hedge reset, which coincides with the regulatory reset, we believe the proposed return on equity may not reflect current market conditions and may not be adequate for equity investors. As a result, the perceived lower rate of return for equity may reduce shareholders' long-term commitment.</w:t>
      </w:r>
      <w:r w:rsidRPr="005B3549">
        <w:rPr>
          <w:rStyle w:val="FootnoteReference"/>
        </w:rPr>
        <w:footnoteReference w:id="245"/>
      </w:r>
      <w:r w:rsidRPr="005B3549">
        <w:t xml:space="preserve"> </w:t>
      </w:r>
    </w:p>
    <w:p w:rsidR="006B0748" w:rsidRDefault="006B0748" w:rsidP="006B0748">
      <w:r>
        <w:t>As a market participant, Standard and Poor</w:t>
      </w:r>
      <w:r w:rsidRPr="00F564FD">
        <w:t xml:space="preserve">’s view that </w:t>
      </w:r>
      <w:r>
        <w:t xml:space="preserve">the </w:t>
      </w:r>
      <w:r w:rsidRPr="00F564FD">
        <w:t xml:space="preserve">cost of equity </w:t>
      </w:r>
      <w:r>
        <w:t xml:space="preserve">in the draft decision </w:t>
      </w:r>
      <w:r w:rsidRPr="00F564FD">
        <w:t xml:space="preserve">may not reflect market conditions is </w:t>
      </w:r>
      <w:r>
        <w:t xml:space="preserve">a </w:t>
      </w:r>
      <w:r w:rsidRPr="00F564FD">
        <w:t>relevant</w:t>
      </w:r>
      <w:r>
        <w:t xml:space="preserve"> consideration</w:t>
      </w:r>
      <w:r w:rsidRPr="00F564FD">
        <w:t xml:space="preserve">. But </w:t>
      </w:r>
      <w:r>
        <w:t>Standard and Poor's</w:t>
      </w:r>
      <w:r w:rsidRPr="00F564FD">
        <w:t xml:space="preserve"> view is one of many competing and divergent views between various market participants and academic </w:t>
      </w:r>
      <w:r>
        <w:t>e</w:t>
      </w:r>
      <w:r w:rsidRPr="00F564FD">
        <w:t xml:space="preserve">xperts. As </w:t>
      </w:r>
      <w:r>
        <w:t xml:space="preserve">Standard &amp; Poor's does not </w:t>
      </w:r>
      <w:r w:rsidRPr="00F564FD">
        <w:t xml:space="preserve">provide reasons for </w:t>
      </w:r>
      <w:r>
        <w:t>its</w:t>
      </w:r>
      <w:r w:rsidRPr="00F564FD">
        <w:t xml:space="preserve"> view, it is difficult </w:t>
      </w:r>
      <w:r>
        <w:t xml:space="preserve">for the AER </w:t>
      </w:r>
      <w:r w:rsidRPr="00F564FD">
        <w:t>to assess the basis of their position.</w:t>
      </w:r>
    </w:p>
    <w:p w:rsidR="006B0748" w:rsidRDefault="006B0748" w:rsidP="006B0748">
      <w:r>
        <w:t>Further, w</w:t>
      </w:r>
      <w:r w:rsidRPr="005B3549">
        <w:t xml:space="preserve">hile Standard &amp; Poor's suggest the cost of equity </w:t>
      </w:r>
      <w:r>
        <w:t xml:space="preserve">in the draft decision </w:t>
      </w:r>
      <w:r w:rsidRPr="005B3549">
        <w:t xml:space="preserve">may be too low, they do not quantify this statement. Specifically, they </w:t>
      </w:r>
      <w:r>
        <w:t>do not indicate</w:t>
      </w:r>
      <w:r w:rsidRPr="005B3549">
        <w:t xml:space="preserve"> what cost of equity they </w:t>
      </w:r>
      <w:r>
        <w:t xml:space="preserve">consider </w:t>
      </w:r>
      <w:r w:rsidRPr="005B3549">
        <w:t xml:space="preserve">would </w:t>
      </w:r>
      <w:r>
        <w:t>be</w:t>
      </w:r>
      <w:r w:rsidRPr="005B3549">
        <w:t xml:space="preserve"> appropriate, </w:t>
      </w:r>
      <w:proofErr w:type="gramStart"/>
      <w:r>
        <w:t>nor</w:t>
      </w:r>
      <w:proofErr w:type="gramEnd"/>
      <w:r>
        <w:t xml:space="preserve"> </w:t>
      </w:r>
      <w:r w:rsidRPr="005B3549">
        <w:t xml:space="preserve">whether </w:t>
      </w:r>
      <w:r>
        <w:t xml:space="preserve">they consider the cost of equity to be as </w:t>
      </w:r>
      <w:r w:rsidRPr="005B3549">
        <w:t xml:space="preserve">high as </w:t>
      </w:r>
      <w:r>
        <w:t>Multinet</w:t>
      </w:r>
      <w:r w:rsidRPr="005B3549">
        <w:t xml:space="preserve"> and </w:t>
      </w:r>
      <w:r>
        <w:t xml:space="preserve">the </w:t>
      </w:r>
      <w:r w:rsidRPr="005B3549">
        <w:t>other</w:t>
      </w:r>
      <w:r>
        <w:t xml:space="preserve"> Victorian gas businesses</w:t>
      </w:r>
      <w:r w:rsidRPr="005B3549">
        <w:t xml:space="preserve"> have proposed. </w:t>
      </w:r>
    </w:p>
    <w:p w:rsidR="006B0748" w:rsidRPr="00691ED9" w:rsidRDefault="006B0748" w:rsidP="006B0748">
      <w:pPr>
        <w:pStyle w:val="Heading9"/>
      </w:pPr>
      <w:bookmarkStart w:id="62" w:name="_Ref350877949"/>
      <w:r w:rsidRPr="00691ED9">
        <w:t>Reasonableness checks</w:t>
      </w:r>
      <w:bookmarkEnd w:id="54"/>
      <w:bookmarkEnd w:id="62"/>
      <w:r w:rsidRPr="00691ED9">
        <w:t xml:space="preserve"> </w:t>
      </w:r>
    </w:p>
    <w:p w:rsidR="006B0748" w:rsidRPr="00F74E42" w:rsidRDefault="006B0748" w:rsidP="006B0748">
      <w:pPr>
        <w:pStyle w:val="AERbodytext"/>
        <w:numPr>
          <w:ilvl w:val="0"/>
          <w:numId w:val="13"/>
        </w:numPr>
      </w:pPr>
      <w:r w:rsidRPr="00F74E42">
        <w:t xml:space="preserve">In attachment </w:t>
      </w:r>
      <w:r>
        <w:t>5</w:t>
      </w:r>
      <w:r w:rsidRPr="00F74E42">
        <w:t>, the AER evaluates the evidence on each WACC parameter individually. It also takes into account the interdependencies between WACC parameters where relevant. In this section the AER evaluates the overall rate of return derived from the individual WACC parameter values. The AER considers its determined overall rate of return is commensurate with prevailing conditions in the market for funds and the risks involved in providing reference services.</w:t>
      </w:r>
      <w:r w:rsidRPr="00F74E42">
        <w:rPr>
          <w:rStyle w:val="FootnoteReference"/>
        </w:rPr>
        <w:footnoteReference w:id="246"/>
      </w:r>
      <w:r w:rsidRPr="00F74E42">
        <w:t xml:space="preserve">  In turn, the AER considers this overall rate of return provides a reasonable opportunity for </w:t>
      </w:r>
      <w:r>
        <w:t>Multinet</w:t>
      </w:r>
      <w:r w:rsidRPr="00F74E42">
        <w:t xml:space="preserve"> to recover at least its efficient costs.</w:t>
      </w:r>
      <w:r w:rsidRPr="00F74E42">
        <w:rPr>
          <w:rStyle w:val="FootnoteReference"/>
        </w:rPr>
        <w:footnoteReference w:id="247"/>
      </w:r>
      <w:r w:rsidRPr="00F74E42">
        <w:t xml:space="preserve"> </w:t>
      </w:r>
    </w:p>
    <w:p w:rsidR="006B0748" w:rsidRPr="00F74E42" w:rsidRDefault="006B0748" w:rsidP="006B0748">
      <w:pPr>
        <w:pStyle w:val="AERbodytext"/>
        <w:numPr>
          <w:ilvl w:val="0"/>
          <w:numId w:val="13"/>
        </w:numPr>
      </w:pPr>
      <w:r w:rsidRPr="00F74E42">
        <w:t>In this appendix, the AER examines:</w:t>
      </w:r>
    </w:p>
    <w:p w:rsidR="006B0748" w:rsidRPr="00822B76" w:rsidRDefault="006B0748" w:rsidP="006B0748">
      <w:pPr>
        <w:pStyle w:val="AERbulletlistfirststyle"/>
      </w:pPr>
      <w:r w:rsidRPr="00F74E42">
        <w:t>assets sales</w:t>
      </w:r>
    </w:p>
    <w:p w:rsidR="006B0748" w:rsidRPr="00822B76" w:rsidRDefault="006B0748" w:rsidP="006B0748">
      <w:pPr>
        <w:pStyle w:val="AERbulletlistfirststyle"/>
      </w:pPr>
      <w:r w:rsidRPr="00F74E42">
        <w:t>trading multiples</w:t>
      </w:r>
    </w:p>
    <w:p w:rsidR="006B0748" w:rsidRPr="00822B76" w:rsidRDefault="006B0748" w:rsidP="006B0748">
      <w:pPr>
        <w:pStyle w:val="AERbulletlistfirststyle"/>
      </w:pPr>
      <w:r w:rsidRPr="00F74E42">
        <w:t>broker WACC estimates</w:t>
      </w:r>
    </w:p>
    <w:p w:rsidR="006B0748" w:rsidRPr="00822B76" w:rsidRDefault="006B0748" w:rsidP="006B0748">
      <w:pPr>
        <w:pStyle w:val="AERbulletlistfirststyle"/>
      </w:pPr>
      <w:r w:rsidRPr="00F74E42">
        <w:t xml:space="preserve">recent decisions by other regulators and the AER </w:t>
      </w:r>
    </w:p>
    <w:p w:rsidR="006B0748" w:rsidRPr="00822B76" w:rsidRDefault="006B0748" w:rsidP="006B0748">
      <w:pPr>
        <w:pStyle w:val="AERbulletlistfirststyle"/>
      </w:pPr>
      <w:r w:rsidRPr="00F74E42">
        <w:t xml:space="preserve">recent decisions by overseas regulators </w:t>
      </w:r>
    </w:p>
    <w:p w:rsidR="006B0748" w:rsidRDefault="006B0748" w:rsidP="006B0748">
      <w:pPr>
        <w:pStyle w:val="AERbulletlistfirststyle"/>
      </w:pPr>
      <w:r w:rsidRPr="00F74E42">
        <w:t>the relationship between the cost</w:t>
      </w:r>
      <w:r>
        <w:t xml:space="preserve"> of equity and the cost of debt</w:t>
      </w:r>
    </w:p>
    <w:p w:rsidR="006B0748" w:rsidRPr="00822B76" w:rsidRDefault="006B0748" w:rsidP="006B0748">
      <w:pPr>
        <w:pStyle w:val="AERbulletlistfirststyle"/>
      </w:pPr>
      <w:proofErr w:type="gramStart"/>
      <w:r>
        <w:t>cash</w:t>
      </w:r>
      <w:proofErr w:type="gramEnd"/>
      <w:r>
        <w:t xml:space="preserve"> flow analysis.</w:t>
      </w:r>
    </w:p>
    <w:p w:rsidR="006B0748" w:rsidRPr="00B367FF" w:rsidRDefault="006B0748" w:rsidP="006B0748">
      <w:pPr>
        <w:pStyle w:val="HeadingBoldBlue"/>
        <w:numPr>
          <w:ilvl w:val="0"/>
          <w:numId w:val="13"/>
        </w:numPr>
      </w:pPr>
      <w:r w:rsidRPr="00B367FF">
        <w:t xml:space="preserve">Recent regulated asset sales </w:t>
      </w:r>
    </w:p>
    <w:p w:rsidR="006B0748" w:rsidRDefault="006B0748" w:rsidP="006B0748">
      <w:pPr>
        <w:pStyle w:val="AERbodytext"/>
        <w:numPr>
          <w:ilvl w:val="0"/>
          <w:numId w:val="13"/>
        </w:numPr>
      </w:pPr>
      <w:r w:rsidRPr="00F74E42">
        <w:t>For recent transactions of regulated assets, for which relevant data is available, the AER compares the market value (i.e. the sale price) with the book value (i.e. the regulatory asset base).</w:t>
      </w:r>
    </w:p>
    <w:p w:rsidR="006B0748" w:rsidRPr="00F74E42" w:rsidRDefault="006B0748" w:rsidP="006B0748">
      <w:pPr>
        <w:pStyle w:val="AERbodytext"/>
        <w:numPr>
          <w:ilvl w:val="0"/>
          <w:numId w:val="13"/>
        </w:numPr>
      </w:pPr>
      <w:r w:rsidRPr="00F74E42">
        <w:t xml:space="preserve">Over the past few years, regulated assets have generally been sold at a premium to the RAB. If the market value is above the book value, this may imply that the regulatory rate of return is above that required by investors. Conversely, when the market value is below the book value, this may imply that the regulatory rate of return is below that required by investors. </w:t>
      </w:r>
    </w:p>
    <w:p w:rsidR="006B0748" w:rsidRPr="00F74E42" w:rsidRDefault="006B0748" w:rsidP="006B0748">
      <w:pPr>
        <w:pStyle w:val="AERbodytext"/>
        <w:numPr>
          <w:ilvl w:val="0"/>
          <w:numId w:val="13"/>
        </w:numPr>
      </w:pPr>
      <w:r w:rsidRPr="00F74E42">
        <w:t>Caution must be exercised before inferring that the difference indicates a disparity in WACCs, particularly where the difference is small. A range of factors may contribute to a difference between market and book values. A RAB multiple greater than one might be the result of the buyer:</w:t>
      </w:r>
      <w:r w:rsidRPr="00F74E42">
        <w:rPr>
          <w:rStyle w:val="AERsuperscript"/>
        </w:rPr>
        <w:t xml:space="preserve"> </w:t>
      </w:r>
      <w:r w:rsidRPr="00F74E42">
        <w:rPr>
          <w:rStyle w:val="FootnoteReference"/>
        </w:rPr>
        <w:footnoteReference w:id="248"/>
      </w:r>
    </w:p>
    <w:p w:rsidR="006B0748" w:rsidRPr="00822B76" w:rsidRDefault="006B0748" w:rsidP="006B0748">
      <w:pPr>
        <w:pStyle w:val="AERbulletlistfirststyle"/>
      </w:pPr>
      <w:r w:rsidRPr="00F74E42">
        <w:t>expecting to achieve greater efficiency gains that result in actual operational and capital expenditure below the amount allowed by the regulator</w:t>
      </w:r>
    </w:p>
    <w:p w:rsidR="006B0748" w:rsidRPr="00822B76" w:rsidRDefault="006B0748" w:rsidP="006B0748">
      <w:pPr>
        <w:pStyle w:val="AERbulletlistfirststyle"/>
      </w:pPr>
      <w:r w:rsidRPr="00F74E42">
        <w:t>increasing the service provider’s revenues by encouraging demand for regulated services</w:t>
      </w:r>
    </w:p>
    <w:p w:rsidR="006B0748" w:rsidRPr="00822B76" w:rsidRDefault="006B0748" w:rsidP="006B0748">
      <w:pPr>
        <w:pStyle w:val="AERbulletlistfirststyle"/>
      </w:pPr>
      <w:r w:rsidRPr="00F74E42">
        <w:t>benefiting from a more efficient tax structure or higher gearing levels than the benchmark assumptions adopted by the regulator, and growth options</w:t>
      </w:r>
    </w:p>
    <w:p w:rsidR="006B0748" w:rsidRPr="00822B76" w:rsidRDefault="006B0748" w:rsidP="006B0748">
      <w:pPr>
        <w:pStyle w:val="AERbulletlistfirststyle"/>
      </w:pPr>
      <w:proofErr w:type="gramStart"/>
      <w:r w:rsidRPr="00F74E42">
        <w:t>expecting</w:t>
      </w:r>
      <w:proofErr w:type="gramEnd"/>
      <w:r w:rsidRPr="00F74E42">
        <w:t xml:space="preserve"> to achieve higher returns if regulation is relaxed.</w:t>
      </w:r>
      <w:r w:rsidRPr="00822B76">
        <w:rPr>
          <w:rStyle w:val="FootnoteReference"/>
        </w:rPr>
        <w:footnoteReference w:id="249"/>
      </w:r>
    </w:p>
    <w:p w:rsidR="006B0748" w:rsidRDefault="006B0748" w:rsidP="006B0748">
      <w:pPr>
        <w:pStyle w:val="AERbodytext"/>
        <w:numPr>
          <w:ilvl w:val="0"/>
          <w:numId w:val="13"/>
        </w:numPr>
      </w:pPr>
      <w:r>
        <w:t>The AER considers that the above list is not exhaustive. SFG have provided alternative explanations of the sale price in excess of the RAB.</w:t>
      </w:r>
      <w:r>
        <w:rPr>
          <w:rStyle w:val="FootnoteReference"/>
        </w:rPr>
        <w:footnoteReference w:id="250"/>
      </w:r>
      <w:r>
        <w:t xml:space="preserve">  </w:t>
      </w:r>
    </w:p>
    <w:p w:rsidR="006B0748" w:rsidRPr="00F74E42" w:rsidRDefault="006B0748" w:rsidP="006B0748">
      <w:pPr>
        <w:pStyle w:val="AERbodytext"/>
        <w:numPr>
          <w:ilvl w:val="0"/>
          <w:numId w:val="13"/>
        </w:numPr>
      </w:pPr>
      <w:r w:rsidRPr="00F74E42">
        <w:t xml:space="preserve">Regulated asset sales in the market are also infrequent allowing limited opportunity to conduct this analysis. This is of particular relevance at present as the AER is setting a lower overall rate of return than in previous decisions. While asset sales in the future may reflect changes to the overall rate of return that are occurring at present, sales that have already occurred will not.   </w:t>
      </w:r>
    </w:p>
    <w:p w:rsidR="006B0748" w:rsidRPr="00F74E42" w:rsidRDefault="006B0748" w:rsidP="006B0748">
      <w:pPr>
        <w:pStyle w:val="AERbodytext"/>
        <w:numPr>
          <w:ilvl w:val="0"/>
          <w:numId w:val="13"/>
        </w:numPr>
      </w:pPr>
      <w:r w:rsidRPr="00F74E42">
        <w:t>Regulated asset sales do, however, provide a useful real-world indication of whether market participants consider the AER's benchmark WACC to be, broadly speaking, reasonable. The consistent positive trend as discussed below provides evidence that the AER's WACC approach is not unreasonable.</w:t>
      </w:r>
    </w:p>
    <w:p w:rsidR="006B0748" w:rsidRDefault="006B0748" w:rsidP="006B0748">
      <w:pPr>
        <w:pStyle w:val="AERbodytext"/>
        <w:numPr>
          <w:ilvl w:val="0"/>
          <w:numId w:val="13"/>
        </w:numPr>
      </w:pPr>
      <w:r>
        <w:t>Further, CEPA consider the Market Asset Ratio [RAB multiple] to be a well established tool used by equity analysts to compare allowed and actual returns on capital.</w:t>
      </w:r>
      <w:r>
        <w:rPr>
          <w:rStyle w:val="FootnoteReference"/>
        </w:rPr>
        <w:footnoteReference w:id="251"/>
      </w:r>
      <w:r>
        <w:t xml:space="preserve"> </w:t>
      </w:r>
    </w:p>
    <w:p w:rsidR="006B0748" w:rsidRDefault="006B0748" w:rsidP="006B0748">
      <w:pPr>
        <w:pStyle w:val="AERbodytext"/>
        <w:numPr>
          <w:ilvl w:val="0"/>
          <w:numId w:val="13"/>
        </w:numPr>
      </w:pPr>
      <w:r>
        <w:t>Deloitte also confirm that a commonly used industry rule of thumb for valuing regulated assets is the RAB multiple.</w:t>
      </w:r>
      <w:r>
        <w:rPr>
          <w:rStyle w:val="FootnoteReference"/>
        </w:rPr>
        <w:footnoteReference w:id="252"/>
      </w:r>
    </w:p>
    <w:p w:rsidR="006B0748" w:rsidRDefault="006B0748" w:rsidP="006B0748">
      <w:pPr>
        <w:pStyle w:val="AERquote"/>
      </w:pPr>
      <w:r>
        <w:t>In theory, where the WACC applied is the same as the regulatory return determined and the regulator and market have the same view as to the costs of operating the regulated asset, the RAB multiple should be one.</w:t>
      </w:r>
    </w:p>
    <w:p w:rsidR="006B0748" w:rsidRPr="00F74E42" w:rsidRDefault="006B0748" w:rsidP="006B0748">
      <w:pPr>
        <w:pStyle w:val="AERbodytext"/>
        <w:numPr>
          <w:ilvl w:val="0"/>
          <w:numId w:val="13"/>
        </w:numPr>
      </w:pPr>
      <w:r w:rsidRPr="00F74E42">
        <w:t>The RAB multiples from each of these transactions, together with the transactions discussed above, are summarised in</w:t>
      </w:r>
      <w:r>
        <w:t xml:space="preserve"> </w:t>
      </w:r>
      <w:r w:rsidR="009B2237">
        <w:fldChar w:fldCharType="begin"/>
      </w:r>
      <w:r>
        <w:instrText xml:space="preserve"> REF _Ref350871206 \h </w:instrText>
      </w:r>
      <w:r w:rsidR="009B2237">
        <w:fldChar w:fldCharType="separate"/>
      </w:r>
      <w:r>
        <w:t xml:space="preserve">Table </w:t>
      </w:r>
      <w:r>
        <w:rPr>
          <w:noProof/>
        </w:rPr>
        <w:t>B</w:t>
      </w:r>
      <w:r>
        <w:t>.</w:t>
      </w:r>
      <w:r>
        <w:rPr>
          <w:noProof/>
        </w:rPr>
        <w:t>4</w:t>
      </w:r>
      <w:r w:rsidR="009B2237">
        <w:fldChar w:fldCharType="end"/>
      </w:r>
      <w:r w:rsidRPr="00F74E42">
        <w:t xml:space="preserve"> from most recent to least recent. </w:t>
      </w:r>
    </w:p>
    <w:p w:rsidR="006B0748" w:rsidRPr="00822B76" w:rsidRDefault="006B0748" w:rsidP="006B0748">
      <w:pPr>
        <w:pStyle w:val="Caption"/>
      </w:pPr>
      <w:bookmarkStart w:id="63" w:name="_Ref350871206"/>
      <w:bookmarkStart w:id="64" w:name="_Ref331151536"/>
      <w:r>
        <w:t xml:space="preserve">Table </w:t>
      </w:r>
      <w:fldSimple w:instr=" STYLEREF 7 \s ">
        <w:r>
          <w:rPr>
            <w:noProof/>
          </w:rPr>
          <w:t>B</w:t>
        </w:r>
      </w:fldSimple>
      <w:r>
        <w:t>.</w:t>
      </w:r>
      <w:fldSimple w:instr=" SEQ Table \* ARABIC \s 7 ">
        <w:r>
          <w:rPr>
            <w:noProof/>
          </w:rPr>
          <w:t>4</w:t>
        </w:r>
      </w:fldSimple>
      <w:bookmarkEnd w:id="63"/>
      <w:r>
        <w:tab/>
      </w:r>
      <w:r w:rsidRPr="00F74E42">
        <w:t>Selected acquisitions – RAB multiples</w:t>
      </w:r>
      <w:bookmarkEnd w:id="64"/>
    </w:p>
    <w:tbl>
      <w:tblPr>
        <w:tblStyle w:val="AERtable-numbers"/>
        <w:tblW w:w="4928" w:type="pct"/>
        <w:tblLayout w:type="fixed"/>
        <w:tblLook w:val="01E0"/>
      </w:tblPr>
      <w:tblGrid>
        <w:gridCol w:w="1666"/>
        <w:gridCol w:w="2128"/>
        <w:gridCol w:w="3828"/>
        <w:gridCol w:w="22"/>
        <w:gridCol w:w="1465"/>
      </w:tblGrid>
      <w:tr w:rsidR="006B0748" w:rsidRPr="005B3CD3" w:rsidTr="006B0748">
        <w:trPr>
          <w:cnfStyle w:val="100000000000"/>
          <w:trHeight w:val="507"/>
        </w:trPr>
        <w:tc>
          <w:tcPr>
            <w:cnfStyle w:val="001000000000"/>
            <w:tcW w:w="915" w:type="pct"/>
            <w:noWrap/>
          </w:tcPr>
          <w:p w:rsidR="006B0748" w:rsidRPr="006B0748" w:rsidRDefault="006B0748" w:rsidP="006B0748">
            <w:r w:rsidRPr="00F74E42">
              <w:t>Date</w:t>
            </w:r>
          </w:p>
        </w:tc>
        <w:tc>
          <w:tcPr>
            <w:tcW w:w="1168" w:type="pct"/>
            <w:noWrap/>
          </w:tcPr>
          <w:p w:rsidR="006B0748" w:rsidRPr="006B0748" w:rsidRDefault="006B0748" w:rsidP="006B0748">
            <w:pPr>
              <w:cnfStyle w:val="100000000000"/>
            </w:pPr>
            <w:r w:rsidRPr="00F74E42">
              <w:t>Acquirer</w:t>
            </w:r>
          </w:p>
        </w:tc>
        <w:tc>
          <w:tcPr>
            <w:tcW w:w="2101" w:type="pct"/>
            <w:noWrap/>
          </w:tcPr>
          <w:p w:rsidR="006B0748" w:rsidRPr="006B0748" w:rsidRDefault="006B0748" w:rsidP="006B0748">
            <w:pPr>
              <w:cnfStyle w:val="100000000000"/>
            </w:pPr>
            <w:r w:rsidRPr="00F74E42">
              <w:t>Entity/Asset acquired</w:t>
            </w:r>
          </w:p>
        </w:tc>
        <w:tc>
          <w:tcPr>
            <w:tcW w:w="816" w:type="pct"/>
            <w:gridSpan w:val="2"/>
            <w:noWrap/>
          </w:tcPr>
          <w:p w:rsidR="006B0748" w:rsidRPr="006B0748" w:rsidRDefault="006B0748" w:rsidP="006B0748">
            <w:pPr>
              <w:cnfStyle w:val="100000000000"/>
            </w:pPr>
            <w:r w:rsidRPr="00F74E42">
              <w:t xml:space="preserve">RAB </w:t>
            </w:r>
            <w:r w:rsidRPr="006B0748">
              <w:t>multiple (times)</w:t>
            </w:r>
          </w:p>
        </w:tc>
      </w:tr>
      <w:tr w:rsidR="006B0748" w:rsidRPr="005B3CD3" w:rsidTr="006B0748">
        <w:trPr>
          <w:trHeight w:val="290"/>
        </w:trPr>
        <w:tc>
          <w:tcPr>
            <w:cnfStyle w:val="001000000000"/>
            <w:tcW w:w="915" w:type="pct"/>
            <w:noWrap/>
          </w:tcPr>
          <w:p w:rsidR="006B0748" w:rsidRPr="006B0748" w:rsidRDefault="006B0748" w:rsidP="006B0748">
            <w:r w:rsidRPr="00F74E42">
              <w:t>Dec 201</w:t>
            </w:r>
            <w:r w:rsidRPr="006B0748">
              <w:t>2</w:t>
            </w:r>
          </w:p>
        </w:tc>
        <w:tc>
          <w:tcPr>
            <w:tcW w:w="1168" w:type="pct"/>
            <w:noWrap/>
          </w:tcPr>
          <w:p w:rsidR="006B0748" w:rsidRPr="006B0748" w:rsidRDefault="006B0748" w:rsidP="006B0748">
            <w:pPr>
              <w:cnfStyle w:val="000000000000"/>
            </w:pPr>
            <w:r>
              <w:t>State Grid Corp of China</w:t>
            </w:r>
          </w:p>
        </w:tc>
        <w:tc>
          <w:tcPr>
            <w:tcW w:w="2101" w:type="pct"/>
            <w:noWrap/>
          </w:tcPr>
          <w:p w:rsidR="006B0748" w:rsidRPr="006B0748" w:rsidRDefault="006B0748" w:rsidP="006B0748">
            <w:pPr>
              <w:cnfStyle w:val="000000000000"/>
            </w:pPr>
            <w:r>
              <w:t>41.1% of ElectraNet</w:t>
            </w:r>
            <w:r w:rsidRPr="006B0748">
              <w:t xml:space="preserve"> SA</w:t>
            </w:r>
          </w:p>
        </w:tc>
        <w:tc>
          <w:tcPr>
            <w:tcW w:w="816" w:type="pct"/>
            <w:gridSpan w:val="2"/>
            <w:noWrap/>
          </w:tcPr>
          <w:p w:rsidR="006B0748" w:rsidRPr="006B0748" w:rsidRDefault="006B0748" w:rsidP="006B0748">
            <w:pPr>
              <w:cnfStyle w:val="000000000000"/>
            </w:pPr>
            <w:r w:rsidRPr="00F74E42">
              <w:t>1.2</w:t>
            </w:r>
            <w:r w:rsidRPr="006B0748">
              <w:t>9</w:t>
            </w:r>
          </w:p>
        </w:tc>
      </w:tr>
      <w:tr w:rsidR="006B0748" w:rsidRPr="005B3CD3" w:rsidTr="006B0748">
        <w:trPr>
          <w:cnfStyle w:val="000000010000"/>
          <w:trHeight w:val="290"/>
        </w:trPr>
        <w:tc>
          <w:tcPr>
            <w:cnfStyle w:val="001000000000"/>
            <w:tcW w:w="915" w:type="pct"/>
            <w:noWrap/>
          </w:tcPr>
          <w:p w:rsidR="006B0748" w:rsidRPr="006B0748" w:rsidRDefault="006B0748" w:rsidP="006B0748">
            <w:r w:rsidRPr="00F74E42">
              <w:t>Dec 2011</w:t>
            </w:r>
          </w:p>
        </w:tc>
        <w:tc>
          <w:tcPr>
            <w:tcW w:w="1168" w:type="pct"/>
            <w:noWrap/>
          </w:tcPr>
          <w:p w:rsidR="006B0748" w:rsidRPr="006B0748" w:rsidRDefault="006B0748" w:rsidP="006B0748">
            <w:pPr>
              <w:cnfStyle w:val="000000010000"/>
            </w:pPr>
            <w:r w:rsidRPr="00F74E42">
              <w:t>Marubeni Corp/RREEF</w:t>
            </w:r>
          </w:p>
        </w:tc>
        <w:tc>
          <w:tcPr>
            <w:tcW w:w="2101" w:type="pct"/>
            <w:noWrap/>
          </w:tcPr>
          <w:p w:rsidR="006B0748" w:rsidRPr="006B0748" w:rsidRDefault="006B0748" w:rsidP="006B0748">
            <w:pPr>
              <w:cnfStyle w:val="000000010000"/>
            </w:pPr>
            <w:r w:rsidRPr="00F74E42">
              <w:t>Allgas</w:t>
            </w:r>
          </w:p>
        </w:tc>
        <w:tc>
          <w:tcPr>
            <w:tcW w:w="816" w:type="pct"/>
            <w:gridSpan w:val="2"/>
            <w:noWrap/>
          </w:tcPr>
          <w:p w:rsidR="006B0748" w:rsidRPr="006B0748" w:rsidRDefault="006B0748" w:rsidP="006B0748">
            <w:pPr>
              <w:cnfStyle w:val="000000010000"/>
            </w:pPr>
            <w:r w:rsidRPr="00F74E42">
              <w:t>1.20</w:t>
            </w:r>
          </w:p>
        </w:tc>
      </w:tr>
      <w:tr w:rsidR="006B0748" w:rsidRPr="005B3CD3" w:rsidTr="006B0748">
        <w:trPr>
          <w:trHeight w:val="290"/>
        </w:trPr>
        <w:tc>
          <w:tcPr>
            <w:cnfStyle w:val="001000000000"/>
            <w:tcW w:w="915" w:type="pct"/>
            <w:noWrap/>
          </w:tcPr>
          <w:p w:rsidR="006B0748" w:rsidRPr="006B0748" w:rsidRDefault="006B0748" w:rsidP="006B0748">
            <w:r w:rsidRPr="00F74E42">
              <w:t>Dec 2011</w:t>
            </w:r>
          </w:p>
        </w:tc>
        <w:tc>
          <w:tcPr>
            <w:tcW w:w="1168" w:type="pct"/>
            <w:noWrap/>
          </w:tcPr>
          <w:p w:rsidR="006B0748" w:rsidRPr="006B0748" w:rsidRDefault="006B0748" w:rsidP="006B0748">
            <w:pPr>
              <w:cnfStyle w:val="000000000000"/>
            </w:pPr>
            <w:r w:rsidRPr="00F74E42">
              <w:t>Marubeni Corp/RREEF</w:t>
            </w:r>
          </w:p>
        </w:tc>
        <w:tc>
          <w:tcPr>
            <w:tcW w:w="2101" w:type="pct"/>
            <w:noWrap/>
          </w:tcPr>
          <w:p w:rsidR="006B0748" w:rsidRPr="006B0748" w:rsidRDefault="006B0748" w:rsidP="006B0748">
            <w:pPr>
              <w:cnfStyle w:val="000000000000"/>
            </w:pPr>
            <w:r w:rsidRPr="00F74E42">
              <w:t>Allgas</w:t>
            </w:r>
          </w:p>
        </w:tc>
        <w:tc>
          <w:tcPr>
            <w:tcW w:w="816" w:type="pct"/>
            <w:gridSpan w:val="2"/>
            <w:noWrap/>
          </w:tcPr>
          <w:p w:rsidR="006B0748" w:rsidRPr="006B0748" w:rsidRDefault="006B0748" w:rsidP="006B0748">
            <w:pPr>
              <w:cnfStyle w:val="000000000000"/>
            </w:pPr>
            <w:r w:rsidRPr="00F74E42">
              <w:t>1.02</w:t>
            </w:r>
          </w:p>
        </w:tc>
      </w:tr>
      <w:tr w:rsidR="006B0748" w:rsidRPr="005B3CD3" w:rsidTr="006B0748">
        <w:trPr>
          <w:cnfStyle w:val="000000010000"/>
          <w:trHeight w:val="290"/>
        </w:trPr>
        <w:tc>
          <w:tcPr>
            <w:cnfStyle w:val="001000000000"/>
            <w:tcW w:w="915" w:type="pct"/>
            <w:noWrap/>
          </w:tcPr>
          <w:p w:rsidR="006B0748" w:rsidRPr="006B0748" w:rsidRDefault="006B0748" w:rsidP="006B0748">
            <w:r w:rsidRPr="00F74E42">
              <w:t>July 2011</w:t>
            </w:r>
          </w:p>
        </w:tc>
        <w:tc>
          <w:tcPr>
            <w:tcW w:w="1168" w:type="pct"/>
            <w:noWrap/>
          </w:tcPr>
          <w:p w:rsidR="006B0748" w:rsidRPr="006B0748" w:rsidRDefault="006B0748" w:rsidP="006B0748">
            <w:pPr>
              <w:cnfStyle w:val="000000010000"/>
            </w:pPr>
            <w:r w:rsidRPr="00F74E42">
              <w:t>ATCO</w:t>
            </w:r>
          </w:p>
        </w:tc>
        <w:tc>
          <w:tcPr>
            <w:tcW w:w="2101" w:type="pct"/>
            <w:noWrap/>
          </w:tcPr>
          <w:p w:rsidR="006B0748" w:rsidRPr="006B0748" w:rsidRDefault="006B0748" w:rsidP="006B0748">
            <w:pPr>
              <w:cnfStyle w:val="000000010000"/>
            </w:pPr>
            <w:r w:rsidRPr="00F74E42">
              <w:t xml:space="preserve">25.9% of West Australian Gas </w:t>
            </w:r>
            <w:r w:rsidRPr="006B0748">
              <w:t>Networks</w:t>
            </w:r>
          </w:p>
        </w:tc>
        <w:tc>
          <w:tcPr>
            <w:tcW w:w="816" w:type="pct"/>
            <w:gridSpan w:val="2"/>
            <w:noWrap/>
          </w:tcPr>
          <w:p w:rsidR="006B0748" w:rsidRPr="006B0748" w:rsidRDefault="006B0748" w:rsidP="006B0748">
            <w:pPr>
              <w:cnfStyle w:val="000000010000"/>
            </w:pPr>
            <w:r w:rsidRPr="00F74E42">
              <w:t>1.20</w:t>
            </w:r>
          </w:p>
        </w:tc>
      </w:tr>
      <w:tr w:rsidR="006B0748" w:rsidRPr="005B3CD3" w:rsidTr="006B0748">
        <w:trPr>
          <w:trHeight w:val="290"/>
        </w:trPr>
        <w:tc>
          <w:tcPr>
            <w:cnfStyle w:val="001000000000"/>
            <w:tcW w:w="915" w:type="pct"/>
            <w:noWrap/>
          </w:tcPr>
          <w:p w:rsidR="006B0748" w:rsidRPr="006B0748" w:rsidRDefault="006B0748" w:rsidP="006B0748">
            <w:r w:rsidRPr="00F74E42">
              <w:t>July 2011</w:t>
            </w:r>
          </w:p>
        </w:tc>
        <w:tc>
          <w:tcPr>
            <w:tcW w:w="1168" w:type="pct"/>
            <w:noWrap/>
          </w:tcPr>
          <w:p w:rsidR="006B0748" w:rsidRPr="006B0748" w:rsidRDefault="006B0748" w:rsidP="006B0748">
            <w:pPr>
              <w:cnfStyle w:val="000000000000"/>
            </w:pPr>
            <w:r w:rsidRPr="00F74E42">
              <w:t>DUET</w:t>
            </w:r>
          </w:p>
        </w:tc>
        <w:tc>
          <w:tcPr>
            <w:tcW w:w="2101" w:type="pct"/>
            <w:noWrap/>
          </w:tcPr>
          <w:p w:rsidR="006B0748" w:rsidRPr="006B0748" w:rsidRDefault="006B0748" w:rsidP="006B0748">
            <w:pPr>
              <w:cnfStyle w:val="000000000000"/>
            </w:pPr>
            <w:r w:rsidRPr="00F74E42">
              <w:t>20% of Multinet Gas</w:t>
            </w:r>
          </w:p>
        </w:tc>
        <w:tc>
          <w:tcPr>
            <w:tcW w:w="816" w:type="pct"/>
            <w:gridSpan w:val="2"/>
            <w:noWrap/>
          </w:tcPr>
          <w:p w:rsidR="006B0748" w:rsidRPr="006B0748" w:rsidRDefault="006B0748" w:rsidP="006B0748">
            <w:pPr>
              <w:cnfStyle w:val="000000000000"/>
            </w:pPr>
            <w:r w:rsidRPr="00F74E42">
              <w:t>1.13</w:t>
            </w:r>
          </w:p>
        </w:tc>
      </w:tr>
      <w:tr w:rsidR="006B0748" w:rsidRPr="005B3CD3" w:rsidTr="006B0748">
        <w:trPr>
          <w:cnfStyle w:val="000000010000"/>
          <w:trHeight w:val="290"/>
        </w:trPr>
        <w:tc>
          <w:tcPr>
            <w:cnfStyle w:val="001000000000"/>
            <w:tcW w:w="915" w:type="pct"/>
            <w:noWrap/>
          </w:tcPr>
          <w:p w:rsidR="006B0748" w:rsidRPr="006B0748" w:rsidRDefault="006B0748" w:rsidP="006B0748">
            <w:r w:rsidRPr="00F74E42">
              <w:t>July 2011</w:t>
            </w:r>
          </w:p>
        </w:tc>
        <w:tc>
          <w:tcPr>
            <w:tcW w:w="1168" w:type="pct"/>
            <w:noWrap/>
          </w:tcPr>
          <w:p w:rsidR="006B0748" w:rsidRPr="006B0748" w:rsidRDefault="006B0748" w:rsidP="006B0748">
            <w:pPr>
              <w:cnfStyle w:val="000000010000"/>
            </w:pPr>
            <w:r w:rsidRPr="00F74E42">
              <w:t>DUET</w:t>
            </w:r>
          </w:p>
        </w:tc>
        <w:tc>
          <w:tcPr>
            <w:tcW w:w="2101" w:type="pct"/>
            <w:noWrap/>
          </w:tcPr>
          <w:p w:rsidR="006B0748" w:rsidRPr="006B0748" w:rsidRDefault="006B0748" w:rsidP="006B0748">
            <w:pPr>
              <w:cnfStyle w:val="000000010000"/>
            </w:pPr>
            <w:r w:rsidRPr="00F74E42">
              <w:t xml:space="preserve">20% of Dampier to Bunburry Natural Gas </w:t>
            </w:r>
            <w:r w:rsidRPr="006B0748">
              <w:t>Pipeline</w:t>
            </w:r>
          </w:p>
        </w:tc>
        <w:tc>
          <w:tcPr>
            <w:tcW w:w="816" w:type="pct"/>
            <w:gridSpan w:val="2"/>
            <w:noWrap/>
          </w:tcPr>
          <w:p w:rsidR="006B0748" w:rsidRPr="006B0748" w:rsidRDefault="006B0748" w:rsidP="006B0748">
            <w:pPr>
              <w:cnfStyle w:val="000000010000"/>
            </w:pPr>
            <w:r w:rsidRPr="00F74E42">
              <w:t>0.95</w:t>
            </w:r>
            <w:r w:rsidRPr="006B0748">
              <w:rPr>
                <w:rStyle w:val="FootnoteReference"/>
              </w:rPr>
              <w:footnoteReference w:id="253"/>
            </w:r>
          </w:p>
        </w:tc>
      </w:tr>
      <w:tr w:rsidR="006B0748" w:rsidRPr="005B3CD3" w:rsidTr="006B0748">
        <w:trPr>
          <w:trHeight w:val="290"/>
        </w:trPr>
        <w:tc>
          <w:tcPr>
            <w:cnfStyle w:val="001000000000"/>
            <w:tcW w:w="915" w:type="pct"/>
            <w:noWrap/>
          </w:tcPr>
          <w:p w:rsidR="006B0748" w:rsidRPr="006B0748" w:rsidRDefault="006B0748" w:rsidP="006B0748">
            <w:r w:rsidRPr="00F74E42">
              <w:t>Dec-06</w:t>
            </w:r>
          </w:p>
        </w:tc>
        <w:tc>
          <w:tcPr>
            <w:tcW w:w="1168" w:type="pct"/>
            <w:noWrap/>
          </w:tcPr>
          <w:p w:rsidR="006B0748" w:rsidRPr="006B0748" w:rsidRDefault="006B0748" w:rsidP="006B0748">
            <w:pPr>
              <w:cnfStyle w:val="000000000000"/>
            </w:pPr>
            <w:r w:rsidRPr="00F74E42">
              <w:t>APA</w:t>
            </w:r>
          </w:p>
        </w:tc>
        <w:tc>
          <w:tcPr>
            <w:tcW w:w="2101" w:type="pct"/>
            <w:noWrap/>
          </w:tcPr>
          <w:p w:rsidR="006B0748" w:rsidRPr="006B0748" w:rsidRDefault="006B0748" w:rsidP="006B0748">
            <w:pPr>
              <w:cnfStyle w:val="000000000000"/>
            </w:pPr>
            <w:r w:rsidRPr="00F74E42">
              <w:t>Directlink</w:t>
            </w:r>
          </w:p>
        </w:tc>
        <w:tc>
          <w:tcPr>
            <w:tcW w:w="816" w:type="pct"/>
            <w:gridSpan w:val="2"/>
            <w:noWrap/>
          </w:tcPr>
          <w:p w:rsidR="006B0748" w:rsidRPr="006B0748" w:rsidRDefault="006B0748" w:rsidP="006B0748">
            <w:pPr>
              <w:cnfStyle w:val="000000000000"/>
            </w:pPr>
            <w:r w:rsidRPr="00F74E42">
              <w:t>1.45</w:t>
            </w:r>
          </w:p>
        </w:tc>
      </w:tr>
      <w:tr w:rsidR="006B0748" w:rsidRPr="005B3CD3" w:rsidTr="006B0748">
        <w:trPr>
          <w:cnfStyle w:val="000000010000"/>
          <w:trHeight w:val="290"/>
        </w:trPr>
        <w:tc>
          <w:tcPr>
            <w:cnfStyle w:val="001000000000"/>
            <w:tcW w:w="915" w:type="pct"/>
            <w:noWrap/>
          </w:tcPr>
          <w:p w:rsidR="006B0748" w:rsidRPr="006B0748" w:rsidRDefault="006B0748" w:rsidP="006B0748">
            <w:r w:rsidRPr="00F74E42">
              <w:t>Oct-06</w:t>
            </w:r>
          </w:p>
        </w:tc>
        <w:tc>
          <w:tcPr>
            <w:tcW w:w="1168" w:type="pct"/>
            <w:noWrap/>
          </w:tcPr>
          <w:p w:rsidR="006B0748" w:rsidRPr="006B0748" w:rsidRDefault="006B0748" w:rsidP="006B0748">
            <w:pPr>
              <w:cnfStyle w:val="000000010000"/>
            </w:pPr>
            <w:r w:rsidRPr="00F74E42">
              <w:t>APA</w:t>
            </w:r>
          </w:p>
        </w:tc>
        <w:tc>
          <w:tcPr>
            <w:tcW w:w="2101" w:type="pct"/>
            <w:noWrap/>
          </w:tcPr>
          <w:p w:rsidR="006B0748" w:rsidRPr="006B0748" w:rsidRDefault="006B0748" w:rsidP="006B0748">
            <w:pPr>
              <w:cnfStyle w:val="000000010000"/>
            </w:pPr>
            <w:r w:rsidRPr="00F74E42">
              <w:t>Allgas</w:t>
            </w:r>
          </w:p>
        </w:tc>
        <w:tc>
          <w:tcPr>
            <w:tcW w:w="816" w:type="pct"/>
            <w:gridSpan w:val="2"/>
            <w:noWrap/>
          </w:tcPr>
          <w:p w:rsidR="006B0748" w:rsidRPr="006B0748" w:rsidRDefault="006B0748" w:rsidP="006B0748">
            <w:pPr>
              <w:cnfStyle w:val="000000010000"/>
            </w:pPr>
            <w:r w:rsidRPr="00F74E42">
              <w:t>1.64</w:t>
            </w:r>
          </w:p>
        </w:tc>
      </w:tr>
      <w:tr w:rsidR="006B0748" w:rsidRPr="005B3CD3" w:rsidTr="006B0748">
        <w:trPr>
          <w:trHeight w:val="290"/>
        </w:trPr>
        <w:tc>
          <w:tcPr>
            <w:cnfStyle w:val="001000000000"/>
            <w:tcW w:w="915" w:type="pct"/>
            <w:noWrap/>
          </w:tcPr>
          <w:p w:rsidR="006B0748" w:rsidRPr="006B0748" w:rsidRDefault="006B0748" w:rsidP="006B0748">
            <w:r w:rsidRPr="00F74E42">
              <w:t>Aug-06</w:t>
            </w:r>
          </w:p>
        </w:tc>
        <w:tc>
          <w:tcPr>
            <w:tcW w:w="1168" w:type="pct"/>
            <w:noWrap/>
          </w:tcPr>
          <w:p w:rsidR="006B0748" w:rsidRPr="006B0748" w:rsidRDefault="006B0748" w:rsidP="006B0748">
            <w:pPr>
              <w:cnfStyle w:val="000000000000"/>
            </w:pPr>
            <w:r w:rsidRPr="00F74E42">
              <w:t>APA</w:t>
            </w:r>
          </w:p>
        </w:tc>
        <w:tc>
          <w:tcPr>
            <w:tcW w:w="2113" w:type="pct"/>
            <w:gridSpan w:val="2"/>
            <w:noWrap/>
          </w:tcPr>
          <w:p w:rsidR="006B0748" w:rsidRPr="006B0748" w:rsidRDefault="006B0748" w:rsidP="006B0748">
            <w:pPr>
              <w:cnfStyle w:val="000000000000"/>
            </w:pPr>
            <w:r w:rsidRPr="00F74E42">
              <w:t>APA GasNet</w:t>
            </w:r>
          </w:p>
        </w:tc>
        <w:tc>
          <w:tcPr>
            <w:tcW w:w="804" w:type="pct"/>
            <w:noWrap/>
          </w:tcPr>
          <w:p w:rsidR="006B0748" w:rsidRPr="006B0748" w:rsidRDefault="006B0748" w:rsidP="006B0748">
            <w:pPr>
              <w:cnfStyle w:val="000000000000"/>
            </w:pPr>
            <w:r w:rsidRPr="00F74E42">
              <w:t>2.19</w:t>
            </w:r>
          </w:p>
        </w:tc>
      </w:tr>
      <w:tr w:rsidR="006B0748" w:rsidRPr="005B3CD3" w:rsidTr="006B0748">
        <w:trPr>
          <w:cnfStyle w:val="000000010000"/>
          <w:trHeight w:val="290"/>
        </w:trPr>
        <w:tc>
          <w:tcPr>
            <w:cnfStyle w:val="001000000000"/>
            <w:tcW w:w="915" w:type="pct"/>
            <w:noWrap/>
          </w:tcPr>
          <w:p w:rsidR="006B0748" w:rsidRPr="006B0748" w:rsidRDefault="006B0748" w:rsidP="006B0748">
            <w:r w:rsidRPr="00F74E42">
              <w:t>Apr-06</w:t>
            </w:r>
          </w:p>
        </w:tc>
        <w:tc>
          <w:tcPr>
            <w:tcW w:w="1168" w:type="pct"/>
            <w:noWrap/>
          </w:tcPr>
          <w:p w:rsidR="006B0748" w:rsidRPr="006B0748" w:rsidRDefault="006B0748" w:rsidP="006B0748">
            <w:pPr>
              <w:cnfStyle w:val="000000010000"/>
            </w:pPr>
            <w:r w:rsidRPr="00F74E42">
              <w:t>Alinta</w:t>
            </w:r>
          </w:p>
        </w:tc>
        <w:tc>
          <w:tcPr>
            <w:tcW w:w="2113" w:type="pct"/>
            <w:gridSpan w:val="2"/>
            <w:noWrap/>
          </w:tcPr>
          <w:p w:rsidR="006B0748" w:rsidRPr="006B0748" w:rsidRDefault="006B0748" w:rsidP="006B0748">
            <w:pPr>
              <w:cnfStyle w:val="000000010000"/>
            </w:pPr>
            <w:r w:rsidRPr="00F74E42">
              <w:t>AGL Infrastructure assets</w:t>
            </w:r>
          </w:p>
        </w:tc>
        <w:tc>
          <w:tcPr>
            <w:tcW w:w="804" w:type="pct"/>
            <w:noWrap/>
          </w:tcPr>
          <w:p w:rsidR="006B0748" w:rsidRPr="006B0748" w:rsidRDefault="006B0748" w:rsidP="006B0748">
            <w:pPr>
              <w:cnfStyle w:val="000000010000"/>
            </w:pPr>
            <w:r w:rsidRPr="00F74E42">
              <w:t>1.41-1.52</w:t>
            </w:r>
          </w:p>
        </w:tc>
      </w:tr>
      <w:tr w:rsidR="006B0748" w:rsidRPr="005B3CD3" w:rsidTr="006B0748">
        <w:trPr>
          <w:trHeight w:val="290"/>
        </w:trPr>
        <w:tc>
          <w:tcPr>
            <w:cnfStyle w:val="001000000000"/>
            <w:tcW w:w="915" w:type="pct"/>
            <w:noWrap/>
          </w:tcPr>
          <w:p w:rsidR="006B0748" w:rsidRPr="006B0748" w:rsidRDefault="006B0748" w:rsidP="006B0748">
            <w:r w:rsidRPr="00F74E42">
              <w:t>Mar-06</w:t>
            </w:r>
          </w:p>
        </w:tc>
        <w:tc>
          <w:tcPr>
            <w:tcW w:w="1168" w:type="pct"/>
            <w:noWrap/>
          </w:tcPr>
          <w:p w:rsidR="006B0748" w:rsidRPr="006B0748" w:rsidRDefault="006B0748" w:rsidP="006B0748">
            <w:pPr>
              <w:cnfStyle w:val="000000000000"/>
            </w:pPr>
            <w:r w:rsidRPr="00F74E42">
              <w:t>APA</w:t>
            </w:r>
          </w:p>
        </w:tc>
        <w:tc>
          <w:tcPr>
            <w:tcW w:w="2113" w:type="pct"/>
            <w:gridSpan w:val="2"/>
            <w:noWrap/>
          </w:tcPr>
          <w:p w:rsidR="006B0748" w:rsidRPr="006B0748" w:rsidRDefault="006B0748" w:rsidP="006B0748">
            <w:pPr>
              <w:cnfStyle w:val="000000000000"/>
            </w:pPr>
            <w:r w:rsidRPr="00F74E42">
              <w:t>Murraylink</w:t>
            </w:r>
          </w:p>
        </w:tc>
        <w:tc>
          <w:tcPr>
            <w:tcW w:w="804" w:type="pct"/>
            <w:noWrap/>
          </w:tcPr>
          <w:p w:rsidR="006B0748" w:rsidRPr="006B0748" w:rsidRDefault="006B0748" w:rsidP="006B0748">
            <w:pPr>
              <w:cnfStyle w:val="000000000000"/>
            </w:pPr>
            <w:r w:rsidRPr="00F74E42">
              <w:t>1.47</w:t>
            </w:r>
          </w:p>
        </w:tc>
      </w:tr>
    </w:tbl>
    <w:p w:rsidR="006B0748" w:rsidRPr="00F74E42" w:rsidRDefault="006B0748" w:rsidP="006B0748">
      <w:pPr>
        <w:pStyle w:val="AERtablesource"/>
      </w:pPr>
      <w:r w:rsidRPr="00F74E42">
        <w:t xml:space="preserve">Source: </w:t>
      </w:r>
      <w:r w:rsidRPr="00F74E42">
        <w:tab/>
        <w:t>DUET</w:t>
      </w:r>
      <w:r w:rsidRPr="00F74E42">
        <w:rPr>
          <w:rStyle w:val="FootnoteReference"/>
        </w:rPr>
        <w:footnoteReference w:id="254"/>
      </w:r>
      <w:r w:rsidRPr="00F74E42">
        <w:t>, APA</w:t>
      </w:r>
      <w:r w:rsidRPr="00F74E42">
        <w:rPr>
          <w:rStyle w:val="FootnoteReference"/>
        </w:rPr>
        <w:footnoteReference w:id="255"/>
      </w:r>
      <w:r w:rsidRPr="00F74E42">
        <w:t>, Grant Samuel, AER calculations.</w:t>
      </w:r>
    </w:p>
    <w:p w:rsidR="006B0748" w:rsidRDefault="006B0748" w:rsidP="006B0748">
      <w:pPr>
        <w:pStyle w:val="AERbodytext"/>
        <w:numPr>
          <w:ilvl w:val="0"/>
          <w:numId w:val="13"/>
        </w:numPr>
      </w:pPr>
      <w:r>
        <w:t>In December 2012, Powerlink sold its share of ElectraNet SA to the State Grid Corporation of China.</w:t>
      </w:r>
      <w:r>
        <w:rPr>
          <w:rStyle w:val="FootnoteReference"/>
        </w:rPr>
        <w:footnoteReference w:id="256"/>
      </w:r>
      <w:r>
        <w:t xml:space="preserve"> The 41.1 per cent stake was purchased at a RAB multiple of 1.29.</w:t>
      </w:r>
      <w:r>
        <w:rPr>
          <w:rStyle w:val="FootnoteReference"/>
        </w:rPr>
        <w:footnoteReference w:id="257"/>
      </w:r>
      <w:r>
        <w:t xml:space="preserve"> The AER notes that this is a recent sale which makes it relevant as a cross check. </w:t>
      </w:r>
    </w:p>
    <w:p w:rsidR="006B0748" w:rsidRDefault="006B0748" w:rsidP="006B0748">
      <w:pPr>
        <w:pStyle w:val="AERbodytext"/>
        <w:numPr>
          <w:ilvl w:val="0"/>
          <w:numId w:val="13"/>
        </w:numPr>
      </w:pPr>
      <w:r>
        <w:t>In particular, this sale has occurred after the ElectraNet draft decision. The method for determining the rate of return was not in dispute in the draft decision. So, the purchaser could predict with reasonable certainty the approach the AER would take in its final decision. The indicative return on equity in the draft decision was below 8 per cent.</w:t>
      </w:r>
    </w:p>
    <w:p w:rsidR="006B0748" w:rsidRDefault="006B0748" w:rsidP="006B0748">
      <w:pPr>
        <w:pStyle w:val="AERbodytext"/>
        <w:numPr>
          <w:ilvl w:val="0"/>
          <w:numId w:val="13"/>
        </w:numPr>
      </w:pPr>
      <w:r>
        <w:t>Additionally, the approach in the ElectraNet draft decision was very similar to the approach taken in the Victorian gas businesses.</w:t>
      </w:r>
      <w:r>
        <w:rPr>
          <w:rStyle w:val="FootnoteReference"/>
        </w:rPr>
        <w:footnoteReference w:id="258"/>
      </w:r>
      <w:r>
        <w:t xml:space="preserve"> Therefore this ElectraNet RAB multiple is relevant as a cross check for the Victorian gas businesses.  That said, the AER recognises that there may have been special circumstances surrounding this sale, given it was purchased by a sovereign owned entity.</w:t>
      </w:r>
    </w:p>
    <w:p w:rsidR="006B0748" w:rsidRPr="00F74E42" w:rsidRDefault="006B0748" w:rsidP="006B0748">
      <w:pPr>
        <w:pStyle w:val="AERbodytext"/>
        <w:numPr>
          <w:ilvl w:val="0"/>
          <w:numId w:val="13"/>
        </w:numPr>
      </w:pPr>
      <w:r w:rsidRPr="00F74E42">
        <w:t>In December 2011, APA divested 80 per cent of its holding of APT Allgas (a gas distributor in South East Queensland) to Marubeni Corporation and RREEF; each acquiring 40 per cent equity stakes.</w:t>
      </w:r>
      <w:r w:rsidRPr="00F74E42">
        <w:rPr>
          <w:rStyle w:val="FootnoteReference"/>
        </w:rPr>
        <w:footnoteReference w:id="259"/>
      </w:r>
      <w:r w:rsidRPr="00F74E42">
        <w:t xml:space="preserve"> </w:t>
      </w:r>
    </w:p>
    <w:p w:rsidR="006B0748" w:rsidRPr="00F74E42" w:rsidRDefault="006B0748" w:rsidP="006B0748">
      <w:pPr>
        <w:pStyle w:val="AERbodytext"/>
        <w:numPr>
          <w:ilvl w:val="0"/>
          <w:numId w:val="13"/>
        </w:numPr>
      </w:pPr>
      <w:r w:rsidRPr="00F74E42">
        <w:t>APA stated that net funds released from the sale were $477 million after transaction costs and the net enterprise value was $526 million.</w:t>
      </w:r>
      <w:r w:rsidRPr="00F74E42">
        <w:rPr>
          <w:rStyle w:val="FootnoteReference"/>
        </w:rPr>
        <w:footnoteReference w:id="260"/>
      </w:r>
      <w:r w:rsidRPr="00F74E42">
        <w:t xml:space="preserve"> Applying a RAB value, estimated at the sale date, to this enterprise value produces a multiple of 1.20.  </w:t>
      </w:r>
    </w:p>
    <w:p w:rsidR="006B0748" w:rsidRPr="00F74E42" w:rsidRDefault="006B0748" w:rsidP="006B0748">
      <w:pPr>
        <w:pStyle w:val="AERbodytext"/>
        <w:numPr>
          <w:ilvl w:val="0"/>
          <w:numId w:val="13"/>
        </w:numPr>
      </w:pPr>
      <w:r w:rsidRPr="00F74E42">
        <w:t>This transaction involved the sale of both regulated and unregulated assets. Accordingly the RAB multiple may overstate the premium on the regulated assets as unregulated assets generally require a higher cost of capital.</w:t>
      </w:r>
      <w:r w:rsidRPr="00F74E42">
        <w:rPr>
          <w:rStyle w:val="FootnoteReference"/>
        </w:rPr>
        <w:footnoteReference w:id="261"/>
      </w:r>
      <w:r w:rsidRPr="00F74E42">
        <w:t xml:space="preserve"> </w:t>
      </w:r>
    </w:p>
    <w:p w:rsidR="006B0748" w:rsidRDefault="006B0748" w:rsidP="006B0748">
      <w:pPr>
        <w:pStyle w:val="AERbodytext"/>
        <w:numPr>
          <w:ilvl w:val="0"/>
          <w:numId w:val="13"/>
        </w:numPr>
      </w:pPr>
      <w:r w:rsidRPr="00F74E42">
        <w:t>APA also stated that the sale price was in line with the book value of the assets. The gross sale price was $500.9 million, with the book value of assets sold at $488.8 million.</w:t>
      </w:r>
      <w:r w:rsidRPr="00F74E42">
        <w:rPr>
          <w:rStyle w:val="FootnoteReference"/>
        </w:rPr>
        <w:footnoteReference w:id="262"/>
      </w:r>
      <w:r w:rsidRPr="00F74E42">
        <w:t xml:space="preserve"> This equates to a multiple of 1.02. These multiples can be considered the upper and lower bound estimates of the RAB multiple for this transaction.</w:t>
      </w:r>
    </w:p>
    <w:p w:rsidR="006B0748" w:rsidRDefault="006B0748" w:rsidP="006B0748">
      <w:pPr>
        <w:pStyle w:val="AERbodytext"/>
        <w:numPr>
          <w:ilvl w:val="0"/>
          <w:numId w:val="13"/>
        </w:numPr>
      </w:pPr>
      <w:r w:rsidRPr="00F74E42">
        <w:t>In July 2011, DUET sold its 25.9 per cent stake in West Australian Gas Network (WAGN) to ATCO Ltd in return for a 20 per cent interest in the Dampier to Bunbury pipeline (DBP) and a 20.1 per cent interest in Multinet.</w:t>
      </w:r>
      <w:r w:rsidRPr="00F74E42">
        <w:rPr>
          <w:rStyle w:val="FootnoteReference"/>
        </w:rPr>
        <w:footnoteReference w:id="263"/>
      </w:r>
      <w:r w:rsidRPr="00F74E42">
        <w:t xml:space="preserve"> These transactions were at multiples of 1.20, 0.95 and 1.13 respectively.</w:t>
      </w:r>
    </w:p>
    <w:p w:rsidR="006B0748" w:rsidRDefault="006B0748" w:rsidP="006B0748">
      <w:pPr>
        <w:pStyle w:val="AERbodytext"/>
        <w:numPr>
          <w:ilvl w:val="0"/>
          <w:numId w:val="13"/>
        </w:numPr>
      </w:pPr>
      <w:r w:rsidRPr="00F74E42">
        <w:t>In October 2010, Envestra purchased Country Energy’s NSW gas network at a multiple of 1.25 times the 2010 RAB.</w:t>
      </w:r>
      <w:r w:rsidRPr="00F74E42">
        <w:rPr>
          <w:rStyle w:val="FootnoteReference"/>
        </w:rPr>
        <w:footnoteReference w:id="264"/>
      </w:r>
      <w:r w:rsidRPr="00F74E42">
        <w:t xml:space="preserve"> Further details on this transaction can be found in the AER’s draft decision for the QLD/SA gas distribution networks.</w:t>
      </w:r>
      <w:r w:rsidRPr="00F74E42">
        <w:rPr>
          <w:rStyle w:val="FootnoteReference"/>
        </w:rPr>
        <w:footnoteReference w:id="265"/>
      </w:r>
      <w:r w:rsidRPr="00F74E42">
        <w:t xml:space="preserve"> </w:t>
      </w:r>
    </w:p>
    <w:p w:rsidR="006B0748" w:rsidRPr="00F74E42" w:rsidRDefault="006B0748" w:rsidP="006B0748">
      <w:pPr>
        <w:pStyle w:val="AERbodytext"/>
        <w:numPr>
          <w:ilvl w:val="0"/>
          <w:numId w:val="13"/>
        </w:numPr>
      </w:pPr>
      <w:r w:rsidRPr="00F74E42">
        <w:t>Other historical sales have been at premiums of between 20 and 119 per cent to the regulated asset base.</w:t>
      </w:r>
      <w:r w:rsidRPr="00F74E42">
        <w:rPr>
          <w:rStyle w:val="FootnoteReference"/>
        </w:rPr>
        <w:footnoteReference w:id="266"/>
      </w:r>
      <w:r w:rsidRPr="00F74E42">
        <w:t xml:space="preserve"> </w:t>
      </w:r>
    </w:p>
    <w:p w:rsidR="006B0748" w:rsidRPr="00F74E42" w:rsidRDefault="006B0748" w:rsidP="006B0748">
      <w:pPr>
        <w:pStyle w:val="AERbodytext"/>
        <w:numPr>
          <w:ilvl w:val="0"/>
          <w:numId w:val="13"/>
        </w:numPr>
      </w:pPr>
      <w:r w:rsidRPr="00F74E42">
        <w:t>As Grant Samuel has previously explained, listed infrastructure entities should theoretically trade at, and be acquired at, 1.0 times the RAB.</w:t>
      </w:r>
      <w:r w:rsidRPr="00F74E42">
        <w:rPr>
          <w:rStyle w:val="FootnoteReference"/>
        </w:rPr>
        <w:footnoteReference w:id="267"/>
      </w:r>
      <w:r w:rsidRPr="00F74E42">
        <w:t xml:space="preserve"> However, nearly all recent asset sales have been transacted at RAB multiples of greater than one. </w:t>
      </w:r>
    </w:p>
    <w:p w:rsidR="006B0748" w:rsidRPr="00F74E42" w:rsidRDefault="006B0748" w:rsidP="006B0748">
      <w:pPr>
        <w:pStyle w:val="AERbodytext"/>
        <w:numPr>
          <w:ilvl w:val="0"/>
          <w:numId w:val="13"/>
        </w:numPr>
      </w:pPr>
      <w:r w:rsidRPr="00F74E42">
        <w:t>Acquisition premiums have been substantial and are, as a result, unlikely to be solely explained by the factors noted above. This suggests that the regulated rate of return has been at least as high as the actual cost of capital faced by regulated businesses.  Moreover, the consistency of the numbers across many transactions lends support to the conclusion that the regulated rate of return has been at least consistent with the efficient rate of return.</w:t>
      </w:r>
    </w:p>
    <w:p w:rsidR="006B0748" w:rsidRPr="00F74E42" w:rsidRDefault="006B0748" w:rsidP="006B0748">
      <w:pPr>
        <w:pStyle w:val="AERbodytext"/>
        <w:numPr>
          <w:ilvl w:val="0"/>
          <w:numId w:val="13"/>
        </w:numPr>
      </w:pPr>
      <w:r w:rsidRPr="00F74E42">
        <w:t xml:space="preserve">The AER notes that it is not possible to use RAB multiples analysis as an input when assessing individual parameters. The AER does not place any weight on this analysis during that process. </w:t>
      </w:r>
    </w:p>
    <w:p w:rsidR="006B0748" w:rsidRDefault="006B0748" w:rsidP="006B0748">
      <w:pPr>
        <w:pStyle w:val="AERbodytext"/>
        <w:numPr>
          <w:ilvl w:val="0"/>
          <w:numId w:val="13"/>
        </w:numPr>
      </w:pPr>
      <w:r w:rsidRPr="00F74E42">
        <w:t>Recent regulated asset sales analysis provides a degree of confidence that the approach used in calculating the rate of return is reasonable. The AER has maintained a largely consistent approach to the calculation of the rate of return since the WACC review and that approach has been maintained for this decision.</w:t>
      </w:r>
      <w:r w:rsidRPr="00F74E42">
        <w:rPr>
          <w:rStyle w:val="FootnoteReference"/>
        </w:rPr>
        <w:footnoteReference w:id="268"/>
      </w:r>
      <w:r w:rsidRPr="00F74E42">
        <w:t xml:space="preserve"> This suggests the AER’s approach in this decision will also provide </w:t>
      </w:r>
      <w:r>
        <w:t>Multinet</w:t>
      </w:r>
      <w:r w:rsidRPr="00F74E42">
        <w:t xml:space="preserve"> with a reasonable opportunity to recover efficient costs.</w:t>
      </w:r>
    </w:p>
    <w:p w:rsidR="006B0748" w:rsidRPr="00B367FF" w:rsidRDefault="006B0748" w:rsidP="006B0748">
      <w:pPr>
        <w:pStyle w:val="HeadingBoldBlue"/>
        <w:numPr>
          <w:ilvl w:val="0"/>
          <w:numId w:val="13"/>
        </w:numPr>
      </w:pPr>
      <w:r w:rsidRPr="00B367FF">
        <w:t>Trading multiples</w:t>
      </w:r>
    </w:p>
    <w:p w:rsidR="006B0748" w:rsidRPr="00F74E42" w:rsidRDefault="006B0748" w:rsidP="006B0748">
      <w:pPr>
        <w:pStyle w:val="AERbodytext"/>
        <w:numPr>
          <w:ilvl w:val="0"/>
          <w:numId w:val="13"/>
        </w:numPr>
      </w:pPr>
      <w:r w:rsidRPr="00F74E42">
        <w:t>A comparison of the asset value implied by share prices against the regulatory asset base—often expressed as a ‘trading multiple’—also provides insight into the required rate of return.</w:t>
      </w:r>
      <w:r w:rsidRPr="00F74E42">
        <w:rPr>
          <w:rStyle w:val="FootnoteReference"/>
        </w:rPr>
        <w:footnoteReference w:id="269"/>
      </w:r>
      <w:r w:rsidRPr="00F74E42">
        <w:t xml:space="preserve"> </w:t>
      </w:r>
    </w:p>
    <w:p w:rsidR="006B0748" w:rsidRPr="00F74E42" w:rsidRDefault="006B0748" w:rsidP="006B0748">
      <w:pPr>
        <w:pStyle w:val="AERbodytext"/>
        <w:numPr>
          <w:ilvl w:val="0"/>
          <w:numId w:val="13"/>
        </w:numPr>
      </w:pPr>
      <w:r w:rsidRPr="00F74E42">
        <w:t>As with regulated asset sales, a trading multiple above one may imply that the market discount rate is below the regulated WACC.</w:t>
      </w:r>
      <w:r>
        <w:t xml:space="preserve"> The AER acknowledges there are other factors which may explain a trading multiple above one.</w:t>
      </w:r>
      <w:r>
        <w:rPr>
          <w:rStyle w:val="FootnoteReference"/>
        </w:rPr>
        <w:footnoteReference w:id="270"/>
      </w:r>
      <w:r w:rsidRPr="00F74E42">
        <w:t xml:space="preserve"> The same cautions with interpreting the results of the regulated asset sales approach apply to trading multiples. In addition, this assessment relies on the assumption that share prices reflect the fundamental valuation of the company.  </w:t>
      </w:r>
    </w:p>
    <w:p w:rsidR="006B0748" w:rsidRPr="00F74E42" w:rsidRDefault="006B0748" w:rsidP="006B0748">
      <w:pPr>
        <w:pStyle w:val="AERbodytext"/>
        <w:numPr>
          <w:ilvl w:val="0"/>
          <w:numId w:val="13"/>
        </w:numPr>
      </w:pPr>
      <w:r w:rsidRPr="00F74E42">
        <w:t>Recent broker reports have identified RAB trading multiples.</w:t>
      </w:r>
      <w:r w:rsidRPr="00F74E42">
        <w:rPr>
          <w:rStyle w:val="FootnoteReference"/>
        </w:rPr>
        <w:footnoteReference w:id="271"/>
      </w:r>
      <w:r w:rsidRPr="00F74E42">
        <w:t xml:space="preserve"> These multiples are consistently greater than one, as shown in</w:t>
      </w:r>
      <w:r>
        <w:t xml:space="preserve"> </w:t>
      </w:r>
      <w:r w:rsidR="009B2237">
        <w:fldChar w:fldCharType="begin"/>
      </w:r>
      <w:r>
        <w:instrText xml:space="preserve"> REF _Ref350871054 \h </w:instrText>
      </w:r>
      <w:r w:rsidR="009B2237">
        <w:fldChar w:fldCharType="separate"/>
      </w:r>
      <w:r>
        <w:t xml:space="preserve">Table </w:t>
      </w:r>
      <w:r>
        <w:rPr>
          <w:noProof/>
        </w:rPr>
        <w:t>B</w:t>
      </w:r>
      <w:r>
        <w:t>.</w:t>
      </w:r>
      <w:r>
        <w:rPr>
          <w:noProof/>
        </w:rPr>
        <w:t>5</w:t>
      </w:r>
      <w:r w:rsidR="009B2237">
        <w:fldChar w:fldCharType="end"/>
      </w:r>
      <w:r>
        <w:t xml:space="preserve"> to </w:t>
      </w:r>
      <w:r w:rsidR="009B2237">
        <w:fldChar w:fldCharType="begin"/>
      </w:r>
      <w:r>
        <w:instrText xml:space="preserve"> REF _Ref350871068 \h </w:instrText>
      </w:r>
      <w:r w:rsidR="009B2237">
        <w:fldChar w:fldCharType="separate"/>
      </w:r>
      <w:r>
        <w:t xml:space="preserve">Table </w:t>
      </w:r>
      <w:r>
        <w:rPr>
          <w:noProof/>
        </w:rPr>
        <w:t>B</w:t>
      </w:r>
      <w:r>
        <w:t>.</w:t>
      </w:r>
      <w:r>
        <w:rPr>
          <w:noProof/>
        </w:rPr>
        <w:t>8</w:t>
      </w:r>
      <w:r w:rsidR="009B2237">
        <w:fldChar w:fldCharType="end"/>
      </w:r>
      <w:r>
        <w:t>.</w:t>
      </w:r>
      <w:r w:rsidRPr="00F74E42">
        <w:t xml:space="preserve"> None of these multiples are less than or equal to one.</w:t>
      </w:r>
      <w:r>
        <w:t xml:space="preserve"> In particular, the trading multiples have not changed significantly since the draft decision.</w:t>
      </w:r>
    </w:p>
    <w:p w:rsidR="006B0748" w:rsidRDefault="006B0748" w:rsidP="006B0748">
      <w:pPr>
        <w:pStyle w:val="Caption"/>
      </w:pPr>
      <w:bookmarkStart w:id="65" w:name="_Ref350871054"/>
      <w:bookmarkStart w:id="66" w:name="_Ref322363048"/>
      <w:r>
        <w:t xml:space="preserve">Table </w:t>
      </w:r>
      <w:fldSimple w:instr=" STYLEREF 7 \s ">
        <w:r>
          <w:rPr>
            <w:noProof/>
          </w:rPr>
          <w:t>B</w:t>
        </w:r>
      </w:fldSimple>
      <w:r>
        <w:t>.</w:t>
      </w:r>
      <w:fldSimple w:instr=" SEQ Table \* ARABIC \s 7 ">
        <w:r>
          <w:rPr>
            <w:noProof/>
          </w:rPr>
          <w:t>5</w:t>
        </w:r>
      </w:fldSimple>
      <w:bookmarkEnd w:id="65"/>
      <w:r>
        <w:tab/>
      </w:r>
      <w:r w:rsidRPr="00F74E42">
        <w:t>JP Morgan trading multiples</w:t>
      </w:r>
      <w:bookmarkEnd w:id="66"/>
    </w:p>
    <w:tbl>
      <w:tblPr>
        <w:tblStyle w:val="AERtable-numbers"/>
        <w:tblW w:w="5000" w:type="pct"/>
        <w:tblLook w:val="01E0"/>
      </w:tblPr>
      <w:tblGrid>
        <w:gridCol w:w="2038"/>
        <w:gridCol w:w="1802"/>
        <w:gridCol w:w="1802"/>
        <w:gridCol w:w="1802"/>
        <w:gridCol w:w="1798"/>
      </w:tblGrid>
      <w:tr w:rsidR="006B0748" w:rsidTr="006B0748">
        <w:trPr>
          <w:cnfStyle w:val="100000000000"/>
          <w:trHeight w:val="188"/>
        </w:trPr>
        <w:tc>
          <w:tcPr>
            <w:cnfStyle w:val="001000000000"/>
            <w:tcW w:w="1102" w:type="pct"/>
            <w:noWrap/>
          </w:tcPr>
          <w:p w:rsidR="006B0748" w:rsidRPr="006B0748" w:rsidRDefault="006B0748" w:rsidP="006B0748">
            <w:r w:rsidRPr="00F74E42">
              <w:t>Date of report</w:t>
            </w:r>
          </w:p>
        </w:tc>
        <w:tc>
          <w:tcPr>
            <w:tcW w:w="975" w:type="pct"/>
            <w:noWrap/>
          </w:tcPr>
          <w:p w:rsidR="006B0748" w:rsidRPr="006B0748" w:rsidRDefault="006B0748" w:rsidP="006B0748">
            <w:pPr>
              <w:cnfStyle w:val="100000000000"/>
            </w:pPr>
            <w:r w:rsidRPr="00F74E42">
              <w:t>Company</w:t>
            </w:r>
          </w:p>
        </w:tc>
        <w:tc>
          <w:tcPr>
            <w:tcW w:w="975" w:type="pct"/>
            <w:noWrap/>
          </w:tcPr>
          <w:p w:rsidR="006B0748" w:rsidRPr="006B0748" w:rsidRDefault="006B0748" w:rsidP="006B0748">
            <w:pPr>
              <w:cnfStyle w:val="100000000000"/>
            </w:pPr>
            <w:r w:rsidRPr="00F74E42">
              <w:t>2010–11</w:t>
            </w:r>
          </w:p>
        </w:tc>
        <w:tc>
          <w:tcPr>
            <w:tcW w:w="975" w:type="pct"/>
          </w:tcPr>
          <w:p w:rsidR="006B0748" w:rsidRPr="006B0748" w:rsidRDefault="006B0748" w:rsidP="006B0748">
            <w:pPr>
              <w:cnfStyle w:val="100000000000"/>
            </w:pPr>
            <w:r w:rsidRPr="00F74E42">
              <w:t>2011–12</w:t>
            </w:r>
          </w:p>
        </w:tc>
        <w:tc>
          <w:tcPr>
            <w:tcW w:w="975" w:type="pct"/>
            <w:noWrap/>
          </w:tcPr>
          <w:p w:rsidR="006B0748" w:rsidRPr="006B0748" w:rsidRDefault="006B0748" w:rsidP="006B0748">
            <w:pPr>
              <w:cnfStyle w:val="100000000000"/>
            </w:pPr>
            <w:r w:rsidRPr="00F74E42">
              <w:t>201</w:t>
            </w:r>
            <w:r w:rsidRPr="006B0748">
              <w:t>2–13</w:t>
            </w:r>
          </w:p>
        </w:tc>
      </w:tr>
      <w:tr w:rsidR="006B0748" w:rsidTr="006B0748">
        <w:trPr>
          <w:trHeight w:val="188"/>
        </w:trPr>
        <w:tc>
          <w:tcPr>
            <w:cnfStyle w:val="001000000000"/>
            <w:tcW w:w="1102" w:type="pct"/>
            <w:noWrap/>
          </w:tcPr>
          <w:p w:rsidR="006B0748" w:rsidRPr="006B0748" w:rsidRDefault="006B0748" w:rsidP="006B0748">
            <w:r>
              <w:t>16 January 2013</w:t>
            </w:r>
          </w:p>
        </w:tc>
        <w:tc>
          <w:tcPr>
            <w:tcW w:w="975" w:type="pct"/>
            <w:noWrap/>
          </w:tcPr>
          <w:p w:rsidR="006B0748" w:rsidRPr="006B0748" w:rsidRDefault="006B0748" w:rsidP="006B0748">
            <w:pPr>
              <w:cnfStyle w:val="000000000000"/>
            </w:pPr>
            <w:r w:rsidRPr="00F74E42">
              <w:t>DUET</w:t>
            </w:r>
          </w:p>
        </w:tc>
        <w:tc>
          <w:tcPr>
            <w:tcW w:w="975" w:type="pct"/>
            <w:noWrap/>
          </w:tcPr>
          <w:p w:rsidR="006B0748" w:rsidRPr="006B0748" w:rsidRDefault="006B0748" w:rsidP="006B0748">
            <w:pPr>
              <w:cnfStyle w:val="000000000000"/>
            </w:pPr>
            <w:r w:rsidRPr="00F74E42">
              <w:t>1.26</w:t>
            </w:r>
          </w:p>
        </w:tc>
        <w:tc>
          <w:tcPr>
            <w:tcW w:w="975" w:type="pct"/>
          </w:tcPr>
          <w:p w:rsidR="006B0748" w:rsidRPr="006B0748" w:rsidRDefault="006B0748" w:rsidP="006B0748">
            <w:pPr>
              <w:cnfStyle w:val="000000000000"/>
            </w:pPr>
            <w:r w:rsidRPr="00F74E42">
              <w:t>1.18</w:t>
            </w:r>
          </w:p>
        </w:tc>
        <w:tc>
          <w:tcPr>
            <w:tcW w:w="975" w:type="pct"/>
            <w:noWrap/>
          </w:tcPr>
          <w:p w:rsidR="006B0748" w:rsidRPr="006B0748" w:rsidRDefault="006B0748" w:rsidP="006B0748">
            <w:pPr>
              <w:cnfStyle w:val="000000000000"/>
            </w:pPr>
            <w:r w:rsidRPr="00F74E42">
              <w:t>1.</w:t>
            </w:r>
            <w:r w:rsidRPr="006B0748">
              <w:t>20</w:t>
            </w:r>
          </w:p>
        </w:tc>
      </w:tr>
      <w:tr w:rsidR="006B0748" w:rsidTr="006B0748">
        <w:trPr>
          <w:cnfStyle w:val="000000010000"/>
          <w:trHeight w:val="188"/>
        </w:trPr>
        <w:tc>
          <w:tcPr>
            <w:cnfStyle w:val="001000000000"/>
            <w:tcW w:w="1102" w:type="pct"/>
            <w:noWrap/>
          </w:tcPr>
          <w:p w:rsidR="006B0748" w:rsidRPr="006B0748" w:rsidRDefault="006B0748" w:rsidP="006B0748">
            <w:r>
              <w:t>16 January 2013</w:t>
            </w:r>
          </w:p>
        </w:tc>
        <w:tc>
          <w:tcPr>
            <w:tcW w:w="975" w:type="pct"/>
            <w:noWrap/>
          </w:tcPr>
          <w:p w:rsidR="006B0748" w:rsidRPr="006B0748" w:rsidRDefault="006B0748" w:rsidP="006B0748">
            <w:pPr>
              <w:cnfStyle w:val="000000010000"/>
            </w:pPr>
            <w:r w:rsidRPr="00F74E42">
              <w:t>ENV</w:t>
            </w:r>
          </w:p>
        </w:tc>
        <w:tc>
          <w:tcPr>
            <w:tcW w:w="975" w:type="pct"/>
            <w:noWrap/>
          </w:tcPr>
          <w:p w:rsidR="006B0748" w:rsidRPr="006B0748" w:rsidRDefault="006B0748" w:rsidP="006B0748">
            <w:pPr>
              <w:cnfStyle w:val="000000010000"/>
            </w:pPr>
            <w:r w:rsidRPr="00F74E42">
              <w:t>1.20</w:t>
            </w:r>
          </w:p>
        </w:tc>
        <w:tc>
          <w:tcPr>
            <w:tcW w:w="975" w:type="pct"/>
          </w:tcPr>
          <w:p w:rsidR="006B0748" w:rsidRPr="006B0748" w:rsidRDefault="006B0748" w:rsidP="006B0748">
            <w:pPr>
              <w:cnfStyle w:val="000000010000"/>
            </w:pPr>
            <w:r w:rsidRPr="00F74E42">
              <w:t>1.25</w:t>
            </w:r>
          </w:p>
        </w:tc>
        <w:tc>
          <w:tcPr>
            <w:tcW w:w="975" w:type="pct"/>
            <w:noWrap/>
          </w:tcPr>
          <w:p w:rsidR="006B0748" w:rsidRPr="006B0748" w:rsidRDefault="006B0748" w:rsidP="006B0748">
            <w:pPr>
              <w:cnfStyle w:val="000000010000"/>
            </w:pPr>
            <w:r w:rsidRPr="00F74E42">
              <w:t>1.</w:t>
            </w:r>
            <w:r w:rsidRPr="006B0748">
              <w:t>29</w:t>
            </w:r>
          </w:p>
        </w:tc>
      </w:tr>
      <w:tr w:rsidR="006B0748" w:rsidTr="006B0748">
        <w:trPr>
          <w:trHeight w:val="188"/>
        </w:trPr>
        <w:tc>
          <w:tcPr>
            <w:cnfStyle w:val="001000000000"/>
            <w:tcW w:w="1102" w:type="pct"/>
            <w:noWrap/>
          </w:tcPr>
          <w:p w:rsidR="006B0748" w:rsidRPr="006B0748" w:rsidRDefault="006B0748" w:rsidP="006B0748">
            <w:r>
              <w:t>16 January 2013</w:t>
            </w:r>
          </w:p>
        </w:tc>
        <w:tc>
          <w:tcPr>
            <w:tcW w:w="975" w:type="pct"/>
            <w:noWrap/>
          </w:tcPr>
          <w:p w:rsidR="006B0748" w:rsidRPr="006B0748" w:rsidRDefault="006B0748" w:rsidP="006B0748">
            <w:pPr>
              <w:cnfStyle w:val="000000000000"/>
            </w:pPr>
            <w:r w:rsidRPr="00F74E42">
              <w:t>SKI</w:t>
            </w:r>
          </w:p>
        </w:tc>
        <w:tc>
          <w:tcPr>
            <w:tcW w:w="975" w:type="pct"/>
            <w:noWrap/>
          </w:tcPr>
          <w:p w:rsidR="006B0748" w:rsidRPr="006B0748" w:rsidRDefault="006B0748" w:rsidP="006B0748">
            <w:pPr>
              <w:cnfStyle w:val="000000000000"/>
            </w:pPr>
            <w:r w:rsidRPr="00F74E42">
              <w:t>1.26</w:t>
            </w:r>
          </w:p>
        </w:tc>
        <w:tc>
          <w:tcPr>
            <w:tcW w:w="975" w:type="pct"/>
          </w:tcPr>
          <w:p w:rsidR="006B0748" w:rsidRPr="006B0748" w:rsidRDefault="006B0748" w:rsidP="006B0748">
            <w:pPr>
              <w:cnfStyle w:val="000000000000"/>
            </w:pPr>
            <w:r w:rsidRPr="00F74E42">
              <w:t>1.22</w:t>
            </w:r>
          </w:p>
        </w:tc>
        <w:tc>
          <w:tcPr>
            <w:tcW w:w="975" w:type="pct"/>
            <w:noWrap/>
          </w:tcPr>
          <w:p w:rsidR="006B0748" w:rsidRPr="006B0748" w:rsidRDefault="006B0748" w:rsidP="006B0748">
            <w:pPr>
              <w:cnfStyle w:val="000000000000"/>
            </w:pPr>
            <w:r w:rsidRPr="00F74E42">
              <w:t>1.</w:t>
            </w:r>
            <w:r w:rsidRPr="006B0748">
              <w:t>27</w:t>
            </w:r>
          </w:p>
        </w:tc>
      </w:tr>
      <w:tr w:rsidR="006B0748" w:rsidTr="006B0748">
        <w:trPr>
          <w:cnfStyle w:val="000000010000"/>
          <w:trHeight w:val="188"/>
        </w:trPr>
        <w:tc>
          <w:tcPr>
            <w:cnfStyle w:val="001000000000"/>
            <w:tcW w:w="1102" w:type="pct"/>
            <w:noWrap/>
          </w:tcPr>
          <w:p w:rsidR="006B0748" w:rsidRPr="006B0748" w:rsidRDefault="006B0748" w:rsidP="006B0748">
            <w:r>
              <w:t>16 January 2013</w:t>
            </w:r>
          </w:p>
        </w:tc>
        <w:tc>
          <w:tcPr>
            <w:tcW w:w="975" w:type="pct"/>
            <w:noWrap/>
          </w:tcPr>
          <w:p w:rsidR="006B0748" w:rsidRPr="006B0748" w:rsidRDefault="006B0748" w:rsidP="006B0748">
            <w:pPr>
              <w:cnfStyle w:val="000000010000"/>
            </w:pPr>
            <w:r w:rsidRPr="00F74E42">
              <w:t>SPN</w:t>
            </w:r>
          </w:p>
        </w:tc>
        <w:tc>
          <w:tcPr>
            <w:tcW w:w="975" w:type="pct"/>
            <w:noWrap/>
          </w:tcPr>
          <w:p w:rsidR="006B0748" w:rsidRPr="006B0748" w:rsidRDefault="006B0748" w:rsidP="006B0748">
            <w:pPr>
              <w:cnfStyle w:val="000000010000"/>
            </w:pPr>
            <w:r w:rsidRPr="00F74E42">
              <w:t>1.21</w:t>
            </w:r>
          </w:p>
        </w:tc>
        <w:tc>
          <w:tcPr>
            <w:tcW w:w="975" w:type="pct"/>
          </w:tcPr>
          <w:p w:rsidR="006B0748" w:rsidRPr="006B0748" w:rsidRDefault="006B0748" w:rsidP="006B0748">
            <w:pPr>
              <w:cnfStyle w:val="000000010000"/>
            </w:pPr>
            <w:r w:rsidRPr="00F74E42">
              <w:t>1.20</w:t>
            </w:r>
          </w:p>
        </w:tc>
        <w:tc>
          <w:tcPr>
            <w:tcW w:w="975" w:type="pct"/>
            <w:noWrap/>
          </w:tcPr>
          <w:p w:rsidR="006B0748" w:rsidRPr="006B0748" w:rsidRDefault="006B0748" w:rsidP="006B0748">
            <w:pPr>
              <w:cnfStyle w:val="000000010000"/>
            </w:pPr>
            <w:r w:rsidRPr="00F74E42">
              <w:t>1.</w:t>
            </w:r>
            <w:r w:rsidRPr="006B0748">
              <w:t>24</w:t>
            </w:r>
          </w:p>
        </w:tc>
      </w:tr>
    </w:tbl>
    <w:p w:rsidR="006B0748" w:rsidRPr="00F74E42" w:rsidRDefault="006B0748" w:rsidP="006B0748">
      <w:pPr>
        <w:pStyle w:val="AERtablesource"/>
      </w:pPr>
      <w:r w:rsidRPr="00F74E42">
        <w:t xml:space="preserve">Source: </w:t>
      </w:r>
      <w:r w:rsidRPr="00F74E42">
        <w:tab/>
        <w:t>JP Morgan</w:t>
      </w:r>
      <w:r w:rsidRPr="00F74E42">
        <w:rPr>
          <w:rStyle w:val="FootnoteReference"/>
        </w:rPr>
        <w:footnoteReference w:id="272"/>
      </w:r>
    </w:p>
    <w:p w:rsidR="006B0748" w:rsidRDefault="006B0748" w:rsidP="006B0748">
      <w:pPr>
        <w:pStyle w:val="Caption"/>
      </w:pPr>
      <w:r>
        <w:t xml:space="preserve">Table </w:t>
      </w:r>
      <w:fldSimple w:instr=" STYLEREF 7 \s ">
        <w:r>
          <w:rPr>
            <w:noProof/>
          </w:rPr>
          <w:t>B</w:t>
        </w:r>
      </w:fldSimple>
      <w:r>
        <w:t>.</w:t>
      </w:r>
      <w:fldSimple w:instr=" SEQ Table \* ARABIC \s 7 ">
        <w:r>
          <w:rPr>
            <w:noProof/>
          </w:rPr>
          <w:t>6</w:t>
        </w:r>
      </w:fldSimple>
      <w:r>
        <w:tab/>
      </w:r>
      <w:r w:rsidRPr="00F74E42">
        <w:t>Macquarie trading multiples</w:t>
      </w:r>
    </w:p>
    <w:tbl>
      <w:tblPr>
        <w:tblStyle w:val="AERtable-numbers"/>
        <w:tblW w:w="4967" w:type="pct"/>
        <w:tblLook w:val="01E0"/>
      </w:tblPr>
      <w:tblGrid>
        <w:gridCol w:w="2296"/>
        <w:gridCol w:w="2295"/>
        <w:gridCol w:w="2295"/>
        <w:gridCol w:w="2295"/>
      </w:tblGrid>
      <w:tr w:rsidR="006B0748" w:rsidRPr="005E7116" w:rsidTr="006B0748">
        <w:trPr>
          <w:cnfStyle w:val="100000000000"/>
        </w:trPr>
        <w:tc>
          <w:tcPr>
            <w:cnfStyle w:val="001000000000"/>
            <w:tcW w:w="1250" w:type="pct"/>
          </w:tcPr>
          <w:p w:rsidR="006B0748" w:rsidRPr="006B0748" w:rsidRDefault="006B0748" w:rsidP="006B0748">
            <w:r w:rsidRPr="00F74E42">
              <w:t>Date of report</w:t>
            </w:r>
          </w:p>
        </w:tc>
        <w:tc>
          <w:tcPr>
            <w:tcW w:w="1250" w:type="pct"/>
            <w:noWrap/>
          </w:tcPr>
          <w:p w:rsidR="006B0748" w:rsidRPr="006B0748" w:rsidRDefault="006B0748" w:rsidP="006B0748">
            <w:pPr>
              <w:cnfStyle w:val="100000000000"/>
            </w:pPr>
            <w:r w:rsidRPr="00F74E42">
              <w:t>Company</w:t>
            </w:r>
          </w:p>
        </w:tc>
        <w:tc>
          <w:tcPr>
            <w:tcW w:w="1250" w:type="pct"/>
            <w:noWrap/>
          </w:tcPr>
          <w:p w:rsidR="006B0748" w:rsidRPr="006B0748" w:rsidRDefault="006B0748" w:rsidP="006B0748">
            <w:pPr>
              <w:cnfStyle w:val="100000000000"/>
            </w:pPr>
            <w:r w:rsidRPr="00F74E42">
              <w:t>2011</w:t>
            </w:r>
          </w:p>
        </w:tc>
        <w:tc>
          <w:tcPr>
            <w:tcW w:w="1250" w:type="pct"/>
            <w:noWrap/>
          </w:tcPr>
          <w:p w:rsidR="006B0748" w:rsidRPr="006B0748" w:rsidRDefault="006B0748" w:rsidP="006B0748">
            <w:pPr>
              <w:cnfStyle w:val="100000000000"/>
            </w:pPr>
            <w:r w:rsidRPr="00F74E42">
              <w:t>2012</w:t>
            </w:r>
          </w:p>
        </w:tc>
      </w:tr>
      <w:tr w:rsidR="006B0748" w:rsidRPr="005E7116" w:rsidTr="006B0748">
        <w:tc>
          <w:tcPr>
            <w:cnfStyle w:val="001000000000"/>
            <w:tcW w:w="1250" w:type="pct"/>
          </w:tcPr>
          <w:p w:rsidR="006B0748" w:rsidRPr="006B0748" w:rsidRDefault="006B0748" w:rsidP="006B0748">
            <w:r>
              <w:t>29 November</w:t>
            </w:r>
            <w:r w:rsidRPr="006B0748">
              <w:t xml:space="preserve"> 2012</w:t>
            </w:r>
          </w:p>
        </w:tc>
        <w:tc>
          <w:tcPr>
            <w:tcW w:w="1250" w:type="pct"/>
            <w:noWrap/>
          </w:tcPr>
          <w:p w:rsidR="006B0748" w:rsidRPr="006B0748" w:rsidRDefault="006B0748" w:rsidP="006B0748">
            <w:pPr>
              <w:cnfStyle w:val="000000000000"/>
            </w:pPr>
            <w:r w:rsidRPr="00F74E42">
              <w:t>DUET</w:t>
            </w:r>
          </w:p>
        </w:tc>
        <w:tc>
          <w:tcPr>
            <w:tcW w:w="1250" w:type="pct"/>
            <w:noWrap/>
          </w:tcPr>
          <w:p w:rsidR="006B0748" w:rsidRPr="006B0748" w:rsidRDefault="006B0748" w:rsidP="006B0748">
            <w:pPr>
              <w:cnfStyle w:val="000000000000"/>
            </w:pPr>
            <w:r w:rsidRPr="00F74E42">
              <w:t>1.14</w:t>
            </w:r>
          </w:p>
        </w:tc>
        <w:tc>
          <w:tcPr>
            <w:tcW w:w="1250" w:type="pct"/>
            <w:noWrap/>
          </w:tcPr>
          <w:p w:rsidR="006B0748" w:rsidRPr="006B0748" w:rsidRDefault="006B0748" w:rsidP="006B0748">
            <w:pPr>
              <w:cnfStyle w:val="000000000000"/>
            </w:pPr>
            <w:r w:rsidRPr="00F74E42">
              <w:t>1.</w:t>
            </w:r>
            <w:r w:rsidRPr="006B0748">
              <w:t>23</w:t>
            </w:r>
          </w:p>
        </w:tc>
      </w:tr>
      <w:tr w:rsidR="006B0748" w:rsidRPr="005E7116" w:rsidTr="006B0748">
        <w:trPr>
          <w:cnfStyle w:val="000000010000"/>
        </w:trPr>
        <w:tc>
          <w:tcPr>
            <w:cnfStyle w:val="001000000000"/>
            <w:tcW w:w="1250" w:type="pct"/>
          </w:tcPr>
          <w:p w:rsidR="006B0748" w:rsidRPr="006B0748" w:rsidRDefault="006B0748" w:rsidP="006B0748">
            <w:r>
              <w:t>29 November</w:t>
            </w:r>
            <w:r w:rsidRPr="006B0748">
              <w:t xml:space="preserve"> 2012</w:t>
            </w:r>
          </w:p>
        </w:tc>
        <w:tc>
          <w:tcPr>
            <w:tcW w:w="1250" w:type="pct"/>
            <w:noWrap/>
          </w:tcPr>
          <w:p w:rsidR="006B0748" w:rsidRPr="006B0748" w:rsidRDefault="006B0748" w:rsidP="006B0748">
            <w:pPr>
              <w:cnfStyle w:val="000000010000"/>
            </w:pPr>
            <w:r w:rsidRPr="00F74E42">
              <w:t>SKI</w:t>
            </w:r>
          </w:p>
        </w:tc>
        <w:tc>
          <w:tcPr>
            <w:tcW w:w="1250" w:type="pct"/>
            <w:noWrap/>
          </w:tcPr>
          <w:p w:rsidR="006B0748" w:rsidRPr="00F74E42" w:rsidRDefault="006B0748" w:rsidP="006B0748">
            <w:pPr>
              <w:cnfStyle w:val="000000010000"/>
            </w:pPr>
          </w:p>
        </w:tc>
        <w:tc>
          <w:tcPr>
            <w:tcW w:w="1250" w:type="pct"/>
            <w:noWrap/>
          </w:tcPr>
          <w:p w:rsidR="006B0748" w:rsidRPr="006B0748" w:rsidRDefault="006B0748" w:rsidP="006B0748">
            <w:pPr>
              <w:cnfStyle w:val="000000010000"/>
            </w:pPr>
            <w:r w:rsidRPr="00F74E42">
              <w:t>1.</w:t>
            </w:r>
            <w:r w:rsidRPr="006B0748">
              <w:t>34</w:t>
            </w:r>
          </w:p>
        </w:tc>
      </w:tr>
      <w:tr w:rsidR="006B0748" w:rsidRPr="005E7116" w:rsidTr="006B0748">
        <w:tc>
          <w:tcPr>
            <w:cnfStyle w:val="001000000000"/>
            <w:tcW w:w="1250" w:type="pct"/>
          </w:tcPr>
          <w:p w:rsidR="006B0748" w:rsidRPr="006B0748" w:rsidRDefault="006B0748" w:rsidP="006B0748">
            <w:r>
              <w:t>6 December</w:t>
            </w:r>
            <w:r w:rsidRPr="006B0748">
              <w:t xml:space="preserve"> 2012</w:t>
            </w:r>
          </w:p>
        </w:tc>
        <w:tc>
          <w:tcPr>
            <w:tcW w:w="1250" w:type="pct"/>
            <w:noWrap/>
          </w:tcPr>
          <w:p w:rsidR="006B0748" w:rsidRPr="006B0748" w:rsidRDefault="006B0748" w:rsidP="006B0748">
            <w:pPr>
              <w:cnfStyle w:val="000000000000"/>
            </w:pPr>
            <w:r w:rsidRPr="00F74E42">
              <w:t>SPN</w:t>
            </w:r>
          </w:p>
        </w:tc>
        <w:tc>
          <w:tcPr>
            <w:tcW w:w="1250" w:type="pct"/>
            <w:noWrap/>
          </w:tcPr>
          <w:p w:rsidR="006B0748" w:rsidRPr="006B0748" w:rsidDel="00C61D4C" w:rsidRDefault="006B0748" w:rsidP="006B0748">
            <w:pPr>
              <w:cnfStyle w:val="000000000000"/>
            </w:pPr>
            <w:r w:rsidRPr="00F74E42">
              <w:t>1.16</w:t>
            </w:r>
          </w:p>
        </w:tc>
        <w:tc>
          <w:tcPr>
            <w:tcW w:w="1250" w:type="pct"/>
            <w:noWrap/>
          </w:tcPr>
          <w:p w:rsidR="006B0748" w:rsidRPr="006B0748" w:rsidDel="00C61D4C" w:rsidRDefault="006B0748" w:rsidP="006B0748">
            <w:pPr>
              <w:cnfStyle w:val="000000000000"/>
            </w:pPr>
            <w:r w:rsidRPr="00F74E42">
              <w:t>1.</w:t>
            </w:r>
            <w:r w:rsidRPr="006B0748">
              <w:t>16</w:t>
            </w:r>
          </w:p>
        </w:tc>
      </w:tr>
    </w:tbl>
    <w:p w:rsidR="006B0748" w:rsidRPr="00F74E42" w:rsidRDefault="006B0748" w:rsidP="006B0748">
      <w:pPr>
        <w:pStyle w:val="AERtablesource"/>
      </w:pPr>
      <w:r w:rsidRPr="00F74E42">
        <w:t xml:space="preserve">Source: </w:t>
      </w:r>
      <w:r w:rsidRPr="00F74E42">
        <w:tab/>
        <w:t>Macquarie Group</w:t>
      </w:r>
      <w:r w:rsidRPr="00F74E42">
        <w:rPr>
          <w:rStyle w:val="FootnoteReference"/>
        </w:rPr>
        <w:footnoteReference w:id="273"/>
      </w:r>
    </w:p>
    <w:p w:rsidR="006B0748" w:rsidRDefault="006B0748" w:rsidP="006B0748">
      <w:pPr>
        <w:pStyle w:val="Caption"/>
      </w:pPr>
      <w:r>
        <w:t xml:space="preserve">Table </w:t>
      </w:r>
      <w:fldSimple w:instr=" STYLEREF 7 \s ">
        <w:r>
          <w:rPr>
            <w:noProof/>
          </w:rPr>
          <w:t>B</w:t>
        </w:r>
      </w:fldSimple>
      <w:r>
        <w:t>.</w:t>
      </w:r>
      <w:fldSimple w:instr=" SEQ Table \* ARABIC \s 7 ">
        <w:r>
          <w:rPr>
            <w:noProof/>
          </w:rPr>
          <w:t>7</w:t>
        </w:r>
      </w:fldSimple>
      <w:r>
        <w:tab/>
      </w:r>
      <w:r w:rsidRPr="00F74E42">
        <w:t>Credit Suisse trading multiples</w:t>
      </w:r>
    </w:p>
    <w:tbl>
      <w:tblPr>
        <w:tblStyle w:val="AERtable-numbers"/>
        <w:tblW w:w="5000" w:type="pct"/>
        <w:tblLook w:val="01E0"/>
      </w:tblPr>
      <w:tblGrid>
        <w:gridCol w:w="2310"/>
        <w:gridCol w:w="2310"/>
        <w:gridCol w:w="2311"/>
        <w:gridCol w:w="2311"/>
      </w:tblGrid>
      <w:tr w:rsidR="006B0748" w:rsidRPr="0099291E" w:rsidTr="006B0748">
        <w:trPr>
          <w:cnfStyle w:val="100000000000"/>
        </w:trPr>
        <w:tc>
          <w:tcPr>
            <w:cnfStyle w:val="001000000000"/>
            <w:tcW w:w="1250" w:type="pct"/>
          </w:tcPr>
          <w:p w:rsidR="006B0748" w:rsidRPr="006B0748" w:rsidRDefault="006B0748" w:rsidP="006B0748">
            <w:r w:rsidRPr="00F74E42">
              <w:t xml:space="preserve">Date </w:t>
            </w:r>
            <w:r w:rsidRPr="006B0748">
              <w:t>of report</w:t>
            </w:r>
          </w:p>
        </w:tc>
        <w:tc>
          <w:tcPr>
            <w:tcW w:w="1250" w:type="pct"/>
            <w:noWrap/>
          </w:tcPr>
          <w:p w:rsidR="006B0748" w:rsidRPr="006B0748" w:rsidRDefault="006B0748" w:rsidP="006B0748">
            <w:pPr>
              <w:cnfStyle w:val="100000000000"/>
            </w:pPr>
            <w:r w:rsidRPr="00F74E42">
              <w:t>Company</w:t>
            </w:r>
          </w:p>
        </w:tc>
        <w:tc>
          <w:tcPr>
            <w:tcW w:w="1250" w:type="pct"/>
          </w:tcPr>
          <w:p w:rsidR="006B0748" w:rsidRPr="006B0748" w:rsidRDefault="006B0748" w:rsidP="006B0748">
            <w:pPr>
              <w:cnfStyle w:val="100000000000"/>
            </w:pPr>
            <w:r w:rsidRPr="00F74E42">
              <w:t>2012</w:t>
            </w:r>
          </w:p>
        </w:tc>
        <w:tc>
          <w:tcPr>
            <w:tcW w:w="1250" w:type="pct"/>
            <w:noWrap/>
          </w:tcPr>
          <w:p w:rsidR="006B0748" w:rsidRPr="006B0748" w:rsidRDefault="006B0748" w:rsidP="006B0748">
            <w:pPr>
              <w:cnfStyle w:val="100000000000"/>
            </w:pPr>
            <w:r w:rsidRPr="00F74E42">
              <w:t>201</w:t>
            </w:r>
            <w:r w:rsidRPr="006B0748">
              <w:t>3</w:t>
            </w:r>
          </w:p>
        </w:tc>
      </w:tr>
      <w:tr w:rsidR="006B0748" w:rsidRPr="00BC5EAF" w:rsidTr="006B0748">
        <w:tc>
          <w:tcPr>
            <w:cnfStyle w:val="001000000000"/>
            <w:tcW w:w="1250" w:type="pct"/>
          </w:tcPr>
          <w:p w:rsidR="006B0748" w:rsidRPr="006B0748" w:rsidRDefault="006B0748" w:rsidP="006B0748">
            <w:r>
              <w:t>12 February 2013</w:t>
            </w:r>
          </w:p>
        </w:tc>
        <w:tc>
          <w:tcPr>
            <w:tcW w:w="1250" w:type="pct"/>
            <w:noWrap/>
          </w:tcPr>
          <w:p w:rsidR="006B0748" w:rsidRPr="006B0748" w:rsidRDefault="006B0748" w:rsidP="006B0748">
            <w:pPr>
              <w:cnfStyle w:val="000000000000"/>
            </w:pPr>
            <w:r w:rsidRPr="00F74E42">
              <w:t>DUET</w:t>
            </w:r>
          </w:p>
        </w:tc>
        <w:tc>
          <w:tcPr>
            <w:tcW w:w="1250" w:type="pct"/>
          </w:tcPr>
          <w:p w:rsidR="006B0748" w:rsidRPr="006B0748" w:rsidRDefault="006B0748" w:rsidP="006B0748">
            <w:pPr>
              <w:cnfStyle w:val="000000000000"/>
            </w:pPr>
            <w:r w:rsidRPr="00F74E42">
              <w:t>1.</w:t>
            </w:r>
            <w:r w:rsidRPr="006B0748">
              <w:t>15</w:t>
            </w:r>
          </w:p>
        </w:tc>
        <w:tc>
          <w:tcPr>
            <w:tcW w:w="1250" w:type="pct"/>
            <w:noWrap/>
          </w:tcPr>
          <w:p w:rsidR="006B0748" w:rsidRPr="006B0748" w:rsidRDefault="006B0748" w:rsidP="006B0748">
            <w:pPr>
              <w:cnfStyle w:val="000000000000"/>
            </w:pPr>
            <w:r w:rsidRPr="00F74E42">
              <w:t>1.</w:t>
            </w:r>
            <w:r w:rsidRPr="006B0748">
              <w:t>19</w:t>
            </w:r>
          </w:p>
        </w:tc>
      </w:tr>
      <w:tr w:rsidR="006B0748" w:rsidRPr="00BC5EAF" w:rsidTr="006B0748">
        <w:trPr>
          <w:cnfStyle w:val="000000010000"/>
        </w:trPr>
        <w:tc>
          <w:tcPr>
            <w:cnfStyle w:val="001000000000"/>
            <w:tcW w:w="1250" w:type="pct"/>
          </w:tcPr>
          <w:p w:rsidR="006B0748" w:rsidRPr="006B0748" w:rsidRDefault="006B0748" w:rsidP="006B0748">
            <w:r w:rsidRPr="00A3099F">
              <w:t xml:space="preserve">12 </w:t>
            </w:r>
            <w:r w:rsidRPr="006B0748">
              <w:t>February 2013</w:t>
            </w:r>
          </w:p>
        </w:tc>
        <w:tc>
          <w:tcPr>
            <w:tcW w:w="1250" w:type="pct"/>
            <w:noWrap/>
          </w:tcPr>
          <w:p w:rsidR="006B0748" w:rsidRPr="006B0748" w:rsidRDefault="006B0748" w:rsidP="006B0748">
            <w:pPr>
              <w:cnfStyle w:val="000000010000"/>
            </w:pPr>
            <w:r w:rsidRPr="00F74E42">
              <w:t>ENV</w:t>
            </w:r>
          </w:p>
        </w:tc>
        <w:tc>
          <w:tcPr>
            <w:tcW w:w="1250" w:type="pct"/>
          </w:tcPr>
          <w:p w:rsidR="006B0748" w:rsidRPr="006B0748" w:rsidRDefault="006B0748" w:rsidP="006B0748">
            <w:pPr>
              <w:cnfStyle w:val="000000010000"/>
            </w:pPr>
            <w:r w:rsidRPr="00F74E42">
              <w:t>1.</w:t>
            </w:r>
            <w:r w:rsidRPr="006B0748">
              <w:t>35</w:t>
            </w:r>
          </w:p>
        </w:tc>
        <w:tc>
          <w:tcPr>
            <w:tcW w:w="1250" w:type="pct"/>
            <w:noWrap/>
          </w:tcPr>
          <w:p w:rsidR="006B0748" w:rsidRPr="006B0748" w:rsidRDefault="006B0748" w:rsidP="006B0748">
            <w:pPr>
              <w:cnfStyle w:val="000000010000"/>
            </w:pPr>
            <w:r w:rsidRPr="00F74E42">
              <w:t>1.</w:t>
            </w:r>
            <w:r w:rsidRPr="006B0748">
              <w:t>43</w:t>
            </w:r>
          </w:p>
        </w:tc>
      </w:tr>
      <w:tr w:rsidR="006B0748" w:rsidRPr="00BC5EAF" w:rsidTr="006B0748">
        <w:tc>
          <w:tcPr>
            <w:cnfStyle w:val="001000000000"/>
            <w:tcW w:w="1250" w:type="pct"/>
          </w:tcPr>
          <w:p w:rsidR="006B0748" w:rsidRPr="006B0748" w:rsidRDefault="006B0748" w:rsidP="006B0748">
            <w:r w:rsidRPr="00A3099F">
              <w:t>12 February 201</w:t>
            </w:r>
            <w:r w:rsidRPr="006B0748">
              <w:t>3</w:t>
            </w:r>
          </w:p>
        </w:tc>
        <w:tc>
          <w:tcPr>
            <w:tcW w:w="1250" w:type="pct"/>
            <w:noWrap/>
          </w:tcPr>
          <w:p w:rsidR="006B0748" w:rsidRPr="006B0748" w:rsidRDefault="006B0748" w:rsidP="006B0748">
            <w:pPr>
              <w:cnfStyle w:val="000000000000"/>
            </w:pPr>
            <w:r w:rsidRPr="00F74E42">
              <w:t>SKI</w:t>
            </w:r>
          </w:p>
        </w:tc>
        <w:tc>
          <w:tcPr>
            <w:tcW w:w="1250" w:type="pct"/>
          </w:tcPr>
          <w:p w:rsidR="006B0748" w:rsidRPr="006B0748" w:rsidRDefault="006B0748" w:rsidP="006B0748">
            <w:pPr>
              <w:cnfStyle w:val="000000000000"/>
            </w:pPr>
            <w:r w:rsidRPr="00F74E42">
              <w:t>1.</w:t>
            </w:r>
            <w:r w:rsidRPr="006B0748">
              <w:t>39</w:t>
            </w:r>
          </w:p>
        </w:tc>
        <w:tc>
          <w:tcPr>
            <w:tcW w:w="1250" w:type="pct"/>
            <w:noWrap/>
          </w:tcPr>
          <w:p w:rsidR="006B0748" w:rsidRPr="006B0748" w:rsidRDefault="006B0748" w:rsidP="006B0748">
            <w:pPr>
              <w:cnfStyle w:val="000000000000"/>
            </w:pPr>
            <w:r w:rsidRPr="00F74E42">
              <w:t>1.</w:t>
            </w:r>
            <w:r w:rsidRPr="006B0748">
              <w:t>39</w:t>
            </w:r>
          </w:p>
        </w:tc>
      </w:tr>
      <w:tr w:rsidR="006B0748" w:rsidRPr="00BC5EAF" w:rsidTr="006B0748">
        <w:trPr>
          <w:cnfStyle w:val="000000010000"/>
        </w:trPr>
        <w:tc>
          <w:tcPr>
            <w:cnfStyle w:val="001000000000"/>
            <w:tcW w:w="1250" w:type="pct"/>
          </w:tcPr>
          <w:p w:rsidR="006B0748" w:rsidRPr="006B0748" w:rsidRDefault="006B0748" w:rsidP="006B0748">
            <w:r w:rsidRPr="00A3099F">
              <w:t>12 February 201</w:t>
            </w:r>
            <w:r w:rsidRPr="006B0748">
              <w:t>3</w:t>
            </w:r>
          </w:p>
        </w:tc>
        <w:tc>
          <w:tcPr>
            <w:tcW w:w="1250" w:type="pct"/>
            <w:noWrap/>
          </w:tcPr>
          <w:p w:rsidR="006B0748" w:rsidRPr="006B0748" w:rsidRDefault="006B0748" w:rsidP="006B0748">
            <w:pPr>
              <w:cnfStyle w:val="000000010000"/>
            </w:pPr>
            <w:r w:rsidRPr="00F74E42">
              <w:t>SPN</w:t>
            </w:r>
          </w:p>
        </w:tc>
        <w:tc>
          <w:tcPr>
            <w:tcW w:w="1250" w:type="pct"/>
          </w:tcPr>
          <w:p w:rsidR="006B0748" w:rsidRPr="006B0748" w:rsidRDefault="006B0748" w:rsidP="006B0748">
            <w:pPr>
              <w:cnfStyle w:val="000000010000"/>
            </w:pPr>
            <w:r w:rsidRPr="00F74E42">
              <w:t>1.</w:t>
            </w:r>
            <w:r w:rsidRPr="006B0748">
              <w:t>14</w:t>
            </w:r>
          </w:p>
        </w:tc>
        <w:tc>
          <w:tcPr>
            <w:tcW w:w="1250" w:type="pct"/>
            <w:noWrap/>
          </w:tcPr>
          <w:p w:rsidR="006B0748" w:rsidRPr="006B0748" w:rsidRDefault="006B0748" w:rsidP="006B0748">
            <w:pPr>
              <w:cnfStyle w:val="000000010000"/>
            </w:pPr>
            <w:r w:rsidRPr="00F74E42">
              <w:t>1.</w:t>
            </w:r>
            <w:r w:rsidRPr="006B0748">
              <w:t>18</w:t>
            </w:r>
          </w:p>
        </w:tc>
      </w:tr>
    </w:tbl>
    <w:p w:rsidR="006B0748" w:rsidRPr="00F74E42" w:rsidRDefault="006B0748" w:rsidP="006B0748">
      <w:pPr>
        <w:pStyle w:val="AERtablesource"/>
      </w:pPr>
      <w:r w:rsidRPr="00F74E42">
        <w:t xml:space="preserve">Source: </w:t>
      </w:r>
      <w:r w:rsidRPr="00F74E42">
        <w:tab/>
        <w:t>Credit Suisse</w:t>
      </w:r>
      <w:r w:rsidRPr="00F74E42">
        <w:rPr>
          <w:rStyle w:val="FootnoteReference"/>
        </w:rPr>
        <w:footnoteReference w:id="274"/>
      </w:r>
    </w:p>
    <w:p w:rsidR="006B0748" w:rsidRDefault="006B0748" w:rsidP="006B0748">
      <w:pPr>
        <w:pStyle w:val="Caption"/>
      </w:pPr>
      <w:bookmarkStart w:id="67" w:name="_Ref350871068"/>
      <w:r>
        <w:t xml:space="preserve">Table </w:t>
      </w:r>
      <w:fldSimple w:instr=" STYLEREF 7 \s ">
        <w:r>
          <w:rPr>
            <w:noProof/>
          </w:rPr>
          <w:t>B</w:t>
        </w:r>
      </w:fldSimple>
      <w:r>
        <w:t>.</w:t>
      </w:r>
      <w:fldSimple w:instr=" SEQ Table \* ARABIC \s 7 ">
        <w:r>
          <w:rPr>
            <w:noProof/>
          </w:rPr>
          <w:t>8</w:t>
        </w:r>
      </w:fldSimple>
      <w:bookmarkEnd w:id="67"/>
      <w:r>
        <w:tab/>
      </w:r>
      <w:r w:rsidRPr="00F74E42">
        <w:t>Bank of America Merrill Lynch trading multiples</w:t>
      </w:r>
    </w:p>
    <w:tbl>
      <w:tblPr>
        <w:tblStyle w:val="AERtable-numbers"/>
        <w:tblW w:w="5000" w:type="pct"/>
        <w:tblLook w:val="01E0"/>
      </w:tblPr>
      <w:tblGrid>
        <w:gridCol w:w="3844"/>
        <w:gridCol w:w="2442"/>
        <w:gridCol w:w="1479"/>
        <w:gridCol w:w="1477"/>
      </w:tblGrid>
      <w:tr w:rsidR="006B0748" w:rsidRPr="00831C8B" w:rsidTr="006B0748">
        <w:trPr>
          <w:cnfStyle w:val="100000000000"/>
        </w:trPr>
        <w:tc>
          <w:tcPr>
            <w:cnfStyle w:val="001000000000"/>
            <w:tcW w:w="2080" w:type="pct"/>
          </w:tcPr>
          <w:p w:rsidR="006B0748" w:rsidRPr="006B0748" w:rsidRDefault="006B0748" w:rsidP="006B0748">
            <w:r w:rsidRPr="00F74E42">
              <w:t>Date of report</w:t>
            </w:r>
          </w:p>
        </w:tc>
        <w:tc>
          <w:tcPr>
            <w:tcW w:w="1321" w:type="pct"/>
            <w:noWrap/>
          </w:tcPr>
          <w:p w:rsidR="006B0748" w:rsidRPr="006B0748" w:rsidRDefault="006B0748" w:rsidP="006B0748">
            <w:pPr>
              <w:cnfStyle w:val="100000000000"/>
            </w:pPr>
            <w:r w:rsidRPr="00F74E42">
              <w:t>Company</w:t>
            </w:r>
          </w:p>
        </w:tc>
        <w:tc>
          <w:tcPr>
            <w:tcW w:w="800" w:type="pct"/>
          </w:tcPr>
          <w:p w:rsidR="006B0748" w:rsidRPr="006B0748" w:rsidRDefault="006B0748" w:rsidP="006B0748">
            <w:pPr>
              <w:cnfStyle w:val="100000000000"/>
            </w:pPr>
            <w:r w:rsidRPr="00F74E42">
              <w:t>2012</w:t>
            </w:r>
          </w:p>
        </w:tc>
        <w:tc>
          <w:tcPr>
            <w:tcW w:w="800" w:type="pct"/>
            <w:noWrap/>
          </w:tcPr>
          <w:p w:rsidR="006B0748" w:rsidRPr="006B0748" w:rsidRDefault="006B0748" w:rsidP="006B0748">
            <w:pPr>
              <w:cnfStyle w:val="100000000000"/>
            </w:pPr>
            <w:r w:rsidRPr="00F74E42">
              <w:t>201</w:t>
            </w:r>
            <w:r w:rsidRPr="006B0748">
              <w:t>3</w:t>
            </w:r>
          </w:p>
        </w:tc>
      </w:tr>
      <w:tr w:rsidR="006B0748" w:rsidRPr="00831C8B" w:rsidTr="006B0748">
        <w:tc>
          <w:tcPr>
            <w:cnfStyle w:val="001000000000"/>
            <w:tcW w:w="2080" w:type="pct"/>
          </w:tcPr>
          <w:p w:rsidR="006B0748" w:rsidRPr="006B0748" w:rsidRDefault="006B0748" w:rsidP="006B0748">
            <w:r>
              <w:t>19 October</w:t>
            </w:r>
            <w:r w:rsidRPr="006B0748">
              <w:t xml:space="preserve"> 2012</w:t>
            </w:r>
          </w:p>
        </w:tc>
        <w:tc>
          <w:tcPr>
            <w:tcW w:w="1321" w:type="pct"/>
            <w:noWrap/>
          </w:tcPr>
          <w:p w:rsidR="006B0748" w:rsidRPr="006B0748" w:rsidRDefault="006B0748" w:rsidP="006B0748">
            <w:pPr>
              <w:cnfStyle w:val="000000000000"/>
            </w:pPr>
            <w:r>
              <w:t>DUET</w:t>
            </w:r>
          </w:p>
        </w:tc>
        <w:tc>
          <w:tcPr>
            <w:tcW w:w="800" w:type="pct"/>
          </w:tcPr>
          <w:p w:rsidR="006B0748" w:rsidRPr="006B0748" w:rsidRDefault="006B0748" w:rsidP="006B0748">
            <w:pPr>
              <w:cnfStyle w:val="000000000000"/>
            </w:pPr>
            <w:r>
              <w:t>1.20</w:t>
            </w:r>
          </w:p>
        </w:tc>
        <w:tc>
          <w:tcPr>
            <w:tcW w:w="800" w:type="pct"/>
            <w:noWrap/>
          </w:tcPr>
          <w:p w:rsidR="006B0748" w:rsidRPr="004E1B73" w:rsidRDefault="006B0748" w:rsidP="006B0748">
            <w:pPr>
              <w:cnfStyle w:val="000000000000"/>
            </w:pPr>
          </w:p>
        </w:tc>
      </w:tr>
      <w:tr w:rsidR="006B0748" w:rsidRPr="00831C8B" w:rsidTr="006B0748">
        <w:trPr>
          <w:cnfStyle w:val="000000010000"/>
        </w:trPr>
        <w:tc>
          <w:tcPr>
            <w:cnfStyle w:val="001000000000"/>
            <w:tcW w:w="2080" w:type="pct"/>
          </w:tcPr>
          <w:p w:rsidR="006B0748" w:rsidRPr="006B0748" w:rsidRDefault="006B0748" w:rsidP="006B0748">
            <w:r w:rsidRPr="00F74E42">
              <w:t>23 August 2012</w:t>
            </w:r>
          </w:p>
        </w:tc>
        <w:tc>
          <w:tcPr>
            <w:tcW w:w="1321" w:type="pct"/>
            <w:noWrap/>
          </w:tcPr>
          <w:p w:rsidR="006B0748" w:rsidRPr="006B0748" w:rsidRDefault="006B0748" w:rsidP="006B0748">
            <w:pPr>
              <w:cnfStyle w:val="000000010000"/>
            </w:pPr>
            <w:r w:rsidRPr="00F74E42">
              <w:t>ENV</w:t>
            </w:r>
          </w:p>
        </w:tc>
        <w:tc>
          <w:tcPr>
            <w:tcW w:w="800" w:type="pct"/>
          </w:tcPr>
          <w:p w:rsidR="006B0748" w:rsidRPr="006B0748" w:rsidRDefault="006B0748" w:rsidP="006B0748">
            <w:pPr>
              <w:cnfStyle w:val="000000010000"/>
            </w:pPr>
            <w:r w:rsidRPr="00F74E42">
              <w:t>1.10</w:t>
            </w:r>
          </w:p>
        </w:tc>
        <w:tc>
          <w:tcPr>
            <w:tcW w:w="800" w:type="pct"/>
            <w:noWrap/>
          </w:tcPr>
          <w:p w:rsidR="006B0748" w:rsidRPr="004E1B73" w:rsidRDefault="006B0748" w:rsidP="006B0748">
            <w:pPr>
              <w:cnfStyle w:val="000000010000"/>
            </w:pPr>
          </w:p>
        </w:tc>
      </w:tr>
      <w:tr w:rsidR="006B0748" w:rsidRPr="00831C8B" w:rsidTr="006B0748">
        <w:tc>
          <w:tcPr>
            <w:cnfStyle w:val="001000000000"/>
            <w:tcW w:w="2080" w:type="pct"/>
          </w:tcPr>
          <w:p w:rsidR="006B0748" w:rsidRPr="006B0748" w:rsidRDefault="006B0748" w:rsidP="006B0748">
            <w:r>
              <w:t>5</w:t>
            </w:r>
            <w:r w:rsidRPr="006B0748">
              <w:t xml:space="preserve"> February 2013</w:t>
            </w:r>
          </w:p>
        </w:tc>
        <w:tc>
          <w:tcPr>
            <w:tcW w:w="1321" w:type="pct"/>
            <w:noWrap/>
          </w:tcPr>
          <w:p w:rsidR="006B0748" w:rsidRPr="006B0748" w:rsidRDefault="006B0748" w:rsidP="006B0748">
            <w:pPr>
              <w:cnfStyle w:val="000000000000"/>
            </w:pPr>
            <w:r w:rsidRPr="00F74E42">
              <w:t>SKI</w:t>
            </w:r>
          </w:p>
        </w:tc>
        <w:tc>
          <w:tcPr>
            <w:tcW w:w="800" w:type="pct"/>
          </w:tcPr>
          <w:p w:rsidR="006B0748" w:rsidRPr="006B0748" w:rsidRDefault="006B0748" w:rsidP="006B0748">
            <w:pPr>
              <w:cnfStyle w:val="000000000000"/>
            </w:pPr>
            <w:r w:rsidRPr="00F74E42">
              <w:t>1.</w:t>
            </w:r>
            <w:r w:rsidRPr="006B0748">
              <w:t>25</w:t>
            </w:r>
          </w:p>
        </w:tc>
        <w:tc>
          <w:tcPr>
            <w:tcW w:w="800" w:type="pct"/>
            <w:noWrap/>
          </w:tcPr>
          <w:p w:rsidR="006B0748" w:rsidRPr="006B0748" w:rsidRDefault="006B0748" w:rsidP="006B0748">
            <w:pPr>
              <w:cnfStyle w:val="000000000000"/>
            </w:pPr>
            <w:r>
              <w:t>1.27</w:t>
            </w:r>
          </w:p>
        </w:tc>
      </w:tr>
      <w:tr w:rsidR="006B0748" w:rsidRPr="00831C8B" w:rsidTr="006B0748">
        <w:trPr>
          <w:cnfStyle w:val="000000010000"/>
        </w:trPr>
        <w:tc>
          <w:tcPr>
            <w:cnfStyle w:val="001000000000"/>
            <w:tcW w:w="2080" w:type="pct"/>
          </w:tcPr>
          <w:p w:rsidR="006B0748" w:rsidRPr="006B0748" w:rsidRDefault="006B0748" w:rsidP="006B0748">
            <w:r>
              <w:t xml:space="preserve">9 </w:t>
            </w:r>
            <w:r w:rsidRPr="006B0748">
              <w:t>November 2012</w:t>
            </w:r>
          </w:p>
        </w:tc>
        <w:tc>
          <w:tcPr>
            <w:tcW w:w="1321" w:type="pct"/>
            <w:noWrap/>
          </w:tcPr>
          <w:p w:rsidR="006B0748" w:rsidRPr="006B0748" w:rsidRDefault="006B0748" w:rsidP="006B0748">
            <w:pPr>
              <w:cnfStyle w:val="000000010000"/>
            </w:pPr>
            <w:r w:rsidRPr="00F74E42">
              <w:t>S</w:t>
            </w:r>
            <w:r w:rsidRPr="006B0748">
              <w:t>PN</w:t>
            </w:r>
          </w:p>
        </w:tc>
        <w:tc>
          <w:tcPr>
            <w:tcW w:w="800" w:type="pct"/>
          </w:tcPr>
          <w:p w:rsidR="006B0748" w:rsidRPr="006B0748" w:rsidRDefault="006B0748" w:rsidP="006B0748">
            <w:pPr>
              <w:cnfStyle w:val="000000010000"/>
            </w:pPr>
            <w:r w:rsidRPr="00F74E42">
              <w:t>1.</w:t>
            </w:r>
            <w:r w:rsidRPr="006B0748">
              <w:t>15</w:t>
            </w:r>
          </w:p>
        </w:tc>
        <w:tc>
          <w:tcPr>
            <w:tcW w:w="800" w:type="pct"/>
            <w:noWrap/>
          </w:tcPr>
          <w:p w:rsidR="006B0748" w:rsidRPr="004E1B73" w:rsidRDefault="006B0748" w:rsidP="006B0748">
            <w:pPr>
              <w:cnfStyle w:val="000000010000"/>
            </w:pPr>
          </w:p>
        </w:tc>
      </w:tr>
    </w:tbl>
    <w:p w:rsidR="006B0748" w:rsidRPr="00F74E42" w:rsidRDefault="006B0748" w:rsidP="006B0748">
      <w:pPr>
        <w:pStyle w:val="AERtablesource"/>
      </w:pPr>
      <w:r w:rsidRPr="00F74E42">
        <w:t xml:space="preserve">Source: </w:t>
      </w:r>
      <w:r w:rsidRPr="00F74E42">
        <w:tab/>
        <w:t>Bank of America Merrill Lynch</w:t>
      </w:r>
      <w:r w:rsidRPr="00F74E42">
        <w:rPr>
          <w:rStyle w:val="FootnoteReference"/>
        </w:rPr>
        <w:footnoteReference w:id="275"/>
      </w:r>
    </w:p>
    <w:p w:rsidR="006B0748" w:rsidRDefault="006B0748" w:rsidP="006B0748">
      <w:pPr>
        <w:pStyle w:val="AERbodytext"/>
        <w:numPr>
          <w:ilvl w:val="0"/>
          <w:numId w:val="13"/>
        </w:numPr>
      </w:pPr>
      <w:r>
        <w:t>Further, CEPA highlight the range of trading multiples in their sample, with a minimum of 1.10, and suggest that there is outperformance by these companies. CEPA also states that the degree to which there is outperformance on the cost of equity is unclear. But this suggests that the rates are not too low.</w:t>
      </w:r>
      <w:r w:rsidRPr="003015C0">
        <w:rPr>
          <w:rStyle w:val="FootnoteReference"/>
        </w:rPr>
        <w:t xml:space="preserve"> </w:t>
      </w:r>
      <w:r w:rsidRPr="003015C0">
        <w:rPr>
          <w:rStyle w:val="FootnoteReference"/>
        </w:rPr>
        <w:footnoteReference w:id="276"/>
      </w:r>
      <w:r>
        <w:t xml:space="preserve"> </w:t>
      </w:r>
    </w:p>
    <w:p w:rsidR="006B0748" w:rsidRPr="00F74E42" w:rsidRDefault="006B0748" w:rsidP="006B0748">
      <w:pPr>
        <w:pStyle w:val="AERbodytext"/>
        <w:numPr>
          <w:ilvl w:val="0"/>
          <w:numId w:val="13"/>
        </w:numPr>
      </w:pPr>
      <w:r w:rsidRPr="00F74E42">
        <w:t xml:space="preserve">Finally, Spark Infrastructure recently released a </w:t>
      </w:r>
      <w:r w:rsidRPr="00F74E42">
        <w:rPr>
          <w:rStyle w:val="AERtextitalic"/>
        </w:rPr>
        <w:t>Fact Book</w:t>
      </w:r>
      <w:r w:rsidRPr="00F74E42">
        <w:t xml:space="preserve"> showing an unadjusted trading multiple of 1.34 as at 24 February 2012. The </w:t>
      </w:r>
      <w:r w:rsidRPr="00F74E42">
        <w:rPr>
          <w:rStyle w:val="AERtextitalic"/>
        </w:rPr>
        <w:t>Fact Book</w:t>
      </w:r>
      <w:r w:rsidRPr="00F74E42">
        <w:t xml:space="preserve"> reports that this decreases to 1.10 when adjusted for total revenue excluding customer contributions.</w:t>
      </w:r>
      <w:r w:rsidRPr="00F74E42">
        <w:rPr>
          <w:rStyle w:val="FootnoteReference"/>
        </w:rPr>
        <w:footnoteReference w:id="277"/>
      </w:r>
      <w:r w:rsidRPr="00F74E42">
        <w:t xml:space="preserve"> </w:t>
      </w:r>
    </w:p>
    <w:p w:rsidR="006B0748" w:rsidRPr="00F74E42" w:rsidRDefault="006B0748" w:rsidP="006B0748">
      <w:pPr>
        <w:pStyle w:val="AERbodytext"/>
        <w:numPr>
          <w:ilvl w:val="0"/>
          <w:numId w:val="13"/>
        </w:numPr>
      </w:pPr>
      <w:r w:rsidRPr="00F74E42">
        <w:t xml:space="preserve">There are also other listed entities that hold regulated assets, such as APA and Hastings Diversified Utilities Fund. These companies are not conducive to RAB multiples analysis because they have a diverse portfolio of assets, sometimes unregulated, which makes it difficult to isolate the RAB.  </w:t>
      </w:r>
    </w:p>
    <w:p w:rsidR="006B0748" w:rsidRPr="00F74E42" w:rsidRDefault="006B0748" w:rsidP="006B0748">
      <w:pPr>
        <w:pStyle w:val="AERbodytext"/>
        <w:numPr>
          <w:ilvl w:val="0"/>
          <w:numId w:val="13"/>
        </w:numPr>
      </w:pPr>
      <w:r w:rsidRPr="00F74E42">
        <w:t>Each of these figures cannot be considered definitive without careful consideration of the assumptions and methodologies used. They do, however, provide a useful insight into whether market analysts, and indeed industry analysts, consider the AER’s benchmark WACC is appropriate. Importantly, each multiple is calculated after the GFC and also after the AER’s WACC review.</w:t>
      </w:r>
      <w:r w:rsidRPr="00F74E42">
        <w:rPr>
          <w:rStyle w:val="FootnoteReference"/>
        </w:rPr>
        <w:footnoteReference w:id="278"/>
      </w:r>
      <w:r w:rsidRPr="00F74E42">
        <w:t xml:space="preserve">  </w:t>
      </w:r>
    </w:p>
    <w:p w:rsidR="006B0748" w:rsidRPr="00F74E42" w:rsidRDefault="006B0748" w:rsidP="006B0748">
      <w:pPr>
        <w:pStyle w:val="AERbodytext"/>
        <w:numPr>
          <w:ilvl w:val="0"/>
          <w:numId w:val="13"/>
        </w:numPr>
      </w:pPr>
      <w:r>
        <w:t>T</w:t>
      </w:r>
      <w:r w:rsidRPr="00F74E42">
        <w:t>he consistently high multiples shown above suggest the regulatory rate of return has been at least as high as the actual cost of capital, and may have been in excess of it. The conclusion then is that the AER’s approach to setting WACC parameters provides a degree of confidence that the rate of return has been reasonable. It also provides a degree of confidence that the rate of return has allowed service providers a reasonable opportunity to recover at least efficient costs.</w:t>
      </w:r>
    </w:p>
    <w:p w:rsidR="006B0748" w:rsidRPr="00F74E42" w:rsidRDefault="006B0748" w:rsidP="006B0748">
      <w:pPr>
        <w:pStyle w:val="AERbodytext"/>
        <w:numPr>
          <w:ilvl w:val="0"/>
          <w:numId w:val="13"/>
        </w:numPr>
      </w:pPr>
      <w:r w:rsidRPr="00F74E42">
        <w:t xml:space="preserve">As with recent regulated asset sales, the AER notes that it is not possible to use RAB trading multiples analysis as an input when assessing individual parameters. The AER does not place any weight on this analysis during that process. </w:t>
      </w:r>
    </w:p>
    <w:p w:rsidR="006B0748" w:rsidRPr="00DE0703" w:rsidRDefault="006B0748" w:rsidP="006B0748">
      <w:pPr>
        <w:pStyle w:val="AERbodytext"/>
        <w:numPr>
          <w:ilvl w:val="0"/>
          <w:numId w:val="13"/>
        </w:numPr>
      </w:pPr>
      <w:r w:rsidRPr="00F74E42">
        <w:t>However, recent regulated asset sales analysis may provide a degree of confidence that the approach used in calculating the rate of return is reasonable. The AER has maintained a largely consistent approach for calculating of the rate of return since the WACC review and that approach has been maintained for this decision.</w:t>
      </w:r>
      <w:r w:rsidRPr="00DE0703">
        <w:rPr>
          <w:rStyle w:val="FootnoteReference"/>
        </w:rPr>
        <w:footnoteReference w:id="279"/>
      </w:r>
      <w:r w:rsidRPr="00DE0703">
        <w:t xml:space="preserve"> This suggests the AER’s approach in this decision will also provide </w:t>
      </w:r>
      <w:r>
        <w:t>Multinet</w:t>
      </w:r>
      <w:r w:rsidRPr="00DE0703">
        <w:t xml:space="preserve"> with a reasonable opportunity to recover efficient costs.</w:t>
      </w:r>
    </w:p>
    <w:p w:rsidR="006B0748" w:rsidRPr="00B367FF" w:rsidRDefault="006B0748" w:rsidP="006B0748">
      <w:pPr>
        <w:pStyle w:val="HeadingBoldBlue"/>
        <w:numPr>
          <w:ilvl w:val="0"/>
          <w:numId w:val="13"/>
        </w:numPr>
      </w:pPr>
      <w:r w:rsidRPr="00B367FF">
        <w:t xml:space="preserve">Broker reports </w:t>
      </w:r>
    </w:p>
    <w:p w:rsidR="006B0748" w:rsidRPr="00F74E42" w:rsidRDefault="006B0748" w:rsidP="006B0748">
      <w:pPr>
        <w:pStyle w:val="AERbodytext"/>
        <w:numPr>
          <w:ilvl w:val="0"/>
          <w:numId w:val="13"/>
        </w:numPr>
      </w:pPr>
      <w:r w:rsidRPr="00F74E42">
        <w:t xml:space="preserve">Equity analysts publish broker reports on listed companies operating regulated energy networks in Australia. These reports generally include WACC estimates along with a range of information, including analysis of current financial positions and forecasts of future performance. </w:t>
      </w:r>
    </w:p>
    <w:p w:rsidR="006B0748" w:rsidRPr="00F74E42" w:rsidRDefault="006B0748" w:rsidP="006B0748">
      <w:pPr>
        <w:pStyle w:val="AERbodytext"/>
        <w:numPr>
          <w:ilvl w:val="0"/>
          <w:numId w:val="13"/>
        </w:numPr>
      </w:pPr>
      <w:r w:rsidRPr="00F74E42">
        <w:t xml:space="preserve">In several previous decisions, the AER has used the WACC estimates from those broker reports as a reasonableness check on the rate of return determined by the AER through its detailed assessment of each individual parameter. In the </w:t>
      </w:r>
      <w:r w:rsidRPr="00F74E42">
        <w:rPr>
          <w:rStyle w:val="AERtextitalic"/>
        </w:rPr>
        <w:t>Envestra</w:t>
      </w:r>
      <w:r w:rsidRPr="00F74E42">
        <w:t xml:space="preserve"> matter, the Tribunal noted the reasons put forward by Envestra that the use of broker WACC estimates was an unreliable methodology. In response, the Tribunal stated: </w:t>
      </w:r>
    </w:p>
    <w:p w:rsidR="006B0748" w:rsidRPr="00F74E42" w:rsidRDefault="006B0748" w:rsidP="006B0748">
      <w:pPr>
        <w:pStyle w:val="AERquote"/>
      </w:pPr>
      <w:r w:rsidRPr="00F74E42">
        <w:t xml:space="preserve">It is fair to note that, as to those matters, the AER largely recognised the possible reasons why broker estimates might be unreliable and sought to make adjustments in that light. </w:t>
      </w:r>
      <w:proofErr w:type="gramStart"/>
      <w:r w:rsidRPr="00F74E42">
        <w:t>More importantly.</w:t>
      </w:r>
      <w:proofErr w:type="gramEnd"/>
      <w:r w:rsidRPr="00F74E42">
        <w:t xml:space="preserve"> </w:t>
      </w:r>
      <w:proofErr w:type="gramStart"/>
      <w:r w:rsidRPr="00F74E42">
        <w:t>the</w:t>
      </w:r>
      <w:proofErr w:type="gramEnd"/>
      <w:r w:rsidRPr="00F74E42">
        <w:t xml:space="preserve"> Tribunal accepts the AER submission that it did not estimate the WACC or the DRP by reference to the broker reports. It used them as a “useful reasonableness check” that its WACC estimate did not produce results which did not broadly accord with a range of market opinions concerning firms that are a reliable proxy to the benchmark firm. Its use of the broker reports was thus an “output” test of the nominal vanilla WACC rather than an input into its calculation of the WACC.</w:t>
      </w:r>
      <w:r w:rsidRPr="00F74E42">
        <w:rPr>
          <w:rStyle w:val="FootnoteReference"/>
        </w:rPr>
        <w:t xml:space="preserve"> </w:t>
      </w:r>
      <w:r w:rsidRPr="00F74E42">
        <w:rPr>
          <w:rStyle w:val="FootnoteReference"/>
        </w:rPr>
        <w:footnoteReference w:id="280"/>
      </w:r>
    </w:p>
    <w:p w:rsidR="006B0748" w:rsidRPr="00F74E42" w:rsidRDefault="006B0748" w:rsidP="006B0748">
      <w:pPr>
        <w:pStyle w:val="AERbodytext"/>
        <w:numPr>
          <w:ilvl w:val="0"/>
          <w:numId w:val="13"/>
        </w:numPr>
      </w:pPr>
      <w:r w:rsidRPr="00F74E42">
        <w:t>The Tribunal emphasised that its finding that the AER’s use of broker WACC estimates did not fall into reviewable error was in the context of the ‘limited use’ to which the AER applied the broker WACC estimates.</w:t>
      </w:r>
      <w:r w:rsidRPr="00F74E42">
        <w:rPr>
          <w:rStyle w:val="FootnoteReference"/>
        </w:rPr>
        <w:footnoteReference w:id="281"/>
      </w:r>
    </w:p>
    <w:p w:rsidR="006B0748" w:rsidRPr="00F74E42" w:rsidRDefault="006B0748" w:rsidP="006B0748">
      <w:pPr>
        <w:pStyle w:val="AERbodytext"/>
        <w:numPr>
          <w:ilvl w:val="0"/>
          <w:numId w:val="13"/>
        </w:numPr>
      </w:pPr>
      <w:r w:rsidRPr="00F74E42">
        <w:t xml:space="preserve">Consistent with its approach in previous decisions, the AER uses broker WACC estimates as a reasonableness check on the overall rate of return. </w:t>
      </w:r>
    </w:p>
    <w:p w:rsidR="006B0748" w:rsidRPr="00F74E42" w:rsidRDefault="006B0748" w:rsidP="006B0748">
      <w:pPr>
        <w:pStyle w:val="AERbodytext"/>
        <w:numPr>
          <w:ilvl w:val="0"/>
          <w:numId w:val="13"/>
        </w:numPr>
      </w:pPr>
      <w:r w:rsidRPr="00F74E42">
        <w:t>The limitations of the use of broker WACC estimates include:</w:t>
      </w:r>
    </w:p>
    <w:p w:rsidR="006B0748" w:rsidRPr="00822B76" w:rsidRDefault="006B0748" w:rsidP="006B0748">
      <w:pPr>
        <w:pStyle w:val="AERbulletlistfirststyle"/>
      </w:pPr>
      <w:proofErr w:type="gramStart"/>
      <w:r w:rsidRPr="00F74E42">
        <w:t>the</w:t>
      </w:r>
      <w:proofErr w:type="gramEnd"/>
      <w:r w:rsidRPr="00F74E42">
        <w:t xml:space="preserve"> broker reports generally do not state the full assumptions underlying their analysis, or provide thorough explanations of how they arrive at their forecasts and predictions. As such, caution should be exercised in the interpretation of these broker reports</w:t>
      </w:r>
      <w:r w:rsidRPr="00822B76">
        <w:rPr>
          <w:rStyle w:val="FootnoteReference"/>
        </w:rPr>
        <w:footnoteReference w:id="282"/>
      </w:r>
      <w:r w:rsidRPr="00822B76">
        <w:t xml:space="preserve"> </w:t>
      </w:r>
    </w:p>
    <w:p w:rsidR="006B0748" w:rsidRPr="00822B76" w:rsidRDefault="006B0748" w:rsidP="006B0748">
      <w:pPr>
        <w:pStyle w:val="AERbulletlistfirststyle"/>
      </w:pPr>
      <w:proofErr w:type="gramStart"/>
      <w:r w:rsidRPr="00F74E42">
        <w:t>the</w:t>
      </w:r>
      <w:proofErr w:type="gramEnd"/>
      <w:r w:rsidRPr="00F74E42">
        <w:t xml:space="preserve"> five listed companies considered undertake both regulated and unregulated activities, which are assessed by the brokers in aggregate. However, only the regulated activities are directly relevant to the risk in providing reference services. It is generally considered that the regulated activities of the firms—operation of monopoly energy transmission and distribution networks—tends to be less risky than the unregulated activities they undertake in competitive markets. As the regulated activities tend to be less risky, the return required on these activities could be expected to be less than the return required by these firms as a whole.</w:t>
      </w:r>
      <w:r w:rsidRPr="00822B76">
        <w:rPr>
          <w:rStyle w:val="FootnoteReference"/>
        </w:rPr>
        <w:footnoteReference w:id="283"/>
      </w:r>
      <w:r w:rsidRPr="00822B76">
        <w:t xml:space="preserve"> This means that the overall WACC estimate implied by broker reports may overstate the rate of return for the benchmark firm</w:t>
      </w:r>
    </w:p>
    <w:p w:rsidR="006B0748" w:rsidRPr="00822B76" w:rsidRDefault="006B0748" w:rsidP="006B0748">
      <w:pPr>
        <w:pStyle w:val="AERbulletlistfirststyle"/>
      </w:pPr>
      <w:proofErr w:type="gramStart"/>
      <w:r w:rsidRPr="00F74E42">
        <w:t>it</w:t>
      </w:r>
      <w:proofErr w:type="gramEnd"/>
      <w:r w:rsidRPr="00F74E42">
        <w:t xml:space="preserve"> is generally not clear what assumptions the brokers have relied upon when developing their WACC estimate. Further, variation in WACC estimates suggests that these assumptions are not consistent across the different brokers</w:t>
      </w:r>
    </w:p>
    <w:p w:rsidR="006B0748" w:rsidRPr="00822B76" w:rsidRDefault="006B0748" w:rsidP="006B0748">
      <w:pPr>
        <w:pStyle w:val="AERbulletlistfirststyle"/>
      </w:pPr>
      <w:proofErr w:type="gramStart"/>
      <w:r w:rsidRPr="00F74E42">
        <w:t>the</w:t>
      </w:r>
      <w:proofErr w:type="gramEnd"/>
      <w:r w:rsidRPr="00F74E42">
        <w:t xml:space="preserve"> broker reports do not always provide sufficient information for the AER to calculate a nominal vanilla WACC estimate. Only those brokers who report the WACC in nominal vanilla form or provide sufficient detail to enable conversion to this form were considered. These figures are not necessarily precise estimates of the broker’s nominal vanilla WACC, since the AER has relied on its interpretation of the information provided</w:t>
      </w:r>
    </w:p>
    <w:p w:rsidR="006B0748" w:rsidRPr="00FB7088" w:rsidRDefault="006B0748" w:rsidP="006B0748">
      <w:pPr>
        <w:pStyle w:val="AERbulletlistfirststyle"/>
      </w:pPr>
      <w:r w:rsidRPr="00FB7088">
        <w:t>Based on this analysis,</w:t>
      </w:r>
      <w:r>
        <w:t xml:space="preserve"> </w:t>
      </w:r>
      <w:r w:rsidR="009B2237">
        <w:fldChar w:fldCharType="begin"/>
      </w:r>
      <w:r>
        <w:instrText xml:space="preserve"> REF _Ref350870986 \h </w:instrText>
      </w:r>
      <w:r w:rsidR="009B2237">
        <w:fldChar w:fldCharType="separate"/>
      </w:r>
      <w:r>
        <w:t xml:space="preserve">Table </w:t>
      </w:r>
      <w:r>
        <w:rPr>
          <w:noProof/>
        </w:rPr>
        <w:t>B</w:t>
      </w:r>
      <w:r>
        <w:t>.</w:t>
      </w:r>
      <w:r>
        <w:rPr>
          <w:noProof/>
        </w:rPr>
        <w:t>9</w:t>
      </w:r>
      <w:r w:rsidR="009B2237">
        <w:fldChar w:fldCharType="end"/>
      </w:r>
      <w:r>
        <w:t xml:space="preserve"> </w:t>
      </w:r>
      <w:r w:rsidRPr="00FB7088">
        <w:t>sets out the range for the broker WACC estimates (converted to a nominal vanilla WACC) which is 7.</w:t>
      </w:r>
      <w:r>
        <w:t>38</w:t>
      </w:r>
      <w:r w:rsidRPr="00FB7088">
        <w:t>-10.02 per cent.</w:t>
      </w:r>
      <w:r w:rsidRPr="00FB7088">
        <w:rPr>
          <w:rStyle w:val="FootnoteReference"/>
        </w:rPr>
        <w:footnoteReference w:id="284"/>
      </w:r>
      <w:r w:rsidRPr="00FB7088">
        <w:t xml:space="preserve"> The nominal vanilla rate of return determined by the AER for </w:t>
      </w:r>
      <w:r>
        <w:t>Multinet</w:t>
      </w:r>
      <w:r w:rsidRPr="00FB7088">
        <w:t xml:space="preserve"> in this </w:t>
      </w:r>
      <w:r>
        <w:t>final</w:t>
      </w:r>
      <w:r w:rsidRPr="00FB7088">
        <w:t xml:space="preserve"> decision is 7.</w:t>
      </w:r>
      <w:r>
        <w:t>03</w:t>
      </w:r>
      <w:r w:rsidRPr="00FB7088">
        <w:t xml:space="preserve"> per cent. This is approximately </w:t>
      </w:r>
      <w:r>
        <w:t>35</w:t>
      </w:r>
      <w:r w:rsidRPr="00FB7088">
        <w:t xml:space="preserve"> basis points below the range of the broker WACC estimates.</w:t>
      </w:r>
    </w:p>
    <w:p w:rsidR="006B0748" w:rsidRDefault="006B0748" w:rsidP="006B0748">
      <w:pPr>
        <w:pStyle w:val="AERbodytext"/>
        <w:numPr>
          <w:ilvl w:val="0"/>
          <w:numId w:val="13"/>
        </w:numPr>
      </w:pPr>
      <w:r>
        <w:t xml:space="preserve">The lower bound of the broker WACC estimates have decreased by 38 basis points since the draft decision. This is due to lower WACCs in more recent broker reports, in part reflecting lower risk free rate assumptions. </w:t>
      </w:r>
      <w:r w:rsidRPr="00F02291">
        <w:t xml:space="preserve">The upper bound was calculated from a report dated </w:t>
      </w:r>
      <w:r>
        <w:t xml:space="preserve">24 </w:t>
      </w:r>
      <w:r w:rsidRPr="00F02291">
        <w:t>October 2012</w:t>
      </w:r>
      <w:r>
        <w:t xml:space="preserve"> and excluding this report the upper bound would </w:t>
      </w:r>
      <w:r w:rsidRPr="00F02291">
        <w:t xml:space="preserve">reduce </w:t>
      </w:r>
      <w:r>
        <w:t xml:space="preserve">by 50 basis points </w:t>
      </w:r>
      <w:r w:rsidRPr="00F02291">
        <w:t>to 9.52%.</w:t>
      </w:r>
      <w:r>
        <w:t xml:space="preserve"> Excluding the next highest broker report reduces the upper bound further to 9.30%. This is also the upper bound when referencing broker reports from November 2012 to February 2013.</w:t>
      </w:r>
    </w:p>
    <w:p w:rsidR="006B0748" w:rsidRPr="00F74E42" w:rsidRDefault="006B0748" w:rsidP="006B0748">
      <w:pPr>
        <w:pStyle w:val="AERbodytext"/>
        <w:numPr>
          <w:ilvl w:val="0"/>
          <w:numId w:val="13"/>
        </w:numPr>
      </w:pPr>
      <w:r w:rsidRPr="00F74E42">
        <w:t xml:space="preserve">The AER considers that broker WACC estimates do not demonstrate that the overall rate of return, which is based on analysis of individual parameters, is not commensurate with prevailing conditions in the market for funds and the risk involved in providing reference services. For the reasons outlined in the specific parameter sections above, the AER is satisfied this is the case. The broker WACC technique is subject to known limitations and inherent imprecision. Further, the review of broker WACCs is the only aspect of the overall reasonableness check that has indicated a potential concern. </w:t>
      </w:r>
      <w:bookmarkStart w:id="68" w:name="_Ref322363367"/>
    </w:p>
    <w:p w:rsidR="006B0748" w:rsidRDefault="006B0748" w:rsidP="006B0748">
      <w:pPr>
        <w:pStyle w:val="Caption"/>
      </w:pPr>
      <w:bookmarkStart w:id="69" w:name="_Ref350870986"/>
      <w:bookmarkStart w:id="70" w:name="_Ref331151191"/>
      <w:r>
        <w:t xml:space="preserve">Table </w:t>
      </w:r>
      <w:fldSimple w:instr=" STYLEREF 7 \s ">
        <w:r>
          <w:rPr>
            <w:noProof/>
          </w:rPr>
          <w:t>B</w:t>
        </w:r>
      </w:fldSimple>
      <w:r>
        <w:t>.</w:t>
      </w:r>
      <w:fldSimple w:instr=" SEQ Table \* ARABIC \s 7 ">
        <w:r>
          <w:rPr>
            <w:noProof/>
          </w:rPr>
          <w:t>9</w:t>
        </w:r>
      </w:fldSimple>
      <w:bookmarkEnd w:id="69"/>
      <w:r>
        <w:tab/>
      </w:r>
      <w:r w:rsidRPr="00F74E42">
        <w:t>Broker WACC estimates (per cent</w:t>
      </w:r>
      <w:proofErr w:type="gramStart"/>
      <w:r w:rsidRPr="00F74E42">
        <w:t>)</w:t>
      </w:r>
      <w:bookmarkEnd w:id="68"/>
      <w:r w:rsidRPr="00FB7088">
        <w:rPr>
          <w:rStyle w:val="AERsuperscript"/>
        </w:rPr>
        <w:t>a,b</w:t>
      </w:r>
      <w:bookmarkEnd w:id="70"/>
      <w:proofErr w:type="gramEnd"/>
      <w:r w:rsidRPr="00FB7088">
        <w:t xml:space="preserve"> </w:t>
      </w:r>
    </w:p>
    <w:tbl>
      <w:tblPr>
        <w:tblStyle w:val="AERtable-numbers"/>
        <w:tblW w:w="4928" w:type="pct"/>
        <w:tblLook w:val="01E0"/>
      </w:tblPr>
      <w:tblGrid>
        <w:gridCol w:w="5404"/>
        <w:gridCol w:w="1920"/>
        <w:gridCol w:w="1785"/>
      </w:tblGrid>
      <w:tr w:rsidR="006B0748" w:rsidRPr="001941EF" w:rsidTr="006B0748">
        <w:trPr>
          <w:cnfStyle w:val="100000000000"/>
        </w:trPr>
        <w:tc>
          <w:tcPr>
            <w:cnfStyle w:val="001000000000"/>
            <w:tcW w:w="2966" w:type="pct"/>
            <w:noWrap/>
          </w:tcPr>
          <w:p w:rsidR="006B0748" w:rsidRPr="006B0748" w:rsidRDefault="006B0748" w:rsidP="006B0748">
            <w:r w:rsidRPr="00F74E42">
              <w:t>Measure</w:t>
            </w:r>
          </w:p>
        </w:tc>
        <w:tc>
          <w:tcPr>
            <w:tcW w:w="1054" w:type="pct"/>
            <w:noWrap/>
          </w:tcPr>
          <w:p w:rsidR="006B0748" w:rsidRPr="006B0748" w:rsidRDefault="006B0748" w:rsidP="006B0748">
            <w:pPr>
              <w:cnfStyle w:val="100000000000"/>
            </w:pPr>
            <w:r w:rsidRPr="00F74E42">
              <w:t>Minimum</w:t>
            </w:r>
          </w:p>
        </w:tc>
        <w:tc>
          <w:tcPr>
            <w:tcW w:w="980" w:type="pct"/>
            <w:noWrap/>
          </w:tcPr>
          <w:p w:rsidR="006B0748" w:rsidRPr="006B0748" w:rsidRDefault="006B0748" w:rsidP="006B0748">
            <w:pPr>
              <w:cnfStyle w:val="100000000000"/>
            </w:pPr>
            <w:r w:rsidRPr="00F74E42">
              <w:t>Maximum</w:t>
            </w:r>
          </w:p>
        </w:tc>
      </w:tr>
      <w:tr w:rsidR="006B0748" w:rsidRPr="001941EF" w:rsidTr="006B0748">
        <w:tc>
          <w:tcPr>
            <w:cnfStyle w:val="001000000000"/>
            <w:tcW w:w="2966" w:type="pct"/>
            <w:noWrap/>
          </w:tcPr>
          <w:p w:rsidR="006B0748" w:rsidRPr="006B0748" w:rsidRDefault="006B0748" w:rsidP="006B0748">
            <w:r w:rsidRPr="00F74E42">
              <w:t>Broker headline post-tax WACC</w:t>
            </w:r>
          </w:p>
        </w:tc>
        <w:tc>
          <w:tcPr>
            <w:tcW w:w="1054" w:type="pct"/>
            <w:noWrap/>
          </w:tcPr>
          <w:p w:rsidR="006B0748" w:rsidRPr="006B0748" w:rsidRDefault="006B0748" w:rsidP="006B0748">
            <w:pPr>
              <w:cnfStyle w:val="000000000000"/>
              <w:rPr>
                <w:highlight w:val="yellow"/>
              </w:rPr>
            </w:pPr>
            <w:r w:rsidRPr="00F74E42">
              <w:t>6.</w:t>
            </w:r>
            <w:r w:rsidRPr="006B0748">
              <w:t>20</w:t>
            </w:r>
          </w:p>
        </w:tc>
        <w:tc>
          <w:tcPr>
            <w:tcW w:w="980" w:type="pct"/>
            <w:noWrap/>
          </w:tcPr>
          <w:p w:rsidR="006B0748" w:rsidRPr="006B0748" w:rsidRDefault="006B0748" w:rsidP="006B0748">
            <w:pPr>
              <w:cnfStyle w:val="000000000000"/>
              <w:rPr>
                <w:highlight w:val="yellow"/>
              </w:rPr>
            </w:pPr>
            <w:r w:rsidRPr="00F74E42">
              <w:t>8.60</w:t>
            </w:r>
          </w:p>
        </w:tc>
      </w:tr>
      <w:tr w:rsidR="006B0748" w:rsidRPr="001941EF" w:rsidTr="006B0748">
        <w:trPr>
          <w:cnfStyle w:val="000000010000"/>
        </w:trPr>
        <w:tc>
          <w:tcPr>
            <w:cnfStyle w:val="001000000000"/>
            <w:tcW w:w="2966" w:type="pct"/>
            <w:noWrap/>
          </w:tcPr>
          <w:p w:rsidR="006B0748" w:rsidRPr="006B0748" w:rsidRDefault="006B0748" w:rsidP="006B0748">
            <w:r w:rsidRPr="00F74E42">
              <w:t>Calculated nominal vanilla WACC</w:t>
            </w:r>
          </w:p>
        </w:tc>
        <w:tc>
          <w:tcPr>
            <w:tcW w:w="1054" w:type="pct"/>
            <w:noWrap/>
          </w:tcPr>
          <w:p w:rsidR="006B0748" w:rsidRPr="006B0748" w:rsidRDefault="006B0748" w:rsidP="006B0748">
            <w:pPr>
              <w:cnfStyle w:val="000000010000"/>
              <w:rPr>
                <w:highlight w:val="yellow"/>
              </w:rPr>
            </w:pPr>
            <w:r w:rsidRPr="00F74E42">
              <w:t>7.</w:t>
            </w:r>
            <w:r w:rsidRPr="006B0748">
              <w:t>38</w:t>
            </w:r>
          </w:p>
        </w:tc>
        <w:tc>
          <w:tcPr>
            <w:tcW w:w="980" w:type="pct"/>
            <w:noWrap/>
          </w:tcPr>
          <w:p w:rsidR="006B0748" w:rsidRPr="006B0748" w:rsidRDefault="006B0748" w:rsidP="006B0748">
            <w:pPr>
              <w:cnfStyle w:val="000000010000"/>
              <w:rPr>
                <w:highlight w:val="yellow"/>
              </w:rPr>
            </w:pPr>
            <w:r w:rsidRPr="00F74E42">
              <w:t>10.02</w:t>
            </w:r>
          </w:p>
        </w:tc>
      </w:tr>
    </w:tbl>
    <w:p w:rsidR="006B0748" w:rsidRPr="00F74E42" w:rsidRDefault="006B0748" w:rsidP="006B0748">
      <w:pPr>
        <w:pStyle w:val="AERtablesource"/>
      </w:pPr>
      <w:r w:rsidRPr="00F74E42">
        <w:t xml:space="preserve">Source: </w:t>
      </w:r>
      <w:r w:rsidRPr="00F74E42">
        <w:tab/>
        <w:t>AER calculations.</w:t>
      </w:r>
    </w:p>
    <w:p w:rsidR="006B0748" w:rsidRPr="00F74E42" w:rsidRDefault="006B0748" w:rsidP="006B0748">
      <w:pPr>
        <w:pStyle w:val="AERtablesource"/>
      </w:pPr>
      <w:proofErr w:type="gramStart"/>
      <w:r w:rsidRPr="00F74E42">
        <w:t>a</w:t>
      </w:r>
      <w:proofErr w:type="gramEnd"/>
      <w:r w:rsidRPr="00F74E42">
        <w:tab/>
        <w:t>Issuers of broker reports considered: Credit Suisse, Goldman Sachs, JP Morgan, Deutsche Bank.</w:t>
      </w:r>
    </w:p>
    <w:p w:rsidR="006B0748" w:rsidRPr="00F74E42" w:rsidRDefault="006B0748" w:rsidP="006B0748">
      <w:pPr>
        <w:pStyle w:val="AERtablesource"/>
      </w:pPr>
      <w:proofErr w:type="gramStart"/>
      <w:r w:rsidRPr="00F74E42">
        <w:t>b</w:t>
      </w:r>
      <w:proofErr w:type="gramEnd"/>
      <w:r w:rsidRPr="00F74E42">
        <w:tab/>
        <w:t xml:space="preserve">Regulated energy networks evaluated in broker reports: APA , DUET Group, Envestra Limited, Spark Infrastructure Group, SP AusNet. </w:t>
      </w:r>
    </w:p>
    <w:p w:rsidR="006B0748" w:rsidRPr="00B367FF" w:rsidRDefault="006B0748" w:rsidP="006B0748">
      <w:pPr>
        <w:pStyle w:val="HeadingBoldBlue"/>
        <w:numPr>
          <w:ilvl w:val="0"/>
          <w:numId w:val="13"/>
        </w:numPr>
      </w:pPr>
      <w:r w:rsidRPr="00B367FF">
        <w:t xml:space="preserve">Recent decisions by other regulators and the AER </w:t>
      </w:r>
    </w:p>
    <w:p w:rsidR="006B0748" w:rsidRPr="00F74E42" w:rsidRDefault="006B0748" w:rsidP="006B0748">
      <w:pPr>
        <w:pStyle w:val="AERbodytext"/>
        <w:numPr>
          <w:ilvl w:val="0"/>
          <w:numId w:val="13"/>
        </w:numPr>
      </w:pPr>
      <w:r w:rsidRPr="00F74E42">
        <w:t>The AER reviews a range of returns it approved for other gas and electricity service providers and also the rates of return in recent decisions by other Australian regulators. This provides a test of the reasonableness of the rate of return in this determination. Recent rate of return values set by the AER since the WACC review are lower than those previously provided. However, recent decisions by other regulators suggest that these values—and 7.</w:t>
      </w:r>
      <w:r>
        <w:t>03</w:t>
      </w:r>
      <w:r w:rsidRPr="00F74E42">
        <w:t xml:space="preserve"> per cent in this case—are reasonable. </w:t>
      </w:r>
    </w:p>
    <w:p w:rsidR="006B0748" w:rsidRPr="00F74E42" w:rsidRDefault="006B0748" w:rsidP="006B0748">
      <w:pPr>
        <w:pStyle w:val="AERbodytext"/>
        <w:numPr>
          <w:ilvl w:val="0"/>
          <w:numId w:val="13"/>
        </w:numPr>
      </w:pPr>
      <w:r w:rsidRPr="00F74E42">
        <w:t>The rate of return range applied by the AER in recent decisions for other gas and electricity service providers is 7.31 to 10.43 per cent.</w:t>
      </w:r>
      <w:r w:rsidRPr="00F74E42">
        <w:rPr>
          <w:rStyle w:val="FootnoteReference"/>
        </w:rPr>
        <w:footnoteReference w:id="285"/>
      </w:r>
      <w:r w:rsidRPr="00F74E42">
        <w:t xml:space="preserve"> This range covers gas and electricity decisions made by the AER since the WACC review was completed in 2009 and includes the Roma to Brisbane final decision. </w:t>
      </w:r>
    </w:p>
    <w:p w:rsidR="006B0748" w:rsidRPr="00F74E42" w:rsidRDefault="006B0748" w:rsidP="006B0748">
      <w:pPr>
        <w:pStyle w:val="AERbodytext"/>
        <w:numPr>
          <w:ilvl w:val="0"/>
          <w:numId w:val="13"/>
        </w:numPr>
      </w:pPr>
      <w:r w:rsidRPr="00F74E42">
        <w:t>The AER has also considered recent decisions by other regulators giving a rate of return range from 5.7</w:t>
      </w:r>
      <w:r>
        <w:t>8</w:t>
      </w:r>
      <w:r w:rsidRPr="00F74E42">
        <w:t xml:space="preserve"> to </w:t>
      </w:r>
      <w:r>
        <w:t>8.65</w:t>
      </w:r>
      <w:r w:rsidRPr="00F74E42">
        <w:t xml:space="preserve"> per cent (converted to nominal vanilla form).</w:t>
      </w:r>
      <w:r w:rsidRPr="00F74E42">
        <w:rPr>
          <w:rStyle w:val="FootnoteReference"/>
        </w:rPr>
        <w:footnoteReference w:id="286"/>
      </w:r>
      <w:r w:rsidRPr="00F74E42">
        <w:t xml:space="preserve"> The decisions reviewed are shown in</w:t>
      </w:r>
      <w:r>
        <w:t xml:space="preserve"> </w:t>
      </w:r>
      <w:r w:rsidR="009B2237">
        <w:fldChar w:fldCharType="begin"/>
      </w:r>
      <w:r>
        <w:instrText xml:space="preserve"> REF _Ref350871424 \h </w:instrText>
      </w:r>
      <w:r w:rsidR="009B2237">
        <w:fldChar w:fldCharType="separate"/>
      </w:r>
      <w:r>
        <w:t xml:space="preserve">Table </w:t>
      </w:r>
      <w:r>
        <w:rPr>
          <w:noProof/>
        </w:rPr>
        <w:t>B</w:t>
      </w:r>
      <w:r>
        <w:t>.</w:t>
      </w:r>
      <w:r>
        <w:rPr>
          <w:noProof/>
        </w:rPr>
        <w:t>10</w:t>
      </w:r>
      <w:r w:rsidR="009B2237">
        <w:fldChar w:fldCharType="end"/>
      </w:r>
      <w:r>
        <w:t xml:space="preserve"> </w:t>
      </w:r>
      <w:r w:rsidRPr="00F74E42">
        <w:t xml:space="preserve">and have been taken from those made in the last 12 months. The WACC of </w:t>
      </w:r>
      <w:r>
        <w:t>7.03</w:t>
      </w:r>
      <w:r w:rsidRPr="00F74E42">
        <w:t xml:space="preserve"> per cent applied for </w:t>
      </w:r>
      <w:r>
        <w:t>Multinet</w:t>
      </w:r>
      <w:r w:rsidRPr="00F74E42">
        <w:t xml:space="preserve"> falls within this range. This suggests that the rate of return for this determination is reasonable and in line with regulatory decisions that have been made in the past year. </w:t>
      </w:r>
    </w:p>
    <w:p w:rsidR="006B0748" w:rsidRDefault="006B0748" w:rsidP="006B0748">
      <w:pPr>
        <w:pStyle w:val="Caption"/>
      </w:pPr>
      <w:bookmarkStart w:id="71" w:name="_Ref350871424"/>
      <w:bookmarkStart w:id="72" w:name="_Ref322363457"/>
      <w:r>
        <w:t xml:space="preserve">Table </w:t>
      </w:r>
      <w:fldSimple w:instr=" STYLEREF 7 \s ">
        <w:r>
          <w:rPr>
            <w:noProof/>
          </w:rPr>
          <w:t>B</w:t>
        </w:r>
      </w:fldSimple>
      <w:r>
        <w:t>.</w:t>
      </w:r>
      <w:fldSimple w:instr=" SEQ Table \* ARABIC \s 7 ">
        <w:r>
          <w:rPr>
            <w:noProof/>
          </w:rPr>
          <w:t>10</w:t>
        </w:r>
      </w:fldSimple>
      <w:bookmarkEnd w:id="71"/>
      <w:r>
        <w:tab/>
      </w:r>
      <w:r w:rsidRPr="00F74E42">
        <w:t>Recent decisions by Australian regulators (per cent)</w:t>
      </w:r>
      <w:bookmarkEnd w:id="72"/>
    </w:p>
    <w:tbl>
      <w:tblPr>
        <w:tblStyle w:val="AERtable-text"/>
        <w:tblW w:w="5000" w:type="pct"/>
        <w:tblLook w:val="01E0"/>
      </w:tblPr>
      <w:tblGrid>
        <w:gridCol w:w="963"/>
        <w:gridCol w:w="5053"/>
        <w:gridCol w:w="919"/>
        <w:gridCol w:w="2307"/>
      </w:tblGrid>
      <w:tr w:rsidR="006B0748" w:rsidRPr="001941EF" w:rsidTr="006B0748">
        <w:trPr>
          <w:cnfStyle w:val="100000000000"/>
          <w:trHeight w:val="425"/>
        </w:trPr>
        <w:tc>
          <w:tcPr>
            <w:tcW w:w="521" w:type="pct"/>
            <w:noWrap/>
          </w:tcPr>
          <w:p w:rsidR="006B0748" w:rsidRPr="006B0748" w:rsidRDefault="006B0748" w:rsidP="006B0748">
            <w:r w:rsidRPr="00CB61FF">
              <w:t>Regulator</w:t>
            </w:r>
          </w:p>
        </w:tc>
        <w:tc>
          <w:tcPr>
            <w:tcW w:w="2734" w:type="pct"/>
            <w:noWrap/>
          </w:tcPr>
          <w:p w:rsidR="006B0748" w:rsidRPr="006B0748" w:rsidRDefault="006B0748" w:rsidP="006B0748">
            <w:r w:rsidRPr="00CB61FF">
              <w:t>Decision</w:t>
            </w:r>
          </w:p>
        </w:tc>
        <w:tc>
          <w:tcPr>
            <w:tcW w:w="497" w:type="pct"/>
            <w:noWrap/>
          </w:tcPr>
          <w:p w:rsidR="006B0748" w:rsidRPr="006B0748" w:rsidRDefault="006B0748" w:rsidP="006B0748">
            <w:r w:rsidRPr="00CB61FF">
              <w:t>Date</w:t>
            </w:r>
          </w:p>
        </w:tc>
        <w:tc>
          <w:tcPr>
            <w:tcW w:w="1248" w:type="pct"/>
            <w:noWrap/>
          </w:tcPr>
          <w:p w:rsidR="006B0748" w:rsidRPr="006B0748" w:rsidRDefault="006B0748" w:rsidP="006B0748">
            <w:r w:rsidRPr="00CB61FF">
              <w:t>Nominal vanilla WACC</w:t>
            </w:r>
          </w:p>
        </w:tc>
      </w:tr>
      <w:tr w:rsidR="006B0748" w:rsidRPr="001941EF" w:rsidTr="006B0748">
        <w:trPr>
          <w:trHeight w:val="291"/>
        </w:trPr>
        <w:tc>
          <w:tcPr>
            <w:tcW w:w="521" w:type="pct"/>
            <w:noWrap/>
          </w:tcPr>
          <w:p w:rsidR="006B0748" w:rsidRPr="006B0748" w:rsidRDefault="006B0748" w:rsidP="006B0748">
            <w:r w:rsidRPr="00CB61FF">
              <w:t>ESCOSA</w:t>
            </w:r>
          </w:p>
        </w:tc>
        <w:tc>
          <w:tcPr>
            <w:tcW w:w="2734" w:type="pct"/>
            <w:noWrap/>
          </w:tcPr>
          <w:p w:rsidR="006B0748" w:rsidRPr="006B0748" w:rsidRDefault="006B0748" w:rsidP="006B0748">
            <w:r w:rsidRPr="00CB61FF">
              <w:t xml:space="preserve">Advice on a regulatory rate of return for SA Water – Final </w:t>
            </w:r>
            <w:r w:rsidRPr="006B0748">
              <w:t>decision</w:t>
            </w:r>
          </w:p>
        </w:tc>
        <w:tc>
          <w:tcPr>
            <w:tcW w:w="497" w:type="pct"/>
            <w:noWrap/>
          </w:tcPr>
          <w:p w:rsidR="006B0748" w:rsidRPr="006B0748" w:rsidRDefault="006B0748" w:rsidP="006B0748">
            <w:r w:rsidRPr="00CB61FF">
              <w:t>Feb 2012</w:t>
            </w:r>
          </w:p>
        </w:tc>
        <w:tc>
          <w:tcPr>
            <w:tcW w:w="1248" w:type="pct"/>
            <w:noWrap/>
          </w:tcPr>
          <w:p w:rsidR="006B0748" w:rsidRPr="006B0748" w:rsidRDefault="006B0748" w:rsidP="006B0748">
            <w:r w:rsidRPr="00CB61FF">
              <w:t>8.07</w:t>
            </w:r>
          </w:p>
        </w:tc>
      </w:tr>
      <w:tr w:rsidR="006B0748" w:rsidRPr="001941EF" w:rsidTr="006B0748">
        <w:trPr>
          <w:cnfStyle w:val="000000010000"/>
          <w:trHeight w:val="291"/>
        </w:trPr>
        <w:tc>
          <w:tcPr>
            <w:tcW w:w="521" w:type="pct"/>
            <w:noWrap/>
          </w:tcPr>
          <w:p w:rsidR="006B0748" w:rsidRPr="006B0748" w:rsidRDefault="006B0748" w:rsidP="006B0748">
            <w:r w:rsidRPr="00CB61FF">
              <w:t>QCA</w:t>
            </w:r>
          </w:p>
        </w:tc>
        <w:tc>
          <w:tcPr>
            <w:tcW w:w="2734" w:type="pct"/>
            <w:noWrap/>
          </w:tcPr>
          <w:p w:rsidR="006B0748" w:rsidRPr="006B0748" w:rsidRDefault="006B0748" w:rsidP="006B0748">
            <w:r w:rsidRPr="00CB61FF">
              <w:t>SunWater</w:t>
            </w:r>
            <w:r w:rsidRPr="006B0748">
              <w:t xml:space="preserve"> – Final decision</w:t>
            </w:r>
          </w:p>
        </w:tc>
        <w:tc>
          <w:tcPr>
            <w:tcW w:w="497" w:type="pct"/>
            <w:noWrap/>
          </w:tcPr>
          <w:p w:rsidR="006B0748" w:rsidRPr="006B0748" w:rsidRDefault="006B0748" w:rsidP="006B0748">
            <w:r w:rsidRPr="00CB61FF">
              <w:t>May 2012</w:t>
            </w:r>
          </w:p>
        </w:tc>
        <w:tc>
          <w:tcPr>
            <w:tcW w:w="1248" w:type="pct"/>
            <w:noWrap/>
          </w:tcPr>
          <w:p w:rsidR="006B0748" w:rsidRPr="006B0748" w:rsidRDefault="006B0748" w:rsidP="006B0748">
            <w:r w:rsidRPr="00CB61FF">
              <w:t>7.49</w:t>
            </w:r>
          </w:p>
        </w:tc>
      </w:tr>
      <w:tr w:rsidR="006B0748" w:rsidRPr="001941EF" w:rsidTr="006B0748">
        <w:trPr>
          <w:trHeight w:val="291"/>
        </w:trPr>
        <w:tc>
          <w:tcPr>
            <w:tcW w:w="521" w:type="pct"/>
            <w:noWrap/>
          </w:tcPr>
          <w:p w:rsidR="006B0748" w:rsidRPr="006B0748" w:rsidRDefault="006B0748" w:rsidP="006B0748">
            <w:r w:rsidRPr="00CB61FF">
              <w:t>ESCV</w:t>
            </w:r>
          </w:p>
        </w:tc>
        <w:tc>
          <w:tcPr>
            <w:tcW w:w="2734" w:type="pct"/>
            <w:noWrap/>
          </w:tcPr>
          <w:p w:rsidR="006B0748" w:rsidRPr="006B0748" w:rsidRDefault="006B0748" w:rsidP="006B0748">
            <w:r w:rsidRPr="00CB61FF">
              <w:t xml:space="preserve">V/Line Access Arrangement – Final Decision </w:t>
            </w:r>
          </w:p>
        </w:tc>
        <w:tc>
          <w:tcPr>
            <w:tcW w:w="497" w:type="pct"/>
            <w:noWrap/>
          </w:tcPr>
          <w:p w:rsidR="006B0748" w:rsidRPr="006B0748" w:rsidRDefault="006B0748" w:rsidP="006B0748">
            <w:r w:rsidRPr="00CB61FF">
              <w:t>Jun 2012</w:t>
            </w:r>
          </w:p>
        </w:tc>
        <w:tc>
          <w:tcPr>
            <w:tcW w:w="1248" w:type="pct"/>
            <w:noWrap/>
          </w:tcPr>
          <w:p w:rsidR="006B0748" w:rsidRPr="006B0748" w:rsidRDefault="006B0748" w:rsidP="006B0748">
            <w:r w:rsidRPr="00CB61FF">
              <w:t>8.65</w:t>
            </w:r>
          </w:p>
        </w:tc>
      </w:tr>
      <w:tr w:rsidR="006B0748" w:rsidRPr="001941EF" w:rsidTr="006B0748">
        <w:trPr>
          <w:cnfStyle w:val="000000010000"/>
          <w:trHeight w:val="291"/>
        </w:trPr>
        <w:tc>
          <w:tcPr>
            <w:tcW w:w="521" w:type="pct"/>
            <w:noWrap/>
          </w:tcPr>
          <w:p w:rsidR="006B0748" w:rsidRPr="006B0748" w:rsidRDefault="006B0748" w:rsidP="006B0748">
            <w:r w:rsidRPr="00CB61FF">
              <w:t>IPART</w:t>
            </w:r>
          </w:p>
        </w:tc>
        <w:tc>
          <w:tcPr>
            <w:tcW w:w="2734" w:type="pct"/>
            <w:noWrap/>
          </w:tcPr>
          <w:p w:rsidR="006B0748" w:rsidRPr="006B0748" w:rsidRDefault="006B0748" w:rsidP="006B0748">
            <w:r w:rsidRPr="00CB61FF">
              <w:t>Sydney Catchment Authority – Final decision</w:t>
            </w:r>
          </w:p>
        </w:tc>
        <w:tc>
          <w:tcPr>
            <w:tcW w:w="497" w:type="pct"/>
            <w:noWrap/>
          </w:tcPr>
          <w:p w:rsidR="006B0748" w:rsidRPr="006B0748" w:rsidRDefault="006B0748" w:rsidP="006B0748">
            <w:r w:rsidRPr="00CB61FF">
              <w:t>Jun 2012</w:t>
            </w:r>
          </w:p>
        </w:tc>
        <w:tc>
          <w:tcPr>
            <w:tcW w:w="1248" w:type="pct"/>
            <w:noWrap/>
          </w:tcPr>
          <w:p w:rsidR="006B0748" w:rsidRPr="006B0748" w:rsidRDefault="006B0748" w:rsidP="006B0748">
            <w:r w:rsidRPr="00CB61FF">
              <w:t>8.16–8.38</w:t>
            </w:r>
            <w:r w:rsidRPr="006B0748">
              <w:rPr>
                <w:rStyle w:val="AERsuperscript"/>
              </w:rPr>
              <w:t>a</w:t>
            </w:r>
          </w:p>
        </w:tc>
      </w:tr>
      <w:tr w:rsidR="006B0748" w:rsidRPr="001941EF" w:rsidTr="006B0748">
        <w:trPr>
          <w:trHeight w:val="291"/>
        </w:trPr>
        <w:tc>
          <w:tcPr>
            <w:tcW w:w="521" w:type="pct"/>
            <w:noWrap/>
          </w:tcPr>
          <w:p w:rsidR="006B0748" w:rsidRPr="006B0748" w:rsidRDefault="006B0748" w:rsidP="006B0748">
            <w:r w:rsidRPr="00CB61FF">
              <w:t>IPART</w:t>
            </w:r>
          </w:p>
        </w:tc>
        <w:tc>
          <w:tcPr>
            <w:tcW w:w="2734" w:type="pct"/>
            <w:noWrap/>
          </w:tcPr>
          <w:p w:rsidR="006B0748" w:rsidRPr="006B0748" w:rsidRDefault="006B0748" w:rsidP="006B0748">
            <w:r w:rsidRPr="00CB61FF">
              <w:t xml:space="preserve">Sydney Water Corporation – </w:t>
            </w:r>
            <w:r w:rsidRPr="006B0748">
              <w:t>Final decision</w:t>
            </w:r>
          </w:p>
        </w:tc>
        <w:tc>
          <w:tcPr>
            <w:tcW w:w="497" w:type="pct"/>
            <w:noWrap/>
          </w:tcPr>
          <w:p w:rsidR="006B0748" w:rsidRPr="006B0748" w:rsidRDefault="006B0748" w:rsidP="006B0748">
            <w:r w:rsidRPr="00CB61FF">
              <w:t xml:space="preserve">Jun </w:t>
            </w:r>
            <w:r w:rsidRPr="006B0748">
              <w:t>2012</w:t>
            </w:r>
          </w:p>
        </w:tc>
        <w:tc>
          <w:tcPr>
            <w:tcW w:w="1248" w:type="pct"/>
            <w:noWrap/>
          </w:tcPr>
          <w:p w:rsidR="006B0748" w:rsidRPr="006B0748" w:rsidRDefault="006B0748" w:rsidP="006B0748">
            <w:r w:rsidRPr="00CB61FF">
              <w:t>8.16–8.38</w:t>
            </w:r>
            <w:r w:rsidRPr="006B0748">
              <w:rPr>
                <w:rStyle w:val="AERsuperscript"/>
              </w:rPr>
              <w:t>a</w:t>
            </w:r>
          </w:p>
        </w:tc>
      </w:tr>
      <w:tr w:rsidR="006B0748" w:rsidRPr="001941EF" w:rsidTr="006B0748">
        <w:trPr>
          <w:cnfStyle w:val="000000010000"/>
          <w:trHeight w:val="291"/>
        </w:trPr>
        <w:tc>
          <w:tcPr>
            <w:tcW w:w="521" w:type="pct"/>
            <w:noWrap/>
          </w:tcPr>
          <w:p w:rsidR="006B0748" w:rsidRPr="006B0748" w:rsidRDefault="006B0748" w:rsidP="006B0748">
            <w:r w:rsidRPr="00CB61FF">
              <w:t>ERA</w:t>
            </w:r>
          </w:p>
        </w:tc>
        <w:tc>
          <w:tcPr>
            <w:tcW w:w="2734" w:type="pct"/>
            <w:noWrap/>
          </w:tcPr>
          <w:p w:rsidR="006B0748" w:rsidRPr="006B0748" w:rsidRDefault="006B0748" w:rsidP="006B0748">
            <w:r w:rsidRPr="00CB61FF">
              <w:t xml:space="preserve">Western Power – Final </w:t>
            </w:r>
            <w:r w:rsidRPr="006B0748">
              <w:t>decision</w:t>
            </w:r>
          </w:p>
        </w:tc>
        <w:tc>
          <w:tcPr>
            <w:tcW w:w="497" w:type="pct"/>
            <w:noWrap/>
          </w:tcPr>
          <w:p w:rsidR="006B0748" w:rsidRPr="006B0748" w:rsidRDefault="006B0748" w:rsidP="006B0748">
            <w:r w:rsidRPr="00CB61FF">
              <w:t>Sep 2012</w:t>
            </w:r>
          </w:p>
        </w:tc>
        <w:tc>
          <w:tcPr>
            <w:tcW w:w="1248" w:type="pct"/>
            <w:noWrap/>
          </w:tcPr>
          <w:p w:rsidR="006B0748" w:rsidRPr="006B0748" w:rsidRDefault="006B0748" w:rsidP="006B0748">
            <w:r w:rsidRPr="00CB61FF">
              <w:t>5.7</w:t>
            </w:r>
            <w:r w:rsidRPr="006B0748">
              <w:t>8</w:t>
            </w:r>
          </w:p>
        </w:tc>
      </w:tr>
      <w:tr w:rsidR="006B0748" w:rsidRPr="001941EF" w:rsidTr="006B0748">
        <w:trPr>
          <w:trHeight w:val="291"/>
        </w:trPr>
        <w:tc>
          <w:tcPr>
            <w:tcW w:w="521" w:type="pct"/>
            <w:noWrap/>
          </w:tcPr>
          <w:p w:rsidR="006B0748" w:rsidRPr="006B0748" w:rsidRDefault="006B0748" w:rsidP="006B0748">
            <w:r w:rsidRPr="00CB61FF">
              <w:t>QCA</w:t>
            </w:r>
          </w:p>
        </w:tc>
        <w:tc>
          <w:tcPr>
            <w:tcW w:w="2734" w:type="pct"/>
            <w:noWrap/>
          </w:tcPr>
          <w:p w:rsidR="006B0748" w:rsidRPr="006B0748" w:rsidRDefault="006B0748" w:rsidP="006B0748">
            <w:r w:rsidRPr="00CB61FF">
              <w:t>Seqwater - Draft decision</w:t>
            </w:r>
          </w:p>
        </w:tc>
        <w:tc>
          <w:tcPr>
            <w:tcW w:w="497" w:type="pct"/>
            <w:noWrap/>
          </w:tcPr>
          <w:p w:rsidR="006B0748" w:rsidRPr="006B0748" w:rsidRDefault="006B0748" w:rsidP="006B0748">
            <w:r w:rsidRPr="00CB61FF">
              <w:t>Dec 2012</w:t>
            </w:r>
          </w:p>
        </w:tc>
        <w:tc>
          <w:tcPr>
            <w:tcW w:w="1248" w:type="pct"/>
            <w:noWrap/>
          </w:tcPr>
          <w:p w:rsidR="006B0748" w:rsidRPr="006B0748" w:rsidRDefault="006B0748" w:rsidP="006B0748">
            <w:r w:rsidRPr="00CB61FF">
              <w:t>5.86</w:t>
            </w:r>
          </w:p>
        </w:tc>
      </w:tr>
    </w:tbl>
    <w:p w:rsidR="006B0748" w:rsidRPr="00F74E42" w:rsidRDefault="006B0748" w:rsidP="006B0748">
      <w:pPr>
        <w:pStyle w:val="AERtablesource"/>
      </w:pPr>
      <w:r w:rsidRPr="00F74E42">
        <w:t>Notes:</w:t>
      </w:r>
      <w:r w:rsidRPr="00F74E42">
        <w:tab/>
        <w:t xml:space="preserve">For comparative purposes, all WACCs have been converted to the nominal vanilla WACC formulation consistent with the AER’s reported figure for </w:t>
      </w:r>
      <w:r>
        <w:t>Multinet</w:t>
      </w:r>
      <w:r w:rsidRPr="00F74E42">
        <w:t xml:space="preserve"> (which excludes debt raising costs).</w:t>
      </w:r>
    </w:p>
    <w:p w:rsidR="006B0748" w:rsidRPr="00F74E42" w:rsidRDefault="006B0748" w:rsidP="006B0748">
      <w:pPr>
        <w:pStyle w:val="AERtablesource"/>
      </w:pPr>
      <w:r w:rsidRPr="00F74E42">
        <w:t>(a)</w:t>
      </w:r>
      <w:r w:rsidRPr="00F74E42">
        <w:tab/>
        <w:t>Ranges are presented for recent decisions by the IPART where the point estimate (real post-tax or real pre-tax) was not sufficiently disaggregated to allow precise conversion to the correct formulation (nominal vanilla WACC).</w:t>
      </w:r>
    </w:p>
    <w:p w:rsidR="006B0748" w:rsidRDefault="006B0748" w:rsidP="006B0748">
      <w:pPr>
        <w:pStyle w:val="AERbodytext"/>
        <w:numPr>
          <w:ilvl w:val="0"/>
          <w:numId w:val="13"/>
        </w:numPr>
      </w:pPr>
      <w:r>
        <w:t>The AER does not agree with SFG's position that there is circularity in considering the AER's recent decisions against its current decision.</w:t>
      </w:r>
      <w:r w:rsidRPr="00CB61FF">
        <w:rPr>
          <w:rStyle w:val="FootnoteReference"/>
        </w:rPr>
        <w:footnoteReference w:id="287"/>
      </w:r>
      <w:r w:rsidRPr="00CB61FF">
        <w:t xml:space="preserve"> Rather recent decisions are more likely to reflect </w:t>
      </w:r>
      <w:r>
        <w:t>similar market conditions.</w:t>
      </w:r>
    </w:p>
    <w:p w:rsidR="006B0748" w:rsidRPr="006C4F2D" w:rsidRDefault="006B0748" w:rsidP="006B0748">
      <w:pPr>
        <w:pStyle w:val="HeadingBoldBlue"/>
        <w:numPr>
          <w:ilvl w:val="0"/>
          <w:numId w:val="13"/>
        </w:numPr>
      </w:pPr>
      <w:r w:rsidRPr="00E3256F">
        <w:t>Cost</w:t>
      </w:r>
      <w:r w:rsidRPr="006C4F2D">
        <w:t xml:space="preserve"> of equity versus </w:t>
      </w:r>
      <w:r>
        <w:t xml:space="preserve">the </w:t>
      </w:r>
      <w:r w:rsidRPr="006C4F2D">
        <w:t>cost of debt</w:t>
      </w:r>
    </w:p>
    <w:p w:rsidR="006B0748" w:rsidRDefault="006B0748" w:rsidP="006B0748">
      <w:pPr>
        <w:pStyle w:val="AERbodytext"/>
        <w:numPr>
          <w:ilvl w:val="0"/>
          <w:numId w:val="13"/>
        </w:numPr>
      </w:pPr>
      <w:r>
        <w:t xml:space="preserve">Equity investors are residual claimants on a firm’s assets in the event of default. It is typically expected, therefore, that equity investments are riskier than debt investments, and that the cost of equity should exceed the cost of debt. This relationship has held in all of the AER’s WACC decisions to date, as shown in </w:t>
      </w:r>
      <w:r w:rsidR="009B2237">
        <w:fldChar w:fldCharType="begin"/>
      </w:r>
      <w:r>
        <w:instrText xml:space="preserve"> REF _Ref350878962 \h </w:instrText>
      </w:r>
      <w:r w:rsidR="009B2237">
        <w:fldChar w:fldCharType="separate"/>
      </w:r>
      <w:r>
        <w:t xml:space="preserve">Figure </w:t>
      </w:r>
      <w:r>
        <w:rPr>
          <w:noProof/>
        </w:rPr>
        <w:t>B</w:t>
      </w:r>
      <w:r>
        <w:t>.</w:t>
      </w:r>
      <w:r>
        <w:rPr>
          <w:noProof/>
        </w:rPr>
        <w:t>6</w:t>
      </w:r>
      <w:r w:rsidR="009B2237">
        <w:fldChar w:fldCharType="end"/>
      </w:r>
      <w:r>
        <w:t xml:space="preserve">. </w:t>
      </w:r>
    </w:p>
    <w:p w:rsidR="006B0748" w:rsidRDefault="006B0748" w:rsidP="006B0748">
      <w:pPr>
        <w:pStyle w:val="Caption"/>
      </w:pPr>
      <w:bookmarkStart w:id="73" w:name="_Ref350878962"/>
      <w:bookmarkStart w:id="74" w:name="_Ref350328897"/>
      <w:r>
        <w:t xml:space="preserve">Figure </w:t>
      </w:r>
      <w:fldSimple w:instr=" STYLEREF 7 \s ">
        <w:r>
          <w:rPr>
            <w:noProof/>
          </w:rPr>
          <w:t>B</w:t>
        </w:r>
      </w:fldSimple>
      <w:r>
        <w:t>.</w:t>
      </w:r>
      <w:fldSimple w:instr=" SEQ Figure \* ARABIC \s 7 ">
        <w:r>
          <w:rPr>
            <w:noProof/>
          </w:rPr>
          <w:t>6</w:t>
        </w:r>
      </w:fldSimple>
      <w:bookmarkEnd w:id="73"/>
      <w:r>
        <w:tab/>
        <w:t>Comparison between the AER’s estimates of the costs of debt and equity</w:t>
      </w:r>
      <w:bookmarkEnd w:id="74"/>
    </w:p>
    <w:p w:rsidR="006B0748" w:rsidRDefault="006B0748" w:rsidP="006B0748">
      <w:pPr>
        <w:pStyle w:val="AERbodytext"/>
        <w:numPr>
          <w:ilvl w:val="0"/>
          <w:numId w:val="13"/>
        </w:numPr>
      </w:pPr>
      <w:r w:rsidRPr="006B0748">
        <w:rPr>
          <w:noProof/>
          <w:lang w:eastAsia="en-AU"/>
        </w:rPr>
        <w:drawing>
          <wp:inline distT="0" distB="0" distL="0" distR="0">
            <wp:extent cx="5731510" cy="3576820"/>
            <wp:effectExtent l="19050" t="0" r="254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31510" cy="3576820"/>
                    </a:xfrm>
                    <a:prstGeom prst="rect">
                      <a:avLst/>
                    </a:prstGeom>
                    <a:noFill/>
                    <a:ln w="9525">
                      <a:noFill/>
                      <a:miter lim="800000"/>
                      <a:headEnd/>
                      <a:tailEnd/>
                    </a:ln>
                  </pic:spPr>
                </pic:pic>
              </a:graphicData>
            </a:graphic>
          </wp:inline>
        </w:drawing>
      </w:r>
    </w:p>
    <w:p w:rsidR="006B0748" w:rsidRDefault="006B0748" w:rsidP="006B0748">
      <w:pPr>
        <w:pStyle w:val="AERtablesource"/>
      </w:pPr>
      <w:r>
        <w:t>Source:</w:t>
      </w:r>
      <w:r>
        <w:tab/>
        <w:t>AER analysis.</w:t>
      </w:r>
    </w:p>
    <w:p w:rsidR="006B0748" w:rsidRDefault="006B0748" w:rsidP="006B0748">
      <w:pPr>
        <w:pStyle w:val="AERtablesource"/>
      </w:pPr>
      <w:r>
        <w:t>Note:</w:t>
      </w:r>
      <w:r>
        <w:tab/>
        <w:t xml:space="preserve">The cost of debt in the above chart is estimated using the paired bonds approach adopted in this decision. The specific bonds reflect those used in the AER’s recent final decision for Powerlink. This chart would not change materially if the paired bonds sample were updated. The start date for the chart reflects the availability of bond data required to implement this approach. Further details of the AER’s approach to estimating the cost of debt are in </w:t>
      </w:r>
      <w:r w:rsidRPr="00290853">
        <w:t>section</w:t>
      </w:r>
      <w:r>
        <w:t xml:space="preserve"> 5.</w:t>
      </w:r>
      <w:r w:rsidRPr="00290853">
        <w:t>3.5</w:t>
      </w:r>
      <w:r>
        <w:t xml:space="preserve"> of the attachment.</w:t>
      </w:r>
    </w:p>
    <w:p w:rsidR="006B0748" w:rsidRDefault="006B0748" w:rsidP="006B0748">
      <w:pPr>
        <w:pStyle w:val="AERbodytext"/>
        <w:numPr>
          <w:ilvl w:val="0"/>
          <w:numId w:val="13"/>
        </w:numPr>
      </w:pPr>
      <w:r>
        <w:t xml:space="preserve">The relationship between debt and equity </w:t>
      </w:r>
      <w:r w:rsidRPr="006C4F2D">
        <w:t xml:space="preserve">returns, however, </w:t>
      </w:r>
      <w:r>
        <w:t>is</w:t>
      </w:r>
      <w:r w:rsidRPr="006C4F2D">
        <w:t xml:space="preserve"> more complex than any simple heuristic implies. </w:t>
      </w:r>
      <w:r>
        <w:t>For example, as discussed previously in this appendix (</w:t>
      </w:r>
      <w:r w:rsidRPr="00290853">
        <w:t xml:space="preserve">section </w:t>
      </w:r>
      <w:r>
        <w:t>B.5.3</w:t>
      </w:r>
      <w:r w:rsidRPr="00FA78C5">
        <w:t>)</w:t>
      </w:r>
      <w:r w:rsidRPr="006C4F2D">
        <w:t xml:space="preserve">, </w:t>
      </w:r>
      <w:r>
        <w:t>the</w:t>
      </w:r>
      <w:r w:rsidRPr="006C4F2D">
        <w:t xml:space="preserve"> size and strength of </w:t>
      </w:r>
      <w:r>
        <w:t>any</w:t>
      </w:r>
      <w:r w:rsidRPr="006C4F2D">
        <w:t xml:space="preserve"> relationship between debt and equity premiums is </w:t>
      </w:r>
      <w:r>
        <w:t>inconclusive</w:t>
      </w:r>
      <w:r w:rsidRPr="006C4F2D">
        <w:t xml:space="preserve">. </w:t>
      </w:r>
      <w:r>
        <w:t>Notably, no academic consensus exists on the extent of any such relationship.</w:t>
      </w:r>
    </w:p>
    <w:p w:rsidR="006B0748" w:rsidRPr="006C4F2D" w:rsidRDefault="006B0748" w:rsidP="006B0748">
      <w:pPr>
        <w:pStyle w:val="AERbodytext"/>
        <w:numPr>
          <w:ilvl w:val="0"/>
          <w:numId w:val="13"/>
        </w:numPr>
      </w:pPr>
      <w:r w:rsidRPr="006C4F2D">
        <w:t xml:space="preserve">Comparisons between the </w:t>
      </w:r>
      <w:r>
        <w:t xml:space="preserve">relative </w:t>
      </w:r>
      <w:r w:rsidRPr="006C4F2D">
        <w:t>costs of debt and equity, therefore, should be considered with caution.</w:t>
      </w:r>
      <w:r>
        <w:t xml:space="preserve"> In particular</w:t>
      </w:r>
      <w:r w:rsidRPr="006C4F2D">
        <w:t xml:space="preserve">, to the extent that </w:t>
      </w:r>
      <w:r>
        <w:t>debt and equity returns are compared as an overall reasonableness check,</w:t>
      </w:r>
      <w:r w:rsidRPr="006C4F2D">
        <w:t xml:space="preserve"> it is important that comparisons between the cost</w:t>
      </w:r>
      <w:r>
        <w:t>s</w:t>
      </w:r>
      <w:r w:rsidRPr="006C4F2D">
        <w:t xml:space="preserve"> of debt and equity are made on a consistent basis. In the context of debt and equity returns, two primary factors are relevant:</w:t>
      </w:r>
    </w:p>
    <w:p w:rsidR="006B0748" w:rsidRPr="006C4F2D" w:rsidRDefault="006B0748" w:rsidP="006B0748">
      <w:pPr>
        <w:pStyle w:val="AERbulletlistfirststyle"/>
      </w:pPr>
      <w:r>
        <w:t>promised versus expected returns</w:t>
      </w:r>
    </w:p>
    <w:p w:rsidR="006B0748" w:rsidRDefault="006B0748" w:rsidP="006B0748">
      <w:pPr>
        <w:pStyle w:val="AERbulletlistfirststyle"/>
      </w:pPr>
      <w:proofErr w:type="gramStart"/>
      <w:r>
        <w:t>pre–tax</w:t>
      </w:r>
      <w:proofErr w:type="gramEnd"/>
      <w:r>
        <w:t xml:space="preserve"> versus post–tax returns.</w:t>
      </w:r>
    </w:p>
    <w:p w:rsidR="006B0748" w:rsidRDefault="006B0748" w:rsidP="006B0748">
      <w:pPr>
        <w:pStyle w:val="AERbodytext"/>
        <w:numPr>
          <w:ilvl w:val="0"/>
          <w:numId w:val="13"/>
        </w:numPr>
      </w:pPr>
      <w:r>
        <w:t>This section also discusses recent market evidence of observed debt issuances, and compares these to the allowed regulatory returns on debt and equity.</w:t>
      </w:r>
    </w:p>
    <w:p w:rsidR="006B0748" w:rsidRPr="006C4F2D" w:rsidRDefault="006B0748" w:rsidP="006B0748">
      <w:pPr>
        <w:pStyle w:val="HeadingBoldItalic"/>
        <w:numPr>
          <w:ilvl w:val="0"/>
          <w:numId w:val="13"/>
        </w:numPr>
      </w:pPr>
      <w:r w:rsidRPr="006C4F2D">
        <w:t>Promised versus expected returns</w:t>
      </w:r>
    </w:p>
    <w:p w:rsidR="006B0748" w:rsidRDefault="006B0748" w:rsidP="006B0748">
      <w:pPr>
        <w:pStyle w:val="AERbodytext"/>
        <w:numPr>
          <w:ilvl w:val="0"/>
          <w:numId w:val="13"/>
        </w:numPr>
      </w:pPr>
      <w:r>
        <w:t xml:space="preserve">The return on equity estimated by the AER </w:t>
      </w:r>
      <w:r w:rsidRPr="006C4F2D">
        <w:t>is an expected return, while the return on debt is a promised return. Th</w:t>
      </w:r>
      <w:r>
        <w:t>at is, debt returns are calculated based on promised cash flows (or coupons), while equity returns reflect market expectations of returns.</w:t>
      </w:r>
      <w:r w:rsidRPr="006C4F2D">
        <w:t xml:space="preserve"> </w:t>
      </w:r>
      <w:r>
        <w:t xml:space="preserve">SFG, </w:t>
      </w:r>
      <w:r w:rsidRPr="006C4F2D">
        <w:t>in a report commissioned by the Victorian gas networks, support this view.</w:t>
      </w:r>
      <w:r>
        <w:rPr>
          <w:rStyle w:val="FootnoteReference"/>
        </w:rPr>
        <w:footnoteReference w:id="288"/>
      </w:r>
    </w:p>
    <w:p w:rsidR="006B0748" w:rsidRPr="006C4F2D" w:rsidRDefault="006B0748" w:rsidP="006B0748">
      <w:pPr>
        <w:pStyle w:val="AERbodytext"/>
        <w:numPr>
          <w:ilvl w:val="0"/>
          <w:numId w:val="13"/>
        </w:numPr>
      </w:pPr>
      <w:r>
        <w:t>If conclusions are to be drawn from the relative spread between debt and equity premiums, however, any comparisons must be made on a consistent basis. McKenzie and Partington make this point in their recent report.</w:t>
      </w:r>
      <w:r>
        <w:rPr>
          <w:rStyle w:val="FootnoteReference"/>
        </w:rPr>
        <w:footnoteReference w:id="289"/>
      </w:r>
      <w:r>
        <w:t xml:space="preserve"> In particular, McKenzie and Partington demonstrated that when comparing promised and expected returns, it is not unreasonable for the promised return on debt to exceed the expected return on equity.</w:t>
      </w:r>
      <w:r>
        <w:rPr>
          <w:rStyle w:val="FootnoteReference"/>
        </w:rPr>
        <w:footnoteReference w:id="290"/>
      </w:r>
    </w:p>
    <w:p w:rsidR="006B0748" w:rsidRDefault="006B0748" w:rsidP="006B0748">
      <w:pPr>
        <w:pStyle w:val="AERbodytext"/>
        <w:numPr>
          <w:ilvl w:val="0"/>
          <w:numId w:val="13"/>
        </w:numPr>
      </w:pPr>
      <w:r>
        <w:t>The importance of comparing debt and equity premiums on a consistent basis is that any adjustments will widen the spread between the two premiums. That is, promised returns will always exceed expected returns. As such, if the return on debt was adjusted to reflect an expected return, the return would fall. The corresponding spread, therefore, would increase. This provides the AER with some comfort that the current spread between its allowed returns on debt and equity are reasonable.</w:t>
      </w:r>
    </w:p>
    <w:p w:rsidR="006B0748" w:rsidRPr="006C4F2D" w:rsidRDefault="006B0748" w:rsidP="006B0748">
      <w:pPr>
        <w:pStyle w:val="HeadingBoldItalic"/>
        <w:numPr>
          <w:ilvl w:val="0"/>
          <w:numId w:val="13"/>
        </w:numPr>
      </w:pPr>
      <w:r w:rsidRPr="006C4F2D">
        <w:t>Pre–tax returns versus post–tax returns</w:t>
      </w:r>
    </w:p>
    <w:p w:rsidR="006B0748" w:rsidRPr="006C4F2D" w:rsidRDefault="006B0748" w:rsidP="006B0748">
      <w:r>
        <w:t xml:space="preserve">The AER estimates the cost of debt </w:t>
      </w:r>
      <w:r w:rsidRPr="006C4F2D">
        <w:t xml:space="preserve">as a pre–company tax measure. Conversely, the </w:t>
      </w:r>
      <w:r>
        <w:t xml:space="preserve">AER estimates the </w:t>
      </w:r>
      <w:r w:rsidRPr="006C4F2D">
        <w:t>cost of equity on a post</w:t>
      </w:r>
      <w:r>
        <w:t xml:space="preserve">–company </w:t>
      </w:r>
      <w:r w:rsidRPr="006C4F2D">
        <w:t xml:space="preserve">tax </w:t>
      </w:r>
      <w:r w:rsidRPr="00E05751">
        <w:t>basis</w:t>
      </w:r>
      <w:r>
        <w:t xml:space="preserve">. </w:t>
      </w:r>
      <w:r w:rsidRPr="00E05751">
        <w:t>This reflects the relevant financing costs faced by the benchmark firm</w:t>
      </w:r>
      <w:r>
        <w:t>.</w:t>
      </w:r>
      <w:r>
        <w:rPr>
          <w:rStyle w:val="FootnoteReference"/>
        </w:rPr>
        <w:footnoteReference w:id="291"/>
      </w:r>
    </w:p>
    <w:p w:rsidR="006B0748" w:rsidRDefault="006B0748" w:rsidP="006B0748">
      <w:pPr>
        <w:pStyle w:val="AERbodytext"/>
        <w:numPr>
          <w:ilvl w:val="0"/>
          <w:numId w:val="13"/>
        </w:numPr>
      </w:pPr>
      <w:r>
        <w:t xml:space="preserve">Consistent with the comparison of promised and expected </w:t>
      </w:r>
      <w:proofErr w:type="gramStart"/>
      <w:r>
        <w:t>returns,</w:t>
      </w:r>
      <w:proofErr w:type="gramEnd"/>
      <w:r>
        <w:t xml:space="preserve"> the AER considers that any conclusions based on the spread between allowed regulatory debt and equity premiums should be made on a consistent tax basis.</w:t>
      </w:r>
      <w:r w:rsidRPr="006C4F2D">
        <w:t xml:space="preserve"> </w:t>
      </w:r>
      <w:r>
        <w:t>The aforementioned McKenzie and Partington report also supports the need to compare estimates on a consistent basis.</w:t>
      </w:r>
      <w:r>
        <w:rPr>
          <w:rStyle w:val="FootnoteReference"/>
        </w:rPr>
        <w:footnoteReference w:id="292"/>
      </w:r>
    </w:p>
    <w:p w:rsidR="006B0748" w:rsidRPr="006C4F2D" w:rsidRDefault="006B0748" w:rsidP="006B0748">
      <w:pPr>
        <w:pStyle w:val="AERbodytext"/>
        <w:numPr>
          <w:ilvl w:val="0"/>
          <w:numId w:val="13"/>
        </w:numPr>
      </w:pPr>
      <w:r>
        <w:t>Similar to</w:t>
      </w:r>
      <w:r w:rsidRPr="006C4F2D">
        <w:t xml:space="preserve"> the impact of adjusting promised and expected returns, any adjustments to compare pre–tax and post–tax returns will widen the spread between the debt and equity premiums. That is, pre–tax returns will always exceed corresponding post–tax returns.</w:t>
      </w:r>
      <w:r w:rsidRPr="00EC6998">
        <w:t xml:space="preserve"> </w:t>
      </w:r>
      <w:r>
        <w:t>This provides the AER with some comfort that the current spread between its allowed returns on debt and equity are reasonable.</w:t>
      </w:r>
    </w:p>
    <w:p w:rsidR="006B0748" w:rsidRPr="006C4F2D" w:rsidRDefault="006B0748" w:rsidP="006B0748">
      <w:pPr>
        <w:pStyle w:val="HeadingBoldItalic"/>
        <w:numPr>
          <w:ilvl w:val="0"/>
          <w:numId w:val="13"/>
        </w:numPr>
      </w:pPr>
      <w:r>
        <w:t>Market evidence</w:t>
      </w:r>
    </w:p>
    <w:p w:rsidR="006B0748" w:rsidRDefault="006B0748" w:rsidP="006B0748">
      <w:pPr>
        <w:pStyle w:val="AERbodytext"/>
        <w:numPr>
          <w:ilvl w:val="0"/>
          <w:numId w:val="13"/>
        </w:numPr>
      </w:pPr>
      <w:r>
        <w:t>N</w:t>
      </w:r>
      <w:r w:rsidRPr="006C4F2D">
        <w:t>otwithstanding th</w:t>
      </w:r>
      <w:r>
        <w:t>e complexity of the relationship between debt and equity returns</w:t>
      </w:r>
      <w:r w:rsidRPr="006C4F2D">
        <w:t>, the AER has compared the allowed regulatory returns on debt and equity against recent market evidence.</w:t>
      </w:r>
      <w:r>
        <w:t xml:space="preserve"> </w:t>
      </w:r>
      <w:r w:rsidRPr="006C4F2D">
        <w:t xml:space="preserve">This includes two debt issuances from the APA Group. </w:t>
      </w:r>
      <w:r>
        <w:t xml:space="preserve">The AER, however, considers that the available market evidence is of limited use for regulatory purposes. </w:t>
      </w:r>
      <w:r w:rsidRPr="006C4F2D">
        <w:t>That is, they are useful as a broad cross–check only.</w:t>
      </w:r>
    </w:p>
    <w:p w:rsidR="006B0748" w:rsidRPr="006C4F2D" w:rsidRDefault="006B0748" w:rsidP="006B0748">
      <w:pPr>
        <w:pStyle w:val="AERbodytext"/>
        <w:numPr>
          <w:ilvl w:val="0"/>
          <w:numId w:val="13"/>
        </w:numPr>
      </w:pPr>
      <w:r w:rsidRPr="006C4F2D">
        <w:t xml:space="preserve">Specifically, in </w:t>
      </w:r>
      <w:r>
        <w:t>September</w:t>
      </w:r>
      <w:r w:rsidRPr="006C4F2D">
        <w:t xml:space="preserve"> 2012, </w:t>
      </w:r>
      <w:r w:rsidRPr="00CC38CD">
        <w:t>the APA Group completed the issuance of $</w:t>
      </w:r>
      <w:r>
        <w:t>515 </w:t>
      </w:r>
      <w:r w:rsidRPr="00CC38CD">
        <w:t xml:space="preserve">million of </w:t>
      </w:r>
      <w:r>
        <w:t>subordinated notes</w:t>
      </w:r>
      <w:r w:rsidRPr="00CC38CD">
        <w:t xml:space="preserve"> in Australia. This hybrid capital was issued at </w:t>
      </w:r>
      <w:r>
        <w:t xml:space="preserve">450 basis points above the BBSW. Shortly thereafter, in </w:t>
      </w:r>
      <w:r w:rsidRPr="00CC38CD">
        <w:t>Novem</w:t>
      </w:r>
      <w:r>
        <w:t xml:space="preserve">ber 2012, the APA Group raised </w:t>
      </w:r>
      <w:r w:rsidRPr="0025742A">
        <w:t>£</w:t>
      </w:r>
      <w:r>
        <w:t>350</w:t>
      </w:r>
      <w:r w:rsidRPr="00CC38CD">
        <w:t xml:space="preserve"> million of debt financing in the UK. The APA Group swapped this debt into AUD at an avera</w:t>
      </w:r>
      <w:r>
        <w:t>ge fixed rate of 7.36 per cent. Envestra highlighted both</w:t>
      </w:r>
      <w:r w:rsidRPr="006C4F2D">
        <w:t xml:space="preserve"> these issuances as evidence that recent allowed regulatory returns on equity were too low.</w:t>
      </w:r>
      <w:r w:rsidRPr="006C4F2D">
        <w:rPr>
          <w:rStyle w:val="FootnoteReference"/>
        </w:rPr>
        <w:footnoteReference w:id="293"/>
      </w:r>
    </w:p>
    <w:p w:rsidR="006B0748" w:rsidRPr="006C4F2D" w:rsidRDefault="006B0748" w:rsidP="006B0748">
      <w:pPr>
        <w:pStyle w:val="AERbodytext"/>
        <w:numPr>
          <w:ilvl w:val="0"/>
          <w:numId w:val="13"/>
        </w:numPr>
      </w:pPr>
      <w:r>
        <w:t>The AER considers that while market evidence can provide an important cross check, the financing costs of a single entity should not be considered to be reflective of either the market as a whole, or the benchmark regulatory firm.</w:t>
      </w:r>
      <w:r w:rsidRPr="006C4F2D">
        <w:t xml:space="preserve"> This is consistent with the Tribunal’s direction regarding the estimation of the debt risk premium.</w:t>
      </w:r>
      <w:r w:rsidRPr="006C4F2D">
        <w:rPr>
          <w:rStyle w:val="FootnoteReference"/>
        </w:rPr>
        <w:footnoteReference w:id="294"/>
      </w:r>
      <w:r w:rsidRPr="006C4F2D">
        <w:t xml:space="preserve"> It is also notable that the term of the UK debt financing was 12 years and carried a BBB credit rating. This compares to the benchmark term of 10 years and a BBB+ rating.</w:t>
      </w:r>
    </w:p>
    <w:p w:rsidR="006B0748" w:rsidRPr="006C4F2D" w:rsidRDefault="006B0748" w:rsidP="006B0748">
      <w:pPr>
        <w:pStyle w:val="AERbodytext"/>
        <w:numPr>
          <w:ilvl w:val="0"/>
          <w:numId w:val="13"/>
        </w:numPr>
      </w:pPr>
      <w:r>
        <w:t xml:space="preserve">Additionally, the yields on hybrid forms of capital depend heavily on the characteristics of the product itself. While the corresponding yields </w:t>
      </w:r>
      <w:r w:rsidRPr="006C4F2D">
        <w:t xml:space="preserve">should </w:t>
      </w:r>
      <w:r>
        <w:t>fall</w:t>
      </w:r>
      <w:r w:rsidRPr="006C4F2D">
        <w:t xml:space="preserve"> between the issuers respective costs of debt and equity, hybrid financing can be structured to have greater debt, or greater equity features. Further complicating where along the spectrum of debt and equity yields hybrid financing should be is the correlation with the market itself. As put by Macquarie Research, hybrids perform like debt when equity markets perform well, and perform like equity when equity markets perform poorly.</w:t>
      </w:r>
      <w:r w:rsidRPr="006C4F2D">
        <w:rPr>
          <w:rStyle w:val="FootnoteReference"/>
        </w:rPr>
        <w:footnoteReference w:id="295"/>
      </w:r>
      <w:r w:rsidRPr="006C4F2D">
        <w:t xml:space="preserve"> In this context, it </w:t>
      </w:r>
      <w:r>
        <w:t>may</w:t>
      </w:r>
      <w:r w:rsidRPr="006C4F2D">
        <w:t xml:space="preserve"> not </w:t>
      </w:r>
      <w:r>
        <w:t xml:space="preserve">be </w:t>
      </w:r>
      <w:r w:rsidRPr="006C4F2D">
        <w:t>unreasonable that the yield on the hybrid debt is near the return on equity estimated by the AER</w:t>
      </w:r>
      <w:r>
        <w:t xml:space="preserve"> (as proposed by Envestra)</w:t>
      </w:r>
      <w:r w:rsidRPr="006C4F2D">
        <w:t>.</w:t>
      </w:r>
      <w:r w:rsidRPr="006C4F2D">
        <w:rPr>
          <w:rStyle w:val="FootnoteReference"/>
        </w:rPr>
        <w:footnoteReference w:id="296"/>
      </w:r>
      <w:r>
        <w:t xml:space="preserve"> The preceding discussion on the cost of debt versus equity is also relevant, insomuch as comparisons are made between promised debt yields and expected equity returns.</w:t>
      </w:r>
    </w:p>
    <w:p w:rsidR="006B0748" w:rsidRDefault="006B0748" w:rsidP="006B0748">
      <w:pPr>
        <w:pStyle w:val="AERbodytext"/>
        <w:numPr>
          <w:ilvl w:val="0"/>
          <w:numId w:val="13"/>
        </w:numPr>
      </w:pPr>
      <w:r>
        <w:t>Finally, comparisons between the cost of debt and equity implicitly assume that both debt and equity markets are efficiently priced. In practice, this may not be the case. For example, to the extent that relative spread between the allowed regulatory returns on debt and equity is considered to be too narrow, this may reflect an overly conservative estimate of the regulatory cost of debt.</w:t>
      </w:r>
    </w:p>
    <w:p w:rsidR="006B0748" w:rsidRPr="00B367FF" w:rsidRDefault="006B0748" w:rsidP="006B0748">
      <w:pPr>
        <w:pStyle w:val="HeadingBoldBlue"/>
        <w:numPr>
          <w:ilvl w:val="0"/>
          <w:numId w:val="13"/>
        </w:numPr>
      </w:pPr>
      <w:r w:rsidRPr="00B367FF">
        <w:t xml:space="preserve">SFG's lower bound </w:t>
      </w:r>
    </w:p>
    <w:p w:rsidR="006B0748" w:rsidRDefault="006B0748" w:rsidP="006B0748">
      <w:pPr>
        <w:pStyle w:val="AERbodytext"/>
        <w:numPr>
          <w:ilvl w:val="0"/>
          <w:numId w:val="13"/>
        </w:numPr>
      </w:pPr>
      <w:r>
        <w:t>SF</w:t>
      </w:r>
      <w:r w:rsidRPr="00860225">
        <w:t>G propose</w:t>
      </w:r>
      <w:r>
        <w:t>s</w:t>
      </w:r>
      <w:r w:rsidRPr="00860225">
        <w:t xml:space="preserve"> a lower bound </w:t>
      </w:r>
      <w:r>
        <w:t>estimate on the return that investors might reasonably expect from an investment in comparable firms. It concludes that a lower bound on the return including imputation credits is 10.5 per cent.</w:t>
      </w:r>
      <w:r>
        <w:rPr>
          <w:rStyle w:val="FootnoteReference"/>
        </w:rPr>
        <w:footnoteReference w:id="297"/>
      </w:r>
      <w:r>
        <w:t xml:space="preserve"> This consists of a dividend yield of 7 per cent, a growth rate of 2.5 per cent and an allowance for the value of imputation credits.</w:t>
      </w:r>
      <w:r>
        <w:rPr>
          <w:rStyle w:val="FootnoteReference"/>
        </w:rPr>
        <w:footnoteReference w:id="298"/>
      </w:r>
      <w:r>
        <w:t xml:space="preserve"> </w:t>
      </w:r>
    </w:p>
    <w:p w:rsidR="006B0748" w:rsidRDefault="006B0748" w:rsidP="006B0748">
      <w:pPr>
        <w:pStyle w:val="AERbodytext"/>
        <w:numPr>
          <w:ilvl w:val="0"/>
          <w:numId w:val="13"/>
        </w:numPr>
      </w:pPr>
      <w:r>
        <w:t>This lower bound estimate appears to be a simple dividend growth model (DGM). The AER considers DGMs in more detail in section B.6 and concludes that they are highly sensitive to the assumptions made and inputs used. Indeed Lally considers it appropriate to develop a range of estimates from DGM models as a result of these uncertainties.</w:t>
      </w:r>
      <w:r>
        <w:rPr>
          <w:rStyle w:val="FootnoteReference"/>
        </w:rPr>
        <w:footnoteReference w:id="299"/>
      </w:r>
    </w:p>
    <w:p w:rsidR="006B0748" w:rsidRDefault="006B0748" w:rsidP="006B0748">
      <w:pPr>
        <w:pStyle w:val="AERbodytext"/>
        <w:numPr>
          <w:ilvl w:val="0"/>
          <w:numId w:val="13"/>
        </w:numPr>
      </w:pPr>
      <w:r>
        <w:t>Moreover, the AER has considered industry specific DGMs in the past and raised concerns about the appropriateness of the dividend yields from these businesses for DGMs.</w:t>
      </w:r>
      <w:r>
        <w:rPr>
          <w:rStyle w:val="FootnoteReference"/>
        </w:rPr>
        <w:footnoteReference w:id="300"/>
      </w:r>
      <w:r>
        <w:t xml:space="preserve"> SFG has not dealt with these concerns. </w:t>
      </w:r>
    </w:p>
    <w:p w:rsidR="006B0748" w:rsidRDefault="006B0748" w:rsidP="006B0748">
      <w:pPr>
        <w:pStyle w:val="AERbodytext"/>
        <w:numPr>
          <w:ilvl w:val="0"/>
          <w:numId w:val="13"/>
        </w:numPr>
      </w:pPr>
      <w:r>
        <w:t>In conclusion, the AER does not regard SFG's lower bound as a reasonable lower bound estimate.</w:t>
      </w:r>
    </w:p>
    <w:p w:rsidR="006B0748" w:rsidRPr="00691ED9" w:rsidRDefault="006B0748" w:rsidP="006B0748">
      <w:pPr>
        <w:pStyle w:val="Heading8"/>
      </w:pPr>
      <w:bookmarkStart w:id="75" w:name="_Ref350878035"/>
      <w:bookmarkStart w:id="76" w:name="_Toc350951040"/>
      <w:r w:rsidRPr="00691ED9">
        <w:t>Regulatory practice</w:t>
      </w:r>
      <w:bookmarkEnd w:id="75"/>
      <w:bookmarkEnd w:id="76"/>
    </w:p>
    <w:p w:rsidR="006B0748" w:rsidRPr="005235B9" w:rsidRDefault="006B0748" w:rsidP="006B0748">
      <w:pPr>
        <w:pStyle w:val="AERbodytext"/>
        <w:numPr>
          <w:ilvl w:val="0"/>
          <w:numId w:val="13"/>
        </w:numPr>
      </w:pPr>
      <w:r>
        <w:t>Multinet</w:t>
      </w:r>
      <w:r w:rsidRPr="005235B9">
        <w:t xml:space="preserve"> and its consultants have noted the approaches adopted by IPART, and US and UK regulators. It suggested its revised proposal is consistent with the recent IPART decisions and is supported by UK regulators.</w:t>
      </w:r>
      <w:r w:rsidRPr="005235B9">
        <w:rPr>
          <w:rStyle w:val="FootnoteReference"/>
        </w:rPr>
        <w:footnoteReference w:id="301"/>
      </w:r>
    </w:p>
    <w:p w:rsidR="006B0748" w:rsidRDefault="006B0748" w:rsidP="006B0748">
      <w:pPr>
        <w:pStyle w:val="AERbodytext"/>
        <w:numPr>
          <w:ilvl w:val="0"/>
          <w:numId w:val="13"/>
        </w:numPr>
      </w:pPr>
      <w:r w:rsidRPr="005235B9">
        <w:t>In addition to IPART's approach (and UK and US regulatory practice), the AER has also considered recent regulatory decisions made by other Australian regulators. There is no consensus among regulators on how to estimate the cost of equity. The AER acknowledges that the cost of equity adopted in this decision is lower than rates adopted by some overseas regulators, and by IPART, in recent decisions. However, the AER also points</w:t>
      </w:r>
      <w:r>
        <w:t xml:space="preserve"> out</w:t>
      </w:r>
      <w:r w:rsidRPr="005235B9">
        <w:t xml:space="preserve"> that, to its knowledge, no Australian or overseas regulator adopts the specific approach proposed by </w:t>
      </w:r>
      <w:r>
        <w:t>Multinet</w:t>
      </w:r>
      <w:r w:rsidRPr="005235B9">
        <w:t xml:space="preserve">. In contrast, some Australian regulators adopt very similar approaches to the AER. And furthermore, the cost of equity adopted by some other Australian regulators in recent decisions is lower than that determined by the AER in this decision. </w:t>
      </w:r>
    </w:p>
    <w:p w:rsidR="006B0748" w:rsidRPr="00691ED9" w:rsidRDefault="006B0748" w:rsidP="006B0748">
      <w:pPr>
        <w:pStyle w:val="Heading9"/>
      </w:pPr>
      <w:r w:rsidRPr="00691ED9">
        <w:t>ERA and QCA</w:t>
      </w:r>
    </w:p>
    <w:p w:rsidR="006B0748" w:rsidRPr="00355228" w:rsidRDefault="006B0748" w:rsidP="006B0748">
      <w:pPr>
        <w:pStyle w:val="AERbodytext"/>
        <w:numPr>
          <w:ilvl w:val="0"/>
          <w:numId w:val="13"/>
        </w:numPr>
      </w:pPr>
      <w:r>
        <w:t>Multinet's consultants have compared the AER's approach with those of IPART, the UK regulators and the US regulators. However, none of them noted the approach adopted by the Economic Regulation Authority of Western Australia (ERA) or the Queensland Competition Authority (QCA). The ERA's and QCA's approaches to the cost of equity are very similar to the AER's approach.</w:t>
      </w:r>
    </w:p>
    <w:p w:rsidR="006B0748" w:rsidRPr="00CC3060" w:rsidRDefault="006B0748" w:rsidP="006B0748">
      <w:r>
        <w:t>The ERA released its most recent final decision in September 2012 for Western Power. In this decision, ERA used a 5 year term for both the risk free rate and the MRP. It estimated a nominal risk free rate of 2.52 per cent based on Western Power's nominated averaging period, a MRP of 6 per cent and an equity beta of 0.65. This produced a nominal after tax cost of equity of 6.42 per cent and a nominal vanilla WACC of 5.78 per cent. ERA applied no uplift to this final WACC figure.</w:t>
      </w:r>
      <w:r>
        <w:rPr>
          <w:rStyle w:val="FootnoteReference"/>
        </w:rPr>
        <w:footnoteReference w:id="302"/>
      </w:r>
      <w:r>
        <w:t xml:space="preserve"> </w:t>
      </w:r>
    </w:p>
    <w:p w:rsidR="006B0748" w:rsidRDefault="006B0748" w:rsidP="006B0748">
      <w:r>
        <w:t>The ERA adopts a</w:t>
      </w:r>
      <w:r w:rsidRPr="00CC3060">
        <w:t xml:space="preserve"> 5</w:t>
      </w:r>
      <w:r>
        <w:t xml:space="preserve"> </w:t>
      </w:r>
      <w:r w:rsidRPr="00CC3060">
        <w:t xml:space="preserve">year term </w:t>
      </w:r>
      <w:r>
        <w:t>for both the risk free rate and the</w:t>
      </w:r>
      <w:r w:rsidRPr="00CC3060">
        <w:t xml:space="preserve"> MRP</w:t>
      </w:r>
      <w:r>
        <w:t>, as it is consistent with</w:t>
      </w:r>
      <w:r w:rsidRPr="00CC3060">
        <w:t xml:space="preserve"> </w:t>
      </w:r>
      <w:r>
        <w:t xml:space="preserve">the present value principle. In estimating the MRP, the ERA considers an MRP of 6 per cent is appropriate based on its own historical analysis of the MRP using 5 year as the term of the nominal risk free rate, survey evidence and current Australian regulatory practice. Further the ERA was not convinced that </w:t>
      </w:r>
      <w:r w:rsidRPr="0098739B">
        <w:t xml:space="preserve">Western Power and its consultant </w:t>
      </w:r>
      <w:r>
        <w:t>(</w:t>
      </w:r>
      <w:r w:rsidRPr="0098739B">
        <w:t>CEG</w:t>
      </w:r>
      <w:r>
        <w:t>)</w:t>
      </w:r>
      <w:r w:rsidRPr="0098739B">
        <w:t xml:space="preserve"> ha</w:t>
      </w:r>
      <w:r>
        <w:t>d</w:t>
      </w:r>
      <w:r w:rsidRPr="0098739B">
        <w:t xml:space="preserve"> provided convincing arguments to support an upwards adjustment </w:t>
      </w:r>
      <w:r>
        <w:t>to</w:t>
      </w:r>
      <w:r w:rsidRPr="0098739B">
        <w:t xml:space="preserve"> the estimate of the MRP when the observed yields on CGS are at historically low levels.</w:t>
      </w:r>
      <w:r>
        <w:rPr>
          <w:rStyle w:val="FootnoteReference"/>
        </w:rPr>
        <w:footnoteReference w:id="303"/>
      </w:r>
      <w:r w:rsidRPr="0098739B">
        <w:t xml:space="preserve"> </w:t>
      </w:r>
      <w:r>
        <w:t xml:space="preserve">The AER considers ERA's recent decisions are relevant as they are made under a similar regulatory framework and both estimate an allowed rate of return for regulated energy businesses. The AER notes it uses a 10 year term for both the risk free rate and the MRP instead of a 5 year term as adopted by the ERA. By adopting a 10 year term, and a 0.8 equity beta, the AER's approach estimates a higher cost of </w:t>
      </w:r>
      <w:proofErr w:type="gramStart"/>
      <w:r>
        <w:t>equity  than</w:t>
      </w:r>
      <w:proofErr w:type="gramEnd"/>
      <w:r>
        <w:t xml:space="preserve"> the ERA.</w:t>
      </w:r>
      <w:r w:rsidRPr="00E526AA">
        <w:rPr>
          <w:rStyle w:val="FootnoteReference"/>
        </w:rPr>
        <w:footnoteReference w:id="304"/>
      </w:r>
    </w:p>
    <w:p w:rsidR="006B0748" w:rsidRPr="00355228" w:rsidRDefault="006B0748" w:rsidP="006B0748">
      <w:r>
        <w:t>The QCA released its most recent draft decision in December 2012 for Seqwater. The QCA estimated a nominal risk free rate of 2.55 per cent based on the annualised four year CGS averaged over 20 trading days. An MRP of 6 per cent was mandated in the Ministerial Direction for the 2012-13 GSC review. Combining these with an equity beta of 0.55, it produced a nominal after tax cost of equity of 5.85 per cent and a nominal vanilla WACC of 5.86 per cent. The QCA did not make any adjustments to this final WACC figure.</w:t>
      </w:r>
      <w:r>
        <w:rPr>
          <w:rStyle w:val="FootnoteReference"/>
        </w:rPr>
        <w:footnoteReference w:id="305"/>
      </w:r>
      <w:r>
        <w:t xml:space="preserve"> Similarly, the AER notes by adopting a 10 year term for the risk free rate, and a 0.8 equity beta, it produces a higher cost of equity estimate than the QCA. While QCA's decision is for a water network, the water network and energy network industries are of comparable risk.</w:t>
      </w:r>
      <w:r>
        <w:rPr>
          <w:rStyle w:val="FootnoteReference"/>
        </w:rPr>
        <w:footnoteReference w:id="306"/>
      </w:r>
    </w:p>
    <w:p w:rsidR="006B0748" w:rsidRPr="00691ED9" w:rsidRDefault="006B0748" w:rsidP="006B0748">
      <w:pPr>
        <w:pStyle w:val="Heading9"/>
      </w:pPr>
      <w:r w:rsidRPr="00691ED9">
        <w:t xml:space="preserve">IPART </w:t>
      </w:r>
    </w:p>
    <w:p w:rsidR="006B0748" w:rsidRDefault="006B0748" w:rsidP="006B0748">
      <w:pPr>
        <w:pStyle w:val="AERbodytext"/>
        <w:numPr>
          <w:ilvl w:val="0"/>
          <w:numId w:val="13"/>
        </w:numPr>
      </w:pPr>
      <w:r w:rsidRPr="005B3549">
        <w:t xml:space="preserve">In attachment </w:t>
      </w:r>
      <w:r>
        <w:t>section 5.3.2</w:t>
      </w:r>
      <w:r w:rsidRPr="005B3549">
        <w:t>, the AER noted that there would be further discussion of IPART's approach to determining the rate of return</w:t>
      </w:r>
      <w:r>
        <w:t xml:space="preserve"> in appendix B</w:t>
      </w:r>
      <w:r w:rsidRPr="005B3549">
        <w:t xml:space="preserve">. This section contains that discussion. </w:t>
      </w:r>
    </w:p>
    <w:p w:rsidR="006B0748" w:rsidRPr="005B3549" w:rsidRDefault="006B0748" w:rsidP="006B0748">
      <w:pPr>
        <w:pStyle w:val="AERbodytext"/>
        <w:numPr>
          <w:ilvl w:val="0"/>
          <w:numId w:val="13"/>
        </w:numPr>
      </w:pPr>
      <w:r w:rsidRPr="005B3549">
        <w:t xml:space="preserve">The AER </w:t>
      </w:r>
      <w:r>
        <w:t>concludes that</w:t>
      </w:r>
      <w:r w:rsidRPr="005B3549">
        <w:t xml:space="preserve"> recent IPART decisions indicate other regulators have made allowance for the possibility of an inverse relationship between the risk free rate and the MRP. However, it is not exactly clear how IPART do so. Furthermore, IPART's approach is considerably different to the AER's approach, and likewise to that proposed by </w:t>
      </w:r>
      <w:r>
        <w:t>Multinet</w:t>
      </w:r>
      <w:r w:rsidRPr="005B3549">
        <w:t xml:space="preserve"> in its revised access arrangement proposal.</w:t>
      </w:r>
    </w:p>
    <w:p w:rsidR="006B0748" w:rsidRPr="005B3549" w:rsidRDefault="006B0748" w:rsidP="006B0748">
      <w:pPr>
        <w:pStyle w:val="AERbodytext"/>
        <w:numPr>
          <w:ilvl w:val="0"/>
          <w:numId w:val="13"/>
        </w:numPr>
      </w:pPr>
      <w:r w:rsidRPr="005B3549">
        <w:t>IPART's approach to setting the WACC has many similarities with the AER's, but it also has some important differences. Importantly, IPART's approach is to determine a WACC range that it considers appropriate before determining a point estimate from within that range.</w:t>
      </w:r>
      <w:r w:rsidRPr="005B3549">
        <w:rPr>
          <w:rStyle w:val="FootnoteReference"/>
        </w:rPr>
        <w:footnoteReference w:id="307"/>
      </w:r>
      <w:r w:rsidRPr="005B3549">
        <w:t xml:space="preserve"> This is very different from the AER's approach which is to determine a WACC point estimate from</w:t>
      </w:r>
      <w:r>
        <w:t xml:space="preserve"> the underlying parameters</w:t>
      </w:r>
      <w:r w:rsidRPr="005B3549">
        <w:t xml:space="preserve">. </w:t>
      </w:r>
    </w:p>
    <w:p w:rsidR="006B0748" w:rsidRPr="005B3549" w:rsidRDefault="006B0748" w:rsidP="006B0748">
      <w:pPr>
        <w:pStyle w:val="AERbodytext"/>
        <w:numPr>
          <w:ilvl w:val="0"/>
          <w:numId w:val="13"/>
        </w:numPr>
      </w:pPr>
      <w:r w:rsidRPr="005B3549">
        <w:t>In the Sydney Desalination Plant final decision for example, IPART estimated a WACC range (real pre-tax) of 5.1 per cent to 6.9 per cent.</w:t>
      </w:r>
      <w:r w:rsidRPr="005B3549">
        <w:rPr>
          <w:rStyle w:val="FootnoteReference"/>
        </w:rPr>
        <w:footnoteReference w:id="308"/>
      </w:r>
      <w:r w:rsidRPr="005B3549">
        <w:t xml:space="preserve"> </w:t>
      </w:r>
      <w:r>
        <w:t xml:space="preserve">The </w:t>
      </w:r>
      <w:proofErr w:type="gramStart"/>
      <w:r>
        <w:t>boundaries of this range was</w:t>
      </w:r>
      <w:proofErr w:type="gramEnd"/>
      <w:r>
        <w:t xml:space="preserve"> based on IPART's point estimate or range for each parameter. In setting the limits of this range IPART adopted a prevailing risk free rate point estimate (not a long term historical average) and a 5.5–6.5 per cent MRP range. </w:t>
      </w:r>
      <w:r w:rsidRPr="005B3549">
        <w:t>IPART then selected a point estimate of 6.7 per cent.</w:t>
      </w:r>
      <w:r w:rsidRPr="005B3549">
        <w:rPr>
          <w:rStyle w:val="FootnoteReference"/>
        </w:rPr>
        <w:footnoteReference w:id="309"/>
      </w:r>
      <w:r w:rsidRPr="005B3549">
        <w:t xml:space="preserve"> IPART's point estimate was therefore 80 basis points above the mid-point of the calculated WACC range. IPART state:  </w:t>
      </w:r>
    </w:p>
    <w:p w:rsidR="006B0748" w:rsidRPr="005B3549" w:rsidRDefault="006B0748" w:rsidP="006B0748">
      <w:pPr>
        <w:pStyle w:val="AERquote"/>
      </w:pPr>
      <w:r w:rsidRPr="005B3549">
        <w:t xml:space="preserve">We determined the values for the parameters of the WACC based on market conditions over the 20 days to 28 October 2011. The risk free rate and debt margin have been affected by market volatility and the prolonged weak market following the credit crisis of 2008. The change in these factors has potentially created a disparity between these parameters (for which we use short term average data) and the market risk premium (for which we use long term average data). </w:t>
      </w:r>
    </w:p>
    <w:p w:rsidR="006B0748" w:rsidRPr="005B3549" w:rsidRDefault="006B0748" w:rsidP="006B0748">
      <w:pPr>
        <w:pStyle w:val="AERquote"/>
      </w:pPr>
      <w:r w:rsidRPr="005B3549">
        <w:t xml:space="preserve">However, the effects of this disparity are mitigated by our decision to use a point estimate of 6.7%, which </w:t>
      </w:r>
      <w:proofErr w:type="gramStart"/>
      <w:r w:rsidRPr="005B3549">
        <w:t>is</w:t>
      </w:r>
      <w:proofErr w:type="gramEnd"/>
      <w:r w:rsidRPr="005B3549">
        <w:t xml:space="preserve"> 80 basis points higher than the midpoint of our estimated WACC range.</w:t>
      </w:r>
      <w:r>
        <w:t xml:space="preserve"> In doing so we had strong regard to the calculated WACC using longer term averages for market parameters.</w:t>
      </w:r>
      <w:r w:rsidRPr="005B3549">
        <w:rPr>
          <w:rStyle w:val="FootnoteReference"/>
        </w:rPr>
        <w:footnoteReference w:id="310"/>
      </w:r>
      <w:r w:rsidRPr="005B3549">
        <w:t xml:space="preserve"> </w:t>
      </w:r>
    </w:p>
    <w:p w:rsidR="006B0748" w:rsidRPr="005B3549" w:rsidRDefault="006B0748" w:rsidP="006B0748">
      <w:pPr>
        <w:pStyle w:val="AERbodytext"/>
        <w:numPr>
          <w:ilvl w:val="0"/>
          <w:numId w:val="13"/>
        </w:numPr>
      </w:pPr>
      <w:r w:rsidRPr="005B3549">
        <w:t>CEG highlights this statement in its discussions of IPART's approach.</w:t>
      </w:r>
      <w:r w:rsidRPr="005B3549">
        <w:rPr>
          <w:rStyle w:val="FootnoteReference"/>
        </w:rPr>
        <w:footnoteReference w:id="311"/>
      </w:r>
      <w:r w:rsidRPr="005B3549">
        <w:t xml:space="preserve"> SFG highlight similar statements from the same decision as well as IPART's review of electricity retail and generation prices.</w:t>
      </w:r>
      <w:r w:rsidRPr="005B3549">
        <w:rPr>
          <w:rStyle w:val="FootnoteReference"/>
        </w:rPr>
        <w:footnoteReference w:id="312"/>
      </w:r>
      <w:r w:rsidRPr="005B3549">
        <w:t xml:space="preserve"> Both CEG and SFG acknowledge that IPART do not rely on a long term historical average risk free rate explicitly.</w:t>
      </w:r>
      <w:r w:rsidRPr="005B3549">
        <w:rPr>
          <w:rStyle w:val="FootnoteReference"/>
        </w:rPr>
        <w:footnoteReference w:id="313"/>
      </w:r>
      <w:r w:rsidRPr="005B3549">
        <w:t xml:space="preserve"> Indeed, SFG note the following statement by IPART:</w:t>
      </w:r>
    </w:p>
    <w:p w:rsidR="006B0748" w:rsidRPr="005B3549" w:rsidRDefault="006B0748" w:rsidP="006B0748">
      <w:pPr>
        <w:pStyle w:val="AERquote"/>
      </w:pPr>
      <w:r w:rsidRPr="005B3549">
        <w:t>Rather than adjusting the risk free rate or revaluing the MRP, we make a judgment when selecting the WACC point estimate from within the range.</w:t>
      </w:r>
      <w:r w:rsidRPr="005B3549">
        <w:rPr>
          <w:rStyle w:val="FootnoteReference"/>
        </w:rPr>
        <w:footnoteReference w:id="314"/>
      </w:r>
      <w:r w:rsidRPr="005B3549">
        <w:t xml:space="preserve"> </w:t>
      </w:r>
    </w:p>
    <w:p w:rsidR="006B0748" w:rsidRPr="005B3549" w:rsidRDefault="006B0748" w:rsidP="006B0748">
      <w:r w:rsidRPr="005B3549">
        <w:t xml:space="preserve">This differs from what </w:t>
      </w:r>
      <w:r>
        <w:t>Multinet</w:t>
      </w:r>
      <w:r w:rsidRPr="005B3549">
        <w:t xml:space="preserve"> proposed in its revised proposal.</w:t>
      </w:r>
      <w:r w:rsidRPr="005B3549">
        <w:rPr>
          <w:rStyle w:val="FootnoteReference"/>
        </w:rPr>
        <w:footnoteReference w:id="315"/>
      </w:r>
      <w:r w:rsidRPr="005B3549">
        <w:t xml:space="preserve"> </w:t>
      </w:r>
      <w:r>
        <w:t>Multinet</w:t>
      </w:r>
      <w:r w:rsidRPr="005B3549">
        <w:t xml:space="preserve"> did not propose a WACC range be determined with a point estimate selected by the AER. </w:t>
      </w:r>
      <w:r>
        <w:t>Multinet</w:t>
      </w:r>
      <w:r w:rsidRPr="005B3549">
        <w:t xml:space="preserve"> proposed a long term average risk free rate be used</w:t>
      </w:r>
      <w:r>
        <w:t xml:space="preserve"> determinatively</w:t>
      </w:r>
      <w:r w:rsidRPr="005B3549">
        <w:t>.</w:t>
      </w:r>
      <w:r w:rsidRPr="005B3549">
        <w:rPr>
          <w:rStyle w:val="FootnoteReference"/>
        </w:rPr>
        <w:footnoteReference w:id="316"/>
      </w:r>
      <w:r w:rsidRPr="005B3549">
        <w:t xml:space="preserve"> </w:t>
      </w:r>
    </w:p>
    <w:p w:rsidR="006B0748" w:rsidRPr="005B3549" w:rsidRDefault="006B0748" w:rsidP="006B0748">
      <w:r>
        <w:t>On the issue of the risk free rate and MRP relationship, IPART states</w:t>
      </w:r>
      <w:r w:rsidRPr="005B3549">
        <w:t>:</w:t>
      </w:r>
    </w:p>
    <w:p w:rsidR="006B0748" w:rsidRPr="005B3549" w:rsidRDefault="006B0748" w:rsidP="006B0748">
      <w:pPr>
        <w:pStyle w:val="AERquote"/>
      </w:pPr>
      <w:r w:rsidRPr="005B3549">
        <w:t>We note that there may be an inconsistency between using short term data for the risk free rate and using long term data for the MRP. As stakeholders have noted, there may be an inversely proportional relationship between the MRP and the risk free rate.</w:t>
      </w:r>
      <w:r w:rsidRPr="005B3549">
        <w:rPr>
          <w:rStyle w:val="FootnoteReference"/>
        </w:rPr>
        <w:footnoteReference w:id="317"/>
      </w:r>
      <w:r w:rsidRPr="005B3549">
        <w:t xml:space="preserve"> </w:t>
      </w:r>
    </w:p>
    <w:p w:rsidR="006B0748" w:rsidRDefault="006B0748" w:rsidP="006B0748">
      <w:r>
        <w:t>Firstly, the AER notes that it estimates a 10 year forward looking MRP and combines that with a 10 year forward looking risk free rate.</w:t>
      </w:r>
      <w:r>
        <w:rPr>
          <w:rStyle w:val="FootnoteReference"/>
        </w:rPr>
        <w:footnoteReference w:id="318"/>
      </w:r>
      <w:r>
        <w:t xml:space="preserve">  Conceptually, there is no inconsistency with that approach.</w:t>
      </w:r>
    </w:p>
    <w:p w:rsidR="006B0748" w:rsidRDefault="006B0748" w:rsidP="006B0748">
      <w:r>
        <w:t>Secondly, IPART, as an independent regulator, is entitled to form its own view on the strength of evidence of an inverse relationship between the risk free rate and MRP. The AER, as an independent regulator, is also entitled to form its view on the matter. McKenzie and Partington's review of the theoretical and empirical evidence on this matter is, to the AER's knowledge, more comprehensive than that contained in any of the consultant reports submitted by the Victorian gas businesses, or considered as part of IPART's recent decisions. Therefore, the AER's view in this regard has been strongly influenced by the work of McKenzie and Partington.</w:t>
      </w:r>
    </w:p>
    <w:p w:rsidR="006B0748" w:rsidRDefault="006B0748" w:rsidP="006B0748">
      <w:r>
        <w:t>Shortly prior to the release of this decision IPART released its draft decision for Hunter Water.</w:t>
      </w:r>
      <w:r>
        <w:rPr>
          <w:rStyle w:val="FootnoteReference"/>
        </w:rPr>
        <w:footnoteReference w:id="319"/>
      </w:r>
      <w:r>
        <w:t xml:space="preserve"> In this decision IPART estimated a real post-tax WACC of 4.2 per cent.</w:t>
      </w:r>
      <w:r>
        <w:rPr>
          <w:rStyle w:val="FootnoteReference"/>
        </w:rPr>
        <w:footnoteReference w:id="320"/>
      </w:r>
      <w:r>
        <w:t xml:space="preserve"> Converted into a nominal vanilla WACC form this is approximately 6.9 per cent. The approach IPART used in its decision appears to be broadly consistent with that discussed above from the Sydney Desalination Plant and Electricity Retail Prices decisions. However, given the timing of the decision, the AER has not considered the approach in detail. </w:t>
      </w:r>
    </w:p>
    <w:p w:rsidR="006B0748" w:rsidRPr="00691ED9" w:rsidRDefault="006B0748" w:rsidP="006B0748">
      <w:pPr>
        <w:pStyle w:val="Heading9"/>
      </w:pPr>
      <w:r w:rsidRPr="00691ED9">
        <w:t xml:space="preserve">UK </w:t>
      </w:r>
    </w:p>
    <w:p w:rsidR="006B0748" w:rsidRDefault="006B0748" w:rsidP="006B0748">
      <w:pPr>
        <w:pStyle w:val="AERbodytext"/>
        <w:numPr>
          <w:ilvl w:val="0"/>
          <w:numId w:val="13"/>
        </w:numPr>
        <w:rPr>
          <w:rStyle w:val="AERbody"/>
        </w:rPr>
      </w:pPr>
      <w:r>
        <w:rPr>
          <w:rStyle w:val="AERbody"/>
        </w:rPr>
        <w:t xml:space="preserve">There are a number of regulators in the United Kingdom, including Ofgem, Ofwat and Ofcom. The Competition Commission is the review body to which parties can appeal decisions by these regulators. Each regulator takes a slightly different approach to estimating the cost of capital, although there are many similarities between them. </w:t>
      </w:r>
    </w:p>
    <w:p w:rsidR="006B0748" w:rsidRDefault="006B0748" w:rsidP="006B0748">
      <w:pPr>
        <w:pStyle w:val="AERbodytext"/>
        <w:numPr>
          <w:ilvl w:val="0"/>
          <w:numId w:val="13"/>
        </w:numPr>
        <w:rPr>
          <w:rStyle w:val="AERbody"/>
        </w:rPr>
      </w:pPr>
      <w:r>
        <w:rPr>
          <w:rStyle w:val="AERbody"/>
        </w:rPr>
        <w:t>There are a number of important differences between the approach the AER uses to set the cost of equity and the approaches used by regulators in the UK. These include:</w:t>
      </w:r>
    </w:p>
    <w:p w:rsidR="006B0748" w:rsidRDefault="006B0748" w:rsidP="006B0748">
      <w:pPr>
        <w:pStyle w:val="AERbulletlistfirststyle"/>
      </w:pPr>
      <w:r>
        <w:t>the term of the cost of equity</w:t>
      </w:r>
    </w:p>
    <w:p w:rsidR="006B0748" w:rsidRDefault="006B0748" w:rsidP="006B0748">
      <w:pPr>
        <w:pStyle w:val="AERbulletlistfirststyle"/>
      </w:pPr>
      <w:r>
        <w:t>the risk free rate proxy</w:t>
      </w:r>
    </w:p>
    <w:p w:rsidR="006B0748" w:rsidRDefault="006B0748" w:rsidP="006B0748">
      <w:pPr>
        <w:pStyle w:val="AERbulletlistfirststyle"/>
      </w:pPr>
      <w:proofErr w:type="gramStart"/>
      <w:r>
        <w:t>the</w:t>
      </w:r>
      <w:proofErr w:type="gramEnd"/>
      <w:r>
        <w:t xml:space="preserve"> use of cross-checks. </w:t>
      </w:r>
    </w:p>
    <w:p w:rsidR="006B0748" w:rsidRPr="00197B97" w:rsidRDefault="006B0748" w:rsidP="006B0748">
      <w:pPr>
        <w:pStyle w:val="AERbodytext"/>
        <w:numPr>
          <w:ilvl w:val="0"/>
          <w:numId w:val="13"/>
        </w:numPr>
      </w:pPr>
      <w:r>
        <w:t>Regulators in the UK tend to apply a term that is equal to the life of the assets.</w:t>
      </w:r>
      <w:r w:rsidRPr="00197B97">
        <w:rPr>
          <w:rStyle w:val="FootnoteReference"/>
        </w:rPr>
        <w:footnoteReference w:id="321"/>
      </w:r>
      <w:r w:rsidRPr="00197B97">
        <w:t xml:space="preserve"> This has important implications for the way the cost of equity is determined. CEPA states:</w:t>
      </w:r>
    </w:p>
    <w:p w:rsidR="006B0748" w:rsidRDefault="006B0748" w:rsidP="006B0748">
      <w:pPr>
        <w:pStyle w:val="AERquote"/>
      </w:pPr>
      <w:r w:rsidRPr="003B01C9">
        <w:t>First, when thinking about whether the approach is commensurate with prevailing conditions in the market depends in part on the time horizon being considered. AER has tended to focus on a ten year time horizon while UK regulation has tended to focus on the life of the asset under consideration. This latter approach is a significantly longer time horizon and consequently can lead to different views about how markets operate – for example, the degree of mean reversion.</w:t>
      </w:r>
      <w:r>
        <w:rPr>
          <w:rStyle w:val="FootnoteReference"/>
        </w:rPr>
        <w:footnoteReference w:id="322"/>
      </w:r>
    </w:p>
    <w:p w:rsidR="006B0748" w:rsidRPr="00197B97" w:rsidRDefault="006B0748" w:rsidP="006B0748">
      <w:pPr>
        <w:pStyle w:val="AERbodytext"/>
        <w:numPr>
          <w:ilvl w:val="0"/>
          <w:numId w:val="13"/>
        </w:numPr>
      </w:pPr>
      <w:r>
        <w:t>The AER and Multinet agree that a 10 year term is appropriate for this decision.</w:t>
      </w:r>
      <w:r w:rsidRPr="00197B97">
        <w:rPr>
          <w:rStyle w:val="FootnoteReference"/>
        </w:rPr>
        <w:footnoteReference w:id="323"/>
      </w:r>
      <w:r w:rsidRPr="00197B97">
        <w:t xml:space="preserve"> Therefore, the relevance of the long term approaches used in the UK must be considered in this context.    </w:t>
      </w:r>
    </w:p>
    <w:p w:rsidR="006B0748" w:rsidRPr="00197B97" w:rsidRDefault="006B0748" w:rsidP="006B0748">
      <w:pPr>
        <w:pStyle w:val="AERbodytext"/>
        <w:numPr>
          <w:ilvl w:val="0"/>
          <w:numId w:val="13"/>
        </w:numPr>
      </w:pPr>
      <w:r>
        <w:t xml:space="preserve">Regulators in the UK </w:t>
      </w:r>
      <w:r w:rsidRPr="00197B97">
        <w:t>often have as a starting position that the cost of equity is relatively stable through time.</w:t>
      </w:r>
      <w:r w:rsidRPr="00197B97">
        <w:rPr>
          <w:rStyle w:val="FootnoteReference"/>
        </w:rPr>
        <w:footnoteReference w:id="324"/>
      </w:r>
      <w:r w:rsidRPr="00197B97">
        <w:t xml:space="preserve"> The work of Wright, Mason and Miles informs this position.</w:t>
      </w:r>
      <w:r w:rsidRPr="00197B97">
        <w:rPr>
          <w:rStyle w:val="FootnoteReference"/>
        </w:rPr>
        <w:footnoteReference w:id="325"/>
      </w:r>
      <w:r w:rsidRPr="00197B97">
        <w:t xml:space="preserve"> These authors found that the cost of equity is relatively stable through time when compared to the MRP.</w:t>
      </w:r>
      <w:r w:rsidRPr="00197B97">
        <w:rPr>
          <w:rStyle w:val="FootnoteReference"/>
        </w:rPr>
        <w:footnoteReference w:id="326"/>
      </w:r>
      <w:r w:rsidRPr="00197B97">
        <w:t xml:space="preserve"> Elsewhere in this appendix the AER considers the stability of the cost of equity in more detail.</w:t>
      </w:r>
      <w:r w:rsidRPr="00197B97">
        <w:rPr>
          <w:rStyle w:val="FootnoteReference"/>
        </w:rPr>
        <w:footnoteReference w:id="327"/>
      </w:r>
      <w:r w:rsidRPr="00197B97">
        <w:t xml:space="preserve"> There is not sufficient evidence to support the conclusion that the cost of equity is relatively more stable over time than the MRP.</w:t>
      </w:r>
      <w:r w:rsidRPr="00197B97">
        <w:rPr>
          <w:rStyle w:val="FootnoteReference"/>
        </w:rPr>
        <w:footnoteReference w:id="328"/>
      </w:r>
      <w:r w:rsidRPr="00197B97">
        <w:t xml:space="preserve"> Indeed, Lally concluded that in an Australian context, the evidence suggests that the MRP is relatively more stable than the cost of equity.</w:t>
      </w:r>
      <w:r w:rsidRPr="00197B97">
        <w:rPr>
          <w:rStyle w:val="FootnoteReference"/>
        </w:rPr>
        <w:footnoteReference w:id="329"/>
      </w:r>
      <w:r w:rsidRPr="00197B97">
        <w:t xml:space="preserve"> </w:t>
      </w:r>
    </w:p>
    <w:p w:rsidR="006B0748" w:rsidRPr="00197B97" w:rsidRDefault="006B0748" w:rsidP="006B0748">
      <w:pPr>
        <w:pStyle w:val="AERbodytext"/>
        <w:numPr>
          <w:ilvl w:val="0"/>
          <w:numId w:val="13"/>
        </w:numPr>
      </w:pPr>
      <w:r>
        <w:t>Regulators in the UK also tend to use a different proxy for the risk free rate compared to th</w:t>
      </w:r>
      <w:r w:rsidRPr="00197B97">
        <w:t>e AER. Generally, the yield on index-linked gilts (ILG) is used.</w:t>
      </w:r>
      <w:r w:rsidRPr="00197B97">
        <w:rPr>
          <w:rStyle w:val="FootnoteReference"/>
        </w:rPr>
        <w:footnoteReference w:id="330"/>
      </w:r>
      <w:r w:rsidRPr="00197B97">
        <w:t xml:space="preserve"> This is a security similar to the Indexed CGS in Australia. In the UK, there is a legislative requirement for pension funds to hold ILGs.</w:t>
      </w:r>
      <w:r w:rsidRPr="00197B97">
        <w:rPr>
          <w:rStyle w:val="FootnoteReference"/>
        </w:rPr>
        <w:footnoteReference w:id="331"/>
      </w:r>
      <w:r w:rsidRPr="00197B97">
        <w:t xml:space="preserve"> Coupled with the quantitative easing that has been employed by the central bank in the UK, regulators have been concerned that the market for ILGs is distorted.</w:t>
      </w:r>
      <w:r w:rsidRPr="00197B97">
        <w:rPr>
          <w:rStyle w:val="FootnoteReference"/>
        </w:rPr>
        <w:footnoteReference w:id="332"/>
      </w:r>
      <w:r w:rsidRPr="00197B97">
        <w:t xml:space="preserve"> The AER does not hold similar concerns that the nominal CGS market is distorted.</w:t>
      </w:r>
      <w:r w:rsidRPr="00197B97">
        <w:rPr>
          <w:rStyle w:val="FootnoteReference"/>
        </w:rPr>
        <w:footnoteReference w:id="333"/>
      </w:r>
      <w:r w:rsidRPr="00197B97">
        <w:t xml:space="preserve"> Accordingly, the AER continues to apply a prevailing risk free rate. This position is based on advice from the RBA and the Treasury and AOFM.</w:t>
      </w:r>
      <w:r w:rsidRPr="00197B97">
        <w:rPr>
          <w:rStyle w:val="FootnoteReference"/>
        </w:rPr>
        <w:footnoteReference w:id="334"/>
      </w:r>
      <w:r w:rsidRPr="00197B97">
        <w:t xml:space="preserve"> </w:t>
      </w:r>
    </w:p>
    <w:p w:rsidR="006B0748" w:rsidRPr="009A4820" w:rsidRDefault="006B0748" w:rsidP="006B0748">
      <w:pPr>
        <w:pStyle w:val="AERbodytext"/>
        <w:numPr>
          <w:ilvl w:val="0"/>
          <w:numId w:val="13"/>
        </w:numPr>
      </w:pPr>
      <w:r>
        <w:t>Further, until recently, estimates of the risk free rate in UK regulatory decisions have approximately followed the prevailing yield downwards.</w:t>
      </w:r>
      <w:r w:rsidRPr="009A4820">
        <w:rPr>
          <w:rStyle w:val="FootnoteReference"/>
        </w:rPr>
        <w:footnoteReference w:id="335"/>
      </w:r>
      <w:r w:rsidRPr="009A4820">
        <w:t xml:space="preserve"> Only in recent years has there been a large departure from the observed yield. </w:t>
      </w:r>
    </w:p>
    <w:p w:rsidR="006B0748" w:rsidRPr="00197B97" w:rsidRDefault="006B0748" w:rsidP="006B0748">
      <w:pPr>
        <w:pStyle w:val="AERbodytext"/>
        <w:numPr>
          <w:ilvl w:val="0"/>
          <w:numId w:val="13"/>
        </w:numPr>
      </w:pPr>
      <w:r>
        <w:t xml:space="preserve">Finally, </w:t>
      </w:r>
      <w:r w:rsidRPr="00197B97">
        <w:t>regulators in the UK also use cross-checks in a significant way. Generally, the CAPM is applied and cross-checked against other cost of equity models, RAB multiples and regulatory precedent.</w:t>
      </w:r>
      <w:r w:rsidRPr="00197B97">
        <w:rPr>
          <w:rStyle w:val="FootnoteReference"/>
        </w:rPr>
        <w:footnoteReference w:id="336"/>
      </w:r>
      <w:r w:rsidRPr="00197B97">
        <w:t xml:space="preserve"> </w:t>
      </w:r>
      <w:r>
        <w:t>Multinet</w:t>
      </w:r>
      <w:r w:rsidRPr="00197B97">
        <w:t xml:space="preserve"> has highlighted UK regulators' use of a relatively stable cost of equity, but it has not highlighted UK regulators' use of RAB multiples.</w:t>
      </w:r>
      <w:r w:rsidRPr="00197B97">
        <w:rPr>
          <w:rStyle w:val="FootnoteReference"/>
        </w:rPr>
        <w:footnoteReference w:id="337"/>
      </w:r>
      <w:r w:rsidRPr="00197B97">
        <w:t xml:space="preserve"> This is d</w:t>
      </w:r>
      <w:r>
        <w:t>espite both elements being inte</w:t>
      </w:r>
      <w:r w:rsidRPr="00197B97">
        <w:t xml:space="preserve">gral to UK regulators' overall approach to the cost of equity. In contrast, </w:t>
      </w:r>
      <w:r>
        <w:t>Multinet</w:t>
      </w:r>
      <w:r w:rsidRPr="00197B97">
        <w:t xml:space="preserve"> has criticised the AER's use of RAB multiples.</w:t>
      </w:r>
      <w:r w:rsidRPr="00197B97">
        <w:rPr>
          <w:rStyle w:val="FootnoteReference"/>
        </w:rPr>
        <w:footnoteReference w:id="338"/>
      </w:r>
      <w:r w:rsidRPr="00197B97">
        <w:t xml:space="preserve">  RAB multiples suggest the AER's approach in this decision is reasonable.</w:t>
      </w:r>
      <w:r w:rsidRPr="00197B97">
        <w:rPr>
          <w:rStyle w:val="FootnoteReference"/>
        </w:rPr>
        <w:footnoteReference w:id="339"/>
      </w:r>
    </w:p>
    <w:p w:rsidR="006B0748" w:rsidRPr="00197B97" w:rsidRDefault="006B0748" w:rsidP="006B0748">
      <w:pPr>
        <w:pStyle w:val="AERbodytext"/>
        <w:numPr>
          <w:ilvl w:val="0"/>
          <w:numId w:val="13"/>
        </w:numPr>
      </w:pPr>
      <w:r>
        <w:rPr>
          <w:rStyle w:val="AERbody"/>
        </w:rPr>
        <w:t xml:space="preserve">With these differences in mind, </w:t>
      </w:r>
      <w:r w:rsidRPr="00197B97">
        <w:rPr>
          <w:rStyle w:val="AERbody"/>
        </w:rPr>
        <w:t>the cost on equity allowed by Ofgem in its most recent decision was higher than the AER allows in this decision. In the RIIO-GD1 Final decision Ofgem allowed a real post-tax cost of equity of 6.7 per cent.</w:t>
      </w:r>
      <w:r w:rsidRPr="00197B97">
        <w:rPr>
          <w:rStyle w:val="FootnoteReference"/>
        </w:rPr>
        <w:footnoteReference w:id="340"/>
      </w:r>
      <w:r w:rsidRPr="00197B97">
        <w:rPr>
          <w:rStyle w:val="AERbody"/>
        </w:rPr>
        <w:t xml:space="preserve"> In this final decision the AER applies a real post-tax cost of equity of 5</w:t>
      </w:r>
      <w:r>
        <w:rPr>
          <w:rStyle w:val="AERbody"/>
        </w:rPr>
        <w:t>.29</w:t>
      </w:r>
      <w:r w:rsidRPr="00197B97">
        <w:rPr>
          <w:rStyle w:val="AERbody"/>
        </w:rPr>
        <w:t xml:space="preserve"> per cent. The AER acknowledges that the cost of equity allowed in this decision is lower than recent decisions in the UK. However, these differences must be considered in the context of the differing approaches. In that context, the AER considers the cost of equity in this decision is appropriate when compared with returns allowed in the UK. </w:t>
      </w:r>
    </w:p>
    <w:p w:rsidR="006B0748" w:rsidRPr="006B0748" w:rsidRDefault="006B0748" w:rsidP="006B0748">
      <w:pPr>
        <w:pStyle w:val="AERbodytext"/>
        <w:numPr>
          <w:ilvl w:val="0"/>
          <w:numId w:val="13"/>
        </w:numPr>
        <w:rPr>
          <w:rStyle w:val="AERbody"/>
          <w:rFonts w:eastAsia="Calibri"/>
        </w:rPr>
      </w:pPr>
      <w:r>
        <w:rPr>
          <w:rStyle w:val="AERbody"/>
        </w:rPr>
        <w:t xml:space="preserve">As </w:t>
      </w:r>
      <w:r w:rsidRPr="00197B97">
        <w:rPr>
          <w:rStyle w:val="AERbody"/>
        </w:rPr>
        <w:t xml:space="preserve">Ofgem is the equivalent energy regulator in the UK this section considers its approach in more detail. </w:t>
      </w:r>
    </w:p>
    <w:p w:rsidR="006B0748" w:rsidRPr="006B0748" w:rsidRDefault="006B0748" w:rsidP="006B0748">
      <w:pPr>
        <w:pStyle w:val="HeadingBoldBlue"/>
        <w:numPr>
          <w:ilvl w:val="0"/>
          <w:numId w:val="13"/>
        </w:numPr>
        <w:rPr>
          <w:rStyle w:val="AERbody"/>
          <w:rFonts w:eastAsia="Calibri"/>
        </w:rPr>
      </w:pPr>
      <w:r w:rsidRPr="006B0748">
        <w:rPr>
          <w:rStyle w:val="AERbody"/>
        </w:rPr>
        <w:t>Ofgem</w:t>
      </w:r>
    </w:p>
    <w:p w:rsidR="006B0748" w:rsidRDefault="006B0748" w:rsidP="006B0748">
      <w:pPr>
        <w:pStyle w:val="AERbodytext"/>
        <w:numPr>
          <w:ilvl w:val="0"/>
          <w:numId w:val="13"/>
        </w:numPr>
        <w:rPr>
          <w:rStyle w:val="AERbody"/>
        </w:rPr>
      </w:pPr>
      <w:r>
        <w:rPr>
          <w:rStyle w:val="AERbody"/>
        </w:rPr>
        <w:t xml:space="preserve">Britain's energy regulator, Ofgem, employs a different approach to setting the rate of return compared to the AER. This difference of approach makes it difficult to make a meaningful comparison of Ofgem's approach with the AER's. This section considers Ofgem's approach and highlights some of the significant differences in the approach to setting the rate of return. </w:t>
      </w:r>
    </w:p>
    <w:p w:rsidR="006B0748" w:rsidRDefault="006B0748" w:rsidP="006B0748">
      <w:pPr>
        <w:pStyle w:val="AERbodytext"/>
        <w:numPr>
          <w:ilvl w:val="0"/>
          <w:numId w:val="13"/>
        </w:numPr>
        <w:rPr>
          <w:rStyle w:val="AERbody"/>
        </w:rPr>
      </w:pPr>
      <w:r>
        <w:rPr>
          <w:rStyle w:val="AERbody"/>
        </w:rPr>
        <w:t>Ofgem has refined the building blocks approach to setting price controls under a regime labelled 'RIIO (Revenue = Incentives + Innovation + Outputs)'</w:t>
      </w:r>
      <w:r w:rsidRPr="004A5C5A">
        <w:rPr>
          <w:rStyle w:val="AERbody"/>
        </w:rPr>
        <w:t>.</w:t>
      </w:r>
      <w:r>
        <w:rPr>
          <w:rStyle w:val="FootnoteReference"/>
        </w:rPr>
        <w:footnoteReference w:id="341"/>
      </w:r>
      <w:r>
        <w:rPr>
          <w:rStyle w:val="AERbody"/>
        </w:rPr>
        <w:t xml:space="preserve"> Under the RIIO framework, Ofgem sets its price controls for a period of eight years. In December 2012 it issued the final decision documents for the first application of its RIIO price controls.</w:t>
      </w:r>
      <w:r>
        <w:rPr>
          <w:rStyle w:val="FootnoteReference"/>
        </w:rPr>
        <w:footnoteReference w:id="342"/>
      </w:r>
      <w:r>
        <w:rPr>
          <w:rStyle w:val="AERbody"/>
        </w:rPr>
        <w:t xml:space="preserve"> </w:t>
      </w:r>
    </w:p>
    <w:p w:rsidR="006B0748" w:rsidRDefault="006B0748" w:rsidP="006B0748">
      <w:pPr>
        <w:pStyle w:val="AERbodytext"/>
        <w:numPr>
          <w:ilvl w:val="0"/>
          <w:numId w:val="13"/>
        </w:numPr>
        <w:rPr>
          <w:rStyle w:val="AERbody"/>
        </w:rPr>
      </w:pPr>
      <w:r>
        <w:rPr>
          <w:rStyle w:val="AERbody"/>
        </w:rPr>
        <w:t>In its price controls, Ofgem sets the allowed return (cost of capital) on a real vanilla basis, while the RAB is calculated on historic cost basis and uplifted for inflation. Ofgem considers its allowed return in the context of the entire price control package. It sets the allowed return such that it reflects Ofgem's assessment of the businesses' cash flow risk. This means that, where there is material difference in cash flow risk, Ofgem may set different allowed rates of return for companies within the same sector.</w:t>
      </w:r>
      <w:r>
        <w:rPr>
          <w:rStyle w:val="FootnoteReference"/>
        </w:rPr>
        <w:footnoteReference w:id="343"/>
      </w:r>
      <w:r>
        <w:rPr>
          <w:rStyle w:val="AERbody"/>
        </w:rPr>
        <w:t xml:space="preserve"> Ofgem's cash flow risk assessment consists of qualitative and quantitative comparisons of:</w:t>
      </w:r>
    </w:p>
    <w:p w:rsidR="006B0748" w:rsidRDefault="006B0748" w:rsidP="006B0748">
      <w:pPr>
        <w:pStyle w:val="AERbulletlistfirststyle"/>
        <w:rPr>
          <w:rStyle w:val="AERbody"/>
        </w:rPr>
      </w:pPr>
      <w:r>
        <w:rPr>
          <w:rStyle w:val="AERbody"/>
        </w:rPr>
        <w:t>the businesses to each other;</w:t>
      </w:r>
    </w:p>
    <w:p w:rsidR="006B0748" w:rsidRDefault="006B0748" w:rsidP="006B0748">
      <w:pPr>
        <w:pStyle w:val="AERbulletlistfirststyle"/>
        <w:rPr>
          <w:rStyle w:val="AERbody"/>
        </w:rPr>
      </w:pPr>
      <w:r>
        <w:rPr>
          <w:rStyle w:val="AERbody"/>
        </w:rPr>
        <w:t>the sectors (electricity transmission, electricity distribution, gas transmission, gas distribution) to each other; and</w:t>
      </w:r>
    </w:p>
    <w:p w:rsidR="006B0748" w:rsidRPr="004A5C5A" w:rsidRDefault="006B0748" w:rsidP="006B0748">
      <w:pPr>
        <w:pStyle w:val="AERbulletlistfirststyle"/>
        <w:rPr>
          <w:rStyle w:val="AERbody"/>
        </w:rPr>
      </w:pPr>
      <w:proofErr w:type="gramStart"/>
      <w:r>
        <w:rPr>
          <w:rStyle w:val="AERbody"/>
        </w:rPr>
        <w:t>the</w:t>
      </w:r>
      <w:proofErr w:type="gramEnd"/>
      <w:r>
        <w:rPr>
          <w:rStyle w:val="AERbody"/>
        </w:rPr>
        <w:t xml:space="preserve"> price control that is being set to the one that is currently in place. </w:t>
      </w:r>
    </w:p>
    <w:p w:rsidR="006B0748" w:rsidRDefault="006B0748" w:rsidP="006B0748">
      <w:pPr>
        <w:pStyle w:val="AERbodytext"/>
        <w:numPr>
          <w:ilvl w:val="0"/>
          <w:numId w:val="13"/>
        </w:numPr>
      </w:pPr>
      <w:r>
        <w:t>Ofgem then tests the overall reasonableness of its allowed return in the context of the entire price control package by assessing financeability and the return on regulatory equity (RoRE).</w:t>
      </w:r>
      <w:r>
        <w:rPr>
          <w:rStyle w:val="FootnoteReference"/>
        </w:rPr>
        <w:footnoteReference w:id="344"/>
      </w:r>
      <w:r>
        <w:t xml:space="preserve"> Below are some of the significant areas of difference in  Ofgem's approach to the components of the WACC and the cross-checks that it applies:</w:t>
      </w:r>
    </w:p>
    <w:p w:rsidR="006B0748" w:rsidRDefault="006B0748" w:rsidP="006B0748">
      <w:pPr>
        <w:pStyle w:val="AERbulletlistfirststyle"/>
      </w:pPr>
      <w:r>
        <w:t>Gearing—</w:t>
      </w:r>
      <w:r w:rsidRPr="009C4179">
        <w:t>Ofgem sets the gearing component of the WACC on a notional basis. The decision is based on Ofgem's cash flow assessment, and cross-checked against financeability assessment, RoRE assessment, regulatory precedent, and the businesses' actual gearing.</w:t>
      </w:r>
      <w:r w:rsidRPr="009C4179">
        <w:rPr>
          <w:rStyle w:val="FootnoteReference"/>
        </w:rPr>
        <w:footnoteReference w:id="345"/>
      </w:r>
    </w:p>
    <w:p w:rsidR="006B0748" w:rsidRDefault="006B0748" w:rsidP="006B0748">
      <w:pPr>
        <w:pStyle w:val="AERbulletlistfirststyle"/>
      </w:pPr>
      <w:r>
        <w:t>Cost of debt—</w:t>
      </w:r>
      <w:r w:rsidRPr="009C4179">
        <w:t>Ofgem sets the cost of debt component of the WACC by taking the 10</w:t>
      </w:r>
      <w:r>
        <w:t xml:space="preserve"> </w:t>
      </w:r>
      <w:r w:rsidRPr="009C4179">
        <w:t>year trailing average of two indices, and deflating them by expected inflation.</w:t>
      </w:r>
      <w:r w:rsidRPr="009C4179">
        <w:rPr>
          <w:rStyle w:val="FootnoteReference"/>
        </w:rPr>
        <w:footnoteReference w:id="346"/>
      </w:r>
    </w:p>
    <w:p w:rsidR="006B0748" w:rsidRDefault="006B0748" w:rsidP="006B0748">
      <w:pPr>
        <w:pStyle w:val="AERbulletlistfirststyle"/>
      </w:pPr>
      <w:r>
        <w:t>Cost of equity—</w:t>
      </w:r>
      <w:proofErr w:type="gramStart"/>
      <w:r>
        <w:t>In</w:t>
      </w:r>
      <w:proofErr w:type="gramEnd"/>
      <w:r>
        <w:t xml:space="preserve"> the initial (strategy) stage of its price control review, Ofgem seeks consultants' advice in order to derive a range for the cost of equity.</w:t>
      </w:r>
      <w:r>
        <w:rPr>
          <w:rStyle w:val="FootnoteReference"/>
        </w:rPr>
        <w:footnoteReference w:id="347"/>
      </w:r>
      <w:r>
        <w:t xml:space="preserve"> Ofgem uses the consultants' advice informatively, rather than </w:t>
      </w:r>
      <w:proofErr w:type="gramStart"/>
      <w:r>
        <w:t>deterministically,</w:t>
      </w:r>
      <w:proofErr w:type="gramEnd"/>
      <w:r>
        <w:t xml:space="preserve"> and also carries out its own analysis.</w:t>
      </w:r>
      <w:r>
        <w:rPr>
          <w:rStyle w:val="FootnoteReference"/>
        </w:rPr>
        <w:footnoteReference w:id="348"/>
      </w:r>
      <w:r>
        <w:t xml:space="preserve"> The range reflects long term estimates of the risk free rate and MRP. The specific cost of equity and, therefore, the beta are chosen from within the range following Ofgem's cash flow risk assessment. </w:t>
      </w:r>
      <w:r>
        <w:rPr>
          <w:rStyle w:val="AERbody"/>
        </w:rPr>
        <w:t>Ofgem may set different cost of equity allowances for businesses within and across sectors, if it identifies material cash flow risk differences.</w:t>
      </w:r>
    </w:p>
    <w:p w:rsidR="006B0748" w:rsidRDefault="006B0748" w:rsidP="006B0748">
      <w:pPr>
        <w:pStyle w:val="AERbulletlistfirststyle"/>
      </w:pPr>
      <w:r>
        <w:t>Cash flow risk assessment—</w:t>
      </w:r>
      <w:r w:rsidRPr="009C4179">
        <w:t>Ofgem's cash flow risk assessment covers a number of factors</w:t>
      </w:r>
      <w:r>
        <w:t xml:space="preserve"> and places particular </w:t>
      </w:r>
      <w:proofErr w:type="gramStart"/>
      <w:r>
        <w:t>emphasis</w:t>
      </w:r>
      <w:proofErr w:type="gramEnd"/>
      <w:r>
        <w:t xml:space="preserve"> on the ratio of allowed capex to (opening) RAB when attempting to differentiate between the relative risk of businesses within and across sectors. It considers that this ratio best captures systematic risk, as represented in the CAPM framework by the asset beta.</w:t>
      </w:r>
      <w:r w:rsidRPr="009C4179">
        <w:rPr>
          <w:rStyle w:val="FootnoteReference"/>
        </w:rPr>
        <w:footnoteReference w:id="349"/>
      </w:r>
    </w:p>
    <w:p w:rsidR="006B0748" w:rsidRDefault="006B0748" w:rsidP="006B0748">
      <w:pPr>
        <w:pStyle w:val="AERbulletlistfirststyle"/>
      </w:pPr>
      <w:r>
        <w:t>RoRE assessment—</w:t>
      </w:r>
      <w:r w:rsidRPr="009C4179">
        <w:t>Ofgem's RoRE assessment provides an estimate of the rewards and penalties that are built into the price control package by assessing the impact of variations in expenditure from the allowance, as well as additional cash flows (or penalties) associated with outperforming (underperforming) the regulator's benchmark on various incentives and output measures.</w:t>
      </w:r>
    </w:p>
    <w:p w:rsidR="006B0748" w:rsidRDefault="006B0748" w:rsidP="006B0748">
      <w:pPr>
        <w:pStyle w:val="AERbulletlistfirststyle"/>
      </w:pPr>
      <w:r>
        <w:t>Financeability assessment—</w:t>
      </w:r>
      <w:r w:rsidRPr="009C4179">
        <w:t xml:space="preserve">Ofgem has a duty to ensure that its decisions allow efficient companies to </w:t>
      </w:r>
      <w:proofErr w:type="gramStart"/>
      <w:r w:rsidRPr="009C4179">
        <w:t>raise</w:t>
      </w:r>
      <w:proofErr w:type="gramEnd"/>
      <w:r w:rsidRPr="009C4179">
        <w:t xml:space="preserve"> finance (the 'financeability duty').</w:t>
      </w:r>
      <w:r w:rsidRPr="009C4179">
        <w:rPr>
          <w:rStyle w:val="FootnoteReference"/>
        </w:rPr>
        <w:footnoteReference w:id="350"/>
      </w:r>
      <w:r w:rsidRPr="009C4179">
        <w:t xml:space="preserve"> This is at the core of Ofgem's approach to financeability testing. The assessment, however, also provides a cross-check to ensure that the allowed return is appropriate for the cash flow risks that the businesses would be exposed to during the price control period.</w:t>
      </w:r>
    </w:p>
    <w:p w:rsidR="006B0748" w:rsidRPr="00691ED9" w:rsidRDefault="006B0748" w:rsidP="006B0748">
      <w:pPr>
        <w:pStyle w:val="Heading9"/>
      </w:pPr>
      <w:bookmarkStart w:id="77" w:name="_Ref349052571"/>
      <w:r w:rsidRPr="00691ED9">
        <w:t>US</w:t>
      </w:r>
      <w:bookmarkEnd w:id="77"/>
    </w:p>
    <w:p w:rsidR="006B0748" w:rsidRDefault="006B0748" w:rsidP="006B0748">
      <w:pPr>
        <w:pStyle w:val="AERbodytext"/>
        <w:numPr>
          <w:ilvl w:val="0"/>
          <w:numId w:val="13"/>
        </w:numPr>
      </w:pPr>
      <w:r>
        <w:t>The AER acknowledges its current cost of equity estimate is lower than the recent return on equity allowed in US regulatory decisions, as noted in the CEG submission.</w:t>
      </w:r>
      <w:r>
        <w:rPr>
          <w:rStyle w:val="FootnoteReference"/>
        </w:rPr>
        <w:footnoteReference w:id="351"/>
      </w:r>
      <w:r>
        <w:t xml:space="preserve"> However, the AER notes the US regulatory decisions are not directly comparable to those of the AER's for the reasons discussed below.</w:t>
      </w:r>
    </w:p>
    <w:p w:rsidR="006B0748" w:rsidRDefault="006B0748" w:rsidP="006B0748">
      <w:pPr>
        <w:pStyle w:val="AERbodytext"/>
        <w:numPr>
          <w:ilvl w:val="0"/>
          <w:numId w:val="13"/>
        </w:numPr>
      </w:pPr>
      <w:r>
        <w:t xml:space="preserve">FERC and </w:t>
      </w:r>
      <w:r w:rsidRPr="00E93D5E">
        <w:t xml:space="preserve">the </w:t>
      </w:r>
      <w:r>
        <w:t xml:space="preserve">other </w:t>
      </w:r>
      <w:r w:rsidRPr="00E93D5E">
        <w:t xml:space="preserve">US regulators use DGM as </w:t>
      </w:r>
      <w:r>
        <w:t>the US has better available proxy data, while Australian regulators do not have access to such information. This view is supported by NERA in a submission to ESCOSA in 2005:</w:t>
      </w:r>
      <w:r>
        <w:rPr>
          <w:rStyle w:val="FootnoteReference"/>
        </w:rPr>
        <w:footnoteReference w:id="352"/>
      </w:r>
    </w:p>
    <w:p w:rsidR="006B0748" w:rsidRPr="00E93D5E" w:rsidRDefault="006B0748" w:rsidP="006B0748">
      <w:pPr>
        <w:pStyle w:val="AERquote"/>
      </w:pPr>
      <w:r w:rsidRPr="00E93D5E">
        <w:t>The problem with using DCF analysis to estimate the cost of equity is that it requires one to know, or estimate, investors’ forward looking expectations of future dividends (and dividend growth). In most capital markets there are relatively few independent forecasts of future earnings and, consequently, there is a high level of statistical uncertainty surrounding DCF projections of the cost of equity for a particular company. However, in the US there is a very deep market for analysts’ projections of company’s future earnings. (In this regard it is illustrative to note that between 2001 and 2004 70 US regulated electricity distribution companies had their return on equity set.)</w:t>
      </w:r>
    </w:p>
    <w:p w:rsidR="006B0748" w:rsidRPr="00E93D5E" w:rsidRDefault="006B0748" w:rsidP="006B0748">
      <w:pPr>
        <w:pStyle w:val="AERquote"/>
      </w:pPr>
      <w:r w:rsidRPr="00E93D5E">
        <w:t>Given this, US regulators have available to them extra information on investors’ forward-looking expectations tha</w:t>
      </w:r>
      <w:r>
        <w:t>n</w:t>
      </w:r>
      <w:r w:rsidRPr="00E93D5E">
        <w:t xml:space="preserve"> Australian regulators do not. Unsurprisingly, US regulators take advantage of this when estimating the cost of equity.</w:t>
      </w:r>
    </w:p>
    <w:p w:rsidR="006B0748" w:rsidRDefault="006B0748" w:rsidP="006B0748">
      <w:pPr>
        <w:pStyle w:val="AERbodytext"/>
        <w:numPr>
          <w:ilvl w:val="0"/>
          <w:numId w:val="13"/>
        </w:numPr>
      </w:pPr>
      <w:r>
        <w:t>This issue is similarly noted by</w:t>
      </w:r>
      <w:r w:rsidRPr="00E93D5E">
        <w:t xml:space="preserve"> NERA </w:t>
      </w:r>
      <w:r>
        <w:t>i</w:t>
      </w:r>
      <w:r w:rsidRPr="00E93D5E">
        <w:t>n its equity beta report in 2007:</w:t>
      </w:r>
      <w:r>
        <w:rPr>
          <w:rStyle w:val="FootnoteReference"/>
        </w:rPr>
        <w:footnoteReference w:id="353"/>
      </w:r>
    </w:p>
    <w:p w:rsidR="006B0748" w:rsidRDefault="006B0748" w:rsidP="006B0748">
      <w:pPr>
        <w:pStyle w:val="AERquote"/>
      </w:pPr>
      <w:r w:rsidRPr="00E93D5E">
        <w:t xml:space="preserve">Given the maturity and size of the US financial sector, decisions on the required rate of return on equity are based on the testimony of financial experts that typically present market evidence on the appropriate sample of companies as well as the suitability of accepted approaches for determining the required return on equity from available market data. </w:t>
      </w:r>
    </w:p>
    <w:p w:rsidR="006B0748" w:rsidRPr="00E93D5E" w:rsidRDefault="006B0748" w:rsidP="006B0748">
      <w:pPr>
        <w:pStyle w:val="AERquote"/>
      </w:pPr>
      <w:r>
        <w:t>...</w:t>
      </w:r>
    </w:p>
    <w:p w:rsidR="006B0748" w:rsidRPr="00E93D5E" w:rsidRDefault="006B0748" w:rsidP="006B0748">
      <w:pPr>
        <w:pStyle w:val="AERquote"/>
      </w:pPr>
      <w:r w:rsidRPr="00E93D5E">
        <w:t>In the US, there is sufficient information on investors’ expected future earnings to apply ‘discounted cash flow’ (DCF) analysis to estimate the expected rate of return on equity directly</w:t>
      </w:r>
      <w:r>
        <w:t>.</w:t>
      </w:r>
    </w:p>
    <w:p w:rsidR="006B0748" w:rsidRDefault="006B0748" w:rsidP="006B0748">
      <w:pPr>
        <w:pStyle w:val="AERbodytext"/>
        <w:numPr>
          <w:ilvl w:val="0"/>
          <w:numId w:val="13"/>
        </w:numPr>
      </w:pPr>
      <w:r>
        <w:t>The AER further notes the US regulators sometimes deliberately set a constant cost of equity as the stability in rate of return allowance is their goal. For example, NECG:</w:t>
      </w:r>
      <w:r>
        <w:rPr>
          <w:rStyle w:val="FootnoteReference"/>
        </w:rPr>
        <w:footnoteReference w:id="354"/>
      </w:r>
      <w:r>
        <w:t xml:space="preserve"> </w:t>
      </w:r>
    </w:p>
    <w:p w:rsidR="006B0748" w:rsidRPr="00EB261F" w:rsidRDefault="006B0748" w:rsidP="006B0748">
      <w:pPr>
        <w:pStyle w:val="AERquote"/>
      </w:pPr>
      <w:r w:rsidRPr="00E93D5E">
        <w:t>Stability in rate allowance is sometimes an explicit goal of the regulator. The California Public Utilities Commission notes: we consistently consider the current estimate and anomalous behaviour of interest rates when making a final decision on authorizing a fair ROE. In PG&amp;E’s 1997 cost of capital proceeding we stated “Our consistent practice has been to moderate changes in ROE relative to changes in interest rates in order to increase the stability of ROE over time.” That consistent practice has also resulted in the practice of only adjusting rate of return by one half to two thirds of the change in the benchmark interest rate.</w:t>
      </w:r>
    </w:p>
    <w:p w:rsidR="006B0748" w:rsidRDefault="006B0748" w:rsidP="006B0748">
      <w:pPr>
        <w:pStyle w:val="AERbodytext"/>
        <w:numPr>
          <w:ilvl w:val="0"/>
          <w:numId w:val="13"/>
        </w:numPr>
      </w:pPr>
      <w:r>
        <w:t>In addition, it noted:</w:t>
      </w:r>
      <w:r>
        <w:rPr>
          <w:rStyle w:val="FootnoteReference"/>
        </w:rPr>
        <w:footnoteReference w:id="355"/>
      </w:r>
    </w:p>
    <w:p w:rsidR="006B0748" w:rsidRDefault="006B0748" w:rsidP="006B0748">
      <w:pPr>
        <w:pStyle w:val="AERquote"/>
      </w:pPr>
      <w:r w:rsidRPr="00E93D5E">
        <w:t>[In the US] Pipeline operators are required to file a schedule of rates with the Federal Energy Regulatory Commission (ERC). Under section 717c of the Natural Gas Act the onus is placed on the companies to demonstrate that the rates are fair and reasonable, a process that does not necessitate use of the WACC model.</w:t>
      </w:r>
    </w:p>
    <w:p w:rsidR="006B0748" w:rsidRDefault="006B0748" w:rsidP="006B0748">
      <w:pPr>
        <w:pStyle w:val="AERbodytext"/>
        <w:numPr>
          <w:ilvl w:val="0"/>
          <w:numId w:val="13"/>
        </w:numPr>
      </w:pPr>
      <w:r>
        <w:t xml:space="preserve">Accordingly, a key component of the approach by US regulators is the use of DGM estimates to calculate the overall cost of equity. The AER's analysis of the use of DGM estimates to calculate the overall cost of equity is set out in section </w:t>
      </w:r>
      <w:r w:rsidR="009B2237">
        <w:fldChar w:fldCharType="begin"/>
      </w:r>
      <w:r>
        <w:instrText xml:space="preserve"> REF _Ref349553251 \r \h </w:instrText>
      </w:r>
      <w:r w:rsidR="009B2237">
        <w:fldChar w:fldCharType="separate"/>
      </w:r>
      <w:r>
        <w:t>B.6.2</w:t>
      </w:r>
      <w:r w:rsidR="009B2237">
        <w:fldChar w:fldCharType="end"/>
      </w:r>
      <w:r>
        <w:t>. This is in addition to the different in data quality between the US and Australia noted in this section.</w:t>
      </w:r>
    </w:p>
    <w:p w:rsidR="006B0748" w:rsidRPr="00452ECA" w:rsidRDefault="006B0748" w:rsidP="006B0748">
      <w:pPr>
        <w:pStyle w:val="AERbodytext"/>
        <w:numPr>
          <w:ilvl w:val="0"/>
          <w:numId w:val="13"/>
        </w:numPr>
      </w:pPr>
      <w:r>
        <w:t xml:space="preserve">A second key component of the approach of US regulators </w:t>
      </w:r>
      <w:r w:rsidRPr="003365E5">
        <w:t xml:space="preserve">appears to be an explicit "goal" to set a stable regulatory cost of equity. The AER considers a stable regulatory cost of equity should be adopted if the weight of theoretical and empirical evidence supports the position that the cost of equity is stable. However, the weight of evidence does not support this position. The AER's analysis on the evidence on a stable cost of equity is set out in section </w:t>
      </w:r>
      <w:r w:rsidR="009B2237">
        <w:fldChar w:fldCharType="begin"/>
      </w:r>
      <w:r>
        <w:instrText xml:space="preserve"> REF _Ref350878490 \r \h </w:instrText>
      </w:r>
      <w:r w:rsidR="009B2237">
        <w:fldChar w:fldCharType="separate"/>
      </w:r>
      <w:r>
        <w:t>B.3.2</w:t>
      </w:r>
      <w:r w:rsidR="009B2237">
        <w:fldChar w:fldCharType="end"/>
      </w:r>
      <w:r>
        <w:t>.</w:t>
      </w:r>
    </w:p>
    <w:p w:rsidR="006B0748" w:rsidRPr="00691ED9" w:rsidRDefault="006B0748" w:rsidP="006B0748"/>
    <w:p w:rsidR="00A00171" w:rsidRDefault="00A00171" w:rsidP="00500A89">
      <w:pPr>
        <w:pStyle w:val="Heading7"/>
      </w:pPr>
      <w:bookmarkStart w:id="78" w:name="_Toc350951041"/>
      <w:r>
        <w:t>Capex</w:t>
      </w:r>
      <w:bookmarkEnd w:id="78"/>
    </w:p>
    <w:p w:rsidR="00A00171" w:rsidRPr="00D00ACD" w:rsidRDefault="00A00171" w:rsidP="00500A89">
      <w:pPr>
        <w:pStyle w:val="AERbodytext"/>
        <w:numPr>
          <w:ilvl w:val="0"/>
          <w:numId w:val="0"/>
        </w:numPr>
      </w:pPr>
      <w:r>
        <w:t>See confidential appendix.</w:t>
      </w:r>
    </w:p>
    <w:p w:rsidR="00A00171" w:rsidRDefault="00A00171" w:rsidP="00500A89">
      <w:pPr>
        <w:pStyle w:val="Heading7"/>
      </w:pPr>
      <w:bookmarkStart w:id="79" w:name="_Toc350951042"/>
      <w:r>
        <w:t>Opex</w:t>
      </w:r>
      <w:bookmarkEnd w:id="79"/>
    </w:p>
    <w:p w:rsidR="00A00171" w:rsidRDefault="00A00171" w:rsidP="00A00171">
      <w:pPr>
        <w:pStyle w:val="AERbodytext"/>
        <w:numPr>
          <w:ilvl w:val="0"/>
          <w:numId w:val="13"/>
        </w:numPr>
      </w:pPr>
      <w:r>
        <w:t xml:space="preserve">In attachment 7 the AER presented its conclusions about Multinet's opex. The attachment outlines the AER's final decision not to approve Multinet's forecast of $346.1 million ($2012) and replace it with a forecast of $316.5 million ($2012). </w:t>
      </w:r>
    </w:p>
    <w:p w:rsidR="00A00171" w:rsidRDefault="00A00171" w:rsidP="00A00171">
      <w:pPr>
        <w:pStyle w:val="AERbodytext"/>
        <w:numPr>
          <w:ilvl w:val="0"/>
          <w:numId w:val="13"/>
        </w:numPr>
      </w:pPr>
      <w:r>
        <w:t xml:space="preserve">This appendix provides further detail about the AER's decision. </w:t>
      </w:r>
    </w:p>
    <w:p w:rsidR="00A00171" w:rsidRDefault="00A00171" w:rsidP="00A00171">
      <w:pPr>
        <w:pStyle w:val="AERbodytext"/>
        <w:numPr>
          <w:ilvl w:val="0"/>
          <w:numId w:val="13"/>
        </w:numPr>
      </w:pPr>
      <w:r>
        <w:t xml:space="preserve">Section </w:t>
      </w:r>
      <w:r w:rsidR="009B2237">
        <w:fldChar w:fldCharType="begin"/>
      </w:r>
      <w:r>
        <w:instrText xml:space="preserve"> REF _Ref350334110 \r \h </w:instrText>
      </w:r>
      <w:r w:rsidR="009B2237">
        <w:fldChar w:fldCharType="separate"/>
      </w:r>
      <w:r w:rsidR="006B0748">
        <w:t>D.1</w:t>
      </w:r>
      <w:r w:rsidR="009B2237">
        <w:fldChar w:fldCharType="end"/>
      </w:r>
      <w:r>
        <w:t xml:space="preserve"> provides further details about the AER's assessment of Multinet's bottom-up forecast.</w:t>
      </w:r>
    </w:p>
    <w:p w:rsidR="00A00171" w:rsidRDefault="00A00171" w:rsidP="00A00171">
      <w:pPr>
        <w:pStyle w:val="AERbodytext"/>
        <w:numPr>
          <w:ilvl w:val="0"/>
          <w:numId w:val="13"/>
        </w:numPr>
      </w:pPr>
      <w:r>
        <w:t xml:space="preserve">Section </w:t>
      </w:r>
      <w:r w:rsidR="009B2237">
        <w:fldChar w:fldCharType="begin"/>
      </w:r>
      <w:r>
        <w:instrText xml:space="preserve"> REF _Ref350334135 \r \h </w:instrText>
      </w:r>
      <w:r w:rsidR="009B2237">
        <w:fldChar w:fldCharType="separate"/>
      </w:r>
      <w:r w:rsidR="006B0748">
        <w:t>D.2</w:t>
      </w:r>
      <w:r w:rsidR="009B2237">
        <w:fldChar w:fldCharType="end"/>
      </w:r>
      <w:r>
        <w:t xml:space="preserve"> provides additional details about the forecast EPG fee to be included in the AER's final decision on opex.</w:t>
      </w:r>
    </w:p>
    <w:p w:rsidR="00A00171" w:rsidRDefault="00A00171" w:rsidP="00A00171">
      <w:pPr>
        <w:pStyle w:val="AERbodytext"/>
        <w:numPr>
          <w:ilvl w:val="0"/>
          <w:numId w:val="13"/>
        </w:numPr>
      </w:pPr>
      <w:r>
        <w:t xml:space="preserve">Section </w:t>
      </w:r>
      <w:r w:rsidR="009B2237">
        <w:fldChar w:fldCharType="begin"/>
      </w:r>
      <w:r>
        <w:instrText xml:space="preserve"> REF _Ref350334155 \r \h </w:instrText>
      </w:r>
      <w:r w:rsidR="009B2237">
        <w:fldChar w:fldCharType="separate"/>
      </w:r>
      <w:r w:rsidR="006B0748">
        <w:t>D.3</w:t>
      </w:r>
      <w:r w:rsidR="009B2237">
        <w:fldChar w:fldCharType="end"/>
      </w:r>
      <w:r>
        <w:t xml:space="preserve"> provides additional details about the AER's decision not to include a step change above base year opex for network development costs. </w:t>
      </w:r>
    </w:p>
    <w:p w:rsidR="00A00171" w:rsidRPr="007C450D" w:rsidRDefault="00A00171" w:rsidP="00500A89">
      <w:pPr>
        <w:pStyle w:val="Heading8"/>
      </w:pPr>
      <w:bookmarkStart w:id="80" w:name="_Toc349900144"/>
      <w:bookmarkStart w:id="81" w:name="_Ref350334110"/>
      <w:bookmarkStart w:id="82" w:name="_Toc350422676"/>
      <w:bookmarkStart w:id="83" w:name="_Toc350951043"/>
      <w:r>
        <w:t>Review of Multinet's forecast opex</w:t>
      </w:r>
      <w:bookmarkEnd w:id="80"/>
      <w:bookmarkEnd w:id="81"/>
      <w:bookmarkEnd w:id="82"/>
      <w:bookmarkEnd w:id="83"/>
    </w:p>
    <w:p w:rsidR="00A00171" w:rsidRDefault="00A00171" w:rsidP="00A00171">
      <w:pPr>
        <w:pStyle w:val="AERbodytext"/>
        <w:numPr>
          <w:ilvl w:val="0"/>
          <w:numId w:val="13"/>
        </w:numPr>
      </w:pPr>
      <w:r w:rsidRPr="00A00171">
        <w:rPr>
          <w:rStyle w:val="AERbody"/>
          <w:rFonts w:eastAsia="Calibri"/>
        </w:rPr>
        <w:t>As outlined in attachment 7, as part of its assessment of Multinet's opex the AER has first examined Multinet's revised forecast from the bottom-up by assessing individual components of Multinet's forecast. Since the revised proposal was submitted, the AER's review has focused on the components of the forecast where the AER had previously identified specific concerns, namely direct</w:t>
      </w:r>
      <w:r>
        <w:t xml:space="preserve"> costs, labour costs, and outsourced network operations volumes.</w:t>
      </w:r>
    </w:p>
    <w:p w:rsidR="00A00171" w:rsidRDefault="00A00171" w:rsidP="00A00171">
      <w:pPr>
        <w:pStyle w:val="AERbodytext"/>
        <w:numPr>
          <w:ilvl w:val="0"/>
          <w:numId w:val="13"/>
        </w:numPr>
      </w:pPr>
      <w:r w:rsidRPr="00A00171">
        <w:rPr>
          <w:rStyle w:val="AERbody"/>
          <w:rFonts w:eastAsia="Calibri"/>
        </w:rPr>
        <w:t xml:space="preserve">After examining Multinet's revised forecast from the bottom-up by assessing individual components of Multinet's forecast, the AER does not approve Multinet's forecast.  This is because </w:t>
      </w:r>
      <w:r>
        <w:t>the AER is not satisfied that some components of Multinet's forecast reflect opex that would be incurred by a prudent service provider acting efficiently in accordance with good industry practice to achieve the lowest sustainable costs of delivering pipeline services.</w:t>
      </w:r>
      <w:r>
        <w:rPr>
          <w:rStyle w:val="FootnoteReference"/>
        </w:rPr>
        <w:footnoteReference w:id="356"/>
      </w:r>
      <w:r>
        <w:t xml:space="preserve"> This includes:</w:t>
      </w:r>
    </w:p>
    <w:p w:rsidR="00A00171" w:rsidRDefault="00A00171" w:rsidP="00A00171">
      <w:pPr>
        <w:pStyle w:val="AERbulletlistfirststyle"/>
      </w:pPr>
      <w:r>
        <w:t xml:space="preserve">expenditure for network development for which Multinet has failed to establish that there is a reasonable expectation that customers will obtain a net benefit </w:t>
      </w:r>
    </w:p>
    <w:p w:rsidR="00A00171" w:rsidRDefault="00A00171" w:rsidP="00A00171">
      <w:pPr>
        <w:pStyle w:val="AERbulletlistfirststyle"/>
      </w:pPr>
      <w:proofErr w:type="gramStart"/>
      <w:r>
        <w:t>part</w:t>
      </w:r>
      <w:proofErr w:type="gramEnd"/>
      <w:r>
        <w:t xml:space="preserve"> of the forecast costs underlying a fee Multinet forecasts to pay to the Energy Partnership Group Pty. Ltd. ('EPG fee') which will not be incurred in the 2013–17 access arrangement period.</w:t>
      </w:r>
    </w:p>
    <w:p w:rsidR="00A00171" w:rsidRPr="009F22C9" w:rsidRDefault="00A00171" w:rsidP="00A00171">
      <w:pPr>
        <w:pStyle w:val="AERbodytext"/>
        <w:numPr>
          <w:ilvl w:val="0"/>
          <w:numId w:val="13"/>
        </w:numPr>
        <w:rPr>
          <w:rStyle w:val="AERbody"/>
        </w:rPr>
      </w:pPr>
      <w:r w:rsidRPr="009F22C9">
        <w:rPr>
          <w:rStyle w:val="AERbody"/>
        </w:rPr>
        <w:t xml:space="preserve">With several other elements of Multinet's forecasts, including </w:t>
      </w:r>
      <w:r>
        <w:rPr>
          <w:rStyle w:val="AERbody"/>
        </w:rPr>
        <w:t>some</w:t>
      </w:r>
      <w:r w:rsidRPr="009F22C9">
        <w:rPr>
          <w:rStyle w:val="AERbody"/>
        </w:rPr>
        <w:t xml:space="preserve"> </w:t>
      </w:r>
      <w:r>
        <w:rPr>
          <w:rStyle w:val="AERbody"/>
        </w:rPr>
        <w:t xml:space="preserve">inhouse </w:t>
      </w:r>
      <w:r w:rsidRPr="009F22C9">
        <w:rPr>
          <w:rStyle w:val="AERbody"/>
        </w:rPr>
        <w:t>direct cos</w:t>
      </w:r>
      <w:r>
        <w:rPr>
          <w:rStyle w:val="AERbody"/>
        </w:rPr>
        <w:t xml:space="preserve">ts, </w:t>
      </w:r>
      <w:r w:rsidRPr="00782F09">
        <w:t xml:space="preserve">as well as </w:t>
      </w:r>
      <w:r>
        <w:t xml:space="preserve">inhouse </w:t>
      </w:r>
      <w:r w:rsidRPr="00782F09">
        <w:t xml:space="preserve">labour costs, </w:t>
      </w:r>
      <w:r>
        <w:t>and certain forecast volumes for</w:t>
      </w:r>
      <w:r w:rsidRPr="00782F09">
        <w:t xml:space="preserve"> network operations and maintenance </w:t>
      </w:r>
      <w:r>
        <w:t>services</w:t>
      </w:r>
      <w:r w:rsidRPr="009F22C9">
        <w:rPr>
          <w:rStyle w:val="AERbody"/>
        </w:rPr>
        <w:t>, the AER is no</w:t>
      </w:r>
      <w:r>
        <w:rPr>
          <w:rStyle w:val="AERbody"/>
        </w:rPr>
        <w:t xml:space="preserve">t satisfied that the forecasts </w:t>
      </w:r>
      <w:r w:rsidRPr="009F22C9">
        <w:rPr>
          <w:rStyle w:val="AERbody"/>
        </w:rPr>
        <w:t>are arrived at on a reasonable basis and/or represent the best forecast possible in the circumstances.</w:t>
      </w:r>
      <w:r w:rsidRPr="009F22C9">
        <w:rPr>
          <w:rStyle w:val="AERsuperscript"/>
        </w:rPr>
        <w:footnoteReference w:id="357"/>
      </w:r>
      <w:r w:rsidRPr="009F22C9">
        <w:rPr>
          <w:rStyle w:val="AERbody"/>
        </w:rPr>
        <w:t xml:space="preserve"> </w:t>
      </w:r>
      <w:r>
        <w:rPr>
          <w:rStyle w:val="AERbody"/>
        </w:rPr>
        <w:t>In particular</w:t>
      </w:r>
      <w:r w:rsidRPr="009F22C9">
        <w:rPr>
          <w:rStyle w:val="AERbody"/>
        </w:rPr>
        <w:t>:</w:t>
      </w:r>
    </w:p>
    <w:p w:rsidR="00A00171" w:rsidRDefault="00A00171" w:rsidP="00A00171">
      <w:pPr>
        <w:pStyle w:val="AERbulletlistfirststyle"/>
      </w:pPr>
      <w:proofErr w:type="gramStart"/>
      <w:r>
        <w:t>several</w:t>
      </w:r>
      <w:proofErr w:type="gramEnd"/>
      <w:r>
        <w:t xml:space="preserve"> direct costs forecasts have been estimated without an explanation of the process Multinet has undertaken to derive the forecast and are thus unsubstantiated.</w:t>
      </w:r>
      <w:r>
        <w:rPr>
          <w:rStyle w:val="FootnoteReference"/>
        </w:rPr>
        <w:footnoteReference w:id="358"/>
      </w:r>
    </w:p>
    <w:p w:rsidR="00A00171" w:rsidRDefault="00A00171" w:rsidP="00A00171">
      <w:pPr>
        <w:pStyle w:val="AERbulletlistfirststyle"/>
      </w:pPr>
      <w:r>
        <w:t>labour costs are based on external benchmarks for determining employee numbers and advice from a remuneration consultant about forecast salaries but Multinet has not demonstrated:</w:t>
      </w:r>
    </w:p>
    <w:p w:rsidR="00A00171" w:rsidRPr="00A00171" w:rsidRDefault="00A00171" w:rsidP="00A00171">
      <w:pPr>
        <w:pStyle w:val="AERbulletlistfirststyle"/>
      </w:pPr>
      <w:proofErr w:type="gramStart"/>
      <w:r>
        <w:t>the</w:t>
      </w:r>
      <w:proofErr w:type="gramEnd"/>
      <w:r>
        <w:t xml:space="preserve"> benchmarks used to forecast employee numbers are comparable to its own circumstances.  </w:t>
      </w:r>
    </w:p>
    <w:p w:rsidR="00A00171" w:rsidRPr="00A00171" w:rsidRDefault="00A00171" w:rsidP="00A00171">
      <w:pPr>
        <w:pStyle w:val="AERbulletlistfirststyle"/>
      </w:pPr>
      <w:proofErr w:type="gramStart"/>
      <w:r>
        <w:t>that</w:t>
      </w:r>
      <w:proofErr w:type="gramEnd"/>
      <w:r>
        <w:t xml:space="preserve"> </w:t>
      </w:r>
      <w:r w:rsidRPr="00A00171">
        <w:t xml:space="preserve">forecast employee bonuses warrant an increase in opex. </w:t>
      </w:r>
    </w:p>
    <w:p w:rsidR="00A00171" w:rsidRDefault="00A00171" w:rsidP="00A00171">
      <w:pPr>
        <w:pStyle w:val="AERbodytext"/>
        <w:numPr>
          <w:ilvl w:val="0"/>
          <w:numId w:val="13"/>
        </w:numPr>
        <w:rPr>
          <w:rStyle w:val="AERbody"/>
        </w:rPr>
      </w:pPr>
      <w:r>
        <w:t>In isolation, some of the issues the AER has identified with Multinet's forecast may not have a significant impact on total opex. However, as the AER has a number of different concerns about aspects of the forecasting approach, in total, it relates to a material proportion of Multinet's forecast. Therefore the AER is not satisfied after its review of Multinet's bottom-up forecast that it is a forecast of opex that would be incurred by a prudent service provider acting efficiently in accordance with good industry practice to achieve the lowest sustainable cost of delivering pipeline services.</w:t>
      </w:r>
      <w:r>
        <w:rPr>
          <w:rStyle w:val="FootnoteReference"/>
        </w:rPr>
        <w:footnoteReference w:id="359"/>
      </w:r>
    </w:p>
    <w:p w:rsidR="00A00171" w:rsidRPr="00CD638C" w:rsidRDefault="00A00171" w:rsidP="00A00171">
      <w:pPr>
        <w:pStyle w:val="AERbodytext"/>
        <w:numPr>
          <w:ilvl w:val="0"/>
          <w:numId w:val="13"/>
        </w:numPr>
        <w:rPr>
          <w:rStyle w:val="AERbody"/>
        </w:rPr>
      </w:pPr>
      <w:r w:rsidRPr="00CD638C">
        <w:rPr>
          <w:rStyle w:val="AERbody"/>
        </w:rPr>
        <w:t>The review undertaken by the AER is outlined below under the following headings:</w:t>
      </w:r>
    </w:p>
    <w:p w:rsidR="00A00171" w:rsidRDefault="00A00171" w:rsidP="00A00171">
      <w:pPr>
        <w:pStyle w:val="AERbulletlistfirststyle"/>
      </w:pPr>
      <w:r>
        <w:t>direct costs</w:t>
      </w:r>
    </w:p>
    <w:p w:rsidR="00A00171" w:rsidRDefault="00A00171" w:rsidP="00A00171">
      <w:pPr>
        <w:pStyle w:val="AERbulletlistfirststyle"/>
      </w:pPr>
      <w:r>
        <w:t>labour costs</w:t>
      </w:r>
    </w:p>
    <w:p w:rsidR="00A00171" w:rsidRDefault="00A00171" w:rsidP="00A00171">
      <w:pPr>
        <w:pStyle w:val="AERbulletlistfirststyle"/>
      </w:pPr>
      <w:r>
        <w:t>outsourced network operations volumes</w:t>
      </w:r>
    </w:p>
    <w:p w:rsidR="00A00171" w:rsidRDefault="00A00171" w:rsidP="00500A89">
      <w:pPr>
        <w:pStyle w:val="HeadingBoldBlue"/>
      </w:pPr>
      <w:r>
        <w:t>Direct costs</w:t>
      </w:r>
    </w:p>
    <w:p w:rsidR="00A00171" w:rsidRPr="008906C0" w:rsidRDefault="00A00171" w:rsidP="00A00171">
      <w:pPr>
        <w:pStyle w:val="AERbodytext"/>
        <w:numPr>
          <w:ilvl w:val="0"/>
          <w:numId w:val="13"/>
        </w:numPr>
      </w:pPr>
      <w:r w:rsidRPr="008906C0">
        <w:t xml:space="preserve">Multinet’s direct costs consist of costs incurred in </w:t>
      </w:r>
      <w:r>
        <w:t>providing</w:t>
      </w:r>
      <w:r w:rsidRPr="008906C0">
        <w:t xml:space="preserve"> in-house network operations, customer and market services, IT services, and corporate services. Direct costs, including debt raising costs, comp</w:t>
      </w:r>
      <w:r>
        <w:t>rise</w:t>
      </w:r>
      <w:r w:rsidRPr="008906C0">
        <w:t xml:space="preserve"> 23.3 per cent of Multinet’s revised forecast for opex.</w:t>
      </w:r>
    </w:p>
    <w:p w:rsidR="00A00171" w:rsidRPr="008906C0" w:rsidRDefault="00A00171" w:rsidP="00A00171">
      <w:pPr>
        <w:pStyle w:val="AERbodytext"/>
        <w:numPr>
          <w:ilvl w:val="0"/>
          <w:numId w:val="13"/>
        </w:numPr>
      </w:pPr>
      <w:r w:rsidRPr="008906C0">
        <w:t>In its draft decision</w:t>
      </w:r>
      <w:r>
        <w:t>,</w:t>
      </w:r>
      <w:r w:rsidRPr="008906C0">
        <w:t xml:space="preserve"> the AER noted that Mult</w:t>
      </w:r>
      <w:r>
        <w:t>i</w:t>
      </w:r>
      <w:r w:rsidRPr="008906C0">
        <w:t>net did not provide detailed information on the derivation of forecasts of its direct costs.</w:t>
      </w:r>
      <w:r>
        <w:rPr>
          <w:rStyle w:val="FootnoteReference"/>
        </w:rPr>
        <w:footnoteReference w:id="360"/>
      </w:r>
    </w:p>
    <w:p w:rsidR="00A00171" w:rsidRDefault="00A00171" w:rsidP="00A00171">
      <w:pPr>
        <w:pStyle w:val="AERbodytext"/>
        <w:numPr>
          <w:ilvl w:val="0"/>
          <w:numId w:val="13"/>
        </w:numPr>
      </w:pPr>
      <w:r w:rsidRPr="008906C0">
        <w:t>In its revised proposal</w:t>
      </w:r>
      <w:r>
        <w:t>,</w:t>
      </w:r>
      <w:r w:rsidRPr="008906C0">
        <w:t xml:space="preserve"> Multinet provided consultant reports from Grant Thornton and AECOM.</w:t>
      </w:r>
      <w:r>
        <w:rPr>
          <w:rStyle w:val="FootnoteReference"/>
        </w:rPr>
        <w:footnoteReference w:id="361"/>
      </w:r>
      <w:r w:rsidRPr="008906C0">
        <w:t xml:space="preserve"> The purpose of these reports was to provide external analysis about whether Multinet’s bottom up approach to forecasting direct costs </w:t>
      </w:r>
      <w:r>
        <w:t>satisfies the opex criteria and the forecasts and estimates</w:t>
      </w:r>
      <w:r w:rsidRPr="009225F0">
        <w:t xml:space="preserve"> </w:t>
      </w:r>
      <w:r>
        <w:t>criteria of the NGR</w:t>
      </w:r>
      <w:r w:rsidRPr="008906C0">
        <w:t xml:space="preserve">. The AECOM report was commissioned to analyse Multinet’s forecast of direct network operations costs. The Grant Thornton report was commissioned to analyse all other </w:t>
      </w:r>
      <w:r>
        <w:t xml:space="preserve">forecast </w:t>
      </w:r>
      <w:r w:rsidRPr="008906C0">
        <w:t xml:space="preserve">direct operating costs. Multinet provided two assumption booklets to aid </w:t>
      </w:r>
      <w:r>
        <w:t>Grant Thornton</w:t>
      </w:r>
      <w:r w:rsidRPr="008906C0">
        <w:t xml:space="preserve"> in </w:t>
      </w:r>
      <w:r>
        <w:t xml:space="preserve">its </w:t>
      </w:r>
      <w:r w:rsidRPr="008906C0">
        <w:t>assessment of Multinet’s forecasts.</w:t>
      </w:r>
      <w:r>
        <w:t xml:space="preserve"> These booklets were provided to the AER on request after submission of the revised proposal.</w:t>
      </w:r>
      <w:r>
        <w:rPr>
          <w:rStyle w:val="FootnoteReference"/>
        </w:rPr>
        <w:footnoteReference w:id="362"/>
      </w:r>
      <w:r w:rsidRPr="008906C0">
        <w:t xml:space="preserve"> </w:t>
      </w:r>
      <w:r>
        <w:t>The AER has considered the findings of these reports in its review of Multinet's revised proposal.</w:t>
      </w:r>
    </w:p>
    <w:p w:rsidR="00A00171" w:rsidRDefault="00A00171" w:rsidP="00A00171">
      <w:pPr>
        <w:pStyle w:val="AERbodytext"/>
        <w:numPr>
          <w:ilvl w:val="0"/>
          <w:numId w:val="13"/>
        </w:numPr>
      </w:pPr>
      <w:r>
        <w:t xml:space="preserve">After a review of Multinet's direct costs there are several elements that do not satisfy the opex criteria, including forecast network development expenditure, forecast transition costs, and bonuses recovered through the EPG fee. These issues are all discussed in the context of the AER's base year estimate. Transition costs are discussed in attachment 7. The bonuses included in Multinet's forecast of the EPG fee and forecast network development expenditure </w:t>
      </w:r>
      <w:proofErr w:type="gramStart"/>
      <w:r>
        <w:t>are</w:t>
      </w:r>
      <w:proofErr w:type="gramEnd"/>
      <w:r>
        <w:t xml:space="preserve"> discussed below in sections </w:t>
      </w:r>
      <w:r w:rsidR="009B2237">
        <w:fldChar w:fldCharType="begin"/>
      </w:r>
      <w:r>
        <w:instrText xml:space="preserve"> REF _Ref350334411 \r \h </w:instrText>
      </w:r>
      <w:r w:rsidR="009B2237">
        <w:fldChar w:fldCharType="separate"/>
      </w:r>
      <w:r w:rsidR="006B0748">
        <w:t>D.2</w:t>
      </w:r>
      <w:r w:rsidR="009B2237">
        <w:fldChar w:fldCharType="end"/>
      </w:r>
      <w:r>
        <w:t xml:space="preserve"> and </w:t>
      </w:r>
      <w:r w:rsidR="009B2237">
        <w:fldChar w:fldCharType="begin"/>
      </w:r>
      <w:r>
        <w:instrText xml:space="preserve"> REF _Ref350334420 \r \h </w:instrText>
      </w:r>
      <w:r w:rsidR="009B2237">
        <w:fldChar w:fldCharType="separate"/>
      </w:r>
      <w:r w:rsidR="006B0748">
        <w:t>D.3</w:t>
      </w:r>
      <w:r w:rsidR="009B2237">
        <w:fldChar w:fldCharType="end"/>
      </w:r>
      <w:r>
        <w:t>.</w:t>
      </w:r>
    </w:p>
    <w:p w:rsidR="00A00171" w:rsidRDefault="00A00171" w:rsidP="00A00171">
      <w:pPr>
        <w:pStyle w:val="AERbodytext"/>
        <w:numPr>
          <w:ilvl w:val="0"/>
          <w:numId w:val="13"/>
        </w:numPr>
      </w:pPr>
      <w:r>
        <w:t xml:space="preserve">In relation to other direct costs the AER notes that the </w:t>
      </w:r>
      <w:r w:rsidRPr="008906C0">
        <w:t>AECOM report found that Multinet’s bottom up forecasting methodology for direct network operations costs was reasonable, but did not provide the analysis it undertook to arrive at its conclusion.</w:t>
      </w:r>
      <w:r w:rsidRPr="008906C0">
        <w:rPr>
          <w:rStyle w:val="FootnoteReference"/>
        </w:rPr>
        <w:footnoteReference w:id="363"/>
      </w:r>
      <w:r w:rsidRPr="008906C0">
        <w:t xml:space="preserve"> The Grant Thornton report did use historical data </w:t>
      </w:r>
      <w:r>
        <w:t xml:space="preserve">and </w:t>
      </w:r>
      <w:r w:rsidRPr="008906C0">
        <w:t>invoices as evidence to support the forecasts for some direct cost items</w:t>
      </w:r>
      <w:r>
        <w:t>.</w:t>
      </w:r>
      <w:r w:rsidRPr="008906C0">
        <w:t xml:space="preserve"> </w:t>
      </w:r>
      <w:r>
        <w:t>T</w:t>
      </w:r>
      <w:r w:rsidRPr="008906C0">
        <w:t xml:space="preserve">here were still </w:t>
      </w:r>
      <w:r>
        <w:t xml:space="preserve">other </w:t>
      </w:r>
      <w:r w:rsidRPr="008906C0">
        <w:t>forecasts wh</w:t>
      </w:r>
      <w:r>
        <w:t>ere there was no such evidence and the</w:t>
      </w:r>
      <w:r w:rsidRPr="008906C0">
        <w:t xml:space="preserve"> </w:t>
      </w:r>
      <w:r>
        <w:t>methodology</w:t>
      </w:r>
      <w:r w:rsidRPr="008906C0">
        <w:t xml:space="preserve"> </w:t>
      </w:r>
      <w:r>
        <w:t xml:space="preserve">used as the basis for the analysis </w:t>
      </w:r>
      <w:r w:rsidRPr="008906C0">
        <w:t xml:space="preserve">was not fully explained. </w:t>
      </w:r>
    </w:p>
    <w:p w:rsidR="00A00171" w:rsidRPr="008906C0" w:rsidRDefault="00A00171" w:rsidP="00A00171">
      <w:pPr>
        <w:pStyle w:val="AERbodytext"/>
        <w:numPr>
          <w:ilvl w:val="0"/>
          <w:numId w:val="13"/>
        </w:numPr>
      </w:pPr>
      <w:r>
        <w:t>The Grant Thornton report</w:t>
      </w:r>
      <w:r w:rsidRPr="008906C0">
        <w:t xml:space="preserve"> provide</w:t>
      </w:r>
      <w:r>
        <w:t>d</w:t>
      </w:r>
      <w:r w:rsidRPr="008906C0">
        <w:t xml:space="preserve"> some further information on the basis of Multinet’s bo</w:t>
      </w:r>
      <w:r>
        <w:t>ttom up forecasting methodology that was not available to the AER prior to the draft decision.</w:t>
      </w:r>
      <w:r w:rsidRPr="008906C0">
        <w:t xml:space="preserve"> However, the AER considers </w:t>
      </w:r>
      <w:r>
        <w:t>it does not demonstrate that all aspects meet the relevant NGR criteria.</w:t>
      </w:r>
      <w:r>
        <w:rPr>
          <w:rStyle w:val="FootnoteReference"/>
        </w:rPr>
        <w:footnoteReference w:id="364"/>
      </w:r>
      <w:r>
        <w:t xml:space="preserve"> As a result, </w:t>
      </w:r>
      <w:r w:rsidRPr="008906C0">
        <w:t xml:space="preserve">there remains uncertainty about the basis of the forecasts for </w:t>
      </w:r>
      <w:r>
        <w:t>some</w:t>
      </w:r>
      <w:r w:rsidRPr="008906C0">
        <w:t xml:space="preserve"> recurrent direct costs</w:t>
      </w:r>
      <w:r>
        <w:t>. Therefore it is not possible to conclude that these forecasts were arrived at on a reasonable basis and represent the best forecasts possible in the circumstances</w:t>
      </w:r>
      <w:r w:rsidRPr="008906C0">
        <w:t>.</w:t>
      </w:r>
      <w:r w:rsidRPr="008906C0">
        <w:rPr>
          <w:rStyle w:val="FootnoteReference"/>
        </w:rPr>
        <w:footnoteReference w:id="365"/>
      </w:r>
    </w:p>
    <w:p w:rsidR="00A00171" w:rsidRPr="008906C0" w:rsidRDefault="00A00171" w:rsidP="00A00171">
      <w:pPr>
        <w:pStyle w:val="AERbodytext"/>
        <w:numPr>
          <w:ilvl w:val="0"/>
          <w:numId w:val="13"/>
        </w:numPr>
      </w:pPr>
      <w:r>
        <w:t>For instance, m</w:t>
      </w:r>
      <w:r w:rsidRPr="008906C0">
        <w:t>any of Multinet’s direct costs for the access arrangement period 2013-17 are explained as being based</w:t>
      </w:r>
      <w:r>
        <w:t xml:space="preserve"> on management’s best estimate.</w:t>
      </w:r>
      <w:r w:rsidRPr="008906C0">
        <w:t xml:space="preserve"> Being made on the basis of management’s best estimates is not</w:t>
      </w:r>
      <w:r>
        <w:t>,</w:t>
      </w:r>
      <w:r w:rsidRPr="008906C0">
        <w:t xml:space="preserve"> in and of itself</w:t>
      </w:r>
      <w:r>
        <w:t>,</w:t>
      </w:r>
      <w:r w:rsidRPr="008906C0">
        <w:t xml:space="preserve"> a source of uncertainty. If the basis of management’s estimate was included, </w:t>
      </w:r>
      <w:r>
        <w:t>it may be possible to conclude that they were arrived at on a reasonable basis</w:t>
      </w:r>
      <w:r w:rsidRPr="008906C0">
        <w:t xml:space="preserve">. However without an explanation of the process that management used to develop the forecast, </w:t>
      </w:r>
      <w:r>
        <w:t>this is not possible</w:t>
      </w:r>
      <w:r w:rsidRPr="008906C0">
        <w:t xml:space="preserve">. Examples </w:t>
      </w:r>
      <w:r>
        <w:t xml:space="preserve">of bottom up forecasts that are based on Multinet's management's best estimate </w:t>
      </w:r>
      <w:r w:rsidRPr="008906C0">
        <w:t xml:space="preserve">can be found in </w:t>
      </w:r>
      <w:r>
        <w:t>the following cost categories outlined in table D.1.</w:t>
      </w:r>
    </w:p>
    <w:p w:rsidR="00A00171" w:rsidRPr="008906C0" w:rsidRDefault="00A00171" w:rsidP="00A00171">
      <w:pPr>
        <w:pStyle w:val="Caption"/>
      </w:pPr>
      <w:proofErr w:type="gramStart"/>
      <w:r>
        <w:t xml:space="preserve">Table </w:t>
      </w:r>
      <w:fldSimple w:instr=" STYLEREF 7 \s ">
        <w:r w:rsidR="006B0748">
          <w:rPr>
            <w:noProof/>
          </w:rPr>
          <w:t>D</w:t>
        </w:r>
      </w:fldSimple>
      <w:r>
        <w:t>.</w:t>
      </w:r>
      <w:proofErr w:type="gramEnd"/>
      <w:r w:rsidR="009B2237">
        <w:fldChar w:fldCharType="begin"/>
      </w:r>
      <w:r>
        <w:instrText xml:space="preserve"> SEQ ATable \* ARABIC \s 7 </w:instrText>
      </w:r>
      <w:r w:rsidR="009B2237">
        <w:fldChar w:fldCharType="separate"/>
      </w:r>
      <w:r w:rsidR="006B0748">
        <w:rPr>
          <w:noProof/>
        </w:rPr>
        <w:t>1</w:t>
      </w:r>
      <w:r w:rsidR="009B2237">
        <w:fldChar w:fldCharType="end"/>
      </w:r>
      <w:r w:rsidRPr="008906C0">
        <w:tab/>
        <w:t>Direct cost items explained as being</w:t>
      </w:r>
      <w:r>
        <w:t xml:space="preserve"> made on the basis of Multinet m</w:t>
      </w:r>
      <w:r w:rsidRPr="008906C0">
        <w:t>anagement’s best estimates ($m</w:t>
      </w:r>
      <w:r>
        <w:t>, 2012</w:t>
      </w:r>
      <w:r w:rsidRPr="008906C0">
        <w:t>).</w:t>
      </w:r>
    </w:p>
    <w:tbl>
      <w:tblPr>
        <w:tblStyle w:val="AERtable-text"/>
        <w:tblW w:w="4966" w:type="pct"/>
        <w:tblLook w:val="04A0"/>
      </w:tblPr>
      <w:tblGrid>
        <w:gridCol w:w="7765"/>
        <w:gridCol w:w="1414"/>
      </w:tblGrid>
      <w:tr w:rsidR="00A00171" w:rsidRPr="00C83A38" w:rsidTr="00500A89">
        <w:trPr>
          <w:cnfStyle w:val="100000000000"/>
        </w:trPr>
        <w:tc>
          <w:tcPr>
            <w:tcW w:w="4230" w:type="pct"/>
          </w:tcPr>
          <w:p w:rsidR="00A00171" w:rsidRPr="00A00171" w:rsidRDefault="00A00171" w:rsidP="002B005E">
            <w:pPr>
              <w:pStyle w:val="AERtabletextleft"/>
            </w:pPr>
            <w:r w:rsidRPr="00A00171">
              <w:t>Cost item</w:t>
            </w:r>
          </w:p>
        </w:tc>
        <w:tc>
          <w:tcPr>
            <w:tcW w:w="770" w:type="pct"/>
          </w:tcPr>
          <w:p w:rsidR="00A00171" w:rsidRPr="00A00171" w:rsidRDefault="00A00171" w:rsidP="002B005E">
            <w:pPr>
              <w:pStyle w:val="AERtabletextleft"/>
            </w:pPr>
            <w:r w:rsidRPr="00A00171">
              <w:t>Total</w:t>
            </w:r>
          </w:p>
        </w:tc>
      </w:tr>
      <w:tr w:rsidR="00A00171" w:rsidRPr="00C83A38" w:rsidTr="00500A89">
        <w:tc>
          <w:tcPr>
            <w:tcW w:w="4230" w:type="pct"/>
          </w:tcPr>
          <w:p w:rsidR="00A00171" w:rsidRPr="00CA5039" w:rsidRDefault="00A00171" w:rsidP="002B005E">
            <w:pPr>
              <w:pStyle w:val="AERtabletextleft"/>
            </w:pPr>
            <w:r w:rsidRPr="00CA5039">
              <w:t>Consulting - regulatory</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Consulting - Commercial</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 xml:space="preserve">Consulting - IT </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Consulting – internal audit</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Consulting – customer and market services (excluding customer satisfaction surveys)</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Consulting – other</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Subscriptions - other</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Communications – Corporate responsibility</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Communications – Crisis management</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Communications – Events management</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Communications – Government relations</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Communications – Internal communications</w:t>
            </w:r>
          </w:p>
        </w:tc>
        <w:tc>
          <w:tcPr>
            <w:tcW w:w="770" w:type="pct"/>
          </w:tcPr>
          <w:p w:rsidR="00A00171" w:rsidRPr="00CA5039" w:rsidRDefault="00A00171" w:rsidP="002B005E">
            <w:pPr>
              <w:pStyle w:val="AERtabletextleft"/>
            </w:pPr>
            <w:r w:rsidRPr="00CA5039">
              <w:t>c-i-c</w:t>
            </w:r>
          </w:p>
        </w:tc>
      </w:tr>
      <w:tr w:rsidR="00A00171" w:rsidRPr="00C83A38" w:rsidTr="00500A89">
        <w:tc>
          <w:tcPr>
            <w:tcW w:w="4230" w:type="pct"/>
          </w:tcPr>
          <w:p w:rsidR="00A00171" w:rsidRPr="00CA5039" w:rsidRDefault="00A00171" w:rsidP="002B005E">
            <w:pPr>
              <w:pStyle w:val="AERtabletextleft"/>
            </w:pPr>
            <w:r w:rsidRPr="00CA5039">
              <w:t>Rental</w:t>
            </w:r>
          </w:p>
        </w:tc>
        <w:tc>
          <w:tcPr>
            <w:tcW w:w="770" w:type="pct"/>
          </w:tcPr>
          <w:p w:rsidR="00A00171" w:rsidRPr="00CA5039" w:rsidRDefault="00A00171" w:rsidP="002B005E">
            <w:pPr>
              <w:pStyle w:val="AERtabletextleft"/>
            </w:pPr>
            <w:r w:rsidRPr="00CA5039">
              <w:t>c-i-c</w:t>
            </w:r>
          </w:p>
        </w:tc>
      </w:tr>
      <w:tr w:rsidR="00A00171" w:rsidRPr="00C83A38" w:rsidTr="00500A89">
        <w:trPr>
          <w:cnfStyle w:val="000000010000"/>
        </w:trPr>
        <w:tc>
          <w:tcPr>
            <w:tcW w:w="4230" w:type="pct"/>
          </w:tcPr>
          <w:p w:rsidR="00A00171" w:rsidRPr="00CA5039" w:rsidRDefault="00A00171" w:rsidP="002B005E">
            <w:pPr>
              <w:pStyle w:val="AERtabletextleft"/>
            </w:pPr>
            <w:r w:rsidRPr="00CA5039">
              <w:t>Total Value</w:t>
            </w:r>
          </w:p>
        </w:tc>
        <w:tc>
          <w:tcPr>
            <w:tcW w:w="770" w:type="pct"/>
          </w:tcPr>
          <w:p w:rsidR="00A00171" w:rsidRPr="00CA5039" w:rsidRDefault="00A00171" w:rsidP="002B005E">
            <w:pPr>
              <w:pStyle w:val="AERtabletextleft"/>
            </w:pPr>
            <w:r>
              <w:t>18.2</w:t>
            </w:r>
          </w:p>
        </w:tc>
      </w:tr>
    </w:tbl>
    <w:p w:rsidR="00A00171" w:rsidRPr="008906C0" w:rsidRDefault="00A00171" w:rsidP="00A00171">
      <w:pPr>
        <w:pStyle w:val="AERtablesource"/>
      </w:pPr>
      <w:r w:rsidRPr="008906C0">
        <w:t>Source:</w:t>
      </w:r>
      <w:r w:rsidRPr="008906C0">
        <w:tab/>
        <w:t>Grant Thornton report</w:t>
      </w:r>
      <w:r w:rsidRPr="008906C0">
        <w:rPr>
          <w:rStyle w:val="FootnoteReference"/>
        </w:rPr>
        <w:footnoteReference w:id="366"/>
      </w:r>
    </w:p>
    <w:p w:rsidR="00A00171" w:rsidRPr="008906C0" w:rsidRDefault="00A00171" w:rsidP="00A00171">
      <w:pPr>
        <w:pStyle w:val="AERbodytext"/>
        <w:numPr>
          <w:ilvl w:val="0"/>
          <w:numId w:val="13"/>
        </w:numPr>
      </w:pPr>
      <w:r w:rsidRPr="008906C0">
        <w:t xml:space="preserve">Another source of uncertainty in the bottom up forecast is that it is derived as a composite of separate forecasts prepared by different individuals. </w:t>
      </w:r>
      <w:r>
        <w:t xml:space="preserve">It is therefore questionable whether </w:t>
      </w:r>
      <w:r w:rsidRPr="008906C0">
        <w:t>all of the assumptions behind the individual forecasts are consistent. There appears to be some evidence this may be the case. Some of Multinet’s travel</w:t>
      </w:r>
      <w:r w:rsidRPr="008906C0">
        <w:rPr>
          <w:rStyle w:val="FootnoteReference"/>
        </w:rPr>
        <w:t xml:space="preserve"> </w:t>
      </w:r>
      <w:r w:rsidRPr="008906C0">
        <w:rPr>
          <w:rStyle w:val="FootnoteReference"/>
        </w:rPr>
        <w:footnoteReference w:id="367"/>
      </w:r>
      <w:r w:rsidRPr="008906C0">
        <w:t xml:space="preserve"> and entertainment</w:t>
      </w:r>
      <w:r w:rsidRPr="008906C0">
        <w:rPr>
          <w:rStyle w:val="FootnoteReference"/>
        </w:rPr>
        <w:t xml:space="preserve"> </w:t>
      </w:r>
      <w:r w:rsidRPr="008906C0">
        <w:rPr>
          <w:rStyle w:val="FootnoteReference"/>
        </w:rPr>
        <w:footnoteReference w:id="368"/>
      </w:r>
      <w:r w:rsidRPr="008906C0">
        <w:t xml:space="preserve"> cost forecasts, for example, are calculated using different assumptions for staff numbers.</w:t>
      </w:r>
      <w:r w:rsidRPr="000D7185">
        <w:t xml:space="preserve"> </w:t>
      </w:r>
      <w:r>
        <w:t>This creates further uncertainty about the validity of forecasts as it is not clear which set of assumptions is most appropriate.</w:t>
      </w:r>
    </w:p>
    <w:p w:rsidR="00A00171" w:rsidRPr="008906C0" w:rsidRDefault="00A00171" w:rsidP="00A00171">
      <w:pPr>
        <w:pStyle w:val="AERbodytext"/>
        <w:numPr>
          <w:ilvl w:val="0"/>
          <w:numId w:val="13"/>
        </w:numPr>
      </w:pPr>
      <w:r>
        <w:t>F</w:t>
      </w:r>
      <w:r w:rsidRPr="008906C0">
        <w:t>or some items</w:t>
      </w:r>
      <w:r>
        <w:t>,</w:t>
      </w:r>
      <w:r w:rsidRPr="008906C0">
        <w:t xml:space="preserve"> </w:t>
      </w:r>
      <w:r>
        <w:t>no</w:t>
      </w:r>
      <w:r w:rsidRPr="008906C0">
        <w:t xml:space="preserve"> evidence </w:t>
      </w:r>
      <w:r>
        <w:t xml:space="preserve">is provided </w:t>
      </w:r>
      <w:r w:rsidRPr="008906C0">
        <w:t>to support the forecast. For example Grant Thornton was not provided with information to elucidate forecast expenditure for Multinet’s return to work claims.</w:t>
      </w:r>
      <w:r w:rsidRPr="008906C0">
        <w:rPr>
          <w:rStyle w:val="FootnoteReference"/>
        </w:rPr>
        <w:footnoteReference w:id="369"/>
      </w:r>
      <w:r w:rsidRPr="008906C0">
        <w:t xml:space="preserve"> Another example is that some direct cost items, for which the value of the forecast is less than $1m during the 2013-17 access arrangement </w:t>
      </w:r>
      <w:proofErr w:type="gramStart"/>
      <w:r w:rsidRPr="008906C0">
        <w:t>period</w:t>
      </w:r>
      <w:proofErr w:type="gramEnd"/>
      <w:r w:rsidRPr="008906C0">
        <w:t>, are not accompanied by explanations.</w:t>
      </w:r>
      <w:r w:rsidRPr="008906C0">
        <w:rPr>
          <w:rStyle w:val="FootnoteReference"/>
        </w:rPr>
        <w:footnoteReference w:id="370"/>
      </w:r>
      <w:r w:rsidRPr="008906C0">
        <w:t xml:space="preserve"> While these smaller cost items </w:t>
      </w:r>
      <w:r>
        <w:t>are</w:t>
      </w:r>
      <w:r w:rsidRPr="008906C0">
        <w:t xml:space="preserve"> immaterial individually, when taken collectively, the AER considers they are material in their impact </w:t>
      </w:r>
      <w:r>
        <w:t xml:space="preserve">($5.75 million ($2012)) </w:t>
      </w:r>
      <w:r w:rsidRPr="008906C0">
        <w:t>on Multinet’s forecast of opex. Othe</w:t>
      </w:r>
      <w:r>
        <w:t>r gas network</w:t>
      </w:r>
      <w:r w:rsidRPr="008906C0">
        <w:t xml:space="preserve"> businesses have provided explanations for step changes of similar value to some of the </w:t>
      </w:r>
      <w:r>
        <w:t xml:space="preserve">other direct </w:t>
      </w:r>
      <w:r w:rsidRPr="008906C0">
        <w:t>cost items included in the Grant Thornton report.</w:t>
      </w:r>
      <w:r w:rsidRPr="008906C0">
        <w:rPr>
          <w:rStyle w:val="FootnoteReference"/>
        </w:rPr>
        <w:footnoteReference w:id="371"/>
      </w:r>
    </w:p>
    <w:p w:rsidR="00A00171" w:rsidRDefault="00A00171" w:rsidP="00A00171">
      <w:pPr>
        <w:pStyle w:val="AERbodytext"/>
        <w:numPr>
          <w:ilvl w:val="0"/>
          <w:numId w:val="13"/>
        </w:numPr>
      </w:pPr>
      <w:r w:rsidRPr="008906C0">
        <w:t xml:space="preserve">The AER </w:t>
      </w:r>
      <w:r>
        <w:t>acknowledges</w:t>
      </w:r>
      <w:r w:rsidRPr="008906C0">
        <w:t xml:space="preserve"> that providing a detailed explanation for all of the forecasts that compose Multinet’s bottom up forecast </w:t>
      </w:r>
      <w:r>
        <w:t>could</w:t>
      </w:r>
      <w:r w:rsidRPr="008906C0">
        <w:t xml:space="preserve"> be burdensome. However,</w:t>
      </w:r>
      <w:r>
        <w:t xml:space="preserve"> under r. 74(2) of the NGR any forecasts or estimates provided must be arrived at on a reasonable basis and represent the best possible forecast or estimate in the circumstances. Therefore there must be sufficient information provided to establish the basis of the forecasts. Clearly, this was not provided for many of Multinet's forecasts. Moreover, where it was provided, the basis of some forecasts was not reasonable. Given this level of uncertainty, the AER is not satisfied that the forecast opex reflects prudent and efficient expenditure.</w:t>
      </w:r>
      <w:r>
        <w:rPr>
          <w:rStyle w:val="FootnoteReference"/>
        </w:rPr>
        <w:footnoteReference w:id="372"/>
      </w:r>
    </w:p>
    <w:p w:rsidR="00A00171" w:rsidRDefault="00A00171" w:rsidP="00500A89">
      <w:pPr>
        <w:pStyle w:val="HeadingBoldBlue"/>
      </w:pPr>
      <w:r>
        <w:t>Labour costs</w:t>
      </w:r>
    </w:p>
    <w:p w:rsidR="00A00171" w:rsidRDefault="00A00171" w:rsidP="00A00171">
      <w:pPr>
        <w:pStyle w:val="AERbodytext"/>
        <w:numPr>
          <w:ilvl w:val="0"/>
          <w:numId w:val="13"/>
        </w:numPr>
      </w:pPr>
      <w:r>
        <w:t xml:space="preserve">Multinet's in-house labour </w:t>
      </w:r>
      <w:r w:rsidR="00FC0110">
        <w:t>costs represent</w:t>
      </w:r>
      <w:r>
        <w:t xml:space="preserve"> 17.2 per cent of Multinet's revised total forecast opex. Multinet's bottom-up build of total in-house labour costs were derived from an assessment of Multinet's required staffing levels and an estimate of the market remuneration for each position.</w:t>
      </w:r>
    </w:p>
    <w:p w:rsidR="00A00171" w:rsidRDefault="00A00171" w:rsidP="00A00171">
      <w:pPr>
        <w:pStyle w:val="AERbodytext"/>
        <w:numPr>
          <w:ilvl w:val="0"/>
          <w:numId w:val="13"/>
        </w:numPr>
      </w:pPr>
      <w:r>
        <w:t>To determine the staffing requirements Multinet undertook scoping exercises and internal workshops with input from its consultants GHD and AT Kearney.</w:t>
      </w:r>
      <w:r>
        <w:rPr>
          <w:rStyle w:val="FootnoteReference"/>
        </w:rPr>
        <w:footnoteReference w:id="373"/>
      </w:r>
      <w:r>
        <w:t xml:space="preserve"> In relation to remuneration for each position, Multinet commissioned Geoff Nunn and Associates to evaluate each role identified by Multinet. </w:t>
      </w:r>
    </w:p>
    <w:p w:rsidR="00A00171" w:rsidRDefault="00A00171" w:rsidP="00A00171">
      <w:pPr>
        <w:pStyle w:val="AERbodytext"/>
        <w:numPr>
          <w:ilvl w:val="0"/>
          <w:numId w:val="13"/>
        </w:numPr>
      </w:pPr>
      <w:r w:rsidRPr="00E305CE">
        <w:t xml:space="preserve">AT Kearney benchmarked Multinet's internal staffing levels against </w:t>
      </w:r>
      <w:r>
        <w:t xml:space="preserve">other </w:t>
      </w:r>
      <w:r w:rsidRPr="00E305CE">
        <w:t>gas distribution businesses.</w:t>
      </w:r>
      <w:r w:rsidRPr="00E305CE">
        <w:rPr>
          <w:rStyle w:val="FootnoteReference"/>
        </w:rPr>
        <w:footnoteReference w:id="374"/>
      </w:r>
      <w:r>
        <w:t xml:space="preserve"> Multinet considered AT Kearney's findings confirmed that Multinet's forecast number of FTEs is consistent with prudent and efficient staffing levels.</w:t>
      </w:r>
      <w:r>
        <w:rPr>
          <w:rStyle w:val="FootnoteReference"/>
        </w:rPr>
        <w:footnoteReference w:id="375"/>
      </w:r>
    </w:p>
    <w:p w:rsidR="00A00171" w:rsidRDefault="00A00171" w:rsidP="00A00171">
      <w:pPr>
        <w:pStyle w:val="AERbodytext"/>
        <w:numPr>
          <w:ilvl w:val="0"/>
          <w:numId w:val="13"/>
        </w:numPr>
      </w:pPr>
      <w:r>
        <w:t xml:space="preserve">Geoff Nunn and Associates evaluated the position descriptions based on data provided by Multinet. Based on its assessment of each position, it compared the forecast salaries to salaries based on a remuneration survey of private sector energy based utilities. </w:t>
      </w:r>
    </w:p>
    <w:p w:rsidR="00A00171" w:rsidRDefault="00A00171" w:rsidP="00A00171">
      <w:pPr>
        <w:pStyle w:val="AERbodytext"/>
        <w:numPr>
          <w:ilvl w:val="0"/>
          <w:numId w:val="13"/>
        </w:numPr>
      </w:pPr>
      <w:r>
        <w:t>In the draft decision the AER was not satisfied that the forecasts of in-house labour had been arrived on a reasonable basis.</w:t>
      </w:r>
      <w:r w:rsidRPr="00736E18">
        <w:rPr>
          <w:rStyle w:val="FootnoteReference"/>
        </w:rPr>
        <w:footnoteReference w:id="376"/>
      </w:r>
      <w:r>
        <w:t xml:space="preserve"> In reaching this conclusion the AER reviewed reports by AT Kearney, Geoff Nunn and Associates and additional information provided by Multinet in response to AER information requests. </w:t>
      </w:r>
    </w:p>
    <w:p w:rsidR="00A00171" w:rsidRDefault="00A00171" w:rsidP="00A00171">
      <w:pPr>
        <w:pStyle w:val="AERbodytext"/>
        <w:numPr>
          <w:ilvl w:val="0"/>
          <w:numId w:val="13"/>
        </w:numPr>
      </w:pPr>
      <w:r>
        <w:t xml:space="preserve">The AER considered AT Kearney's conclusion was not robust evidence that the labour forecasts submitted by Multinet were prudent and efficient. The AER noted the methodology employed by AT Kearney was dependent on many assumptions that were not set out in the report. The AER also considered the benchmarking of FTE did not help to demonstrate that Multinet's forecast reflected the labour </w:t>
      </w:r>
      <w:r w:rsidRPr="00E305CE">
        <w:t xml:space="preserve">costs that would be incurred by a prudent service provider acting efficiently in accordance with </w:t>
      </w:r>
      <w:r>
        <w:t xml:space="preserve">accepted </w:t>
      </w:r>
      <w:r w:rsidRPr="00E305CE">
        <w:t>good industry practice to achieve the lowest sustainable costs of delivering pipeline services</w:t>
      </w:r>
      <w:r>
        <w:t>.</w:t>
      </w:r>
      <w:r w:rsidRPr="001234AA">
        <w:rPr>
          <w:rStyle w:val="FootnoteReference"/>
        </w:rPr>
        <w:footnoteReference w:id="377"/>
      </w:r>
      <w:r>
        <w:t xml:space="preserve"> </w:t>
      </w:r>
    </w:p>
    <w:p w:rsidR="00A00171" w:rsidRDefault="00A00171" w:rsidP="00A00171">
      <w:pPr>
        <w:pStyle w:val="AERbodytext"/>
        <w:numPr>
          <w:ilvl w:val="0"/>
          <w:numId w:val="13"/>
        </w:numPr>
      </w:pPr>
      <w:r>
        <w:t>The AER noted the advice from Geoff Nunn and Associates provided to the AER only assessed some salaries.</w:t>
      </w:r>
      <w:r>
        <w:rPr>
          <w:rStyle w:val="FootnoteReference"/>
        </w:rPr>
        <w:footnoteReference w:id="378"/>
      </w:r>
      <w:r>
        <w:t xml:space="preserve"> In addition the AER considered Multinet's proposal lacked supporting explanation about how the Geoff Nunn and Associates' advice related to its forecast. This further supported the AER's conclusion that the forecasts of in-house labour have not been arrived at on a reasonable basis </w:t>
      </w:r>
      <w:r w:rsidRPr="00E305CE">
        <w:t xml:space="preserve">or </w:t>
      </w:r>
      <w:r>
        <w:t>are</w:t>
      </w:r>
      <w:r w:rsidRPr="00E305CE">
        <w:t xml:space="preserve"> the best </w:t>
      </w:r>
      <w:r>
        <w:t>forecasts</w:t>
      </w:r>
      <w:r w:rsidRPr="00E305CE">
        <w:t xml:space="preserve"> possible in the circumstances.</w:t>
      </w:r>
      <w:r>
        <w:rPr>
          <w:rStyle w:val="FootnoteReference"/>
        </w:rPr>
        <w:footnoteReference w:id="379"/>
      </w:r>
    </w:p>
    <w:p w:rsidR="00A00171" w:rsidRDefault="00A00171" w:rsidP="00A00171">
      <w:pPr>
        <w:pStyle w:val="AERbodytext"/>
        <w:numPr>
          <w:ilvl w:val="0"/>
          <w:numId w:val="13"/>
        </w:numPr>
      </w:pPr>
      <w:r>
        <w:t>In support of its revised proposal Multinet commissioned AECOM to review Multinet's network costs and Grant Thornton to review Multinet's other costs. As part of this review the consultants assessed Multinet's in-house labour costs. In response to an information request Multinet also provided a disaggregation of its total cost for each position into the base salary, bonuses and on-costs.</w:t>
      </w:r>
      <w:r>
        <w:rPr>
          <w:rStyle w:val="FootnoteReference"/>
        </w:rPr>
        <w:footnoteReference w:id="380"/>
      </w:r>
      <w:r>
        <w:t xml:space="preserve"> </w:t>
      </w:r>
    </w:p>
    <w:p w:rsidR="00A00171" w:rsidRDefault="00A00171" w:rsidP="00A00171">
      <w:pPr>
        <w:pStyle w:val="AERbodytext"/>
        <w:numPr>
          <w:ilvl w:val="0"/>
          <w:numId w:val="13"/>
        </w:numPr>
      </w:pPr>
      <w:r>
        <w:t xml:space="preserve">Multinet's revised proposal addressed some of the transparency issues raised by the AER in its draft decision but did not adequately address the main concerns in regards to Multinet's methodology for determining total labour costs. It also raised additional concerns regarding the forecast of staffing levels, verification of individual salaries and forecast employee bonuses. </w:t>
      </w:r>
    </w:p>
    <w:p w:rsidR="00A00171" w:rsidRDefault="00A00171" w:rsidP="00A00171">
      <w:pPr>
        <w:pStyle w:val="AERbodytext"/>
        <w:numPr>
          <w:ilvl w:val="0"/>
          <w:numId w:val="13"/>
        </w:numPr>
      </w:pPr>
      <w:r w:rsidRPr="00340B1C">
        <w:rPr>
          <w:rStyle w:val="AERbody"/>
        </w:rPr>
        <w:t>On this basis the AER is not satisfied that the forecasts were arrived at on a reasonable basis, or reflects the best estimate in the circumstances.</w:t>
      </w:r>
      <w:r>
        <w:rPr>
          <w:rStyle w:val="FootnoteReference"/>
        </w:rPr>
        <w:footnoteReference w:id="381"/>
      </w:r>
      <w:r w:rsidRPr="00340B1C">
        <w:rPr>
          <w:rStyle w:val="AERbody"/>
        </w:rPr>
        <w:t xml:space="preserve"> </w:t>
      </w:r>
      <w:r>
        <w:rPr>
          <w:rStyle w:val="AERbody"/>
        </w:rPr>
        <w:t xml:space="preserve">For this reason </w:t>
      </w:r>
      <w:r w:rsidRPr="00340B1C">
        <w:rPr>
          <w:rStyle w:val="AERbody"/>
        </w:rPr>
        <w:t>it</w:t>
      </w:r>
      <w:r>
        <w:rPr>
          <w:rStyle w:val="AERbody"/>
        </w:rPr>
        <w:t xml:space="preserve"> also</w:t>
      </w:r>
      <w:r w:rsidRPr="00340B1C">
        <w:rPr>
          <w:rStyle w:val="AERbody"/>
        </w:rPr>
        <w:t xml:space="preserve"> cannot be satisfied that Multinet's total opex is opex that would be incurred by a prudent service provider acting efficiently in accordance with good industry practice to achieve the lowest sustainable cost of providing pipeline services.</w:t>
      </w:r>
      <w:r>
        <w:rPr>
          <w:rStyle w:val="FootnoteReference"/>
        </w:rPr>
        <w:footnoteReference w:id="382"/>
      </w:r>
    </w:p>
    <w:p w:rsidR="00A00171" w:rsidRDefault="00A00171" w:rsidP="00A00171">
      <w:pPr>
        <w:pStyle w:val="AERbodytext"/>
        <w:numPr>
          <w:ilvl w:val="0"/>
          <w:numId w:val="13"/>
        </w:numPr>
      </w:pPr>
      <w:r>
        <w:t>The AER's detailed reasons are set out below.</w:t>
      </w:r>
    </w:p>
    <w:p w:rsidR="00A00171" w:rsidRDefault="00A00171" w:rsidP="00500A89">
      <w:pPr>
        <w:pStyle w:val="HeadingBoldItalic"/>
      </w:pPr>
      <w:r>
        <w:t>Forecast staff levels and independently reviewed salaries</w:t>
      </w:r>
    </w:p>
    <w:p w:rsidR="00A00171" w:rsidRDefault="00A00171" w:rsidP="00A00171">
      <w:pPr>
        <w:pStyle w:val="AERbodytext"/>
        <w:numPr>
          <w:ilvl w:val="0"/>
          <w:numId w:val="13"/>
        </w:numPr>
      </w:pPr>
      <w:r>
        <w:t>The AER's primary concern in the draft decision was that benchmarked FTE analysis without consideration of total labour costs was not beneficial in demonstrating that Multinet's labour forecasts are prudent and efficient.</w:t>
      </w:r>
    </w:p>
    <w:p w:rsidR="00A00171" w:rsidRPr="001C4580" w:rsidRDefault="00A00171" w:rsidP="00A00171">
      <w:pPr>
        <w:pStyle w:val="AERbodytext"/>
        <w:numPr>
          <w:ilvl w:val="0"/>
          <w:numId w:val="13"/>
        </w:numPr>
      </w:pPr>
      <w:r w:rsidRPr="001C4580">
        <w:t>Multinet</w:t>
      </w:r>
      <w:r>
        <w:t>, in it</w:t>
      </w:r>
      <w:r w:rsidRPr="001C4580">
        <w:t>s revised proposal</w:t>
      </w:r>
      <w:r>
        <w:t>,</w:t>
      </w:r>
      <w:r w:rsidRPr="001C4580">
        <w:t xml:space="preserve"> stated that benchmarking total labour costs would only be meaningful if peer companies exactly matched Multinet's mix of in-house services.</w:t>
      </w:r>
      <w:r w:rsidRPr="001C4580">
        <w:rPr>
          <w:rStyle w:val="FootnoteReference"/>
        </w:rPr>
        <w:footnoteReference w:id="383"/>
      </w:r>
      <w:r>
        <w:t xml:space="preserve"> It also restated its views that AT Kearney's benchmarking of labour requirements provided an additional level of assurance and Geoff Nunn's review ensured the in-house labour requirements were reasonable. Multinet's consultants AECOM and Grant Thornton came to the view that Multinet’s in-house labour forecasts were reasonable</w:t>
      </w:r>
      <w:r>
        <w:rPr>
          <w:rStyle w:val="FootnoteReference"/>
        </w:rPr>
        <w:footnoteReference w:id="384"/>
      </w:r>
      <w:r>
        <w:t xml:space="preserve"> and representative of a prudent service provider.</w:t>
      </w:r>
      <w:r>
        <w:rPr>
          <w:rStyle w:val="FootnoteReference"/>
        </w:rPr>
        <w:footnoteReference w:id="385"/>
      </w:r>
    </w:p>
    <w:p w:rsidR="00A00171" w:rsidRDefault="00A00171" w:rsidP="00A00171">
      <w:pPr>
        <w:pStyle w:val="AERbodytext"/>
        <w:numPr>
          <w:ilvl w:val="0"/>
          <w:numId w:val="13"/>
        </w:numPr>
      </w:pPr>
      <w:r>
        <w:t>The AER considers that a wide range of staffing levels could be reasonable, depending on the way in which an organisation structures itself. The AER still considers that benchmarking employee numbers is not a useful exercise in demonstrating that one particular staffing level is preferable to another. Multinet itself, in its revised proposal, recognises that 'it is unlikely that any particular company has exactly the same mix of in-house services as Multinet's'.</w:t>
      </w:r>
      <w:r>
        <w:rPr>
          <w:rStyle w:val="FootnoteReference"/>
        </w:rPr>
        <w:footnoteReference w:id="386"/>
      </w:r>
      <w:r>
        <w:t xml:space="preserve"> For this reason the AER is not confident that any employee benchmarking undertaken for Multinet by AT Kearney and Grant Thornton is useful in demonstrating Multinet's staffing levels are prudent and efficient. </w:t>
      </w:r>
    </w:p>
    <w:p w:rsidR="00A00171" w:rsidRDefault="00A00171" w:rsidP="00A00171">
      <w:pPr>
        <w:pStyle w:val="AERbodytext"/>
        <w:numPr>
          <w:ilvl w:val="0"/>
          <w:numId w:val="13"/>
        </w:numPr>
      </w:pPr>
      <w:r>
        <w:t>The AER also notes that for the salaries that have been assessed by Multinet's consultants there are wide salary bands for each position. The minimum/maximum salaries in each band are 20 per cent lower/higher than the midpoint. Given the wide range in potential salaries for each position, there is uncertainty as to whether Multinet's forecast salaries reflect a prudent amount. The AER cannot be satisfied that Multinet's forecast salary for each salary is the best in the circumstances.</w:t>
      </w:r>
      <w:r>
        <w:rPr>
          <w:rStyle w:val="FootnoteReference"/>
        </w:rPr>
        <w:footnoteReference w:id="387"/>
      </w:r>
      <w:r>
        <w:t xml:space="preserve"> </w:t>
      </w:r>
    </w:p>
    <w:p w:rsidR="00A00171" w:rsidRPr="00EC44F7" w:rsidRDefault="00A00171" w:rsidP="00A00171">
      <w:pPr>
        <w:pStyle w:val="AERbodytext"/>
        <w:numPr>
          <w:ilvl w:val="0"/>
          <w:numId w:val="13"/>
        </w:numPr>
      </w:pPr>
      <w:r>
        <w:t xml:space="preserve">Given the potential for a wide range of potential employee numbers and </w:t>
      </w:r>
      <w:r w:rsidRPr="00EC44F7">
        <w:t xml:space="preserve">salaries for each position the AER </w:t>
      </w:r>
      <w:r>
        <w:t>considers</w:t>
      </w:r>
      <w:r w:rsidRPr="00EC44F7">
        <w:t xml:space="preserve"> that Multinet's labour cost forecasts </w:t>
      </w:r>
      <w:r>
        <w:t xml:space="preserve">are not </w:t>
      </w:r>
      <w:r w:rsidRPr="00EC44F7">
        <w:t>the best possible</w:t>
      </w:r>
      <w:r>
        <w:t xml:space="preserve"> estimate</w:t>
      </w:r>
      <w:r w:rsidRPr="00EC44F7">
        <w:t xml:space="preserve"> in the circumstances</w:t>
      </w:r>
      <w:r>
        <w:t>.  Moreover, they do not help to illustrate that</w:t>
      </w:r>
      <w:r w:rsidRPr="00EC44F7">
        <w:t xml:space="preserve"> Multinet's </w:t>
      </w:r>
      <w:r>
        <w:t xml:space="preserve">total opex </w:t>
      </w:r>
      <w:r w:rsidRPr="00EC44F7">
        <w:t>forecast was arrived at on a reasonable basis.</w:t>
      </w:r>
      <w:r w:rsidRPr="00EC44F7">
        <w:rPr>
          <w:rStyle w:val="FootnoteReference"/>
        </w:rPr>
        <w:footnoteReference w:id="388"/>
      </w:r>
    </w:p>
    <w:p w:rsidR="00A00171" w:rsidRDefault="00A00171" w:rsidP="00500A89">
      <w:pPr>
        <w:pStyle w:val="HeadingBoldItalic"/>
      </w:pPr>
      <w:r>
        <w:t>Employee bonuses</w:t>
      </w:r>
    </w:p>
    <w:p w:rsidR="00A00171" w:rsidRPr="009D56F0" w:rsidRDefault="00A00171" w:rsidP="00A00171">
      <w:pPr>
        <w:pStyle w:val="AERbodytext"/>
        <w:numPr>
          <w:ilvl w:val="0"/>
          <w:numId w:val="13"/>
        </w:numPr>
      </w:pPr>
      <w:r>
        <w:t xml:space="preserve">In relation to employee bonuses, Multinet's revised proposal identified bonuses included in its total forecast of in-house labour costs. </w:t>
      </w:r>
      <w:r w:rsidRPr="009D56F0">
        <w:t>The bonus</w:t>
      </w:r>
      <w:r>
        <w:t>es</w:t>
      </w:r>
      <w:r w:rsidRPr="009D56F0">
        <w:t xml:space="preserve"> w</w:t>
      </w:r>
      <w:r>
        <w:t>ere</w:t>
      </w:r>
      <w:r w:rsidRPr="009D56F0">
        <w:t xml:space="preserve"> assumed to be paid at 80 per cent of an employee's potential bonus and were</w:t>
      </w:r>
      <w:r>
        <w:t xml:space="preserve"> forecast</w:t>
      </w:r>
      <w:r w:rsidRPr="009D56F0">
        <w:t xml:space="preserve"> to be paid e</w:t>
      </w:r>
      <w:r>
        <w:t>ach</w:t>
      </w:r>
      <w:r w:rsidRPr="009D56F0">
        <w:t xml:space="preserve"> year of the </w:t>
      </w:r>
      <w:r>
        <w:t>2013-17</w:t>
      </w:r>
      <w:r w:rsidRPr="009D56F0">
        <w:t xml:space="preserve"> access arrangement </w:t>
      </w:r>
      <w:proofErr w:type="gramStart"/>
      <w:r w:rsidRPr="009D56F0">
        <w:t>period</w:t>
      </w:r>
      <w:proofErr w:type="gramEnd"/>
      <w:r w:rsidRPr="009D56F0">
        <w:t>.</w:t>
      </w:r>
      <w:r w:rsidRPr="009D56F0">
        <w:rPr>
          <w:rStyle w:val="FootnoteReference"/>
        </w:rPr>
        <w:footnoteReference w:id="389"/>
      </w:r>
    </w:p>
    <w:p w:rsidR="00A00171" w:rsidRPr="009D56F0" w:rsidRDefault="00A00171" w:rsidP="00A00171">
      <w:pPr>
        <w:pStyle w:val="AERbodytext"/>
        <w:numPr>
          <w:ilvl w:val="0"/>
          <w:numId w:val="13"/>
        </w:numPr>
      </w:pPr>
      <w:r>
        <w:t xml:space="preserve">The proposed bonuses represent a material proportion of total in-house labour costs but were not independently verified. This lack of verification means that Multinet has not demonstrated, and there is no basis for finding, that </w:t>
      </w:r>
      <w:r w:rsidRPr="009D56F0">
        <w:t>Multinet's</w:t>
      </w:r>
      <w:r>
        <w:t xml:space="preserve"> total forecast</w:t>
      </w:r>
      <w:r w:rsidRPr="009D56F0">
        <w:t xml:space="preserve"> </w:t>
      </w:r>
      <w:r>
        <w:t>labour costs were</w:t>
      </w:r>
      <w:r w:rsidRPr="009D56F0">
        <w:t xml:space="preserve"> forecast on a reasonable basis</w:t>
      </w:r>
      <w:r>
        <w:t xml:space="preserve"> or represent the best estimate possible in the circumstances</w:t>
      </w:r>
      <w:r w:rsidRPr="009D56F0">
        <w:t>.</w:t>
      </w:r>
      <w:r w:rsidRPr="009D56F0">
        <w:rPr>
          <w:rStyle w:val="FootnoteReference"/>
        </w:rPr>
        <w:footnoteReference w:id="390"/>
      </w:r>
    </w:p>
    <w:p w:rsidR="00A00171" w:rsidRPr="009D56F0" w:rsidRDefault="00A00171" w:rsidP="00A00171">
      <w:pPr>
        <w:pStyle w:val="AERbodytext"/>
        <w:numPr>
          <w:ilvl w:val="0"/>
          <w:numId w:val="13"/>
        </w:numPr>
      </w:pPr>
      <w:r>
        <w:t>The AER also considers</w:t>
      </w:r>
      <w:r w:rsidRPr="009D56F0">
        <w:t xml:space="preserve"> that performance bonuses generally reflect individual employee productivity improvements and as such, should result in cost savings.</w:t>
      </w:r>
      <w:r w:rsidRPr="009D56F0">
        <w:rPr>
          <w:rStyle w:val="FootnoteReference"/>
        </w:rPr>
        <w:footnoteReference w:id="391"/>
      </w:r>
      <w:r w:rsidRPr="009D56F0">
        <w:t xml:space="preserve"> </w:t>
      </w:r>
      <w:r>
        <w:t>T</w:t>
      </w:r>
      <w:r w:rsidRPr="009D56F0">
        <w:t>he AER has previously not accepted the inclusion of bonuses payments proposed by United Energy.</w:t>
      </w:r>
      <w:r>
        <w:rPr>
          <w:rStyle w:val="FootnoteReference"/>
        </w:rPr>
        <w:footnoteReference w:id="392"/>
      </w:r>
      <w:r w:rsidRPr="009D56F0">
        <w:t xml:space="preserve"> </w:t>
      </w:r>
      <w:r>
        <w:t>As</w:t>
      </w:r>
      <w:r w:rsidRPr="009D56F0">
        <w:t xml:space="preserve"> </w:t>
      </w:r>
      <w:r>
        <w:t xml:space="preserve">with the </w:t>
      </w:r>
      <w:r w:rsidRPr="009D56F0">
        <w:t xml:space="preserve">United Energy </w:t>
      </w:r>
      <w:r>
        <w:t xml:space="preserve">final decision, </w:t>
      </w:r>
      <w:r w:rsidRPr="009D56F0">
        <w:t>the AER is not satisfied that Multinet has taken into consideration the net cost impact of individual performance and productivity bonuses in light of the expected productivity gains. For this reason the AER</w:t>
      </w:r>
      <w:r>
        <w:t xml:space="preserve"> </w:t>
      </w:r>
      <w:r w:rsidRPr="009D56F0">
        <w:t>considers the inclusion of bonuses without taking into account productivity gains does not represent the best forecast possible in the circumstances.</w:t>
      </w:r>
      <w:r w:rsidRPr="009D56F0">
        <w:rPr>
          <w:rStyle w:val="FootnoteReference"/>
        </w:rPr>
        <w:footnoteReference w:id="393"/>
      </w:r>
    </w:p>
    <w:p w:rsidR="00A00171" w:rsidRDefault="00A00171" w:rsidP="00500A89">
      <w:pPr>
        <w:pStyle w:val="HeadingBoldItalic"/>
      </w:pPr>
      <w:r>
        <w:t>Unverified salaries</w:t>
      </w:r>
    </w:p>
    <w:p w:rsidR="00A00171" w:rsidRDefault="00A00171" w:rsidP="00A00171">
      <w:pPr>
        <w:pStyle w:val="AERbodytext"/>
        <w:numPr>
          <w:ilvl w:val="0"/>
          <w:numId w:val="13"/>
        </w:numPr>
      </w:pPr>
      <w:r>
        <w:t xml:space="preserve">The AER also has concerns </w:t>
      </w:r>
      <w:r w:rsidRPr="00FE2783">
        <w:t>that some salaries have not been independently verified.</w:t>
      </w:r>
      <w:r>
        <w:t xml:space="preserve"> For instance Grant Thornton was not able to review the remuneration of 21 of the 53 new positions that did not previously exist at Multinet.</w:t>
      </w:r>
    </w:p>
    <w:p w:rsidR="00A00171" w:rsidRDefault="00A00171" w:rsidP="00A00171">
      <w:pPr>
        <w:pStyle w:val="AERbodytext"/>
        <w:numPr>
          <w:ilvl w:val="0"/>
          <w:numId w:val="13"/>
        </w:numPr>
      </w:pPr>
      <w:r>
        <w:t>For the positions it could not review, Grant Thornton compared the average of the positions it could validate against the average of the positions it could not. Grant Thornton considers the unverified salaries were reasonable on the basis that the average remuneration levels of the unverified positions are lower than the average of the verified positions.</w:t>
      </w:r>
      <w:r w:rsidRPr="001E4B7F">
        <w:rPr>
          <w:rStyle w:val="FootnoteReference"/>
        </w:rPr>
        <w:t xml:space="preserve"> </w:t>
      </w:r>
      <w:r w:rsidRPr="001E4B7F">
        <w:rPr>
          <w:rStyle w:val="FootnoteReference"/>
        </w:rPr>
        <w:footnoteReference w:id="394"/>
      </w:r>
      <w:r>
        <w:t xml:space="preserve"> </w:t>
      </w:r>
    </w:p>
    <w:p w:rsidR="00A00171" w:rsidRDefault="00A00171" w:rsidP="00A00171">
      <w:pPr>
        <w:pStyle w:val="AERbodytext"/>
        <w:numPr>
          <w:ilvl w:val="0"/>
          <w:numId w:val="13"/>
        </w:numPr>
      </w:pPr>
      <w:r>
        <w:t>Grant Thornton's conclusions in relation to the unverified positions are subject to the assumption that the verified positions are unrepresentative of the unverified positions. The AER assessed these positions against Multinet's organisation chart. As the unverified positions reflect positions which are less senior than the verified positions, the AER considers that it is reasonable to assume that the salaries of the unverified positions would be less than those which had been verified. However, the same conclusions would be reached for a lower salary than forecast by Multinet. Therefore the AER still cannot be satisfied that Multinet's forecast of these salaries was arrived at on a reasonable basis or is the best possible estimate in the circumstances.</w:t>
      </w:r>
    </w:p>
    <w:p w:rsidR="00A00171" w:rsidRPr="00D176FB" w:rsidRDefault="00A00171" w:rsidP="00A00171">
      <w:pPr>
        <w:pStyle w:val="AERbodytext"/>
        <w:numPr>
          <w:ilvl w:val="0"/>
          <w:numId w:val="13"/>
        </w:numPr>
      </w:pPr>
      <w:r>
        <w:t xml:space="preserve">In regards to AECOM's review of Multinet's in-house labour costs for network operations, AECOM did not provide the assumptions or the </w:t>
      </w:r>
      <w:r w:rsidRPr="00EC44F7">
        <w:t xml:space="preserve">evidence it </w:t>
      </w:r>
      <w:r>
        <w:t>considered</w:t>
      </w:r>
      <w:r w:rsidRPr="00EC44F7">
        <w:t xml:space="preserve"> </w:t>
      </w:r>
      <w:r>
        <w:t>in</w:t>
      </w:r>
      <w:r w:rsidRPr="00EC44F7">
        <w:t xml:space="preserve"> reaching its conclusion that Multinet's network operations staff remuneration was reasonable. </w:t>
      </w:r>
      <w:r>
        <w:t>For this reason, t</w:t>
      </w:r>
      <w:r w:rsidRPr="00EC44F7">
        <w:t xml:space="preserve">his study </w:t>
      </w:r>
      <w:r>
        <w:t>is not evidence that</w:t>
      </w:r>
      <w:r w:rsidRPr="00EC44F7">
        <w:t xml:space="preserve"> </w:t>
      </w:r>
      <w:r>
        <w:t xml:space="preserve">Multinet's </w:t>
      </w:r>
      <w:r w:rsidRPr="00EC44F7">
        <w:t>forecast salaries for network operations employees were arrived at on a reasonable basis or reflect</w:t>
      </w:r>
      <w:r>
        <w:t xml:space="preserve"> </w:t>
      </w:r>
      <w:r w:rsidRPr="00EC44F7">
        <w:t>the best estimate possible in the circumstances.</w:t>
      </w:r>
      <w:r>
        <w:rPr>
          <w:rStyle w:val="FootnoteReference"/>
        </w:rPr>
        <w:footnoteReference w:id="395"/>
      </w:r>
    </w:p>
    <w:p w:rsidR="00A00171" w:rsidRDefault="00A00171" w:rsidP="00500A89">
      <w:pPr>
        <w:pStyle w:val="HeadingBoldBlue"/>
      </w:pPr>
      <w:r>
        <w:t>Outsourced network operations volumes</w:t>
      </w:r>
    </w:p>
    <w:p w:rsidR="00A00171" w:rsidRPr="001375C5" w:rsidRDefault="00A00171" w:rsidP="00A00171">
      <w:pPr>
        <w:pStyle w:val="AERbodytext"/>
        <w:numPr>
          <w:ilvl w:val="0"/>
          <w:numId w:val="13"/>
        </w:numPr>
      </w:pPr>
      <w:proofErr w:type="gramStart"/>
      <w:r>
        <w:t>Multinet's</w:t>
      </w:r>
      <w:proofErr w:type="gramEnd"/>
      <w:r>
        <w:t xml:space="preserve"> outsourced network operations and </w:t>
      </w:r>
      <w:r w:rsidRPr="001375C5">
        <w:t>maintenance services relate to 34 percent of its forecast opex.</w:t>
      </w:r>
    </w:p>
    <w:p w:rsidR="00A00171" w:rsidRPr="001375C5" w:rsidRDefault="00A00171" w:rsidP="00A00171">
      <w:pPr>
        <w:pStyle w:val="AERbodytext"/>
        <w:numPr>
          <w:ilvl w:val="0"/>
          <w:numId w:val="13"/>
        </w:numPr>
      </w:pPr>
      <w:r>
        <w:t>As outlined in the draft decision</w:t>
      </w:r>
      <w:r w:rsidRPr="001375C5">
        <w:t xml:space="preserve">, the AER accepts that the price for these contracts was determined through a competitive process and therefore the AER is satisfied that these prices are likely to be efficient for the tendered services. </w:t>
      </w:r>
    </w:p>
    <w:p w:rsidR="00A00171" w:rsidRDefault="00A00171" w:rsidP="00A00171">
      <w:pPr>
        <w:pStyle w:val="AERbodytext"/>
        <w:numPr>
          <w:ilvl w:val="0"/>
          <w:numId w:val="13"/>
        </w:numPr>
      </w:pPr>
      <w:r>
        <w:t>However, the AER was not satisfied that Multinet's</w:t>
      </w:r>
      <w:r w:rsidRPr="00E305CE">
        <w:t xml:space="preserve"> volume forecast</w:t>
      </w:r>
      <w:r>
        <w:t>s have been arrived at on a reasonable basis.</w:t>
      </w:r>
      <w:r>
        <w:rPr>
          <w:rStyle w:val="FootnoteReference"/>
        </w:rPr>
        <w:footnoteReference w:id="396"/>
      </w:r>
      <w:r w:rsidRPr="0050177B">
        <w:t xml:space="preserve"> </w:t>
      </w:r>
    </w:p>
    <w:p w:rsidR="00A00171" w:rsidRPr="00E62821" w:rsidRDefault="00A00171" w:rsidP="00A00171">
      <w:pPr>
        <w:pStyle w:val="AERbodytext"/>
        <w:numPr>
          <w:ilvl w:val="0"/>
          <w:numId w:val="13"/>
        </w:numPr>
      </w:pPr>
      <w:r>
        <w:t>The AER's main concern related to volume forecasts that had not been independently verified by Multinet's consultant GHD.</w:t>
      </w:r>
      <w:r w:rsidRPr="00E62821">
        <w:t xml:space="preserve"> GHD assessed </w:t>
      </w:r>
      <w:r>
        <w:t>whether</w:t>
      </w:r>
      <w:r w:rsidRPr="00E62821">
        <w:t xml:space="preserve"> network and maintenance volume activities undertaken between 2008 and 2011 provide a reasonable basis for Multinet to forecast expenditure for </w:t>
      </w:r>
      <w:r>
        <w:t xml:space="preserve">the </w:t>
      </w:r>
      <w:r w:rsidRPr="00E62821">
        <w:t>2013</w:t>
      </w:r>
      <w:r>
        <w:t>–</w:t>
      </w:r>
      <w:r w:rsidRPr="00E62821">
        <w:t>17 access arrangement period.</w:t>
      </w:r>
      <w:r w:rsidRPr="00E62821">
        <w:rPr>
          <w:rStyle w:val="FootnoteReference"/>
        </w:rPr>
        <w:footnoteReference w:id="397"/>
      </w:r>
      <w:r w:rsidRPr="00E62821">
        <w:t xml:space="preserve"> GHD assessed the data quality of Multinet's work volumes known as activity codes. Of the 130 activity codes provided to GHD, it only considered 89. There were various reasons why GHD did not consider other activity codes. Reasons provided by GHD were:</w:t>
      </w:r>
    </w:p>
    <w:p w:rsidR="00A00171" w:rsidRPr="001D2C09" w:rsidRDefault="00A00171" w:rsidP="00A00171">
      <w:pPr>
        <w:pStyle w:val="AERbulletlistfirststyle"/>
      </w:pPr>
      <w:r w:rsidRPr="00E305CE">
        <w:t xml:space="preserve">some activity codes </w:t>
      </w:r>
      <w:r w:rsidRPr="001D2C09">
        <w:t>were either not from a source field document or that activity code units had changed</w:t>
      </w:r>
    </w:p>
    <w:p w:rsidR="00A00171" w:rsidRPr="001D2C09" w:rsidRDefault="00A00171" w:rsidP="00A00171">
      <w:pPr>
        <w:pStyle w:val="AERbulletlistfirststyle"/>
      </w:pPr>
      <w:r w:rsidRPr="00E305CE">
        <w:t>inconsistent activity code volumes and financial data</w:t>
      </w:r>
    </w:p>
    <w:p w:rsidR="00A00171" w:rsidRPr="001D2C09" w:rsidRDefault="00A00171" w:rsidP="00A00171">
      <w:pPr>
        <w:pStyle w:val="AERbulletlistfirststyle"/>
      </w:pPr>
      <w:r w:rsidRPr="00E305CE">
        <w:t>activity codes with volumes obscured</w:t>
      </w:r>
    </w:p>
    <w:p w:rsidR="00A00171" w:rsidRPr="001D2C09" w:rsidRDefault="00A00171" w:rsidP="00A00171">
      <w:pPr>
        <w:pStyle w:val="AERbulletlistfirststyle"/>
      </w:pPr>
      <w:proofErr w:type="gramStart"/>
      <w:r w:rsidRPr="00E305CE">
        <w:t>activity</w:t>
      </w:r>
      <w:proofErr w:type="gramEnd"/>
      <w:r w:rsidRPr="00E305CE">
        <w:t xml:space="preserve"> codes where volumes do no</w:t>
      </w:r>
      <w:r w:rsidRPr="001D2C09">
        <w:t>t alter as expected.</w:t>
      </w:r>
      <w:r w:rsidRPr="001D2C09">
        <w:rPr>
          <w:rStyle w:val="FootnoteReference"/>
        </w:rPr>
        <w:footnoteReference w:id="398"/>
      </w:r>
    </w:p>
    <w:p w:rsidR="00A00171" w:rsidRPr="00E305CE" w:rsidRDefault="00A00171" w:rsidP="00A00171">
      <w:pPr>
        <w:pStyle w:val="AERbodytext"/>
        <w:numPr>
          <w:ilvl w:val="0"/>
          <w:numId w:val="13"/>
        </w:numPr>
      </w:pPr>
      <w:r w:rsidRPr="00E305CE">
        <w:t xml:space="preserve">GHD </w:t>
      </w:r>
      <w:r>
        <w:t xml:space="preserve">assessed </w:t>
      </w:r>
      <w:r w:rsidRPr="00E305CE">
        <w:t>that individually the activity codes that were not assessed may not have a material impact on total costs</w:t>
      </w:r>
      <w:r>
        <w:t>. The AER reviewed Multinet's forecast volumes. The AER agreed with GHD's conclusion in relation to the materiality of the 41 excluded codes but only in so far as an individual code of itself does not materially affect total costs. In contrast,</w:t>
      </w:r>
      <w:r w:rsidRPr="00E305CE">
        <w:t xml:space="preserve"> </w:t>
      </w:r>
      <w:r>
        <w:t>the AER was not satisfied that</w:t>
      </w:r>
      <w:r w:rsidRPr="00E305CE">
        <w:t xml:space="preserve"> forecast opex from 41 excluded activity codes would </w:t>
      </w:r>
      <w:r>
        <w:t xml:space="preserve">not </w:t>
      </w:r>
      <w:r w:rsidRPr="00E305CE">
        <w:t xml:space="preserve">have </w:t>
      </w:r>
      <w:r>
        <w:t xml:space="preserve">a </w:t>
      </w:r>
      <w:r w:rsidRPr="00E305CE">
        <w:t>material impact on forecast opex</w:t>
      </w:r>
      <w:r>
        <w:t xml:space="preserve"> in aggregate</w:t>
      </w:r>
      <w:r w:rsidRPr="00E305CE">
        <w:t xml:space="preserve">. </w:t>
      </w:r>
      <w:r>
        <w:t>Therefore, the AER was not satisfied that the volumes for 41 codes that were not reviewed by GHD were arrived at on a reasonable basis.</w:t>
      </w:r>
    </w:p>
    <w:p w:rsidR="00A00171" w:rsidRDefault="00A00171" w:rsidP="00A00171">
      <w:pPr>
        <w:pStyle w:val="AERbodytext"/>
        <w:numPr>
          <w:ilvl w:val="0"/>
          <w:numId w:val="13"/>
        </w:numPr>
      </w:pPr>
      <w:r>
        <w:t>In response to the AER's draft decision Multinet submitted the following:</w:t>
      </w:r>
    </w:p>
    <w:p w:rsidR="00A00171" w:rsidRDefault="00A00171" w:rsidP="00A00171">
      <w:pPr>
        <w:pStyle w:val="AERquote"/>
      </w:pPr>
      <w:r w:rsidRPr="00C4177D">
        <w:t>Multinet recognises that it may have been preferable for GHD to examine all 139 activity codes. Evidently, however, GHD did not regard it as necessary to examine all 139 activity codes in order to reach an unqualified opinion regarding the external volumes. It is not unusual for an expert to reach an unqualified opinion without examining each line item. A tax auditor, for example, would not review every transaction in order to reach an unqualified opinion regarding compliance with the tax law. The AER is therefore setting a standard for demonstrating compliance with the Rules</w:t>
      </w:r>
      <w:r>
        <w:t>.</w:t>
      </w:r>
      <w:r>
        <w:rPr>
          <w:rStyle w:val="FootnoteReference"/>
        </w:rPr>
        <w:footnoteReference w:id="399"/>
      </w:r>
      <w:r>
        <w:t xml:space="preserve"> </w:t>
      </w:r>
    </w:p>
    <w:p w:rsidR="00A00171" w:rsidRDefault="00A00171" w:rsidP="00A00171">
      <w:pPr>
        <w:pStyle w:val="AERbodytext"/>
        <w:numPr>
          <w:ilvl w:val="0"/>
          <w:numId w:val="13"/>
        </w:numPr>
      </w:pPr>
      <w:r>
        <w:t xml:space="preserve">While the AER agrees with Multinet that it may not be necessary for an independent reviewer to examine all activity codes, where the volumes represent a material proportion of the total forecast, one cannot conclude that the total forecast was arrived at on a reasonable basis. </w:t>
      </w:r>
    </w:p>
    <w:p w:rsidR="00A00171" w:rsidRDefault="00A00171" w:rsidP="00A00171">
      <w:pPr>
        <w:pStyle w:val="AERbodytext"/>
        <w:numPr>
          <w:ilvl w:val="0"/>
          <w:numId w:val="13"/>
        </w:numPr>
      </w:pPr>
      <w:r>
        <w:t xml:space="preserve">The AER estimates that the volumes not reviewed by GHD relate to $7.9 million ($2012) over the 2013-17 access arrangement </w:t>
      </w:r>
      <w:proofErr w:type="gramStart"/>
      <w:r>
        <w:t>period</w:t>
      </w:r>
      <w:proofErr w:type="gramEnd"/>
      <w:r>
        <w:t>. This is sufficiently material to raise doubts about whether Multinet's forecasts were arrived at on a reasonable basis represents the best estimate possible in the circumstances and whether the forecast is reflective of prudent and efficient costs.</w:t>
      </w:r>
    </w:p>
    <w:p w:rsidR="00A00171" w:rsidRDefault="00A00171" w:rsidP="00A00171">
      <w:pPr>
        <w:pStyle w:val="AERbodytext"/>
        <w:numPr>
          <w:ilvl w:val="0"/>
          <w:numId w:val="13"/>
        </w:numPr>
      </w:pPr>
      <w:r>
        <w:t>The AER notes that AECOM subsequently reviewed Multinet's network forecasts. However, as outlined above in the AER's review of direct costs, the reasoning underlying AECOM's conclusions are not clear. For instance, AECOM has not specifically addressed the 41 excluded activity codes not considered in the GHD report. For this reason, the AECOM review does not provide any additional persuasive evidence that Multinet's opex forecasts satisfy the criteria for forecasts and estimates.</w:t>
      </w:r>
    </w:p>
    <w:p w:rsidR="00A00171" w:rsidRPr="001B0CAF" w:rsidRDefault="00A00171" w:rsidP="00500A89">
      <w:pPr>
        <w:pStyle w:val="Heading8"/>
      </w:pPr>
      <w:bookmarkStart w:id="84" w:name="_Toc349900145"/>
      <w:bookmarkStart w:id="85" w:name="_Ref350334135"/>
      <w:bookmarkStart w:id="86" w:name="_Ref350334411"/>
      <w:bookmarkStart w:id="87" w:name="_Toc350422677"/>
      <w:bookmarkStart w:id="88" w:name="_Toc350951044"/>
      <w:r>
        <w:t>EPG fee</w:t>
      </w:r>
      <w:bookmarkEnd w:id="84"/>
      <w:bookmarkEnd w:id="85"/>
      <w:bookmarkEnd w:id="86"/>
      <w:bookmarkEnd w:id="87"/>
      <w:bookmarkEnd w:id="88"/>
    </w:p>
    <w:p w:rsidR="00A00171" w:rsidRDefault="00A00171" w:rsidP="00A00171">
      <w:pPr>
        <w:pStyle w:val="AERbodytext"/>
        <w:numPr>
          <w:ilvl w:val="0"/>
          <w:numId w:val="13"/>
        </w:numPr>
      </w:pPr>
      <w:r>
        <w:t xml:space="preserve">The AER's final decision is to include an estimate of $3.32 million ($2012) of the fee paid to </w:t>
      </w:r>
      <w:r w:rsidRPr="00394E8D">
        <w:t>E</w:t>
      </w:r>
      <w:r>
        <w:t xml:space="preserve">nergy Partnership (Gas) </w:t>
      </w:r>
      <w:r w:rsidRPr="00394E8D">
        <w:t>P</w:t>
      </w:r>
      <w:r>
        <w:t>ty Ltd (EPG) in its base year estimate. The AER's estimate is based on Multinet’s audited EPG costs from 2010 and 2011. This forecast reflects the AER's best estimate of the costs underlying the EPG fee that would be incurred by a prudent service provider acting efficiently.</w:t>
      </w:r>
    </w:p>
    <w:p w:rsidR="00A00171" w:rsidRDefault="00A00171" w:rsidP="00A00171">
      <w:pPr>
        <w:pStyle w:val="AERbodytext"/>
        <w:numPr>
          <w:ilvl w:val="0"/>
          <w:numId w:val="13"/>
        </w:numPr>
      </w:pPr>
      <w:r>
        <w:t>The reasons for this position are set out below.</w:t>
      </w:r>
    </w:p>
    <w:p w:rsidR="00A00171" w:rsidRDefault="00A00171" w:rsidP="00A00171">
      <w:pPr>
        <w:pStyle w:val="AERbodytext"/>
        <w:numPr>
          <w:ilvl w:val="0"/>
          <w:numId w:val="13"/>
        </w:numPr>
      </w:pPr>
      <w:r w:rsidRPr="00394E8D">
        <w:t>E</w:t>
      </w:r>
      <w:r>
        <w:t xml:space="preserve">nergy Partnership (Gas) </w:t>
      </w:r>
      <w:r w:rsidRPr="00394E8D">
        <w:t>P</w:t>
      </w:r>
      <w:r>
        <w:t>ty Ltd (EPG)</w:t>
      </w:r>
      <w:r w:rsidRPr="00394E8D">
        <w:t xml:space="preserve"> </w:t>
      </w:r>
      <w:r>
        <w:t>is a subsidiary of Multinet Group Holdings (MGH), which is the company holding equity interest in Multinet.</w:t>
      </w:r>
      <w:r>
        <w:rPr>
          <w:rStyle w:val="FootnoteReference"/>
        </w:rPr>
        <w:footnoteReference w:id="400"/>
      </w:r>
      <w:r>
        <w:t xml:space="preserve"> MGH is owned by the DUET Group (DUET), a publicly listed company, which, until recently, was managed by several entities (‘the responsible entities’) each of which is jointly owned by AMP Capital Holdings Ltd (AMPCH) and Macquarie Group Ltd (Macquarie). </w:t>
      </w:r>
      <w:r w:rsidRPr="00394E8D">
        <w:t>Multinet's actual costs incurred in 2011 and reported in its regulatory</w:t>
      </w:r>
      <w:r>
        <w:t xml:space="preserve"> accounts</w:t>
      </w:r>
      <w:r w:rsidRPr="00394E8D">
        <w:t xml:space="preserve"> included a fee it paid to</w:t>
      </w:r>
      <w:r>
        <w:t xml:space="preserve"> EPG. The fee recovers a share of the overheads incurred by DUET, the responsible entities and MGH. The overheads include </w:t>
      </w:r>
      <w:r w:rsidRPr="00D475AD">
        <w:t xml:space="preserve">board costs, strategic </w:t>
      </w:r>
      <w:r>
        <w:t xml:space="preserve">management, regulatory advice, </w:t>
      </w:r>
      <w:r w:rsidRPr="00D475AD">
        <w:t>finance advice, corporate budgets and planning, and other corporate services.</w:t>
      </w:r>
    </w:p>
    <w:p w:rsidR="00A00171" w:rsidRPr="008224F1" w:rsidRDefault="00A00171" w:rsidP="00A00171">
      <w:pPr>
        <w:pStyle w:val="AERbodytext"/>
        <w:numPr>
          <w:ilvl w:val="0"/>
          <w:numId w:val="13"/>
        </w:numPr>
        <w:rPr>
          <w:rStyle w:val="AERbody"/>
        </w:rPr>
      </w:pPr>
      <w:r w:rsidRPr="00A00171">
        <w:rPr>
          <w:rFonts w:eastAsia="Calibri"/>
        </w:rPr>
        <w:t xml:space="preserve">The AER's draft decision was to only allow some of the costs </w:t>
      </w:r>
      <w:r>
        <w:t xml:space="preserve">proposed by Multinet in relation to the EPG fee. </w:t>
      </w:r>
      <w:r w:rsidRPr="00A00171">
        <w:rPr>
          <w:rStyle w:val="AERbody"/>
          <w:rFonts w:eastAsia="Calibri"/>
        </w:rPr>
        <w:t xml:space="preserve">The AER based its forecast of the EPG fee on information Multinet had provided to it about the audited costs incurred by DUET, and the responsible entities in 2010. Where the AER had confirmation the costs had been audited as part of the EPG fee included in Multinet's 2010 regulatory accounts, those costs were included in the AER’s opex forecast. </w:t>
      </w:r>
    </w:p>
    <w:p w:rsidR="00A00171" w:rsidRPr="002A364C" w:rsidRDefault="00A00171" w:rsidP="00A00171">
      <w:pPr>
        <w:pStyle w:val="AERbodytext"/>
        <w:numPr>
          <w:ilvl w:val="0"/>
          <w:numId w:val="13"/>
        </w:numPr>
        <w:rPr>
          <w:rStyle w:val="AERbody"/>
        </w:rPr>
      </w:pPr>
      <w:r w:rsidRPr="00A00171">
        <w:rPr>
          <w:rStyle w:val="AERbody"/>
          <w:rFonts w:eastAsia="Calibri"/>
        </w:rPr>
        <w:t>In its revised proposal, Multinet proposed the same EPG fee that was included in its initial proposal. The forecast is the same as the AER's forecast but includes items listed as 'Bonuses AMPCH' and 'Bonuses Macquarie'. Multinet, however, considered that if using a base year approach to forecasting based on Multinet’s actual costs in 2011, it would be more appropriate to use the 2011 EPG fee. It provided an auditor's opinion on both the 2010 EPG fee and the 2011 EPG fee.</w:t>
      </w:r>
    </w:p>
    <w:p w:rsidR="00A00171" w:rsidRPr="00AF1E97" w:rsidRDefault="00A00171" w:rsidP="00A00171">
      <w:pPr>
        <w:pStyle w:val="AERbodytext"/>
        <w:numPr>
          <w:ilvl w:val="0"/>
          <w:numId w:val="13"/>
        </w:numPr>
        <w:rPr>
          <w:rStyle w:val="AERbody"/>
        </w:rPr>
      </w:pPr>
      <w:r w:rsidRPr="00A00171">
        <w:rPr>
          <w:rStyle w:val="AERbody"/>
          <w:rFonts w:eastAsia="Calibri"/>
        </w:rPr>
        <w:t>When using any forecasting methodology, the AER bases its forecast on its best estimate of the efficient costs to provide the reference services. Typically, when using a base year approach, the AER would base its forecast on the costs incurred in the penultimate year of the current regulatory period as this is the most recent year where information about actual expenditure is available.</w:t>
      </w:r>
    </w:p>
    <w:p w:rsidR="00A00171" w:rsidRDefault="00A00171" w:rsidP="00A00171">
      <w:pPr>
        <w:pStyle w:val="AERbodytext"/>
        <w:numPr>
          <w:ilvl w:val="0"/>
          <w:numId w:val="13"/>
        </w:numPr>
      </w:pPr>
      <w:r w:rsidRPr="00A00171">
        <w:rPr>
          <w:rStyle w:val="AERbody"/>
          <w:rFonts w:eastAsia="Calibri"/>
        </w:rPr>
        <w:t xml:space="preserve">However, in this instance, </w:t>
      </w:r>
      <w:r>
        <w:t>the EPG fee is a payment for services provided by parties which are not at arm's length to Multinet. For this reason, the AER cannot presume that the costs underlying the EPG fee were prudent and efficient. The AER therefore further examined this fee to assess whether the underlying costs were prudent and efficient.</w:t>
      </w:r>
    </w:p>
    <w:p w:rsidR="00A00171" w:rsidRPr="009C4972" w:rsidRDefault="00A00171" w:rsidP="00A00171">
      <w:pPr>
        <w:pStyle w:val="AERbodytext"/>
        <w:numPr>
          <w:ilvl w:val="0"/>
          <w:numId w:val="13"/>
        </w:numPr>
        <w:rPr>
          <w:rStyle w:val="AERbody"/>
        </w:rPr>
      </w:pPr>
      <w:r w:rsidRPr="00A00171">
        <w:rPr>
          <w:rStyle w:val="AERbody"/>
          <w:rFonts w:eastAsia="Calibri"/>
        </w:rPr>
        <w:t>As a result of this assessment, and further information included in Multinet’s revised proposal, in its final decision the AER uses a forecast that utilises some audited costs from 2010 and some audited costs from 2011 that have been recovered through the EPG fee paid in these years. The forecast consists of the following costs:</w:t>
      </w:r>
    </w:p>
    <w:p w:rsidR="00A00171" w:rsidRDefault="00A00171" w:rsidP="00A00171">
      <w:pPr>
        <w:pStyle w:val="AERbulletlistfirststyle"/>
        <w:rPr>
          <w:rStyle w:val="AERbody"/>
        </w:rPr>
      </w:pPr>
      <w:r>
        <w:rPr>
          <w:rStyle w:val="AERbody"/>
        </w:rPr>
        <w:t>audited costs incurred by DUET and the responsible entities (AMPCH and Macquarie) recovered through the 2010 EPG fee</w:t>
      </w:r>
    </w:p>
    <w:p w:rsidR="00A00171" w:rsidRDefault="00A00171" w:rsidP="00A00171">
      <w:pPr>
        <w:pStyle w:val="AERbulletlistfirststyle"/>
        <w:rPr>
          <w:rStyle w:val="AERbody"/>
        </w:rPr>
      </w:pPr>
      <w:r>
        <w:rPr>
          <w:rStyle w:val="AERbody"/>
        </w:rPr>
        <w:t>audited costs incurred by MGH recovered through the 2011 EPG fee</w:t>
      </w:r>
    </w:p>
    <w:p w:rsidR="00A00171" w:rsidRPr="00BD6209" w:rsidRDefault="00A00171" w:rsidP="00A00171">
      <w:pPr>
        <w:pStyle w:val="AERbodytext"/>
        <w:numPr>
          <w:ilvl w:val="0"/>
          <w:numId w:val="13"/>
        </w:numPr>
        <w:rPr>
          <w:rStyle w:val="AERbody"/>
        </w:rPr>
      </w:pPr>
      <w:r w:rsidRPr="00BD6209">
        <w:rPr>
          <w:rStyle w:val="AERbody"/>
        </w:rPr>
        <w:t xml:space="preserve">The </w:t>
      </w:r>
      <w:proofErr w:type="gramStart"/>
      <w:r w:rsidRPr="00BD6209">
        <w:rPr>
          <w:rStyle w:val="AERbody"/>
        </w:rPr>
        <w:t>reasons</w:t>
      </w:r>
      <w:proofErr w:type="gramEnd"/>
      <w:r w:rsidRPr="00BD6209">
        <w:rPr>
          <w:rStyle w:val="AERbody"/>
        </w:rPr>
        <w:t xml:space="preserve"> why the AER has reached this </w:t>
      </w:r>
      <w:r>
        <w:rPr>
          <w:rStyle w:val="AERbody"/>
        </w:rPr>
        <w:t>position</w:t>
      </w:r>
      <w:r w:rsidRPr="00BD6209">
        <w:rPr>
          <w:rStyle w:val="AERbody"/>
        </w:rPr>
        <w:t xml:space="preserve"> </w:t>
      </w:r>
      <w:r>
        <w:rPr>
          <w:rStyle w:val="AERbody"/>
        </w:rPr>
        <w:t xml:space="preserve">on various aspects of the EPG fee </w:t>
      </w:r>
      <w:r w:rsidRPr="00BD6209">
        <w:rPr>
          <w:rStyle w:val="AERbody"/>
        </w:rPr>
        <w:t>is set out below.</w:t>
      </w:r>
    </w:p>
    <w:p w:rsidR="00A00171" w:rsidRDefault="00A00171" w:rsidP="00500A89">
      <w:pPr>
        <w:pStyle w:val="HeadingBoldItalic"/>
        <w:rPr>
          <w:rStyle w:val="AERbody"/>
        </w:rPr>
      </w:pPr>
      <w:r>
        <w:rPr>
          <w:rStyle w:val="AERbody"/>
        </w:rPr>
        <w:t>Costs incurred by DUET and the responsible entities</w:t>
      </w:r>
    </w:p>
    <w:p w:rsidR="00A00171" w:rsidRDefault="00A00171" w:rsidP="00A00171">
      <w:pPr>
        <w:pStyle w:val="AERbodytext"/>
        <w:numPr>
          <w:ilvl w:val="0"/>
          <w:numId w:val="13"/>
        </w:numPr>
        <w:rPr>
          <w:rStyle w:val="AERbody"/>
        </w:rPr>
      </w:pPr>
      <w:r>
        <w:rPr>
          <w:rStyle w:val="AERbody"/>
        </w:rPr>
        <w:t xml:space="preserve">The AER’s forecast of opex in the draft decision </w:t>
      </w:r>
      <w:r w:rsidRPr="00BD6209">
        <w:rPr>
          <w:rStyle w:val="AERbody"/>
        </w:rPr>
        <w:t>included the costs incurred by DUET and the responsible entities in 2010</w:t>
      </w:r>
      <w:r>
        <w:rPr>
          <w:rStyle w:val="AERbody"/>
        </w:rPr>
        <w:t xml:space="preserve"> that were allocated to Multinet and included in the EPG fee recorded in Multinet's regulatory accounts in 2010</w:t>
      </w:r>
      <w:r w:rsidRPr="00BD6209">
        <w:rPr>
          <w:rStyle w:val="AERbody"/>
        </w:rPr>
        <w:t xml:space="preserve">. </w:t>
      </w:r>
      <w:r>
        <w:rPr>
          <w:rStyle w:val="AERbody"/>
        </w:rPr>
        <w:t>These costs were the basis for Multinet's EPG fee forecast in its bottom-up opex forecast, and these costs were audited. The AER considers it is reasonable to expect that some indirect overheads incurred by DUET and the responsible entities would be allocated to Multinet. It</w:t>
      </w:r>
      <w:r w:rsidRPr="00BD6209">
        <w:rPr>
          <w:rStyle w:val="AERbody"/>
        </w:rPr>
        <w:t xml:space="preserve"> considered </w:t>
      </w:r>
      <w:r>
        <w:rPr>
          <w:rStyle w:val="AERbody"/>
        </w:rPr>
        <w:t>the audited costs to be arrived at on a reasonable basis and the best estimate in the circumstances.</w:t>
      </w:r>
    </w:p>
    <w:p w:rsidR="008F132C" w:rsidRDefault="00A00171" w:rsidP="00A00171">
      <w:pPr>
        <w:pStyle w:val="AERbodytext"/>
        <w:numPr>
          <w:ilvl w:val="0"/>
          <w:numId w:val="13"/>
        </w:numPr>
        <w:rPr>
          <w:rStyle w:val="AERbody"/>
        </w:rPr>
      </w:pPr>
      <w:r>
        <w:rPr>
          <w:rStyle w:val="AERbody"/>
        </w:rPr>
        <w:t>Taking into account further information, set out below, the AER still considers the costs DUET and the responsible entities</w:t>
      </w:r>
      <w:r w:rsidR="008F132C">
        <w:rPr>
          <w:rStyle w:val="AERbody"/>
        </w:rPr>
        <w:t xml:space="preserve"> incurred in 2010 that were</w:t>
      </w:r>
      <w:r>
        <w:rPr>
          <w:rStyle w:val="AERbody"/>
        </w:rPr>
        <w:t xml:space="preserve"> allocated to Multinet would result in a forecast arrived at on a reasonable basis and is the best estimate possible in the circumstances.</w:t>
      </w:r>
      <w:r w:rsidR="002B005E">
        <w:rPr>
          <w:rStyle w:val="AERbody"/>
        </w:rPr>
        <w:t xml:space="preserve"> As noted above, these costs were used as the basis for Multinet's bottom-up opex forecast for the EPG fee.</w:t>
      </w:r>
    </w:p>
    <w:p w:rsidR="00A00171" w:rsidRDefault="00A00171" w:rsidP="00A00171">
      <w:pPr>
        <w:pStyle w:val="AERbodytext"/>
        <w:numPr>
          <w:ilvl w:val="0"/>
          <w:numId w:val="13"/>
        </w:numPr>
        <w:rPr>
          <w:rStyle w:val="AERbody"/>
        </w:rPr>
      </w:pPr>
      <w:r w:rsidRPr="008F132C">
        <w:rPr>
          <w:rStyle w:val="AERbody"/>
          <w:rFonts w:eastAsia="Calibri"/>
        </w:rPr>
        <w:t xml:space="preserve">Since the draft decision, the AER became aware of a DUET Group restructure whereby DUET will internalise the functions previously undertaken by AMPCH and Macquarie on behalf of DUET. </w:t>
      </w:r>
      <w:r>
        <w:rPr>
          <w:rStyle w:val="AERbody"/>
        </w:rPr>
        <w:t>DUET reports that as a result of its restructure it exp</w:t>
      </w:r>
      <w:r w:rsidRPr="002F392A">
        <w:rPr>
          <w:rStyle w:val="AERbody"/>
        </w:rPr>
        <w:t xml:space="preserve">ects its </w:t>
      </w:r>
      <w:r>
        <w:rPr>
          <w:rStyle w:val="AERbody"/>
        </w:rPr>
        <w:t>annual corporate operating costs to fall from $25.2 million before the restructure to $11.8 million after the restructure.</w:t>
      </w:r>
      <w:r>
        <w:rPr>
          <w:rStyle w:val="FootnoteReference"/>
        </w:rPr>
        <w:footnoteReference w:id="401"/>
      </w:r>
      <w:r>
        <w:rPr>
          <w:rStyle w:val="AERbody"/>
        </w:rPr>
        <w:t xml:space="preserve"> Given DUET's revised forecast of its corporate operating costs, the AER has undertaken further analysis to consider whether a forecast EPG fee which is based on the historical costs incurred by DUET and the responsible entities would be appropriate.</w:t>
      </w:r>
    </w:p>
    <w:p w:rsidR="00A00171" w:rsidRDefault="00A00171" w:rsidP="00A00171">
      <w:pPr>
        <w:pStyle w:val="AERbodytext"/>
        <w:numPr>
          <w:ilvl w:val="0"/>
          <w:numId w:val="13"/>
        </w:numPr>
        <w:rPr>
          <w:rStyle w:val="AERbody"/>
        </w:rPr>
      </w:pPr>
      <w:r>
        <w:rPr>
          <w:rStyle w:val="AERbody"/>
        </w:rPr>
        <w:t xml:space="preserve">The AER assumes that around 18 to 20 per cent of DUET overheads could </w:t>
      </w:r>
      <w:r w:rsidRPr="002F392A">
        <w:rPr>
          <w:rStyle w:val="AERbody"/>
        </w:rPr>
        <w:t xml:space="preserve">reasonably </w:t>
      </w:r>
      <w:r>
        <w:rPr>
          <w:rStyle w:val="AERbody"/>
        </w:rPr>
        <w:t xml:space="preserve">be expected to be </w:t>
      </w:r>
      <w:r w:rsidRPr="002F392A">
        <w:rPr>
          <w:rStyle w:val="AERbody"/>
        </w:rPr>
        <w:t>allocated to Multinet</w:t>
      </w:r>
      <w:r>
        <w:rPr>
          <w:rStyle w:val="AERbody"/>
        </w:rPr>
        <w:t>.</w:t>
      </w:r>
      <w:r>
        <w:rPr>
          <w:rStyle w:val="FootnoteReference"/>
        </w:rPr>
        <w:footnoteReference w:id="402"/>
      </w:r>
      <w:r>
        <w:t xml:space="preserve"> </w:t>
      </w:r>
      <w:r>
        <w:rPr>
          <w:rStyle w:val="AERbody"/>
        </w:rPr>
        <w:t>Applying these</w:t>
      </w:r>
      <w:r w:rsidR="008F132C">
        <w:rPr>
          <w:rStyle w:val="AERbody"/>
        </w:rPr>
        <w:t xml:space="preserve"> estimated</w:t>
      </w:r>
      <w:r>
        <w:rPr>
          <w:rStyle w:val="AERbody"/>
        </w:rPr>
        <w:t xml:space="preserve"> cost allocation percentages</w:t>
      </w:r>
      <w:r w:rsidRPr="002F392A">
        <w:rPr>
          <w:rStyle w:val="AERbody"/>
        </w:rPr>
        <w:t xml:space="preserve"> to</w:t>
      </w:r>
      <w:r>
        <w:rPr>
          <w:rStyle w:val="AERbody"/>
        </w:rPr>
        <w:t xml:space="preserve"> DUET's revised corporate operating cost forecast leads to a similar forecast to</w:t>
      </w:r>
      <w:r w:rsidRPr="002F392A">
        <w:rPr>
          <w:rStyle w:val="AERbody"/>
        </w:rPr>
        <w:t xml:space="preserve"> the costs DUET and </w:t>
      </w:r>
      <w:r>
        <w:rPr>
          <w:rStyle w:val="AERbody"/>
        </w:rPr>
        <w:t>the responsible entities</w:t>
      </w:r>
      <w:r w:rsidRPr="002F392A">
        <w:rPr>
          <w:rStyle w:val="AERbody"/>
        </w:rPr>
        <w:t xml:space="preserve"> in</w:t>
      </w:r>
      <w:r w:rsidR="002B005E">
        <w:rPr>
          <w:rStyle w:val="AERbody"/>
        </w:rPr>
        <w:t>curred in</w:t>
      </w:r>
      <w:r w:rsidRPr="002F392A">
        <w:rPr>
          <w:rStyle w:val="AERbody"/>
        </w:rPr>
        <w:t xml:space="preserve"> 2010</w:t>
      </w:r>
      <w:r w:rsidR="002B005E">
        <w:rPr>
          <w:rStyle w:val="AERbody"/>
        </w:rPr>
        <w:t>, which was</w:t>
      </w:r>
      <w:r>
        <w:rPr>
          <w:rStyle w:val="AERbody"/>
        </w:rPr>
        <w:t xml:space="preserve"> allocated to Multinet as part of the EPG fee recorded in Multinet's regulatory accounts.</w:t>
      </w:r>
      <w:r>
        <w:rPr>
          <w:rStyle w:val="FootnoteReference"/>
        </w:rPr>
        <w:footnoteReference w:id="403"/>
      </w:r>
      <w:r>
        <w:rPr>
          <w:rStyle w:val="AERbody"/>
        </w:rPr>
        <w:t xml:space="preserve"> Therefore </w:t>
      </w:r>
      <w:r w:rsidR="002B005E">
        <w:rPr>
          <w:rStyle w:val="AERbody"/>
        </w:rPr>
        <w:t>DUET's revised</w:t>
      </w:r>
      <w:r w:rsidR="008F132C">
        <w:rPr>
          <w:rStyle w:val="AERbody"/>
        </w:rPr>
        <w:t xml:space="preserve"> corporate operating cost forecast suggests </w:t>
      </w:r>
      <w:r>
        <w:rPr>
          <w:rStyle w:val="AERbody"/>
        </w:rPr>
        <w:t>a forecast based on the costs DUET and the responsible entities in</w:t>
      </w:r>
      <w:r w:rsidR="002B005E">
        <w:rPr>
          <w:rStyle w:val="AERbody"/>
        </w:rPr>
        <w:t xml:space="preserve">curred in 2010 </w:t>
      </w:r>
      <w:r w:rsidR="008F132C">
        <w:rPr>
          <w:rStyle w:val="AERbody"/>
        </w:rPr>
        <w:t>is a</w:t>
      </w:r>
      <w:r w:rsidR="002B005E">
        <w:rPr>
          <w:rStyle w:val="AERbody"/>
        </w:rPr>
        <w:t xml:space="preserve"> forecast arrived at on a reasonable basis.</w:t>
      </w:r>
    </w:p>
    <w:p w:rsidR="00A00171" w:rsidRPr="001375C5" w:rsidRDefault="00A00171" w:rsidP="00A00171">
      <w:pPr>
        <w:pStyle w:val="AERbodytext"/>
        <w:numPr>
          <w:ilvl w:val="0"/>
          <w:numId w:val="13"/>
        </w:numPr>
        <w:rPr>
          <w:rStyle w:val="AERbody"/>
        </w:rPr>
      </w:pPr>
      <w:r>
        <w:rPr>
          <w:rStyle w:val="AERbody"/>
        </w:rPr>
        <w:t xml:space="preserve">While the AER has considered the costs incurred by DUET and the responsible entities in 2011, </w:t>
      </w:r>
      <w:r w:rsidRPr="001375C5">
        <w:rPr>
          <w:rStyle w:val="AERbody"/>
        </w:rPr>
        <w:t>it con</w:t>
      </w:r>
      <w:r>
        <w:rPr>
          <w:rStyle w:val="AERbody"/>
        </w:rPr>
        <w:t>cludes</w:t>
      </w:r>
      <w:r w:rsidRPr="001375C5">
        <w:rPr>
          <w:rStyle w:val="AERbody"/>
        </w:rPr>
        <w:t xml:space="preserve"> that to base its opex forecast on these costs would not result in the best estimate of opex possible in the circumstances or a forecast of opex that reflected </w:t>
      </w:r>
      <w:r>
        <w:rPr>
          <w:rStyle w:val="AERbody"/>
        </w:rPr>
        <w:t xml:space="preserve">the prudent and efficient costs of the services provided </w:t>
      </w:r>
      <w:r w:rsidR="00376187">
        <w:rPr>
          <w:rStyle w:val="AERbody"/>
        </w:rPr>
        <w:t xml:space="preserve">to Multinet </w:t>
      </w:r>
      <w:r>
        <w:rPr>
          <w:rStyle w:val="AERbody"/>
        </w:rPr>
        <w:t>by DUET and the responsible entit</w:t>
      </w:r>
      <w:r w:rsidR="00376187">
        <w:rPr>
          <w:rStyle w:val="AERbody"/>
        </w:rPr>
        <w:t xml:space="preserve">ies. </w:t>
      </w:r>
    </w:p>
    <w:p w:rsidR="00A00171" w:rsidRPr="001375C5" w:rsidRDefault="00A00171" w:rsidP="00A00171">
      <w:pPr>
        <w:pStyle w:val="AERbodytext"/>
        <w:numPr>
          <w:ilvl w:val="0"/>
          <w:numId w:val="13"/>
        </w:numPr>
        <w:rPr>
          <w:rStyle w:val="AERbody"/>
        </w:rPr>
      </w:pPr>
      <w:r>
        <w:rPr>
          <w:rStyle w:val="AERbody"/>
        </w:rPr>
        <w:t xml:space="preserve">The </w:t>
      </w:r>
      <w:r w:rsidRPr="001375C5">
        <w:rPr>
          <w:rStyle w:val="AERbody"/>
        </w:rPr>
        <w:t>reported costs incurred by DUET and the responsible entities attributed to Multinet increased by 98 per cent between 2010 and 2011.</w:t>
      </w:r>
      <w:r w:rsidRPr="001375C5">
        <w:rPr>
          <w:rStyle w:val="FootnoteReference"/>
        </w:rPr>
        <w:footnoteReference w:id="404"/>
      </w:r>
      <w:r w:rsidRPr="001375C5">
        <w:rPr>
          <w:rStyle w:val="AERbody"/>
        </w:rPr>
        <w:t xml:space="preserve"> A major reason why the total cost allocated to Multinet increased in </w:t>
      </w:r>
      <w:r>
        <w:rPr>
          <w:rStyle w:val="AERbody"/>
        </w:rPr>
        <w:t>2011</w:t>
      </w:r>
      <w:r w:rsidRPr="001375C5">
        <w:rPr>
          <w:rStyle w:val="AERbody"/>
        </w:rPr>
        <w:t xml:space="preserve"> is because DUET</w:t>
      </w:r>
      <w:r w:rsidR="002B005E">
        <w:rPr>
          <w:rStyle w:val="AERbody"/>
        </w:rPr>
        <w:t xml:space="preserve"> and the responsible entities</w:t>
      </w:r>
      <w:r w:rsidRPr="001375C5">
        <w:rPr>
          <w:rStyle w:val="AERbody"/>
        </w:rPr>
        <w:t xml:space="preserve"> </w:t>
      </w:r>
      <w:r w:rsidR="00376187">
        <w:rPr>
          <w:rStyle w:val="AERbody"/>
        </w:rPr>
        <w:t>incurred</w:t>
      </w:r>
      <w:r w:rsidRPr="001375C5">
        <w:rPr>
          <w:rStyle w:val="AERbody"/>
        </w:rPr>
        <w:t xml:space="preserve"> a material increase in costs </w:t>
      </w:r>
      <w:r>
        <w:rPr>
          <w:rStyle w:val="AERbody"/>
        </w:rPr>
        <w:t>in 2011</w:t>
      </w:r>
      <w:r w:rsidRPr="001375C5">
        <w:rPr>
          <w:rStyle w:val="AERbody"/>
        </w:rPr>
        <w:t>.</w:t>
      </w:r>
      <w:r w:rsidRPr="001375C5">
        <w:rPr>
          <w:rStyle w:val="FootnoteReference"/>
        </w:rPr>
        <w:footnoteReference w:id="405"/>
      </w:r>
      <w:r w:rsidRPr="001375C5">
        <w:rPr>
          <w:rStyle w:val="AERbody"/>
        </w:rPr>
        <w:t xml:space="preserve"> Multinet was unable to explain why this cost increase had occurred.</w:t>
      </w:r>
      <w:r w:rsidRPr="001375C5">
        <w:rPr>
          <w:rStyle w:val="FootnoteReference"/>
        </w:rPr>
        <w:footnoteReference w:id="406"/>
      </w:r>
      <w:r w:rsidRPr="001375C5">
        <w:rPr>
          <w:rStyle w:val="AERbody"/>
        </w:rPr>
        <w:t xml:space="preserve"> </w:t>
      </w:r>
      <w:r>
        <w:rPr>
          <w:rStyle w:val="AERbody"/>
        </w:rPr>
        <w:t>Multinet</w:t>
      </w:r>
      <w:r w:rsidRPr="001375C5">
        <w:rPr>
          <w:rStyle w:val="AERbody"/>
        </w:rPr>
        <w:t xml:space="preserve"> </w:t>
      </w:r>
      <w:r>
        <w:rPr>
          <w:rStyle w:val="AERbody"/>
        </w:rPr>
        <w:t>identified</w:t>
      </w:r>
      <w:r w:rsidRPr="001375C5">
        <w:rPr>
          <w:rStyle w:val="AERbody"/>
        </w:rPr>
        <w:t xml:space="preserve"> that the services that underlie the EPG fee did not change between 2010 and 2011.</w:t>
      </w:r>
      <w:r w:rsidRPr="001375C5">
        <w:rPr>
          <w:rStyle w:val="FootnoteReference"/>
        </w:rPr>
        <w:footnoteReference w:id="407"/>
      </w:r>
      <w:r w:rsidRPr="001375C5">
        <w:rPr>
          <w:rStyle w:val="AERbody"/>
        </w:rPr>
        <w:t xml:space="preserve"> </w:t>
      </w:r>
    </w:p>
    <w:p w:rsidR="00A00171" w:rsidRPr="001375C5" w:rsidRDefault="00A00171" w:rsidP="00A00171">
      <w:pPr>
        <w:pStyle w:val="AERbodytext"/>
        <w:numPr>
          <w:ilvl w:val="0"/>
          <w:numId w:val="13"/>
        </w:numPr>
        <w:rPr>
          <w:rStyle w:val="AERbody"/>
        </w:rPr>
      </w:pPr>
      <w:r w:rsidRPr="00140AC4">
        <w:rPr>
          <w:rStyle w:val="AERbody"/>
        </w:rPr>
        <w:t xml:space="preserve">Given that </w:t>
      </w:r>
      <w:r w:rsidRPr="001375C5">
        <w:rPr>
          <w:rStyle w:val="AERbody"/>
        </w:rPr>
        <w:t>the services that underlie the EPG fee did not change between 2010 and 2011, and Multinet cannot explain why the overheads DUET and AMPCH</w:t>
      </w:r>
      <w:r w:rsidR="002B005E">
        <w:rPr>
          <w:rStyle w:val="AERbody"/>
        </w:rPr>
        <w:t xml:space="preserve"> incurred in 2011</w:t>
      </w:r>
      <w:r w:rsidRPr="001375C5">
        <w:rPr>
          <w:rStyle w:val="AERbody"/>
        </w:rPr>
        <w:t xml:space="preserve"> were significantly </w:t>
      </w:r>
      <w:r w:rsidR="008F132C">
        <w:rPr>
          <w:rStyle w:val="AERbody"/>
        </w:rPr>
        <w:t xml:space="preserve">higher </w:t>
      </w:r>
      <w:r w:rsidR="002B005E">
        <w:rPr>
          <w:rStyle w:val="AERbody"/>
        </w:rPr>
        <w:t>than in 2010</w:t>
      </w:r>
      <w:r w:rsidRPr="001375C5">
        <w:rPr>
          <w:rStyle w:val="AERbody"/>
        </w:rPr>
        <w:t xml:space="preserve">, the AER </w:t>
      </w:r>
      <w:r>
        <w:rPr>
          <w:rStyle w:val="AERbody"/>
        </w:rPr>
        <w:t>is not</w:t>
      </w:r>
      <w:r w:rsidRPr="001375C5">
        <w:rPr>
          <w:rStyle w:val="AERbody"/>
        </w:rPr>
        <w:t xml:space="preserve"> confident that the overheads DUET and AMPCH</w:t>
      </w:r>
      <w:r w:rsidR="008F132C">
        <w:rPr>
          <w:rStyle w:val="AERbody"/>
        </w:rPr>
        <w:t xml:space="preserve"> incurred</w:t>
      </w:r>
      <w:r w:rsidRPr="001375C5">
        <w:rPr>
          <w:rStyle w:val="AERbody"/>
        </w:rPr>
        <w:t xml:space="preserve"> in 2011</w:t>
      </w:r>
      <w:r>
        <w:rPr>
          <w:rStyle w:val="AERbody"/>
        </w:rPr>
        <w:t xml:space="preserve"> </w:t>
      </w:r>
      <w:r w:rsidR="008F132C">
        <w:rPr>
          <w:rStyle w:val="AERbody"/>
        </w:rPr>
        <w:t>that were</w:t>
      </w:r>
      <w:r>
        <w:rPr>
          <w:rStyle w:val="AERbody"/>
        </w:rPr>
        <w:t xml:space="preserve"> allocated to Multinet</w:t>
      </w:r>
      <w:r w:rsidRPr="001375C5">
        <w:rPr>
          <w:rStyle w:val="AERbody"/>
        </w:rPr>
        <w:t xml:space="preserve"> reflect prudent and efficient costs.</w:t>
      </w:r>
      <w:r>
        <w:rPr>
          <w:rStyle w:val="AERbody"/>
        </w:rPr>
        <w:t xml:space="preserve"> </w:t>
      </w:r>
      <w:r w:rsidR="008F132C" w:rsidRPr="001375C5">
        <w:rPr>
          <w:rStyle w:val="AERbody"/>
        </w:rPr>
        <w:t>For this reason the AER is not confident that a</w:t>
      </w:r>
      <w:r w:rsidR="008F132C">
        <w:rPr>
          <w:rStyle w:val="AERbody"/>
        </w:rPr>
        <w:t>n</w:t>
      </w:r>
      <w:r w:rsidR="008F132C" w:rsidRPr="001375C5">
        <w:rPr>
          <w:rStyle w:val="AERbody"/>
        </w:rPr>
        <w:t xml:space="preserve"> EPG fee forecast based on the costs incurred by DUET and the responsible entities in 2011 </w:t>
      </w:r>
      <w:r w:rsidR="008F132C">
        <w:rPr>
          <w:rStyle w:val="AERbody"/>
        </w:rPr>
        <w:t xml:space="preserve">is </w:t>
      </w:r>
      <w:r w:rsidR="008F132C" w:rsidRPr="001375C5">
        <w:rPr>
          <w:rStyle w:val="AERbody"/>
        </w:rPr>
        <w:t>a forecast arrived at on a reasonable basis, or</w:t>
      </w:r>
      <w:r w:rsidR="00376187">
        <w:rPr>
          <w:rStyle w:val="AERbody"/>
        </w:rPr>
        <w:t xml:space="preserve"> is</w:t>
      </w:r>
      <w:r w:rsidR="008F132C" w:rsidRPr="001375C5">
        <w:rPr>
          <w:rStyle w:val="AERbody"/>
        </w:rPr>
        <w:t xml:space="preserve"> the best estimate in the circumstances.</w:t>
      </w:r>
    </w:p>
    <w:p w:rsidR="00A00171" w:rsidRPr="00175D8B" w:rsidRDefault="00A00171" w:rsidP="00500A89">
      <w:pPr>
        <w:pStyle w:val="HeadingBoldItalic"/>
      </w:pPr>
      <w:r w:rsidRPr="00175D8B">
        <w:t>MGH costs</w:t>
      </w:r>
    </w:p>
    <w:p w:rsidR="00A00171" w:rsidRDefault="00A00171" w:rsidP="00A00171">
      <w:pPr>
        <w:pStyle w:val="AERbodytext"/>
        <w:numPr>
          <w:ilvl w:val="0"/>
          <w:numId w:val="13"/>
        </w:numPr>
      </w:pPr>
      <w:r>
        <w:t>Multinet Group Holdings (MGH) is the holding company of Multinet and the vehicle for holding of equity interests. The costs incurred by MGH in 2010 and 2011 recovered through the EPG fee mostly relate to inhouse labour directly involved in delivering Multinet's reference services.</w:t>
      </w:r>
      <w:r>
        <w:rPr>
          <w:rStyle w:val="FootnoteReference"/>
        </w:rPr>
        <w:footnoteReference w:id="408"/>
      </w:r>
    </w:p>
    <w:p w:rsidR="00A00171" w:rsidRDefault="00A00171" w:rsidP="00A00171">
      <w:pPr>
        <w:pStyle w:val="AERbodytext"/>
        <w:numPr>
          <w:ilvl w:val="0"/>
          <w:numId w:val="13"/>
        </w:numPr>
      </w:pPr>
      <w:r>
        <w:t xml:space="preserve">In the draft decision, the AER understood that these costs had not been audited so it did not include these costs in its base year forecast. </w:t>
      </w:r>
    </w:p>
    <w:p w:rsidR="00A00171" w:rsidRDefault="00A00171" w:rsidP="00A00171">
      <w:pPr>
        <w:pStyle w:val="AERbodytext"/>
        <w:numPr>
          <w:ilvl w:val="0"/>
          <w:numId w:val="13"/>
        </w:numPr>
      </w:pPr>
      <w:r>
        <w:t>Multinet has confirmed that these costs were audited and that these services will be undertaken in the 2013-17 access arrangement period.</w:t>
      </w:r>
      <w:r>
        <w:rPr>
          <w:rStyle w:val="FootnoteReference"/>
        </w:rPr>
        <w:footnoteReference w:id="409"/>
      </w:r>
      <w:r>
        <w:t xml:space="preserve"> The AER considers the actual MGH costs incurred in recent years provide a reasonable basis for forecasting what the efficient cost of these services will be in the 2013-17 access arrangement period. As 2011 is the most recent year when these costs were incurred, it considers the actual MGH costs in 2011 to be the best estimate in the circumstances.</w:t>
      </w:r>
    </w:p>
    <w:p w:rsidR="00A00171" w:rsidRDefault="00A00171" w:rsidP="00500A89">
      <w:pPr>
        <w:pStyle w:val="HeadingBoldItalic"/>
      </w:pPr>
      <w:r>
        <w:t>Bonuses</w:t>
      </w:r>
    </w:p>
    <w:p w:rsidR="00A00171" w:rsidRDefault="00A00171" w:rsidP="00A00171">
      <w:pPr>
        <w:pStyle w:val="AERbodytext"/>
        <w:numPr>
          <w:ilvl w:val="0"/>
          <w:numId w:val="13"/>
        </w:numPr>
        <w:rPr>
          <w:rStyle w:val="AERbody"/>
        </w:rPr>
      </w:pPr>
      <w:r>
        <w:rPr>
          <w:rStyle w:val="AERbody"/>
        </w:rPr>
        <w:t>In both 2010 and 2011 the reported EPG fee also included bonuses. The 2010 EPG fee reported substantive costs listed as 'Bonuses AMPCH' and 'Bonuses Macquarie'. The bonuses reported in 2011 were relatively immaterial.</w:t>
      </w:r>
      <w:r w:rsidRPr="00282F5E">
        <w:rPr>
          <w:rStyle w:val="AERbody"/>
        </w:rPr>
        <w:t xml:space="preserve"> </w:t>
      </w:r>
    </w:p>
    <w:p w:rsidR="00A00171" w:rsidRDefault="00A00171" w:rsidP="00A00171">
      <w:pPr>
        <w:pStyle w:val="AERbodytext"/>
        <w:numPr>
          <w:ilvl w:val="0"/>
          <w:numId w:val="13"/>
        </w:numPr>
        <w:rPr>
          <w:rStyle w:val="AERbody"/>
        </w:rPr>
      </w:pPr>
      <w:r>
        <w:t xml:space="preserve">In the draft decision, the AER understood that the bonuses had not been </w:t>
      </w:r>
      <w:r w:rsidRPr="00A00171">
        <w:rPr>
          <w:rStyle w:val="AERbody"/>
          <w:rFonts w:eastAsia="Calibri"/>
        </w:rPr>
        <w:t xml:space="preserve">audited </w:t>
      </w:r>
      <w:r>
        <w:t xml:space="preserve">so it did not include any forecast bonuses in its base year forecast. </w:t>
      </w:r>
    </w:p>
    <w:p w:rsidR="00A00171" w:rsidRDefault="00A00171" w:rsidP="00A00171">
      <w:pPr>
        <w:pStyle w:val="AERbodytext"/>
        <w:numPr>
          <w:ilvl w:val="0"/>
          <w:numId w:val="13"/>
        </w:numPr>
        <w:rPr>
          <w:rStyle w:val="AERbody"/>
        </w:rPr>
      </w:pPr>
      <w:r>
        <w:rPr>
          <w:rStyle w:val="AERbody"/>
        </w:rPr>
        <w:t>In its revised proposal, Multinet has provided an auditor's opinion that these costs were incurred in accordance with Gas Industry Guideline No. 17.</w:t>
      </w:r>
      <w:r>
        <w:rPr>
          <w:rStyle w:val="FootnoteReference"/>
        </w:rPr>
        <w:footnoteReference w:id="410"/>
      </w:r>
      <w:r>
        <w:rPr>
          <w:rStyle w:val="AERbody"/>
        </w:rPr>
        <w:t xml:space="preserve"> Therefore the AER considers it is reasonable to assume the costs were incurred in delivering the reference services. </w:t>
      </w:r>
    </w:p>
    <w:p w:rsidR="00A00171" w:rsidRDefault="00A00171" w:rsidP="00A00171">
      <w:pPr>
        <w:pStyle w:val="AERbodytext"/>
        <w:numPr>
          <w:ilvl w:val="0"/>
          <w:numId w:val="13"/>
        </w:numPr>
        <w:rPr>
          <w:rStyle w:val="AERbody"/>
        </w:rPr>
      </w:pPr>
      <w:r>
        <w:rPr>
          <w:rStyle w:val="AERbody"/>
        </w:rPr>
        <w:t xml:space="preserve">However, there are several reasons why the AER has not included any bonuses in its base year estimate. </w:t>
      </w:r>
    </w:p>
    <w:p w:rsidR="00A00171" w:rsidRDefault="00A00171" w:rsidP="00A00171">
      <w:pPr>
        <w:pStyle w:val="AERbodytext"/>
        <w:numPr>
          <w:ilvl w:val="0"/>
          <w:numId w:val="13"/>
        </w:numPr>
        <w:rPr>
          <w:rStyle w:val="AERbody"/>
        </w:rPr>
      </w:pPr>
      <w:r>
        <w:rPr>
          <w:rStyle w:val="AERbody"/>
        </w:rPr>
        <w:t>As discussed above, Macquarie and AMPCH will no longer provide services to DUET. The AER therefore considers it is reasonable to assume that the bonuses are opex that will not be incurred in the 2013-17 access arrangement period.</w:t>
      </w:r>
      <w:r>
        <w:rPr>
          <w:rStyle w:val="FootnoteReference"/>
        </w:rPr>
        <w:footnoteReference w:id="411"/>
      </w:r>
    </w:p>
    <w:p w:rsidR="00A00171" w:rsidRDefault="00A00171" w:rsidP="00A00171">
      <w:pPr>
        <w:pStyle w:val="AERbodytext"/>
        <w:numPr>
          <w:ilvl w:val="0"/>
          <w:numId w:val="13"/>
        </w:numPr>
        <w:rPr>
          <w:rStyle w:val="AERbody"/>
        </w:rPr>
      </w:pPr>
      <w:r>
        <w:rPr>
          <w:rStyle w:val="AERbody"/>
        </w:rPr>
        <w:t xml:space="preserve">In any case, the AER would expect that any bonuses attributable to Multinet would be a non-recurrent cost. The AER considers that to include any material non-recurrent costs in a base year estimate will overestimate the efficient recurrent cost of delivering the reference services in the future so will need to be subtracted from a base year estimate. </w:t>
      </w:r>
    </w:p>
    <w:p w:rsidR="00A00171" w:rsidRDefault="00A00171" w:rsidP="00A00171">
      <w:pPr>
        <w:pStyle w:val="AERbodytext"/>
        <w:numPr>
          <w:ilvl w:val="0"/>
          <w:numId w:val="13"/>
        </w:numPr>
        <w:rPr>
          <w:rStyle w:val="AERbody"/>
        </w:rPr>
      </w:pPr>
      <w:r>
        <w:rPr>
          <w:rStyle w:val="AERbody"/>
        </w:rPr>
        <w:t>It is also reasonable to assume a prudent service provider would only pay bonuses to management where there are improvements in the company's underlying profitability. The AER considers that it is reasonable to expect any future bonuses will be paid out of the profitability improvements that are actually achieved. It is not reasonable to expect forecast bonuses to be funded upfront by customers unless the forecast profitability improvements are related to productivity improvements that are reflected in the opex forecasts. The AER is not satisfied that this is the case in this instance. Therefore, for this reason the AER is also not satisfied that including the bonuses in its forecast would lead to a forecast of total opex arrived at on a reasonable basis or reflects the best estimate possible in the circumstances.</w:t>
      </w:r>
    </w:p>
    <w:p w:rsidR="00A00171" w:rsidRPr="001B0CAF" w:rsidRDefault="00A00171" w:rsidP="00500A89">
      <w:pPr>
        <w:pStyle w:val="Heading8"/>
      </w:pPr>
      <w:bookmarkStart w:id="89" w:name="_Toc349900146"/>
      <w:bookmarkStart w:id="90" w:name="_Ref350334155"/>
      <w:bookmarkStart w:id="91" w:name="_Ref350334420"/>
      <w:bookmarkStart w:id="92" w:name="_Ref350334422"/>
      <w:bookmarkStart w:id="93" w:name="_Toc350422678"/>
      <w:bookmarkStart w:id="94" w:name="_Toc350951045"/>
      <w:r>
        <w:t>Network development expenditure</w:t>
      </w:r>
      <w:bookmarkEnd w:id="89"/>
      <w:bookmarkEnd w:id="90"/>
      <w:bookmarkEnd w:id="91"/>
      <w:bookmarkEnd w:id="92"/>
      <w:bookmarkEnd w:id="93"/>
      <w:bookmarkEnd w:id="94"/>
    </w:p>
    <w:p w:rsidR="00A00171" w:rsidRDefault="00A00171" w:rsidP="00A00171">
      <w:pPr>
        <w:pStyle w:val="AERbodytext"/>
        <w:numPr>
          <w:ilvl w:val="0"/>
          <w:numId w:val="13"/>
        </w:numPr>
      </w:pPr>
      <w:r>
        <w:t>The AER's final decision is not to approve Multinet's proposed expenditure for its network development plan.</w:t>
      </w:r>
      <w:r w:rsidRPr="00044A5D">
        <w:t xml:space="preserve"> </w:t>
      </w:r>
      <w:r>
        <w:t>This is because the AER is not satisfied that the expenditure is prudent and efficient or in accordance with accepted good industry practice and would lead to achieving the lowest sustainable cost of delivering pipeline services.</w:t>
      </w:r>
      <w:r>
        <w:rPr>
          <w:rStyle w:val="FootnoteReference"/>
        </w:rPr>
        <w:footnoteReference w:id="412"/>
      </w:r>
    </w:p>
    <w:p w:rsidR="00A00171" w:rsidRDefault="00A00171" w:rsidP="00A00171">
      <w:pPr>
        <w:pStyle w:val="AERbodytext"/>
        <w:numPr>
          <w:ilvl w:val="0"/>
          <w:numId w:val="13"/>
        </w:numPr>
      </w:pPr>
      <w:r>
        <w:t>Multinet's network development plan includes two components:</w:t>
      </w:r>
    </w:p>
    <w:p w:rsidR="00A00171" w:rsidRDefault="00A00171" w:rsidP="00A00171">
      <w:pPr>
        <w:pStyle w:val="AERnumberedlistfirststyle"/>
        <w:numPr>
          <w:ilvl w:val="1"/>
          <w:numId w:val="13"/>
        </w:numPr>
      </w:pPr>
      <w:proofErr w:type="gramStart"/>
      <w:r>
        <w:t>two</w:t>
      </w:r>
      <w:proofErr w:type="gramEnd"/>
      <w:r>
        <w:t xml:space="preserve"> feasibility studies relating to the use of existing electricity AMI infrastructure and designing new time-of-use tariffs. </w:t>
      </w:r>
    </w:p>
    <w:p w:rsidR="00A00171" w:rsidRDefault="00A00171" w:rsidP="00A00171">
      <w:pPr>
        <w:pStyle w:val="AERnumberedlistfirststyle"/>
        <w:numPr>
          <w:ilvl w:val="1"/>
          <w:numId w:val="13"/>
        </w:numPr>
      </w:pPr>
      <w:proofErr w:type="gramStart"/>
      <w:r>
        <w:t>a</w:t>
      </w:r>
      <w:proofErr w:type="gramEnd"/>
      <w:r>
        <w:t xml:space="preserve"> network development plan d</w:t>
      </w:r>
      <w:r w:rsidRPr="004666DD">
        <w:t>evelop</w:t>
      </w:r>
      <w:r>
        <w:t>ing</w:t>
      </w:r>
      <w:r w:rsidRPr="004666DD">
        <w:t xml:space="preserve"> a detailed customer data warehouse</w:t>
      </w:r>
      <w:r>
        <w:t xml:space="preserve"> to target marketing of gas appliances.</w:t>
      </w:r>
      <w:r>
        <w:rPr>
          <w:rStyle w:val="FootnoteReference"/>
        </w:rPr>
        <w:footnoteReference w:id="413"/>
      </w:r>
    </w:p>
    <w:p w:rsidR="00A00171" w:rsidRPr="001E249B" w:rsidRDefault="00A00171" w:rsidP="00A00171">
      <w:pPr>
        <w:pStyle w:val="AERbodytext"/>
        <w:numPr>
          <w:ilvl w:val="0"/>
          <w:numId w:val="13"/>
        </w:numPr>
      </w:pPr>
      <w:r w:rsidRPr="001E249B">
        <w:t>The AER</w:t>
      </w:r>
      <w:r>
        <w:t xml:space="preserve">'s detailed considerations of the </w:t>
      </w:r>
      <w:r w:rsidRPr="001E249B">
        <w:t xml:space="preserve">feasibility studies and the data warehouse </w:t>
      </w:r>
      <w:r>
        <w:t>are set out below.</w:t>
      </w:r>
    </w:p>
    <w:p w:rsidR="00A00171" w:rsidRDefault="00A00171" w:rsidP="00500A89">
      <w:pPr>
        <w:pStyle w:val="HeadingBoldItalic"/>
      </w:pPr>
      <w:r>
        <w:t>Feasibility studies</w:t>
      </w:r>
    </w:p>
    <w:p w:rsidR="00A00171" w:rsidRDefault="00A00171" w:rsidP="00A00171">
      <w:pPr>
        <w:pStyle w:val="AERbodytext"/>
        <w:numPr>
          <w:ilvl w:val="0"/>
          <w:numId w:val="13"/>
        </w:numPr>
      </w:pPr>
      <w:r w:rsidRPr="00004A7B">
        <w:t>Multinet</w:t>
      </w:r>
      <w:r>
        <w:t xml:space="preserve"> proposed expenditure for two separate feasibility studies:</w:t>
      </w:r>
    </w:p>
    <w:p w:rsidR="00A00171" w:rsidRDefault="00A00171" w:rsidP="00A00171">
      <w:pPr>
        <w:pStyle w:val="AERbulletlistfirststyle"/>
      </w:pPr>
      <w:r>
        <w:t>A feasibility study on the use of existing electricity AMI infrastructure to enable the integrated reading of gas and electricity meters.</w:t>
      </w:r>
    </w:p>
    <w:p w:rsidR="00A00171" w:rsidRPr="00004A7B" w:rsidRDefault="00A00171" w:rsidP="00A00171">
      <w:pPr>
        <w:pStyle w:val="AERbulletlistfirststyle"/>
      </w:pPr>
      <w:r>
        <w:t>A feasibility and cost/benefit study relating to the design of new time of use tariffs, and the scope for these to encourage the uptake of new appliance technology.</w:t>
      </w:r>
      <w:r>
        <w:rPr>
          <w:rStyle w:val="FootnoteReference"/>
        </w:rPr>
        <w:footnoteReference w:id="414"/>
      </w:r>
    </w:p>
    <w:p w:rsidR="00A00171" w:rsidRDefault="00A00171" w:rsidP="00A00171">
      <w:r w:rsidRPr="002A595F">
        <w:t xml:space="preserve">In 2006, the Victorian Government decided to roll out advanced metering infrastructure (AMI) or ‘smart meters’ to all Victorian residential and small business electricity customers. </w:t>
      </w:r>
      <w:r w:rsidRPr="00211B33">
        <w:t>The Victorian Government expects to complete a rollout of</w:t>
      </w:r>
      <w:r>
        <w:t xml:space="preserve"> </w:t>
      </w:r>
      <w:r w:rsidRPr="00211B33">
        <w:t>interval meters with remote communications to all customers</w:t>
      </w:r>
      <w:r>
        <w:t xml:space="preserve"> </w:t>
      </w:r>
      <w:r w:rsidRPr="00211B33">
        <w:t>by the end of 2013.</w:t>
      </w:r>
      <w:r>
        <w:rPr>
          <w:rStyle w:val="FootnoteReference"/>
        </w:rPr>
        <w:footnoteReference w:id="415"/>
      </w:r>
      <w:r>
        <w:t xml:space="preserve"> Multinet's proposal relates to examining what benefits may arise from utilising the electricity smart meter infrastructure in its gas network. </w:t>
      </w:r>
    </w:p>
    <w:p w:rsidR="00A00171" w:rsidRPr="00267C92" w:rsidRDefault="00A00171" w:rsidP="00A00171">
      <w:pPr>
        <w:pStyle w:val="AERbodytext"/>
        <w:numPr>
          <w:ilvl w:val="0"/>
          <w:numId w:val="13"/>
        </w:numPr>
      </w:pPr>
      <w:r w:rsidRPr="00267C92">
        <w:t xml:space="preserve">In assessing the </w:t>
      </w:r>
      <w:r>
        <w:t xml:space="preserve">expenditure on these </w:t>
      </w:r>
      <w:r w:rsidRPr="00267C92">
        <w:t>feasibility studies, the AER has considered:</w:t>
      </w:r>
    </w:p>
    <w:p w:rsidR="00A00171" w:rsidRDefault="00A00171" w:rsidP="00A00171">
      <w:pPr>
        <w:pStyle w:val="AERbulletlistfirststyle"/>
      </w:pPr>
      <w:r>
        <w:t>the framework for approving expenditure on feasibility studies</w:t>
      </w:r>
    </w:p>
    <w:p w:rsidR="00A00171" w:rsidRDefault="00A00171" w:rsidP="00A00171">
      <w:pPr>
        <w:pStyle w:val="AERbulletlistfirststyle"/>
      </w:pPr>
      <w:proofErr w:type="gramStart"/>
      <w:r>
        <w:t>whether</w:t>
      </w:r>
      <w:proofErr w:type="gramEnd"/>
      <w:r>
        <w:t xml:space="preserve"> there is a reasonable expectation of a net benefit to the consumer.</w:t>
      </w:r>
    </w:p>
    <w:p w:rsidR="00A00171" w:rsidRDefault="00A00171" w:rsidP="00A00171">
      <w:pPr>
        <w:pStyle w:val="AERbulletlistfirststyle"/>
      </w:pPr>
      <w:r>
        <w:t>Multinet's internal business processes</w:t>
      </w:r>
    </w:p>
    <w:p w:rsidR="00A00171" w:rsidRDefault="00A00171" w:rsidP="00A00171">
      <w:pPr>
        <w:pStyle w:val="AERbulletlistfirststyle"/>
      </w:pPr>
      <w:r>
        <w:t>whether the proposed network development expenditure would require an incremental increase in Multinet's total opex</w:t>
      </w:r>
    </w:p>
    <w:p w:rsidR="00A00171" w:rsidRDefault="00A00171" w:rsidP="00A00171">
      <w:pPr>
        <w:pStyle w:val="AERbulletlistfirststyle"/>
      </w:pPr>
      <w:proofErr w:type="gramStart"/>
      <w:r>
        <w:t>whether</w:t>
      </w:r>
      <w:proofErr w:type="gramEnd"/>
      <w:r>
        <w:t xml:space="preserve"> the forecast expenditure is reached on a reasonable basis and the best possible forecast in the circumstances.</w:t>
      </w:r>
    </w:p>
    <w:p w:rsidR="00A00171" w:rsidRPr="00C71DEB" w:rsidRDefault="00A00171" w:rsidP="00500A89">
      <w:pPr>
        <w:pStyle w:val="HeadingItalic"/>
      </w:pPr>
      <w:r>
        <w:t>Framework for approving expenditure on feasibility studies</w:t>
      </w:r>
    </w:p>
    <w:p w:rsidR="00A00171" w:rsidRPr="00BA2920" w:rsidRDefault="00A00171" w:rsidP="00A00171">
      <w:pPr>
        <w:pStyle w:val="AERbodytext"/>
        <w:numPr>
          <w:ilvl w:val="0"/>
          <w:numId w:val="13"/>
        </w:numPr>
      </w:pPr>
      <w:r>
        <w:t xml:space="preserve">Multinet's revised proposal sets out that the </w:t>
      </w:r>
      <w:r w:rsidRPr="00BA2920">
        <w:t>proposed expenditure</w:t>
      </w:r>
      <w:r>
        <w:t xml:space="preserve"> of $8.0 million ($2012)</w:t>
      </w:r>
      <w:r w:rsidRPr="00BA2920">
        <w:t xml:space="preserve"> is associated with conducting feasibility studies and cost benefits studies</w:t>
      </w:r>
      <w:r>
        <w:t xml:space="preserve">—Multinet stated </w:t>
      </w:r>
      <w:r w:rsidRPr="00BA2920">
        <w:t>it does not represent the costs associated with commissioning a specific project, or program of works.</w:t>
      </w:r>
      <w:r>
        <w:rPr>
          <w:rStyle w:val="FootnoteReference"/>
        </w:rPr>
        <w:footnoteReference w:id="416"/>
      </w:r>
      <w:r w:rsidRPr="00BA2920">
        <w:t xml:space="preserve"> </w:t>
      </w:r>
      <w:r>
        <w:t>Multinet submitted that undertaking these feasibility studies is a prerequisite to a prudent service provider implementing a broader program of works such as that outlined by Multinet.</w:t>
      </w:r>
      <w:r>
        <w:rPr>
          <w:rStyle w:val="FootnoteReference"/>
        </w:rPr>
        <w:footnoteReference w:id="417"/>
      </w:r>
      <w:r>
        <w:t xml:space="preserve"> Multinet submitted that the AER is advocating that Multinet not undertake the feasibility study and just implement a network development plan. Multinet considers this would not be prudent and efficient.</w:t>
      </w:r>
      <w:r>
        <w:rPr>
          <w:rStyle w:val="FootnoteReference"/>
        </w:rPr>
        <w:footnoteReference w:id="418"/>
      </w:r>
    </w:p>
    <w:p w:rsidR="00A00171" w:rsidRDefault="00A00171" w:rsidP="00A00171">
      <w:pPr>
        <w:pStyle w:val="AERbodytext"/>
        <w:numPr>
          <w:ilvl w:val="0"/>
          <w:numId w:val="13"/>
        </w:numPr>
      </w:pPr>
      <w:r>
        <w:t>The AER agrees that undertaking a feasibility study may be prudent and efficient in certain circumstances and may be in the long term interests of consumers. However, the AER must examine whether these particular specific feasibility studies are prudent, efficient and in the long term interest of consumers.</w:t>
      </w:r>
      <w:r>
        <w:rPr>
          <w:rStyle w:val="FootnoteReference"/>
        </w:rPr>
        <w:footnoteReference w:id="419"/>
      </w:r>
      <w:r>
        <w:t xml:space="preserve"> The AER notes that Multinet to some degree accepts that there needs to be a limit on the AER accepting expenditure on feasibility studies and that AER should not necessarily accept all proposed expenditure on feasibility studies. Multinet submitted: </w:t>
      </w:r>
    </w:p>
    <w:p w:rsidR="00A00171" w:rsidRPr="0065488F" w:rsidRDefault="00A00171" w:rsidP="00A00171">
      <w:pPr>
        <w:pStyle w:val="AERquote"/>
      </w:pPr>
      <w:r w:rsidRPr="00BA2920">
        <w:t>the position put forward by Multinet should not be construed as Multinet believing that the AER should accept any or all expenditure that is nominated by a regulated business as being a ‘feasibility study’ – rather, Multinet considers that the threshold test of prudency and efficiency by the AER should be underpinned by a broader assessment as to whether conceptually, the underlying basis for the regulated business concluding that it is worthwhile spending some research and development funds on the proposed issue is reasonable, and is likely to be in the long term interests of Multinet’s customers, as required by the National Gas Objective.</w:t>
      </w:r>
      <w:r>
        <w:rPr>
          <w:rStyle w:val="FootnoteReference"/>
        </w:rPr>
        <w:footnoteReference w:id="420"/>
      </w:r>
    </w:p>
    <w:p w:rsidR="00A00171" w:rsidRPr="004B0802" w:rsidRDefault="00A00171" w:rsidP="00A00171">
      <w:pPr>
        <w:pStyle w:val="AERbodytext"/>
        <w:numPr>
          <w:ilvl w:val="0"/>
          <w:numId w:val="13"/>
        </w:numPr>
      </w:pPr>
      <w:r>
        <w:t xml:space="preserve">Multinet's focus here is on whether the feasibility study is conceptually justified or not. Further, </w:t>
      </w:r>
      <w:r w:rsidRPr="004B0802">
        <w:t>Multinet</w:t>
      </w:r>
      <w:r>
        <w:t xml:space="preserve"> submitted that a r</w:t>
      </w:r>
      <w:r w:rsidRPr="004B0802">
        <w:t xml:space="preserve">easonable threshold </w:t>
      </w:r>
      <w:r>
        <w:t>for determining whether the AER should approve expenditure on feasibility studies is:</w:t>
      </w:r>
    </w:p>
    <w:p w:rsidR="00A00171" w:rsidRPr="004B0802" w:rsidRDefault="00A00171" w:rsidP="00A00171">
      <w:pPr>
        <w:pStyle w:val="AERquotebullet1"/>
      </w:pPr>
      <w:r w:rsidRPr="004B0802">
        <w:t xml:space="preserve">Whether there is enough evidence for the AER to consider it reasonable that a prudent service provider </w:t>
      </w:r>
      <w:r w:rsidRPr="00540497">
        <w:t>could feasibly</w:t>
      </w:r>
      <w:r w:rsidRPr="004B0802">
        <w:t xml:space="preserve"> consider that there may be net benefits to consumers in the long term from spending money on research and development in this area?</w:t>
      </w:r>
      <w:r w:rsidRPr="004B0802">
        <w:rPr>
          <w:rStyle w:val="FootnoteReference"/>
        </w:rPr>
        <w:footnoteReference w:id="421"/>
      </w:r>
      <w:r w:rsidRPr="004B0802">
        <w:t xml:space="preserve"> </w:t>
      </w:r>
    </w:p>
    <w:p w:rsidR="00A00171" w:rsidRDefault="00A00171" w:rsidP="00A00171">
      <w:pPr>
        <w:pStyle w:val="AERquotebullet1"/>
      </w:pPr>
      <w:r w:rsidRPr="004B0802">
        <w:t>Whether conceptually, the underlying basis for the regulated business concluding that it is worthwhile spending some research and development funds on the proposed issue is reasonable, and is likely to be in the long term interests of Multinet's customers, as required by the National Gas Objective.</w:t>
      </w:r>
      <w:r w:rsidRPr="004B0802">
        <w:rPr>
          <w:rStyle w:val="FootnoteReference"/>
        </w:rPr>
        <w:footnoteReference w:id="422"/>
      </w:r>
    </w:p>
    <w:p w:rsidR="00A00171" w:rsidRDefault="00A00171" w:rsidP="00A00171">
      <w:pPr>
        <w:pStyle w:val="AERbodytext"/>
        <w:numPr>
          <w:ilvl w:val="0"/>
          <w:numId w:val="13"/>
        </w:numPr>
      </w:pPr>
      <w:r>
        <w:t>In this, Multinet again focuses on a conceptual justification and in addition whether a service provider could "feasibly consider" that there may be net benefits to consumers.</w:t>
      </w:r>
    </w:p>
    <w:p w:rsidR="00A00171" w:rsidRDefault="00A00171" w:rsidP="00A00171">
      <w:pPr>
        <w:pStyle w:val="AERbodytext"/>
        <w:numPr>
          <w:ilvl w:val="0"/>
          <w:numId w:val="13"/>
        </w:numPr>
      </w:pPr>
      <w:r>
        <w:t>The AER considers the approach proposed by Multinet sets too low a threshold and would not result in expenditure that complies with r. 91 of the NGR or is consistent with the national gas objective. As customers would be required to fund these feasibility studies, the AER does not consider the mere possibility of a conceptual benefit of unknown size is sufficient to be satisfied that this expenditure is prudent, efficient and in the long term interests of consumers.</w:t>
      </w:r>
      <w:r>
        <w:rPr>
          <w:rStyle w:val="FootnoteReference"/>
        </w:rPr>
        <w:footnoteReference w:id="423"/>
      </w:r>
      <w:r>
        <w:t xml:space="preserve"> If a service provider merely identifies a potential benefit that might be delivered by undertaking a feasibility study, in the absence of any assessment as to whether that benefit might outweigh the costs associated with either the study or the project the subject of investigation, this expenditure cannot be considered to be prudent or efficient. </w:t>
      </w:r>
    </w:p>
    <w:p w:rsidR="00A00171" w:rsidRPr="00323F31" w:rsidRDefault="00A00171" w:rsidP="00A00171">
      <w:pPr>
        <w:pStyle w:val="AERbodytext"/>
        <w:numPr>
          <w:ilvl w:val="0"/>
          <w:numId w:val="13"/>
        </w:numPr>
      </w:pPr>
      <w:r>
        <w:t>T</w:t>
      </w:r>
      <w:r w:rsidRPr="00323F31">
        <w:t>he AER accepts that the outcomes of a feasibility study are inherently uncertain. The AER also accepts that it may be difficult to robustly quantify all potential costs and benefits in relation to a project prior to proceeding with a feasibility study; indeed undertaking this task is often the very reason for initiating a feasibility study. However, the AER does not consider these uncertainties require the AER to approve expenditure on these studies simply because Multinet has identified some conceptual benefits. Rather, the AER considers that these uncertainties put an onus on Multinet to demonstrate there is sufficient rigour in its proposal such that there is a reasonable expectation that a net benefit to consumers will result.</w:t>
      </w:r>
    </w:p>
    <w:p w:rsidR="00A00171" w:rsidRPr="00323F31" w:rsidRDefault="00A00171" w:rsidP="00A00171">
      <w:pPr>
        <w:pStyle w:val="AERbodytext"/>
        <w:numPr>
          <w:ilvl w:val="0"/>
          <w:numId w:val="13"/>
        </w:numPr>
      </w:pPr>
      <w:r w:rsidRPr="00323F31">
        <w:t>The AER considers that a prudent and efficient service provider would explore the information already available to establish, at a minimum, a preliminary case in support of further investigating whether the identified benefits may or may not materialise. The extent of that preliminary analysis will be a question of degree. For instance a prudent service provider acting efficiently is likely to require less substantiation of the possible benefits of a feasibility study that costs $50,000 than for a feasibility study that costs $8 million. In the latter case, it would be reasonable to expect that a service provider would undertake some preliminary scoping of the potential benefits of a study. To be clear, the AER is not suggesting that Multinet needs to undertake a feasibility study of a feasibility study before it will approve such expenditure, however it needs to be satisfied that Multinet has undertaken more investigation than simply identify broad conceptual ideas that might result in some benefit.</w:t>
      </w:r>
    </w:p>
    <w:p w:rsidR="00A00171" w:rsidRPr="00323F31" w:rsidRDefault="00A00171" w:rsidP="00A00171">
      <w:pPr>
        <w:pStyle w:val="AERbodytext"/>
        <w:numPr>
          <w:ilvl w:val="0"/>
          <w:numId w:val="13"/>
        </w:numPr>
      </w:pPr>
      <w:r w:rsidRPr="00323F31">
        <w:t>The AER considers that the appropriate threshold is that the AER must be satisfied that there is a reasonable expectation that the proposed expenditure will deliver a net benefit to the consumer.</w:t>
      </w:r>
    </w:p>
    <w:p w:rsidR="00A00171" w:rsidRDefault="00A00171" w:rsidP="00A00171">
      <w:r>
        <w:t>The AER considers that the above threshold is appropriate for the following reasons:</w:t>
      </w:r>
    </w:p>
    <w:p w:rsidR="00A00171" w:rsidRDefault="00A00171" w:rsidP="00A00171">
      <w:pPr>
        <w:pStyle w:val="AERnumberedlistfirststyle"/>
        <w:numPr>
          <w:ilvl w:val="1"/>
          <w:numId w:val="13"/>
        </w:numPr>
      </w:pPr>
      <w:r>
        <w:t>It is flexible enough to allow distribution businesses to undertake feasibility studies which may ultimately be in the long term benefit of consumers; provided they can establish that there is a reasonable basis on which customers can expect to receive a net benefit from undertaking the feasibility studies.</w:t>
      </w:r>
    </w:p>
    <w:p w:rsidR="00A00171" w:rsidRDefault="00A00171" w:rsidP="00A00171">
      <w:pPr>
        <w:pStyle w:val="AERnumberedlistfirststyle"/>
        <w:numPr>
          <w:ilvl w:val="1"/>
          <w:numId w:val="13"/>
        </w:numPr>
      </w:pPr>
      <w:r>
        <w:t xml:space="preserve">It recognises that there is some uncertainty in the outcome of the feasibility studies and so does not require conclusive proof of a benefit to customers, which the AER accepts may not be possible for feasibility studies. </w:t>
      </w:r>
    </w:p>
    <w:p w:rsidR="00A00171" w:rsidRDefault="00A00171" w:rsidP="00A00171">
      <w:pPr>
        <w:pStyle w:val="AERbodytext"/>
        <w:numPr>
          <w:ilvl w:val="0"/>
          <w:numId w:val="13"/>
        </w:numPr>
      </w:pPr>
      <w:r>
        <w:t>In relation to Multinet's submission</w:t>
      </w:r>
      <w:r w:rsidRPr="00AE792A">
        <w:t xml:space="preserve"> that the AER is advocating that Multinet not undertake the feasibility study and just implement a network development plan</w:t>
      </w:r>
      <w:r>
        <w:t xml:space="preserve">, this is not the AER's position. The question for the AER is whether the expenditure meets the NGL and NGR criteria. If the research and development expenditure of this kind does not meet the opex criteria, it is still open to Multinet to undertake the feasibility studies from the overall amount of opex that the AER approved.  </w:t>
      </w:r>
    </w:p>
    <w:p w:rsidR="00A00171" w:rsidRPr="00323F31" w:rsidRDefault="00A00171" w:rsidP="00A00171">
      <w:pPr>
        <w:pStyle w:val="AERbodytext"/>
        <w:numPr>
          <w:ilvl w:val="0"/>
          <w:numId w:val="13"/>
        </w:numPr>
      </w:pPr>
      <w:r>
        <w:t>Multinet has informed the AER that it has not undertaken feasibility studies in the past</w:t>
      </w:r>
      <w:r w:rsidRPr="00323F31">
        <w:t>.</w:t>
      </w:r>
      <w:r w:rsidRPr="00323F31">
        <w:rPr>
          <w:rStyle w:val="FootnoteReference"/>
        </w:rPr>
        <w:footnoteReference w:id="424"/>
      </w:r>
      <w:r w:rsidRPr="00323F31">
        <w:t xml:space="preserve">  However, Multinet could fund any future feasibility studies from its total opex allowance if it so chooses. In this context, the AER notes that other gas distribution service providers have undertaken feasibility studies in the 2008–12 access arrangement </w:t>
      </w:r>
      <w:proofErr w:type="gramStart"/>
      <w:r w:rsidRPr="00323F31">
        <w:t>period</w:t>
      </w:r>
      <w:proofErr w:type="gramEnd"/>
      <w:r w:rsidRPr="00323F31">
        <w:t xml:space="preserve"> without an incremental increase in their opex allowance in the period for the studies. </w:t>
      </w:r>
    </w:p>
    <w:p w:rsidR="00A00171" w:rsidRDefault="00A00171" w:rsidP="00500A89">
      <w:pPr>
        <w:pStyle w:val="HeadingItalic"/>
      </w:pPr>
      <w:r>
        <w:t>Reasonable expectation of net benefit</w:t>
      </w:r>
    </w:p>
    <w:p w:rsidR="00A00171" w:rsidRDefault="00A00171" w:rsidP="00A00171">
      <w:r>
        <w:t>The AER considers that Multinet has not demonstrated a reasonable expectation of benefits to consumers and so the AER does not accept that Multinet's proposed expenditure is prudent, efficient and in the long term interests of consumers.</w:t>
      </w:r>
      <w:r>
        <w:rPr>
          <w:rStyle w:val="FootnoteReference"/>
        </w:rPr>
        <w:footnoteReference w:id="425"/>
      </w:r>
      <w:r>
        <w:t xml:space="preserve"> </w:t>
      </w:r>
    </w:p>
    <w:p w:rsidR="00A00171" w:rsidRPr="00381EC4" w:rsidRDefault="00A00171" w:rsidP="00A00171">
      <w:r w:rsidRPr="00381EC4">
        <w:t xml:space="preserve">As noted in the AER's draft decision, Multinet </w:t>
      </w:r>
      <w:r>
        <w:t>submitted the following:</w:t>
      </w:r>
      <w:r w:rsidRPr="00381EC4">
        <w:t xml:space="preserve"> </w:t>
      </w:r>
    </w:p>
    <w:p w:rsidR="00A00171" w:rsidRPr="00381EC4" w:rsidRDefault="00A00171" w:rsidP="00A00171">
      <w:pPr>
        <w:pStyle w:val="AERquote"/>
      </w:pPr>
      <w:r w:rsidRPr="00381EC4">
        <w:t>Multinet has not carried out any business cases for this expenditure because the benefits are not easily quantifiable.</w:t>
      </w:r>
      <w:r w:rsidRPr="00381EC4">
        <w:rPr>
          <w:rStyle w:val="FootnoteReference"/>
        </w:rPr>
        <w:footnoteReference w:id="426"/>
      </w:r>
      <w:r w:rsidRPr="00381EC4">
        <w:t xml:space="preserve"> </w:t>
      </w:r>
    </w:p>
    <w:p w:rsidR="00A00171" w:rsidRPr="00381EC4" w:rsidRDefault="00A00171" w:rsidP="00A00171">
      <w:pPr>
        <w:pStyle w:val="AERquote"/>
      </w:pPr>
      <w:r w:rsidRPr="00381EC4">
        <w:t>Multinet has not undertaken board approval documentation yet as detailed cost benefit are still to be completed.  In approving the submission to the AER the Board were made aware of this item however will not commit major funding to the program until such time as an adequate allowance has been made in the 2013 to 2017 benchmarks.</w:t>
      </w:r>
      <w:r w:rsidRPr="00381EC4">
        <w:rPr>
          <w:rStyle w:val="FootnoteReference"/>
        </w:rPr>
        <w:footnoteReference w:id="427"/>
      </w:r>
    </w:p>
    <w:p w:rsidR="00A00171" w:rsidRDefault="00A00171" w:rsidP="00A00171">
      <w:r>
        <w:t>After the AER sought additional information subsequent to its draft decision to assist in its assessment,</w:t>
      </w:r>
      <w:r>
        <w:rPr>
          <w:rStyle w:val="FootnoteReference"/>
        </w:rPr>
        <w:footnoteReference w:id="428"/>
      </w:r>
      <w:r>
        <w:t xml:space="preserve"> Multinet further submitted that:</w:t>
      </w:r>
    </w:p>
    <w:p w:rsidR="00A00171" w:rsidRDefault="00A00171" w:rsidP="00A00171">
      <w:pPr>
        <w:pStyle w:val="AERquote"/>
      </w:pPr>
      <w:r>
        <w:t>…</w:t>
      </w:r>
      <w:r w:rsidRPr="00750C00">
        <w:t>we have not undertaken a detailed cost benefit analysis as this stage in relation to these R&amp;D projects. The research and feasibility studies will be used to ascertain the extent to which the conceptual benefits (which were outlined in the Response to the Draft Decision, and repeated above) may or may not be able to be materialised.</w:t>
      </w:r>
      <w:r>
        <w:rPr>
          <w:rStyle w:val="FootnoteReference"/>
        </w:rPr>
        <w:footnoteReference w:id="429"/>
      </w:r>
      <w:r w:rsidRPr="00750C00">
        <w:t xml:space="preserve"> </w:t>
      </w:r>
      <w:r>
        <w:t xml:space="preserve"> </w:t>
      </w:r>
    </w:p>
    <w:p w:rsidR="00A00171" w:rsidRDefault="00A00171" w:rsidP="00A00171">
      <w:pPr>
        <w:pStyle w:val="AERbodytext"/>
        <w:numPr>
          <w:ilvl w:val="0"/>
          <w:numId w:val="13"/>
        </w:numPr>
      </w:pPr>
      <w:r>
        <w:t>In the same information request, the AER outlined its concerns about the specific benefits Multinet identified. In particular</w:t>
      </w:r>
      <w:r w:rsidRPr="00DD1DD4">
        <w:t xml:space="preserve"> </w:t>
      </w:r>
      <w:r>
        <w:t>the AER noted:</w:t>
      </w:r>
      <w:r>
        <w:rPr>
          <w:rStyle w:val="FootnoteReference"/>
        </w:rPr>
        <w:footnoteReference w:id="430"/>
      </w:r>
    </w:p>
    <w:p w:rsidR="00A00171" w:rsidRDefault="00A00171" w:rsidP="00A00171">
      <w:pPr>
        <w:pStyle w:val="AERbulletlistfirststyle"/>
      </w:pPr>
      <w:r>
        <w:t>a number of benefits Multinet identified were external to Multinet's network and not relevant to the AER's assessment of whether the proposed expenditure is consistent with the opex criteria</w:t>
      </w:r>
      <w:r>
        <w:rPr>
          <w:rStyle w:val="FootnoteReference"/>
        </w:rPr>
        <w:footnoteReference w:id="431"/>
      </w:r>
    </w:p>
    <w:p w:rsidR="00A00171" w:rsidRDefault="00A00171" w:rsidP="00A00171">
      <w:pPr>
        <w:pStyle w:val="AERbulletlistfirststyle"/>
      </w:pPr>
      <w:r>
        <w:t>no evidence was provided that the time of use tariffs for gas networks would deliver the identified benefits</w:t>
      </w:r>
    </w:p>
    <w:p w:rsidR="00A00171" w:rsidRDefault="00A00171" w:rsidP="00A00171">
      <w:pPr>
        <w:pStyle w:val="AERbulletlistfirststyle"/>
      </w:pPr>
      <w:r>
        <w:t>no evidence was provided that the introduction of AMI meters would be required to deliver the identified benefits</w:t>
      </w:r>
    </w:p>
    <w:p w:rsidR="00A00171" w:rsidRDefault="00A00171" w:rsidP="00A00171">
      <w:pPr>
        <w:pStyle w:val="AERbulletlistfirststyle"/>
      </w:pPr>
      <w:proofErr w:type="gramStart"/>
      <w:r>
        <w:t>no</w:t>
      </w:r>
      <w:proofErr w:type="gramEnd"/>
      <w:r>
        <w:t xml:space="preserve"> information was provided to quantify, even in a very general way the potential benefits of the greater usage of gas infrastructure.</w:t>
      </w:r>
    </w:p>
    <w:p w:rsidR="00A00171" w:rsidRDefault="00A00171" w:rsidP="00A00171">
      <w:pPr>
        <w:pStyle w:val="AERbodytext"/>
        <w:numPr>
          <w:ilvl w:val="0"/>
          <w:numId w:val="13"/>
        </w:numPr>
      </w:pPr>
      <w:r>
        <w:t>Multinet did not provide further information demonstrating how it expected the proposed feasibility studies would deliver the identified benefits. Further, Multinet has not attempted to undertake any preliminary quantification of the benefits which it expects will arise from these feasibility studies. Multinet, however, has made a number of qualitative claims, some conclusive, about the benefits it considers may arise.</w:t>
      </w:r>
      <w:r>
        <w:rPr>
          <w:rStyle w:val="FootnoteReference"/>
        </w:rPr>
        <w:footnoteReference w:id="432"/>
      </w:r>
      <w:r>
        <w:t xml:space="preserve"> The AER considers Multinet has not sufficiently substantiated these benefits, or how they will benefit gas consumers. For example: </w:t>
      </w:r>
    </w:p>
    <w:p w:rsidR="00A00171" w:rsidRDefault="00A00171" w:rsidP="00A00171">
      <w:pPr>
        <w:pStyle w:val="AERbulletlistfirststyle"/>
      </w:pPr>
      <w:r>
        <w:t>Multinet submitted the integration of electricity, gas, heating and cooling will increase the overall efficiency of the grids and that this will result in a sustainable, economic and reliable energy system.</w:t>
      </w:r>
      <w:r>
        <w:rPr>
          <w:rStyle w:val="FootnoteReference"/>
        </w:rPr>
        <w:footnoteReference w:id="433"/>
      </w:r>
      <w:r>
        <w:t xml:space="preserve"> However, Multinet has not explained how undertaking the feasibility studies may ultimately lead to the integration of networks. Multinet also did not explain how integrating electricity and gas networks would increase the overall efficiency of the grids or how the studies might reasonably be expected to result in a sustainable economic and reliable energy system.</w:t>
      </w:r>
    </w:p>
    <w:p w:rsidR="00A00171" w:rsidRDefault="00A00171" w:rsidP="00A00171">
      <w:pPr>
        <w:pStyle w:val="AERbulletlistfirststyle"/>
      </w:pPr>
      <w:r>
        <w:t>Multinet submitted that its</w:t>
      </w:r>
      <w:r w:rsidRPr="00C63224">
        <w:t xml:space="preserve"> network is underutilized in summer and can be constrained in winter so encouraging usage in the summer months would increase network utilization.</w:t>
      </w:r>
      <w:r>
        <w:t xml:space="preserve"> The AER noted that Multinet has already implemented summer and winter pricing.</w:t>
      </w:r>
      <w:r>
        <w:rPr>
          <w:rStyle w:val="FootnoteReference"/>
        </w:rPr>
        <w:footnoteReference w:id="434"/>
      </w:r>
      <w:r>
        <w:t xml:space="preserve"> As such, it was not apparent that introducing intra-day price signals would deliver the intended benefits. Multinet stated that </w:t>
      </w:r>
      <w:r w:rsidRPr="00EF311E">
        <w:t>the level of granularity with regards to the price signals that can be set under current metering arrangements is limited to seasonal, as opposed to intra-day, price signals</w:t>
      </w:r>
      <w:r>
        <w:t xml:space="preserve">. However, Multinet has not clearly articulated the need for intra-day price signals in the gas system or how the implementation of such price signals might reasonably be expected to encourage usage in the summer months or provide a net benefit to consumers. </w:t>
      </w:r>
    </w:p>
    <w:p w:rsidR="00A00171" w:rsidRDefault="00A00171" w:rsidP="00A00171">
      <w:pPr>
        <w:pStyle w:val="AERbulletlistfirststyle"/>
      </w:pPr>
      <w:r>
        <w:t>Multinet submitted one of the reasons supporting further investigation into tariff designs is the cost benefits to Victoria if an alternative energy source could be used to reduce air-conditioning load on the electricity generators and transmission and distribution networks.</w:t>
      </w:r>
      <w:r>
        <w:rPr>
          <w:rStyle w:val="FootnoteReference"/>
        </w:rPr>
        <w:footnoteReference w:id="435"/>
      </w:r>
      <w:r>
        <w:t xml:space="preserve"> However, Multinet has not demonstrated how it expects a different tariff structure would reduce the air-conditioning load on electricity networks, or how doing so would benefit Multinet's customers.</w:t>
      </w:r>
    </w:p>
    <w:p w:rsidR="00A00171" w:rsidRDefault="00A00171" w:rsidP="00A00171">
      <w:pPr>
        <w:pStyle w:val="AERbulletlistfirststyle"/>
      </w:pPr>
      <w:r>
        <w:t>Multinet submitted the integration of gas and electricity networks and introduction of cost reflective gas tariffs has other qualitative benefits such as decreased Greenhouse emissions as gas emits less carbon than brown coal.</w:t>
      </w:r>
      <w:r>
        <w:rPr>
          <w:rStyle w:val="FootnoteReference"/>
        </w:rPr>
        <w:footnoteReference w:id="436"/>
      </w:r>
      <w:r>
        <w:t xml:space="preserve"> However, Multinet has not demonstrated how it is intended that the proposed projects that are the subject of the study will lead to decreased greenhouse emissions, or how this would benefit Multinet's customers. Indeed, Multinet has not identified what, if any, particular proposals the study might evaluate besides the broad concept that smart grids may result in an increase in efficiency.</w:t>
      </w:r>
      <w:r>
        <w:rPr>
          <w:rStyle w:val="FootnoteReference"/>
        </w:rPr>
        <w:footnoteReference w:id="437"/>
      </w:r>
    </w:p>
    <w:p w:rsidR="00A00171" w:rsidRPr="00A43A7F" w:rsidRDefault="00A00171" w:rsidP="00A00171">
      <w:pPr>
        <w:pStyle w:val="AERbulletlistfirststyle"/>
      </w:pPr>
      <w:r w:rsidRPr="00A43A7F">
        <w:t>Multinet refers to the implementation of gas advanced metering infrastructure by the Southern California Gas Company where the California Public Utilities Commission assessed the benefits of the roll out exceeded the costs.</w:t>
      </w:r>
      <w:r w:rsidRPr="00A43A7F">
        <w:rPr>
          <w:rStyle w:val="FootnoteReference"/>
        </w:rPr>
        <w:footnoteReference w:id="438"/>
      </w:r>
      <w:r w:rsidRPr="00A43A7F">
        <w:t xml:space="preserve"> However, Multinet did not indicate how this assessment was applicable to Multinet's network or whether it considered the same costs or benefits </w:t>
      </w:r>
      <w:r>
        <w:t>would</w:t>
      </w:r>
      <w:r w:rsidRPr="00A43A7F">
        <w:t xml:space="preserve"> result from the implementation of similar metering infrastructure in Multinet's network.</w:t>
      </w:r>
    </w:p>
    <w:p w:rsidR="00A00171" w:rsidRPr="00A43A7F" w:rsidRDefault="00A00171" w:rsidP="00A00171">
      <w:pPr>
        <w:pStyle w:val="AERbulletlistfirststyle"/>
      </w:pPr>
      <w:r>
        <w:t xml:space="preserve">Multinet identified one benefit from introducing remotely read gas meters is eliminating meter readers, thereby avoiding the cost of meter reading. </w:t>
      </w:r>
      <w:r w:rsidRPr="00A43A7F">
        <w:t>The</w:t>
      </w:r>
      <w:r>
        <w:t xml:space="preserve"> only monetary amount Multinet identified as a potential benefit from introducing remotely read gas meters was $11 million ($2012) – the forecast cost of meter reading services in the 2013–17 access arrangement </w:t>
      </w:r>
      <w:proofErr w:type="gramStart"/>
      <w:r>
        <w:t>period</w:t>
      </w:r>
      <w:proofErr w:type="gramEnd"/>
      <w:r>
        <w:t>. This is the maximum saving that could be expected within an access arrangement period. This potential savings does not take into account implementation cost or any additional costs incurred on the remotely read gas meters. These costs would need to be incurred to achieve the identified cost savings</w:t>
      </w:r>
      <w:r w:rsidRPr="00A43A7F">
        <w:t>. As such, the potential for directly avoided costs appears to be small compared to the cost of the fea</w:t>
      </w:r>
      <w:r>
        <w:t xml:space="preserve">sibility studies. </w:t>
      </w:r>
    </w:p>
    <w:p w:rsidR="00A00171" w:rsidRPr="00323F31" w:rsidRDefault="00A00171" w:rsidP="00A00171">
      <w:pPr>
        <w:pStyle w:val="AERbodytext"/>
        <w:numPr>
          <w:ilvl w:val="0"/>
          <w:numId w:val="13"/>
        </w:numPr>
      </w:pPr>
      <w:r>
        <w:t xml:space="preserve">Multinet </w:t>
      </w:r>
      <w:r w:rsidRPr="00323F31">
        <w:t>disagreed with the AER's position that any benefits external to Multinet's gas network should not be considered in its assessment of whether there is a net benefit from the proposed expenditure.</w:t>
      </w:r>
      <w:r w:rsidRPr="00323F31">
        <w:rPr>
          <w:rStyle w:val="FootnoteReference"/>
        </w:rPr>
        <w:footnoteReference w:id="439"/>
      </w:r>
      <w:r w:rsidRPr="00323F31">
        <w:t xml:space="preserve"> Multinet submitted that the AER's approach to assessing whether there is a net benefit of proposed expenditure would appear to be inconsistent with underlying economic theory. This is because it appears to place an artificial constraint on the benefits that would be included in the analysis for the purposes of deriving appropriate public policy outcomes.</w:t>
      </w:r>
      <w:r w:rsidRPr="00323F31">
        <w:rPr>
          <w:rStyle w:val="FootnoteReference"/>
        </w:rPr>
        <w:footnoteReference w:id="440"/>
      </w:r>
      <w:r w:rsidRPr="00323F31">
        <w:t xml:space="preserve"> The AER does not agree with Multinet. The AER is required to assess Multinet's proposal against the criteria in the NGR and NGL.</w:t>
      </w:r>
      <w:r w:rsidRPr="00323F31">
        <w:rPr>
          <w:rStyle w:val="FootnoteReference"/>
        </w:rPr>
        <w:footnoteReference w:id="441"/>
      </w:r>
      <w:r w:rsidRPr="00323F31">
        <w:t xml:space="preserve"> The AER must be satisfied that the expenditure would be incurred by a prudent service provider acting efficiently. Further, the NGO requires the AER to balance investment with the long term interests of gas consumers. Whilst a prudent service provider may consider the external benefits of proposed expenditure when it decides whether to undertake a project, it is unlikely to undertake expenditure where there is little or no direct benefit to it or its customers. Therefore, the AER's assessment of whether expenditure is consistent with the relevant rules is limited to the benefits to the service provider's consumers. The AER recognises that these benefits are not limited to cost alone, and that benefits to consumers might simultaneously involve broader benefits to the service provider or beyond the service provider's network. </w:t>
      </w:r>
    </w:p>
    <w:p w:rsidR="00A00171" w:rsidRDefault="00A00171" w:rsidP="00A00171">
      <w:pPr>
        <w:pStyle w:val="AERbodytext"/>
        <w:numPr>
          <w:ilvl w:val="0"/>
          <w:numId w:val="13"/>
        </w:numPr>
      </w:pPr>
      <w:r>
        <w:t>The AER also notes the Victorian Minister for Energy and Resources did not support a step change for the proposed feasibility studies.</w:t>
      </w:r>
      <w:r>
        <w:rPr>
          <w:rStyle w:val="FootnoteReference"/>
        </w:rPr>
        <w:footnoteReference w:id="442"/>
      </w:r>
      <w:r>
        <w:t xml:space="preserve"> The Minister noted the Victorian Government's experience with the introduction of smart electricity meters. The electricity distributors would not introduce such technology unless obligated to do so or unless there was a clear benefit for them to do so. Further, the Minister notes there is no obligation for distributors to introduce AMI infrastructure for gas metering or introduce time of use pricing for small gas consumers. Therefore, the Minister considers the AER needs to be convinced there are compelling efficiency benefits resulting from Multinet's proposed expenditure and mechanisms to ensure that customers benefit to allow the step change.</w:t>
      </w:r>
      <w:r>
        <w:rPr>
          <w:rStyle w:val="FootnoteReference"/>
        </w:rPr>
        <w:footnoteReference w:id="443"/>
      </w:r>
      <w:r>
        <w:t xml:space="preserve"> </w:t>
      </w:r>
    </w:p>
    <w:p w:rsidR="00A00171" w:rsidRDefault="00A00171" w:rsidP="00A00171">
      <w:pPr>
        <w:pStyle w:val="AERbodytext"/>
        <w:numPr>
          <w:ilvl w:val="0"/>
          <w:numId w:val="13"/>
        </w:numPr>
      </w:pPr>
      <w:r>
        <w:t>The absence of a reasonable expectation of a net benefit leads the AER to conclude that Multinet's proposed expenditure is not prudent and efficient and will not lead to the lowest sustainable cost of delivering the pipeline services.</w:t>
      </w:r>
      <w:r>
        <w:rPr>
          <w:rStyle w:val="FootnoteReference"/>
        </w:rPr>
        <w:footnoteReference w:id="444"/>
      </w:r>
      <w:r>
        <w:t xml:space="preserve"> More broadly, the AER is not satisfied that the expenditure is in the long term interests of consumers.</w:t>
      </w:r>
      <w:r>
        <w:rPr>
          <w:rStyle w:val="FootnoteReference"/>
        </w:rPr>
        <w:footnoteReference w:id="445"/>
      </w:r>
      <w:r>
        <w:t xml:space="preserve">  </w:t>
      </w:r>
    </w:p>
    <w:p w:rsidR="00A00171" w:rsidRDefault="00A00171" w:rsidP="00500A89">
      <w:pPr>
        <w:pStyle w:val="HeadingItalic"/>
      </w:pPr>
      <w:r>
        <w:t>Multinet's internal business processes</w:t>
      </w:r>
    </w:p>
    <w:p w:rsidR="00A00171" w:rsidRDefault="00A00171" w:rsidP="00A00171">
      <w:pPr>
        <w:pStyle w:val="AERbodytext"/>
        <w:numPr>
          <w:ilvl w:val="0"/>
          <w:numId w:val="13"/>
        </w:numPr>
      </w:pPr>
      <w:r>
        <w:t>Multinet stated that its Board requires the AER to approve a step change for network development expenditure before it can commit to undertaking the proposed network development plan.</w:t>
      </w:r>
      <w:r>
        <w:rPr>
          <w:rStyle w:val="FootnoteReference"/>
        </w:rPr>
        <w:footnoteReference w:id="446"/>
      </w:r>
      <w:r>
        <w:t xml:space="preserve"> The AER asked whether Multinet intended to provide detailed business plans to its Board to support the expenditure. Multinet submitted:</w:t>
      </w:r>
    </w:p>
    <w:p w:rsidR="00A00171" w:rsidRPr="00A74E5F" w:rsidRDefault="00A00171" w:rsidP="00A00171">
      <w:pPr>
        <w:pStyle w:val="AERquote"/>
      </w:pPr>
      <w:r w:rsidRPr="00620841">
        <w:t>No. We have not as yet provided detailed Business Cases to Board (or sought internal funding) at this stage, as the funding of such a program of works is reliant on the AER providing funding through the regulatory process</w:t>
      </w:r>
      <w:r>
        <w:t>.</w:t>
      </w:r>
      <w:r w:rsidRPr="00A74E5F">
        <w:rPr>
          <w:rStyle w:val="FootnoteReference"/>
        </w:rPr>
        <w:footnoteReference w:id="447"/>
      </w:r>
      <w:r w:rsidRPr="00A74E5F">
        <w:t xml:space="preserve"> </w:t>
      </w:r>
    </w:p>
    <w:p w:rsidR="00A00171" w:rsidRDefault="00A00171" w:rsidP="00A00171">
      <w:pPr>
        <w:pStyle w:val="AERbodytext"/>
        <w:numPr>
          <w:ilvl w:val="0"/>
          <w:numId w:val="13"/>
        </w:numPr>
      </w:pPr>
      <w:r>
        <w:t>Multinet submitted that:</w:t>
      </w:r>
    </w:p>
    <w:p w:rsidR="00A00171" w:rsidRDefault="00A00171" w:rsidP="00A00171">
      <w:pPr>
        <w:pStyle w:val="AERquote"/>
      </w:pPr>
      <w:r>
        <w:t>...like all of the decisions underpinning the development of Multinet's GAAR submission, the Board of Multinet has signed off on the GAAR submission - inclusive, of this request for funds for the Network Development Plan (MDP).</w:t>
      </w:r>
    </w:p>
    <w:p w:rsidR="00A00171" w:rsidRDefault="00A00171" w:rsidP="00A00171">
      <w:pPr>
        <w:pStyle w:val="AERquote"/>
      </w:pPr>
      <w:r>
        <w:t>If funding is received from the AER, the exact same internal Governance processes will occur prior to this program of works commencing, relative to any other project/program of works.</w:t>
      </w:r>
      <w:r>
        <w:rPr>
          <w:rStyle w:val="FootnoteReference"/>
        </w:rPr>
        <w:footnoteReference w:id="448"/>
      </w:r>
    </w:p>
    <w:p w:rsidR="00A00171" w:rsidRDefault="00A00171" w:rsidP="00A00171">
      <w:pPr>
        <w:pStyle w:val="AERbodytext"/>
        <w:numPr>
          <w:ilvl w:val="0"/>
          <w:numId w:val="13"/>
        </w:numPr>
      </w:pPr>
      <w:r>
        <w:t xml:space="preserve">The </w:t>
      </w:r>
      <w:r w:rsidRPr="00A74E5F">
        <w:t xml:space="preserve">AER </w:t>
      </w:r>
      <w:r>
        <w:t xml:space="preserve">does not </w:t>
      </w:r>
      <w:r w:rsidRPr="00A74E5F">
        <w:t xml:space="preserve">require a service provider's Board to </w:t>
      </w:r>
      <w:r>
        <w:t xml:space="preserve">have approved </w:t>
      </w:r>
      <w:r w:rsidRPr="00A74E5F">
        <w:t>expenditure in order for it to consider the expenditure consistent with the opex criteria.</w:t>
      </w:r>
      <w:r>
        <w:t xml:space="preserve"> Nor does the AER consider that a Board having "signed off" on an access arrangement proposal is itself sufficient to justify expenditure against the NGR criteria.  </w:t>
      </w:r>
    </w:p>
    <w:p w:rsidR="00A00171" w:rsidRDefault="00A00171" w:rsidP="00A00171">
      <w:pPr>
        <w:pStyle w:val="AERbodytext"/>
        <w:numPr>
          <w:ilvl w:val="0"/>
          <w:numId w:val="13"/>
        </w:numPr>
      </w:pPr>
      <w:r>
        <w:t xml:space="preserve">However, the AER does consider that </w:t>
      </w:r>
      <w:r w:rsidRPr="00A74E5F">
        <w:t>the type of information that would be considered by a service provider's Board in support of proposed expenditure is similar to the type of information the AER considers when determining whether proposed expenditure is consistent with the opex criteria.</w:t>
      </w:r>
      <w:r>
        <w:t xml:space="preserve"> Particularly, the AER considers that documents in the nature of a business case can be used to demonstrate that undertaking a project is prudent and efficient. </w:t>
      </w:r>
    </w:p>
    <w:p w:rsidR="00A00171" w:rsidRDefault="00A00171" w:rsidP="00A00171">
      <w:pPr>
        <w:pStyle w:val="AERbodytext"/>
        <w:numPr>
          <w:ilvl w:val="0"/>
          <w:numId w:val="13"/>
        </w:numPr>
      </w:pPr>
      <w:r>
        <w:t>This type of information is provided by service providers in their access arrangement proposals in proposing all types of expenditure.  Such supporting information is a feature of the propose/respond framework of regulation as it enables the regulator to meaningfully review the proposed expenditure against the NGR criteria. The AER notes that Multinet has not provided it with detailed business cases for these projects. Multinet stated:</w:t>
      </w:r>
    </w:p>
    <w:p w:rsidR="00A00171" w:rsidRDefault="00A00171" w:rsidP="00A00171">
      <w:pPr>
        <w:pStyle w:val="AERquote"/>
      </w:pPr>
      <w:r w:rsidRPr="00336077">
        <w:t>We have not as yet provided detailed Business Cases to Board (or sought internal funding) at this stage, as the funding of such a program of works is reliant on the AER providing funding through the regulatory process.</w:t>
      </w:r>
    </w:p>
    <w:p w:rsidR="00A00171" w:rsidRDefault="00A00171" w:rsidP="00A00171">
      <w:pPr>
        <w:pStyle w:val="AERbodytext"/>
        <w:numPr>
          <w:ilvl w:val="0"/>
          <w:numId w:val="13"/>
        </w:numPr>
      </w:pPr>
      <w:r>
        <w:t xml:space="preserve">It appears to the AER that Multinet considers the AER requires less evidence to determine this expenditure is prudent and efficient, than Multinet's Board would require </w:t>
      </w:r>
      <w:proofErr w:type="gramStart"/>
      <w:r>
        <w:t>to incur</w:t>
      </w:r>
      <w:proofErr w:type="gramEnd"/>
      <w:r>
        <w:t xml:space="preserve"> this expenditure. Whilst the level of information required by the Multinet Board is not a matter for the AER, at the very least Multinet's Board is likely to require information in the form of some preliminary analysis that establishes a reasonable expectation that a net benefit might result from the studies before approving expenditure on those studies. The AER also requires this minimum level of information before it can be satisfied that the expenditure meets the requirements of the NGR and NGO.</w:t>
      </w:r>
    </w:p>
    <w:p w:rsidR="00A00171" w:rsidRDefault="00A00171" w:rsidP="00A00171">
      <w:pPr>
        <w:pStyle w:val="AERbodytext"/>
        <w:numPr>
          <w:ilvl w:val="0"/>
          <w:numId w:val="13"/>
        </w:numPr>
      </w:pPr>
      <w:r w:rsidRPr="00DF49B3">
        <w:t xml:space="preserve">To the extent Multinet provided information in its initial and revised proposals, the information only gave a </w:t>
      </w:r>
      <w:r>
        <w:t xml:space="preserve">very </w:t>
      </w:r>
      <w:r w:rsidRPr="00DF49B3">
        <w:t xml:space="preserve">broad overview of the proposed network development program and highlighted some conceptual benefits of the expenditure. It did not provide specific information about the proposed network development program </w:t>
      </w:r>
      <w:r>
        <w:t>such as</w:t>
      </w:r>
      <w:r w:rsidRPr="00DF49B3">
        <w:t xml:space="preserve"> the scope or details of the </w:t>
      </w:r>
      <w:r>
        <w:t>potential cost</w:t>
      </w:r>
      <w:r w:rsidRPr="00DF49B3">
        <w:t xml:space="preserve">s or benefits, or the basis of the estimates. The AER sent information requests prior to its draft and final decisions in an attempt to </w:t>
      </w:r>
      <w:r>
        <w:t>obtain</w:t>
      </w:r>
      <w:r w:rsidRPr="00DF49B3">
        <w:t xml:space="preserve"> the information required to demonstrate the proposed step change was prudent and efficient.</w:t>
      </w:r>
      <w:r w:rsidRPr="00DF49B3">
        <w:rPr>
          <w:rStyle w:val="FootnoteReference"/>
        </w:rPr>
        <w:footnoteReference w:id="449"/>
      </w:r>
      <w:r w:rsidRPr="00DF49B3">
        <w:t xml:space="preserve"> Whilst Multinet provided further information in its responses to these information requests, the AER considers the responses did not provide adequate </w:t>
      </w:r>
      <w:r>
        <w:t xml:space="preserve">substantive </w:t>
      </w:r>
      <w:r w:rsidRPr="00DF49B3">
        <w:t>information to justify the expenditure against the relevant rules.</w:t>
      </w:r>
      <w:r>
        <w:t xml:space="preserve"> </w:t>
      </w:r>
    </w:p>
    <w:p w:rsidR="00A00171" w:rsidRDefault="00A00171" w:rsidP="00500A89">
      <w:pPr>
        <w:pStyle w:val="HeadingItalic"/>
      </w:pPr>
      <w:r>
        <w:t>Step change</w:t>
      </w:r>
    </w:p>
    <w:p w:rsidR="00A00171" w:rsidRDefault="00A00171" w:rsidP="00A00171">
      <w:pPr>
        <w:pStyle w:val="AERbodytext"/>
        <w:numPr>
          <w:ilvl w:val="0"/>
          <w:numId w:val="13"/>
        </w:numPr>
      </w:pPr>
      <w:r>
        <w:t>Multinet has not established that there is a reasonable expectation that the expenditure on the feasibility studies will result in a net benefit to consumers. Therefore it is not necessary for the AER to consider whether an increase in total opex is required to fund those feasibility studies. To put it another way, in the absence of the AER being satisfied that the expenditure is such that would be incurred by a prudent service provider acting efficiently to achieve the lowest sustainable cost of delivering pipeline services, it is not necessary to establish whether the expenditure amounts to a step up in the opex from a change in the cost drivers. However, Multinet submitted the feasibility studies were a step change in so far as they represent a change from the provision of the status quo level of service that has underpinned the base year costs and accordingly the AER have given consideration to that submission.</w:t>
      </w:r>
    </w:p>
    <w:p w:rsidR="00A00171" w:rsidRDefault="00A00171" w:rsidP="00A00171">
      <w:pPr>
        <w:pStyle w:val="AERbodytext"/>
        <w:numPr>
          <w:ilvl w:val="0"/>
          <w:numId w:val="13"/>
        </w:numPr>
      </w:pPr>
      <w:r>
        <w:t>Multinet put forward two key reasons why it considered that the feasibility studies were a step change:</w:t>
      </w:r>
    </w:p>
    <w:p w:rsidR="00A00171" w:rsidRDefault="00A00171" w:rsidP="00A00171">
      <w:pPr>
        <w:pStyle w:val="AERquotebullet1"/>
      </w:pPr>
      <w:r>
        <w:t>It is a change in the proposed level of service, which we note, could not have been explored previously due to exogenous reasons...</w:t>
      </w:r>
    </w:p>
    <w:p w:rsidR="00A00171" w:rsidRDefault="00A00171" w:rsidP="00A00171">
      <w:pPr>
        <w:pStyle w:val="AERquotebullet1"/>
      </w:pPr>
      <w:r>
        <w:t xml:space="preserve">It is not included in its base year operating costs, nor could it be assumed to be part of the normal fluctuations in costs that occur, and which are assumed to offset one-an-other under the base year concept (which is our view of the principle behind the base year concept). We note that the AER states "that </w:t>
      </w:r>
      <w:r w:rsidRPr="002D0346">
        <w:rPr>
          <w:rStyle w:val="AERtextunderline"/>
        </w:rPr>
        <w:t>many</w:t>
      </w:r>
      <w:r>
        <w:t xml:space="preserve"> non-recurrent items can be accommodated using the base year allowance" - it does not state that all non-recurrent items could be reasonably </w:t>
      </w:r>
      <w:proofErr w:type="gramStart"/>
      <w:r>
        <w:t>be</w:t>
      </w:r>
      <w:proofErr w:type="gramEnd"/>
      <w:r>
        <w:t xml:space="preserve"> assumed to be treated this way. Our interpretation is that the differentiation between 'many' and 'all' relates to the extent to which they are likely to be 'normal' versus 'abnormal' fluctuations - i.e., this will be the major consideration as to whether the base year could be reasonably assumed to have funded that expenditure. As an aside, we note later in our response that we have not undertaken </w:t>
      </w:r>
      <w:r w:rsidRPr="00456E50">
        <w:rPr>
          <w:rStyle w:val="AERtextunderline"/>
        </w:rPr>
        <w:t>any</w:t>
      </w:r>
      <w:r>
        <w:t xml:space="preserve"> feasibility studies over the current regulatory period, let alone in the base year. For clarity, we do not consider undertaking such feasibility studies to be a normal expenditure item.</w:t>
      </w:r>
      <w:r>
        <w:rPr>
          <w:rStyle w:val="FootnoteReference"/>
        </w:rPr>
        <w:footnoteReference w:id="450"/>
      </w:r>
    </w:p>
    <w:p w:rsidR="00A00171" w:rsidRPr="00323F31" w:rsidRDefault="00A00171" w:rsidP="00A00171">
      <w:pPr>
        <w:pStyle w:val="AERbodytext"/>
        <w:numPr>
          <w:ilvl w:val="0"/>
          <w:numId w:val="13"/>
        </w:numPr>
      </w:pPr>
      <w:r>
        <w:t>The AER does not agree that undertaking a feasibility study results in a change in the proposed level of service provided by Multinet. This is because testing high level concepts and assessing the potential benefits of a project does not change the level of service provided to customers</w:t>
      </w:r>
      <w:r w:rsidRPr="00323F31">
        <w:t xml:space="preserve"> (at least at the time of undertaking the study, the implementation of the study being a separate question). As the level of service provided is not changing, the level of operating expenditure required by Multinet to provide that service, all else equal, should not increase. Any increase in costs in this situation would result in a loss of efficiency.</w:t>
      </w:r>
    </w:p>
    <w:p w:rsidR="00A00171" w:rsidRPr="00323F31" w:rsidRDefault="00A00171" w:rsidP="00A00171">
      <w:pPr>
        <w:pStyle w:val="AERbodytext"/>
        <w:numPr>
          <w:ilvl w:val="0"/>
          <w:numId w:val="13"/>
        </w:numPr>
      </w:pPr>
      <w:r>
        <w:t xml:space="preserve">As noted in section </w:t>
      </w:r>
      <w:r w:rsidRPr="00323F31">
        <w:t xml:space="preserve">7.4.3 of chapter 7, the AER considers the opex program of a gas network service provider will not be exactly the same from year to year. Actual expenditure in the base year includes both recurrent and non-recurrent expenditure. Consequently, the base opex will likely include non-recurrent expenditure that will not be required in the next access arrangement period. Therefore, the AER does not consider the fact a particular activity was not undertaken in the base year is sufficient evidence to demonstrate a step change will occur. The AER has not sought to remove non-recurrent expenditure in the base year. Therefore, when assessing a proposed non-recurring step change, the AER considers whether base year opex will be sufficient to fund the proposed activity, or whether a step up in opex is required, on a case by case basis. </w:t>
      </w:r>
    </w:p>
    <w:p w:rsidR="00A00171" w:rsidRPr="00323F31" w:rsidRDefault="00A00171" w:rsidP="00A00171">
      <w:pPr>
        <w:pStyle w:val="AERbodytext"/>
        <w:numPr>
          <w:ilvl w:val="0"/>
          <w:numId w:val="13"/>
        </w:numPr>
      </w:pPr>
      <w:r>
        <w:t>The basis of</w:t>
      </w:r>
      <w:r w:rsidRPr="00323F31">
        <w:t xml:space="preserve"> Multinet's classification of expenditure as either 'normal' or 'abnormal' is not entirely clear. The AER considers that if one were to apply such terminology then presumably what Multinet refers to as 'abnormal' fluctuation in opex would be the result of unexpected or uncontrollable changes in the operating environment resulting in changes to costs. Multinet has pointed to the roll out of electricity AMI as being a driver for undertaking these feasibility studies. However, the AER notes that the rollout of electricity smart meters is unrelated to gas. Particularly, there are no new regulatory obligations that relate to Multinet's provision of reference services nor does it appear to affect the external operating environment for the provision of those reference services. Undertaking feasibility studies is not an unexpected or uncontrollable change in the operating environment. In this sense, it cannot be "abnormal" expenditure. Rather, the AER notes the proposed expenditure on feasibility studies is entirely discretionary in nature.</w:t>
      </w:r>
    </w:p>
    <w:p w:rsidR="00A00171" w:rsidRPr="00323F31" w:rsidRDefault="00A00171" w:rsidP="00A00171">
      <w:pPr>
        <w:pStyle w:val="AERbodytext"/>
        <w:numPr>
          <w:ilvl w:val="0"/>
          <w:numId w:val="13"/>
        </w:numPr>
      </w:pPr>
      <w:r>
        <w:t xml:space="preserve">Where expenditure is discretionary it may not meet the opex criteria because it may not be expenditure that a prudent service provider would </w:t>
      </w:r>
      <w:r w:rsidRPr="00323F31">
        <w:t>incur. This is distinct from non-discretionary spending (e.g. where there is a change in regulatory obligation or other exogenous change in operating circumstances) which must be incurred. If expenditure, whether discretionary or non-discretionary, would be incurred by a prudent service provider, the AER must then consider whether the proposed amount is efficient and requires an increase in total opex in the same manner as non</w:t>
      </w:r>
      <w:r w:rsidRPr="00323F31">
        <w:noBreakHyphen/>
        <w:t>discretionary expenditure.</w:t>
      </w:r>
    </w:p>
    <w:p w:rsidR="00A00171" w:rsidRDefault="00A00171" w:rsidP="00A00171">
      <w:pPr>
        <w:pStyle w:val="AERbodytext"/>
        <w:numPr>
          <w:ilvl w:val="0"/>
          <w:numId w:val="13"/>
        </w:numPr>
      </w:pPr>
      <w:r>
        <w:t>On the basis of the information provided by Multinet, it appears that a significant driver for the feasibility studies is to investigate possible productivity improvements. This is because the only ascertainable benefit to Multinet's consumers for the feasibility study investigating the use of existing electricity AMI infrastructure is avoided meter reading costs from introducing remote reading of gas meters.</w:t>
      </w:r>
      <w:r>
        <w:rPr>
          <w:rStyle w:val="FootnoteReference"/>
        </w:rPr>
        <w:footnoteReference w:id="451"/>
      </w:r>
      <w:r>
        <w:t xml:space="preserve"> As noted in section 7.4.3 of chapter 7, when assessing a step change to increase productivity, the AER considers the impact of the step change on total forecast opex. A step change for a project intended to improve productivity will only be prudent if the cost savings from the project outweigh the costs associated with the project. Whilst the step change in and of itself may be efficient, adding that forecast to total opex will not produce an efficient forecast. This is because adding the cost of the step change does not take into account the cost savings resulting from the step change.</w:t>
      </w:r>
      <w:r w:rsidRPr="004E0E8C">
        <w:t xml:space="preserve"> </w:t>
      </w:r>
      <w:r>
        <w:t>If a step change delivers productivity savings, the cost savings delivered by the step change should also be factored into the forecast of total opex. Consequently, an increase in total opex to implement the project may not be required because,</w:t>
      </w:r>
      <w:r w:rsidRPr="00EF0602">
        <w:t xml:space="preserve"> </w:t>
      </w:r>
      <w:r>
        <w:t xml:space="preserve">all else equal, opex will be reduced by the introduction of the project. </w:t>
      </w:r>
    </w:p>
    <w:p w:rsidR="00A00171" w:rsidRDefault="00A00171" w:rsidP="00A00171">
      <w:pPr>
        <w:pStyle w:val="AERbodytext"/>
        <w:numPr>
          <w:ilvl w:val="0"/>
          <w:numId w:val="13"/>
        </w:numPr>
      </w:pPr>
      <w:r>
        <w:t xml:space="preserve">In these circumstances, the feasibility study itself will not deliver productivity improvements. Instead, it may result in a recommendation that, if implemented, may deliver this result. However, prior to implementation of any recommendations arising from the feasibility study, the level of service to customers has not changed. As the level of service provided by Multinet has not changed, any increase </w:t>
      </w:r>
      <w:r w:rsidRPr="00565A29">
        <w:t xml:space="preserve">in </w:t>
      </w:r>
      <w:r>
        <w:t>opex</w:t>
      </w:r>
      <w:r w:rsidRPr="00565A29">
        <w:t xml:space="preserve"> would result in a loss of efficiency</w:t>
      </w:r>
      <w:r>
        <w:t xml:space="preserve">. </w:t>
      </w:r>
    </w:p>
    <w:p w:rsidR="00A00171" w:rsidRDefault="00A00171" w:rsidP="00A00171">
      <w:pPr>
        <w:pStyle w:val="AERbodytext"/>
        <w:numPr>
          <w:ilvl w:val="0"/>
          <w:numId w:val="13"/>
        </w:numPr>
      </w:pPr>
      <w:r>
        <w:t xml:space="preserve">Based on the information before it and as set out above, the AER considers that Multinet has not demonstrated there is a reasonable expectation of a net benefit.  Further, even if Multinet had demonstrated this, the AER has been presented with no evidence that a step change to Multinet's opex would have been warranted. </w:t>
      </w:r>
    </w:p>
    <w:p w:rsidR="00A00171" w:rsidRPr="002C2D09" w:rsidRDefault="00A00171" w:rsidP="00500A89">
      <w:pPr>
        <w:pStyle w:val="HeadingItalic"/>
      </w:pPr>
      <w:r>
        <w:t xml:space="preserve">Forecast reached on a reasonable basis and best possible in the circumstances </w:t>
      </w:r>
    </w:p>
    <w:p w:rsidR="00A00171" w:rsidRDefault="00A00171" w:rsidP="00A00171">
      <w:r>
        <w:t>In its revised proposal, Multinet noted that the AER had not commented on the efficiency of Multinet's proposed network development expenditure in the draft decision, therefore it could only assume that the AER considers Multinet's forecast is consistent with r. 74 of the NGR.</w:t>
      </w:r>
      <w:r>
        <w:rPr>
          <w:rStyle w:val="FootnoteReference"/>
        </w:rPr>
        <w:footnoteReference w:id="452"/>
      </w:r>
      <w:r>
        <w:t xml:space="preserve"> This assumption was not correct. The AER acknowledges that it did not directly comment on Multinet's forecasts for network development expenditure in the draft decision. This was because once it assessed that the feasibility studies were not consistent with r. 91 of the NGR, it followed that there could be no reasonable basis on which to assess the forecast.</w:t>
      </w:r>
    </w:p>
    <w:p w:rsidR="00A00171" w:rsidRDefault="00A00171" w:rsidP="00A00171">
      <w:r>
        <w:t>The AER, prior to the final decision, indicated to Multinet that it considered the cost build-up provided prior to the draft decision was not sufficiently detailed to justify the expenditure.</w:t>
      </w:r>
      <w:r>
        <w:rPr>
          <w:rStyle w:val="FootnoteReference"/>
        </w:rPr>
        <w:footnoteReference w:id="453"/>
      </w:r>
      <w:r>
        <w:t xml:space="preserve"> It gave Multinet the opportunity to comment on this and requested further information regarding the basis of the forecasts to enable the AER to assess Multinet's proposal against the requirements of r. 74 of the NGR.</w:t>
      </w:r>
    </w:p>
    <w:p w:rsidR="00A00171" w:rsidRDefault="00A00171" w:rsidP="00A00171">
      <w:pPr>
        <w:pStyle w:val="AERbodytext"/>
        <w:numPr>
          <w:ilvl w:val="0"/>
          <w:numId w:val="13"/>
        </w:numPr>
      </w:pPr>
      <w:r>
        <w:t xml:space="preserve">The cost build-up Multinet provided only included high level cost categories. It was not clear to the AER which project each category related to, or whether the categories related to multiple projects. Further, there was no breakdown of the activities or costs within each </w:t>
      </w:r>
      <w:proofErr w:type="gramStart"/>
      <w:r>
        <w:t>category,</w:t>
      </w:r>
      <w:proofErr w:type="gramEnd"/>
      <w:r>
        <w:t xml:space="preserve"> therefore it is not apparent to the AER what is the basis of Multinet's forecast. The AER requested further information to identify what projects the high level cost categories related to and to explain how it arrived at the forecasts.</w:t>
      </w:r>
      <w:r>
        <w:rPr>
          <w:rStyle w:val="FootnoteReference"/>
        </w:rPr>
        <w:footnoteReference w:id="454"/>
      </w:r>
      <w:r>
        <w:t xml:space="preserve"> </w:t>
      </w:r>
    </w:p>
    <w:p w:rsidR="00A00171" w:rsidRDefault="00A00171" w:rsidP="00A00171">
      <w:pPr>
        <w:pStyle w:val="AERbodytext"/>
        <w:numPr>
          <w:ilvl w:val="0"/>
          <w:numId w:val="13"/>
        </w:numPr>
      </w:pPr>
      <w:r>
        <w:t>Multinet provided further information regarding which projects related to which cost categories.</w:t>
      </w:r>
      <w:r>
        <w:rPr>
          <w:rStyle w:val="FootnoteReference"/>
        </w:rPr>
        <w:footnoteReference w:id="455"/>
      </w:r>
      <w:r>
        <w:t xml:space="preserve"> However, it did not provide any further breakdown of the activities or costs within each category, or the basis of its forecasts. Multinet submitted that its costs forecasts are:</w:t>
      </w:r>
    </w:p>
    <w:p w:rsidR="00A00171" w:rsidRDefault="00A00171" w:rsidP="00A00171">
      <w:pPr>
        <w:pStyle w:val="AERquote"/>
      </w:pPr>
      <w:r>
        <w:tab/>
        <w:t>Best estimates based on the judgement of experienced personnel within the business.</w:t>
      </w:r>
      <w:r>
        <w:rPr>
          <w:rStyle w:val="FootnoteReference"/>
        </w:rPr>
        <w:footnoteReference w:id="456"/>
      </w:r>
    </w:p>
    <w:p w:rsidR="00A00171" w:rsidRDefault="00A00171" w:rsidP="00A00171">
      <w:r>
        <w:t xml:space="preserve">This was the only explanation or basis of the cost forecasts Multinet submitted. The AER considers that this is not a reasonable basis for $8 million ($2012) worth of expenditure. It indicates a lack of rigour in fully assessing the costs of the expenditure proposed. For example, there are references to the potential costs for consultants </w:t>
      </w:r>
      <w:r w:rsidRPr="008F495D">
        <w:t xml:space="preserve">to assist with and/or undertake the feasibility studies, but no </w:t>
      </w:r>
      <w:r>
        <w:t xml:space="preserve">specific </w:t>
      </w:r>
      <w:r w:rsidRPr="008F495D">
        <w:t>information regarding how these costs have been estimated</w:t>
      </w:r>
      <w:r>
        <w:t>.</w:t>
      </w:r>
    </w:p>
    <w:p w:rsidR="00A00171" w:rsidRDefault="00A00171" w:rsidP="00A00171">
      <w:r>
        <w:t>Multinet also included 'other' costs in the cost build-up but did not provide any information explaining what this cost category was for. The AER queried the lack of detail provided on the costs for the 'other' costs category to which Multinet responded:</w:t>
      </w:r>
    </w:p>
    <w:p w:rsidR="00A00171" w:rsidRDefault="00A00171" w:rsidP="00A00171">
      <w:pPr>
        <w:pStyle w:val="AERquote"/>
      </w:pPr>
      <w:r>
        <w:tab/>
        <w:t>The 'Other' category is a contingency category.  It is not explicitly related to any particular expenditure.</w:t>
      </w:r>
      <w:r>
        <w:rPr>
          <w:rStyle w:val="FootnoteReference"/>
        </w:rPr>
        <w:footnoteReference w:id="457"/>
      </w:r>
    </w:p>
    <w:p w:rsidR="00A00171" w:rsidRDefault="00A00171" w:rsidP="00A00171">
      <w:r>
        <w:t>The AER considers that there should be supporting justification for what may constitute a contingency in a network development plan and how the contingency amount was forecast.</w:t>
      </w:r>
    </w:p>
    <w:p w:rsidR="00A00171" w:rsidRPr="00323F31" w:rsidRDefault="00A00171" w:rsidP="00A00171">
      <w:pPr>
        <w:pStyle w:val="AERbodytext"/>
        <w:numPr>
          <w:ilvl w:val="0"/>
          <w:numId w:val="13"/>
        </w:numPr>
      </w:pPr>
      <w:r>
        <w:t>The AER consider</w:t>
      </w:r>
      <w:r w:rsidRPr="00323F31">
        <w:t>s that Multinet did not provide sufficient detail to substantiate its cost build-up. Multinet provided a high level outline of the costs with little detail on the activities to be undertaken or the costs to be incurred. The AER considers this information is not a reasonable basis for Multinet's forecast for network development expenditure.</w:t>
      </w:r>
      <w:r w:rsidRPr="00323F31">
        <w:rPr>
          <w:rStyle w:val="FootnoteReference"/>
        </w:rPr>
        <w:footnoteReference w:id="458"/>
      </w:r>
      <w:r w:rsidRPr="00323F31">
        <w:t xml:space="preserve"> Accordingly the AER considers the forecast has not been reached on a reasonable basis and does not represent the best forecast or estimate possible in the circumstances.</w:t>
      </w:r>
      <w:r w:rsidRPr="00323F31">
        <w:rPr>
          <w:rStyle w:val="FootnoteReference"/>
        </w:rPr>
        <w:footnoteReference w:id="459"/>
      </w:r>
    </w:p>
    <w:p w:rsidR="00A00171" w:rsidRDefault="00A00171" w:rsidP="00500A89">
      <w:pPr>
        <w:pStyle w:val="HeadingBoldItalic"/>
      </w:pPr>
      <w:r>
        <w:t>Data warehouse</w:t>
      </w:r>
    </w:p>
    <w:p w:rsidR="00A00171" w:rsidRPr="00F407B1" w:rsidRDefault="00A00171" w:rsidP="00A00171">
      <w:pPr>
        <w:pStyle w:val="AERbodytext"/>
        <w:numPr>
          <w:ilvl w:val="0"/>
          <w:numId w:val="13"/>
        </w:numPr>
      </w:pPr>
      <w:r w:rsidRPr="00F407B1">
        <w:t>Multinet proposed to develop a detailed customer data warehouse and use this to assist retailers and appliance manufacturers to target their marketing of gas appliances to residential customers who do not presently use</w:t>
      </w:r>
      <w:r>
        <w:t xml:space="preserve"> gas for space and water heating.</w:t>
      </w:r>
      <w:r>
        <w:rPr>
          <w:rStyle w:val="FootnoteReference"/>
        </w:rPr>
        <w:footnoteReference w:id="460"/>
      </w:r>
    </w:p>
    <w:p w:rsidR="00A00171" w:rsidRDefault="00A00171" w:rsidP="00A00171">
      <w:pPr>
        <w:pStyle w:val="AERbodytext"/>
        <w:numPr>
          <w:ilvl w:val="0"/>
          <w:numId w:val="13"/>
        </w:numPr>
      </w:pPr>
      <w:r>
        <w:t>The AER's draft decision did not approve this discretionary expenditure on the grounds that</w:t>
      </w:r>
      <w:r w:rsidRPr="00E7511F">
        <w:t xml:space="preserve"> a prudent</w:t>
      </w:r>
      <w:r w:rsidRPr="00765C4C">
        <w:t xml:space="preserve"> service provider acting efficiently, in accordance with accepted good industry practice</w:t>
      </w:r>
      <w:r>
        <w:t xml:space="preserve">, </w:t>
      </w:r>
      <w:r w:rsidRPr="00E7511F">
        <w:t xml:space="preserve">would </w:t>
      </w:r>
      <w:r>
        <w:t xml:space="preserve">not </w:t>
      </w:r>
      <w:r w:rsidRPr="00E7511F">
        <w:t>undertake this network develop</w:t>
      </w:r>
      <w:r>
        <w:t>ment</w:t>
      </w:r>
      <w:r w:rsidRPr="00E7511F">
        <w:t xml:space="preserve"> expenditure unless it </w:t>
      </w:r>
      <w:r>
        <w:t>could</w:t>
      </w:r>
      <w:r w:rsidRPr="00E7511F">
        <w:t xml:space="preserve"> demonstrate that it </w:t>
      </w:r>
      <w:r>
        <w:t xml:space="preserve">is net present value positive and </w:t>
      </w:r>
      <w:r w:rsidRPr="00E7511F">
        <w:t xml:space="preserve">will deliver a long term benefit </w:t>
      </w:r>
      <w:r>
        <w:t xml:space="preserve">to its </w:t>
      </w:r>
      <w:r w:rsidRPr="00E7511F">
        <w:t>customers</w:t>
      </w:r>
      <w:r>
        <w:t>.</w:t>
      </w:r>
    </w:p>
    <w:p w:rsidR="00A00171" w:rsidRDefault="00A00171" w:rsidP="00A00171">
      <w:pPr>
        <w:pStyle w:val="AERbodytext"/>
        <w:numPr>
          <w:ilvl w:val="0"/>
          <w:numId w:val="13"/>
        </w:numPr>
      </w:pPr>
      <w:r>
        <w:t xml:space="preserve">In its revised proposal, </w:t>
      </w:r>
      <w:r w:rsidRPr="001D7BDA">
        <w:t xml:space="preserve">Multinet provided </w:t>
      </w:r>
      <w:r>
        <w:t xml:space="preserve">limited additional information </w:t>
      </w:r>
      <w:r w:rsidRPr="001D7BDA">
        <w:t xml:space="preserve">regarding the proposed </w:t>
      </w:r>
      <w:r>
        <w:t xml:space="preserve">data warehouse. In its response to the AER's information request, Multinet submits the benefits to consumers of this program arise from greater usage of gas infrastructure. </w:t>
      </w:r>
    </w:p>
    <w:p w:rsidR="00A00171" w:rsidRDefault="00A00171" w:rsidP="00A00171">
      <w:pPr>
        <w:pStyle w:val="AERbodytext"/>
        <w:numPr>
          <w:ilvl w:val="0"/>
          <w:numId w:val="13"/>
        </w:numPr>
      </w:pPr>
      <w:r>
        <w:t>The AER accepts that the increased utilisation of Multinet's network from increased gas usage may deliver a benefit to Multinet's customers.</w:t>
      </w:r>
      <w:r w:rsidRPr="00162444">
        <w:t xml:space="preserve"> </w:t>
      </w:r>
      <w:r>
        <w:t>However, the AER considers that Multinet has not demonstrated:</w:t>
      </w:r>
      <w:r>
        <w:rPr>
          <w:rStyle w:val="FootnoteReference"/>
        </w:rPr>
        <w:footnoteReference w:id="461"/>
      </w:r>
    </w:p>
    <w:p w:rsidR="00A00171" w:rsidRDefault="00A00171" w:rsidP="00A00171">
      <w:pPr>
        <w:pStyle w:val="AERbulletlistfirststyle"/>
      </w:pPr>
      <w:r>
        <w:t>how the proposed program is expected to increase usage of gas infrastructure and by what amount usage is expected to change</w:t>
      </w:r>
    </w:p>
    <w:p w:rsidR="00A00171" w:rsidRDefault="00A00171" w:rsidP="00A00171">
      <w:pPr>
        <w:pStyle w:val="AERbulletlistfirststyle"/>
      </w:pPr>
      <w:r>
        <w:t>how the increased utilisation of gas infrastructure will benefit Multinet's customers</w:t>
      </w:r>
    </w:p>
    <w:p w:rsidR="00A00171" w:rsidRDefault="00A00171" w:rsidP="00A00171">
      <w:pPr>
        <w:pStyle w:val="AERbulletlistfirststyle"/>
      </w:pPr>
      <w:r>
        <w:t>the expected size of the benefits from the increased utilisation of gas infrastructure</w:t>
      </w:r>
    </w:p>
    <w:p w:rsidR="00A00171" w:rsidRDefault="00A00171" w:rsidP="00A00171">
      <w:pPr>
        <w:pStyle w:val="AERbulletlistfirststyle"/>
      </w:pPr>
      <w:proofErr w:type="gramStart"/>
      <w:r>
        <w:t>the</w:t>
      </w:r>
      <w:proofErr w:type="gramEnd"/>
      <w:r>
        <w:t xml:space="preserve"> timeframe in which Multinet expects the benefits from the increased utilisation of gas infrastructure to arise.</w:t>
      </w:r>
    </w:p>
    <w:p w:rsidR="00A00171" w:rsidRDefault="00A00171" w:rsidP="00A00171">
      <w:pPr>
        <w:pStyle w:val="AERbodytext"/>
        <w:numPr>
          <w:ilvl w:val="0"/>
          <w:numId w:val="13"/>
        </w:numPr>
      </w:pPr>
      <w:r>
        <w:t xml:space="preserve">Further, Multinet has not provided any quantification of benefits that may arise or the exact nature and scope of this data warehouse project. </w:t>
      </w:r>
    </w:p>
    <w:p w:rsidR="00A00171" w:rsidRDefault="00A00171" w:rsidP="00A00171">
      <w:pPr>
        <w:pStyle w:val="AERbodytext"/>
        <w:numPr>
          <w:ilvl w:val="0"/>
          <w:numId w:val="13"/>
        </w:numPr>
      </w:pPr>
      <w:r>
        <w:t xml:space="preserve">The AER notes that this aspect of the network development plan differs from the feasibility studies in that Multinet is proposing to implement a specific project. As such, the AER considers that Multinet should be able to </w:t>
      </w:r>
      <w:r w:rsidRPr="00162444">
        <w:t xml:space="preserve">demonstrate </w:t>
      </w:r>
      <w:r>
        <w:t xml:space="preserve">to a greater degree of accuracy and detail, </w:t>
      </w:r>
      <w:r w:rsidRPr="00162444">
        <w:t xml:space="preserve">the </w:t>
      </w:r>
      <w:r>
        <w:t xml:space="preserve">expected </w:t>
      </w:r>
      <w:r w:rsidRPr="00162444">
        <w:t>benefit</w:t>
      </w:r>
      <w:r>
        <w:t>s</w:t>
      </w:r>
      <w:r w:rsidRPr="00162444">
        <w:t xml:space="preserve"> of the project prior to being provided with an opex allowance</w:t>
      </w:r>
      <w:r>
        <w:t>. Multinet appears to accept this position.</w:t>
      </w:r>
      <w:r>
        <w:rPr>
          <w:rStyle w:val="FootnoteReference"/>
        </w:rPr>
        <w:footnoteReference w:id="462"/>
      </w:r>
    </w:p>
    <w:p w:rsidR="00A00171" w:rsidRDefault="00A00171" w:rsidP="00A00171">
      <w:pPr>
        <w:pStyle w:val="AERbodytext"/>
        <w:numPr>
          <w:ilvl w:val="0"/>
          <w:numId w:val="13"/>
        </w:numPr>
      </w:pPr>
      <w:r>
        <w:t>In the same manner as the feasibility studies,</w:t>
      </w:r>
      <w:r w:rsidRPr="00560257">
        <w:t xml:space="preserve"> </w:t>
      </w:r>
      <w:r>
        <w:t xml:space="preserve">the cost build-up Multinet provided only included high level cost categories. Further, there was no breakdown of the activities or costs within each </w:t>
      </w:r>
      <w:proofErr w:type="gramStart"/>
      <w:r>
        <w:t>category,</w:t>
      </w:r>
      <w:proofErr w:type="gramEnd"/>
      <w:r>
        <w:t xml:space="preserve"> therefore it is not clear to the AER how Multinet arrived at the forecast. The AER requested further information to identify what projects the high level cost categories related to and explain how it arrived at the forecasts.</w:t>
      </w:r>
      <w:r>
        <w:rPr>
          <w:rStyle w:val="FootnoteReference"/>
        </w:rPr>
        <w:footnoteReference w:id="463"/>
      </w:r>
      <w:r>
        <w:t xml:space="preserve"> Multinet provided further information regarding which projects related to which cost categories. However, it did not provide any further breakdown of the activities or costs within each category, or the basis of its forecasts. Multinet submitted that its costs forecasts are:</w:t>
      </w:r>
    </w:p>
    <w:p w:rsidR="00A00171" w:rsidRDefault="00A00171" w:rsidP="00A00171">
      <w:pPr>
        <w:pStyle w:val="AERquote"/>
      </w:pPr>
      <w:r>
        <w:tab/>
        <w:t>Best estimates based on the judgement of experienced personnel within the business.</w:t>
      </w:r>
      <w:r>
        <w:rPr>
          <w:rStyle w:val="FootnoteReference"/>
        </w:rPr>
        <w:footnoteReference w:id="464"/>
      </w:r>
    </w:p>
    <w:p w:rsidR="00A00171" w:rsidRDefault="00A00171" w:rsidP="00A00171">
      <w:r>
        <w:t xml:space="preserve">This was the only explanation or basis of the cost forecasts Multinet submitted. The AER considers that this is not a reasonable basis for $2 million ($2012) worth of expenditure. It indicates a lack of rigour in fully assessing the costs of the expenditure proposed. </w:t>
      </w:r>
    </w:p>
    <w:p w:rsidR="00A00171" w:rsidRDefault="00A00171" w:rsidP="00A00171">
      <w:pPr>
        <w:pStyle w:val="AERbodytext"/>
        <w:numPr>
          <w:ilvl w:val="0"/>
          <w:numId w:val="13"/>
        </w:numPr>
      </w:pPr>
      <w:r>
        <w:t>W</w:t>
      </w:r>
      <w:r w:rsidRPr="008A4636">
        <w:t xml:space="preserve">ithout a justification of or detailed cost build-up for the proposed expenditure, the AER </w:t>
      </w:r>
      <w:r>
        <w:t>considers Multinet has not provided a statement of the basis of its forecasts.</w:t>
      </w:r>
      <w:r>
        <w:rPr>
          <w:rStyle w:val="FootnoteReference"/>
        </w:rPr>
        <w:footnoteReference w:id="465"/>
      </w:r>
      <w:r>
        <w:t xml:space="preserve"> Further the AER considers </w:t>
      </w:r>
      <w:r w:rsidRPr="008A4636">
        <w:t xml:space="preserve">the forecast expenditure is </w:t>
      </w:r>
      <w:r>
        <w:t>not arrived at on a reasonable basis</w:t>
      </w:r>
      <w:r w:rsidRPr="008A4636">
        <w:t>.</w:t>
      </w:r>
      <w:r>
        <w:rPr>
          <w:rStyle w:val="FootnoteReference"/>
        </w:rPr>
        <w:footnoteReference w:id="466"/>
      </w:r>
      <w:r>
        <w:t xml:space="preserve"> </w:t>
      </w:r>
      <w:r w:rsidRPr="000C15F1">
        <w:t xml:space="preserve">The AER </w:t>
      </w:r>
      <w:r>
        <w:t xml:space="preserve">further </w:t>
      </w:r>
      <w:r w:rsidRPr="000C15F1">
        <w:t xml:space="preserve">considers that a prudent and efficient service provider would not undertake network development expenditure unless it considered </w:t>
      </w:r>
      <w:r>
        <w:t>there are net benefits to consumers from undertaking the expenditure</w:t>
      </w:r>
      <w:r w:rsidRPr="000C15F1">
        <w:t>. Therefore, the AER consider</w:t>
      </w:r>
      <w:r>
        <w:t>s</w:t>
      </w:r>
      <w:r w:rsidRPr="000C15F1">
        <w:t xml:space="preserve"> the proposed </w:t>
      </w:r>
      <w:r>
        <w:t>data warehouse program</w:t>
      </w:r>
      <w:r w:rsidRPr="000C15F1">
        <w:t xml:space="preserve"> is </w:t>
      </w:r>
      <w:r>
        <w:t xml:space="preserve">not </w:t>
      </w:r>
      <w:r w:rsidRPr="000C15F1">
        <w:t>consistent with the opex criteria</w:t>
      </w:r>
      <w:r>
        <w:rPr>
          <w:rStyle w:val="FootnoteReference"/>
        </w:rPr>
        <w:footnoteReference w:id="467"/>
      </w:r>
      <w:r>
        <w:t xml:space="preserve"> and the NGO. </w:t>
      </w:r>
    </w:p>
    <w:p w:rsidR="00A00171" w:rsidRDefault="00A00171" w:rsidP="00A00171">
      <w:pPr>
        <w:pStyle w:val="AERbodytext"/>
        <w:numPr>
          <w:ilvl w:val="0"/>
          <w:numId w:val="13"/>
        </w:numPr>
      </w:pPr>
      <w:r>
        <w:t>The AER also notes that this proposed project is entirely discretionary in nature. It is not required by a legislative change</w:t>
      </w:r>
      <w:r w:rsidRPr="00530EC7">
        <w:t xml:space="preserve"> </w:t>
      </w:r>
      <w:r>
        <w:t>nor does Multinet submit that it is intended to provide productivity improvements. On the basis of the information provided by Multinet, it appears the driver of the expenditure is to increase utilisation of the network. However, Multinet has not demonstrated that this spending will result in network growth or increased energy throughput that would require an increase in total opex. Therefore, the AER considers it is not appropriate to provide Multinet a step change for this expenditure.</w:t>
      </w:r>
    </w:p>
    <w:p w:rsidR="00A00171" w:rsidRPr="00E54682" w:rsidRDefault="00A00171" w:rsidP="00A00171">
      <w:pPr>
        <w:pStyle w:val="AERbodytext"/>
        <w:numPr>
          <w:ilvl w:val="0"/>
          <w:numId w:val="13"/>
        </w:numPr>
      </w:pPr>
    </w:p>
    <w:p w:rsidR="003324F7" w:rsidRPr="00A00171" w:rsidRDefault="003324F7" w:rsidP="00A00171"/>
    <w:sectPr w:rsidR="003324F7" w:rsidRPr="00A00171" w:rsidSect="00500A8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48" w:rsidRPr="00AB4345" w:rsidRDefault="006B0748" w:rsidP="00AB4345">
      <w:r>
        <w:separator/>
      </w:r>
    </w:p>
  </w:endnote>
  <w:endnote w:type="continuationSeparator" w:id="0">
    <w:p w:rsidR="006B0748" w:rsidRPr="00AB4345" w:rsidRDefault="006B0748"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6B0748" w:rsidRDefault="009B2237" w:rsidP="00456081">
        <w:pPr>
          <w:pStyle w:val="Footer"/>
          <w:tabs>
            <w:tab w:val="clear" w:pos="4513"/>
          </w:tabs>
        </w:pPr>
        <w:fldSimple w:instr=" PAGE   \* MERGEFORMAT ">
          <w:r w:rsidR="006B0748">
            <w:rPr>
              <w:noProof/>
            </w:rPr>
            <w:t>36</w:t>
          </w:r>
        </w:fldSimple>
        <w:r w:rsidR="006B0748">
          <w:tab/>
        </w:r>
        <w:r w:rsidR="006B0748" w:rsidRPr="00210880">
          <w:rPr>
            <w:rStyle w:val="AERbody"/>
          </w:rPr>
          <w:t xml:space="preserve">Attachment heading </w:t>
        </w:r>
        <w:r w:rsidR="006B0748">
          <w:rPr>
            <w:rStyle w:val="AERbody"/>
          </w:rPr>
          <w:t>| D</w:t>
        </w:r>
        <w:r w:rsidR="006B0748" w:rsidRPr="00210880">
          <w:rPr>
            <w:rStyle w:val="AERbody"/>
          </w:rPr>
          <w:t>istribution/trans</w:t>
        </w:r>
        <w:r w:rsidR="006B0748">
          <w:rPr>
            <w:rStyle w:val="AERbody"/>
          </w:rPr>
          <w:t>mission determination heading</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8" w:rsidRPr="00210880" w:rsidRDefault="006B0748" w:rsidP="00456081">
    <w:pPr>
      <w:pStyle w:val="Footer"/>
      <w:tabs>
        <w:tab w:val="clear" w:pos="4513"/>
      </w:tabs>
      <w:rPr>
        <w:rStyle w:val="AERbody"/>
      </w:rPr>
    </w:pPr>
    <w:r w:rsidRPr="007A114F">
      <w:rPr>
        <w:rStyle w:val="AERtextorange"/>
      </w:rPr>
      <w:t>Multinet final decision</w:t>
    </w:r>
    <w:r w:rsidRPr="00210880">
      <w:rPr>
        <w:rStyle w:val="AERbody"/>
      </w:rPr>
      <w:t xml:space="preserve"> </w:t>
    </w:r>
    <w:r w:rsidRPr="007A114F">
      <w:rPr>
        <w:rStyle w:val="AERtextblue"/>
      </w:rPr>
      <w:t>| Appendices</w:t>
    </w:r>
    <w:r w:rsidRPr="00210880">
      <w:rPr>
        <w:rStyle w:val="AERbody"/>
      </w:rPr>
      <w:tab/>
    </w:r>
    <w:r w:rsidR="009B2237" w:rsidRPr="00210880">
      <w:rPr>
        <w:rStyle w:val="AERbody"/>
      </w:rPr>
      <w:fldChar w:fldCharType="begin"/>
    </w:r>
    <w:r w:rsidRPr="00210880">
      <w:rPr>
        <w:rStyle w:val="AERbody"/>
      </w:rPr>
      <w:instrText xml:space="preserve"> PAGE   \* MERGEFORMAT </w:instrText>
    </w:r>
    <w:r w:rsidR="009B2237" w:rsidRPr="00210880">
      <w:rPr>
        <w:rStyle w:val="AERbody"/>
      </w:rPr>
      <w:fldChar w:fldCharType="separate"/>
    </w:r>
    <w:r w:rsidR="00E03F5E">
      <w:rPr>
        <w:rStyle w:val="AERbody"/>
        <w:noProof/>
      </w:rPr>
      <w:t>2</w:t>
    </w:r>
    <w:r w:rsidR="009B2237" w:rsidRPr="00210880">
      <w:rPr>
        <w:rStyle w:val="AERbod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8" w:rsidRDefault="006B0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48" w:rsidRPr="00AB4345" w:rsidRDefault="006B0748" w:rsidP="00AB4345">
      <w:r>
        <w:separator/>
      </w:r>
    </w:p>
  </w:footnote>
  <w:footnote w:type="continuationSeparator" w:id="0">
    <w:p w:rsidR="006B0748" w:rsidRPr="00AB4345" w:rsidRDefault="006B0748" w:rsidP="00AB4345">
      <w:r>
        <w:continuationSeparator/>
      </w:r>
    </w:p>
  </w:footnote>
  <w:footnote w:id="1">
    <w:p w:rsidR="006B0748" w:rsidRDefault="006B0748" w:rsidP="00A00171">
      <w:pPr>
        <w:pStyle w:val="FootnoteText"/>
      </w:pPr>
      <w:r>
        <w:rPr>
          <w:rStyle w:val="FootnoteReference"/>
        </w:rPr>
        <w:footnoteRef/>
      </w:r>
      <w:r>
        <w:t xml:space="preserve"> </w:t>
      </w:r>
      <w:r>
        <w:tab/>
      </w:r>
      <w:proofErr w:type="gramStart"/>
      <w:r>
        <w:t>NGR, r. 74</w:t>
      </w:r>
      <w:r w:rsidRPr="00DE59B6">
        <w:t>.</w:t>
      </w:r>
      <w:proofErr w:type="gramEnd"/>
    </w:p>
  </w:footnote>
  <w:footnote w:id="2">
    <w:p w:rsidR="006B0748" w:rsidRDefault="006B0748" w:rsidP="00A00171">
      <w:pPr>
        <w:pStyle w:val="FootnoteText"/>
      </w:pPr>
      <w:r>
        <w:rPr>
          <w:rStyle w:val="FootnoteReference"/>
        </w:rPr>
        <w:footnoteRef/>
      </w:r>
      <w:r>
        <w:t xml:space="preserve"> </w:t>
      </w:r>
      <w:r>
        <w:tab/>
      </w:r>
      <w:r w:rsidRPr="00DE59B6">
        <w:t>NGR, r. 74(2</w:t>
      </w:r>
      <w:proofErr w:type="gramStart"/>
      <w:r w:rsidRPr="00DE59B6">
        <w:t>)(</w:t>
      </w:r>
      <w:proofErr w:type="gramEnd"/>
      <w:r w:rsidRPr="00DE59B6">
        <w:t>a).</w:t>
      </w:r>
    </w:p>
  </w:footnote>
  <w:footnote w:id="3">
    <w:p w:rsidR="006B0748" w:rsidRDefault="006B0748" w:rsidP="00A00171">
      <w:pPr>
        <w:pStyle w:val="FootnoteText"/>
      </w:pPr>
      <w:r>
        <w:rPr>
          <w:rStyle w:val="FootnoteReference"/>
        </w:rPr>
        <w:footnoteRef/>
      </w:r>
      <w:r>
        <w:t xml:space="preserve"> </w:t>
      </w:r>
      <w:r>
        <w:tab/>
      </w:r>
      <w:r w:rsidRPr="00A21C38">
        <w:t>NGR, r. 74(2</w:t>
      </w:r>
      <w:proofErr w:type="gramStart"/>
      <w:r w:rsidRPr="00A21C38">
        <w:t>)(</w:t>
      </w:r>
      <w:proofErr w:type="gramEnd"/>
      <w:r w:rsidRPr="00A21C38">
        <w:t>b).</w:t>
      </w:r>
    </w:p>
  </w:footnote>
  <w:footnote w:id="4">
    <w:p w:rsidR="006B0748" w:rsidRDefault="006B0748" w:rsidP="00A00171">
      <w:pPr>
        <w:pStyle w:val="FootnoteText"/>
      </w:pPr>
      <w:r>
        <w:rPr>
          <w:rStyle w:val="FootnoteReference"/>
        </w:rPr>
        <w:footnoteRef/>
      </w:r>
      <w:r>
        <w:t xml:space="preserve"> </w:t>
      </w:r>
      <w:r>
        <w:tab/>
      </w:r>
      <w:proofErr w:type="gramStart"/>
      <w:r>
        <w:t>NGR, r. 74(2).</w:t>
      </w:r>
      <w:proofErr w:type="gramEnd"/>
    </w:p>
  </w:footnote>
  <w:footnote w:id="5">
    <w:p w:rsidR="006B0748" w:rsidRDefault="006B0748" w:rsidP="00A00171">
      <w:pPr>
        <w:pStyle w:val="FootnoteText"/>
      </w:pPr>
      <w:r>
        <w:rPr>
          <w:rStyle w:val="FootnoteReference"/>
        </w:rPr>
        <w:footnoteRef/>
      </w:r>
      <w:r>
        <w:t xml:space="preserve"> </w:t>
      </w:r>
      <w:r>
        <w:tab/>
      </w:r>
      <w:proofErr w:type="gramStart"/>
      <w:r w:rsidRPr="0026461C">
        <w:t xml:space="preserve">AER, </w:t>
      </w:r>
      <w:r w:rsidRPr="00853EF9">
        <w:rPr>
          <w:rStyle w:val="AERtextitalic"/>
        </w:rPr>
        <w:t xml:space="preserve">Draft decision, </w:t>
      </w:r>
      <w:r>
        <w:rPr>
          <w:rStyle w:val="AERtextitalic"/>
        </w:rPr>
        <w:t>Multinet</w:t>
      </w:r>
      <w:r w:rsidRPr="00853EF9">
        <w:rPr>
          <w:rStyle w:val="AERtextitalic"/>
        </w:rPr>
        <w:t xml:space="preserve"> access arrangement proposal for 1 January 2013 – 31 December 2017</w:t>
      </w:r>
      <w:r w:rsidRPr="0026461C">
        <w:t>,</w:t>
      </w:r>
      <w:r>
        <w:t xml:space="preserve"> Part 3,</w:t>
      </w:r>
      <w:r w:rsidRPr="0026461C">
        <w:t xml:space="preserve"> </w:t>
      </w:r>
      <w:r>
        <w:t>September</w:t>
      </w:r>
      <w:r w:rsidRPr="0026461C">
        <w:t xml:space="preserve"> 2012</w:t>
      </w:r>
      <w:r>
        <w:t>, p. 73.</w:t>
      </w:r>
      <w:proofErr w:type="gramEnd"/>
    </w:p>
  </w:footnote>
  <w:footnote w:id="6">
    <w:p w:rsidR="006B0748" w:rsidRDefault="006B0748" w:rsidP="00A00171">
      <w:pPr>
        <w:pStyle w:val="FootnoteText"/>
      </w:pPr>
      <w:r>
        <w:rPr>
          <w:rStyle w:val="FootnoteReference"/>
        </w:rPr>
        <w:footnoteRef/>
      </w:r>
      <w:r>
        <w:t xml:space="preserve"> </w:t>
      </w:r>
      <w:r>
        <w:tab/>
        <w:t xml:space="preserve">BIS Shrapnel, </w:t>
      </w:r>
      <w:r w:rsidRPr="00787B3B">
        <w:rPr>
          <w:rStyle w:val="AERtextitalic"/>
        </w:rPr>
        <w:t>Update of labour and materials cost escalators for the Victorian and NSW utilities sectors</w:t>
      </w:r>
      <w:r>
        <w:t>, 6 November 2012.</w:t>
      </w:r>
    </w:p>
  </w:footnote>
  <w:footnote w:id="7">
    <w:p w:rsidR="006B0748" w:rsidRDefault="006B0748" w:rsidP="00A00171">
      <w:pPr>
        <w:pStyle w:val="FootnoteText"/>
      </w:pPr>
      <w:r>
        <w:rPr>
          <w:rStyle w:val="FootnoteReference"/>
        </w:rPr>
        <w:footnoteRef/>
      </w:r>
      <w:r>
        <w:t xml:space="preserve"> </w:t>
      </w:r>
      <w:r>
        <w:tab/>
        <w:t xml:space="preserve">Deloitte Access Economics, </w:t>
      </w:r>
      <w:r w:rsidRPr="003373B5">
        <w:rPr>
          <w:rStyle w:val="AERtextitalic"/>
        </w:rPr>
        <w:t>Forecast growth in labour costs in Victoria –report prepared for the AER</w:t>
      </w:r>
      <w:r>
        <w:t>, 4 February 2013.</w:t>
      </w:r>
    </w:p>
  </w:footnote>
  <w:footnote w:id="8">
    <w:p w:rsidR="006B0748" w:rsidRDefault="006B0748" w:rsidP="00A00171">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w:t>
      </w:r>
    </w:p>
  </w:footnote>
  <w:footnote w:id="9">
    <w:p w:rsidR="006B0748" w:rsidRDefault="006B0748" w:rsidP="00A00171">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10">
    <w:p w:rsidR="006B0748" w:rsidRDefault="006B0748" w:rsidP="00A00171">
      <w:pPr>
        <w:pStyle w:val="FootnoteText"/>
      </w:pPr>
      <w:r>
        <w:rPr>
          <w:rStyle w:val="FootnoteReference"/>
        </w:rPr>
        <w:footnoteRef/>
      </w:r>
      <w:r>
        <w:t xml:space="preserve"> </w:t>
      </w:r>
      <w:r>
        <w:tab/>
      </w:r>
      <w:proofErr w:type="gramStart"/>
      <w:r>
        <w:t>NGR, r. 74(2).</w:t>
      </w:r>
      <w:proofErr w:type="gramEnd"/>
    </w:p>
  </w:footnote>
  <w:footnote w:id="11">
    <w:p w:rsidR="006B0748" w:rsidRDefault="006B0748" w:rsidP="00A00171">
      <w:pPr>
        <w:pStyle w:val="FootnoteText"/>
      </w:pPr>
      <w:r>
        <w:rPr>
          <w:rStyle w:val="FootnoteReference"/>
        </w:rPr>
        <w:footnoteRef/>
      </w:r>
      <w:r>
        <w:t xml:space="preserve"> </w:t>
      </w:r>
      <w:r>
        <w:tab/>
        <w:t xml:space="preserve">AER, </w:t>
      </w:r>
      <w:r w:rsidRPr="00853EF9">
        <w:rPr>
          <w:rStyle w:val="AERtextitalic"/>
        </w:rPr>
        <w:t xml:space="preserve">Draft decision, </w:t>
      </w:r>
      <w:r>
        <w:rPr>
          <w:rStyle w:val="AERtextitalic"/>
        </w:rPr>
        <w:t>Multinet</w:t>
      </w:r>
      <w:r w:rsidRPr="00853EF9">
        <w:rPr>
          <w:rStyle w:val="AERtextitalic"/>
        </w:rPr>
        <w:t xml:space="preserve"> access arrangement proposal for 1 January 2013 – 31 December 2017</w:t>
      </w:r>
      <w:r w:rsidRPr="0026461C">
        <w:t>,</w:t>
      </w:r>
      <w:r>
        <w:t xml:space="preserve"> Part 3, September 2012, pp. 74-75.</w:t>
      </w:r>
    </w:p>
  </w:footnote>
  <w:footnote w:id="12">
    <w:p w:rsidR="006B0748" w:rsidRDefault="006B0748" w:rsidP="00A00171">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w:t>
      </w:r>
      <w:proofErr w:type="gramStart"/>
      <w:r>
        <w:t>,  pp</w:t>
      </w:r>
      <w:proofErr w:type="gramEnd"/>
      <w:r>
        <w:t>. 30–31.</w:t>
      </w:r>
    </w:p>
  </w:footnote>
  <w:footnote w:id="13">
    <w:p w:rsidR="006B0748" w:rsidRDefault="006B0748" w:rsidP="00A00171">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 p. 9.</w:t>
      </w:r>
    </w:p>
  </w:footnote>
  <w:footnote w:id="14">
    <w:p w:rsidR="006B0748" w:rsidRDefault="006B0748" w:rsidP="00A00171">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 March 2012</w:t>
      </w:r>
      <w:r w:rsidRPr="00C8404D">
        <w:t>, p. 6.</w:t>
      </w:r>
    </w:p>
  </w:footnote>
  <w:footnote w:id="15">
    <w:p w:rsidR="006B0748" w:rsidRDefault="006B0748" w:rsidP="00A00171">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w:t>
      </w:r>
      <w:r w:rsidRPr="00C8404D">
        <w:t>, March 2012, p. 12.</w:t>
      </w:r>
    </w:p>
  </w:footnote>
  <w:footnote w:id="16">
    <w:p w:rsidR="006B0748" w:rsidRDefault="006B0748" w:rsidP="00A00171">
      <w:pPr>
        <w:pStyle w:val="FootnoteText"/>
      </w:pPr>
      <w:r>
        <w:rPr>
          <w:rStyle w:val="FootnoteReference"/>
        </w:rPr>
        <w:footnoteRef/>
      </w:r>
      <w:r>
        <w:t xml:space="preserve"> </w:t>
      </w:r>
      <w:r>
        <w:tab/>
        <w:t xml:space="preserve">Professor Jeff Borland, </w:t>
      </w:r>
      <w:r w:rsidRPr="001D4879">
        <w:rPr>
          <w:rStyle w:val="AERtextitalic"/>
        </w:rPr>
        <w:t>Labour cost escalation: Choosing between AWOTE and LPI Report for Envestra Limited</w:t>
      </w:r>
      <w:r>
        <w:t>, March 2012, p. 13. Further Professor Borland noted the change in labour productivity and the change in CPI reflects the change in AWOTE.</w:t>
      </w:r>
    </w:p>
  </w:footnote>
  <w:footnote w:id="17">
    <w:p w:rsidR="006B0748" w:rsidRDefault="006B0748" w:rsidP="00A00171">
      <w:pPr>
        <w:pStyle w:val="FootnoteText"/>
      </w:pPr>
      <w:r>
        <w:rPr>
          <w:rStyle w:val="FootnoteReference"/>
        </w:rPr>
        <w:footnoteRef/>
      </w:r>
      <w:r>
        <w:t xml:space="preserve"> </w:t>
      </w:r>
      <w:r>
        <w:tab/>
        <w:t xml:space="preserve">ABS, Australian System of National Accounts, Table 13, Productivity in the Market Sector, Cat. </w:t>
      </w:r>
      <w:proofErr w:type="gramStart"/>
      <w:r>
        <w:t>No. 5204.0.</w:t>
      </w:r>
      <w:proofErr w:type="gramEnd"/>
    </w:p>
  </w:footnote>
  <w:footnote w:id="18">
    <w:p w:rsidR="006B0748" w:rsidRDefault="006B0748" w:rsidP="00A00171">
      <w:pPr>
        <w:pStyle w:val="FootnoteText"/>
      </w:pPr>
      <w:r>
        <w:rPr>
          <w:rStyle w:val="FootnoteReference"/>
        </w:rPr>
        <w:footnoteRef/>
      </w:r>
      <w:r>
        <w:t xml:space="preserve"> </w:t>
      </w:r>
      <w:r>
        <w:tab/>
        <w:t xml:space="preserve">Deloitte Access Economics, </w:t>
      </w:r>
      <w:r w:rsidRPr="00B00931">
        <w:rPr>
          <w:rStyle w:val="AERtextitalic"/>
        </w:rPr>
        <w:t>Productivity measures to adjust LPI and AWOTE</w:t>
      </w:r>
      <w:r>
        <w:t>, 8 November 2011, p. 7.</w:t>
      </w:r>
    </w:p>
  </w:footnote>
  <w:footnote w:id="19">
    <w:p w:rsidR="006B0748" w:rsidRDefault="006B0748" w:rsidP="00A00171">
      <w:pPr>
        <w:pStyle w:val="FootnoteText"/>
      </w:pPr>
      <w:r>
        <w:rPr>
          <w:rStyle w:val="FootnoteReference"/>
        </w:rPr>
        <w:footnoteRef/>
      </w:r>
      <w:r>
        <w:t xml:space="preserve"> </w:t>
      </w:r>
      <w:r>
        <w:tab/>
        <w:t xml:space="preserve">AER, </w:t>
      </w:r>
      <w:r w:rsidRPr="001D4879">
        <w:rPr>
          <w:rStyle w:val="AERtextitalic"/>
        </w:rPr>
        <w:t>Powerlink Transmission determination 2012–13 to 2016–17: Final decision</w:t>
      </w:r>
      <w:r>
        <w:t>, April 2012, p. 54.</w:t>
      </w:r>
    </w:p>
  </w:footnote>
  <w:footnote w:id="20">
    <w:p w:rsidR="006B0748" w:rsidRDefault="006B0748" w:rsidP="00A00171">
      <w:pPr>
        <w:pStyle w:val="FootnoteText"/>
      </w:pPr>
      <w:r>
        <w:rPr>
          <w:rStyle w:val="FootnoteReference"/>
        </w:rPr>
        <w:footnoteRef/>
      </w:r>
      <w:r>
        <w:t xml:space="preserve"> </w:t>
      </w:r>
      <w:r>
        <w:tab/>
      </w:r>
      <w:proofErr w:type="gramStart"/>
      <w:r>
        <w:t>NGR, r. 74.</w:t>
      </w:r>
      <w:proofErr w:type="gramEnd"/>
    </w:p>
  </w:footnote>
  <w:footnote w:id="21">
    <w:p w:rsidR="006B0748" w:rsidRDefault="006B0748" w:rsidP="00A00171">
      <w:pPr>
        <w:pStyle w:val="FootnoteText"/>
      </w:pPr>
      <w:r>
        <w:rPr>
          <w:rStyle w:val="FootnoteReference"/>
        </w:rPr>
        <w:footnoteRef/>
      </w:r>
      <w:r>
        <w:t xml:space="preserve"> </w:t>
      </w:r>
      <w:r>
        <w:tab/>
      </w:r>
      <w:proofErr w:type="gramStart"/>
      <w:r>
        <w:t>NGR, r. 74.</w:t>
      </w:r>
      <w:proofErr w:type="gramEnd"/>
    </w:p>
  </w:footnote>
  <w:footnote w:id="22">
    <w:p w:rsidR="006B0748" w:rsidRDefault="006B0748" w:rsidP="00A00171">
      <w:pPr>
        <w:pStyle w:val="FootnoteText"/>
      </w:pPr>
      <w:r>
        <w:rPr>
          <w:rStyle w:val="FootnoteReference"/>
        </w:rPr>
        <w:footnoteRef/>
      </w:r>
      <w:r>
        <w:t xml:space="preserve"> </w:t>
      </w:r>
      <w:r>
        <w:tab/>
      </w:r>
      <w:proofErr w:type="gramStart"/>
      <w:r>
        <w:t xml:space="preserve">AER, </w:t>
      </w:r>
      <w:r w:rsidRPr="004E6B85">
        <w:rPr>
          <w:rStyle w:val="AERtextitalic"/>
        </w:rPr>
        <w:t>Draft decision, Multinet access arrangement proposal for 1 January 2013 – 31 December 2017</w:t>
      </w:r>
      <w:r>
        <w:t>, Part 3, September 2012, p. 73.</w:t>
      </w:r>
      <w:proofErr w:type="gramEnd"/>
      <w:r>
        <w:t xml:space="preserve"> </w:t>
      </w:r>
    </w:p>
  </w:footnote>
  <w:footnote w:id="23">
    <w:p w:rsidR="006B0748" w:rsidRDefault="006B0748" w:rsidP="006B0748">
      <w:pPr>
        <w:pStyle w:val="FootnoteText"/>
      </w:pPr>
      <w:r>
        <w:rPr>
          <w:rStyle w:val="FootnoteReference"/>
        </w:rPr>
        <w:footnoteRef/>
      </w:r>
      <w:r>
        <w:t xml:space="preserve"> </w:t>
      </w:r>
      <w:r>
        <w:tab/>
      </w:r>
      <w:r w:rsidRPr="000937AD">
        <w:t xml:space="preserve">Multinet, </w:t>
      </w:r>
      <w:r w:rsidRPr="000937AD">
        <w:rPr>
          <w:rStyle w:val="AERtextitalic"/>
        </w:rPr>
        <w:t>Revised Access Arrangement Proposal</w:t>
      </w:r>
      <w:r w:rsidRPr="000937AD">
        <w:t>, 9 November 2012, pp</w:t>
      </w:r>
      <w:r>
        <w:t xml:space="preserve">. 132-136. </w:t>
      </w:r>
    </w:p>
  </w:footnote>
  <w:footnote w:id="24">
    <w:p w:rsidR="006B0748" w:rsidRDefault="006B0748" w:rsidP="006B0748">
      <w:pPr>
        <w:pStyle w:val="FootnoteText"/>
      </w:pPr>
      <w:r>
        <w:rPr>
          <w:rStyle w:val="FootnoteReference"/>
        </w:rPr>
        <w:footnoteRef/>
      </w:r>
      <w:r>
        <w:t xml:space="preserve"> </w:t>
      </w:r>
      <w:r>
        <w:tab/>
      </w:r>
      <w:r w:rsidRPr="00916D09">
        <w:t xml:space="preserve">M. McKenzie, and G. Partington, </w:t>
      </w:r>
      <w:r w:rsidRPr="004B302C">
        <w:rPr>
          <w:rStyle w:val="AERtextitalic"/>
        </w:rPr>
        <w:t>Review of the AER</w:t>
      </w:r>
      <w:r w:rsidRPr="004B302C">
        <w:rPr>
          <w:rStyle w:val="AERtextitalic"/>
          <w:rFonts w:hint="eastAsia"/>
        </w:rPr>
        <w:t>’</w:t>
      </w:r>
      <w:r w:rsidRPr="004B302C">
        <w:rPr>
          <w:rStyle w:val="AERtextitalic"/>
        </w:rPr>
        <w:t>s overall approach to the risk free rate and market risk premium</w:t>
      </w:r>
      <w:r>
        <w:rPr>
          <w:rStyle w:val="AERtextitalic"/>
        </w:rPr>
        <w:t xml:space="preserve">, </w:t>
      </w:r>
      <w:r>
        <w:t>28 February 2013, pp. 31-32</w:t>
      </w:r>
      <w:r>
        <w:rPr>
          <w:rStyle w:val="AERtextitalic"/>
        </w:rPr>
        <w:t xml:space="preserve"> (</w:t>
      </w:r>
      <w:r w:rsidRPr="008F287A">
        <w:t>McKenzie, and Partington,</w:t>
      </w:r>
      <w:r>
        <w:t xml:space="preserve"> </w:t>
      </w:r>
      <w:r w:rsidRPr="00E93908">
        <w:rPr>
          <w:rStyle w:val="AERtextitalic"/>
        </w:rPr>
        <w:t>Review of the AER's overall approach</w:t>
      </w:r>
      <w:r>
        <w:t>, February 2013).</w:t>
      </w:r>
    </w:p>
  </w:footnote>
  <w:footnote w:id="25">
    <w:p w:rsidR="006B0748" w:rsidRDefault="006B0748" w:rsidP="006B0748">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p.20.</w:t>
      </w:r>
    </w:p>
  </w:footnote>
  <w:footnote w:id="26">
    <w:p w:rsidR="006B0748" w:rsidRDefault="006B0748" w:rsidP="006B0748">
      <w:pPr>
        <w:pStyle w:val="FootnoteText"/>
      </w:pPr>
      <w:r>
        <w:rPr>
          <w:rStyle w:val="FootnoteReference"/>
        </w:rPr>
        <w:footnoteRef/>
      </w:r>
      <w:r>
        <w:t xml:space="preserve"> </w:t>
      </w:r>
      <w:r>
        <w:tab/>
      </w:r>
      <w:r w:rsidRPr="00916D09">
        <w:t xml:space="preserve">M. McKenzie, and G. Partington, </w:t>
      </w:r>
      <w:r w:rsidRPr="004B302C">
        <w:rPr>
          <w:rStyle w:val="AERtextitalic"/>
        </w:rPr>
        <w:t>Report to Corrs Chambers Westgarth: Equity market risk premium</w:t>
      </w:r>
      <w:r w:rsidRPr="008F287A">
        <w:t>, December 2011, p</w:t>
      </w:r>
      <w:r>
        <w:t>p. 36–37</w:t>
      </w:r>
      <w:r w:rsidRPr="008F287A">
        <w:t>.</w:t>
      </w:r>
      <w:r>
        <w:t xml:space="preserve"> (</w:t>
      </w:r>
      <w:r w:rsidRPr="008F287A">
        <w:t xml:space="preserve">McKenzie and Partington, </w:t>
      </w:r>
      <w:r w:rsidRPr="004B302C">
        <w:rPr>
          <w:rStyle w:val="AERtextitalic"/>
        </w:rPr>
        <w:t>Equity market risk premium</w:t>
      </w:r>
      <w:r>
        <w:t>, December 2011)</w:t>
      </w:r>
    </w:p>
  </w:footnote>
  <w:footnote w:id="27">
    <w:p w:rsidR="006B0748" w:rsidRDefault="006B0748" w:rsidP="006B0748">
      <w:pPr>
        <w:pStyle w:val="FootnoteText"/>
      </w:pPr>
      <w:r>
        <w:rPr>
          <w:rStyle w:val="FootnoteReference"/>
        </w:rPr>
        <w:footnoteRef/>
      </w:r>
      <w:r>
        <w:t xml:space="preserve"> </w:t>
      </w:r>
      <w:r>
        <w:tab/>
      </w:r>
      <w:r w:rsidRPr="00916D09">
        <w:t xml:space="preserve">M. McKenzie, and G. Partington, </w:t>
      </w:r>
      <w:r w:rsidRPr="004B302C">
        <w:rPr>
          <w:rStyle w:val="AERtextitalic"/>
        </w:rPr>
        <w:t>Report to the AER: Supplementary report on the equity market risk premium</w:t>
      </w:r>
      <w:r w:rsidRPr="008F287A">
        <w:t xml:space="preserve">, </w:t>
      </w:r>
      <w:r>
        <w:t>February 2012, p.</w:t>
      </w:r>
      <w:r w:rsidRPr="008F287A">
        <w:t>5.</w:t>
      </w:r>
      <w:r>
        <w:t xml:space="preserve"> (</w:t>
      </w:r>
      <w:r w:rsidRPr="008F287A">
        <w:t xml:space="preserve">McKenzie, and Partington, </w:t>
      </w:r>
      <w:r w:rsidRPr="00916D09">
        <w:rPr>
          <w:rStyle w:val="AERtextitalic"/>
        </w:rPr>
        <w:t>Supplementary report on the MRP</w:t>
      </w:r>
      <w:r>
        <w:rPr>
          <w:rStyle w:val="AERtextitalic"/>
        </w:rPr>
        <w:t xml:space="preserve">, </w:t>
      </w:r>
      <w:r>
        <w:t>February 2012)</w:t>
      </w:r>
    </w:p>
    <w:p w:rsidR="006B0748" w:rsidRDefault="006B0748" w:rsidP="006B0748">
      <w:pPr>
        <w:pStyle w:val="FootnoteText"/>
      </w:pPr>
      <w:r>
        <w:tab/>
      </w:r>
      <w:r w:rsidRPr="001753A4">
        <w:t xml:space="preserve">M. McKenzie, and G. Partington, </w:t>
      </w:r>
      <w:r w:rsidRPr="00940A1A">
        <w:t>Report to the AER:</w:t>
      </w:r>
      <w:r w:rsidRPr="001753A4">
        <w:t xml:space="preserve"> </w:t>
      </w:r>
      <w:r w:rsidRPr="00940A1A">
        <w:t>Review of regime switching framework and critique of survey evidence</w:t>
      </w:r>
      <w:r w:rsidRPr="00B62B24">
        <w:t>,</w:t>
      </w:r>
      <w:r>
        <w:t xml:space="preserve"> September 2012, pp. 24–25.</w:t>
      </w:r>
      <w:r w:rsidRPr="00F9038B">
        <w:t xml:space="preserve"> </w:t>
      </w:r>
      <w:r>
        <w:t xml:space="preserve">(McKenzie, and Partington, MRP: </w:t>
      </w:r>
      <w:r w:rsidRPr="00B62B24">
        <w:t>Regime switching framework and critique of survey evidence</w:t>
      </w:r>
      <w:r>
        <w:t>, September 2012)</w:t>
      </w:r>
    </w:p>
    <w:p w:rsidR="006B0748" w:rsidRPr="00D57D94" w:rsidRDefault="006B0748" w:rsidP="006B0748">
      <w:pPr>
        <w:pStyle w:val="FootnoteText"/>
      </w:pPr>
      <w:r>
        <w:tab/>
      </w:r>
      <w:proofErr w:type="gramStart"/>
      <w:r w:rsidRPr="008F287A">
        <w:t>McKenzie, and Partington,</w:t>
      </w:r>
      <w:r>
        <w:t xml:space="preserve"> </w:t>
      </w:r>
      <w:r w:rsidRPr="00E93908">
        <w:rPr>
          <w:rStyle w:val="AERtextitalic"/>
        </w:rPr>
        <w:t>Review of the AER's overall approach</w:t>
      </w:r>
      <w:r>
        <w:t>, February 2013, pp.30-32.</w:t>
      </w:r>
      <w:proofErr w:type="gramEnd"/>
    </w:p>
  </w:footnote>
  <w:footnote w:id="28">
    <w:p w:rsidR="006B0748" w:rsidRDefault="006B0748" w:rsidP="006B0748">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p.31.</w:t>
      </w:r>
    </w:p>
  </w:footnote>
  <w:footnote w:id="29">
    <w:p w:rsidR="006B0748" w:rsidRDefault="006B0748" w:rsidP="006B0748">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p.6.</w:t>
      </w:r>
    </w:p>
  </w:footnote>
  <w:footnote w:id="30">
    <w:p w:rsidR="006B0748" w:rsidRDefault="006B0748" w:rsidP="006B0748">
      <w:pPr>
        <w:pStyle w:val="FootnoteText"/>
      </w:pPr>
      <w:r>
        <w:rPr>
          <w:rStyle w:val="FootnoteReference"/>
        </w:rPr>
        <w:footnoteRef/>
      </w:r>
      <w:r>
        <w:t xml:space="preserve"> </w:t>
      </w:r>
      <w:r>
        <w:tab/>
        <w:t xml:space="preserve">Lally notes he prefers arithmetic averages. The AER considers arithmetic average and geometric average of historical excess returns in B.2.1 of the draft decision and further in section </w:t>
      </w:r>
      <w:r w:rsidR="009B2237">
        <w:fldChar w:fldCharType="begin"/>
      </w:r>
      <w:r>
        <w:instrText xml:space="preserve"> REF _Ref350261978 \r \h </w:instrText>
      </w:r>
      <w:r w:rsidR="009B2237">
        <w:fldChar w:fldCharType="separate"/>
      </w:r>
      <w:r>
        <w:t>1.1.1A.5.1</w:t>
      </w:r>
      <w:r w:rsidR="009B2237">
        <w:fldChar w:fldCharType="end"/>
      </w:r>
      <w:r>
        <w:t xml:space="preserve"> of this final decision. </w:t>
      </w:r>
    </w:p>
  </w:footnote>
  <w:footnote w:id="31">
    <w:p w:rsidR="006B0748" w:rsidRDefault="006B0748" w:rsidP="006B0748">
      <w:pPr>
        <w:pStyle w:val="FootnoteText"/>
      </w:pPr>
      <w:r>
        <w:rPr>
          <w:rStyle w:val="FootnoteReference"/>
        </w:rPr>
        <w:footnoteRef/>
      </w:r>
      <w:r>
        <w:t xml:space="preserve"> </w:t>
      </w:r>
      <w:r>
        <w:tab/>
        <w:t>Lally explained as some methods provide estimated ranges</w:t>
      </w:r>
      <w:r w:rsidRPr="00E445B7">
        <w:rPr>
          <w:rFonts w:eastAsia="SimSun"/>
        </w:rPr>
        <w:t xml:space="preserve"> rather than point estimates, the mean cannot be determined and therefore the median is considered.</w:t>
      </w:r>
    </w:p>
  </w:footnote>
  <w:footnote w:id="32">
    <w:p w:rsidR="006B0748" w:rsidRDefault="006B0748" w:rsidP="006B0748">
      <w:pPr>
        <w:pStyle w:val="FootnoteText"/>
      </w:pPr>
      <w:r>
        <w:rPr>
          <w:rStyle w:val="FootnoteReference"/>
        </w:rPr>
        <w:footnoteRef/>
      </w:r>
      <w:r>
        <w:t xml:space="preserve"> </w:t>
      </w:r>
      <w:r>
        <w:tab/>
      </w:r>
      <w:r w:rsidRPr="00AE274D">
        <w:t>M. Lally</w:t>
      </w:r>
      <w:r>
        <w:t xml:space="preserve">, </w:t>
      </w:r>
      <w:r w:rsidRPr="003456F7">
        <w:rPr>
          <w:rStyle w:val="AERtextitalic"/>
        </w:rPr>
        <w:t>Review of the AER's methodology for the risk free rate and the market risk premium</w:t>
      </w:r>
      <w:r w:rsidRPr="003456F7">
        <w:t xml:space="preserve">, </w:t>
      </w:r>
      <w:r>
        <w:t>4 March 2013, p. 33-34.</w:t>
      </w:r>
      <w:r w:rsidRPr="00F9038B">
        <w:rPr>
          <w:rStyle w:val="AERtextitalic"/>
        </w:rPr>
        <w:t xml:space="preserve"> </w:t>
      </w:r>
      <w:r>
        <w:rPr>
          <w:rStyle w:val="AERtextitalic"/>
        </w:rPr>
        <w:t>(</w:t>
      </w:r>
      <w:r w:rsidRPr="00AE274D">
        <w:t>Lally, Review of the AER’s methodology</w:t>
      </w:r>
      <w:r>
        <w:t>, March 2013)</w:t>
      </w:r>
    </w:p>
  </w:footnote>
  <w:footnote w:id="33">
    <w:p w:rsidR="006B0748" w:rsidRDefault="006B0748" w:rsidP="006B0748">
      <w:pPr>
        <w:pStyle w:val="FootnoteText"/>
      </w:pPr>
      <w:r>
        <w:rPr>
          <w:rStyle w:val="FootnoteReference"/>
        </w:rPr>
        <w:footnoteRef/>
      </w:r>
      <w:r>
        <w:t xml:space="preserve"> </w:t>
      </w:r>
      <w:r>
        <w:tab/>
        <w:t>This is because the longer term bonds carry more risk than the shorter term bonds and therefore require higher returns. The 5 year CGS yield is generally lower than the 10 year CGS yield.</w:t>
      </w:r>
    </w:p>
  </w:footnote>
  <w:footnote w:id="34">
    <w:p w:rsidR="006B0748" w:rsidRDefault="006B0748" w:rsidP="006B0748">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pp. 35-36.</w:t>
      </w:r>
    </w:p>
  </w:footnote>
  <w:footnote w:id="35">
    <w:p w:rsidR="006B0748" w:rsidRDefault="006B0748" w:rsidP="006B0748">
      <w:pPr>
        <w:pStyle w:val="FootnoteText"/>
      </w:pPr>
      <w:r>
        <w:rPr>
          <w:rStyle w:val="FootnoteReference"/>
        </w:rPr>
        <w:footnoteRef/>
      </w:r>
      <w:r>
        <w:t xml:space="preserve"> </w:t>
      </w:r>
      <w:r>
        <w:tab/>
        <w:t xml:space="preserve">CEPA, </w:t>
      </w:r>
      <w:r w:rsidRPr="00CF7014">
        <w:rPr>
          <w:rStyle w:val="AERtextitalic"/>
        </w:rPr>
        <w:t>Advice on estimation of the risk free rate and market risk premium, report prepared for the Australian Energy Regulator</w:t>
      </w:r>
      <w:r>
        <w:t xml:space="preserve">, 12 March 2013, p. 62. (CEPA, </w:t>
      </w:r>
      <w:r w:rsidRPr="00CF7014">
        <w:rPr>
          <w:rStyle w:val="AERtextitalic"/>
        </w:rPr>
        <w:t>Advice on estimation of the risk free rate and market risk premium</w:t>
      </w:r>
      <w:r>
        <w:t>, March 2013)</w:t>
      </w:r>
    </w:p>
  </w:footnote>
  <w:footnote w:id="36">
    <w:p w:rsidR="006B0748" w:rsidRPr="003E2BCE" w:rsidRDefault="006B0748" w:rsidP="006B0748">
      <w:pPr>
        <w:pStyle w:val="FootnoteText"/>
      </w:pPr>
      <w:r>
        <w:rPr>
          <w:rStyle w:val="FootnoteReference"/>
        </w:rPr>
        <w:footnoteRef/>
      </w:r>
      <w:r>
        <w:t xml:space="preserve"> </w:t>
      </w:r>
      <w:r>
        <w:tab/>
      </w:r>
      <w:r w:rsidRPr="001753A4">
        <w:t xml:space="preserve">CEG, </w:t>
      </w:r>
      <w:r w:rsidRPr="004B302C">
        <w:rPr>
          <w:rStyle w:val="AERtextitalic"/>
        </w:rPr>
        <w:t>Internal consistency of risk free rate and MRP in the CAPM, Prepared for Envestra, SP AusNet, Multinet and APA</w:t>
      </w:r>
      <w:proofErr w:type="gramStart"/>
      <w:r w:rsidRPr="001753A4">
        <w:t xml:space="preserve">, </w:t>
      </w:r>
      <w:r>
        <w:rPr>
          <w:i/>
        </w:rPr>
        <w:t>,</w:t>
      </w:r>
      <w:proofErr w:type="gramEnd"/>
      <w:r>
        <w:rPr>
          <w:i/>
        </w:rPr>
        <w:t xml:space="preserve"> </w:t>
      </w:r>
      <w:r>
        <w:t xml:space="preserve">March 2012, p. 49. (CEG, </w:t>
      </w:r>
      <w:r w:rsidRPr="004B302C">
        <w:rPr>
          <w:rStyle w:val="AERtextitalic"/>
        </w:rPr>
        <w:t>Risk free rate and MRP in the CAPM</w:t>
      </w:r>
      <w:r>
        <w:t xml:space="preserve">, March 2012); </w:t>
      </w:r>
      <w:r w:rsidRPr="00274F20">
        <w:t xml:space="preserve">CEG, </w:t>
      </w:r>
      <w:r w:rsidRPr="004B302C">
        <w:rPr>
          <w:rStyle w:val="AERtextitalic"/>
        </w:rPr>
        <w:t>Update to March 2012 Report: on consistency of the risk free rate and MRP in the CAPM</w:t>
      </w:r>
      <w:r>
        <w:rPr>
          <w:rStyle w:val="AERtextitalic"/>
        </w:rPr>
        <w:t>,</w:t>
      </w:r>
      <w:r>
        <w:t xml:space="preserve"> </w:t>
      </w:r>
      <w:r w:rsidRPr="00C952FE">
        <w:t>November 2012</w:t>
      </w:r>
      <w:r>
        <w:t>, p.31.</w:t>
      </w:r>
      <w:r w:rsidRPr="00F9038B">
        <w:t xml:space="preserve"> </w:t>
      </w:r>
      <w:r>
        <w:t xml:space="preserve">(CEG, </w:t>
      </w:r>
      <w:r w:rsidRPr="00C952FE">
        <w:rPr>
          <w:rStyle w:val="AERtextitalic"/>
        </w:rPr>
        <w:t>Update to March 2012 Repor</w:t>
      </w:r>
      <w:r>
        <w:rPr>
          <w:rStyle w:val="AERtextitalic"/>
        </w:rPr>
        <w:t>t</w:t>
      </w:r>
      <w:r w:rsidRPr="00C952FE">
        <w:t>,</w:t>
      </w:r>
      <w:r>
        <w:t xml:space="preserve"> November 2012)</w:t>
      </w:r>
    </w:p>
  </w:footnote>
  <w:footnote w:id="37">
    <w:p w:rsidR="006B0748" w:rsidRDefault="006B0748" w:rsidP="006B0748">
      <w:pPr>
        <w:pStyle w:val="FootnoteText"/>
      </w:pPr>
      <w:r>
        <w:rPr>
          <w:rStyle w:val="FootnoteReference"/>
        </w:rPr>
        <w:footnoteRef/>
      </w:r>
      <w:r>
        <w:t xml:space="preserve"> </w:t>
      </w:r>
      <w:r>
        <w:tab/>
      </w:r>
      <w:proofErr w:type="gramStart"/>
      <w:r>
        <w:t xml:space="preserve">CEG, </w:t>
      </w:r>
      <w:r w:rsidRPr="0026556D">
        <w:rPr>
          <w:rStyle w:val="AERtextitalic"/>
        </w:rPr>
        <w:t>Risk free rate and MRP in the CAPM</w:t>
      </w:r>
      <w:r>
        <w:t>, March 2012, p. 49.</w:t>
      </w:r>
      <w:proofErr w:type="gramEnd"/>
      <w:r>
        <w:t xml:space="preserve"> </w:t>
      </w:r>
    </w:p>
  </w:footnote>
  <w:footnote w:id="38">
    <w:p w:rsidR="006B0748" w:rsidRDefault="006B0748" w:rsidP="006B0748">
      <w:pPr>
        <w:pStyle w:val="FootnoteText"/>
      </w:pPr>
      <w:r>
        <w:rPr>
          <w:rStyle w:val="FootnoteReference"/>
        </w:rPr>
        <w:footnoteRef/>
      </w:r>
      <w:r>
        <w:t xml:space="preserve"> </w:t>
      </w:r>
      <w:r>
        <w:tab/>
      </w:r>
      <w:r w:rsidRPr="001753A4">
        <w:t xml:space="preserve">Capital Research, </w:t>
      </w:r>
      <w:r w:rsidRPr="004B302C">
        <w:rPr>
          <w:rStyle w:val="AERtextitalic"/>
        </w:rPr>
        <w:t>Forward Estimate of the Market Risk Premium: Update: A report prepared for the Victorian gas transmission and distribution businesses: APA Group, Envestra, Multinet Gas and SP AusNet</w:t>
      </w:r>
      <w:r w:rsidRPr="00420157">
        <w:t>, March 2012</w:t>
      </w:r>
      <w:r>
        <w:t xml:space="preserve">, p. 33. </w:t>
      </w:r>
      <w:r w:rsidRPr="001753A4">
        <w:t xml:space="preserve">(Capital Research, </w:t>
      </w:r>
      <w:r w:rsidRPr="00420157">
        <w:rPr>
          <w:rStyle w:val="AERtextitalic"/>
        </w:rPr>
        <w:t>MRP estimate for the Vic NSPs</w:t>
      </w:r>
      <w:r w:rsidRPr="001753A4">
        <w:t>, March 2012)</w:t>
      </w:r>
    </w:p>
  </w:footnote>
  <w:footnote w:id="39">
    <w:p w:rsidR="006B0748" w:rsidRDefault="006B0748" w:rsidP="006B0748">
      <w:pPr>
        <w:pStyle w:val="FootnoteText"/>
      </w:pPr>
      <w:r>
        <w:rPr>
          <w:rStyle w:val="FootnoteReference"/>
        </w:rPr>
        <w:footnoteRef/>
      </w:r>
      <w:r>
        <w:t xml:space="preserve"> </w:t>
      </w:r>
      <w:r>
        <w:tab/>
      </w:r>
      <w:r w:rsidRPr="00BD0E42">
        <w:t xml:space="preserve">NERA Economic Consulting, </w:t>
      </w:r>
      <w:r w:rsidRPr="004B302C">
        <w:rPr>
          <w:rStyle w:val="AERtextitalic"/>
        </w:rPr>
        <w:t>Prevailing conditions and the market risk premium: A report for APA Group, Envestra, Multinet and SP AusNet</w:t>
      </w:r>
      <w:r>
        <w:rPr>
          <w:i/>
        </w:rPr>
        <w:t>,</w:t>
      </w:r>
      <w:r>
        <w:t xml:space="preserve"> March 2012, pp. 24–31. (NERA, </w:t>
      </w:r>
      <w:r w:rsidRPr="004B302C">
        <w:rPr>
          <w:rStyle w:val="AERtextitalic"/>
        </w:rPr>
        <w:t>Prevailing conditions and the MRP</w:t>
      </w:r>
      <w:r>
        <w:t>, March 2012)</w:t>
      </w:r>
    </w:p>
  </w:footnote>
  <w:footnote w:id="40">
    <w:p w:rsidR="006B0748" w:rsidRDefault="006B0748" w:rsidP="006B0748">
      <w:pPr>
        <w:pStyle w:val="FootnoteText"/>
      </w:pPr>
      <w:r>
        <w:rPr>
          <w:rStyle w:val="FootnoteReference"/>
        </w:rPr>
        <w:footnoteRef/>
      </w:r>
      <w:r>
        <w:t xml:space="preserve"> </w:t>
      </w:r>
      <w:r>
        <w:tab/>
        <w:t xml:space="preserve">McKenzie, and Partington, MRP: </w:t>
      </w:r>
      <w:r>
        <w:rPr>
          <w:i/>
        </w:rPr>
        <w:t>Regime switching framework and critique of survey evidence,</w:t>
      </w:r>
      <w:r>
        <w:t xml:space="preserve"> September 2012, pp. 21–22.</w:t>
      </w:r>
    </w:p>
  </w:footnote>
  <w:footnote w:id="41">
    <w:p w:rsidR="006B0748" w:rsidRDefault="006B0748" w:rsidP="006B0748">
      <w:pPr>
        <w:pStyle w:val="FootnoteText"/>
      </w:pPr>
      <w:r>
        <w:rPr>
          <w:rStyle w:val="FootnoteReference"/>
        </w:rPr>
        <w:footnoteRef/>
      </w:r>
      <w:r>
        <w:t xml:space="preserve"> </w:t>
      </w:r>
      <w:r>
        <w:tab/>
        <w:t xml:space="preserve">NERA, </w:t>
      </w:r>
      <w:r w:rsidRPr="00B82856">
        <w:t xml:space="preserve">Prevailing conditions and the </w:t>
      </w:r>
      <w:r>
        <w:t>MRP</w:t>
      </w:r>
      <w:r w:rsidRPr="00B82856">
        <w:t>,</w:t>
      </w:r>
      <w:r>
        <w:t xml:space="preserve"> March 2012, p.42</w:t>
      </w:r>
    </w:p>
  </w:footnote>
  <w:footnote w:id="42">
    <w:p w:rsidR="006B0748" w:rsidRDefault="006B0748" w:rsidP="006B0748">
      <w:pPr>
        <w:pStyle w:val="FootnoteText"/>
      </w:pPr>
      <w:r>
        <w:rPr>
          <w:rStyle w:val="FootnoteReference"/>
        </w:rPr>
        <w:footnoteRef/>
      </w:r>
      <w:r>
        <w:t xml:space="preserve"> </w:t>
      </w:r>
      <w:r>
        <w:tab/>
      </w:r>
      <w:r w:rsidRPr="00BD0E42">
        <w:t xml:space="preserve">NERA, </w:t>
      </w:r>
      <w:r w:rsidRPr="004B302C">
        <w:rPr>
          <w:rStyle w:val="AERtextitalic"/>
        </w:rPr>
        <w:t>Estimating the Cost of Equity under the CAPM: Expert report of Gregory Houston</w:t>
      </w:r>
      <w:r w:rsidRPr="00BD0E42">
        <w:t>,</w:t>
      </w:r>
      <w:r w:rsidRPr="001B69B3">
        <w:t xml:space="preserve"> November 2012</w:t>
      </w:r>
      <w:r>
        <w:t>, pp.18-30. (</w:t>
      </w:r>
      <w:r w:rsidRPr="001B69B3">
        <w:t xml:space="preserve">NERA, </w:t>
      </w:r>
      <w:r w:rsidRPr="001B69B3">
        <w:rPr>
          <w:rStyle w:val="AERtextitalic"/>
        </w:rPr>
        <w:t>Estimating the Cost of Equity under the CAPM</w:t>
      </w:r>
      <w:r>
        <w:rPr>
          <w:rStyle w:val="AERtextitalic"/>
        </w:rPr>
        <w:t xml:space="preserve">, </w:t>
      </w:r>
      <w:r w:rsidRPr="001B69B3">
        <w:t>November 2012</w:t>
      </w:r>
      <w:r>
        <w:rPr>
          <w:rStyle w:val="AERtextitalic"/>
        </w:rPr>
        <w:t>)</w:t>
      </w:r>
    </w:p>
  </w:footnote>
  <w:footnote w:id="43">
    <w:p w:rsidR="006B0748" w:rsidRDefault="006B0748" w:rsidP="006B0748">
      <w:pPr>
        <w:pStyle w:val="FootnoteText"/>
      </w:pPr>
      <w:r>
        <w:rPr>
          <w:rStyle w:val="FootnoteReference"/>
        </w:rPr>
        <w:footnoteRef/>
      </w:r>
      <w:r>
        <w:t xml:space="preserve"> </w:t>
      </w:r>
      <w:r>
        <w:tab/>
      </w:r>
      <w:r w:rsidRPr="00973DC0">
        <w:t xml:space="preserve">A. Gregory, </w:t>
      </w:r>
      <w:proofErr w:type="gramStart"/>
      <w:r w:rsidRPr="00973DC0">
        <w:rPr>
          <w:rStyle w:val="AERtextitalic"/>
        </w:rPr>
        <w:t>The</w:t>
      </w:r>
      <w:proofErr w:type="gramEnd"/>
      <w:r w:rsidRPr="00973DC0">
        <w:rPr>
          <w:rStyle w:val="AERtextitalic"/>
        </w:rPr>
        <w:t xml:space="preserve"> AER approach to establishing the cost of equity </w:t>
      </w:r>
      <w:r w:rsidRPr="00973DC0">
        <w:rPr>
          <w:rStyle w:val="AERtextitalic"/>
          <w:rFonts w:hint="eastAsia"/>
        </w:rPr>
        <w:t>–</w:t>
      </w:r>
      <w:r w:rsidRPr="00973DC0">
        <w:rPr>
          <w:rStyle w:val="AERtextitalic"/>
        </w:rPr>
        <w:t xml:space="preserve"> Analysis of the method used to establish the risk free rate and the market risk premium</w:t>
      </w:r>
      <w:r w:rsidRPr="00973DC0">
        <w:t>, November 2012, p</w:t>
      </w:r>
      <w:r>
        <w:t xml:space="preserve">p.4-7. </w:t>
      </w:r>
      <w:r w:rsidRPr="00973DC0">
        <w:t xml:space="preserve">(Gregory, </w:t>
      </w:r>
      <w:r w:rsidRPr="00973DC0">
        <w:rPr>
          <w:rStyle w:val="AERtextitalic"/>
        </w:rPr>
        <w:t>The AER approach</w:t>
      </w:r>
      <w:r w:rsidRPr="00973DC0">
        <w:t>, November 2012)</w:t>
      </w:r>
    </w:p>
  </w:footnote>
  <w:footnote w:id="44">
    <w:p w:rsidR="006B0748" w:rsidRDefault="006B0748" w:rsidP="006B0748">
      <w:pPr>
        <w:pStyle w:val="FootnoteText"/>
      </w:pPr>
      <w:r>
        <w:rPr>
          <w:rStyle w:val="FootnoteReference"/>
        </w:rPr>
        <w:footnoteRef/>
      </w:r>
      <w:r>
        <w:t xml:space="preserve"> </w:t>
      </w:r>
      <w:r>
        <w:tab/>
      </w:r>
      <w:r w:rsidRPr="00BD0E42">
        <w:t xml:space="preserve">Gregory, </w:t>
      </w:r>
      <w:r w:rsidRPr="004B302C">
        <w:rPr>
          <w:rStyle w:val="AERtextitalic"/>
        </w:rPr>
        <w:t xml:space="preserve">The AER </w:t>
      </w:r>
      <w:proofErr w:type="gramStart"/>
      <w:r w:rsidRPr="004B302C">
        <w:rPr>
          <w:rStyle w:val="AERtextitalic"/>
        </w:rPr>
        <w:t xml:space="preserve">approach </w:t>
      </w:r>
      <w:r w:rsidRPr="00D971F3">
        <w:t xml:space="preserve"> November</w:t>
      </w:r>
      <w:proofErr w:type="gramEnd"/>
      <w:r w:rsidRPr="00D971F3">
        <w:t xml:space="preserve"> 2012</w:t>
      </w:r>
      <w:r>
        <w:t>, p.3.</w:t>
      </w:r>
    </w:p>
  </w:footnote>
  <w:footnote w:id="45">
    <w:p w:rsidR="006B0748" w:rsidRDefault="006B0748" w:rsidP="006B0748">
      <w:pPr>
        <w:pStyle w:val="FootnoteText"/>
      </w:pPr>
      <w:r>
        <w:rPr>
          <w:rStyle w:val="FootnoteReference"/>
        </w:rPr>
        <w:footnoteRef/>
      </w:r>
      <w:r>
        <w:t xml:space="preserve"> </w:t>
      </w:r>
      <w:r>
        <w:tab/>
        <w:t xml:space="preserve">See, for example, </w:t>
      </w:r>
      <w:r w:rsidRPr="00BD0E42">
        <w:t xml:space="preserve">S. </w:t>
      </w:r>
      <w:r w:rsidRPr="004B302C">
        <w:rPr>
          <w:rStyle w:val="AERtextitalic"/>
        </w:rPr>
        <w:t>Wright, Review of risk free rate and cost of equity estimates: A comparison of UK approaches with the AER</w:t>
      </w:r>
      <w:r w:rsidRPr="00C372B5">
        <w:t>, October 2012</w:t>
      </w:r>
      <w:r>
        <w:t>, p.2. (</w:t>
      </w:r>
      <w:r w:rsidRPr="00C372B5">
        <w:t xml:space="preserve">Wright, </w:t>
      </w:r>
      <w:r w:rsidRPr="00C372B5">
        <w:rPr>
          <w:rStyle w:val="AERtextitalic"/>
        </w:rPr>
        <w:t>Review of risk free rate and cost of equity estimates</w:t>
      </w:r>
      <w:r>
        <w:rPr>
          <w:rStyle w:val="AERtextitalic"/>
        </w:rPr>
        <w:t xml:space="preserve">, </w:t>
      </w:r>
      <w:r w:rsidRPr="00C372B5">
        <w:t>October 2012</w:t>
      </w:r>
      <w:r>
        <w:rPr>
          <w:rStyle w:val="AERtextitalic"/>
        </w:rPr>
        <w:t>)</w:t>
      </w:r>
    </w:p>
  </w:footnote>
  <w:footnote w:id="46">
    <w:p w:rsidR="006B0748" w:rsidRDefault="006B0748" w:rsidP="006B0748">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2.</w:t>
      </w:r>
    </w:p>
  </w:footnote>
  <w:footnote w:id="47">
    <w:p w:rsidR="006B0748" w:rsidRDefault="006B0748" w:rsidP="006B0748">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3.</w:t>
      </w:r>
    </w:p>
  </w:footnote>
  <w:footnote w:id="48">
    <w:p w:rsidR="006B0748" w:rsidRDefault="006B0748" w:rsidP="006B0748">
      <w:pPr>
        <w:pStyle w:val="FootnoteText"/>
      </w:pPr>
      <w:r>
        <w:rPr>
          <w:rStyle w:val="FootnoteReference"/>
        </w:rPr>
        <w:footnoteRef/>
      </w:r>
      <w:r>
        <w:t xml:space="preserve"> </w:t>
      </w:r>
      <w:r>
        <w:tab/>
        <w:t>Lally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49">
    <w:p w:rsidR="006B0748" w:rsidRDefault="006B0748" w:rsidP="006B0748">
      <w:pPr>
        <w:pStyle w:val="FootnoteText"/>
      </w:pPr>
      <w:r>
        <w:rPr>
          <w:rStyle w:val="FootnoteReference"/>
        </w:rPr>
        <w:footnoteRef/>
      </w:r>
      <w:r>
        <w:t xml:space="preserve"> </w:t>
      </w:r>
      <w:r>
        <w:tab/>
      </w:r>
      <w:r w:rsidRPr="00BD0E42">
        <w:t xml:space="preserve">M. Lally, </w:t>
      </w:r>
      <w:r w:rsidRPr="004B302C">
        <w:rPr>
          <w:rStyle w:val="AERtextitalic"/>
        </w:rPr>
        <w:t>The present value principle: risk, inflation and interpretation</w:t>
      </w:r>
      <w:r w:rsidRPr="000A1086">
        <w:t xml:space="preserve">, </w:t>
      </w:r>
      <w:r>
        <w:t>4 March</w:t>
      </w:r>
      <w:r w:rsidRPr="000A1086">
        <w:t xml:space="preserve"> 2013</w:t>
      </w:r>
      <w:r>
        <w:t>, p.9. (</w:t>
      </w:r>
      <w:r w:rsidRPr="000A1086">
        <w:t xml:space="preserve">Lally, </w:t>
      </w:r>
      <w:r w:rsidRPr="000A1086">
        <w:rPr>
          <w:rStyle w:val="AERtextitalic"/>
        </w:rPr>
        <w:t>The present value principle</w:t>
      </w:r>
      <w:r>
        <w:rPr>
          <w:rStyle w:val="AERtextitalic"/>
        </w:rPr>
        <w:t xml:space="preserve">, </w:t>
      </w:r>
      <w:r>
        <w:t>March</w:t>
      </w:r>
      <w:r w:rsidRPr="000A1086">
        <w:t xml:space="preserve"> 2013</w:t>
      </w:r>
      <w:r>
        <w:rPr>
          <w:rStyle w:val="AERtextitalic"/>
        </w:rPr>
        <w:t>)</w:t>
      </w:r>
    </w:p>
  </w:footnote>
  <w:footnote w:id="50">
    <w:p w:rsidR="006B0748" w:rsidRDefault="006B0748" w:rsidP="006B0748">
      <w:pPr>
        <w:pStyle w:val="FootnoteText"/>
      </w:pPr>
      <w:r>
        <w:rPr>
          <w:rStyle w:val="FootnoteReference"/>
        </w:rPr>
        <w:footnoteRef/>
      </w:r>
      <w:r>
        <w:t xml:space="preserve"> </w:t>
      </w:r>
      <w:r>
        <w:tab/>
        <w:t xml:space="preserve">SP AusNet and Multinet, </w:t>
      </w:r>
      <w:r w:rsidRPr="00DF51F1">
        <w:rPr>
          <w:rStyle w:val="AERtextitalic"/>
        </w:rPr>
        <w:t>Envestra draft decision market risk premium submission</w:t>
      </w:r>
      <w:r>
        <w:t>, 2 May 2011, p.9</w:t>
      </w:r>
    </w:p>
  </w:footnote>
  <w:footnote w:id="51">
    <w:p w:rsidR="006B0748" w:rsidRDefault="006B0748" w:rsidP="006B0748">
      <w:pPr>
        <w:pStyle w:val="FootnoteText"/>
      </w:pPr>
      <w:r>
        <w:rPr>
          <w:rStyle w:val="FootnoteReference"/>
        </w:rPr>
        <w:footnoteRef/>
      </w:r>
      <w:r>
        <w:t xml:space="preserve"> </w:t>
      </w:r>
      <w:r>
        <w:tab/>
        <w:t xml:space="preserve">In addition to those listed below, the VAA approach has also been put forward by ETSA (SA electricity transmission) in June 2009, Westnet Energy (WA gas distribution) in December 2009 before the ERA, in a published journal article, and by NBN Co (national telecommunications) in December 2011 before the ACCC. VAA, </w:t>
      </w:r>
      <w:r w:rsidRPr="00510FB0">
        <w:rPr>
          <w:rStyle w:val="AERtextitalic"/>
        </w:rPr>
        <w:t>Market risk premium</w:t>
      </w:r>
      <w:r>
        <w:rPr>
          <w:rStyle w:val="AERtextitalic"/>
        </w:rPr>
        <w:t>:</w:t>
      </w:r>
      <w:r w:rsidRPr="00510FB0">
        <w:rPr>
          <w:rStyle w:val="AERtextitalic"/>
        </w:rPr>
        <w:t xml:space="preserve"> An estimate for 2010 to 2015</w:t>
      </w:r>
      <w:r>
        <w:rPr>
          <w:rStyle w:val="AERtextitalic"/>
        </w:rPr>
        <w:t>:</w:t>
      </w:r>
      <w:r w:rsidRPr="00510FB0">
        <w:rPr>
          <w:rStyle w:val="AERtextitalic"/>
        </w:rPr>
        <w:t xml:space="preserve"> Prepared for ETSA</w:t>
      </w:r>
      <w:r>
        <w:t xml:space="preserve">, June 2009; VAA, </w:t>
      </w:r>
      <w:r w:rsidRPr="00510FB0">
        <w:rPr>
          <w:rStyle w:val="AERtextitalic"/>
        </w:rPr>
        <w:t>Market risk premium</w:t>
      </w:r>
      <w:r>
        <w:rPr>
          <w:rStyle w:val="AERtextitalic"/>
        </w:rPr>
        <w:t>:</w:t>
      </w:r>
      <w:r w:rsidRPr="00510FB0">
        <w:rPr>
          <w:rStyle w:val="AERtextitalic"/>
        </w:rPr>
        <w:t xml:space="preserve"> Estimate for January 2010 </w:t>
      </w:r>
      <w:r w:rsidRPr="00510FB0">
        <w:rPr>
          <w:rStyle w:val="AERtextitalic"/>
          <w:rFonts w:hint="eastAsia"/>
        </w:rPr>
        <w:t>–</w:t>
      </w:r>
      <w:r w:rsidRPr="00510FB0">
        <w:rPr>
          <w:rStyle w:val="AERtextitalic"/>
        </w:rPr>
        <w:t xml:space="preserve"> June 2014</w:t>
      </w:r>
      <w:r>
        <w:rPr>
          <w:rStyle w:val="AERtextitalic"/>
        </w:rPr>
        <w:t>:</w:t>
      </w:r>
      <w:r w:rsidRPr="00510FB0">
        <w:rPr>
          <w:rStyle w:val="AERtextitalic"/>
        </w:rPr>
        <w:t xml:space="preserve"> Prepared for WestNet Energy</w:t>
      </w:r>
      <w:r>
        <w:t xml:space="preserve">, December 2009; S. Bishop, M. Fitzsimmons, and B. Officer, </w:t>
      </w:r>
      <w:r w:rsidRPr="00510FB0">
        <w:rPr>
          <w:rStyle w:val="AERtextitalic"/>
        </w:rPr>
        <w:t>JASSA The Finsia Journal of Applied Finance</w:t>
      </w:r>
      <w:r>
        <w:t xml:space="preserve">, 'Adjusting the market risk premium to reflect the global financial crisis', May 2011 (Issue 1 2011), pp. 8–14 (Bishop, Fitzsimmons and Officer (2011)); and VAA, </w:t>
      </w:r>
      <w:r w:rsidRPr="00510FB0">
        <w:rPr>
          <w:rStyle w:val="AERtextitalic"/>
        </w:rPr>
        <w:t>Report on WACC component of NBN Co's Special Access undertaking</w:t>
      </w:r>
      <w:r>
        <w:t>, December 2011.</w:t>
      </w:r>
    </w:p>
  </w:footnote>
  <w:footnote w:id="52">
    <w:p w:rsidR="006B0748" w:rsidRDefault="006B0748" w:rsidP="006B0748">
      <w:pPr>
        <w:pStyle w:val="FootnoteText"/>
      </w:pPr>
      <w:r>
        <w:rPr>
          <w:rStyle w:val="FootnoteReference"/>
        </w:rPr>
        <w:footnoteRef/>
      </w:r>
      <w:r>
        <w:t xml:space="preserve"> </w:t>
      </w:r>
      <w:r>
        <w:tab/>
        <w:t xml:space="preserve">VAA, </w:t>
      </w:r>
      <w:r w:rsidRPr="00510FB0">
        <w:rPr>
          <w:rStyle w:val="AERtextitalic"/>
        </w:rPr>
        <w:t>Market Risk Premium</w:t>
      </w:r>
      <w:r>
        <w:rPr>
          <w:rStyle w:val="AERtextitalic"/>
        </w:rPr>
        <w:t>:</w:t>
      </w:r>
      <w:r w:rsidRPr="00510FB0">
        <w:rPr>
          <w:rStyle w:val="AERtextitalic"/>
        </w:rPr>
        <w:t xml:space="preserve"> Estimate for 2011</w:t>
      </w:r>
      <w:r w:rsidRPr="00510FB0">
        <w:rPr>
          <w:rStyle w:val="AERtextitalic"/>
          <w:rFonts w:hint="eastAsia"/>
        </w:rPr>
        <w:t>–</w:t>
      </w:r>
      <w:r w:rsidRPr="00510FB0">
        <w:rPr>
          <w:rStyle w:val="AERtextitalic"/>
        </w:rPr>
        <w:t>2015</w:t>
      </w:r>
      <w:r>
        <w:rPr>
          <w:rStyle w:val="AERtextitalic"/>
        </w:rPr>
        <w:t>:</w:t>
      </w:r>
      <w:r w:rsidRPr="00510FB0">
        <w:rPr>
          <w:rStyle w:val="AERtextitalic"/>
        </w:rPr>
        <w:t xml:space="preserve"> Draft</w:t>
      </w:r>
      <w:r>
        <w:t xml:space="preserve">, October 2009; and VAA, </w:t>
      </w:r>
      <w:r>
        <w:rPr>
          <w:rStyle w:val="AERtextitalic"/>
        </w:rPr>
        <w:t>MRP for Vic electricity DNSPs</w:t>
      </w:r>
      <w:r>
        <w:t>, July 2010. Note that although labelled as 'draft', the October 2009 report was submitted by the service provider as a finalised report.</w:t>
      </w:r>
    </w:p>
  </w:footnote>
  <w:footnote w:id="53">
    <w:p w:rsidR="006B0748" w:rsidRDefault="006B0748" w:rsidP="006B0748">
      <w:pPr>
        <w:pStyle w:val="FootnoteText"/>
      </w:pPr>
      <w:r>
        <w:rPr>
          <w:rStyle w:val="FootnoteReference"/>
        </w:rPr>
        <w:footnoteRef/>
      </w:r>
      <w:r>
        <w:t xml:space="preserve"> </w:t>
      </w:r>
      <w:r>
        <w:tab/>
        <w:t xml:space="preserve">VAA, </w:t>
      </w:r>
      <w:r w:rsidRPr="00510FB0">
        <w:rPr>
          <w:rStyle w:val="AERtextitalic"/>
        </w:rPr>
        <w:t>Market Risk Premium, An update prepared in response to the draft determination by the AER on the Victorian Advanced Metering Infrastructure Review: 2012</w:t>
      </w:r>
      <w:r w:rsidRPr="00510FB0">
        <w:rPr>
          <w:rStyle w:val="AERtextitalic"/>
          <w:rFonts w:hint="eastAsia"/>
        </w:rPr>
        <w:t>–</w:t>
      </w:r>
      <w:r w:rsidRPr="00510FB0">
        <w:rPr>
          <w:rStyle w:val="AERtextitalic"/>
        </w:rPr>
        <w:t>15 budget and charges applications</w:t>
      </w:r>
      <w:r>
        <w:t>, August 2011.</w:t>
      </w:r>
    </w:p>
  </w:footnote>
  <w:footnote w:id="54">
    <w:p w:rsidR="006B0748" w:rsidRDefault="006B0748" w:rsidP="006B0748">
      <w:pPr>
        <w:pStyle w:val="FootnoteText"/>
      </w:pPr>
      <w:r>
        <w:rPr>
          <w:rStyle w:val="FootnoteReference"/>
        </w:rPr>
        <w:footnoteRef/>
      </w:r>
      <w:r>
        <w:t xml:space="preserve"> </w:t>
      </w:r>
      <w:r>
        <w:tab/>
        <w:t xml:space="preserve">VAA, </w:t>
      </w:r>
      <w:r w:rsidRPr="00510FB0">
        <w:rPr>
          <w:rStyle w:val="AERtextitalic"/>
        </w:rPr>
        <w:t>Comments on the Market Risk Premium in Draft Decision by AER for Envestra February 2011</w:t>
      </w:r>
      <w:r>
        <w:t xml:space="preserve">, March 2011 (VAA, MRP for Envestra, March 2011). </w:t>
      </w:r>
    </w:p>
  </w:footnote>
  <w:footnote w:id="55">
    <w:p w:rsidR="006B0748" w:rsidRDefault="006B0748" w:rsidP="006B0748">
      <w:pPr>
        <w:pStyle w:val="FootnoteText"/>
      </w:pPr>
      <w:r>
        <w:rPr>
          <w:rStyle w:val="FootnoteReference"/>
        </w:rPr>
        <w:footnoteRef/>
      </w:r>
      <w:r>
        <w:t xml:space="preserve"> </w:t>
      </w:r>
      <w:r>
        <w:tab/>
        <w:t xml:space="preserve">VAA, </w:t>
      </w:r>
      <w:r w:rsidRPr="0002300A">
        <w:rPr>
          <w:rStyle w:val="AERtextitalic"/>
        </w:rPr>
        <w:t>Report on WACC component of NBN Co's Special Access Undertaking</w:t>
      </w:r>
      <w:r>
        <w:t>, September 2012, p.19</w:t>
      </w:r>
    </w:p>
  </w:footnote>
  <w:footnote w:id="56">
    <w:p w:rsidR="006B0748" w:rsidRDefault="006B0748" w:rsidP="006B0748">
      <w:pPr>
        <w:pStyle w:val="FootnoteText"/>
      </w:pPr>
      <w:r>
        <w:rPr>
          <w:rStyle w:val="FootnoteReference"/>
        </w:rPr>
        <w:footnoteRef/>
      </w:r>
      <w:r>
        <w:t xml:space="preserve"> </w:t>
      </w:r>
      <w:r>
        <w:tab/>
      </w:r>
      <w:r w:rsidRPr="00EB2D0E">
        <w:t xml:space="preserve">Converting the one-year implied MRP </w:t>
      </w:r>
      <w:r>
        <w:t xml:space="preserve">to a 10 year forward looking MRP </w:t>
      </w:r>
      <w:r w:rsidRPr="00EB2D0E">
        <w:t>requires further assumptions, VAA assumed this one-year implied MRP will fade to a long term historical average MRP over three years. It also noted JCP assumed step reversion after two years. The AER is not entirely clear how VAA faded a one-year implied MRP into a long term average MRP, since VAA report provi</w:t>
      </w:r>
      <w:r>
        <w:t>ded no further explanation</w:t>
      </w:r>
      <w:r w:rsidRPr="00EB2D0E">
        <w:t xml:space="preserve">. The AER estimated </w:t>
      </w:r>
      <w:r>
        <w:t xml:space="preserve">a </w:t>
      </w:r>
      <w:r w:rsidRPr="00EB2D0E">
        <w:t>10</w:t>
      </w:r>
      <w:r>
        <w:t>-</w:t>
      </w:r>
      <w:r w:rsidRPr="00EB2D0E">
        <w:t xml:space="preserve"> year volatility implied MRP</w:t>
      </w:r>
      <w:r>
        <w:t xml:space="preserve"> of 5.54% based on JCP assumption—that is assuming the MRP will be 3.7% for the first two years and reverts to a long term average MRP for the next eight years. See: Bishop, Fitzsmmons, Officer, 'Adjusting the market risk premium to reflect the global financial crisis', </w:t>
      </w:r>
      <w:r w:rsidRPr="00C631A2">
        <w:rPr>
          <w:rStyle w:val="AERtextitalic"/>
        </w:rPr>
        <w:t>The Finsia Journal of Applied Finance</w:t>
      </w:r>
      <w:r>
        <w:t>, Issue 1, 2011, p.9 and p. 14. For the long term average MRP the AER has adopted 6 per cent, which reflects long term average historical excess returns.</w:t>
      </w:r>
    </w:p>
  </w:footnote>
  <w:footnote w:id="57">
    <w:p w:rsidR="006B0748" w:rsidRDefault="006B0748" w:rsidP="006B0748">
      <w:pPr>
        <w:pStyle w:val="FootnoteText"/>
      </w:pPr>
      <w:r>
        <w:rPr>
          <w:rStyle w:val="FootnoteReference"/>
        </w:rPr>
        <w:footnoteRef/>
      </w:r>
      <w:r>
        <w:t xml:space="preserve"> </w:t>
      </w:r>
      <w:r>
        <w:tab/>
        <w:t>The detail of the implied volatility approach is discussed in attachment 5.3.3.</w:t>
      </w:r>
    </w:p>
  </w:footnote>
  <w:footnote w:id="58">
    <w:p w:rsidR="006B0748" w:rsidRDefault="006B0748" w:rsidP="006B0748">
      <w:pPr>
        <w:pStyle w:val="FootnoteText"/>
      </w:pPr>
      <w:r>
        <w:rPr>
          <w:rStyle w:val="FootnoteReference"/>
        </w:rPr>
        <w:footnoteRef/>
      </w:r>
      <w:r>
        <w:t xml:space="preserve"> </w:t>
      </w:r>
      <w:r>
        <w:tab/>
        <w:t>SFG, M</w:t>
      </w:r>
      <w:r w:rsidRPr="005406E2">
        <w:t>arket risk premium</w:t>
      </w:r>
      <w:r w:rsidRPr="00B8336D">
        <w:rPr>
          <w:rStyle w:val="AERtextitalic"/>
        </w:rPr>
        <w:t>: An updated assessment and the derivation of conditio</w:t>
      </w:r>
      <w:r>
        <w:rPr>
          <w:rStyle w:val="AERtextitalic"/>
        </w:rPr>
        <w:t>nal and unconditional estimates:</w:t>
      </w:r>
      <w:r w:rsidRPr="00B8336D">
        <w:rPr>
          <w:rStyle w:val="AERtextitalic"/>
        </w:rPr>
        <w:t xml:space="preserve"> Report for the Victorian electricity distribution businesses</w:t>
      </w:r>
      <w:r>
        <w:t>, 20 February 2012, pp. 8–13, 26–30 (</w:t>
      </w:r>
      <w:r w:rsidRPr="004D3C23">
        <w:t xml:space="preserve">SFG, </w:t>
      </w:r>
      <w:r w:rsidRPr="00B8336D">
        <w:rPr>
          <w:rStyle w:val="AERtextitalic"/>
        </w:rPr>
        <w:t>Conditional and unconditional MRP for the Vic DNSPs</w:t>
      </w:r>
      <w:r w:rsidRPr="004D3C23">
        <w:t>, February 2012</w:t>
      </w:r>
      <w:r>
        <w:t>).</w:t>
      </w:r>
    </w:p>
  </w:footnote>
  <w:footnote w:id="59">
    <w:p w:rsidR="006B0748" w:rsidRDefault="006B0748" w:rsidP="006B0748">
      <w:pPr>
        <w:pStyle w:val="FootnoteText"/>
      </w:pPr>
      <w:r>
        <w:rPr>
          <w:rStyle w:val="FootnoteReference"/>
        </w:rPr>
        <w:footnoteRef/>
      </w:r>
      <w:r>
        <w:t xml:space="preserve"> </w:t>
      </w:r>
      <w:r>
        <w:tab/>
        <w:t>Further, the appropriate measure of implied volatility is difficult to determine, with different measures (based on different underlying options) producing conflicting figures.</w:t>
      </w:r>
    </w:p>
  </w:footnote>
  <w:footnote w:id="60">
    <w:p w:rsidR="006B0748" w:rsidRDefault="006B0748" w:rsidP="006B0748">
      <w:pPr>
        <w:pStyle w:val="FootnoteText"/>
      </w:pPr>
      <w:r>
        <w:rPr>
          <w:rStyle w:val="FootnoteReference"/>
        </w:rPr>
        <w:footnoteRef/>
      </w:r>
      <w:r>
        <w:t xml:space="preserve"> </w:t>
      </w:r>
      <w:r>
        <w:tab/>
        <w:t xml:space="preserve">See discussions in AER, </w:t>
      </w:r>
      <w:r w:rsidRPr="004B302C">
        <w:rPr>
          <w:rStyle w:val="AERtextitalic"/>
        </w:rPr>
        <w:t xml:space="preserve">Draft decision: Envestra Ltd: Access arrangement proposal for the SA gas network </w:t>
      </w:r>
      <w:r w:rsidRPr="00DC560C">
        <w:rPr>
          <w:rStyle w:val="AERtextitalic"/>
        </w:rPr>
        <w:t>2011</w:t>
      </w:r>
      <w:r w:rsidRPr="00DC560C">
        <w:rPr>
          <w:rStyle w:val="AERtextitalic"/>
          <w:rFonts w:hint="eastAsia"/>
        </w:rPr>
        <w:t>–</w:t>
      </w:r>
      <w:r w:rsidRPr="00DC560C">
        <w:rPr>
          <w:rStyle w:val="AERtextitalic"/>
        </w:rPr>
        <w:t>2016</w:t>
      </w:r>
      <w:r w:rsidRPr="004B302C">
        <w:rPr>
          <w:rStyle w:val="AERtextitalic"/>
        </w:rPr>
        <w:t>,</w:t>
      </w:r>
      <w:r>
        <w:t xml:space="preserve"> 17 February 2011, pp. 282–283 (AER, </w:t>
      </w:r>
      <w:r w:rsidRPr="00B8336D">
        <w:rPr>
          <w:rStyle w:val="AERtextitalic"/>
        </w:rPr>
        <w:t>Draft decision: Envestra access arrangement SA</w:t>
      </w:r>
      <w:r>
        <w:t>, February 2011).</w:t>
      </w:r>
    </w:p>
  </w:footnote>
  <w:footnote w:id="61">
    <w:p w:rsidR="006B0748" w:rsidRDefault="006B0748" w:rsidP="006B0748">
      <w:pPr>
        <w:pStyle w:val="FootnoteText"/>
      </w:pPr>
      <w:r>
        <w:rPr>
          <w:rStyle w:val="FootnoteReference"/>
        </w:rPr>
        <w:footnoteRef/>
      </w:r>
      <w:r>
        <w:t xml:space="preserve"> </w:t>
      </w:r>
      <w:r>
        <w:tab/>
      </w:r>
      <w:proofErr w:type="gramStart"/>
      <w:r w:rsidRPr="008F287A">
        <w:t xml:space="preserve">McKenzie, and Partington, </w:t>
      </w:r>
      <w:r w:rsidRPr="008F287A">
        <w:rPr>
          <w:i/>
        </w:rPr>
        <w:t>Equity market risk premium</w:t>
      </w:r>
      <w:r w:rsidRPr="008F287A">
        <w:t>, 21 December 2011, p</w:t>
      </w:r>
      <w:r>
        <w:t>p. 30–31</w:t>
      </w:r>
      <w:r w:rsidRPr="008F287A">
        <w:t>.</w:t>
      </w:r>
      <w:proofErr w:type="gramEnd"/>
    </w:p>
  </w:footnote>
  <w:footnote w:id="62">
    <w:p w:rsidR="006B0748" w:rsidRDefault="006B0748" w:rsidP="006B0748">
      <w:pPr>
        <w:pStyle w:val="FootnoteText"/>
      </w:pPr>
      <w:r>
        <w:rPr>
          <w:rStyle w:val="FootnoteReference"/>
        </w:rPr>
        <w:footnoteRef/>
      </w:r>
      <w:r>
        <w:t xml:space="preserve"> </w:t>
      </w:r>
      <w:r>
        <w:tab/>
        <w:t xml:space="preserve">The AER considered </w:t>
      </w:r>
      <w:proofErr w:type="gramStart"/>
      <w:r>
        <w:t>these matter</w:t>
      </w:r>
      <w:proofErr w:type="gramEnd"/>
      <w:r>
        <w:t xml:space="preserve"> further in section B.2.6 of the draft decision.</w:t>
      </w:r>
    </w:p>
  </w:footnote>
  <w:footnote w:id="63">
    <w:p w:rsidR="006B0748" w:rsidRDefault="006B0748" w:rsidP="006B0748">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p.39.</w:t>
      </w:r>
      <w:proofErr w:type="gramEnd"/>
    </w:p>
  </w:footnote>
  <w:footnote w:id="64">
    <w:p w:rsidR="006B0748" w:rsidRDefault="006B0748" w:rsidP="006B0748">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pp. 42-44.</w:t>
      </w:r>
      <w:proofErr w:type="gramEnd"/>
    </w:p>
  </w:footnote>
  <w:footnote w:id="65">
    <w:p w:rsidR="006B0748" w:rsidRDefault="006B0748" w:rsidP="006B0748">
      <w:pPr>
        <w:pStyle w:val="FootnoteText"/>
      </w:pPr>
      <w:r>
        <w:rPr>
          <w:rStyle w:val="FootnoteReference"/>
        </w:rPr>
        <w:footnoteRef/>
      </w:r>
      <w:r>
        <w:t xml:space="preserve"> </w:t>
      </w:r>
      <w:r>
        <w:tab/>
      </w:r>
      <w:proofErr w:type="gramStart"/>
      <w:r w:rsidRPr="00F52532">
        <w:t xml:space="preserve">Multinet, </w:t>
      </w:r>
      <w:r w:rsidRPr="00F52532">
        <w:rPr>
          <w:rStyle w:val="AERtextitalic"/>
        </w:rPr>
        <w:t>Revised Access Arrangement Proposal</w:t>
      </w:r>
      <w:r w:rsidRPr="00F52532">
        <w:t xml:space="preserve">, 9 November 2012, </w:t>
      </w:r>
      <w:r w:rsidRPr="002A3113">
        <w:t>p.</w:t>
      </w:r>
      <w:r>
        <w:t>153.</w:t>
      </w:r>
      <w:proofErr w:type="gramEnd"/>
    </w:p>
  </w:footnote>
  <w:footnote w:id="66">
    <w:p w:rsidR="006B0748" w:rsidRDefault="006B0748" w:rsidP="006B0748">
      <w:pPr>
        <w:pStyle w:val="FootnoteText"/>
      </w:pPr>
      <w:r>
        <w:rPr>
          <w:rStyle w:val="FootnoteReference"/>
        </w:rPr>
        <w:footnoteRef/>
      </w:r>
      <w:r>
        <w:t xml:space="preserve"> </w:t>
      </w:r>
      <w:r>
        <w:tab/>
      </w:r>
      <w:r w:rsidRPr="00796E92">
        <w:t xml:space="preserve">Wright, </w:t>
      </w:r>
      <w:r w:rsidRPr="00E312B6">
        <w:rPr>
          <w:rStyle w:val="AERtextitalic"/>
        </w:rPr>
        <w:t>Review of risk free rate and cost of equity estimates</w:t>
      </w:r>
      <w:r w:rsidRPr="00796E92">
        <w:t>, October 2012</w:t>
      </w:r>
      <w:r>
        <w:t>, p.2.</w:t>
      </w:r>
    </w:p>
  </w:footnote>
  <w:footnote w:id="67">
    <w:p w:rsidR="006B0748" w:rsidRDefault="006B0748" w:rsidP="006B0748">
      <w:pPr>
        <w:pStyle w:val="FootnoteText"/>
      </w:pPr>
      <w:r>
        <w:rPr>
          <w:rStyle w:val="FootnoteReference"/>
        </w:rPr>
        <w:footnoteRef/>
      </w:r>
      <w:r>
        <w:t xml:space="preserve"> </w:t>
      </w:r>
      <w:r>
        <w:tab/>
      </w:r>
      <w:r w:rsidRPr="00434B29">
        <w:t xml:space="preserve">Ernst &amp; Young, </w:t>
      </w:r>
      <w:r w:rsidRPr="00434B29">
        <w:rPr>
          <w:rStyle w:val="AERtextitalic"/>
        </w:rPr>
        <w:t>Market evidence on the cost of equity: Victorian gas access arrangement review 2013-2017</w:t>
      </w:r>
      <w:r w:rsidRPr="00434B29">
        <w:t>, 8 November 2012</w:t>
      </w:r>
      <w:r>
        <w:t xml:space="preserve">, p. 7. </w:t>
      </w:r>
      <w:r w:rsidRPr="00796E92">
        <w:t xml:space="preserve">(Ernst &amp; Young, Market evidence on the cost of equity, November 2012) </w:t>
      </w:r>
    </w:p>
  </w:footnote>
  <w:footnote w:id="68">
    <w:p w:rsidR="006B0748" w:rsidRDefault="006B0748" w:rsidP="006B0748">
      <w:pPr>
        <w:pStyle w:val="FootnoteText"/>
      </w:pPr>
      <w:r>
        <w:rPr>
          <w:rStyle w:val="FootnoteReference"/>
        </w:rPr>
        <w:footnoteRef/>
      </w:r>
      <w:r>
        <w:t xml:space="preserve"> </w:t>
      </w:r>
      <w:r>
        <w:tab/>
      </w:r>
      <w:r w:rsidRPr="00F52532">
        <w:t xml:space="preserve">Multinet, </w:t>
      </w:r>
      <w:r w:rsidRPr="00F52532">
        <w:rPr>
          <w:rStyle w:val="AERtextitalic"/>
        </w:rPr>
        <w:t>Revised Access Arrangement Proposal</w:t>
      </w:r>
      <w:r w:rsidRPr="00F52532">
        <w:t>, 9 November 2012,</w:t>
      </w:r>
      <w:r w:rsidRPr="002A3113">
        <w:t xml:space="preserve"> p.</w:t>
      </w:r>
      <w:r>
        <w:t xml:space="preserve"> 139.</w:t>
      </w:r>
    </w:p>
  </w:footnote>
  <w:footnote w:id="69">
    <w:p w:rsidR="006B0748" w:rsidRDefault="006B0748" w:rsidP="006B0748">
      <w:pPr>
        <w:pStyle w:val="FootnoteText"/>
      </w:pPr>
      <w:r>
        <w:rPr>
          <w:rStyle w:val="FootnoteReference"/>
        </w:rPr>
        <w:footnoteRef/>
      </w:r>
      <w:r>
        <w:t xml:space="preserve"> </w:t>
      </w:r>
      <w:r>
        <w:tab/>
      </w:r>
      <w:r w:rsidRPr="00F52532">
        <w:t xml:space="preserve">Multinet, </w:t>
      </w:r>
      <w:r w:rsidRPr="00F52532">
        <w:rPr>
          <w:rStyle w:val="AERtextitalic"/>
        </w:rPr>
        <w:t>Revised Access Arrangement Proposal</w:t>
      </w:r>
      <w:r w:rsidRPr="00F52532">
        <w:t xml:space="preserve">, 9 November 2012, </w:t>
      </w:r>
      <w:r w:rsidRPr="002A3113">
        <w:t>p.</w:t>
      </w:r>
      <w:r>
        <w:t xml:space="preserve"> 137.</w:t>
      </w:r>
    </w:p>
  </w:footnote>
  <w:footnote w:id="70">
    <w:p w:rsidR="006B0748" w:rsidRDefault="006B0748" w:rsidP="006B0748">
      <w:pPr>
        <w:pStyle w:val="FootnoteText"/>
      </w:pPr>
      <w:r>
        <w:rPr>
          <w:rStyle w:val="FootnoteReference"/>
        </w:rPr>
        <w:footnoteRef/>
      </w:r>
      <w:r>
        <w:t xml:space="preserve"> </w:t>
      </w:r>
      <w:r>
        <w:tab/>
      </w:r>
      <w:proofErr w:type="gramStart"/>
      <w:r w:rsidRPr="00796E92">
        <w:t xml:space="preserve">Lally, </w:t>
      </w:r>
      <w:r w:rsidRPr="00E312B6">
        <w:rPr>
          <w:rStyle w:val="AERtextitalic"/>
        </w:rPr>
        <w:t>The present value principle</w:t>
      </w:r>
      <w:r w:rsidRPr="00796E92">
        <w:t>, March 2013</w:t>
      </w:r>
      <w:r>
        <w:t>, pp. 5-6.</w:t>
      </w:r>
      <w:proofErr w:type="gramEnd"/>
    </w:p>
  </w:footnote>
  <w:footnote w:id="71">
    <w:p w:rsidR="006B0748" w:rsidRDefault="006B0748" w:rsidP="006B0748">
      <w:pPr>
        <w:pStyle w:val="FootnoteText"/>
      </w:pPr>
      <w:r>
        <w:rPr>
          <w:rStyle w:val="FootnoteReference"/>
        </w:rPr>
        <w:footnoteRef/>
      </w:r>
      <w:r>
        <w:t xml:space="preserve"> </w:t>
      </w:r>
      <w:r>
        <w:tab/>
        <w:t xml:space="preserve">See appendix sections </w:t>
      </w:r>
      <w:r w:rsidR="009B2237">
        <w:fldChar w:fldCharType="begin"/>
      </w:r>
      <w:r>
        <w:instrText xml:space="preserve"> REF _Ref350266600 \r \h </w:instrText>
      </w:r>
      <w:r w:rsidR="009B2237">
        <w:fldChar w:fldCharType="separate"/>
      </w:r>
      <w:r>
        <w:t>A.4.2</w:t>
      </w:r>
      <w:r w:rsidR="009B2237">
        <w:fldChar w:fldCharType="end"/>
      </w:r>
      <w:r>
        <w:t xml:space="preserve"> and </w:t>
      </w:r>
      <w:r w:rsidR="009B2237">
        <w:fldChar w:fldCharType="begin"/>
      </w:r>
      <w:r>
        <w:instrText xml:space="preserve"> REF _Ref350891510 \r \h </w:instrText>
      </w:r>
      <w:r w:rsidR="009B2237">
        <w:fldChar w:fldCharType="separate"/>
      </w:r>
      <w:r>
        <w:t>A.3.5</w:t>
      </w:r>
      <w:r w:rsidR="009B2237">
        <w:fldChar w:fldCharType="end"/>
      </w:r>
      <w:r>
        <w:t xml:space="preserve">. </w:t>
      </w:r>
    </w:p>
  </w:footnote>
  <w:footnote w:id="72">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Attachments, p. 90. </w:t>
      </w:r>
    </w:p>
  </w:footnote>
  <w:footnote w:id="73">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pp. 167-168. </w:t>
      </w:r>
    </w:p>
  </w:footnote>
  <w:footnote w:id="74">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pp. 167-168. </w:t>
      </w:r>
    </w:p>
  </w:footnote>
  <w:footnote w:id="75">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pp. 47-51. </w:t>
      </w:r>
    </w:p>
  </w:footnote>
  <w:footnote w:id="76">
    <w:p w:rsidR="006B0748" w:rsidRDefault="006B0748" w:rsidP="006B0748">
      <w:pPr>
        <w:pStyle w:val="FootnoteText"/>
      </w:pPr>
      <w:r>
        <w:rPr>
          <w:rStyle w:val="FootnoteReference"/>
        </w:rPr>
        <w:footnoteRef/>
      </w:r>
      <w:r>
        <w:t xml:space="preserve"> </w:t>
      </w:r>
      <w:r>
        <w:tab/>
      </w:r>
      <w:r w:rsidRPr="001753A4">
        <w:t xml:space="preserve">M. Lally, </w:t>
      </w:r>
      <w:r w:rsidRPr="00A06EEA">
        <w:t>The risk free rate and the present value principle</w:t>
      </w:r>
      <w:r w:rsidRPr="001753A4">
        <w:t>, 22 August 2012</w:t>
      </w:r>
      <w:r>
        <w:t xml:space="preserve">, p. 3. </w:t>
      </w:r>
    </w:p>
  </w:footnote>
  <w:footnote w:id="77">
    <w:p w:rsidR="006B0748" w:rsidRDefault="006B0748" w:rsidP="006B0748">
      <w:pPr>
        <w:pStyle w:val="FootnoteText"/>
      </w:pPr>
      <w:r>
        <w:rPr>
          <w:rStyle w:val="FootnoteReference"/>
        </w:rPr>
        <w:footnoteRef/>
      </w:r>
      <w:r>
        <w:t xml:space="preserve"> </w:t>
      </w:r>
      <w:r>
        <w:tab/>
      </w:r>
      <w:r w:rsidRPr="00CC6857">
        <w:t xml:space="preserve">S. Wright, </w:t>
      </w:r>
      <w:r w:rsidRPr="00CC6857">
        <w:rPr>
          <w:rStyle w:val="AERtextitalic"/>
        </w:rPr>
        <w:t>Response to Professor Lally’s analysis</w:t>
      </w:r>
      <w:r w:rsidRPr="00CC6857">
        <w:t>, 2 November 2012</w:t>
      </w:r>
      <w:r>
        <w:t xml:space="preserve">, p. 2; Note that Lally considers also the material on the present value principle submitted by Multinet in his report: </w:t>
      </w:r>
      <w:r w:rsidRPr="00796E92">
        <w:t xml:space="preserve">Lally, </w:t>
      </w:r>
      <w:r w:rsidRPr="00E312B6">
        <w:rPr>
          <w:rStyle w:val="AERtextitalic"/>
        </w:rPr>
        <w:t>The present value principle</w:t>
      </w:r>
      <w:r w:rsidRPr="00796E92">
        <w:t>, March 2013</w:t>
      </w:r>
    </w:p>
  </w:footnote>
  <w:footnote w:id="78">
    <w:p w:rsidR="006B0748" w:rsidRDefault="006B0748" w:rsidP="006B0748">
      <w:pPr>
        <w:pStyle w:val="FootnoteText"/>
      </w:pPr>
      <w:r>
        <w:rPr>
          <w:rStyle w:val="FootnoteReference"/>
        </w:rPr>
        <w:footnoteRef/>
      </w:r>
      <w:r>
        <w:t xml:space="preserve"> </w:t>
      </w:r>
      <w:r>
        <w:tab/>
      </w:r>
      <w:proofErr w:type="gramStart"/>
      <w:r w:rsidRPr="00A06EEA">
        <w:t xml:space="preserve">Lally, </w:t>
      </w:r>
      <w:r w:rsidRPr="00A06EEA">
        <w:rPr>
          <w:rStyle w:val="AERtextitalic"/>
        </w:rPr>
        <w:t>The present value principle</w:t>
      </w:r>
      <w:r w:rsidRPr="00A06EEA">
        <w:t xml:space="preserve">, </w:t>
      </w:r>
      <w:r w:rsidRPr="00796E92">
        <w:t>March 2013</w:t>
      </w:r>
      <w:r>
        <w:t>, p. 16.</w:t>
      </w:r>
      <w:proofErr w:type="gramEnd"/>
    </w:p>
  </w:footnote>
  <w:footnote w:id="79">
    <w:p w:rsidR="006B0748" w:rsidRDefault="006B0748" w:rsidP="006B0748">
      <w:pPr>
        <w:pStyle w:val="FootnoteText"/>
      </w:pPr>
      <w:r>
        <w:rPr>
          <w:rStyle w:val="FootnoteReference"/>
        </w:rPr>
        <w:footnoteRef/>
      </w:r>
      <w:r>
        <w:t xml:space="preserve"> </w:t>
      </w:r>
      <w:r>
        <w:tab/>
      </w:r>
      <w:proofErr w:type="gramStart"/>
      <w:r w:rsidRPr="00A06EEA">
        <w:t xml:space="preserve">Lally, </w:t>
      </w:r>
      <w:r w:rsidRPr="00A06EEA">
        <w:rPr>
          <w:rStyle w:val="AERtextitalic"/>
        </w:rPr>
        <w:t>The present value principle</w:t>
      </w:r>
      <w:r w:rsidRPr="00A06EEA">
        <w:t xml:space="preserve">, </w:t>
      </w:r>
      <w:r>
        <w:t>March</w:t>
      </w:r>
      <w:r w:rsidRPr="00A06EEA">
        <w:t xml:space="preserve"> 2013</w:t>
      </w:r>
      <w:r>
        <w:t>, pp. 16-17.</w:t>
      </w:r>
      <w:proofErr w:type="gramEnd"/>
    </w:p>
  </w:footnote>
  <w:footnote w:id="80">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49. </w:t>
      </w:r>
    </w:p>
  </w:footnote>
  <w:footnote w:id="81">
    <w:p w:rsidR="006B0748" w:rsidRDefault="006B0748" w:rsidP="006B0748">
      <w:pPr>
        <w:pStyle w:val="FootnoteText"/>
      </w:pPr>
      <w:r>
        <w:rPr>
          <w:rStyle w:val="FootnoteReference"/>
        </w:rPr>
        <w:footnoteRef/>
      </w:r>
      <w:r>
        <w:t xml:space="preserve"> </w:t>
      </w:r>
      <w:r>
        <w:tab/>
      </w:r>
      <w:proofErr w:type="gramStart"/>
      <w:r w:rsidRPr="00A06EEA">
        <w:t xml:space="preserve">Lally, </w:t>
      </w:r>
      <w:r w:rsidRPr="00E34B12">
        <w:rPr>
          <w:rStyle w:val="AERtextitalic"/>
        </w:rPr>
        <w:t>The present value principle</w:t>
      </w:r>
      <w:r w:rsidRPr="00A06EEA">
        <w:t xml:space="preserve">, </w:t>
      </w:r>
      <w:r>
        <w:t>March</w:t>
      </w:r>
      <w:r w:rsidRPr="00A06EEA">
        <w:t xml:space="preserve"> 2013</w:t>
      </w:r>
      <w:r>
        <w:t>, p.13.</w:t>
      </w:r>
      <w:proofErr w:type="gramEnd"/>
      <w:r>
        <w:t xml:space="preserve"> </w:t>
      </w:r>
    </w:p>
  </w:footnote>
  <w:footnote w:id="82">
    <w:p w:rsidR="006B0748" w:rsidRDefault="006B0748" w:rsidP="006B0748">
      <w:pPr>
        <w:pStyle w:val="FootnoteText"/>
      </w:pPr>
      <w:r>
        <w:rPr>
          <w:rStyle w:val="FootnoteReference"/>
        </w:rPr>
        <w:footnoteRef/>
      </w:r>
      <w:r>
        <w:t xml:space="preserve"> </w:t>
      </w:r>
      <w:r>
        <w:tab/>
        <w:t>NGR r. 76</w:t>
      </w:r>
    </w:p>
  </w:footnote>
  <w:footnote w:id="83">
    <w:p w:rsidR="006B0748" w:rsidRDefault="006B0748" w:rsidP="006B0748">
      <w:pPr>
        <w:pStyle w:val="FootnoteText"/>
      </w:pPr>
      <w:r>
        <w:rPr>
          <w:rStyle w:val="FootnoteReference"/>
        </w:rPr>
        <w:footnoteRef/>
      </w:r>
      <w:r>
        <w:t xml:space="preserve"> </w:t>
      </w:r>
      <w:r>
        <w:tab/>
      </w:r>
      <w:r w:rsidRPr="00A836DB">
        <w:t xml:space="preserve">Biggar, D., </w:t>
      </w:r>
      <w:r w:rsidRPr="00A836DB">
        <w:rPr>
          <w:rStyle w:val="AERtextitalic"/>
        </w:rPr>
        <w:t xml:space="preserve">Public utility regulation in Australia: Where have we got to? </w:t>
      </w:r>
      <w:proofErr w:type="gramStart"/>
      <w:r w:rsidRPr="00A836DB">
        <w:rPr>
          <w:rStyle w:val="AERtextitalic"/>
        </w:rPr>
        <w:t>Where should we be going, Working paper no. 4, ACCC/AER working paper series</w:t>
      </w:r>
      <w:r w:rsidRPr="00A836DB">
        <w:t>, July 2011.</w:t>
      </w:r>
      <w:proofErr w:type="gramEnd"/>
    </w:p>
  </w:footnote>
  <w:footnote w:id="84">
    <w:p w:rsidR="006B0748" w:rsidRDefault="006B0748" w:rsidP="006B0748">
      <w:pPr>
        <w:pStyle w:val="FootnoteText"/>
      </w:pPr>
      <w:r>
        <w:rPr>
          <w:rStyle w:val="FootnoteReference"/>
        </w:rPr>
        <w:footnoteRef/>
      </w:r>
      <w:r>
        <w:t xml:space="preserve"> </w:t>
      </w:r>
      <w:r>
        <w:tab/>
      </w:r>
      <w:r w:rsidRPr="0076371A">
        <w:t xml:space="preserve">Biggar, D., </w:t>
      </w:r>
      <w:r w:rsidRPr="0076371A">
        <w:rPr>
          <w:rStyle w:val="AERtextitalic"/>
        </w:rPr>
        <w:t>Public utility regulation in Australia: Where have we got to? Where should we be going, Working paper no. 4, ACCC/AER working paper series</w:t>
      </w:r>
      <w:r w:rsidRPr="0076371A">
        <w:t xml:space="preserve">, July 2011, p. 58. A similar description of the building block model supported by more detailed analysis can be found in Biggar, D., </w:t>
      </w:r>
      <w:r w:rsidRPr="0076371A">
        <w:rPr>
          <w:rStyle w:val="AERtextitalic"/>
        </w:rPr>
        <w:t>Incentive regulation and th</w:t>
      </w:r>
      <w:r>
        <w:rPr>
          <w:rStyle w:val="AERtextitalic"/>
        </w:rPr>
        <w:t>e</w:t>
      </w:r>
      <w:r w:rsidRPr="0076371A">
        <w:rPr>
          <w:rStyle w:val="AERtextitalic"/>
        </w:rPr>
        <w:t xml:space="preserve"> building block model</w:t>
      </w:r>
      <w:r w:rsidRPr="0076371A">
        <w:t>, 28 May 2004, pp. 2-21, accessed on 27 August 2012, &lt;</w:t>
      </w:r>
      <w:hyperlink r:id="rId1" w:history="1">
        <w:r w:rsidRPr="0076371A">
          <w:rPr>
            <w:rStyle w:val="Hyperlink"/>
          </w:rPr>
          <w:t>http://editorialexpress.com/cgi-bin/conference/download.cgi?db_name=ACE2004&amp;paper_id=133</w:t>
        </w:r>
      </w:hyperlink>
      <w:r w:rsidRPr="0076371A">
        <w:t>&gt;.</w:t>
      </w:r>
    </w:p>
  </w:footnote>
  <w:footnote w:id="85">
    <w:p w:rsidR="006B0748" w:rsidRDefault="006B0748" w:rsidP="006B0748">
      <w:pPr>
        <w:pStyle w:val="FootnoteText"/>
      </w:pPr>
      <w:r>
        <w:rPr>
          <w:rStyle w:val="FootnoteReference"/>
        </w:rPr>
        <w:footnoteRef/>
      </w:r>
      <w:r>
        <w:t xml:space="preserve"> </w:t>
      </w:r>
      <w:r>
        <w:tab/>
      </w:r>
      <w:proofErr w:type="gramStart"/>
      <w:r>
        <w:t xml:space="preserve">Lally, </w:t>
      </w:r>
      <w:r w:rsidRPr="00FA152C">
        <w:rPr>
          <w:rStyle w:val="AERtextitalic"/>
        </w:rPr>
        <w:t>The risk free rate and the present value principle</w:t>
      </w:r>
      <w:r>
        <w:t>, August 2012, p. 8.</w:t>
      </w:r>
      <w:proofErr w:type="gramEnd"/>
      <w:r>
        <w:t xml:space="preserve"> </w:t>
      </w:r>
    </w:p>
  </w:footnote>
  <w:footnote w:id="86">
    <w:p w:rsidR="006B0748" w:rsidRDefault="006B0748" w:rsidP="006B0748">
      <w:pPr>
        <w:pStyle w:val="FootnoteText"/>
      </w:pPr>
      <w:r>
        <w:rPr>
          <w:rStyle w:val="FootnoteReference"/>
        </w:rPr>
        <w:footnoteRef/>
      </w:r>
      <w:r>
        <w:t xml:space="preserve"> </w:t>
      </w:r>
      <w:r>
        <w:tab/>
      </w:r>
      <w:proofErr w:type="gramStart"/>
      <w:r>
        <w:t xml:space="preserve">Lally, </w:t>
      </w:r>
      <w:r w:rsidRPr="00FA152C">
        <w:rPr>
          <w:rStyle w:val="AERtextitalic"/>
        </w:rPr>
        <w:t>The risk free rate and the present value principle</w:t>
      </w:r>
      <w:r>
        <w:t>, August 2012, p. 8.</w:t>
      </w:r>
      <w:proofErr w:type="gramEnd"/>
    </w:p>
  </w:footnote>
  <w:footnote w:id="87">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rsidRPr="004F7E92">
        <w:t>, p</w:t>
      </w:r>
      <w:r>
        <w:t xml:space="preserve">. 137. </w:t>
      </w:r>
    </w:p>
  </w:footnote>
  <w:footnote w:id="88">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 132; </w:t>
      </w:r>
      <w:r w:rsidRPr="000F070F">
        <w:t xml:space="preserve">CEG, </w:t>
      </w:r>
      <w:r w:rsidRPr="000F070F">
        <w:rPr>
          <w:rStyle w:val="AERtextitalic"/>
        </w:rPr>
        <w:t>Update to March 2012 Report</w:t>
      </w:r>
      <w:r w:rsidRPr="000F070F">
        <w:t>, November 2012</w:t>
      </w:r>
      <w:r>
        <w:t xml:space="preserve">, p. 5; </w:t>
      </w:r>
      <w:r w:rsidRPr="000F070F">
        <w:t xml:space="preserve">Gregory, </w:t>
      </w:r>
      <w:r w:rsidRPr="000F070F">
        <w:rPr>
          <w:rStyle w:val="AERtextitalic"/>
        </w:rPr>
        <w:t>The AER approach</w:t>
      </w:r>
      <w:r w:rsidRPr="000F070F">
        <w:t>, November 2012</w:t>
      </w:r>
      <w:r>
        <w:t xml:space="preserve">, p. 3; </w:t>
      </w:r>
      <w:r w:rsidRPr="000F070F">
        <w:t xml:space="preserve">Wright, </w:t>
      </w:r>
      <w:r w:rsidRPr="003A1CA5">
        <w:rPr>
          <w:rStyle w:val="AERtextitalic"/>
        </w:rPr>
        <w:t>Review of risk free rate and cost of equity estimates</w:t>
      </w:r>
      <w:r w:rsidRPr="000F070F">
        <w:t>, October 2012</w:t>
      </w:r>
      <w:r>
        <w:t xml:space="preserve">, p. 2; </w:t>
      </w:r>
      <w:r w:rsidRPr="003A1CA5">
        <w:t xml:space="preserve">SFG, </w:t>
      </w:r>
      <w:r w:rsidRPr="003A1CA5">
        <w:rPr>
          <w:rStyle w:val="AERtextitalic"/>
        </w:rPr>
        <w:t>The required return on equity</w:t>
      </w:r>
      <w:r w:rsidRPr="003A1CA5">
        <w:t>, November 2012</w:t>
      </w:r>
      <w:r>
        <w:t xml:space="preserve">, p. 2; </w:t>
      </w:r>
      <w:r w:rsidRPr="003A1CA5">
        <w:t xml:space="preserve">NERA, </w:t>
      </w:r>
      <w:r w:rsidRPr="003A1CA5">
        <w:rPr>
          <w:rStyle w:val="AERtextitalic"/>
        </w:rPr>
        <w:t>Estimating the Cost of Equity under the CAPM</w:t>
      </w:r>
      <w:r w:rsidRPr="003A1CA5">
        <w:t>, November 2012</w:t>
      </w:r>
      <w:r>
        <w:t xml:space="preserve">, p. 5. </w:t>
      </w:r>
    </w:p>
  </w:footnote>
  <w:footnote w:id="89">
    <w:p w:rsidR="006B0748" w:rsidRDefault="006B0748" w:rsidP="006B0748">
      <w:pPr>
        <w:pStyle w:val="FootnoteText"/>
      </w:pPr>
      <w:r>
        <w:rPr>
          <w:rStyle w:val="FootnoteReference"/>
        </w:rPr>
        <w:footnoteRef/>
      </w:r>
      <w:r>
        <w:t xml:space="preserve"> </w:t>
      </w:r>
      <w:r>
        <w:tab/>
        <w:t xml:space="preserve">See, </w:t>
      </w:r>
      <w:r w:rsidRPr="00C84A30">
        <w:t xml:space="preserve">Lally, </w:t>
      </w:r>
      <w:r w:rsidRPr="00E312B6">
        <w:rPr>
          <w:rStyle w:val="AERtextitalic"/>
        </w:rPr>
        <w:t>Review of the AER</w:t>
      </w:r>
      <w:r w:rsidRPr="00E312B6">
        <w:rPr>
          <w:rStyle w:val="AERtextitalic"/>
          <w:rFonts w:hint="eastAsia"/>
        </w:rPr>
        <w:t>’</w:t>
      </w:r>
      <w:r w:rsidRPr="00E312B6">
        <w:rPr>
          <w:rStyle w:val="AERtextitalic"/>
        </w:rPr>
        <w:t>s methodology</w:t>
      </w:r>
      <w:r w:rsidRPr="00C84A30">
        <w:t xml:space="preserve">, </w:t>
      </w:r>
      <w:r>
        <w:t>March</w:t>
      </w:r>
      <w:r w:rsidRPr="00C84A30">
        <w:t xml:space="preserve"> 2013</w:t>
      </w:r>
      <w:r>
        <w:t xml:space="preserve">, p. 24. </w:t>
      </w:r>
    </w:p>
  </w:footnote>
  <w:footnote w:id="90">
    <w:p w:rsidR="006B0748" w:rsidRDefault="006B0748" w:rsidP="006B0748">
      <w:pPr>
        <w:pStyle w:val="FootnoteText"/>
      </w:pPr>
      <w:r>
        <w:rPr>
          <w:rStyle w:val="FootnoteReference"/>
        </w:rPr>
        <w:footnoteRef/>
      </w:r>
      <w:r>
        <w:t xml:space="preserve"> </w:t>
      </w:r>
      <w:r>
        <w:tab/>
      </w:r>
      <w:r w:rsidRPr="00C84A30">
        <w:t xml:space="preserve">McKenzie and Partington, </w:t>
      </w:r>
      <w:r w:rsidRPr="00E312B6">
        <w:rPr>
          <w:rStyle w:val="AERtextitalic"/>
        </w:rPr>
        <w:t>Review of the AER</w:t>
      </w:r>
      <w:r w:rsidRPr="00E312B6">
        <w:rPr>
          <w:rStyle w:val="AERtextitalic"/>
          <w:rFonts w:hint="eastAsia"/>
        </w:rPr>
        <w:t>’</w:t>
      </w:r>
      <w:r w:rsidRPr="00E312B6">
        <w:rPr>
          <w:rStyle w:val="AERtextitalic"/>
        </w:rPr>
        <w:t>s overall approach</w:t>
      </w:r>
      <w:r w:rsidRPr="00C84A30">
        <w:t>, February 2013</w:t>
      </w:r>
      <w:r>
        <w:t xml:space="preserve">, p. 31. </w:t>
      </w:r>
    </w:p>
  </w:footnote>
  <w:footnote w:id="91">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7. </w:t>
      </w:r>
    </w:p>
  </w:footnote>
  <w:footnote w:id="92">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pp. 6-10</w:t>
      </w:r>
    </w:p>
  </w:footnote>
  <w:footnote w:id="93">
    <w:p w:rsidR="006B0748" w:rsidRDefault="006B0748" w:rsidP="006B0748">
      <w:pPr>
        <w:pStyle w:val="FootnoteText"/>
      </w:pPr>
      <w:r>
        <w:rPr>
          <w:rStyle w:val="FootnoteReference"/>
        </w:rPr>
        <w:footnoteRef/>
      </w:r>
      <w:r>
        <w:t xml:space="preserve"> </w:t>
      </w:r>
      <w:r>
        <w:tab/>
      </w:r>
      <w:proofErr w:type="gramStart"/>
      <w:r w:rsidRPr="007F1872">
        <w:t xml:space="preserve">Lally, </w:t>
      </w:r>
      <w:r w:rsidRPr="007F1872">
        <w:rPr>
          <w:rStyle w:val="AERtextitalic"/>
        </w:rPr>
        <w:t>The present value principle</w:t>
      </w:r>
      <w:r w:rsidRPr="007F1872">
        <w:t xml:space="preserve">, </w:t>
      </w:r>
      <w:r>
        <w:t>March</w:t>
      </w:r>
      <w:r w:rsidRPr="007F1872">
        <w:t xml:space="preserve"> 2013</w:t>
      </w:r>
      <w:r>
        <w:t>, p.6.</w:t>
      </w:r>
      <w:proofErr w:type="gramEnd"/>
      <w:r>
        <w:t xml:space="preserve"> </w:t>
      </w:r>
      <w:proofErr w:type="gramStart"/>
      <w:r>
        <w:t>Rf</w:t>
      </w:r>
      <w:proofErr w:type="gramEnd"/>
      <w:r>
        <w:t xml:space="preserve"> represents the risk free rate. Rm represents the expected return on the market. </w:t>
      </w:r>
      <w:proofErr w:type="gramStart"/>
      <w:r>
        <w:t>Ri</w:t>
      </w:r>
      <w:proofErr w:type="gramEnd"/>
      <w:r>
        <w:t xml:space="preserve"> represents the expected return on the investment. </w:t>
      </w:r>
    </w:p>
  </w:footnote>
  <w:footnote w:id="94">
    <w:p w:rsidR="006B0748" w:rsidRDefault="006B0748" w:rsidP="006B0748">
      <w:pPr>
        <w:pStyle w:val="FootnoteText"/>
      </w:pPr>
      <w:r>
        <w:rPr>
          <w:rStyle w:val="FootnoteReference"/>
        </w:rPr>
        <w:footnoteRef/>
      </w:r>
      <w:r>
        <w:t xml:space="preserve"> </w:t>
      </w:r>
      <w:r>
        <w:tab/>
      </w:r>
      <w:proofErr w:type="gramStart"/>
      <w:r w:rsidRPr="007F1872">
        <w:t xml:space="preserve">Lally, </w:t>
      </w:r>
      <w:r w:rsidRPr="007F1872">
        <w:rPr>
          <w:rStyle w:val="AERtextitalic"/>
        </w:rPr>
        <w:t>The present value principle</w:t>
      </w:r>
      <w:r w:rsidRPr="007F1872">
        <w:t xml:space="preserve">, </w:t>
      </w:r>
      <w:r>
        <w:t>March</w:t>
      </w:r>
      <w:r w:rsidRPr="007F1872">
        <w:t xml:space="preserve"> 2013</w:t>
      </w:r>
      <w:r>
        <w:t>, pp. 7-8.</w:t>
      </w:r>
      <w:proofErr w:type="gramEnd"/>
      <w:r>
        <w:t xml:space="preserve"> </w:t>
      </w:r>
    </w:p>
  </w:footnote>
  <w:footnote w:id="95">
    <w:p w:rsidR="006B0748" w:rsidRDefault="006B0748" w:rsidP="006B0748">
      <w:pPr>
        <w:pStyle w:val="FootnoteText"/>
      </w:pPr>
      <w:r>
        <w:rPr>
          <w:rStyle w:val="FootnoteReference"/>
        </w:rPr>
        <w:footnoteRef/>
      </w:r>
      <w:r>
        <w:t xml:space="preserve"> </w:t>
      </w:r>
      <w:r>
        <w:tab/>
      </w:r>
      <w:proofErr w:type="gramStart"/>
      <w:r w:rsidRPr="007F1872">
        <w:t xml:space="preserve">Lally, </w:t>
      </w:r>
      <w:r w:rsidRPr="007F1872">
        <w:rPr>
          <w:rStyle w:val="AERtextitalic"/>
        </w:rPr>
        <w:t>The present value principle</w:t>
      </w:r>
      <w:r w:rsidRPr="007F1872">
        <w:t xml:space="preserve">, </w:t>
      </w:r>
      <w:r>
        <w:t>March</w:t>
      </w:r>
      <w:r w:rsidRPr="007F1872" w:rsidDel="000F799D">
        <w:t xml:space="preserve"> </w:t>
      </w:r>
      <w:r w:rsidRPr="007F1872">
        <w:t>2013</w:t>
      </w:r>
      <w:r>
        <w:t>, p. 10.</w:t>
      </w:r>
      <w:proofErr w:type="gramEnd"/>
      <w:r>
        <w:t xml:space="preserve"> </w:t>
      </w:r>
    </w:p>
  </w:footnote>
  <w:footnote w:id="96">
    <w:p w:rsidR="006B0748" w:rsidRDefault="006B0748" w:rsidP="006B0748">
      <w:pPr>
        <w:pStyle w:val="FootnoteText"/>
      </w:pPr>
      <w:r>
        <w:rPr>
          <w:rStyle w:val="FootnoteReference"/>
        </w:rPr>
        <w:footnoteRef/>
      </w:r>
      <w:r>
        <w:t xml:space="preserve"> </w:t>
      </w:r>
      <w:r>
        <w:tab/>
      </w:r>
      <w:r w:rsidRPr="004F7E92">
        <w:t xml:space="preserve">A. Gregory, </w:t>
      </w:r>
      <w:r w:rsidRPr="00D72183">
        <w:rPr>
          <w:rStyle w:val="AERtextitalic"/>
        </w:rPr>
        <w:t>The risk free rate and the present value principle</w:t>
      </w:r>
      <w:r w:rsidRPr="004F7E92">
        <w:t>, 5 November 2012</w:t>
      </w:r>
      <w:r>
        <w:t xml:space="preserve">, p. 5. </w:t>
      </w:r>
    </w:p>
  </w:footnote>
  <w:footnote w:id="97">
    <w:p w:rsidR="006B0748" w:rsidRDefault="006B0748" w:rsidP="006B0748">
      <w:pPr>
        <w:pStyle w:val="FootnoteText"/>
      </w:pPr>
      <w:r>
        <w:rPr>
          <w:rStyle w:val="FootnoteReference"/>
        </w:rPr>
        <w:footnoteRef/>
      </w:r>
      <w:r>
        <w:t xml:space="preserve"> </w:t>
      </w:r>
      <w:r>
        <w:tab/>
      </w:r>
      <w:proofErr w:type="gramStart"/>
      <w:r w:rsidRPr="004F7E92">
        <w:t xml:space="preserve">Lally, </w:t>
      </w:r>
      <w:r w:rsidRPr="00D72183">
        <w:rPr>
          <w:rStyle w:val="AERtextitalic"/>
        </w:rPr>
        <w:t>The present value principle</w:t>
      </w:r>
      <w:r w:rsidRPr="004F7E92">
        <w:t xml:space="preserve">, </w:t>
      </w:r>
      <w:r>
        <w:t>March</w:t>
      </w:r>
      <w:r w:rsidRPr="004F7E92">
        <w:t xml:space="preserve"> 2013</w:t>
      </w:r>
      <w:r>
        <w:t>, p. 16.</w:t>
      </w:r>
      <w:proofErr w:type="gramEnd"/>
    </w:p>
  </w:footnote>
  <w:footnote w:id="98">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 137. For further consideration see: </w:t>
      </w:r>
      <w:r w:rsidRPr="004F7E92">
        <w:t xml:space="preserve">Lally, </w:t>
      </w:r>
      <w:r w:rsidRPr="00D72183">
        <w:rPr>
          <w:rStyle w:val="AERtextitalic"/>
        </w:rPr>
        <w:t>The present value principle</w:t>
      </w:r>
      <w:r w:rsidRPr="004F7E92">
        <w:t xml:space="preserve">, </w:t>
      </w:r>
      <w:r>
        <w:t>March</w:t>
      </w:r>
      <w:r w:rsidRPr="004F7E92">
        <w:t xml:space="preserve"> 2013</w:t>
      </w:r>
      <w:r>
        <w:t xml:space="preserve">, p. 16; </w:t>
      </w:r>
      <w:r w:rsidRPr="004F7E92">
        <w:t xml:space="preserve">A. Gregory, </w:t>
      </w:r>
      <w:r w:rsidRPr="00D72183">
        <w:rPr>
          <w:rStyle w:val="AERtextitalic"/>
        </w:rPr>
        <w:t>The risk free rate and the present value principle</w:t>
      </w:r>
      <w:r w:rsidRPr="004F7E92">
        <w:t>, 5 November 2012</w:t>
      </w:r>
      <w:r>
        <w:t>, p. 5.</w:t>
      </w:r>
    </w:p>
  </w:footnote>
  <w:footnote w:id="99">
    <w:p w:rsidR="006B0748" w:rsidRDefault="006B0748" w:rsidP="006B0748">
      <w:pPr>
        <w:pStyle w:val="FootnoteText"/>
      </w:pPr>
      <w:r>
        <w:rPr>
          <w:rStyle w:val="FootnoteReference"/>
        </w:rPr>
        <w:footnoteRef/>
      </w:r>
      <w:r>
        <w:t xml:space="preserve"> </w:t>
      </w:r>
      <w:r>
        <w:tab/>
      </w:r>
      <w:r w:rsidRPr="00A13631">
        <w:t xml:space="preserve">CEG, </w:t>
      </w:r>
      <w:r w:rsidRPr="00A13631">
        <w:rPr>
          <w:rStyle w:val="AERtextitalic"/>
        </w:rPr>
        <w:t>Response to the AER Vic gas draft decisions</w:t>
      </w:r>
      <w:r w:rsidRPr="00A13631">
        <w:t>, November 2012</w:t>
      </w:r>
      <w:r>
        <w:t xml:space="preserve">, p. 6.  </w:t>
      </w:r>
    </w:p>
  </w:footnote>
  <w:footnote w:id="100">
    <w:p w:rsidR="006B0748" w:rsidRDefault="006B0748" w:rsidP="006B0748">
      <w:pPr>
        <w:pStyle w:val="FootnoteText"/>
      </w:pPr>
      <w:r>
        <w:rPr>
          <w:rStyle w:val="FootnoteReference"/>
        </w:rPr>
        <w:footnoteRef/>
      </w:r>
      <w:r>
        <w:t xml:space="preserve"> </w:t>
      </w:r>
      <w:r>
        <w:tab/>
      </w:r>
      <w:r w:rsidRPr="00C84A30">
        <w:t xml:space="preserve">Lally, </w:t>
      </w:r>
      <w:r w:rsidRPr="00C84A30">
        <w:rPr>
          <w:rStyle w:val="AERtextitalic"/>
        </w:rPr>
        <w:t>Review of the AER’s methodology</w:t>
      </w:r>
      <w:r w:rsidRPr="00C84A30">
        <w:t xml:space="preserve">, </w:t>
      </w:r>
      <w:r>
        <w:t>March</w:t>
      </w:r>
      <w:r w:rsidRPr="00C84A30">
        <w:t xml:space="preserve"> 2013</w:t>
      </w:r>
      <w:r>
        <w:t xml:space="preserve">, p. 23. </w:t>
      </w:r>
    </w:p>
  </w:footnote>
  <w:footnote w:id="101">
    <w:p w:rsidR="006B0748" w:rsidRDefault="006B0748" w:rsidP="006B0748">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2">
    <w:p w:rsidR="006B0748" w:rsidRDefault="006B0748" w:rsidP="006B0748">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3">
    <w:p w:rsidR="006B0748" w:rsidRDefault="006B0748" w:rsidP="006B0748">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04">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sidRPr="00DF51F1">
        <w:rPr>
          <w:rStyle w:val="AERtextitalic"/>
        </w:rPr>
        <w:t>Cost of equity and the MRP</w:t>
      </w:r>
      <w:r w:rsidRPr="000C38C6">
        <w:t xml:space="preserve">, </w:t>
      </w:r>
      <w:r>
        <w:t xml:space="preserve">25 July 2012, pp. 15–18. See appendix B.5 and B.6 for more detail. </w:t>
      </w:r>
    </w:p>
  </w:footnote>
  <w:footnote w:id="105">
    <w:p w:rsidR="006B0748" w:rsidRDefault="006B0748" w:rsidP="006B0748">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06">
    <w:p w:rsidR="006B0748" w:rsidRDefault="006B0748" w:rsidP="006B0748">
      <w:pPr>
        <w:pStyle w:val="FootnoteText"/>
      </w:pPr>
      <w:r>
        <w:rPr>
          <w:rStyle w:val="FootnoteReference"/>
        </w:rPr>
        <w:footnoteRef/>
      </w:r>
      <w:r>
        <w:t xml:space="preserve"> </w:t>
      </w:r>
      <w:r>
        <w:tab/>
        <w:t xml:space="preserve">See attachment 5 and appendix B.2, B.3 and B.5 for more discussion. </w:t>
      </w:r>
    </w:p>
  </w:footnote>
  <w:footnote w:id="107">
    <w:p w:rsidR="006B0748" w:rsidRDefault="006B0748" w:rsidP="006B0748">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10. </w:t>
      </w:r>
    </w:p>
  </w:footnote>
  <w:footnote w:id="108">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 150; </w:t>
      </w:r>
      <w:r w:rsidRPr="0044387A">
        <w:t xml:space="preserve">CEG, </w:t>
      </w:r>
      <w:r w:rsidRPr="0044387A">
        <w:rPr>
          <w:rStyle w:val="AERtextitalic"/>
        </w:rPr>
        <w:t>Response to the AER Vic gas draft decisions</w:t>
      </w:r>
      <w:r w:rsidRPr="0044387A">
        <w:t>, November 2012</w:t>
      </w:r>
      <w:r>
        <w:t xml:space="preserve">, p. 12; </w:t>
      </w:r>
      <w:r w:rsidRPr="00BA0439">
        <w:t xml:space="preserve">SFG, </w:t>
      </w:r>
      <w:r w:rsidRPr="003E5D7F">
        <w:rPr>
          <w:rStyle w:val="AERtextitalic"/>
        </w:rPr>
        <w:t>The required return on equity</w:t>
      </w:r>
      <w:r w:rsidRPr="00BA0439">
        <w:t>, November 2012</w:t>
      </w:r>
      <w:r>
        <w:t xml:space="preserve">, p. 56. </w:t>
      </w:r>
    </w:p>
  </w:footnote>
  <w:footnote w:id="109">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10">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 4. </w:t>
      </w:r>
    </w:p>
  </w:footnote>
  <w:footnote w:id="111">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12.</w:t>
      </w:r>
    </w:p>
  </w:footnote>
  <w:footnote w:id="112">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14.</w:t>
      </w:r>
    </w:p>
  </w:footnote>
  <w:footnote w:id="113">
    <w:p w:rsidR="006B0748" w:rsidRDefault="006B0748" w:rsidP="006B0748">
      <w:pPr>
        <w:pStyle w:val="FootnoteText"/>
      </w:pPr>
      <w:r>
        <w:rPr>
          <w:rStyle w:val="FootnoteReference"/>
        </w:rPr>
        <w:footnoteRef/>
      </w:r>
      <w:r>
        <w:t xml:space="preserve"> </w:t>
      </w:r>
      <w:r>
        <w:tab/>
      </w:r>
      <w:r w:rsidRPr="00EF603F">
        <w:t xml:space="preserve">SFG, </w:t>
      </w:r>
      <w:r w:rsidRPr="00EF603F">
        <w:rPr>
          <w:rStyle w:val="AERtextitalic"/>
        </w:rPr>
        <w:t>The required return on equity</w:t>
      </w:r>
      <w:r w:rsidRPr="00EF603F">
        <w:t>, November 2012</w:t>
      </w:r>
      <w:r>
        <w:t>, p. 56</w:t>
      </w:r>
    </w:p>
  </w:footnote>
  <w:footnote w:id="114">
    <w:p w:rsidR="006B0748" w:rsidRDefault="006B0748" w:rsidP="006B0748">
      <w:pPr>
        <w:pStyle w:val="FootnoteText"/>
      </w:pPr>
      <w:r>
        <w:rPr>
          <w:rStyle w:val="FootnoteReference"/>
        </w:rPr>
        <w:footnoteRef/>
      </w:r>
      <w:r>
        <w:t xml:space="preserve"> </w:t>
      </w:r>
      <w:r>
        <w:tab/>
      </w:r>
      <w:proofErr w:type="gramStart"/>
      <w:r w:rsidRPr="006E7953">
        <w:t xml:space="preserve">Lally, </w:t>
      </w:r>
      <w:r w:rsidRPr="00E74208">
        <w:rPr>
          <w:rStyle w:val="AERtextitalic"/>
        </w:rPr>
        <w:t>Review of the AER’s methodology</w:t>
      </w:r>
      <w:r w:rsidRPr="006E7953">
        <w:t>, February 2013</w:t>
      </w:r>
      <w:r>
        <w:t>, pp.16-17.</w:t>
      </w:r>
      <w:proofErr w:type="gramEnd"/>
      <w:r>
        <w:t xml:space="preserve"> </w:t>
      </w:r>
    </w:p>
  </w:footnote>
  <w:footnote w:id="115">
    <w:p w:rsidR="006B0748" w:rsidRDefault="006B0748" w:rsidP="006B0748">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16">
    <w:p w:rsidR="006B0748" w:rsidRDefault="006B0748" w:rsidP="006B0748">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17">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18">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 4. </w:t>
      </w:r>
    </w:p>
  </w:footnote>
  <w:footnote w:id="119">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pp. 4-5. </w:t>
      </w:r>
    </w:p>
  </w:footnote>
  <w:footnote w:id="120">
    <w:p w:rsidR="006B0748" w:rsidRDefault="006B0748" w:rsidP="006B0748">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21. </w:t>
      </w:r>
    </w:p>
  </w:footnote>
  <w:footnote w:id="121">
    <w:p w:rsidR="006B0748" w:rsidRDefault="006B0748" w:rsidP="006B0748">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rsidRPr="00476870">
        <w:t>,</w:t>
      </w:r>
      <w:r>
        <w:t xml:space="preserve"> p. 23. </w:t>
      </w:r>
    </w:p>
  </w:footnote>
  <w:footnote w:id="122">
    <w:p w:rsidR="006B0748" w:rsidRDefault="006B0748" w:rsidP="006B0748">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23. </w:t>
      </w:r>
    </w:p>
  </w:footnote>
  <w:footnote w:id="123">
    <w:p w:rsidR="006B0748" w:rsidRDefault="006B0748" w:rsidP="006B0748">
      <w:pPr>
        <w:pStyle w:val="FootnoteText"/>
      </w:pPr>
      <w:r>
        <w:rPr>
          <w:rStyle w:val="FootnoteReference"/>
        </w:rPr>
        <w:footnoteRef/>
      </w:r>
      <w:r>
        <w:t xml:space="preserve"> </w:t>
      </w:r>
      <w:r>
        <w:tab/>
        <w:t xml:space="preserve">See attachment 5.3.3, sections </w:t>
      </w:r>
      <w:r w:rsidR="009B2237">
        <w:fldChar w:fldCharType="begin"/>
      </w:r>
      <w:r>
        <w:instrText xml:space="preserve"> REF _Ref350354851 \r \h </w:instrText>
      </w:r>
      <w:r w:rsidR="009B2237">
        <w:fldChar w:fldCharType="separate"/>
      </w:r>
      <w:r>
        <w:t>1.1.1A.3.3</w:t>
      </w:r>
      <w:r w:rsidR="009B2237">
        <w:fldChar w:fldCharType="end"/>
      </w:r>
      <w:r>
        <w:t xml:space="preserve"> and B.5. </w:t>
      </w:r>
    </w:p>
  </w:footnote>
  <w:footnote w:id="124">
    <w:p w:rsidR="006B0748" w:rsidRDefault="006B0748" w:rsidP="006B0748">
      <w:pPr>
        <w:pStyle w:val="FootnoteText"/>
      </w:pPr>
      <w:r>
        <w:rPr>
          <w:rStyle w:val="FootnoteReference"/>
        </w:rPr>
        <w:footnoteRef/>
      </w:r>
      <w:r>
        <w:t xml:space="preserve"> </w:t>
      </w:r>
      <w:r>
        <w:tab/>
      </w:r>
      <w:r w:rsidRPr="00C959F1">
        <w:t xml:space="preserve">Multinet, </w:t>
      </w:r>
      <w:r w:rsidRPr="00C959F1">
        <w:rPr>
          <w:rStyle w:val="AERtextitalic"/>
        </w:rPr>
        <w:t>Revised Access Arrangement Proposal, 9 November 2012</w:t>
      </w:r>
      <w:r w:rsidRPr="00C959F1">
        <w:t>, pp</w:t>
      </w:r>
      <w:r>
        <w:t>. 158-163.</w:t>
      </w:r>
    </w:p>
  </w:footnote>
  <w:footnote w:id="125">
    <w:p w:rsidR="006B0748" w:rsidRDefault="006B0748" w:rsidP="006B0748">
      <w:pPr>
        <w:pStyle w:val="FootnoteText"/>
      </w:pPr>
      <w:r>
        <w:rPr>
          <w:rStyle w:val="FootnoteReference"/>
        </w:rPr>
        <w:footnoteRef/>
      </w:r>
      <w:r>
        <w:t xml:space="preserve"> </w:t>
      </w:r>
      <w:r>
        <w:tab/>
      </w:r>
      <w:r w:rsidRPr="00BA0439">
        <w:t xml:space="preserve">Gregory, </w:t>
      </w:r>
      <w:r w:rsidRPr="00E312B6">
        <w:rPr>
          <w:rStyle w:val="AERtextitalic"/>
        </w:rPr>
        <w:t>The AER approach</w:t>
      </w:r>
      <w:r w:rsidRPr="00BA0439">
        <w:t>, November 2012</w:t>
      </w:r>
      <w:r w:rsidRPr="00A12782">
        <w:t xml:space="preserve">,pp. 4-7; Wright, </w:t>
      </w:r>
      <w:r w:rsidRPr="00E312B6">
        <w:rPr>
          <w:rStyle w:val="AERtextitalic"/>
        </w:rPr>
        <w:t>Review of risk free rate and cost of equity estimates</w:t>
      </w:r>
      <w:r w:rsidRPr="00BA0439">
        <w:t xml:space="preserve">, </w:t>
      </w:r>
      <w:r w:rsidRPr="00A12782">
        <w:t xml:space="preserve">October 2012, p.12; S. </w:t>
      </w:r>
      <w:r w:rsidRPr="00E312B6">
        <w:rPr>
          <w:rStyle w:val="AERtextitalic"/>
        </w:rPr>
        <w:t>Wright, Response to Professor Lally</w:t>
      </w:r>
      <w:r w:rsidRPr="00E312B6">
        <w:rPr>
          <w:rStyle w:val="AERtextitalic"/>
          <w:rFonts w:hint="eastAsia"/>
        </w:rPr>
        <w:t>’</w:t>
      </w:r>
      <w:r w:rsidRPr="00E312B6">
        <w:rPr>
          <w:rStyle w:val="AERtextitalic"/>
        </w:rPr>
        <w:t>s analysis</w:t>
      </w:r>
      <w:r w:rsidRPr="00BA0439">
        <w:t>, 2 November 2012</w:t>
      </w:r>
      <w:r w:rsidRPr="00A12782">
        <w:t>, pp.4-9.</w:t>
      </w:r>
    </w:p>
  </w:footnote>
  <w:footnote w:id="126">
    <w:p w:rsidR="006B0748" w:rsidRDefault="006B0748" w:rsidP="006B0748">
      <w:pPr>
        <w:pStyle w:val="FootnoteText"/>
      </w:pPr>
      <w:r>
        <w:rPr>
          <w:rStyle w:val="FootnoteReference"/>
        </w:rPr>
        <w:footnoteRef/>
      </w:r>
      <w:r>
        <w:t xml:space="preserve"> </w:t>
      </w:r>
      <w:r>
        <w:tab/>
      </w:r>
      <w:proofErr w:type="gramStart"/>
      <w:r>
        <w:t>CEG</w:t>
      </w:r>
      <w:r w:rsidRPr="008A54C5">
        <w:rPr>
          <w:rFonts w:cs="Gautami"/>
          <w:szCs w:val="16"/>
        </w:rPr>
        <w:t xml:space="preserve">, </w:t>
      </w:r>
      <w:r w:rsidRPr="008A54C5">
        <w:rPr>
          <w:rFonts w:cs="Gautami"/>
          <w:i/>
          <w:szCs w:val="16"/>
        </w:rPr>
        <w:t>Update to March 2012 Report</w:t>
      </w:r>
      <w:r w:rsidRPr="008A54C5">
        <w:rPr>
          <w:rFonts w:cs="Gautami"/>
          <w:szCs w:val="16"/>
        </w:rPr>
        <w:t>, November 2012</w:t>
      </w:r>
      <w:r>
        <w:rPr>
          <w:rFonts w:cs="Gautami"/>
          <w:szCs w:val="16"/>
        </w:rPr>
        <w:t xml:space="preserve">, pp.26-27; </w:t>
      </w:r>
      <w:r w:rsidRPr="008A54C5">
        <w:rPr>
          <w:rFonts w:cs="Gautami"/>
          <w:szCs w:val="16"/>
        </w:rPr>
        <w:t xml:space="preserve">NERA, </w:t>
      </w:r>
      <w:r w:rsidRPr="008A54C5">
        <w:rPr>
          <w:rFonts w:cs="Gautami"/>
          <w:i/>
          <w:szCs w:val="16"/>
        </w:rPr>
        <w:t>Estimating the Cost of Equity under the CAPM</w:t>
      </w:r>
      <w:r w:rsidRPr="008A54C5">
        <w:rPr>
          <w:rFonts w:cs="Gautami"/>
          <w:szCs w:val="16"/>
        </w:rPr>
        <w:t>, November 2012</w:t>
      </w:r>
      <w:r>
        <w:rPr>
          <w:rFonts w:cs="Gautami"/>
          <w:szCs w:val="16"/>
        </w:rPr>
        <w:t>, pp.26-29.</w:t>
      </w:r>
      <w:proofErr w:type="gramEnd"/>
    </w:p>
  </w:footnote>
  <w:footnote w:id="127">
    <w:p w:rsidR="006B0748" w:rsidRDefault="006B0748" w:rsidP="006B0748">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28">
    <w:p w:rsidR="006B0748" w:rsidRDefault="006B0748" w:rsidP="006B0748">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29">
    <w:p w:rsidR="006B0748" w:rsidRDefault="006B0748" w:rsidP="006B0748">
      <w:pPr>
        <w:pStyle w:val="FootnoteText"/>
      </w:pPr>
      <w:r>
        <w:rPr>
          <w:rStyle w:val="FootnoteReference"/>
        </w:rPr>
        <w:footnoteRef/>
      </w:r>
      <w:r>
        <w:t xml:space="preserve"> </w:t>
      </w:r>
      <w:r>
        <w:tab/>
      </w:r>
      <w:proofErr w:type="gramStart"/>
      <w:r w:rsidRPr="006E7953">
        <w:t xml:space="preserve">Lally, </w:t>
      </w:r>
      <w:r w:rsidRPr="00E34B12">
        <w:rPr>
          <w:rStyle w:val="AERtextitalic"/>
        </w:rPr>
        <w:t>Review of the AER’s methodology</w:t>
      </w:r>
      <w:r w:rsidRPr="006E7953">
        <w:t xml:space="preserve">, </w:t>
      </w:r>
      <w:r>
        <w:t>March</w:t>
      </w:r>
      <w:r w:rsidRPr="006E7953">
        <w:t xml:space="preserve"> 2013</w:t>
      </w:r>
      <w:r>
        <w:t>, pp.12-13.</w:t>
      </w:r>
      <w:proofErr w:type="gramEnd"/>
    </w:p>
  </w:footnote>
  <w:footnote w:id="130">
    <w:p w:rsidR="006B0748" w:rsidRDefault="006B0748" w:rsidP="006B0748">
      <w:pPr>
        <w:pStyle w:val="FootnoteText"/>
      </w:pPr>
      <w:r>
        <w:rPr>
          <w:rStyle w:val="FootnoteReference"/>
        </w:rPr>
        <w:footnoteRef/>
      </w:r>
      <w:r>
        <w:t xml:space="preserve"> </w:t>
      </w:r>
      <w:r>
        <w:tab/>
        <w:t>Lally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131">
    <w:p w:rsidR="006B0748" w:rsidRDefault="006B0748" w:rsidP="006B0748">
      <w:pPr>
        <w:pStyle w:val="FootnoteText"/>
      </w:pPr>
      <w:r>
        <w:rPr>
          <w:rStyle w:val="FootnoteReference"/>
        </w:rPr>
        <w:footnoteRef/>
      </w:r>
      <w:r>
        <w:t xml:space="preserve"> </w:t>
      </w:r>
      <w:r>
        <w:tab/>
      </w:r>
      <w:r w:rsidRPr="006E7953">
        <w:t xml:space="preserve">Lally, Review of the AER’s methodology, </w:t>
      </w:r>
      <w:r>
        <w:t>March</w:t>
      </w:r>
      <w:r w:rsidRPr="006E7953">
        <w:t xml:space="preserve"> 2013</w:t>
      </w:r>
      <w:r>
        <w:t>, p.16.</w:t>
      </w:r>
    </w:p>
  </w:footnote>
  <w:footnote w:id="132">
    <w:p w:rsidR="006B0748" w:rsidRDefault="006B0748" w:rsidP="006B0748">
      <w:pPr>
        <w:pStyle w:val="FootnoteText"/>
      </w:pPr>
      <w:r>
        <w:rPr>
          <w:rStyle w:val="FootnoteReference"/>
        </w:rPr>
        <w:footnoteRef/>
      </w:r>
      <w:r>
        <w:t xml:space="preserve"> </w:t>
      </w:r>
      <w:r>
        <w:tab/>
      </w:r>
      <w:proofErr w:type="gramStart"/>
      <w:r w:rsidRPr="006E7953">
        <w:t xml:space="preserve">Lally, </w:t>
      </w:r>
      <w:r w:rsidRPr="00E34B12">
        <w:rPr>
          <w:rStyle w:val="AERtextitalic"/>
        </w:rPr>
        <w:t>Review of the AER’s methodology</w:t>
      </w:r>
      <w:r w:rsidRPr="006E7953">
        <w:t xml:space="preserve">, </w:t>
      </w:r>
      <w:r>
        <w:t>March</w:t>
      </w:r>
      <w:r w:rsidRPr="006E7953">
        <w:t xml:space="preserve"> 2013</w:t>
      </w:r>
      <w:r>
        <w:t>, pp.16-17.</w:t>
      </w:r>
      <w:proofErr w:type="gramEnd"/>
    </w:p>
  </w:footnote>
  <w:footnote w:id="133">
    <w:p w:rsidR="006B0748" w:rsidRDefault="006B0748" w:rsidP="006B0748">
      <w:pPr>
        <w:pStyle w:val="FootnoteText"/>
      </w:pPr>
      <w:r>
        <w:rPr>
          <w:rStyle w:val="FootnoteReference"/>
        </w:rPr>
        <w:footnoteRef/>
      </w:r>
      <w:r>
        <w:t xml:space="preserve"> </w:t>
      </w:r>
      <w:r>
        <w:tab/>
        <w:t xml:space="preserve">CEPA, </w:t>
      </w:r>
      <w:r w:rsidRPr="009075D3">
        <w:rPr>
          <w:rStyle w:val="AERtextitalic"/>
        </w:rPr>
        <w:t xml:space="preserve">Advice on estimation of the risk free rate and market risk premium, </w:t>
      </w:r>
      <w:r>
        <w:t>March 2013, p.25.</w:t>
      </w:r>
    </w:p>
  </w:footnote>
  <w:footnote w:id="134">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sidRPr="00C5128D">
        <w:rPr>
          <w:rStyle w:val="AERtextitalic"/>
        </w:rPr>
        <w:t>C</w:t>
      </w:r>
      <w:r>
        <w:rPr>
          <w:i/>
        </w:rPr>
        <w:t>ost of equity and the MRP,</w:t>
      </w:r>
      <w:r>
        <w:t xml:space="preserve"> July 2012, p. 7.</w:t>
      </w:r>
    </w:p>
  </w:footnote>
  <w:footnote w:id="135">
    <w:p w:rsidR="006B0748" w:rsidRDefault="006B0748" w:rsidP="006B0748">
      <w:pPr>
        <w:pStyle w:val="FootnoteText"/>
      </w:pPr>
      <w:r>
        <w:rPr>
          <w:rStyle w:val="FootnoteReference"/>
        </w:rPr>
        <w:footnoteRef/>
      </w:r>
      <w:r>
        <w:t xml:space="preserve"> </w:t>
      </w:r>
      <w:r>
        <w:tab/>
      </w:r>
      <w:r w:rsidRPr="00C46A26">
        <w:t xml:space="preserve">McKenzie and Partington, </w:t>
      </w:r>
      <w:r w:rsidRPr="00484033">
        <w:rPr>
          <w:rStyle w:val="AERtextitalic"/>
        </w:rPr>
        <w:t>Review of the AER’s overall approach</w:t>
      </w:r>
      <w:r w:rsidRPr="00C46A26">
        <w:t>, February 2013</w:t>
      </w:r>
      <w:r>
        <w:t>, p.26.</w:t>
      </w:r>
    </w:p>
  </w:footnote>
  <w:footnote w:id="136">
    <w:p w:rsidR="006B0748" w:rsidRDefault="006B0748" w:rsidP="006B0748">
      <w:pPr>
        <w:pStyle w:val="FootnoteText"/>
      </w:pPr>
      <w:r>
        <w:rPr>
          <w:rStyle w:val="FootnoteReference"/>
        </w:rPr>
        <w:footnoteRef/>
      </w:r>
      <w:r>
        <w:t xml:space="preserve"> </w:t>
      </w:r>
      <w:r>
        <w:tab/>
      </w:r>
      <w:proofErr w:type="gramStart"/>
      <w:r w:rsidRPr="007B37B5">
        <w:t xml:space="preserve">McKenzie and Partington, </w:t>
      </w:r>
      <w:r w:rsidRPr="00E34B12">
        <w:rPr>
          <w:rStyle w:val="AERtextitalic"/>
        </w:rPr>
        <w:t>Review of the AER’s overall approach</w:t>
      </w:r>
      <w:r w:rsidRPr="007B37B5">
        <w:t>, February 2013</w:t>
      </w:r>
      <w:r>
        <w:t>, pp.5-6.</w:t>
      </w:r>
      <w:proofErr w:type="gramEnd"/>
    </w:p>
  </w:footnote>
  <w:footnote w:id="137">
    <w:p w:rsidR="006B0748" w:rsidRDefault="006B0748" w:rsidP="006B0748">
      <w:pPr>
        <w:pStyle w:val="FootnoteText"/>
      </w:pPr>
      <w:r>
        <w:rPr>
          <w:rStyle w:val="FootnoteReference"/>
        </w:rPr>
        <w:footnoteRef/>
      </w:r>
      <w:r>
        <w:t xml:space="preserve"> </w:t>
      </w:r>
      <w:r>
        <w:tab/>
      </w:r>
      <w:proofErr w:type="gramStart"/>
      <w:r w:rsidRPr="007B37B5">
        <w:t xml:space="preserve">McKenzie and Partington, </w:t>
      </w:r>
      <w:r w:rsidRPr="00E34B12">
        <w:rPr>
          <w:rStyle w:val="AERtextitalic"/>
        </w:rPr>
        <w:t>Review of the AER’s overall approach</w:t>
      </w:r>
      <w:r w:rsidRPr="007B37B5">
        <w:t>, February 2013</w:t>
      </w:r>
      <w:r>
        <w:t>, pp.24-25.</w:t>
      </w:r>
      <w:proofErr w:type="gramEnd"/>
    </w:p>
  </w:footnote>
  <w:footnote w:id="138">
    <w:p w:rsidR="006B0748" w:rsidRDefault="006B0748" w:rsidP="006B0748">
      <w:pPr>
        <w:pStyle w:val="FootnoteText"/>
      </w:pPr>
      <w:r>
        <w:rPr>
          <w:rStyle w:val="FootnoteReference"/>
        </w:rPr>
        <w:footnoteRef/>
      </w:r>
      <w:r>
        <w:t xml:space="preserve"> </w:t>
      </w:r>
      <w:r>
        <w:tab/>
      </w:r>
      <w:r w:rsidRPr="006E7953">
        <w:t xml:space="preserve">Lally, </w:t>
      </w:r>
      <w:r w:rsidRPr="00E34B12">
        <w:rPr>
          <w:rStyle w:val="AERtextitalic"/>
        </w:rPr>
        <w:t>Review of the AER’s methodology</w:t>
      </w:r>
      <w:r w:rsidRPr="006E7953">
        <w:t xml:space="preserve">, </w:t>
      </w:r>
      <w:r>
        <w:t>March</w:t>
      </w:r>
      <w:r w:rsidRPr="006E7953">
        <w:t xml:space="preserve"> 2013</w:t>
      </w:r>
      <w:r>
        <w:t>, pp. 8-12.</w:t>
      </w:r>
    </w:p>
  </w:footnote>
  <w:footnote w:id="139">
    <w:p w:rsidR="006B0748" w:rsidRDefault="006B0748" w:rsidP="006B0748">
      <w:pPr>
        <w:pStyle w:val="FootnoteText"/>
      </w:pPr>
      <w:r>
        <w:rPr>
          <w:rStyle w:val="FootnoteReference"/>
        </w:rPr>
        <w:footnoteRef/>
      </w:r>
      <w:r>
        <w:t xml:space="preserve"> </w:t>
      </w:r>
      <w:r>
        <w:tab/>
      </w:r>
      <w:proofErr w:type="gramStart"/>
      <w:r w:rsidRPr="006E7953">
        <w:t xml:space="preserve">Lally, </w:t>
      </w:r>
      <w:r w:rsidRPr="00E34B12">
        <w:rPr>
          <w:rStyle w:val="AERtextitalic"/>
        </w:rPr>
        <w:t>Review of the AER’s methodology</w:t>
      </w:r>
      <w:r w:rsidRPr="006E7953">
        <w:t xml:space="preserve">, </w:t>
      </w:r>
      <w:r>
        <w:t>March</w:t>
      </w:r>
      <w:r w:rsidRPr="006E7953">
        <w:t xml:space="preserve"> 2013</w:t>
      </w:r>
      <w:r>
        <w:t>, pp.14-16.</w:t>
      </w:r>
      <w:proofErr w:type="gramEnd"/>
    </w:p>
  </w:footnote>
  <w:footnote w:id="140">
    <w:p w:rsidR="006B0748" w:rsidRDefault="006B0748" w:rsidP="006B0748">
      <w:pPr>
        <w:pStyle w:val="FootnoteText"/>
      </w:pPr>
      <w:r>
        <w:rPr>
          <w:rStyle w:val="FootnoteReference"/>
        </w:rPr>
        <w:footnoteRef/>
      </w:r>
      <w:r>
        <w:t xml:space="preserve"> </w:t>
      </w:r>
      <w:r>
        <w:tab/>
      </w:r>
      <w:proofErr w:type="gramStart"/>
      <w:r w:rsidRPr="0044387A">
        <w:t>CEG</w:t>
      </w:r>
      <w:r>
        <w:t>,</w:t>
      </w:r>
      <w:r w:rsidRPr="007734A9">
        <w:t xml:space="preserve"> </w:t>
      </w:r>
      <w:r w:rsidRPr="007734A9">
        <w:rPr>
          <w:rStyle w:val="AERtextitalic"/>
        </w:rPr>
        <w:t>Update to March 2012 Repor</w:t>
      </w:r>
      <w:r w:rsidRPr="007734A9">
        <w:t>t, November 2012</w:t>
      </w:r>
      <w:r w:rsidRPr="0044387A">
        <w:t xml:space="preserve">, </w:t>
      </w:r>
      <w:r>
        <w:t>p. 13.</w:t>
      </w:r>
      <w:proofErr w:type="gramEnd"/>
    </w:p>
  </w:footnote>
  <w:footnote w:id="141">
    <w:p w:rsidR="006B0748" w:rsidRDefault="006B0748" w:rsidP="006B0748">
      <w:pPr>
        <w:pStyle w:val="FootnoteText"/>
      </w:pPr>
      <w:r>
        <w:rPr>
          <w:rStyle w:val="FootnoteReference"/>
        </w:rPr>
        <w:footnoteRef/>
      </w:r>
      <w:r>
        <w:t xml:space="preserve"> </w:t>
      </w:r>
      <w:r>
        <w:tab/>
      </w:r>
      <w:r w:rsidRPr="008D5DE2">
        <w:t>State Government bonds and Commonwealth Government guaranteed bank debt</w:t>
      </w:r>
    </w:p>
  </w:footnote>
  <w:footnote w:id="142">
    <w:p w:rsidR="006B0748" w:rsidRDefault="006B0748" w:rsidP="006B0748">
      <w:pPr>
        <w:pStyle w:val="FootnoteText"/>
      </w:pPr>
      <w:r>
        <w:rPr>
          <w:rStyle w:val="FootnoteReference"/>
        </w:rPr>
        <w:footnoteRef/>
      </w:r>
      <w:r>
        <w:t xml:space="preserve"> </w:t>
      </w:r>
      <w:r>
        <w:tab/>
      </w:r>
      <w:proofErr w:type="gramStart"/>
      <w:r>
        <w:t>AER, Final decision—WACC review, pp.134-136.</w:t>
      </w:r>
      <w:proofErr w:type="gramEnd"/>
    </w:p>
  </w:footnote>
  <w:footnote w:id="143">
    <w:p w:rsidR="006B0748" w:rsidRDefault="006B0748" w:rsidP="006B0748">
      <w:pPr>
        <w:pStyle w:val="FootnoteText"/>
      </w:pPr>
      <w:r>
        <w:rPr>
          <w:rStyle w:val="FootnoteReference"/>
        </w:rPr>
        <w:footnoteRef/>
      </w:r>
      <w:r>
        <w:t xml:space="preserve"> </w:t>
      </w:r>
      <w:r>
        <w:tab/>
      </w:r>
      <w:proofErr w:type="gramStart"/>
      <w:r>
        <w:t xml:space="preserve">CEG, </w:t>
      </w:r>
      <w:r w:rsidRPr="003A6E91">
        <w:rPr>
          <w:rStyle w:val="AERtextitalic"/>
        </w:rPr>
        <w:t>Update to March 2012 Report</w:t>
      </w:r>
      <w:r w:rsidRPr="001D490D">
        <w:t>, November 2012</w:t>
      </w:r>
      <w:r>
        <w:t>, pp.11-13.</w:t>
      </w:r>
      <w:proofErr w:type="gramEnd"/>
    </w:p>
  </w:footnote>
  <w:footnote w:id="144">
    <w:p w:rsidR="006B0748" w:rsidRDefault="006B0748" w:rsidP="006B0748">
      <w:pPr>
        <w:pStyle w:val="FootnoteText"/>
      </w:pPr>
      <w:r>
        <w:rPr>
          <w:rStyle w:val="FootnoteReference"/>
        </w:rPr>
        <w:footnoteRef/>
      </w:r>
      <w:r>
        <w:t xml:space="preserve"> </w:t>
      </w:r>
      <w:r>
        <w:tab/>
      </w:r>
      <w:proofErr w:type="gramStart"/>
      <w:r>
        <w:t>AER, Final decision—WACC review, pp.136-140.</w:t>
      </w:r>
      <w:proofErr w:type="gramEnd"/>
    </w:p>
  </w:footnote>
  <w:footnote w:id="145">
    <w:p w:rsidR="006B0748" w:rsidRDefault="006B0748" w:rsidP="006B0748">
      <w:pPr>
        <w:pStyle w:val="FootnoteText"/>
      </w:pPr>
      <w:r>
        <w:rPr>
          <w:rStyle w:val="FootnoteReference"/>
        </w:rPr>
        <w:footnoteRef/>
      </w:r>
      <w:r>
        <w:t xml:space="preserve"> </w:t>
      </w:r>
      <w:r>
        <w:tab/>
        <w:t>Handley, Comments on the CEG report "Establishing a proxy for the risk free rate", November 2008.</w:t>
      </w:r>
    </w:p>
  </w:footnote>
  <w:footnote w:id="146">
    <w:p w:rsidR="006B0748" w:rsidRDefault="006B0748" w:rsidP="006B0748">
      <w:pPr>
        <w:pStyle w:val="FootnoteText"/>
      </w:pPr>
      <w:r>
        <w:rPr>
          <w:rStyle w:val="FootnoteReference"/>
        </w:rPr>
        <w:footnoteRef/>
      </w:r>
      <w:r>
        <w:t xml:space="preserve"> </w:t>
      </w:r>
      <w:r>
        <w:tab/>
      </w:r>
      <w:r w:rsidRPr="005736A3">
        <w:t xml:space="preserve">CEG, </w:t>
      </w:r>
      <w:r w:rsidRPr="005736A3">
        <w:rPr>
          <w:rStyle w:val="AERtextitalic"/>
        </w:rPr>
        <w:t>Response to the AER Vic gas draft decisions: Internal consistency of MRP and risk free rate</w:t>
      </w:r>
      <w:r w:rsidRPr="005736A3">
        <w:t>, November 2012</w:t>
      </w:r>
      <w:r>
        <w:t>, p.14.</w:t>
      </w:r>
    </w:p>
  </w:footnote>
  <w:footnote w:id="147">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sidRPr="00A208E5">
        <w:rPr>
          <w:rStyle w:val="AERtextitalic"/>
        </w:rPr>
        <w:t>Cost of equity and the MRP</w:t>
      </w:r>
      <w:r>
        <w:t>, July 2012, pp. 8-9.</w:t>
      </w:r>
    </w:p>
  </w:footnote>
  <w:footnote w:id="148">
    <w:p w:rsidR="006B0748" w:rsidRDefault="006B0748" w:rsidP="006B0748">
      <w:pPr>
        <w:pStyle w:val="FootnoteText"/>
      </w:pPr>
      <w:r>
        <w:rPr>
          <w:rStyle w:val="FootnoteReference"/>
        </w:rPr>
        <w:footnoteRef/>
      </w:r>
      <w:r>
        <w:t xml:space="preserve"> </w:t>
      </w:r>
      <w:r>
        <w:tab/>
      </w:r>
      <w:r w:rsidRPr="00DA1940">
        <w:t xml:space="preserve">Lally, </w:t>
      </w:r>
      <w:r w:rsidRPr="00DA1940">
        <w:rPr>
          <w:rStyle w:val="AERtextitalic"/>
        </w:rPr>
        <w:t>Review of the AER’s methodology</w:t>
      </w:r>
      <w:r w:rsidRPr="00DA1940">
        <w:t xml:space="preserve">, </w:t>
      </w:r>
      <w:r>
        <w:t>March</w:t>
      </w:r>
      <w:r w:rsidRPr="00DA1940">
        <w:t xml:space="preserve"> 2013</w:t>
      </w:r>
      <w:r>
        <w:t xml:space="preserve">, p. 33. </w:t>
      </w:r>
    </w:p>
  </w:footnote>
  <w:footnote w:id="149">
    <w:p w:rsidR="006B0748" w:rsidRDefault="006B0748" w:rsidP="006B0748">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May 2009, p. 148–149.</w:t>
      </w:r>
    </w:p>
  </w:footnote>
  <w:footnote w:id="150">
    <w:p w:rsidR="006B0748" w:rsidRDefault="006B0748" w:rsidP="006B0748">
      <w:pPr>
        <w:pStyle w:val="FootnoteText"/>
      </w:pPr>
      <w:r>
        <w:rPr>
          <w:rStyle w:val="FootnoteReference"/>
        </w:rPr>
        <w:footnoteRef/>
      </w:r>
      <w:r>
        <w:tab/>
        <w:t xml:space="preserve">Lally, </w:t>
      </w:r>
      <w:r>
        <w:rPr>
          <w:rStyle w:val="AERtextitalic"/>
        </w:rPr>
        <w:t>R</w:t>
      </w:r>
      <w:r w:rsidRPr="00510FB0">
        <w:rPr>
          <w:rStyle w:val="AERtextitalic"/>
        </w:rPr>
        <w:t>isk free rate and present value</w:t>
      </w:r>
      <w:r>
        <w:t>, August 2012, p. 16.</w:t>
      </w:r>
    </w:p>
  </w:footnote>
  <w:footnote w:id="151">
    <w:p w:rsidR="006B0748" w:rsidRDefault="006B0748" w:rsidP="006B0748">
      <w:pPr>
        <w:pStyle w:val="FootnoteText"/>
      </w:pPr>
      <w:r>
        <w:rPr>
          <w:rStyle w:val="FootnoteReference"/>
        </w:rPr>
        <w:footnoteRef/>
      </w:r>
      <w:r>
        <w:t xml:space="preserve"> </w:t>
      </w:r>
      <w:r>
        <w:tab/>
      </w:r>
      <w:r w:rsidRPr="00DA1940">
        <w:t xml:space="preserve">Lally, </w:t>
      </w:r>
      <w:r w:rsidRPr="00DA1940">
        <w:rPr>
          <w:rStyle w:val="AERtextitalic"/>
        </w:rPr>
        <w:t>Review of the AER’s methodology</w:t>
      </w:r>
      <w:r w:rsidRPr="00DA1940">
        <w:t xml:space="preserve">, </w:t>
      </w:r>
      <w:r>
        <w:t>March</w:t>
      </w:r>
      <w:r w:rsidRPr="00DA1940">
        <w:t xml:space="preserve"> 2013</w:t>
      </w:r>
      <w:r>
        <w:t>, p. 28</w:t>
      </w:r>
    </w:p>
  </w:footnote>
  <w:footnote w:id="152">
    <w:p w:rsidR="006B0748" w:rsidRDefault="006B0748" w:rsidP="006B0748">
      <w:pPr>
        <w:pStyle w:val="FootnoteText"/>
      </w:pPr>
      <w:r>
        <w:rPr>
          <w:rStyle w:val="FootnoteReference"/>
        </w:rPr>
        <w:footnoteRef/>
      </w:r>
      <w:r>
        <w:t xml:space="preserve"> </w:t>
      </w:r>
      <w:r>
        <w:tab/>
        <w:t xml:space="preserve">A. Damodaran, </w:t>
      </w:r>
      <w:r w:rsidRPr="0065335A">
        <w:rPr>
          <w:rStyle w:val="AERtextitalic"/>
        </w:rPr>
        <w:t xml:space="preserve">What is the riskfree rate? </w:t>
      </w:r>
      <w:proofErr w:type="gramStart"/>
      <w:r w:rsidRPr="0065335A">
        <w:rPr>
          <w:rStyle w:val="AERtextitalic"/>
        </w:rPr>
        <w:t>A search for the Basic Building Block,</w:t>
      </w:r>
      <w:r>
        <w:t xml:space="preserve"> December 2008, p. 6-7.</w:t>
      </w:r>
      <w:proofErr w:type="gramEnd"/>
      <w:r>
        <w:t xml:space="preserve">                                                                                                        </w:t>
      </w:r>
    </w:p>
  </w:footnote>
  <w:footnote w:id="153">
    <w:p w:rsidR="006B0748" w:rsidRDefault="006B0748" w:rsidP="006B0748">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pp. 156-166. </w:t>
      </w:r>
    </w:p>
  </w:footnote>
  <w:footnote w:id="154">
    <w:p w:rsidR="006B0748" w:rsidRDefault="006B0748" w:rsidP="006B0748">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 168. </w:t>
      </w:r>
    </w:p>
  </w:footnote>
  <w:footnote w:id="155">
    <w:p w:rsidR="006B0748" w:rsidRDefault="006B0748" w:rsidP="006B0748">
      <w:pPr>
        <w:pStyle w:val="FootnoteText"/>
      </w:pPr>
      <w:r>
        <w:rPr>
          <w:rStyle w:val="FootnoteReference"/>
        </w:rPr>
        <w:footnoteRef/>
      </w:r>
      <w:r>
        <w:t xml:space="preserve"> </w:t>
      </w:r>
      <w:r>
        <w:tab/>
        <w:t xml:space="preserve">ERA, </w:t>
      </w:r>
      <w:r w:rsidRPr="00510FB0">
        <w:rPr>
          <w:rStyle w:val="AERtextitalic"/>
        </w:rPr>
        <w:t>Final Decision on Proposed Revisions to the Access Arrangement for the Dampier to Bunbury Natural Gas Pipeline</w:t>
      </w:r>
      <w:r w:rsidRPr="0082630A">
        <w:rPr>
          <w:rStyle w:val="AERtextitalic"/>
        </w:rPr>
        <w:t>, Submitted by DBNGP (WA) Transmission Pty Ltd</w:t>
      </w:r>
      <w:r>
        <w:t xml:space="preserve">, 31 October 2011, pp. 126–130 (ERA, </w:t>
      </w:r>
      <w:r w:rsidRPr="0082630A">
        <w:rPr>
          <w:rStyle w:val="AERtextitalic"/>
        </w:rPr>
        <w:t>Final decision: DBNGP access arrangement</w:t>
      </w:r>
      <w:r>
        <w:t>, October 2011).</w:t>
      </w:r>
    </w:p>
  </w:footnote>
  <w:footnote w:id="156">
    <w:p w:rsidR="006B0748" w:rsidRDefault="006B0748" w:rsidP="006B0748">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WA) Transmission Pty Ltd (No 3) [2012] ACompT 14</w:t>
      </w:r>
      <w:r>
        <w:t>, 26 July 2012, paragraph 131.</w:t>
      </w:r>
    </w:p>
  </w:footnote>
  <w:footnote w:id="157">
    <w:p w:rsidR="006B0748" w:rsidRDefault="006B0748" w:rsidP="006B0748">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WA) Transmission Pty Ltd (No 3) [2012] ACompT 14</w:t>
      </w:r>
      <w:r w:rsidRPr="00364405">
        <w:t xml:space="preserve">, 26 July 2012, paragraph </w:t>
      </w:r>
      <w:r>
        <w:t>132.</w:t>
      </w:r>
    </w:p>
  </w:footnote>
  <w:footnote w:id="158">
    <w:p w:rsidR="006B0748" w:rsidRDefault="006B0748" w:rsidP="006B0748">
      <w:pPr>
        <w:pStyle w:val="FootnoteText"/>
      </w:pPr>
      <w:r>
        <w:rPr>
          <w:rStyle w:val="FootnoteReference"/>
        </w:rPr>
        <w:footnoteRef/>
      </w:r>
      <w:r>
        <w:t xml:space="preserve"> </w:t>
      </w:r>
      <w:r>
        <w:tab/>
        <w:t xml:space="preserve">See, for example, </w:t>
      </w:r>
      <w:r w:rsidRPr="007F1872">
        <w:t xml:space="preserve">Lally, </w:t>
      </w:r>
      <w:r w:rsidRPr="007F1872">
        <w:rPr>
          <w:rStyle w:val="AERtextitalic"/>
        </w:rPr>
        <w:t>The present value principle</w:t>
      </w:r>
      <w:r w:rsidRPr="007F1872">
        <w:t>, February 2013</w:t>
      </w:r>
      <w:r>
        <w:t xml:space="preserve">, p. 12. </w:t>
      </w:r>
    </w:p>
  </w:footnote>
  <w:footnote w:id="159">
    <w:p w:rsidR="006B0748" w:rsidRDefault="006B0748" w:rsidP="006B0748">
      <w:pPr>
        <w:pStyle w:val="FootnoteText"/>
      </w:pPr>
      <w:r>
        <w:rPr>
          <w:rStyle w:val="FootnoteReference"/>
        </w:rPr>
        <w:footnoteRef/>
      </w:r>
      <w:r>
        <w:t xml:space="preserve"> </w:t>
      </w:r>
      <w:r>
        <w:tab/>
        <w:t xml:space="preserve">Valuers estimate the value of takeover target firms by applying discount rates to discount future cash flows. Ernst and Young compiled the discount rates in these valuation reports and presented the 2012 average as market evidence on the prevailing market cost of equity. </w:t>
      </w:r>
    </w:p>
  </w:footnote>
  <w:footnote w:id="160">
    <w:p w:rsidR="006B0748" w:rsidRDefault="006B0748" w:rsidP="006B0748">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rsidRPr="00444EE0">
        <w:t xml:space="preserve">, </w:t>
      </w:r>
      <w:r>
        <w:t>March</w:t>
      </w:r>
      <w:r w:rsidRPr="00444EE0">
        <w:t xml:space="preserve"> 2013, p.</w:t>
      </w:r>
      <w:r>
        <w:t>50.</w:t>
      </w:r>
    </w:p>
  </w:footnote>
  <w:footnote w:id="161">
    <w:p w:rsidR="006B0748" w:rsidRDefault="006B0748" w:rsidP="006B0748">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rsidRPr="00444EE0">
        <w:t xml:space="preserve">, </w:t>
      </w:r>
      <w:r>
        <w:t>March</w:t>
      </w:r>
      <w:r w:rsidRPr="00444EE0">
        <w:t xml:space="preserve"> 2013, p.</w:t>
      </w:r>
      <w:r>
        <w:t>50.</w:t>
      </w:r>
    </w:p>
  </w:footnote>
  <w:footnote w:id="162">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w:t>
      </w:r>
      <w:r w:rsidRPr="00444EE0">
        <w:t xml:space="preserve"> </w:t>
      </w:r>
      <w:r>
        <w:t>2013, p.44.</w:t>
      </w:r>
    </w:p>
  </w:footnote>
  <w:footnote w:id="163">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w:t>
      </w:r>
      <w:r w:rsidRPr="00444EE0">
        <w:t xml:space="preserve"> </w:t>
      </w:r>
      <w:r>
        <w:t>2013, p.44.</w:t>
      </w:r>
    </w:p>
  </w:footnote>
  <w:footnote w:id="164">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w:t>
      </w:r>
      <w:r w:rsidRPr="00444EE0">
        <w:t xml:space="preserve"> </w:t>
      </w:r>
      <w:r>
        <w:t>2013, p.47.</w:t>
      </w:r>
    </w:p>
  </w:footnote>
  <w:footnote w:id="165">
    <w:p w:rsidR="006B0748" w:rsidRDefault="006B0748" w:rsidP="006B0748">
      <w:pPr>
        <w:pStyle w:val="FootnoteText"/>
      </w:pPr>
      <w:r>
        <w:rPr>
          <w:rStyle w:val="FootnoteReference"/>
        </w:rPr>
        <w:footnoteRef/>
      </w:r>
      <w:r>
        <w:t xml:space="preserve"> </w:t>
      </w:r>
      <w:r>
        <w:tab/>
        <w:t xml:space="preserve">Damodaran, A, </w:t>
      </w:r>
      <w:r w:rsidRPr="004608D3">
        <w:rPr>
          <w:rStyle w:val="AERtextitalic"/>
        </w:rPr>
        <w:t>What is the riskfree rate? A search for the Basic Building Block, Stern School of Business</w:t>
      </w:r>
      <w:r>
        <w:t>, New York University, December 2008, p.26.</w:t>
      </w:r>
    </w:p>
  </w:footnote>
  <w:footnote w:id="166">
    <w:p w:rsidR="006B0748" w:rsidRDefault="006B0748" w:rsidP="006B0748">
      <w:pPr>
        <w:pStyle w:val="FootnoteText"/>
      </w:pPr>
      <w:r>
        <w:rPr>
          <w:rStyle w:val="FootnoteReference"/>
        </w:rPr>
        <w:footnoteRef/>
      </w:r>
      <w:r>
        <w:t xml:space="preserve"> </w:t>
      </w:r>
      <w:r>
        <w:tab/>
        <w:t xml:space="preserve">See attachment 5 and </w:t>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Appendix B.1.2.</w:t>
      </w:r>
    </w:p>
  </w:footnote>
  <w:footnote w:id="167">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28</w:t>
      </w:r>
    </w:p>
  </w:footnote>
  <w:footnote w:id="168">
    <w:p w:rsidR="006B0748" w:rsidRDefault="006B0748" w:rsidP="006B0748">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xml:space="preserve">, pp. 1-2. </w:t>
      </w:r>
    </w:p>
  </w:footnote>
  <w:footnote w:id="169">
    <w:p w:rsidR="006B0748" w:rsidRDefault="006B0748" w:rsidP="006B0748">
      <w:pPr>
        <w:pStyle w:val="FootnoteText"/>
      </w:pPr>
      <w:r>
        <w:rPr>
          <w:rStyle w:val="FootnoteReference"/>
        </w:rPr>
        <w:footnoteRef/>
      </w:r>
      <w:r>
        <w:t xml:space="preserve"> </w:t>
      </w:r>
      <w:r>
        <w:tab/>
      </w:r>
      <w:r w:rsidRPr="0026461C">
        <w:t xml:space="preserve">AER, </w:t>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p. 67. </w:t>
      </w:r>
    </w:p>
  </w:footnote>
  <w:footnote w:id="170">
    <w:p w:rsidR="006B0748" w:rsidRDefault="006B0748" w:rsidP="006B0748">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p. 1.</w:t>
      </w:r>
    </w:p>
  </w:footnote>
  <w:footnote w:id="171">
    <w:p w:rsidR="006B0748" w:rsidRDefault="006B0748" w:rsidP="006B0748">
      <w:pPr>
        <w:pStyle w:val="FootnoteText"/>
      </w:pPr>
      <w:r>
        <w:rPr>
          <w:rStyle w:val="FootnoteReference"/>
        </w:rPr>
        <w:footnoteRef/>
      </w:r>
      <w:r>
        <w:t xml:space="preserve"> </w:t>
      </w:r>
      <w:r>
        <w:tab/>
        <w:t xml:space="preserve">See attachment 5. </w:t>
      </w:r>
    </w:p>
  </w:footnote>
  <w:footnote w:id="172">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rsidRPr="00C32E98">
        <w:t>, p</w:t>
      </w:r>
      <w:r>
        <w:t xml:space="preserve">. 150. </w:t>
      </w:r>
    </w:p>
  </w:footnote>
  <w:footnote w:id="173">
    <w:p w:rsidR="006B0748" w:rsidRDefault="006B0748" w:rsidP="006B0748">
      <w:pPr>
        <w:pStyle w:val="FootnoteText"/>
      </w:pPr>
      <w:r>
        <w:rPr>
          <w:rStyle w:val="FootnoteReference"/>
        </w:rPr>
        <w:footnoteRef/>
      </w:r>
      <w:r>
        <w:t xml:space="preserve"> </w:t>
      </w:r>
      <w:r>
        <w:tab/>
      </w:r>
      <w:proofErr w:type="gramStart"/>
      <w:r w:rsidRPr="000441D5">
        <w:t xml:space="preserve">CEG, </w:t>
      </w:r>
      <w:r w:rsidRPr="000441D5">
        <w:rPr>
          <w:rStyle w:val="AERtextitalic"/>
        </w:rPr>
        <w:t>Update to March 2012 Report</w:t>
      </w:r>
      <w:r w:rsidRPr="000441D5">
        <w:t>, November 2012</w:t>
      </w:r>
      <w:r>
        <w:t>, p. 32.</w:t>
      </w:r>
      <w:proofErr w:type="gramEnd"/>
    </w:p>
  </w:footnote>
  <w:footnote w:id="174">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7. </w:t>
      </w:r>
    </w:p>
  </w:footnote>
  <w:footnote w:id="175">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8. </w:t>
      </w:r>
    </w:p>
  </w:footnote>
  <w:footnote w:id="176">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5. </w:t>
      </w:r>
    </w:p>
  </w:footnote>
  <w:footnote w:id="177">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78">
    <w:p w:rsidR="006B0748" w:rsidRDefault="006B0748" w:rsidP="006B0748">
      <w:pPr>
        <w:pStyle w:val="FootnoteText"/>
      </w:pPr>
      <w:r>
        <w:rPr>
          <w:rStyle w:val="FootnoteReference"/>
        </w:rPr>
        <w:footnoteRef/>
      </w:r>
      <w:r>
        <w:t xml:space="preserve"> </w:t>
      </w:r>
      <w:r>
        <w:tab/>
        <w:t xml:space="preserve">McKenzie and Partington consider the period beginning about the 1970s and returned towards more normal levels about the start of the current century. </w:t>
      </w:r>
      <w:r w:rsidRPr="000441D5">
        <w:t xml:space="preserve">McKenzie and Partington, </w:t>
      </w:r>
      <w:r w:rsidRPr="000441D5">
        <w:rPr>
          <w:rStyle w:val="AERtextitalic"/>
        </w:rPr>
        <w:t>Review of the AER’s overall approach</w:t>
      </w:r>
      <w:r w:rsidRPr="000441D5">
        <w:t>, February 2013</w:t>
      </w:r>
      <w:r>
        <w:t xml:space="preserve">, p. 8. </w:t>
      </w:r>
    </w:p>
  </w:footnote>
  <w:footnote w:id="179">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80">
    <w:p w:rsidR="006B0748" w:rsidRDefault="006B0748" w:rsidP="006B0748">
      <w:pPr>
        <w:pStyle w:val="FootnoteText"/>
      </w:pPr>
      <w:r>
        <w:rPr>
          <w:rStyle w:val="FootnoteReference"/>
        </w:rPr>
        <w:footnoteRef/>
      </w:r>
      <w:r>
        <w:t xml:space="preserve"> </w:t>
      </w:r>
      <w:r>
        <w:tab/>
      </w:r>
      <w:r w:rsidRPr="000441D5">
        <w:t xml:space="preserve">McKenzie and Partington, </w:t>
      </w:r>
      <w:r w:rsidRPr="000441D5">
        <w:rPr>
          <w:rStyle w:val="AERtextitalic"/>
        </w:rPr>
        <w:t>Review of the AER’s overall approach</w:t>
      </w:r>
      <w:r w:rsidRPr="000441D5">
        <w:t>, February 2013</w:t>
      </w:r>
      <w:r>
        <w:t xml:space="preserve">, p. 13. </w:t>
      </w:r>
    </w:p>
  </w:footnote>
  <w:footnote w:id="181">
    <w:p w:rsidR="006B0748" w:rsidRDefault="006B0748" w:rsidP="006B0748">
      <w:pPr>
        <w:pStyle w:val="FootnoteText"/>
      </w:pPr>
      <w:r>
        <w:rPr>
          <w:rStyle w:val="FootnoteReference"/>
        </w:rPr>
        <w:footnoteRef/>
      </w:r>
      <w:r>
        <w:t xml:space="preserve"> </w:t>
      </w:r>
      <w:r>
        <w:tab/>
        <w:t xml:space="preserve">See for example, </w:t>
      </w:r>
      <w:r w:rsidRPr="001753A4">
        <w:t xml:space="preserve">Australian Competition Tribunal, </w:t>
      </w:r>
      <w:r w:rsidRPr="001753A4">
        <w:rPr>
          <w:rStyle w:val="AERtextitalic"/>
        </w:rPr>
        <w:t>Application by EnergyAustralia and Others (includes corrigendum dated 1 December 2009) [2009] ACompT 8,</w:t>
      </w:r>
      <w:r w:rsidRPr="001753A4">
        <w:t xml:space="preserve"> 12 November 2009</w:t>
      </w:r>
      <w:r>
        <w:t>, paragraph 91.</w:t>
      </w:r>
    </w:p>
  </w:footnote>
  <w:footnote w:id="182">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pp. 17-19. </w:t>
      </w:r>
    </w:p>
  </w:footnote>
  <w:footnote w:id="183">
    <w:p w:rsidR="006B0748" w:rsidRDefault="006B0748" w:rsidP="006B0748">
      <w:pPr>
        <w:pStyle w:val="FootnoteText"/>
      </w:pPr>
      <w:r>
        <w:rPr>
          <w:rStyle w:val="FootnoteReference"/>
        </w:rPr>
        <w:footnoteRef/>
      </w:r>
      <w:r>
        <w:t xml:space="preserve"> </w:t>
      </w:r>
      <w:r>
        <w:tab/>
      </w:r>
      <w:r w:rsidRPr="000C6801">
        <w:t xml:space="preserve">SFG, </w:t>
      </w:r>
      <w:r w:rsidRPr="000C6801">
        <w:rPr>
          <w:rStyle w:val="AERtextitalic"/>
        </w:rPr>
        <w:t>The required return on equity</w:t>
      </w:r>
      <w:r w:rsidRPr="000C6801">
        <w:t>, November 2012</w:t>
      </w:r>
      <w:r>
        <w:t xml:space="preserve">, pp. 53-54; </w:t>
      </w:r>
      <w:r w:rsidRPr="0044387A">
        <w:t xml:space="preserve">CEG, </w:t>
      </w:r>
      <w:r w:rsidRPr="0044387A">
        <w:rPr>
          <w:rStyle w:val="AERtextitalic"/>
        </w:rPr>
        <w:t>Response to the AER Vic gas draft decisions</w:t>
      </w:r>
      <w:r w:rsidRPr="0044387A">
        <w:t>, November 2012</w:t>
      </w:r>
      <w:r>
        <w:t xml:space="preserve">, p. 19;  </w:t>
      </w:r>
      <w:r w:rsidRPr="000441D5">
        <w:t xml:space="preserve">CEG, </w:t>
      </w:r>
      <w:r w:rsidRPr="000441D5">
        <w:rPr>
          <w:rStyle w:val="AERtextitalic"/>
        </w:rPr>
        <w:t>Update to March 2012 Report</w:t>
      </w:r>
      <w:r w:rsidRPr="000441D5">
        <w:t>, November 2012</w:t>
      </w:r>
      <w:r>
        <w:t xml:space="preserve">, pp. 24-25. CEG suggests the AER did not apply the logic from its discussion of the EnergyAustralia matter to the MRP. This decision considers the consistency of the AER's approach in section B.3.1. </w:t>
      </w:r>
    </w:p>
  </w:footnote>
  <w:footnote w:id="184">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pp. 21-23. </w:t>
      </w:r>
    </w:p>
  </w:footnote>
  <w:footnote w:id="185">
    <w:p w:rsidR="006B0748" w:rsidRDefault="006B0748" w:rsidP="006B0748">
      <w:pPr>
        <w:pStyle w:val="FootnoteText"/>
      </w:pPr>
      <w:r>
        <w:rPr>
          <w:rStyle w:val="FootnoteReference"/>
        </w:rPr>
        <w:footnoteRef/>
      </w:r>
      <w:r>
        <w:t xml:space="preserve"> </w:t>
      </w:r>
      <w:r>
        <w:tab/>
      </w:r>
      <w:r w:rsidRPr="00B725C2">
        <w:t xml:space="preserve">AER, </w:t>
      </w:r>
      <w:r w:rsidRPr="00B725C2">
        <w:rPr>
          <w:rStyle w:val="AERtextitalic"/>
        </w:rPr>
        <w:t>Draft decision: Access arrangement draft decision: Multinet Gas (DB No. 1) Pty Ltd, Multinet Gas (DB No. 2) Pty Ltd,</w:t>
      </w:r>
      <w:r w:rsidRPr="00B725C2">
        <w:t xml:space="preserve"> September 2012</w:t>
      </w:r>
      <w:r>
        <w:t xml:space="preserve">, Appendix B, pp. 1-3. </w:t>
      </w:r>
    </w:p>
  </w:footnote>
  <w:footnote w:id="186">
    <w:p w:rsidR="006B0748" w:rsidRDefault="006B0748" w:rsidP="006B0748">
      <w:pPr>
        <w:pStyle w:val="FootnoteText"/>
      </w:pPr>
      <w:r>
        <w:rPr>
          <w:rStyle w:val="FootnoteReference"/>
        </w:rPr>
        <w:footnoteRef/>
      </w:r>
      <w:r>
        <w:t xml:space="preserve"> </w:t>
      </w:r>
      <w:r>
        <w:tab/>
        <w:t xml:space="preserve">AER, </w:t>
      </w:r>
      <w:r w:rsidRPr="00906768">
        <w:rPr>
          <w:rStyle w:val="AERtextitalic"/>
        </w:rPr>
        <w:t xml:space="preserve">Letter to </w:t>
      </w:r>
      <w:r>
        <w:rPr>
          <w:rStyle w:val="AERtextitalic"/>
        </w:rPr>
        <w:t>Multinet</w:t>
      </w:r>
      <w:r>
        <w:t xml:space="preserve">, 5 April 2012. </w:t>
      </w:r>
    </w:p>
  </w:footnote>
  <w:footnote w:id="187">
    <w:p w:rsidR="006B0748" w:rsidRDefault="006B0748" w:rsidP="006B0748">
      <w:pPr>
        <w:pStyle w:val="FootnoteText"/>
      </w:pPr>
      <w:r>
        <w:rPr>
          <w:rStyle w:val="FootnoteReference"/>
        </w:rPr>
        <w:footnoteRef/>
      </w:r>
      <w:r>
        <w:t xml:space="preserve"> </w:t>
      </w:r>
      <w:r>
        <w:tab/>
        <w:t>The draft decision was due to be released on 12 September 2012 with the final decision expected to be released on 13 March 2013.</w:t>
      </w:r>
    </w:p>
  </w:footnote>
  <w:footnote w:id="188">
    <w:p w:rsidR="006B0748" w:rsidRDefault="006B0748" w:rsidP="006B0748">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19. </w:t>
      </w:r>
    </w:p>
  </w:footnote>
  <w:footnote w:id="189">
    <w:p w:rsidR="006B0748" w:rsidRDefault="006B0748" w:rsidP="006B0748">
      <w:pPr>
        <w:pStyle w:val="FootnoteText"/>
      </w:pPr>
      <w:r>
        <w:rPr>
          <w:rStyle w:val="FootnoteReference"/>
        </w:rPr>
        <w:footnoteRef/>
      </w:r>
      <w:r>
        <w:t xml:space="preserve"> </w:t>
      </w:r>
      <w:r>
        <w:tab/>
        <w:t xml:space="preserve">Corrs Chambers Westgarth, </w:t>
      </w:r>
      <w:r w:rsidRPr="00741BD8">
        <w:rPr>
          <w:i/>
        </w:rPr>
        <w:t>Appendix B – market risk premium, the Australian Energy Regulator’s submissions</w:t>
      </w:r>
      <w:r>
        <w:t>, 11 November 2011, pp. 17–18.</w:t>
      </w:r>
    </w:p>
  </w:footnote>
  <w:footnote w:id="190">
    <w:p w:rsidR="006B0748" w:rsidRDefault="006B0748" w:rsidP="006B0748">
      <w:pPr>
        <w:pStyle w:val="FootnoteText"/>
      </w:pPr>
      <w:r>
        <w:rPr>
          <w:rStyle w:val="FootnoteReference"/>
        </w:rPr>
        <w:footnoteRef/>
      </w:r>
      <w:r>
        <w:t xml:space="preserve"> </w:t>
      </w:r>
      <w:r>
        <w:tab/>
      </w:r>
      <w:proofErr w:type="gramStart"/>
      <w:r>
        <w:t xml:space="preserve">SFG, </w:t>
      </w:r>
      <w:r w:rsidRPr="00B8336D">
        <w:rPr>
          <w:rStyle w:val="AERtextitalic"/>
        </w:rPr>
        <w:t>Market risk premium, Report for APT Petroleum Pipelines Ltd</w:t>
      </w:r>
      <w:r>
        <w:t xml:space="preserve">, 11 October 2011, p. 16 (SFG, </w:t>
      </w:r>
      <w:r w:rsidRPr="00B8336D">
        <w:rPr>
          <w:rStyle w:val="AERtextitalic"/>
        </w:rPr>
        <w:t>MRP for APTPPL</w:t>
      </w:r>
      <w:r>
        <w:t>, October 2011).</w:t>
      </w:r>
      <w:proofErr w:type="gramEnd"/>
    </w:p>
  </w:footnote>
  <w:footnote w:id="191">
    <w:p w:rsidR="006B0748" w:rsidRDefault="006B0748" w:rsidP="006B0748">
      <w:pPr>
        <w:pStyle w:val="FootnoteText"/>
      </w:pPr>
      <w:r>
        <w:rPr>
          <w:rStyle w:val="FootnoteReference"/>
        </w:rPr>
        <w:footnoteRef/>
      </w:r>
      <w:r>
        <w:t xml:space="preserve"> </w:t>
      </w:r>
      <w:r>
        <w:tab/>
        <w:t xml:space="preserve">In the Harvard case study, it assumes the probability of distribution is known. Since there is no uncertainty about the arithmetic mean of the return, the probably of measuring the MRP as discussed in the MRP section largely goes away. See further discussion at: M. McKenzie and G. Partington, </w:t>
      </w:r>
      <w:r w:rsidRPr="00B8336D">
        <w:rPr>
          <w:rStyle w:val="AERtextitalic"/>
        </w:rPr>
        <w:t>Report to the AER,</w:t>
      </w:r>
      <w:r>
        <w:t xml:space="preserve"> </w:t>
      </w:r>
      <w:r w:rsidRPr="007D412A">
        <w:t>Supplementary report on the equity market risk premium</w:t>
      </w:r>
      <w:r>
        <w:t xml:space="preserve">, 22 February 2012, pp. 5–6 (McKenzie and Partington, </w:t>
      </w:r>
      <w:r>
        <w:rPr>
          <w:rStyle w:val="AERtextitalic"/>
        </w:rPr>
        <w:t>Supplementary report on the MRP</w:t>
      </w:r>
      <w:r>
        <w:t>, February 2012).</w:t>
      </w:r>
    </w:p>
  </w:footnote>
  <w:footnote w:id="192">
    <w:p w:rsidR="006B0748" w:rsidRDefault="006B0748" w:rsidP="006B0748">
      <w:pPr>
        <w:pStyle w:val="FootnoteText"/>
      </w:pPr>
      <w:r>
        <w:rPr>
          <w:rStyle w:val="FootnoteReference"/>
        </w:rPr>
        <w:footnoteRef/>
      </w:r>
      <w:r>
        <w:t xml:space="preserve"> </w:t>
      </w:r>
      <w:r>
        <w:tab/>
        <w:t xml:space="preserve">Blume, "Unbiased estimators of long-run expected rates of return", </w:t>
      </w:r>
      <w:r w:rsidRPr="00440AE8">
        <w:rPr>
          <w:rStyle w:val="AERtextitalic"/>
        </w:rPr>
        <w:t>Journal of the American Statistical Association</w:t>
      </w:r>
      <w:r>
        <w:t>, September 1974, Volume 69, Number 347, Applications Section, p.634</w:t>
      </w:r>
    </w:p>
  </w:footnote>
  <w:footnote w:id="193">
    <w:p w:rsidR="006B0748" w:rsidRDefault="006B0748" w:rsidP="006B0748">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p.21.</w:t>
      </w:r>
      <w:proofErr w:type="gramEnd"/>
    </w:p>
  </w:footnote>
  <w:footnote w:id="194">
    <w:p w:rsidR="006B0748" w:rsidRDefault="006B0748" w:rsidP="006B0748">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p.22.</w:t>
      </w:r>
      <w:proofErr w:type="gramEnd"/>
    </w:p>
  </w:footnote>
  <w:footnote w:id="195">
    <w:p w:rsidR="006B0748" w:rsidRDefault="006B0748" w:rsidP="006B0748">
      <w:pPr>
        <w:pStyle w:val="FootnoteText"/>
      </w:pPr>
      <w:r>
        <w:rPr>
          <w:rStyle w:val="FootnoteReference"/>
        </w:rPr>
        <w:footnoteRef/>
      </w:r>
      <w:r>
        <w:t xml:space="preserve"> </w:t>
      </w:r>
      <w:r>
        <w:tab/>
      </w:r>
      <w:r w:rsidRPr="005D4237">
        <w:t xml:space="preserve">McKenzie and Partington, </w:t>
      </w:r>
      <w:r w:rsidRPr="005D4237">
        <w:rPr>
          <w:rStyle w:val="AERtextitalic"/>
        </w:rPr>
        <w:t>Equity market risk premium</w:t>
      </w:r>
      <w:r w:rsidRPr="005D4237">
        <w:t>, December 2011</w:t>
      </w:r>
      <w:r>
        <w:t>, pp.10-12</w:t>
      </w:r>
    </w:p>
  </w:footnote>
  <w:footnote w:id="196">
    <w:p w:rsidR="006B0748" w:rsidRDefault="006B0748" w:rsidP="006B0748">
      <w:pPr>
        <w:pStyle w:val="FootnoteText"/>
      </w:pPr>
      <w:r>
        <w:rPr>
          <w:rStyle w:val="FootnoteReference"/>
        </w:rPr>
        <w:footnoteRef/>
      </w:r>
      <w:r>
        <w:t xml:space="preserve"> </w:t>
      </w:r>
      <w:r>
        <w:tab/>
        <w:t xml:space="preserve">See:  Blume, "Unbiased estimators of long-run expected rates of return", </w:t>
      </w:r>
      <w:r w:rsidRPr="00440AE8">
        <w:rPr>
          <w:rStyle w:val="AERtextitalic"/>
        </w:rPr>
        <w:t>Journal of the American Statistical Association</w:t>
      </w:r>
      <w:r>
        <w:t xml:space="preserve">, September 1974, Volume 69, Number 347, Applications Section, pp.634-638. </w:t>
      </w:r>
      <w:r w:rsidRPr="00347550">
        <w:t>Indro, D.C. and Lee, W.Y. “Biases in arithmetic and geometric averages as estimates</w:t>
      </w:r>
      <w:r>
        <w:t xml:space="preserve"> </w:t>
      </w:r>
      <w:r w:rsidRPr="00347550">
        <w:t xml:space="preserve">of long-run expected returns and risk premia”, </w:t>
      </w:r>
      <w:r w:rsidRPr="00347550">
        <w:rPr>
          <w:rStyle w:val="AERtextitalic"/>
        </w:rPr>
        <w:t>Financial Management</w:t>
      </w:r>
      <w:r w:rsidRPr="00347550">
        <w:t xml:space="preserve">, 26, </w:t>
      </w:r>
      <w:r>
        <w:t>1997, pp.</w:t>
      </w:r>
      <w:r w:rsidRPr="00347550">
        <w:t>81–90</w:t>
      </w:r>
      <w:r>
        <w:t xml:space="preserve">; </w:t>
      </w:r>
      <w:r w:rsidRPr="00347550">
        <w:t>Dimson, E., M</w:t>
      </w:r>
      <w:r>
        <w:t xml:space="preserve">arsh, P. and Staunton, M. </w:t>
      </w:r>
      <w:r w:rsidRPr="00347550">
        <w:t xml:space="preserve"> “Global Evidence on the Equity Risk</w:t>
      </w:r>
      <w:r>
        <w:t xml:space="preserve"> </w:t>
      </w:r>
      <w:r w:rsidRPr="00347550">
        <w:t xml:space="preserve">Premium”, </w:t>
      </w:r>
      <w:r w:rsidRPr="00C35376">
        <w:rPr>
          <w:rStyle w:val="AERtextitalic"/>
        </w:rPr>
        <w:t>Journal of Applied Corporate Finance</w:t>
      </w:r>
      <w:r w:rsidRPr="00347550">
        <w:t>, 15,</w:t>
      </w:r>
      <w:r>
        <w:t xml:space="preserve"> 2003, pp. 27 - 38;</w:t>
      </w:r>
      <w:r w:rsidRPr="00347550">
        <w:t xml:space="preserve"> </w:t>
      </w:r>
      <w:r w:rsidRPr="00C35376">
        <w:t xml:space="preserve">Hathaway, N. </w:t>
      </w:r>
      <w:r w:rsidRPr="00C35376">
        <w:rPr>
          <w:rStyle w:val="AERtextitalic"/>
        </w:rPr>
        <w:t>Australian Market Risk Premium</w:t>
      </w:r>
      <w:r w:rsidRPr="00C35376">
        <w:t>, Capital Research Pty Ltd.</w:t>
      </w:r>
      <w:r>
        <w:t xml:space="preserve"> 2005 </w:t>
      </w:r>
      <w:r w:rsidRPr="00347550">
        <w:t xml:space="preserve">and </w:t>
      </w:r>
      <w:r>
        <w:t xml:space="preserve">Campbell, J. </w:t>
      </w:r>
      <w:r w:rsidRPr="00CC5C22">
        <w:t xml:space="preserve">“Estimating the Equity Risk Premium”, Working Paper 13423, </w:t>
      </w:r>
      <w:r w:rsidRPr="00CC5C22">
        <w:rPr>
          <w:rStyle w:val="AERtextitalic"/>
        </w:rPr>
        <w:t>NBER Working Paper Series</w:t>
      </w:r>
      <w:r w:rsidRPr="00CC5C22">
        <w:t>, September</w:t>
      </w:r>
      <w:r>
        <w:t>, 2007</w:t>
      </w:r>
    </w:p>
  </w:footnote>
  <w:footnote w:id="197">
    <w:p w:rsidR="006B0748" w:rsidRDefault="006B0748" w:rsidP="006B0748">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p.30</w:t>
      </w:r>
    </w:p>
  </w:footnote>
  <w:footnote w:id="198">
    <w:p w:rsidR="006B0748" w:rsidRDefault="006B0748" w:rsidP="006B0748">
      <w:pPr>
        <w:pStyle w:val="FootnoteText"/>
      </w:pPr>
      <w:r>
        <w:rPr>
          <w:rStyle w:val="FootnoteReference"/>
        </w:rPr>
        <w:footnoteRef/>
      </w:r>
      <w:r>
        <w:t xml:space="preserve"> </w:t>
      </w:r>
      <w:r>
        <w:tab/>
        <w:t xml:space="preserve">Lally, </w:t>
      </w:r>
      <w:r w:rsidRPr="00C57674">
        <w:rPr>
          <w:rStyle w:val="AERtextitalic"/>
        </w:rPr>
        <w:t>Review of the AER's methodology</w:t>
      </w:r>
      <w:r>
        <w:t>, March 2013</w:t>
      </w:r>
      <w:r w:rsidRPr="00DA3AE6">
        <w:t>,</w:t>
      </w:r>
      <w:r>
        <w:t xml:space="preserve"> p.30.</w:t>
      </w:r>
    </w:p>
  </w:footnote>
  <w:footnote w:id="199">
    <w:p w:rsidR="006B0748" w:rsidRDefault="006B0748" w:rsidP="006B0748">
      <w:pPr>
        <w:pStyle w:val="FootnoteText"/>
      </w:pPr>
      <w:r>
        <w:rPr>
          <w:rStyle w:val="FootnoteReference"/>
        </w:rPr>
        <w:footnoteRef/>
      </w:r>
      <w:r>
        <w:t xml:space="preserve"> </w:t>
      </w:r>
      <w:r>
        <w:tab/>
        <w:t xml:space="preserve">Asher, Equity risk premium survey 2012: results and comments, </w:t>
      </w:r>
      <w:r w:rsidRPr="00A13F61">
        <w:rPr>
          <w:rStyle w:val="AERtextitalic"/>
        </w:rPr>
        <w:t>Actuaries Australia</w:t>
      </w:r>
      <w:r>
        <w:t>, July 2012, issue 171, p. 28</w:t>
      </w:r>
    </w:p>
  </w:footnote>
  <w:footnote w:id="200">
    <w:p w:rsidR="006B0748" w:rsidRDefault="006B0748" w:rsidP="006B0748">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p.31</w:t>
      </w:r>
    </w:p>
  </w:footnote>
  <w:footnote w:id="201">
    <w:p w:rsidR="006B0748" w:rsidRDefault="006B0748" w:rsidP="006B0748">
      <w:pPr>
        <w:pStyle w:val="FootnoteText"/>
      </w:pPr>
      <w:r>
        <w:rPr>
          <w:rStyle w:val="FootnoteReference"/>
        </w:rPr>
        <w:footnoteRef/>
      </w:r>
      <w:r>
        <w:t xml:space="preserve"> </w:t>
      </w:r>
      <w:r>
        <w:tab/>
        <w:t xml:space="preserve">SFG, </w:t>
      </w:r>
      <w:r>
        <w:rPr>
          <w:rStyle w:val="AERtextitalic"/>
        </w:rPr>
        <w:t xml:space="preserve">MRP </w:t>
      </w:r>
      <w:r w:rsidRPr="00510FB0">
        <w:rPr>
          <w:rStyle w:val="AERtextitalic"/>
        </w:rPr>
        <w:t>for APT</w:t>
      </w:r>
      <w:r>
        <w:rPr>
          <w:rStyle w:val="AERtextitalic"/>
        </w:rPr>
        <w:t>PPL</w:t>
      </w:r>
      <w:r>
        <w:t xml:space="preserve">, October 2011, p. 11. </w:t>
      </w:r>
    </w:p>
  </w:footnote>
  <w:footnote w:id="202">
    <w:p w:rsidR="006B0748" w:rsidRDefault="006B0748" w:rsidP="006B0748">
      <w:pPr>
        <w:pStyle w:val="FootnoteText"/>
      </w:pPr>
      <w:r>
        <w:rPr>
          <w:rStyle w:val="FootnoteReference"/>
        </w:rPr>
        <w:footnoteRef/>
      </w:r>
      <w:r>
        <w:t xml:space="preserve"> </w:t>
      </w:r>
      <w:r>
        <w:tab/>
      </w:r>
      <w:proofErr w:type="gramStart"/>
      <w:r>
        <w:t xml:space="preserve">SFG, </w:t>
      </w:r>
      <w:r w:rsidRPr="00DA3AE6">
        <w:rPr>
          <w:rStyle w:val="AERtextitalic"/>
        </w:rPr>
        <w:t>The required return on equity</w:t>
      </w:r>
      <w:r w:rsidRPr="00DA3AE6">
        <w:t>, November 2012</w:t>
      </w:r>
      <w:r>
        <w:t>, pp. 12, 35–45.</w:t>
      </w:r>
      <w:proofErr w:type="gramEnd"/>
    </w:p>
  </w:footnote>
  <w:footnote w:id="203">
    <w:p w:rsidR="006B0748" w:rsidRDefault="006B0748" w:rsidP="006B0748">
      <w:pPr>
        <w:pStyle w:val="FootnoteText"/>
      </w:pPr>
      <w:r>
        <w:rPr>
          <w:rStyle w:val="FootnoteReference"/>
        </w:rPr>
        <w:footnoteRef/>
      </w:r>
      <w:r>
        <w:t xml:space="preserve"> </w:t>
      </w:r>
      <w:r>
        <w:tab/>
        <w:t xml:space="preserve">Specifically, CEG stated that given increasing risk premiums on low risk assets, there is no plausible basis for concluding that risk premiums on riskier equity assets have remained constant. CEG, however, </w:t>
      </w:r>
      <w:r w:rsidRPr="0058344C">
        <w:t>stated previously that it is a well accepted empirical fact that spreads between government bonds</w:t>
      </w:r>
      <w:r>
        <w:t xml:space="preserve"> (that is, low risk assets)</w:t>
      </w:r>
      <w:r w:rsidRPr="0058344C">
        <w:t xml:space="preserve"> and others assets are explained by more than just differences in risks.</w:t>
      </w:r>
      <w:r>
        <w:t xml:space="preserve"> CEG, Update to March 2012 report, p. 13; CEG, </w:t>
      </w:r>
      <w:r w:rsidRPr="0058344C">
        <w:rPr>
          <w:rStyle w:val="AERtextitalic"/>
        </w:rPr>
        <w:t>Establishing a proxy for the risk free rate – A report for the APIA, ENA and Grid Australia</w:t>
      </w:r>
      <w:r>
        <w:t>, 17 September 2008, p. 5.</w:t>
      </w:r>
    </w:p>
  </w:footnote>
  <w:footnote w:id="204">
    <w:p w:rsidR="006B0748" w:rsidRDefault="006B0748" w:rsidP="006B0748">
      <w:pPr>
        <w:pStyle w:val="FootnoteText"/>
      </w:pPr>
      <w:r>
        <w:rPr>
          <w:rStyle w:val="FootnoteReference"/>
        </w:rPr>
        <w:footnoteRef/>
      </w:r>
      <w:r>
        <w:t xml:space="preserve"> </w:t>
      </w:r>
      <w:r>
        <w:tab/>
      </w:r>
      <w:r w:rsidRPr="00776BA5">
        <w:t xml:space="preserve">M. McKenzie and G. Partington, </w:t>
      </w:r>
      <w:r w:rsidRPr="00E312B6">
        <w:rPr>
          <w:rStyle w:val="AERtextitalic"/>
        </w:rPr>
        <w:t>The relationship between the cost of debt and the cost of equity</w:t>
      </w:r>
      <w:r w:rsidRPr="00776BA5">
        <w:t>, March 2013</w:t>
      </w:r>
      <w:r>
        <w:t>, p. 10. (</w:t>
      </w:r>
      <w:r w:rsidRPr="00776BA5">
        <w:t xml:space="preserve">McKenzie and Partington, </w:t>
      </w:r>
      <w:r w:rsidRPr="00E312B6">
        <w:rPr>
          <w:rStyle w:val="AERtextitalic"/>
        </w:rPr>
        <w:t>Relationship between cost of debt and cost of equity</w:t>
      </w:r>
      <w:r w:rsidRPr="00776BA5">
        <w:t>, March 2013</w:t>
      </w:r>
      <w:r>
        <w:t>)</w:t>
      </w:r>
    </w:p>
  </w:footnote>
  <w:footnote w:id="205">
    <w:p w:rsidR="006B0748" w:rsidRDefault="006B0748" w:rsidP="006B0748">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pp. 6–7.</w:t>
      </w:r>
    </w:p>
  </w:footnote>
  <w:footnote w:id="206">
    <w:p w:rsidR="006B0748" w:rsidRDefault="006B0748" w:rsidP="006B0748">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207">
    <w:p w:rsidR="006B0748" w:rsidRDefault="006B0748" w:rsidP="006B0748">
      <w:pPr>
        <w:pStyle w:val="FootnoteText"/>
      </w:pPr>
      <w:r>
        <w:rPr>
          <w:rStyle w:val="FootnoteReference"/>
        </w:rPr>
        <w:footnoteRef/>
      </w:r>
      <w:r>
        <w:t xml:space="preserve"> </w:t>
      </w:r>
      <w:r>
        <w:tab/>
        <w:t xml:space="preserve">For example, SFG fail to consider the impact of promised debt returns versus expected equity returns when comparing the returns available to non–resident investors. </w:t>
      </w:r>
      <w:proofErr w:type="gramStart"/>
      <w:r w:rsidRPr="00B84159">
        <w:t xml:space="preserve">SFG, </w:t>
      </w:r>
      <w:r w:rsidRPr="00CE6DCC">
        <w:rPr>
          <w:rStyle w:val="AERtextitalic"/>
        </w:rPr>
        <w:t>The required return on equity</w:t>
      </w:r>
      <w:r w:rsidRPr="00B84159">
        <w:t>, November 2012</w:t>
      </w:r>
      <w:r>
        <w:t>, p. 14.</w:t>
      </w:r>
      <w:proofErr w:type="gramEnd"/>
    </w:p>
  </w:footnote>
  <w:footnote w:id="208">
    <w:p w:rsidR="006B0748" w:rsidRDefault="006B0748" w:rsidP="006B0748">
      <w:pPr>
        <w:pStyle w:val="FootnoteText"/>
      </w:pPr>
      <w:r>
        <w:rPr>
          <w:rStyle w:val="FootnoteReference"/>
        </w:rPr>
        <w:footnoteRef/>
      </w:r>
      <w:r>
        <w:t xml:space="preserve"> </w:t>
      </w:r>
      <w:r>
        <w:tab/>
        <w:t xml:space="preserve">For clarity, the return on equity estimated by the AER </w:t>
      </w:r>
      <w:r w:rsidRPr="006C4F2D">
        <w:t xml:space="preserve">is an expected return, while the return on debt is a promised return. </w:t>
      </w:r>
      <w:r>
        <w:t xml:space="preserve">The AER is not suggesting adjustment to these estimates for the purpose of calculating the AER’s overall rate of return estimate. If comparisons between debt and equity returns are being made, or inferences drawn from comparisons, then the corresponding estimates should reflect a consistent basis.  </w:t>
      </w:r>
    </w:p>
  </w:footnote>
  <w:footnote w:id="209">
    <w:p w:rsidR="006B0748" w:rsidRDefault="006B0748" w:rsidP="006B0748">
      <w:pPr>
        <w:pStyle w:val="FootnoteText"/>
      </w:pPr>
      <w:r>
        <w:rPr>
          <w:rStyle w:val="FootnoteReference"/>
        </w:rPr>
        <w:footnoteRef/>
      </w:r>
      <w:r>
        <w:t xml:space="preserve"> </w:t>
      </w:r>
      <w:r>
        <w:tab/>
      </w:r>
      <w:r w:rsidRPr="002E2BF3">
        <w:t xml:space="preserve">M. Lally, </w:t>
      </w:r>
      <w:r w:rsidRPr="004608D3">
        <w:rPr>
          <w:rStyle w:val="AERtextitalic"/>
        </w:rPr>
        <w:t>The dividend growth model</w:t>
      </w:r>
      <w:r>
        <w:t>, February 2013, pp.20-21.</w:t>
      </w:r>
    </w:p>
  </w:footnote>
  <w:footnote w:id="210">
    <w:p w:rsidR="006B0748" w:rsidRDefault="006B0748" w:rsidP="006B0748">
      <w:pPr>
        <w:pStyle w:val="FootnoteText"/>
      </w:pPr>
      <w:r>
        <w:rPr>
          <w:rStyle w:val="FootnoteReference"/>
        </w:rPr>
        <w:footnoteRef/>
      </w:r>
      <w:r>
        <w:t xml:space="preserve"> </w:t>
      </w:r>
      <w:r>
        <w:tab/>
      </w:r>
      <w:r w:rsidRPr="006431B1">
        <w:t xml:space="preserve">CEG, </w:t>
      </w:r>
      <w:r w:rsidRPr="006431B1">
        <w:rPr>
          <w:rStyle w:val="AERtextitalic"/>
        </w:rPr>
        <w:t>Update to March 2012 Report</w:t>
      </w:r>
      <w:r w:rsidRPr="006431B1">
        <w:t>, November 2012</w:t>
      </w:r>
      <w:r>
        <w:t>; Capital Research</w:t>
      </w:r>
      <w:r w:rsidRPr="00FE3399">
        <w:rPr>
          <w:rStyle w:val="AERtextitalic"/>
        </w:rPr>
        <w:t>, Forward estimate of the market risk premium: update</w:t>
      </w:r>
      <w:r>
        <w:t xml:space="preserve">, March 2012; </w:t>
      </w:r>
      <w:r w:rsidRPr="006431B1">
        <w:t xml:space="preserve">NERA, </w:t>
      </w:r>
      <w:r w:rsidRPr="006431B1">
        <w:rPr>
          <w:rStyle w:val="AERtextitalic"/>
        </w:rPr>
        <w:t>Prevailing conditions and the MRP</w:t>
      </w:r>
      <w:r w:rsidRPr="006431B1">
        <w:t>, March 2012</w:t>
      </w:r>
      <w:r>
        <w:t>;</w:t>
      </w:r>
    </w:p>
  </w:footnote>
  <w:footnote w:id="211">
    <w:p w:rsidR="006B0748" w:rsidRDefault="006B0748" w:rsidP="006B0748">
      <w:pPr>
        <w:pStyle w:val="FootnoteText"/>
      </w:pPr>
      <w:r>
        <w:rPr>
          <w:rStyle w:val="FootnoteReference"/>
        </w:rPr>
        <w:footnoteRef/>
      </w:r>
      <w:r>
        <w:t xml:space="preserve"> </w:t>
      </w:r>
      <w:r>
        <w:tab/>
      </w:r>
      <w:r w:rsidRPr="006431B1">
        <w:t xml:space="preserve">Lally, </w:t>
      </w:r>
      <w:r w:rsidRPr="006431B1">
        <w:rPr>
          <w:rStyle w:val="AERtextitalic"/>
        </w:rPr>
        <w:t>The dividend growth model</w:t>
      </w:r>
      <w:r w:rsidRPr="006431B1">
        <w:t xml:space="preserve">, </w:t>
      </w:r>
      <w:r>
        <w:t>March</w:t>
      </w:r>
      <w:r w:rsidRPr="006431B1">
        <w:t xml:space="preserve"> 2013</w:t>
      </w:r>
      <w:r>
        <w:t>, p. 22</w:t>
      </w:r>
    </w:p>
  </w:footnote>
  <w:footnote w:id="212">
    <w:p w:rsidR="006B0748" w:rsidRDefault="006B0748" w:rsidP="006B0748">
      <w:pPr>
        <w:pStyle w:val="FootnoteText"/>
      </w:pPr>
      <w:r>
        <w:rPr>
          <w:rStyle w:val="FootnoteReference"/>
        </w:rPr>
        <w:footnoteRef/>
      </w:r>
      <w:r>
        <w:t xml:space="preserve"> </w:t>
      </w:r>
      <w:r>
        <w:tab/>
      </w:r>
      <w:proofErr w:type="gramStart"/>
      <w:r w:rsidRPr="00AB1F3D">
        <w:t>McKenzie and Partington</w:t>
      </w:r>
      <w:r>
        <w:t xml:space="preserve">, </w:t>
      </w:r>
      <w:r w:rsidRPr="00EB4924">
        <w:rPr>
          <w:i/>
        </w:rPr>
        <w:t>Equity market risk premium</w:t>
      </w:r>
      <w:r>
        <w:t>, December 2011, p. 27.</w:t>
      </w:r>
      <w:proofErr w:type="gramEnd"/>
    </w:p>
  </w:footnote>
  <w:footnote w:id="213">
    <w:p w:rsidR="006B0748" w:rsidRDefault="006B0748" w:rsidP="006B0748">
      <w:pPr>
        <w:pStyle w:val="FootnoteText"/>
      </w:pPr>
      <w:r>
        <w:rPr>
          <w:rStyle w:val="FootnoteReference"/>
        </w:rPr>
        <w:footnoteRef/>
      </w:r>
      <w:r>
        <w:t xml:space="preserve"> </w:t>
      </w:r>
      <w:r>
        <w:tab/>
        <w:t xml:space="preserve">Capital Research, </w:t>
      </w:r>
      <w:r>
        <w:rPr>
          <w:rStyle w:val="AERtextitalic"/>
        </w:rPr>
        <w:t>Forward estimate of the market risk premium: Update: A response to the draft distribution determination by the AER for Aurora Energy Pty Ltd</w:t>
      </w:r>
      <w:r>
        <w:t xml:space="preserve">, February 2012, pp. 19–23 (Capital Research, </w:t>
      </w:r>
      <w:r w:rsidRPr="00B8336D">
        <w:rPr>
          <w:rStyle w:val="AERtextitalic"/>
        </w:rPr>
        <w:t xml:space="preserve">MRP </w:t>
      </w:r>
      <w:r>
        <w:rPr>
          <w:rStyle w:val="AERtextitalic"/>
        </w:rPr>
        <w:t xml:space="preserve">estimate </w:t>
      </w:r>
      <w:r w:rsidRPr="00B8336D">
        <w:rPr>
          <w:rStyle w:val="AERtextitalic"/>
        </w:rPr>
        <w:t>for the Aurora determination</w:t>
      </w:r>
      <w:r>
        <w:t>, February 2012).</w:t>
      </w:r>
    </w:p>
  </w:footnote>
  <w:footnote w:id="214">
    <w:p w:rsidR="006B0748" w:rsidRDefault="006B0748" w:rsidP="006B0748">
      <w:pPr>
        <w:pStyle w:val="FootnoteText"/>
      </w:pPr>
      <w:r>
        <w:rPr>
          <w:rStyle w:val="FootnoteReference"/>
        </w:rPr>
        <w:footnoteRef/>
      </w:r>
      <w:r>
        <w:t xml:space="preserve"> </w:t>
      </w:r>
      <w:r>
        <w:tab/>
        <w:t xml:space="preserve">Capital Research, </w:t>
      </w:r>
      <w:r>
        <w:rPr>
          <w:rStyle w:val="AERtextitalic"/>
        </w:rPr>
        <w:t>MRP estimate for the Aurora determination</w:t>
      </w:r>
      <w:r>
        <w:t>, February 2012, Table 2, p.21.</w:t>
      </w:r>
    </w:p>
  </w:footnote>
  <w:footnote w:id="215">
    <w:p w:rsidR="006B0748" w:rsidRDefault="006B0748" w:rsidP="006B0748">
      <w:pPr>
        <w:pStyle w:val="FootnoteText"/>
      </w:pPr>
      <w:r>
        <w:rPr>
          <w:rStyle w:val="FootnoteReference"/>
        </w:rPr>
        <w:footnoteRef/>
      </w:r>
      <w:r>
        <w:t xml:space="preserve"> </w:t>
      </w:r>
      <w:r>
        <w:tab/>
        <w:t xml:space="preserve">Capital Research, </w:t>
      </w:r>
      <w:r>
        <w:rPr>
          <w:rStyle w:val="AERtextitalic"/>
        </w:rPr>
        <w:t>Forward estimate of the market risk premium: Update: A report prepared for the Victorian gas transmission and distribution businesses: APA Group, Envestra, Multinet Gas and SP AusNet</w:t>
      </w:r>
      <w:r>
        <w:t xml:space="preserve">, March 2012, p. 33 (Capital Research, </w:t>
      </w:r>
      <w:r w:rsidRPr="00B8336D">
        <w:rPr>
          <w:rStyle w:val="AERtextitalic"/>
        </w:rPr>
        <w:t>MRP estimate for the Vic NSPs</w:t>
      </w:r>
      <w:r>
        <w:t>, March 2012).</w:t>
      </w:r>
    </w:p>
  </w:footnote>
  <w:footnote w:id="216">
    <w:p w:rsidR="006B0748" w:rsidRDefault="006B0748" w:rsidP="006B0748">
      <w:pPr>
        <w:pStyle w:val="FootnoteText"/>
      </w:pPr>
      <w:r>
        <w:rPr>
          <w:rStyle w:val="FootnoteReference"/>
        </w:rPr>
        <w:footnoteRef/>
      </w:r>
      <w:r>
        <w:t xml:space="preserve"> </w:t>
      </w:r>
      <w:r>
        <w:tab/>
        <w:t xml:space="preserve">Capital Research, </w:t>
      </w:r>
      <w:r w:rsidRPr="00CA3AD5">
        <w:rPr>
          <w:i/>
        </w:rPr>
        <w:t xml:space="preserve">Australian </w:t>
      </w:r>
      <w:r>
        <w:t>market risk premium, January 2005, pp. 31–32.</w:t>
      </w:r>
    </w:p>
  </w:footnote>
  <w:footnote w:id="217">
    <w:p w:rsidR="006B0748" w:rsidRPr="001A5C3B" w:rsidRDefault="006B0748" w:rsidP="006B0748">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18">
    <w:p w:rsidR="006B0748" w:rsidRPr="00FD3589"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 xml:space="preserve">Cost of equity and the </w:t>
      </w:r>
      <w:r>
        <w:t>MRP</w:t>
      </w:r>
      <w:r>
        <w:rPr>
          <w:i/>
        </w:rPr>
        <w:t xml:space="preserve">, </w:t>
      </w:r>
      <w:r>
        <w:t>25 July 2012, pp. 15–18.</w:t>
      </w:r>
    </w:p>
  </w:footnote>
  <w:footnote w:id="219">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 xml:space="preserve">Cost of equity and the </w:t>
      </w:r>
      <w:r>
        <w:t>MRP</w:t>
      </w:r>
      <w:r>
        <w:rPr>
          <w:i/>
        </w:rPr>
        <w:t>,</w:t>
      </w:r>
      <w:r>
        <w:t xml:space="preserve"> 25 July 2012, pp. 18–20.</w:t>
      </w:r>
    </w:p>
  </w:footnote>
  <w:footnote w:id="220">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 xml:space="preserve">Cost of equity and the </w:t>
      </w:r>
      <w:r>
        <w:t>MRP</w:t>
      </w:r>
      <w:r>
        <w:rPr>
          <w:i/>
        </w:rPr>
        <w:t>,</w:t>
      </w:r>
      <w:r>
        <w:t xml:space="preserve"> 25 July 2012, p. 20.</w:t>
      </w:r>
    </w:p>
  </w:footnote>
  <w:footnote w:id="221">
    <w:p w:rsidR="006B0748" w:rsidRDefault="006B0748" w:rsidP="006B0748">
      <w:pPr>
        <w:pStyle w:val="FootnoteText"/>
      </w:pPr>
      <w:r>
        <w:rPr>
          <w:rStyle w:val="FootnoteReference"/>
        </w:rPr>
        <w:footnoteRef/>
      </w:r>
      <w:r>
        <w:t xml:space="preserve"> </w:t>
      </w:r>
      <w:r>
        <w:tab/>
        <w:t xml:space="preserve">RARE Infrastructure, </w:t>
      </w:r>
      <w:r w:rsidRPr="006E5340">
        <w:rPr>
          <w:rStyle w:val="AERtextitalic"/>
        </w:rPr>
        <w:t>RARE cost of capital</w:t>
      </w:r>
      <w:r>
        <w:t>, September 2012, p.9.</w:t>
      </w:r>
    </w:p>
  </w:footnote>
  <w:footnote w:id="222">
    <w:p w:rsidR="006B0748" w:rsidRDefault="006B0748" w:rsidP="006B0748">
      <w:pPr>
        <w:pStyle w:val="FootnoteText"/>
      </w:pPr>
      <w:r>
        <w:rPr>
          <w:rStyle w:val="FootnoteReference"/>
        </w:rPr>
        <w:footnoteRef/>
      </w:r>
      <w:r>
        <w:t xml:space="preserve"> </w:t>
      </w:r>
      <w:r>
        <w:tab/>
      </w:r>
      <w:proofErr w:type="gramStart"/>
      <w:r w:rsidRPr="00810FE2">
        <w:t xml:space="preserve">CEG, </w:t>
      </w:r>
      <w:r w:rsidRPr="00DF51F1">
        <w:rPr>
          <w:rStyle w:val="AERtextitalic"/>
        </w:rPr>
        <w:t>Update to March 2012 Report</w:t>
      </w:r>
      <w:r w:rsidRPr="00810FE2">
        <w:t>, November 2012</w:t>
      </w:r>
      <w:r>
        <w:t>, p.31.</w:t>
      </w:r>
      <w:proofErr w:type="gramEnd"/>
    </w:p>
  </w:footnote>
  <w:footnote w:id="223">
    <w:p w:rsidR="006B0748" w:rsidRDefault="006B0748" w:rsidP="006B0748">
      <w:pPr>
        <w:pStyle w:val="FootnoteText"/>
      </w:pPr>
      <w:r>
        <w:rPr>
          <w:rStyle w:val="FootnoteReference"/>
        </w:rPr>
        <w:footnoteRef/>
      </w:r>
      <w:r>
        <w:t xml:space="preserve"> </w:t>
      </w:r>
      <w:r>
        <w:tab/>
      </w:r>
      <w:proofErr w:type="gramStart"/>
      <w:r w:rsidRPr="001753A4">
        <w:t>Lally,</w:t>
      </w:r>
      <w:proofErr w:type="gramEnd"/>
      <w:r w:rsidRPr="001753A4">
        <w:t xml:space="preserve"> </w:t>
      </w:r>
      <w:r w:rsidRPr="001753A4">
        <w:rPr>
          <w:rStyle w:val="AERtextitalic"/>
        </w:rPr>
        <w:t>Cost of equity and the MRP</w:t>
      </w:r>
      <w:r w:rsidRPr="001753A4">
        <w:t>, July 2012</w:t>
      </w:r>
      <w:r>
        <w:t>, p.3.</w:t>
      </w:r>
    </w:p>
  </w:footnote>
  <w:footnote w:id="224">
    <w:p w:rsidR="006B0748" w:rsidRDefault="006B0748" w:rsidP="006B0748">
      <w:pPr>
        <w:pStyle w:val="FootnoteText"/>
      </w:pPr>
      <w:r>
        <w:rPr>
          <w:rStyle w:val="FootnoteReference"/>
        </w:rPr>
        <w:footnoteRef/>
      </w:r>
      <w:r>
        <w:t xml:space="preserve"> </w:t>
      </w:r>
      <w:r>
        <w:tab/>
        <w:t xml:space="preserve">CEG, </w:t>
      </w:r>
      <w:r w:rsidRPr="00510FB0">
        <w:rPr>
          <w:rStyle w:val="AERtextitalic"/>
        </w:rPr>
        <w:t>Internal consistency of risk free rate and MRP in the CAPM</w:t>
      </w:r>
      <w:r>
        <w:t xml:space="preserve">: </w:t>
      </w:r>
      <w:r w:rsidRPr="00D70DAA">
        <w:rPr>
          <w:rStyle w:val="AERtextitalic"/>
        </w:rPr>
        <w:t>Prepared for Envestra, SP AusNet, Multinet and APA</w:t>
      </w:r>
      <w:r>
        <w:t xml:space="preserve">, March 2012, pp. 20–32 (CEG, </w:t>
      </w:r>
      <w:r w:rsidRPr="00D70DAA">
        <w:rPr>
          <w:rStyle w:val="AERtextitalic"/>
        </w:rPr>
        <w:t>Risk free rate and MRP in the CAPM</w:t>
      </w:r>
      <w:r>
        <w:t>, March 2012).</w:t>
      </w:r>
    </w:p>
  </w:footnote>
  <w:footnote w:id="225">
    <w:p w:rsidR="006B0748" w:rsidRDefault="006B0748" w:rsidP="006B0748">
      <w:pPr>
        <w:pStyle w:val="FootnoteText"/>
      </w:pPr>
      <w:r>
        <w:rPr>
          <w:rStyle w:val="FootnoteReference"/>
        </w:rPr>
        <w:footnoteRef/>
      </w:r>
      <w:r>
        <w:t xml:space="preserve"> </w:t>
      </w:r>
      <w:r>
        <w:tab/>
        <w:t>By applying the AMP method, CEG assumed the market cost of equity</w:t>
      </w:r>
      <w:r w:rsidRPr="004E7490">
        <w:t xml:space="preserve"> </w:t>
      </w:r>
      <w:r>
        <w:t>at any point in time is the same for all future years. If, for example, the current risk free rate were very low, then the MRP would assume to be very high by an exactly offsetting amount.</w:t>
      </w:r>
    </w:p>
  </w:footnote>
  <w:footnote w:id="226">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Cost of equity and the MRP,</w:t>
      </w:r>
      <w:r>
        <w:t xml:space="preserve"> July 2012, pp. 9–12, 15.</w:t>
      </w:r>
    </w:p>
  </w:footnote>
  <w:footnote w:id="227">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Cost of equity and the MRP,</w:t>
      </w:r>
      <w:r>
        <w:t xml:space="preserve"> July 2012, p. 11.</w:t>
      </w:r>
    </w:p>
  </w:footnote>
  <w:footnote w:id="228">
    <w:p w:rsidR="006B0748" w:rsidRDefault="006B0748" w:rsidP="006B0748">
      <w:pPr>
        <w:pStyle w:val="FootnoteText"/>
      </w:pPr>
      <w:r>
        <w:rPr>
          <w:rStyle w:val="FootnoteReference"/>
        </w:rPr>
        <w:footnoteRef/>
      </w:r>
      <w:r>
        <w:t xml:space="preserve"> </w:t>
      </w:r>
      <w:r>
        <w:tab/>
      </w:r>
      <w:proofErr w:type="gramStart"/>
      <w:r w:rsidRPr="00CF5846">
        <w:t xml:space="preserve">Lally, </w:t>
      </w:r>
      <w:r w:rsidRPr="00CF5846">
        <w:rPr>
          <w:rStyle w:val="AERtextitalic"/>
        </w:rPr>
        <w:t>The dividend growth model</w:t>
      </w:r>
      <w:r w:rsidRPr="00CF5846">
        <w:t xml:space="preserve">, </w:t>
      </w:r>
      <w:r>
        <w:t>March</w:t>
      </w:r>
      <w:r w:rsidRPr="00CF5846">
        <w:t xml:space="preserve"> 2013</w:t>
      </w:r>
      <w:r>
        <w:t>, p.8-9.</w:t>
      </w:r>
      <w:proofErr w:type="gramEnd"/>
    </w:p>
  </w:footnote>
  <w:footnote w:id="229">
    <w:p w:rsidR="006B0748" w:rsidRDefault="006B0748" w:rsidP="006B0748">
      <w:pPr>
        <w:pStyle w:val="FootnoteText"/>
      </w:pPr>
      <w:r>
        <w:rPr>
          <w:rStyle w:val="FootnoteReference"/>
        </w:rPr>
        <w:footnoteRef/>
      </w:r>
      <w:r>
        <w:t xml:space="preserve"> </w:t>
      </w:r>
      <w:r>
        <w:tab/>
      </w:r>
      <w:proofErr w:type="gramStart"/>
      <w:r>
        <w:t>Lally,</w:t>
      </w:r>
      <w:proofErr w:type="gramEnd"/>
      <w:r>
        <w:t xml:space="preserve"> </w:t>
      </w:r>
      <w:r>
        <w:rPr>
          <w:i/>
        </w:rPr>
        <w:t>Cost of equity and the MRP,</w:t>
      </w:r>
      <w:r>
        <w:t xml:space="preserve"> July 2012, p. 15.</w:t>
      </w:r>
    </w:p>
  </w:footnote>
  <w:footnote w:id="230">
    <w:p w:rsidR="006B0748" w:rsidRPr="001A5C3B" w:rsidRDefault="006B0748" w:rsidP="006B0748">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31">
    <w:p w:rsidR="006B0748" w:rsidRDefault="006B0748" w:rsidP="006B0748">
      <w:pPr>
        <w:pStyle w:val="FootnoteText"/>
      </w:pPr>
      <w:r>
        <w:rPr>
          <w:rStyle w:val="FootnoteReference"/>
        </w:rPr>
        <w:footnoteRef/>
      </w:r>
      <w:r>
        <w:t xml:space="preserve"> </w:t>
      </w:r>
      <w:r>
        <w:tab/>
      </w:r>
      <w:proofErr w:type="gramStart"/>
      <w:r w:rsidRPr="009216F8">
        <w:t>Lally,</w:t>
      </w:r>
      <w:proofErr w:type="gramEnd"/>
      <w:r w:rsidRPr="009216F8">
        <w:t xml:space="preserve"> Cost of equity and the MRP,</w:t>
      </w:r>
      <w:r>
        <w:t xml:space="preserve"> July 2012, pp. 7-8.</w:t>
      </w:r>
    </w:p>
  </w:footnote>
  <w:footnote w:id="232">
    <w:p w:rsidR="006B0748" w:rsidRDefault="006B0748" w:rsidP="006B0748">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xml:space="preserve">, p.15; </w:t>
      </w:r>
      <w:r w:rsidRPr="009C20DB">
        <w:t xml:space="preserve">NERA, </w:t>
      </w:r>
      <w:r w:rsidRPr="001E2052">
        <w:rPr>
          <w:rStyle w:val="AERtextitalic"/>
        </w:rPr>
        <w:t>Estimating the Cost of Equity under the CAPM</w:t>
      </w:r>
      <w:r w:rsidRPr="009C20DB">
        <w:t>, November 2012</w:t>
      </w:r>
      <w:r>
        <w:t xml:space="preserve">, pp.24-25; </w:t>
      </w:r>
      <w:r w:rsidRPr="009C20DB">
        <w:t xml:space="preserve">SFG, </w:t>
      </w:r>
      <w:r w:rsidRPr="001E2052">
        <w:rPr>
          <w:rStyle w:val="AERtextitalic"/>
        </w:rPr>
        <w:t>The required return on equity</w:t>
      </w:r>
      <w:r w:rsidRPr="009C20DB">
        <w:t>, November 2012</w:t>
      </w:r>
      <w:r>
        <w:t>, p.43</w:t>
      </w:r>
    </w:p>
  </w:footnote>
  <w:footnote w:id="233">
    <w:p w:rsidR="006B0748" w:rsidRDefault="006B0748" w:rsidP="006B0748">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p.15</w:t>
      </w:r>
    </w:p>
  </w:footnote>
  <w:footnote w:id="234">
    <w:p w:rsidR="006B0748" w:rsidRDefault="006B0748" w:rsidP="006B0748">
      <w:pPr>
        <w:pStyle w:val="FootnoteText"/>
      </w:pPr>
      <w:r>
        <w:rPr>
          <w:rStyle w:val="FootnoteReference"/>
        </w:rPr>
        <w:footnoteRef/>
      </w:r>
      <w:r>
        <w:t xml:space="preserve"> </w:t>
      </w:r>
      <w:r>
        <w:tab/>
      </w:r>
      <w:proofErr w:type="gramStart"/>
      <w:r w:rsidRPr="00AB1F3D">
        <w:t>McKenzie, and Partington</w:t>
      </w:r>
      <w:r w:rsidRPr="006A7AF8">
        <w:t xml:space="preserve">, </w:t>
      </w:r>
      <w:r w:rsidRPr="006A159D">
        <w:rPr>
          <w:i/>
        </w:rPr>
        <w:t xml:space="preserve">Supplementary report on the </w:t>
      </w:r>
      <w:r>
        <w:t>MRP</w:t>
      </w:r>
      <w:r w:rsidRPr="006A7AF8">
        <w:t>, February 2012,</w:t>
      </w:r>
      <w:r>
        <w:t xml:space="preserve"> p. 2</w:t>
      </w:r>
      <w:r w:rsidRPr="006A7AF8">
        <w:t>3</w:t>
      </w:r>
      <w:r>
        <w:t>.</w:t>
      </w:r>
      <w:proofErr w:type="gramEnd"/>
    </w:p>
  </w:footnote>
  <w:footnote w:id="235">
    <w:p w:rsidR="006B0748" w:rsidRDefault="006B0748" w:rsidP="006B0748">
      <w:pPr>
        <w:pStyle w:val="FootnoteText"/>
      </w:pPr>
      <w:r>
        <w:rPr>
          <w:rStyle w:val="FootnoteReference"/>
        </w:rPr>
        <w:footnoteRef/>
      </w:r>
      <w:r>
        <w:t xml:space="preserve"> </w:t>
      </w:r>
      <w:r>
        <w:tab/>
      </w:r>
      <w:r w:rsidRPr="006A7AF8">
        <w:t xml:space="preserve">Other techniques build on the dividend yield approach in an attempt to address these shortcomings. The DGM projects dividend movements beyond the immediate dividend forecast horizon. The </w:t>
      </w:r>
      <w:r>
        <w:t xml:space="preserve">SFG 'market based' assessment using dividend yields </w:t>
      </w:r>
      <w:r w:rsidRPr="006A7AF8">
        <w:t>combines the dividend yield with a forecast for capital gain/loss</w:t>
      </w:r>
      <w:r>
        <w:t>.</w:t>
      </w:r>
    </w:p>
  </w:footnote>
  <w:footnote w:id="236">
    <w:p w:rsidR="006B0748" w:rsidRDefault="006B0748" w:rsidP="006B0748">
      <w:pPr>
        <w:pStyle w:val="FootnoteText"/>
      </w:pPr>
      <w:r>
        <w:rPr>
          <w:rStyle w:val="FootnoteReference"/>
        </w:rPr>
        <w:footnoteRef/>
      </w:r>
      <w:r>
        <w:t xml:space="preserve"> </w:t>
      </w:r>
      <w:r>
        <w:tab/>
      </w:r>
      <w:proofErr w:type="gramStart"/>
      <w:r w:rsidRPr="00AB1F3D">
        <w:t>McKenzie, and Partington</w:t>
      </w:r>
      <w:r w:rsidRPr="006A7AF8">
        <w:t xml:space="preserve">, </w:t>
      </w:r>
      <w:r w:rsidRPr="006A159D">
        <w:rPr>
          <w:i/>
        </w:rPr>
        <w:t xml:space="preserve">Supplementary report on the </w:t>
      </w:r>
      <w:r>
        <w:t>MRP</w:t>
      </w:r>
      <w:r w:rsidRPr="006A7AF8">
        <w:t xml:space="preserve">, February 2012, </w:t>
      </w:r>
      <w:r>
        <w:t>p</w:t>
      </w:r>
      <w:r w:rsidRPr="006A7AF8">
        <w:t>p. </w:t>
      </w:r>
      <w:r>
        <w:t>12–13.</w:t>
      </w:r>
      <w:proofErr w:type="gramEnd"/>
    </w:p>
  </w:footnote>
  <w:footnote w:id="237">
    <w:p w:rsidR="006B0748" w:rsidRDefault="006B0748" w:rsidP="006B0748">
      <w:pPr>
        <w:pStyle w:val="FootnoteText"/>
      </w:pPr>
      <w:r>
        <w:rPr>
          <w:rStyle w:val="FootnoteReference"/>
        </w:rPr>
        <w:footnoteRef/>
      </w:r>
      <w:r>
        <w:t xml:space="preserve"> </w:t>
      </w:r>
      <w:r>
        <w:tab/>
      </w:r>
      <w:r w:rsidRPr="00576AA9">
        <w:t xml:space="preserve">SP AusNet, </w:t>
      </w:r>
      <w:r w:rsidRPr="00576AA9">
        <w:rPr>
          <w:rStyle w:val="AERtextitalic"/>
        </w:rPr>
        <w:t>Revised Access Arrangement Proposal: Chapter 5 – Rate of return and corporate tax allowance</w:t>
      </w:r>
      <w:r w:rsidRPr="00576AA9">
        <w:t>, 9 November 2012, p</w:t>
      </w:r>
      <w:r>
        <w:t xml:space="preserve">p. 30-32; </w:t>
      </w:r>
      <w:r w:rsidRPr="00DA0258">
        <w:t xml:space="preserve">Multinet, </w:t>
      </w:r>
      <w:r w:rsidRPr="00DA0258">
        <w:rPr>
          <w:rStyle w:val="AERtextitalic"/>
        </w:rPr>
        <w:t>Revised Access Arrangement Proposal</w:t>
      </w:r>
      <w:r w:rsidRPr="00DA0258">
        <w:t>, 9 November 2012</w:t>
      </w:r>
      <w:r>
        <w:t xml:space="preserve">, pp. 159-161; </w:t>
      </w:r>
      <w:r w:rsidRPr="00A43B68">
        <w:t>Envestra, Revised Access Arrangement Information, Attachment 9.11 Response to Draft Decision – Rate of return, 9 November 2012</w:t>
      </w:r>
      <w:r>
        <w:t xml:space="preserve">, section 5.4. </w:t>
      </w:r>
    </w:p>
  </w:footnote>
  <w:footnote w:id="238">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xml:space="preserve">, pp. 159-161. </w:t>
      </w:r>
    </w:p>
  </w:footnote>
  <w:footnote w:id="239">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rsidRPr="00265D13">
        <w:t>, p</w:t>
      </w:r>
      <w:r>
        <w:t xml:space="preserve">p. 160. </w:t>
      </w:r>
    </w:p>
  </w:footnote>
  <w:footnote w:id="240">
    <w:p w:rsidR="006B0748" w:rsidRDefault="006B0748" w:rsidP="006B0748">
      <w:pPr>
        <w:pStyle w:val="FootnoteText"/>
      </w:pPr>
      <w:r>
        <w:rPr>
          <w:rStyle w:val="FootnoteReference"/>
        </w:rPr>
        <w:footnoteRef/>
      </w:r>
      <w:r>
        <w:t xml:space="preserve"> </w:t>
      </w:r>
      <w:r>
        <w:tab/>
      </w:r>
      <w:r w:rsidRPr="00DA0258">
        <w:t xml:space="preserve">Multinet, </w:t>
      </w:r>
      <w:r w:rsidRPr="00DA0258">
        <w:rPr>
          <w:rStyle w:val="AERtextitalic"/>
        </w:rPr>
        <w:t>Revised Access Arrangement Proposal</w:t>
      </w:r>
      <w:r w:rsidRPr="00DA0258">
        <w:t>, 9 November 2012</w:t>
      </w:r>
      <w:r>
        <w:t>, p. 161.</w:t>
      </w:r>
    </w:p>
  </w:footnote>
  <w:footnote w:id="241">
    <w:p w:rsidR="006B0748" w:rsidRDefault="006B0748" w:rsidP="006B0748">
      <w:pPr>
        <w:pStyle w:val="FootnoteText"/>
      </w:pPr>
      <w:r>
        <w:rPr>
          <w:rStyle w:val="FootnoteReference"/>
        </w:rPr>
        <w:footnoteRef/>
      </w:r>
      <w:r>
        <w:t xml:space="preserve"> </w:t>
      </w:r>
      <w:r>
        <w:tab/>
        <w:t xml:space="preserve">Standard &amp; Poor's, </w:t>
      </w:r>
      <w:r>
        <w:rPr>
          <w:rStyle w:val="AERtextitalic"/>
        </w:rPr>
        <w:t>Industry R</w:t>
      </w:r>
      <w:r w:rsidRPr="00993E2E">
        <w:rPr>
          <w:rStyle w:val="AERtextitalic"/>
        </w:rPr>
        <w:t xml:space="preserve">eport </w:t>
      </w:r>
      <w:r>
        <w:rPr>
          <w:rStyle w:val="AERtextitalic"/>
        </w:rPr>
        <w:t>C</w:t>
      </w:r>
      <w:r w:rsidRPr="00993E2E">
        <w:rPr>
          <w:rStyle w:val="AERtextitalic"/>
        </w:rPr>
        <w:t>ard</w:t>
      </w:r>
      <w:r>
        <w:rPr>
          <w:rStyle w:val="AERtextitalic"/>
        </w:rPr>
        <w:t>: Australian And New Zealand Network Utilities Maintain Stable Credit Quality</w:t>
      </w:r>
      <w:r>
        <w:t xml:space="preserve">, 14 November 2012; Moody's, </w:t>
      </w:r>
      <w:r w:rsidRPr="00993E2E">
        <w:rPr>
          <w:rStyle w:val="AERtextitalic"/>
        </w:rPr>
        <w:t>Proposed Tariff Reductions for Australia's Gas Distributors Are Credit Negative</w:t>
      </w:r>
      <w:r>
        <w:t xml:space="preserve">, 1 October 2012. </w:t>
      </w:r>
    </w:p>
  </w:footnote>
  <w:footnote w:id="242">
    <w:p w:rsidR="006B0748" w:rsidRDefault="006B0748" w:rsidP="006B0748">
      <w:pPr>
        <w:pStyle w:val="FootnoteText"/>
      </w:pPr>
      <w:r>
        <w:rPr>
          <w:rStyle w:val="FootnoteReference"/>
        </w:rPr>
        <w:footnoteRef/>
      </w:r>
      <w:r>
        <w:t xml:space="preserve"> </w:t>
      </w:r>
      <w:r>
        <w:tab/>
      </w:r>
      <w:proofErr w:type="gramStart"/>
      <w:r>
        <w:t xml:space="preserve">Envestra, </w:t>
      </w:r>
      <w:r w:rsidRPr="00911FE1">
        <w:rPr>
          <w:rStyle w:val="AERtextitalic"/>
        </w:rPr>
        <w:t>Letter to the AER - Market reaction to draft decisions</w:t>
      </w:r>
      <w:r>
        <w:t>, 29 November 2012, p. 1.</w:t>
      </w:r>
      <w:proofErr w:type="gramEnd"/>
      <w:r>
        <w:t xml:space="preserve">  </w:t>
      </w:r>
    </w:p>
  </w:footnote>
  <w:footnote w:id="243">
    <w:p w:rsidR="006B0748" w:rsidRDefault="006B0748" w:rsidP="006B0748">
      <w:pPr>
        <w:pStyle w:val="FootnoteText"/>
      </w:pPr>
      <w:r>
        <w:rPr>
          <w:rStyle w:val="FootnoteReference"/>
        </w:rPr>
        <w:footnoteRef/>
      </w:r>
      <w:r>
        <w:t xml:space="preserve"> </w:t>
      </w:r>
      <w:r>
        <w:tab/>
      </w:r>
      <w:r w:rsidRPr="00B95207">
        <w:t xml:space="preserve">Moody's, </w:t>
      </w:r>
      <w:r w:rsidRPr="00B95207">
        <w:rPr>
          <w:rStyle w:val="AERtextitalic"/>
        </w:rPr>
        <w:t>Rating Symbols and Definitions</w:t>
      </w:r>
      <w:r w:rsidRPr="00B95207">
        <w:t>, January 2013, p</w:t>
      </w:r>
      <w:r>
        <w:t xml:space="preserve">. 34. </w:t>
      </w:r>
    </w:p>
  </w:footnote>
  <w:footnote w:id="244">
    <w:p w:rsidR="006B0748" w:rsidRDefault="006B0748" w:rsidP="006B0748">
      <w:pPr>
        <w:pStyle w:val="FootnoteText"/>
      </w:pPr>
      <w:r>
        <w:rPr>
          <w:rStyle w:val="FootnoteReference"/>
        </w:rPr>
        <w:footnoteRef/>
      </w:r>
      <w:r>
        <w:t xml:space="preserve"> </w:t>
      </w:r>
      <w:r>
        <w:tab/>
        <w:t>Further, a</w:t>
      </w:r>
      <w:r w:rsidRPr="00F564FD">
        <w:t>s Moody's notes, the actual impact of that event on the credit rating is dependent on a number of factors:</w:t>
      </w:r>
      <w:r>
        <w:t xml:space="preserve"> "</w:t>
      </w:r>
      <w:r w:rsidRPr="00F564FD">
        <w:t xml:space="preserve">Notwithstanding the draft decision's material cut, the actual credit effects depend on the ability of the distribution companies to manage their costs in response to the final tariff cut. For instance, we expect the companies to lock in a lower base interest rate for the next five years using swaps and reduce their interest costs relative to the last regulatory period ending in 2012. In addition, we expect these companies to have some capacity to manage their operating costs and capital expenditure. Their </w:t>
      </w:r>
      <w:proofErr w:type="gramStart"/>
      <w:r w:rsidRPr="00F564FD">
        <w:t>obligation to maintain network reliability ultimately constrain</w:t>
      </w:r>
      <w:proofErr w:type="gramEnd"/>
      <w:r w:rsidRPr="00F564FD">
        <w:t xml:space="preserve"> their ability to reduce costs. Therefore, a 23% cut in tariffs in the regulator's final revenue decision would be credit negative for Energy Partnership Gas.</w:t>
      </w:r>
      <w:r>
        <w:t xml:space="preserve">" </w:t>
      </w:r>
      <w:r w:rsidRPr="00726420">
        <w:t xml:space="preserve">Moody's, </w:t>
      </w:r>
      <w:r w:rsidRPr="00726420">
        <w:rPr>
          <w:rStyle w:val="AERtextitalic"/>
        </w:rPr>
        <w:t>Proposed Tariff Reductions for Australia's Gas Distributors Are Credit Negative</w:t>
      </w:r>
      <w:r w:rsidRPr="00726420">
        <w:t>, 1 October 2012</w:t>
      </w:r>
      <w:r>
        <w:t>, p. 2.</w:t>
      </w:r>
    </w:p>
  </w:footnote>
  <w:footnote w:id="245">
    <w:p w:rsidR="006B0748" w:rsidRDefault="006B0748" w:rsidP="006B0748">
      <w:pPr>
        <w:pStyle w:val="FootnoteText"/>
      </w:pPr>
      <w:r>
        <w:rPr>
          <w:rStyle w:val="FootnoteReference"/>
        </w:rPr>
        <w:footnoteRef/>
      </w:r>
      <w:r>
        <w:t xml:space="preserve"> </w:t>
      </w:r>
      <w:r>
        <w:tab/>
      </w:r>
      <w:r w:rsidRPr="00E04F58">
        <w:t xml:space="preserve">Standard &amp; Poor's, </w:t>
      </w:r>
      <w:r w:rsidRPr="00E04F58">
        <w:rPr>
          <w:rStyle w:val="AERtextitalic"/>
        </w:rPr>
        <w:t>Industry Report Card: Australian And New Zealand Network Utilities Maintain Stable Credit Quality</w:t>
      </w:r>
      <w:r w:rsidRPr="00E04F58">
        <w:t>, 14 November 2012</w:t>
      </w:r>
      <w:r>
        <w:t xml:space="preserve">, p. 3. </w:t>
      </w:r>
    </w:p>
  </w:footnote>
  <w:footnote w:id="246">
    <w:p w:rsidR="006B0748" w:rsidRDefault="006B0748" w:rsidP="006B0748">
      <w:pPr>
        <w:pStyle w:val="FootnoteText"/>
      </w:pPr>
      <w:r>
        <w:rPr>
          <w:rStyle w:val="FootnoteReference"/>
        </w:rPr>
        <w:footnoteRef/>
      </w:r>
      <w:r>
        <w:t xml:space="preserve"> </w:t>
      </w:r>
      <w:r>
        <w:tab/>
      </w:r>
      <w:proofErr w:type="gramStart"/>
      <w:r>
        <w:t>NGR, r. 87(1).</w:t>
      </w:r>
      <w:proofErr w:type="gramEnd"/>
      <w:r>
        <w:t xml:space="preserve"> </w:t>
      </w:r>
    </w:p>
  </w:footnote>
  <w:footnote w:id="247">
    <w:p w:rsidR="006B0748" w:rsidRDefault="006B0748" w:rsidP="006B0748">
      <w:pPr>
        <w:pStyle w:val="FootnoteText"/>
      </w:pPr>
      <w:r>
        <w:rPr>
          <w:rStyle w:val="FootnoteReference"/>
        </w:rPr>
        <w:footnoteRef/>
      </w:r>
      <w:r>
        <w:t xml:space="preserve"> </w:t>
      </w:r>
      <w:r>
        <w:tab/>
        <w:t>NGL, s. 24</w:t>
      </w:r>
    </w:p>
  </w:footnote>
  <w:footnote w:id="248">
    <w:p w:rsidR="006B0748" w:rsidRDefault="006B0748" w:rsidP="006B0748">
      <w:pPr>
        <w:pStyle w:val="FootnoteText"/>
      </w:pPr>
      <w:r>
        <w:rPr>
          <w:rStyle w:val="FootnoteReference"/>
        </w:rPr>
        <w:footnoteRef/>
      </w:r>
      <w:r>
        <w:t xml:space="preserve"> </w:t>
      </w:r>
      <w:r>
        <w:tab/>
        <w:t xml:space="preserve">Each of these reasons assumes the purchasing firm is making a rational purchasing decision. </w:t>
      </w:r>
      <w:proofErr w:type="gramStart"/>
      <w:r>
        <w:t>Another reason for a RAB multiple greater than one might be that the purchasing firm misjudged the value of the target assets and paid too much for those assets.</w:t>
      </w:r>
      <w:proofErr w:type="gramEnd"/>
      <w:r>
        <w:t xml:space="preserve"> Each transaction considered by the AER involved sophisticated investors with significant knowledge of the industry. Accordingly, the AER does not consider it likely that the RAB multiples greater than one result from poor valuations of the target assets. </w:t>
      </w:r>
    </w:p>
  </w:footnote>
  <w:footnote w:id="249">
    <w:p w:rsidR="006B0748" w:rsidRDefault="006B0748" w:rsidP="006B0748">
      <w:pPr>
        <w:pStyle w:val="FootnoteText"/>
      </w:pPr>
      <w:r>
        <w:rPr>
          <w:rStyle w:val="FootnoteReference"/>
        </w:rPr>
        <w:footnoteRef/>
      </w:r>
      <w:r>
        <w:t xml:space="preserve"> </w:t>
      </w:r>
      <w:r>
        <w:tab/>
        <w:t xml:space="preserve">Grant Samuel &amp; Associates Pty Limited, </w:t>
      </w:r>
      <w:r w:rsidRPr="00227576">
        <w:rPr>
          <w:i/>
        </w:rPr>
        <w:t>Financial Services Guide and Independent Expert Report in relation to the Recapitalisation and Restructure of Babcock and Brown Infrastructure</w:t>
      </w:r>
      <w:r>
        <w:t xml:space="preserve">, 9 October 2009, p. 77 (Grant Samuel, </w:t>
      </w:r>
      <w:r w:rsidRPr="005E4DFC">
        <w:rPr>
          <w:rStyle w:val="AERtextitalic"/>
        </w:rPr>
        <w:t>Expert report: Babcock and Brown Infrastructure</w:t>
      </w:r>
      <w:r>
        <w:t>, October 2009).</w:t>
      </w:r>
    </w:p>
  </w:footnote>
  <w:footnote w:id="250">
    <w:p w:rsidR="006B0748" w:rsidRDefault="006B0748" w:rsidP="006B0748">
      <w:pPr>
        <w:pStyle w:val="FootnoteText"/>
      </w:pPr>
      <w:r>
        <w:rPr>
          <w:rStyle w:val="FootnoteReference"/>
        </w:rPr>
        <w:footnoteRef/>
      </w:r>
      <w:r>
        <w:t xml:space="preserve"> </w:t>
      </w:r>
      <w:r>
        <w:tab/>
      </w:r>
      <w:r w:rsidRPr="00C02FBF">
        <w:t xml:space="preserve">SFG, </w:t>
      </w:r>
      <w:r w:rsidRPr="006F0AF7">
        <w:rPr>
          <w:rStyle w:val="AERtextitalic"/>
        </w:rPr>
        <w:t>The required return on equity: Response to AER Victorian gas draft decisions</w:t>
      </w:r>
      <w:r w:rsidRPr="00C02FBF">
        <w:t>, 7 November 2012</w:t>
      </w:r>
      <w:r>
        <w:t>, p. 47.</w:t>
      </w:r>
    </w:p>
  </w:footnote>
  <w:footnote w:id="251">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February 2013, p. 51.</w:t>
      </w:r>
    </w:p>
  </w:footnote>
  <w:footnote w:id="252">
    <w:p w:rsidR="006B0748" w:rsidRDefault="006B0748" w:rsidP="006B0748">
      <w:pPr>
        <w:pStyle w:val="FootnoteText"/>
      </w:pPr>
      <w:r>
        <w:rPr>
          <w:rStyle w:val="FootnoteReference"/>
        </w:rPr>
        <w:footnoteRef/>
      </w:r>
      <w:r>
        <w:t xml:space="preserve"> </w:t>
      </w:r>
      <w:r>
        <w:tab/>
        <w:t xml:space="preserve">Deloitte, </w:t>
      </w:r>
      <w:proofErr w:type="gramStart"/>
      <w:r w:rsidRPr="006F0AF7">
        <w:rPr>
          <w:rStyle w:val="AERtextitalic"/>
        </w:rPr>
        <w:t>Determining</w:t>
      </w:r>
      <w:proofErr w:type="gramEnd"/>
      <w:r w:rsidRPr="006F0AF7">
        <w:rPr>
          <w:rStyle w:val="AERtextitalic"/>
        </w:rPr>
        <w:t xml:space="preserve"> the fair value of Australia's water infrastructure assets</w:t>
      </w:r>
      <w:r>
        <w:t>, March 2010, p. 11.</w:t>
      </w:r>
    </w:p>
  </w:footnote>
  <w:footnote w:id="253">
    <w:p w:rsidR="006B0748" w:rsidRPr="00A01E34" w:rsidRDefault="006B0748" w:rsidP="006B0748">
      <w:pPr>
        <w:pStyle w:val="FootnoteText"/>
      </w:pPr>
      <w:r>
        <w:rPr>
          <w:rStyle w:val="FootnoteReference"/>
        </w:rPr>
        <w:footnoteRef/>
      </w:r>
      <w:r>
        <w:t xml:space="preserve"> </w:t>
      </w:r>
      <w:r>
        <w:tab/>
      </w:r>
      <w:r w:rsidRPr="004E0E2E">
        <w:t>D</w:t>
      </w:r>
      <w:r>
        <w:t>ampier to Bunbury Natural Gas Pipeline</w:t>
      </w:r>
      <w:r w:rsidRPr="004E0E2E">
        <w:t xml:space="preserve"> </w:t>
      </w:r>
      <w:r>
        <w:t xml:space="preserve">(DBNGP) </w:t>
      </w:r>
      <w:r w:rsidRPr="004E0E2E">
        <w:t xml:space="preserve">presents an unusual case because it is 96% contracted until 2016 under shipper contracts. As the Economic Regulation Authority </w:t>
      </w:r>
      <w:r>
        <w:t xml:space="preserve">(ERA) </w:t>
      </w:r>
      <w:r w:rsidRPr="004E0E2E">
        <w:t xml:space="preserve">of Western Australia states, these contracts ‘are substantially independent of the access terms and reference tariffs established under the access arrangement for the DBNGP.’ </w:t>
      </w:r>
      <w:r w:rsidRPr="001C6E46">
        <w:t xml:space="preserve">ERA, </w:t>
      </w:r>
      <w:r w:rsidRPr="001C6E46">
        <w:rPr>
          <w:rStyle w:val="AERtextitalic"/>
        </w:rPr>
        <w:t>Final decision: DBNGP access arrangement</w:t>
      </w:r>
      <w:r w:rsidRPr="001C6E46">
        <w:t>, October 2011</w:t>
      </w:r>
      <w:r>
        <w:t xml:space="preserve">, p. 14. </w:t>
      </w:r>
      <w:r w:rsidRPr="00A01E34">
        <w:t>For this reason the DB</w:t>
      </w:r>
      <w:r>
        <w:t>NG</w:t>
      </w:r>
      <w:r w:rsidRPr="00A01E34">
        <w:t>P</w:t>
      </w:r>
      <w:r>
        <w:t xml:space="preserve"> RAB multiple</w:t>
      </w:r>
      <w:r w:rsidRPr="00A01E34">
        <w:t xml:space="preserve"> </w:t>
      </w:r>
      <w:r>
        <w:t xml:space="preserve">appears to be not driven by regulatory rates of return </w:t>
      </w:r>
      <w:r w:rsidRPr="00A01E34">
        <w:t>and does not provide a useful comparison for RAB multiples analysis.</w:t>
      </w:r>
    </w:p>
  </w:footnote>
  <w:footnote w:id="254">
    <w:p w:rsidR="006B0748" w:rsidRDefault="006B0748" w:rsidP="006B0748">
      <w:pPr>
        <w:pStyle w:val="FootnoteText"/>
      </w:pPr>
      <w:r>
        <w:rPr>
          <w:rStyle w:val="FootnoteReference"/>
        </w:rPr>
        <w:footnoteRef/>
      </w:r>
      <w:r>
        <w:t xml:space="preserve"> </w:t>
      </w:r>
      <w:r>
        <w:tab/>
        <w:t xml:space="preserve">DUET, </w:t>
      </w:r>
      <w:r w:rsidRPr="00B8336D">
        <w:rPr>
          <w:rStyle w:val="AERtextitalic"/>
        </w:rPr>
        <w:t>ASX announcement:</w:t>
      </w:r>
      <w:r>
        <w:t xml:space="preserve"> </w:t>
      </w:r>
      <w:r w:rsidRPr="00206B96">
        <w:t>Presentation to Macquarie Retail Adviser Network</w:t>
      </w:r>
      <w:r>
        <w:t>, 19 January 2012, p. 3, viewed 9 February 2012, &lt;</w:t>
      </w:r>
      <w:r w:rsidRPr="004843DD">
        <w:t>http://www.asx.com.au/asxpdf/20120119/pdf/423tx0cd2v7qq3.pdf</w:t>
      </w:r>
      <w:r>
        <w:t>&gt;.</w:t>
      </w:r>
    </w:p>
  </w:footnote>
  <w:footnote w:id="255">
    <w:p w:rsidR="006B0748" w:rsidRDefault="006B0748" w:rsidP="006B0748">
      <w:pPr>
        <w:pStyle w:val="FootnoteText"/>
      </w:pPr>
      <w:r>
        <w:rPr>
          <w:rStyle w:val="FootnoteReference"/>
        </w:rPr>
        <w:footnoteRef/>
      </w:r>
      <w:r>
        <w:t xml:space="preserve"> </w:t>
      </w:r>
      <w:r>
        <w:tab/>
        <w:t xml:space="preserve">APA Group, </w:t>
      </w:r>
      <w:r w:rsidRPr="00B8336D">
        <w:rPr>
          <w:rStyle w:val="AERtextitalic"/>
        </w:rPr>
        <w:t>ASX announcement:</w:t>
      </w:r>
      <w:r>
        <w:t xml:space="preserve"> </w:t>
      </w:r>
      <w:r w:rsidRPr="00206B96">
        <w:t>Completion of the sale of 80% of Allgas</w:t>
      </w:r>
      <w:r>
        <w:t>, 16 December 2011, viewed 10 January 2012, &lt;</w:t>
      </w:r>
      <w:r w:rsidRPr="004843DD">
        <w:t>http://www.asx.com.au/asxpdf/20111216/pdf/423b5mnt9sqvzh.pdf</w:t>
      </w:r>
      <w:r>
        <w:t xml:space="preserve">&gt; (APA Group, </w:t>
      </w:r>
      <w:r w:rsidRPr="00B8336D">
        <w:rPr>
          <w:rStyle w:val="AERtextitalic"/>
        </w:rPr>
        <w:t>ASX ASX announcement on sale of Allgas</w:t>
      </w:r>
      <w:r>
        <w:t>, December 2011).</w:t>
      </w:r>
    </w:p>
  </w:footnote>
  <w:footnote w:id="256">
    <w:p w:rsidR="006B0748" w:rsidRDefault="006B0748" w:rsidP="006B0748">
      <w:pPr>
        <w:pStyle w:val="FootnoteText"/>
      </w:pPr>
      <w:r>
        <w:rPr>
          <w:rStyle w:val="FootnoteReference"/>
        </w:rPr>
        <w:footnoteRef/>
      </w:r>
      <w:r>
        <w:t xml:space="preserve"> </w:t>
      </w:r>
      <w:r>
        <w:tab/>
        <w:t xml:space="preserve">ElectraNet, </w:t>
      </w:r>
      <w:r w:rsidRPr="006F0AF7">
        <w:rPr>
          <w:rStyle w:val="AERtextitalic"/>
        </w:rPr>
        <w:t>Sale of ElectraNet shareholding</w:t>
      </w:r>
      <w:r>
        <w:t xml:space="preserve">, 30 November 2012  </w:t>
      </w:r>
      <w:r w:rsidRPr="00F91EC2">
        <w:t>http://www.electranet.com.au/media-centre/media-archive/2012/sale-of-electranet-shareholding/</w:t>
      </w:r>
    </w:p>
  </w:footnote>
  <w:footnote w:id="257">
    <w:p w:rsidR="006B0748" w:rsidRDefault="006B0748" w:rsidP="006B0748">
      <w:pPr>
        <w:pStyle w:val="FootnoteText"/>
      </w:pPr>
      <w:r>
        <w:rPr>
          <w:rStyle w:val="FootnoteReference"/>
        </w:rPr>
        <w:footnoteRef/>
      </w:r>
      <w:r>
        <w:t xml:space="preserve"> </w:t>
      </w:r>
      <w:r>
        <w:tab/>
      </w:r>
      <w:r w:rsidRPr="00F91EC2">
        <w:t xml:space="preserve">Macquarie, </w:t>
      </w:r>
      <w:r w:rsidRPr="006F0AF7">
        <w:rPr>
          <w:rStyle w:val="AERtextitalic"/>
        </w:rPr>
        <w:t>APA Group: EPIC pipeline of growth</w:t>
      </w:r>
      <w:r w:rsidRPr="00F91EC2">
        <w:t>, 5 December 2012, p. 7.</w:t>
      </w:r>
    </w:p>
  </w:footnote>
  <w:footnote w:id="258">
    <w:p w:rsidR="006B0748" w:rsidRDefault="006B0748" w:rsidP="006B0748">
      <w:pPr>
        <w:pStyle w:val="FootnoteText"/>
      </w:pPr>
      <w:r>
        <w:rPr>
          <w:rStyle w:val="FootnoteReference"/>
        </w:rPr>
        <w:footnoteRef/>
      </w:r>
      <w:r>
        <w:t xml:space="preserve"> </w:t>
      </w:r>
      <w:r>
        <w:tab/>
        <w:t xml:space="preserve">The AER was bound to apply the 6.5% MRP and 0.65 </w:t>
      </w:r>
      <w:proofErr w:type="gramStart"/>
      <w:r>
        <w:t>gamma</w:t>
      </w:r>
      <w:proofErr w:type="gramEnd"/>
      <w:r>
        <w:t xml:space="preserve"> from the 2009 WACC review for the ElectraNet determination, as this is a transmission business.</w:t>
      </w:r>
    </w:p>
  </w:footnote>
  <w:footnote w:id="259">
    <w:p w:rsidR="006B0748" w:rsidRPr="00A717E9" w:rsidRDefault="006B0748" w:rsidP="006B0748">
      <w:pPr>
        <w:pStyle w:val="FootnoteText"/>
        <w:jc w:val="left"/>
      </w:pPr>
      <w:r>
        <w:rPr>
          <w:rStyle w:val="FootnoteReference"/>
        </w:rPr>
        <w:footnoteRef/>
      </w:r>
      <w:r>
        <w:t xml:space="preserve"> </w:t>
      </w:r>
      <w:r>
        <w:tab/>
        <w:t xml:space="preserve">APA Group, </w:t>
      </w:r>
      <w:r w:rsidRPr="000924BA">
        <w:rPr>
          <w:rStyle w:val="AERtextitalic"/>
        </w:rPr>
        <w:t>ASX announcement on sale of Allgas</w:t>
      </w:r>
      <w:r w:rsidRPr="000924BA">
        <w:t>, December 2011</w:t>
      </w:r>
    </w:p>
  </w:footnote>
  <w:footnote w:id="260">
    <w:p w:rsidR="006B0748" w:rsidRDefault="006B0748" w:rsidP="006B0748">
      <w:pPr>
        <w:pStyle w:val="FootnoteText"/>
        <w:jc w:val="left"/>
      </w:pPr>
      <w:r>
        <w:rPr>
          <w:rStyle w:val="FootnoteReference"/>
        </w:rPr>
        <w:footnoteRef/>
      </w:r>
      <w:r>
        <w:t xml:space="preserve"> </w:t>
      </w:r>
      <w:r>
        <w:tab/>
        <w:t xml:space="preserve">APA Group, </w:t>
      </w:r>
      <w:r w:rsidRPr="000924BA">
        <w:rPr>
          <w:rStyle w:val="AERtextitalic"/>
        </w:rPr>
        <w:t>ASX announcement on sale of Allgas</w:t>
      </w:r>
      <w:r w:rsidRPr="000924BA">
        <w:t>, December 2011</w:t>
      </w:r>
    </w:p>
  </w:footnote>
  <w:footnote w:id="261">
    <w:p w:rsidR="006B0748" w:rsidRDefault="006B0748" w:rsidP="006B0748">
      <w:pPr>
        <w:pStyle w:val="FootnoteText"/>
      </w:pPr>
      <w:r>
        <w:rPr>
          <w:rStyle w:val="FootnoteReference"/>
        </w:rPr>
        <w:footnoteRef/>
      </w:r>
      <w:r>
        <w:t xml:space="preserve"> </w:t>
      </w:r>
      <w:r>
        <w:tab/>
        <w:t xml:space="preserve">Allgas is a holding company that also owns the unregulated Moura pipeline and the Gatton-Gympie easement. </w:t>
      </w:r>
    </w:p>
  </w:footnote>
  <w:footnote w:id="262">
    <w:p w:rsidR="006B0748" w:rsidRDefault="006B0748" w:rsidP="006B0748">
      <w:pPr>
        <w:pStyle w:val="FootnoteText"/>
      </w:pPr>
      <w:r>
        <w:rPr>
          <w:rStyle w:val="FootnoteReference"/>
        </w:rPr>
        <w:footnoteRef/>
      </w:r>
      <w:r>
        <w:t xml:space="preserve"> </w:t>
      </w:r>
      <w:r>
        <w:tab/>
      </w:r>
      <w:proofErr w:type="gramStart"/>
      <w:r>
        <w:t>Net proceeds after transaction costs was</w:t>
      </w:r>
      <w:proofErr w:type="gramEnd"/>
      <w:r>
        <w:t xml:space="preserve"> $478.4 million, with transaction costs of $22.5 million and a gain on sale of $12.1 million. APA Group, </w:t>
      </w:r>
      <w:r w:rsidRPr="005E4DFC">
        <w:rPr>
          <w:rStyle w:val="AERtextitalic"/>
        </w:rPr>
        <w:t>Interim Financial Report for the half year ended 31 December 2011</w:t>
      </w:r>
      <w:r>
        <w:t>, 22 February 2012, p. 3.</w:t>
      </w:r>
    </w:p>
  </w:footnote>
  <w:footnote w:id="263">
    <w:p w:rsidR="006B0748" w:rsidRPr="00CC7C6B" w:rsidRDefault="006B0748" w:rsidP="006B0748">
      <w:pPr>
        <w:pStyle w:val="FootnoteText"/>
        <w:jc w:val="left"/>
      </w:pPr>
      <w:r>
        <w:rPr>
          <w:rStyle w:val="FootnoteReference"/>
        </w:rPr>
        <w:footnoteRef/>
      </w:r>
      <w:r>
        <w:t xml:space="preserve"> </w:t>
      </w:r>
      <w:r>
        <w:tab/>
        <w:t xml:space="preserve">DUET, </w:t>
      </w:r>
      <w:r w:rsidRPr="000924BA">
        <w:rPr>
          <w:rStyle w:val="AERtextitalic"/>
        </w:rPr>
        <w:t>ASX announcement: Completion of AET&amp;D sale process</w:t>
      </w:r>
      <w:r w:rsidRPr="000924BA">
        <w:t>, 29 July 2011, viewed 9 February 2012, &lt;http://www.asx.com.au/asxpdf/20110729/pdf/420312nw1jxhdv.pdf&gt;</w:t>
      </w:r>
    </w:p>
  </w:footnote>
  <w:footnote w:id="264">
    <w:p w:rsidR="006B0748" w:rsidRDefault="006B0748" w:rsidP="006B0748">
      <w:pPr>
        <w:pStyle w:val="FootnoteText"/>
        <w:jc w:val="left"/>
      </w:pPr>
      <w:r>
        <w:rPr>
          <w:rStyle w:val="FootnoteReference"/>
        </w:rPr>
        <w:footnoteRef/>
      </w:r>
      <w:r>
        <w:t xml:space="preserve"> </w:t>
      </w:r>
      <w:r>
        <w:tab/>
        <w:t xml:space="preserve">AER, </w:t>
      </w:r>
      <w:r w:rsidRPr="00206B96">
        <w:rPr>
          <w:rStyle w:val="AERtextitalic"/>
        </w:rPr>
        <w:t>Final decision: Country Energy Gas Pty Ltd: Access arrangement proposal for the Wagga Wagga natural gas distribution network, 2010</w:t>
      </w:r>
      <w:r w:rsidRPr="00206B96">
        <w:rPr>
          <w:rStyle w:val="AERtextitalic"/>
          <w:rFonts w:hint="eastAsia"/>
        </w:rPr>
        <w:t>–</w:t>
      </w:r>
      <w:r w:rsidRPr="00206B96">
        <w:rPr>
          <w:rStyle w:val="AERtextitalic"/>
        </w:rPr>
        <w:t>2015</w:t>
      </w:r>
      <w:r w:rsidRPr="00206B96">
        <w:t xml:space="preserve">, March 2010 and Envestra, </w:t>
      </w:r>
      <w:r w:rsidRPr="00206B96">
        <w:rPr>
          <w:rStyle w:val="AERtextitalic"/>
        </w:rPr>
        <w:t>ASX announcement: Envestra's to acquire NSW gas networks - Market presentation</w:t>
      </w:r>
      <w:r w:rsidRPr="00206B96">
        <w:t>, 26 October 2010, pp. 3, 6–7, viewed 10 January 2012, &lt;http://www.asx.com.au/asxpdf/20101026/pdf/31tcv1nblp4xqc.pdf&gt;.</w:t>
      </w:r>
    </w:p>
  </w:footnote>
  <w:footnote w:id="265">
    <w:p w:rsidR="006B0748" w:rsidRDefault="006B0748" w:rsidP="006B0748">
      <w:pPr>
        <w:pStyle w:val="FootnoteText"/>
        <w:jc w:val="left"/>
      </w:pPr>
      <w:r>
        <w:rPr>
          <w:rStyle w:val="FootnoteReference"/>
        </w:rPr>
        <w:footnoteRef/>
      </w:r>
      <w:r>
        <w:t xml:space="preserve"> </w:t>
      </w:r>
      <w:r>
        <w:tab/>
        <w:t xml:space="preserve">AER, </w:t>
      </w:r>
      <w:r w:rsidRPr="000924BA">
        <w:rPr>
          <w:rStyle w:val="AERtextitalic"/>
        </w:rPr>
        <w:t>Draft decision: Envestra access arrangement SA</w:t>
      </w:r>
      <w:r w:rsidRPr="000924BA">
        <w:t>, February 2011, p. 63.</w:t>
      </w:r>
    </w:p>
  </w:footnote>
  <w:footnote w:id="266">
    <w:p w:rsidR="006B0748" w:rsidRDefault="006B0748" w:rsidP="006B0748">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xml:space="preserve">, October 2009, p. 78. </w:t>
      </w:r>
    </w:p>
  </w:footnote>
  <w:footnote w:id="267">
    <w:p w:rsidR="006B0748" w:rsidRDefault="006B0748" w:rsidP="006B0748">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October 2009, p. 77.</w:t>
      </w:r>
    </w:p>
  </w:footnote>
  <w:footnote w:id="268">
    <w:p w:rsidR="006B0748" w:rsidRDefault="006B0748" w:rsidP="006B0748">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69">
    <w:p w:rsidR="006B0748" w:rsidRDefault="006B0748" w:rsidP="006B0748">
      <w:pPr>
        <w:pStyle w:val="FootnoteText"/>
      </w:pPr>
      <w:r>
        <w:rPr>
          <w:rStyle w:val="FootnoteReference"/>
        </w:rPr>
        <w:footnoteRef/>
      </w:r>
      <w:r>
        <w:t xml:space="preserve"> </w:t>
      </w:r>
      <w:r>
        <w:tab/>
        <w:t>The AER has not made any calculations of its own in this section. Trading multiples have only been stated where they could be identified in an external report. The AER does not have specific information regarding the precise nature of the brokers' calculations.</w:t>
      </w:r>
    </w:p>
  </w:footnote>
  <w:footnote w:id="270">
    <w:p w:rsidR="006B0748" w:rsidRDefault="006B0748" w:rsidP="006B0748">
      <w:pPr>
        <w:pStyle w:val="FootnoteText"/>
      </w:pPr>
      <w:r>
        <w:rPr>
          <w:rStyle w:val="FootnoteReference"/>
        </w:rPr>
        <w:footnoteRef/>
      </w:r>
      <w:r>
        <w:t xml:space="preserve"> </w:t>
      </w:r>
      <w:r>
        <w:tab/>
        <w:t xml:space="preserve">CEPA have identified factors which may result a trading multiple above one - expectations of earnings from incentives and efficiencies; an actual cost of capital that is below the allowed cost; and wider stock market or M&amp;A activity. The AER considers that this list is not exhaustive. </w:t>
      </w:r>
      <w:r w:rsidRPr="00F91EC2">
        <w:t xml:space="preserve">CEPA, </w:t>
      </w:r>
      <w:r w:rsidRPr="00F91EC2">
        <w:rPr>
          <w:rStyle w:val="AERtextitalic"/>
        </w:rPr>
        <w:t>Australian energy regulator: Victorian gas networks market evidence paper</w:t>
      </w:r>
      <w:r w:rsidRPr="00F91EC2">
        <w:t>, February 2013, p. 5</w:t>
      </w:r>
      <w:r>
        <w:t>3</w:t>
      </w:r>
      <w:r w:rsidRPr="00F91EC2">
        <w:t>.</w:t>
      </w:r>
    </w:p>
  </w:footnote>
  <w:footnote w:id="271">
    <w:p w:rsidR="006B0748" w:rsidRDefault="006B0748" w:rsidP="006B0748">
      <w:pPr>
        <w:pStyle w:val="FootnoteText"/>
      </w:pPr>
      <w:r>
        <w:rPr>
          <w:rStyle w:val="FootnoteReference"/>
        </w:rPr>
        <w:footnoteRef/>
      </w:r>
      <w:r>
        <w:t xml:space="preserve"> </w:t>
      </w:r>
      <w:r>
        <w:tab/>
        <w:t>The AER has reported trading multiples from reports published from August 2012—noting that the brokers do not always provide these figures. Where possible, trading multiples for the previous year have also been presented to provide context, but only for those broker reports where a recent update was available.</w:t>
      </w:r>
    </w:p>
  </w:footnote>
  <w:footnote w:id="272">
    <w:p w:rsidR="006B0748" w:rsidRDefault="006B0748" w:rsidP="006B0748">
      <w:pPr>
        <w:pStyle w:val="FootnoteText"/>
      </w:pPr>
      <w:r>
        <w:rPr>
          <w:rStyle w:val="FootnoteReference"/>
        </w:rPr>
        <w:footnoteRef/>
      </w:r>
      <w:r>
        <w:t xml:space="preserve"> </w:t>
      </w:r>
      <w:r>
        <w:tab/>
        <w:t xml:space="preserve">JP Morgan, </w:t>
      </w:r>
      <w:r w:rsidRPr="00016464">
        <w:rPr>
          <w:rStyle w:val="AERtextitalic"/>
        </w:rPr>
        <w:t>Utilities 2013 Outlook: Regulatory Risks Recede</w:t>
      </w:r>
      <w:r>
        <w:t>, 16 January 2013, pp. 54, 58, 61, 64.</w:t>
      </w:r>
    </w:p>
  </w:footnote>
  <w:footnote w:id="273">
    <w:p w:rsidR="006B0748" w:rsidRDefault="006B0748" w:rsidP="006B0748">
      <w:pPr>
        <w:pStyle w:val="FootnoteText"/>
      </w:pPr>
      <w:r>
        <w:rPr>
          <w:rStyle w:val="FootnoteReference"/>
        </w:rPr>
        <w:footnoteRef/>
      </w:r>
      <w:r>
        <w:t xml:space="preserve"> </w:t>
      </w:r>
      <w:r>
        <w:tab/>
        <w:t xml:space="preserve">Macquarie, </w:t>
      </w:r>
      <w:r w:rsidRPr="004364C6">
        <w:t>Macquarie Marquee Ideas: The forgotten yield play</w:t>
      </w:r>
      <w:r>
        <w:t xml:space="preserve">, 6 December 2012, p.3; Macquarie, </w:t>
      </w:r>
      <w:r w:rsidRPr="004364C6">
        <w:t>SP AusNet: ElectraNet underwriting the value</w:t>
      </w:r>
      <w:r>
        <w:t>, 29 November 2012, p. 2.</w:t>
      </w:r>
    </w:p>
  </w:footnote>
  <w:footnote w:id="274">
    <w:p w:rsidR="006B0748" w:rsidRDefault="006B0748" w:rsidP="006B0748">
      <w:pPr>
        <w:pStyle w:val="FootnoteText"/>
      </w:pPr>
      <w:r>
        <w:rPr>
          <w:rStyle w:val="FootnoteReference"/>
        </w:rPr>
        <w:footnoteRef/>
      </w:r>
      <w:r>
        <w:t xml:space="preserve"> </w:t>
      </w:r>
      <w:r>
        <w:tab/>
        <w:t xml:space="preserve">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 xml:space="preserve">12 February 2013, p. 10; 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7 November 2012, p. 14.</w:t>
      </w:r>
    </w:p>
  </w:footnote>
  <w:footnote w:id="275">
    <w:p w:rsidR="006B0748" w:rsidRDefault="006B0748" w:rsidP="006B0748">
      <w:pPr>
        <w:pStyle w:val="FootnoteText"/>
      </w:pPr>
      <w:r>
        <w:rPr>
          <w:rStyle w:val="FootnoteReference"/>
        </w:rPr>
        <w:footnoteRef/>
      </w:r>
      <w:r>
        <w:t xml:space="preserve"> </w:t>
      </w:r>
      <w:r>
        <w:tab/>
        <w:t xml:space="preserve">Bank of America Merrill Lynch, </w:t>
      </w:r>
      <w:r w:rsidRPr="004E1B73">
        <w:rPr>
          <w:rStyle w:val="AERtextitalic"/>
        </w:rPr>
        <w:t>Spark Infrastructure Group: Sparkling performance unlikely to continue</w:t>
      </w:r>
      <w:r>
        <w:t xml:space="preserve">, 5 February 2013, p. 1; Bank of America Merrill Lynch, </w:t>
      </w:r>
      <w:r w:rsidRPr="003711E5">
        <w:rPr>
          <w:rStyle w:val="AERtextitalic"/>
        </w:rPr>
        <w:t>Australian Utilities: Moving to a lower WACC world</w:t>
      </w:r>
      <w:r>
        <w:t xml:space="preserve">, 19 October 2012, p. 6; Bank of America Merrill Lynch, </w:t>
      </w:r>
      <w:r w:rsidRPr="003711E5">
        <w:rPr>
          <w:rStyle w:val="AERtextitalic"/>
        </w:rPr>
        <w:t>SP Ausnet: Re-iterating 7.7% 2013 divi, growing at 2%</w:t>
      </w:r>
      <w:r>
        <w:t xml:space="preserve">, 9 November 2012, p. 5; Bank of America Merrill Lynch, </w:t>
      </w:r>
      <w:r w:rsidRPr="00642117">
        <w:rPr>
          <w:rStyle w:val="AERtextitalic"/>
        </w:rPr>
        <w:t>Envestra Limited, Earnings review, Flat divi in FY13</w:t>
      </w:r>
      <w:r>
        <w:t>, 23 August 2012, p. 5.</w:t>
      </w:r>
    </w:p>
  </w:footnote>
  <w:footnote w:id="276">
    <w:p w:rsidR="006B0748" w:rsidRDefault="006B0748" w:rsidP="006B0748">
      <w:pPr>
        <w:pStyle w:val="FootnoteText"/>
      </w:pPr>
      <w:r>
        <w:rPr>
          <w:rStyle w:val="FootnoteReference"/>
        </w:rPr>
        <w:footnoteRef/>
      </w:r>
      <w:r>
        <w:t xml:space="preserve"> </w:t>
      </w:r>
      <w:r>
        <w:tab/>
      </w:r>
      <w:r w:rsidRPr="003015C0">
        <w:t xml:space="preserve">CEPA, </w:t>
      </w:r>
      <w:r w:rsidRPr="003015C0">
        <w:rPr>
          <w:rStyle w:val="AERtextitalic"/>
        </w:rPr>
        <w:t>Australian energy regulator: Victorian gas networks market evidence paper</w:t>
      </w:r>
      <w:r w:rsidRPr="003015C0">
        <w:t>, February 2013, p. 5</w:t>
      </w:r>
      <w:r>
        <w:t>4</w:t>
      </w:r>
      <w:r w:rsidRPr="003015C0">
        <w:t>.</w:t>
      </w:r>
    </w:p>
  </w:footnote>
  <w:footnote w:id="277">
    <w:p w:rsidR="006B0748" w:rsidRDefault="006B0748" w:rsidP="006B0748">
      <w:pPr>
        <w:pStyle w:val="FootnoteText"/>
      </w:pPr>
      <w:r>
        <w:rPr>
          <w:rStyle w:val="FootnoteReference"/>
        </w:rPr>
        <w:footnoteRef/>
      </w:r>
      <w:r>
        <w:t xml:space="preserve"> </w:t>
      </w:r>
      <w:r>
        <w:tab/>
        <w:t xml:space="preserve">Spark Infrastructure, </w:t>
      </w:r>
      <w:r w:rsidRPr="00CD100F">
        <w:rPr>
          <w:i/>
        </w:rPr>
        <w:t>2012 Fact Book</w:t>
      </w:r>
      <w:r>
        <w:t xml:space="preserve">, 27 February 2012, p. 9. </w:t>
      </w:r>
    </w:p>
  </w:footnote>
  <w:footnote w:id="278">
    <w:p w:rsidR="006B0748" w:rsidRDefault="006B0748" w:rsidP="006B0748">
      <w:pPr>
        <w:pStyle w:val="FootnoteText"/>
      </w:pPr>
      <w:r>
        <w:rPr>
          <w:rStyle w:val="FootnoteReference"/>
        </w:rPr>
        <w:footnoteRef/>
      </w:r>
      <w:r>
        <w:t xml:space="preserve"> </w:t>
      </w:r>
      <w:r>
        <w:tab/>
        <w:t xml:space="preserve">While the WACC review has no legal standing under the NGL or NGR, the AER has maintained a largely consistent approach across gas and electricity decisions since the WACC review final decision was published. </w:t>
      </w:r>
    </w:p>
  </w:footnote>
  <w:footnote w:id="279">
    <w:p w:rsidR="006B0748" w:rsidRDefault="006B0748" w:rsidP="006B0748">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80">
    <w:p w:rsidR="006B0748" w:rsidRDefault="006B0748" w:rsidP="006B0748">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2012] ACompT 3</w:t>
      </w:r>
      <w:r>
        <w:t xml:space="preserve">, 11 January 2012, paragraph 166.  </w:t>
      </w:r>
    </w:p>
  </w:footnote>
  <w:footnote w:id="281">
    <w:p w:rsidR="006B0748" w:rsidRDefault="006B0748" w:rsidP="006B0748">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2012] ACompT 3</w:t>
      </w:r>
      <w:r>
        <w:t xml:space="preserve">, 11 January 2012, paragraph 167.  </w:t>
      </w:r>
    </w:p>
  </w:footnote>
  <w:footnote w:id="282">
    <w:p w:rsidR="006B0748" w:rsidRDefault="006B0748" w:rsidP="006B0748">
      <w:pPr>
        <w:pStyle w:val="FootnoteText"/>
      </w:pPr>
      <w:r>
        <w:rPr>
          <w:rStyle w:val="FootnoteReference"/>
        </w:rPr>
        <w:footnoteRef/>
      </w:r>
      <w:r>
        <w:t xml:space="preserve"> </w:t>
      </w:r>
      <w:r>
        <w:tab/>
      </w:r>
      <w:r w:rsidRPr="00ED2D7C">
        <w:t>In particular, the AER considers that the price and dividend forecasts from these reports do not constitute a sufficiently reliable basis for calculation of an overall rate of return. However, the broker reports do often report discount rates, which are equivalent to the broker’s estimate of the WACC for the company.</w:t>
      </w:r>
    </w:p>
  </w:footnote>
  <w:footnote w:id="283">
    <w:p w:rsidR="006B0748" w:rsidRDefault="006B0748" w:rsidP="006B0748">
      <w:pPr>
        <w:pStyle w:val="FootnoteText"/>
      </w:pPr>
      <w:r>
        <w:rPr>
          <w:rStyle w:val="FootnoteReference"/>
        </w:rPr>
        <w:footnoteRef/>
      </w:r>
      <w:r>
        <w:t xml:space="preserve"> </w:t>
      </w:r>
      <w:r>
        <w:tab/>
        <w:t xml:space="preserve">Associate Professor Lally makes this point in relation to dividend growth model (DGM) estimates of the cost of equity which </w:t>
      </w:r>
      <w:proofErr w:type="gramStart"/>
      <w:r>
        <w:t>are</w:t>
      </w:r>
      <w:proofErr w:type="gramEnd"/>
      <w:r>
        <w:t xml:space="preserve"> based on listed regulated energy networks. That is, he states that as the unregulated activities tend to be </w:t>
      </w:r>
      <w:proofErr w:type="gramStart"/>
      <w:r>
        <w:t>have</w:t>
      </w:r>
      <w:proofErr w:type="gramEnd"/>
      <w:r>
        <w:t xml:space="preserve"> higher risk, the estimated cost of equity (based on data which takes into account the entirety of the firm’s activities) will tend to overestimate that for its regulated activities. </w:t>
      </w:r>
      <w:proofErr w:type="gramStart"/>
      <w:r>
        <w:t>Lally,</w:t>
      </w:r>
      <w:proofErr w:type="gramEnd"/>
      <w:r>
        <w:t xml:space="preserve"> </w:t>
      </w:r>
      <w:r w:rsidRPr="004B4C90">
        <w:rPr>
          <w:rStyle w:val="AERtextitalic"/>
        </w:rPr>
        <w:t>C</w:t>
      </w:r>
      <w:r w:rsidRPr="00411FDE">
        <w:rPr>
          <w:i/>
        </w:rPr>
        <w:t xml:space="preserve">ost of equity and the </w:t>
      </w:r>
      <w:r>
        <w:rPr>
          <w:i/>
        </w:rPr>
        <w:t>MRP</w:t>
      </w:r>
      <w:r>
        <w:t>, July 2012, p. 14.</w:t>
      </w:r>
    </w:p>
  </w:footnote>
  <w:footnote w:id="284">
    <w:p w:rsidR="006B0748" w:rsidRDefault="006B0748" w:rsidP="006B0748">
      <w:pPr>
        <w:pStyle w:val="FootnoteText"/>
      </w:pPr>
      <w:r>
        <w:rPr>
          <w:rStyle w:val="FootnoteReference"/>
        </w:rPr>
        <w:footnoteRef/>
      </w:r>
      <w:r>
        <w:t xml:space="preserve"> </w:t>
      </w:r>
      <w:r>
        <w:tab/>
        <w:t xml:space="preserve">The table presents broker reports from August 2012 to February 2013. </w:t>
      </w:r>
    </w:p>
  </w:footnote>
  <w:footnote w:id="285">
    <w:p w:rsidR="006B0748" w:rsidRDefault="006B0748" w:rsidP="006B0748">
      <w:pPr>
        <w:pStyle w:val="FootnoteText"/>
      </w:pPr>
      <w:r>
        <w:rPr>
          <w:rStyle w:val="FootnoteReference"/>
        </w:rPr>
        <w:footnoteRef/>
      </w:r>
      <w:r>
        <w:t xml:space="preserve"> </w:t>
      </w:r>
      <w:r>
        <w:tab/>
        <w:t xml:space="preserve">AER, </w:t>
      </w:r>
      <w:r w:rsidRPr="008808DB">
        <w:rPr>
          <w:rStyle w:val="AERtextitalic"/>
        </w:rPr>
        <w:t xml:space="preserve">Final </w:t>
      </w:r>
      <w:r>
        <w:rPr>
          <w:rStyle w:val="AERtextitalic"/>
        </w:rPr>
        <w:t>Decision: APTPPL access arrangement</w:t>
      </w:r>
      <w:r>
        <w:t xml:space="preserve">, August 2012; AER, </w:t>
      </w:r>
      <w:r w:rsidRPr="008808DB">
        <w:rPr>
          <w:rStyle w:val="AERtextitalic"/>
        </w:rPr>
        <w:t xml:space="preserve">Final </w:t>
      </w:r>
      <w:r>
        <w:rPr>
          <w:rStyle w:val="AERtextitalic"/>
        </w:rPr>
        <w:t>Decision: Aurora</w:t>
      </w:r>
      <w:r>
        <w:t xml:space="preserve"> </w:t>
      </w:r>
      <w:r w:rsidRPr="000924BA">
        <w:t xml:space="preserve">distribution </w:t>
      </w:r>
      <w:r w:rsidRPr="008808DB">
        <w:rPr>
          <w:rStyle w:val="AERtextitalic"/>
        </w:rPr>
        <w:t>d</w:t>
      </w:r>
      <w:r w:rsidRPr="000924BA">
        <w:t>etermination</w:t>
      </w:r>
      <w:r>
        <w:t xml:space="preserve">, April 2012; AER, </w:t>
      </w:r>
      <w:r w:rsidRPr="008808DB">
        <w:rPr>
          <w:rStyle w:val="AERtextitalic"/>
        </w:rPr>
        <w:t>Final Decision</w:t>
      </w:r>
      <w:r>
        <w:t xml:space="preserve">: </w:t>
      </w:r>
      <w:r w:rsidRPr="000924BA">
        <w:t>Powerlink Transmission determination 2012–13 to 2016–17</w:t>
      </w:r>
      <w:r>
        <w:t xml:space="preserve">, April 2012; AER </w:t>
      </w:r>
      <w:r w:rsidRPr="008808DB">
        <w:rPr>
          <w:rStyle w:val="AERtextitalic"/>
        </w:rPr>
        <w:t>Final Decision</w:t>
      </w:r>
      <w:r>
        <w:rPr>
          <w:rStyle w:val="AERtextitalic"/>
        </w:rPr>
        <w:t xml:space="preserve">: </w:t>
      </w:r>
      <w:r w:rsidRPr="000924BA">
        <w:t xml:space="preserve">Victorian </w:t>
      </w:r>
      <w:r>
        <w:t>d</w:t>
      </w:r>
      <w:r w:rsidRPr="000924BA">
        <w:t>istribution determination</w:t>
      </w:r>
      <w:r>
        <w:t xml:space="preserve">, October 2010, p. 519; AER, </w:t>
      </w:r>
      <w:r w:rsidRPr="00B818E5">
        <w:rPr>
          <w:rStyle w:val="AERtextitalic"/>
        </w:rPr>
        <w:t xml:space="preserve">Final Decision: </w:t>
      </w:r>
      <w:r w:rsidRPr="00B8336D">
        <w:rPr>
          <w:rStyle w:val="AERtextitalic"/>
        </w:rPr>
        <w:t>Queensland electricity distribution network service providers: Distribution determination 2010</w:t>
      </w:r>
      <w:r w:rsidRPr="00B8336D">
        <w:rPr>
          <w:rStyle w:val="AERtextitalic"/>
          <w:rFonts w:hint="eastAsia"/>
        </w:rPr>
        <w:t>–</w:t>
      </w:r>
      <w:r w:rsidRPr="00B8336D">
        <w:rPr>
          <w:rStyle w:val="AERtextitalic"/>
        </w:rPr>
        <w:t>11 to 2014</w:t>
      </w:r>
      <w:r w:rsidRPr="00B8336D">
        <w:rPr>
          <w:rStyle w:val="AERtextitalic"/>
          <w:rFonts w:hint="eastAsia"/>
        </w:rPr>
        <w:t>–</w:t>
      </w:r>
      <w:r w:rsidRPr="00B8336D">
        <w:rPr>
          <w:rStyle w:val="AERtextitalic"/>
        </w:rPr>
        <w:t>15</w:t>
      </w:r>
      <w:r>
        <w:t xml:space="preserve">, May 2010, p. 267; AER, </w:t>
      </w:r>
      <w:r w:rsidRPr="008808DB">
        <w:rPr>
          <w:rStyle w:val="AERtextitalic"/>
        </w:rPr>
        <w:t>Final decision</w:t>
      </w:r>
      <w:r>
        <w:rPr>
          <w:rStyle w:val="AERtextitalic"/>
        </w:rPr>
        <w:t>: N. T. Gas access arrangement proposal for the Amadeus gas pipeline 2011–2016,</w:t>
      </w:r>
      <w:r>
        <w:t xml:space="preserve"> July 2011, p. 80; Australian Competition Tribunal, </w:t>
      </w:r>
      <w:r w:rsidRPr="00E47616">
        <w:rPr>
          <w:rStyle w:val="AERtextitalic"/>
        </w:rPr>
        <w:t>Envestra</w:t>
      </w:r>
      <w:r>
        <w:rPr>
          <w:rStyle w:val="AERtextitalic"/>
        </w:rPr>
        <w:t xml:space="preserve">: </w:t>
      </w:r>
      <w:r w:rsidRPr="00E47616">
        <w:rPr>
          <w:rStyle w:val="AERtextitalic"/>
        </w:rPr>
        <w:t>Annexure A (Part 2</w:t>
      </w:r>
      <w:r>
        <w:rPr>
          <w:rStyle w:val="AERtextitalic"/>
        </w:rPr>
        <w:t xml:space="preserve">), </w:t>
      </w:r>
      <w:r w:rsidRPr="00E47616">
        <w:rPr>
          <w:rStyle w:val="AERtextitalic"/>
        </w:rPr>
        <w:t>Amended Access Arrangement</w:t>
      </w:r>
      <w:r>
        <w:t xml:space="preserve">, February 2012, p. 13; Australian Competition Tribunal, </w:t>
      </w:r>
      <w:r w:rsidRPr="00E47616">
        <w:rPr>
          <w:rStyle w:val="AERtextitalic"/>
        </w:rPr>
        <w:t>APT Allgas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Arrangement</w:t>
      </w:r>
      <w:r>
        <w:t xml:space="preserve">, February 2012, p. 17; Australian Competition Tribunal, </w:t>
      </w:r>
      <w:r w:rsidRPr="00E47616">
        <w:rPr>
          <w:rStyle w:val="AERtextitalic"/>
        </w:rPr>
        <w:t>NSW Gas Networks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w:t>
      </w:r>
      <w:r>
        <w:t xml:space="preserve">t, June 2011, p. 18; Australian Competition Tribunal, </w:t>
      </w:r>
      <w:r w:rsidRPr="00E47616">
        <w:rPr>
          <w:rStyle w:val="AERtextitalic"/>
        </w:rPr>
        <w:t>ActewAGL Gas Distribution Network</w:t>
      </w:r>
      <w:r>
        <w:rPr>
          <w:rStyle w:val="AERtextitalic"/>
        </w:rPr>
        <w:t xml:space="preserve">: </w:t>
      </w:r>
      <w:r w:rsidRPr="00E47616">
        <w:rPr>
          <w:rStyle w:val="AERtextitalic"/>
        </w:rPr>
        <w:t>Order,</w:t>
      </w:r>
      <w:r>
        <w:t xml:space="preserve"> September 2010, p. 2.</w:t>
      </w:r>
    </w:p>
  </w:footnote>
  <w:footnote w:id="286">
    <w:p w:rsidR="006B0748" w:rsidRDefault="006B0748" w:rsidP="006B0748">
      <w:pPr>
        <w:pStyle w:val="FootnoteText"/>
      </w:pPr>
      <w:r>
        <w:rPr>
          <w:rStyle w:val="FootnoteReference"/>
        </w:rPr>
        <w:footnoteRef/>
      </w:r>
      <w:r>
        <w:t xml:space="preserve"> </w:t>
      </w:r>
      <w:r>
        <w:tab/>
        <w:t xml:space="preserve">Essential Service Commission of South Australia (ESCOSA), </w:t>
      </w:r>
      <w:r w:rsidRPr="008808DB">
        <w:rPr>
          <w:rStyle w:val="AERtextitalic"/>
        </w:rPr>
        <w:t>Final Advice</w:t>
      </w:r>
      <w:r>
        <w:rPr>
          <w:rStyle w:val="AERtextitalic"/>
        </w:rPr>
        <w:t xml:space="preserve">: </w:t>
      </w:r>
      <w:r w:rsidRPr="00890CB3">
        <w:t>Advice on a Regulatory Rate of Return for SA Water</w:t>
      </w:r>
      <w:r>
        <w:t xml:space="preserve">, February 2012, p. 50; Queensland Competition Authority, </w:t>
      </w:r>
      <w:r>
        <w:rPr>
          <w:rStyle w:val="AERtextitalic"/>
        </w:rPr>
        <w:t xml:space="preserve">Final </w:t>
      </w:r>
      <w:r w:rsidRPr="008808DB">
        <w:rPr>
          <w:rStyle w:val="AERtextitalic"/>
        </w:rPr>
        <w:t>Report</w:t>
      </w:r>
      <w:r>
        <w:rPr>
          <w:rStyle w:val="AERtextitalic"/>
        </w:rPr>
        <w:t xml:space="preserve">: </w:t>
      </w:r>
      <w:r w:rsidRPr="00890CB3">
        <w:t>SunWater Irrigation Price Review: 2012–17</w:t>
      </w:r>
      <w:r>
        <w:t xml:space="preserve">, Volume 1, May 2011, p. 503; Essential Service Commission of Victoria (ESCV)), </w:t>
      </w:r>
      <w:r w:rsidRPr="004608D3">
        <w:rPr>
          <w:rStyle w:val="AERtextitalic"/>
        </w:rPr>
        <w:t>V/line access arrangement final decision</w:t>
      </w:r>
      <w:r>
        <w:t xml:space="preserve">, June 2012, p. 208. Independent Pricing and Regulatory Tribunal (IPART), </w:t>
      </w:r>
      <w:r>
        <w:rPr>
          <w:rStyle w:val="AERtextitalic"/>
        </w:rPr>
        <w:t>Water – Final r</w:t>
      </w:r>
      <w:r w:rsidRPr="008808DB">
        <w:rPr>
          <w:rStyle w:val="AERtextitalic"/>
        </w:rPr>
        <w:t>eport</w:t>
      </w:r>
      <w:r>
        <w:rPr>
          <w:rStyle w:val="AERtextitalic"/>
        </w:rPr>
        <w:t xml:space="preserve">: </w:t>
      </w:r>
      <w:r w:rsidRPr="00890CB3">
        <w:t>Review of prices for Sydney Water Corporation’s water, sewerage, drainage and other services</w:t>
      </w:r>
      <w:r>
        <w:t xml:space="preserve">: From 1 July 2012 to 30 June 2016, June 2012, pp. 198, 204; IPART, </w:t>
      </w:r>
      <w:r>
        <w:rPr>
          <w:rStyle w:val="AERtextitalic"/>
        </w:rPr>
        <w:t xml:space="preserve">Water – Final report: </w:t>
      </w:r>
      <w:r w:rsidRPr="00F32E75">
        <w:rPr>
          <w:rStyle w:val="AERtextitalic"/>
        </w:rPr>
        <w:t>Review of prices for Sydney Catchment Authority</w:t>
      </w:r>
      <w:r>
        <w:rPr>
          <w:rStyle w:val="AERtextitalic"/>
        </w:rPr>
        <w:t>: From 1 July 2012 to 30 June 2016</w:t>
      </w:r>
      <w:r w:rsidRPr="00F32E75">
        <w:rPr>
          <w:rStyle w:val="AERtextitalic"/>
        </w:rPr>
        <w:t>,</w:t>
      </w:r>
      <w:r>
        <w:t xml:space="preserve"> June 2012, pp. 90, 118, 123; ERA, </w:t>
      </w:r>
      <w:r>
        <w:rPr>
          <w:rStyle w:val="AERtextitalic"/>
        </w:rPr>
        <w:t>Final</w:t>
      </w:r>
      <w:r w:rsidRPr="008808DB">
        <w:rPr>
          <w:rStyle w:val="AERtextitalic"/>
        </w:rPr>
        <w:t xml:space="preserve"> </w:t>
      </w:r>
      <w:r>
        <w:rPr>
          <w:rStyle w:val="AERtextitalic"/>
        </w:rPr>
        <w:t>d</w:t>
      </w:r>
      <w:r w:rsidRPr="008808DB">
        <w:rPr>
          <w:rStyle w:val="AERtextitalic"/>
        </w:rPr>
        <w:t>ecision</w:t>
      </w:r>
      <w:r>
        <w:rPr>
          <w:rStyle w:val="AERtextitalic"/>
        </w:rPr>
        <w:t xml:space="preserve"> on proposed revisions to the access arrangement for the </w:t>
      </w:r>
      <w:r w:rsidRPr="00890CB3">
        <w:t xml:space="preserve">Western Power </w:t>
      </w:r>
      <w:r>
        <w:t xml:space="preserve">network submitted by Western Power, 5 September 2012, p. 241. QCA, </w:t>
      </w:r>
      <w:r>
        <w:rPr>
          <w:rStyle w:val="AERtextitalic"/>
        </w:rPr>
        <w:t xml:space="preserve">Draft </w:t>
      </w:r>
      <w:r w:rsidRPr="008808DB">
        <w:rPr>
          <w:rStyle w:val="AERtextitalic"/>
        </w:rPr>
        <w:t>Report</w:t>
      </w:r>
      <w:r>
        <w:rPr>
          <w:rStyle w:val="AERtextitalic"/>
        </w:rPr>
        <w:t xml:space="preserve">: </w:t>
      </w:r>
      <w:r>
        <w:t>Seqwater Irrigation Price Review: 2013</w:t>
      </w:r>
      <w:r w:rsidRPr="00890CB3">
        <w:t>–17</w:t>
      </w:r>
      <w:r>
        <w:t>, Volume 1, December 2011, p. 259.</w:t>
      </w:r>
    </w:p>
  </w:footnote>
  <w:footnote w:id="287">
    <w:p w:rsidR="006B0748" w:rsidRDefault="006B0748" w:rsidP="006B0748">
      <w:pPr>
        <w:pStyle w:val="FootnoteText"/>
      </w:pPr>
      <w:r>
        <w:rPr>
          <w:rStyle w:val="FootnoteReference"/>
        </w:rPr>
        <w:footnoteRef/>
      </w:r>
      <w:r>
        <w:t xml:space="preserve"> </w:t>
      </w:r>
      <w:r>
        <w:tab/>
      </w:r>
      <w:r w:rsidRPr="00040C6D">
        <w:t xml:space="preserve">SFG, </w:t>
      </w:r>
      <w:r w:rsidRPr="00911FE1">
        <w:rPr>
          <w:rStyle w:val="AERtextitalic"/>
        </w:rPr>
        <w:t>The required return on equity: Response to AER Victorian gas draft decisions</w:t>
      </w:r>
      <w:r w:rsidRPr="00040C6D">
        <w:t xml:space="preserve">, 7 November 2012, p. </w:t>
      </w:r>
      <w:r>
        <w:t>51</w:t>
      </w:r>
      <w:r w:rsidRPr="00040C6D">
        <w:t>.</w:t>
      </w:r>
    </w:p>
  </w:footnote>
  <w:footnote w:id="288">
    <w:p w:rsidR="006B0748" w:rsidRDefault="006B0748" w:rsidP="006B0748">
      <w:pPr>
        <w:pStyle w:val="FootnoteText"/>
      </w:pPr>
      <w:r>
        <w:rPr>
          <w:rStyle w:val="FootnoteReference"/>
        </w:rPr>
        <w:footnoteRef/>
      </w:r>
      <w:r>
        <w:t xml:space="preserve"> </w:t>
      </w:r>
      <w:r>
        <w:tab/>
      </w:r>
      <w:r w:rsidRPr="00C406E2">
        <w:t>Specifically, as SFG stated, using expected debt yields implies that debt investors in the benchmark firm should expect a return that is materially lower than the allowed return on debt (because there is a material chance the revenue the regulator has allowed will be insufficient to pay what has been promised to those debt holders). However, a determination that resulted in there being a material chance that the revenue the regulator has allowed will be insufficient to pay what has been promised to those debt holders would likely be inconsistent with the NGL.</w:t>
      </w:r>
      <w:r>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289">
    <w:p w:rsidR="006B0748" w:rsidRDefault="006B0748" w:rsidP="006B0748">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290">
    <w:p w:rsidR="006B0748" w:rsidRDefault="006B0748" w:rsidP="006B0748">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8.</w:t>
      </w:r>
    </w:p>
  </w:footnote>
  <w:footnote w:id="291">
    <w:p w:rsidR="006B0748" w:rsidRDefault="006B0748" w:rsidP="006B0748">
      <w:pPr>
        <w:pStyle w:val="FootnoteText"/>
      </w:pPr>
      <w:r>
        <w:rPr>
          <w:rStyle w:val="FootnoteReference"/>
        </w:rPr>
        <w:footnoteRef/>
      </w:r>
      <w:r>
        <w:t xml:space="preserve"> </w:t>
      </w:r>
      <w:r>
        <w:tab/>
        <w:t>For clarity, both the cost of debt and equity are estimated on a pre–personal tax basis.</w:t>
      </w:r>
    </w:p>
  </w:footnote>
  <w:footnote w:id="292">
    <w:p w:rsidR="006B0748" w:rsidRDefault="006B0748" w:rsidP="006B0748">
      <w:pPr>
        <w:pStyle w:val="FootnoteText"/>
      </w:pPr>
      <w:r>
        <w:rPr>
          <w:rStyle w:val="FootnoteReference"/>
        </w:rPr>
        <w:footnoteRef/>
      </w:r>
      <w:r>
        <w:t xml:space="preserve"> </w:t>
      </w:r>
      <w:r>
        <w:tab/>
      </w:r>
      <w:r w:rsidRPr="00776BA5">
        <w:t xml:space="preserve">McKenzie and Partington, </w:t>
      </w:r>
      <w:r w:rsidRPr="00776BA5">
        <w:rPr>
          <w:rStyle w:val="AERtextitalic"/>
        </w:rPr>
        <w:t>Relationship between cost of debt and cost of equity</w:t>
      </w:r>
      <w:r w:rsidRPr="00776BA5">
        <w:t>, March 2013</w:t>
      </w:r>
      <w:r>
        <w:t>, p. 21.</w:t>
      </w:r>
    </w:p>
  </w:footnote>
  <w:footnote w:id="293">
    <w:p w:rsidR="006B0748" w:rsidRDefault="006B0748" w:rsidP="006B0748">
      <w:pPr>
        <w:pStyle w:val="FootnoteText"/>
      </w:pPr>
      <w:r>
        <w:rPr>
          <w:rStyle w:val="FootnoteReference"/>
        </w:rPr>
        <w:footnoteRef/>
      </w:r>
      <w:r>
        <w:t xml:space="preserve"> </w:t>
      </w:r>
      <w:r>
        <w:tab/>
        <w:t xml:space="preserve">Envestra, </w:t>
      </w:r>
      <w:r w:rsidRPr="002A15AC">
        <w:rPr>
          <w:rStyle w:val="AERtextitalic"/>
        </w:rPr>
        <w:t>Letter to Andrew Reeves</w:t>
      </w:r>
      <w:r>
        <w:t>, 21 August 2012.</w:t>
      </w:r>
    </w:p>
  </w:footnote>
  <w:footnote w:id="294">
    <w:p w:rsidR="006B0748" w:rsidRDefault="006B0748" w:rsidP="006B0748">
      <w:pPr>
        <w:pStyle w:val="FootnoteText"/>
      </w:pPr>
      <w:r>
        <w:rPr>
          <w:rStyle w:val="FootnoteReference"/>
        </w:rPr>
        <w:footnoteRef/>
      </w:r>
      <w:r>
        <w:t xml:space="preserve"> </w:t>
      </w:r>
      <w:r>
        <w:tab/>
      </w:r>
      <w:proofErr w:type="gramStart"/>
      <w:r>
        <w:t xml:space="preserve">Australian Competition Tribunal, </w:t>
      </w:r>
      <w:r w:rsidRPr="00B45B65">
        <w:rPr>
          <w:rStyle w:val="AERtextitalic"/>
        </w:rPr>
        <w:t xml:space="preserve">Application by </w:t>
      </w:r>
      <w:r>
        <w:rPr>
          <w:rStyle w:val="AERtextitalic"/>
        </w:rPr>
        <w:t xml:space="preserve">United Energy Distribution Pty Limited </w:t>
      </w:r>
      <w:r w:rsidRPr="00B45B65">
        <w:rPr>
          <w:rStyle w:val="AERtextitalic"/>
        </w:rPr>
        <w:t xml:space="preserve">[2012] ACompT </w:t>
      </w:r>
      <w:r>
        <w:rPr>
          <w:rStyle w:val="AERtextitalic"/>
        </w:rPr>
        <w:t>1</w:t>
      </w:r>
      <w:r>
        <w:t xml:space="preserve">, 6 January 2012, paragraph 429; Australian Competition Tribunal, </w:t>
      </w:r>
      <w:r w:rsidRPr="00EE104A">
        <w:rPr>
          <w:rStyle w:val="AERtextitalic"/>
        </w:rPr>
        <w:t>Application by Envestra Limited (No 2) [2012] ACompT 3</w:t>
      </w:r>
      <w:r>
        <w:t>, 16 January 2012.</w:t>
      </w:r>
      <w:proofErr w:type="gramEnd"/>
    </w:p>
  </w:footnote>
  <w:footnote w:id="295">
    <w:p w:rsidR="006B0748" w:rsidRDefault="006B0748" w:rsidP="006B0748">
      <w:pPr>
        <w:pStyle w:val="FootnoteText"/>
      </w:pPr>
      <w:r>
        <w:rPr>
          <w:rStyle w:val="FootnoteReference"/>
        </w:rPr>
        <w:footnoteRef/>
      </w:r>
      <w:r>
        <w:t xml:space="preserve"> </w:t>
      </w:r>
      <w:r>
        <w:tab/>
        <w:t xml:space="preserve">Macquarie Investment Management, </w:t>
      </w:r>
      <w:r w:rsidRPr="00474289">
        <w:rPr>
          <w:rStyle w:val="AERtextitalic"/>
        </w:rPr>
        <w:t>Hybrid securities: Lured by yield, Investment perspectives</w:t>
      </w:r>
      <w:r>
        <w:t>, Issue 6.</w:t>
      </w:r>
    </w:p>
  </w:footnote>
  <w:footnote w:id="296">
    <w:p w:rsidR="006B0748" w:rsidRDefault="006B0748" w:rsidP="006B0748">
      <w:pPr>
        <w:pStyle w:val="FootnoteText"/>
      </w:pPr>
      <w:r>
        <w:rPr>
          <w:rStyle w:val="FootnoteReference"/>
        </w:rPr>
        <w:footnoteRef/>
      </w:r>
      <w:r>
        <w:t xml:space="preserve"> </w:t>
      </w:r>
      <w:r>
        <w:tab/>
        <w:t>Specifically, the return on equity in this decision is 7.94 per cent. In comparison, the corresponding yields on the APA Group bond and hybrid capital are approximately 7.64 and 7.36 per cent respectively. (The yield of 7.64 per cent on the hybrid issuance is likely to be a slight underestimate, as the margin of 450 basis points was quoted relative to the BBSW). For clarity, the APA Group yields have been estimated using the same risk free rate used to estimate the return on equity for this final decision.</w:t>
      </w:r>
    </w:p>
  </w:footnote>
  <w:footnote w:id="297">
    <w:p w:rsidR="006B0748" w:rsidRDefault="006B0748" w:rsidP="006B0748">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298">
    <w:p w:rsidR="006B0748" w:rsidRDefault="006B0748" w:rsidP="006B0748">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299">
    <w:p w:rsidR="006B0748" w:rsidRDefault="006B0748" w:rsidP="006B0748">
      <w:pPr>
        <w:pStyle w:val="FootnoteText"/>
      </w:pPr>
      <w:r>
        <w:rPr>
          <w:rStyle w:val="FootnoteReference"/>
        </w:rPr>
        <w:footnoteRef/>
      </w:r>
      <w:r>
        <w:t xml:space="preserve"> </w:t>
      </w:r>
      <w:r>
        <w:tab/>
      </w:r>
      <w:proofErr w:type="gramStart"/>
      <w:r w:rsidRPr="003762F6">
        <w:t xml:space="preserve">Lally, </w:t>
      </w:r>
      <w:r w:rsidRPr="003762F6">
        <w:rPr>
          <w:rStyle w:val="AERtextitalic"/>
        </w:rPr>
        <w:t>The dividend growth model</w:t>
      </w:r>
      <w:r w:rsidRPr="003762F6">
        <w:t xml:space="preserve">, </w:t>
      </w:r>
      <w:r>
        <w:t>March</w:t>
      </w:r>
      <w:r w:rsidRPr="003762F6">
        <w:t xml:space="preserve"> 2013</w:t>
      </w:r>
      <w:r>
        <w:t>, p. 4.</w:t>
      </w:r>
      <w:proofErr w:type="gramEnd"/>
      <w:r>
        <w:t xml:space="preserve"> </w:t>
      </w:r>
    </w:p>
  </w:footnote>
  <w:footnote w:id="300">
    <w:p w:rsidR="006B0748" w:rsidRDefault="006B0748" w:rsidP="006B0748">
      <w:pPr>
        <w:pStyle w:val="FootnoteText"/>
      </w:pPr>
      <w:r>
        <w:rPr>
          <w:rStyle w:val="FootnoteReference"/>
        </w:rPr>
        <w:footnoteRef/>
      </w:r>
      <w:r>
        <w:t xml:space="preserve"> </w:t>
      </w:r>
      <w:r>
        <w:tab/>
      </w:r>
      <w:r w:rsidRPr="00350795">
        <w:t xml:space="preserve">AER, </w:t>
      </w:r>
      <w:r w:rsidRPr="00350795">
        <w:rPr>
          <w:rStyle w:val="AERtextitalic"/>
        </w:rPr>
        <w:t>Final decision: Envestra Ltd access arrangement proposal for the SA gas network 2011–2016</w:t>
      </w:r>
      <w:r w:rsidRPr="00350795">
        <w:t>, June 2011</w:t>
      </w:r>
      <w:r>
        <w:t xml:space="preserve">, p. 158. </w:t>
      </w:r>
    </w:p>
  </w:footnote>
  <w:footnote w:id="301">
    <w:p w:rsidR="006B0748" w:rsidRDefault="006B0748" w:rsidP="006B0748">
      <w:pPr>
        <w:pStyle w:val="FootnoteText"/>
      </w:pPr>
      <w:r>
        <w:rPr>
          <w:rStyle w:val="FootnoteReference"/>
        </w:rPr>
        <w:footnoteRef/>
      </w:r>
      <w:r>
        <w:t xml:space="preserve"> </w:t>
      </w:r>
      <w:r>
        <w:tab/>
      </w:r>
      <w:proofErr w:type="gramStart"/>
      <w:r w:rsidRPr="005235B9">
        <w:t xml:space="preserve">Multinet, </w:t>
      </w:r>
      <w:r w:rsidRPr="005235B9">
        <w:rPr>
          <w:rStyle w:val="AERtextitalic"/>
        </w:rPr>
        <w:t>Revised Access Arrangement Proposal</w:t>
      </w:r>
      <w:r w:rsidRPr="005235B9">
        <w:t xml:space="preserve">, 9 November 2012, </w:t>
      </w:r>
      <w:r>
        <w:t>p.135 and p.170</w:t>
      </w:r>
      <w:r w:rsidRPr="005235B9">
        <w:t>.</w:t>
      </w:r>
      <w:proofErr w:type="gramEnd"/>
    </w:p>
  </w:footnote>
  <w:footnote w:id="302">
    <w:p w:rsidR="006B0748" w:rsidRDefault="006B0748" w:rsidP="006B0748">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pp.241</w:t>
      </w:r>
      <w:proofErr w:type="gramEnd"/>
      <w:r>
        <w:t>-242.</w:t>
      </w:r>
    </w:p>
  </w:footnote>
  <w:footnote w:id="303">
    <w:p w:rsidR="006B0748" w:rsidRDefault="006B0748" w:rsidP="006B0748">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pp.305</w:t>
      </w:r>
      <w:proofErr w:type="gramEnd"/>
      <w:r>
        <w:t>-381.</w:t>
      </w:r>
    </w:p>
  </w:footnote>
  <w:footnote w:id="304">
    <w:p w:rsidR="006B0748" w:rsidRDefault="006B0748" w:rsidP="006B0748">
      <w:pPr>
        <w:pStyle w:val="FootnoteText"/>
      </w:pPr>
      <w:r>
        <w:rPr>
          <w:rStyle w:val="FootnoteReference"/>
        </w:rPr>
        <w:footnoteRef/>
      </w:r>
      <w:r>
        <w:t xml:space="preserve"> </w:t>
      </w:r>
      <w:r>
        <w:tab/>
      </w:r>
      <w:r w:rsidRPr="00E526AA">
        <w:t>This is because the longer term bonds carry more risk than the shorter term bond</w:t>
      </w:r>
      <w:r>
        <w:t>s and therefore require</w:t>
      </w:r>
      <w:r w:rsidRPr="00E526AA">
        <w:t xml:space="preserve"> higher return</w:t>
      </w:r>
      <w:r>
        <w:t>s</w:t>
      </w:r>
      <w:r w:rsidRPr="00E526AA">
        <w:t>. The AER notes the 5 year CGS yield is normally lower than the 10 year CGS yield.</w:t>
      </w:r>
    </w:p>
  </w:footnote>
  <w:footnote w:id="305">
    <w:p w:rsidR="006B0748" w:rsidRDefault="006B0748" w:rsidP="006B0748">
      <w:pPr>
        <w:pStyle w:val="FootnoteText"/>
      </w:pPr>
      <w:r>
        <w:rPr>
          <w:rStyle w:val="FootnoteReference"/>
        </w:rPr>
        <w:footnoteRef/>
      </w:r>
      <w:r>
        <w:t xml:space="preserve"> </w:t>
      </w:r>
      <w:r>
        <w:tab/>
      </w:r>
      <w:proofErr w:type="gramStart"/>
      <w:r>
        <w:t xml:space="preserve">QCA, </w:t>
      </w:r>
      <w:r w:rsidRPr="00B344A0">
        <w:rPr>
          <w:rStyle w:val="AERtextitalic"/>
        </w:rPr>
        <w:t>Draft report Seqwater irrigation price review 2013-17</w:t>
      </w:r>
      <w:r>
        <w:t>, Volume 1, December 2012, p.259.</w:t>
      </w:r>
      <w:proofErr w:type="gramEnd"/>
    </w:p>
  </w:footnote>
  <w:footnote w:id="306">
    <w:p w:rsidR="006B0748" w:rsidRDefault="006B0748" w:rsidP="006B0748">
      <w:pPr>
        <w:pStyle w:val="FootnoteText"/>
      </w:pPr>
      <w:r>
        <w:rPr>
          <w:rStyle w:val="FootnoteReference"/>
        </w:rPr>
        <w:footnoteRef/>
      </w:r>
      <w:r>
        <w:t xml:space="preserve"> </w:t>
      </w:r>
      <w:r>
        <w:tab/>
      </w:r>
      <w:r w:rsidRPr="00B65A68">
        <w:t xml:space="preserve">AER, </w:t>
      </w:r>
      <w:r w:rsidRPr="007675D4">
        <w:rPr>
          <w:rStyle w:val="AERtextitalic"/>
        </w:rPr>
        <w:t>Final decision: APT Petroleum Pipeline Pty Ltd, Access arrangement final decision, Roma to Brisbane Pipeline 2012</w:t>
      </w:r>
      <w:r w:rsidRPr="007675D4">
        <w:rPr>
          <w:rStyle w:val="AERtextitalic"/>
          <w:rFonts w:hint="eastAsia"/>
        </w:rPr>
        <w:t>–</w:t>
      </w:r>
      <w:r w:rsidRPr="007675D4">
        <w:rPr>
          <w:rStyle w:val="AERtextitalic"/>
        </w:rPr>
        <w:t>13 to 2016</w:t>
      </w:r>
      <w:r w:rsidRPr="007675D4">
        <w:rPr>
          <w:rStyle w:val="AERtextitalic"/>
          <w:rFonts w:hint="eastAsia"/>
        </w:rPr>
        <w:t>–</w:t>
      </w:r>
      <w:r w:rsidRPr="007675D4">
        <w:rPr>
          <w:rStyle w:val="AERtextitalic"/>
        </w:rPr>
        <w:t>17</w:t>
      </w:r>
      <w:r w:rsidRPr="00B65A68">
        <w:t>, August 2012</w:t>
      </w:r>
      <w:r>
        <w:t xml:space="preserve">, p. 87. </w:t>
      </w:r>
    </w:p>
  </w:footnote>
  <w:footnote w:id="307">
    <w:p w:rsidR="006B0748" w:rsidRDefault="006B0748" w:rsidP="006B0748">
      <w:pPr>
        <w:pStyle w:val="FootnoteText"/>
      </w:pPr>
      <w:r>
        <w:rPr>
          <w:rStyle w:val="FootnoteReference"/>
        </w:rPr>
        <w:footnoteRef/>
      </w:r>
      <w:r>
        <w:t xml:space="preserve"> </w:t>
      </w:r>
      <w:r>
        <w:tab/>
        <w:t xml:space="preserve">See for example, 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08">
    <w:p w:rsidR="006B0748" w:rsidRDefault="006B0748" w:rsidP="006B0748">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09">
    <w:p w:rsidR="006B0748" w:rsidRDefault="006B0748" w:rsidP="006B0748">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10">
    <w:p w:rsidR="006B0748" w:rsidRDefault="006B0748" w:rsidP="006B0748">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r>
        <w:t xml:space="preserve"> </w:t>
      </w:r>
    </w:p>
  </w:footnote>
  <w:footnote w:id="311">
    <w:p w:rsidR="006B0748" w:rsidRDefault="006B0748" w:rsidP="006B0748">
      <w:pPr>
        <w:pStyle w:val="FootnoteText"/>
      </w:pPr>
      <w:r>
        <w:rPr>
          <w:rStyle w:val="FootnoteReference"/>
        </w:rPr>
        <w:footnoteRef/>
      </w:r>
      <w:r>
        <w:t xml:space="preserve"> </w:t>
      </w:r>
      <w:r>
        <w:tab/>
      </w:r>
      <w:r w:rsidRPr="001F528C">
        <w:t xml:space="preserve">CEG, </w:t>
      </w:r>
      <w:r w:rsidRPr="001F528C">
        <w:rPr>
          <w:rStyle w:val="AERtextitalic"/>
        </w:rPr>
        <w:t>Response to the AER Vic gas draft decisions</w:t>
      </w:r>
      <w:r w:rsidRPr="001F528C">
        <w:t>, November 2012</w:t>
      </w:r>
      <w:r>
        <w:t xml:space="preserve">, p. 55. </w:t>
      </w:r>
    </w:p>
  </w:footnote>
  <w:footnote w:id="312">
    <w:p w:rsidR="006B0748" w:rsidRDefault="006B0748" w:rsidP="006B0748">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pp. 52-63.</w:t>
      </w:r>
      <w:proofErr w:type="gramEnd"/>
      <w:r>
        <w:t xml:space="preserve"> </w:t>
      </w:r>
    </w:p>
  </w:footnote>
  <w:footnote w:id="313">
    <w:p w:rsidR="006B0748" w:rsidRDefault="006B0748" w:rsidP="006B0748">
      <w:pPr>
        <w:pStyle w:val="FootnoteText"/>
      </w:pPr>
      <w:r>
        <w:rPr>
          <w:rStyle w:val="FootnoteReference"/>
        </w:rPr>
        <w:footnoteRef/>
      </w:r>
      <w:r>
        <w:t xml:space="preserve"> </w:t>
      </w:r>
      <w:r>
        <w:tab/>
      </w:r>
      <w:r w:rsidRPr="001F528C">
        <w:t xml:space="preserve">SFG, </w:t>
      </w:r>
      <w:proofErr w:type="gramStart"/>
      <w:r w:rsidRPr="001F528C">
        <w:rPr>
          <w:rStyle w:val="AERtextitalic"/>
        </w:rPr>
        <w:t>The</w:t>
      </w:r>
      <w:proofErr w:type="gramEnd"/>
      <w:r w:rsidRPr="001F528C">
        <w:rPr>
          <w:rStyle w:val="AERtextitalic"/>
        </w:rPr>
        <w:t xml:space="preserve"> required return on equity</w:t>
      </w:r>
      <w:r w:rsidRPr="001F528C">
        <w:t>, November 2012</w:t>
      </w:r>
      <w:r>
        <w:t xml:space="preserve">, p. 60; </w:t>
      </w:r>
      <w:r w:rsidRPr="001F528C">
        <w:t xml:space="preserve">CEG, </w:t>
      </w:r>
      <w:r w:rsidRPr="001F528C">
        <w:rPr>
          <w:rStyle w:val="AERtextitalic"/>
        </w:rPr>
        <w:t>Response to the AER Vic gas draft decisions</w:t>
      </w:r>
      <w:r w:rsidRPr="001F528C">
        <w:t>, November 2012</w:t>
      </w:r>
      <w:r>
        <w:t xml:space="preserve">, p. 55. </w:t>
      </w:r>
    </w:p>
  </w:footnote>
  <w:footnote w:id="314">
    <w:p w:rsidR="006B0748" w:rsidRDefault="006B0748" w:rsidP="006B0748">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 55.</w:t>
      </w:r>
      <w:proofErr w:type="gramEnd"/>
      <w:r>
        <w:t xml:space="preserve"> </w:t>
      </w:r>
    </w:p>
  </w:footnote>
  <w:footnote w:id="315">
    <w:p w:rsidR="006B0748" w:rsidRDefault="006B0748" w:rsidP="006B0748">
      <w:pPr>
        <w:pStyle w:val="FootnoteText"/>
      </w:pPr>
      <w:r>
        <w:rPr>
          <w:rStyle w:val="FootnoteReference"/>
        </w:rPr>
        <w:footnoteRef/>
      </w:r>
      <w:r>
        <w:t xml:space="preserve"> </w:t>
      </w:r>
      <w:r>
        <w:tab/>
      </w:r>
      <w:r w:rsidRPr="005235B9">
        <w:t xml:space="preserve">Multinet, </w:t>
      </w:r>
      <w:r w:rsidRPr="005235B9">
        <w:rPr>
          <w:rStyle w:val="AERtextitalic"/>
        </w:rPr>
        <w:t>Revised Access Arrangement Proposal</w:t>
      </w:r>
      <w:r w:rsidRPr="005235B9">
        <w:t>, 9 November 2012</w:t>
      </w:r>
      <w:r w:rsidRPr="001F528C">
        <w:t>, p</w:t>
      </w:r>
      <w:r>
        <w:t xml:space="preserve">. 174. </w:t>
      </w:r>
    </w:p>
  </w:footnote>
  <w:footnote w:id="316">
    <w:p w:rsidR="006B0748" w:rsidRDefault="006B0748" w:rsidP="006B0748">
      <w:pPr>
        <w:pStyle w:val="FootnoteText"/>
      </w:pPr>
      <w:r>
        <w:rPr>
          <w:rStyle w:val="FootnoteReference"/>
        </w:rPr>
        <w:footnoteRef/>
      </w:r>
      <w:r>
        <w:t xml:space="preserve"> </w:t>
      </w:r>
      <w:r>
        <w:tab/>
      </w:r>
      <w:r w:rsidRPr="005235B9">
        <w:t xml:space="preserve">Multinet, </w:t>
      </w:r>
      <w:r w:rsidRPr="005235B9">
        <w:rPr>
          <w:rStyle w:val="AERtextitalic"/>
        </w:rPr>
        <w:t>Revised Access Arrangement Proposal</w:t>
      </w:r>
      <w:r w:rsidRPr="005235B9">
        <w:t>, 9 November 2012</w:t>
      </w:r>
      <w:r w:rsidRPr="001F528C">
        <w:t>, p</w:t>
      </w:r>
      <w:r>
        <w:t>. 174.</w:t>
      </w:r>
    </w:p>
  </w:footnote>
  <w:footnote w:id="317">
    <w:p w:rsidR="006B0748" w:rsidRDefault="006B0748" w:rsidP="006B0748">
      <w:pPr>
        <w:pStyle w:val="FootnoteText"/>
      </w:pPr>
      <w:r>
        <w:rPr>
          <w:rStyle w:val="FootnoteReference"/>
        </w:rPr>
        <w:footnoteRef/>
      </w:r>
      <w:r>
        <w:t xml:space="preserve"> </w:t>
      </w:r>
      <w:r>
        <w:tab/>
        <w:t xml:space="preserve">IPART, </w:t>
      </w:r>
      <w:r w:rsidRPr="002D60BD">
        <w:rPr>
          <w:rStyle w:val="AERtextitalic"/>
        </w:rPr>
        <w:t>Final Report - Changes in regulated electricity retail prices from 1 July 2012</w:t>
      </w:r>
      <w:r>
        <w:t>, June 2012, p. 52</w:t>
      </w:r>
    </w:p>
  </w:footnote>
  <w:footnote w:id="318">
    <w:p w:rsidR="006B0748" w:rsidRDefault="006B0748" w:rsidP="006B0748">
      <w:pPr>
        <w:pStyle w:val="FootnoteText"/>
      </w:pPr>
      <w:r>
        <w:rPr>
          <w:rStyle w:val="FootnoteReference"/>
        </w:rPr>
        <w:footnoteRef/>
      </w:r>
      <w:r>
        <w:t xml:space="preserve"> </w:t>
      </w:r>
      <w:r>
        <w:tab/>
        <w:t xml:space="preserve">See attachment 5.1.2 for more detail. </w:t>
      </w:r>
    </w:p>
  </w:footnote>
  <w:footnote w:id="319">
    <w:p w:rsidR="006B0748" w:rsidRDefault="006B0748" w:rsidP="006B0748">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w:t>
      </w:r>
    </w:p>
  </w:footnote>
  <w:footnote w:id="320">
    <w:p w:rsidR="006B0748" w:rsidRDefault="006B0748" w:rsidP="006B0748">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p. 182. </w:t>
      </w:r>
    </w:p>
  </w:footnote>
  <w:footnote w:id="321">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3.</w:t>
      </w:r>
    </w:p>
  </w:footnote>
  <w:footnote w:id="322">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3. </w:t>
      </w:r>
    </w:p>
  </w:footnote>
  <w:footnote w:id="323">
    <w:p w:rsidR="006B0748" w:rsidRDefault="006B0748" w:rsidP="006B0748">
      <w:pPr>
        <w:pStyle w:val="FootnoteText"/>
      </w:pPr>
      <w:r>
        <w:rPr>
          <w:rStyle w:val="FootnoteReference"/>
        </w:rPr>
        <w:footnoteRef/>
      </w:r>
      <w:r>
        <w:t xml:space="preserve"> </w:t>
      </w:r>
      <w:r>
        <w:tab/>
        <w:t xml:space="preserve">See section B.3.5 for further discussion. </w:t>
      </w:r>
    </w:p>
  </w:footnote>
  <w:footnote w:id="324">
    <w:p w:rsidR="006B0748" w:rsidRDefault="006B0748" w:rsidP="006B0748">
      <w:pPr>
        <w:pStyle w:val="FootnoteText"/>
      </w:pPr>
      <w:r>
        <w:rPr>
          <w:rStyle w:val="FootnoteReference"/>
        </w:rPr>
        <w:footnoteRef/>
      </w:r>
      <w:r>
        <w:t xml:space="preserve"> </w:t>
      </w:r>
      <w:r>
        <w:tab/>
        <w:t xml:space="preserve">See, for example, Ofgem, </w:t>
      </w:r>
      <w:r w:rsidRPr="006F39B3">
        <w:rPr>
          <w:rStyle w:val="AERtextitalic"/>
        </w:rPr>
        <w:t>Decision on strategy for th</w:t>
      </w:r>
      <w:r>
        <w:rPr>
          <w:rStyle w:val="AERtextitalic"/>
        </w:rPr>
        <w:t>e next transmission and gas dis</w:t>
      </w:r>
      <w:r w:rsidRPr="006F39B3">
        <w:rPr>
          <w:rStyle w:val="AERtextitalic"/>
        </w:rPr>
        <w:t>tribution price controls - RIIO-T1 and GD1 Financial Issues</w:t>
      </w:r>
      <w:r>
        <w:t xml:space="preserve">, March 2011, p. 33; </w:t>
      </w:r>
    </w:p>
  </w:footnote>
  <w:footnote w:id="325">
    <w:p w:rsidR="006B0748" w:rsidRDefault="006B0748" w:rsidP="006B0748">
      <w:pPr>
        <w:pStyle w:val="FootnoteText"/>
      </w:pPr>
      <w:r>
        <w:rPr>
          <w:rStyle w:val="FootnoteReference"/>
        </w:rPr>
        <w:footnoteRef/>
      </w:r>
      <w:r>
        <w:t xml:space="preserve"> </w:t>
      </w:r>
      <w:r>
        <w:tab/>
        <w:t xml:space="preserve">S. Wright, R. Mason and D. Miles, </w:t>
      </w:r>
      <w:r w:rsidRPr="006F39B3">
        <w:rPr>
          <w:rStyle w:val="AERtextitalic"/>
        </w:rPr>
        <w:t>A study into certain aspects of the cost of capital for regulated utilities in the U.K</w:t>
      </w:r>
      <w:r>
        <w:t xml:space="preserve">., Smithers and Co, 13 February 2003. </w:t>
      </w:r>
    </w:p>
  </w:footnote>
  <w:footnote w:id="326">
    <w:p w:rsidR="006B0748" w:rsidRDefault="006B0748" w:rsidP="006B0748">
      <w:pPr>
        <w:pStyle w:val="FootnoteText"/>
      </w:pPr>
      <w:r>
        <w:rPr>
          <w:rStyle w:val="FootnoteReference"/>
        </w:rPr>
        <w:footnoteRef/>
      </w:r>
      <w:r>
        <w:t xml:space="preserve"> </w:t>
      </w:r>
      <w:r>
        <w:tab/>
        <w:t xml:space="preserve">S. Wright, R. Mason and D. Miles, </w:t>
      </w:r>
      <w:r w:rsidRPr="001D195A">
        <w:rPr>
          <w:rStyle w:val="AERtextitalic"/>
        </w:rPr>
        <w:t>A study into certain aspects of the cost of capital for regulated utilities in the U.K</w:t>
      </w:r>
      <w:r>
        <w:t xml:space="preserve">., Smithers and Co, 13 February 2003, p. 4. </w:t>
      </w:r>
    </w:p>
  </w:footnote>
  <w:footnote w:id="327">
    <w:p w:rsidR="006B0748" w:rsidRDefault="006B0748" w:rsidP="006B0748">
      <w:pPr>
        <w:pStyle w:val="FootnoteText"/>
      </w:pPr>
      <w:r>
        <w:rPr>
          <w:rStyle w:val="FootnoteReference"/>
        </w:rPr>
        <w:footnoteRef/>
      </w:r>
      <w:r>
        <w:t xml:space="preserve"> </w:t>
      </w:r>
      <w:r>
        <w:tab/>
        <w:t xml:space="preserve">See section B.3.3 above. </w:t>
      </w:r>
    </w:p>
  </w:footnote>
  <w:footnote w:id="328">
    <w:p w:rsidR="006B0748" w:rsidRDefault="006B0748" w:rsidP="006B0748">
      <w:pPr>
        <w:pStyle w:val="FootnoteText"/>
      </w:pPr>
      <w:r>
        <w:rPr>
          <w:rStyle w:val="FootnoteReference"/>
        </w:rPr>
        <w:footnoteRef/>
      </w:r>
      <w:r>
        <w:t xml:space="preserve"> </w:t>
      </w:r>
      <w:r>
        <w:tab/>
        <w:t xml:space="preserve">See section B.3.3 above. </w:t>
      </w:r>
    </w:p>
  </w:footnote>
  <w:footnote w:id="329">
    <w:p w:rsidR="006B0748" w:rsidRDefault="006B0748" w:rsidP="006B0748">
      <w:pPr>
        <w:pStyle w:val="FootnoteText"/>
      </w:pPr>
      <w:r>
        <w:rPr>
          <w:rStyle w:val="FootnoteReference"/>
        </w:rPr>
        <w:footnoteRef/>
      </w:r>
      <w:r>
        <w:t xml:space="preserve"> </w:t>
      </w:r>
      <w:r>
        <w:tab/>
      </w:r>
      <w:r w:rsidRPr="00C24D48">
        <w:t xml:space="preserve">Lally, </w:t>
      </w:r>
      <w:r w:rsidRPr="006F39B3">
        <w:rPr>
          <w:rStyle w:val="AERtextitalic"/>
        </w:rPr>
        <w:t>Review of the AER</w:t>
      </w:r>
      <w:r w:rsidRPr="006F39B3">
        <w:rPr>
          <w:rStyle w:val="AERtextitalic"/>
          <w:rFonts w:hint="eastAsia"/>
        </w:rPr>
        <w:t>’</w:t>
      </w:r>
      <w:r w:rsidRPr="006F39B3">
        <w:rPr>
          <w:rStyle w:val="AERtextitalic"/>
        </w:rPr>
        <w:t>s methodology</w:t>
      </w:r>
      <w:r w:rsidRPr="00C24D48">
        <w:t xml:space="preserve">, </w:t>
      </w:r>
      <w:r>
        <w:t>March</w:t>
      </w:r>
      <w:r w:rsidRPr="00C24D48">
        <w:t xml:space="preserve"> 2013</w:t>
      </w:r>
      <w:r>
        <w:t xml:space="preserve">, p. 13. </w:t>
      </w:r>
    </w:p>
  </w:footnote>
  <w:footnote w:id="330">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21. </w:t>
      </w:r>
    </w:p>
  </w:footnote>
  <w:footnote w:id="331">
    <w:p w:rsidR="006B0748" w:rsidRDefault="006B0748" w:rsidP="006B0748">
      <w:pPr>
        <w:pStyle w:val="FootnoteText"/>
      </w:pPr>
      <w:r>
        <w:rPr>
          <w:rStyle w:val="FootnoteReference"/>
        </w:rPr>
        <w:footnoteRef/>
      </w:r>
      <w:r>
        <w:t xml:space="preserve"> </w:t>
      </w:r>
      <w:r>
        <w:tab/>
      </w:r>
      <w:proofErr w:type="gramStart"/>
      <w:r>
        <w:t xml:space="preserve">Competition Commission, </w:t>
      </w:r>
      <w:r w:rsidRPr="00F24B28">
        <w:rPr>
          <w:rStyle w:val="AERtextitalic"/>
        </w:rPr>
        <w:t>Bristol Water plc Price Limits Determination - Final Determination - Appendixes</w:t>
      </w:r>
      <w:r>
        <w:t>, 2010, p. N15.</w:t>
      </w:r>
      <w:proofErr w:type="gramEnd"/>
      <w:r>
        <w:t xml:space="preserve"> </w:t>
      </w:r>
    </w:p>
  </w:footnote>
  <w:footnote w:id="332">
    <w:p w:rsidR="006B0748" w:rsidRDefault="006B0748" w:rsidP="006B0748">
      <w:pPr>
        <w:pStyle w:val="FootnoteText"/>
      </w:pPr>
      <w:r>
        <w:rPr>
          <w:rStyle w:val="FootnoteReference"/>
        </w:rPr>
        <w:footnoteRef/>
      </w:r>
      <w:r>
        <w:t xml:space="preserve"> </w:t>
      </w:r>
      <w:r>
        <w:tab/>
        <w:t xml:space="preserve">See for example A. Gregory, </w:t>
      </w:r>
      <w:r w:rsidRPr="00DF51F1">
        <w:rPr>
          <w:rStyle w:val="AERtextitalic"/>
        </w:rPr>
        <w:t>The expected cost of equity and the expected risk premium in the UK</w:t>
      </w:r>
      <w:r>
        <w:t xml:space="preserve">, Review of Behavioral Finance, 3: 1-26, (2011), p. 4. </w:t>
      </w:r>
    </w:p>
  </w:footnote>
  <w:footnote w:id="333">
    <w:p w:rsidR="006B0748" w:rsidRDefault="006B0748" w:rsidP="006B0748">
      <w:pPr>
        <w:pStyle w:val="FootnoteText"/>
      </w:pPr>
      <w:r>
        <w:rPr>
          <w:rStyle w:val="FootnoteReference"/>
        </w:rPr>
        <w:footnoteRef/>
      </w:r>
      <w:r>
        <w:t xml:space="preserve"> </w:t>
      </w:r>
      <w:r>
        <w:tab/>
        <w:t xml:space="preserve">See attachment 5.3.2 for further discussion. </w:t>
      </w:r>
    </w:p>
  </w:footnote>
  <w:footnote w:id="334">
    <w:p w:rsidR="006B0748" w:rsidRDefault="006B0748" w:rsidP="006B0748">
      <w:pPr>
        <w:pStyle w:val="FootnoteText"/>
      </w:pPr>
      <w:r>
        <w:rPr>
          <w:rStyle w:val="FootnoteReference"/>
        </w:rPr>
        <w:footnoteRef/>
      </w:r>
      <w:r>
        <w:t xml:space="preserve"> </w:t>
      </w:r>
      <w:r>
        <w:tab/>
        <w:t xml:space="preserve">See attachment 5.3.2 for further discussion. </w:t>
      </w:r>
    </w:p>
  </w:footnote>
  <w:footnote w:id="335">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22.</w:t>
      </w:r>
    </w:p>
  </w:footnote>
  <w:footnote w:id="336">
    <w:p w:rsidR="006B0748" w:rsidRDefault="006B0748" w:rsidP="006B0748">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21.</w:t>
      </w:r>
    </w:p>
  </w:footnote>
  <w:footnote w:id="337">
    <w:p w:rsidR="006B0748" w:rsidRDefault="006B0748" w:rsidP="006B0748">
      <w:pPr>
        <w:pStyle w:val="FootnoteText"/>
      </w:pPr>
      <w:r>
        <w:rPr>
          <w:rStyle w:val="FootnoteReference"/>
        </w:rPr>
        <w:footnoteRef/>
      </w:r>
      <w:r>
        <w:t xml:space="preserve"> </w:t>
      </w:r>
      <w:r>
        <w:tab/>
      </w:r>
      <w:r w:rsidRPr="005235B9">
        <w:t xml:space="preserve">Multinet, </w:t>
      </w:r>
      <w:r w:rsidRPr="005235B9">
        <w:rPr>
          <w:rStyle w:val="AERtextitalic"/>
        </w:rPr>
        <w:t>Revised Access Arrangement Proposal</w:t>
      </w:r>
      <w:r w:rsidRPr="005235B9">
        <w:t>, 9 November 2012</w:t>
      </w:r>
      <w:r w:rsidRPr="002A3113">
        <w:t>, p.</w:t>
      </w:r>
      <w:r>
        <w:t xml:space="preserve"> 174. </w:t>
      </w:r>
    </w:p>
  </w:footnote>
  <w:footnote w:id="338">
    <w:p w:rsidR="006B0748" w:rsidRDefault="006B0748" w:rsidP="006B0748">
      <w:pPr>
        <w:pStyle w:val="FootnoteText"/>
      </w:pPr>
      <w:r>
        <w:rPr>
          <w:rStyle w:val="FootnoteReference"/>
        </w:rPr>
        <w:footnoteRef/>
      </w:r>
      <w:r>
        <w:t xml:space="preserve"> </w:t>
      </w:r>
      <w:r>
        <w:tab/>
      </w:r>
      <w:r w:rsidRPr="005235B9">
        <w:t xml:space="preserve">Multinet, </w:t>
      </w:r>
      <w:r w:rsidRPr="005235B9">
        <w:rPr>
          <w:rStyle w:val="AERtextitalic"/>
        </w:rPr>
        <w:t>Revised Access Arrangement Proposal</w:t>
      </w:r>
      <w:r w:rsidRPr="005235B9">
        <w:t>, 9 November 2012</w:t>
      </w:r>
      <w:r>
        <w:t xml:space="preserve">, p. 166. </w:t>
      </w:r>
    </w:p>
  </w:footnote>
  <w:footnote w:id="339">
    <w:p w:rsidR="006B0748" w:rsidRDefault="006B0748" w:rsidP="006B0748">
      <w:pPr>
        <w:pStyle w:val="FootnoteText"/>
      </w:pPr>
      <w:r>
        <w:rPr>
          <w:rStyle w:val="FootnoteReference"/>
        </w:rPr>
        <w:footnoteRef/>
      </w:r>
      <w:r>
        <w:t xml:space="preserve"> </w:t>
      </w:r>
      <w:r>
        <w:tab/>
        <w:t xml:space="preserve">See section B.7 for further discussion. </w:t>
      </w:r>
    </w:p>
  </w:footnote>
  <w:footnote w:id="340">
    <w:p w:rsidR="006B0748" w:rsidRDefault="006B0748" w:rsidP="006B0748">
      <w:pPr>
        <w:pStyle w:val="FootnoteText"/>
      </w:pPr>
      <w:r>
        <w:rPr>
          <w:rStyle w:val="FootnoteReference"/>
        </w:rPr>
        <w:footnoteRef/>
      </w:r>
      <w:r>
        <w:t xml:space="preserve"> </w:t>
      </w:r>
      <w:r>
        <w:tab/>
        <w:t xml:space="preserve">This becomes 6.2 per cent if an equity beta of 0.8 is applied. Ofgem, </w:t>
      </w:r>
      <w:r w:rsidRPr="002864E4">
        <w:rPr>
          <w:rStyle w:val="AERtextitalic"/>
        </w:rPr>
        <w:t>RIIO-GD1: Final Proposals - finance and uncertainty supporting document</w:t>
      </w:r>
      <w:r>
        <w:t xml:space="preserve">, December 2012, p. 22. </w:t>
      </w:r>
    </w:p>
  </w:footnote>
  <w:footnote w:id="341">
    <w:p w:rsidR="006B0748" w:rsidRDefault="006B0748" w:rsidP="006B0748">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w:t>
      </w:r>
    </w:p>
  </w:footnote>
  <w:footnote w:id="342">
    <w:p w:rsidR="006B0748" w:rsidRDefault="006B0748" w:rsidP="006B0748">
      <w:pPr>
        <w:pStyle w:val="FootnoteText"/>
      </w:pPr>
      <w:r>
        <w:rPr>
          <w:rStyle w:val="FootnoteReference"/>
        </w:rPr>
        <w:footnoteRef/>
      </w:r>
      <w:r>
        <w:t xml:space="preserve"> </w:t>
      </w:r>
      <w:r>
        <w:tab/>
        <w:t xml:space="preserve">Ofgem, </w:t>
      </w:r>
      <w:r w:rsidRPr="00E735E6">
        <w:rPr>
          <w:rStyle w:val="AERtextitalic"/>
        </w:rPr>
        <w:t>RIIO-GD1: Final Proposals - overview</w:t>
      </w:r>
      <w:r>
        <w:t xml:space="preserve">, December 2012 and Ofgem, </w:t>
      </w:r>
      <w:r w:rsidRPr="00E735E6">
        <w:rPr>
          <w:rStyle w:val="AERtextitalic"/>
        </w:rPr>
        <w:t>RIIO-T1: Final Proposals for National Grid Electricity Transmission and National Grid Gas</w:t>
      </w:r>
      <w:r>
        <w:t>, December 2012.</w:t>
      </w:r>
    </w:p>
  </w:footnote>
  <w:footnote w:id="343">
    <w:p w:rsidR="006B0748" w:rsidRDefault="006B0748" w:rsidP="006B0748">
      <w:pPr>
        <w:pStyle w:val="FootnoteText"/>
      </w:pPr>
      <w:r>
        <w:rPr>
          <w:rStyle w:val="FootnoteReference"/>
        </w:rPr>
        <w:footnoteRef/>
      </w:r>
      <w:r>
        <w:t xml:space="preserve"> </w:t>
      </w:r>
      <w:r>
        <w:tab/>
        <w:t xml:space="preserve">Ofgem, </w:t>
      </w:r>
      <w:r w:rsidRPr="00E735E6">
        <w:rPr>
          <w:rStyle w:val="AERtextitalic"/>
        </w:rPr>
        <w:t>RIIO-GD1: Final Proposals - finance and uncertainty supporting document</w:t>
      </w:r>
      <w:r>
        <w:t>, December 2012, p. 13.</w:t>
      </w:r>
    </w:p>
  </w:footnote>
  <w:footnote w:id="344">
    <w:p w:rsidR="006B0748" w:rsidRDefault="006B0748" w:rsidP="006B0748">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 p. 40.</w:t>
      </w:r>
    </w:p>
  </w:footnote>
  <w:footnote w:id="345">
    <w:p w:rsidR="006B0748" w:rsidRDefault="006B0748" w:rsidP="006B074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xml:space="preserve">, December 2012, p. 21. </w:t>
      </w:r>
    </w:p>
  </w:footnote>
  <w:footnote w:id="346">
    <w:p w:rsidR="006B0748" w:rsidRDefault="006B0748" w:rsidP="006B0748">
      <w:pPr>
        <w:pStyle w:val="FootnoteText"/>
      </w:pPr>
      <w:r>
        <w:rPr>
          <w:rStyle w:val="FootnoteReference"/>
        </w:rPr>
        <w:footnoteRef/>
      </w:r>
      <w:r>
        <w:t xml:space="preserve"> </w:t>
      </w:r>
      <w:r>
        <w:tab/>
        <w:t>That is, Ofgem sets an overall cost of debt allowance, without specifying the risk-free rate and DRP.</w:t>
      </w:r>
    </w:p>
  </w:footnote>
  <w:footnote w:id="347">
    <w:p w:rsidR="006B0748" w:rsidRDefault="006B0748" w:rsidP="006B0748">
      <w:pPr>
        <w:pStyle w:val="FootnoteText"/>
      </w:pPr>
      <w:r>
        <w:rPr>
          <w:rStyle w:val="FootnoteReference"/>
        </w:rPr>
        <w:footnoteRef/>
      </w:r>
      <w:r>
        <w:t xml:space="preserve"> </w:t>
      </w:r>
      <w:r>
        <w:tab/>
        <w:t xml:space="preserve">Ofgem, </w:t>
      </w:r>
      <w:r w:rsidRPr="00E735E6">
        <w:rPr>
          <w:rStyle w:val="AERtextitalic"/>
        </w:rPr>
        <w:t>Decision on strategy for the next transmission and gas distribution price controls - RIIO-T1 and GD1 Financial issues</w:t>
      </w:r>
      <w:r>
        <w:t xml:space="preserve">, </w:t>
      </w:r>
      <w:r w:rsidRPr="00682976">
        <w:t>31 March 2011</w:t>
      </w:r>
      <w:r>
        <w:t>, p. 31-35.</w:t>
      </w:r>
    </w:p>
  </w:footnote>
  <w:footnote w:id="348">
    <w:p w:rsidR="006B0748" w:rsidRDefault="006B0748" w:rsidP="006B0748">
      <w:pPr>
        <w:pStyle w:val="FootnoteText"/>
      </w:pPr>
      <w:r>
        <w:rPr>
          <w:rStyle w:val="FootnoteReference"/>
        </w:rPr>
        <w:footnoteRef/>
      </w:r>
      <w:r>
        <w:t xml:space="preserve"> </w:t>
      </w:r>
      <w:r>
        <w:tab/>
        <w:t>For example, Ofgem's consultants for the strategy phase for RIIO-T1 and GD1 advised on a range of 3.8-6.3%, while Ofgem decided to go with a range of 6.0-7.2%.</w:t>
      </w:r>
    </w:p>
  </w:footnote>
  <w:footnote w:id="349">
    <w:p w:rsidR="006B0748" w:rsidRDefault="006B0748" w:rsidP="006B074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14.</w:t>
      </w:r>
    </w:p>
  </w:footnote>
  <w:footnote w:id="350">
    <w:p w:rsidR="006B0748" w:rsidRDefault="006B0748" w:rsidP="006B074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27.</w:t>
      </w:r>
    </w:p>
  </w:footnote>
  <w:footnote w:id="351">
    <w:p w:rsidR="006B0748" w:rsidRDefault="006B0748" w:rsidP="006B0748">
      <w:pPr>
        <w:pStyle w:val="FootnoteText"/>
      </w:pPr>
      <w:r>
        <w:rPr>
          <w:rStyle w:val="FootnoteReference"/>
        </w:rPr>
        <w:footnoteRef/>
      </w:r>
      <w:r>
        <w:t xml:space="preserve"> </w:t>
      </w:r>
      <w:r>
        <w:tab/>
      </w:r>
      <w:proofErr w:type="gramStart"/>
      <w:r w:rsidRPr="00EA49D6">
        <w:t xml:space="preserve">CEG, </w:t>
      </w:r>
      <w:r w:rsidRPr="00EA49D6">
        <w:rPr>
          <w:rStyle w:val="AERtextitalic"/>
        </w:rPr>
        <w:t>Update to March 2012 Report</w:t>
      </w:r>
      <w:r w:rsidRPr="00EA49D6">
        <w:t>, November 2012</w:t>
      </w:r>
      <w:r>
        <w:t>, pp. 27-29.</w:t>
      </w:r>
      <w:proofErr w:type="gramEnd"/>
    </w:p>
  </w:footnote>
  <w:footnote w:id="352">
    <w:p w:rsidR="006B0748" w:rsidRDefault="006B0748" w:rsidP="006B0748">
      <w:pPr>
        <w:pStyle w:val="FootnoteText"/>
      </w:pPr>
      <w:r>
        <w:rPr>
          <w:rStyle w:val="FootnoteReference"/>
        </w:rPr>
        <w:footnoteRef/>
      </w:r>
      <w:r>
        <w:t xml:space="preserve"> </w:t>
      </w:r>
      <w:r>
        <w:tab/>
      </w:r>
      <w:r w:rsidRPr="00DC6B9E">
        <w:t xml:space="preserve">National Economic Research Associates, </w:t>
      </w:r>
      <w:r w:rsidRPr="00DC6B9E">
        <w:rPr>
          <w:rStyle w:val="AERtextitalic"/>
        </w:rPr>
        <w:t>Review of ESCOSA’s decision on ETSA utilities equity beta</w:t>
      </w:r>
      <w:r w:rsidRPr="00DC6B9E">
        <w:t>, April 2005</w:t>
      </w:r>
      <w:r>
        <w:t>, p. 23.</w:t>
      </w:r>
    </w:p>
  </w:footnote>
  <w:footnote w:id="353">
    <w:p w:rsidR="006B0748" w:rsidRDefault="006B0748" w:rsidP="006B0748">
      <w:pPr>
        <w:pStyle w:val="FootnoteText"/>
      </w:pPr>
      <w:r>
        <w:rPr>
          <w:rStyle w:val="FootnoteReference"/>
        </w:rPr>
        <w:footnoteRef/>
      </w:r>
      <w:r>
        <w:t xml:space="preserve"> </w:t>
      </w:r>
      <w:r>
        <w:tab/>
      </w:r>
      <w:r w:rsidRPr="00DC6B9E">
        <w:t xml:space="preserve">NERA Economic Consulting, </w:t>
      </w:r>
      <w:r w:rsidRPr="00DC6B9E">
        <w:rPr>
          <w:rStyle w:val="AERtextitalic"/>
        </w:rPr>
        <w:t>Equity beta for gas distribution</w:t>
      </w:r>
      <w:r w:rsidRPr="00DC6B9E">
        <w:t>, 29 October 2007</w:t>
      </w:r>
      <w:r>
        <w:t>, pp.9-12.</w:t>
      </w:r>
    </w:p>
  </w:footnote>
  <w:footnote w:id="354">
    <w:p w:rsidR="006B0748" w:rsidRDefault="006B0748" w:rsidP="006B0748">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pp.30-31</w:t>
      </w:r>
    </w:p>
  </w:footnote>
  <w:footnote w:id="355">
    <w:p w:rsidR="006B0748" w:rsidRDefault="006B0748" w:rsidP="006B0748">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pp.25-26</w:t>
      </w:r>
    </w:p>
  </w:footnote>
  <w:footnote w:id="356">
    <w:p w:rsidR="006B0748" w:rsidRDefault="006B0748" w:rsidP="00A00171">
      <w:pPr>
        <w:pStyle w:val="FootnoteText"/>
      </w:pPr>
      <w:r>
        <w:rPr>
          <w:rStyle w:val="FootnoteReference"/>
        </w:rPr>
        <w:footnoteRef/>
      </w:r>
      <w:r>
        <w:t xml:space="preserve"> </w:t>
      </w:r>
      <w:r>
        <w:tab/>
      </w:r>
      <w:proofErr w:type="gramStart"/>
      <w:r>
        <w:t>NGR, r. 91.</w:t>
      </w:r>
      <w:proofErr w:type="gramEnd"/>
    </w:p>
  </w:footnote>
  <w:footnote w:id="357">
    <w:p w:rsidR="006B0748" w:rsidRDefault="006B0748" w:rsidP="00A00171">
      <w:pPr>
        <w:pStyle w:val="FootnoteText"/>
      </w:pPr>
      <w:r>
        <w:rPr>
          <w:rStyle w:val="FootnoteReference"/>
        </w:rPr>
        <w:footnoteRef/>
      </w:r>
      <w:r>
        <w:t xml:space="preserve"> </w:t>
      </w:r>
      <w:r>
        <w:tab/>
      </w:r>
      <w:proofErr w:type="gramStart"/>
      <w:r>
        <w:t>NGR, r. 74.</w:t>
      </w:r>
      <w:proofErr w:type="gramEnd"/>
    </w:p>
  </w:footnote>
  <w:footnote w:id="358">
    <w:p w:rsidR="006B0748" w:rsidRDefault="006B0748" w:rsidP="00A00171">
      <w:pPr>
        <w:pStyle w:val="FootnoteText"/>
      </w:pPr>
      <w:r>
        <w:rPr>
          <w:rStyle w:val="FootnoteReference"/>
        </w:rPr>
        <w:footnoteRef/>
      </w:r>
      <w:r>
        <w:t xml:space="preserve"> </w:t>
      </w:r>
      <w:r>
        <w:tab/>
      </w:r>
      <w:proofErr w:type="gramStart"/>
      <w:r>
        <w:t>NGR, r. 74.</w:t>
      </w:r>
      <w:proofErr w:type="gramEnd"/>
    </w:p>
  </w:footnote>
  <w:footnote w:id="359">
    <w:p w:rsidR="006B0748" w:rsidRDefault="006B0748" w:rsidP="00A00171">
      <w:pPr>
        <w:pStyle w:val="FootnoteText"/>
      </w:pPr>
      <w:r>
        <w:rPr>
          <w:rStyle w:val="FootnoteReference"/>
        </w:rPr>
        <w:footnoteRef/>
      </w:r>
      <w:r>
        <w:t xml:space="preserve"> </w:t>
      </w:r>
      <w:r>
        <w:tab/>
      </w:r>
      <w:proofErr w:type="gramStart"/>
      <w:r>
        <w:t>NGR, r. 91.</w:t>
      </w:r>
      <w:proofErr w:type="gramEnd"/>
    </w:p>
  </w:footnote>
  <w:footnote w:id="360">
    <w:p w:rsidR="006B0748" w:rsidRDefault="006B0748" w:rsidP="00A00171">
      <w:pPr>
        <w:pStyle w:val="FootnoteText"/>
      </w:pPr>
      <w:r>
        <w:rPr>
          <w:rStyle w:val="FootnoteReference"/>
        </w:rPr>
        <w:footnoteRef/>
      </w:r>
      <w:r>
        <w:t xml:space="preserve"> </w:t>
      </w:r>
      <w:r>
        <w:tab/>
        <w:t xml:space="preserve">AER, </w:t>
      </w:r>
      <w:r w:rsidRPr="00EA0ABC">
        <w:rPr>
          <w:rStyle w:val="AERtextitalic"/>
        </w:rPr>
        <w:t xml:space="preserve">Access arrangement draft decision </w:t>
      </w:r>
      <w:r>
        <w:rPr>
          <w:rStyle w:val="AERtextitalic"/>
        </w:rPr>
        <w:t>Multinet</w:t>
      </w:r>
      <w:r w:rsidRPr="00EA0ABC">
        <w:rPr>
          <w:rStyle w:val="AERtextitalic"/>
        </w:rPr>
        <w:t xml:space="preserve"> </w:t>
      </w:r>
      <w:r>
        <w:rPr>
          <w:rStyle w:val="AERtextitalic"/>
        </w:rPr>
        <w:t xml:space="preserve">Gas Pty. Ltd. </w:t>
      </w:r>
      <w:r w:rsidRPr="00EA0ABC">
        <w:rPr>
          <w:rStyle w:val="AERtextitalic"/>
        </w:rPr>
        <w:t>2013-17: Part 2 Attachments</w:t>
      </w:r>
      <w:r>
        <w:t>, September 2012, p. 138.</w:t>
      </w:r>
    </w:p>
  </w:footnote>
  <w:footnote w:id="361">
    <w:p w:rsidR="006B0748" w:rsidRDefault="006B0748" w:rsidP="00A00171">
      <w:pPr>
        <w:pStyle w:val="FootnoteText"/>
      </w:pPr>
      <w:r>
        <w:rPr>
          <w:rStyle w:val="FootnoteReference"/>
        </w:rPr>
        <w:footnoteRef/>
      </w:r>
      <w:r>
        <w:t xml:space="preserve"> </w:t>
      </w:r>
      <w:r>
        <w:tab/>
      </w:r>
      <w:proofErr w:type="gramStart"/>
      <w:r>
        <w:t xml:space="preserve">Grant Thornton, </w:t>
      </w:r>
      <w:r w:rsidRPr="00B4351D">
        <w:rPr>
          <w:rStyle w:val="AERtextitalic"/>
        </w:rPr>
        <w:t>Review of Multinet’s Operating Expense Forecasts</w:t>
      </w:r>
      <w:r>
        <w:t xml:space="preserve">, 9 November 2012; AECOM, </w:t>
      </w:r>
      <w:r w:rsidRPr="00B4351D">
        <w:rPr>
          <w:rStyle w:val="AERtextitalic"/>
        </w:rPr>
        <w:t>Review of network operating expenditure</w:t>
      </w:r>
      <w:r>
        <w:t>, 9 Novmeber 2012.</w:t>
      </w:r>
      <w:proofErr w:type="gramEnd"/>
    </w:p>
  </w:footnote>
  <w:footnote w:id="362">
    <w:p w:rsidR="006B0748" w:rsidRDefault="006B0748" w:rsidP="00A00171">
      <w:pPr>
        <w:pStyle w:val="FootnoteText"/>
      </w:pPr>
      <w:r>
        <w:rPr>
          <w:rStyle w:val="FootnoteReference"/>
        </w:rPr>
        <w:footnoteRef/>
      </w:r>
      <w:r>
        <w:t xml:space="preserve"> </w:t>
      </w:r>
      <w:r>
        <w:tab/>
        <w:t xml:space="preserve">Multinet, </w:t>
      </w:r>
      <w:r w:rsidRPr="00B4351D">
        <w:rPr>
          <w:rStyle w:val="AERtextitalic"/>
        </w:rPr>
        <w:t>Assumptions book - GAAR cost submission</w:t>
      </w:r>
      <w:r>
        <w:t xml:space="preserve">, 11 October 2012; Multinet, </w:t>
      </w:r>
      <w:r w:rsidRPr="00B4351D">
        <w:rPr>
          <w:rStyle w:val="AERtextitalic"/>
        </w:rPr>
        <w:t>Assumptions book, UED and MGH Shared FY13 and 5 year budget</w:t>
      </w:r>
      <w:r>
        <w:t xml:space="preserve">, 22 June 2012; Multinet, </w:t>
      </w:r>
      <w:r w:rsidRPr="00B4351D">
        <w:rPr>
          <w:rStyle w:val="AERtextitalic"/>
        </w:rPr>
        <w:t>Assumptions book, MGH FY13 and 5 year budget</w:t>
      </w:r>
      <w:r>
        <w:t>, 22 June 2012, 26 June 2012.</w:t>
      </w:r>
    </w:p>
  </w:footnote>
  <w:footnote w:id="363">
    <w:p w:rsidR="006B0748" w:rsidRDefault="006B0748" w:rsidP="00A00171">
      <w:pPr>
        <w:pStyle w:val="FootnoteText"/>
      </w:pPr>
      <w:r>
        <w:rPr>
          <w:rStyle w:val="FootnoteReference"/>
        </w:rPr>
        <w:footnoteRef/>
      </w:r>
      <w:r>
        <w:t xml:space="preserve"> </w:t>
      </w:r>
      <w:r>
        <w:tab/>
        <w:t xml:space="preserve">AECOM, </w:t>
      </w:r>
      <w:r w:rsidRPr="00B4351D">
        <w:rPr>
          <w:rStyle w:val="AERtextitalic"/>
        </w:rPr>
        <w:t>Review of network operating expenditure</w:t>
      </w:r>
      <w:r>
        <w:t>, 9 Novmeber 2012, p. 2, 4.</w:t>
      </w:r>
    </w:p>
  </w:footnote>
  <w:footnote w:id="364">
    <w:p w:rsidR="006B0748" w:rsidRDefault="006B0748" w:rsidP="00A00171">
      <w:pPr>
        <w:pStyle w:val="FootnoteText"/>
      </w:pPr>
      <w:r>
        <w:rPr>
          <w:rStyle w:val="FootnoteReference"/>
        </w:rPr>
        <w:footnoteRef/>
      </w:r>
      <w:r>
        <w:t xml:space="preserve"> </w:t>
      </w:r>
      <w:r>
        <w:tab/>
      </w:r>
      <w:proofErr w:type="gramStart"/>
      <w:r>
        <w:t>NGR, r. 91, r. 74.</w:t>
      </w:r>
      <w:proofErr w:type="gramEnd"/>
    </w:p>
  </w:footnote>
  <w:footnote w:id="365">
    <w:p w:rsidR="006B0748" w:rsidRDefault="006B0748" w:rsidP="00A00171">
      <w:pPr>
        <w:pStyle w:val="FootnoteText"/>
      </w:pPr>
      <w:r>
        <w:rPr>
          <w:rStyle w:val="FootnoteReference"/>
        </w:rPr>
        <w:footnoteRef/>
      </w:r>
      <w:r>
        <w:t xml:space="preserve"> </w:t>
      </w:r>
      <w:r>
        <w:tab/>
      </w:r>
      <w:proofErr w:type="gramStart"/>
      <w:r>
        <w:t>AER analysis of Grant Thornton report.</w:t>
      </w:r>
      <w:proofErr w:type="gramEnd"/>
    </w:p>
  </w:footnote>
  <w:footnote w:id="366">
    <w:p w:rsidR="006B0748" w:rsidRDefault="006B0748" w:rsidP="00A00171">
      <w:pPr>
        <w:pStyle w:val="FootnoteText"/>
      </w:pPr>
      <w:r>
        <w:rPr>
          <w:rStyle w:val="FootnoteReference"/>
        </w:rPr>
        <w:footnoteRef/>
      </w:r>
      <w:r>
        <w:t xml:space="preserve"> </w:t>
      </w:r>
      <w:r>
        <w:tab/>
        <w:t>Grant Thornton, Review of Multinet’s Operating Expense Forecasts, 9 November 2012, pp. 61-86</w:t>
      </w:r>
    </w:p>
  </w:footnote>
  <w:footnote w:id="367">
    <w:p w:rsidR="006B0748" w:rsidRDefault="006B0748" w:rsidP="00A00171">
      <w:pPr>
        <w:pStyle w:val="FootnoteText"/>
      </w:pPr>
      <w:r>
        <w:rPr>
          <w:rStyle w:val="FootnoteReference"/>
        </w:rPr>
        <w:footnoteRef/>
      </w:r>
      <w:r>
        <w:t xml:space="preserve"> </w:t>
      </w:r>
      <w:r>
        <w:tab/>
        <w:t xml:space="preserve">Multinet, </w:t>
      </w:r>
      <w:r w:rsidRPr="0058694D">
        <w:rPr>
          <w:i/>
        </w:rPr>
        <w:t>MGH 2013 Direct Budget Assumptions Book version 1</w:t>
      </w:r>
      <w:r>
        <w:t>, 26 June 2012, p. 21</w:t>
      </w:r>
    </w:p>
  </w:footnote>
  <w:footnote w:id="368">
    <w:p w:rsidR="006B0748" w:rsidRDefault="006B0748" w:rsidP="00A00171">
      <w:pPr>
        <w:pStyle w:val="FootnoteText"/>
      </w:pPr>
      <w:r>
        <w:rPr>
          <w:rStyle w:val="FootnoteReference"/>
        </w:rPr>
        <w:footnoteRef/>
      </w:r>
      <w:r>
        <w:t xml:space="preserve"> </w:t>
      </w:r>
      <w:r>
        <w:tab/>
        <w:t xml:space="preserve">Multinet, </w:t>
      </w:r>
      <w:r w:rsidRPr="0058694D">
        <w:rPr>
          <w:i/>
        </w:rPr>
        <w:t>MGH 2013 Direct Budget Assumptions Book version 1</w:t>
      </w:r>
      <w:r>
        <w:t>, 26 June 2012, p. 21</w:t>
      </w:r>
    </w:p>
  </w:footnote>
  <w:footnote w:id="369">
    <w:p w:rsidR="006B0748" w:rsidRDefault="006B0748" w:rsidP="00A00171">
      <w:pPr>
        <w:pStyle w:val="FootnoteText"/>
      </w:pPr>
      <w:r>
        <w:rPr>
          <w:rStyle w:val="FootnoteReference"/>
        </w:rPr>
        <w:footnoteRef/>
      </w:r>
      <w:r>
        <w:t xml:space="preserve"> </w:t>
      </w:r>
      <w:r>
        <w:tab/>
        <w:t>Grant Thornton, Review of Multinet’s Operating Expense Forecasts, 9 November 2012, p. 69</w:t>
      </w:r>
    </w:p>
  </w:footnote>
  <w:footnote w:id="370">
    <w:p w:rsidR="006B0748" w:rsidRDefault="006B0748" w:rsidP="00A00171">
      <w:pPr>
        <w:pStyle w:val="FootnoteText"/>
      </w:pPr>
      <w:r>
        <w:rPr>
          <w:rStyle w:val="FootnoteReference"/>
        </w:rPr>
        <w:footnoteRef/>
      </w:r>
      <w:r>
        <w:t xml:space="preserve"> </w:t>
      </w:r>
      <w:r>
        <w:tab/>
        <w:t>Grant Thornton, Review of Multinet’s Operating Expense Forecasts, 9 November 2012, p. 89</w:t>
      </w:r>
      <w:proofErr w:type="gramStart"/>
      <w:r>
        <w:t xml:space="preserve">; </w:t>
      </w:r>
      <w:r w:rsidRPr="00B4351D">
        <w:t xml:space="preserve"> </w:t>
      </w:r>
      <w:r w:rsidRPr="00A50115">
        <w:rPr>
          <w:rStyle w:val="AERtextitalic"/>
        </w:rPr>
        <w:t>Multinet</w:t>
      </w:r>
      <w:proofErr w:type="gramEnd"/>
      <w:r w:rsidRPr="00A50115">
        <w:rPr>
          <w:rStyle w:val="AERtextitalic"/>
        </w:rPr>
        <w:t>, MGH 2013 Direct Budget Assumptions Book version 1</w:t>
      </w:r>
      <w:r>
        <w:t>, 26 June 2012.</w:t>
      </w:r>
    </w:p>
  </w:footnote>
  <w:footnote w:id="371">
    <w:p w:rsidR="006B0748" w:rsidRDefault="006B0748" w:rsidP="00A00171">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166 - 176.</w:t>
      </w:r>
    </w:p>
  </w:footnote>
  <w:footnote w:id="372">
    <w:p w:rsidR="006B0748" w:rsidRDefault="006B0748" w:rsidP="00A00171">
      <w:pPr>
        <w:pStyle w:val="FootnoteText"/>
      </w:pPr>
      <w:r>
        <w:rPr>
          <w:rStyle w:val="FootnoteReference"/>
        </w:rPr>
        <w:footnoteRef/>
      </w:r>
      <w:r>
        <w:t xml:space="preserve"> </w:t>
      </w:r>
      <w:r>
        <w:tab/>
      </w:r>
      <w:proofErr w:type="gramStart"/>
      <w:r>
        <w:t>NGR, r. 91.</w:t>
      </w:r>
      <w:proofErr w:type="gramEnd"/>
    </w:p>
  </w:footnote>
  <w:footnote w:id="373">
    <w:p w:rsidR="006B0748" w:rsidRDefault="006B0748" w:rsidP="00A00171">
      <w:pPr>
        <w:pStyle w:val="FootnoteText"/>
      </w:pPr>
      <w:r>
        <w:rPr>
          <w:rStyle w:val="FootnoteReference"/>
        </w:rPr>
        <w:footnoteRef/>
      </w:r>
      <w:r>
        <w:t xml:space="preserve"> </w:t>
      </w:r>
      <w:r>
        <w:tab/>
      </w:r>
      <w:proofErr w:type="gramStart"/>
      <w:r>
        <w:t xml:space="preserve">Multinet, </w:t>
      </w:r>
      <w:r w:rsidRPr="001E6B5F">
        <w:rPr>
          <w:rStyle w:val="AERtextitalic"/>
        </w:rPr>
        <w:t>Access arrangement information</w:t>
      </w:r>
      <w:r>
        <w:t>, 30 March 2012, p. 72.</w:t>
      </w:r>
      <w:proofErr w:type="gramEnd"/>
    </w:p>
  </w:footnote>
  <w:footnote w:id="374">
    <w:p w:rsidR="006B0748" w:rsidRDefault="006B0748" w:rsidP="00A00171">
      <w:pPr>
        <w:pStyle w:val="FootnoteText"/>
      </w:pPr>
      <w:r>
        <w:rPr>
          <w:rStyle w:val="FootnoteReference"/>
        </w:rPr>
        <w:footnoteRef/>
      </w:r>
      <w:r>
        <w:t xml:space="preserve"> </w:t>
      </w:r>
      <w:r>
        <w:tab/>
      </w:r>
      <w:proofErr w:type="gramStart"/>
      <w:r>
        <w:t xml:space="preserve">AT Kearney, </w:t>
      </w:r>
      <w:r w:rsidRPr="00DE635F">
        <w:rPr>
          <w:rStyle w:val="AERtextitalic"/>
        </w:rPr>
        <w:t>Multinet Gas Internal Staff Benchmarking</w:t>
      </w:r>
      <w:r>
        <w:t>, December 2011, pp. 4–5.</w:t>
      </w:r>
      <w:proofErr w:type="gramEnd"/>
    </w:p>
  </w:footnote>
  <w:footnote w:id="375">
    <w:p w:rsidR="006B0748" w:rsidRDefault="006B0748" w:rsidP="00A00171">
      <w:pPr>
        <w:pStyle w:val="FootnoteText"/>
      </w:pPr>
      <w:r>
        <w:rPr>
          <w:rStyle w:val="FootnoteReference"/>
        </w:rPr>
        <w:footnoteRef/>
      </w:r>
      <w:r>
        <w:t xml:space="preserve"> </w:t>
      </w:r>
      <w:r>
        <w:tab/>
      </w:r>
      <w:r w:rsidRPr="000064EE">
        <w:t xml:space="preserve">Multinet, </w:t>
      </w:r>
      <w:r>
        <w:rPr>
          <w:rStyle w:val="AERtextitalic"/>
        </w:rPr>
        <w:t>Access arrangement i</w:t>
      </w:r>
      <w:r w:rsidRPr="000064EE">
        <w:rPr>
          <w:rStyle w:val="AERtextitalic"/>
        </w:rPr>
        <w:t>nformation</w:t>
      </w:r>
      <w:proofErr w:type="gramStart"/>
      <w:r>
        <w:rPr>
          <w:rStyle w:val="AERtextitalic"/>
        </w:rPr>
        <w:t>,</w:t>
      </w:r>
      <w:proofErr w:type="gramEnd"/>
      <w:r w:rsidRPr="00487DB9">
        <w:rPr>
          <w:rStyle w:val="FootnoteReference"/>
        </w:rPr>
        <w:t xml:space="preserve"> </w:t>
      </w:r>
      <w:r>
        <w:t xml:space="preserve">30 March, </w:t>
      </w:r>
      <w:r w:rsidRPr="00487DB9">
        <w:t>2012</w:t>
      </w:r>
      <w:r>
        <w:t>, p. 96.</w:t>
      </w:r>
    </w:p>
  </w:footnote>
  <w:footnote w:id="376">
    <w:p w:rsidR="006B0748" w:rsidRDefault="006B0748" w:rsidP="00A00171">
      <w:pPr>
        <w:pStyle w:val="FootnoteText"/>
      </w:pPr>
      <w:r>
        <w:rPr>
          <w:rStyle w:val="FootnoteReference"/>
        </w:rPr>
        <w:footnoteRef/>
      </w:r>
      <w:r>
        <w:t xml:space="preserve"> </w:t>
      </w:r>
      <w:r>
        <w:tab/>
        <w:t>NGR, r. 74(2</w:t>
      </w:r>
      <w:proofErr w:type="gramStart"/>
      <w:r>
        <w:t>)(</w:t>
      </w:r>
      <w:proofErr w:type="gramEnd"/>
      <w:r>
        <w:t>a).</w:t>
      </w:r>
    </w:p>
  </w:footnote>
  <w:footnote w:id="377">
    <w:p w:rsidR="006B0748" w:rsidRDefault="006B0748" w:rsidP="00A00171">
      <w:pPr>
        <w:pStyle w:val="FootnoteText"/>
      </w:pPr>
      <w:r>
        <w:rPr>
          <w:rStyle w:val="FootnoteReference"/>
        </w:rPr>
        <w:footnoteRef/>
      </w:r>
      <w:r>
        <w:t xml:space="preserve">  </w:t>
      </w:r>
      <w:r>
        <w:tab/>
      </w:r>
      <w:proofErr w:type="gramStart"/>
      <w:r>
        <w:t xml:space="preserve">AER, </w:t>
      </w:r>
      <w:r w:rsidRPr="009B09D8">
        <w:rPr>
          <w:rStyle w:val="AERtextitalic"/>
        </w:rPr>
        <w:t>Draft decision, Multinet</w:t>
      </w:r>
      <w:r w:rsidRPr="0091781A">
        <w:rPr>
          <w:rStyle w:val="AERtextitalic"/>
        </w:rPr>
        <w:t xml:space="preserve"> </w:t>
      </w:r>
      <w:r>
        <w:rPr>
          <w:rStyle w:val="AERtextitalic"/>
        </w:rPr>
        <w:t>a</w:t>
      </w:r>
      <w:r w:rsidRPr="0091781A">
        <w:rPr>
          <w:rStyle w:val="AERtextitalic"/>
        </w:rPr>
        <w:t>ccess arrangement</w:t>
      </w:r>
      <w:r>
        <w:rPr>
          <w:rStyle w:val="AERtextitalic"/>
        </w:rPr>
        <w:t xml:space="preserve"> proposal for 1 January 2013 – 31 December 2017</w:t>
      </w:r>
      <w:r>
        <w:t>, Part 2, September 2012, p. 139.</w:t>
      </w:r>
      <w:proofErr w:type="gramEnd"/>
    </w:p>
  </w:footnote>
  <w:footnote w:id="378">
    <w:p w:rsidR="006B0748" w:rsidRDefault="006B0748" w:rsidP="00A00171">
      <w:pPr>
        <w:pStyle w:val="FootnoteText"/>
      </w:pPr>
      <w:r>
        <w:rPr>
          <w:rStyle w:val="FootnoteReference"/>
        </w:rPr>
        <w:footnoteRef/>
      </w:r>
      <w:r>
        <w:t xml:space="preserve"> </w:t>
      </w:r>
      <w:r>
        <w:tab/>
        <w:t xml:space="preserve">Geoff Nunn and Associates, </w:t>
      </w:r>
      <w:r w:rsidRPr="008F5CC5">
        <w:rPr>
          <w:rStyle w:val="AERtextitalic"/>
        </w:rPr>
        <w:t>Market remuneration reports: selected positions</w:t>
      </w:r>
      <w:r>
        <w:t xml:space="preserve">, 17 January 2012, 7 February 2012, </w:t>
      </w:r>
      <w:proofErr w:type="gramStart"/>
      <w:r>
        <w:t>1</w:t>
      </w:r>
      <w:proofErr w:type="gramEnd"/>
      <w:r>
        <w:t xml:space="preserve"> March 2012.</w:t>
      </w:r>
    </w:p>
  </w:footnote>
  <w:footnote w:id="379">
    <w:p w:rsidR="006B0748" w:rsidRDefault="006B0748" w:rsidP="00A00171">
      <w:pPr>
        <w:pStyle w:val="FootnoteText"/>
      </w:pPr>
      <w:r>
        <w:rPr>
          <w:rStyle w:val="FootnoteReference"/>
        </w:rPr>
        <w:footnoteRef/>
      </w:r>
      <w:r>
        <w:t xml:space="preserve"> </w:t>
      </w:r>
      <w:r>
        <w:tab/>
      </w:r>
      <w:proofErr w:type="gramStart"/>
      <w:r>
        <w:t>NGR, r. 74(2).</w:t>
      </w:r>
      <w:proofErr w:type="gramEnd"/>
    </w:p>
  </w:footnote>
  <w:footnote w:id="380">
    <w:p w:rsidR="006B0748" w:rsidRDefault="006B0748" w:rsidP="00A00171">
      <w:pPr>
        <w:pStyle w:val="FootnoteText"/>
      </w:pPr>
      <w:r>
        <w:rPr>
          <w:rStyle w:val="FootnoteReference"/>
        </w:rPr>
        <w:footnoteRef/>
      </w:r>
      <w:r>
        <w:t xml:space="preserve"> </w:t>
      </w:r>
      <w:r>
        <w:tab/>
        <w:t xml:space="preserve">On costs include payroll tax, workers compensation levy, annual leave provision and long service leave provision. Multinet, </w:t>
      </w:r>
      <w:r>
        <w:rPr>
          <w:rStyle w:val="AERtextitalic"/>
        </w:rPr>
        <w:t>Response to AER information request</w:t>
      </w:r>
      <w:r w:rsidRPr="00E3779A">
        <w:rPr>
          <w:rStyle w:val="AERtextitalic"/>
        </w:rPr>
        <w:t xml:space="preserve"> </w:t>
      </w:r>
      <w:proofErr w:type="gramStart"/>
      <w:r w:rsidRPr="00E3779A">
        <w:rPr>
          <w:rStyle w:val="AERtextitalic"/>
        </w:rPr>
        <w:t>FD1a</w:t>
      </w:r>
      <w:r>
        <w:t xml:space="preserve"> ,</w:t>
      </w:r>
      <w:proofErr w:type="gramEnd"/>
      <w:r>
        <w:t xml:space="preserve"> 26 November 2011.</w:t>
      </w:r>
    </w:p>
  </w:footnote>
  <w:footnote w:id="381">
    <w:p w:rsidR="006B0748" w:rsidRDefault="006B0748" w:rsidP="00A00171">
      <w:pPr>
        <w:pStyle w:val="FootnoteText"/>
      </w:pPr>
      <w:r>
        <w:rPr>
          <w:rStyle w:val="FootnoteReference"/>
        </w:rPr>
        <w:footnoteRef/>
      </w:r>
      <w:r>
        <w:t xml:space="preserve"> </w:t>
      </w:r>
      <w:r>
        <w:tab/>
      </w:r>
      <w:proofErr w:type="gramStart"/>
      <w:r>
        <w:t>NGR, r. 74(2).</w:t>
      </w:r>
      <w:proofErr w:type="gramEnd"/>
    </w:p>
  </w:footnote>
  <w:footnote w:id="382">
    <w:p w:rsidR="006B0748" w:rsidRDefault="006B0748" w:rsidP="00A00171">
      <w:pPr>
        <w:pStyle w:val="FootnoteText"/>
      </w:pPr>
      <w:r>
        <w:rPr>
          <w:rStyle w:val="FootnoteReference"/>
        </w:rPr>
        <w:footnoteRef/>
      </w:r>
      <w:r>
        <w:t xml:space="preserve"> </w:t>
      </w:r>
      <w:r>
        <w:tab/>
        <w:t>NGR, r. 91(1)</w:t>
      </w:r>
    </w:p>
  </w:footnote>
  <w:footnote w:id="383">
    <w:p w:rsidR="006B0748" w:rsidRDefault="006B0748" w:rsidP="00A00171">
      <w:pPr>
        <w:pStyle w:val="FootnoteText"/>
      </w:pPr>
      <w:r>
        <w:rPr>
          <w:rStyle w:val="FootnoteReference"/>
        </w:rPr>
        <w:footnoteRef/>
      </w:r>
      <w:r>
        <w:t xml:space="preserve">  </w:t>
      </w:r>
      <w:r>
        <w:tab/>
      </w:r>
      <w:proofErr w:type="gramStart"/>
      <w:r>
        <w:t xml:space="preserve">Multinet, </w:t>
      </w:r>
      <w:r w:rsidRPr="00B71BDB">
        <w:rPr>
          <w:rStyle w:val="AERtextitalic"/>
        </w:rPr>
        <w:t>Revised proposal and response to draft decision</w:t>
      </w:r>
      <w:r>
        <w:t>, 9 November 2012, p. 45.</w:t>
      </w:r>
      <w:proofErr w:type="gramEnd"/>
    </w:p>
  </w:footnote>
  <w:footnote w:id="384">
    <w:p w:rsidR="006B0748" w:rsidRDefault="006B0748" w:rsidP="00A00171">
      <w:pPr>
        <w:pStyle w:val="FootnoteText"/>
      </w:pPr>
      <w:r>
        <w:rPr>
          <w:rStyle w:val="FootnoteReference"/>
        </w:rPr>
        <w:footnoteRef/>
      </w:r>
      <w:r>
        <w:t xml:space="preserve"> </w:t>
      </w:r>
      <w:r>
        <w:tab/>
        <w:t xml:space="preserve">AECOM, </w:t>
      </w:r>
      <w:r w:rsidRPr="001E6B5F">
        <w:rPr>
          <w:rStyle w:val="AERtextitalic"/>
        </w:rPr>
        <w:t>Review of network operation expenditure</w:t>
      </w:r>
      <w:r>
        <w:t xml:space="preserve">, 9 November 2012, p. 4.  </w:t>
      </w:r>
    </w:p>
  </w:footnote>
  <w:footnote w:id="385">
    <w:p w:rsidR="006B0748" w:rsidRDefault="006B0748" w:rsidP="00A00171">
      <w:pPr>
        <w:pStyle w:val="FootnoteText"/>
      </w:pPr>
      <w:r>
        <w:rPr>
          <w:rStyle w:val="FootnoteReference"/>
        </w:rPr>
        <w:footnoteRef/>
      </w:r>
      <w:r>
        <w:t xml:space="preserve"> </w:t>
      </w:r>
      <w:r>
        <w:tab/>
        <w:t xml:space="preserve">Grant Thornton, </w:t>
      </w:r>
      <w:r w:rsidRPr="001E6B5F">
        <w:rPr>
          <w:rStyle w:val="AERtextitalic"/>
        </w:rPr>
        <w:t>Review of Multinet’s operating expense forecasts</w:t>
      </w:r>
      <w:r>
        <w:t>, 9 November 2012, p. 55.</w:t>
      </w:r>
    </w:p>
  </w:footnote>
  <w:footnote w:id="386">
    <w:p w:rsidR="006B0748" w:rsidRDefault="006B0748" w:rsidP="00A00171">
      <w:pPr>
        <w:pStyle w:val="FootnoteText"/>
      </w:pPr>
      <w:r>
        <w:rPr>
          <w:rStyle w:val="FootnoteReference"/>
        </w:rPr>
        <w:footnoteRef/>
      </w:r>
      <w:r>
        <w:t xml:space="preserve"> </w:t>
      </w:r>
      <w:r>
        <w:tab/>
        <w:t xml:space="preserve">Multinet, </w:t>
      </w:r>
      <w:r w:rsidRPr="001E6B5F">
        <w:rPr>
          <w:rStyle w:val="AERtextitalic"/>
        </w:rPr>
        <w:t>Revised access arrangement proposal</w:t>
      </w:r>
      <w:r>
        <w:t>, 9 November 2012, p. 45.</w:t>
      </w:r>
    </w:p>
  </w:footnote>
  <w:footnote w:id="387">
    <w:p w:rsidR="006B0748" w:rsidRDefault="006B0748" w:rsidP="00A00171">
      <w:pPr>
        <w:pStyle w:val="FootnoteText"/>
      </w:pPr>
      <w:r>
        <w:rPr>
          <w:rStyle w:val="FootnoteReference"/>
        </w:rPr>
        <w:footnoteRef/>
      </w:r>
      <w:r>
        <w:t xml:space="preserve"> </w:t>
      </w:r>
      <w:r>
        <w:tab/>
        <w:t>NGR, r. 74(2</w:t>
      </w:r>
      <w:proofErr w:type="gramStart"/>
      <w:r>
        <w:t>)(</w:t>
      </w:r>
      <w:proofErr w:type="gramEnd"/>
      <w:r>
        <w:t>b).</w:t>
      </w:r>
    </w:p>
  </w:footnote>
  <w:footnote w:id="388">
    <w:p w:rsidR="006B0748" w:rsidRDefault="006B0748" w:rsidP="00A00171">
      <w:pPr>
        <w:pStyle w:val="FootnoteText"/>
      </w:pPr>
      <w:r>
        <w:rPr>
          <w:rStyle w:val="FootnoteReference"/>
        </w:rPr>
        <w:footnoteRef/>
      </w:r>
      <w:r>
        <w:t xml:space="preserve"> </w:t>
      </w:r>
      <w:r>
        <w:tab/>
        <w:t>NGR, r. 74(2)</w:t>
      </w:r>
    </w:p>
  </w:footnote>
  <w:footnote w:id="389">
    <w:p w:rsidR="006B0748" w:rsidRDefault="006B0748" w:rsidP="00A00171">
      <w:pPr>
        <w:pStyle w:val="FootnoteText"/>
      </w:pPr>
      <w:r>
        <w:rPr>
          <w:rStyle w:val="FootnoteReference"/>
        </w:rPr>
        <w:footnoteRef/>
      </w:r>
      <w:r>
        <w:t xml:space="preserve"> </w:t>
      </w:r>
      <w:r>
        <w:tab/>
        <w:t xml:space="preserve">Multinet, </w:t>
      </w:r>
      <w:r w:rsidRPr="001E6B5F">
        <w:rPr>
          <w:rStyle w:val="AERtextitalic"/>
        </w:rPr>
        <w:t>Response to AER information request FD1a</w:t>
      </w:r>
      <w:r>
        <w:t>, 26 November 2012.</w:t>
      </w:r>
    </w:p>
  </w:footnote>
  <w:footnote w:id="390">
    <w:p w:rsidR="006B0748" w:rsidRDefault="006B0748" w:rsidP="00A00171">
      <w:pPr>
        <w:pStyle w:val="FootnoteText"/>
      </w:pPr>
      <w:r>
        <w:rPr>
          <w:rStyle w:val="FootnoteReference"/>
        </w:rPr>
        <w:footnoteRef/>
      </w:r>
      <w:r>
        <w:t xml:space="preserve"> </w:t>
      </w:r>
      <w:r>
        <w:tab/>
        <w:t>NGR, r. 74(2)(b)</w:t>
      </w:r>
    </w:p>
  </w:footnote>
  <w:footnote w:id="391">
    <w:p w:rsidR="006B0748" w:rsidRDefault="006B0748" w:rsidP="00A00171">
      <w:pPr>
        <w:pStyle w:val="FootnoteText"/>
      </w:pPr>
      <w:r>
        <w:rPr>
          <w:rStyle w:val="FootnoteReference"/>
        </w:rPr>
        <w:footnoteRef/>
      </w:r>
      <w:r>
        <w:t xml:space="preserve"> </w:t>
      </w:r>
      <w:r>
        <w:tab/>
      </w:r>
      <w:proofErr w:type="gramStart"/>
      <w:r>
        <w:t xml:space="preserve">AER, </w:t>
      </w:r>
      <w:r w:rsidRPr="00B71BDB">
        <w:rPr>
          <w:rStyle w:val="AERtextitalic"/>
        </w:rPr>
        <w:t>Final decision -</w:t>
      </w:r>
      <w:r>
        <w:rPr>
          <w:rStyle w:val="AERtextitalic"/>
        </w:rPr>
        <w:t xml:space="preserve"> appendices -</w:t>
      </w:r>
      <w:r w:rsidRPr="00B71BDB">
        <w:rPr>
          <w:rStyle w:val="AERtextitalic"/>
        </w:rPr>
        <w:t xml:space="preserve"> United Energy Distribution distribution determination 2011 – 2015</w:t>
      </w:r>
      <w:r>
        <w:t>, October 2010, p. 153.</w:t>
      </w:r>
      <w:proofErr w:type="gramEnd"/>
    </w:p>
  </w:footnote>
  <w:footnote w:id="392">
    <w:p w:rsidR="006B0748" w:rsidRDefault="006B0748" w:rsidP="00A00171">
      <w:pPr>
        <w:pStyle w:val="FootnoteText"/>
      </w:pPr>
      <w:r>
        <w:rPr>
          <w:rStyle w:val="FootnoteReference"/>
        </w:rPr>
        <w:footnoteRef/>
      </w:r>
      <w:r>
        <w:t xml:space="preserve"> </w:t>
      </w:r>
      <w:r>
        <w:tab/>
      </w:r>
      <w:proofErr w:type="gramStart"/>
      <w:r>
        <w:t xml:space="preserve">AER, </w:t>
      </w:r>
      <w:r w:rsidRPr="00B71BDB">
        <w:rPr>
          <w:rStyle w:val="AERtextitalic"/>
        </w:rPr>
        <w:t>Final decision -</w:t>
      </w:r>
      <w:r>
        <w:rPr>
          <w:rStyle w:val="AERtextitalic"/>
        </w:rPr>
        <w:t>appendices -</w:t>
      </w:r>
      <w:r w:rsidRPr="00B71BDB">
        <w:rPr>
          <w:rStyle w:val="AERtextitalic"/>
        </w:rPr>
        <w:t xml:space="preserve"> United Energy Distribution distribution determination 2011 – 2015</w:t>
      </w:r>
      <w:r>
        <w:t>, October 2010, p. 153.</w:t>
      </w:r>
      <w:proofErr w:type="gramEnd"/>
    </w:p>
  </w:footnote>
  <w:footnote w:id="393">
    <w:p w:rsidR="006B0748" w:rsidRDefault="006B0748" w:rsidP="00A00171">
      <w:pPr>
        <w:pStyle w:val="FootnoteText"/>
      </w:pPr>
      <w:r>
        <w:rPr>
          <w:rStyle w:val="FootnoteReference"/>
        </w:rPr>
        <w:footnoteRef/>
      </w:r>
      <w:r>
        <w:t xml:space="preserve"> </w:t>
      </w:r>
      <w:r>
        <w:tab/>
        <w:t>NGR, r. 74(2)(b)</w:t>
      </w:r>
    </w:p>
  </w:footnote>
  <w:footnote w:id="394">
    <w:p w:rsidR="006B0748" w:rsidRDefault="006B0748" w:rsidP="00A00171">
      <w:pPr>
        <w:pStyle w:val="FootnoteText"/>
      </w:pPr>
      <w:r>
        <w:rPr>
          <w:rStyle w:val="FootnoteReference"/>
        </w:rPr>
        <w:footnoteRef/>
      </w:r>
      <w:r>
        <w:t xml:space="preserve"> </w:t>
      </w:r>
      <w:r>
        <w:tab/>
        <w:t xml:space="preserve">Grant Thornton, </w:t>
      </w:r>
      <w:r w:rsidRPr="0091781A">
        <w:rPr>
          <w:rStyle w:val="AERtextitalic"/>
        </w:rPr>
        <w:t>Review of Multinet's operating expense forecast</w:t>
      </w:r>
      <w:r>
        <w:t>, 9 November 2012</w:t>
      </w:r>
      <w:proofErr w:type="gramStart"/>
      <w:r>
        <w:t>,  pp</w:t>
      </w:r>
      <w:proofErr w:type="gramEnd"/>
      <w:r>
        <w:t xml:space="preserve">. 53 </w:t>
      </w:r>
      <w:r>
        <w:softHyphen/>
        <w:t>– 54.</w:t>
      </w:r>
    </w:p>
  </w:footnote>
  <w:footnote w:id="395">
    <w:p w:rsidR="006B0748" w:rsidRDefault="006B0748" w:rsidP="00A00171">
      <w:pPr>
        <w:pStyle w:val="FootnoteText"/>
      </w:pPr>
      <w:r>
        <w:rPr>
          <w:rStyle w:val="FootnoteReference"/>
        </w:rPr>
        <w:footnoteRef/>
      </w:r>
      <w:r>
        <w:t xml:space="preserve"> </w:t>
      </w:r>
      <w:r>
        <w:tab/>
        <w:t>NGR, r. 74</w:t>
      </w:r>
    </w:p>
  </w:footnote>
  <w:footnote w:id="396">
    <w:p w:rsidR="006B0748" w:rsidRDefault="006B0748" w:rsidP="00A00171">
      <w:pPr>
        <w:pStyle w:val="FootnoteText"/>
      </w:pPr>
      <w:r>
        <w:rPr>
          <w:rStyle w:val="FootnoteReference"/>
        </w:rPr>
        <w:footnoteRef/>
      </w:r>
      <w:r>
        <w:t xml:space="preserve"> </w:t>
      </w:r>
      <w:r>
        <w:tab/>
        <w:t>NGR, r. 74(2</w:t>
      </w:r>
      <w:proofErr w:type="gramStart"/>
      <w:r>
        <w:t>)(</w:t>
      </w:r>
      <w:proofErr w:type="gramEnd"/>
      <w:r>
        <w:t>a).</w:t>
      </w:r>
    </w:p>
  </w:footnote>
  <w:footnote w:id="397">
    <w:p w:rsidR="006B0748" w:rsidRDefault="006B0748" w:rsidP="00A00171">
      <w:pPr>
        <w:pStyle w:val="FootnoteText"/>
      </w:pPr>
      <w:r>
        <w:rPr>
          <w:rStyle w:val="FootnoteReference"/>
        </w:rPr>
        <w:footnoteRef/>
      </w:r>
      <w:r>
        <w:t xml:space="preserve"> </w:t>
      </w:r>
      <w:r>
        <w:tab/>
      </w:r>
      <w:proofErr w:type="gramStart"/>
      <w:r>
        <w:t xml:space="preserve">GHD, </w:t>
      </w:r>
      <w:r w:rsidRPr="00DE635F">
        <w:rPr>
          <w:rStyle w:val="AERtextitalic"/>
        </w:rPr>
        <w:t>Operating and maintenance expenditure 1 January 2013 to December 2017</w:t>
      </w:r>
      <w:r>
        <w:t>, March 2012, p. i.</w:t>
      </w:r>
      <w:proofErr w:type="gramEnd"/>
    </w:p>
  </w:footnote>
  <w:footnote w:id="398">
    <w:p w:rsidR="006B0748" w:rsidRDefault="006B0748" w:rsidP="00A00171">
      <w:pPr>
        <w:pStyle w:val="FootnoteText"/>
      </w:pPr>
      <w:r>
        <w:rPr>
          <w:rStyle w:val="FootnoteReference"/>
        </w:rPr>
        <w:footnoteRef/>
      </w:r>
      <w:r>
        <w:t xml:space="preserve"> </w:t>
      </w:r>
      <w:r>
        <w:tab/>
      </w:r>
      <w:proofErr w:type="gramStart"/>
      <w:r>
        <w:t xml:space="preserve">GHD, </w:t>
      </w:r>
      <w:r w:rsidRPr="00DE635F">
        <w:rPr>
          <w:rStyle w:val="AERtextitalic"/>
        </w:rPr>
        <w:t>Operating and maintenance expenditure 1 January 2013 to December 2017</w:t>
      </w:r>
      <w:r>
        <w:t>, March 2012, p. 4</w:t>
      </w:r>
      <w:r>
        <w:softHyphen/>
        <w:t>5.</w:t>
      </w:r>
      <w:proofErr w:type="gramEnd"/>
    </w:p>
  </w:footnote>
  <w:footnote w:id="399">
    <w:p w:rsidR="006B0748" w:rsidRDefault="006B0748" w:rsidP="00A00171">
      <w:pPr>
        <w:pStyle w:val="FootnoteText"/>
      </w:pPr>
      <w:r>
        <w:rPr>
          <w:rStyle w:val="FootnoteReference"/>
        </w:rPr>
        <w:footnoteRef/>
      </w:r>
      <w:r>
        <w:t xml:space="preserve"> </w:t>
      </w:r>
      <w:r>
        <w:tab/>
        <w:t xml:space="preserve">Multinet, </w:t>
      </w:r>
      <w:r w:rsidRPr="00B71BDB">
        <w:rPr>
          <w:rStyle w:val="AERtextitalic"/>
        </w:rPr>
        <w:t>Revised proposal and response to draft decision</w:t>
      </w:r>
      <w:r>
        <w:t>, 9 November 2012, p. 44-45</w:t>
      </w:r>
      <w:proofErr w:type="gramStart"/>
      <w:r>
        <w:t>..</w:t>
      </w:r>
      <w:proofErr w:type="gramEnd"/>
    </w:p>
  </w:footnote>
  <w:footnote w:id="400">
    <w:p w:rsidR="006B0748" w:rsidRDefault="006B0748" w:rsidP="00A00171">
      <w:pPr>
        <w:pStyle w:val="FootnoteText"/>
      </w:pPr>
      <w:r>
        <w:rPr>
          <w:rStyle w:val="FootnoteReference"/>
        </w:rPr>
        <w:footnoteRef/>
      </w:r>
      <w:r>
        <w:t xml:space="preserve"> </w:t>
      </w:r>
      <w:r>
        <w:tab/>
      </w:r>
      <w:proofErr w:type="gramStart"/>
      <w:r>
        <w:t xml:space="preserve">Multinet </w:t>
      </w:r>
      <w:r w:rsidRPr="005D3C75">
        <w:rPr>
          <w:rStyle w:val="AERtextitalic"/>
        </w:rPr>
        <w:t>A</w:t>
      </w:r>
      <w:r>
        <w:rPr>
          <w:rStyle w:val="AERtextitalic"/>
        </w:rPr>
        <w:t>ccess a</w:t>
      </w:r>
      <w:r w:rsidRPr="005D3C75">
        <w:rPr>
          <w:rStyle w:val="AERtextitalic"/>
        </w:rPr>
        <w:t>rrang</w:t>
      </w:r>
      <w:r>
        <w:rPr>
          <w:rStyle w:val="AERtextitalic"/>
        </w:rPr>
        <w:t>ement i</w:t>
      </w:r>
      <w:r w:rsidRPr="005D3C75">
        <w:rPr>
          <w:rStyle w:val="AERtextitalic"/>
        </w:rPr>
        <w:t>nformation</w:t>
      </w:r>
      <w:r>
        <w:t>, 30 March 2012, p. 33.</w:t>
      </w:r>
      <w:proofErr w:type="gramEnd"/>
    </w:p>
  </w:footnote>
  <w:footnote w:id="401">
    <w:p w:rsidR="006B0748" w:rsidRDefault="006B0748" w:rsidP="00A00171">
      <w:pPr>
        <w:pStyle w:val="FootnoteText"/>
      </w:pPr>
      <w:r>
        <w:rPr>
          <w:rStyle w:val="FootnoteReference"/>
        </w:rPr>
        <w:footnoteRef/>
      </w:r>
      <w:r>
        <w:t xml:space="preserve"> </w:t>
      </w:r>
      <w:r>
        <w:tab/>
        <w:t xml:space="preserve">DUET Group, </w:t>
      </w:r>
      <w:r w:rsidRPr="009B09D8">
        <w:rPr>
          <w:rStyle w:val="AERtextitalic"/>
        </w:rPr>
        <w:t>Notices of Meeting and Explanatory Memorandum</w:t>
      </w:r>
      <w:r>
        <w:t>, p. 51. In 2011/</w:t>
      </w:r>
      <w:proofErr w:type="gramStart"/>
      <w:r>
        <w:t xml:space="preserve">12 </w:t>
      </w:r>
      <w:r w:rsidRPr="008F132C">
        <w:t xml:space="preserve"> </w:t>
      </w:r>
      <w:r>
        <w:t>DUET</w:t>
      </w:r>
      <w:proofErr w:type="gramEnd"/>
      <w:r>
        <w:t xml:space="preserve"> reported corporate expenses of $38.8 million in the 2011/12 financial year. </w:t>
      </w:r>
      <w:proofErr w:type="gramStart"/>
      <w:r>
        <w:t>(DUET Group, 2012 Annual Report In the 2012/13 financial year, p. 48).</w:t>
      </w:r>
      <w:proofErr w:type="gramEnd"/>
      <w:r>
        <w:t xml:space="preserve">  </w:t>
      </w:r>
    </w:p>
  </w:footnote>
  <w:footnote w:id="402">
    <w:p w:rsidR="006B0748" w:rsidRDefault="006B0748" w:rsidP="00A00171">
      <w:pPr>
        <w:pStyle w:val="FootnoteText"/>
      </w:pPr>
      <w:r>
        <w:rPr>
          <w:rStyle w:val="FootnoteReference"/>
        </w:rPr>
        <w:footnoteRef/>
      </w:r>
      <w:r>
        <w:t xml:space="preserve"> </w:t>
      </w:r>
      <w:r>
        <w:tab/>
        <w:t xml:space="preserve">DUET allocated 17.6 per cent of its total overheads incurred by DUET and the responsible entities to Multinet in 2011. </w:t>
      </w:r>
      <w:proofErr w:type="gramStart"/>
      <w:r>
        <w:t>20.0  per</w:t>
      </w:r>
      <w:proofErr w:type="gramEnd"/>
      <w:r>
        <w:t xml:space="preserve"> cent is an estimate of  Multinet's share of the total regulatory asset base of regulated utilities owned and attributable to DUET.</w:t>
      </w:r>
    </w:p>
  </w:footnote>
  <w:footnote w:id="403">
    <w:p w:rsidR="006B0748" w:rsidRDefault="006B0748" w:rsidP="00A00171">
      <w:pPr>
        <w:pStyle w:val="FootnoteText"/>
      </w:pPr>
      <w:r>
        <w:rPr>
          <w:rStyle w:val="FootnoteReference"/>
        </w:rPr>
        <w:footnoteRef/>
      </w:r>
      <w:r>
        <w:t xml:space="preserve"> </w:t>
      </w:r>
      <w:r>
        <w:tab/>
        <w:t>Multinet incurred a higher EPG fee than the EPG fee recorded in its regulatory accounts. However, part of this fee included costs that an auditor determined could not be attributed to Multinet.</w:t>
      </w:r>
    </w:p>
  </w:footnote>
  <w:footnote w:id="404">
    <w:p w:rsidR="006B0748" w:rsidRDefault="006B0748" w:rsidP="00A00171">
      <w:pPr>
        <w:pStyle w:val="FootnoteText"/>
      </w:pPr>
      <w:r>
        <w:rPr>
          <w:rStyle w:val="FootnoteReference"/>
        </w:rPr>
        <w:footnoteRef/>
      </w:r>
      <w:r>
        <w:t xml:space="preserve"> </w:t>
      </w:r>
      <w:r>
        <w:tab/>
        <w:t>Exclusive of reported bonuses incurred by Macquarie and AMPCH allocated to Multinet</w:t>
      </w:r>
    </w:p>
  </w:footnote>
  <w:footnote w:id="405">
    <w:p w:rsidR="006B0748" w:rsidRDefault="006B0748" w:rsidP="00A00171">
      <w:pPr>
        <w:pStyle w:val="FootnoteText"/>
      </w:pPr>
      <w:r>
        <w:rPr>
          <w:rStyle w:val="FootnoteReference"/>
        </w:rPr>
        <w:footnoteRef/>
      </w:r>
      <w:r>
        <w:t xml:space="preserve"> </w:t>
      </w:r>
      <w:r>
        <w:tab/>
        <w:t>David Bartholomew, Letter to David Strang, 17 May 2011; David Bartholomew, Letter to David Strang, 9 March 2012.</w:t>
      </w:r>
    </w:p>
  </w:footnote>
  <w:footnote w:id="406">
    <w:p w:rsidR="006B0748" w:rsidRDefault="006B0748" w:rsidP="00A00171">
      <w:pPr>
        <w:pStyle w:val="FootnoteText"/>
      </w:pPr>
      <w:r>
        <w:rPr>
          <w:rStyle w:val="FootnoteReference"/>
        </w:rPr>
        <w:footnoteRef/>
      </w:r>
      <w:r>
        <w:t xml:space="preserve"> </w:t>
      </w:r>
      <w:r>
        <w:tab/>
        <w:t xml:space="preserve">Multinet, </w:t>
      </w:r>
      <w:r w:rsidRPr="009E56D4">
        <w:rPr>
          <w:rStyle w:val="AERtextitalic"/>
        </w:rPr>
        <w:t>Response to AER Information request FD16d</w:t>
      </w:r>
      <w:r>
        <w:t>, 8 February 2012.</w:t>
      </w:r>
    </w:p>
  </w:footnote>
  <w:footnote w:id="407">
    <w:p w:rsidR="006B0748" w:rsidRDefault="006B0748" w:rsidP="00A00171">
      <w:pPr>
        <w:pStyle w:val="FootnoteText"/>
      </w:pPr>
      <w:r>
        <w:rPr>
          <w:rStyle w:val="FootnoteReference"/>
        </w:rPr>
        <w:footnoteRef/>
      </w:r>
      <w:r>
        <w:t xml:space="preserve"> </w:t>
      </w:r>
      <w:r>
        <w:tab/>
        <w:t xml:space="preserve">Multinet, </w:t>
      </w:r>
      <w:r w:rsidRPr="009E56D4">
        <w:rPr>
          <w:rStyle w:val="AERtextitalic"/>
        </w:rPr>
        <w:t>Response to AER information request FD4a</w:t>
      </w:r>
      <w:r>
        <w:t>, 28 November 2012.</w:t>
      </w:r>
    </w:p>
  </w:footnote>
  <w:footnote w:id="408">
    <w:p w:rsidR="006B0748" w:rsidRDefault="006B0748" w:rsidP="00A00171">
      <w:pPr>
        <w:pStyle w:val="FootnoteText"/>
      </w:pPr>
      <w:r>
        <w:rPr>
          <w:rStyle w:val="FootnoteReference"/>
        </w:rPr>
        <w:footnoteRef/>
      </w:r>
      <w:r>
        <w:t xml:space="preserve">  </w:t>
      </w:r>
      <w:r>
        <w:tab/>
        <w:t>The labour was provided by Pacific Indian Energy Services (PIES) a company partly owned by Multinet.</w:t>
      </w:r>
    </w:p>
  </w:footnote>
  <w:footnote w:id="409">
    <w:p w:rsidR="006B0748" w:rsidRDefault="006B0748" w:rsidP="00A00171">
      <w:pPr>
        <w:pStyle w:val="FootnoteText"/>
      </w:pPr>
      <w:r>
        <w:rPr>
          <w:rStyle w:val="FootnoteReference"/>
        </w:rPr>
        <w:footnoteRef/>
      </w:r>
      <w:r>
        <w:t xml:space="preserve"> </w:t>
      </w:r>
      <w:r>
        <w:tab/>
        <w:t xml:space="preserve">Multinet, </w:t>
      </w:r>
      <w:r w:rsidRPr="009B09D8">
        <w:rPr>
          <w:rStyle w:val="AERtextitalic"/>
        </w:rPr>
        <w:t>Response to AER Information Request FD16a</w:t>
      </w:r>
      <w:r>
        <w:t>, 10 January 2013.</w:t>
      </w:r>
    </w:p>
  </w:footnote>
  <w:footnote w:id="410">
    <w:p w:rsidR="006B0748" w:rsidRDefault="006B0748" w:rsidP="00A00171">
      <w:pPr>
        <w:pStyle w:val="FootnoteText"/>
      </w:pPr>
      <w:r>
        <w:rPr>
          <w:rStyle w:val="FootnoteReference"/>
        </w:rPr>
        <w:footnoteRef/>
      </w:r>
      <w:r>
        <w:t xml:space="preserve"> </w:t>
      </w:r>
      <w:r>
        <w:tab/>
        <w:t xml:space="preserve">Ernst and Young, </w:t>
      </w:r>
      <w:r w:rsidRPr="009B09D8">
        <w:rPr>
          <w:rStyle w:val="AERtextitalic"/>
        </w:rPr>
        <w:t>Independent Auditor's Report to the partners of Multinet Gas Distribution Partnership</w:t>
      </w:r>
      <w:r>
        <w:t>, 1 November 2012.</w:t>
      </w:r>
    </w:p>
  </w:footnote>
  <w:footnote w:id="411">
    <w:p w:rsidR="006B0748" w:rsidRDefault="006B0748" w:rsidP="00A00171">
      <w:pPr>
        <w:pStyle w:val="FootnoteText"/>
      </w:pPr>
      <w:r>
        <w:rPr>
          <w:rStyle w:val="FootnoteReference"/>
        </w:rPr>
        <w:footnoteRef/>
      </w:r>
      <w:r>
        <w:t xml:space="preserve"> </w:t>
      </w:r>
      <w:r>
        <w:tab/>
        <w:t>Subsequent to the draft decision, the AER sought further information about the forecast bonuses in AER information request FD2a, FD4a and FD9a and FD16a, FD16b, FD16c. On 1 February 2013 Multinet was informed that the bonuses were unlikely to be included in its final decision on opex because DUET was not forecast to receive any services from Macquarie and AMPCH in the future and these costs are non-recurrent (see AER document AER13/724). Subsequent to this discussion, Multinet was asked to provide any further information to support the bonuses (AER information request FD16d). No information was provided in response to this request.</w:t>
      </w:r>
    </w:p>
  </w:footnote>
  <w:footnote w:id="412">
    <w:p w:rsidR="006B0748" w:rsidRDefault="006B0748" w:rsidP="00A00171">
      <w:pPr>
        <w:pStyle w:val="FootnoteText"/>
      </w:pPr>
      <w:r>
        <w:rPr>
          <w:rStyle w:val="FootnoteReference"/>
        </w:rPr>
        <w:footnoteRef/>
      </w:r>
      <w:r>
        <w:t xml:space="preserve"> </w:t>
      </w:r>
      <w:r>
        <w:tab/>
      </w:r>
      <w:proofErr w:type="gramStart"/>
      <w:r>
        <w:t>NGR, r. 91(1).</w:t>
      </w:r>
      <w:proofErr w:type="gramEnd"/>
    </w:p>
  </w:footnote>
  <w:footnote w:id="413">
    <w:p w:rsidR="006B0748" w:rsidRDefault="006B0748" w:rsidP="00A00171">
      <w:pPr>
        <w:pStyle w:val="FootnoteText"/>
      </w:pPr>
      <w:r>
        <w:rPr>
          <w:rStyle w:val="FootnoteReference"/>
        </w:rPr>
        <w:footnoteRef/>
      </w:r>
      <w:r>
        <w:t xml:space="preserve"> </w:t>
      </w:r>
      <w:r>
        <w:tab/>
      </w:r>
      <w:proofErr w:type="gramStart"/>
      <w:r w:rsidRPr="004666DD">
        <w:t xml:space="preserve">Multinet </w:t>
      </w:r>
      <w:r w:rsidRPr="004666DD">
        <w:rPr>
          <w:rStyle w:val="AERtextitalic"/>
        </w:rPr>
        <w:t>Access arrangement information</w:t>
      </w:r>
      <w:r w:rsidRPr="004666DD">
        <w:t>, 30 March 2012, p. 78.</w:t>
      </w:r>
      <w:proofErr w:type="gramEnd"/>
    </w:p>
  </w:footnote>
  <w:footnote w:id="414">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8.</w:t>
      </w:r>
    </w:p>
  </w:footnote>
  <w:footnote w:id="415">
    <w:p w:rsidR="006B0748" w:rsidRDefault="006B0748" w:rsidP="00A00171">
      <w:pPr>
        <w:pStyle w:val="FootnoteText"/>
      </w:pPr>
      <w:r>
        <w:rPr>
          <w:rStyle w:val="FootnoteReference"/>
        </w:rPr>
        <w:footnoteRef/>
      </w:r>
      <w:r>
        <w:t xml:space="preserve"> </w:t>
      </w:r>
      <w:r>
        <w:tab/>
      </w:r>
      <w:proofErr w:type="gramStart"/>
      <w:r>
        <w:t xml:space="preserve">AER, </w:t>
      </w:r>
      <w:r w:rsidRPr="00033D54">
        <w:rPr>
          <w:rStyle w:val="AERtextitalic"/>
        </w:rPr>
        <w:t>State of the Energy market report 2012</w:t>
      </w:r>
      <w:r>
        <w:t>, p. 72.</w:t>
      </w:r>
      <w:proofErr w:type="gramEnd"/>
      <w:r>
        <w:t xml:space="preserve"> </w:t>
      </w:r>
    </w:p>
  </w:footnote>
  <w:footnote w:id="416">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8.</w:t>
      </w:r>
    </w:p>
  </w:footnote>
  <w:footnote w:id="417">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8.</w:t>
      </w:r>
    </w:p>
  </w:footnote>
  <w:footnote w:id="418">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8.</w:t>
      </w:r>
    </w:p>
  </w:footnote>
  <w:footnote w:id="419">
    <w:p w:rsidR="006B0748" w:rsidRDefault="006B0748" w:rsidP="00A00171">
      <w:pPr>
        <w:pStyle w:val="FootnoteText"/>
      </w:pPr>
      <w:r>
        <w:rPr>
          <w:rStyle w:val="FootnoteReference"/>
        </w:rPr>
        <w:footnoteRef/>
      </w:r>
      <w:r>
        <w:t xml:space="preserve"> </w:t>
      </w:r>
      <w:r>
        <w:tab/>
        <w:t>NGR, r 74(2),  r 91(1), r 40(2), r 100(a)</w:t>
      </w:r>
    </w:p>
  </w:footnote>
  <w:footnote w:id="420">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9.</w:t>
      </w:r>
    </w:p>
  </w:footnote>
  <w:footnote w:id="421">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 xml:space="preserve">9 November 2012, p. 6; Multinet, </w:t>
      </w:r>
      <w:r w:rsidRPr="00752D85">
        <w:rPr>
          <w:rStyle w:val="AERtextitalic"/>
        </w:rPr>
        <w:t xml:space="preserve">Response to AER information request </w:t>
      </w:r>
      <w:r>
        <w:rPr>
          <w:rStyle w:val="AERtextitalic"/>
        </w:rPr>
        <w:t>FD</w:t>
      </w:r>
      <w:r w:rsidRPr="00752D85">
        <w:rPr>
          <w:rStyle w:val="AERtextitalic"/>
        </w:rPr>
        <w:t>15a</w:t>
      </w:r>
      <w:r>
        <w:t>, 10 January 2013, p. 5.</w:t>
      </w:r>
    </w:p>
  </w:footnote>
  <w:footnote w:id="422">
    <w:p w:rsidR="006B0748" w:rsidRDefault="006B0748" w:rsidP="00A00171">
      <w:pPr>
        <w:pStyle w:val="FootnoteText"/>
      </w:pPr>
      <w:r>
        <w:rPr>
          <w:rStyle w:val="FootnoteReference"/>
        </w:rPr>
        <w:footnoteRef/>
      </w:r>
      <w:r>
        <w:t xml:space="preserve"> </w:t>
      </w:r>
      <w:r>
        <w:tab/>
        <w:t xml:space="preserve">Multinet, </w:t>
      </w:r>
      <w:r w:rsidRPr="00752D85">
        <w:rPr>
          <w:rStyle w:val="AERtextitalic"/>
        </w:rPr>
        <w:t xml:space="preserve">Response to AER information request </w:t>
      </w:r>
      <w:r>
        <w:rPr>
          <w:rStyle w:val="AERtextitalic"/>
        </w:rPr>
        <w:t>FD</w:t>
      </w:r>
      <w:r w:rsidRPr="00752D85">
        <w:rPr>
          <w:rStyle w:val="AERtextitalic"/>
        </w:rPr>
        <w:t>15a</w:t>
      </w:r>
      <w:r>
        <w:t>, 10 January 2013, p. 5.</w:t>
      </w:r>
    </w:p>
  </w:footnote>
  <w:footnote w:id="423">
    <w:p w:rsidR="006B0748" w:rsidRDefault="006B0748" w:rsidP="00A00171">
      <w:pPr>
        <w:pStyle w:val="FootnoteText"/>
      </w:pPr>
      <w:r>
        <w:rPr>
          <w:rStyle w:val="FootnoteReference"/>
        </w:rPr>
        <w:footnoteRef/>
      </w:r>
      <w:r>
        <w:t xml:space="preserve"> </w:t>
      </w:r>
      <w:r>
        <w:tab/>
        <w:t>NGR, r 74(2),  r 91(1), r 40(2), r 100(a)</w:t>
      </w:r>
    </w:p>
  </w:footnote>
  <w:footnote w:id="424">
    <w:p w:rsidR="006B0748" w:rsidRDefault="006B0748" w:rsidP="00A00171">
      <w:pPr>
        <w:pStyle w:val="FootnoteText"/>
      </w:pPr>
      <w:r>
        <w:rPr>
          <w:rStyle w:val="FootnoteReference"/>
        </w:rPr>
        <w:footnoteRef/>
      </w:r>
      <w:r>
        <w:t xml:space="preserve"> </w:t>
      </w:r>
      <w:r>
        <w:tab/>
        <w:t xml:space="preserve">Multinet, </w:t>
      </w:r>
      <w:r w:rsidRPr="00752D85">
        <w:rPr>
          <w:rStyle w:val="AERtextitalic"/>
        </w:rPr>
        <w:t xml:space="preserve">Response to AER information request </w:t>
      </w:r>
      <w:r>
        <w:rPr>
          <w:rStyle w:val="AERtextitalic"/>
        </w:rPr>
        <w:t>FD</w:t>
      </w:r>
      <w:r w:rsidRPr="00752D85">
        <w:rPr>
          <w:rStyle w:val="AERtextitalic"/>
        </w:rPr>
        <w:t>15a</w:t>
      </w:r>
      <w:r>
        <w:t>, 10 January 2013, p. 11.</w:t>
      </w:r>
    </w:p>
  </w:footnote>
  <w:footnote w:id="425">
    <w:p w:rsidR="006B0748" w:rsidRDefault="006B0748" w:rsidP="00A00171">
      <w:pPr>
        <w:pStyle w:val="FootnoteText"/>
      </w:pPr>
      <w:r>
        <w:rPr>
          <w:rStyle w:val="FootnoteReference"/>
        </w:rPr>
        <w:footnoteRef/>
      </w:r>
      <w:r>
        <w:t xml:space="preserve"> </w:t>
      </w:r>
      <w:r>
        <w:tab/>
        <w:t>NGR, r 74(2),  r 91(1), r 40(2), r 100(a)</w:t>
      </w:r>
    </w:p>
  </w:footnote>
  <w:footnote w:id="426">
    <w:p w:rsidR="006B0748" w:rsidRDefault="006B0748" w:rsidP="00A00171">
      <w:pPr>
        <w:pStyle w:val="FootnoteText"/>
      </w:pPr>
      <w:r>
        <w:rPr>
          <w:rStyle w:val="FootnoteReference"/>
        </w:rPr>
        <w:footnoteRef/>
      </w:r>
      <w:r>
        <w:t xml:space="preserve"> </w:t>
      </w:r>
      <w:r>
        <w:tab/>
        <w:t xml:space="preserve">Multinet, </w:t>
      </w:r>
      <w:r w:rsidRPr="00041B8B">
        <w:rPr>
          <w:rStyle w:val="AERtextitalic"/>
        </w:rPr>
        <w:t xml:space="preserve">Response to </w:t>
      </w:r>
      <w:r>
        <w:rPr>
          <w:rStyle w:val="AERtextitalic"/>
        </w:rPr>
        <w:t xml:space="preserve">AER </w:t>
      </w:r>
      <w:r w:rsidRPr="00041B8B">
        <w:rPr>
          <w:rStyle w:val="AERtextitalic"/>
        </w:rPr>
        <w:t>information request 24</w:t>
      </w:r>
      <w:r>
        <w:t>, 5 July 2012, pp. 3–5.</w:t>
      </w:r>
    </w:p>
  </w:footnote>
  <w:footnote w:id="427">
    <w:p w:rsidR="006B0748" w:rsidRDefault="006B0748" w:rsidP="00A00171">
      <w:pPr>
        <w:pStyle w:val="FootnoteText"/>
      </w:pPr>
      <w:r>
        <w:rPr>
          <w:rStyle w:val="FootnoteReference"/>
        </w:rPr>
        <w:footnoteRef/>
      </w:r>
      <w:r>
        <w:t xml:space="preserve"> </w:t>
      </w:r>
      <w:r>
        <w:tab/>
        <w:t xml:space="preserve">Multinet, </w:t>
      </w:r>
      <w:r w:rsidRPr="00041B8B">
        <w:rPr>
          <w:rStyle w:val="AERtextitalic"/>
        </w:rPr>
        <w:t xml:space="preserve">Response to </w:t>
      </w:r>
      <w:r>
        <w:rPr>
          <w:rStyle w:val="AERtextitalic"/>
        </w:rPr>
        <w:t xml:space="preserve">AER </w:t>
      </w:r>
      <w:r w:rsidRPr="00041B8B">
        <w:rPr>
          <w:rStyle w:val="AERtextitalic"/>
        </w:rPr>
        <w:t>information request 24</w:t>
      </w:r>
      <w:r>
        <w:t>, 5 July 2012, pp. 3–5.</w:t>
      </w:r>
    </w:p>
  </w:footnote>
  <w:footnote w:id="428">
    <w:p w:rsidR="006B0748" w:rsidRDefault="006B0748" w:rsidP="00A00171">
      <w:pPr>
        <w:pStyle w:val="FootnoteText"/>
      </w:pPr>
      <w:r>
        <w:rPr>
          <w:rStyle w:val="FootnoteReference"/>
        </w:rPr>
        <w:footnoteRef/>
      </w:r>
      <w:r>
        <w:t xml:space="preserve"> </w:t>
      </w:r>
      <w:r>
        <w:tab/>
        <w:t xml:space="preserve">AER, </w:t>
      </w:r>
      <w:r w:rsidRPr="000F1617">
        <w:rPr>
          <w:rStyle w:val="AERtextitalic"/>
        </w:rPr>
        <w:t>Information request FD15a</w:t>
      </w:r>
      <w:r>
        <w:t>, 19 December 2013.</w:t>
      </w:r>
    </w:p>
  </w:footnote>
  <w:footnote w:id="429">
    <w:p w:rsidR="006B0748" w:rsidRDefault="006B0748" w:rsidP="00A00171">
      <w:pPr>
        <w:pStyle w:val="FootnoteText"/>
      </w:pPr>
      <w:r>
        <w:rPr>
          <w:rStyle w:val="FootnoteReference"/>
        </w:rPr>
        <w:footnoteRef/>
      </w:r>
      <w:r>
        <w:t xml:space="preserve"> </w:t>
      </w:r>
      <w:r>
        <w:tab/>
        <w:t xml:space="preserve">Multinet, </w:t>
      </w:r>
      <w:r w:rsidRPr="00752D85">
        <w:rPr>
          <w:rStyle w:val="AERtextitalic"/>
        </w:rPr>
        <w:t xml:space="preserve">Response to AER information request </w:t>
      </w:r>
      <w:r>
        <w:rPr>
          <w:rStyle w:val="AERtextitalic"/>
        </w:rPr>
        <w:t>FD</w:t>
      </w:r>
      <w:r w:rsidRPr="00752D85">
        <w:rPr>
          <w:rStyle w:val="AERtextitalic"/>
        </w:rPr>
        <w:t>15a</w:t>
      </w:r>
      <w:r>
        <w:t>, 10 January 2013, p. 7.</w:t>
      </w:r>
    </w:p>
  </w:footnote>
  <w:footnote w:id="430">
    <w:p w:rsidR="006B0748" w:rsidRDefault="006B0748" w:rsidP="00A00171">
      <w:pPr>
        <w:pStyle w:val="FootnoteText"/>
      </w:pPr>
      <w:r>
        <w:rPr>
          <w:rStyle w:val="FootnoteReference"/>
        </w:rPr>
        <w:footnoteRef/>
      </w:r>
      <w:r>
        <w:t xml:space="preserve"> </w:t>
      </w:r>
      <w:r>
        <w:tab/>
        <w:t xml:space="preserve">AER, </w:t>
      </w:r>
      <w:r w:rsidRPr="000F1617">
        <w:rPr>
          <w:rStyle w:val="AERtextitalic"/>
        </w:rPr>
        <w:t>Information request FD15a</w:t>
      </w:r>
      <w:r>
        <w:t>, 19 December 2013.</w:t>
      </w:r>
    </w:p>
  </w:footnote>
  <w:footnote w:id="431">
    <w:p w:rsidR="006B0748" w:rsidRDefault="006B0748" w:rsidP="00A00171">
      <w:pPr>
        <w:pStyle w:val="FootnoteText"/>
      </w:pPr>
      <w:r>
        <w:rPr>
          <w:rStyle w:val="FootnoteReference"/>
        </w:rPr>
        <w:footnoteRef/>
      </w:r>
      <w:r>
        <w:t xml:space="preserve"> </w:t>
      </w:r>
      <w:r>
        <w:tab/>
      </w:r>
      <w:proofErr w:type="gramStart"/>
      <w:r>
        <w:t>NGR, r. 91.</w:t>
      </w:r>
      <w:proofErr w:type="gramEnd"/>
    </w:p>
  </w:footnote>
  <w:footnote w:id="432">
    <w:p w:rsidR="006B0748" w:rsidRDefault="006B0748" w:rsidP="00A00171">
      <w:pPr>
        <w:pStyle w:val="FootnoteText"/>
      </w:pPr>
      <w:r>
        <w:rPr>
          <w:rStyle w:val="FootnoteReference"/>
        </w:rPr>
        <w:footnoteRef/>
      </w:r>
      <w:r>
        <w:t xml:space="preserve"> </w:t>
      </w:r>
      <w:r>
        <w:tab/>
        <w:t xml:space="preserve">Multinet, </w:t>
      </w:r>
      <w:r w:rsidRPr="00752D85">
        <w:rPr>
          <w:rStyle w:val="AERtextitalic"/>
        </w:rPr>
        <w:t xml:space="preserve">Response to AER information request </w:t>
      </w:r>
      <w:r>
        <w:rPr>
          <w:rStyle w:val="AERtextitalic"/>
        </w:rPr>
        <w:t>FD</w:t>
      </w:r>
      <w:r w:rsidRPr="00752D85">
        <w:rPr>
          <w:rStyle w:val="AERtextitalic"/>
        </w:rPr>
        <w:t>15a</w:t>
      </w:r>
      <w:r>
        <w:t>, 10 January 2013, pp. 5–9.</w:t>
      </w:r>
    </w:p>
  </w:footnote>
  <w:footnote w:id="433">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 5.</w:t>
      </w:r>
    </w:p>
  </w:footnote>
  <w:footnote w:id="434">
    <w:p w:rsidR="006B0748" w:rsidRDefault="006B0748" w:rsidP="00A00171">
      <w:pPr>
        <w:pStyle w:val="FootnoteText"/>
      </w:pPr>
      <w:r>
        <w:rPr>
          <w:rStyle w:val="FootnoteReference"/>
        </w:rPr>
        <w:footnoteRef/>
      </w:r>
      <w:r>
        <w:t xml:space="preserve"> </w:t>
      </w:r>
      <w:r>
        <w:tab/>
        <w:t xml:space="preserve">AER, </w:t>
      </w:r>
      <w:r w:rsidRPr="000F1617">
        <w:rPr>
          <w:rStyle w:val="AERtextitalic"/>
        </w:rPr>
        <w:t>Information request FD15a</w:t>
      </w:r>
      <w:r>
        <w:t>, 19 December 2013, p. 7.</w:t>
      </w:r>
    </w:p>
  </w:footnote>
  <w:footnote w:id="435">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 5.</w:t>
      </w:r>
    </w:p>
  </w:footnote>
  <w:footnote w:id="436">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pp. 5</w:t>
      </w:r>
      <w:r>
        <w:softHyphen/>
        <w:t>–6.</w:t>
      </w:r>
    </w:p>
  </w:footnote>
  <w:footnote w:id="437">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 5.</w:t>
      </w:r>
      <w:r>
        <w:softHyphen/>
      </w:r>
    </w:p>
  </w:footnote>
  <w:footnote w:id="438">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pp 7–8.</w:t>
      </w:r>
    </w:p>
  </w:footnote>
  <w:footnote w:id="439">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 6.</w:t>
      </w:r>
    </w:p>
  </w:footnote>
  <w:footnote w:id="440">
    <w:p w:rsidR="006B0748" w:rsidRDefault="006B0748" w:rsidP="00A00171">
      <w:pPr>
        <w:pStyle w:val="FootnoteText"/>
      </w:pPr>
      <w:r>
        <w:rPr>
          <w:rStyle w:val="FootnoteReference"/>
        </w:rPr>
        <w:footnoteRef/>
      </w:r>
      <w:r>
        <w:t xml:space="preserve"> </w:t>
      </w:r>
      <w:r>
        <w:tab/>
        <w:t xml:space="preserve">Multinet, </w:t>
      </w:r>
      <w:r w:rsidRPr="00F145C4">
        <w:rPr>
          <w:rStyle w:val="AERtextitalic"/>
        </w:rPr>
        <w:t>Response to AER information request FD 15a</w:t>
      </w:r>
      <w:r>
        <w:t>, 10 January 2013, p. 6.</w:t>
      </w:r>
    </w:p>
  </w:footnote>
  <w:footnote w:id="441">
    <w:p w:rsidR="006B0748" w:rsidRDefault="006B0748" w:rsidP="00A00171">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91, 74; NGL, s. 23.</w:t>
      </w:r>
      <w:proofErr w:type="gramEnd"/>
    </w:p>
  </w:footnote>
  <w:footnote w:id="442">
    <w:p w:rsidR="006B0748" w:rsidRDefault="006B0748" w:rsidP="00A00171">
      <w:pPr>
        <w:pStyle w:val="FootnoteText"/>
      </w:pPr>
      <w:r>
        <w:rPr>
          <w:rStyle w:val="FootnoteReference"/>
        </w:rPr>
        <w:footnoteRef/>
      </w:r>
      <w:r>
        <w:t xml:space="preserve"> </w:t>
      </w:r>
      <w:r>
        <w:tab/>
        <w:t xml:space="preserve">Minister for Energy and Resources, </w:t>
      </w:r>
      <w:r w:rsidRPr="0014044D">
        <w:rPr>
          <w:rStyle w:val="AERtextitalic"/>
        </w:rPr>
        <w:t>Victorian Gas Access Arrangement Review – Victorian Government Submission</w:t>
      </w:r>
      <w:r>
        <w:t>, 14 January 2012, p. 4.</w:t>
      </w:r>
    </w:p>
  </w:footnote>
  <w:footnote w:id="443">
    <w:p w:rsidR="006B0748" w:rsidRDefault="006B0748" w:rsidP="00A00171">
      <w:pPr>
        <w:pStyle w:val="FootnoteText"/>
      </w:pPr>
      <w:r>
        <w:rPr>
          <w:rStyle w:val="FootnoteReference"/>
        </w:rPr>
        <w:footnoteRef/>
      </w:r>
      <w:r>
        <w:t xml:space="preserve"> </w:t>
      </w:r>
      <w:r>
        <w:tab/>
        <w:t xml:space="preserve">Minister for Energy and Resources, </w:t>
      </w:r>
      <w:r w:rsidRPr="0014044D">
        <w:rPr>
          <w:rStyle w:val="AERtextitalic"/>
        </w:rPr>
        <w:t>Victorian Gas Access Arrangement Review – Victorian Government Submission</w:t>
      </w:r>
      <w:r>
        <w:t>, 14 January 2012, p. 4.</w:t>
      </w:r>
    </w:p>
  </w:footnote>
  <w:footnote w:id="444">
    <w:p w:rsidR="006B0748" w:rsidRDefault="006B0748" w:rsidP="00A00171">
      <w:pPr>
        <w:pStyle w:val="FootnoteText"/>
      </w:pPr>
      <w:r>
        <w:rPr>
          <w:rStyle w:val="FootnoteReference"/>
        </w:rPr>
        <w:footnoteRef/>
      </w:r>
      <w:r>
        <w:t xml:space="preserve"> </w:t>
      </w:r>
      <w:r>
        <w:tab/>
        <w:t>NGR, r 74(2),  r 91(1), r 40(2), r 100(a)</w:t>
      </w:r>
    </w:p>
  </w:footnote>
  <w:footnote w:id="445">
    <w:p w:rsidR="006B0748" w:rsidRDefault="006B0748" w:rsidP="00A00171">
      <w:pPr>
        <w:pStyle w:val="FootnoteText"/>
      </w:pPr>
      <w:r>
        <w:rPr>
          <w:rStyle w:val="FootnoteReference"/>
        </w:rPr>
        <w:footnoteRef/>
      </w:r>
      <w:r>
        <w:t xml:space="preserve"> </w:t>
      </w:r>
      <w:r>
        <w:tab/>
      </w:r>
      <w:proofErr w:type="gramStart"/>
      <w:r>
        <w:t>NGR r 40(2); r 100(a).</w:t>
      </w:r>
      <w:proofErr w:type="gramEnd"/>
    </w:p>
  </w:footnote>
  <w:footnote w:id="446">
    <w:p w:rsidR="006B0748" w:rsidRDefault="006B0748" w:rsidP="00A00171">
      <w:pPr>
        <w:pStyle w:val="FootnoteText"/>
      </w:pPr>
      <w:r>
        <w:rPr>
          <w:rStyle w:val="FootnoteReference"/>
        </w:rPr>
        <w:footnoteRef/>
      </w:r>
      <w:r>
        <w:t xml:space="preserve"> </w:t>
      </w:r>
      <w:r>
        <w:tab/>
        <w:t xml:space="preserve">Multinet, </w:t>
      </w:r>
      <w:r w:rsidRPr="0018253A">
        <w:rPr>
          <w:rStyle w:val="AERtextitalic"/>
        </w:rPr>
        <w:t>Response to information request 24</w:t>
      </w:r>
      <w:r>
        <w:t xml:space="preserve">, 5 July 2012, p. 3; Multinet, </w:t>
      </w:r>
      <w:r w:rsidRPr="0018253A">
        <w:rPr>
          <w:rStyle w:val="AERtextitalic"/>
        </w:rPr>
        <w:t>Response to information request 15a</w:t>
      </w:r>
      <w:r>
        <w:t>, 10 January 2013, pp. 1–4.</w:t>
      </w:r>
    </w:p>
  </w:footnote>
  <w:footnote w:id="447">
    <w:p w:rsidR="006B0748" w:rsidRDefault="006B0748" w:rsidP="00A00171">
      <w:pPr>
        <w:pStyle w:val="FootnoteText"/>
      </w:pPr>
      <w:r>
        <w:rPr>
          <w:rStyle w:val="FootnoteReference"/>
        </w:rPr>
        <w:footnoteRef/>
      </w:r>
      <w:r>
        <w:t xml:space="preserve"> </w:t>
      </w:r>
      <w:r>
        <w:tab/>
      </w:r>
      <w:r w:rsidRPr="00730D97">
        <w:t xml:space="preserve">Multinet, </w:t>
      </w:r>
      <w:r w:rsidRPr="00730D97">
        <w:rPr>
          <w:rStyle w:val="AERtextitalic"/>
        </w:rPr>
        <w:t>Response to information request 15a</w:t>
      </w:r>
      <w:r w:rsidRPr="00730D97">
        <w:t xml:space="preserve">, </w:t>
      </w:r>
      <w:r>
        <w:t xml:space="preserve">10 January 2013, </w:t>
      </w:r>
      <w:r w:rsidRPr="00730D97">
        <w:t>p. 4</w:t>
      </w:r>
      <w:r>
        <w:t>.</w:t>
      </w:r>
    </w:p>
  </w:footnote>
  <w:footnote w:id="448">
    <w:p w:rsidR="006B0748" w:rsidRDefault="006B0748" w:rsidP="00A00171">
      <w:pPr>
        <w:pStyle w:val="FootnoteText"/>
      </w:pPr>
      <w:r>
        <w:rPr>
          <w:rStyle w:val="FootnoteReference"/>
        </w:rPr>
        <w:footnoteRef/>
      </w:r>
      <w:r>
        <w:t xml:space="preserve"> </w:t>
      </w:r>
      <w:r>
        <w:tab/>
      </w:r>
      <w:r w:rsidRPr="00730D97">
        <w:t xml:space="preserve">Multinet, </w:t>
      </w:r>
      <w:r w:rsidRPr="00730D97">
        <w:rPr>
          <w:rStyle w:val="AERtextitalic"/>
        </w:rPr>
        <w:t>Response to information request 15a</w:t>
      </w:r>
      <w:r w:rsidRPr="00730D97">
        <w:t xml:space="preserve">, </w:t>
      </w:r>
      <w:r>
        <w:t xml:space="preserve">10 January 2013, </w:t>
      </w:r>
      <w:r w:rsidRPr="00730D97">
        <w:t xml:space="preserve">p. </w:t>
      </w:r>
      <w:r>
        <w:t>3.</w:t>
      </w:r>
    </w:p>
  </w:footnote>
  <w:footnote w:id="449">
    <w:p w:rsidR="006B0748" w:rsidRDefault="006B0748" w:rsidP="00A00171">
      <w:pPr>
        <w:pStyle w:val="FootnoteText"/>
      </w:pPr>
      <w:r>
        <w:rPr>
          <w:rStyle w:val="FootnoteReference"/>
        </w:rPr>
        <w:footnoteRef/>
      </w:r>
      <w:r>
        <w:t xml:space="preserve"> </w:t>
      </w:r>
      <w:r>
        <w:tab/>
        <w:t xml:space="preserve">AER, </w:t>
      </w:r>
      <w:r w:rsidRPr="00F145C4">
        <w:rPr>
          <w:rStyle w:val="AERtextitalic"/>
        </w:rPr>
        <w:t>Information request 24</w:t>
      </w:r>
      <w:r>
        <w:t xml:space="preserve">, 26 June 2012; AER, </w:t>
      </w:r>
      <w:r w:rsidRPr="00F145C4">
        <w:rPr>
          <w:rStyle w:val="AERtextitalic"/>
        </w:rPr>
        <w:t>Information request FD 15a</w:t>
      </w:r>
      <w:r>
        <w:t>, 19 December 2012.</w:t>
      </w:r>
    </w:p>
  </w:footnote>
  <w:footnote w:id="450">
    <w:p w:rsidR="006B0748" w:rsidRDefault="006B0748" w:rsidP="00A00171">
      <w:pPr>
        <w:pStyle w:val="FootnoteText"/>
      </w:pPr>
      <w:r>
        <w:rPr>
          <w:rStyle w:val="FootnoteReference"/>
        </w:rPr>
        <w:footnoteRef/>
      </w:r>
      <w:r>
        <w:t xml:space="preserve"> </w:t>
      </w:r>
      <w:r>
        <w:tab/>
      </w:r>
      <w:r w:rsidRPr="00730D97">
        <w:t xml:space="preserve">Multinet, </w:t>
      </w:r>
      <w:r w:rsidRPr="00730D97">
        <w:rPr>
          <w:rStyle w:val="AERtextitalic"/>
        </w:rPr>
        <w:t>Response to information request 15a</w:t>
      </w:r>
      <w:r w:rsidRPr="00730D97">
        <w:t xml:space="preserve">, </w:t>
      </w:r>
      <w:r>
        <w:t xml:space="preserve">10 January 2013, </w:t>
      </w:r>
      <w:r w:rsidRPr="00730D97">
        <w:t xml:space="preserve">p. </w:t>
      </w:r>
      <w:r>
        <w:t>2.</w:t>
      </w:r>
    </w:p>
  </w:footnote>
  <w:footnote w:id="451">
    <w:p w:rsidR="006B0748" w:rsidRDefault="006B0748" w:rsidP="00A00171">
      <w:pPr>
        <w:pStyle w:val="FootnoteText"/>
      </w:pPr>
      <w:r>
        <w:rPr>
          <w:rStyle w:val="FootnoteReference"/>
        </w:rPr>
        <w:footnoteRef/>
      </w:r>
      <w:r>
        <w:t xml:space="preserve"> </w:t>
      </w:r>
      <w:r>
        <w:tab/>
      </w:r>
      <w:r w:rsidRPr="008C475A">
        <w:t xml:space="preserve">Multinet, </w:t>
      </w:r>
      <w:r w:rsidRPr="008C475A">
        <w:rPr>
          <w:rStyle w:val="AERtextitalic"/>
        </w:rPr>
        <w:t>Response to information request 15a</w:t>
      </w:r>
      <w:r w:rsidRPr="008C475A">
        <w:t>, 10 January 2013</w:t>
      </w:r>
      <w:proofErr w:type="gramStart"/>
      <w:r w:rsidRPr="008C475A">
        <w:t>,</w:t>
      </w:r>
      <w:r>
        <w:t xml:space="preserve">  p</w:t>
      </w:r>
      <w:proofErr w:type="gramEnd"/>
      <w:r>
        <w:t>. 8.</w:t>
      </w:r>
    </w:p>
  </w:footnote>
  <w:footnote w:id="452">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10.</w:t>
      </w:r>
    </w:p>
  </w:footnote>
  <w:footnote w:id="453">
    <w:p w:rsidR="006B0748" w:rsidRDefault="006B0748" w:rsidP="00A00171">
      <w:pPr>
        <w:pStyle w:val="FootnoteText"/>
      </w:pPr>
      <w:r>
        <w:rPr>
          <w:rStyle w:val="FootnoteReference"/>
        </w:rPr>
        <w:footnoteRef/>
      </w:r>
      <w:r>
        <w:t xml:space="preserve"> </w:t>
      </w:r>
      <w:r>
        <w:tab/>
        <w:t xml:space="preserve">AER, </w:t>
      </w:r>
      <w:r w:rsidRPr="00F145C4">
        <w:rPr>
          <w:rStyle w:val="AERtextitalic"/>
        </w:rPr>
        <w:t>Information request FD 15a</w:t>
      </w:r>
      <w:r>
        <w:t>, 19 December 2012, p. 9.</w:t>
      </w:r>
    </w:p>
  </w:footnote>
  <w:footnote w:id="454">
    <w:p w:rsidR="006B0748" w:rsidRDefault="006B0748" w:rsidP="00A00171">
      <w:pPr>
        <w:pStyle w:val="FootnoteText"/>
      </w:pPr>
      <w:r>
        <w:rPr>
          <w:rStyle w:val="FootnoteReference"/>
        </w:rPr>
        <w:footnoteRef/>
      </w:r>
      <w:r>
        <w:t xml:space="preserve"> </w:t>
      </w:r>
      <w:r>
        <w:tab/>
      </w:r>
      <w:r w:rsidRPr="00A11BC5">
        <w:t xml:space="preserve">AER, </w:t>
      </w:r>
      <w:r w:rsidRPr="00A11BC5">
        <w:rPr>
          <w:rStyle w:val="AERtextitalic"/>
        </w:rPr>
        <w:t>Information request FD 15a</w:t>
      </w:r>
      <w:r w:rsidRPr="00A11BC5">
        <w:t>, 19 December 2012</w:t>
      </w:r>
      <w:r>
        <w:t>, pp. 4–5, 9–11.</w:t>
      </w:r>
    </w:p>
  </w:footnote>
  <w:footnote w:id="455">
    <w:p w:rsidR="006B0748" w:rsidRDefault="006B0748" w:rsidP="00A00171">
      <w:pPr>
        <w:pStyle w:val="FootnoteText"/>
      </w:pPr>
      <w:r>
        <w:rPr>
          <w:rStyle w:val="FootnoteReference"/>
        </w:rPr>
        <w:footnoteRef/>
      </w:r>
      <w:r>
        <w:t xml:space="preserve"> </w:t>
      </w:r>
      <w:r>
        <w:tab/>
      </w:r>
      <w:r w:rsidRPr="00946178">
        <w:t xml:space="preserve">Multinet, </w:t>
      </w:r>
      <w:r w:rsidRPr="00946178">
        <w:rPr>
          <w:rStyle w:val="AERtextitalic"/>
        </w:rPr>
        <w:t>Response to information request 15a</w:t>
      </w:r>
      <w:r w:rsidRPr="00946178">
        <w:t>, 10 January 2013,</w:t>
      </w:r>
      <w:r>
        <w:t xml:space="preserve"> pp. 4, 14.</w:t>
      </w:r>
    </w:p>
  </w:footnote>
  <w:footnote w:id="456">
    <w:p w:rsidR="006B0748" w:rsidRDefault="006B0748" w:rsidP="00A00171">
      <w:pPr>
        <w:pStyle w:val="FootnoteText"/>
      </w:pPr>
      <w:r>
        <w:rPr>
          <w:rStyle w:val="FootnoteReference"/>
        </w:rPr>
        <w:footnoteRef/>
      </w:r>
      <w:r>
        <w:t xml:space="preserve"> </w:t>
      </w:r>
      <w:r>
        <w:tab/>
      </w:r>
      <w:r w:rsidRPr="00946178">
        <w:t xml:space="preserve">Multinet, </w:t>
      </w:r>
      <w:r w:rsidRPr="00946178">
        <w:rPr>
          <w:rStyle w:val="AERtextitalic"/>
        </w:rPr>
        <w:t>Response to information request 15a</w:t>
      </w:r>
      <w:r w:rsidRPr="00946178">
        <w:t>, 10 January 2013,</w:t>
      </w:r>
      <w:r>
        <w:t xml:space="preserve"> p. 9.</w:t>
      </w:r>
    </w:p>
  </w:footnote>
  <w:footnote w:id="457">
    <w:p w:rsidR="006B0748" w:rsidRDefault="006B0748" w:rsidP="00A00171">
      <w:pPr>
        <w:pStyle w:val="FootnoteText"/>
      </w:pPr>
      <w:r>
        <w:rPr>
          <w:rStyle w:val="FootnoteReference"/>
        </w:rPr>
        <w:footnoteRef/>
      </w:r>
      <w:r>
        <w:t xml:space="preserve"> </w:t>
      </w:r>
      <w:r>
        <w:tab/>
      </w:r>
      <w:r w:rsidRPr="00155256">
        <w:t xml:space="preserve">Multinet, </w:t>
      </w:r>
      <w:r w:rsidRPr="00155256">
        <w:rPr>
          <w:rStyle w:val="AERtextitalic"/>
        </w:rPr>
        <w:t>Response to information request 15a</w:t>
      </w:r>
      <w:r w:rsidRPr="00155256">
        <w:t>, 10 January 2013,</w:t>
      </w:r>
      <w:r>
        <w:t xml:space="preserve"> p. 9.</w:t>
      </w:r>
    </w:p>
  </w:footnote>
  <w:footnote w:id="458">
    <w:p w:rsidR="006B0748" w:rsidRDefault="006B0748" w:rsidP="00A00171">
      <w:pPr>
        <w:pStyle w:val="FootnoteText"/>
      </w:pPr>
      <w:r>
        <w:rPr>
          <w:rStyle w:val="FootnoteReference"/>
        </w:rPr>
        <w:footnoteRef/>
      </w:r>
      <w:r>
        <w:t xml:space="preserve"> </w:t>
      </w:r>
      <w:r>
        <w:tab/>
      </w:r>
      <w:proofErr w:type="gramStart"/>
      <w:r>
        <w:t>NGR, r. 74(1).</w:t>
      </w:r>
      <w:proofErr w:type="gramEnd"/>
    </w:p>
  </w:footnote>
  <w:footnote w:id="459">
    <w:p w:rsidR="006B0748" w:rsidRDefault="006B0748" w:rsidP="00A00171">
      <w:pPr>
        <w:pStyle w:val="FootnoteText"/>
      </w:pPr>
      <w:r>
        <w:rPr>
          <w:rStyle w:val="FootnoteReference"/>
        </w:rPr>
        <w:footnoteRef/>
      </w:r>
      <w:r>
        <w:t xml:space="preserve"> </w:t>
      </w:r>
      <w:r>
        <w:tab/>
      </w:r>
      <w:proofErr w:type="gramStart"/>
      <w:r>
        <w:t>NGR, r. 74(2).</w:t>
      </w:r>
      <w:proofErr w:type="gramEnd"/>
    </w:p>
  </w:footnote>
  <w:footnote w:id="460">
    <w:p w:rsidR="006B0748" w:rsidRDefault="006B0748" w:rsidP="00A00171">
      <w:pPr>
        <w:pStyle w:val="FootnoteText"/>
      </w:pPr>
      <w:r>
        <w:rPr>
          <w:rStyle w:val="FootnoteReference"/>
        </w:rPr>
        <w:footnoteRef/>
      </w:r>
      <w:r>
        <w:t xml:space="preserve"> </w:t>
      </w:r>
      <w:r>
        <w:tab/>
        <w:t xml:space="preserve">Multinet, </w:t>
      </w:r>
      <w:r w:rsidRPr="00383246">
        <w:rPr>
          <w:rStyle w:val="AERtextitalic"/>
        </w:rPr>
        <w:t>Revised access arrangement proposal: Appendix 2-5 – Network Development Plan</w:t>
      </w:r>
      <w:r w:rsidRPr="002C3419">
        <w:t xml:space="preserve">, </w:t>
      </w:r>
      <w:r>
        <w:t>9 November 2012, p. 10.</w:t>
      </w:r>
    </w:p>
  </w:footnote>
  <w:footnote w:id="461">
    <w:p w:rsidR="006B0748" w:rsidRDefault="006B0748" w:rsidP="00A00171">
      <w:pPr>
        <w:pStyle w:val="FootnoteText"/>
      </w:pPr>
      <w:r>
        <w:rPr>
          <w:rStyle w:val="FootnoteReference"/>
        </w:rPr>
        <w:footnoteRef/>
      </w:r>
      <w:r>
        <w:t xml:space="preserve"> </w:t>
      </w:r>
      <w:r>
        <w:tab/>
        <w:t xml:space="preserve">Multinet, </w:t>
      </w:r>
      <w:r w:rsidRPr="0018253A">
        <w:rPr>
          <w:rStyle w:val="AERtextitalic"/>
        </w:rPr>
        <w:t>Response to information request 24</w:t>
      </w:r>
      <w:r>
        <w:t xml:space="preserve">, 5 July 2012, pp. 3–4; Multinet, </w:t>
      </w:r>
      <w:r w:rsidRPr="0018253A">
        <w:rPr>
          <w:rStyle w:val="AERtextitalic"/>
        </w:rPr>
        <w:t>Response to information request 15a</w:t>
      </w:r>
      <w:r>
        <w:t>, 10 January 2013, pp. 13–14.</w:t>
      </w:r>
    </w:p>
  </w:footnote>
  <w:footnote w:id="462">
    <w:p w:rsidR="006B0748" w:rsidRDefault="006B0748" w:rsidP="00A00171">
      <w:pPr>
        <w:pStyle w:val="FootnoteText"/>
      </w:pPr>
      <w:r>
        <w:rPr>
          <w:rStyle w:val="FootnoteReference"/>
        </w:rPr>
        <w:footnoteRef/>
      </w:r>
      <w:r>
        <w:t xml:space="preserve"> </w:t>
      </w:r>
      <w:r>
        <w:tab/>
        <w:t xml:space="preserve">Multinet, </w:t>
      </w:r>
      <w:r w:rsidRPr="00752D85">
        <w:rPr>
          <w:rStyle w:val="AERtextitalic"/>
        </w:rPr>
        <w:t xml:space="preserve">Response to AER information request </w:t>
      </w:r>
      <w:r>
        <w:rPr>
          <w:rStyle w:val="AERtextitalic"/>
        </w:rPr>
        <w:t>FD</w:t>
      </w:r>
      <w:r w:rsidRPr="00752D85">
        <w:rPr>
          <w:rStyle w:val="AERtextitalic"/>
        </w:rPr>
        <w:t>15a</w:t>
      </w:r>
      <w:r>
        <w:t>, 10 January 2013, p. 3.</w:t>
      </w:r>
    </w:p>
  </w:footnote>
  <w:footnote w:id="463">
    <w:p w:rsidR="006B0748" w:rsidRDefault="006B0748" w:rsidP="00A00171">
      <w:pPr>
        <w:pStyle w:val="FootnoteText"/>
      </w:pPr>
      <w:r>
        <w:rPr>
          <w:rStyle w:val="FootnoteReference"/>
        </w:rPr>
        <w:footnoteRef/>
      </w:r>
      <w:r>
        <w:t xml:space="preserve"> </w:t>
      </w:r>
      <w:r>
        <w:tab/>
      </w:r>
      <w:r w:rsidRPr="00A11BC5">
        <w:t xml:space="preserve">AER, </w:t>
      </w:r>
      <w:r w:rsidRPr="00A11BC5">
        <w:rPr>
          <w:rStyle w:val="AERtextitalic"/>
        </w:rPr>
        <w:t>Information request FD 15a</w:t>
      </w:r>
      <w:r w:rsidRPr="00A11BC5">
        <w:t>, 19 December 2012</w:t>
      </w:r>
      <w:r>
        <w:t>, pp. 4–5, 9–11.</w:t>
      </w:r>
    </w:p>
  </w:footnote>
  <w:footnote w:id="464">
    <w:p w:rsidR="006B0748" w:rsidRDefault="006B0748" w:rsidP="00A00171">
      <w:pPr>
        <w:pStyle w:val="FootnoteText"/>
      </w:pPr>
      <w:r>
        <w:rPr>
          <w:rStyle w:val="FootnoteReference"/>
        </w:rPr>
        <w:footnoteRef/>
      </w:r>
      <w:r>
        <w:t xml:space="preserve"> </w:t>
      </w:r>
      <w:r>
        <w:tab/>
      </w:r>
      <w:r w:rsidRPr="00946178">
        <w:t xml:space="preserve">Multinet, </w:t>
      </w:r>
      <w:r w:rsidRPr="00946178">
        <w:rPr>
          <w:rStyle w:val="AERtextitalic"/>
        </w:rPr>
        <w:t>Response to information request 15a</w:t>
      </w:r>
      <w:r w:rsidRPr="00946178">
        <w:t>, 10 January 2013,</w:t>
      </w:r>
      <w:r>
        <w:t xml:space="preserve"> p. 9.</w:t>
      </w:r>
    </w:p>
  </w:footnote>
  <w:footnote w:id="465">
    <w:p w:rsidR="006B0748" w:rsidRDefault="006B0748" w:rsidP="00A00171">
      <w:pPr>
        <w:pStyle w:val="FootnoteText"/>
      </w:pPr>
      <w:r>
        <w:rPr>
          <w:rStyle w:val="FootnoteReference"/>
        </w:rPr>
        <w:footnoteRef/>
      </w:r>
      <w:r>
        <w:t xml:space="preserve"> </w:t>
      </w:r>
      <w:r>
        <w:tab/>
        <w:t>NGR, r. 74(1)</w:t>
      </w:r>
    </w:p>
  </w:footnote>
  <w:footnote w:id="466">
    <w:p w:rsidR="006B0748" w:rsidRDefault="006B0748" w:rsidP="00A00171">
      <w:pPr>
        <w:pStyle w:val="FootnoteText"/>
      </w:pPr>
      <w:r>
        <w:rPr>
          <w:rStyle w:val="FootnoteReference"/>
        </w:rPr>
        <w:footnoteRef/>
      </w:r>
      <w:r>
        <w:t xml:space="preserve"> </w:t>
      </w:r>
      <w:r>
        <w:tab/>
        <w:t>NGR, r. 74(2</w:t>
      </w:r>
      <w:proofErr w:type="gramStart"/>
      <w:r>
        <w:t>)(</w:t>
      </w:r>
      <w:proofErr w:type="gramEnd"/>
      <w:r>
        <w:t>a).</w:t>
      </w:r>
    </w:p>
  </w:footnote>
  <w:footnote w:id="467">
    <w:p w:rsidR="006B0748" w:rsidRDefault="006B0748" w:rsidP="00A00171">
      <w:pPr>
        <w:pStyle w:val="FootnoteText"/>
      </w:pPr>
      <w:r>
        <w:rPr>
          <w:rStyle w:val="FootnoteReference"/>
        </w:rPr>
        <w:footnoteRef/>
      </w:r>
      <w:r>
        <w:t xml:space="preserve"> </w:t>
      </w:r>
      <w:r>
        <w:tab/>
      </w:r>
      <w:proofErr w:type="gramStart"/>
      <w:r>
        <w:t>NGR, r. 91.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8" w:rsidRDefault="006B0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8" w:rsidRDefault="006B07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8" w:rsidRDefault="006B0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C2D6B9E"/>
    <w:multiLevelType w:val="multilevel"/>
    <w:tmpl w:val="1492709C"/>
    <w:numStyleLink w:val="AERHeadings"/>
  </w:abstractNum>
  <w:abstractNum w:abstractNumId="13">
    <w:nsid w:val="2DB12A3A"/>
    <w:multiLevelType w:val="multilevel"/>
    <w:tmpl w:val="1492709C"/>
    <w:numStyleLink w:val="AERHeadings"/>
  </w:abstractNum>
  <w:abstractNum w:abstractNumId="1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1492709C"/>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1492709C"/>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1492709C"/>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1492709C"/>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1492709C"/>
    <w:numStyleLink w:val="AERHeadings"/>
  </w:abstractNum>
  <w:abstractNum w:abstractNumId="30">
    <w:nsid w:val="74F81DDF"/>
    <w:multiLevelType w:val="multilevel"/>
    <w:tmpl w:val="1492709C"/>
    <w:numStyleLink w:val="AERHeadings"/>
  </w:abstractNum>
  <w:abstractNum w:abstractNumId="31">
    <w:nsid w:val="787F66A4"/>
    <w:multiLevelType w:val="multilevel"/>
    <w:tmpl w:val="1492709C"/>
    <w:numStyleLink w:val="AERHeadings"/>
  </w:abstractNum>
  <w:abstractNum w:abstractNumId="32">
    <w:nsid w:val="7AEA3AE1"/>
    <w:multiLevelType w:val="hybridMultilevel"/>
    <w:tmpl w:val="52969776"/>
    <w:lvl w:ilvl="0" w:tplc="5E988580">
      <w:start w:val="1"/>
      <w:numFmt w:val="bullet"/>
      <w:pStyle w:val="AERquotebullet1"/>
      <w:lvlText w:val=""/>
      <w:lvlJc w:val="left"/>
      <w:pPr>
        <w:ind w:left="720" w:hanging="360"/>
      </w:pPr>
      <w:rPr>
        <w:rFonts w:ascii="Wingdings" w:hAnsi="Wingdings" w:hint="default"/>
      </w:rPr>
    </w:lvl>
    <w:lvl w:ilvl="1" w:tplc="FADA1108" w:tentative="1">
      <w:start w:val="1"/>
      <w:numFmt w:val="bullet"/>
      <w:lvlText w:val="o"/>
      <w:lvlJc w:val="left"/>
      <w:pPr>
        <w:ind w:left="1440" w:hanging="360"/>
      </w:pPr>
      <w:rPr>
        <w:rFonts w:ascii="Courier New" w:hAnsi="Courier New" w:cs="Courier New" w:hint="default"/>
      </w:rPr>
    </w:lvl>
    <w:lvl w:ilvl="2" w:tplc="C862FFDA" w:tentative="1">
      <w:start w:val="1"/>
      <w:numFmt w:val="bullet"/>
      <w:lvlText w:val=""/>
      <w:lvlJc w:val="left"/>
      <w:pPr>
        <w:ind w:left="2160" w:hanging="360"/>
      </w:pPr>
      <w:rPr>
        <w:rFonts w:ascii="Wingdings" w:hAnsi="Wingdings" w:hint="default"/>
      </w:rPr>
    </w:lvl>
    <w:lvl w:ilvl="3" w:tplc="10782D32" w:tentative="1">
      <w:start w:val="1"/>
      <w:numFmt w:val="bullet"/>
      <w:lvlText w:val=""/>
      <w:lvlJc w:val="left"/>
      <w:pPr>
        <w:ind w:left="2880" w:hanging="360"/>
      </w:pPr>
      <w:rPr>
        <w:rFonts w:ascii="Symbol" w:hAnsi="Symbol" w:hint="default"/>
      </w:rPr>
    </w:lvl>
    <w:lvl w:ilvl="4" w:tplc="398041F0" w:tentative="1">
      <w:start w:val="1"/>
      <w:numFmt w:val="bullet"/>
      <w:lvlText w:val="o"/>
      <w:lvlJc w:val="left"/>
      <w:pPr>
        <w:ind w:left="3600" w:hanging="360"/>
      </w:pPr>
      <w:rPr>
        <w:rFonts w:ascii="Courier New" w:hAnsi="Courier New" w:cs="Courier New" w:hint="default"/>
      </w:rPr>
    </w:lvl>
    <w:lvl w:ilvl="5" w:tplc="169E0E26" w:tentative="1">
      <w:start w:val="1"/>
      <w:numFmt w:val="bullet"/>
      <w:lvlText w:val=""/>
      <w:lvlJc w:val="left"/>
      <w:pPr>
        <w:ind w:left="4320" w:hanging="360"/>
      </w:pPr>
      <w:rPr>
        <w:rFonts w:ascii="Wingdings" w:hAnsi="Wingdings" w:hint="default"/>
      </w:rPr>
    </w:lvl>
    <w:lvl w:ilvl="6" w:tplc="11CAE9DC" w:tentative="1">
      <w:start w:val="1"/>
      <w:numFmt w:val="bullet"/>
      <w:lvlText w:val=""/>
      <w:lvlJc w:val="left"/>
      <w:pPr>
        <w:ind w:left="5040" w:hanging="360"/>
      </w:pPr>
      <w:rPr>
        <w:rFonts w:ascii="Symbol" w:hAnsi="Symbol" w:hint="default"/>
      </w:rPr>
    </w:lvl>
    <w:lvl w:ilvl="7" w:tplc="61A44232" w:tentative="1">
      <w:start w:val="1"/>
      <w:numFmt w:val="bullet"/>
      <w:lvlText w:val="o"/>
      <w:lvlJc w:val="left"/>
      <w:pPr>
        <w:ind w:left="5760" w:hanging="360"/>
      </w:pPr>
      <w:rPr>
        <w:rFonts w:ascii="Courier New" w:hAnsi="Courier New" w:cs="Courier New" w:hint="default"/>
      </w:rPr>
    </w:lvl>
    <w:lvl w:ilvl="8" w:tplc="C980D288" w:tentative="1">
      <w:start w:val="1"/>
      <w:numFmt w:val="bullet"/>
      <w:lvlText w:val=""/>
      <w:lvlJc w:val="left"/>
      <w:pPr>
        <w:ind w:left="6480" w:hanging="360"/>
      </w:pPr>
      <w:rPr>
        <w:rFonts w:ascii="Wingdings" w:hAnsi="Wingdings" w:hint="default"/>
      </w:rPr>
    </w:lvl>
  </w:abstractNum>
  <w:abstractNum w:abstractNumId="33">
    <w:nsid w:val="7BE97BF8"/>
    <w:multiLevelType w:val="multilevel"/>
    <w:tmpl w:val="1492709C"/>
    <w:numStyleLink w:val="AERHeadings"/>
  </w:abstractNum>
  <w:abstractNum w:abstractNumId="34">
    <w:nsid w:val="7CDA0F5F"/>
    <w:multiLevelType w:val="multilevel"/>
    <w:tmpl w:val="1492709C"/>
    <w:numStyleLink w:val="AERHeadings"/>
  </w:abstractNum>
  <w:num w:numId="1">
    <w:abstractNumId w:val="28"/>
  </w:num>
  <w:num w:numId="2">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2"/>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4"/>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3"/>
  </w:num>
  <w:num w:numId="37">
    <w:abstractNumId w:val="25"/>
  </w:num>
  <w:num w:numId="38">
    <w:abstractNumId w:val="12"/>
  </w:num>
  <w:num w:numId="39">
    <w:abstractNumId w:val="13"/>
  </w:num>
  <w:num w:numId="40">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pStyle w:val="Heading9"/>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1">
    <w:abstractNumId w:val="24"/>
  </w:num>
  <w:num w:numId="42">
    <w:abstractNumId w:val="4"/>
  </w:num>
  <w:num w:numId="43">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num>
  <w:num w:numId="44">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num>
  <w:num w:numId="45">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46">
    <w:abstractNumId w:val="1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numFmt w:val="decimal"/>
        <w:pStyle w:val="Heading8"/>
        <w:lvlText w:val=""/>
        <w:lvlJc w:val="left"/>
      </w:lvl>
    </w:lvlOverride>
    <w:lvlOverride w:ilvl="6">
      <w:lvl w:ilvl="6">
        <w:start w:val="1"/>
        <w:numFmt w:val="decimal"/>
        <w:pStyle w:val="Heading9"/>
        <w:lvlText w:val="%5.%6.%7"/>
        <w:lvlJc w:val="left"/>
        <w:pPr>
          <w:tabs>
            <w:tab w:val="num" w:pos="0"/>
          </w:tabs>
          <w:ind w:left="0" w:hanging="851"/>
        </w:pPr>
        <w:rPr>
          <w:rFonts w:hint="default"/>
        </w:rPr>
      </w:lvl>
    </w:lvlOverride>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grammar="clean"/>
  <w:documentProtection w:formatting="1" w:enforcement="1" w:cryptProviderType="rsaFull" w:cryptAlgorithmClass="hash" w:cryptAlgorithmType="typeAny" w:cryptAlgorithmSid="4" w:cryptSpinCount="100000" w:hash="AoweAfz+JB8TlT/HEEdsdFIx1Wc=" w:salt="qxcZOXyYPLKw47uhxVpngg=="/>
  <w:defaultTabStop w:val="720"/>
  <w:drawingGridHorizontalSpacing w:val="100"/>
  <w:displayHorizontalDrawingGridEvery w:val="2"/>
  <w:characterSpacingControl w:val="doNotCompress"/>
  <w:footnotePr>
    <w:footnote w:id="-1"/>
    <w:footnote w:id="0"/>
  </w:footnotePr>
  <w:endnotePr>
    <w:endnote w:id="-1"/>
    <w:endnote w:id="0"/>
  </w:endnotePr>
  <w:compat/>
  <w:docVars>
    <w:docVar w:name="currentname" w:val="H:\TRIMDATA\TRIM\TEMP\CONTEXT.1796\AER13 732  VIC gas access arrangement review 2012 - multiple issues addressed  - AER final decision - Multinet - Part 3 - Appendices.DOCX"/>
  </w:docVars>
  <w:rsids>
    <w:rsidRoot w:val="000C052F"/>
    <w:rsid w:val="00022606"/>
    <w:rsid w:val="00040599"/>
    <w:rsid w:val="00040749"/>
    <w:rsid w:val="000A1CC2"/>
    <w:rsid w:val="000A5342"/>
    <w:rsid w:val="000B15CA"/>
    <w:rsid w:val="000C052F"/>
    <w:rsid w:val="000C3430"/>
    <w:rsid w:val="000D03C2"/>
    <w:rsid w:val="000D04B1"/>
    <w:rsid w:val="000D739E"/>
    <w:rsid w:val="000E1A25"/>
    <w:rsid w:val="000F207B"/>
    <w:rsid w:val="000F3A6A"/>
    <w:rsid w:val="001033B3"/>
    <w:rsid w:val="00105636"/>
    <w:rsid w:val="001215A4"/>
    <w:rsid w:val="001543D2"/>
    <w:rsid w:val="00174026"/>
    <w:rsid w:val="001856EE"/>
    <w:rsid w:val="00194C3C"/>
    <w:rsid w:val="001C12E5"/>
    <w:rsid w:val="0020711E"/>
    <w:rsid w:val="00210880"/>
    <w:rsid w:val="002257B9"/>
    <w:rsid w:val="0023137D"/>
    <w:rsid w:val="00266710"/>
    <w:rsid w:val="002805B8"/>
    <w:rsid w:val="002938CE"/>
    <w:rsid w:val="002A3B8B"/>
    <w:rsid w:val="002B005E"/>
    <w:rsid w:val="002B6640"/>
    <w:rsid w:val="002D61AC"/>
    <w:rsid w:val="00303452"/>
    <w:rsid w:val="003324F7"/>
    <w:rsid w:val="00334F88"/>
    <w:rsid w:val="003707DB"/>
    <w:rsid w:val="00375AEC"/>
    <w:rsid w:val="00376187"/>
    <w:rsid w:val="00376236"/>
    <w:rsid w:val="0037652C"/>
    <w:rsid w:val="003800E4"/>
    <w:rsid w:val="00380FF5"/>
    <w:rsid w:val="003A6174"/>
    <w:rsid w:val="003D419B"/>
    <w:rsid w:val="004030AB"/>
    <w:rsid w:val="00412282"/>
    <w:rsid w:val="004256BA"/>
    <w:rsid w:val="00431999"/>
    <w:rsid w:val="00435682"/>
    <w:rsid w:val="00456081"/>
    <w:rsid w:val="00464F5D"/>
    <w:rsid w:val="00474FBD"/>
    <w:rsid w:val="00491D7D"/>
    <w:rsid w:val="004C3F45"/>
    <w:rsid w:val="004E40EF"/>
    <w:rsid w:val="004F76A0"/>
    <w:rsid w:val="00500A89"/>
    <w:rsid w:val="00500E7F"/>
    <w:rsid w:val="0052179D"/>
    <w:rsid w:val="005456A9"/>
    <w:rsid w:val="00555D52"/>
    <w:rsid w:val="005566D7"/>
    <w:rsid w:val="00561F7F"/>
    <w:rsid w:val="00566B35"/>
    <w:rsid w:val="005732CC"/>
    <w:rsid w:val="00575422"/>
    <w:rsid w:val="005938C6"/>
    <w:rsid w:val="005A0431"/>
    <w:rsid w:val="005B3752"/>
    <w:rsid w:val="005B61C2"/>
    <w:rsid w:val="005C59C2"/>
    <w:rsid w:val="005D26B7"/>
    <w:rsid w:val="005D4AA1"/>
    <w:rsid w:val="0060146C"/>
    <w:rsid w:val="0060207D"/>
    <w:rsid w:val="006039F2"/>
    <w:rsid w:val="006061B0"/>
    <w:rsid w:val="0060732E"/>
    <w:rsid w:val="006076A9"/>
    <w:rsid w:val="006544EA"/>
    <w:rsid w:val="00662192"/>
    <w:rsid w:val="0066569F"/>
    <w:rsid w:val="0069004B"/>
    <w:rsid w:val="006B0748"/>
    <w:rsid w:val="006B08EB"/>
    <w:rsid w:val="006B481F"/>
    <w:rsid w:val="006F638E"/>
    <w:rsid w:val="00703E42"/>
    <w:rsid w:val="007368AD"/>
    <w:rsid w:val="00751D2A"/>
    <w:rsid w:val="00755095"/>
    <w:rsid w:val="00796A07"/>
    <w:rsid w:val="007A114F"/>
    <w:rsid w:val="007F10E3"/>
    <w:rsid w:val="007F2C0E"/>
    <w:rsid w:val="007F7B7E"/>
    <w:rsid w:val="00804AEB"/>
    <w:rsid w:val="00836D17"/>
    <w:rsid w:val="00840A55"/>
    <w:rsid w:val="00841E25"/>
    <w:rsid w:val="008464CD"/>
    <w:rsid w:val="00850129"/>
    <w:rsid w:val="008515EE"/>
    <w:rsid w:val="00861C4E"/>
    <w:rsid w:val="00866D21"/>
    <w:rsid w:val="00867DB3"/>
    <w:rsid w:val="00883DDA"/>
    <w:rsid w:val="00886D81"/>
    <w:rsid w:val="00891FF9"/>
    <w:rsid w:val="00893367"/>
    <w:rsid w:val="008C3B67"/>
    <w:rsid w:val="008C3F48"/>
    <w:rsid w:val="008D1A1F"/>
    <w:rsid w:val="008D49B4"/>
    <w:rsid w:val="008D7498"/>
    <w:rsid w:val="008F132C"/>
    <w:rsid w:val="00932E96"/>
    <w:rsid w:val="009418E6"/>
    <w:rsid w:val="0094235F"/>
    <w:rsid w:val="0094279F"/>
    <w:rsid w:val="00946B98"/>
    <w:rsid w:val="0095052A"/>
    <w:rsid w:val="009658F0"/>
    <w:rsid w:val="00971C63"/>
    <w:rsid w:val="009A4AE9"/>
    <w:rsid w:val="009B2237"/>
    <w:rsid w:val="009C71D5"/>
    <w:rsid w:val="009F7CE4"/>
    <w:rsid w:val="00A00171"/>
    <w:rsid w:val="00A11162"/>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B15FE9"/>
    <w:rsid w:val="00B51883"/>
    <w:rsid w:val="00B674DB"/>
    <w:rsid w:val="00B82E8D"/>
    <w:rsid w:val="00B9264D"/>
    <w:rsid w:val="00BB3FA1"/>
    <w:rsid w:val="00BB62BB"/>
    <w:rsid w:val="00BC05C5"/>
    <w:rsid w:val="00BD04BE"/>
    <w:rsid w:val="00BE6F28"/>
    <w:rsid w:val="00BF29FA"/>
    <w:rsid w:val="00C04D2B"/>
    <w:rsid w:val="00CA3540"/>
    <w:rsid w:val="00CA6DED"/>
    <w:rsid w:val="00CC49D4"/>
    <w:rsid w:val="00CE32D3"/>
    <w:rsid w:val="00CE6F5A"/>
    <w:rsid w:val="00CF42CF"/>
    <w:rsid w:val="00D102E9"/>
    <w:rsid w:val="00D1688F"/>
    <w:rsid w:val="00D2117F"/>
    <w:rsid w:val="00D25317"/>
    <w:rsid w:val="00D66E8B"/>
    <w:rsid w:val="00D85715"/>
    <w:rsid w:val="00D8706C"/>
    <w:rsid w:val="00DA4C62"/>
    <w:rsid w:val="00DB6A17"/>
    <w:rsid w:val="00DD5520"/>
    <w:rsid w:val="00E00F76"/>
    <w:rsid w:val="00E03F5E"/>
    <w:rsid w:val="00E21E75"/>
    <w:rsid w:val="00E271D0"/>
    <w:rsid w:val="00E519DC"/>
    <w:rsid w:val="00E807DA"/>
    <w:rsid w:val="00E84E3A"/>
    <w:rsid w:val="00EA05AF"/>
    <w:rsid w:val="00EC43B9"/>
    <w:rsid w:val="00ED4D69"/>
    <w:rsid w:val="00EE362F"/>
    <w:rsid w:val="00EE58D9"/>
    <w:rsid w:val="00EF0438"/>
    <w:rsid w:val="00F114AE"/>
    <w:rsid w:val="00F43CA0"/>
    <w:rsid w:val="00F55030"/>
    <w:rsid w:val="00F7696F"/>
    <w:rsid w:val="00F8209B"/>
    <w:rsid w:val="00FA0576"/>
    <w:rsid w:val="00FB50B4"/>
    <w:rsid w:val="00FC0110"/>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50"/>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A00171"/>
    <w:rPr>
      <w:lang w:eastAsia="en-US"/>
    </w:rPr>
  </w:style>
  <w:style w:type="paragraph" w:styleId="DocumentMap">
    <w:name w:val="Document Map"/>
    <w:basedOn w:val="Normal"/>
    <w:link w:val="DocumentMapChar"/>
    <w:uiPriority w:val="99"/>
    <w:semiHidden/>
    <w:unhideWhenUsed/>
    <w:locked/>
    <w:rsid w:val="00A001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0171"/>
    <w:rPr>
      <w:rFonts w:ascii="Tahoma" w:hAnsi="Tahoma" w:cs="Tahoma"/>
      <w:sz w:val="16"/>
      <w:szCs w:val="16"/>
      <w:lang w:eastAsia="en-US"/>
    </w:rPr>
  </w:style>
  <w:style w:type="paragraph" w:styleId="NormalWeb">
    <w:name w:val="Normal (Web)"/>
    <w:basedOn w:val="Normal"/>
    <w:uiPriority w:val="99"/>
    <w:semiHidden/>
    <w:unhideWhenUsed/>
    <w:locked/>
    <w:rsid w:val="00A00171"/>
    <w:rPr>
      <w:rFonts w:ascii="Times New Roman" w:hAnsi="Times New Roman"/>
      <w:sz w:val="24"/>
      <w:szCs w:val="24"/>
    </w:rPr>
  </w:style>
  <w:style w:type="paragraph" w:styleId="NoSpacing">
    <w:name w:val="No Spacing"/>
    <w:uiPriority w:val="1"/>
    <w:semiHidden/>
    <w:locked/>
    <w:rsid w:val="00A00171"/>
    <w:pPr>
      <w:jc w:val="both"/>
    </w:pPr>
    <w:rPr>
      <w:lang w:eastAsia="en-US"/>
    </w:rPr>
  </w:style>
  <w:style w:type="character" w:styleId="PlaceholderText">
    <w:name w:val="Placeholder Text"/>
    <w:basedOn w:val="DefaultParagraphFont"/>
    <w:uiPriority w:val="99"/>
    <w:semiHidden/>
    <w:unhideWhenUsed/>
    <w:locked/>
    <w:rsid w:val="006B0748"/>
    <w:rPr>
      <w:color w:val="808080"/>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ditorialexpress.com/cgi-bin/conference/download.cgi?db_name=ACE2004&amp;paper_id=1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kcheu\Real%20cost%20escalation%20VIC%20GAAR\5204013_productivit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1415342543259961"/>
          <c:y val="0.10562284690624521"/>
          <c:w val="0.83247332107438654"/>
          <c:h val="0.70443135669806589"/>
        </c:manualLayout>
      </c:layout>
      <c:lineChart>
        <c:grouping val="standard"/>
        <c:ser>
          <c:idx val="0"/>
          <c:order val="0"/>
          <c:tx>
            <c:v>Labour productivity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Graphing!$B$4:$B$20</c:f>
              <c:numCache>
                <c:formatCode>0.00%</c:formatCode>
                <c:ptCount val="17"/>
                <c:pt idx="0">
                  <c:v>3.1000000000000052E-2</c:v>
                </c:pt>
                <c:pt idx="1">
                  <c:v>3.1000000000000052E-2</c:v>
                </c:pt>
                <c:pt idx="2">
                  <c:v>3.2000000000000056E-2</c:v>
                </c:pt>
                <c:pt idx="3">
                  <c:v>4.4000000000000095E-2</c:v>
                </c:pt>
                <c:pt idx="4">
                  <c:v>5.0000000000000088E-3</c:v>
                </c:pt>
                <c:pt idx="5">
                  <c:v>2.600000000000004E-2</c:v>
                </c:pt>
                <c:pt idx="6">
                  <c:v>4.8000000000000057E-2</c:v>
                </c:pt>
                <c:pt idx="7">
                  <c:v>1.0000000000000014E-2</c:v>
                </c:pt>
                <c:pt idx="8">
                  <c:v>2.9000000000000019E-2</c:v>
                </c:pt>
                <c:pt idx="9">
                  <c:v>6.0000000000000114E-3</c:v>
                </c:pt>
                <c:pt idx="10">
                  <c:v>1.7000000000000029E-2</c:v>
                </c:pt>
                <c:pt idx="11">
                  <c:v>1.1000000000000029E-2</c:v>
                </c:pt>
                <c:pt idx="12">
                  <c:v>1.1000000000000029E-2</c:v>
                </c:pt>
                <c:pt idx="13">
                  <c:v>1.0000000000000014E-2</c:v>
                </c:pt>
                <c:pt idx="14">
                  <c:v>2.4000000000000028E-2</c:v>
                </c:pt>
                <c:pt idx="15">
                  <c:v>2.0000000000000044E-3</c:v>
                </c:pt>
                <c:pt idx="16">
                  <c:v>2.9000000000000019E-2</c:v>
                </c:pt>
              </c:numCache>
            </c:numRef>
          </c:val>
        </c:ser>
        <c:ser>
          <c:idx val="1"/>
          <c:order val="1"/>
          <c:tx>
            <c:v>Labour productivity (Quality adjusted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Graphing!$C$4:$C$20</c:f>
              <c:numCache>
                <c:formatCode>0.00%</c:formatCode>
                <c:ptCount val="17"/>
                <c:pt idx="0">
                  <c:v>2.600000000000004E-2</c:v>
                </c:pt>
                <c:pt idx="1">
                  <c:v>2.600000000000004E-2</c:v>
                </c:pt>
                <c:pt idx="2">
                  <c:v>2.7000000000000062E-2</c:v>
                </c:pt>
                <c:pt idx="3">
                  <c:v>3.9000000000000055E-2</c:v>
                </c:pt>
                <c:pt idx="4">
                  <c:v>0</c:v>
                </c:pt>
                <c:pt idx="5">
                  <c:v>2.0000000000000028E-2</c:v>
                </c:pt>
                <c:pt idx="6">
                  <c:v>4.4000000000000095E-2</c:v>
                </c:pt>
                <c:pt idx="7">
                  <c:v>6.0000000000000114E-3</c:v>
                </c:pt>
                <c:pt idx="8">
                  <c:v>2.600000000000004E-2</c:v>
                </c:pt>
                <c:pt idx="9">
                  <c:v>2.0000000000000044E-3</c:v>
                </c:pt>
                <c:pt idx="10">
                  <c:v>1.3000000000000029E-2</c:v>
                </c:pt>
                <c:pt idx="11">
                  <c:v>7.0000000000000114E-3</c:v>
                </c:pt>
                <c:pt idx="12">
                  <c:v>8.0000000000000192E-3</c:v>
                </c:pt>
                <c:pt idx="13">
                  <c:v>7.0000000000000114E-3</c:v>
                </c:pt>
                <c:pt idx="14">
                  <c:v>2.1000000000000029E-2</c:v>
                </c:pt>
                <c:pt idx="15">
                  <c:v>-1.0000000000000024E-3</c:v>
                </c:pt>
                <c:pt idx="16">
                  <c:v>2.7000000000000062E-2</c:v>
                </c:pt>
              </c:numCache>
            </c:numRef>
          </c:val>
        </c:ser>
        <c:marker val="1"/>
        <c:axId val="158222976"/>
        <c:axId val="162702080"/>
      </c:lineChart>
      <c:catAx>
        <c:axId val="158222976"/>
        <c:scaling>
          <c:orientation val="minMax"/>
        </c:scaling>
        <c:axPos val="b"/>
        <c:majorTickMark val="in"/>
        <c:tickLblPos val="low"/>
        <c:crossAx val="162702080"/>
        <c:crosses val="autoZero"/>
        <c:auto val="1"/>
        <c:lblAlgn val="ctr"/>
        <c:lblOffset val="100"/>
        <c:tickLblSkip val="2"/>
        <c:tickMarkSkip val="1"/>
      </c:catAx>
      <c:valAx>
        <c:axId val="162702080"/>
        <c:scaling>
          <c:orientation val="minMax"/>
        </c:scaling>
        <c:axPos val="l"/>
        <c:majorGridlines/>
        <c:title>
          <c:tx>
            <c:rich>
              <a:bodyPr rot="0" vert="horz"/>
              <a:lstStyle/>
              <a:p>
                <a:pPr>
                  <a:defRPr sz="900" baseline="0"/>
                </a:pPr>
                <a:r>
                  <a:rPr lang="en-AU" sz="900" baseline="0"/>
                  <a:t>Change on year earlier</a:t>
                </a:r>
              </a:p>
            </c:rich>
          </c:tx>
          <c:layout>
            <c:manualLayout>
              <c:xMode val="edge"/>
              <c:yMode val="edge"/>
              <c:x val="1.3972055888223582E-2"/>
              <c:y val="1.7128051629216354E-2"/>
            </c:manualLayout>
          </c:layout>
        </c:title>
        <c:numFmt formatCode="0.0%" sourceLinked="0"/>
        <c:tickLblPos val="nextTo"/>
        <c:crossAx val="158222976"/>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FB76-459C-4F65-8950-87F83519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37687</Words>
  <Characters>214821</Characters>
  <Application>Microsoft Office Word</Application>
  <DocSecurity>0</DocSecurity>
  <Lines>1790</Lines>
  <Paragraphs>504</Paragraphs>
  <ScaleCrop>false</ScaleCrop>
  <Company/>
  <LinksUpToDate>false</LinksUpToDate>
  <CharactersWithSpaces>252004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2013-03-14T03:35:00Z</dcterms:created>
  <dcterms:modified xsi:type="dcterms:W3CDTF">2013-03-14T03:35:00Z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