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57F" w:rsidRPr="00996ADF" w:rsidRDefault="00FD257F" w:rsidP="00FD257F">
      <w:pPr>
        <w:spacing w:after="0" w:line="240" w:lineRule="auto"/>
        <w:rPr>
          <w:sz w:val="16"/>
          <w:szCs w:val="16"/>
        </w:rPr>
      </w:pPr>
      <w:bookmarkStart w:id="0" w:name="_GoBack"/>
      <w:bookmarkEnd w:id="0"/>
      <w:r w:rsidRPr="00996ADF">
        <w:rPr>
          <w:sz w:val="16"/>
          <w:szCs w:val="16"/>
        </w:rPr>
        <w:t>Our Ref:</w:t>
      </w:r>
      <w:r w:rsidRPr="00996ADF">
        <w:rPr>
          <w:sz w:val="16"/>
          <w:szCs w:val="16"/>
        </w:rPr>
        <w:tab/>
      </w:r>
      <w:bookmarkStart w:id="1" w:name="OurRef"/>
      <w:bookmarkEnd w:id="1"/>
      <w:r>
        <w:rPr>
          <w:sz w:val="16"/>
          <w:szCs w:val="16"/>
        </w:rPr>
        <w:tab/>
        <w:t>43491</w:t>
      </w:r>
    </w:p>
    <w:p w:rsidR="00FD257F" w:rsidRPr="00996ADF" w:rsidRDefault="00FD257F" w:rsidP="00FD257F">
      <w:pPr>
        <w:spacing w:after="0" w:line="240" w:lineRule="auto"/>
        <w:rPr>
          <w:sz w:val="16"/>
          <w:szCs w:val="16"/>
        </w:rPr>
      </w:pPr>
      <w:r w:rsidRPr="00996ADF">
        <w:rPr>
          <w:sz w:val="16"/>
          <w:szCs w:val="16"/>
        </w:rPr>
        <w:t>Contact Officer:</w:t>
      </w:r>
      <w:r w:rsidRPr="00996ADF">
        <w:rPr>
          <w:sz w:val="16"/>
          <w:szCs w:val="16"/>
        </w:rPr>
        <w:tab/>
      </w:r>
      <w:r w:rsidR="00F30C14">
        <w:rPr>
          <w:sz w:val="16"/>
          <w:szCs w:val="16"/>
        </w:rPr>
        <w:t>Adhir Ramdarshan</w:t>
      </w:r>
    </w:p>
    <w:p w:rsidR="00FD257F" w:rsidRPr="00996ADF" w:rsidRDefault="00FD257F" w:rsidP="00FD257F">
      <w:pPr>
        <w:pStyle w:val="AERbodytext"/>
        <w:spacing w:after="0" w:line="240" w:lineRule="auto"/>
        <w:rPr>
          <w:sz w:val="16"/>
          <w:szCs w:val="16"/>
        </w:rPr>
      </w:pPr>
      <w:r w:rsidRPr="00996ADF">
        <w:rPr>
          <w:rStyle w:val="AERbody"/>
          <w:sz w:val="16"/>
          <w:szCs w:val="16"/>
        </w:rPr>
        <w:t>Contact</w:t>
      </w:r>
      <w:r w:rsidRPr="00996ADF">
        <w:rPr>
          <w:sz w:val="16"/>
          <w:szCs w:val="16"/>
        </w:rPr>
        <w:t xml:space="preserve"> Phone:</w:t>
      </w:r>
      <w:r w:rsidRPr="00996ADF">
        <w:rPr>
          <w:sz w:val="16"/>
          <w:szCs w:val="16"/>
        </w:rPr>
        <w:tab/>
      </w:r>
      <w:bookmarkStart w:id="2" w:name="ContactPhone"/>
      <w:bookmarkEnd w:id="2"/>
      <w:r>
        <w:rPr>
          <w:sz w:val="16"/>
          <w:szCs w:val="16"/>
        </w:rPr>
        <w:t xml:space="preserve">(03) 9290 </w:t>
      </w:r>
      <w:r w:rsidR="00F30C14">
        <w:rPr>
          <w:sz w:val="16"/>
          <w:szCs w:val="16"/>
        </w:rPr>
        <w:t>1806</w:t>
      </w:r>
    </w:p>
    <w:p w:rsidR="00FD257F" w:rsidRDefault="00FD257F" w:rsidP="00FD257F">
      <w:pPr>
        <w:spacing w:after="0" w:line="240" w:lineRule="auto"/>
      </w:pPr>
    </w:p>
    <w:p w:rsidR="00FD257F" w:rsidRDefault="00FD257F" w:rsidP="00FD257F">
      <w:pPr>
        <w:spacing w:after="0" w:line="240" w:lineRule="auto"/>
      </w:pPr>
    </w:p>
    <w:p w:rsidR="00FD257F" w:rsidRPr="007F0CEF" w:rsidRDefault="001B314C" w:rsidP="00FD257F">
      <w:pPr>
        <w:spacing w:after="0" w:line="240" w:lineRule="auto"/>
      </w:pPr>
      <w:r>
        <w:t>1</w:t>
      </w:r>
      <w:r w:rsidR="002D6F50">
        <w:t>5</w:t>
      </w:r>
      <w:r w:rsidR="00FD257F">
        <w:t xml:space="preserve"> </w:t>
      </w:r>
      <w:r>
        <w:t>July</w:t>
      </w:r>
      <w:r w:rsidR="00FD257F">
        <w:t xml:space="preserve"> </w:t>
      </w:r>
      <w:r w:rsidR="00FD257F" w:rsidRPr="007F0CEF">
        <w:t>201</w:t>
      </w:r>
      <w:r>
        <w:t>3</w:t>
      </w:r>
    </w:p>
    <w:p w:rsidR="00FD257F" w:rsidRPr="007F0CEF" w:rsidRDefault="00FD257F" w:rsidP="00FD257F">
      <w:pPr>
        <w:spacing w:after="0" w:line="240" w:lineRule="auto"/>
      </w:pPr>
    </w:p>
    <w:p w:rsidR="00FD257F" w:rsidRPr="007F0CEF" w:rsidRDefault="00FD257F" w:rsidP="00FD257F">
      <w:pPr>
        <w:spacing w:after="0" w:line="240" w:lineRule="auto"/>
      </w:pPr>
      <w:bookmarkStart w:id="3" w:name="Recipient"/>
      <w:bookmarkEnd w:id="3"/>
      <w:r w:rsidRPr="007F0CEF">
        <w:t>John Pierce</w:t>
      </w:r>
    </w:p>
    <w:p w:rsidR="00FD257F" w:rsidRPr="007F0CEF" w:rsidRDefault="00FD257F" w:rsidP="00FD257F">
      <w:pPr>
        <w:spacing w:after="0" w:line="240" w:lineRule="auto"/>
      </w:pPr>
      <w:r w:rsidRPr="007F0CEF">
        <w:t>Chairman</w:t>
      </w:r>
    </w:p>
    <w:p w:rsidR="00FD257F" w:rsidRPr="007F0CEF" w:rsidRDefault="00FD257F" w:rsidP="00FD257F">
      <w:pPr>
        <w:spacing w:after="0" w:line="240" w:lineRule="auto"/>
      </w:pPr>
      <w:r w:rsidRPr="007F0CEF">
        <w:t>Australian Energy Market Commission</w:t>
      </w:r>
    </w:p>
    <w:p w:rsidR="00FD257F" w:rsidRPr="007F0CEF" w:rsidRDefault="00FD257F" w:rsidP="00FD257F">
      <w:pPr>
        <w:spacing w:after="0" w:line="240" w:lineRule="auto"/>
      </w:pPr>
      <w:r w:rsidRPr="007F0CEF">
        <w:t>PO Box A2449</w:t>
      </w:r>
    </w:p>
    <w:p w:rsidR="00FD257F" w:rsidRPr="007F0CEF" w:rsidRDefault="00FD257F" w:rsidP="00FD257F">
      <w:pPr>
        <w:spacing w:after="0" w:line="240" w:lineRule="auto"/>
      </w:pPr>
      <w:r w:rsidRPr="007F0CEF">
        <w:t>SYDNEY SOUTH NSW 1235</w:t>
      </w:r>
    </w:p>
    <w:p w:rsidR="00FD257F" w:rsidRPr="007F0CEF" w:rsidRDefault="00FD257F" w:rsidP="00FD257F">
      <w:pPr>
        <w:spacing w:after="0" w:line="240" w:lineRule="auto"/>
      </w:pPr>
    </w:p>
    <w:p w:rsidR="00FD257F" w:rsidRPr="007F0CEF" w:rsidRDefault="00FD257F" w:rsidP="00FD257F">
      <w:pPr>
        <w:spacing w:after="0" w:line="240" w:lineRule="auto"/>
      </w:pPr>
    </w:p>
    <w:p w:rsidR="00FD257F" w:rsidRPr="007F0CEF" w:rsidRDefault="00FD257F" w:rsidP="00FD257F">
      <w:pPr>
        <w:spacing w:after="0" w:line="240" w:lineRule="auto"/>
      </w:pPr>
      <w:bookmarkStart w:id="4" w:name="Salutation"/>
      <w:bookmarkEnd w:id="4"/>
      <w:r w:rsidRPr="007F0CEF">
        <w:t>Dear Mr Pierce</w:t>
      </w:r>
    </w:p>
    <w:p w:rsidR="00FD257F" w:rsidRPr="007F0CEF" w:rsidRDefault="00FD257F" w:rsidP="00FD257F">
      <w:pPr>
        <w:spacing w:after="0" w:line="240" w:lineRule="auto"/>
      </w:pPr>
    </w:p>
    <w:p w:rsidR="00FD257F" w:rsidRPr="00996ADF" w:rsidRDefault="00FD257F" w:rsidP="00FD257F">
      <w:pPr>
        <w:spacing w:after="0" w:line="240" w:lineRule="auto"/>
        <w:rPr>
          <w:b/>
        </w:rPr>
      </w:pPr>
      <w:r w:rsidRPr="00996ADF">
        <w:rPr>
          <w:b/>
        </w:rPr>
        <w:t>Submission on</w:t>
      </w:r>
      <w:r>
        <w:rPr>
          <w:b/>
        </w:rPr>
        <w:t xml:space="preserve"> NEM Financial Market Resilience </w:t>
      </w:r>
      <w:r w:rsidR="001B314C">
        <w:rPr>
          <w:b/>
        </w:rPr>
        <w:t>First Draft Report</w:t>
      </w:r>
      <w:r>
        <w:rPr>
          <w:b/>
        </w:rPr>
        <w:t xml:space="preserve"> </w:t>
      </w:r>
    </w:p>
    <w:p w:rsidR="00FD257F" w:rsidRPr="007F0CEF" w:rsidRDefault="00FD257F" w:rsidP="00FD257F">
      <w:pPr>
        <w:spacing w:after="0" w:line="240" w:lineRule="auto"/>
      </w:pPr>
    </w:p>
    <w:p w:rsidR="00A815A4" w:rsidRDefault="00FD257F" w:rsidP="00DE0954">
      <w:pPr>
        <w:spacing w:after="0"/>
      </w:pPr>
      <w:r>
        <w:t xml:space="preserve">The </w:t>
      </w:r>
      <w:r w:rsidR="00A815A4" w:rsidRPr="007F0CEF">
        <w:t>Australian Energy Regulator (</w:t>
      </w:r>
      <w:r w:rsidR="00A815A4" w:rsidRPr="00A815A4">
        <w:rPr>
          <w:b/>
        </w:rPr>
        <w:t>AER</w:t>
      </w:r>
      <w:r w:rsidR="00A815A4" w:rsidRPr="007F0CEF">
        <w:t xml:space="preserve">) </w:t>
      </w:r>
      <w:r>
        <w:t>welcomes th</w:t>
      </w:r>
      <w:r w:rsidR="00A815A4">
        <w:t>is</w:t>
      </w:r>
      <w:r>
        <w:t xml:space="preserve"> opportunity to comment on the </w:t>
      </w:r>
      <w:r w:rsidR="00A815A4" w:rsidRPr="007F0CEF">
        <w:t>Australian Energy Market Commission’s (</w:t>
      </w:r>
      <w:r w:rsidR="00A815A4" w:rsidRPr="00A815A4">
        <w:rPr>
          <w:b/>
        </w:rPr>
        <w:t>AEMC</w:t>
      </w:r>
      <w:r w:rsidR="00A815A4" w:rsidRPr="007F0CEF">
        <w:t xml:space="preserve">) </w:t>
      </w:r>
      <w:r w:rsidR="009567A2">
        <w:t>National Electricity Market (</w:t>
      </w:r>
      <w:r w:rsidR="00A815A4" w:rsidRPr="009567A2">
        <w:rPr>
          <w:b/>
        </w:rPr>
        <w:t>NEM</w:t>
      </w:r>
      <w:r w:rsidR="009567A2">
        <w:t>)</w:t>
      </w:r>
      <w:r w:rsidR="00A815A4">
        <w:t xml:space="preserve"> Financial Market Resilience </w:t>
      </w:r>
      <w:r w:rsidR="00A815A4" w:rsidRPr="001B314C">
        <w:t>First Draft Report</w:t>
      </w:r>
      <w:r w:rsidR="00A815A4">
        <w:t xml:space="preserve">. </w:t>
      </w:r>
      <w:r w:rsidR="00C83053">
        <w:t xml:space="preserve">Overall, we consider that both the proposed amendments to the retailer of last resort (ROLR) regime and the introduction of a </w:t>
      </w:r>
      <w:r w:rsidR="009567A2">
        <w:t xml:space="preserve">complementary </w:t>
      </w:r>
      <w:r w:rsidR="00C83053" w:rsidRPr="00077DBE">
        <w:rPr>
          <w:rFonts w:cs="Gautami"/>
        </w:rPr>
        <w:t>special administration regime</w:t>
      </w:r>
      <w:r w:rsidR="00C83053">
        <w:t xml:space="preserve"> are firmly in the long-term interests of consumers.  </w:t>
      </w:r>
    </w:p>
    <w:p w:rsidR="00A815A4" w:rsidRDefault="00A815A4" w:rsidP="00DE0954">
      <w:pPr>
        <w:spacing w:after="0"/>
      </w:pPr>
    </w:p>
    <w:p w:rsidR="00CD0552" w:rsidRDefault="00CD0552" w:rsidP="003220DA">
      <w:pPr>
        <w:pStyle w:val="AERbodytext"/>
      </w:pPr>
      <w:r>
        <w:t xml:space="preserve">The AER welcomes the </w:t>
      </w:r>
      <w:r w:rsidR="00C83053">
        <w:t>proposed</w:t>
      </w:r>
      <w:r>
        <w:t xml:space="preserve"> amend</w:t>
      </w:r>
      <w:r w:rsidR="00C83053">
        <w:t>ments to</w:t>
      </w:r>
      <w:r w:rsidRPr="00CD0552">
        <w:t xml:space="preserve"> the ROLR </w:t>
      </w:r>
      <w:r>
        <w:t>regime</w:t>
      </w:r>
      <w:r w:rsidRPr="00CD0552">
        <w:t xml:space="preserve"> and AEMO credit support requirements. </w:t>
      </w:r>
      <w:r w:rsidR="003220DA">
        <w:t>As a package, we consider that t</w:t>
      </w:r>
      <w:r w:rsidRPr="00CD0552">
        <w:t>hese measures are likely to encourage more retailers to offer to become additional ROLRs</w:t>
      </w:r>
      <w:r w:rsidR="003220DA">
        <w:t>. By</w:t>
      </w:r>
      <w:r w:rsidRPr="00CD0552">
        <w:t xml:space="preserve"> </w:t>
      </w:r>
      <w:r w:rsidR="003220DA" w:rsidRPr="00CD0552">
        <w:t>increas</w:t>
      </w:r>
      <w:r w:rsidR="003220DA">
        <w:t>ing</w:t>
      </w:r>
      <w:r w:rsidR="003220DA" w:rsidRPr="00CD0552">
        <w:t xml:space="preserve"> competition in provision of th</w:t>
      </w:r>
      <w:r w:rsidR="001E5904">
        <w:t>is</w:t>
      </w:r>
      <w:r w:rsidR="003220DA" w:rsidRPr="00CD0552">
        <w:t xml:space="preserve"> function</w:t>
      </w:r>
      <w:r w:rsidR="003220DA">
        <w:t xml:space="preserve">, </w:t>
      </w:r>
      <w:r w:rsidR="001E5904">
        <w:t>it</w:t>
      </w:r>
      <w:r w:rsidRPr="00CD0552">
        <w:t xml:space="preserve"> may reduce the risk of cascading retailer failure by spreading the customers, obligations and risks of the ROLR event between several retailers. Spreading customers across several retailers </w:t>
      </w:r>
      <w:r w:rsidR="00C83053">
        <w:t>would</w:t>
      </w:r>
      <w:r w:rsidRPr="00CD0552">
        <w:t xml:space="preserve"> also support longer term competition benefits.</w:t>
      </w:r>
      <w:r w:rsidR="003220DA">
        <w:t xml:space="preserve"> </w:t>
      </w:r>
    </w:p>
    <w:p w:rsidR="001E5904" w:rsidRDefault="00C83053" w:rsidP="00C83053">
      <w:pPr>
        <w:pStyle w:val="AERbodytext"/>
        <w:numPr>
          <w:ilvl w:val="0"/>
          <w:numId w:val="0"/>
        </w:numPr>
        <w:spacing w:after="0"/>
      </w:pPr>
      <w:r>
        <w:t>As acknowledged by the AEMC, w</w:t>
      </w:r>
      <w:r w:rsidRPr="00CD0552">
        <w:t>hile these amendments offer significant benefits</w:t>
      </w:r>
      <w:r w:rsidRPr="00C83053">
        <w:t xml:space="preserve"> </w:t>
      </w:r>
      <w:r>
        <w:t>for small and medium retailer failures</w:t>
      </w:r>
      <w:r w:rsidRPr="00CD0552">
        <w:t xml:space="preserve">, they </w:t>
      </w:r>
      <w:r>
        <w:t>will not assist with large retailer failures. A</w:t>
      </w:r>
      <w:r w:rsidR="00A815A4">
        <w:t>ddressing large retailer failures through the ROLR regime</w:t>
      </w:r>
      <w:r>
        <w:t xml:space="preserve"> creates a significant</w:t>
      </w:r>
      <w:r w:rsidR="00A815A4">
        <w:t xml:space="preserve"> risk of cascading failure and would result in unacceptably high market concentration, as the majority of customers are likely to be transferred to the remaining large retailers.  </w:t>
      </w:r>
      <w:r>
        <w:t>Large retailer failures need to be addressed outside the ROLR regime.</w:t>
      </w:r>
      <w:r w:rsidR="001E5904">
        <w:t xml:space="preserve"> We therefore support the introduction of a </w:t>
      </w:r>
      <w:r w:rsidR="00A815A4">
        <w:t>special administration regime</w:t>
      </w:r>
      <w:r w:rsidR="00570377">
        <w:t xml:space="preserve"> and </w:t>
      </w:r>
      <w:r w:rsidR="0079635C">
        <w:t>encourage the AEMC to consider further how to take into account competition concerns</w:t>
      </w:r>
      <w:r w:rsidR="00FC7D8F">
        <w:t>.</w:t>
      </w:r>
    </w:p>
    <w:p w:rsidR="00D216B1" w:rsidRDefault="00D216B1" w:rsidP="00C83053">
      <w:pPr>
        <w:pStyle w:val="AERbodytext"/>
        <w:numPr>
          <w:ilvl w:val="0"/>
          <w:numId w:val="0"/>
        </w:numPr>
        <w:spacing w:after="0"/>
      </w:pPr>
    </w:p>
    <w:p w:rsidR="00A84A06" w:rsidRDefault="0045731E" w:rsidP="00A84A06">
      <w:pPr>
        <w:pStyle w:val="AERbodytext"/>
        <w:numPr>
          <w:ilvl w:val="0"/>
          <w:numId w:val="0"/>
        </w:numPr>
        <w:spacing w:after="0"/>
      </w:pPr>
      <w:r>
        <w:t xml:space="preserve">Protecting the interests of consumers lies at the heart of these reforms. </w:t>
      </w:r>
      <w:r w:rsidR="0051135E">
        <w:t>We note</w:t>
      </w:r>
      <w:r>
        <w:t xml:space="preserve">, however, </w:t>
      </w:r>
      <w:r w:rsidR="0051135E">
        <w:t xml:space="preserve">that there has been limited engagement by consumer organisations on these issues to date. </w:t>
      </w:r>
      <w:r w:rsidR="00A84A06">
        <w:t>As th</w:t>
      </w:r>
      <w:r w:rsidR="0051135E">
        <w:t>e</w:t>
      </w:r>
      <w:r w:rsidR="00A84A06">
        <w:t xml:space="preserve"> costs and benefits of the </w:t>
      </w:r>
      <w:r w:rsidR="0051135E">
        <w:t>proposed amendments</w:t>
      </w:r>
      <w:r w:rsidR="00A84A06">
        <w:t xml:space="preserve"> become more </w:t>
      </w:r>
      <w:r>
        <w:t>apparent</w:t>
      </w:r>
      <w:r w:rsidR="00A84A06">
        <w:t xml:space="preserve">, </w:t>
      </w:r>
      <w:r w:rsidR="0051135E">
        <w:t>we encourage the AEMC to proactively seek their views</w:t>
      </w:r>
      <w:r w:rsidR="00A84A06">
        <w:t xml:space="preserve">.  </w:t>
      </w:r>
    </w:p>
    <w:p w:rsidR="00A84A06" w:rsidRDefault="00A84A06" w:rsidP="00A84A06">
      <w:pPr>
        <w:spacing w:after="0"/>
      </w:pPr>
    </w:p>
    <w:p w:rsidR="00DF632B" w:rsidRDefault="00A84A06" w:rsidP="00A84A06">
      <w:pPr>
        <w:pStyle w:val="AERbodytext"/>
        <w:spacing w:after="0"/>
        <w:sectPr w:rsidR="00DF632B" w:rsidSect="00DF632B">
          <w:headerReference w:type="default" r:id="rId8"/>
          <w:footerReference w:type="default" r:id="rId9"/>
          <w:footerReference w:type="first" r:id="rId10"/>
          <w:pgSz w:w="11906" w:h="16838"/>
          <w:pgMar w:top="1440" w:right="1440" w:bottom="1440" w:left="1440" w:header="708" w:footer="708" w:gutter="0"/>
          <w:pgNumType w:start="1"/>
          <w:cols w:space="708"/>
          <w:docGrid w:linePitch="360"/>
        </w:sectPr>
      </w:pPr>
      <w:r>
        <w:t xml:space="preserve">The AER has set out its considerations on the recommendations </w:t>
      </w:r>
      <w:r w:rsidR="00DB57D5">
        <w:t xml:space="preserve">and issues </w:t>
      </w:r>
      <w:r>
        <w:t>in Chapters 5</w:t>
      </w:r>
      <w:r w:rsidR="00DB57D5">
        <w:t xml:space="preserve">, </w:t>
      </w:r>
      <w:r>
        <w:t>6</w:t>
      </w:r>
      <w:r w:rsidR="00DB57D5">
        <w:t xml:space="preserve"> and 7</w:t>
      </w:r>
      <w:r>
        <w:t xml:space="preserve"> of the draft interim paper below.  While our comments only relate to the </w:t>
      </w:r>
      <w:r w:rsidRPr="009567A2">
        <w:t>NEM</w:t>
      </w:r>
      <w:r>
        <w:t>, we consider that similar</w:t>
      </w:r>
    </w:p>
    <w:p w:rsidR="00A84A06" w:rsidRDefault="00A84A06" w:rsidP="00A84A06">
      <w:pPr>
        <w:pStyle w:val="AERbodytext"/>
        <w:spacing w:after="0"/>
      </w:pPr>
      <w:r>
        <w:lastRenderedPageBreak/>
        <w:t>issues would arise from the failure of a large gas retailer. Given a</w:t>
      </w:r>
      <w:r w:rsidRPr="00DE0954">
        <w:t>ll major retailers have a significant gas market presence</w:t>
      </w:r>
      <w:r>
        <w:t>, n</w:t>
      </w:r>
      <w:r w:rsidRPr="00DE0954">
        <w:t xml:space="preserve">ot addressing these interactions represents an ongoing major gap in the development of a comprehensive financial resilience framework. We encourage the AEMC to include this in </w:t>
      </w:r>
      <w:r w:rsidR="0016688F">
        <w:t xml:space="preserve">its recommendations pertaining to </w:t>
      </w:r>
      <w:r w:rsidRPr="00DE0954">
        <w:t xml:space="preserve">the development of </w:t>
      </w:r>
      <w:r>
        <w:t>a</w:t>
      </w:r>
      <w:r w:rsidRPr="00DE0954">
        <w:t xml:space="preserve"> </w:t>
      </w:r>
      <w:r>
        <w:t>special administration regime</w:t>
      </w:r>
      <w:r w:rsidRPr="00DE0954">
        <w:t xml:space="preserve">.  </w:t>
      </w:r>
    </w:p>
    <w:p w:rsidR="00A84A06" w:rsidRDefault="00A84A06" w:rsidP="00A84A06">
      <w:pPr>
        <w:spacing w:after="0"/>
      </w:pPr>
    </w:p>
    <w:p w:rsidR="00A84A06" w:rsidRDefault="00A84A06" w:rsidP="00A84A06">
      <w:pPr>
        <w:spacing w:after="0"/>
      </w:pPr>
      <w:r w:rsidRPr="007F0CEF">
        <w:t xml:space="preserve">The AER would be pleased to provide further assistance to the Commission on this </w:t>
      </w:r>
      <w:r w:rsidRPr="00BC7D84">
        <w:t>important</w:t>
      </w:r>
      <w:r w:rsidRPr="007F0CEF">
        <w:t xml:space="preserve"> area of work.  If you would like to discuss any aspect of this submission please contact Tom Leuner, General Manager, Wholesale Markets, on (03) 9290 1890. </w:t>
      </w:r>
    </w:p>
    <w:p w:rsidR="00A84A06" w:rsidRDefault="00A84A06" w:rsidP="00A84A06">
      <w:pPr>
        <w:spacing w:after="0"/>
      </w:pPr>
    </w:p>
    <w:p w:rsidR="00A84A06" w:rsidRPr="007F0CEF" w:rsidRDefault="00A84A06" w:rsidP="00A84A06">
      <w:pPr>
        <w:spacing w:after="0" w:line="240" w:lineRule="auto"/>
      </w:pPr>
      <w:r w:rsidRPr="007F0CEF">
        <w:t>Yours sincerely</w:t>
      </w:r>
    </w:p>
    <w:p w:rsidR="00A84A06" w:rsidRDefault="005E14D4" w:rsidP="00A84A06">
      <w:pPr>
        <w:spacing w:after="0" w:line="240" w:lineRule="auto"/>
      </w:pPr>
      <w:r>
        <w:rPr>
          <w:noProof/>
          <w:lang w:eastAsia="en-AU"/>
        </w:rPr>
        <w:pict w14:anchorId="5D668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9.5pt;width:129pt;height:50.75pt;z-index:251658240">
            <v:imagedata r:id="rId11" o:title=""/>
          </v:shape>
        </w:pict>
      </w:r>
    </w:p>
    <w:p w:rsidR="0016688F" w:rsidRDefault="0016688F" w:rsidP="00A84A06">
      <w:pPr>
        <w:spacing w:after="0" w:line="240" w:lineRule="auto"/>
      </w:pPr>
    </w:p>
    <w:p w:rsidR="0016688F" w:rsidRDefault="0016688F" w:rsidP="00A84A06">
      <w:pPr>
        <w:spacing w:after="0" w:line="240" w:lineRule="auto"/>
      </w:pPr>
    </w:p>
    <w:p w:rsidR="0016688F" w:rsidRPr="007F0CEF" w:rsidRDefault="0016688F" w:rsidP="00A84A06">
      <w:pPr>
        <w:spacing w:after="0" w:line="240" w:lineRule="auto"/>
      </w:pPr>
    </w:p>
    <w:p w:rsidR="000F6429" w:rsidRDefault="000F6429" w:rsidP="00A84A06">
      <w:pPr>
        <w:spacing w:after="0" w:line="240" w:lineRule="auto"/>
      </w:pPr>
    </w:p>
    <w:p w:rsidR="00283017" w:rsidRDefault="00283017" w:rsidP="00A84A06">
      <w:pPr>
        <w:spacing w:after="0" w:line="240" w:lineRule="auto"/>
      </w:pPr>
    </w:p>
    <w:p w:rsidR="00A84A06" w:rsidRPr="007F0CEF" w:rsidRDefault="00A84A06" w:rsidP="00A84A06">
      <w:pPr>
        <w:spacing w:after="0" w:line="240" w:lineRule="auto"/>
      </w:pPr>
      <w:r>
        <w:t>Andrew Reeves</w:t>
      </w:r>
    </w:p>
    <w:p w:rsidR="00A84A06" w:rsidRDefault="00A84A06" w:rsidP="00A84A06">
      <w:pPr>
        <w:spacing w:after="0" w:line="240" w:lineRule="auto"/>
      </w:pPr>
      <w:r>
        <w:t>Chairman</w:t>
      </w:r>
    </w:p>
    <w:p w:rsidR="00992602" w:rsidRPr="00992602" w:rsidRDefault="00A84A06" w:rsidP="00A84A06">
      <w:pPr>
        <w:pStyle w:val="AERbodytext"/>
      </w:pPr>
      <w:r>
        <w:t>Australian Energy Regulator</w:t>
      </w:r>
    </w:p>
    <w:p w:rsidR="0051135E" w:rsidRDefault="0051135E" w:rsidP="00A815A4">
      <w:pPr>
        <w:pStyle w:val="AERbodytext"/>
        <w:rPr>
          <w:rFonts w:ascii="Arial" w:hAnsi="Arial" w:cs="Arial"/>
          <w:b/>
          <w:szCs w:val="20"/>
        </w:rPr>
        <w:sectPr w:rsidR="0051135E" w:rsidSect="00DF632B">
          <w:footerReference w:type="first" r:id="rId12"/>
          <w:type w:val="continuous"/>
          <w:pgSz w:w="11906" w:h="16838"/>
          <w:pgMar w:top="1440" w:right="1440" w:bottom="1440" w:left="1440" w:header="708" w:footer="708" w:gutter="0"/>
          <w:cols w:space="708"/>
          <w:titlePg/>
          <w:docGrid w:linePitch="360"/>
        </w:sectPr>
      </w:pPr>
    </w:p>
    <w:p w:rsidR="0051135E" w:rsidRDefault="0051135E" w:rsidP="00A815A4">
      <w:pPr>
        <w:pStyle w:val="AERbodytext"/>
        <w:rPr>
          <w:rFonts w:ascii="Arial" w:hAnsi="Arial" w:cs="Arial"/>
          <w:b/>
          <w:szCs w:val="20"/>
        </w:rPr>
        <w:sectPr w:rsidR="0051135E" w:rsidSect="0051135E">
          <w:footerReference w:type="default" r:id="rId13"/>
          <w:type w:val="continuous"/>
          <w:pgSz w:w="11906" w:h="16838"/>
          <w:pgMar w:top="1440" w:right="1440" w:bottom="1440" w:left="1440" w:header="708" w:footer="708" w:gutter="0"/>
          <w:pgNumType w:fmt="lowerRoman" w:start="1"/>
          <w:cols w:space="708"/>
          <w:docGrid w:linePitch="360"/>
        </w:sectPr>
      </w:pPr>
    </w:p>
    <w:p w:rsidR="00A815A4" w:rsidRPr="00264543" w:rsidRDefault="00A815A4" w:rsidP="00A815A4">
      <w:pPr>
        <w:pStyle w:val="AERbodytext"/>
      </w:pPr>
      <w:r w:rsidRPr="00B8255D">
        <w:rPr>
          <w:rFonts w:ascii="Arial" w:hAnsi="Arial" w:cs="Arial"/>
          <w:b/>
          <w:szCs w:val="20"/>
        </w:rPr>
        <w:lastRenderedPageBreak/>
        <w:t xml:space="preserve">Chapter 5 - </w:t>
      </w:r>
      <w:r w:rsidRPr="00B8255D">
        <w:rPr>
          <w:rFonts w:ascii="Arial" w:hAnsi="Arial" w:cs="Arial"/>
          <w:b/>
          <w:bCs/>
          <w:szCs w:val="20"/>
        </w:rPr>
        <w:t>Special administration regime</w:t>
      </w:r>
    </w:p>
    <w:p w:rsidR="00A815A4" w:rsidRDefault="0016688F" w:rsidP="00A815A4">
      <w:pPr>
        <w:pStyle w:val="AERbodytext"/>
      </w:pPr>
      <w:r>
        <w:rPr>
          <w:u w:val="single"/>
        </w:rPr>
        <w:t xml:space="preserve">AEMC </w:t>
      </w:r>
      <w:r w:rsidR="00A815A4" w:rsidRPr="00264543">
        <w:rPr>
          <w:u w:val="single"/>
        </w:rPr>
        <w:t>Recommendation</w:t>
      </w:r>
      <w:r w:rsidR="00A815A4">
        <w:t xml:space="preserve">: </w:t>
      </w:r>
      <w:r w:rsidR="00A815A4" w:rsidRPr="00264543">
        <w:rPr>
          <w:i/>
        </w:rPr>
        <w:t>Further work should be undertaken to assess the costs and benefits of developing and implementing a special administration regime, as an alternative to the ROLR scheme for large retailers in the NEM.</w:t>
      </w:r>
    </w:p>
    <w:p w:rsidR="009567A2" w:rsidRDefault="009567A2" w:rsidP="009567A2">
      <w:pPr>
        <w:pStyle w:val="AERbodytext"/>
      </w:pPr>
      <w:r w:rsidRPr="00A66864">
        <w:t xml:space="preserve">The AER considers that the </w:t>
      </w:r>
      <w:r w:rsidRPr="009567A2">
        <w:t>National Electricity Retail Law (</w:t>
      </w:r>
      <w:r>
        <w:t>NERL)</w:t>
      </w:r>
      <w:r w:rsidRPr="00A66864">
        <w:t xml:space="preserve"> ROLR regime</w:t>
      </w:r>
      <w:r w:rsidRPr="009567A2">
        <w:t xml:space="preserve"> </w:t>
      </w:r>
      <w:r>
        <w:t xml:space="preserve">is not appropriate for addressing large retailer failures. There are </w:t>
      </w:r>
      <w:r w:rsidR="00992602">
        <w:t xml:space="preserve">widely accepted </w:t>
      </w:r>
      <w:r>
        <w:t>practical and systems</w:t>
      </w:r>
      <w:r w:rsidR="00992602">
        <w:t>-related</w:t>
      </w:r>
      <w:r>
        <w:t xml:space="preserve"> problems associated with transferring large numbers of customers to a new retailer and there is a significant risk of cascading retailer failure. Furthermore, </w:t>
      </w:r>
      <w:r w:rsidR="003551EF">
        <w:t>we are</w:t>
      </w:r>
      <w:r>
        <w:t xml:space="preserve"> highly concerned about the long-term impact on competition of transferring a large retailer’s customers to the other retailers. </w:t>
      </w:r>
    </w:p>
    <w:p w:rsidR="00A815A4" w:rsidRDefault="00DE653E" w:rsidP="00DE653E">
      <w:pPr>
        <w:pStyle w:val="AERbodytext"/>
      </w:pPr>
      <w:r>
        <w:t xml:space="preserve">As such, we agree with the AEMC that </w:t>
      </w:r>
      <w:r w:rsidRPr="00DE653E">
        <w:t xml:space="preserve">there is merit in developing a special administration regime as an option for use if a large NEM retailer encounters financial distress that is likely to trigger a ROLR event. In those circumstances, we consider that a special administration regime has significant benefits for mitigating the risk of financial contagion </w:t>
      </w:r>
      <w:r w:rsidRPr="003551EF">
        <w:t>spreading across the energy market</w:t>
      </w:r>
      <w:r w:rsidRPr="00DE653E">
        <w:t>.</w:t>
      </w:r>
      <w:r>
        <w:t xml:space="preserve"> Such a regime </w:t>
      </w:r>
      <w:r w:rsidR="003551EF" w:rsidRPr="003551EF">
        <w:t>will maintain market stability and therefore protect consumers.</w:t>
      </w:r>
    </w:p>
    <w:p w:rsidR="000F6429" w:rsidRDefault="00DE653E" w:rsidP="00DE653E">
      <w:pPr>
        <w:pStyle w:val="AERbodytext"/>
      </w:pPr>
      <w:r>
        <w:t xml:space="preserve">We welcome the AEMC undertaking </w:t>
      </w:r>
      <w:r w:rsidRPr="00DE653E">
        <w:t>further work</w:t>
      </w:r>
      <w:r>
        <w:t xml:space="preserve"> </w:t>
      </w:r>
      <w:r w:rsidRPr="00DE653E">
        <w:t>to assess the costs and benefits of developing and implementing a special administration regime as</w:t>
      </w:r>
      <w:r w:rsidR="00446337">
        <w:t xml:space="preserve"> a</w:t>
      </w:r>
      <w:r w:rsidRPr="00DE653E">
        <w:t xml:space="preserve"> </w:t>
      </w:r>
      <w:r>
        <w:t>backstop</w:t>
      </w:r>
      <w:r w:rsidRPr="00DE653E">
        <w:t xml:space="preserve"> to the ROLR scheme.</w:t>
      </w:r>
      <w:r>
        <w:t xml:space="preserve"> </w:t>
      </w:r>
      <w:r w:rsidR="00F93CC9">
        <w:t xml:space="preserve"> The AER considers that there is currently no clarity on what would occur if there were a major retailer failure.  If the AER and AEMO comply with their legal obligations without intervention by Governments, it will </w:t>
      </w:r>
      <w:r w:rsidR="0092232B">
        <w:t xml:space="preserve">quite possibly </w:t>
      </w:r>
      <w:r w:rsidR="00F93CC9">
        <w:t xml:space="preserve">lead to cascading </w:t>
      </w:r>
      <w:r w:rsidR="0092232B">
        <w:t xml:space="preserve">large </w:t>
      </w:r>
      <w:r w:rsidR="00F93CC9">
        <w:t xml:space="preserve">retailer failure, </w:t>
      </w:r>
      <w:r w:rsidR="0092232B">
        <w:t xml:space="preserve">leading to </w:t>
      </w:r>
      <w:r w:rsidR="00F93CC9">
        <w:t>collapse of the wholesale spot market</w:t>
      </w:r>
      <w:r w:rsidR="0092232B">
        <w:t>.  In addition, there would be long-term detrimental impacts on</w:t>
      </w:r>
      <w:r w:rsidR="00F93CC9">
        <w:t xml:space="preserve"> the competitiveness of the retail</w:t>
      </w:r>
      <w:r w:rsidR="0092232B">
        <w:t xml:space="preserve"> market.  </w:t>
      </w:r>
    </w:p>
    <w:p w:rsidR="00DE653E" w:rsidRPr="003551EF" w:rsidRDefault="00BC75D9" w:rsidP="00BC75D9">
      <w:pPr>
        <w:pStyle w:val="AERbodytext"/>
      </w:pPr>
      <w:r w:rsidRPr="00BC75D9">
        <w:t>The AER encourages the AEMC to promote the special administration regime.</w:t>
      </w:r>
      <w:r w:rsidR="0092232B">
        <w:t xml:space="preserve"> </w:t>
      </w:r>
      <w:r w:rsidR="00AA1266">
        <w:t xml:space="preserve">In developing </w:t>
      </w:r>
      <w:r w:rsidR="0089533F">
        <w:t>the</w:t>
      </w:r>
      <w:r w:rsidR="00AA1266">
        <w:t xml:space="preserve"> regime, consideration should be given to ensure that it includes </w:t>
      </w:r>
      <w:r w:rsidR="000F6429">
        <w:t xml:space="preserve">an assessment by the </w:t>
      </w:r>
      <w:r w:rsidR="000F6429" w:rsidRPr="000F6429">
        <w:t xml:space="preserve">Australian Competition and Consumer Commission </w:t>
      </w:r>
      <w:r w:rsidR="000F6429">
        <w:t>(</w:t>
      </w:r>
      <w:r w:rsidR="00AA1266" w:rsidRPr="000F6429">
        <w:rPr>
          <w:b/>
        </w:rPr>
        <w:t>ACCC</w:t>
      </w:r>
      <w:r w:rsidR="000F6429">
        <w:t>)</w:t>
      </w:r>
      <w:r w:rsidR="00AA1266">
        <w:t xml:space="preserve"> of any transfer of assets under s</w:t>
      </w:r>
      <w:r w:rsidR="0089533F">
        <w:t>.</w:t>
      </w:r>
      <w:r w:rsidR="00AA1266">
        <w:t xml:space="preserve"> 50 of the </w:t>
      </w:r>
      <w:r w:rsidR="00AA1266" w:rsidRPr="000F6429">
        <w:rPr>
          <w:i/>
        </w:rPr>
        <w:t>Competition and Consumer Act</w:t>
      </w:r>
      <w:r w:rsidR="00AA1266">
        <w:rPr>
          <w:i/>
        </w:rPr>
        <w:t xml:space="preserve"> (2010)</w:t>
      </w:r>
      <w:r w:rsidR="00AA1266" w:rsidRPr="000F6429">
        <w:rPr>
          <w:i/>
        </w:rPr>
        <w:t>.</w:t>
      </w:r>
      <w:r w:rsidR="00AA1266">
        <w:t xml:space="preserve"> </w:t>
      </w:r>
    </w:p>
    <w:p w:rsidR="00A815A4" w:rsidRDefault="00A815A4" w:rsidP="00A815A4">
      <w:pPr>
        <w:pStyle w:val="AERbodytext"/>
        <w:numPr>
          <w:ilvl w:val="0"/>
          <w:numId w:val="0"/>
        </w:numPr>
        <w:rPr>
          <w:rFonts w:ascii="Arial" w:hAnsi="Arial" w:cs="Arial"/>
          <w:b/>
          <w:bCs/>
          <w:szCs w:val="20"/>
        </w:rPr>
      </w:pPr>
      <w:r w:rsidRPr="00B8255D">
        <w:rPr>
          <w:rFonts w:ascii="Arial" w:hAnsi="Arial" w:cs="Arial"/>
          <w:b/>
          <w:bCs/>
          <w:szCs w:val="20"/>
        </w:rPr>
        <w:t>Chapter 6: Changes to the ROLR scheme and credit support arrangements</w:t>
      </w:r>
    </w:p>
    <w:p w:rsidR="00A815A4" w:rsidRPr="00264543" w:rsidRDefault="0016688F" w:rsidP="00A815A4">
      <w:pPr>
        <w:pStyle w:val="AERbodytext"/>
        <w:rPr>
          <w:rFonts w:ascii="Arial" w:hAnsi="Arial" w:cs="Arial"/>
          <w:b/>
          <w:bCs/>
          <w:szCs w:val="20"/>
        </w:rPr>
      </w:pPr>
      <w:r>
        <w:rPr>
          <w:u w:val="single"/>
        </w:rPr>
        <w:t xml:space="preserve">AEMC </w:t>
      </w:r>
      <w:r w:rsidR="00A815A4" w:rsidRPr="00264543">
        <w:rPr>
          <w:u w:val="single"/>
        </w:rPr>
        <w:t>Recommendation</w:t>
      </w:r>
      <w:r w:rsidR="00A815A4">
        <w:t xml:space="preserve">: </w:t>
      </w:r>
      <w:r w:rsidR="00A815A4" w:rsidRPr="00264543">
        <w:rPr>
          <w:i/>
        </w:rPr>
        <w:t>Revised cost recovery arrangements - The existing ROLR cost recovery provisions should be amended to give the designated ROLR greater certainty that it can quickly recover the reasonable costs associated with a ROLR event</w:t>
      </w:r>
      <w:r w:rsidR="000F6429">
        <w:rPr>
          <w:i/>
        </w:rPr>
        <w:t>.</w:t>
      </w:r>
      <w:r w:rsidR="00A815A4" w:rsidRPr="00264543">
        <w:rPr>
          <w:rFonts w:ascii="Arial" w:hAnsi="Arial" w:cs="Arial"/>
          <w:b/>
          <w:bCs/>
          <w:szCs w:val="20"/>
        </w:rPr>
        <w:t xml:space="preserve"> </w:t>
      </w:r>
    </w:p>
    <w:p w:rsidR="00992602" w:rsidRDefault="00992602" w:rsidP="00992602">
      <w:pPr>
        <w:pStyle w:val="AERbodytext"/>
      </w:pPr>
      <w:r>
        <w:t xml:space="preserve">The AER acknowledges that this recommendation </w:t>
      </w:r>
      <w:r w:rsidR="0016688F">
        <w:t xml:space="preserve">may </w:t>
      </w:r>
      <w:r>
        <w:t>reduce the financial uncertainty faced by the designated ROLR(s) following the failure of a large retailer. This could increase the appetite among retailers to submit expressions of interest to act as additional ROLRs and improve the likelihood of the designated ROLR being able to borrow funds to cover its short-term costs.</w:t>
      </w:r>
    </w:p>
    <w:p w:rsidR="00992602" w:rsidRDefault="00992602" w:rsidP="00992602">
      <w:pPr>
        <w:pStyle w:val="AERbodytext"/>
      </w:pPr>
      <w:r>
        <w:t xml:space="preserve">We note, however, that there is a tension between providing certainty of cost recovery and limiting that recovery to only reasonable costs. Any revised cost recovery arrangements should not reduce the commercial incentives on the designated ROLR to minimise its costs. Customers will ultimately bear the risk of their inefficient behaviour through higher prices.  </w:t>
      </w:r>
    </w:p>
    <w:p w:rsidR="002D4BD4" w:rsidRDefault="002D4BD4" w:rsidP="002D4BD4">
      <w:pPr>
        <w:pStyle w:val="AERbodytext"/>
      </w:pPr>
      <w:r>
        <w:t xml:space="preserve">The current AEMC recommendation maintains some commercial incentives. For example, a potential ROLR can still waive recovery of some or all </w:t>
      </w:r>
      <w:r w:rsidR="000F6429">
        <w:t xml:space="preserve">of </w:t>
      </w:r>
      <w:r>
        <w:t xml:space="preserve">its costs to acquire customers and the AER retains its role in determining whether the costs incurred by the designated ROLR(s) are reasonable. However, we consider that the cost recovery arrangements should preserve the principle in s. 166(7)(c) of the </w:t>
      </w:r>
      <w:r>
        <w:lastRenderedPageBreak/>
        <w:t xml:space="preserve">Retail Law that the registered </w:t>
      </w:r>
      <w:r w:rsidR="005C3A4E">
        <w:t>ROLR</w:t>
      </w:r>
      <w:r>
        <w:t xml:space="preserve"> will itself bear some of the costs, specifically in relation to smaller retailer failure. While this principle</w:t>
      </w:r>
      <w:r w:rsidR="00DF632B">
        <w:t>,</w:t>
      </w:r>
      <w:r>
        <w:t xml:space="preserve"> as currently drafted</w:t>
      </w:r>
      <w:r w:rsidR="00DF632B">
        <w:t>,</w:t>
      </w:r>
      <w:r>
        <w:t xml:space="preserve"> is not suited to medium and large </w:t>
      </w:r>
      <w:r w:rsidR="005C3A4E">
        <w:t>ROLR</w:t>
      </w:r>
      <w:r>
        <w:t xml:space="preserve"> events, we consider that the principle is still appropriate where the number of transferred customers (and their load) is low relative to the </w:t>
      </w:r>
      <w:r w:rsidR="005C3A4E">
        <w:t>ROLR</w:t>
      </w:r>
      <w:r>
        <w:t xml:space="preserve">’s pre-existing customer base.  </w:t>
      </w:r>
    </w:p>
    <w:p w:rsidR="00A815A4" w:rsidRPr="00264543" w:rsidRDefault="0016688F" w:rsidP="00A815A4">
      <w:pPr>
        <w:pStyle w:val="AERbodytext"/>
      </w:pPr>
      <w:r>
        <w:rPr>
          <w:u w:val="single"/>
        </w:rPr>
        <w:t>AEMC R</w:t>
      </w:r>
      <w:r w:rsidR="00A815A4" w:rsidRPr="00264543">
        <w:rPr>
          <w:u w:val="single"/>
        </w:rPr>
        <w:t>ecommendation</w:t>
      </w:r>
      <w:r w:rsidR="00A815A4">
        <w:t xml:space="preserve">: </w:t>
      </w:r>
      <w:r w:rsidR="00A815A4" w:rsidRPr="00264543">
        <w:rPr>
          <w:i/>
        </w:rPr>
        <w:t xml:space="preserve">Delayed designation of ROLRs </w:t>
      </w:r>
      <w:r w:rsidR="00A815A4">
        <w:rPr>
          <w:i/>
        </w:rPr>
        <w:t xml:space="preserve">- </w:t>
      </w:r>
      <w:r w:rsidR="00A815A4" w:rsidRPr="00264543">
        <w:rPr>
          <w:i/>
        </w:rPr>
        <w:t xml:space="preserve">The ROLR regime should be amended to delay the time at which the designated ROLR is appointed by the AER, to allow a more considered allocation of customers and greater potential for multiple ROLRs. </w:t>
      </w:r>
    </w:p>
    <w:p w:rsidR="00A26022" w:rsidRPr="00A26022" w:rsidRDefault="00A26022" w:rsidP="00A26022">
      <w:pPr>
        <w:pStyle w:val="AERbodytext"/>
        <w:numPr>
          <w:ilvl w:val="0"/>
          <w:numId w:val="0"/>
        </w:numPr>
        <w:rPr>
          <w:b/>
        </w:rPr>
      </w:pPr>
      <w:r>
        <w:t xml:space="preserve">As we note in our </w:t>
      </w:r>
      <w:r w:rsidRPr="00A26022">
        <w:t>statement of approach</w:t>
      </w:r>
      <w:r>
        <w:rPr>
          <w:rStyle w:val="FootnoteReference"/>
        </w:rPr>
        <w:footnoteReference w:id="1"/>
      </w:r>
      <w:r>
        <w:t>,</w:t>
      </w:r>
      <w:r w:rsidRPr="00A26022">
        <w:t xml:space="preserve"> a major factor </w:t>
      </w:r>
      <w:r w:rsidR="0016688F">
        <w:t xml:space="preserve">in whether or not the AER will be able to appoint additional </w:t>
      </w:r>
      <w:r w:rsidR="005C3A4E">
        <w:t>ROLR</w:t>
      </w:r>
      <w:r w:rsidR="0016688F">
        <w:t xml:space="preserve">s </w:t>
      </w:r>
      <w:r w:rsidRPr="00A26022">
        <w:t xml:space="preserve">will be the length of time </w:t>
      </w:r>
      <w:r>
        <w:t>we</w:t>
      </w:r>
      <w:r w:rsidRPr="00A26022">
        <w:t xml:space="preserve"> ha</w:t>
      </w:r>
      <w:r>
        <w:t>ve</w:t>
      </w:r>
      <w:r w:rsidRPr="00A26022">
        <w:t xml:space="preserve"> to make the decision. </w:t>
      </w:r>
      <w:r w:rsidR="00DF6830" w:rsidRPr="00DF6830">
        <w:t xml:space="preserve">The current timeframe </w:t>
      </w:r>
      <w:r w:rsidR="0016688F">
        <w:t>will often make it</w:t>
      </w:r>
      <w:r w:rsidR="00DF6830" w:rsidRPr="00DF6830">
        <w:t xml:space="preserve"> unlikely </w:t>
      </w:r>
      <w:r w:rsidR="0016688F">
        <w:t xml:space="preserve">that </w:t>
      </w:r>
      <w:r w:rsidR="00DF6830" w:rsidRPr="00DF6830">
        <w:t xml:space="preserve">the AER will be able to appoint </w:t>
      </w:r>
      <w:r w:rsidR="0016688F">
        <w:t>any additional</w:t>
      </w:r>
      <w:r w:rsidR="00DF6830" w:rsidRPr="00DF6830">
        <w:t xml:space="preserve"> ROLR</w:t>
      </w:r>
      <w:r w:rsidR="0016688F">
        <w:t>s</w:t>
      </w:r>
      <w:r w:rsidR="00DF6830" w:rsidRPr="00DF6830">
        <w:t xml:space="preserve"> </w:t>
      </w:r>
      <w:r w:rsidR="0016688F">
        <w:t xml:space="preserve">(i.e. the </w:t>
      </w:r>
      <w:r w:rsidR="005C3A4E">
        <w:t>ROLR</w:t>
      </w:r>
      <w:r w:rsidR="00446337">
        <w:t>(s)</w:t>
      </w:r>
      <w:r w:rsidR="0016688F">
        <w:t xml:space="preserve"> will typically be the </w:t>
      </w:r>
      <w:r w:rsidR="00DF6830" w:rsidRPr="00DF6830">
        <w:t>default ROLR</w:t>
      </w:r>
      <w:r w:rsidR="00446337">
        <w:t>(s)</w:t>
      </w:r>
      <w:r w:rsidR="0016688F">
        <w:t>)</w:t>
      </w:r>
      <w:r>
        <w:t xml:space="preserve">. </w:t>
      </w:r>
      <w:r w:rsidRPr="00A26022">
        <w:t xml:space="preserve">The more warning </w:t>
      </w:r>
      <w:r>
        <w:t>we have</w:t>
      </w:r>
      <w:r w:rsidRPr="00A26022">
        <w:t xml:space="preserve"> of an impending ROLR event, the more </w:t>
      </w:r>
      <w:r w:rsidR="0016688F">
        <w:t xml:space="preserve">potential there is for the AER to consider appointing additional </w:t>
      </w:r>
      <w:r w:rsidRPr="00A26022">
        <w:t xml:space="preserve">ROLRs. This would include non-firm additional ROLRs who </w:t>
      </w:r>
      <w:r w:rsidR="00DB57D5">
        <w:t>can only be designated if they provide their agreement at the time of an event</w:t>
      </w:r>
      <w:r w:rsidRPr="00A26022">
        <w:t>.</w:t>
      </w:r>
    </w:p>
    <w:p w:rsidR="00805BFE" w:rsidRDefault="00DF6830" w:rsidP="001F61F9">
      <w:pPr>
        <w:pStyle w:val="AERbodytext"/>
      </w:pPr>
      <w:r>
        <w:t>We note that the</w:t>
      </w:r>
      <w:r w:rsidRPr="00DF6830">
        <w:t xml:space="preserve"> recommendation increases the period of time between the ROLR event and the appointment of the designated ROLR by 24 hours. </w:t>
      </w:r>
      <w:r w:rsidR="0016688F">
        <w:t>There are costs and benefits to such an approach.  The key benefit is that, as noted above, the AER is more likely to be able to appoint additional ROLRs (particularly those who have made a non-firm expression of interest in being a ROLR), which has flow on benefits in terms of limiting the likelihood of cascading failures and promoting a competitive market structure. However, the cost of this approach is that t</w:t>
      </w:r>
      <w:r w:rsidRPr="00DF6830">
        <w:t>he designated ROLR</w:t>
      </w:r>
      <w:r w:rsidR="0016688F">
        <w:t>s</w:t>
      </w:r>
      <w:r w:rsidRPr="00DF6830">
        <w:t xml:space="preserve"> will inherit an unhedged exposure to the spot price for all energy consumed during this interim period, which could be substantial if the failure occurred during a period of high spot prices.</w:t>
      </w:r>
      <w:r>
        <w:t xml:space="preserve"> </w:t>
      </w:r>
      <w:r w:rsidR="00FC7D8F">
        <w:t xml:space="preserve">Furthermore, customers will not know who the new retailer is </w:t>
      </w:r>
      <w:r w:rsidR="00682F35">
        <w:t xml:space="preserve">for </w:t>
      </w:r>
      <w:r w:rsidR="00FC7D8F">
        <w:t xml:space="preserve">the 24 hour period, potentially creating communication and event management issues. </w:t>
      </w:r>
    </w:p>
    <w:p w:rsidR="00F93CC9" w:rsidRDefault="00A74511" w:rsidP="001F61F9">
      <w:pPr>
        <w:pStyle w:val="AERbodytext"/>
      </w:pPr>
      <w:r>
        <w:t xml:space="preserve">We </w:t>
      </w:r>
      <w:r w:rsidR="00F93CC9">
        <w:t>support the recommendation for the following reasons:</w:t>
      </w:r>
    </w:p>
    <w:p w:rsidR="00F93CC9" w:rsidRDefault="00F93CC9" w:rsidP="00F93CC9">
      <w:pPr>
        <w:pStyle w:val="AERbulletlistsecondstyle"/>
      </w:pPr>
      <w:r>
        <w:t>The AER is aware of the risks of designated ROLRs inheriting unhedged exposure to the spot price for energy consumed during the interim period, and therefore we would generally try to avoid using the extra 24 hours, particularly if the extra 24 hours is unlikely to</w:t>
      </w:r>
      <w:r w:rsidR="00834840">
        <w:t xml:space="preserve"> change who the designated ROLRs</w:t>
      </w:r>
      <w:r>
        <w:t xml:space="preserve"> </w:t>
      </w:r>
      <w:r w:rsidR="00834840">
        <w:t xml:space="preserve">will be. </w:t>
      </w:r>
    </w:p>
    <w:p w:rsidR="0092232B" w:rsidRDefault="00F93CC9" w:rsidP="00F93CC9">
      <w:pPr>
        <w:pStyle w:val="AERbulletlistsecondstyle"/>
      </w:pPr>
      <w:r>
        <w:t xml:space="preserve">Where there is a question mark over the financial viability of the ROLRs after the ROLR event, the extra 24 hours will enable more detailed analysis of financial positions </w:t>
      </w:r>
      <w:r w:rsidR="0092232B">
        <w:t xml:space="preserve">together </w:t>
      </w:r>
      <w:r>
        <w:t>with AEMO</w:t>
      </w:r>
      <w:r w:rsidR="0092232B">
        <w:t xml:space="preserve"> and the potential ROLRs. This may, for example, lead to the AER not choosing to designate a certain additional ROLR if there is a question mark over their viability, or it may leave sufficient time for Governments to intervene if there is a risk of cascading failure of large retailers. </w:t>
      </w:r>
    </w:p>
    <w:p w:rsidR="0079635C" w:rsidRDefault="0092232B" w:rsidP="00F93CC9">
      <w:pPr>
        <w:pStyle w:val="AERbulletlistsecondstyle"/>
      </w:pPr>
      <w:r>
        <w:t xml:space="preserve">The default ROLR would know early on the high likelihood that they will be taking on customers.  For example, if a retailer with 100,000 customers in a region failed, and the AER had only one firm offer for 5000 customers and was unlikely to get significant interest from potential other additional ROLRs due to high contract prices, the AER would be in discussions early with the default ROLR to let them know the likely result was that close to 100,000 customers would be transferred shortly to the default ROLR.  Given this, </w:t>
      </w:r>
      <w:r w:rsidR="00122750">
        <w:t xml:space="preserve">the </w:t>
      </w:r>
      <w:r>
        <w:t xml:space="preserve">default ROLR </w:t>
      </w:r>
      <w:r>
        <w:lastRenderedPageBreak/>
        <w:t xml:space="preserve">would be able to put hedge contracts in place to protect their greater exposure at an early stage, and would not need to wait until </w:t>
      </w:r>
      <w:r w:rsidR="00DB57D5">
        <w:t xml:space="preserve">the AER issues the </w:t>
      </w:r>
      <w:r w:rsidR="00834840">
        <w:t>ROLR notice</w:t>
      </w:r>
      <w:r>
        <w:t>.</w:t>
      </w:r>
    </w:p>
    <w:p w:rsidR="00A815A4" w:rsidRDefault="00122750" w:rsidP="00A26022">
      <w:pPr>
        <w:pStyle w:val="AERbodytext"/>
        <w:numPr>
          <w:ilvl w:val="0"/>
          <w:numId w:val="0"/>
        </w:numPr>
      </w:pPr>
      <w:r>
        <w:rPr>
          <w:u w:val="single"/>
        </w:rPr>
        <w:t xml:space="preserve">AEMC </w:t>
      </w:r>
      <w:r w:rsidR="00A815A4" w:rsidRPr="00264543">
        <w:rPr>
          <w:u w:val="single"/>
        </w:rPr>
        <w:t>Recommendation</w:t>
      </w:r>
      <w:r w:rsidR="00A815A4">
        <w:t xml:space="preserve">: </w:t>
      </w:r>
      <w:r w:rsidR="00A815A4" w:rsidRPr="00264543">
        <w:rPr>
          <w:i/>
        </w:rPr>
        <w:t>Amendments to AEMO credit support provisions - The increased credit support required to be provided by the designated ROLR to AEMO for the new energy volumes of the acquired customers should be waived for a short time, and then ramped up over a transitional period.</w:t>
      </w:r>
    </w:p>
    <w:p w:rsidR="000F6429" w:rsidRDefault="006B6298" w:rsidP="004777DF">
      <w:pPr>
        <w:pStyle w:val="AERbodytext"/>
        <w:numPr>
          <w:ilvl w:val="0"/>
          <w:numId w:val="0"/>
        </w:numPr>
      </w:pPr>
      <w:r>
        <w:t>The AER</w:t>
      </w:r>
      <w:r w:rsidR="004777DF">
        <w:t xml:space="preserve"> support</w:t>
      </w:r>
      <w:r>
        <w:t>s</w:t>
      </w:r>
      <w:r w:rsidR="004777DF">
        <w:t xml:space="preserve"> the </w:t>
      </w:r>
      <w:r w:rsidR="004777DF" w:rsidRPr="004777DF">
        <w:t>proposed changes to credit support requirements</w:t>
      </w:r>
      <w:r w:rsidR="004777DF">
        <w:t>.</w:t>
      </w:r>
      <w:r w:rsidR="004777DF" w:rsidRPr="004777DF">
        <w:t xml:space="preserve"> </w:t>
      </w:r>
      <w:r>
        <w:t xml:space="preserve">We recognise that the </w:t>
      </w:r>
      <w:r w:rsidRPr="004777DF">
        <w:t>decrease in the amount of collateral held by AEMO over the transitional period raises the possibility that, if the designated ROLR collapsed and was unable to pay AEMO, generators may be short-paid.</w:t>
      </w:r>
      <w:r>
        <w:t xml:space="preserve"> However, </w:t>
      </w:r>
      <w:r w:rsidRPr="004777DF">
        <w:t>generators benefit from measures to mitigate the risk of contagion</w:t>
      </w:r>
      <w:r w:rsidR="00AA1266">
        <w:t xml:space="preserve">.  </w:t>
      </w:r>
    </w:p>
    <w:p w:rsidR="006B6298" w:rsidRDefault="00AA1266" w:rsidP="004777DF">
      <w:pPr>
        <w:pStyle w:val="AERbodytext"/>
        <w:numPr>
          <w:ilvl w:val="0"/>
          <w:numId w:val="0"/>
        </w:numPr>
      </w:pPr>
      <w:r>
        <w:t xml:space="preserve">Currently, if there </w:t>
      </w:r>
      <w:r w:rsidR="000F6429">
        <w:t xml:space="preserve">is </w:t>
      </w:r>
      <w:r>
        <w:t xml:space="preserve">cascading retailer failure, generators face a high risk of not being paid.  Lessening the chance of cascading retailer failure is therefore lessening the risk to generators. On that basis, the AER considers </w:t>
      </w:r>
      <w:r w:rsidR="006B6298" w:rsidRPr="004777DF">
        <w:t xml:space="preserve">it is appropriate that </w:t>
      </w:r>
      <w:r>
        <w:t xml:space="preserve">generators take on some additional risk (through changes to credit support requirements) in the context of </w:t>
      </w:r>
      <w:r w:rsidR="00682F35">
        <w:t xml:space="preserve">improving </w:t>
      </w:r>
      <w:r>
        <w:t xml:space="preserve">the ROLR regime. </w:t>
      </w:r>
    </w:p>
    <w:p w:rsidR="004777DF" w:rsidRPr="004777DF" w:rsidRDefault="006B6298" w:rsidP="004777DF">
      <w:pPr>
        <w:pStyle w:val="AERbodytext"/>
        <w:numPr>
          <w:ilvl w:val="0"/>
          <w:numId w:val="0"/>
        </w:numPr>
      </w:pPr>
      <w:r>
        <w:t>This amendment</w:t>
      </w:r>
      <w:r w:rsidR="004777DF" w:rsidRPr="004777DF">
        <w:t xml:space="preserve"> allow</w:t>
      </w:r>
      <w:r w:rsidR="000F6429">
        <w:t>s</w:t>
      </w:r>
      <w:r w:rsidR="004777DF" w:rsidRPr="004777DF">
        <w:t xml:space="preserve"> the designated ROLR to take up its new customers without having to bear the immediate risk or cost of sharply increased credit support requirements, thereby reducing the likelihood of cascading retailer failure.</w:t>
      </w:r>
      <w:r>
        <w:t xml:space="preserve"> Importantly, i</w:t>
      </w:r>
      <w:r w:rsidR="004777DF" w:rsidRPr="004777DF">
        <w:t>t would also encourage more retailers to offer to be additional ROLRs, knowing they would have more time to secure additional credit support. This would increase the potential for multiple ROLRs</w:t>
      </w:r>
      <w:r w:rsidR="004777DF">
        <w:t xml:space="preserve"> being appointed</w:t>
      </w:r>
      <w:r w:rsidR="004777DF" w:rsidRPr="004777DF">
        <w:t xml:space="preserve">, </w:t>
      </w:r>
      <w:r w:rsidR="004777DF">
        <w:t>securing better outcomes for consumers</w:t>
      </w:r>
      <w:r w:rsidR="004777DF" w:rsidRPr="004777DF">
        <w:t xml:space="preserve">. </w:t>
      </w:r>
    </w:p>
    <w:p w:rsidR="006B6298" w:rsidRDefault="006B6298" w:rsidP="006B6298">
      <w:pPr>
        <w:pStyle w:val="AERbodytext"/>
        <w:numPr>
          <w:ilvl w:val="0"/>
          <w:numId w:val="0"/>
        </w:numPr>
        <w:rPr>
          <w:rFonts w:ascii="Arial" w:hAnsi="Arial" w:cs="Arial"/>
          <w:b/>
          <w:bCs/>
          <w:szCs w:val="20"/>
        </w:rPr>
      </w:pPr>
      <w:r w:rsidRPr="00B8255D">
        <w:rPr>
          <w:rFonts w:ascii="Arial" w:hAnsi="Arial" w:cs="Arial"/>
          <w:b/>
          <w:bCs/>
          <w:szCs w:val="20"/>
        </w:rPr>
        <w:t xml:space="preserve">Chapter </w:t>
      </w:r>
      <w:r>
        <w:rPr>
          <w:rFonts w:ascii="Arial" w:hAnsi="Arial" w:cs="Arial"/>
          <w:b/>
          <w:bCs/>
          <w:szCs w:val="20"/>
        </w:rPr>
        <w:t>7</w:t>
      </w:r>
      <w:r w:rsidRPr="00B8255D">
        <w:rPr>
          <w:rFonts w:ascii="Arial" w:hAnsi="Arial" w:cs="Arial"/>
          <w:b/>
          <w:bCs/>
          <w:szCs w:val="20"/>
        </w:rPr>
        <w:t xml:space="preserve">: </w:t>
      </w:r>
      <w:r w:rsidRPr="006B6298">
        <w:rPr>
          <w:rFonts w:ascii="Arial" w:hAnsi="Arial" w:cs="Arial"/>
          <w:b/>
          <w:bCs/>
          <w:szCs w:val="20"/>
        </w:rPr>
        <w:t>Operational refinements to the ROLR arrangements</w:t>
      </w:r>
    </w:p>
    <w:p w:rsidR="00961D4E" w:rsidRDefault="00122750" w:rsidP="0000390A">
      <w:pPr>
        <w:pStyle w:val="AERbodytext"/>
        <w:numPr>
          <w:ilvl w:val="0"/>
          <w:numId w:val="0"/>
        </w:numPr>
        <w:spacing w:after="0"/>
        <w:rPr>
          <w:i/>
        </w:rPr>
      </w:pPr>
      <w:r>
        <w:rPr>
          <w:u w:val="single"/>
        </w:rPr>
        <w:t xml:space="preserve">AEMC </w:t>
      </w:r>
      <w:r w:rsidR="00597114" w:rsidRPr="00264543">
        <w:rPr>
          <w:u w:val="single"/>
        </w:rPr>
        <w:t>Recommendation</w:t>
      </w:r>
      <w:r w:rsidR="00597114">
        <w:t xml:space="preserve">: </w:t>
      </w:r>
      <w:r w:rsidR="00597114" w:rsidRPr="00597114">
        <w:rPr>
          <w:i/>
        </w:rPr>
        <w:t>Improvements to ROLR processes - AEMO and the AER should continue to investigate the scope for further improvements to ROLR processes, including ensuring that updated standardised customer data is available, and that systems are capable of efficiently transferring customers to new retailers if a ROLR event occurs.</w:t>
      </w:r>
    </w:p>
    <w:p w:rsidR="00597114" w:rsidRDefault="00597114" w:rsidP="0000390A">
      <w:pPr>
        <w:pStyle w:val="AERbodytext"/>
        <w:numPr>
          <w:ilvl w:val="0"/>
          <w:numId w:val="0"/>
        </w:numPr>
        <w:spacing w:after="0"/>
        <w:rPr>
          <w:i/>
        </w:rPr>
      </w:pPr>
    </w:p>
    <w:p w:rsidR="00597114" w:rsidRDefault="00597114" w:rsidP="0000390A">
      <w:pPr>
        <w:pStyle w:val="AERbodytext"/>
        <w:numPr>
          <w:ilvl w:val="0"/>
          <w:numId w:val="0"/>
        </w:numPr>
        <w:spacing w:after="0"/>
      </w:pPr>
      <w:r>
        <w:t xml:space="preserve">We strongly support the need for </w:t>
      </w:r>
      <w:r w:rsidR="009915B6" w:rsidRPr="00597114">
        <w:t xml:space="preserve">standardised </w:t>
      </w:r>
      <w:r w:rsidR="009915B6">
        <w:t xml:space="preserve">and up-to-date </w:t>
      </w:r>
      <w:r w:rsidR="009915B6" w:rsidRPr="00597114">
        <w:t xml:space="preserve">customer data information </w:t>
      </w:r>
      <w:r w:rsidR="009915B6">
        <w:t xml:space="preserve">as well as </w:t>
      </w:r>
      <w:r w:rsidRPr="00597114">
        <w:t>a</w:t>
      </w:r>
      <w:r w:rsidR="009915B6">
        <w:t>n</w:t>
      </w:r>
      <w:r>
        <w:t xml:space="preserve"> </w:t>
      </w:r>
      <w:r w:rsidRPr="00597114">
        <w:t>efficient transfer process</w:t>
      </w:r>
      <w:r>
        <w:t xml:space="preserve"> </w:t>
      </w:r>
      <w:r w:rsidR="009915B6">
        <w:t>capable of moving l</w:t>
      </w:r>
      <w:r w:rsidR="009915B6" w:rsidRPr="009915B6">
        <w:t>arge number</w:t>
      </w:r>
      <w:r w:rsidR="009915B6">
        <w:t>s</w:t>
      </w:r>
      <w:r w:rsidR="009915B6" w:rsidRPr="009915B6">
        <w:t xml:space="preserve"> of customers in a short period of time</w:t>
      </w:r>
      <w:r>
        <w:t>.</w:t>
      </w:r>
      <w:r w:rsidR="009915B6">
        <w:t xml:space="preserve"> </w:t>
      </w:r>
      <w:r w:rsidR="00DB57D5">
        <w:t xml:space="preserve">Although </w:t>
      </w:r>
      <w:r w:rsidR="00DB57D5" w:rsidRPr="00DB57D5">
        <w:t xml:space="preserve">primary responsibility for delivering </w:t>
      </w:r>
      <w:r w:rsidR="00DB57D5">
        <w:t>any changes</w:t>
      </w:r>
      <w:r w:rsidR="00DB57D5" w:rsidRPr="00DB57D5">
        <w:t xml:space="preserve"> would </w:t>
      </w:r>
      <w:r w:rsidR="00DB57D5">
        <w:t xml:space="preserve">rest with </w:t>
      </w:r>
      <w:r w:rsidR="00DB57D5" w:rsidRPr="00DB57D5">
        <w:t>AEMO</w:t>
      </w:r>
      <w:r w:rsidR="00DB57D5">
        <w:t xml:space="preserve"> and </w:t>
      </w:r>
      <w:r w:rsidR="00DB57D5" w:rsidRPr="00DB57D5">
        <w:t>industry</w:t>
      </w:r>
      <w:r w:rsidR="00DB57D5">
        <w:t xml:space="preserve"> parties,</w:t>
      </w:r>
      <w:r w:rsidR="00DB57D5" w:rsidRPr="00DB57D5">
        <w:t xml:space="preserve"> </w:t>
      </w:r>
      <w:r w:rsidR="00DB57D5">
        <w:t xml:space="preserve">we </w:t>
      </w:r>
      <w:r w:rsidR="009915B6">
        <w:t xml:space="preserve">will </w:t>
      </w:r>
      <w:r w:rsidR="007B67E6">
        <w:t>support any work to</w:t>
      </w:r>
      <w:r w:rsidR="009915B6">
        <w:t xml:space="preserve"> determin</w:t>
      </w:r>
      <w:r w:rsidR="007B67E6">
        <w:t>e</w:t>
      </w:r>
      <w:r w:rsidR="009915B6">
        <w:t xml:space="preserve"> the scope for improvements in these areas. </w:t>
      </w:r>
    </w:p>
    <w:p w:rsidR="009915B6" w:rsidRDefault="009915B6" w:rsidP="0000390A">
      <w:pPr>
        <w:pStyle w:val="AERbodytext"/>
        <w:numPr>
          <w:ilvl w:val="0"/>
          <w:numId w:val="0"/>
        </w:numPr>
        <w:spacing w:after="0"/>
      </w:pPr>
    </w:p>
    <w:p w:rsidR="00A84A06" w:rsidRDefault="00122750" w:rsidP="0000390A">
      <w:pPr>
        <w:pStyle w:val="AERbodytext"/>
        <w:numPr>
          <w:ilvl w:val="0"/>
          <w:numId w:val="0"/>
        </w:numPr>
        <w:spacing w:after="0"/>
      </w:pPr>
      <w:r>
        <w:rPr>
          <w:u w:val="single"/>
        </w:rPr>
        <w:t>AEMC Issue</w:t>
      </w:r>
      <w:r w:rsidR="00A84A06">
        <w:t xml:space="preserve">: </w:t>
      </w:r>
      <w:r w:rsidR="00A84A06" w:rsidRPr="00A84A06">
        <w:rPr>
          <w:i/>
        </w:rPr>
        <w:t>Partial market suspension - The Commission welcomes stakeholders' views on the provisions for partial suspension in the NEM, and their potential application following the failure of a large vertically-integrated participant. The Commission would also welcome stakeholders' views on whether there are circumstances where it would be appropriate to allow a market participant to continue trading when it is in external administration.</w:t>
      </w:r>
    </w:p>
    <w:p w:rsidR="00A84A06" w:rsidRDefault="00A84A06" w:rsidP="0000390A">
      <w:pPr>
        <w:pStyle w:val="AERbodytext"/>
        <w:numPr>
          <w:ilvl w:val="0"/>
          <w:numId w:val="0"/>
        </w:numPr>
        <w:spacing w:after="0"/>
      </w:pPr>
    </w:p>
    <w:p w:rsidR="00A84A06" w:rsidRDefault="00A84A06" w:rsidP="0000390A">
      <w:pPr>
        <w:pStyle w:val="AERbodytext"/>
        <w:numPr>
          <w:ilvl w:val="0"/>
          <w:numId w:val="0"/>
        </w:numPr>
        <w:spacing w:after="0"/>
      </w:pPr>
      <w:r>
        <w:t xml:space="preserve">We agree </w:t>
      </w:r>
      <w:r w:rsidRPr="00A84A06">
        <w:t>that the framework designed to mitigate the risk of financial contagion in the NEM must deal explicitly with any generation operated by the failing business.</w:t>
      </w:r>
      <w:r>
        <w:t xml:space="preserve"> As such, we encourage further analysis of this area in the next stage of policy development. </w:t>
      </w:r>
    </w:p>
    <w:sectPr w:rsidR="00A84A06" w:rsidSect="00DF632B">
      <w:headerReference w:type="default" r:id="rId14"/>
      <w:pgSz w:w="11906" w:h="16838"/>
      <w:pgMar w:top="1440" w:right="1440" w:bottom="1440" w:left="1440" w:header="708" w:footer="708"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903" w:rsidRDefault="00F96903" w:rsidP="009D7C1D">
      <w:pPr>
        <w:spacing w:after="0" w:line="240" w:lineRule="auto"/>
      </w:pPr>
      <w:r>
        <w:separator/>
      </w:r>
    </w:p>
  </w:endnote>
  <w:endnote w:type="continuationSeparator" w:id="0">
    <w:p w:rsidR="00F96903" w:rsidRDefault="00F96903" w:rsidP="009D7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00500000000000000"/>
    <w:charset w:val="00"/>
    <w:family w:val="auto"/>
    <w:pitch w:val="variable"/>
    <w:sig w:usb0="002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Arial Bold">
    <w:panose1 w:val="020B07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2B" w:rsidRDefault="00DF632B">
    <w:pPr>
      <w:pStyle w:val="Footer"/>
      <w:jc w:val="right"/>
    </w:pPr>
    <w:r>
      <w:fldChar w:fldCharType="begin"/>
    </w:r>
    <w:r>
      <w:instrText xml:space="preserve"> PAGE   \* MERGEFORMAT </w:instrText>
    </w:r>
    <w:r>
      <w:fldChar w:fldCharType="separate"/>
    </w:r>
    <w:r w:rsidR="005E14D4">
      <w:rPr>
        <w:noProof/>
      </w:rPr>
      <w:t>1</w:t>
    </w:r>
    <w:r>
      <w:rPr>
        <w:noProof/>
      </w:rPr>
      <w:fldChar w:fldCharType="end"/>
    </w:r>
  </w:p>
  <w:p w:rsidR="00DF632B" w:rsidRDefault="00DF63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2B" w:rsidRDefault="00DF632B">
    <w:pPr>
      <w:pStyle w:val="Footer"/>
      <w:jc w:val="right"/>
    </w:pPr>
    <w:r>
      <w:fldChar w:fldCharType="begin"/>
    </w:r>
    <w:r>
      <w:instrText xml:space="preserve"> PAGE   \* MERGEFORMAT </w:instrText>
    </w:r>
    <w:r>
      <w:fldChar w:fldCharType="separate"/>
    </w:r>
    <w:r>
      <w:rPr>
        <w:noProof/>
      </w:rPr>
      <w:t>1</w:t>
    </w:r>
    <w:r>
      <w:rPr>
        <w:noProof/>
      </w:rPr>
      <w:fldChar w:fldCharType="end"/>
    </w:r>
  </w:p>
  <w:p w:rsidR="00DF632B" w:rsidRDefault="00DF63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2B" w:rsidRDefault="00DF632B">
    <w:pPr>
      <w:pStyle w:val="Footer"/>
      <w:jc w:val="right"/>
    </w:pPr>
    <w:r>
      <w:fldChar w:fldCharType="begin"/>
    </w:r>
    <w:r>
      <w:instrText xml:space="preserve"> PAGE   \* MERGEFORMAT </w:instrText>
    </w:r>
    <w:r>
      <w:fldChar w:fldCharType="separate"/>
    </w:r>
    <w:r w:rsidR="005E14D4">
      <w:rPr>
        <w:noProof/>
      </w:rPr>
      <w:t>3</w:t>
    </w:r>
    <w:r>
      <w:rPr>
        <w:noProof/>
      </w:rPr>
      <w:fldChar w:fldCharType="end"/>
    </w:r>
  </w:p>
  <w:p w:rsidR="00DF632B" w:rsidRDefault="00DF632B">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2B" w:rsidRDefault="00DF632B">
    <w:pPr>
      <w:pStyle w:val="Footer"/>
      <w:jc w:val="right"/>
    </w:pPr>
    <w:r>
      <w:fldChar w:fldCharType="begin"/>
    </w:r>
    <w:r>
      <w:instrText xml:space="preserve"> PAGE   \* MERGEFORMAT </w:instrText>
    </w:r>
    <w:r>
      <w:fldChar w:fldCharType="separate"/>
    </w:r>
    <w:r w:rsidR="005E14D4">
      <w:rPr>
        <w:noProof/>
      </w:rPr>
      <w:t>5</w:t>
    </w:r>
    <w:r>
      <w:rPr>
        <w:noProof/>
      </w:rPr>
      <w:fldChar w:fldCharType="end"/>
    </w:r>
  </w:p>
  <w:p w:rsidR="00F96903" w:rsidRDefault="00F969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903" w:rsidRDefault="00F96903" w:rsidP="009D7C1D">
      <w:pPr>
        <w:spacing w:after="0" w:line="240" w:lineRule="auto"/>
      </w:pPr>
      <w:r>
        <w:separator/>
      </w:r>
    </w:p>
  </w:footnote>
  <w:footnote w:type="continuationSeparator" w:id="0">
    <w:p w:rsidR="00F96903" w:rsidRDefault="00F96903" w:rsidP="009D7C1D">
      <w:pPr>
        <w:spacing w:after="0" w:line="240" w:lineRule="auto"/>
      </w:pPr>
      <w:r>
        <w:continuationSeparator/>
      </w:r>
    </w:p>
  </w:footnote>
  <w:footnote w:id="1">
    <w:p w:rsidR="00F96903" w:rsidRDefault="00F96903">
      <w:pPr>
        <w:pStyle w:val="FootnoteText"/>
      </w:pPr>
      <w:r>
        <w:rPr>
          <w:rStyle w:val="FootnoteReference"/>
        </w:rPr>
        <w:footnoteRef/>
      </w:r>
      <w:r>
        <w:t xml:space="preserve"> </w:t>
      </w:r>
      <w:r w:rsidRPr="00A26022">
        <w:t>AER, Retailer of last resort statement of approach, November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903" w:rsidRDefault="005E14D4" w:rsidP="009519C8">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45pt;height:121.95pt">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32B" w:rsidRDefault="00DF632B" w:rsidP="009519C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FA6"/>
    <w:multiLevelType w:val="hybridMultilevel"/>
    <w:tmpl w:val="1A7E9E04"/>
    <w:lvl w:ilvl="0" w:tplc="A356B254">
      <w:start w:val="1"/>
      <w:numFmt w:val="bullet"/>
      <w:pStyle w:val="AERbulletlistsecondstyle"/>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
    <w:nsid w:val="0B7D749C"/>
    <w:multiLevelType w:val="hybridMultilevel"/>
    <w:tmpl w:val="B8505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3597CF9"/>
    <w:multiLevelType w:val="multilevel"/>
    <w:tmpl w:val="B478DFE6"/>
    <w:lvl w:ilvl="0">
      <w:start w:val="1"/>
      <w:numFmt w:val="none"/>
      <w:lvlText w:val="%1"/>
      <w:lvlJc w:val="left"/>
      <w:pPr>
        <w:tabs>
          <w:tab w:val="num" w:pos="0"/>
        </w:tabs>
        <w:ind w:left="0" w:firstLine="0"/>
      </w:pPr>
      <w:rPr>
        <w:rFonts w:hint="default"/>
      </w:rPr>
    </w:lvl>
    <w:lvl w:ilvl="1">
      <w:start w:val="1"/>
      <w:numFmt w:val="decimal"/>
      <w:lvlText w:val="%2."/>
      <w:lvlJc w:val="left"/>
      <w:pPr>
        <w:tabs>
          <w:tab w:val="num" w:pos="357"/>
        </w:tabs>
        <w:ind w:left="357" w:hanging="357"/>
      </w:pPr>
      <w:rPr>
        <w:rFonts w:hint="default"/>
      </w:rPr>
    </w:lvl>
    <w:lvl w:ilvl="2">
      <w:start w:val="1"/>
      <w:numFmt w:val="lowerLetter"/>
      <w:lvlText w:val="%3."/>
      <w:lvlJc w:val="left"/>
      <w:pPr>
        <w:tabs>
          <w:tab w:val="num" w:pos="720"/>
        </w:tabs>
        <w:ind w:left="720" w:hanging="363"/>
      </w:pPr>
      <w:rPr>
        <w:rFonts w:hint="default"/>
      </w:rPr>
    </w:lvl>
    <w:lvl w:ilvl="3">
      <w:start w:val="1"/>
      <w:numFmt w:val="lowerRoman"/>
      <w:lvlText w:val="%4."/>
      <w:lvlJc w:val="left"/>
      <w:pPr>
        <w:tabs>
          <w:tab w:val="num" w:pos="1077"/>
        </w:tabs>
        <w:ind w:left="1077" w:hanging="357"/>
      </w:pPr>
      <w:rPr>
        <w:rFonts w:hint="default"/>
      </w:rPr>
    </w:lvl>
    <w:lvl w:ilvl="4">
      <w:start w:val="1"/>
      <w:numFmt w:val="decimal"/>
      <w:lvlRestart w:val="1"/>
      <w:lvlText w:val="(%5)"/>
      <w:lvlJc w:val="left"/>
      <w:pPr>
        <w:tabs>
          <w:tab w:val="num" w:pos="357"/>
        </w:tabs>
        <w:ind w:left="357" w:hanging="357"/>
      </w:pPr>
      <w:rPr>
        <w:rFonts w:hint="default"/>
      </w:rPr>
    </w:lvl>
    <w:lvl w:ilvl="5">
      <w:start w:val="1"/>
      <w:numFmt w:val="lowerLetter"/>
      <w:lvlRestart w:val="2"/>
      <w:lvlText w:val="(%6)"/>
      <w:lvlJc w:val="left"/>
      <w:pPr>
        <w:tabs>
          <w:tab w:val="num" w:pos="720"/>
        </w:tabs>
        <w:ind w:left="720" w:hanging="363"/>
      </w:pPr>
      <w:rPr>
        <w:rFonts w:hint="default"/>
      </w:rPr>
    </w:lvl>
    <w:lvl w:ilvl="6">
      <w:start w:val="1"/>
      <w:numFmt w:val="lowerRoman"/>
      <w:lvlRestart w:val="3"/>
      <w:lvlText w:val="(%7)"/>
      <w:lvlJc w:val="left"/>
      <w:pPr>
        <w:tabs>
          <w:tab w:val="num" w:pos="1077"/>
        </w:tabs>
        <w:ind w:left="1077" w:hanging="357"/>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21AC0BF9"/>
    <w:multiLevelType w:val="hybridMultilevel"/>
    <w:tmpl w:val="01A466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FB612CC"/>
    <w:multiLevelType w:val="multilevel"/>
    <w:tmpl w:val="1492709C"/>
    <w:styleLink w:val="AERHeadings"/>
    <w:lvl w:ilvl="0">
      <w:start w:val="1"/>
      <w:numFmt w:val="none"/>
      <w:pStyle w:val="UnnumberedHeading"/>
      <w:lvlText w:val="%1"/>
      <w:lvlJc w:val="left"/>
      <w:pPr>
        <w:tabs>
          <w:tab w:val="num" w:pos="0"/>
        </w:tabs>
        <w:ind w:left="0" w:firstLine="0"/>
      </w:pPr>
      <w:rPr>
        <w:rFonts w:hint="default"/>
      </w:rPr>
    </w:lvl>
    <w:lvl w:ilvl="1">
      <w:start w:val="1"/>
      <w:numFmt w:val="decimal"/>
      <w:pStyle w:val="Heading1"/>
      <w:lvlText w:val="%1%2"/>
      <w:lvlJc w:val="left"/>
      <w:pPr>
        <w:tabs>
          <w:tab w:val="num" w:pos="0"/>
        </w:tabs>
        <w:ind w:left="0" w:hanging="851"/>
      </w:pPr>
      <w:rPr>
        <w:rFonts w:hint="default"/>
      </w:rPr>
    </w:lvl>
    <w:lvl w:ilvl="2">
      <w:start w:val="1"/>
      <w:numFmt w:val="decimal"/>
      <w:pStyle w:val="Heading2"/>
      <w:lvlText w:val="%1%2.%3"/>
      <w:lvlJc w:val="left"/>
      <w:pPr>
        <w:tabs>
          <w:tab w:val="num" w:pos="0"/>
        </w:tabs>
        <w:ind w:left="0" w:hanging="851"/>
      </w:pPr>
      <w:rPr>
        <w:rFonts w:hint="default"/>
      </w:rPr>
    </w:lvl>
    <w:lvl w:ilvl="3">
      <w:start w:val="1"/>
      <w:numFmt w:val="decimal"/>
      <w:pStyle w:val="Heading3"/>
      <w:lvlText w:val="%2.%3.%4"/>
      <w:lvlJc w:val="left"/>
      <w:pPr>
        <w:tabs>
          <w:tab w:val="num" w:pos="0"/>
        </w:tabs>
        <w:ind w:left="0" w:hanging="851"/>
      </w:pPr>
      <w:rPr>
        <w:rFonts w:hint="default"/>
      </w:rPr>
    </w:lvl>
    <w:lvl w:ilvl="4">
      <w:start w:val="1"/>
      <w:numFmt w:val="upperLetter"/>
      <w:lvlRestart w:val="1"/>
      <w:pStyle w:val="Heading7"/>
      <w:lvlText w:val="%5"/>
      <w:lvlJc w:val="left"/>
      <w:pPr>
        <w:tabs>
          <w:tab w:val="num" w:pos="0"/>
        </w:tabs>
        <w:ind w:left="0" w:hanging="851"/>
      </w:pPr>
      <w:rPr>
        <w:rFonts w:hint="default"/>
      </w:rPr>
    </w:lvl>
    <w:lvl w:ilvl="5">
      <w:start w:val="1"/>
      <w:numFmt w:val="decimal"/>
      <w:pStyle w:val="Heading8"/>
      <w:lvlText w:val="%5.%6"/>
      <w:lvlJc w:val="left"/>
      <w:pPr>
        <w:tabs>
          <w:tab w:val="num" w:pos="0"/>
        </w:tabs>
        <w:ind w:left="0" w:hanging="851"/>
      </w:pPr>
      <w:rPr>
        <w:rFonts w:hint="default"/>
      </w:rPr>
    </w:lvl>
    <w:lvl w:ilvl="6">
      <w:start w:val="1"/>
      <w:numFmt w:val="decimal"/>
      <w:pStyle w:val="Heading9"/>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5">
    <w:nsid w:val="3AF336BC"/>
    <w:multiLevelType w:val="hybridMultilevel"/>
    <w:tmpl w:val="955A02CC"/>
    <w:lvl w:ilvl="0" w:tplc="FFFFFFFF">
      <w:start w:val="1"/>
      <w:numFmt w:val="bullet"/>
      <w:pStyle w:val="AERbulletlistfirststyle"/>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3C721288"/>
    <w:multiLevelType w:val="multilevel"/>
    <w:tmpl w:val="1492709C"/>
    <w:numStyleLink w:val="AERHeadings"/>
  </w:abstractNum>
  <w:abstractNum w:abstractNumId="7">
    <w:nsid w:val="3CEF6DE4"/>
    <w:multiLevelType w:val="hybridMultilevel"/>
    <w:tmpl w:val="8E4EF3A6"/>
    <w:lvl w:ilvl="0" w:tplc="BAC0E806">
      <w:start w:val="1"/>
      <w:numFmt w:val="bullet"/>
      <w:pStyle w:val="AERboxbullet"/>
      <w:lvlText w:val=""/>
      <w:lvlJc w:val="left"/>
      <w:pPr>
        <w:tabs>
          <w:tab w:val="num" w:pos="360"/>
        </w:tabs>
        <w:ind w:left="360" w:hanging="360"/>
      </w:pPr>
      <w:rPr>
        <w:rFonts w:ascii="Wingdings" w:hAnsi="Wingdings"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403E3F7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1487971"/>
    <w:multiLevelType w:val="multilevel"/>
    <w:tmpl w:val="D8DA9C9E"/>
    <w:styleLink w:val="AERnumberedlist"/>
    <w:lvl w:ilvl="0">
      <w:start w:val="1"/>
      <w:numFmt w:val="none"/>
      <w:pStyle w:val="AERbodytext"/>
      <w:lvlText w:val="%1"/>
      <w:lvlJc w:val="left"/>
      <w:pPr>
        <w:tabs>
          <w:tab w:val="num" w:pos="0"/>
        </w:tabs>
        <w:ind w:left="0" w:firstLine="0"/>
      </w:pPr>
      <w:rPr>
        <w:rFonts w:hint="default"/>
      </w:rPr>
    </w:lvl>
    <w:lvl w:ilvl="1">
      <w:start w:val="1"/>
      <w:numFmt w:val="decimal"/>
      <w:pStyle w:val="AERnumberedlistfirststyle"/>
      <w:lvlText w:val="%2."/>
      <w:lvlJc w:val="left"/>
      <w:pPr>
        <w:tabs>
          <w:tab w:val="num" w:pos="357"/>
        </w:tabs>
        <w:ind w:left="357" w:hanging="357"/>
      </w:pPr>
      <w:rPr>
        <w:rFonts w:hint="default"/>
      </w:rPr>
    </w:lvl>
    <w:lvl w:ilvl="2">
      <w:start w:val="1"/>
      <w:numFmt w:val="lowerLetter"/>
      <w:pStyle w:val="AERnumberedlistsecondstyle"/>
      <w:lvlText w:val="%3."/>
      <w:lvlJc w:val="left"/>
      <w:pPr>
        <w:tabs>
          <w:tab w:val="num" w:pos="720"/>
        </w:tabs>
        <w:ind w:left="720" w:hanging="363"/>
      </w:pPr>
      <w:rPr>
        <w:rFonts w:hint="default"/>
      </w:rPr>
    </w:lvl>
    <w:lvl w:ilvl="3">
      <w:start w:val="1"/>
      <w:numFmt w:val="lowerRoman"/>
      <w:pStyle w:val="AERnumberedlistthirdstyle"/>
      <w:lvlText w:val="%4."/>
      <w:lvlJc w:val="left"/>
      <w:pPr>
        <w:tabs>
          <w:tab w:val="num" w:pos="1077"/>
        </w:tabs>
        <w:ind w:left="1077" w:hanging="35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6BE32D89"/>
    <w:multiLevelType w:val="hybridMultilevel"/>
    <w:tmpl w:val="478056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AAC6DD7"/>
    <w:multiLevelType w:val="multilevel"/>
    <w:tmpl w:val="950A1C52"/>
    <w:lvl w:ilvl="0">
      <w:start w:val="1"/>
      <w:numFmt w:val="none"/>
      <w:lvlText w:val="%1"/>
      <w:lvlJc w:val="left"/>
      <w:pPr>
        <w:tabs>
          <w:tab w:val="num" w:pos="0"/>
        </w:tabs>
        <w:ind w:left="0" w:firstLine="0"/>
      </w:pPr>
      <w:rPr>
        <w:rFonts w:hint="default"/>
      </w:rPr>
    </w:lvl>
    <w:lvl w:ilvl="1">
      <w:start w:val="1"/>
      <w:numFmt w:val="decimal"/>
      <w:lvlText w:val="%1%2"/>
      <w:lvlJc w:val="left"/>
      <w:pPr>
        <w:tabs>
          <w:tab w:val="num" w:pos="0"/>
        </w:tabs>
        <w:ind w:left="0" w:hanging="851"/>
      </w:pPr>
      <w:rPr>
        <w:rFonts w:hint="default"/>
      </w:rPr>
    </w:lvl>
    <w:lvl w:ilvl="2">
      <w:start w:val="1"/>
      <w:numFmt w:val="decimal"/>
      <w:lvlText w:val="%1%2.%3"/>
      <w:lvlJc w:val="left"/>
      <w:pPr>
        <w:tabs>
          <w:tab w:val="num" w:pos="0"/>
        </w:tabs>
        <w:ind w:left="0" w:hanging="851"/>
      </w:pPr>
      <w:rPr>
        <w:rFonts w:hint="default"/>
      </w:rPr>
    </w:lvl>
    <w:lvl w:ilvl="3">
      <w:start w:val="1"/>
      <w:numFmt w:val="decimal"/>
      <w:lvlText w:val="%2.%3.%4"/>
      <w:lvlJc w:val="left"/>
      <w:pPr>
        <w:tabs>
          <w:tab w:val="num" w:pos="0"/>
        </w:tabs>
        <w:ind w:left="0" w:hanging="851"/>
      </w:pPr>
      <w:rPr>
        <w:rFonts w:hint="default"/>
      </w:rPr>
    </w:lvl>
    <w:lvl w:ilvl="4">
      <w:start w:val="1"/>
      <w:numFmt w:val="upperLetter"/>
      <w:lvlRestart w:val="1"/>
      <w:lvlText w:val="%5"/>
      <w:lvlJc w:val="left"/>
      <w:pPr>
        <w:tabs>
          <w:tab w:val="num" w:pos="0"/>
        </w:tabs>
        <w:ind w:left="0" w:hanging="851"/>
      </w:pPr>
      <w:rPr>
        <w:rFonts w:hint="default"/>
      </w:rPr>
    </w:lvl>
    <w:lvl w:ilvl="5">
      <w:start w:val="1"/>
      <w:numFmt w:val="decimal"/>
      <w:lvlText w:val="%5.%6"/>
      <w:lvlJc w:val="left"/>
      <w:pPr>
        <w:tabs>
          <w:tab w:val="num" w:pos="0"/>
        </w:tabs>
        <w:ind w:left="0" w:hanging="851"/>
      </w:pPr>
      <w:rPr>
        <w:rFonts w:hint="default"/>
      </w:rPr>
    </w:lvl>
    <w:lvl w:ilvl="6">
      <w:start w:val="1"/>
      <w:numFmt w:val="decimal"/>
      <w:lvlText w:val="%5.%6.%7"/>
      <w:lvlJc w:val="left"/>
      <w:pPr>
        <w:tabs>
          <w:tab w:val="num" w:pos="0"/>
        </w:tabs>
        <w:ind w:left="0" w:hanging="851"/>
      </w:pPr>
      <w:rPr>
        <w:rFonts w:hint="default"/>
      </w:rPr>
    </w:lvl>
    <w:lvl w:ilvl="7">
      <w:start w:val="1"/>
      <w:numFmt w:val="none"/>
      <w:lvlRestart w:val="0"/>
      <w:lvlText w:val=""/>
      <w:lvlJc w:val="left"/>
      <w:pPr>
        <w:tabs>
          <w:tab w:val="num" w:pos="0"/>
        </w:tabs>
        <w:ind w:left="0" w:firstLine="0"/>
      </w:pPr>
      <w:rPr>
        <w:rFonts w:hint="default"/>
      </w:rPr>
    </w:lvl>
    <w:lvl w:ilvl="8">
      <w:start w:val="1"/>
      <w:numFmt w:val="none"/>
      <w:lvlRestart w:val="0"/>
      <w:lvlText w:val=""/>
      <w:lvlJc w:val="left"/>
      <w:pPr>
        <w:ind w:left="0" w:firstLine="0"/>
      </w:pPr>
      <w:rPr>
        <w:rFonts w:hint="default"/>
      </w:rPr>
    </w:lvl>
  </w:abstractNum>
  <w:abstractNum w:abstractNumId="12">
    <w:nsid w:val="7AEF67FF"/>
    <w:multiLevelType w:val="multilevel"/>
    <w:tmpl w:val="AACE20AA"/>
    <w:lvl w:ilvl="0">
      <w:start w:val="1"/>
      <w:numFmt w:val="bullet"/>
      <w:lvlText w:val=""/>
      <w:lvlJc w:val="left"/>
      <w:pPr>
        <w:tabs>
          <w:tab w:val="num" w:pos="357"/>
        </w:tabs>
        <w:ind w:left="357" w:hanging="357"/>
      </w:pPr>
      <w:rPr>
        <w:rFonts w:ascii="Wingdings" w:hAnsi="Wingdings" w:hint="default"/>
        <w:sz w:val="28"/>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6"/>
  </w:num>
  <w:num w:numId="4">
    <w:abstractNumId w:val="5"/>
  </w:num>
  <w:num w:numId="5">
    <w:abstractNumId w:val="0"/>
  </w:num>
  <w:num w:numId="6">
    <w:abstractNumId w:val="8"/>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6"/>
  </w:num>
  <w:num w:numId="11">
    <w:abstractNumId w:val="3"/>
  </w:num>
  <w:num w:numId="12">
    <w:abstractNumId w:val="2"/>
  </w:num>
  <w:num w:numId="13">
    <w:abstractNumId w:val="11"/>
  </w:num>
  <w:num w:numId="14">
    <w:abstractNumId w:val="7"/>
  </w:num>
  <w:num w:numId="15">
    <w:abstractNumId w:val="12"/>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9"/>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removePersonalInformation/>
  <w:removeDateAndTime/>
  <w:doNotTrackMoves/>
  <w:defaultTabStop w:val="720"/>
  <w:characterSpacingControl w:val="doNotCompress"/>
  <w:hdrShapeDefaults>
    <o:shapedefaults v:ext="edit" spidmax="12185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urrentname" w:val="H:\TRIMDATA\TRIM\TEMP\HPTRIM.3716\D13 121582  NEM financial market resilience - AER submission.DOCX"/>
  </w:docVars>
  <w:rsids>
    <w:rsidRoot w:val="009D7C1D"/>
    <w:rsid w:val="0000048B"/>
    <w:rsid w:val="00000C6D"/>
    <w:rsid w:val="00001267"/>
    <w:rsid w:val="000021B8"/>
    <w:rsid w:val="00002815"/>
    <w:rsid w:val="00002D96"/>
    <w:rsid w:val="0000390A"/>
    <w:rsid w:val="000044E9"/>
    <w:rsid w:val="000062AB"/>
    <w:rsid w:val="000079CD"/>
    <w:rsid w:val="00007DC2"/>
    <w:rsid w:val="000111C3"/>
    <w:rsid w:val="00012187"/>
    <w:rsid w:val="00015611"/>
    <w:rsid w:val="00016ABC"/>
    <w:rsid w:val="00021996"/>
    <w:rsid w:val="000229D6"/>
    <w:rsid w:val="00023AC2"/>
    <w:rsid w:val="00024A2A"/>
    <w:rsid w:val="00024DFE"/>
    <w:rsid w:val="000277FD"/>
    <w:rsid w:val="00031437"/>
    <w:rsid w:val="00033100"/>
    <w:rsid w:val="00036503"/>
    <w:rsid w:val="000365B6"/>
    <w:rsid w:val="000376F3"/>
    <w:rsid w:val="0004162F"/>
    <w:rsid w:val="000422B7"/>
    <w:rsid w:val="00043FE2"/>
    <w:rsid w:val="00044F8E"/>
    <w:rsid w:val="00045F83"/>
    <w:rsid w:val="000473E7"/>
    <w:rsid w:val="000479EA"/>
    <w:rsid w:val="00047A03"/>
    <w:rsid w:val="0005379C"/>
    <w:rsid w:val="00057197"/>
    <w:rsid w:val="00061C82"/>
    <w:rsid w:val="0006230A"/>
    <w:rsid w:val="000624FC"/>
    <w:rsid w:val="000727F1"/>
    <w:rsid w:val="00073C5B"/>
    <w:rsid w:val="00074251"/>
    <w:rsid w:val="00076BC6"/>
    <w:rsid w:val="00077519"/>
    <w:rsid w:val="000775A0"/>
    <w:rsid w:val="00077DBE"/>
    <w:rsid w:val="00080924"/>
    <w:rsid w:val="000813C0"/>
    <w:rsid w:val="00084558"/>
    <w:rsid w:val="00085848"/>
    <w:rsid w:val="00086A2A"/>
    <w:rsid w:val="00090404"/>
    <w:rsid w:val="00092776"/>
    <w:rsid w:val="00093353"/>
    <w:rsid w:val="00094CF7"/>
    <w:rsid w:val="00095FBA"/>
    <w:rsid w:val="000A22BB"/>
    <w:rsid w:val="000A3163"/>
    <w:rsid w:val="000A406C"/>
    <w:rsid w:val="000A4E81"/>
    <w:rsid w:val="000A57C8"/>
    <w:rsid w:val="000A5DAC"/>
    <w:rsid w:val="000B0D3D"/>
    <w:rsid w:val="000B1158"/>
    <w:rsid w:val="000B29D1"/>
    <w:rsid w:val="000B41E9"/>
    <w:rsid w:val="000B55BE"/>
    <w:rsid w:val="000B56F4"/>
    <w:rsid w:val="000B5A0C"/>
    <w:rsid w:val="000B6CA0"/>
    <w:rsid w:val="000B7428"/>
    <w:rsid w:val="000C1122"/>
    <w:rsid w:val="000C130A"/>
    <w:rsid w:val="000C1F9E"/>
    <w:rsid w:val="000C2258"/>
    <w:rsid w:val="000C32A4"/>
    <w:rsid w:val="000D10A2"/>
    <w:rsid w:val="000D3F3A"/>
    <w:rsid w:val="000D498F"/>
    <w:rsid w:val="000D5CFD"/>
    <w:rsid w:val="000E2028"/>
    <w:rsid w:val="000F0398"/>
    <w:rsid w:val="000F0F2B"/>
    <w:rsid w:val="000F225F"/>
    <w:rsid w:val="000F4DBA"/>
    <w:rsid w:val="000F6429"/>
    <w:rsid w:val="000F7ABD"/>
    <w:rsid w:val="00103284"/>
    <w:rsid w:val="00103AA4"/>
    <w:rsid w:val="00107A52"/>
    <w:rsid w:val="00107E35"/>
    <w:rsid w:val="0011225B"/>
    <w:rsid w:val="001126B8"/>
    <w:rsid w:val="00113E36"/>
    <w:rsid w:val="001154F2"/>
    <w:rsid w:val="00120E86"/>
    <w:rsid w:val="001210E3"/>
    <w:rsid w:val="00121BB7"/>
    <w:rsid w:val="00122750"/>
    <w:rsid w:val="00124A84"/>
    <w:rsid w:val="0013204A"/>
    <w:rsid w:val="001356BC"/>
    <w:rsid w:val="0013758F"/>
    <w:rsid w:val="00137BE5"/>
    <w:rsid w:val="00137E4D"/>
    <w:rsid w:val="00143371"/>
    <w:rsid w:val="001439B2"/>
    <w:rsid w:val="00144010"/>
    <w:rsid w:val="001469B7"/>
    <w:rsid w:val="001474B6"/>
    <w:rsid w:val="00150B05"/>
    <w:rsid w:val="0015135D"/>
    <w:rsid w:val="001535AA"/>
    <w:rsid w:val="001539A8"/>
    <w:rsid w:val="0015771D"/>
    <w:rsid w:val="00161F34"/>
    <w:rsid w:val="001625DF"/>
    <w:rsid w:val="00162EB1"/>
    <w:rsid w:val="00163D64"/>
    <w:rsid w:val="00163D86"/>
    <w:rsid w:val="0016599E"/>
    <w:rsid w:val="00165B55"/>
    <w:rsid w:val="0016619F"/>
    <w:rsid w:val="0016688F"/>
    <w:rsid w:val="0016691A"/>
    <w:rsid w:val="0017038A"/>
    <w:rsid w:val="001718A4"/>
    <w:rsid w:val="00171945"/>
    <w:rsid w:val="00173574"/>
    <w:rsid w:val="00173FEF"/>
    <w:rsid w:val="00174D3B"/>
    <w:rsid w:val="0017565A"/>
    <w:rsid w:val="00175C7B"/>
    <w:rsid w:val="001802E1"/>
    <w:rsid w:val="00184464"/>
    <w:rsid w:val="00186F03"/>
    <w:rsid w:val="00191B23"/>
    <w:rsid w:val="00193A3D"/>
    <w:rsid w:val="00197FAC"/>
    <w:rsid w:val="001A0FA2"/>
    <w:rsid w:val="001A1209"/>
    <w:rsid w:val="001A452F"/>
    <w:rsid w:val="001A50A9"/>
    <w:rsid w:val="001A7908"/>
    <w:rsid w:val="001B098D"/>
    <w:rsid w:val="001B09DD"/>
    <w:rsid w:val="001B14BB"/>
    <w:rsid w:val="001B314C"/>
    <w:rsid w:val="001C3D4E"/>
    <w:rsid w:val="001C4354"/>
    <w:rsid w:val="001C444E"/>
    <w:rsid w:val="001C5726"/>
    <w:rsid w:val="001C66FC"/>
    <w:rsid w:val="001C7798"/>
    <w:rsid w:val="001C7961"/>
    <w:rsid w:val="001D00C0"/>
    <w:rsid w:val="001D0253"/>
    <w:rsid w:val="001D0353"/>
    <w:rsid w:val="001D1C6D"/>
    <w:rsid w:val="001D2E4A"/>
    <w:rsid w:val="001D5CA6"/>
    <w:rsid w:val="001D7E0A"/>
    <w:rsid w:val="001E3080"/>
    <w:rsid w:val="001E5904"/>
    <w:rsid w:val="001E5B94"/>
    <w:rsid w:val="001E7C28"/>
    <w:rsid w:val="001F2AF6"/>
    <w:rsid w:val="001F3437"/>
    <w:rsid w:val="001F4F0D"/>
    <w:rsid w:val="001F607B"/>
    <w:rsid w:val="001F61F9"/>
    <w:rsid w:val="00200805"/>
    <w:rsid w:val="0020098C"/>
    <w:rsid w:val="002034B6"/>
    <w:rsid w:val="00203526"/>
    <w:rsid w:val="00204F09"/>
    <w:rsid w:val="002071AA"/>
    <w:rsid w:val="002076FD"/>
    <w:rsid w:val="00211D1D"/>
    <w:rsid w:val="0021783A"/>
    <w:rsid w:val="00220E1D"/>
    <w:rsid w:val="00221BFD"/>
    <w:rsid w:val="002222E2"/>
    <w:rsid w:val="00224C25"/>
    <w:rsid w:val="00234A1A"/>
    <w:rsid w:val="00236F5D"/>
    <w:rsid w:val="002372A8"/>
    <w:rsid w:val="00237FA7"/>
    <w:rsid w:val="00242817"/>
    <w:rsid w:val="002435CB"/>
    <w:rsid w:val="00243AD1"/>
    <w:rsid w:val="00243ED3"/>
    <w:rsid w:val="00243F51"/>
    <w:rsid w:val="00244F42"/>
    <w:rsid w:val="00246947"/>
    <w:rsid w:val="00246F77"/>
    <w:rsid w:val="00247B2C"/>
    <w:rsid w:val="002506DA"/>
    <w:rsid w:val="00251DBA"/>
    <w:rsid w:val="002528F8"/>
    <w:rsid w:val="00253B9F"/>
    <w:rsid w:val="00256E13"/>
    <w:rsid w:val="00260A82"/>
    <w:rsid w:val="00262C1A"/>
    <w:rsid w:val="00264543"/>
    <w:rsid w:val="00270E7D"/>
    <w:rsid w:val="00270F6C"/>
    <w:rsid w:val="002721F6"/>
    <w:rsid w:val="00273EAB"/>
    <w:rsid w:val="002751B1"/>
    <w:rsid w:val="00275E71"/>
    <w:rsid w:val="00281524"/>
    <w:rsid w:val="00283017"/>
    <w:rsid w:val="00287418"/>
    <w:rsid w:val="00287887"/>
    <w:rsid w:val="002916AF"/>
    <w:rsid w:val="00291807"/>
    <w:rsid w:val="00292BFA"/>
    <w:rsid w:val="00292DDE"/>
    <w:rsid w:val="00294219"/>
    <w:rsid w:val="00295F71"/>
    <w:rsid w:val="00297043"/>
    <w:rsid w:val="002A1CA8"/>
    <w:rsid w:val="002A2B56"/>
    <w:rsid w:val="002A31FF"/>
    <w:rsid w:val="002A380C"/>
    <w:rsid w:val="002A4254"/>
    <w:rsid w:val="002A552F"/>
    <w:rsid w:val="002A5BEE"/>
    <w:rsid w:val="002B0206"/>
    <w:rsid w:val="002B1E35"/>
    <w:rsid w:val="002B2281"/>
    <w:rsid w:val="002B5712"/>
    <w:rsid w:val="002B64A4"/>
    <w:rsid w:val="002B7709"/>
    <w:rsid w:val="002C0C33"/>
    <w:rsid w:val="002C1BA4"/>
    <w:rsid w:val="002C3B21"/>
    <w:rsid w:val="002C6D57"/>
    <w:rsid w:val="002D3E5E"/>
    <w:rsid w:val="002D46A0"/>
    <w:rsid w:val="002D4BD4"/>
    <w:rsid w:val="002D6F50"/>
    <w:rsid w:val="002D77CC"/>
    <w:rsid w:val="002E0219"/>
    <w:rsid w:val="002E0581"/>
    <w:rsid w:val="002E0DFE"/>
    <w:rsid w:val="002E1481"/>
    <w:rsid w:val="002E30E0"/>
    <w:rsid w:val="002E3746"/>
    <w:rsid w:val="002E3958"/>
    <w:rsid w:val="002E401C"/>
    <w:rsid w:val="002E68E4"/>
    <w:rsid w:val="002E74C8"/>
    <w:rsid w:val="002F0A7E"/>
    <w:rsid w:val="002F1BA6"/>
    <w:rsid w:val="002F34E9"/>
    <w:rsid w:val="002F541C"/>
    <w:rsid w:val="002F5AAA"/>
    <w:rsid w:val="002F6548"/>
    <w:rsid w:val="002F66AA"/>
    <w:rsid w:val="002F678D"/>
    <w:rsid w:val="0030414F"/>
    <w:rsid w:val="0030528C"/>
    <w:rsid w:val="0031105E"/>
    <w:rsid w:val="00316A47"/>
    <w:rsid w:val="00317560"/>
    <w:rsid w:val="003202E5"/>
    <w:rsid w:val="003220DA"/>
    <w:rsid w:val="00322A86"/>
    <w:rsid w:val="00322AE5"/>
    <w:rsid w:val="00324B98"/>
    <w:rsid w:val="003262A4"/>
    <w:rsid w:val="003304FB"/>
    <w:rsid w:val="00333667"/>
    <w:rsid w:val="003361B7"/>
    <w:rsid w:val="00340270"/>
    <w:rsid w:val="003406A6"/>
    <w:rsid w:val="003413C0"/>
    <w:rsid w:val="00341ABA"/>
    <w:rsid w:val="003452DE"/>
    <w:rsid w:val="003459CC"/>
    <w:rsid w:val="00353172"/>
    <w:rsid w:val="00354494"/>
    <w:rsid w:val="003551EF"/>
    <w:rsid w:val="003559CD"/>
    <w:rsid w:val="00356578"/>
    <w:rsid w:val="0035695E"/>
    <w:rsid w:val="00356EEB"/>
    <w:rsid w:val="00361206"/>
    <w:rsid w:val="00362CD1"/>
    <w:rsid w:val="00371418"/>
    <w:rsid w:val="0037200E"/>
    <w:rsid w:val="00373705"/>
    <w:rsid w:val="00374419"/>
    <w:rsid w:val="00380025"/>
    <w:rsid w:val="00380F4A"/>
    <w:rsid w:val="003826F6"/>
    <w:rsid w:val="00382D0E"/>
    <w:rsid w:val="00382EEB"/>
    <w:rsid w:val="00384699"/>
    <w:rsid w:val="0038620C"/>
    <w:rsid w:val="003911D2"/>
    <w:rsid w:val="0039135D"/>
    <w:rsid w:val="0039146F"/>
    <w:rsid w:val="0039169F"/>
    <w:rsid w:val="00393CFF"/>
    <w:rsid w:val="00395450"/>
    <w:rsid w:val="003967E5"/>
    <w:rsid w:val="00396842"/>
    <w:rsid w:val="00397AFA"/>
    <w:rsid w:val="003A2819"/>
    <w:rsid w:val="003A3FC9"/>
    <w:rsid w:val="003A5196"/>
    <w:rsid w:val="003A5C51"/>
    <w:rsid w:val="003B0678"/>
    <w:rsid w:val="003B0A5F"/>
    <w:rsid w:val="003B0B45"/>
    <w:rsid w:val="003B2F7C"/>
    <w:rsid w:val="003B3D75"/>
    <w:rsid w:val="003B7261"/>
    <w:rsid w:val="003C27C5"/>
    <w:rsid w:val="003C2AD0"/>
    <w:rsid w:val="003C725D"/>
    <w:rsid w:val="003C7799"/>
    <w:rsid w:val="003D0E9D"/>
    <w:rsid w:val="003D2C8C"/>
    <w:rsid w:val="003D2FC7"/>
    <w:rsid w:val="003D3D90"/>
    <w:rsid w:val="003D571B"/>
    <w:rsid w:val="003D7141"/>
    <w:rsid w:val="003D7F4D"/>
    <w:rsid w:val="003E1086"/>
    <w:rsid w:val="003E3E93"/>
    <w:rsid w:val="003E58F8"/>
    <w:rsid w:val="003E76AC"/>
    <w:rsid w:val="003F1996"/>
    <w:rsid w:val="003F3DC3"/>
    <w:rsid w:val="003F7B6A"/>
    <w:rsid w:val="00402725"/>
    <w:rsid w:val="00402E89"/>
    <w:rsid w:val="0040658F"/>
    <w:rsid w:val="0040669B"/>
    <w:rsid w:val="00410044"/>
    <w:rsid w:val="00412D93"/>
    <w:rsid w:val="00414F72"/>
    <w:rsid w:val="0041512E"/>
    <w:rsid w:val="00421179"/>
    <w:rsid w:val="00421E2D"/>
    <w:rsid w:val="004268C8"/>
    <w:rsid w:val="00427EA3"/>
    <w:rsid w:val="0043019F"/>
    <w:rsid w:val="0043346F"/>
    <w:rsid w:val="00434F39"/>
    <w:rsid w:val="004365DD"/>
    <w:rsid w:val="004377DA"/>
    <w:rsid w:val="00442050"/>
    <w:rsid w:val="004424D0"/>
    <w:rsid w:val="004426BB"/>
    <w:rsid w:val="00442FFD"/>
    <w:rsid w:val="004444F2"/>
    <w:rsid w:val="00444FF9"/>
    <w:rsid w:val="00445402"/>
    <w:rsid w:val="00446337"/>
    <w:rsid w:val="00447849"/>
    <w:rsid w:val="004516B8"/>
    <w:rsid w:val="0045499D"/>
    <w:rsid w:val="00455E59"/>
    <w:rsid w:val="004569B1"/>
    <w:rsid w:val="0045731E"/>
    <w:rsid w:val="00461C6E"/>
    <w:rsid w:val="00464B76"/>
    <w:rsid w:val="00465909"/>
    <w:rsid w:val="00465A22"/>
    <w:rsid w:val="00467DDB"/>
    <w:rsid w:val="0047036F"/>
    <w:rsid w:val="00470AA0"/>
    <w:rsid w:val="00471A91"/>
    <w:rsid w:val="00471C45"/>
    <w:rsid w:val="00473155"/>
    <w:rsid w:val="0047376C"/>
    <w:rsid w:val="0047518C"/>
    <w:rsid w:val="00476516"/>
    <w:rsid w:val="004777DF"/>
    <w:rsid w:val="004818D0"/>
    <w:rsid w:val="00482CA6"/>
    <w:rsid w:val="00485093"/>
    <w:rsid w:val="00485748"/>
    <w:rsid w:val="0048622D"/>
    <w:rsid w:val="00490453"/>
    <w:rsid w:val="00491B17"/>
    <w:rsid w:val="004928C8"/>
    <w:rsid w:val="004936B6"/>
    <w:rsid w:val="0049384D"/>
    <w:rsid w:val="0049564D"/>
    <w:rsid w:val="0049626F"/>
    <w:rsid w:val="004A1E13"/>
    <w:rsid w:val="004A21B5"/>
    <w:rsid w:val="004A2D46"/>
    <w:rsid w:val="004A3132"/>
    <w:rsid w:val="004A3E89"/>
    <w:rsid w:val="004A5770"/>
    <w:rsid w:val="004A6651"/>
    <w:rsid w:val="004B1542"/>
    <w:rsid w:val="004B19A9"/>
    <w:rsid w:val="004B1DCD"/>
    <w:rsid w:val="004B2619"/>
    <w:rsid w:val="004B397F"/>
    <w:rsid w:val="004B3CB4"/>
    <w:rsid w:val="004B4098"/>
    <w:rsid w:val="004B5D76"/>
    <w:rsid w:val="004B6200"/>
    <w:rsid w:val="004B63A8"/>
    <w:rsid w:val="004C1133"/>
    <w:rsid w:val="004C28F2"/>
    <w:rsid w:val="004C32B0"/>
    <w:rsid w:val="004C43AD"/>
    <w:rsid w:val="004C50E3"/>
    <w:rsid w:val="004C5DD5"/>
    <w:rsid w:val="004C7A58"/>
    <w:rsid w:val="004C7A63"/>
    <w:rsid w:val="004D0268"/>
    <w:rsid w:val="004D0416"/>
    <w:rsid w:val="004D5C88"/>
    <w:rsid w:val="004D739C"/>
    <w:rsid w:val="004E0DD0"/>
    <w:rsid w:val="004E1D69"/>
    <w:rsid w:val="004E3585"/>
    <w:rsid w:val="004E372C"/>
    <w:rsid w:val="004E4134"/>
    <w:rsid w:val="004E611C"/>
    <w:rsid w:val="004E640B"/>
    <w:rsid w:val="004E69A2"/>
    <w:rsid w:val="004E702A"/>
    <w:rsid w:val="004F0C78"/>
    <w:rsid w:val="004F13D3"/>
    <w:rsid w:val="004F2F0A"/>
    <w:rsid w:val="004F39B1"/>
    <w:rsid w:val="004F4333"/>
    <w:rsid w:val="004F487F"/>
    <w:rsid w:val="004F52BB"/>
    <w:rsid w:val="004F5A52"/>
    <w:rsid w:val="004F6568"/>
    <w:rsid w:val="004F6D4D"/>
    <w:rsid w:val="004F7184"/>
    <w:rsid w:val="004F76A4"/>
    <w:rsid w:val="004F7E13"/>
    <w:rsid w:val="00500446"/>
    <w:rsid w:val="00500660"/>
    <w:rsid w:val="00501309"/>
    <w:rsid w:val="00502FB9"/>
    <w:rsid w:val="00503080"/>
    <w:rsid w:val="005077BA"/>
    <w:rsid w:val="0050782C"/>
    <w:rsid w:val="0051135E"/>
    <w:rsid w:val="0051162C"/>
    <w:rsid w:val="00512E96"/>
    <w:rsid w:val="0051308F"/>
    <w:rsid w:val="00513D7D"/>
    <w:rsid w:val="00513F88"/>
    <w:rsid w:val="005155DC"/>
    <w:rsid w:val="00522020"/>
    <w:rsid w:val="00527534"/>
    <w:rsid w:val="00527FA4"/>
    <w:rsid w:val="005302A2"/>
    <w:rsid w:val="00531476"/>
    <w:rsid w:val="00533251"/>
    <w:rsid w:val="00533375"/>
    <w:rsid w:val="00533550"/>
    <w:rsid w:val="00535A16"/>
    <w:rsid w:val="00535D41"/>
    <w:rsid w:val="00537675"/>
    <w:rsid w:val="005430D7"/>
    <w:rsid w:val="00550EBD"/>
    <w:rsid w:val="005517A6"/>
    <w:rsid w:val="005524B5"/>
    <w:rsid w:val="005553B2"/>
    <w:rsid w:val="00555E33"/>
    <w:rsid w:val="00556EEB"/>
    <w:rsid w:val="00557F03"/>
    <w:rsid w:val="00561D7B"/>
    <w:rsid w:val="00561E0C"/>
    <w:rsid w:val="00562917"/>
    <w:rsid w:val="00567185"/>
    <w:rsid w:val="00570377"/>
    <w:rsid w:val="0057075F"/>
    <w:rsid w:val="00571D0E"/>
    <w:rsid w:val="00572DEE"/>
    <w:rsid w:val="005736C2"/>
    <w:rsid w:val="00573A5F"/>
    <w:rsid w:val="00574574"/>
    <w:rsid w:val="00575FCB"/>
    <w:rsid w:val="00576946"/>
    <w:rsid w:val="00577546"/>
    <w:rsid w:val="00581F2B"/>
    <w:rsid w:val="00582111"/>
    <w:rsid w:val="00587333"/>
    <w:rsid w:val="0058751D"/>
    <w:rsid w:val="00592314"/>
    <w:rsid w:val="00593D9C"/>
    <w:rsid w:val="005944DA"/>
    <w:rsid w:val="00597114"/>
    <w:rsid w:val="005975CD"/>
    <w:rsid w:val="005A288C"/>
    <w:rsid w:val="005A444D"/>
    <w:rsid w:val="005B0298"/>
    <w:rsid w:val="005B095E"/>
    <w:rsid w:val="005B1701"/>
    <w:rsid w:val="005B35E2"/>
    <w:rsid w:val="005B55C6"/>
    <w:rsid w:val="005C144E"/>
    <w:rsid w:val="005C2778"/>
    <w:rsid w:val="005C2C0B"/>
    <w:rsid w:val="005C3A4E"/>
    <w:rsid w:val="005C6272"/>
    <w:rsid w:val="005C67D2"/>
    <w:rsid w:val="005C6E3F"/>
    <w:rsid w:val="005D3CCA"/>
    <w:rsid w:val="005D4E5A"/>
    <w:rsid w:val="005D6D89"/>
    <w:rsid w:val="005E0DC3"/>
    <w:rsid w:val="005E14D4"/>
    <w:rsid w:val="005E3362"/>
    <w:rsid w:val="005E395C"/>
    <w:rsid w:val="005E398E"/>
    <w:rsid w:val="005E3D05"/>
    <w:rsid w:val="005E5FD6"/>
    <w:rsid w:val="005F07B0"/>
    <w:rsid w:val="005F2B49"/>
    <w:rsid w:val="005F315E"/>
    <w:rsid w:val="005F3F8D"/>
    <w:rsid w:val="005F515E"/>
    <w:rsid w:val="005F667B"/>
    <w:rsid w:val="005F6687"/>
    <w:rsid w:val="00600A5C"/>
    <w:rsid w:val="00601C4D"/>
    <w:rsid w:val="0060533D"/>
    <w:rsid w:val="006055ED"/>
    <w:rsid w:val="00606A2A"/>
    <w:rsid w:val="00606B53"/>
    <w:rsid w:val="006100A4"/>
    <w:rsid w:val="0061421B"/>
    <w:rsid w:val="006151D5"/>
    <w:rsid w:val="00615664"/>
    <w:rsid w:val="006168FF"/>
    <w:rsid w:val="00621453"/>
    <w:rsid w:val="00622276"/>
    <w:rsid w:val="00622769"/>
    <w:rsid w:val="00625F15"/>
    <w:rsid w:val="00630167"/>
    <w:rsid w:val="00630A24"/>
    <w:rsid w:val="00631823"/>
    <w:rsid w:val="006325E0"/>
    <w:rsid w:val="006333EC"/>
    <w:rsid w:val="0063630F"/>
    <w:rsid w:val="0064058F"/>
    <w:rsid w:val="00644643"/>
    <w:rsid w:val="006470E6"/>
    <w:rsid w:val="00647388"/>
    <w:rsid w:val="00647F27"/>
    <w:rsid w:val="00650489"/>
    <w:rsid w:val="0065791C"/>
    <w:rsid w:val="00660ABA"/>
    <w:rsid w:val="00662202"/>
    <w:rsid w:val="006703BF"/>
    <w:rsid w:val="006719BC"/>
    <w:rsid w:val="00682F35"/>
    <w:rsid w:val="00683FB6"/>
    <w:rsid w:val="006841E7"/>
    <w:rsid w:val="0068480A"/>
    <w:rsid w:val="00687F1D"/>
    <w:rsid w:val="00690341"/>
    <w:rsid w:val="006921C6"/>
    <w:rsid w:val="0069297E"/>
    <w:rsid w:val="00694A3B"/>
    <w:rsid w:val="006956E2"/>
    <w:rsid w:val="00696EE3"/>
    <w:rsid w:val="00697D27"/>
    <w:rsid w:val="006A2901"/>
    <w:rsid w:val="006A4A7E"/>
    <w:rsid w:val="006A5E19"/>
    <w:rsid w:val="006A7164"/>
    <w:rsid w:val="006A7707"/>
    <w:rsid w:val="006B2D22"/>
    <w:rsid w:val="006B3C37"/>
    <w:rsid w:val="006B44F1"/>
    <w:rsid w:val="006B5F9A"/>
    <w:rsid w:val="006B600E"/>
    <w:rsid w:val="006B6298"/>
    <w:rsid w:val="006B7014"/>
    <w:rsid w:val="006C09A8"/>
    <w:rsid w:val="006C19DC"/>
    <w:rsid w:val="006C26D0"/>
    <w:rsid w:val="006C4C12"/>
    <w:rsid w:val="006C536C"/>
    <w:rsid w:val="006C558E"/>
    <w:rsid w:val="006D0AF1"/>
    <w:rsid w:val="006D3B4A"/>
    <w:rsid w:val="006E1247"/>
    <w:rsid w:val="006E304D"/>
    <w:rsid w:val="006E3685"/>
    <w:rsid w:val="006E50AA"/>
    <w:rsid w:val="006E6D3F"/>
    <w:rsid w:val="006E76D3"/>
    <w:rsid w:val="006F01AE"/>
    <w:rsid w:val="006F0269"/>
    <w:rsid w:val="006F19E8"/>
    <w:rsid w:val="006F4B56"/>
    <w:rsid w:val="006F4E6D"/>
    <w:rsid w:val="006F6E5B"/>
    <w:rsid w:val="006F764C"/>
    <w:rsid w:val="00702A8C"/>
    <w:rsid w:val="00702BE0"/>
    <w:rsid w:val="007031BE"/>
    <w:rsid w:val="00705866"/>
    <w:rsid w:val="007113EF"/>
    <w:rsid w:val="007127AC"/>
    <w:rsid w:val="0071399B"/>
    <w:rsid w:val="00714387"/>
    <w:rsid w:val="0071730F"/>
    <w:rsid w:val="0072132D"/>
    <w:rsid w:val="0072303D"/>
    <w:rsid w:val="00726BEE"/>
    <w:rsid w:val="0073165E"/>
    <w:rsid w:val="007324F6"/>
    <w:rsid w:val="007326AE"/>
    <w:rsid w:val="00733B38"/>
    <w:rsid w:val="00733C8E"/>
    <w:rsid w:val="00733E3D"/>
    <w:rsid w:val="00737B9F"/>
    <w:rsid w:val="00741143"/>
    <w:rsid w:val="007436DF"/>
    <w:rsid w:val="00750B54"/>
    <w:rsid w:val="00750DB2"/>
    <w:rsid w:val="00755A3D"/>
    <w:rsid w:val="00760D96"/>
    <w:rsid w:val="00762DD4"/>
    <w:rsid w:val="00763285"/>
    <w:rsid w:val="007657F9"/>
    <w:rsid w:val="00770803"/>
    <w:rsid w:val="00772890"/>
    <w:rsid w:val="0078013D"/>
    <w:rsid w:val="007819B9"/>
    <w:rsid w:val="00781F07"/>
    <w:rsid w:val="00782C28"/>
    <w:rsid w:val="00785626"/>
    <w:rsid w:val="00787E17"/>
    <w:rsid w:val="00790DFB"/>
    <w:rsid w:val="00792FAF"/>
    <w:rsid w:val="00794A47"/>
    <w:rsid w:val="00795CEA"/>
    <w:rsid w:val="0079635C"/>
    <w:rsid w:val="007A003B"/>
    <w:rsid w:val="007A32C2"/>
    <w:rsid w:val="007A6176"/>
    <w:rsid w:val="007A70E8"/>
    <w:rsid w:val="007A7C7E"/>
    <w:rsid w:val="007B1DD5"/>
    <w:rsid w:val="007B45EB"/>
    <w:rsid w:val="007B485B"/>
    <w:rsid w:val="007B67E6"/>
    <w:rsid w:val="007C61A4"/>
    <w:rsid w:val="007C7463"/>
    <w:rsid w:val="007D0622"/>
    <w:rsid w:val="007D18FA"/>
    <w:rsid w:val="007D1D3B"/>
    <w:rsid w:val="007D44CD"/>
    <w:rsid w:val="007D522C"/>
    <w:rsid w:val="007D6F1C"/>
    <w:rsid w:val="007D7E10"/>
    <w:rsid w:val="007D7FEE"/>
    <w:rsid w:val="007E044C"/>
    <w:rsid w:val="007E0B75"/>
    <w:rsid w:val="007E4558"/>
    <w:rsid w:val="007E53CE"/>
    <w:rsid w:val="007E579D"/>
    <w:rsid w:val="007E5D71"/>
    <w:rsid w:val="007E7EAD"/>
    <w:rsid w:val="007F0665"/>
    <w:rsid w:val="007F1057"/>
    <w:rsid w:val="007F77E0"/>
    <w:rsid w:val="00800CA5"/>
    <w:rsid w:val="00800F42"/>
    <w:rsid w:val="00801415"/>
    <w:rsid w:val="00801CD0"/>
    <w:rsid w:val="00802ED6"/>
    <w:rsid w:val="00802FDD"/>
    <w:rsid w:val="00804B0B"/>
    <w:rsid w:val="00805BFE"/>
    <w:rsid w:val="0080632A"/>
    <w:rsid w:val="0080699A"/>
    <w:rsid w:val="008076D2"/>
    <w:rsid w:val="0081051E"/>
    <w:rsid w:val="0081060E"/>
    <w:rsid w:val="008109E6"/>
    <w:rsid w:val="0081104C"/>
    <w:rsid w:val="00814E7D"/>
    <w:rsid w:val="00815A67"/>
    <w:rsid w:val="00816187"/>
    <w:rsid w:val="008162F3"/>
    <w:rsid w:val="0081653A"/>
    <w:rsid w:val="00821D96"/>
    <w:rsid w:val="00822211"/>
    <w:rsid w:val="0082314C"/>
    <w:rsid w:val="00826974"/>
    <w:rsid w:val="008305F9"/>
    <w:rsid w:val="00831B5C"/>
    <w:rsid w:val="0083374F"/>
    <w:rsid w:val="00833C36"/>
    <w:rsid w:val="00833D3A"/>
    <w:rsid w:val="00833E4C"/>
    <w:rsid w:val="00834138"/>
    <w:rsid w:val="00834618"/>
    <w:rsid w:val="00834840"/>
    <w:rsid w:val="0083601F"/>
    <w:rsid w:val="00841996"/>
    <w:rsid w:val="00846AD2"/>
    <w:rsid w:val="0084704C"/>
    <w:rsid w:val="00854EC0"/>
    <w:rsid w:val="008569C1"/>
    <w:rsid w:val="0085705C"/>
    <w:rsid w:val="008570D8"/>
    <w:rsid w:val="0086210A"/>
    <w:rsid w:val="0086371E"/>
    <w:rsid w:val="008646AE"/>
    <w:rsid w:val="00864BC8"/>
    <w:rsid w:val="00866A6E"/>
    <w:rsid w:val="008717F7"/>
    <w:rsid w:val="008779B7"/>
    <w:rsid w:val="00883A4B"/>
    <w:rsid w:val="00884B78"/>
    <w:rsid w:val="00890C00"/>
    <w:rsid w:val="008915B6"/>
    <w:rsid w:val="0089338F"/>
    <w:rsid w:val="008944DF"/>
    <w:rsid w:val="0089533F"/>
    <w:rsid w:val="008964A0"/>
    <w:rsid w:val="00896CD3"/>
    <w:rsid w:val="00896FF4"/>
    <w:rsid w:val="008A05AD"/>
    <w:rsid w:val="008A105E"/>
    <w:rsid w:val="008A13C9"/>
    <w:rsid w:val="008A1804"/>
    <w:rsid w:val="008A6751"/>
    <w:rsid w:val="008A6C6E"/>
    <w:rsid w:val="008A7200"/>
    <w:rsid w:val="008B1FCA"/>
    <w:rsid w:val="008B59A1"/>
    <w:rsid w:val="008B6035"/>
    <w:rsid w:val="008B6AFD"/>
    <w:rsid w:val="008B7696"/>
    <w:rsid w:val="008C08FC"/>
    <w:rsid w:val="008C315B"/>
    <w:rsid w:val="008C5339"/>
    <w:rsid w:val="008C55F4"/>
    <w:rsid w:val="008C7D87"/>
    <w:rsid w:val="008D0619"/>
    <w:rsid w:val="008D4F2D"/>
    <w:rsid w:val="008D50D7"/>
    <w:rsid w:val="008D707C"/>
    <w:rsid w:val="008E09FA"/>
    <w:rsid w:val="008E1CE5"/>
    <w:rsid w:val="008E1D8A"/>
    <w:rsid w:val="008E2F55"/>
    <w:rsid w:val="008E4E0B"/>
    <w:rsid w:val="008E5811"/>
    <w:rsid w:val="008E6AB7"/>
    <w:rsid w:val="008E73A8"/>
    <w:rsid w:val="008E7C04"/>
    <w:rsid w:val="008F16B4"/>
    <w:rsid w:val="008F68EC"/>
    <w:rsid w:val="00900330"/>
    <w:rsid w:val="009009B4"/>
    <w:rsid w:val="00905040"/>
    <w:rsid w:val="00907124"/>
    <w:rsid w:val="00911FC3"/>
    <w:rsid w:val="0091211D"/>
    <w:rsid w:val="0091289C"/>
    <w:rsid w:val="00912D64"/>
    <w:rsid w:val="00912F74"/>
    <w:rsid w:val="00920893"/>
    <w:rsid w:val="0092232B"/>
    <w:rsid w:val="009269B1"/>
    <w:rsid w:val="00926CB3"/>
    <w:rsid w:val="00926F72"/>
    <w:rsid w:val="00927BF4"/>
    <w:rsid w:val="0093134D"/>
    <w:rsid w:val="0093236E"/>
    <w:rsid w:val="0093282C"/>
    <w:rsid w:val="009328AE"/>
    <w:rsid w:val="00934124"/>
    <w:rsid w:val="009351AD"/>
    <w:rsid w:val="009366FC"/>
    <w:rsid w:val="0093767F"/>
    <w:rsid w:val="00941D1E"/>
    <w:rsid w:val="00943261"/>
    <w:rsid w:val="00944054"/>
    <w:rsid w:val="00945C91"/>
    <w:rsid w:val="009519C8"/>
    <w:rsid w:val="00951CE8"/>
    <w:rsid w:val="00954663"/>
    <w:rsid w:val="00954F2A"/>
    <w:rsid w:val="009567A2"/>
    <w:rsid w:val="009609A8"/>
    <w:rsid w:val="00961763"/>
    <w:rsid w:val="00961D4E"/>
    <w:rsid w:val="00966B2D"/>
    <w:rsid w:val="0097007F"/>
    <w:rsid w:val="0097190A"/>
    <w:rsid w:val="00972D59"/>
    <w:rsid w:val="00973DDF"/>
    <w:rsid w:val="00974085"/>
    <w:rsid w:val="00976603"/>
    <w:rsid w:val="00986C31"/>
    <w:rsid w:val="0099094A"/>
    <w:rsid w:val="009915B6"/>
    <w:rsid w:val="00992602"/>
    <w:rsid w:val="009938AA"/>
    <w:rsid w:val="009951F7"/>
    <w:rsid w:val="00996ADF"/>
    <w:rsid w:val="009A191B"/>
    <w:rsid w:val="009A1B78"/>
    <w:rsid w:val="009A2638"/>
    <w:rsid w:val="009A3468"/>
    <w:rsid w:val="009A4794"/>
    <w:rsid w:val="009B05B6"/>
    <w:rsid w:val="009B0BF6"/>
    <w:rsid w:val="009B0D89"/>
    <w:rsid w:val="009B187B"/>
    <w:rsid w:val="009B1F5F"/>
    <w:rsid w:val="009B1F69"/>
    <w:rsid w:val="009B5CFB"/>
    <w:rsid w:val="009B6F01"/>
    <w:rsid w:val="009B7A8F"/>
    <w:rsid w:val="009B7FDB"/>
    <w:rsid w:val="009C103E"/>
    <w:rsid w:val="009C11EC"/>
    <w:rsid w:val="009C460C"/>
    <w:rsid w:val="009C47CC"/>
    <w:rsid w:val="009C56F5"/>
    <w:rsid w:val="009D029E"/>
    <w:rsid w:val="009D0B9A"/>
    <w:rsid w:val="009D3E7B"/>
    <w:rsid w:val="009D444A"/>
    <w:rsid w:val="009D7C1D"/>
    <w:rsid w:val="009E53AB"/>
    <w:rsid w:val="009E6FDB"/>
    <w:rsid w:val="009F13A1"/>
    <w:rsid w:val="009F7DD0"/>
    <w:rsid w:val="00A015AE"/>
    <w:rsid w:val="00A01F77"/>
    <w:rsid w:val="00A02AC6"/>
    <w:rsid w:val="00A0653A"/>
    <w:rsid w:val="00A11B29"/>
    <w:rsid w:val="00A12C7F"/>
    <w:rsid w:val="00A14BE2"/>
    <w:rsid w:val="00A14F76"/>
    <w:rsid w:val="00A15E56"/>
    <w:rsid w:val="00A16BCF"/>
    <w:rsid w:val="00A176E2"/>
    <w:rsid w:val="00A179DC"/>
    <w:rsid w:val="00A20606"/>
    <w:rsid w:val="00A20C6A"/>
    <w:rsid w:val="00A20CA9"/>
    <w:rsid w:val="00A2538B"/>
    <w:rsid w:val="00A25F4C"/>
    <w:rsid w:val="00A26022"/>
    <w:rsid w:val="00A2740F"/>
    <w:rsid w:val="00A32035"/>
    <w:rsid w:val="00A33EE3"/>
    <w:rsid w:val="00A34428"/>
    <w:rsid w:val="00A34E18"/>
    <w:rsid w:val="00A34EEF"/>
    <w:rsid w:val="00A34F3F"/>
    <w:rsid w:val="00A37FF8"/>
    <w:rsid w:val="00A40F73"/>
    <w:rsid w:val="00A44111"/>
    <w:rsid w:val="00A46DF4"/>
    <w:rsid w:val="00A47590"/>
    <w:rsid w:val="00A50258"/>
    <w:rsid w:val="00A50C33"/>
    <w:rsid w:val="00A50F96"/>
    <w:rsid w:val="00A51AFF"/>
    <w:rsid w:val="00A5463C"/>
    <w:rsid w:val="00A57B4B"/>
    <w:rsid w:val="00A606CA"/>
    <w:rsid w:val="00A60E5F"/>
    <w:rsid w:val="00A660C1"/>
    <w:rsid w:val="00A66864"/>
    <w:rsid w:val="00A70055"/>
    <w:rsid w:val="00A70869"/>
    <w:rsid w:val="00A716DD"/>
    <w:rsid w:val="00A730B3"/>
    <w:rsid w:val="00A742D5"/>
    <w:rsid w:val="00A74511"/>
    <w:rsid w:val="00A7580C"/>
    <w:rsid w:val="00A809D4"/>
    <w:rsid w:val="00A815A4"/>
    <w:rsid w:val="00A8317F"/>
    <w:rsid w:val="00A84A06"/>
    <w:rsid w:val="00A868E5"/>
    <w:rsid w:val="00A87112"/>
    <w:rsid w:val="00A9159C"/>
    <w:rsid w:val="00A91B11"/>
    <w:rsid w:val="00A978C9"/>
    <w:rsid w:val="00AA1266"/>
    <w:rsid w:val="00AA2AFC"/>
    <w:rsid w:val="00AA3029"/>
    <w:rsid w:val="00AA47BE"/>
    <w:rsid w:val="00AA494B"/>
    <w:rsid w:val="00AA6E46"/>
    <w:rsid w:val="00AA718C"/>
    <w:rsid w:val="00AB1ECB"/>
    <w:rsid w:val="00AB2084"/>
    <w:rsid w:val="00AB2308"/>
    <w:rsid w:val="00AB2A58"/>
    <w:rsid w:val="00AB4322"/>
    <w:rsid w:val="00AC05EA"/>
    <w:rsid w:val="00AC073D"/>
    <w:rsid w:val="00AC1371"/>
    <w:rsid w:val="00AC339F"/>
    <w:rsid w:val="00AC3F54"/>
    <w:rsid w:val="00AC531B"/>
    <w:rsid w:val="00AC6F7A"/>
    <w:rsid w:val="00AD0CFF"/>
    <w:rsid w:val="00AD2A19"/>
    <w:rsid w:val="00AD649D"/>
    <w:rsid w:val="00AD7521"/>
    <w:rsid w:val="00AE0254"/>
    <w:rsid w:val="00AE0D3C"/>
    <w:rsid w:val="00AE18C2"/>
    <w:rsid w:val="00AF0430"/>
    <w:rsid w:val="00AF0D5D"/>
    <w:rsid w:val="00AF2D11"/>
    <w:rsid w:val="00AF4D21"/>
    <w:rsid w:val="00AF74F6"/>
    <w:rsid w:val="00B03C8C"/>
    <w:rsid w:val="00B06685"/>
    <w:rsid w:val="00B1031B"/>
    <w:rsid w:val="00B103C1"/>
    <w:rsid w:val="00B11806"/>
    <w:rsid w:val="00B1528C"/>
    <w:rsid w:val="00B16402"/>
    <w:rsid w:val="00B16C6F"/>
    <w:rsid w:val="00B1790E"/>
    <w:rsid w:val="00B21807"/>
    <w:rsid w:val="00B232BD"/>
    <w:rsid w:val="00B26A18"/>
    <w:rsid w:val="00B30897"/>
    <w:rsid w:val="00B36FEF"/>
    <w:rsid w:val="00B370F4"/>
    <w:rsid w:val="00B37124"/>
    <w:rsid w:val="00B43C88"/>
    <w:rsid w:val="00B447BD"/>
    <w:rsid w:val="00B45558"/>
    <w:rsid w:val="00B47B73"/>
    <w:rsid w:val="00B505BD"/>
    <w:rsid w:val="00B50EF1"/>
    <w:rsid w:val="00B51385"/>
    <w:rsid w:val="00B523C6"/>
    <w:rsid w:val="00B54242"/>
    <w:rsid w:val="00B551B7"/>
    <w:rsid w:val="00B56910"/>
    <w:rsid w:val="00B56FDF"/>
    <w:rsid w:val="00B5780F"/>
    <w:rsid w:val="00B60316"/>
    <w:rsid w:val="00B608A5"/>
    <w:rsid w:val="00B60DA7"/>
    <w:rsid w:val="00B60DFD"/>
    <w:rsid w:val="00B612BF"/>
    <w:rsid w:val="00B61BAB"/>
    <w:rsid w:val="00B625D8"/>
    <w:rsid w:val="00B63E88"/>
    <w:rsid w:val="00B64B7D"/>
    <w:rsid w:val="00B6633B"/>
    <w:rsid w:val="00B70672"/>
    <w:rsid w:val="00B7248F"/>
    <w:rsid w:val="00B731BD"/>
    <w:rsid w:val="00B75018"/>
    <w:rsid w:val="00B75C98"/>
    <w:rsid w:val="00B76DEF"/>
    <w:rsid w:val="00B76FA9"/>
    <w:rsid w:val="00B8265A"/>
    <w:rsid w:val="00B9017A"/>
    <w:rsid w:val="00B93316"/>
    <w:rsid w:val="00B94CBF"/>
    <w:rsid w:val="00B94FC7"/>
    <w:rsid w:val="00B95C23"/>
    <w:rsid w:val="00B96E7F"/>
    <w:rsid w:val="00BA1E79"/>
    <w:rsid w:val="00BA409C"/>
    <w:rsid w:val="00BA4F5B"/>
    <w:rsid w:val="00BA7F4A"/>
    <w:rsid w:val="00BB1C9C"/>
    <w:rsid w:val="00BB1DA9"/>
    <w:rsid w:val="00BB1E46"/>
    <w:rsid w:val="00BB1F11"/>
    <w:rsid w:val="00BB2F3D"/>
    <w:rsid w:val="00BB45F3"/>
    <w:rsid w:val="00BB50FC"/>
    <w:rsid w:val="00BB531A"/>
    <w:rsid w:val="00BB6473"/>
    <w:rsid w:val="00BC3BF5"/>
    <w:rsid w:val="00BC4C75"/>
    <w:rsid w:val="00BC58BE"/>
    <w:rsid w:val="00BC5996"/>
    <w:rsid w:val="00BC5D45"/>
    <w:rsid w:val="00BC6319"/>
    <w:rsid w:val="00BC75D9"/>
    <w:rsid w:val="00BC7D84"/>
    <w:rsid w:val="00BD49C1"/>
    <w:rsid w:val="00BE000A"/>
    <w:rsid w:val="00BE04AB"/>
    <w:rsid w:val="00BE7EC1"/>
    <w:rsid w:val="00BF008E"/>
    <w:rsid w:val="00BF7EB1"/>
    <w:rsid w:val="00C048A4"/>
    <w:rsid w:val="00C05C74"/>
    <w:rsid w:val="00C06F46"/>
    <w:rsid w:val="00C076C5"/>
    <w:rsid w:val="00C07EB0"/>
    <w:rsid w:val="00C11A83"/>
    <w:rsid w:val="00C12010"/>
    <w:rsid w:val="00C138CD"/>
    <w:rsid w:val="00C13CF8"/>
    <w:rsid w:val="00C15649"/>
    <w:rsid w:val="00C15C02"/>
    <w:rsid w:val="00C16184"/>
    <w:rsid w:val="00C165C0"/>
    <w:rsid w:val="00C16E72"/>
    <w:rsid w:val="00C2250B"/>
    <w:rsid w:val="00C25E98"/>
    <w:rsid w:val="00C2767A"/>
    <w:rsid w:val="00C301D1"/>
    <w:rsid w:val="00C30B08"/>
    <w:rsid w:val="00C30EEF"/>
    <w:rsid w:val="00C35567"/>
    <w:rsid w:val="00C3688F"/>
    <w:rsid w:val="00C3695B"/>
    <w:rsid w:val="00C401E7"/>
    <w:rsid w:val="00C43679"/>
    <w:rsid w:val="00C446E8"/>
    <w:rsid w:val="00C467EC"/>
    <w:rsid w:val="00C46956"/>
    <w:rsid w:val="00C500BA"/>
    <w:rsid w:val="00C51FE0"/>
    <w:rsid w:val="00C53016"/>
    <w:rsid w:val="00C540B9"/>
    <w:rsid w:val="00C569A0"/>
    <w:rsid w:val="00C60135"/>
    <w:rsid w:val="00C62C54"/>
    <w:rsid w:val="00C654B6"/>
    <w:rsid w:val="00C656D6"/>
    <w:rsid w:val="00C663CD"/>
    <w:rsid w:val="00C6655C"/>
    <w:rsid w:val="00C67F8C"/>
    <w:rsid w:val="00C70B86"/>
    <w:rsid w:val="00C816B9"/>
    <w:rsid w:val="00C83053"/>
    <w:rsid w:val="00C845AE"/>
    <w:rsid w:val="00C84A1C"/>
    <w:rsid w:val="00C86F86"/>
    <w:rsid w:val="00C916A1"/>
    <w:rsid w:val="00C927A8"/>
    <w:rsid w:val="00C937B7"/>
    <w:rsid w:val="00C94A99"/>
    <w:rsid w:val="00C9505D"/>
    <w:rsid w:val="00CA074D"/>
    <w:rsid w:val="00CA1030"/>
    <w:rsid w:val="00CA212E"/>
    <w:rsid w:val="00CA3B1E"/>
    <w:rsid w:val="00CA5280"/>
    <w:rsid w:val="00CA574D"/>
    <w:rsid w:val="00CA5D3A"/>
    <w:rsid w:val="00CB04FD"/>
    <w:rsid w:val="00CB08E2"/>
    <w:rsid w:val="00CB1A13"/>
    <w:rsid w:val="00CB465C"/>
    <w:rsid w:val="00CB4B0B"/>
    <w:rsid w:val="00CB5A5A"/>
    <w:rsid w:val="00CB7619"/>
    <w:rsid w:val="00CB789A"/>
    <w:rsid w:val="00CB7B46"/>
    <w:rsid w:val="00CC0758"/>
    <w:rsid w:val="00CC45F5"/>
    <w:rsid w:val="00CC5BF5"/>
    <w:rsid w:val="00CD0552"/>
    <w:rsid w:val="00CD2B7A"/>
    <w:rsid w:val="00CE10DD"/>
    <w:rsid w:val="00CE2315"/>
    <w:rsid w:val="00CE2372"/>
    <w:rsid w:val="00CE2686"/>
    <w:rsid w:val="00CE28D9"/>
    <w:rsid w:val="00CE3B66"/>
    <w:rsid w:val="00CE3E38"/>
    <w:rsid w:val="00CE4DB5"/>
    <w:rsid w:val="00CE5560"/>
    <w:rsid w:val="00CE635C"/>
    <w:rsid w:val="00CE7677"/>
    <w:rsid w:val="00CE7ABB"/>
    <w:rsid w:val="00CF192E"/>
    <w:rsid w:val="00CF2ABC"/>
    <w:rsid w:val="00CF30E5"/>
    <w:rsid w:val="00CF3BAE"/>
    <w:rsid w:val="00CF41AC"/>
    <w:rsid w:val="00CF51D0"/>
    <w:rsid w:val="00CF5239"/>
    <w:rsid w:val="00CF55F2"/>
    <w:rsid w:val="00CF5CD2"/>
    <w:rsid w:val="00CF75E0"/>
    <w:rsid w:val="00CF772A"/>
    <w:rsid w:val="00D01B43"/>
    <w:rsid w:val="00D01F6A"/>
    <w:rsid w:val="00D044B5"/>
    <w:rsid w:val="00D06DBB"/>
    <w:rsid w:val="00D076B6"/>
    <w:rsid w:val="00D07C84"/>
    <w:rsid w:val="00D111A9"/>
    <w:rsid w:val="00D11471"/>
    <w:rsid w:val="00D16F1B"/>
    <w:rsid w:val="00D201B5"/>
    <w:rsid w:val="00D20E90"/>
    <w:rsid w:val="00D20FFD"/>
    <w:rsid w:val="00D216B1"/>
    <w:rsid w:val="00D23C4E"/>
    <w:rsid w:val="00D24151"/>
    <w:rsid w:val="00D242B1"/>
    <w:rsid w:val="00D24494"/>
    <w:rsid w:val="00D24B03"/>
    <w:rsid w:val="00D266D9"/>
    <w:rsid w:val="00D26DDA"/>
    <w:rsid w:val="00D30FB3"/>
    <w:rsid w:val="00D31456"/>
    <w:rsid w:val="00D31F90"/>
    <w:rsid w:val="00D32331"/>
    <w:rsid w:val="00D34154"/>
    <w:rsid w:val="00D360AF"/>
    <w:rsid w:val="00D426EF"/>
    <w:rsid w:val="00D45304"/>
    <w:rsid w:val="00D4559F"/>
    <w:rsid w:val="00D46271"/>
    <w:rsid w:val="00D4637C"/>
    <w:rsid w:val="00D46D14"/>
    <w:rsid w:val="00D4782A"/>
    <w:rsid w:val="00D535AC"/>
    <w:rsid w:val="00D536CD"/>
    <w:rsid w:val="00D53C5F"/>
    <w:rsid w:val="00D555C0"/>
    <w:rsid w:val="00D57C78"/>
    <w:rsid w:val="00D57DCD"/>
    <w:rsid w:val="00D619A9"/>
    <w:rsid w:val="00D61F6A"/>
    <w:rsid w:val="00D620B9"/>
    <w:rsid w:val="00D625D8"/>
    <w:rsid w:val="00D64B99"/>
    <w:rsid w:val="00D67A52"/>
    <w:rsid w:val="00D7065E"/>
    <w:rsid w:val="00D7183F"/>
    <w:rsid w:val="00D747D0"/>
    <w:rsid w:val="00D74C82"/>
    <w:rsid w:val="00D76A8F"/>
    <w:rsid w:val="00D77DB8"/>
    <w:rsid w:val="00D77E14"/>
    <w:rsid w:val="00D8065B"/>
    <w:rsid w:val="00D823EB"/>
    <w:rsid w:val="00D82D67"/>
    <w:rsid w:val="00D83A67"/>
    <w:rsid w:val="00D863F2"/>
    <w:rsid w:val="00D86D0E"/>
    <w:rsid w:val="00D90302"/>
    <w:rsid w:val="00D91DF8"/>
    <w:rsid w:val="00D92F35"/>
    <w:rsid w:val="00D9555B"/>
    <w:rsid w:val="00D96D53"/>
    <w:rsid w:val="00D970D8"/>
    <w:rsid w:val="00DA1D79"/>
    <w:rsid w:val="00DA2902"/>
    <w:rsid w:val="00DA3973"/>
    <w:rsid w:val="00DA3ECE"/>
    <w:rsid w:val="00DA4DC9"/>
    <w:rsid w:val="00DA658E"/>
    <w:rsid w:val="00DA6737"/>
    <w:rsid w:val="00DB244F"/>
    <w:rsid w:val="00DB3620"/>
    <w:rsid w:val="00DB49D3"/>
    <w:rsid w:val="00DB57D5"/>
    <w:rsid w:val="00DC01E5"/>
    <w:rsid w:val="00DC0591"/>
    <w:rsid w:val="00DC074B"/>
    <w:rsid w:val="00DC0915"/>
    <w:rsid w:val="00DC34F2"/>
    <w:rsid w:val="00DC49F8"/>
    <w:rsid w:val="00DD40CD"/>
    <w:rsid w:val="00DD66C3"/>
    <w:rsid w:val="00DD68B4"/>
    <w:rsid w:val="00DD6942"/>
    <w:rsid w:val="00DD6C51"/>
    <w:rsid w:val="00DD6F45"/>
    <w:rsid w:val="00DD7CB2"/>
    <w:rsid w:val="00DD7DFF"/>
    <w:rsid w:val="00DE0954"/>
    <w:rsid w:val="00DE1324"/>
    <w:rsid w:val="00DE1E35"/>
    <w:rsid w:val="00DE1F1F"/>
    <w:rsid w:val="00DE2AF7"/>
    <w:rsid w:val="00DE364E"/>
    <w:rsid w:val="00DE5830"/>
    <w:rsid w:val="00DE653E"/>
    <w:rsid w:val="00DE731C"/>
    <w:rsid w:val="00DF17BD"/>
    <w:rsid w:val="00DF2594"/>
    <w:rsid w:val="00DF38E8"/>
    <w:rsid w:val="00DF41BA"/>
    <w:rsid w:val="00DF632B"/>
    <w:rsid w:val="00DF6830"/>
    <w:rsid w:val="00E012B6"/>
    <w:rsid w:val="00E02481"/>
    <w:rsid w:val="00E058AE"/>
    <w:rsid w:val="00E10AB3"/>
    <w:rsid w:val="00E11562"/>
    <w:rsid w:val="00E12098"/>
    <w:rsid w:val="00E121A7"/>
    <w:rsid w:val="00E13F63"/>
    <w:rsid w:val="00E14666"/>
    <w:rsid w:val="00E1477F"/>
    <w:rsid w:val="00E15791"/>
    <w:rsid w:val="00E203D4"/>
    <w:rsid w:val="00E20675"/>
    <w:rsid w:val="00E20F0E"/>
    <w:rsid w:val="00E24936"/>
    <w:rsid w:val="00E27FAD"/>
    <w:rsid w:val="00E328CF"/>
    <w:rsid w:val="00E33B82"/>
    <w:rsid w:val="00E33D57"/>
    <w:rsid w:val="00E35101"/>
    <w:rsid w:val="00E3793B"/>
    <w:rsid w:val="00E420B8"/>
    <w:rsid w:val="00E43BAE"/>
    <w:rsid w:val="00E445D3"/>
    <w:rsid w:val="00E453AA"/>
    <w:rsid w:val="00E45757"/>
    <w:rsid w:val="00E47ED2"/>
    <w:rsid w:val="00E5205A"/>
    <w:rsid w:val="00E60F5A"/>
    <w:rsid w:val="00E63C69"/>
    <w:rsid w:val="00E66764"/>
    <w:rsid w:val="00E675B9"/>
    <w:rsid w:val="00E706F1"/>
    <w:rsid w:val="00E70A02"/>
    <w:rsid w:val="00E715D0"/>
    <w:rsid w:val="00E71E60"/>
    <w:rsid w:val="00E71ED9"/>
    <w:rsid w:val="00E734D5"/>
    <w:rsid w:val="00E73DA3"/>
    <w:rsid w:val="00E74247"/>
    <w:rsid w:val="00E74C3E"/>
    <w:rsid w:val="00E750ED"/>
    <w:rsid w:val="00E753E8"/>
    <w:rsid w:val="00E773D2"/>
    <w:rsid w:val="00E77D48"/>
    <w:rsid w:val="00E81559"/>
    <w:rsid w:val="00E83AD4"/>
    <w:rsid w:val="00E84D04"/>
    <w:rsid w:val="00E85004"/>
    <w:rsid w:val="00E86195"/>
    <w:rsid w:val="00E86CB3"/>
    <w:rsid w:val="00E87341"/>
    <w:rsid w:val="00E939A0"/>
    <w:rsid w:val="00E93D7C"/>
    <w:rsid w:val="00EA1530"/>
    <w:rsid w:val="00EB0034"/>
    <w:rsid w:val="00EB1762"/>
    <w:rsid w:val="00EB5503"/>
    <w:rsid w:val="00EB6F11"/>
    <w:rsid w:val="00EC122E"/>
    <w:rsid w:val="00EC17E8"/>
    <w:rsid w:val="00EC270A"/>
    <w:rsid w:val="00EC5A3F"/>
    <w:rsid w:val="00EC5A4E"/>
    <w:rsid w:val="00ED533C"/>
    <w:rsid w:val="00ED5B81"/>
    <w:rsid w:val="00ED6CAD"/>
    <w:rsid w:val="00ED6E7F"/>
    <w:rsid w:val="00EE531F"/>
    <w:rsid w:val="00EF1AD4"/>
    <w:rsid w:val="00EF3903"/>
    <w:rsid w:val="00EF3ABE"/>
    <w:rsid w:val="00EF442D"/>
    <w:rsid w:val="00EF72DE"/>
    <w:rsid w:val="00EF79CE"/>
    <w:rsid w:val="00F00E41"/>
    <w:rsid w:val="00F03C44"/>
    <w:rsid w:val="00F04568"/>
    <w:rsid w:val="00F04FA5"/>
    <w:rsid w:val="00F10E8D"/>
    <w:rsid w:val="00F15286"/>
    <w:rsid w:val="00F161A0"/>
    <w:rsid w:val="00F20062"/>
    <w:rsid w:val="00F20EB5"/>
    <w:rsid w:val="00F22924"/>
    <w:rsid w:val="00F255A2"/>
    <w:rsid w:val="00F26151"/>
    <w:rsid w:val="00F30C14"/>
    <w:rsid w:val="00F31B76"/>
    <w:rsid w:val="00F335A3"/>
    <w:rsid w:val="00F423F4"/>
    <w:rsid w:val="00F45153"/>
    <w:rsid w:val="00F46C3B"/>
    <w:rsid w:val="00F50D3A"/>
    <w:rsid w:val="00F54813"/>
    <w:rsid w:val="00F61407"/>
    <w:rsid w:val="00F61670"/>
    <w:rsid w:val="00F62C5C"/>
    <w:rsid w:val="00F6363C"/>
    <w:rsid w:val="00F63F9D"/>
    <w:rsid w:val="00F663FB"/>
    <w:rsid w:val="00F66C73"/>
    <w:rsid w:val="00F67D04"/>
    <w:rsid w:val="00F67FA7"/>
    <w:rsid w:val="00F71405"/>
    <w:rsid w:val="00F71E5F"/>
    <w:rsid w:val="00F73CE3"/>
    <w:rsid w:val="00F745DC"/>
    <w:rsid w:val="00F75F18"/>
    <w:rsid w:val="00F77FE6"/>
    <w:rsid w:val="00F8083D"/>
    <w:rsid w:val="00F822B9"/>
    <w:rsid w:val="00F84859"/>
    <w:rsid w:val="00F84EF9"/>
    <w:rsid w:val="00F861CD"/>
    <w:rsid w:val="00F92A30"/>
    <w:rsid w:val="00F93CC9"/>
    <w:rsid w:val="00F96903"/>
    <w:rsid w:val="00F96A43"/>
    <w:rsid w:val="00F96E88"/>
    <w:rsid w:val="00FA1065"/>
    <w:rsid w:val="00FA178C"/>
    <w:rsid w:val="00FA1F4C"/>
    <w:rsid w:val="00FA28C4"/>
    <w:rsid w:val="00FA2EDB"/>
    <w:rsid w:val="00FA3035"/>
    <w:rsid w:val="00FB0859"/>
    <w:rsid w:val="00FB16C2"/>
    <w:rsid w:val="00FB22A6"/>
    <w:rsid w:val="00FB2D74"/>
    <w:rsid w:val="00FB3FC4"/>
    <w:rsid w:val="00FB445B"/>
    <w:rsid w:val="00FB4C2F"/>
    <w:rsid w:val="00FB4E52"/>
    <w:rsid w:val="00FB5E74"/>
    <w:rsid w:val="00FB7871"/>
    <w:rsid w:val="00FC0C0B"/>
    <w:rsid w:val="00FC0EEA"/>
    <w:rsid w:val="00FC370D"/>
    <w:rsid w:val="00FC3833"/>
    <w:rsid w:val="00FC5643"/>
    <w:rsid w:val="00FC718D"/>
    <w:rsid w:val="00FC782A"/>
    <w:rsid w:val="00FC7D8F"/>
    <w:rsid w:val="00FD0665"/>
    <w:rsid w:val="00FD0D39"/>
    <w:rsid w:val="00FD1A1E"/>
    <w:rsid w:val="00FD257F"/>
    <w:rsid w:val="00FD26BC"/>
    <w:rsid w:val="00FD4990"/>
    <w:rsid w:val="00FD4AF1"/>
    <w:rsid w:val="00FD5F68"/>
    <w:rsid w:val="00FE1654"/>
    <w:rsid w:val="00FE2EED"/>
    <w:rsid w:val="00FE63E0"/>
    <w:rsid w:val="00FE66FB"/>
    <w:rsid w:val="00FE7152"/>
    <w:rsid w:val="00FE7153"/>
    <w:rsid w:val="00FF0B12"/>
    <w:rsid w:val="00FF1457"/>
    <w:rsid w:val="00FF2BDA"/>
    <w:rsid w:val="00FF3728"/>
    <w:rsid w:val="00FF4920"/>
    <w:rsid w:val="00FF70F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18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Outline List 1"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7C1D"/>
    <w:pPr>
      <w:spacing w:after="240" w:line="288" w:lineRule="auto"/>
      <w:jc w:val="both"/>
    </w:pPr>
    <w:rPr>
      <w:rFonts w:ascii="Gautami" w:hAnsi="Gautami"/>
      <w:lang w:eastAsia="en-US"/>
    </w:rPr>
  </w:style>
  <w:style w:type="paragraph" w:styleId="Heading1">
    <w:name w:val="heading 1"/>
    <w:next w:val="AERbodytext"/>
    <w:link w:val="Heading1Char"/>
    <w:uiPriority w:val="9"/>
    <w:qFormat/>
    <w:rsid w:val="009D7C1D"/>
    <w:pPr>
      <w:keepNext/>
      <w:keepLines/>
      <w:pageBreakBefore/>
      <w:numPr>
        <w:ilvl w:val="1"/>
        <w:numId w:val="3"/>
      </w:numPr>
      <w:spacing w:before="120" w:after="120" w:line="288" w:lineRule="auto"/>
      <w:jc w:val="both"/>
      <w:outlineLvl w:val="0"/>
    </w:pPr>
    <w:rPr>
      <w:rFonts w:ascii="Gautami" w:eastAsia="Times New Roman" w:hAnsi="Gautami"/>
      <w:b/>
      <w:bCs/>
      <w:color w:val="E36C0A"/>
      <w:sz w:val="36"/>
      <w:szCs w:val="28"/>
      <w:lang w:eastAsia="en-US"/>
    </w:rPr>
  </w:style>
  <w:style w:type="paragraph" w:styleId="Heading2">
    <w:name w:val="heading 2"/>
    <w:basedOn w:val="Heading1"/>
    <w:next w:val="AERbodytext"/>
    <w:link w:val="Heading2Char"/>
    <w:uiPriority w:val="9"/>
    <w:qFormat/>
    <w:rsid w:val="009D7C1D"/>
    <w:pPr>
      <w:pageBreakBefore w:val="0"/>
      <w:numPr>
        <w:ilvl w:val="2"/>
      </w:numPr>
      <w:outlineLvl w:val="1"/>
    </w:pPr>
    <w:rPr>
      <w:bCs w:val="0"/>
      <w:sz w:val="28"/>
      <w:szCs w:val="26"/>
    </w:rPr>
  </w:style>
  <w:style w:type="paragraph" w:styleId="Heading3">
    <w:name w:val="heading 3"/>
    <w:basedOn w:val="Heading2"/>
    <w:next w:val="AERbodytext"/>
    <w:link w:val="Heading3Char"/>
    <w:uiPriority w:val="9"/>
    <w:qFormat/>
    <w:rsid w:val="009D7C1D"/>
    <w:pPr>
      <w:numPr>
        <w:ilvl w:val="3"/>
      </w:numPr>
      <w:outlineLvl w:val="2"/>
    </w:pPr>
    <w:rPr>
      <w:bCs/>
      <w:sz w:val="24"/>
    </w:rPr>
  </w:style>
  <w:style w:type="paragraph" w:styleId="Heading4">
    <w:name w:val="heading 4"/>
    <w:basedOn w:val="Normal"/>
    <w:next w:val="Normal"/>
    <w:link w:val="Heading4Char"/>
    <w:uiPriority w:val="9"/>
    <w:unhideWhenUsed/>
    <w:qFormat/>
    <w:rsid w:val="004F7E13"/>
    <w:pPr>
      <w:keepNext/>
      <w:spacing w:before="240" w:after="60"/>
      <w:outlineLvl w:val="3"/>
    </w:pPr>
    <w:rPr>
      <w:rFonts w:ascii="Calibri" w:eastAsia="Times New Roman" w:hAnsi="Calibri"/>
      <w:b/>
      <w:bCs/>
      <w:sz w:val="28"/>
      <w:szCs w:val="28"/>
    </w:rPr>
  </w:style>
  <w:style w:type="paragraph" w:styleId="Heading7">
    <w:name w:val="heading 7"/>
    <w:basedOn w:val="UnnumberedHeading"/>
    <w:next w:val="AERbodytext"/>
    <w:link w:val="Heading7Char"/>
    <w:uiPriority w:val="9"/>
    <w:qFormat/>
    <w:rsid w:val="009D7C1D"/>
    <w:pPr>
      <w:numPr>
        <w:ilvl w:val="4"/>
      </w:numPr>
      <w:outlineLvl w:val="6"/>
    </w:pPr>
    <w:rPr>
      <w:iCs/>
      <w:szCs w:val="24"/>
    </w:rPr>
  </w:style>
  <w:style w:type="paragraph" w:styleId="Heading8">
    <w:name w:val="heading 8"/>
    <w:basedOn w:val="Heading7"/>
    <w:next w:val="AERbodytext"/>
    <w:link w:val="Heading8Char"/>
    <w:uiPriority w:val="9"/>
    <w:qFormat/>
    <w:rsid w:val="009D7C1D"/>
    <w:pPr>
      <w:pageBreakBefore w:val="0"/>
      <w:numPr>
        <w:ilvl w:val="5"/>
      </w:numPr>
      <w:outlineLvl w:val="7"/>
    </w:pPr>
    <w:rPr>
      <w:sz w:val="28"/>
      <w:szCs w:val="20"/>
    </w:rPr>
  </w:style>
  <w:style w:type="paragraph" w:styleId="Heading9">
    <w:name w:val="heading 9"/>
    <w:basedOn w:val="Heading8"/>
    <w:next w:val="AERbodytext"/>
    <w:link w:val="Heading9Char"/>
    <w:uiPriority w:val="9"/>
    <w:qFormat/>
    <w:rsid w:val="009D7C1D"/>
    <w:pPr>
      <w:numPr>
        <w:ilvl w:val="6"/>
      </w:numPr>
      <w:outlineLvl w:val="8"/>
    </w:pPr>
    <w:rPr>
      <w:iCs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7C1D"/>
    <w:rPr>
      <w:rFonts w:ascii="Gautami" w:eastAsia="Times New Roman" w:hAnsi="Gautami"/>
      <w:b/>
      <w:bCs/>
      <w:color w:val="E36C0A"/>
      <w:sz w:val="36"/>
      <w:szCs w:val="28"/>
      <w:lang w:eastAsia="en-US"/>
    </w:rPr>
  </w:style>
  <w:style w:type="character" w:customStyle="1" w:styleId="Heading2Char">
    <w:name w:val="Heading 2 Char"/>
    <w:link w:val="Heading2"/>
    <w:uiPriority w:val="9"/>
    <w:rsid w:val="009D7C1D"/>
    <w:rPr>
      <w:rFonts w:ascii="Gautami" w:eastAsia="Times New Roman" w:hAnsi="Gautami"/>
      <w:b/>
      <w:color w:val="E36C0A"/>
      <w:sz w:val="28"/>
      <w:szCs w:val="26"/>
      <w:lang w:eastAsia="en-US"/>
    </w:rPr>
  </w:style>
  <w:style w:type="character" w:customStyle="1" w:styleId="Heading3Char">
    <w:name w:val="Heading 3 Char"/>
    <w:link w:val="Heading3"/>
    <w:uiPriority w:val="9"/>
    <w:rsid w:val="009D7C1D"/>
    <w:rPr>
      <w:rFonts w:ascii="Gautami" w:eastAsia="Times New Roman" w:hAnsi="Gautami"/>
      <w:b/>
      <w:bCs/>
      <w:color w:val="E36C0A"/>
      <w:sz w:val="24"/>
      <w:szCs w:val="26"/>
      <w:lang w:eastAsia="en-US"/>
    </w:rPr>
  </w:style>
  <w:style w:type="character" w:customStyle="1" w:styleId="Heading7Char">
    <w:name w:val="Heading 7 Char"/>
    <w:link w:val="Heading7"/>
    <w:uiPriority w:val="9"/>
    <w:rsid w:val="009D7C1D"/>
    <w:rPr>
      <w:rFonts w:ascii="Gautami" w:eastAsia="Times New Roman" w:hAnsi="Gautami"/>
      <w:b/>
      <w:bCs/>
      <w:iCs/>
      <w:color w:val="E36C0A"/>
      <w:sz w:val="36"/>
      <w:szCs w:val="24"/>
      <w:lang w:eastAsia="en-US"/>
    </w:rPr>
  </w:style>
  <w:style w:type="character" w:customStyle="1" w:styleId="Heading8Char">
    <w:name w:val="Heading 8 Char"/>
    <w:link w:val="Heading8"/>
    <w:uiPriority w:val="9"/>
    <w:rsid w:val="009D7C1D"/>
    <w:rPr>
      <w:rFonts w:ascii="Gautami" w:eastAsia="Times New Roman" w:hAnsi="Gautami"/>
      <w:b/>
      <w:bCs/>
      <w:iCs/>
      <w:color w:val="E36C0A"/>
      <w:sz w:val="28"/>
      <w:lang w:eastAsia="en-US"/>
    </w:rPr>
  </w:style>
  <w:style w:type="character" w:customStyle="1" w:styleId="Heading9Char">
    <w:name w:val="Heading 9 Char"/>
    <w:link w:val="Heading9"/>
    <w:uiPriority w:val="9"/>
    <w:rsid w:val="009D7C1D"/>
    <w:rPr>
      <w:rFonts w:ascii="Gautami" w:eastAsia="Times New Roman" w:hAnsi="Gautami"/>
      <w:b/>
      <w:bCs/>
      <w:color w:val="E36C0A"/>
      <w:sz w:val="24"/>
      <w:lang w:eastAsia="en-US"/>
    </w:rPr>
  </w:style>
  <w:style w:type="numbering" w:customStyle="1" w:styleId="AERHeadings">
    <w:name w:val="AER Headings"/>
    <w:uiPriority w:val="99"/>
    <w:rsid w:val="009D7C1D"/>
    <w:pPr>
      <w:numPr>
        <w:numId w:val="1"/>
      </w:numPr>
    </w:pPr>
  </w:style>
  <w:style w:type="paragraph" w:customStyle="1" w:styleId="AERbodytext">
    <w:name w:val="AER body text"/>
    <w:link w:val="AERbodytextChar"/>
    <w:qFormat/>
    <w:rsid w:val="009D7C1D"/>
    <w:pPr>
      <w:numPr>
        <w:numId w:val="2"/>
      </w:numPr>
      <w:spacing w:after="240" w:line="288" w:lineRule="auto"/>
      <w:jc w:val="both"/>
    </w:pPr>
    <w:rPr>
      <w:rFonts w:ascii="Gautami" w:eastAsia="Times New Roman" w:hAnsi="Gautami"/>
      <w:szCs w:val="24"/>
      <w:lang w:eastAsia="en-US"/>
    </w:rPr>
  </w:style>
  <w:style w:type="paragraph" w:customStyle="1" w:styleId="AERnumberedlistfirststyle">
    <w:name w:val="AER numbered list (first style)"/>
    <w:basedOn w:val="AERbodytext"/>
    <w:qFormat/>
    <w:rsid w:val="009D7C1D"/>
    <w:pPr>
      <w:numPr>
        <w:ilvl w:val="1"/>
      </w:numPr>
      <w:spacing w:after="200"/>
    </w:pPr>
  </w:style>
  <w:style w:type="paragraph" w:customStyle="1" w:styleId="AERnumberedlistsecondstyle">
    <w:name w:val="AER numbered list (second style)"/>
    <w:basedOn w:val="AERnumberedlistfirststyle"/>
    <w:qFormat/>
    <w:rsid w:val="009D7C1D"/>
    <w:pPr>
      <w:numPr>
        <w:ilvl w:val="2"/>
      </w:numPr>
    </w:pPr>
  </w:style>
  <w:style w:type="paragraph" w:customStyle="1" w:styleId="AERnumberedlistthirdstyle">
    <w:name w:val="AER numbered list (third style)"/>
    <w:basedOn w:val="AERnumberedlistsecondstyle"/>
    <w:qFormat/>
    <w:rsid w:val="009D7C1D"/>
    <w:pPr>
      <w:numPr>
        <w:ilvl w:val="3"/>
      </w:numPr>
    </w:pPr>
  </w:style>
  <w:style w:type="paragraph" w:customStyle="1" w:styleId="UnnumberedHeading">
    <w:name w:val="Unnumbered Heading"/>
    <w:basedOn w:val="Heading1"/>
    <w:next w:val="AERbodytext"/>
    <w:link w:val="UnnumberedHeadingChar"/>
    <w:qFormat/>
    <w:rsid w:val="009D7C1D"/>
    <w:pPr>
      <w:numPr>
        <w:ilvl w:val="0"/>
      </w:numPr>
    </w:pPr>
  </w:style>
  <w:style w:type="numbering" w:customStyle="1" w:styleId="AERnumberedlist">
    <w:name w:val="AER numbered list"/>
    <w:uiPriority w:val="99"/>
    <w:rsid w:val="009D7C1D"/>
    <w:pPr>
      <w:numPr>
        <w:numId w:val="2"/>
      </w:numPr>
    </w:pPr>
  </w:style>
  <w:style w:type="character" w:styleId="CommentReference">
    <w:name w:val="annotation reference"/>
    <w:uiPriority w:val="99"/>
    <w:unhideWhenUsed/>
    <w:rsid w:val="009D7C1D"/>
    <w:rPr>
      <w:sz w:val="16"/>
      <w:szCs w:val="16"/>
    </w:rPr>
  </w:style>
  <w:style w:type="paragraph" w:styleId="CommentText">
    <w:name w:val="annotation text"/>
    <w:basedOn w:val="Normal"/>
    <w:link w:val="CommentTextChar"/>
    <w:uiPriority w:val="99"/>
    <w:unhideWhenUsed/>
    <w:rsid w:val="009D7C1D"/>
    <w:pPr>
      <w:spacing w:line="240" w:lineRule="auto"/>
    </w:pPr>
  </w:style>
  <w:style w:type="character" w:customStyle="1" w:styleId="CommentTextChar">
    <w:name w:val="Comment Text Char"/>
    <w:link w:val="CommentText"/>
    <w:uiPriority w:val="99"/>
    <w:rsid w:val="009D7C1D"/>
    <w:rPr>
      <w:rFonts w:ascii="Gautami" w:eastAsia="Calibri" w:hAnsi="Gautami" w:cs="Times New Roman"/>
      <w:sz w:val="20"/>
      <w:szCs w:val="20"/>
    </w:rPr>
  </w:style>
  <w:style w:type="paragraph" w:customStyle="1" w:styleId="AERbulletlistfirststyle">
    <w:name w:val="AER bullet list (first style)"/>
    <w:basedOn w:val="AERbodytext"/>
    <w:qFormat/>
    <w:rsid w:val="009D7C1D"/>
    <w:pPr>
      <w:numPr>
        <w:numId w:val="4"/>
      </w:numPr>
      <w:tabs>
        <w:tab w:val="left" w:pos="357"/>
      </w:tabs>
      <w:spacing w:after="200"/>
    </w:pPr>
  </w:style>
  <w:style w:type="paragraph" w:styleId="FootnoteText">
    <w:name w:val="footnote text"/>
    <w:basedOn w:val="AERbodytext"/>
    <w:link w:val="FootnoteTextChar"/>
    <w:uiPriority w:val="99"/>
    <w:qFormat/>
    <w:rsid w:val="009D7C1D"/>
    <w:pPr>
      <w:numPr>
        <w:numId w:val="0"/>
      </w:numPr>
      <w:tabs>
        <w:tab w:val="left" w:pos="426"/>
      </w:tabs>
      <w:spacing w:after="0" w:line="240" w:lineRule="auto"/>
      <w:ind w:left="426" w:hanging="426"/>
    </w:pPr>
    <w:rPr>
      <w:sz w:val="16"/>
      <w:szCs w:val="20"/>
    </w:rPr>
  </w:style>
  <w:style w:type="character" w:customStyle="1" w:styleId="FootnoteTextChar">
    <w:name w:val="Footnote Text Char"/>
    <w:link w:val="FootnoteText"/>
    <w:uiPriority w:val="99"/>
    <w:rsid w:val="009D7C1D"/>
    <w:rPr>
      <w:rFonts w:ascii="Gautami" w:eastAsia="Times New Roman" w:hAnsi="Gautami" w:cs="Times New Roman"/>
      <w:sz w:val="16"/>
      <w:szCs w:val="20"/>
    </w:rPr>
  </w:style>
  <w:style w:type="character" w:styleId="FootnoteReference">
    <w:name w:val="footnote reference"/>
    <w:uiPriority w:val="99"/>
    <w:unhideWhenUsed/>
    <w:rsid w:val="009D7C1D"/>
    <w:rPr>
      <w:vertAlign w:val="superscript"/>
    </w:rPr>
  </w:style>
  <w:style w:type="paragraph" w:styleId="BalloonText">
    <w:name w:val="Balloon Text"/>
    <w:basedOn w:val="Normal"/>
    <w:link w:val="BalloonTextChar"/>
    <w:uiPriority w:val="99"/>
    <w:semiHidden/>
    <w:unhideWhenUsed/>
    <w:rsid w:val="009D7C1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D7C1D"/>
    <w:rPr>
      <w:rFonts w:ascii="Tahoma" w:eastAsia="Calibri" w:hAnsi="Tahoma" w:cs="Tahoma"/>
      <w:sz w:val="16"/>
      <w:szCs w:val="16"/>
    </w:rPr>
  </w:style>
  <w:style w:type="character" w:customStyle="1" w:styleId="Heading4Char">
    <w:name w:val="Heading 4 Char"/>
    <w:link w:val="Heading4"/>
    <w:uiPriority w:val="9"/>
    <w:rsid w:val="004F7E13"/>
    <w:rPr>
      <w:rFonts w:ascii="Calibri" w:eastAsia="Times New Roman" w:hAnsi="Calibri" w:cs="Times New Roman"/>
      <w:b/>
      <w:bCs/>
      <w:sz w:val="28"/>
      <w:szCs w:val="28"/>
      <w:lang w:eastAsia="en-US"/>
    </w:rPr>
  </w:style>
  <w:style w:type="paragraph" w:styleId="ListParagraph">
    <w:name w:val="List Paragraph"/>
    <w:basedOn w:val="Normal"/>
    <w:uiPriority w:val="34"/>
    <w:qFormat/>
    <w:rsid w:val="002B2281"/>
    <w:pPr>
      <w:spacing w:after="200" w:line="276" w:lineRule="auto"/>
      <w:ind w:left="720"/>
      <w:contextualSpacing/>
      <w:jc w:val="left"/>
    </w:pPr>
    <w:rPr>
      <w:rFonts w:ascii="Calibri" w:hAnsi="Calibri"/>
      <w:sz w:val="22"/>
      <w:szCs w:val="22"/>
    </w:rPr>
  </w:style>
  <w:style w:type="paragraph" w:styleId="CommentSubject">
    <w:name w:val="annotation subject"/>
    <w:basedOn w:val="CommentText"/>
    <w:next w:val="CommentText"/>
    <w:link w:val="CommentSubjectChar"/>
    <w:uiPriority w:val="99"/>
    <w:semiHidden/>
    <w:unhideWhenUsed/>
    <w:rsid w:val="00F822B9"/>
    <w:pPr>
      <w:spacing w:line="288" w:lineRule="auto"/>
    </w:pPr>
    <w:rPr>
      <w:b/>
      <w:bCs/>
    </w:rPr>
  </w:style>
  <w:style w:type="character" w:customStyle="1" w:styleId="CommentSubjectChar">
    <w:name w:val="Comment Subject Char"/>
    <w:link w:val="CommentSubject"/>
    <w:uiPriority w:val="99"/>
    <w:semiHidden/>
    <w:rsid w:val="00F822B9"/>
    <w:rPr>
      <w:rFonts w:ascii="Gautami" w:eastAsia="Calibri" w:hAnsi="Gautami" w:cs="Times New Roman"/>
      <w:b/>
      <w:bCs/>
      <w:sz w:val="20"/>
      <w:szCs w:val="20"/>
      <w:lang w:eastAsia="en-US"/>
    </w:rPr>
  </w:style>
  <w:style w:type="paragraph" w:customStyle="1" w:styleId="AERbulletlistsecondstyle">
    <w:name w:val="AER bullet list (second style)"/>
    <w:basedOn w:val="AERbodytext"/>
    <w:qFormat/>
    <w:rsid w:val="00CB7619"/>
    <w:pPr>
      <w:numPr>
        <w:numId w:val="5"/>
      </w:numPr>
      <w:tabs>
        <w:tab w:val="left" w:pos="709"/>
      </w:tabs>
      <w:spacing w:after="200"/>
      <w:ind w:left="714" w:hanging="357"/>
    </w:pPr>
  </w:style>
  <w:style w:type="character" w:customStyle="1" w:styleId="AERtexthighlight">
    <w:name w:val="AER text highlight"/>
    <w:qFormat/>
    <w:rsid w:val="00CB7619"/>
    <w:rPr>
      <w:bdr w:val="none" w:sz="0" w:space="0" w:color="auto"/>
      <w:shd w:val="clear" w:color="auto" w:fill="FFFF00"/>
    </w:rPr>
  </w:style>
  <w:style w:type="paragraph" w:customStyle="1" w:styleId="AERtitle1">
    <w:name w:val="AER title 1"/>
    <w:qFormat/>
    <w:rsid w:val="00CB7619"/>
    <w:pPr>
      <w:spacing w:after="240" w:line="288" w:lineRule="auto"/>
      <w:jc w:val="center"/>
    </w:pPr>
    <w:rPr>
      <w:rFonts w:ascii="Gautami" w:eastAsia="Times New Roman" w:hAnsi="Gautami"/>
      <w:b/>
      <w:sz w:val="40"/>
      <w:szCs w:val="24"/>
    </w:rPr>
  </w:style>
  <w:style w:type="paragraph" w:customStyle="1" w:styleId="AERtitle2">
    <w:name w:val="AER title 2"/>
    <w:qFormat/>
    <w:rsid w:val="00CB7619"/>
    <w:pPr>
      <w:spacing w:after="240" w:line="288" w:lineRule="auto"/>
      <w:jc w:val="center"/>
    </w:pPr>
    <w:rPr>
      <w:rFonts w:ascii="Gautami" w:eastAsia="Times New Roman" w:hAnsi="Gautami"/>
      <w:sz w:val="32"/>
      <w:szCs w:val="24"/>
      <w:lang w:eastAsia="en-US"/>
    </w:rPr>
  </w:style>
  <w:style w:type="character" w:customStyle="1" w:styleId="UnnumberedHeadingChar">
    <w:name w:val="Unnumbered Heading Char"/>
    <w:link w:val="UnnumberedHeading"/>
    <w:rsid w:val="00CB7619"/>
    <w:rPr>
      <w:rFonts w:ascii="Gautami" w:eastAsia="Times New Roman" w:hAnsi="Gautami"/>
      <w:b/>
      <w:bCs/>
      <w:color w:val="E36C0A"/>
      <w:sz w:val="36"/>
      <w:szCs w:val="28"/>
      <w:lang w:eastAsia="en-US"/>
    </w:rPr>
  </w:style>
  <w:style w:type="paragraph" w:styleId="TOC1">
    <w:name w:val="toc 1"/>
    <w:basedOn w:val="Normal"/>
    <w:next w:val="Normal"/>
    <w:autoRedefine/>
    <w:uiPriority w:val="39"/>
    <w:unhideWhenUsed/>
    <w:qFormat/>
    <w:rsid w:val="00CB7619"/>
    <w:pPr>
      <w:spacing w:before="240" w:after="120"/>
      <w:jc w:val="left"/>
    </w:pPr>
    <w:rPr>
      <w:b/>
      <w:bCs/>
    </w:rPr>
  </w:style>
  <w:style w:type="paragraph" w:styleId="TOC2">
    <w:name w:val="toc 2"/>
    <w:basedOn w:val="Normal"/>
    <w:next w:val="Normal"/>
    <w:autoRedefine/>
    <w:uiPriority w:val="39"/>
    <w:unhideWhenUsed/>
    <w:qFormat/>
    <w:rsid w:val="00CB7619"/>
    <w:pPr>
      <w:spacing w:before="120" w:after="0"/>
      <w:ind w:left="200"/>
      <w:jc w:val="left"/>
    </w:pPr>
    <w:rPr>
      <w:iCs/>
    </w:rPr>
  </w:style>
  <w:style w:type="character" w:styleId="Hyperlink">
    <w:name w:val="Hyperlink"/>
    <w:uiPriority w:val="99"/>
    <w:unhideWhenUsed/>
    <w:rsid w:val="00CB7619"/>
    <w:rPr>
      <w:color w:val="0000FF"/>
      <w:u w:val="single"/>
    </w:rPr>
  </w:style>
  <w:style w:type="character" w:customStyle="1" w:styleId="AERbody">
    <w:name w:val="AER body"/>
    <w:qFormat/>
    <w:rsid w:val="00996ADF"/>
    <w:rPr>
      <w:rFonts w:ascii="Gautami" w:hAnsi="Gautami"/>
      <w:color w:val="auto"/>
      <w:sz w:val="20"/>
    </w:rPr>
  </w:style>
  <w:style w:type="paragraph" w:customStyle="1" w:styleId="AERquote">
    <w:name w:val="AER quote"/>
    <w:next w:val="AERbodytext"/>
    <w:qFormat/>
    <w:rsid w:val="00FA2EDB"/>
    <w:pPr>
      <w:tabs>
        <w:tab w:val="num" w:pos="709"/>
      </w:tabs>
      <w:spacing w:after="160" w:line="288" w:lineRule="auto"/>
      <w:ind w:left="709" w:right="720"/>
      <w:jc w:val="both"/>
    </w:pPr>
    <w:rPr>
      <w:rFonts w:ascii="Gautami" w:eastAsia="Times New Roman" w:hAnsi="Gautami"/>
      <w:color w:val="000000"/>
      <w:sz w:val="16"/>
      <w:szCs w:val="24"/>
      <w:lang w:eastAsia="en-US"/>
    </w:rPr>
  </w:style>
  <w:style w:type="paragraph" w:styleId="EndnoteText">
    <w:name w:val="endnote text"/>
    <w:basedOn w:val="Normal"/>
    <w:link w:val="EndnoteTextChar"/>
    <w:uiPriority w:val="99"/>
    <w:semiHidden/>
    <w:unhideWhenUsed/>
    <w:rsid w:val="002A2B56"/>
  </w:style>
  <w:style w:type="character" w:customStyle="1" w:styleId="EndnoteTextChar">
    <w:name w:val="Endnote Text Char"/>
    <w:link w:val="EndnoteText"/>
    <w:uiPriority w:val="99"/>
    <w:semiHidden/>
    <w:rsid w:val="002A2B56"/>
    <w:rPr>
      <w:rFonts w:ascii="Gautami" w:hAnsi="Gautami"/>
      <w:lang w:eastAsia="en-US"/>
    </w:rPr>
  </w:style>
  <w:style w:type="character" w:styleId="EndnoteReference">
    <w:name w:val="endnote reference"/>
    <w:uiPriority w:val="99"/>
    <w:semiHidden/>
    <w:unhideWhenUsed/>
    <w:rsid w:val="002A2B56"/>
    <w:rPr>
      <w:vertAlign w:val="superscript"/>
    </w:rPr>
  </w:style>
  <w:style w:type="paragraph" w:styleId="Revision">
    <w:name w:val="Revision"/>
    <w:hidden/>
    <w:uiPriority w:val="99"/>
    <w:semiHidden/>
    <w:rsid w:val="004E69A2"/>
    <w:rPr>
      <w:rFonts w:ascii="Gautami" w:hAnsi="Gautami"/>
      <w:lang w:eastAsia="en-US"/>
    </w:rPr>
  </w:style>
  <w:style w:type="paragraph" w:styleId="Header">
    <w:name w:val="header"/>
    <w:basedOn w:val="Normal"/>
    <w:link w:val="HeaderChar"/>
    <w:uiPriority w:val="99"/>
    <w:unhideWhenUsed/>
    <w:rsid w:val="000277FD"/>
    <w:pPr>
      <w:tabs>
        <w:tab w:val="center" w:pos="4513"/>
        <w:tab w:val="right" w:pos="9026"/>
      </w:tabs>
    </w:pPr>
  </w:style>
  <w:style w:type="character" w:customStyle="1" w:styleId="HeaderChar">
    <w:name w:val="Header Char"/>
    <w:link w:val="Header"/>
    <w:uiPriority w:val="99"/>
    <w:rsid w:val="000277FD"/>
    <w:rPr>
      <w:rFonts w:ascii="Gautami" w:hAnsi="Gautami"/>
      <w:lang w:eastAsia="en-US"/>
    </w:rPr>
  </w:style>
  <w:style w:type="paragraph" w:styleId="Footer">
    <w:name w:val="footer"/>
    <w:basedOn w:val="Normal"/>
    <w:link w:val="FooterChar"/>
    <w:uiPriority w:val="99"/>
    <w:unhideWhenUsed/>
    <w:qFormat/>
    <w:rsid w:val="000277FD"/>
    <w:pPr>
      <w:tabs>
        <w:tab w:val="center" w:pos="4513"/>
        <w:tab w:val="right" w:pos="9026"/>
      </w:tabs>
    </w:pPr>
  </w:style>
  <w:style w:type="character" w:customStyle="1" w:styleId="FooterChar">
    <w:name w:val="Footer Char"/>
    <w:link w:val="Footer"/>
    <w:uiPriority w:val="99"/>
    <w:rsid w:val="000277FD"/>
    <w:rPr>
      <w:rFonts w:ascii="Gautami" w:hAnsi="Gautami"/>
      <w:lang w:eastAsia="en-US"/>
    </w:rPr>
  </w:style>
  <w:style w:type="character" w:customStyle="1" w:styleId="AERtextorange">
    <w:name w:val="AER text orange"/>
    <w:uiPriority w:val="1"/>
    <w:qFormat/>
    <w:rsid w:val="000277FD"/>
    <w:rPr>
      <w:color w:val="E36C0A"/>
    </w:rPr>
  </w:style>
  <w:style w:type="character" w:customStyle="1" w:styleId="AERtextblue">
    <w:name w:val="AER text blue"/>
    <w:uiPriority w:val="1"/>
    <w:qFormat/>
    <w:rsid w:val="000277FD"/>
    <w:rPr>
      <w:color w:val="365F91"/>
    </w:rPr>
  </w:style>
  <w:style w:type="paragraph" w:styleId="NormalWeb">
    <w:name w:val="Normal (Web)"/>
    <w:basedOn w:val="Normal"/>
    <w:uiPriority w:val="99"/>
    <w:semiHidden/>
    <w:unhideWhenUsed/>
    <w:rsid w:val="000229D6"/>
    <w:pPr>
      <w:spacing w:line="360" w:lineRule="atLeast"/>
      <w:jc w:val="left"/>
    </w:pPr>
    <w:rPr>
      <w:rFonts w:ascii="Times New Roman" w:eastAsia="Times New Roman" w:hAnsi="Times New Roman"/>
      <w:color w:val="000000"/>
      <w:sz w:val="26"/>
      <w:szCs w:val="26"/>
      <w:lang w:eastAsia="en-AU"/>
    </w:rPr>
  </w:style>
  <w:style w:type="character" w:customStyle="1" w:styleId="external1">
    <w:name w:val="external1"/>
    <w:rsid w:val="000229D6"/>
    <w:rPr>
      <w:strike w:val="0"/>
      <w:dstrike w:val="0"/>
      <w:vanish w:val="0"/>
      <w:webHidden w:val="0"/>
      <w:u w:val="none"/>
      <w:effect w:val="none"/>
      <w:specVanish w:val="0"/>
    </w:rPr>
  </w:style>
  <w:style w:type="paragraph" w:customStyle="1" w:styleId="Default">
    <w:name w:val="Default"/>
    <w:rsid w:val="006C536C"/>
    <w:pPr>
      <w:autoSpaceDE w:val="0"/>
      <w:autoSpaceDN w:val="0"/>
      <w:adjustRightInd w:val="0"/>
    </w:pPr>
    <w:rPr>
      <w:rFonts w:ascii="Times New Roman" w:hAnsi="Times New Roman"/>
      <w:color w:val="000000"/>
      <w:sz w:val="24"/>
      <w:szCs w:val="24"/>
    </w:rPr>
  </w:style>
  <w:style w:type="character" w:customStyle="1" w:styleId="AERbodytextChar">
    <w:name w:val="AER body text Char"/>
    <w:link w:val="AERbodytext"/>
    <w:rsid w:val="0068480A"/>
    <w:rPr>
      <w:rFonts w:ascii="Gautami" w:eastAsia="Times New Roman" w:hAnsi="Gautami"/>
      <w:szCs w:val="24"/>
      <w:lang w:eastAsia="en-US"/>
    </w:rPr>
  </w:style>
  <w:style w:type="numbering" w:styleId="1ai">
    <w:name w:val="Outline List 1"/>
    <w:aliases w:val="AER Numbered List"/>
    <w:basedOn w:val="NoList"/>
    <w:rsid w:val="00F161A0"/>
    <w:pPr>
      <w:numPr>
        <w:numId w:val="6"/>
      </w:numPr>
    </w:pPr>
  </w:style>
  <w:style w:type="table" w:styleId="TableGrid">
    <w:name w:val="Table Grid"/>
    <w:basedOn w:val="TableNormal"/>
    <w:rsid w:val="001126B8"/>
    <w:rPr>
      <w:rFonts w:ascii="Gautami" w:hAnsi="Gautam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ERtextsize8">
    <w:name w:val="AER text size 8"/>
    <w:uiPriority w:val="1"/>
    <w:qFormat/>
    <w:rsid w:val="001126B8"/>
    <w:rPr>
      <w:sz w:val="16"/>
    </w:rPr>
  </w:style>
  <w:style w:type="paragraph" w:customStyle="1" w:styleId="AERnumberedlist2first">
    <w:name w:val="AER numbered list 2 first"/>
    <w:basedOn w:val="AERbodytext"/>
    <w:qFormat/>
    <w:rsid w:val="001126B8"/>
    <w:pPr>
      <w:numPr>
        <w:numId w:val="0"/>
      </w:numPr>
      <w:tabs>
        <w:tab w:val="num" w:pos="357"/>
      </w:tabs>
      <w:ind w:left="357" w:hanging="357"/>
    </w:pPr>
  </w:style>
  <w:style w:type="paragraph" w:customStyle="1" w:styleId="AERnumberedlist2second">
    <w:name w:val="AER numbered list 2 second"/>
    <w:basedOn w:val="AERnumberedlist2first"/>
    <w:qFormat/>
    <w:rsid w:val="001126B8"/>
    <w:pPr>
      <w:tabs>
        <w:tab w:val="clear" w:pos="357"/>
        <w:tab w:val="num" w:pos="720"/>
      </w:tabs>
      <w:ind w:left="720" w:hanging="363"/>
    </w:pPr>
  </w:style>
  <w:style w:type="paragraph" w:customStyle="1" w:styleId="AERnumberedlist2third">
    <w:name w:val="AER numbered list 2 third"/>
    <w:basedOn w:val="AERnumberedlist2second"/>
    <w:qFormat/>
    <w:rsid w:val="001126B8"/>
    <w:pPr>
      <w:tabs>
        <w:tab w:val="clear" w:pos="720"/>
        <w:tab w:val="num" w:pos="1077"/>
      </w:tabs>
      <w:ind w:left="1077" w:hanging="357"/>
    </w:pPr>
  </w:style>
  <w:style w:type="paragraph" w:customStyle="1" w:styleId="AERboxbullet">
    <w:name w:val="AER box bullet"/>
    <w:basedOn w:val="Normal"/>
    <w:rsid w:val="001126B8"/>
    <w:pPr>
      <w:numPr>
        <w:numId w:val="14"/>
      </w:numPr>
      <w:pBdr>
        <w:top w:val="single" w:sz="4" w:space="1" w:color="auto"/>
        <w:left w:val="single" w:sz="4" w:space="4" w:color="auto"/>
        <w:bottom w:val="single" w:sz="4" w:space="1" w:color="auto"/>
        <w:right w:val="single" w:sz="4" w:space="4" w:color="auto"/>
      </w:pBdr>
      <w:spacing w:after="0" w:line="240" w:lineRule="auto"/>
      <w:jc w:val="left"/>
    </w:pPr>
    <w:rPr>
      <w:rFonts w:ascii="Times New Roman" w:eastAsia="Times New Roman" w:hAnsi="Times New Roman"/>
      <w:sz w:val="24"/>
      <w:lang w:val="en-GB" w:eastAsia="en-AU"/>
    </w:rPr>
  </w:style>
  <w:style w:type="paragraph" w:styleId="Subtitle">
    <w:name w:val="Subtitle"/>
    <w:link w:val="SubtitleChar"/>
    <w:qFormat/>
    <w:rsid w:val="001126B8"/>
    <w:pPr>
      <w:spacing w:after="60"/>
      <w:jc w:val="center"/>
      <w:outlineLvl w:val="1"/>
    </w:pPr>
    <w:rPr>
      <w:rFonts w:ascii="Arial" w:eastAsia="Times New Roman" w:hAnsi="Arial" w:cs="Arial"/>
      <w:sz w:val="28"/>
      <w:szCs w:val="24"/>
      <w:lang w:eastAsia="en-US"/>
    </w:rPr>
  </w:style>
  <w:style w:type="character" w:customStyle="1" w:styleId="SubtitleChar">
    <w:name w:val="Subtitle Char"/>
    <w:link w:val="Subtitle"/>
    <w:rsid w:val="001126B8"/>
    <w:rPr>
      <w:rFonts w:ascii="Arial" w:eastAsia="Times New Roman" w:hAnsi="Arial" w:cs="Arial"/>
      <w:sz w:val="28"/>
      <w:szCs w:val="24"/>
      <w:lang w:eastAsia="en-US"/>
    </w:rPr>
  </w:style>
  <w:style w:type="paragraph" w:customStyle="1" w:styleId="AERunnumberedheading1">
    <w:name w:val="AER unnumbered heading 1"/>
    <w:basedOn w:val="Normal"/>
    <w:next w:val="AERbodytext"/>
    <w:link w:val="AERunnumberedheading1Char"/>
    <w:rsid w:val="001126B8"/>
    <w:pPr>
      <w:pageBreakBefore/>
      <w:widowControl w:val="0"/>
      <w:tabs>
        <w:tab w:val="left" w:pos="851"/>
      </w:tabs>
      <w:spacing w:before="240" w:after="120" w:line="240" w:lineRule="auto"/>
      <w:jc w:val="left"/>
      <w:outlineLvl w:val="0"/>
    </w:pPr>
    <w:rPr>
      <w:rFonts w:ascii="Arial Bold" w:eastAsia="Times New Roman" w:hAnsi="Arial Bold"/>
      <w:b/>
      <w:bCs/>
      <w:spacing w:val="5"/>
      <w:kern w:val="36"/>
      <w:sz w:val="36"/>
      <w:szCs w:val="27"/>
    </w:rPr>
  </w:style>
  <w:style w:type="character" w:customStyle="1" w:styleId="AERunnumberedheading1Char">
    <w:name w:val="AER unnumbered heading 1 Char"/>
    <w:link w:val="AERunnumberedheading1"/>
    <w:rsid w:val="001126B8"/>
    <w:rPr>
      <w:rFonts w:ascii="Arial Bold" w:eastAsia="Times New Roman" w:hAnsi="Arial Bold"/>
      <w:b/>
      <w:bCs/>
      <w:spacing w:val="5"/>
      <w:kern w:val="36"/>
      <w:sz w:val="36"/>
      <w:szCs w:val="27"/>
      <w:lang w:eastAsia="en-US"/>
    </w:rPr>
  </w:style>
  <w:style w:type="paragraph" w:customStyle="1" w:styleId="AERunnumberedheading2">
    <w:name w:val="AER unnumbered heading 2"/>
    <w:basedOn w:val="Normal"/>
    <w:next w:val="AERbodytext"/>
    <w:rsid w:val="001126B8"/>
    <w:pPr>
      <w:keepNext/>
      <w:tabs>
        <w:tab w:val="left" w:pos="851"/>
      </w:tabs>
      <w:spacing w:before="240" w:after="120" w:line="240" w:lineRule="auto"/>
      <w:jc w:val="left"/>
    </w:pPr>
    <w:rPr>
      <w:rFonts w:ascii="Arial Bold" w:eastAsia="Times New Roman" w:hAnsi="Arial Bold"/>
      <w:sz w:val="3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AERHeadings"/>
    <w:pPr>
      <w:numPr>
        <w:numId w:val="1"/>
      </w:numPr>
    </w:pPr>
  </w:style>
  <w:style w:type="numbering" w:customStyle="1" w:styleId="Heading2Char">
    <w:name w:val="1ai"/>
    <w:pPr>
      <w:numPr>
        <w:numId w:val="6"/>
      </w:numPr>
    </w:pPr>
  </w:style>
  <w:style w:type="numbering" w:customStyle="1" w:styleId="Heading3Char">
    <w:name w:val="AERnumbered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3746">
      <w:bodyDiv w:val="1"/>
      <w:marLeft w:val="0"/>
      <w:marRight w:val="0"/>
      <w:marTop w:val="0"/>
      <w:marBottom w:val="0"/>
      <w:divBdr>
        <w:top w:val="none" w:sz="0" w:space="0" w:color="auto"/>
        <w:left w:val="none" w:sz="0" w:space="0" w:color="auto"/>
        <w:bottom w:val="none" w:sz="0" w:space="0" w:color="auto"/>
        <w:right w:val="none" w:sz="0" w:space="0" w:color="auto"/>
      </w:divBdr>
    </w:div>
    <w:div w:id="243538440">
      <w:bodyDiv w:val="1"/>
      <w:marLeft w:val="0"/>
      <w:marRight w:val="0"/>
      <w:marTop w:val="0"/>
      <w:marBottom w:val="0"/>
      <w:divBdr>
        <w:top w:val="none" w:sz="0" w:space="0" w:color="auto"/>
        <w:left w:val="none" w:sz="0" w:space="0" w:color="auto"/>
        <w:bottom w:val="none" w:sz="0" w:space="0" w:color="auto"/>
        <w:right w:val="none" w:sz="0" w:space="0" w:color="auto"/>
      </w:divBdr>
    </w:div>
    <w:div w:id="496922809">
      <w:bodyDiv w:val="1"/>
      <w:marLeft w:val="0"/>
      <w:marRight w:val="0"/>
      <w:marTop w:val="0"/>
      <w:marBottom w:val="0"/>
      <w:divBdr>
        <w:top w:val="none" w:sz="0" w:space="0" w:color="auto"/>
        <w:left w:val="none" w:sz="0" w:space="0" w:color="auto"/>
        <w:bottom w:val="none" w:sz="0" w:space="0" w:color="auto"/>
        <w:right w:val="none" w:sz="0" w:space="0" w:color="auto"/>
      </w:divBdr>
      <w:divsChild>
        <w:div w:id="895361714">
          <w:marLeft w:val="0"/>
          <w:marRight w:val="0"/>
          <w:marTop w:val="0"/>
          <w:marBottom w:val="0"/>
          <w:divBdr>
            <w:top w:val="none" w:sz="0" w:space="0" w:color="auto"/>
            <w:left w:val="none" w:sz="0" w:space="0" w:color="auto"/>
            <w:bottom w:val="none" w:sz="0" w:space="0" w:color="auto"/>
            <w:right w:val="none" w:sz="0" w:space="0" w:color="auto"/>
          </w:divBdr>
          <w:divsChild>
            <w:div w:id="665286879">
              <w:marLeft w:val="0"/>
              <w:marRight w:val="0"/>
              <w:marTop w:val="0"/>
              <w:marBottom w:val="0"/>
              <w:divBdr>
                <w:top w:val="none" w:sz="0" w:space="0" w:color="auto"/>
                <w:left w:val="none" w:sz="0" w:space="0" w:color="auto"/>
                <w:bottom w:val="none" w:sz="0" w:space="0" w:color="auto"/>
                <w:right w:val="none" w:sz="0" w:space="0" w:color="auto"/>
              </w:divBdr>
              <w:divsChild>
                <w:div w:id="1905020200">
                  <w:marLeft w:val="2128"/>
                  <w:marRight w:val="0"/>
                  <w:marTop w:val="0"/>
                  <w:marBottom w:val="0"/>
                  <w:divBdr>
                    <w:top w:val="none" w:sz="0" w:space="0" w:color="auto"/>
                    <w:left w:val="none" w:sz="0" w:space="0" w:color="auto"/>
                    <w:bottom w:val="none" w:sz="0" w:space="0" w:color="auto"/>
                    <w:right w:val="none" w:sz="0" w:space="0" w:color="auto"/>
                  </w:divBdr>
                  <w:divsChild>
                    <w:div w:id="473762676">
                      <w:marLeft w:val="107"/>
                      <w:marRight w:val="322"/>
                      <w:marTop w:val="0"/>
                      <w:marBottom w:val="0"/>
                      <w:divBdr>
                        <w:top w:val="none" w:sz="0" w:space="0" w:color="auto"/>
                        <w:left w:val="none" w:sz="0" w:space="0" w:color="auto"/>
                        <w:bottom w:val="none" w:sz="0" w:space="0" w:color="auto"/>
                        <w:right w:val="none" w:sz="0" w:space="0" w:color="auto"/>
                      </w:divBdr>
                      <w:divsChild>
                        <w:div w:id="175979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634107">
      <w:bodyDiv w:val="1"/>
      <w:marLeft w:val="0"/>
      <w:marRight w:val="0"/>
      <w:marTop w:val="0"/>
      <w:marBottom w:val="0"/>
      <w:divBdr>
        <w:top w:val="none" w:sz="0" w:space="0" w:color="auto"/>
        <w:left w:val="none" w:sz="0" w:space="0" w:color="auto"/>
        <w:bottom w:val="none" w:sz="0" w:space="0" w:color="auto"/>
        <w:right w:val="none" w:sz="0" w:space="0" w:color="auto"/>
      </w:divBdr>
    </w:div>
    <w:div w:id="653144201">
      <w:bodyDiv w:val="1"/>
      <w:marLeft w:val="0"/>
      <w:marRight w:val="0"/>
      <w:marTop w:val="0"/>
      <w:marBottom w:val="0"/>
      <w:divBdr>
        <w:top w:val="none" w:sz="0" w:space="0" w:color="auto"/>
        <w:left w:val="none" w:sz="0" w:space="0" w:color="auto"/>
        <w:bottom w:val="none" w:sz="0" w:space="0" w:color="auto"/>
        <w:right w:val="none" w:sz="0" w:space="0" w:color="auto"/>
      </w:divBdr>
    </w:div>
    <w:div w:id="759180224">
      <w:bodyDiv w:val="1"/>
      <w:marLeft w:val="0"/>
      <w:marRight w:val="0"/>
      <w:marTop w:val="0"/>
      <w:marBottom w:val="0"/>
      <w:divBdr>
        <w:top w:val="none" w:sz="0" w:space="0" w:color="auto"/>
        <w:left w:val="none" w:sz="0" w:space="0" w:color="auto"/>
        <w:bottom w:val="none" w:sz="0" w:space="0" w:color="auto"/>
        <w:right w:val="none" w:sz="0" w:space="0" w:color="auto"/>
      </w:divBdr>
    </w:div>
    <w:div w:id="802041923">
      <w:bodyDiv w:val="1"/>
      <w:marLeft w:val="0"/>
      <w:marRight w:val="0"/>
      <w:marTop w:val="0"/>
      <w:marBottom w:val="0"/>
      <w:divBdr>
        <w:top w:val="none" w:sz="0" w:space="0" w:color="auto"/>
        <w:left w:val="none" w:sz="0" w:space="0" w:color="auto"/>
        <w:bottom w:val="none" w:sz="0" w:space="0" w:color="auto"/>
        <w:right w:val="none" w:sz="0" w:space="0" w:color="auto"/>
      </w:divBdr>
    </w:div>
    <w:div w:id="803961375">
      <w:bodyDiv w:val="1"/>
      <w:marLeft w:val="0"/>
      <w:marRight w:val="0"/>
      <w:marTop w:val="0"/>
      <w:marBottom w:val="0"/>
      <w:divBdr>
        <w:top w:val="none" w:sz="0" w:space="0" w:color="auto"/>
        <w:left w:val="none" w:sz="0" w:space="0" w:color="auto"/>
        <w:bottom w:val="none" w:sz="0" w:space="0" w:color="auto"/>
        <w:right w:val="none" w:sz="0" w:space="0" w:color="auto"/>
      </w:divBdr>
    </w:div>
    <w:div w:id="874778688">
      <w:bodyDiv w:val="1"/>
      <w:marLeft w:val="0"/>
      <w:marRight w:val="0"/>
      <w:marTop w:val="0"/>
      <w:marBottom w:val="0"/>
      <w:divBdr>
        <w:top w:val="none" w:sz="0" w:space="0" w:color="auto"/>
        <w:left w:val="none" w:sz="0" w:space="0" w:color="auto"/>
        <w:bottom w:val="none" w:sz="0" w:space="0" w:color="auto"/>
        <w:right w:val="none" w:sz="0" w:space="0" w:color="auto"/>
      </w:divBdr>
    </w:div>
    <w:div w:id="1102991470">
      <w:bodyDiv w:val="1"/>
      <w:marLeft w:val="0"/>
      <w:marRight w:val="0"/>
      <w:marTop w:val="0"/>
      <w:marBottom w:val="0"/>
      <w:divBdr>
        <w:top w:val="none" w:sz="0" w:space="0" w:color="auto"/>
        <w:left w:val="none" w:sz="0" w:space="0" w:color="auto"/>
        <w:bottom w:val="none" w:sz="0" w:space="0" w:color="auto"/>
        <w:right w:val="none" w:sz="0" w:space="0" w:color="auto"/>
      </w:divBdr>
      <w:divsChild>
        <w:div w:id="1013143229">
          <w:marLeft w:val="0"/>
          <w:marRight w:val="0"/>
          <w:marTop w:val="0"/>
          <w:marBottom w:val="0"/>
          <w:divBdr>
            <w:top w:val="none" w:sz="0" w:space="0" w:color="auto"/>
            <w:left w:val="none" w:sz="0" w:space="0" w:color="auto"/>
            <w:bottom w:val="none" w:sz="0" w:space="0" w:color="auto"/>
            <w:right w:val="none" w:sz="0" w:space="0" w:color="auto"/>
          </w:divBdr>
          <w:divsChild>
            <w:div w:id="355737977">
              <w:marLeft w:val="0"/>
              <w:marRight w:val="0"/>
              <w:marTop w:val="0"/>
              <w:marBottom w:val="0"/>
              <w:divBdr>
                <w:top w:val="none" w:sz="0" w:space="0" w:color="auto"/>
                <w:left w:val="none" w:sz="0" w:space="0" w:color="auto"/>
                <w:bottom w:val="none" w:sz="0" w:space="0" w:color="auto"/>
                <w:right w:val="none" w:sz="0" w:space="0" w:color="auto"/>
              </w:divBdr>
              <w:divsChild>
                <w:div w:id="930625050">
                  <w:marLeft w:val="2128"/>
                  <w:marRight w:val="0"/>
                  <w:marTop w:val="0"/>
                  <w:marBottom w:val="0"/>
                  <w:divBdr>
                    <w:top w:val="none" w:sz="0" w:space="0" w:color="auto"/>
                    <w:left w:val="none" w:sz="0" w:space="0" w:color="auto"/>
                    <w:bottom w:val="none" w:sz="0" w:space="0" w:color="auto"/>
                    <w:right w:val="none" w:sz="0" w:space="0" w:color="auto"/>
                  </w:divBdr>
                  <w:divsChild>
                    <w:div w:id="2014337785">
                      <w:marLeft w:val="107"/>
                      <w:marRight w:val="32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934704">
      <w:bodyDiv w:val="1"/>
      <w:marLeft w:val="0"/>
      <w:marRight w:val="0"/>
      <w:marTop w:val="0"/>
      <w:marBottom w:val="0"/>
      <w:divBdr>
        <w:top w:val="none" w:sz="0" w:space="0" w:color="auto"/>
        <w:left w:val="none" w:sz="0" w:space="0" w:color="auto"/>
        <w:bottom w:val="none" w:sz="0" w:space="0" w:color="auto"/>
        <w:right w:val="none" w:sz="0" w:space="0" w:color="auto"/>
      </w:divBdr>
    </w:div>
    <w:div w:id="1272856230">
      <w:bodyDiv w:val="1"/>
      <w:marLeft w:val="0"/>
      <w:marRight w:val="0"/>
      <w:marTop w:val="0"/>
      <w:marBottom w:val="0"/>
      <w:divBdr>
        <w:top w:val="none" w:sz="0" w:space="0" w:color="auto"/>
        <w:left w:val="none" w:sz="0" w:space="0" w:color="auto"/>
        <w:bottom w:val="none" w:sz="0" w:space="0" w:color="auto"/>
        <w:right w:val="none" w:sz="0" w:space="0" w:color="auto"/>
      </w:divBdr>
    </w:div>
    <w:div w:id="1464156392">
      <w:bodyDiv w:val="1"/>
      <w:marLeft w:val="0"/>
      <w:marRight w:val="0"/>
      <w:marTop w:val="0"/>
      <w:marBottom w:val="0"/>
      <w:divBdr>
        <w:top w:val="none" w:sz="0" w:space="0" w:color="auto"/>
        <w:left w:val="none" w:sz="0" w:space="0" w:color="auto"/>
        <w:bottom w:val="none" w:sz="0" w:space="0" w:color="auto"/>
        <w:right w:val="none" w:sz="0" w:space="0" w:color="auto"/>
      </w:divBdr>
    </w:div>
    <w:div w:id="1601796971">
      <w:bodyDiv w:val="1"/>
      <w:marLeft w:val="0"/>
      <w:marRight w:val="0"/>
      <w:marTop w:val="0"/>
      <w:marBottom w:val="0"/>
      <w:divBdr>
        <w:top w:val="none" w:sz="0" w:space="0" w:color="auto"/>
        <w:left w:val="none" w:sz="0" w:space="0" w:color="auto"/>
        <w:bottom w:val="none" w:sz="0" w:space="0" w:color="auto"/>
        <w:right w:val="none" w:sz="0" w:space="0" w:color="auto"/>
      </w:divBdr>
    </w:div>
    <w:div w:id="192598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83F8AD19.dotm</Template>
  <TotalTime>0</TotalTime>
  <Pages>5</Pages>
  <Words>2011</Words>
  <Characters>11467</Characters>
  <Application>Microsoft Office Word</Application>
  <DocSecurity>4</DocSecurity>
  <Lines>95</Lines>
  <Paragraphs>26</Paragraphs>
  <ScaleCrop>false</ScaleCrop>
  <Company/>
  <LinksUpToDate>false</LinksUpToDate>
  <CharactersWithSpaces>13452</CharactersWithSpaces>
  <SharedDoc>false</SharedDoc>
  <HLinks>
    <vt:vector size="18" baseType="variant">
      <vt:variant>
        <vt:i4>2031673</vt:i4>
      </vt:variant>
      <vt:variant>
        <vt:i4>14</vt:i4>
      </vt:variant>
      <vt:variant>
        <vt:i4>0</vt:i4>
      </vt:variant>
      <vt:variant>
        <vt:i4>5</vt:i4>
      </vt:variant>
      <vt:variant>
        <vt:lpwstr/>
      </vt:variant>
      <vt:variant>
        <vt:lpwstr>_Toc338853706</vt:lpwstr>
      </vt:variant>
      <vt:variant>
        <vt:i4>2031673</vt:i4>
      </vt:variant>
      <vt:variant>
        <vt:i4>8</vt:i4>
      </vt:variant>
      <vt:variant>
        <vt:i4>0</vt:i4>
      </vt:variant>
      <vt:variant>
        <vt:i4>5</vt:i4>
      </vt:variant>
      <vt:variant>
        <vt:lpwstr/>
      </vt:variant>
      <vt:variant>
        <vt:lpwstr>_Toc338853705</vt:lpwstr>
      </vt:variant>
      <vt:variant>
        <vt:i4>2031673</vt:i4>
      </vt:variant>
      <vt:variant>
        <vt:i4>2</vt:i4>
      </vt:variant>
      <vt:variant>
        <vt:i4>0</vt:i4>
      </vt:variant>
      <vt:variant>
        <vt:i4>5</vt:i4>
      </vt:variant>
      <vt:variant>
        <vt:lpwstr/>
      </vt:variant>
      <vt:variant>
        <vt:lpwstr>_Toc338853704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 financial reslience </dc:title>
  <dc:subject/>
  <dc:creator/>
  <cp:keywords/>
  <dc:description/>
  <cp:lastModifiedBy/>
  <cp:revision>1</cp:revision>
  <dcterms:created xsi:type="dcterms:W3CDTF">2014-04-29T06:15:00Z</dcterms:created>
  <dcterms:modified xsi:type="dcterms:W3CDTF">2014-04-29T06:15:00Z</dcterms:modified>
</cp:coreProperties>
</file>