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150" w:rsidRPr="00D81D60" w:rsidRDefault="009E7150" w:rsidP="00E214F7">
      <w:pPr>
        <w:rPr>
          <w:rFonts w:ascii="Calibri" w:hAnsi="Calibri" w:cstheme="minorHAnsi"/>
          <w:b/>
          <w:sz w:val="20"/>
          <w:szCs w:val="20"/>
        </w:rPr>
      </w:pPr>
    </w:p>
    <w:p w:rsidR="00E214F7" w:rsidRPr="00E214F7" w:rsidRDefault="00E214F7" w:rsidP="00E214F7">
      <w:pPr>
        <w:jc w:val="center"/>
      </w:pPr>
      <w:r w:rsidRPr="00E214F7">
        <w:rPr>
          <w:noProof/>
          <w:lang w:eastAsia="en-AU"/>
        </w:rPr>
        <w:drawing>
          <wp:inline distT="0" distB="0" distL="0" distR="0" wp14:anchorId="1C04CBED" wp14:editId="7F100807">
            <wp:extent cx="2800350" cy="600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00000" cy="600000"/>
                    </a:xfrm>
                    <a:prstGeom prst="rect">
                      <a:avLst/>
                    </a:prstGeom>
                  </pic:spPr>
                </pic:pic>
              </a:graphicData>
            </a:graphic>
          </wp:inline>
        </w:drawing>
      </w:r>
    </w:p>
    <w:p w:rsidR="00E214F7" w:rsidRPr="00E214F7" w:rsidRDefault="00E214F7" w:rsidP="00E214F7"/>
    <w:p w:rsidR="00E214F7" w:rsidRPr="00E214F7" w:rsidRDefault="00E214F7" w:rsidP="00BF33C3">
      <w:pPr>
        <w:spacing w:line="240" w:lineRule="atLeast"/>
        <w:outlineLvl w:val="1"/>
        <w:rPr>
          <w:rFonts w:eastAsiaTheme="majorEastAsia" w:cstheme="majorBidi"/>
          <w:b/>
          <w:bCs/>
          <w:sz w:val="28"/>
          <w:szCs w:val="26"/>
        </w:rPr>
      </w:pPr>
      <w:r w:rsidRPr="00E214F7">
        <w:rPr>
          <w:rFonts w:eastAsiaTheme="majorEastAsia" w:cstheme="majorBidi"/>
          <w:b/>
          <w:bCs/>
          <w:sz w:val="28"/>
          <w:szCs w:val="26"/>
        </w:rPr>
        <w:t>NSW and ACT opex remittal roundtable</w:t>
      </w:r>
      <w:r w:rsidR="00BF33C3">
        <w:rPr>
          <w:rFonts w:eastAsiaTheme="majorEastAsia" w:cstheme="majorBidi"/>
          <w:b/>
          <w:bCs/>
          <w:sz w:val="28"/>
          <w:szCs w:val="26"/>
        </w:rPr>
        <w:t xml:space="preserve"> (16 August 2017) summary note</w:t>
      </w:r>
    </w:p>
    <w:tbl>
      <w:tblPr>
        <w:tblStyle w:val="TableGrid"/>
        <w:tblW w:w="9039" w:type="dxa"/>
        <w:tblBorders>
          <w:left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38"/>
        <w:gridCol w:w="283"/>
        <w:gridCol w:w="147"/>
        <w:gridCol w:w="5506"/>
        <w:gridCol w:w="1837"/>
        <w:gridCol w:w="28"/>
      </w:tblGrid>
      <w:tr w:rsidR="00E214F7" w:rsidRPr="00E214F7" w:rsidTr="00C04F41">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9039" w:type="dxa"/>
            <w:gridSpan w:val="6"/>
            <w:tcBorders>
              <w:top w:val="nil"/>
            </w:tcBorders>
          </w:tcPr>
          <w:p w:rsidR="00FB43E6" w:rsidRDefault="00FB43E6" w:rsidP="00E214F7">
            <w:pPr>
              <w:spacing w:before="60" w:after="60"/>
              <w:rPr>
                <w:rFonts w:ascii="Calibri" w:hAnsi="Calibri"/>
                <w:sz w:val="28"/>
                <w:szCs w:val="28"/>
              </w:rPr>
            </w:pPr>
          </w:p>
          <w:p w:rsidR="00FB43E6" w:rsidRPr="00FB43E6" w:rsidRDefault="00FB43E6" w:rsidP="00FB43E6">
            <w:pPr>
              <w:spacing w:before="60" w:after="60"/>
              <w:rPr>
                <w:rFonts w:ascii="Calibri" w:hAnsi="Calibri"/>
                <w:sz w:val="28"/>
                <w:szCs w:val="28"/>
              </w:rPr>
            </w:pPr>
            <w:r>
              <w:rPr>
                <w:rFonts w:ascii="Calibri" w:hAnsi="Calibri"/>
                <w:sz w:val="28"/>
                <w:szCs w:val="28"/>
              </w:rPr>
              <w:t>1</w:t>
            </w:r>
            <w:r w:rsidRPr="00FB43E6">
              <w:rPr>
                <w:rFonts w:ascii="Calibri" w:hAnsi="Calibri"/>
                <w:sz w:val="28"/>
                <w:szCs w:val="28"/>
              </w:rPr>
              <w:t xml:space="preserve">. </w:t>
            </w:r>
            <w:r>
              <w:rPr>
                <w:rFonts w:ascii="Calibri" w:hAnsi="Calibri"/>
                <w:sz w:val="28"/>
                <w:szCs w:val="28"/>
              </w:rPr>
              <w:t>Introduction</w:t>
            </w:r>
          </w:p>
          <w:p w:rsidR="00FB43E6" w:rsidRDefault="00FB43E6" w:rsidP="00E214F7">
            <w:pPr>
              <w:spacing w:before="60" w:after="60"/>
              <w:rPr>
                <w:rFonts w:ascii="Calibri" w:hAnsi="Calibri"/>
                <w:b w:val="0"/>
                <w:sz w:val="22"/>
              </w:rPr>
            </w:pPr>
          </w:p>
          <w:p w:rsidR="00BF33C3" w:rsidRDefault="00BF33C3" w:rsidP="00E214F7">
            <w:pPr>
              <w:spacing w:before="60" w:after="60"/>
              <w:rPr>
                <w:rFonts w:ascii="Calibri" w:hAnsi="Calibri"/>
                <w:b w:val="0"/>
                <w:sz w:val="22"/>
              </w:rPr>
            </w:pPr>
            <w:r w:rsidRPr="00BF33C3">
              <w:rPr>
                <w:rFonts w:ascii="Calibri" w:hAnsi="Calibri"/>
                <w:b w:val="0"/>
                <w:sz w:val="22"/>
              </w:rPr>
              <w:t xml:space="preserve">Under the National Electricity Rules (NER), the AER is required to accept the total of the forecast </w:t>
            </w:r>
            <w:r w:rsidR="00D1746D">
              <w:rPr>
                <w:rFonts w:ascii="Calibri" w:hAnsi="Calibri"/>
                <w:b w:val="0"/>
                <w:sz w:val="22"/>
              </w:rPr>
              <w:t>operating expenditure (</w:t>
            </w:r>
            <w:r w:rsidRPr="00BF33C3">
              <w:rPr>
                <w:rFonts w:ascii="Calibri" w:hAnsi="Calibri"/>
                <w:b w:val="0"/>
                <w:sz w:val="22"/>
              </w:rPr>
              <w:t>opex</w:t>
            </w:r>
            <w:r w:rsidR="00D1746D">
              <w:rPr>
                <w:rFonts w:ascii="Calibri" w:hAnsi="Calibri"/>
                <w:b w:val="0"/>
                <w:sz w:val="22"/>
              </w:rPr>
              <w:t>)</w:t>
            </w:r>
            <w:r w:rsidRPr="00BF33C3">
              <w:rPr>
                <w:rFonts w:ascii="Calibri" w:hAnsi="Calibri"/>
                <w:b w:val="0"/>
                <w:sz w:val="22"/>
              </w:rPr>
              <w:t xml:space="preserve"> proposed by the distribution network service provider (DNSP) if it satisfies the opex criteria. If the AER is not satisfied the forecast opex proposed by the DNSP reasonably reflects the opex criteria, it must not accept the forecast. The AER must set out its reason for that decision and </w:t>
            </w:r>
            <w:r w:rsidR="00642384">
              <w:rPr>
                <w:rFonts w:ascii="Calibri" w:hAnsi="Calibri"/>
                <w:b w:val="0"/>
                <w:sz w:val="22"/>
              </w:rPr>
              <w:t>provide a substitute</w:t>
            </w:r>
            <w:r w:rsidRPr="00BF33C3">
              <w:rPr>
                <w:rFonts w:ascii="Calibri" w:hAnsi="Calibri"/>
                <w:b w:val="0"/>
                <w:sz w:val="22"/>
              </w:rPr>
              <w:t xml:space="preserve"> estimate of total opex that the AER is satisfied reasonably reflects the opex criteria.</w:t>
            </w:r>
          </w:p>
          <w:p w:rsidR="00BF33C3" w:rsidRDefault="00BF33C3" w:rsidP="00E214F7">
            <w:pPr>
              <w:spacing w:before="60" w:after="60"/>
              <w:rPr>
                <w:rFonts w:ascii="Calibri" w:hAnsi="Calibri"/>
                <w:b w:val="0"/>
                <w:sz w:val="22"/>
              </w:rPr>
            </w:pPr>
          </w:p>
          <w:p w:rsidR="00BF33C3" w:rsidRPr="00BF33C3" w:rsidRDefault="00BF33C3" w:rsidP="00E214F7">
            <w:pPr>
              <w:spacing w:before="60" w:after="60"/>
              <w:rPr>
                <w:rFonts w:ascii="Calibri" w:hAnsi="Calibri"/>
                <w:b w:val="0"/>
                <w:sz w:val="22"/>
              </w:rPr>
            </w:pPr>
            <w:r>
              <w:rPr>
                <w:rFonts w:ascii="Calibri" w:hAnsi="Calibri"/>
                <w:b w:val="0"/>
                <w:sz w:val="22"/>
              </w:rPr>
              <w:t>On 30 April 2015, the AER</w:t>
            </w:r>
            <w:r w:rsidRPr="00BF33C3">
              <w:rPr>
                <w:rFonts w:ascii="Calibri" w:hAnsi="Calibri"/>
                <w:b w:val="0"/>
                <w:sz w:val="22"/>
              </w:rPr>
              <w:t xml:space="preserve"> made final decisions on the determinations for the NSW and ACT electricity </w:t>
            </w:r>
            <w:r>
              <w:rPr>
                <w:rFonts w:ascii="Calibri" w:hAnsi="Calibri"/>
                <w:b w:val="0"/>
                <w:sz w:val="22"/>
              </w:rPr>
              <w:t xml:space="preserve">DNSPs </w:t>
            </w:r>
            <w:r w:rsidRPr="00BF33C3">
              <w:rPr>
                <w:rFonts w:ascii="Calibri" w:hAnsi="Calibri"/>
                <w:b w:val="0"/>
                <w:sz w:val="22"/>
              </w:rPr>
              <w:t xml:space="preserve">for the 2014-19 regulatory control period.  </w:t>
            </w:r>
            <w:r>
              <w:rPr>
                <w:rFonts w:ascii="Calibri" w:hAnsi="Calibri"/>
                <w:b w:val="0"/>
                <w:sz w:val="22"/>
              </w:rPr>
              <w:t>As part of these decisions, AER</w:t>
            </w:r>
            <w:r w:rsidRPr="00BF33C3">
              <w:rPr>
                <w:rFonts w:ascii="Calibri" w:hAnsi="Calibri"/>
                <w:b w:val="0"/>
                <w:sz w:val="22"/>
              </w:rPr>
              <w:t xml:space="preserve"> did not accept each of the</w:t>
            </w:r>
            <w:r>
              <w:rPr>
                <w:rFonts w:ascii="Calibri" w:hAnsi="Calibri"/>
                <w:b w:val="0"/>
                <w:sz w:val="22"/>
              </w:rPr>
              <w:t xml:space="preserve"> DNSP</w:t>
            </w:r>
            <w:r w:rsidRPr="00BF33C3">
              <w:rPr>
                <w:rFonts w:ascii="Calibri" w:hAnsi="Calibri"/>
                <w:b w:val="0"/>
                <w:sz w:val="22"/>
              </w:rPr>
              <w:t xml:space="preserve">s’ proposed opex forecast. </w:t>
            </w:r>
            <w:r w:rsidR="00D1746D">
              <w:rPr>
                <w:rFonts w:ascii="Calibri" w:hAnsi="Calibri"/>
                <w:b w:val="0"/>
                <w:sz w:val="22"/>
              </w:rPr>
              <w:t>The AER</w:t>
            </w:r>
            <w:r w:rsidR="00D1746D" w:rsidRPr="00BF33C3">
              <w:rPr>
                <w:rFonts w:ascii="Calibri" w:hAnsi="Calibri"/>
                <w:b w:val="0"/>
                <w:sz w:val="22"/>
              </w:rPr>
              <w:t xml:space="preserve"> </w:t>
            </w:r>
            <w:r w:rsidRPr="00BF33C3">
              <w:rPr>
                <w:rFonts w:ascii="Calibri" w:hAnsi="Calibri"/>
                <w:b w:val="0"/>
                <w:sz w:val="22"/>
              </w:rPr>
              <w:t xml:space="preserve">substituted </w:t>
            </w:r>
            <w:r w:rsidR="00D1746D">
              <w:rPr>
                <w:rFonts w:ascii="Calibri" w:hAnsi="Calibri"/>
                <w:b w:val="0"/>
                <w:sz w:val="22"/>
              </w:rPr>
              <w:t>its</w:t>
            </w:r>
            <w:r w:rsidR="00D1746D" w:rsidRPr="00BF33C3">
              <w:rPr>
                <w:rFonts w:ascii="Calibri" w:hAnsi="Calibri"/>
                <w:b w:val="0"/>
                <w:sz w:val="22"/>
              </w:rPr>
              <w:t xml:space="preserve"> </w:t>
            </w:r>
            <w:r w:rsidRPr="00BF33C3">
              <w:rPr>
                <w:rFonts w:ascii="Calibri" w:hAnsi="Calibri"/>
                <w:b w:val="0"/>
                <w:sz w:val="22"/>
              </w:rPr>
              <w:t>alternative opex forecast.</w:t>
            </w:r>
          </w:p>
          <w:p w:rsidR="00FB43E6" w:rsidRPr="00BF33C3" w:rsidRDefault="00FB43E6" w:rsidP="00E214F7">
            <w:pPr>
              <w:spacing w:before="60" w:after="60"/>
              <w:rPr>
                <w:rFonts w:ascii="Calibri" w:hAnsi="Calibri"/>
                <w:b w:val="0"/>
                <w:sz w:val="22"/>
              </w:rPr>
            </w:pPr>
          </w:p>
          <w:p w:rsidR="00FB43E6" w:rsidRPr="00BF33C3" w:rsidRDefault="00BF33C3" w:rsidP="00E214F7">
            <w:pPr>
              <w:spacing w:before="60" w:after="60"/>
              <w:rPr>
                <w:rFonts w:ascii="Calibri" w:hAnsi="Calibri"/>
                <w:b w:val="0"/>
                <w:sz w:val="22"/>
              </w:rPr>
            </w:pPr>
            <w:r w:rsidRPr="00BF33C3">
              <w:rPr>
                <w:rFonts w:ascii="Calibri" w:hAnsi="Calibri"/>
                <w:b w:val="0"/>
                <w:sz w:val="22"/>
              </w:rPr>
              <w:t>On 17 July 2</w:t>
            </w:r>
            <w:r>
              <w:rPr>
                <w:rFonts w:ascii="Calibri" w:hAnsi="Calibri"/>
                <w:b w:val="0"/>
                <w:sz w:val="22"/>
              </w:rPr>
              <w:t>015, the NSW and ACT DNSP</w:t>
            </w:r>
            <w:r w:rsidRPr="00BF33C3">
              <w:rPr>
                <w:rFonts w:ascii="Calibri" w:hAnsi="Calibri"/>
                <w:b w:val="0"/>
                <w:sz w:val="22"/>
              </w:rPr>
              <w:t>s sought l</w:t>
            </w:r>
            <w:r>
              <w:rPr>
                <w:rFonts w:ascii="Calibri" w:hAnsi="Calibri"/>
                <w:b w:val="0"/>
                <w:sz w:val="22"/>
              </w:rPr>
              <w:t>imited merits review of the AER’s</w:t>
            </w:r>
            <w:r w:rsidRPr="00BF33C3">
              <w:rPr>
                <w:rFonts w:ascii="Calibri" w:hAnsi="Calibri"/>
                <w:b w:val="0"/>
                <w:sz w:val="22"/>
              </w:rPr>
              <w:t xml:space="preserve"> decisions by the </w:t>
            </w:r>
            <w:r>
              <w:rPr>
                <w:rFonts w:ascii="Calibri" w:hAnsi="Calibri"/>
                <w:b w:val="0"/>
                <w:sz w:val="22"/>
              </w:rPr>
              <w:t xml:space="preserve">Australian Competition </w:t>
            </w:r>
            <w:r w:rsidRPr="00BF33C3">
              <w:rPr>
                <w:rFonts w:ascii="Calibri" w:hAnsi="Calibri"/>
                <w:b w:val="0"/>
                <w:sz w:val="22"/>
              </w:rPr>
              <w:t>Tribunal</w:t>
            </w:r>
            <w:r>
              <w:rPr>
                <w:rFonts w:ascii="Calibri" w:hAnsi="Calibri"/>
                <w:b w:val="0"/>
                <w:sz w:val="22"/>
              </w:rPr>
              <w:t xml:space="preserve"> (the Tribunal)</w:t>
            </w:r>
            <w:r w:rsidRPr="00BF33C3">
              <w:rPr>
                <w:rFonts w:ascii="Calibri" w:hAnsi="Calibri"/>
                <w:b w:val="0"/>
                <w:sz w:val="22"/>
              </w:rPr>
              <w:t>.</w:t>
            </w:r>
          </w:p>
          <w:p w:rsidR="00BF33C3" w:rsidRDefault="00BF33C3" w:rsidP="00E214F7">
            <w:pPr>
              <w:spacing w:before="60" w:after="60"/>
              <w:rPr>
                <w:rFonts w:ascii="Calibri" w:hAnsi="Calibri"/>
                <w:b w:val="0"/>
                <w:sz w:val="22"/>
              </w:rPr>
            </w:pPr>
          </w:p>
          <w:p w:rsidR="00BF33C3" w:rsidRDefault="00BF33C3" w:rsidP="00E214F7">
            <w:pPr>
              <w:spacing w:before="60" w:after="60"/>
              <w:rPr>
                <w:rFonts w:ascii="Calibri" w:hAnsi="Calibri"/>
                <w:b w:val="0"/>
                <w:sz w:val="22"/>
              </w:rPr>
            </w:pPr>
            <w:r w:rsidRPr="00BF33C3">
              <w:rPr>
                <w:rFonts w:ascii="Calibri" w:hAnsi="Calibri"/>
                <w:b w:val="0"/>
                <w:sz w:val="22"/>
              </w:rPr>
              <w:t>On 26 February 2016, the Tribunal decided to set aside the AER's final decisions on o</w:t>
            </w:r>
            <w:r>
              <w:rPr>
                <w:rFonts w:ascii="Calibri" w:hAnsi="Calibri"/>
                <w:b w:val="0"/>
                <w:sz w:val="22"/>
              </w:rPr>
              <w:t>pex and remitted them back to the AER</w:t>
            </w:r>
            <w:r w:rsidRPr="00BF33C3">
              <w:rPr>
                <w:rFonts w:ascii="Calibri" w:hAnsi="Calibri"/>
                <w:b w:val="0"/>
                <w:sz w:val="22"/>
              </w:rPr>
              <w:t xml:space="preserve"> to re-make in accordance with its reasons</w:t>
            </w:r>
            <w:r>
              <w:rPr>
                <w:rFonts w:ascii="Calibri" w:hAnsi="Calibri"/>
                <w:b w:val="0"/>
                <w:sz w:val="22"/>
              </w:rPr>
              <w:t xml:space="preserve">. </w:t>
            </w:r>
          </w:p>
          <w:p w:rsidR="00F14973" w:rsidRDefault="00F14973" w:rsidP="00E214F7">
            <w:pPr>
              <w:spacing w:before="60" w:after="60"/>
              <w:rPr>
                <w:rFonts w:ascii="Calibri" w:hAnsi="Calibri"/>
                <w:b w:val="0"/>
                <w:sz w:val="22"/>
              </w:rPr>
            </w:pPr>
          </w:p>
          <w:p w:rsidR="00F14973" w:rsidRDefault="00F14973" w:rsidP="00E214F7">
            <w:pPr>
              <w:spacing w:before="60" w:after="60"/>
              <w:rPr>
                <w:rFonts w:ascii="Calibri" w:hAnsi="Calibri"/>
                <w:b w:val="0"/>
                <w:sz w:val="22"/>
              </w:rPr>
            </w:pPr>
            <w:r w:rsidRPr="00F14973">
              <w:rPr>
                <w:rFonts w:ascii="Calibri" w:hAnsi="Calibri"/>
                <w:b w:val="0"/>
                <w:sz w:val="22"/>
              </w:rPr>
              <w:t xml:space="preserve">On 24 March 2016, the AER sought judicial review of the Tribunal's decision by the Full Federal Court under the Administrative Decisions </w:t>
            </w:r>
            <w:r w:rsidRPr="00F14973">
              <w:rPr>
                <w:rFonts w:ascii="Calibri" w:hAnsi="Calibri"/>
                <w:b w:val="0"/>
                <w:i/>
                <w:sz w:val="22"/>
              </w:rPr>
              <w:t>(Judicial Review) Act 1977 (Cth).</w:t>
            </w:r>
          </w:p>
          <w:p w:rsidR="00BF33C3" w:rsidRDefault="00BF33C3" w:rsidP="00E214F7">
            <w:pPr>
              <w:spacing w:before="60" w:after="60"/>
              <w:rPr>
                <w:rFonts w:ascii="Calibri" w:hAnsi="Calibri"/>
                <w:b w:val="0"/>
                <w:sz w:val="22"/>
              </w:rPr>
            </w:pPr>
          </w:p>
          <w:p w:rsidR="00F14973" w:rsidRDefault="00F14973" w:rsidP="00E214F7">
            <w:pPr>
              <w:spacing w:before="60" w:after="60"/>
              <w:rPr>
                <w:rFonts w:ascii="Calibri" w:hAnsi="Calibri"/>
                <w:b w:val="0"/>
                <w:sz w:val="22"/>
              </w:rPr>
            </w:pPr>
            <w:r w:rsidRPr="00F14973">
              <w:rPr>
                <w:rFonts w:ascii="Calibri" w:hAnsi="Calibri"/>
                <w:b w:val="0"/>
                <w:sz w:val="22"/>
              </w:rPr>
              <w:t>On 24 May 2017, the Federal Court dismissed the AER’s appeal on opex and upheld the Tribunal’s decision.</w:t>
            </w:r>
          </w:p>
          <w:p w:rsidR="00F14973" w:rsidRPr="00F14973" w:rsidRDefault="00F14973" w:rsidP="00E214F7">
            <w:pPr>
              <w:spacing w:before="60" w:after="60"/>
              <w:rPr>
                <w:rFonts w:ascii="Calibri" w:hAnsi="Calibri"/>
                <w:b w:val="0"/>
                <w:sz w:val="22"/>
              </w:rPr>
            </w:pPr>
          </w:p>
          <w:p w:rsidR="00F14973" w:rsidRPr="00F14973" w:rsidRDefault="00BF33C3" w:rsidP="00F14973">
            <w:pPr>
              <w:spacing w:before="60" w:after="60"/>
              <w:rPr>
                <w:rStyle w:val="AERbody"/>
                <w:rFonts w:ascii="Calibri" w:hAnsi="Calibri"/>
                <w:b w:val="0"/>
              </w:rPr>
            </w:pPr>
            <w:r w:rsidRPr="00F14973">
              <w:rPr>
                <w:rFonts w:ascii="Calibri" w:hAnsi="Calibri"/>
                <w:b w:val="0"/>
                <w:sz w:val="22"/>
              </w:rPr>
              <w:t>On 16 August 2017, t</w:t>
            </w:r>
            <w:r w:rsidR="00E10183">
              <w:rPr>
                <w:rFonts w:ascii="Calibri" w:hAnsi="Calibri"/>
                <w:b w:val="0"/>
                <w:sz w:val="22"/>
              </w:rPr>
              <w:t xml:space="preserve">he AER convened a roundtable </w:t>
            </w:r>
            <w:r w:rsidRPr="00F14973">
              <w:rPr>
                <w:rFonts w:ascii="Calibri" w:hAnsi="Calibri"/>
                <w:b w:val="0"/>
                <w:sz w:val="22"/>
              </w:rPr>
              <w:t>with a number of stakeholders to</w:t>
            </w:r>
            <w:r w:rsidRPr="00F14973">
              <w:rPr>
                <w:rStyle w:val="AERbody"/>
                <w:rFonts w:ascii="Calibri" w:hAnsi="Calibri"/>
                <w:b w:val="0"/>
              </w:rPr>
              <w:t xml:space="preserve"> discuss options for how </w:t>
            </w:r>
            <w:r w:rsidR="00F14973" w:rsidRPr="00F14973">
              <w:rPr>
                <w:rStyle w:val="AERbody"/>
                <w:rFonts w:ascii="Calibri" w:hAnsi="Calibri"/>
                <w:b w:val="0"/>
              </w:rPr>
              <w:t xml:space="preserve">the AER and stakeholders could </w:t>
            </w:r>
            <w:r w:rsidRPr="00F14973">
              <w:rPr>
                <w:rStyle w:val="AERbody"/>
                <w:rFonts w:ascii="Calibri" w:hAnsi="Calibri"/>
                <w:b w:val="0"/>
              </w:rPr>
              <w:t xml:space="preserve">work together in remaking the opex decisions. </w:t>
            </w:r>
          </w:p>
          <w:p w:rsidR="00F14973" w:rsidRDefault="00F14973" w:rsidP="00F14973">
            <w:pPr>
              <w:spacing w:before="60" w:after="60"/>
              <w:rPr>
                <w:rStyle w:val="AERbody"/>
                <w:rFonts w:ascii="Calibri" w:hAnsi="Calibri"/>
                <w:b w:val="0"/>
              </w:rPr>
            </w:pPr>
          </w:p>
          <w:p w:rsidR="00F14973" w:rsidRDefault="00F14973" w:rsidP="00F14973">
            <w:pPr>
              <w:spacing w:before="60" w:after="60"/>
              <w:rPr>
                <w:rStyle w:val="AERbody"/>
                <w:rFonts w:ascii="Calibri" w:hAnsi="Calibri"/>
                <w:b w:val="0"/>
              </w:rPr>
            </w:pPr>
            <w:r>
              <w:rPr>
                <w:rStyle w:val="AERbody"/>
                <w:rFonts w:ascii="Calibri" w:hAnsi="Calibri"/>
                <w:b w:val="0"/>
              </w:rPr>
              <w:t>This summary note outlines</w:t>
            </w:r>
            <w:r w:rsidR="00F1319F">
              <w:rPr>
                <w:rStyle w:val="AERbody"/>
                <w:rFonts w:ascii="Calibri" w:hAnsi="Calibri"/>
                <w:b w:val="0"/>
              </w:rPr>
              <w:t>:</w:t>
            </w:r>
          </w:p>
          <w:p w:rsidR="00F14973" w:rsidRDefault="00F14973" w:rsidP="00F14973">
            <w:pPr>
              <w:pStyle w:val="ListParagraph"/>
              <w:numPr>
                <w:ilvl w:val="0"/>
                <w:numId w:val="32"/>
              </w:numPr>
              <w:spacing w:before="60" w:after="60"/>
              <w:rPr>
                <w:rStyle w:val="AERbody"/>
                <w:rFonts w:ascii="Calibri" w:hAnsi="Calibri"/>
                <w:b w:val="0"/>
              </w:rPr>
            </w:pPr>
            <w:r>
              <w:rPr>
                <w:rStyle w:val="AERbody"/>
                <w:rFonts w:ascii="Calibri" w:hAnsi="Calibri"/>
                <w:b w:val="0"/>
              </w:rPr>
              <w:t>The agenda for the meeting</w:t>
            </w:r>
          </w:p>
          <w:p w:rsidR="00F14973" w:rsidRDefault="00F14973" w:rsidP="00F14973">
            <w:pPr>
              <w:pStyle w:val="ListParagraph"/>
              <w:numPr>
                <w:ilvl w:val="0"/>
                <w:numId w:val="32"/>
              </w:numPr>
              <w:spacing w:before="60" w:after="60"/>
              <w:rPr>
                <w:rStyle w:val="AERbody"/>
                <w:rFonts w:ascii="Calibri" w:hAnsi="Calibri"/>
                <w:b w:val="0"/>
              </w:rPr>
            </w:pPr>
            <w:r>
              <w:rPr>
                <w:rStyle w:val="AERbody"/>
                <w:rFonts w:ascii="Calibri" w:hAnsi="Calibri"/>
                <w:b w:val="0"/>
              </w:rPr>
              <w:t>The attendees present at the meeting</w:t>
            </w:r>
          </w:p>
          <w:p w:rsidR="00F14973" w:rsidRDefault="00F14973" w:rsidP="00F14973">
            <w:pPr>
              <w:pStyle w:val="ListParagraph"/>
              <w:numPr>
                <w:ilvl w:val="0"/>
                <w:numId w:val="32"/>
              </w:numPr>
              <w:spacing w:before="60" w:after="60"/>
              <w:rPr>
                <w:rStyle w:val="AERbody"/>
                <w:rFonts w:ascii="Calibri" w:hAnsi="Calibri"/>
                <w:b w:val="0"/>
              </w:rPr>
            </w:pPr>
            <w:r>
              <w:rPr>
                <w:rStyle w:val="AERbody"/>
                <w:rFonts w:ascii="Calibri" w:hAnsi="Calibri"/>
                <w:b w:val="0"/>
              </w:rPr>
              <w:t xml:space="preserve">The key themes that were discussed </w:t>
            </w:r>
          </w:p>
          <w:p w:rsidR="00F14973" w:rsidRDefault="00F14973" w:rsidP="00F14973">
            <w:pPr>
              <w:spacing w:before="60" w:after="60"/>
              <w:rPr>
                <w:rStyle w:val="AERbody"/>
                <w:rFonts w:ascii="Calibri" w:hAnsi="Calibri"/>
                <w:b w:val="0"/>
              </w:rPr>
            </w:pPr>
          </w:p>
          <w:p w:rsidR="00FB43E6" w:rsidRPr="00FB43E6" w:rsidRDefault="00FB43E6" w:rsidP="00E214F7">
            <w:pPr>
              <w:spacing w:before="60" w:after="60"/>
              <w:rPr>
                <w:rFonts w:ascii="Calibri" w:hAnsi="Calibri"/>
                <w:sz w:val="28"/>
                <w:szCs w:val="28"/>
              </w:rPr>
            </w:pPr>
            <w:bookmarkStart w:id="0" w:name="_GoBack"/>
            <w:bookmarkEnd w:id="0"/>
            <w:r>
              <w:rPr>
                <w:rFonts w:ascii="Calibri" w:hAnsi="Calibri"/>
                <w:sz w:val="28"/>
                <w:szCs w:val="28"/>
              </w:rPr>
              <w:lastRenderedPageBreak/>
              <w:t>2</w:t>
            </w:r>
            <w:r w:rsidRPr="00FB43E6">
              <w:rPr>
                <w:rFonts w:ascii="Calibri" w:hAnsi="Calibri"/>
                <w:sz w:val="28"/>
                <w:szCs w:val="28"/>
              </w:rPr>
              <w:t>. AGENDA</w:t>
            </w:r>
          </w:p>
          <w:p w:rsidR="00FB43E6" w:rsidRDefault="00FB43E6" w:rsidP="00E214F7">
            <w:pPr>
              <w:spacing w:before="60" w:after="60"/>
              <w:rPr>
                <w:rFonts w:ascii="Calibri" w:hAnsi="Calibri"/>
                <w:sz w:val="22"/>
              </w:rPr>
            </w:pPr>
          </w:p>
          <w:p w:rsidR="00E214F7" w:rsidRPr="00E214F7" w:rsidRDefault="00E214F7" w:rsidP="00E214F7">
            <w:pPr>
              <w:spacing w:before="60" w:after="60"/>
              <w:rPr>
                <w:rFonts w:ascii="Calibri" w:hAnsi="Calibri"/>
                <w:sz w:val="22"/>
              </w:rPr>
            </w:pPr>
            <w:r w:rsidRPr="00E214F7">
              <w:rPr>
                <w:rFonts w:ascii="Calibri" w:hAnsi="Calibri"/>
                <w:sz w:val="22"/>
              </w:rPr>
              <w:t>Meeting Date:    Wednesday 16 August 2017, 10.00am – 1.00pm</w:t>
            </w:r>
          </w:p>
          <w:p w:rsidR="00E214F7" w:rsidRPr="00E214F7" w:rsidRDefault="00E214F7" w:rsidP="00E214F7">
            <w:pPr>
              <w:spacing w:before="60" w:after="60"/>
              <w:rPr>
                <w:rFonts w:asciiTheme="majorHAnsi" w:hAnsiTheme="majorHAnsi"/>
                <w:sz w:val="22"/>
              </w:rPr>
            </w:pPr>
          </w:p>
        </w:tc>
      </w:tr>
      <w:tr w:rsidR="00E214F7" w:rsidRPr="00E214F7" w:rsidTr="00C04F41">
        <w:trPr>
          <w:trHeight w:val="1013"/>
        </w:trPr>
        <w:tc>
          <w:tcPr>
            <w:cnfStyle w:val="001000000000" w:firstRow="0" w:lastRow="0" w:firstColumn="1" w:lastColumn="0" w:oddVBand="0" w:evenVBand="0" w:oddHBand="0" w:evenHBand="0" w:firstRowFirstColumn="0" w:firstRowLastColumn="0" w:lastRowFirstColumn="0" w:lastRowLastColumn="0"/>
            <w:tcW w:w="1238" w:type="dxa"/>
            <w:tcBorders>
              <w:left w:val="nil"/>
              <w:bottom w:val="single" w:sz="4" w:space="0" w:color="BFBFBF" w:themeColor="background1" w:themeShade="BF"/>
              <w:right w:val="nil"/>
            </w:tcBorders>
          </w:tcPr>
          <w:p w:rsidR="00E214F7" w:rsidRPr="00E214F7" w:rsidRDefault="00E214F7" w:rsidP="00E214F7">
            <w:pPr>
              <w:rPr>
                <w:rFonts w:ascii="Calibri" w:hAnsi="Calibri"/>
                <w:sz w:val="22"/>
              </w:rPr>
            </w:pPr>
            <w:r w:rsidRPr="00E214F7">
              <w:rPr>
                <w:rFonts w:ascii="Calibri" w:hAnsi="Calibri"/>
                <w:sz w:val="22"/>
              </w:rPr>
              <w:lastRenderedPageBreak/>
              <w:t>Location:</w:t>
            </w:r>
          </w:p>
        </w:tc>
        <w:tc>
          <w:tcPr>
            <w:tcW w:w="283" w:type="dxa"/>
            <w:tcBorders>
              <w:left w:val="nil"/>
              <w:bottom w:val="single" w:sz="4" w:space="0" w:color="BFBFBF" w:themeColor="background1" w:themeShade="BF"/>
              <w:right w:val="nil"/>
            </w:tcBorders>
          </w:tcPr>
          <w:p w:rsidR="00E214F7" w:rsidRPr="00E214F7" w:rsidRDefault="00E214F7" w:rsidP="00E214F7">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p>
        </w:tc>
        <w:tc>
          <w:tcPr>
            <w:tcW w:w="7518" w:type="dxa"/>
            <w:gridSpan w:val="4"/>
            <w:tcBorders>
              <w:left w:val="nil"/>
              <w:bottom w:val="single" w:sz="4" w:space="0" w:color="BFBFBF" w:themeColor="background1" w:themeShade="BF"/>
              <w:right w:val="nil"/>
            </w:tcBorders>
          </w:tcPr>
          <w:p w:rsidR="00E214F7" w:rsidRPr="00E214F7" w:rsidRDefault="00E214F7" w:rsidP="00E214F7">
            <w:pPr>
              <w:cnfStyle w:val="000000000000" w:firstRow="0" w:lastRow="0" w:firstColumn="0" w:lastColumn="0" w:oddVBand="0" w:evenVBand="0" w:oddHBand="0" w:evenHBand="0" w:firstRowFirstColumn="0" w:firstRowLastColumn="0" w:lastRowFirstColumn="0" w:lastRowLastColumn="0"/>
              <w:rPr>
                <w:rFonts w:ascii="Calibri" w:hAnsi="Calibri"/>
                <w:b/>
                <w:sz w:val="22"/>
              </w:rPr>
            </w:pPr>
            <w:r w:rsidRPr="00E214F7">
              <w:rPr>
                <w:rFonts w:ascii="Calibri" w:hAnsi="Calibri"/>
                <w:b/>
                <w:sz w:val="22"/>
              </w:rPr>
              <w:t>ACCC and AER offices</w:t>
            </w:r>
          </w:p>
          <w:p w:rsidR="00E214F7" w:rsidRPr="00E214F7" w:rsidRDefault="00E214F7" w:rsidP="00E214F7">
            <w:pPr>
              <w:cnfStyle w:val="000000000000" w:firstRow="0" w:lastRow="0" w:firstColumn="0" w:lastColumn="0" w:oddVBand="0" w:evenVBand="0" w:oddHBand="0" w:evenHBand="0" w:firstRowFirstColumn="0" w:firstRowLastColumn="0" w:lastRowFirstColumn="0" w:lastRowLastColumn="0"/>
              <w:rPr>
                <w:rFonts w:ascii="Calibri" w:hAnsi="Calibri"/>
                <w:b/>
                <w:sz w:val="22"/>
              </w:rPr>
            </w:pPr>
            <w:r w:rsidRPr="00E214F7">
              <w:rPr>
                <w:rFonts w:ascii="Calibri" w:hAnsi="Calibri"/>
                <w:b/>
                <w:sz w:val="22"/>
              </w:rPr>
              <w:t>Level 20, 175 Pitt Street, Sydney</w:t>
            </w:r>
          </w:p>
          <w:p w:rsidR="00E214F7" w:rsidRPr="00E214F7" w:rsidRDefault="00E214F7" w:rsidP="00E214F7">
            <w:pPr>
              <w:cnfStyle w:val="000000000000" w:firstRow="0" w:lastRow="0" w:firstColumn="0" w:lastColumn="0" w:oddVBand="0" w:evenVBand="0" w:oddHBand="0" w:evenHBand="0" w:firstRowFirstColumn="0" w:firstRowLastColumn="0" w:lastRowFirstColumn="0" w:lastRowLastColumn="0"/>
              <w:rPr>
                <w:rFonts w:ascii="Calibri" w:hAnsi="Calibri"/>
                <w:b/>
                <w:sz w:val="22"/>
              </w:rPr>
            </w:pPr>
            <w:r w:rsidRPr="00E214F7">
              <w:rPr>
                <w:rFonts w:ascii="Calibri" w:hAnsi="Calibri"/>
                <w:b/>
                <w:sz w:val="22"/>
              </w:rPr>
              <w:t>Tamworth and Armidale rooms</w:t>
            </w:r>
          </w:p>
        </w:tc>
      </w:tr>
      <w:tr w:rsidR="00E214F7" w:rsidRPr="00E214F7" w:rsidTr="00C04F41">
        <w:tblPrEx>
          <w:tblBorders>
            <w:left w:val="none" w:sz="0" w:space="0" w:color="auto"/>
            <w:right w:val="none" w:sz="0" w:space="0" w:color="auto"/>
            <w:insideH w:val="none" w:sz="0" w:space="0" w:color="auto"/>
            <w:insideV w:val="none" w:sz="0" w:space="0" w:color="auto"/>
          </w:tblBorders>
        </w:tblPrEx>
        <w:trPr>
          <w:gridAfter w:val="1"/>
          <w:wAfter w:w="28" w:type="dxa"/>
          <w:trHeight w:val="646"/>
        </w:trPr>
        <w:tc>
          <w:tcPr>
            <w:cnfStyle w:val="001000000000" w:firstRow="0" w:lastRow="0" w:firstColumn="1" w:lastColumn="0" w:oddVBand="0" w:evenVBand="0" w:oddHBand="0" w:evenHBand="0" w:firstRowFirstColumn="0" w:firstRowLastColumn="0" w:lastRowFirstColumn="0" w:lastRowLastColumn="0"/>
            <w:tcW w:w="9011" w:type="dxa"/>
            <w:gridSpan w:val="5"/>
            <w:tcBorders>
              <w:top w:val="single" w:sz="4" w:space="0" w:color="BFBFBF" w:themeColor="background1" w:themeShade="BF"/>
              <w:left w:val="nil"/>
              <w:bottom w:val="single" w:sz="6" w:space="0" w:color="BFBFBF" w:themeColor="background1" w:themeShade="BF"/>
              <w:right w:val="nil"/>
            </w:tcBorders>
          </w:tcPr>
          <w:p w:rsidR="00E214F7" w:rsidRPr="00E214F7" w:rsidRDefault="00E214F7" w:rsidP="00E214F7">
            <w:pPr>
              <w:rPr>
                <w:rFonts w:ascii="Calibri" w:hAnsi="Calibri"/>
                <w:sz w:val="22"/>
              </w:rPr>
            </w:pPr>
          </w:p>
          <w:p w:rsidR="00E214F7" w:rsidRPr="00E214F7" w:rsidRDefault="00E214F7" w:rsidP="00E214F7">
            <w:pPr>
              <w:rPr>
                <w:rFonts w:eastAsiaTheme="majorEastAsia" w:cstheme="majorBidi"/>
                <w:b w:val="0"/>
                <w:bCs/>
                <w:sz w:val="22"/>
              </w:rPr>
            </w:pPr>
            <w:r w:rsidRPr="00E214F7">
              <w:rPr>
                <w:rFonts w:ascii="Calibri" w:hAnsi="Calibri"/>
                <w:sz w:val="22"/>
              </w:rPr>
              <w:t>AGENDA</w:t>
            </w:r>
          </w:p>
        </w:tc>
      </w:tr>
      <w:tr w:rsidR="00E214F7" w:rsidRPr="00E214F7" w:rsidTr="00C04F41">
        <w:tblPrEx>
          <w:tblBorders>
            <w:left w:val="none" w:sz="0" w:space="0" w:color="auto"/>
            <w:right w:val="none" w:sz="0" w:space="0" w:color="auto"/>
            <w:insideH w:val="none" w:sz="0" w:space="0" w:color="auto"/>
            <w:insideV w:val="none" w:sz="0" w:space="0" w:color="auto"/>
          </w:tblBorders>
        </w:tblPrEx>
        <w:trPr>
          <w:gridAfter w:val="1"/>
          <w:wAfter w:w="28" w:type="dxa"/>
          <w:trHeight w:val="353"/>
        </w:trPr>
        <w:tc>
          <w:tcPr>
            <w:cnfStyle w:val="001000000000" w:firstRow="0" w:lastRow="0" w:firstColumn="1" w:lastColumn="0" w:oddVBand="0" w:evenVBand="0" w:oddHBand="0" w:evenHBand="0" w:firstRowFirstColumn="0" w:firstRowLastColumn="0" w:lastRowFirstColumn="0" w:lastRowLastColumn="0"/>
            <w:tcW w:w="1668"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Pr>
          <w:p w:rsidR="00E214F7" w:rsidRPr="00E214F7" w:rsidRDefault="00E214F7" w:rsidP="00E214F7">
            <w:pPr>
              <w:jc w:val="center"/>
              <w:rPr>
                <w:rFonts w:ascii="Calibri" w:hAnsi="Calibri"/>
                <w:sz w:val="22"/>
              </w:rPr>
            </w:pPr>
            <w:r w:rsidRPr="00E214F7">
              <w:rPr>
                <w:rFonts w:ascii="Calibri" w:hAnsi="Calibri"/>
                <w:sz w:val="22"/>
              </w:rPr>
              <w:t>TIME</w:t>
            </w:r>
          </w:p>
        </w:tc>
        <w:tc>
          <w:tcPr>
            <w:tcW w:w="550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E214F7" w:rsidRPr="00E214F7" w:rsidRDefault="00E214F7" w:rsidP="00E214F7">
            <w:pPr>
              <w:jc w:val="center"/>
              <w:cnfStyle w:val="000000000000" w:firstRow="0" w:lastRow="0" w:firstColumn="0" w:lastColumn="0" w:oddVBand="0" w:evenVBand="0" w:oddHBand="0" w:evenHBand="0" w:firstRowFirstColumn="0" w:firstRowLastColumn="0" w:lastRowFirstColumn="0" w:lastRowLastColumn="0"/>
              <w:rPr>
                <w:rFonts w:ascii="Calibri" w:hAnsi="Calibri"/>
                <w:b/>
                <w:sz w:val="22"/>
              </w:rPr>
            </w:pPr>
            <w:r w:rsidRPr="00E214F7">
              <w:rPr>
                <w:rFonts w:ascii="Calibri" w:hAnsi="Calibri"/>
                <w:b/>
                <w:sz w:val="22"/>
              </w:rPr>
              <w:t>ISSUE</w:t>
            </w:r>
          </w:p>
        </w:tc>
        <w:tc>
          <w:tcPr>
            <w:tcW w:w="1837"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tcPr>
          <w:p w:rsidR="00E214F7" w:rsidRPr="00E214F7" w:rsidRDefault="00E214F7" w:rsidP="00E214F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b/>
                <w:bCs/>
                <w:sz w:val="22"/>
              </w:rPr>
            </w:pPr>
            <w:r w:rsidRPr="00E214F7">
              <w:rPr>
                <w:rFonts w:ascii="Calibri" w:hAnsi="Calibri"/>
                <w:b/>
                <w:sz w:val="22"/>
              </w:rPr>
              <w:t>SPEAKER/S</w:t>
            </w:r>
          </w:p>
        </w:tc>
      </w:tr>
      <w:tr w:rsidR="00E214F7" w:rsidRPr="00E214F7" w:rsidTr="00C04F41">
        <w:tblPrEx>
          <w:tblBorders>
            <w:left w:val="none" w:sz="0" w:space="0" w:color="auto"/>
            <w:right w:val="none" w:sz="0" w:space="0" w:color="auto"/>
            <w:insideH w:val="none" w:sz="0" w:space="0" w:color="auto"/>
            <w:insideV w:val="none" w:sz="0" w:space="0" w:color="auto"/>
          </w:tblBorders>
        </w:tblPrEx>
        <w:trPr>
          <w:gridAfter w:val="1"/>
          <w:wAfter w:w="28" w:type="dxa"/>
          <w:trHeight w:val="734"/>
        </w:trPr>
        <w:tc>
          <w:tcPr>
            <w:cnfStyle w:val="001000000000" w:firstRow="0" w:lastRow="0" w:firstColumn="1" w:lastColumn="0" w:oddVBand="0" w:evenVBand="0" w:oddHBand="0" w:evenHBand="0" w:firstRowFirstColumn="0" w:firstRowLastColumn="0" w:lastRowFirstColumn="0" w:lastRowLastColumn="0"/>
            <w:tcW w:w="1668"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Pr>
          <w:p w:rsidR="00E214F7" w:rsidRPr="00E214F7" w:rsidRDefault="00E214F7" w:rsidP="00C04F41">
            <w:pPr>
              <w:tabs>
                <w:tab w:val="left" w:pos="340"/>
              </w:tabs>
              <w:rPr>
                <w:rFonts w:ascii="Calibri" w:hAnsi="Calibri"/>
                <w:sz w:val="22"/>
              </w:rPr>
            </w:pPr>
            <w:r w:rsidRPr="00E214F7">
              <w:rPr>
                <w:rFonts w:ascii="Calibri" w:hAnsi="Calibri"/>
                <w:sz w:val="22"/>
              </w:rPr>
              <w:t>10:00 – 10:05</w:t>
            </w:r>
          </w:p>
        </w:tc>
        <w:tc>
          <w:tcPr>
            <w:tcW w:w="550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E214F7" w:rsidRPr="00E214F7" w:rsidRDefault="00E214F7" w:rsidP="00E214F7">
            <w:pPr>
              <w:numPr>
                <w:ilvl w:val="0"/>
                <w:numId w:val="30"/>
              </w:numPr>
              <w:tabs>
                <w:tab w:val="left" w:pos="340"/>
              </w:tabs>
              <w:spacing w:before="120"/>
              <w:cnfStyle w:val="000000000000" w:firstRow="0" w:lastRow="0" w:firstColumn="0" w:lastColumn="0" w:oddVBand="0" w:evenVBand="0" w:oddHBand="0" w:evenHBand="0" w:firstRowFirstColumn="0" w:firstRowLastColumn="0" w:lastRowFirstColumn="0" w:lastRowLastColumn="0"/>
              <w:rPr>
                <w:rFonts w:ascii="Calibri" w:hAnsi="Calibri" w:cs="Times New Roman"/>
                <w:sz w:val="22"/>
              </w:rPr>
            </w:pPr>
            <w:r w:rsidRPr="00E214F7">
              <w:rPr>
                <w:rFonts w:ascii="Calibri" w:hAnsi="Calibri" w:cs="Times New Roman"/>
                <w:sz w:val="22"/>
              </w:rPr>
              <w:t xml:space="preserve">Welcome and introductions </w:t>
            </w:r>
          </w:p>
        </w:tc>
        <w:tc>
          <w:tcPr>
            <w:tcW w:w="1837"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tcPr>
          <w:p w:rsidR="00E214F7" w:rsidRPr="00E214F7" w:rsidRDefault="00E214F7" w:rsidP="00E214F7">
            <w:pPr>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E214F7">
              <w:rPr>
                <w:rFonts w:ascii="Calibri" w:hAnsi="Calibri"/>
                <w:sz w:val="22"/>
              </w:rPr>
              <w:t>Paula Conboy</w:t>
            </w:r>
          </w:p>
        </w:tc>
      </w:tr>
      <w:tr w:rsidR="00E214F7" w:rsidRPr="00E214F7" w:rsidTr="00C04F41">
        <w:tblPrEx>
          <w:tblBorders>
            <w:left w:val="none" w:sz="0" w:space="0" w:color="auto"/>
            <w:right w:val="none" w:sz="0" w:space="0" w:color="auto"/>
            <w:insideH w:val="none" w:sz="0" w:space="0" w:color="auto"/>
            <w:insideV w:val="none" w:sz="0" w:space="0" w:color="auto"/>
          </w:tblBorders>
        </w:tblPrEx>
        <w:trPr>
          <w:gridAfter w:val="1"/>
          <w:wAfter w:w="28" w:type="dxa"/>
          <w:trHeight w:val="1916"/>
        </w:trPr>
        <w:tc>
          <w:tcPr>
            <w:cnfStyle w:val="001000000000" w:firstRow="0" w:lastRow="0" w:firstColumn="1" w:lastColumn="0" w:oddVBand="0" w:evenVBand="0" w:oddHBand="0" w:evenHBand="0" w:firstRowFirstColumn="0" w:firstRowLastColumn="0" w:lastRowFirstColumn="0" w:lastRowLastColumn="0"/>
            <w:tcW w:w="1668"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Pr>
          <w:p w:rsidR="00E214F7" w:rsidRPr="00E214F7" w:rsidRDefault="00E214F7" w:rsidP="00C04F41">
            <w:pPr>
              <w:tabs>
                <w:tab w:val="left" w:pos="340"/>
              </w:tabs>
              <w:rPr>
                <w:rFonts w:ascii="Calibri" w:hAnsi="Calibri"/>
                <w:sz w:val="22"/>
              </w:rPr>
            </w:pPr>
            <w:r w:rsidRPr="00E214F7">
              <w:rPr>
                <w:rFonts w:ascii="Calibri" w:hAnsi="Calibri"/>
                <w:sz w:val="22"/>
              </w:rPr>
              <w:t>10:05 – 10:20</w:t>
            </w:r>
          </w:p>
        </w:tc>
        <w:tc>
          <w:tcPr>
            <w:tcW w:w="550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E214F7" w:rsidRPr="00E214F7" w:rsidRDefault="00E214F7" w:rsidP="00E214F7">
            <w:pPr>
              <w:numPr>
                <w:ilvl w:val="0"/>
                <w:numId w:val="30"/>
              </w:numPr>
              <w:tabs>
                <w:tab w:val="left" w:pos="340"/>
              </w:tabs>
              <w:spacing w:before="120"/>
              <w:cnfStyle w:val="000000000000" w:firstRow="0" w:lastRow="0" w:firstColumn="0" w:lastColumn="0" w:oddVBand="0" w:evenVBand="0" w:oddHBand="0" w:evenHBand="0" w:firstRowFirstColumn="0" w:firstRowLastColumn="0" w:lastRowFirstColumn="0" w:lastRowLastColumn="0"/>
              <w:rPr>
                <w:rFonts w:ascii="Calibri" w:hAnsi="Calibri" w:cs="Times New Roman"/>
                <w:sz w:val="22"/>
              </w:rPr>
            </w:pPr>
            <w:r w:rsidRPr="00E214F7">
              <w:rPr>
                <w:rFonts w:ascii="Calibri" w:hAnsi="Calibri" w:cs="Times New Roman"/>
                <w:sz w:val="22"/>
              </w:rPr>
              <w:t>Framing for today’s discussion</w:t>
            </w:r>
          </w:p>
          <w:p w:rsidR="00E214F7" w:rsidRPr="00E214F7" w:rsidRDefault="00E214F7" w:rsidP="00E214F7">
            <w:pPr>
              <w:numPr>
                <w:ilvl w:val="0"/>
                <w:numId w:val="29"/>
              </w:numPr>
              <w:tabs>
                <w:tab w:val="left" w:pos="340"/>
              </w:tabs>
              <w:spacing w:before="120"/>
              <w:cnfStyle w:val="000000000000" w:firstRow="0" w:lastRow="0" w:firstColumn="0" w:lastColumn="0" w:oddVBand="0" w:evenVBand="0" w:oddHBand="0" w:evenHBand="0" w:firstRowFirstColumn="0" w:firstRowLastColumn="0" w:lastRowFirstColumn="0" w:lastRowLastColumn="0"/>
              <w:rPr>
                <w:rFonts w:ascii="Calibri" w:hAnsi="Calibri" w:cs="Times New Roman"/>
                <w:sz w:val="22"/>
              </w:rPr>
            </w:pPr>
            <w:r w:rsidRPr="00E214F7">
              <w:rPr>
                <w:rFonts w:ascii="Calibri" w:hAnsi="Calibri" w:cs="Times New Roman"/>
                <w:sz w:val="22"/>
              </w:rPr>
              <w:t xml:space="preserve">Two key objectives for today – hear stakeholder  views on key issues and discuss possible consultation processes </w:t>
            </w:r>
          </w:p>
          <w:p w:rsidR="00E214F7" w:rsidRPr="00E214F7" w:rsidRDefault="00E214F7" w:rsidP="00E214F7">
            <w:pPr>
              <w:numPr>
                <w:ilvl w:val="0"/>
                <w:numId w:val="29"/>
              </w:numPr>
              <w:tabs>
                <w:tab w:val="left" w:pos="340"/>
              </w:tabs>
              <w:spacing w:before="120"/>
              <w:cnfStyle w:val="000000000000" w:firstRow="0" w:lastRow="0" w:firstColumn="0" w:lastColumn="0" w:oddVBand="0" w:evenVBand="0" w:oddHBand="0" w:evenHBand="0" w:firstRowFirstColumn="0" w:firstRowLastColumn="0" w:lastRowFirstColumn="0" w:lastRowLastColumn="0"/>
              <w:rPr>
                <w:rFonts w:ascii="Calibri" w:hAnsi="Calibri" w:cs="Times New Roman"/>
                <w:sz w:val="22"/>
              </w:rPr>
            </w:pPr>
            <w:r w:rsidRPr="00E214F7">
              <w:rPr>
                <w:rFonts w:ascii="Calibri" w:hAnsi="Calibri" w:cs="Times New Roman"/>
                <w:sz w:val="22"/>
              </w:rPr>
              <w:t xml:space="preserve">Background opex information </w:t>
            </w:r>
          </w:p>
        </w:tc>
        <w:tc>
          <w:tcPr>
            <w:tcW w:w="1837"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tcPr>
          <w:p w:rsidR="00E214F7" w:rsidRPr="00E214F7" w:rsidRDefault="00E214F7" w:rsidP="00E214F7">
            <w:pPr>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E214F7">
              <w:rPr>
                <w:rFonts w:ascii="Calibri" w:hAnsi="Calibri"/>
                <w:sz w:val="22"/>
              </w:rPr>
              <w:t xml:space="preserve">Paula Conboy </w:t>
            </w:r>
          </w:p>
        </w:tc>
      </w:tr>
      <w:tr w:rsidR="00E214F7" w:rsidRPr="00E214F7" w:rsidTr="00C04F41">
        <w:tblPrEx>
          <w:tblBorders>
            <w:left w:val="none" w:sz="0" w:space="0" w:color="auto"/>
            <w:right w:val="none" w:sz="0" w:space="0" w:color="auto"/>
            <w:insideH w:val="none" w:sz="0" w:space="0" w:color="auto"/>
            <w:insideV w:val="none" w:sz="0" w:space="0" w:color="auto"/>
          </w:tblBorders>
        </w:tblPrEx>
        <w:trPr>
          <w:gridAfter w:val="1"/>
          <w:wAfter w:w="28" w:type="dxa"/>
          <w:trHeight w:val="1821"/>
        </w:trPr>
        <w:tc>
          <w:tcPr>
            <w:cnfStyle w:val="001000000000" w:firstRow="0" w:lastRow="0" w:firstColumn="1" w:lastColumn="0" w:oddVBand="0" w:evenVBand="0" w:oddHBand="0" w:evenHBand="0" w:firstRowFirstColumn="0" w:firstRowLastColumn="0" w:lastRowFirstColumn="0" w:lastRowLastColumn="0"/>
            <w:tcW w:w="1668"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Pr>
          <w:p w:rsidR="00E214F7" w:rsidRPr="00E214F7" w:rsidRDefault="00E214F7" w:rsidP="00C04F41">
            <w:pPr>
              <w:tabs>
                <w:tab w:val="left" w:pos="340"/>
              </w:tabs>
              <w:rPr>
                <w:rFonts w:ascii="Calibri" w:hAnsi="Calibri"/>
                <w:sz w:val="22"/>
              </w:rPr>
            </w:pPr>
            <w:r w:rsidRPr="00E214F7">
              <w:rPr>
                <w:rFonts w:ascii="Calibri" w:hAnsi="Calibri"/>
                <w:sz w:val="22"/>
              </w:rPr>
              <w:t>10:20 – 11:20</w:t>
            </w:r>
          </w:p>
        </w:tc>
        <w:tc>
          <w:tcPr>
            <w:tcW w:w="550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E214F7" w:rsidRPr="00E214F7" w:rsidRDefault="00E214F7" w:rsidP="00E214F7">
            <w:pPr>
              <w:numPr>
                <w:ilvl w:val="0"/>
                <w:numId w:val="30"/>
              </w:numPr>
              <w:tabs>
                <w:tab w:val="left" w:pos="340"/>
              </w:tabs>
              <w:spacing w:before="120"/>
              <w:cnfStyle w:val="000000000000" w:firstRow="0" w:lastRow="0" w:firstColumn="0" w:lastColumn="0" w:oddVBand="0" w:evenVBand="0" w:oddHBand="0" w:evenHBand="0" w:firstRowFirstColumn="0" w:firstRowLastColumn="0" w:lastRowFirstColumn="0" w:lastRowLastColumn="0"/>
              <w:rPr>
                <w:rFonts w:ascii="Calibri" w:hAnsi="Calibri" w:cs="Times New Roman"/>
                <w:sz w:val="22"/>
              </w:rPr>
            </w:pPr>
            <w:r w:rsidRPr="00E214F7">
              <w:rPr>
                <w:rFonts w:ascii="Calibri" w:hAnsi="Calibri" w:cs="Times New Roman"/>
                <w:sz w:val="22"/>
              </w:rPr>
              <w:t xml:space="preserve">Views of parties on key issues and potential consultation options </w:t>
            </w:r>
          </w:p>
          <w:p w:rsidR="00E214F7" w:rsidRPr="00E214F7" w:rsidRDefault="00E214F7" w:rsidP="00E214F7">
            <w:pPr>
              <w:numPr>
                <w:ilvl w:val="0"/>
                <w:numId w:val="2"/>
              </w:numPr>
              <w:tabs>
                <w:tab w:val="left" w:pos="340"/>
              </w:tabs>
              <w:spacing w:before="120"/>
              <w:ind w:left="0" w:firstLine="0"/>
              <w:cnfStyle w:val="000000000000" w:firstRow="0" w:lastRow="0" w:firstColumn="0" w:lastColumn="0" w:oddVBand="0" w:evenVBand="0" w:oddHBand="0" w:evenHBand="0" w:firstRowFirstColumn="0" w:firstRowLastColumn="0" w:lastRowFirstColumn="0" w:lastRowLastColumn="0"/>
              <w:rPr>
                <w:rFonts w:ascii="Calibri" w:hAnsi="Calibri" w:cs="Times New Roman"/>
                <w:i/>
                <w:sz w:val="22"/>
              </w:rPr>
            </w:pPr>
            <w:r w:rsidRPr="00E214F7">
              <w:rPr>
                <w:rFonts w:ascii="Calibri" w:hAnsi="Calibri" w:cs="Times New Roman"/>
                <w:i/>
                <w:sz w:val="22"/>
              </w:rPr>
              <w:t xml:space="preserve">Each stakeholder has 10 mins to present views on key issues </w:t>
            </w:r>
          </w:p>
        </w:tc>
        <w:tc>
          <w:tcPr>
            <w:tcW w:w="1837"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tcPr>
          <w:p w:rsidR="00E214F7" w:rsidRPr="00E214F7" w:rsidRDefault="00E214F7" w:rsidP="00E214F7">
            <w:pPr>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E214F7">
              <w:rPr>
                <w:rFonts w:ascii="Calibri" w:hAnsi="Calibri"/>
                <w:sz w:val="22"/>
              </w:rPr>
              <w:t>Around the table</w:t>
            </w:r>
          </w:p>
        </w:tc>
      </w:tr>
      <w:tr w:rsidR="00E214F7" w:rsidRPr="00E214F7" w:rsidTr="00C04F41">
        <w:tblPrEx>
          <w:tblBorders>
            <w:left w:val="none" w:sz="0" w:space="0" w:color="auto"/>
            <w:right w:val="none" w:sz="0" w:space="0" w:color="auto"/>
            <w:insideH w:val="none" w:sz="0" w:space="0" w:color="auto"/>
            <w:insideV w:val="none" w:sz="0" w:space="0" w:color="auto"/>
          </w:tblBorders>
        </w:tblPrEx>
        <w:trPr>
          <w:gridAfter w:val="1"/>
          <w:wAfter w:w="28" w:type="dxa"/>
          <w:trHeight w:val="777"/>
        </w:trPr>
        <w:tc>
          <w:tcPr>
            <w:cnfStyle w:val="001000000000" w:firstRow="0" w:lastRow="0" w:firstColumn="1" w:lastColumn="0" w:oddVBand="0" w:evenVBand="0" w:oddHBand="0" w:evenHBand="0" w:firstRowFirstColumn="0" w:firstRowLastColumn="0" w:lastRowFirstColumn="0" w:lastRowLastColumn="0"/>
            <w:tcW w:w="1668"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Pr>
          <w:p w:rsidR="00E214F7" w:rsidRPr="00E214F7" w:rsidRDefault="00E214F7" w:rsidP="00E214F7">
            <w:pPr>
              <w:tabs>
                <w:tab w:val="left" w:pos="1260"/>
              </w:tabs>
              <w:rPr>
                <w:rFonts w:ascii="Calibri" w:hAnsi="Calibri"/>
                <w:sz w:val="22"/>
              </w:rPr>
            </w:pPr>
            <w:r w:rsidRPr="00E214F7">
              <w:rPr>
                <w:rFonts w:ascii="Calibri" w:hAnsi="Calibri"/>
                <w:sz w:val="22"/>
              </w:rPr>
              <w:t>11:20 – 11:30</w:t>
            </w:r>
          </w:p>
        </w:tc>
        <w:tc>
          <w:tcPr>
            <w:tcW w:w="550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E214F7" w:rsidRPr="00E214F7" w:rsidRDefault="00E214F7" w:rsidP="00C04F41">
            <w:pPr>
              <w:tabs>
                <w:tab w:val="left" w:pos="340"/>
              </w:tabs>
              <w:spacing w:before="120"/>
              <w:cnfStyle w:val="000000000000" w:firstRow="0" w:lastRow="0" w:firstColumn="0" w:lastColumn="0" w:oddVBand="0" w:evenVBand="0" w:oddHBand="0" w:evenHBand="0" w:firstRowFirstColumn="0" w:firstRowLastColumn="0" w:lastRowFirstColumn="0" w:lastRowLastColumn="0"/>
              <w:rPr>
                <w:rFonts w:ascii="Calibri" w:hAnsi="Calibri" w:cs="Times New Roman"/>
                <w:sz w:val="22"/>
              </w:rPr>
            </w:pPr>
            <w:r w:rsidRPr="00E214F7">
              <w:rPr>
                <w:rFonts w:ascii="Calibri" w:hAnsi="Calibri" w:cs="Times New Roman"/>
                <w:sz w:val="22"/>
              </w:rPr>
              <w:t xml:space="preserve">Morning tea break </w:t>
            </w:r>
          </w:p>
        </w:tc>
        <w:tc>
          <w:tcPr>
            <w:tcW w:w="1837"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tcPr>
          <w:p w:rsidR="00E214F7" w:rsidRPr="00E214F7" w:rsidRDefault="00E214F7" w:rsidP="00E214F7">
            <w:pPr>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r w:rsidR="00E214F7" w:rsidRPr="00E214F7" w:rsidTr="00C04F41">
        <w:tblPrEx>
          <w:tblBorders>
            <w:left w:val="none" w:sz="0" w:space="0" w:color="auto"/>
            <w:right w:val="none" w:sz="0" w:space="0" w:color="auto"/>
            <w:insideH w:val="none" w:sz="0" w:space="0" w:color="auto"/>
            <w:insideV w:val="none" w:sz="0" w:space="0" w:color="auto"/>
          </w:tblBorders>
        </w:tblPrEx>
        <w:trPr>
          <w:gridAfter w:val="1"/>
          <w:wAfter w:w="28" w:type="dxa"/>
          <w:trHeight w:val="1087"/>
        </w:trPr>
        <w:tc>
          <w:tcPr>
            <w:cnfStyle w:val="001000000000" w:firstRow="0" w:lastRow="0" w:firstColumn="1" w:lastColumn="0" w:oddVBand="0" w:evenVBand="0" w:oddHBand="0" w:evenHBand="0" w:firstRowFirstColumn="0" w:firstRowLastColumn="0" w:lastRowFirstColumn="0" w:lastRowLastColumn="0"/>
            <w:tcW w:w="1668"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Pr>
          <w:p w:rsidR="00E214F7" w:rsidRPr="00E214F7" w:rsidRDefault="00E214F7" w:rsidP="00C04F41">
            <w:pPr>
              <w:tabs>
                <w:tab w:val="left" w:pos="340"/>
              </w:tabs>
              <w:rPr>
                <w:rFonts w:ascii="Calibri" w:hAnsi="Calibri"/>
                <w:sz w:val="22"/>
              </w:rPr>
            </w:pPr>
            <w:r w:rsidRPr="00E214F7">
              <w:rPr>
                <w:rFonts w:ascii="Calibri" w:hAnsi="Calibri"/>
                <w:sz w:val="22"/>
              </w:rPr>
              <w:t>11:30 – 12:45</w:t>
            </w:r>
          </w:p>
        </w:tc>
        <w:tc>
          <w:tcPr>
            <w:tcW w:w="550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E214F7" w:rsidRPr="00E214F7" w:rsidRDefault="00E214F7" w:rsidP="00E214F7">
            <w:pPr>
              <w:numPr>
                <w:ilvl w:val="0"/>
                <w:numId w:val="30"/>
              </w:numPr>
              <w:tabs>
                <w:tab w:val="left" w:pos="340"/>
              </w:tabs>
              <w:spacing w:before="120"/>
              <w:cnfStyle w:val="000000000000" w:firstRow="0" w:lastRow="0" w:firstColumn="0" w:lastColumn="0" w:oddVBand="0" w:evenVBand="0" w:oddHBand="0" w:evenHBand="0" w:firstRowFirstColumn="0" w:firstRowLastColumn="0" w:lastRowFirstColumn="0" w:lastRowLastColumn="0"/>
              <w:rPr>
                <w:rFonts w:ascii="Calibri" w:hAnsi="Calibri" w:cs="Times New Roman"/>
                <w:sz w:val="22"/>
              </w:rPr>
            </w:pPr>
            <w:r w:rsidRPr="00E214F7">
              <w:rPr>
                <w:rFonts w:ascii="Calibri" w:hAnsi="Calibri" w:cs="Times New Roman"/>
                <w:sz w:val="22"/>
              </w:rPr>
              <w:t xml:space="preserve">Views of parties on key issues and potential consultation options </w:t>
            </w:r>
            <w:r w:rsidRPr="00E214F7">
              <w:rPr>
                <w:rFonts w:ascii="Calibri" w:hAnsi="Calibri" w:cs="Times New Roman"/>
                <w:i/>
                <w:sz w:val="22"/>
              </w:rPr>
              <w:t>(continued)</w:t>
            </w:r>
          </w:p>
          <w:p w:rsidR="00E214F7" w:rsidRPr="00E214F7" w:rsidRDefault="00E214F7" w:rsidP="00E214F7">
            <w:pPr>
              <w:numPr>
                <w:ilvl w:val="0"/>
                <w:numId w:val="2"/>
              </w:numPr>
              <w:tabs>
                <w:tab w:val="left" w:pos="340"/>
              </w:tabs>
              <w:spacing w:before="120"/>
              <w:ind w:left="0" w:firstLine="0"/>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E214F7">
              <w:rPr>
                <w:rFonts w:ascii="Calibri" w:hAnsi="Calibri" w:cs="Times New Roman"/>
                <w:i/>
                <w:sz w:val="22"/>
              </w:rPr>
              <w:t xml:space="preserve"> Discussion</w:t>
            </w:r>
          </w:p>
        </w:tc>
        <w:tc>
          <w:tcPr>
            <w:tcW w:w="1837"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tcPr>
          <w:p w:rsidR="00E214F7" w:rsidRPr="00E214F7" w:rsidRDefault="00E214F7" w:rsidP="00E214F7">
            <w:pPr>
              <w:cnfStyle w:val="000000000000" w:firstRow="0" w:lastRow="0" w:firstColumn="0" w:lastColumn="0" w:oddVBand="0" w:evenVBand="0" w:oddHBand="0" w:evenHBand="0" w:firstRowFirstColumn="0" w:firstRowLastColumn="0" w:lastRowFirstColumn="0" w:lastRowLastColumn="0"/>
              <w:rPr>
                <w:rFonts w:ascii="Calibri" w:hAnsi="Calibri"/>
              </w:rPr>
            </w:pPr>
            <w:r w:rsidRPr="00E214F7">
              <w:rPr>
                <w:rFonts w:ascii="Calibri" w:hAnsi="Calibri"/>
                <w:sz w:val="22"/>
              </w:rPr>
              <w:t>Around the table</w:t>
            </w:r>
          </w:p>
        </w:tc>
      </w:tr>
      <w:tr w:rsidR="00E214F7" w:rsidRPr="00E214F7" w:rsidTr="00C04F41">
        <w:tblPrEx>
          <w:tblBorders>
            <w:left w:val="none" w:sz="0" w:space="0" w:color="auto"/>
            <w:right w:val="none" w:sz="0" w:space="0" w:color="auto"/>
            <w:insideH w:val="none" w:sz="0" w:space="0" w:color="auto"/>
            <w:insideV w:val="none" w:sz="0" w:space="0" w:color="auto"/>
          </w:tblBorders>
        </w:tblPrEx>
        <w:trPr>
          <w:gridAfter w:val="1"/>
          <w:wAfter w:w="28" w:type="dxa"/>
          <w:trHeight w:val="367"/>
        </w:trPr>
        <w:tc>
          <w:tcPr>
            <w:cnfStyle w:val="001000000000" w:firstRow="0" w:lastRow="0" w:firstColumn="1" w:lastColumn="0" w:oddVBand="0" w:evenVBand="0" w:oddHBand="0" w:evenHBand="0" w:firstRowFirstColumn="0" w:firstRowLastColumn="0" w:lastRowFirstColumn="0" w:lastRowLastColumn="0"/>
            <w:tcW w:w="1668"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Pr>
          <w:p w:rsidR="00E214F7" w:rsidRPr="00E214F7" w:rsidRDefault="00E214F7" w:rsidP="00C04F41">
            <w:pPr>
              <w:tabs>
                <w:tab w:val="left" w:pos="340"/>
              </w:tabs>
              <w:rPr>
                <w:rFonts w:ascii="Calibri" w:hAnsi="Calibri"/>
                <w:sz w:val="22"/>
              </w:rPr>
            </w:pPr>
            <w:r w:rsidRPr="00E214F7">
              <w:rPr>
                <w:rFonts w:ascii="Calibri" w:hAnsi="Calibri"/>
                <w:sz w:val="22"/>
              </w:rPr>
              <w:t>12:45 – 1:00</w:t>
            </w:r>
          </w:p>
        </w:tc>
        <w:tc>
          <w:tcPr>
            <w:tcW w:w="550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E214F7" w:rsidRPr="00E214F7" w:rsidRDefault="00E214F7" w:rsidP="00E214F7">
            <w:pPr>
              <w:cnfStyle w:val="000000000000" w:firstRow="0" w:lastRow="0" w:firstColumn="0" w:lastColumn="0" w:oddVBand="0" w:evenVBand="0" w:oddHBand="0" w:evenHBand="0" w:firstRowFirstColumn="0" w:firstRowLastColumn="0" w:lastRowFirstColumn="0" w:lastRowLastColumn="0"/>
              <w:rPr>
                <w:rFonts w:ascii="Calibri" w:hAnsi="Calibri"/>
                <w:sz w:val="22"/>
              </w:rPr>
            </w:pPr>
          </w:p>
          <w:p w:rsidR="00E214F7" w:rsidRPr="00E214F7" w:rsidRDefault="00E214F7" w:rsidP="00E214F7">
            <w:pPr>
              <w:numPr>
                <w:ilvl w:val="0"/>
                <w:numId w:val="30"/>
              </w:numPr>
              <w:tabs>
                <w:tab w:val="left" w:pos="340"/>
              </w:tabs>
              <w:spacing w:before="120"/>
              <w:cnfStyle w:val="000000000000" w:firstRow="0" w:lastRow="0" w:firstColumn="0" w:lastColumn="0" w:oddVBand="0" w:evenVBand="0" w:oddHBand="0" w:evenHBand="0" w:firstRowFirstColumn="0" w:firstRowLastColumn="0" w:lastRowFirstColumn="0" w:lastRowLastColumn="0"/>
              <w:rPr>
                <w:rFonts w:ascii="Calibri" w:hAnsi="Calibri" w:cs="Times New Roman"/>
                <w:sz w:val="22"/>
              </w:rPr>
            </w:pPr>
            <w:r w:rsidRPr="00E214F7">
              <w:rPr>
                <w:rFonts w:ascii="Calibri" w:hAnsi="Calibri" w:cs="Times New Roman"/>
                <w:sz w:val="22"/>
              </w:rPr>
              <w:t xml:space="preserve">Wrap-up and next steps </w:t>
            </w:r>
          </w:p>
          <w:p w:rsidR="00E214F7" w:rsidRPr="00E214F7" w:rsidRDefault="00E214F7" w:rsidP="00E214F7">
            <w:pPr>
              <w:cnfStyle w:val="000000000000" w:firstRow="0" w:lastRow="0" w:firstColumn="0" w:lastColumn="0" w:oddVBand="0" w:evenVBand="0" w:oddHBand="0" w:evenHBand="0" w:firstRowFirstColumn="0" w:firstRowLastColumn="0" w:lastRowFirstColumn="0" w:lastRowLastColumn="0"/>
              <w:rPr>
                <w:rFonts w:ascii="Calibri" w:hAnsi="Calibri"/>
                <w:sz w:val="22"/>
              </w:rPr>
            </w:pPr>
          </w:p>
          <w:p w:rsidR="00E214F7" w:rsidRPr="00E214F7" w:rsidRDefault="00E214F7" w:rsidP="00E214F7">
            <w:pPr>
              <w:cnfStyle w:val="000000000000" w:firstRow="0" w:lastRow="0" w:firstColumn="0" w:lastColumn="0" w:oddVBand="0" w:evenVBand="0" w:oddHBand="0" w:evenHBand="0" w:firstRowFirstColumn="0" w:firstRowLastColumn="0" w:lastRowFirstColumn="0" w:lastRowLastColumn="0"/>
              <w:rPr>
                <w:rFonts w:ascii="Calibri" w:hAnsi="Calibri"/>
                <w:sz w:val="22"/>
              </w:rPr>
            </w:pPr>
          </w:p>
        </w:tc>
        <w:tc>
          <w:tcPr>
            <w:tcW w:w="1837"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tcPr>
          <w:p w:rsidR="00E214F7" w:rsidRPr="00E214F7" w:rsidRDefault="00E214F7" w:rsidP="00E214F7">
            <w:pPr>
              <w:cnfStyle w:val="000000000000" w:firstRow="0" w:lastRow="0" w:firstColumn="0" w:lastColumn="0" w:oddVBand="0" w:evenVBand="0" w:oddHBand="0" w:evenHBand="0" w:firstRowFirstColumn="0" w:firstRowLastColumn="0" w:lastRowFirstColumn="0" w:lastRowLastColumn="0"/>
              <w:rPr>
                <w:rFonts w:ascii="Calibri" w:hAnsi="Calibri"/>
                <w:sz w:val="22"/>
              </w:rPr>
            </w:pPr>
          </w:p>
          <w:p w:rsidR="00E214F7" w:rsidRPr="00E214F7" w:rsidRDefault="00E214F7" w:rsidP="00E214F7">
            <w:pPr>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E214F7">
              <w:rPr>
                <w:rFonts w:ascii="Calibri" w:hAnsi="Calibri"/>
                <w:sz w:val="22"/>
              </w:rPr>
              <w:t>Paula Conboy</w:t>
            </w:r>
          </w:p>
        </w:tc>
      </w:tr>
    </w:tbl>
    <w:p w:rsidR="00C04F41" w:rsidRDefault="00C04F41">
      <w:pPr>
        <w:rPr>
          <w:rFonts w:ascii="Calibri" w:hAnsi="Calibri" w:cstheme="minorHAnsi"/>
          <w:b/>
          <w:bCs/>
          <w:sz w:val="28"/>
          <w:szCs w:val="28"/>
        </w:rPr>
      </w:pPr>
      <w:r>
        <w:rPr>
          <w:rFonts w:ascii="Calibri" w:hAnsi="Calibri" w:cstheme="minorHAnsi"/>
          <w:b/>
          <w:bCs/>
          <w:sz w:val="28"/>
          <w:szCs w:val="28"/>
        </w:rPr>
        <w:br w:type="page"/>
      </w:r>
    </w:p>
    <w:p w:rsidR="00E214F7" w:rsidRPr="007A2A8E" w:rsidRDefault="00FB43E6" w:rsidP="00E214F7">
      <w:pPr>
        <w:rPr>
          <w:rFonts w:ascii="Calibri" w:hAnsi="Calibri" w:cstheme="minorHAnsi"/>
          <w:b/>
          <w:bCs/>
          <w:sz w:val="28"/>
          <w:szCs w:val="28"/>
        </w:rPr>
      </w:pPr>
      <w:r>
        <w:rPr>
          <w:rFonts w:ascii="Calibri" w:hAnsi="Calibri" w:cstheme="minorHAnsi"/>
          <w:b/>
          <w:bCs/>
          <w:sz w:val="28"/>
          <w:szCs w:val="28"/>
        </w:rPr>
        <w:lastRenderedPageBreak/>
        <w:t>3. List of a</w:t>
      </w:r>
      <w:r w:rsidR="00E214F7" w:rsidRPr="007A2A8E">
        <w:rPr>
          <w:rFonts w:ascii="Calibri" w:hAnsi="Calibri" w:cstheme="minorHAnsi"/>
          <w:b/>
          <w:bCs/>
          <w:sz w:val="28"/>
          <w:szCs w:val="28"/>
        </w:rPr>
        <w:t>ttendees</w:t>
      </w:r>
    </w:p>
    <w:p w:rsidR="00E214F7" w:rsidRPr="00D81D60" w:rsidRDefault="00E214F7" w:rsidP="00E214F7">
      <w:pPr>
        <w:rPr>
          <w:rFonts w:ascii="Calibri" w:hAnsi="Calibri" w:cstheme="minorHAnsi"/>
          <w:b/>
          <w:bCs/>
        </w:rPr>
      </w:pPr>
      <w:r w:rsidRPr="00D81D60">
        <w:rPr>
          <w:rFonts w:ascii="Calibri" w:hAnsi="Calibri" w:cstheme="minorHAnsi"/>
          <w:b/>
          <w:bCs/>
        </w:rPr>
        <w:t>AER</w:t>
      </w:r>
    </w:p>
    <w:p w:rsidR="00E214F7" w:rsidRPr="00D81D60" w:rsidRDefault="00E214F7" w:rsidP="00E214F7">
      <w:pPr>
        <w:rPr>
          <w:rFonts w:ascii="Calibri" w:hAnsi="Calibri" w:cstheme="minorHAnsi"/>
        </w:rPr>
      </w:pPr>
      <w:r w:rsidRPr="00D81D60">
        <w:rPr>
          <w:rFonts w:ascii="Calibri" w:hAnsi="Calibri" w:cstheme="minorHAnsi"/>
        </w:rPr>
        <w:t>Paula Conboy, AER Chair</w:t>
      </w:r>
    </w:p>
    <w:p w:rsidR="00E214F7" w:rsidRPr="00D81D60" w:rsidRDefault="00E214F7" w:rsidP="00E214F7">
      <w:pPr>
        <w:rPr>
          <w:rFonts w:ascii="Calibri" w:hAnsi="Calibri" w:cstheme="minorHAnsi"/>
        </w:rPr>
      </w:pPr>
      <w:r w:rsidRPr="00D81D60">
        <w:rPr>
          <w:rFonts w:ascii="Calibri" w:hAnsi="Calibri" w:cstheme="minorHAnsi"/>
        </w:rPr>
        <w:t>Cristina Cifuentes, AER Board member</w:t>
      </w:r>
    </w:p>
    <w:p w:rsidR="00E214F7" w:rsidRPr="00D81D60" w:rsidRDefault="00E214F7" w:rsidP="00E214F7">
      <w:pPr>
        <w:rPr>
          <w:rFonts w:ascii="Calibri" w:hAnsi="Calibri" w:cstheme="minorHAnsi"/>
        </w:rPr>
      </w:pPr>
      <w:r w:rsidRPr="00D81D60">
        <w:rPr>
          <w:rFonts w:ascii="Calibri" w:hAnsi="Calibri" w:cstheme="minorHAnsi"/>
        </w:rPr>
        <w:t>Jim Cox, AER Board member</w:t>
      </w:r>
    </w:p>
    <w:p w:rsidR="00E214F7" w:rsidRPr="00D81D60" w:rsidRDefault="00E214F7" w:rsidP="00E214F7">
      <w:pPr>
        <w:rPr>
          <w:rFonts w:ascii="Calibri" w:hAnsi="Calibri" w:cstheme="minorHAnsi"/>
        </w:rPr>
      </w:pPr>
      <w:r w:rsidRPr="00D81D60">
        <w:rPr>
          <w:rFonts w:ascii="Calibri" w:hAnsi="Calibri" w:cstheme="minorHAnsi"/>
        </w:rPr>
        <w:t>Sebastian Roberts, General Manager – Network expenditure</w:t>
      </w:r>
    </w:p>
    <w:p w:rsidR="00E214F7" w:rsidRPr="00D81D60" w:rsidRDefault="00E214F7" w:rsidP="00E214F7">
      <w:pPr>
        <w:rPr>
          <w:rFonts w:ascii="Calibri" w:hAnsi="Calibri" w:cstheme="minorHAnsi"/>
        </w:rPr>
      </w:pPr>
      <w:r w:rsidRPr="00D81D60">
        <w:rPr>
          <w:rFonts w:ascii="Calibri" w:hAnsi="Calibri" w:cstheme="minorHAnsi"/>
        </w:rPr>
        <w:t>Arek Gulbenkoglu, Director – Network expenditure</w:t>
      </w:r>
    </w:p>
    <w:p w:rsidR="00E214F7" w:rsidRPr="00D81D60" w:rsidRDefault="00E214F7" w:rsidP="00E214F7">
      <w:pPr>
        <w:rPr>
          <w:rFonts w:ascii="Calibri" w:hAnsi="Calibri" w:cstheme="minorHAnsi"/>
          <w:b/>
          <w:bCs/>
        </w:rPr>
      </w:pPr>
      <w:r w:rsidRPr="00D81D60">
        <w:rPr>
          <w:rFonts w:ascii="Calibri" w:hAnsi="Calibri" w:cstheme="minorHAnsi"/>
          <w:b/>
          <w:bCs/>
        </w:rPr>
        <w:t>External</w:t>
      </w:r>
    </w:p>
    <w:p w:rsidR="00E214F7" w:rsidRPr="00D81D60" w:rsidRDefault="00E214F7" w:rsidP="00E214F7">
      <w:pPr>
        <w:rPr>
          <w:rFonts w:ascii="Calibri" w:hAnsi="Calibri" w:cstheme="minorHAnsi"/>
        </w:rPr>
      </w:pPr>
      <w:r w:rsidRPr="00D81D60">
        <w:rPr>
          <w:rFonts w:ascii="Calibri" w:hAnsi="Calibri" w:cstheme="minorHAnsi"/>
        </w:rPr>
        <w:t>Richard Gross, Ausgrid</w:t>
      </w:r>
    </w:p>
    <w:p w:rsidR="00E214F7" w:rsidRPr="00D81D60" w:rsidRDefault="00E214F7" w:rsidP="00E214F7">
      <w:pPr>
        <w:rPr>
          <w:rFonts w:ascii="Calibri" w:hAnsi="Calibri" w:cstheme="minorHAnsi"/>
        </w:rPr>
      </w:pPr>
      <w:r>
        <w:rPr>
          <w:rFonts w:ascii="Calibri" w:hAnsi="Calibri" w:cstheme="minorHAnsi"/>
        </w:rPr>
        <w:t>Rob Amp</w:t>
      </w:r>
      <w:r w:rsidR="00855105">
        <w:rPr>
          <w:rFonts w:ascii="Calibri" w:hAnsi="Calibri" w:cstheme="minorHAnsi"/>
        </w:rPr>
        <w:t>h</w:t>
      </w:r>
      <w:r>
        <w:rPr>
          <w:rFonts w:ascii="Calibri" w:hAnsi="Calibri" w:cstheme="minorHAnsi"/>
        </w:rPr>
        <w:t xml:space="preserve">lett </w:t>
      </w:r>
      <w:r w:rsidRPr="00D81D60">
        <w:rPr>
          <w:rFonts w:ascii="Calibri" w:hAnsi="Calibri" w:cstheme="minorHAnsi"/>
        </w:rPr>
        <w:t xml:space="preserve">Lewis, Ausgrid </w:t>
      </w:r>
    </w:p>
    <w:p w:rsidR="00E214F7" w:rsidRPr="00D81D60" w:rsidRDefault="00E214F7" w:rsidP="00E214F7">
      <w:pPr>
        <w:rPr>
          <w:rFonts w:ascii="Calibri" w:hAnsi="Calibri" w:cstheme="minorHAnsi"/>
        </w:rPr>
      </w:pPr>
      <w:r w:rsidRPr="00D81D60">
        <w:rPr>
          <w:rFonts w:ascii="Calibri" w:hAnsi="Calibri" w:cstheme="minorHAnsi"/>
        </w:rPr>
        <w:t>Rod Howard, Endeavour Energy</w:t>
      </w:r>
    </w:p>
    <w:p w:rsidR="00E214F7" w:rsidRPr="00D81D60" w:rsidRDefault="00E214F7" w:rsidP="00E214F7">
      <w:pPr>
        <w:rPr>
          <w:rFonts w:ascii="Calibri" w:hAnsi="Calibri" w:cstheme="minorHAnsi"/>
        </w:rPr>
      </w:pPr>
      <w:r w:rsidRPr="00D81D60">
        <w:rPr>
          <w:rFonts w:ascii="Calibri" w:hAnsi="Calibri" w:cstheme="minorHAnsi"/>
        </w:rPr>
        <w:t>Jon Hocking, Endeavour Energy</w:t>
      </w:r>
    </w:p>
    <w:p w:rsidR="00E214F7" w:rsidRPr="00D81D60" w:rsidRDefault="00E214F7" w:rsidP="00E214F7">
      <w:pPr>
        <w:rPr>
          <w:rFonts w:ascii="Calibri" w:hAnsi="Calibri" w:cstheme="minorHAnsi"/>
        </w:rPr>
      </w:pPr>
      <w:r w:rsidRPr="00D81D60">
        <w:rPr>
          <w:rFonts w:ascii="Calibri" w:hAnsi="Calibri" w:cstheme="minorHAnsi"/>
        </w:rPr>
        <w:t>John Cleland, Essential Energy</w:t>
      </w:r>
    </w:p>
    <w:p w:rsidR="00E214F7" w:rsidRPr="00D81D60" w:rsidRDefault="00E214F7" w:rsidP="00E214F7">
      <w:pPr>
        <w:rPr>
          <w:rFonts w:ascii="Calibri" w:hAnsi="Calibri" w:cstheme="minorHAnsi"/>
        </w:rPr>
      </w:pPr>
      <w:r w:rsidRPr="00D81D60">
        <w:rPr>
          <w:rFonts w:ascii="Calibri" w:hAnsi="Calibri" w:cstheme="minorHAnsi"/>
        </w:rPr>
        <w:t>Gary Humphreys, Essential Energy</w:t>
      </w:r>
    </w:p>
    <w:p w:rsidR="00E214F7" w:rsidRPr="00D81D60" w:rsidRDefault="00E214F7" w:rsidP="00E214F7">
      <w:pPr>
        <w:rPr>
          <w:rFonts w:ascii="Calibri" w:hAnsi="Calibri" w:cstheme="minorHAnsi"/>
        </w:rPr>
      </w:pPr>
      <w:r w:rsidRPr="00D81D60">
        <w:rPr>
          <w:rFonts w:ascii="Calibri" w:hAnsi="Calibri" w:cstheme="minorHAnsi"/>
        </w:rPr>
        <w:t>Michael Costello, ActewAGL</w:t>
      </w:r>
    </w:p>
    <w:p w:rsidR="00E214F7" w:rsidRPr="00D81D60" w:rsidRDefault="00E214F7" w:rsidP="00E214F7">
      <w:pPr>
        <w:rPr>
          <w:rFonts w:ascii="Calibri" w:hAnsi="Calibri" w:cstheme="minorHAnsi"/>
        </w:rPr>
      </w:pPr>
      <w:r w:rsidRPr="00D81D60">
        <w:rPr>
          <w:rFonts w:ascii="Calibri" w:hAnsi="Calibri" w:cstheme="minorHAnsi"/>
        </w:rPr>
        <w:t>David Graham, ActewAGL</w:t>
      </w:r>
    </w:p>
    <w:p w:rsidR="00E214F7" w:rsidRPr="00D81D60" w:rsidRDefault="00E214F7" w:rsidP="00E214F7">
      <w:pPr>
        <w:rPr>
          <w:rFonts w:ascii="Calibri" w:hAnsi="Calibri" w:cstheme="minorHAnsi"/>
        </w:rPr>
      </w:pPr>
      <w:r w:rsidRPr="00D81D60">
        <w:rPr>
          <w:rFonts w:ascii="Calibri" w:hAnsi="Calibri" w:cstheme="minorHAnsi"/>
        </w:rPr>
        <w:t>Rosemary Sinclair, Energy Consumers Australia</w:t>
      </w:r>
    </w:p>
    <w:p w:rsidR="00E214F7" w:rsidRPr="00D81D60" w:rsidRDefault="00E214F7" w:rsidP="00E214F7">
      <w:pPr>
        <w:rPr>
          <w:rFonts w:ascii="Calibri" w:hAnsi="Calibri" w:cstheme="minorHAnsi"/>
        </w:rPr>
      </w:pPr>
      <w:r w:rsidRPr="00D81D60">
        <w:rPr>
          <w:rFonts w:ascii="Calibri" w:hAnsi="Calibri" w:cstheme="minorHAnsi"/>
        </w:rPr>
        <w:t>Craig Memery, Public Interest Advocacy Centre</w:t>
      </w:r>
    </w:p>
    <w:p w:rsidR="00E214F7" w:rsidRPr="00D81D60" w:rsidRDefault="00E214F7" w:rsidP="00E214F7">
      <w:pPr>
        <w:rPr>
          <w:rFonts w:ascii="Calibri" w:hAnsi="Calibri" w:cstheme="minorHAnsi"/>
        </w:rPr>
      </w:pPr>
      <w:r w:rsidRPr="00DC14C5">
        <w:rPr>
          <w:rFonts w:ascii="Calibri" w:hAnsi="Calibri" w:cstheme="minorHAnsi"/>
        </w:rPr>
        <w:t>Julia Mansour</w:t>
      </w:r>
      <w:r w:rsidRPr="00D81D60">
        <w:rPr>
          <w:rFonts w:ascii="Calibri" w:hAnsi="Calibri" w:cstheme="minorHAnsi"/>
        </w:rPr>
        <w:t>, Public Interest Advocacy Centre</w:t>
      </w:r>
    </w:p>
    <w:p w:rsidR="00E214F7" w:rsidRPr="00D81D60" w:rsidRDefault="00E214F7" w:rsidP="00E214F7">
      <w:pPr>
        <w:rPr>
          <w:rFonts w:ascii="Calibri" w:hAnsi="Calibri" w:cstheme="minorHAnsi"/>
        </w:rPr>
      </w:pPr>
      <w:r w:rsidRPr="00D81D60">
        <w:rPr>
          <w:rFonts w:ascii="Calibri" w:hAnsi="Calibri" w:cstheme="minorHAnsi"/>
        </w:rPr>
        <w:t>Andrew Richards, EUAA</w:t>
      </w:r>
    </w:p>
    <w:p w:rsidR="00E214F7" w:rsidRPr="00D81D60" w:rsidRDefault="00E214F7" w:rsidP="00E214F7">
      <w:pPr>
        <w:rPr>
          <w:rFonts w:ascii="Calibri" w:hAnsi="Calibri" w:cstheme="minorHAnsi"/>
        </w:rPr>
      </w:pPr>
      <w:r w:rsidRPr="00D81D60">
        <w:rPr>
          <w:rFonts w:ascii="Calibri" w:hAnsi="Calibri" w:cstheme="minorHAnsi"/>
        </w:rPr>
        <w:t>Mark Grenning, EUAA</w:t>
      </w:r>
    </w:p>
    <w:p w:rsidR="00E214F7" w:rsidRPr="00D81D60" w:rsidRDefault="00E214F7" w:rsidP="00E214F7">
      <w:pPr>
        <w:rPr>
          <w:rFonts w:ascii="Calibri" w:hAnsi="Calibri" w:cstheme="minorHAnsi"/>
        </w:rPr>
      </w:pPr>
      <w:r w:rsidRPr="00D81D60">
        <w:rPr>
          <w:rFonts w:ascii="Calibri" w:hAnsi="Calibri" w:cstheme="minorHAnsi"/>
        </w:rPr>
        <w:t>Mark Henley, Consumer Challenge Panel</w:t>
      </w:r>
    </w:p>
    <w:p w:rsidR="00E214F7" w:rsidRPr="00D81D60" w:rsidRDefault="00E214F7" w:rsidP="00E214F7">
      <w:pPr>
        <w:rPr>
          <w:rFonts w:ascii="Calibri" w:hAnsi="Calibri" w:cstheme="minorHAnsi"/>
        </w:rPr>
      </w:pPr>
      <w:r w:rsidRPr="00D81D60">
        <w:rPr>
          <w:rFonts w:ascii="Calibri" w:hAnsi="Calibri" w:cstheme="minorHAnsi"/>
        </w:rPr>
        <w:t>Louise Benjamin, Consumer Challenge Panel</w:t>
      </w:r>
    </w:p>
    <w:p w:rsidR="0044368B" w:rsidRDefault="0044368B">
      <w:pPr>
        <w:rPr>
          <w:rFonts w:ascii="Calibri" w:hAnsi="Calibri" w:cstheme="minorHAnsi"/>
          <w:b/>
          <w:sz w:val="28"/>
          <w:szCs w:val="28"/>
        </w:rPr>
      </w:pPr>
      <w:r>
        <w:rPr>
          <w:rFonts w:ascii="Calibri" w:hAnsi="Calibri" w:cstheme="minorHAnsi"/>
          <w:b/>
          <w:sz w:val="28"/>
          <w:szCs w:val="28"/>
        </w:rPr>
        <w:br w:type="page"/>
      </w:r>
    </w:p>
    <w:p w:rsidR="009E7150" w:rsidRPr="00D81D60" w:rsidRDefault="00FB43E6" w:rsidP="00EB2DDD">
      <w:pPr>
        <w:rPr>
          <w:rFonts w:ascii="Calibri" w:hAnsi="Calibri" w:cstheme="minorHAnsi"/>
          <w:b/>
          <w:sz w:val="28"/>
          <w:szCs w:val="28"/>
        </w:rPr>
      </w:pPr>
      <w:r>
        <w:rPr>
          <w:rFonts w:ascii="Calibri" w:hAnsi="Calibri" w:cstheme="minorHAnsi"/>
          <w:b/>
          <w:sz w:val="28"/>
          <w:szCs w:val="28"/>
        </w:rPr>
        <w:t xml:space="preserve">4. </w:t>
      </w:r>
      <w:r w:rsidR="004E7517" w:rsidRPr="00D81D60">
        <w:rPr>
          <w:rFonts w:ascii="Calibri" w:hAnsi="Calibri" w:cstheme="minorHAnsi"/>
          <w:b/>
          <w:sz w:val="28"/>
          <w:szCs w:val="28"/>
        </w:rPr>
        <w:t xml:space="preserve">Key themes </w:t>
      </w:r>
      <w:r w:rsidR="00EB2DDD" w:rsidRPr="00D81D60">
        <w:rPr>
          <w:rFonts w:ascii="Calibri" w:hAnsi="Calibri" w:cstheme="minorHAnsi"/>
          <w:b/>
          <w:sz w:val="28"/>
          <w:szCs w:val="28"/>
        </w:rPr>
        <w:t>in discussion</w:t>
      </w:r>
    </w:p>
    <w:p w:rsidR="00EB2DDD" w:rsidRPr="00D81D60" w:rsidRDefault="00EB2DDD" w:rsidP="00EB2DDD">
      <w:pPr>
        <w:rPr>
          <w:rFonts w:ascii="Calibri" w:hAnsi="Calibri" w:cstheme="minorHAnsi"/>
          <w:b/>
          <w:i/>
        </w:rPr>
      </w:pPr>
      <w:r w:rsidRPr="00D81D60">
        <w:rPr>
          <w:rFonts w:ascii="Calibri" w:hAnsi="Calibri" w:cstheme="minorHAnsi"/>
          <w:b/>
          <w:i/>
        </w:rPr>
        <w:t xml:space="preserve">An </w:t>
      </w:r>
      <w:r w:rsidR="007A2A8E">
        <w:rPr>
          <w:rFonts w:ascii="Calibri" w:hAnsi="Calibri" w:cstheme="minorHAnsi"/>
          <w:b/>
          <w:i/>
        </w:rPr>
        <w:t>expedited p</w:t>
      </w:r>
      <w:r w:rsidRPr="00D81D60">
        <w:rPr>
          <w:rFonts w:ascii="Calibri" w:hAnsi="Calibri" w:cstheme="minorHAnsi"/>
          <w:b/>
          <w:i/>
        </w:rPr>
        <w:t>rocess</w:t>
      </w:r>
      <w:r w:rsidR="00D81D60">
        <w:rPr>
          <w:rFonts w:ascii="Calibri" w:hAnsi="Calibri" w:cstheme="minorHAnsi"/>
          <w:b/>
          <w:i/>
        </w:rPr>
        <w:t xml:space="preserve"> where possible</w:t>
      </w:r>
    </w:p>
    <w:p w:rsidR="00EB2DDD" w:rsidRPr="00D81D60" w:rsidRDefault="00EB2DDD" w:rsidP="00EB2DDD">
      <w:pPr>
        <w:rPr>
          <w:rFonts w:ascii="Calibri" w:hAnsi="Calibri" w:cstheme="minorHAnsi"/>
        </w:rPr>
      </w:pPr>
      <w:r w:rsidRPr="00D81D60">
        <w:rPr>
          <w:rFonts w:ascii="Calibri" w:hAnsi="Calibri" w:cstheme="minorHAnsi"/>
        </w:rPr>
        <w:t xml:space="preserve">Several participants </w:t>
      </w:r>
      <w:r w:rsidR="00D1746D" w:rsidRPr="00D81D60">
        <w:rPr>
          <w:rFonts w:ascii="Calibri" w:hAnsi="Calibri" w:cstheme="minorHAnsi"/>
        </w:rPr>
        <w:t>support</w:t>
      </w:r>
      <w:r w:rsidRPr="00D81D60">
        <w:rPr>
          <w:rFonts w:ascii="Calibri" w:hAnsi="Calibri" w:cstheme="minorHAnsi"/>
        </w:rPr>
        <w:t xml:space="preserve"> an expedited process. Potential benefits identified include:</w:t>
      </w:r>
    </w:p>
    <w:p w:rsidR="00EB2DDD" w:rsidRPr="00D81D60" w:rsidRDefault="00EB2DDD" w:rsidP="00EB2DDD">
      <w:pPr>
        <w:pStyle w:val="ListParagraph"/>
        <w:numPr>
          <w:ilvl w:val="0"/>
          <w:numId w:val="28"/>
        </w:numPr>
        <w:rPr>
          <w:rFonts w:ascii="Calibri" w:hAnsi="Calibri" w:cstheme="minorHAnsi"/>
        </w:rPr>
      </w:pPr>
      <w:r w:rsidRPr="00D81D60">
        <w:rPr>
          <w:rFonts w:ascii="Calibri" w:hAnsi="Calibri" w:cstheme="minorHAnsi"/>
        </w:rPr>
        <w:t>resolution of the issues as a useful startin</w:t>
      </w:r>
      <w:r w:rsidR="00C578A1" w:rsidRPr="00D81D60">
        <w:rPr>
          <w:rFonts w:ascii="Calibri" w:hAnsi="Calibri" w:cstheme="minorHAnsi"/>
        </w:rPr>
        <w:t>g point for the 2019</w:t>
      </w:r>
      <w:r w:rsidR="00D1746D">
        <w:rPr>
          <w:rFonts w:ascii="Calibri" w:hAnsi="Calibri" w:cstheme="minorHAnsi"/>
        </w:rPr>
        <w:t>–</w:t>
      </w:r>
      <w:r w:rsidR="00C578A1" w:rsidRPr="00D81D60">
        <w:rPr>
          <w:rFonts w:ascii="Calibri" w:hAnsi="Calibri" w:cstheme="minorHAnsi"/>
        </w:rPr>
        <w:t xml:space="preserve">24 </w:t>
      </w:r>
      <w:r w:rsidR="00D1746D">
        <w:rPr>
          <w:rFonts w:ascii="Calibri" w:hAnsi="Calibri" w:cstheme="minorHAnsi"/>
        </w:rPr>
        <w:t xml:space="preserve">revenue determination </w:t>
      </w:r>
      <w:r w:rsidR="00C578A1" w:rsidRPr="00D81D60">
        <w:rPr>
          <w:rFonts w:ascii="Calibri" w:hAnsi="Calibri" w:cstheme="minorHAnsi"/>
        </w:rPr>
        <w:t>process</w:t>
      </w:r>
      <w:r w:rsidRPr="00D81D60">
        <w:rPr>
          <w:rFonts w:ascii="Calibri" w:hAnsi="Calibri" w:cstheme="minorHAnsi"/>
        </w:rPr>
        <w:t xml:space="preserve"> </w:t>
      </w:r>
    </w:p>
    <w:p w:rsidR="00EB2DDD" w:rsidRPr="00D81D60" w:rsidRDefault="00C578A1" w:rsidP="00EB2DDD">
      <w:pPr>
        <w:pStyle w:val="ListParagraph"/>
        <w:numPr>
          <w:ilvl w:val="0"/>
          <w:numId w:val="28"/>
        </w:numPr>
        <w:rPr>
          <w:rFonts w:ascii="Calibri" w:hAnsi="Calibri" w:cstheme="minorHAnsi"/>
        </w:rPr>
      </w:pPr>
      <w:r w:rsidRPr="00D81D60">
        <w:rPr>
          <w:rFonts w:ascii="Calibri" w:hAnsi="Calibri" w:cstheme="minorHAnsi"/>
        </w:rPr>
        <w:t xml:space="preserve">providing </w:t>
      </w:r>
      <w:r w:rsidR="00EB2DDD" w:rsidRPr="00D81D60">
        <w:rPr>
          <w:rFonts w:ascii="Calibri" w:hAnsi="Calibri" w:cstheme="minorHAnsi"/>
        </w:rPr>
        <w:t xml:space="preserve">greater scope for revenue smoothing </w:t>
      </w:r>
    </w:p>
    <w:p w:rsidR="00EB2DDD" w:rsidRDefault="00EB2DDD" w:rsidP="00EB2DDD">
      <w:pPr>
        <w:pStyle w:val="ListParagraph"/>
        <w:numPr>
          <w:ilvl w:val="0"/>
          <w:numId w:val="28"/>
        </w:numPr>
        <w:rPr>
          <w:rFonts w:ascii="Calibri" w:hAnsi="Calibri" w:cstheme="minorHAnsi"/>
        </w:rPr>
      </w:pPr>
      <w:r w:rsidRPr="00D81D60">
        <w:rPr>
          <w:rFonts w:ascii="Calibri" w:hAnsi="Calibri" w:cstheme="minorHAnsi"/>
        </w:rPr>
        <w:t>greater certainty for the running of business</w:t>
      </w:r>
      <w:r w:rsidR="00C578A1" w:rsidRPr="00D81D60">
        <w:rPr>
          <w:rFonts w:ascii="Calibri" w:hAnsi="Calibri" w:cstheme="minorHAnsi"/>
        </w:rPr>
        <w:t>es</w:t>
      </w:r>
      <w:r w:rsidR="00A6698D">
        <w:rPr>
          <w:rFonts w:ascii="Calibri" w:hAnsi="Calibri" w:cstheme="minorHAnsi"/>
        </w:rPr>
        <w:t>, and</w:t>
      </w:r>
    </w:p>
    <w:p w:rsidR="00A6698D" w:rsidRPr="00C04F41" w:rsidRDefault="00A6698D" w:rsidP="00A6698D">
      <w:pPr>
        <w:pStyle w:val="ListParagraph"/>
        <w:numPr>
          <w:ilvl w:val="0"/>
          <w:numId w:val="28"/>
        </w:numPr>
        <w:rPr>
          <w:rFonts w:ascii="Calibri" w:hAnsi="Calibri" w:cstheme="minorHAnsi"/>
        </w:rPr>
      </w:pPr>
      <w:r w:rsidRPr="00C04F41">
        <w:rPr>
          <w:rFonts w:ascii="Calibri" w:hAnsi="Calibri" w:cstheme="minorHAnsi"/>
        </w:rPr>
        <w:t xml:space="preserve">certainty from </w:t>
      </w:r>
      <w:r>
        <w:rPr>
          <w:rFonts w:ascii="Calibri" w:hAnsi="Calibri" w:cstheme="minorHAnsi"/>
        </w:rPr>
        <w:t xml:space="preserve">the </w:t>
      </w:r>
      <w:r w:rsidRPr="00C04F41">
        <w:rPr>
          <w:rFonts w:ascii="Calibri" w:hAnsi="Calibri" w:cstheme="minorHAnsi"/>
        </w:rPr>
        <w:t>final resolution to consumers.</w:t>
      </w:r>
    </w:p>
    <w:p w:rsidR="00C578A1" w:rsidRPr="00D81D60" w:rsidRDefault="00D81D60" w:rsidP="00EB2DDD">
      <w:pPr>
        <w:rPr>
          <w:rFonts w:ascii="Calibri" w:hAnsi="Calibri" w:cstheme="minorHAnsi"/>
        </w:rPr>
      </w:pPr>
      <w:r>
        <w:rPr>
          <w:rFonts w:ascii="Calibri" w:hAnsi="Calibri" w:cstheme="minorHAnsi"/>
        </w:rPr>
        <w:t>I</w:t>
      </w:r>
      <w:r w:rsidR="00EB2DDD" w:rsidRPr="00D81D60">
        <w:rPr>
          <w:rFonts w:ascii="Calibri" w:hAnsi="Calibri" w:cstheme="minorHAnsi"/>
        </w:rPr>
        <w:t>t was noted that all stakeholders should have the opportunity to comment and the process should operate within the</w:t>
      </w:r>
      <w:r w:rsidR="00A6698D">
        <w:rPr>
          <w:rFonts w:ascii="Calibri" w:hAnsi="Calibri" w:cstheme="minorHAnsi"/>
        </w:rPr>
        <w:t xml:space="preserve"> regulatory </w:t>
      </w:r>
      <w:r w:rsidR="00EB2DDD" w:rsidRPr="00D81D60">
        <w:rPr>
          <w:rFonts w:ascii="Calibri" w:hAnsi="Calibri" w:cstheme="minorHAnsi"/>
        </w:rPr>
        <w:t>framework</w:t>
      </w:r>
      <w:r w:rsidR="00C578A1" w:rsidRPr="00D81D60">
        <w:rPr>
          <w:rFonts w:ascii="Calibri" w:hAnsi="Calibri" w:cstheme="minorHAnsi"/>
        </w:rPr>
        <w:t xml:space="preserve"> to advance the NEO</w:t>
      </w:r>
      <w:r w:rsidR="00EB2DDD" w:rsidRPr="00D81D60">
        <w:rPr>
          <w:rFonts w:ascii="Calibri" w:hAnsi="Calibri" w:cstheme="minorHAnsi"/>
        </w:rPr>
        <w:t xml:space="preserve">. </w:t>
      </w:r>
    </w:p>
    <w:p w:rsidR="00EB2DDD" w:rsidRPr="00D81D60" w:rsidRDefault="00D81D60" w:rsidP="00EB2DDD">
      <w:pPr>
        <w:rPr>
          <w:rFonts w:ascii="Calibri" w:hAnsi="Calibri" w:cstheme="minorHAnsi"/>
          <w:b/>
          <w:i/>
        </w:rPr>
      </w:pPr>
      <w:r>
        <w:rPr>
          <w:rFonts w:ascii="Calibri" w:hAnsi="Calibri" w:cstheme="minorHAnsi"/>
          <w:b/>
          <w:i/>
        </w:rPr>
        <w:t xml:space="preserve">A </w:t>
      </w:r>
      <w:r w:rsidR="007A2A8E">
        <w:rPr>
          <w:rFonts w:ascii="Calibri" w:hAnsi="Calibri" w:cstheme="minorHAnsi"/>
          <w:b/>
          <w:i/>
        </w:rPr>
        <w:t>c</w:t>
      </w:r>
      <w:r w:rsidR="00EB2DDD" w:rsidRPr="00D81D60">
        <w:rPr>
          <w:rFonts w:ascii="Calibri" w:hAnsi="Calibri" w:cstheme="minorHAnsi"/>
          <w:b/>
          <w:i/>
        </w:rPr>
        <w:t>onsultative approach to remittal</w:t>
      </w:r>
    </w:p>
    <w:p w:rsidR="00C578A1" w:rsidRPr="00D81D60" w:rsidRDefault="00EB2DDD" w:rsidP="00EB2DDD">
      <w:pPr>
        <w:rPr>
          <w:rFonts w:ascii="Calibri" w:hAnsi="Calibri" w:cstheme="minorHAnsi"/>
        </w:rPr>
      </w:pPr>
      <w:r w:rsidRPr="00D81D60">
        <w:rPr>
          <w:rFonts w:ascii="Calibri" w:hAnsi="Calibri" w:cstheme="minorHAnsi"/>
        </w:rPr>
        <w:t>All participants support a consultati</w:t>
      </w:r>
      <w:r w:rsidR="00C578A1" w:rsidRPr="00D81D60">
        <w:rPr>
          <w:rFonts w:ascii="Calibri" w:hAnsi="Calibri" w:cstheme="minorHAnsi"/>
        </w:rPr>
        <w:t xml:space="preserve">ve process and see the remittal </w:t>
      </w:r>
      <w:r w:rsidRPr="00D81D60">
        <w:rPr>
          <w:rFonts w:ascii="Calibri" w:hAnsi="Calibri" w:cstheme="minorHAnsi"/>
        </w:rPr>
        <w:t xml:space="preserve">process as a good opportunity to put AER 2.0 into practice. </w:t>
      </w:r>
    </w:p>
    <w:p w:rsidR="00EB2DDD" w:rsidRDefault="00C578A1" w:rsidP="00EB2DDD">
      <w:pPr>
        <w:rPr>
          <w:rFonts w:ascii="Calibri" w:hAnsi="Calibri" w:cstheme="minorHAnsi"/>
        </w:rPr>
      </w:pPr>
      <w:r w:rsidRPr="00D81D60">
        <w:rPr>
          <w:rFonts w:ascii="Calibri" w:hAnsi="Calibri" w:cstheme="minorHAnsi"/>
        </w:rPr>
        <w:t xml:space="preserve">It was </w:t>
      </w:r>
      <w:r w:rsidR="00D81D60">
        <w:rPr>
          <w:rFonts w:ascii="Calibri" w:hAnsi="Calibri" w:cstheme="minorHAnsi"/>
        </w:rPr>
        <w:t xml:space="preserve">recognised </w:t>
      </w:r>
      <w:r w:rsidRPr="00D81D60">
        <w:rPr>
          <w:rFonts w:ascii="Calibri" w:hAnsi="Calibri" w:cstheme="minorHAnsi"/>
        </w:rPr>
        <w:t>that there is an increasing effort and goodwill</w:t>
      </w:r>
      <w:r w:rsidR="00D81D60">
        <w:rPr>
          <w:rFonts w:ascii="Calibri" w:hAnsi="Calibri" w:cstheme="minorHAnsi"/>
        </w:rPr>
        <w:t xml:space="preserve"> towards</w:t>
      </w:r>
      <w:r w:rsidR="008C6A79" w:rsidRPr="008C6A79">
        <w:t xml:space="preserve"> </w:t>
      </w:r>
      <w:r w:rsidR="008C6A79" w:rsidRPr="008C6A79">
        <w:rPr>
          <w:rFonts w:ascii="Calibri" w:hAnsi="Calibri" w:cstheme="minorHAnsi"/>
        </w:rPr>
        <w:t>better and more clearly</w:t>
      </w:r>
      <w:r w:rsidR="00D81D60">
        <w:rPr>
          <w:rFonts w:ascii="Calibri" w:hAnsi="Calibri" w:cstheme="minorHAnsi"/>
        </w:rPr>
        <w:t xml:space="preserve"> </w:t>
      </w:r>
      <w:r w:rsidR="00EB2DDD" w:rsidRPr="00D81D60">
        <w:rPr>
          <w:rFonts w:ascii="Calibri" w:hAnsi="Calibri" w:cstheme="minorHAnsi"/>
        </w:rPr>
        <w:t>align</w:t>
      </w:r>
      <w:r w:rsidR="00D81D60">
        <w:rPr>
          <w:rFonts w:ascii="Calibri" w:hAnsi="Calibri" w:cstheme="minorHAnsi"/>
        </w:rPr>
        <w:t>ing</w:t>
      </w:r>
      <w:r w:rsidR="00EB2DDD" w:rsidRPr="00D81D60">
        <w:rPr>
          <w:rFonts w:ascii="Calibri" w:hAnsi="Calibri" w:cstheme="minorHAnsi"/>
        </w:rPr>
        <w:t xml:space="preserve"> consumer and network</w:t>
      </w:r>
      <w:r w:rsidRPr="00D81D60">
        <w:rPr>
          <w:rFonts w:ascii="Calibri" w:hAnsi="Calibri" w:cstheme="minorHAnsi"/>
        </w:rPr>
        <w:t xml:space="preserve"> business</w:t>
      </w:r>
      <w:r w:rsidR="00EB2DDD" w:rsidRPr="00D81D60">
        <w:rPr>
          <w:rFonts w:ascii="Calibri" w:hAnsi="Calibri" w:cstheme="minorHAnsi"/>
        </w:rPr>
        <w:t xml:space="preserve"> interests</w:t>
      </w:r>
      <w:r w:rsidRPr="00D81D60">
        <w:rPr>
          <w:rFonts w:ascii="Calibri" w:hAnsi="Calibri" w:cstheme="minorHAnsi"/>
        </w:rPr>
        <w:t>.</w:t>
      </w:r>
      <w:r w:rsidR="00EB2DDD" w:rsidRPr="00D81D60">
        <w:rPr>
          <w:rFonts w:ascii="Calibri" w:hAnsi="Calibri" w:cstheme="minorHAnsi"/>
        </w:rPr>
        <w:t xml:space="preserve"> </w:t>
      </w:r>
    </w:p>
    <w:p w:rsidR="0064400C" w:rsidRDefault="0064400C" w:rsidP="00EB2DDD">
      <w:pPr>
        <w:rPr>
          <w:rFonts w:ascii="Calibri" w:hAnsi="Calibri" w:cstheme="minorHAnsi"/>
        </w:rPr>
      </w:pPr>
      <w:r>
        <w:rPr>
          <w:rFonts w:ascii="Calibri" w:hAnsi="Calibri" w:cstheme="minorHAnsi"/>
        </w:rPr>
        <w:t>It was agreed that the consultation process should be transparent and proportionate to the issues being considered.</w:t>
      </w:r>
    </w:p>
    <w:p w:rsidR="00423BD5" w:rsidRPr="00D81D60" w:rsidRDefault="00423BD5" w:rsidP="00EB2DDD">
      <w:pPr>
        <w:rPr>
          <w:rFonts w:ascii="Calibri" w:hAnsi="Calibri" w:cstheme="minorHAnsi"/>
        </w:rPr>
      </w:pPr>
      <w:r>
        <w:rPr>
          <w:rFonts w:ascii="Calibri" w:hAnsi="Calibri" w:cstheme="minorHAnsi"/>
        </w:rPr>
        <w:t xml:space="preserve">It was noted that the scope of </w:t>
      </w:r>
      <w:r w:rsidR="00512606">
        <w:rPr>
          <w:rFonts w:ascii="Calibri" w:hAnsi="Calibri" w:cstheme="minorHAnsi"/>
        </w:rPr>
        <w:t>issues for each of the</w:t>
      </w:r>
      <w:r>
        <w:rPr>
          <w:rFonts w:ascii="Calibri" w:hAnsi="Calibri" w:cstheme="minorHAnsi"/>
        </w:rPr>
        <w:t xml:space="preserve"> businesses will be different</w:t>
      </w:r>
      <w:r w:rsidR="00512606">
        <w:rPr>
          <w:rFonts w:ascii="Calibri" w:hAnsi="Calibri" w:cstheme="minorHAnsi"/>
        </w:rPr>
        <w:t>. Therefore, different consultation processes may be appropriate.</w:t>
      </w:r>
    </w:p>
    <w:p w:rsidR="00EB2DDD" w:rsidRPr="00D81D60" w:rsidRDefault="00EB2DDD" w:rsidP="00EB2DDD">
      <w:pPr>
        <w:rPr>
          <w:rFonts w:ascii="Calibri" w:hAnsi="Calibri" w:cstheme="minorHAnsi"/>
          <w:b/>
          <w:i/>
        </w:rPr>
      </w:pPr>
      <w:r w:rsidRPr="00D81D60">
        <w:rPr>
          <w:rFonts w:ascii="Calibri" w:hAnsi="Calibri" w:cstheme="minorHAnsi"/>
          <w:b/>
          <w:i/>
        </w:rPr>
        <w:t>Affordability</w:t>
      </w:r>
    </w:p>
    <w:p w:rsidR="00D81D60" w:rsidRDefault="00EB2DDD" w:rsidP="00EB2DDD">
      <w:pPr>
        <w:rPr>
          <w:rFonts w:ascii="Calibri" w:hAnsi="Calibri" w:cstheme="minorHAnsi"/>
        </w:rPr>
      </w:pPr>
      <w:r w:rsidRPr="00D81D60">
        <w:rPr>
          <w:rFonts w:ascii="Calibri" w:hAnsi="Calibri" w:cstheme="minorHAnsi"/>
        </w:rPr>
        <w:t>Rising electricity prices have made affordability a key issue for consumers</w:t>
      </w:r>
      <w:r w:rsidR="00C578A1" w:rsidRPr="00D81D60">
        <w:rPr>
          <w:rFonts w:ascii="Calibri" w:hAnsi="Calibri" w:cstheme="minorHAnsi"/>
        </w:rPr>
        <w:t xml:space="preserve">. </w:t>
      </w:r>
    </w:p>
    <w:p w:rsidR="00D81D60" w:rsidRDefault="00C578A1" w:rsidP="00EB2DDD">
      <w:pPr>
        <w:rPr>
          <w:rFonts w:ascii="Calibri" w:hAnsi="Calibri" w:cstheme="minorHAnsi"/>
        </w:rPr>
      </w:pPr>
      <w:r w:rsidRPr="00D81D60">
        <w:rPr>
          <w:rFonts w:ascii="Calibri" w:hAnsi="Calibri" w:cstheme="minorHAnsi"/>
        </w:rPr>
        <w:t xml:space="preserve">While </w:t>
      </w:r>
      <w:r w:rsidR="00EB2DDD" w:rsidRPr="00D81D60">
        <w:rPr>
          <w:rFonts w:ascii="Calibri" w:hAnsi="Calibri" w:cstheme="minorHAnsi"/>
        </w:rPr>
        <w:t>wholesale and retail costs are in large</w:t>
      </w:r>
      <w:r w:rsidRPr="00D81D60">
        <w:rPr>
          <w:rFonts w:ascii="Calibri" w:hAnsi="Calibri" w:cstheme="minorHAnsi"/>
        </w:rPr>
        <w:t xml:space="preserve"> part driving current increases, p</w:t>
      </w:r>
      <w:r w:rsidR="00EB2DDD" w:rsidRPr="00D81D60">
        <w:rPr>
          <w:rFonts w:ascii="Calibri" w:hAnsi="Calibri" w:cstheme="minorHAnsi"/>
        </w:rPr>
        <w:t>articipants agreed to the objective of minimising price shocks</w:t>
      </w:r>
      <w:r w:rsidR="008C6A79" w:rsidRPr="008C6A79">
        <w:t xml:space="preserve"> </w:t>
      </w:r>
      <w:r w:rsidR="008C6A79" w:rsidRPr="008C6A79">
        <w:rPr>
          <w:rFonts w:ascii="Calibri" w:hAnsi="Calibri" w:cstheme="minorHAnsi"/>
        </w:rPr>
        <w:t>related to network price increases</w:t>
      </w:r>
      <w:r w:rsidR="00D81D60">
        <w:rPr>
          <w:rFonts w:ascii="Calibri" w:hAnsi="Calibri" w:cstheme="minorHAnsi"/>
        </w:rPr>
        <w:t xml:space="preserve">. </w:t>
      </w:r>
      <w:r w:rsidR="00642384" w:rsidRPr="00642384">
        <w:rPr>
          <w:rFonts w:ascii="Calibri" w:hAnsi="Calibri" w:cstheme="minorHAnsi"/>
        </w:rPr>
        <w:t>A number of participants sought a decision by March 2018 to allow maximum price smoothing.</w:t>
      </w:r>
    </w:p>
    <w:p w:rsidR="00C578A1" w:rsidRPr="00D81D60" w:rsidRDefault="00D81D60" w:rsidP="00EB2DDD">
      <w:pPr>
        <w:rPr>
          <w:rFonts w:ascii="Calibri" w:hAnsi="Calibri" w:cstheme="minorHAnsi"/>
        </w:rPr>
      </w:pPr>
      <w:r>
        <w:rPr>
          <w:rFonts w:ascii="Calibri" w:hAnsi="Calibri" w:cstheme="minorHAnsi"/>
        </w:rPr>
        <w:t xml:space="preserve">It was </w:t>
      </w:r>
      <w:r w:rsidR="00EB2DDD" w:rsidRPr="00D81D60">
        <w:rPr>
          <w:rFonts w:ascii="Calibri" w:hAnsi="Calibri" w:cstheme="minorHAnsi"/>
        </w:rPr>
        <w:t>agreed price smoothing should be used to the extent necessary to avoid such shocks.</w:t>
      </w:r>
    </w:p>
    <w:p w:rsidR="009E7150" w:rsidRPr="00D81D60" w:rsidRDefault="00D81D60" w:rsidP="00EB2DDD">
      <w:pPr>
        <w:rPr>
          <w:rFonts w:ascii="Calibri" w:hAnsi="Calibri" w:cstheme="minorHAnsi"/>
          <w:b/>
          <w:i/>
        </w:rPr>
      </w:pPr>
      <w:r>
        <w:rPr>
          <w:rFonts w:ascii="Calibri" w:hAnsi="Calibri" w:cstheme="minorHAnsi"/>
          <w:b/>
          <w:i/>
        </w:rPr>
        <w:t xml:space="preserve">A </w:t>
      </w:r>
      <w:r w:rsidR="007A2A8E">
        <w:rPr>
          <w:rFonts w:ascii="Calibri" w:hAnsi="Calibri" w:cstheme="minorHAnsi"/>
          <w:b/>
          <w:i/>
        </w:rPr>
        <w:t>h</w:t>
      </w:r>
      <w:r w:rsidR="009E7150" w:rsidRPr="00D81D60">
        <w:rPr>
          <w:rFonts w:ascii="Calibri" w:hAnsi="Calibri" w:cstheme="minorHAnsi"/>
          <w:b/>
          <w:i/>
        </w:rPr>
        <w:t>olistic approach to remittal</w:t>
      </w:r>
    </w:p>
    <w:p w:rsidR="009E7150" w:rsidRPr="00D81D60" w:rsidRDefault="009E7150" w:rsidP="00EB2DDD">
      <w:pPr>
        <w:rPr>
          <w:rFonts w:ascii="Calibri" w:hAnsi="Calibri" w:cstheme="minorHAnsi"/>
        </w:rPr>
      </w:pPr>
      <w:r w:rsidRPr="00D81D60">
        <w:rPr>
          <w:rFonts w:ascii="Calibri" w:hAnsi="Calibri" w:cstheme="minorHAnsi"/>
        </w:rPr>
        <w:t xml:space="preserve">It was agreed that </w:t>
      </w:r>
      <w:r w:rsidR="00E37F9D">
        <w:rPr>
          <w:rFonts w:ascii="Calibri" w:hAnsi="Calibri" w:cstheme="minorHAnsi"/>
        </w:rPr>
        <w:t>return on</w:t>
      </w:r>
      <w:r w:rsidRPr="00D81D60">
        <w:rPr>
          <w:rFonts w:ascii="Calibri" w:hAnsi="Calibri" w:cstheme="minorHAnsi"/>
        </w:rPr>
        <w:t xml:space="preserve"> debt decisions remitted back to the AER will need to be folded in with opex remittal at some point.</w:t>
      </w:r>
      <w:r w:rsidR="00642384">
        <w:rPr>
          <w:rFonts w:ascii="Calibri" w:hAnsi="Calibri" w:cstheme="minorHAnsi"/>
        </w:rPr>
        <w:t xml:space="preserve"> </w:t>
      </w:r>
      <w:r w:rsidR="00642384" w:rsidRPr="00642384">
        <w:rPr>
          <w:rFonts w:ascii="Calibri" w:hAnsi="Calibri" w:cstheme="minorHAnsi"/>
        </w:rPr>
        <w:t xml:space="preserve">A number of participants stated that </w:t>
      </w:r>
      <w:r w:rsidR="00E37F9D">
        <w:rPr>
          <w:rFonts w:ascii="Calibri" w:hAnsi="Calibri" w:cstheme="minorHAnsi"/>
        </w:rPr>
        <w:t>return on</w:t>
      </w:r>
      <w:r w:rsidR="00642384" w:rsidRPr="00642384">
        <w:rPr>
          <w:rFonts w:ascii="Calibri" w:hAnsi="Calibri" w:cstheme="minorHAnsi"/>
        </w:rPr>
        <w:t xml:space="preserve"> debt can be progressed by the AER now, as there is no reason to delay and wait for the outcomes of legal proceedings being considered elsewhere.</w:t>
      </w:r>
    </w:p>
    <w:p w:rsidR="0064400C" w:rsidRDefault="009E7150" w:rsidP="00EB2DDD">
      <w:pPr>
        <w:rPr>
          <w:rFonts w:ascii="Calibri" w:hAnsi="Calibri" w:cstheme="minorHAnsi"/>
        </w:rPr>
      </w:pPr>
      <w:r w:rsidRPr="00D81D60">
        <w:rPr>
          <w:rFonts w:ascii="Calibri" w:hAnsi="Calibri" w:cstheme="minorHAnsi"/>
        </w:rPr>
        <w:t xml:space="preserve">A number of parties also noted the interrelationship of the remittal outcomes with the 2019-24 </w:t>
      </w:r>
      <w:r w:rsidR="0064400C">
        <w:rPr>
          <w:rFonts w:ascii="Calibri" w:hAnsi="Calibri" w:cstheme="minorHAnsi"/>
        </w:rPr>
        <w:t xml:space="preserve">revenue </w:t>
      </w:r>
      <w:r w:rsidRPr="00D81D60">
        <w:rPr>
          <w:rFonts w:ascii="Calibri" w:hAnsi="Calibri" w:cstheme="minorHAnsi"/>
        </w:rPr>
        <w:t xml:space="preserve">determinations and what this may mean for price impacts.   </w:t>
      </w:r>
    </w:p>
    <w:p w:rsidR="00EB2DDD" w:rsidRPr="0064400C" w:rsidRDefault="009C52C4" w:rsidP="00EB2DDD">
      <w:pPr>
        <w:rPr>
          <w:rFonts w:ascii="Calibri" w:hAnsi="Calibri" w:cstheme="minorHAnsi"/>
        </w:rPr>
      </w:pPr>
      <w:r>
        <w:rPr>
          <w:rFonts w:ascii="Calibri" w:hAnsi="Calibri" w:cstheme="minorHAnsi"/>
          <w:b/>
          <w:i/>
        </w:rPr>
        <w:t>The role of b</w:t>
      </w:r>
      <w:r w:rsidR="00EB2DDD" w:rsidRPr="00D81D60">
        <w:rPr>
          <w:rFonts w:ascii="Calibri" w:hAnsi="Calibri" w:cstheme="minorHAnsi"/>
          <w:b/>
          <w:i/>
        </w:rPr>
        <w:t>enchmarking</w:t>
      </w:r>
    </w:p>
    <w:p w:rsidR="00423BD5" w:rsidRDefault="00C578A1" w:rsidP="00EB2DDD">
      <w:pPr>
        <w:rPr>
          <w:rFonts w:ascii="Calibri" w:hAnsi="Calibri" w:cstheme="minorHAnsi"/>
        </w:rPr>
      </w:pPr>
      <w:r w:rsidRPr="00D81D60">
        <w:rPr>
          <w:rFonts w:ascii="Calibri" w:hAnsi="Calibri" w:cstheme="minorHAnsi"/>
        </w:rPr>
        <w:t xml:space="preserve">A number of participants </w:t>
      </w:r>
      <w:r w:rsidR="00EB2DDD" w:rsidRPr="00D81D60">
        <w:rPr>
          <w:rFonts w:ascii="Calibri" w:hAnsi="Calibri" w:cstheme="minorHAnsi"/>
        </w:rPr>
        <w:t xml:space="preserve">see a significant role for benchmarking in network regulation and support its further development. </w:t>
      </w:r>
      <w:r w:rsidR="00642384">
        <w:rPr>
          <w:rFonts w:ascii="Calibri" w:hAnsi="Calibri" w:cstheme="minorHAnsi"/>
        </w:rPr>
        <w:t>H</w:t>
      </w:r>
      <w:r w:rsidR="00470BCA">
        <w:rPr>
          <w:rFonts w:ascii="Calibri" w:hAnsi="Calibri" w:cstheme="minorHAnsi"/>
        </w:rPr>
        <w:t>owever</w:t>
      </w:r>
      <w:r w:rsidR="00642384">
        <w:rPr>
          <w:rFonts w:ascii="Calibri" w:hAnsi="Calibri" w:cstheme="minorHAnsi"/>
        </w:rPr>
        <w:t>,</w:t>
      </w:r>
      <w:r w:rsidR="00470BCA">
        <w:rPr>
          <w:rFonts w:ascii="Calibri" w:hAnsi="Calibri" w:cstheme="minorHAnsi"/>
        </w:rPr>
        <w:t xml:space="preserve"> given the preference for an expedited process</w:t>
      </w:r>
      <w:r w:rsidR="00642384">
        <w:rPr>
          <w:rFonts w:ascii="Calibri" w:hAnsi="Calibri" w:cstheme="minorHAnsi"/>
        </w:rPr>
        <w:t>,</w:t>
      </w:r>
      <w:r w:rsidR="00470BCA">
        <w:rPr>
          <w:rFonts w:ascii="Calibri" w:hAnsi="Calibri" w:cstheme="minorHAnsi"/>
        </w:rPr>
        <w:t xml:space="preserve"> a revised approach to benchmarking is not possible for the 2014</w:t>
      </w:r>
      <w:r w:rsidR="00D1746D">
        <w:rPr>
          <w:rFonts w:ascii="Calibri" w:hAnsi="Calibri" w:cstheme="minorHAnsi"/>
        </w:rPr>
        <w:t>–</w:t>
      </w:r>
      <w:r w:rsidR="00470BCA">
        <w:rPr>
          <w:rFonts w:ascii="Calibri" w:hAnsi="Calibri" w:cstheme="minorHAnsi"/>
        </w:rPr>
        <w:t>19 remittal.</w:t>
      </w:r>
      <w:r w:rsidR="00A6698D" w:rsidRPr="00A6698D">
        <w:t xml:space="preserve"> </w:t>
      </w:r>
      <w:r w:rsidR="00A6698D">
        <w:rPr>
          <w:rFonts w:ascii="Calibri" w:hAnsi="Calibri" w:cstheme="minorHAnsi"/>
        </w:rPr>
        <w:t>The AER</w:t>
      </w:r>
      <w:r w:rsidR="00A6698D" w:rsidRPr="00A6698D">
        <w:rPr>
          <w:rFonts w:ascii="Calibri" w:hAnsi="Calibri" w:cstheme="minorHAnsi"/>
        </w:rPr>
        <w:t xml:space="preserve"> will continue to publish its annual benchmarking report which </w:t>
      </w:r>
      <w:r w:rsidR="00A6698D">
        <w:rPr>
          <w:rFonts w:ascii="Calibri" w:hAnsi="Calibri" w:cstheme="minorHAnsi"/>
        </w:rPr>
        <w:t>operates as an assurance mechan</w:t>
      </w:r>
      <w:r w:rsidR="00A6698D" w:rsidRPr="00A6698D">
        <w:rPr>
          <w:rFonts w:ascii="Calibri" w:hAnsi="Calibri" w:cstheme="minorHAnsi"/>
        </w:rPr>
        <w:t>i</w:t>
      </w:r>
      <w:r w:rsidR="00A6698D">
        <w:rPr>
          <w:rFonts w:ascii="Calibri" w:hAnsi="Calibri" w:cstheme="minorHAnsi"/>
        </w:rPr>
        <w:t>s</w:t>
      </w:r>
      <w:r w:rsidR="00A6698D" w:rsidRPr="00A6698D">
        <w:rPr>
          <w:rFonts w:ascii="Calibri" w:hAnsi="Calibri" w:cstheme="minorHAnsi"/>
        </w:rPr>
        <w:t>m</w:t>
      </w:r>
      <w:r w:rsidR="00A6698D">
        <w:rPr>
          <w:rFonts w:ascii="Calibri" w:hAnsi="Calibri" w:cstheme="minorHAnsi"/>
        </w:rPr>
        <w:t>.</w:t>
      </w:r>
    </w:p>
    <w:p w:rsidR="00EB2DDD" w:rsidRPr="00D81D60" w:rsidRDefault="00C578A1" w:rsidP="00EB2DDD">
      <w:pPr>
        <w:rPr>
          <w:rFonts w:ascii="Calibri" w:hAnsi="Calibri" w:cstheme="minorHAnsi"/>
        </w:rPr>
      </w:pPr>
      <w:r w:rsidRPr="00D81D60">
        <w:rPr>
          <w:rFonts w:ascii="Calibri" w:hAnsi="Calibri" w:cstheme="minorHAnsi"/>
        </w:rPr>
        <w:t xml:space="preserve">A number of participants </w:t>
      </w:r>
      <w:r w:rsidR="009E7150" w:rsidRPr="00D81D60">
        <w:rPr>
          <w:rFonts w:ascii="Calibri" w:hAnsi="Calibri" w:cstheme="minorHAnsi"/>
        </w:rPr>
        <w:t>noted there m</w:t>
      </w:r>
      <w:r w:rsidR="001A7FF5">
        <w:rPr>
          <w:rFonts w:ascii="Calibri" w:hAnsi="Calibri" w:cstheme="minorHAnsi"/>
        </w:rPr>
        <w:t>a</w:t>
      </w:r>
      <w:r w:rsidR="009E7150" w:rsidRPr="00D81D60">
        <w:rPr>
          <w:rFonts w:ascii="Calibri" w:hAnsi="Calibri" w:cstheme="minorHAnsi"/>
        </w:rPr>
        <w:t xml:space="preserve">y need to be a greater emphasis </w:t>
      </w:r>
      <w:r w:rsidR="00D81D60" w:rsidRPr="00D81D60">
        <w:rPr>
          <w:rFonts w:ascii="Calibri" w:hAnsi="Calibri" w:cstheme="minorHAnsi"/>
        </w:rPr>
        <w:t xml:space="preserve">on </w:t>
      </w:r>
      <w:r w:rsidR="00EB2DDD" w:rsidRPr="00D81D60">
        <w:rPr>
          <w:rFonts w:ascii="Calibri" w:hAnsi="Calibri" w:cstheme="minorHAnsi"/>
        </w:rPr>
        <w:t xml:space="preserve">detailed </w:t>
      </w:r>
      <w:r w:rsidR="009E7150" w:rsidRPr="00D81D60">
        <w:rPr>
          <w:rFonts w:ascii="Calibri" w:hAnsi="Calibri" w:cstheme="minorHAnsi"/>
        </w:rPr>
        <w:t xml:space="preserve">reviews in key opex areas such </w:t>
      </w:r>
      <w:r w:rsidR="00D81D60" w:rsidRPr="00D81D60">
        <w:rPr>
          <w:rFonts w:ascii="Calibri" w:hAnsi="Calibri" w:cstheme="minorHAnsi"/>
        </w:rPr>
        <w:t>labour</w:t>
      </w:r>
      <w:r w:rsidR="00EB2DDD" w:rsidRPr="00D81D60">
        <w:rPr>
          <w:rFonts w:ascii="Calibri" w:hAnsi="Calibri" w:cstheme="minorHAnsi"/>
        </w:rPr>
        <w:t xml:space="preserve"> and veget</w:t>
      </w:r>
      <w:r w:rsidR="009E7150" w:rsidRPr="00D81D60">
        <w:rPr>
          <w:rFonts w:ascii="Calibri" w:hAnsi="Calibri" w:cstheme="minorHAnsi"/>
        </w:rPr>
        <w:t>ation management and revealed cost information</w:t>
      </w:r>
      <w:r w:rsidR="00EB2DDD" w:rsidRPr="00D81D60">
        <w:rPr>
          <w:rFonts w:ascii="Calibri" w:hAnsi="Calibri" w:cstheme="minorHAnsi"/>
        </w:rPr>
        <w:t>.</w:t>
      </w:r>
      <w:r w:rsidR="00470BCA" w:rsidRPr="00470BCA">
        <w:t xml:space="preserve"> </w:t>
      </w:r>
      <w:r w:rsidR="00470BCA" w:rsidRPr="00470BCA">
        <w:rPr>
          <w:rFonts w:ascii="Calibri" w:hAnsi="Calibri" w:cstheme="minorHAnsi"/>
        </w:rPr>
        <w:t>A full bottom up review was not considered practical</w:t>
      </w:r>
      <w:r w:rsidR="0044246F">
        <w:rPr>
          <w:rFonts w:ascii="Calibri" w:hAnsi="Calibri" w:cstheme="minorHAnsi"/>
        </w:rPr>
        <w:t xml:space="preserve"> if an expedited process was </w:t>
      </w:r>
      <w:r w:rsidR="00B3457E">
        <w:rPr>
          <w:rFonts w:ascii="Calibri" w:hAnsi="Calibri" w:cstheme="minorHAnsi"/>
        </w:rPr>
        <w:t xml:space="preserve">the </w:t>
      </w:r>
      <w:r w:rsidR="0044246F" w:rsidRPr="0044246F">
        <w:rPr>
          <w:rFonts w:ascii="Calibri" w:hAnsi="Calibri" w:cstheme="minorHAnsi"/>
        </w:rPr>
        <w:t>preferred</w:t>
      </w:r>
      <w:r w:rsidR="00B3457E">
        <w:rPr>
          <w:rFonts w:ascii="Calibri" w:hAnsi="Calibri" w:cstheme="minorHAnsi"/>
        </w:rPr>
        <w:t xml:space="preserve"> option </w:t>
      </w:r>
      <w:r w:rsidR="0044246F">
        <w:rPr>
          <w:rFonts w:ascii="Calibri" w:hAnsi="Calibri" w:cstheme="minorHAnsi"/>
        </w:rPr>
        <w:t>by stakeholders.</w:t>
      </w:r>
    </w:p>
    <w:p w:rsidR="00EB2DDD" w:rsidRPr="00D81D60" w:rsidRDefault="009C52C4" w:rsidP="00EB2DDD">
      <w:pPr>
        <w:rPr>
          <w:rFonts w:ascii="Calibri" w:hAnsi="Calibri" w:cstheme="minorHAnsi"/>
          <w:b/>
          <w:i/>
        </w:rPr>
      </w:pPr>
      <w:r>
        <w:rPr>
          <w:rFonts w:ascii="Calibri" w:hAnsi="Calibri" w:cstheme="minorHAnsi"/>
          <w:b/>
          <w:i/>
        </w:rPr>
        <w:t>The use of r</w:t>
      </w:r>
      <w:r w:rsidR="00EB2DDD" w:rsidRPr="00D81D60">
        <w:rPr>
          <w:rFonts w:ascii="Calibri" w:hAnsi="Calibri" w:cstheme="minorHAnsi"/>
          <w:b/>
          <w:i/>
        </w:rPr>
        <w:t>evealed costs</w:t>
      </w:r>
      <w:r>
        <w:rPr>
          <w:rFonts w:ascii="Calibri" w:hAnsi="Calibri" w:cstheme="minorHAnsi"/>
          <w:b/>
          <w:i/>
        </w:rPr>
        <w:t xml:space="preserve"> in remaking the opex decisions  </w:t>
      </w:r>
    </w:p>
    <w:p w:rsidR="00EB2DDD" w:rsidRPr="00D81D60" w:rsidRDefault="00D81D60" w:rsidP="00EB2DDD">
      <w:pPr>
        <w:rPr>
          <w:rFonts w:ascii="Calibri" w:hAnsi="Calibri" w:cstheme="minorHAnsi"/>
        </w:rPr>
      </w:pPr>
      <w:r w:rsidRPr="00D81D60">
        <w:rPr>
          <w:rFonts w:ascii="Calibri" w:hAnsi="Calibri" w:cstheme="minorHAnsi"/>
        </w:rPr>
        <w:t xml:space="preserve">Some participants </w:t>
      </w:r>
      <w:r w:rsidR="00EB2DDD" w:rsidRPr="00D81D60">
        <w:rPr>
          <w:rFonts w:ascii="Calibri" w:hAnsi="Calibri" w:cstheme="minorHAnsi"/>
        </w:rPr>
        <w:t>note</w:t>
      </w:r>
      <w:r w:rsidRPr="00D81D60">
        <w:rPr>
          <w:rFonts w:ascii="Calibri" w:hAnsi="Calibri" w:cstheme="minorHAnsi"/>
        </w:rPr>
        <w:t>d</w:t>
      </w:r>
      <w:r w:rsidR="00EB2DDD" w:rsidRPr="00D81D60">
        <w:rPr>
          <w:rFonts w:ascii="Calibri" w:hAnsi="Calibri" w:cstheme="minorHAnsi"/>
        </w:rPr>
        <w:t xml:space="preserve"> the substantial </w:t>
      </w:r>
      <w:r w:rsidRPr="00D81D60">
        <w:rPr>
          <w:rFonts w:ascii="Calibri" w:hAnsi="Calibri" w:cstheme="minorHAnsi"/>
        </w:rPr>
        <w:t xml:space="preserve">opex reductions </w:t>
      </w:r>
      <w:r w:rsidR="00EB2DDD" w:rsidRPr="00D81D60">
        <w:rPr>
          <w:rFonts w:ascii="Calibri" w:hAnsi="Calibri" w:cstheme="minorHAnsi"/>
        </w:rPr>
        <w:t>achieved since the AER's</w:t>
      </w:r>
      <w:r w:rsidRPr="00D81D60">
        <w:rPr>
          <w:rFonts w:ascii="Calibri" w:hAnsi="Calibri" w:cstheme="minorHAnsi"/>
        </w:rPr>
        <w:t xml:space="preserve"> </w:t>
      </w:r>
      <w:r w:rsidR="00EB2DDD" w:rsidRPr="00D81D60">
        <w:rPr>
          <w:rFonts w:ascii="Calibri" w:hAnsi="Calibri" w:cstheme="minorHAnsi"/>
        </w:rPr>
        <w:t>2014</w:t>
      </w:r>
      <w:r w:rsidR="00D1746D">
        <w:rPr>
          <w:rFonts w:ascii="Calibri" w:hAnsi="Calibri" w:cstheme="minorHAnsi"/>
        </w:rPr>
        <w:t>–</w:t>
      </w:r>
      <w:r w:rsidRPr="00D81D60">
        <w:rPr>
          <w:rFonts w:ascii="Calibri" w:hAnsi="Calibri" w:cstheme="minorHAnsi"/>
        </w:rPr>
        <w:t>19</w:t>
      </w:r>
      <w:r w:rsidR="0064400C">
        <w:rPr>
          <w:rFonts w:ascii="Calibri" w:hAnsi="Calibri" w:cstheme="minorHAnsi"/>
        </w:rPr>
        <w:t xml:space="preserve"> opex</w:t>
      </w:r>
      <w:r w:rsidR="00EB2DDD" w:rsidRPr="00D81D60">
        <w:rPr>
          <w:rFonts w:ascii="Calibri" w:hAnsi="Calibri" w:cstheme="minorHAnsi"/>
        </w:rPr>
        <w:t xml:space="preserve"> decision</w:t>
      </w:r>
      <w:r w:rsidRPr="00D81D60">
        <w:rPr>
          <w:rFonts w:ascii="Calibri" w:hAnsi="Calibri" w:cstheme="minorHAnsi"/>
        </w:rPr>
        <w:t>s</w:t>
      </w:r>
      <w:r w:rsidR="00EB2DDD" w:rsidRPr="00D81D60">
        <w:rPr>
          <w:rFonts w:ascii="Calibri" w:hAnsi="Calibri" w:cstheme="minorHAnsi"/>
        </w:rPr>
        <w:t xml:space="preserve"> and the strong incentive</w:t>
      </w:r>
      <w:r w:rsidRPr="00D81D60">
        <w:rPr>
          <w:rFonts w:ascii="Calibri" w:hAnsi="Calibri" w:cstheme="minorHAnsi"/>
        </w:rPr>
        <w:t>s the networks have to make opex reductions</w:t>
      </w:r>
      <w:r w:rsidR="00EB2DDD" w:rsidRPr="00D81D60">
        <w:rPr>
          <w:rFonts w:ascii="Calibri" w:hAnsi="Calibri" w:cstheme="minorHAnsi"/>
        </w:rPr>
        <w:t xml:space="preserve">. </w:t>
      </w:r>
      <w:r w:rsidR="00A6698D">
        <w:rPr>
          <w:rFonts w:ascii="Calibri" w:hAnsi="Calibri" w:cstheme="minorHAnsi"/>
        </w:rPr>
        <w:t>Some of the participants noted that t</w:t>
      </w:r>
      <w:r w:rsidR="00EB2DDD" w:rsidRPr="00D81D60">
        <w:rPr>
          <w:rFonts w:ascii="Calibri" w:hAnsi="Calibri" w:cstheme="minorHAnsi"/>
        </w:rPr>
        <w:t>he</w:t>
      </w:r>
      <w:r w:rsidRPr="00D81D60">
        <w:rPr>
          <w:rFonts w:ascii="Calibri" w:hAnsi="Calibri" w:cstheme="minorHAnsi"/>
        </w:rPr>
        <w:t>se</w:t>
      </w:r>
      <w:r w:rsidR="00EB2DDD" w:rsidRPr="00D81D60">
        <w:rPr>
          <w:rFonts w:ascii="Calibri" w:hAnsi="Calibri" w:cstheme="minorHAnsi"/>
        </w:rPr>
        <w:t xml:space="preserve"> strong incentives should give stakeholders confidence that </w:t>
      </w:r>
      <w:r w:rsidR="00512606">
        <w:rPr>
          <w:rFonts w:ascii="Calibri" w:hAnsi="Calibri" w:cstheme="minorHAnsi"/>
        </w:rPr>
        <w:t xml:space="preserve">the </w:t>
      </w:r>
      <w:r w:rsidR="00EB2DDD" w:rsidRPr="00D81D60">
        <w:rPr>
          <w:rFonts w:ascii="Calibri" w:hAnsi="Calibri" w:cstheme="minorHAnsi"/>
        </w:rPr>
        <w:t xml:space="preserve">recent reductions are consistent with </w:t>
      </w:r>
      <w:r>
        <w:rPr>
          <w:rFonts w:ascii="Calibri" w:hAnsi="Calibri" w:cstheme="minorHAnsi"/>
        </w:rPr>
        <w:t>an efficient level of opex</w:t>
      </w:r>
      <w:r w:rsidR="00EB2DDD" w:rsidRPr="00D81D60">
        <w:rPr>
          <w:rFonts w:ascii="Calibri" w:hAnsi="Calibri" w:cstheme="minorHAnsi"/>
        </w:rPr>
        <w:t>.</w:t>
      </w:r>
    </w:p>
    <w:p w:rsidR="00EB2DDD" w:rsidRPr="0064400C" w:rsidRDefault="0064400C" w:rsidP="00EB2DDD">
      <w:pPr>
        <w:rPr>
          <w:rFonts w:ascii="Calibri" w:hAnsi="Calibri" w:cstheme="minorHAnsi"/>
        </w:rPr>
      </w:pPr>
      <w:r w:rsidRPr="0064400C">
        <w:rPr>
          <w:rFonts w:ascii="Calibri" w:hAnsi="Calibri" w:cstheme="minorHAnsi"/>
        </w:rPr>
        <w:t xml:space="preserve">A number of </w:t>
      </w:r>
      <w:r w:rsidR="00D81D60" w:rsidRPr="0064400C">
        <w:rPr>
          <w:rFonts w:ascii="Calibri" w:hAnsi="Calibri" w:cstheme="minorHAnsi"/>
        </w:rPr>
        <w:t>participants</w:t>
      </w:r>
      <w:r w:rsidRPr="0064400C">
        <w:rPr>
          <w:rFonts w:ascii="Calibri" w:hAnsi="Calibri" w:cstheme="minorHAnsi"/>
        </w:rPr>
        <w:t xml:space="preserve"> supported</w:t>
      </w:r>
      <w:r w:rsidR="00D81D60" w:rsidRPr="0064400C">
        <w:rPr>
          <w:rFonts w:ascii="Calibri" w:hAnsi="Calibri" w:cstheme="minorHAnsi"/>
        </w:rPr>
        <w:t xml:space="preserve"> </w:t>
      </w:r>
      <w:r w:rsidR="00EB2DDD" w:rsidRPr="0064400C">
        <w:rPr>
          <w:rFonts w:ascii="Calibri" w:hAnsi="Calibri" w:cstheme="minorHAnsi"/>
        </w:rPr>
        <w:t xml:space="preserve">using </w:t>
      </w:r>
      <w:r w:rsidR="009C52C4">
        <w:rPr>
          <w:rFonts w:ascii="Calibri" w:hAnsi="Calibri" w:cstheme="minorHAnsi"/>
        </w:rPr>
        <w:t xml:space="preserve">revealed </w:t>
      </w:r>
      <w:r w:rsidR="00EB2DDD" w:rsidRPr="0064400C">
        <w:rPr>
          <w:rFonts w:ascii="Calibri" w:hAnsi="Calibri" w:cstheme="minorHAnsi"/>
        </w:rPr>
        <w:t>costs in the remittal process provi</w:t>
      </w:r>
      <w:r w:rsidR="007A2A8E">
        <w:rPr>
          <w:rFonts w:ascii="Calibri" w:hAnsi="Calibri" w:cstheme="minorHAnsi"/>
        </w:rPr>
        <w:t>ded there are appropriate cross-</w:t>
      </w:r>
      <w:r w:rsidR="00EB2DDD" w:rsidRPr="0064400C">
        <w:rPr>
          <w:rFonts w:ascii="Calibri" w:hAnsi="Calibri" w:cstheme="minorHAnsi"/>
        </w:rPr>
        <w:t xml:space="preserve">checks on their efficiency, for example through benchmarking </w:t>
      </w:r>
      <w:r w:rsidR="00D81D60" w:rsidRPr="0064400C">
        <w:rPr>
          <w:rFonts w:ascii="Calibri" w:hAnsi="Calibri" w:cstheme="minorHAnsi"/>
        </w:rPr>
        <w:t xml:space="preserve">or detailed </w:t>
      </w:r>
      <w:r w:rsidR="00EB2DDD" w:rsidRPr="0064400C">
        <w:rPr>
          <w:rFonts w:ascii="Calibri" w:hAnsi="Calibri" w:cstheme="minorHAnsi"/>
        </w:rPr>
        <w:t>reviews.</w:t>
      </w:r>
    </w:p>
    <w:p w:rsidR="00EB2DDD" w:rsidRPr="0064400C" w:rsidRDefault="009C52C4" w:rsidP="00EB2DDD">
      <w:pPr>
        <w:rPr>
          <w:rFonts w:ascii="Calibri" w:hAnsi="Calibri" w:cstheme="minorHAnsi"/>
        </w:rPr>
      </w:pPr>
      <w:r>
        <w:rPr>
          <w:rFonts w:ascii="Calibri" w:hAnsi="Calibri" w:cstheme="minorHAnsi"/>
        </w:rPr>
        <w:t>I</w:t>
      </w:r>
      <w:r w:rsidR="0064400C" w:rsidRPr="0064400C">
        <w:rPr>
          <w:rFonts w:ascii="Calibri" w:hAnsi="Calibri" w:cstheme="minorHAnsi"/>
        </w:rPr>
        <w:t xml:space="preserve">t was also noted that there may be circumstances where the </w:t>
      </w:r>
      <w:r w:rsidR="00AD6D1F">
        <w:rPr>
          <w:rFonts w:ascii="Calibri" w:hAnsi="Calibri" w:cstheme="minorHAnsi"/>
        </w:rPr>
        <w:t>revealed costs are not reflective</w:t>
      </w:r>
      <w:r w:rsidR="0064400C" w:rsidRPr="0064400C">
        <w:rPr>
          <w:rFonts w:ascii="Calibri" w:hAnsi="Calibri" w:cstheme="minorHAnsi"/>
        </w:rPr>
        <w:t xml:space="preserve"> of an efficient and sustainable level of opex. This would need to be assessed on case by case basis.</w:t>
      </w:r>
    </w:p>
    <w:p w:rsidR="00D81D60" w:rsidRPr="009C52C4" w:rsidRDefault="00AD6D1F" w:rsidP="00EB2DDD">
      <w:pPr>
        <w:rPr>
          <w:rFonts w:ascii="Calibri" w:hAnsi="Calibri" w:cstheme="minorHAnsi"/>
          <w:b/>
          <w:i/>
        </w:rPr>
      </w:pPr>
      <w:r>
        <w:rPr>
          <w:rFonts w:ascii="Calibri" w:hAnsi="Calibri" w:cstheme="minorHAnsi"/>
          <w:b/>
          <w:i/>
        </w:rPr>
        <w:t>Transition</w:t>
      </w:r>
      <w:r w:rsidR="009C52C4" w:rsidRPr="009C52C4">
        <w:rPr>
          <w:rFonts w:ascii="Calibri" w:hAnsi="Calibri" w:cstheme="minorHAnsi"/>
          <w:b/>
          <w:i/>
        </w:rPr>
        <w:t xml:space="preserve"> costs</w:t>
      </w:r>
    </w:p>
    <w:p w:rsidR="009C52C4" w:rsidRPr="009C52C4" w:rsidRDefault="00EB2DDD" w:rsidP="00EB2DDD">
      <w:pPr>
        <w:rPr>
          <w:rFonts w:ascii="Calibri" w:hAnsi="Calibri" w:cstheme="minorHAnsi"/>
        </w:rPr>
      </w:pPr>
      <w:r w:rsidRPr="009C52C4">
        <w:rPr>
          <w:rFonts w:ascii="Calibri" w:hAnsi="Calibri" w:cstheme="minorHAnsi"/>
        </w:rPr>
        <w:t xml:space="preserve">One of the issues for the remittal is opex transition costs incurred by the networks in moving to more efficient opex levels. </w:t>
      </w:r>
    </w:p>
    <w:p w:rsidR="00AD6D1F" w:rsidRPr="00AD6D1F" w:rsidRDefault="00AD6D1F" w:rsidP="00EB2DDD">
      <w:pPr>
        <w:rPr>
          <w:rFonts w:ascii="Calibri" w:hAnsi="Calibri" w:cstheme="minorHAnsi"/>
        </w:rPr>
      </w:pPr>
      <w:r w:rsidRPr="00AD6D1F">
        <w:rPr>
          <w:rFonts w:ascii="Calibri" w:hAnsi="Calibri" w:cstheme="minorHAnsi"/>
        </w:rPr>
        <w:t xml:space="preserve">It was noted that the Tribunal did not reach a view on this and </w:t>
      </w:r>
      <w:r>
        <w:rPr>
          <w:rFonts w:ascii="Calibri" w:hAnsi="Calibri" w:cstheme="minorHAnsi"/>
        </w:rPr>
        <w:t>stated that the AER will need to consider this issue in remaking its opex decisions.</w:t>
      </w:r>
    </w:p>
    <w:p w:rsidR="00EB2DDD" w:rsidRPr="00AD6D1F" w:rsidRDefault="00AD6D1F" w:rsidP="00EB2DDD">
      <w:pPr>
        <w:rPr>
          <w:rFonts w:ascii="Calibri" w:hAnsi="Calibri" w:cstheme="minorHAnsi"/>
        </w:rPr>
      </w:pPr>
      <w:r w:rsidRPr="00AD6D1F">
        <w:rPr>
          <w:rFonts w:ascii="Calibri" w:hAnsi="Calibri" w:cstheme="minorHAnsi"/>
        </w:rPr>
        <w:t>It was suggested that this</w:t>
      </w:r>
      <w:r w:rsidR="00EB2DDD" w:rsidRPr="00AD6D1F">
        <w:rPr>
          <w:rFonts w:ascii="Calibri" w:hAnsi="Calibri" w:cstheme="minorHAnsi"/>
        </w:rPr>
        <w:t xml:space="preserve"> issue</w:t>
      </w:r>
      <w:r>
        <w:rPr>
          <w:rFonts w:ascii="Calibri" w:hAnsi="Calibri" w:cstheme="minorHAnsi"/>
        </w:rPr>
        <w:t xml:space="preserve"> could</w:t>
      </w:r>
      <w:r w:rsidR="00EB2DDD" w:rsidRPr="00AD6D1F">
        <w:rPr>
          <w:rFonts w:ascii="Calibri" w:hAnsi="Calibri" w:cstheme="minorHAnsi"/>
        </w:rPr>
        <w:t xml:space="preserve"> be addressed by applying an agreed set of assessment principles.</w:t>
      </w:r>
    </w:p>
    <w:p w:rsidR="00EB2DDD" w:rsidRPr="000B1793" w:rsidRDefault="009C52C4" w:rsidP="00EB2DDD">
      <w:pPr>
        <w:rPr>
          <w:rFonts w:ascii="Calibri" w:hAnsi="Calibri" w:cstheme="minorHAnsi"/>
          <w:b/>
          <w:i/>
        </w:rPr>
      </w:pPr>
      <w:r w:rsidRPr="000B1793">
        <w:rPr>
          <w:rFonts w:ascii="Calibri" w:hAnsi="Calibri" w:cstheme="minorHAnsi"/>
          <w:b/>
          <w:i/>
        </w:rPr>
        <w:t xml:space="preserve">Return to </w:t>
      </w:r>
      <w:r w:rsidR="00DC14C5">
        <w:rPr>
          <w:rFonts w:ascii="Calibri" w:hAnsi="Calibri" w:cstheme="minorHAnsi"/>
          <w:b/>
          <w:i/>
        </w:rPr>
        <w:t xml:space="preserve">an </w:t>
      </w:r>
      <w:r w:rsidR="000B1793" w:rsidRPr="000B1793">
        <w:rPr>
          <w:rFonts w:ascii="Calibri" w:hAnsi="Calibri" w:cstheme="minorHAnsi"/>
          <w:b/>
          <w:i/>
        </w:rPr>
        <w:t>EBSS</w:t>
      </w:r>
      <w:r w:rsidR="00DC14C5">
        <w:rPr>
          <w:rFonts w:ascii="Calibri" w:hAnsi="Calibri" w:cstheme="minorHAnsi"/>
          <w:b/>
          <w:i/>
        </w:rPr>
        <w:t xml:space="preserve"> incentive framework</w:t>
      </w:r>
    </w:p>
    <w:p w:rsidR="004E7517" w:rsidRDefault="00423BD5">
      <w:pPr>
        <w:rPr>
          <w:rFonts w:ascii="Calibri" w:hAnsi="Calibri" w:cstheme="minorHAnsi"/>
        </w:rPr>
      </w:pPr>
      <w:r>
        <w:rPr>
          <w:rFonts w:ascii="Calibri" w:hAnsi="Calibri" w:cstheme="minorHAnsi"/>
        </w:rPr>
        <w:t>A number of participants expressed a preference to move back to an EBSS-based incentive arrangement.</w:t>
      </w:r>
      <w:r w:rsidR="0044246F">
        <w:rPr>
          <w:rFonts w:ascii="Calibri" w:hAnsi="Calibri" w:cstheme="minorHAnsi"/>
        </w:rPr>
        <w:t xml:space="preserve"> </w:t>
      </w:r>
      <w:r w:rsidR="00E10183">
        <w:rPr>
          <w:rFonts w:ascii="Calibri" w:hAnsi="Calibri" w:cstheme="minorHAnsi"/>
        </w:rPr>
        <w:t>There were</w:t>
      </w:r>
      <w:r w:rsidRPr="00423BD5">
        <w:rPr>
          <w:rFonts w:ascii="Calibri" w:hAnsi="Calibri" w:cstheme="minorHAnsi"/>
        </w:rPr>
        <w:t xml:space="preserve"> some questions about under what conditions this could occur.</w:t>
      </w:r>
    </w:p>
    <w:p w:rsidR="0044246F" w:rsidRPr="00423BD5" w:rsidRDefault="0044246F">
      <w:pPr>
        <w:rPr>
          <w:rFonts w:ascii="Calibri" w:hAnsi="Calibri" w:cstheme="minorHAnsi"/>
        </w:rPr>
      </w:pPr>
      <w:r>
        <w:rPr>
          <w:rFonts w:ascii="Calibri" w:hAnsi="Calibri" w:cstheme="minorHAnsi"/>
        </w:rPr>
        <w:t xml:space="preserve">Some participants stated that </w:t>
      </w:r>
      <w:r w:rsidRPr="0044246F">
        <w:rPr>
          <w:rFonts w:ascii="Calibri" w:hAnsi="Calibri" w:cstheme="minorHAnsi"/>
        </w:rPr>
        <w:t xml:space="preserve">the </w:t>
      </w:r>
      <w:r>
        <w:rPr>
          <w:rFonts w:ascii="Calibri" w:hAnsi="Calibri" w:cstheme="minorHAnsi"/>
        </w:rPr>
        <w:t>business</w:t>
      </w:r>
      <w:r w:rsidR="00451535">
        <w:rPr>
          <w:rFonts w:ascii="Calibri" w:hAnsi="Calibri" w:cstheme="minorHAnsi"/>
        </w:rPr>
        <w:t>es</w:t>
      </w:r>
      <w:r>
        <w:rPr>
          <w:rFonts w:ascii="Calibri" w:hAnsi="Calibri" w:cstheme="minorHAnsi"/>
        </w:rPr>
        <w:t xml:space="preserve"> need </w:t>
      </w:r>
      <w:r w:rsidRPr="0044246F">
        <w:rPr>
          <w:rFonts w:ascii="Calibri" w:hAnsi="Calibri" w:cstheme="minorHAnsi"/>
        </w:rPr>
        <w:t xml:space="preserve">to prove to the </w:t>
      </w:r>
      <w:r>
        <w:rPr>
          <w:rFonts w:ascii="Calibri" w:hAnsi="Calibri" w:cstheme="minorHAnsi"/>
        </w:rPr>
        <w:t>AER and consumers that they are</w:t>
      </w:r>
      <w:r w:rsidRPr="0044246F">
        <w:rPr>
          <w:rFonts w:ascii="Calibri" w:hAnsi="Calibri" w:cstheme="minorHAnsi"/>
        </w:rPr>
        <w:t xml:space="preserve"> operating at an efficient level before consideration of </w:t>
      </w:r>
      <w:r>
        <w:rPr>
          <w:rFonts w:ascii="Calibri" w:hAnsi="Calibri" w:cstheme="minorHAnsi"/>
        </w:rPr>
        <w:t xml:space="preserve">an </w:t>
      </w:r>
      <w:r w:rsidRPr="0044246F">
        <w:rPr>
          <w:rFonts w:ascii="Calibri" w:hAnsi="Calibri" w:cstheme="minorHAnsi"/>
        </w:rPr>
        <w:t>EBSS.</w:t>
      </w:r>
    </w:p>
    <w:p w:rsidR="004E7517" w:rsidRPr="00E214F7" w:rsidRDefault="00E214F7">
      <w:pPr>
        <w:rPr>
          <w:rFonts w:ascii="Calibri" w:hAnsi="Calibri" w:cstheme="minorHAnsi"/>
          <w:b/>
          <w:i/>
        </w:rPr>
      </w:pPr>
      <w:r w:rsidRPr="00E214F7">
        <w:rPr>
          <w:rFonts w:ascii="Calibri" w:hAnsi="Calibri" w:cstheme="minorHAnsi"/>
          <w:b/>
          <w:i/>
        </w:rPr>
        <w:t>Next steps</w:t>
      </w:r>
    </w:p>
    <w:p w:rsidR="00763556" w:rsidRDefault="00ED43FB">
      <w:pPr>
        <w:rPr>
          <w:rFonts w:ascii="Calibri" w:hAnsi="Calibri" w:cstheme="minorHAnsi"/>
        </w:rPr>
      </w:pPr>
      <w:r w:rsidRPr="00ED43FB">
        <w:rPr>
          <w:rFonts w:ascii="Calibri" w:hAnsi="Calibri" w:cstheme="minorHAnsi"/>
        </w:rPr>
        <w:t xml:space="preserve">Participants </w:t>
      </w:r>
      <w:r>
        <w:rPr>
          <w:rFonts w:ascii="Calibri" w:hAnsi="Calibri" w:cstheme="minorHAnsi"/>
        </w:rPr>
        <w:t xml:space="preserve">gave a commitment to </w:t>
      </w:r>
      <w:r w:rsidR="00EC0768">
        <w:rPr>
          <w:rFonts w:ascii="Calibri" w:hAnsi="Calibri" w:cstheme="minorHAnsi"/>
        </w:rPr>
        <w:t xml:space="preserve">further consider </w:t>
      </w:r>
      <w:r>
        <w:rPr>
          <w:rFonts w:ascii="Calibri" w:hAnsi="Calibri" w:cstheme="minorHAnsi"/>
        </w:rPr>
        <w:t xml:space="preserve">the issues raised. It was recognised that this may occur through a number of different mechanisms including bilateral meetings between interested parties and group meetings. </w:t>
      </w:r>
    </w:p>
    <w:p w:rsidR="006359F4" w:rsidRDefault="00741FFF">
      <w:pPr>
        <w:rPr>
          <w:rFonts w:ascii="Calibri" w:hAnsi="Calibri" w:cstheme="minorHAnsi"/>
        </w:rPr>
      </w:pPr>
      <w:r>
        <w:rPr>
          <w:rFonts w:ascii="Calibri" w:hAnsi="Calibri" w:cstheme="minorHAnsi"/>
        </w:rPr>
        <w:t>It w</w:t>
      </w:r>
      <w:r w:rsidR="006359F4">
        <w:rPr>
          <w:rFonts w:ascii="Calibri" w:hAnsi="Calibri" w:cstheme="minorHAnsi"/>
        </w:rPr>
        <w:t>as noted that the</w:t>
      </w:r>
      <w:r w:rsidR="006359F4" w:rsidRPr="006359F4">
        <w:rPr>
          <w:rFonts w:ascii="Calibri" w:hAnsi="Calibri" w:cstheme="minorHAnsi"/>
        </w:rPr>
        <w:t xml:space="preserve"> Federal Court and the Tribunal are currently considering issues relating to return on debt arising from our determinations for SA Power Networks, the Victorian electricity distributors and ActewAGL (Gas) Distribution, respectively. The Federal Court and Tribunal</w:t>
      </w:r>
      <w:r w:rsidR="006359F4">
        <w:rPr>
          <w:rFonts w:ascii="Calibri" w:hAnsi="Calibri" w:cstheme="minorHAnsi"/>
        </w:rPr>
        <w:t xml:space="preserve"> decisions will likely inform the AER</w:t>
      </w:r>
      <w:r w:rsidR="006359F4" w:rsidRPr="006359F4">
        <w:rPr>
          <w:rFonts w:ascii="Calibri" w:hAnsi="Calibri" w:cstheme="minorHAnsi"/>
        </w:rPr>
        <w:t xml:space="preserve"> and other stakeholders </w:t>
      </w:r>
      <w:r w:rsidR="00A607DF">
        <w:rPr>
          <w:rFonts w:ascii="Calibri" w:hAnsi="Calibri" w:cstheme="minorHAnsi"/>
        </w:rPr>
        <w:t>on the approach for remaking the</w:t>
      </w:r>
      <w:r w:rsidR="006359F4" w:rsidRPr="006359F4">
        <w:rPr>
          <w:rFonts w:ascii="Calibri" w:hAnsi="Calibri" w:cstheme="minorHAnsi"/>
        </w:rPr>
        <w:t xml:space="preserve"> return on debt decisions on remittal.</w:t>
      </w:r>
      <w:r w:rsidR="00A607DF">
        <w:rPr>
          <w:rFonts w:ascii="Calibri" w:hAnsi="Calibri" w:cstheme="minorHAnsi"/>
        </w:rPr>
        <w:t xml:space="preserve"> </w:t>
      </w:r>
      <w:r w:rsidR="00642384">
        <w:rPr>
          <w:rFonts w:ascii="Calibri" w:hAnsi="Calibri" w:cstheme="minorHAnsi"/>
        </w:rPr>
        <w:t xml:space="preserve">However, </w:t>
      </w:r>
      <w:r w:rsidR="00001BF9">
        <w:rPr>
          <w:rFonts w:ascii="Calibri" w:hAnsi="Calibri" w:cstheme="minorHAnsi"/>
        </w:rPr>
        <w:t>some</w:t>
      </w:r>
      <w:r w:rsidR="00642384" w:rsidRPr="00642384">
        <w:rPr>
          <w:rFonts w:ascii="Calibri" w:hAnsi="Calibri" w:cstheme="minorHAnsi"/>
        </w:rPr>
        <w:t xml:space="preserve"> participants</w:t>
      </w:r>
      <w:r w:rsidR="00642384">
        <w:rPr>
          <w:rFonts w:ascii="Calibri" w:hAnsi="Calibri" w:cstheme="minorHAnsi"/>
        </w:rPr>
        <w:t xml:space="preserve"> </w:t>
      </w:r>
      <w:r w:rsidR="00642384" w:rsidRPr="00642384">
        <w:rPr>
          <w:rFonts w:ascii="Calibri" w:hAnsi="Calibri" w:cstheme="minorHAnsi"/>
        </w:rPr>
        <w:t>questioned whether it was necessary to await the outcome of these proceedings.</w:t>
      </w:r>
    </w:p>
    <w:p w:rsidR="00A607DF" w:rsidRPr="00A607DF" w:rsidRDefault="00ED43FB" w:rsidP="00C04F41">
      <w:pPr>
        <w:rPr>
          <w:rFonts w:ascii="Calibri" w:hAnsi="Calibri" w:cstheme="minorHAnsi"/>
        </w:rPr>
      </w:pPr>
      <w:r>
        <w:rPr>
          <w:rFonts w:ascii="Calibri" w:hAnsi="Calibri" w:cstheme="minorHAnsi"/>
        </w:rPr>
        <w:t xml:space="preserve">The AER gave a commitment to assess what next steps may be appropriate to advance the issues given the views expressed by stakeholders.   </w:t>
      </w:r>
    </w:p>
    <w:sectPr w:rsidR="00A607DF" w:rsidRPr="00A607DF" w:rsidSect="00691616">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B27" w:rsidRDefault="002A2B27" w:rsidP="004B4412">
      <w:pPr>
        <w:spacing w:before="0"/>
      </w:pPr>
      <w:r>
        <w:separator/>
      </w:r>
    </w:p>
  </w:endnote>
  <w:endnote w:type="continuationSeparator" w:id="0">
    <w:p w:rsidR="002A2B27" w:rsidRDefault="002A2B27"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21" w:rsidRDefault="00B44E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015116"/>
      <w:docPartObj>
        <w:docPartGallery w:val="Page Numbers (Bottom of Page)"/>
        <w:docPartUnique/>
      </w:docPartObj>
    </w:sdtPr>
    <w:sdtEndPr>
      <w:rPr>
        <w:noProof/>
      </w:rPr>
    </w:sdtEndPr>
    <w:sdtContent>
      <w:p w:rsidR="0044368B" w:rsidRDefault="0044368B">
        <w:pPr>
          <w:pStyle w:val="Footer"/>
          <w:jc w:val="right"/>
        </w:pPr>
        <w:r>
          <w:fldChar w:fldCharType="begin"/>
        </w:r>
        <w:r>
          <w:instrText xml:space="preserve"> PAGE   \* MERGEFORMAT </w:instrText>
        </w:r>
        <w:r>
          <w:fldChar w:fldCharType="separate"/>
        </w:r>
        <w:r w:rsidR="00B44E21">
          <w:rPr>
            <w:noProof/>
          </w:rPr>
          <w:t>2</w:t>
        </w:r>
        <w:r>
          <w:rPr>
            <w:noProof/>
          </w:rPr>
          <w:fldChar w:fldCharType="end"/>
        </w:r>
      </w:p>
    </w:sdtContent>
  </w:sdt>
  <w:p w:rsidR="0044368B" w:rsidRDefault="004436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21" w:rsidRDefault="00B44E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B27" w:rsidRDefault="002A2B27" w:rsidP="004B4412">
      <w:pPr>
        <w:spacing w:before="0"/>
      </w:pPr>
      <w:r>
        <w:separator/>
      </w:r>
    </w:p>
  </w:footnote>
  <w:footnote w:type="continuationSeparator" w:id="0">
    <w:p w:rsidR="002A2B27" w:rsidRDefault="002A2B27" w:rsidP="004B441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21" w:rsidRDefault="00B44E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21" w:rsidRDefault="00B44E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21" w:rsidRDefault="00B44E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BAB5947"/>
    <w:multiLevelType w:val="hybridMultilevel"/>
    <w:tmpl w:val="8A44E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92772E2"/>
    <w:multiLevelType w:val="multilevel"/>
    <w:tmpl w:val="451C955E"/>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35826A42"/>
    <w:multiLevelType w:val="hybridMultilevel"/>
    <w:tmpl w:val="4C827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8">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2">
    <w:nsid w:val="5C706BCE"/>
    <w:multiLevelType w:val="multilevel"/>
    <w:tmpl w:val="3F064E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08F07BD"/>
    <w:multiLevelType w:val="hybridMultilevel"/>
    <w:tmpl w:val="36E8F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8">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9">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1">
    <w:nsid w:val="7AEF67FF"/>
    <w:multiLevelType w:val="multilevel"/>
    <w:tmpl w:val="2438D946"/>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2"/>
  </w:num>
  <w:num w:numId="3">
    <w:abstractNumId w:val="7"/>
  </w:num>
  <w:num w:numId="4">
    <w:abstractNumId w:val="6"/>
  </w:num>
  <w:num w:numId="5">
    <w:abstractNumId w:val="5"/>
  </w:num>
  <w:num w:numId="6">
    <w:abstractNumId w:val="4"/>
  </w:num>
  <w:num w:numId="7">
    <w:abstractNumId w:val="1"/>
  </w:num>
  <w:num w:numId="8">
    <w:abstractNumId w:val="0"/>
  </w:num>
  <w:num w:numId="9">
    <w:abstractNumId w:val="26"/>
  </w:num>
  <w:num w:numId="10">
    <w:abstractNumId w:val="18"/>
  </w:num>
  <w:num w:numId="11">
    <w:abstractNumId w:val="10"/>
  </w:num>
  <w:num w:numId="12">
    <w:abstractNumId w:val="13"/>
  </w:num>
  <w:num w:numId="13">
    <w:abstractNumId w:val="17"/>
  </w:num>
  <w:num w:numId="14">
    <w:abstractNumId w:val="2"/>
  </w:num>
  <w:num w:numId="15">
    <w:abstractNumId w:val="27"/>
  </w:num>
  <w:num w:numId="16">
    <w:abstractNumId w:val="30"/>
  </w:num>
  <w:num w:numId="17">
    <w:abstractNumId w:val="29"/>
  </w:num>
  <w:num w:numId="18">
    <w:abstractNumId w:val="21"/>
  </w:num>
  <w:num w:numId="19">
    <w:abstractNumId w:val="15"/>
  </w:num>
  <w:num w:numId="20">
    <w:abstractNumId w:val="19"/>
  </w:num>
  <w:num w:numId="21">
    <w:abstractNumId w:val="28"/>
  </w:num>
  <w:num w:numId="22">
    <w:abstractNumId w:val="24"/>
  </w:num>
  <w:num w:numId="23">
    <w:abstractNumId w:val="8"/>
  </w:num>
  <w:num w:numId="24">
    <w:abstractNumId w:val="3"/>
  </w:num>
  <w:num w:numId="25">
    <w:abstractNumId w:val="20"/>
  </w:num>
  <w:num w:numId="26">
    <w:abstractNumId w:val="12"/>
  </w:num>
  <w:num w:numId="27">
    <w:abstractNumId w:val="25"/>
  </w:num>
  <w:num w:numId="28">
    <w:abstractNumId w:val="23"/>
  </w:num>
  <w:num w:numId="29">
    <w:abstractNumId w:val="14"/>
  </w:num>
  <w:num w:numId="30">
    <w:abstractNumId w:val="22"/>
  </w:num>
  <w:num w:numId="31">
    <w:abstractNumId w:val="31"/>
  </w:num>
  <w:num w:numId="32">
    <w:abstractNumId w:val="9"/>
  </w:num>
  <w:num w:numId="33">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omesharecl\HomeDrives\agulb\Desktop\NSW ACT opex remittal roundtable 16 August 2017 - Minutes.docx"/>
  </w:docVars>
  <w:rsids>
    <w:rsidRoot w:val="002A2B27"/>
    <w:rsid w:val="00001BF9"/>
    <w:rsid w:val="0002115F"/>
    <w:rsid w:val="00021202"/>
    <w:rsid w:val="000225C4"/>
    <w:rsid w:val="0003578C"/>
    <w:rsid w:val="00063247"/>
    <w:rsid w:val="00067921"/>
    <w:rsid w:val="00070F9F"/>
    <w:rsid w:val="0007137B"/>
    <w:rsid w:val="00085663"/>
    <w:rsid w:val="00085EBF"/>
    <w:rsid w:val="000B1793"/>
    <w:rsid w:val="000D122C"/>
    <w:rsid w:val="000E1819"/>
    <w:rsid w:val="000E6C72"/>
    <w:rsid w:val="000F2368"/>
    <w:rsid w:val="00116EB2"/>
    <w:rsid w:val="00124609"/>
    <w:rsid w:val="001573E4"/>
    <w:rsid w:val="00160756"/>
    <w:rsid w:val="0017232E"/>
    <w:rsid w:val="00174102"/>
    <w:rsid w:val="00180157"/>
    <w:rsid w:val="00181223"/>
    <w:rsid w:val="00186F77"/>
    <w:rsid w:val="001926A4"/>
    <w:rsid w:val="001A3A19"/>
    <w:rsid w:val="001A7FF5"/>
    <w:rsid w:val="001B246B"/>
    <w:rsid w:val="001B45A0"/>
    <w:rsid w:val="001C18EE"/>
    <w:rsid w:val="001D055E"/>
    <w:rsid w:val="001F492E"/>
    <w:rsid w:val="001F6DA3"/>
    <w:rsid w:val="00212737"/>
    <w:rsid w:val="00224DB9"/>
    <w:rsid w:val="002304F5"/>
    <w:rsid w:val="002316F3"/>
    <w:rsid w:val="00251745"/>
    <w:rsid w:val="00263AC0"/>
    <w:rsid w:val="0026772D"/>
    <w:rsid w:val="00275B50"/>
    <w:rsid w:val="00286874"/>
    <w:rsid w:val="00296B65"/>
    <w:rsid w:val="002A2B27"/>
    <w:rsid w:val="002A7DEF"/>
    <w:rsid w:val="002D30FD"/>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B5A70"/>
    <w:rsid w:val="0040444F"/>
    <w:rsid w:val="00423BD5"/>
    <w:rsid w:val="0044246F"/>
    <w:rsid w:val="0044368B"/>
    <w:rsid w:val="00451535"/>
    <w:rsid w:val="00470BCA"/>
    <w:rsid w:val="00475DDE"/>
    <w:rsid w:val="00480B4B"/>
    <w:rsid w:val="00485DC4"/>
    <w:rsid w:val="004B4412"/>
    <w:rsid w:val="004C348C"/>
    <w:rsid w:val="004D55BA"/>
    <w:rsid w:val="004E7517"/>
    <w:rsid w:val="005038DB"/>
    <w:rsid w:val="00512606"/>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359F4"/>
    <w:rsid w:val="00642384"/>
    <w:rsid w:val="00642C3E"/>
    <w:rsid w:val="0064400C"/>
    <w:rsid w:val="00646025"/>
    <w:rsid w:val="00663DAD"/>
    <w:rsid w:val="00676679"/>
    <w:rsid w:val="00691616"/>
    <w:rsid w:val="006B4CF9"/>
    <w:rsid w:val="006B7AC8"/>
    <w:rsid w:val="006D550F"/>
    <w:rsid w:val="006D77F3"/>
    <w:rsid w:val="00701CAB"/>
    <w:rsid w:val="00707563"/>
    <w:rsid w:val="0072348C"/>
    <w:rsid w:val="00724A37"/>
    <w:rsid w:val="007303C3"/>
    <w:rsid w:val="00741FFF"/>
    <w:rsid w:val="00743223"/>
    <w:rsid w:val="00746E01"/>
    <w:rsid w:val="00760A5E"/>
    <w:rsid w:val="00763556"/>
    <w:rsid w:val="00763E5D"/>
    <w:rsid w:val="00767740"/>
    <w:rsid w:val="00777EE6"/>
    <w:rsid w:val="00782EEA"/>
    <w:rsid w:val="007A2A8E"/>
    <w:rsid w:val="007B2C72"/>
    <w:rsid w:val="007C1C53"/>
    <w:rsid w:val="007C212E"/>
    <w:rsid w:val="007E26A9"/>
    <w:rsid w:val="007E4904"/>
    <w:rsid w:val="007E4CB5"/>
    <w:rsid w:val="007F066B"/>
    <w:rsid w:val="008033C4"/>
    <w:rsid w:val="00806C88"/>
    <w:rsid w:val="0081034E"/>
    <w:rsid w:val="008344F6"/>
    <w:rsid w:val="0083510F"/>
    <w:rsid w:val="00851209"/>
    <w:rsid w:val="00855105"/>
    <w:rsid w:val="0088007E"/>
    <w:rsid w:val="008837AC"/>
    <w:rsid w:val="008945B4"/>
    <w:rsid w:val="008A587D"/>
    <w:rsid w:val="008C5486"/>
    <w:rsid w:val="008C6A79"/>
    <w:rsid w:val="008E7031"/>
    <w:rsid w:val="00922C95"/>
    <w:rsid w:val="009233EE"/>
    <w:rsid w:val="009661DE"/>
    <w:rsid w:val="009856B7"/>
    <w:rsid w:val="0098602B"/>
    <w:rsid w:val="00991B3B"/>
    <w:rsid w:val="009962BA"/>
    <w:rsid w:val="009B74B0"/>
    <w:rsid w:val="009C52C4"/>
    <w:rsid w:val="009D4414"/>
    <w:rsid w:val="009D6B46"/>
    <w:rsid w:val="009E7150"/>
    <w:rsid w:val="009F4940"/>
    <w:rsid w:val="00A1665B"/>
    <w:rsid w:val="00A4478A"/>
    <w:rsid w:val="00A44852"/>
    <w:rsid w:val="00A57D04"/>
    <w:rsid w:val="00A607DF"/>
    <w:rsid w:val="00A60A26"/>
    <w:rsid w:val="00A61598"/>
    <w:rsid w:val="00A6698D"/>
    <w:rsid w:val="00A84F46"/>
    <w:rsid w:val="00A871F4"/>
    <w:rsid w:val="00AC1B2C"/>
    <w:rsid w:val="00AC3264"/>
    <w:rsid w:val="00AC6F01"/>
    <w:rsid w:val="00AD6D1F"/>
    <w:rsid w:val="00AE0FE2"/>
    <w:rsid w:val="00AE1BF1"/>
    <w:rsid w:val="00AF0DD2"/>
    <w:rsid w:val="00B10314"/>
    <w:rsid w:val="00B13048"/>
    <w:rsid w:val="00B15998"/>
    <w:rsid w:val="00B1716D"/>
    <w:rsid w:val="00B17A1D"/>
    <w:rsid w:val="00B207A0"/>
    <w:rsid w:val="00B3457E"/>
    <w:rsid w:val="00B44E21"/>
    <w:rsid w:val="00B5330A"/>
    <w:rsid w:val="00B56E03"/>
    <w:rsid w:val="00B60F5D"/>
    <w:rsid w:val="00B67E91"/>
    <w:rsid w:val="00B8080B"/>
    <w:rsid w:val="00B87C39"/>
    <w:rsid w:val="00BA4665"/>
    <w:rsid w:val="00BB2FB2"/>
    <w:rsid w:val="00BB3304"/>
    <w:rsid w:val="00BD3446"/>
    <w:rsid w:val="00BD799C"/>
    <w:rsid w:val="00BE1F1B"/>
    <w:rsid w:val="00BE47B5"/>
    <w:rsid w:val="00BE4C99"/>
    <w:rsid w:val="00BE6028"/>
    <w:rsid w:val="00BF33C3"/>
    <w:rsid w:val="00BF34A9"/>
    <w:rsid w:val="00C04F41"/>
    <w:rsid w:val="00C058AB"/>
    <w:rsid w:val="00C06739"/>
    <w:rsid w:val="00C26D60"/>
    <w:rsid w:val="00C538A9"/>
    <w:rsid w:val="00C53B5A"/>
    <w:rsid w:val="00C54F5A"/>
    <w:rsid w:val="00C578A1"/>
    <w:rsid w:val="00C755AD"/>
    <w:rsid w:val="00C86679"/>
    <w:rsid w:val="00CB0F90"/>
    <w:rsid w:val="00CB666B"/>
    <w:rsid w:val="00CF799E"/>
    <w:rsid w:val="00D01CF0"/>
    <w:rsid w:val="00D0442A"/>
    <w:rsid w:val="00D1746D"/>
    <w:rsid w:val="00D203E1"/>
    <w:rsid w:val="00D544B8"/>
    <w:rsid w:val="00D61388"/>
    <w:rsid w:val="00D61A54"/>
    <w:rsid w:val="00D64DEA"/>
    <w:rsid w:val="00D80893"/>
    <w:rsid w:val="00D81D60"/>
    <w:rsid w:val="00D92CF1"/>
    <w:rsid w:val="00D92D38"/>
    <w:rsid w:val="00D950F5"/>
    <w:rsid w:val="00DB0F93"/>
    <w:rsid w:val="00DC14C5"/>
    <w:rsid w:val="00DC542F"/>
    <w:rsid w:val="00DC7981"/>
    <w:rsid w:val="00DE4EFA"/>
    <w:rsid w:val="00DE5520"/>
    <w:rsid w:val="00E04818"/>
    <w:rsid w:val="00E06442"/>
    <w:rsid w:val="00E10183"/>
    <w:rsid w:val="00E214F7"/>
    <w:rsid w:val="00E23993"/>
    <w:rsid w:val="00E25B8C"/>
    <w:rsid w:val="00E37F9D"/>
    <w:rsid w:val="00E4674F"/>
    <w:rsid w:val="00E65C85"/>
    <w:rsid w:val="00E66199"/>
    <w:rsid w:val="00E755EC"/>
    <w:rsid w:val="00E7624D"/>
    <w:rsid w:val="00EA3D42"/>
    <w:rsid w:val="00EA6B1B"/>
    <w:rsid w:val="00EB2DDD"/>
    <w:rsid w:val="00EC0768"/>
    <w:rsid w:val="00ED43FB"/>
    <w:rsid w:val="00EE28F3"/>
    <w:rsid w:val="00EF5110"/>
    <w:rsid w:val="00F02D22"/>
    <w:rsid w:val="00F1319F"/>
    <w:rsid w:val="00F14973"/>
    <w:rsid w:val="00F15882"/>
    <w:rsid w:val="00F20BD3"/>
    <w:rsid w:val="00F373A5"/>
    <w:rsid w:val="00F47559"/>
    <w:rsid w:val="00F60BE4"/>
    <w:rsid w:val="00F61B84"/>
    <w:rsid w:val="00F61B92"/>
    <w:rsid w:val="00F64C7B"/>
    <w:rsid w:val="00F676DD"/>
    <w:rsid w:val="00F75A26"/>
    <w:rsid w:val="00F83FAD"/>
    <w:rsid w:val="00F91DC6"/>
    <w:rsid w:val="00F952A0"/>
    <w:rsid w:val="00F97B92"/>
    <w:rsid w:val="00FA3C7F"/>
    <w:rsid w:val="00FB43E6"/>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FB43E6"/>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uiPriority w:val="9"/>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Default">
    <w:name w:val="Default"/>
    <w:rsid w:val="00275B50"/>
    <w:pPr>
      <w:autoSpaceDE w:val="0"/>
      <w:autoSpaceDN w:val="0"/>
      <w:adjustRightInd w:val="0"/>
      <w:spacing w:before="0"/>
    </w:pPr>
    <w:rPr>
      <w:rFonts w:ascii="Arial" w:hAnsi="Arial" w:cs="Arial"/>
      <w:color w:val="000000"/>
      <w:sz w:val="24"/>
      <w:szCs w:val="24"/>
    </w:rPr>
  </w:style>
  <w:style w:type="paragraph" w:customStyle="1" w:styleId="AERbodytext">
    <w:name w:val="AER body text"/>
    <w:link w:val="AERbodytextChar"/>
    <w:qFormat/>
    <w:rsid w:val="00BF33C3"/>
    <w:pPr>
      <w:spacing w:before="0" w:after="240"/>
    </w:pPr>
    <w:rPr>
      <w:rFonts w:ascii="Times New Roman" w:eastAsia="Times New Roman" w:hAnsi="Times New Roman" w:cs="Times New Roman"/>
      <w:sz w:val="24"/>
      <w:szCs w:val="24"/>
    </w:rPr>
  </w:style>
  <w:style w:type="paragraph" w:customStyle="1" w:styleId="AERbulletlistfirststyle">
    <w:name w:val="AER bullet list (first style)"/>
    <w:basedOn w:val="Normal"/>
    <w:link w:val="AERbulletlistfirststyleChar"/>
    <w:qFormat/>
    <w:rsid w:val="00BF33C3"/>
    <w:pPr>
      <w:numPr>
        <w:numId w:val="31"/>
      </w:numPr>
      <w:tabs>
        <w:tab w:val="left" w:pos="567"/>
      </w:tabs>
      <w:spacing w:before="0" w:after="240" w:line="240" w:lineRule="atLeast"/>
    </w:pPr>
    <w:rPr>
      <w:rFonts w:ascii="Times New Roman" w:eastAsia="Times New Roman" w:hAnsi="Times New Roman" w:cs="Times New Roman"/>
      <w:sz w:val="24"/>
      <w:szCs w:val="24"/>
    </w:rPr>
  </w:style>
  <w:style w:type="character" w:customStyle="1" w:styleId="AERbodytextChar">
    <w:name w:val="AER body text Char"/>
    <w:link w:val="AERbodytext"/>
    <w:rsid w:val="00BF33C3"/>
    <w:rPr>
      <w:rFonts w:ascii="Times New Roman" w:eastAsia="Times New Roman" w:hAnsi="Times New Roman" w:cs="Times New Roman"/>
      <w:sz w:val="24"/>
      <w:szCs w:val="24"/>
    </w:rPr>
  </w:style>
  <w:style w:type="character" w:customStyle="1" w:styleId="AERbody">
    <w:name w:val="AER body"/>
    <w:qFormat/>
    <w:rsid w:val="00BF33C3"/>
    <w:rPr>
      <w:rFonts w:ascii="Arial" w:hAnsi="Arial" w:cs="Arial" w:hint="default"/>
      <w:color w:val="auto"/>
      <w:sz w:val="22"/>
    </w:rPr>
  </w:style>
  <w:style w:type="character" w:customStyle="1" w:styleId="AERbulletlistfirststyleChar">
    <w:name w:val="AER bullet list (first style) Char"/>
    <w:link w:val="AERbulletlistfirststyle"/>
    <w:rsid w:val="00BF33C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FB43E6"/>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uiPriority w:val="9"/>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Default">
    <w:name w:val="Default"/>
    <w:rsid w:val="00275B50"/>
    <w:pPr>
      <w:autoSpaceDE w:val="0"/>
      <w:autoSpaceDN w:val="0"/>
      <w:adjustRightInd w:val="0"/>
      <w:spacing w:before="0"/>
    </w:pPr>
    <w:rPr>
      <w:rFonts w:ascii="Arial" w:hAnsi="Arial" w:cs="Arial"/>
      <w:color w:val="000000"/>
      <w:sz w:val="24"/>
      <w:szCs w:val="24"/>
    </w:rPr>
  </w:style>
  <w:style w:type="paragraph" w:customStyle="1" w:styleId="AERbodytext">
    <w:name w:val="AER body text"/>
    <w:link w:val="AERbodytextChar"/>
    <w:qFormat/>
    <w:rsid w:val="00BF33C3"/>
    <w:pPr>
      <w:spacing w:before="0" w:after="240"/>
    </w:pPr>
    <w:rPr>
      <w:rFonts w:ascii="Times New Roman" w:eastAsia="Times New Roman" w:hAnsi="Times New Roman" w:cs="Times New Roman"/>
      <w:sz w:val="24"/>
      <w:szCs w:val="24"/>
    </w:rPr>
  </w:style>
  <w:style w:type="paragraph" w:customStyle="1" w:styleId="AERbulletlistfirststyle">
    <w:name w:val="AER bullet list (first style)"/>
    <w:basedOn w:val="Normal"/>
    <w:link w:val="AERbulletlistfirststyleChar"/>
    <w:qFormat/>
    <w:rsid w:val="00BF33C3"/>
    <w:pPr>
      <w:numPr>
        <w:numId w:val="31"/>
      </w:numPr>
      <w:tabs>
        <w:tab w:val="left" w:pos="567"/>
      </w:tabs>
      <w:spacing w:before="0" w:after="240" w:line="240" w:lineRule="atLeast"/>
    </w:pPr>
    <w:rPr>
      <w:rFonts w:ascii="Times New Roman" w:eastAsia="Times New Roman" w:hAnsi="Times New Roman" w:cs="Times New Roman"/>
      <w:sz w:val="24"/>
      <w:szCs w:val="24"/>
    </w:rPr>
  </w:style>
  <w:style w:type="character" w:customStyle="1" w:styleId="AERbodytextChar">
    <w:name w:val="AER body text Char"/>
    <w:link w:val="AERbodytext"/>
    <w:rsid w:val="00BF33C3"/>
    <w:rPr>
      <w:rFonts w:ascii="Times New Roman" w:eastAsia="Times New Roman" w:hAnsi="Times New Roman" w:cs="Times New Roman"/>
      <w:sz w:val="24"/>
      <w:szCs w:val="24"/>
    </w:rPr>
  </w:style>
  <w:style w:type="character" w:customStyle="1" w:styleId="AERbody">
    <w:name w:val="AER body"/>
    <w:qFormat/>
    <w:rsid w:val="00BF33C3"/>
    <w:rPr>
      <w:rFonts w:ascii="Arial" w:hAnsi="Arial" w:cs="Arial" w:hint="default"/>
      <w:color w:val="auto"/>
      <w:sz w:val="22"/>
    </w:rPr>
  </w:style>
  <w:style w:type="character" w:customStyle="1" w:styleId="AERbulletlistfirststyleChar">
    <w:name w:val="AER bullet list (first style) Char"/>
    <w:link w:val="AERbulletlistfirststyle"/>
    <w:rsid w:val="00BF33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CD7EF7-75CF-4569-95F5-B3FD98231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F06118EF</Template>
  <TotalTime>0</TotalTime>
  <Pages>5</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2017-08-28T07:09:00Z</dcterms:created>
  <dcterms:modified xsi:type="dcterms:W3CDTF">2017-08-28T22:39:00Z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