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752777455"/>
        <w:docPartObj>
          <w:docPartGallery w:val="Cover Pages"/>
          <w:docPartUnique/>
        </w:docPartObj>
      </w:sdtPr>
      <w:sdtEndPr/>
      <w:sdtContent>
        <w:p w:rsidR="002A0BA6" w:rsidRPr="00D2244D" w:rsidRDefault="00166F28" w:rsidP="006E0793">
          <w:pPr>
            <w:pStyle w:val="ReportTitle"/>
            <w:spacing w:before="4800"/>
            <w:ind w:left="360"/>
            <w:rPr>
              <w:noProof/>
              <w:lang w:eastAsia="en-AU"/>
            </w:rPr>
          </w:pPr>
          <w:r w:rsidRPr="00D2244D">
            <w:rPr>
              <w:noProof/>
              <w:lang w:eastAsia="en-AU"/>
            </w:rPr>
            <w:drawing>
              <wp:anchor distT="0" distB="0" distL="114300" distR="114300" simplePos="0" relativeHeight="251660288" behindDoc="1" locked="0" layoutInCell="1" allowOverlap="1" wp14:anchorId="2390938B" wp14:editId="7C78FA48">
                <wp:simplePos x="0" y="0"/>
                <wp:positionH relativeFrom="column">
                  <wp:posOffset>-933450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r w:rsidR="00A417E0" w:rsidRPr="00D2244D">
            <w:rPr>
              <w:noProof/>
              <w:lang w:eastAsia="en-AU"/>
            </w:rPr>
            <w:t>Notice of draft instrument:</w:t>
          </w:r>
        </w:p>
        <w:p w:rsidR="002956ED" w:rsidRDefault="00A417E0" w:rsidP="001822DD">
          <w:pPr>
            <w:pStyle w:val="ReportTitle"/>
            <w:tabs>
              <w:tab w:val="center" w:pos="4598"/>
              <w:tab w:val="right" w:pos="9026"/>
            </w:tabs>
            <w:spacing w:before="240"/>
            <w:rPr>
              <w:noProof/>
              <w:lang w:eastAsia="en-AU"/>
            </w:rPr>
          </w:pPr>
          <w:r>
            <w:rPr>
              <w:noProof/>
              <w:lang w:eastAsia="en-AU"/>
            </w:rPr>
            <w:t xml:space="preserve">Amendments to </w:t>
          </w:r>
          <w:r w:rsidR="0060031D">
            <w:rPr>
              <w:noProof/>
              <w:lang w:eastAsia="en-AU"/>
            </w:rPr>
            <w:t xml:space="preserve">the </w:t>
          </w:r>
          <w:r w:rsidR="00346199">
            <w:rPr>
              <w:noProof/>
              <w:lang w:eastAsia="en-AU"/>
            </w:rPr>
            <w:t>Retail Exempt Selling Guideline</w:t>
          </w:r>
        </w:p>
        <w:p w:rsidR="002956ED" w:rsidRPr="002956ED" w:rsidRDefault="00346199" w:rsidP="00D2244D">
          <w:pPr>
            <w:pStyle w:val="ReportSubtitle"/>
            <w:numPr>
              <w:ilvl w:val="0"/>
              <w:numId w:val="42"/>
            </w:numPr>
            <w:spacing w:before="240"/>
          </w:pPr>
          <w:r>
            <w:t>Version 3</w:t>
          </w:r>
        </w:p>
        <w:p w:rsidR="002A0BA6" w:rsidRPr="002956ED" w:rsidRDefault="002A62EA" w:rsidP="0045491E">
          <w:pPr>
            <w:pStyle w:val="ReportDate"/>
            <w:spacing w:before="360" w:after="6240"/>
            <w:ind w:left="360"/>
            <w:rPr>
              <w:b/>
            </w:rPr>
          </w:pPr>
          <w:r>
            <w:t>December</w:t>
          </w:r>
          <w:r w:rsidRPr="002956ED">
            <w:t xml:space="preserve"> </w:t>
          </w:r>
          <w:r w:rsidR="002956ED" w:rsidRPr="002956ED">
            <w:t>2014</w:t>
          </w:r>
        </w:p>
        <w:p w:rsidR="00847401" w:rsidRDefault="00847401" w:rsidP="002956ED">
          <w:pPr>
            <w:pStyle w:val="ReportTitle"/>
            <w:sectPr w:rsidR="00847401" w:rsidSect="00C95315">
              <w:footerReference w:type="default" r:id="rId10"/>
              <w:footerReference w:type="first" r:id="rId11"/>
              <w:pgSz w:w="11906" w:h="16838"/>
              <w:pgMar w:top="1440" w:right="1440" w:bottom="1440" w:left="1440" w:header="708" w:footer="708" w:gutter="0"/>
              <w:pgNumType w:start="0"/>
              <w:cols w:space="708"/>
              <w:titlePg/>
              <w:docGrid w:linePitch="360"/>
            </w:sectPr>
          </w:pPr>
        </w:p>
        <w:p w:rsidR="00EF456F" w:rsidRDefault="0037236A" w:rsidP="002956ED">
          <w:pPr>
            <w:pStyle w:val="ReportTitle"/>
          </w:pPr>
        </w:p>
      </w:sdtContent>
    </w:sdt>
    <w:p w:rsidR="00EF456F" w:rsidRDefault="00EF456F" w:rsidP="0060031D">
      <w:pPr>
        <w:pStyle w:val="Copyright"/>
        <w:tabs>
          <w:tab w:val="center" w:pos="4513"/>
        </w:tabs>
        <w:spacing w:before="4200"/>
      </w:pPr>
      <w:r>
        <w:t>© Commonwealth of Australia 2014</w:t>
      </w:r>
      <w:r w:rsidR="0060031D">
        <w:tab/>
      </w:r>
    </w:p>
    <w:p w:rsidR="005C3C73" w:rsidRDefault="005C3C73" w:rsidP="005C3C73">
      <w:pPr>
        <w:pStyle w:val="Copyright"/>
      </w:pPr>
      <w:r>
        <w:t>This work is copyright. In addition to any use permitted under the Copyright Act 1968, all material contained within this work is provided under a Creative Commons Attributions 3.0 Australia licence, with the exception of:</w:t>
      </w:r>
    </w:p>
    <w:p w:rsidR="005C3C73" w:rsidRDefault="005C3C73" w:rsidP="005C3C73">
      <w:pPr>
        <w:pStyle w:val="Copyright"/>
        <w:numPr>
          <w:ilvl w:val="0"/>
          <w:numId w:val="12"/>
        </w:numPr>
        <w:spacing w:after="240"/>
      </w:pPr>
      <w:r>
        <w:t>the Commonwealth Coat of Arms</w:t>
      </w:r>
    </w:p>
    <w:p w:rsidR="005C3C73" w:rsidRDefault="005C3C73" w:rsidP="005C3C73">
      <w:pPr>
        <w:pStyle w:val="Copyright"/>
        <w:numPr>
          <w:ilvl w:val="0"/>
          <w:numId w:val="12"/>
        </w:numPr>
        <w:spacing w:after="240"/>
      </w:pPr>
      <w:r>
        <w:t>the ACCC and AER logos</w:t>
      </w:r>
    </w:p>
    <w:p w:rsidR="005C3C73" w:rsidRDefault="005C3C73" w:rsidP="005C3C73">
      <w:pPr>
        <w:pStyle w:val="Copyright"/>
      </w:pPr>
      <w: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5C3C73" w:rsidRDefault="005C3C73" w:rsidP="005C3C73">
      <w:pPr>
        <w:pStyle w:val="Copyright"/>
      </w:pPr>
      <w:r>
        <w:t>Requests and inquiries concerning reproduction and rights should be addressed to the Director, Corporate Communications, Australian Competition and Consumer Commission, GPO Box 4141, Canberra ACT 2601 or publishing.unit@accc.gov.au.</w:t>
      </w:r>
    </w:p>
    <w:p w:rsidR="005C3C73" w:rsidRPr="00C829B7" w:rsidRDefault="005C3C73" w:rsidP="005C3C73">
      <w:pPr>
        <w:pStyle w:val="Copyright"/>
      </w:pPr>
      <w:r>
        <w:t>Inquiries about this publication should be addressed to:</w:t>
      </w:r>
    </w:p>
    <w:p w:rsidR="005C3C73" w:rsidRDefault="005C3C73" w:rsidP="005C3C73">
      <w:pPr>
        <w:pStyle w:val="Copyright"/>
      </w:pPr>
      <w:r>
        <w:t>Australian Energy Regulator</w:t>
      </w:r>
    </w:p>
    <w:p w:rsidR="005C3C73" w:rsidRDefault="005C3C73" w:rsidP="005C3C73">
      <w:pPr>
        <w:pStyle w:val="Copyright"/>
      </w:pPr>
      <w:r>
        <w:t>GPO Box 520</w:t>
      </w:r>
    </w:p>
    <w:p w:rsidR="005C3C73" w:rsidRDefault="005C3C73" w:rsidP="005C3C73">
      <w:pPr>
        <w:pStyle w:val="Copyright"/>
      </w:pPr>
      <w:r>
        <w:t>Melbourne  Vic  3001</w:t>
      </w:r>
    </w:p>
    <w:p w:rsidR="005C3C73" w:rsidRDefault="005C3C73" w:rsidP="005C3C73">
      <w:pPr>
        <w:pStyle w:val="Copyright"/>
      </w:pPr>
      <w:r>
        <w:t>Tel: (03) 9290 1444</w:t>
      </w:r>
    </w:p>
    <w:p w:rsidR="005C3C73" w:rsidRDefault="005C3C73" w:rsidP="005C3C73">
      <w:pPr>
        <w:pStyle w:val="Copyright"/>
      </w:pPr>
      <w:r>
        <w:t>Fax: (03) 9290 1457</w:t>
      </w:r>
    </w:p>
    <w:p w:rsidR="005C3C73" w:rsidRDefault="005C3C73" w:rsidP="005C3C73">
      <w:pPr>
        <w:pStyle w:val="Copyright"/>
        <w:rPr>
          <w:rStyle w:val="Hyperlink"/>
        </w:rPr>
      </w:pPr>
      <w:r>
        <w:t xml:space="preserve">Email: </w:t>
      </w:r>
      <w:hyperlink r:id="rId12" w:history="1">
        <w:r w:rsidRPr="00D64888">
          <w:rPr>
            <w:rStyle w:val="Hyperlink"/>
          </w:rPr>
          <w:t>AERInquiry@aer.gov.au</w:t>
        </w:r>
      </w:hyperlink>
    </w:p>
    <w:p w:rsidR="00006B9E" w:rsidRDefault="00006B9E" w:rsidP="00006B9E">
      <w:pPr>
        <w:pStyle w:val="Copyright"/>
      </w:pPr>
      <w:r>
        <w:t>AER Reference: Trackit/Doris</w:t>
      </w:r>
    </w:p>
    <w:p w:rsidR="00EF456F" w:rsidRDefault="00EF456F" w:rsidP="009C613C"/>
    <w:p w:rsidR="005824AF" w:rsidRPr="005875FD" w:rsidRDefault="005875FD" w:rsidP="009C613C">
      <w:pPr>
        <w:rPr>
          <w:b/>
        </w:rPr>
      </w:pPr>
      <w:r w:rsidRPr="005875FD">
        <w:rPr>
          <w:b/>
        </w:rPr>
        <w:t>Amendment Record</w:t>
      </w:r>
    </w:p>
    <w:tbl>
      <w:tblPr>
        <w:tblStyle w:val="AERTable-Text"/>
        <w:tblW w:w="0" w:type="auto"/>
        <w:tblLook w:val="04A0" w:firstRow="1" w:lastRow="0" w:firstColumn="1" w:lastColumn="0" w:noHBand="0" w:noVBand="1"/>
      </w:tblPr>
      <w:tblGrid>
        <w:gridCol w:w="3936"/>
        <w:gridCol w:w="2693"/>
        <w:gridCol w:w="2613"/>
      </w:tblGrid>
      <w:tr w:rsidR="005875FD" w:rsidTr="008B52F9">
        <w:trPr>
          <w:cnfStyle w:val="100000000000" w:firstRow="1" w:lastRow="0" w:firstColumn="0" w:lastColumn="0" w:oddVBand="0" w:evenVBand="0" w:oddHBand="0" w:evenHBand="0" w:firstRowFirstColumn="0" w:firstRowLastColumn="0" w:lastRowFirstColumn="0" w:lastRowLastColumn="0"/>
        </w:trPr>
        <w:tc>
          <w:tcPr>
            <w:tcW w:w="3936" w:type="dxa"/>
          </w:tcPr>
          <w:p w:rsidR="005875FD" w:rsidRDefault="005875FD">
            <w:pPr>
              <w:spacing w:before="0" w:after="200"/>
            </w:pPr>
            <w:r>
              <w:t>Version</w:t>
            </w:r>
          </w:p>
        </w:tc>
        <w:tc>
          <w:tcPr>
            <w:tcW w:w="2693" w:type="dxa"/>
          </w:tcPr>
          <w:p w:rsidR="005875FD" w:rsidRDefault="005875FD">
            <w:pPr>
              <w:spacing w:before="0" w:after="200"/>
            </w:pPr>
            <w:r>
              <w:t>Date</w:t>
            </w:r>
          </w:p>
        </w:tc>
        <w:tc>
          <w:tcPr>
            <w:tcW w:w="2613" w:type="dxa"/>
          </w:tcPr>
          <w:p w:rsidR="005875FD" w:rsidRDefault="005875FD">
            <w:pPr>
              <w:spacing w:before="0" w:after="200"/>
            </w:pPr>
            <w:r>
              <w:t>Pages</w:t>
            </w:r>
          </w:p>
        </w:tc>
      </w:tr>
      <w:tr w:rsidR="005875FD" w:rsidTr="008B52F9">
        <w:tc>
          <w:tcPr>
            <w:tcW w:w="3936" w:type="dxa"/>
          </w:tcPr>
          <w:p w:rsidR="005875FD" w:rsidRDefault="00346199" w:rsidP="00DC015B">
            <w:pPr>
              <w:spacing w:before="0" w:after="200"/>
            </w:pPr>
            <w:r>
              <w:t xml:space="preserve">1.0 </w:t>
            </w:r>
          </w:p>
        </w:tc>
        <w:tc>
          <w:tcPr>
            <w:tcW w:w="2693" w:type="dxa"/>
          </w:tcPr>
          <w:p w:rsidR="005875FD" w:rsidRDefault="001E4272">
            <w:pPr>
              <w:spacing w:before="0" w:after="200"/>
            </w:pPr>
            <w:r>
              <w:t>December</w:t>
            </w:r>
            <w:r w:rsidR="00C56E7A">
              <w:t xml:space="preserve"> 2014</w:t>
            </w:r>
          </w:p>
        </w:tc>
        <w:tc>
          <w:tcPr>
            <w:tcW w:w="2613" w:type="dxa"/>
          </w:tcPr>
          <w:p w:rsidR="005875FD" w:rsidRDefault="00492C85">
            <w:pPr>
              <w:spacing w:before="0" w:after="200"/>
            </w:pPr>
            <w:r>
              <w:t>9</w:t>
            </w:r>
          </w:p>
        </w:tc>
      </w:tr>
    </w:tbl>
    <w:bookmarkStart w:id="1" w:name="_Toc360530357" w:displacedByCustomXml="next"/>
    <w:sdt>
      <w:sdtPr>
        <w:rPr>
          <w:rFonts w:cstheme="minorBidi"/>
          <w:b w:val="0"/>
          <w:color w:val="auto"/>
          <w:sz w:val="22"/>
          <w:szCs w:val="22"/>
        </w:rPr>
        <w:id w:val="410899039"/>
        <w:docPartObj>
          <w:docPartGallery w:val="Table of Contents"/>
          <w:docPartUnique/>
        </w:docPartObj>
      </w:sdtPr>
      <w:sdtEndPr>
        <w:rPr>
          <w:bCs/>
          <w:noProof/>
        </w:rPr>
      </w:sdtEndPr>
      <w:sdtContent>
        <w:p w:rsidR="00B6465D" w:rsidRDefault="00B6465D">
          <w:pPr>
            <w:pStyle w:val="TOCHeading"/>
          </w:pPr>
          <w:r>
            <w:t>Table of Contents</w:t>
          </w:r>
        </w:p>
        <w:p w:rsidR="0060031D" w:rsidRDefault="00B6465D">
          <w:pPr>
            <w:pStyle w:val="TOC1"/>
            <w:rPr>
              <w:rFonts w:asciiTheme="minorHAnsi" w:eastAsiaTheme="minorEastAsia" w:hAnsiTheme="minorHAnsi"/>
              <w:b w:val="0"/>
              <w:noProof/>
              <w:color w:val="auto"/>
              <w:sz w:val="22"/>
              <w:lang w:eastAsia="en-AU"/>
            </w:rPr>
          </w:pPr>
          <w:r>
            <w:fldChar w:fldCharType="begin"/>
          </w:r>
          <w:r>
            <w:instrText xml:space="preserve"> TOC \o "1-3" \h \z \u </w:instrText>
          </w:r>
          <w:r>
            <w:fldChar w:fldCharType="separate"/>
          </w:r>
          <w:hyperlink w:anchor="_Toc407011904" w:history="1">
            <w:r w:rsidR="0060031D" w:rsidRPr="004F77FB">
              <w:rPr>
                <w:rStyle w:val="Hyperlink"/>
                <w:noProof/>
              </w:rPr>
              <w:t>Shortened forms</w:t>
            </w:r>
            <w:r w:rsidR="0060031D">
              <w:rPr>
                <w:noProof/>
                <w:webHidden/>
              </w:rPr>
              <w:tab/>
            </w:r>
            <w:r w:rsidR="0060031D">
              <w:rPr>
                <w:noProof/>
                <w:webHidden/>
              </w:rPr>
              <w:fldChar w:fldCharType="begin"/>
            </w:r>
            <w:r w:rsidR="0060031D">
              <w:rPr>
                <w:noProof/>
                <w:webHidden/>
              </w:rPr>
              <w:instrText xml:space="preserve"> PAGEREF _Toc407011904 \h </w:instrText>
            </w:r>
            <w:r w:rsidR="0060031D">
              <w:rPr>
                <w:noProof/>
                <w:webHidden/>
              </w:rPr>
            </w:r>
            <w:r w:rsidR="0060031D">
              <w:rPr>
                <w:noProof/>
                <w:webHidden/>
              </w:rPr>
              <w:fldChar w:fldCharType="separate"/>
            </w:r>
            <w:r w:rsidR="0037236A">
              <w:rPr>
                <w:noProof/>
                <w:webHidden/>
              </w:rPr>
              <w:t>2</w:t>
            </w:r>
            <w:r w:rsidR="0060031D">
              <w:rPr>
                <w:noProof/>
                <w:webHidden/>
              </w:rPr>
              <w:fldChar w:fldCharType="end"/>
            </w:r>
          </w:hyperlink>
        </w:p>
        <w:p w:rsidR="0060031D" w:rsidRDefault="0037236A">
          <w:pPr>
            <w:pStyle w:val="TOC1"/>
            <w:rPr>
              <w:rFonts w:asciiTheme="minorHAnsi" w:eastAsiaTheme="minorEastAsia" w:hAnsiTheme="minorHAnsi"/>
              <w:b w:val="0"/>
              <w:noProof/>
              <w:color w:val="auto"/>
              <w:sz w:val="22"/>
              <w:lang w:eastAsia="en-AU"/>
            </w:rPr>
          </w:pPr>
          <w:hyperlink w:anchor="_Toc407011905" w:history="1">
            <w:r w:rsidR="0060031D" w:rsidRPr="004F77FB">
              <w:rPr>
                <w:rStyle w:val="Hyperlink"/>
                <w:noProof/>
              </w:rPr>
              <w:t>Nature and authority</w:t>
            </w:r>
            <w:r w:rsidR="0060031D">
              <w:rPr>
                <w:noProof/>
                <w:webHidden/>
              </w:rPr>
              <w:tab/>
            </w:r>
            <w:r w:rsidR="0060031D">
              <w:rPr>
                <w:noProof/>
                <w:webHidden/>
              </w:rPr>
              <w:fldChar w:fldCharType="begin"/>
            </w:r>
            <w:r w:rsidR="0060031D">
              <w:rPr>
                <w:noProof/>
                <w:webHidden/>
              </w:rPr>
              <w:instrText xml:space="preserve"> PAGEREF _Toc407011905 \h </w:instrText>
            </w:r>
            <w:r w:rsidR="0060031D">
              <w:rPr>
                <w:noProof/>
                <w:webHidden/>
              </w:rPr>
            </w:r>
            <w:r w:rsidR="0060031D">
              <w:rPr>
                <w:noProof/>
                <w:webHidden/>
              </w:rPr>
              <w:fldChar w:fldCharType="separate"/>
            </w:r>
            <w:r>
              <w:rPr>
                <w:noProof/>
                <w:webHidden/>
              </w:rPr>
              <w:t>3</w:t>
            </w:r>
            <w:r w:rsidR="0060031D">
              <w:rPr>
                <w:noProof/>
                <w:webHidden/>
              </w:rPr>
              <w:fldChar w:fldCharType="end"/>
            </w:r>
          </w:hyperlink>
        </w:p>
        <w:p w:rsidR="0060031D" w:rsidRDefault="0037236A">
          <w:pPr>
            <w:pStyle w:val="TOC3"/>
            <w:rPr>
              <w:rFonts w:asciiTheme="minorHAnsi" w:eastAsiaTheme="minorEastAsia" w:hAnsiTheme="minorHAnsi"/>
              <w:noProof/>
              <w:lang w:eastAsia="en-AU"/>
            </w:rPr>
          </w:pPr>
          <w:hyperlink w:anchor="_Toc407011906" w:history="1">
            <w:r w:rsidR="0060031D" w:rsidRPr="004F77FB">
              <w:rPr>
                <w:rStyle w:val="Hyperlink"/>
                <w:noProof/>
              </w:rPr>
              <w:t>Introduction</w:t>
            </w:r>
            <w:r w:rsidR="0060031D">
              <w:rPr>
                <w:noProof/>
                <w:webHidden/>
              </w:rPr>
              <w:tab/>
            </w:r>
            <w:r w:rsidR="0060031D">
              <w:rPr>
                <w:noProof/>
                <w:webHidden/>
              </w:rPr>
              <w:fldChar w:fldCharType="begin"/>
            </w:r>
            <w:r w:rsidR="0060031D">
              <w:rPr>
                <w:noProof/>
                <w:webHidden/>
              </w:rPr>
              <w:instrText xml:space="preserve"> PAGEREF _Toc407011906 \h </w:instrText>
            </w:r>
            <w:r w:rsidR="0060031D">
              <w:rPr>
                <w:noProof/>
                <w:webHidden/>
              </w:rPr>
            </w:r>
            <w:r w:rsidR="0060031D">
              <w:rPr>
                <w:noProof/>
                <w:webHidden/>
              </w:rPr>
              <w:fldChar w:fldCharType="separate"/>
            </w:r>
            <w:r>
              <w:rPr>
                <w:noProof/>
                <w:webHidden/>
              </w:rPr>
              <w:t>3</w:t>
            </w:r>
            <w:r w:rsidR="0060031D">
              <w:rPr>
                <w:noProof/>
                <w:webHidden/>
              </w:rPr>
              <w:fldChar w:fldCharType="end"/>
            </w:r>
          </w:hyperlink>
        </w:p>
        <w:p w:rsidR="0060031D" w:rsidRDefault="0037236A">
          <w:pPr>
            <w:pStyle w:val="TOC3"/>
            <w:rPr>
              <w:rFonts w:asciiTheme="minorHAnsi" w:eastAsiaTheme="minorEastAsia" w:hAnsiTheme="minorHAnsi"/>
              <w:noProof/>
              <w:lang w:eastAsia="en-AU"/>
            </w:rPr>
          </w:pPr>
          <w:hyperlink w:anchor="_Toc407011907" w:history="1">
            <w:r w:rsidR="0060031D" w:rsidRPr="004F77FB">
              <w:rPr>
                <w:rStyle w:val="Hyperlink"/>
                <w:noProof/>
              </w:rPr>
              <w:t>Authority</w:t>
            </w:r>
            <w:r w:rsidR="0060031D">
              <w:rPr>
                <w:noProof/>
                <w:webHidden/>
              </w:rPr>
              <w:tab/>
            </w:r>
            <w:r w:rsidR="0060031D">
              <w:rPr>
                <w:noProof/>
                <w:webHidden/>
              </w:rPr>
              <w:fldChar w:fldCharType="begin"/>
            </w:r>
            <w:r w:rsidR="0060031D">
              <w:rPr>
                <w:noProof/>
                <w:webHidden/>
              </w:rPr>
              <w:instrText xml:space="preserve"> PAGEREF _Toc407011907 \h </w:instrText>
            </w:r>
            <w:r w:rsidR="0060031D">
              <w:rPr>
                <w:noProof/>
                <w:webHidden/>
              </w:rPr>
            </w:r>
            <w:r w:rsidR="0060031D">
              <w:rPr>
                <w:noProof/>
                <w:webHidden/>
              </w:rPr>
              <w:fldChar w:fldCharType="separate"/>
            </w:r>
            <w:r>
              <w:rPr>
                <w:noProof/>
                <w:webHidden/>
              </w:rPr>
              <w:t>3</w:t>
            </w:r>
            <w:r w:rsidR="0060031D">
              <w:rPr>
                <w:noProof/>
                <w:webHidden/>
              </w:rPr>
              <w:fldChar w:fldCharType="end"/>
            </w:r>
          </w:hyperlink>
        </w:p>
        <w:p w:rsidR="0060031D" w:rsidRDefault="0037236A">
          <w:pPr>
            <w:pStyle w:val="TOC3"/>
            <w:rPr>
              <w:rFonts w:asciiTheme="minorHAnsi" w:eastAsiaTheme="minorEastAsia" w:hAnsiTheme="minorHAnsi"/>
              <w:noProof/>
              <w:lang w:eastAsia="en-AU"/>
            </w:rPr>
          </w:pPr>
          <w:hyperlink w:anchor="_Toc407011908" w:history="1">
            <w:r w:rsidR="0060031D" w:rsidRPr="004F77FB">
              <w:rPr>
                <w:rStyle w:val="Hyperlink"/>
                <w:noProof/>
              </w:rPr>
              <w:t>Role and purpose of the guideline</w:t>
            </w:r>
            <w:r w:rsidR="0060031D">
              <w:rPr>
                <w:noProof/>
                <w:webHidden/>
              </w:rPr>
              <w:tab/>
            </w:r>
            <w:r w:rsidR="0060031D">
              <w:rPr>
                <w:noProof/>
                <w:webHidden/>
              </w:rPr>
              <w:fldChar w:fldCharType="begin"/>
            </w:r>
            <w:r w:rsidR="0060031D">
              <w:rPr>
                <w:noProof/>
                <w:webHidden/>
              </w:rPr>
              <w:instrText xml:space="preserve"> PAGEREF _Toc407011908 \h </w:instrText>
            </w:r>
            <w:r w:rsidR="0060031D">
              <w:rPr>
                <w:noProof/>
                <w:webHidden/>
              </w:rPr>
            </w:r>
            <w:r w:rsidR="0060031D">
              <w:rPr>
                <w:noProof/>
                <w:webHidden/>
              </w:rPr>
              <w:fldChar w:fldCharType="separate"/>
            </w:r>
            <w:r>
              <w:rPr>
                <w:noProof/>
                <w:webHidden/>
              </w:rPr>
              <w:t>3</w:t>
            </w:r>
            <w:r w:rsidR="0060031D">
              <w:rPr>
                <w:noProof/>
                <w:webHidden/>
              </w:rPr>
              <w:fldChar w:fldCharType="end"/>
            </w:r>
          </w:hyperlink>
        </w:p>
        <w:p w:rsidR="0060031D" w:rsidRDefault="0037236A">
          <w:pPr>
            <w:pStyle w:val="TOC3"/>
            <w:rPr>
              <w:rFonts w:asciiTheme="minorHAnsi" w:eastAsiaTheme="minorEastAsia" w:hAnsiTheme="minorHAnsi"/>
              <w:noProof/>
              <w:lang w:eastAsia="en-AU"/>
            </w:rPr>
          </w:pPr>
          <w:hyperlink w:anchor="_Toc407011909" w:history="1">
            <w:r w:rsidR="0060031D" w:rsidRPr="004F77FB">
              <w:rPr>
                <w:rStyle w:val="Hyperlink"/>
                <w:noProof/>
              </w:rPr>
              <w:t>Definitions and interpretation</w:t>
            </w:r>
            <w:r w:rsidR="0060031D">
              <w:rPr>
                <w:noProof/>
                <w:webHidden/>
              </w:rPr>
              <w:tab/>
            </w:r>
            <w:r w:rsidR="0060031D">
              <w:rPr>
                <w:noProof/>
                <w:webHidden/>
              </w:rPr>
              <w:fldChar w:fldCharType="begin"/>
            </w:r>
            <w:r w:rsidR="0060031D">
              <w:rPr>
                <w:noProof/>
                <w:webHidden/>
              </w:rPr>
              <w:instrText xml:space="preserve"> PAGEREF _Toc407011909 \h </w:instrText>
            </w:r>
            <w:r w:rsidR="0060031D">
              <w:rPr>
                <w:noProof/>
                <w:webHidden/>
              </w:rPr>
            </w:r>
            <w:r w:rsidR="0060031D">
              <w:rPr>
                <w:noProof/>
                <w:webHidden/>
              </w:rPr>
              <w:fldChar w:fldCharType="separate"/>
            </w:r>
            <w:r>
              <w:rPr>
                <w:noProof/>
                <w:webHidden/>
              </w:rPr>
              <w:t>4</w:t>
            </w:r>
            <w:r w:rsidR="0060031D">
              <w:rPr>
                <w:noProof/>
                <w:webHidden/>
              </w:rPr>
              <w:fldChar w:fldCharType="end"/>
            </w:r>
          </w:hyperlink>
        </w:p>
        <w:p w:rsidR="0060031D" w:rsidRDefault="0037236A">
          <w:pPr>
            <w:pStyle w:val="TOC3"/>
            <w:rPr>
              <w:rFonts w:asciiTheme="minorHAnsi" w:eastAsiaTheme="minorEastAsia" w:hAnsiTheme="minorHAnsi"/>
              <w:noProof/>
              <w:lang w:eastAsia="en-AU"/>
            </w:rPr>
          </w:pPr>
          <w:hyperlink w:anchor="_Toc407011910" w:history="1">
            <w:r w:rsidR="0060031D" w:rsidRPr="004F77FB">
              <w:rPr>
                <w:rStyle w:val="Hyperlink"/>
                <w:noProof/>
              </w:rPr>
              <w:t>Version history and effective date</w:t>
            </w:r>
            <w:r w:rsidR="0060031D">
              <w:rPr>
                <w:noProof/>
                <w:webHidden/>
              </w:rPr>
              <w:tab/>
            </w:r>
            <w:r w:rsidR="0060031D">
              <w:rPr>
                <w:noProof/>
                <w:webHidden/>
              </w:rPr>
              <w:fldChar w:fldCharType="begin"/>
            </w:r>
            <w:r w:rsidR="0060031D">
              <w:rPr>
                <w:noProof/>
                <w:webHidden/>
              </w:rPr>
              <w:instrText xml:space="preserve"> PAGEREF _Toc407011910 \h </w:instrText>
            </w:r>
            <w:r w:rsidR="0060031D">
              <w:rPr>
                <w:noProof/>
                <w:webHidden/>
              </w:rPr>
            </w:r>
            <w:r w:rsidR="0060031D">
              <w:rPr>
                <w:noProof/>
                <w:webHidden/>
              </w:rPr>
              <w:fldChar w:fldCharType="separate"/>
            </w:r>
            <w:r>
              <w:rPr>
                <w:noProof/>
                <w:webHidden/>
              </w:rPr>
              <w:t>4</w:t>
            </w:r>
            <w:r w:rsidR="0060031D">
              <w:rPr>
                <w:noProof/>
                <w:webHidden/>
              </w:rPr>
              <w:fldChar w:fldCharType="end"/>
            </w:r>
          </w:hyperlink>
        </w:p>
        <w:p w:rsidR="0060031D" w:rsidRDefault="0037236A">
          <w:pPr>
            <w:pStyle w:val="TOC1"/>
            <w:rPr>
              <w:rFonts w:asciiTheme="minorHAnsi" w:eastAsiaTheme="minorEastAsia" w:hAnsiTheme="minorHAnsi"/>
              <w:b w:val="0"/>
              <w:noProof/>
              <w:color w:val="auto"/>
              <w:sz w:val="22"/>
              <w:lang w:eastAsia="en-AU"/>
            </w:rPr>
          </w:pPr>
          <w:hyperlink w:anchor="_Toc407011911" w:history="1">
            <w:r w:rsidR="0060031D" w:rsidRPr="004F77FB">
              <w:rPr>
                <w:rStyle w:val="Hyperlink"/>
                <w:noProof/>
              </w:rPr>
              <w:t>How to make submissions</w:t>
            </w:r>
            <w:r w:rsidR="0060031D">
              <w:rPr>
                <w:noProof/>
                <w:webHidden/>
              </w:rPr>
              <w:tab/>
            </w:r>
            <w:r w:rsidR="0060031D">
              <w:rPr>
                <w:noProof/>
                <w:webHidden/>
              </w:rPr>
              <w:fldChar w:fldCharType="begin"/>
            </w:r>
            <w:r w:rsidR="0060031D">
              <w:rPr>
                <w:noProof/>
                <w:webHidden/>
              </w:rPr>
              <w:instrText xml:space="preserve"> PAGEREF _Toc407011911 \h </w:instrText>
            </w:r>
            <w:r w:rsidR="0060031D">
              <w:rPr>
                <w:noProof/>
                <w:webHidden/>
              </w:rPr>
            </w:r>
            <w:r w:rsidR="0060031D">
              <w:rPr>
                <w:noProof/>
                <w:webHidden/>
              </w:rPr>
              <w:fldChar w:fldCharType="separate"/>
            </w:r>
            <w:r>
              <w:rPr>
                <w:noProof/>
                <w:webHidden/>
              </w:rPr>
              <w:t>5</w:t>
            </w:r>
            <w:r w:rsidR="0060031D">
              <w:rPr>
                <w:noProof/>
                <w:webHidden/>
              </w:rPr>
              <w:fldChar w:fldCharType="end"/>
            </w:r>
          </w:hyperlink>
        </w:p>
        <w:p w:rsidR="0060031D" w:rsidRDefault="0037236A">
          <w:pPr>
            <w:pStyle w:val="TOC1"/>
            <w:rPr>
              <w:rFonts w:asciiTheme="minorHAnsi" w:eastAsiaTheme="minorEastAsia" w:hAnsiTheme="minorHAnsi"/>
              <w:b w:val="0"/>
              <w:noProof/>
              <w:color w:val="auto"/>
              <w:sz w:val="22"/>
              <w:lang w:eastAsia="en-AU"/>
            </w:rPr>
          </w:pPr>
          <w:hyperlink w:anchor="_Toc407011912" w:history="1">
            <w:r w:rsidR="0060031D" w:rsidRPr="004F77FB">
              <w:rPr>
                <w:rStyle w:val="Hyperlink"/>
                <w:noProof/>
              </w:rPr>
              <w:t>Proposed amendments</w:t>
            </w:r>
            <w:r w:rsidR="0060031D">
              <w:rPr>
                <w:noProof/>
                <w:webHidden/>
              </w:rPr>
              <w:tab/>
            </w:r>
            <w:r w:rsidR="0060031D">
              <w:rPr>
                <w:noProof/>
                <w:webHidden/>
              </w:rPr>
              <w:fldChar w:fldCharType="begin"/>
            </w:r>
            <w:r w:rsidR="0060031D">
              <w:rPr>
                <w:noProof/>
                <w:webHidden/>
              </w:rPr>
              <w:instrText xml:space="preserve"> PAGEREF _Toc407011912 \h </w:instrText>
            </w:r>
            <w:r w:rsidR="0060031D">
              <w:rPr>
                <w:noProof/>
                <w:webHidden/>
              </w:rPr>
            </w:r>
            <w:r w:rsidR="0060031D">
              <w:rPr>
                <w:noProof/>
                <w:webHidden/>
              </w:rPr>
              <w:fldChar w:fldCharType="separate"/>
            </w:r>
            <w:r>
              <w:rPr>
                <w:noProof/>
                <w:webHidden/>
              </w:rPr>
              <w:t>6</w:t>
            </w:r>
            <w:r w:rsidR="0060031D">
              <w:rPr>
                <w:noProof/>
                <w:webHidden/>
              </w:rPr>
              <w:fldChar w:fldCharType="end"/>
            </w:r>
          </w:hyperlink>
        </w:p>
        <w:p w:rsidR="0060031D" w:rsidRDefault="0037236A">
          <w:pPr>
            <w:pStyle w:val="TOC2"/>
            <w:rPr>
              <w:rFonts w:asciiTheme="minorHAnsi" w:eastAsiaTheme="minorEastAsia" w:hAnsiTheme="minorHAnsi"/>
              <w:noProof/>
              <w:sz w:val="22"/>
              <w:lang w:eastAsia="en-AU"/>
            </w:rPr>
          </w:pPr>
          <w:hyperlink w:anchor="_Toc407011913" w:history="1">
            <w:r w:rsidR="0060031D" w:rsidRPr="004F77FB">
              <w:rPr>
                <w:rStyle w:val="Hyperlink"/>
                <w:noProof/>
              </w:rPr>
              <w:t>Introductory section</w:t>
            </w:r>
            <w:r w:rsidR="0060031D">
              <w:rPr>
                <w:noProof/>
                <w:webHidden/>
              </w:rPr>
              <w:tab/>
            </w:r>
            <w:r w:rsidR="0060031D">
              <w:rPr>
                <w:noProof/>
                <w:webHidden/>
              </w:rPr>
              <w:fldChar w:fldCharType="begin"/>
            </w:r>
            <w:r w:rsidR="0060031D">
              <w:rPr>
                <w:noProof/>
                <w:webHidden/>
              </w:rPr>
              <w:instrText xml:space="preserve"> PAGEREF _Toc407011913 \h </w:instrText>
            </w:r>
            <w:r w:rsidR="0060031D">
              <w:rPr>
                <w:noProof/>
                <w:webHidden/>
              </w:rPr>
            </w:r>
            <w:r w:rsidR="0060031D">
              <w:rPr>
                <w:noProof/>
                <w:webHidden/>
              </w:rPr>
              <w:fldChar w:fldCharType="separate"/>
            </w:r>
            <w:r>
              <w:rPr>
                <w:noProof/>
                <w:webHidden/>
              </w:rPr>
              <w:t>6</w:t>
            </w:r>
            <w:r w:rsidR="0060031D">
              <w:rPr>
                <w:noProof/>
                <w:webHidden/>
              </w:rPr>
              <w:fldChar w:fldCharType="end"/>
            </w:r>
          </w:hyperlink>
        </w:p>
        <w:p w:rsidR="0060031D" w:rsidRDefault="0037236A">
          <w:pPr>
            <w:pStyle w:val="TOC2"/>
            <w:rPr>
              <w:rFonts w:asciiTheme="minorHAnsi" w:eastAsiaTheme="minorEastAsia" w:hAnsiTheme="minorHAnsi"/>
              <w:noProof/>
              <w:sz w:val="22"/>
              <w:lang w:eastAsia="en-AU"/>
            </w:rPr>
          </w:pPr>
          <w:hyperlink w:anchor="_Toc407011914" w:history="1">
            <w:r w:rsidR="0060031D" w:rsidRPr="004F77FB">
              <w:rPr>
                <w:rStyle w:val="Hyperlink"/>
                <w:noProof/>
              </w:rPr>
              <w:t>Registrable exemptions and new entrants</w:t>
            </w:r>
            <w:r w:rsidR="0060031D">
              <w:rPr>
                <w:noProof/>
                <w:webHidden/>
              </w:rPr>
              <w:tab/>
            </w:r>
            <w:r w:rsidR="0060031D">
              <w:rPr>
                <w:noProof/>
                <w:webHidden/>
              </w:rPr>
              <w:fldChar w:fldCharType="begin"/>
            </w:r>
            <w:r w:rsidR="0060031D">
              <w:rPr>
                <w:noProof/>
                <w:webHidden/>
              </w:rPr>
              <w:instrText xml:space="preserve"> PAGEREF _Toc407011914 \h </w:instrText>
            </w:r>
            <w:r w:rsidR="0060031D">
              <w:rPr>
                <w:noProof/>
                <w:webHidden/>
              </w:rPr>
            </w:r>
            <w:r w:rsidR="0060031D">
              <w:rPr>
                <w:noProof/>
                <w:webHidden/>
              </w:rPr>
              <w:fldChar w:fldCharType="separate"/>
            </w:r>
            <w:r>
              <w:rPr>
                <w:noProof/>
                <w:webHidden/>
              </w:rPr>
              <w:t>6</w:t>
            </w:r>
            <w:r w:rsidR="0060031D">
              <w:rPr>
                <w:noProof/>
                <w:webHidden/>
              </w:rPr>
              <w:fldChar w:fldCharType="end"/>
            </w:r>
          </w:hyperlink>
        </w:p>
        <w:p w:rsidR="0060031D" w:rsidRDefault="0037236A">
          <w:pPr>
            <w:pStyle w:val="TOC2"/>
            <w:rPr>
              <w:rFonts w:asciiTheme="minorHAnsi" w:eastAsiaTheme="minorEastAsia" w:hAnsiTheme="minorHAnsi"/>
              <w:noProof/>
              <w:sz w:val="22"/>
              <w:lang w:eastAsia="en-AU"/>
            </w:rPr>
          </w:pPr>
          <w:hyperlink w:anchor="_Toc407011915" w:history="1">
            <w:r w:rsidR="0060031D" w:rsidRPr="004F77FB">
              <w:rPr>
                <w:rStyle w:val="Hyperlink"/>
                <w:noProof/>
              </w:rPr>
              <w:t>Further amendments</w:t>
            </w:r>
            <w:r w:rsidR="0060031D">
              <w:rPr>
                <w:noProof/>
                <w:webHidden/>
              </w:rPr>
              <w:tab/>
            </w:r>
            <w:r w:rsidR="0060031D">
              <w:rPr>
                <w:noProof/>
                <w:webHidden/>
              </w:rPr>
              <w:fldChar w:fldCharType="begin"/>
            </w:r>
            <w:r w:rsidR="0060031D">
              <w:rPr>
                <w:noProof/>
                <w:webHidden/>
              </w:rPr>
              <w:instrText xml:space="preserve"> PAGEREF _Toc407011915 \h </w:instrText>
            </w:r>
            <w:r w:rsidR="0060031D">
              <w:rPr>
                <w:noProof/>
                <w:webHidden/>
              </w:rPr>
            </w:r>
            <w:r w:rsidR="0060031D">
              <w:rPr>
                <w:noProof/>
                <w:webHidden/>
              </w:rPr>
              <w:fldChar w:fldCharType="separate"/>
            </w:r>
            <w:r>
              <w:rPr>
                <w:noProof/>
                <w:webHidden/>
              </w:rPr>
              <w:t>7</w:t>
            </w:r>
            <w:r w:rsidR="0060031D">
              <w:rPr>
                <w:noProof/>
                <w:webHidden/>
              </w:rPr>
              <w:fldChar w:fldCharType="end"/>
            </w:r>
          </w:hyperlink>
        </w:p>
        <w:p w:rsidR="00D2244D" w:rsidRPr="00D2244D" w:rsidRDefault="00B6465D" w:rsidP="00B6465D">
          <w:r>
            <w:rPr>
              <w:b/>
              <w:bCs/>
              <w:noProof/>
            </w:rPr>
            <w:fldChar w:fldCharType="end"/>
          </w:r>
        </w:p>
      </w:sdtContent>
    </w:sdt>
    <w:p w:rsidR="00AB31C2" w:rsidRDefault="00AB31C2" w:rsidP="00DC015B">
      <w:pPr>
        <w:pStyle w:val="Heading1"/>
      </w:pPr>
      <w:bookmarkStart w:id="2" w:name="_Toc407011904"/>
      <w:r>
        <w:lastRenderedPageBreak/>
        <w:t>Shortened forms</w:t>
      </w:r>
      <w:bookmarkEnd w:id="2"/>
      <w:bookmarkEnd w:id="1"/>
      <w:r>
        <w:t xml:space="preserve"> </w:t>
      </w:r>
    </w:p>
    <w:tbl>
      <w:tblPr>
        <w:tblStyle w:val="AERtable-text0"/>
        <w:tblW w:w="5000" w:type="pct"/>
        <w:tblLook w:val="01E0" w:firstRow="1" w:lastRow="1" w:firstColumn="1" w:lastColumn="1" w:noHBand="0" w:noVBand="0"/>
      </w:tblPr>
      <w:tblGrid>
        <w:gridCol w:w="4813"/>
        <w:gridCol w:w="4429"/>
      </w:tblGrid>
      <w:tr w:rsidR="00AB31C2" w:rsidTr="00AB31C2">
        <w:trPr>
          <w:cnfStyle w:val="100000000000" w:firstRow="1" w:lastRow="0" w:firstColumn="0" w:lastColumn="0" w:oddVBand="0" w:evenVBand="0" w:oddHBand="0" w:evenHBand="0" w:firstRowFirstColumn="0" w:firstRowLastColumn="0" w:lastRowFirstColumn="0" w:lastRowLastColumn="0"/>
        </w:trPr>
        <w:tc>
          <w:tcPr>
            <w:tcW w:w="2604" w:type="pct"/>
          </w:tcPr>
          <w:p w:rsidR="00AB31C2" w:rsidRPr="00427E4B" w:rsidRDefault="00AB31C2" w:rsidP="00BE4727">
            <w:pPr>
              <w:pStyle w:val="AERtabletextleft"/>
            </w:pPr>
            <w:r>
              <w:t>Shortened form</w:t>
            </w:r>
          </w:p>
        </w:tc>
        <w:tc>
          <w:tcPr>
            <w:tcW w:w="2396" w:type="pct"/>
          </w:tcPr>
          <w:p w:rsidR="00AB31C2" w:rsidRPr="00427E4B" w:rsidRDefault="00AB31C2" w:rsidP="00BE4727">
            <w:pPr>
              <w:pStyle w:val="AERtabletextleft"/>
            </w:pPr>
            <w:r>
              <w:t>Long form</w:t>
            </w:r>
          </w:p>
        </w:tc>
      </w:tr>
      <w:tr w:rsidR="00AB31C2" w:rsidTr="00AB31C2">
        <w:tc>
          <w:tcPr>
            <w:tcW w:w="2604" w:type="pct"/>
          </w:tcPr>
          <w:p w:rsidR="00AB31C2" w:rsidRDefault="00AB31C2" w:rsidP="00AB31C2">
            <w:pPr>
              <w:pStyle w:val="AERtabletextleft"/>
            </w:pPr>
            <w:r>
              <w:t>AER</w:t>
            </w:r>
          </w:p>
        </w:tc>
        <w:tc>
          <w:tcPr>
            <w:tcW w:w="2396" w:type="pct"/>
          </w:tcPr>
          <w:p w:rsidR="00AB31C2" w:rsidRDefault="00AB31C2" w:rsidP="00AB31C2">
            <w:pPr>
              <w:pStyle w:val="AERtabletextleft"/>
            </w:pPr>
            <w:r>
              <w:t>Australian Energy Regulator</w:t>
            </w:r>
          </w:p>
        </w:tc>
      </w:tr>
      <w:tr w:rsidR="00AB31C2" w:rsidTr="00AB31C2">
        <w:trPr>
          <w:cnfStyle w:val="000000010000" w:firstRow="0" w:lastRow="0" w:firstColumn="0" w:lastColumn="0" w:oddVBand="0" w:evenVBand="0" w:oddHBand="0" w:evenHBand="1" w:firstRowFirstColumn="0" w:firstRowLastColumn="0" w:lastRowFirstColumn="0" w:lastRowLastColumn="0"/>
        </w:trPr>
        <w:tc>
          <w:tcPr>
            <w:tcW w:w="2604" w:type="pct"/>
          </w:tcPr>
          <w:p w:rsidR="00AB31C2" w:rsidRDefault="00AB31C2" w:rsidP="00AB31C2">
            <w:pPr>
              <w:pStyle w:val="AERtabletextleft"/>
            </w:pPr>
            <w:r>
              <w:t xml:space="preserve">guideline </w:t>
            </w:r>
          </w:p>
        </w:tc>
        <w:tc>
          <w:tcPr>
            <w:tcW w:w="2396" w:type="pct"/>
          </w:tcPr>
          <w:p w:rsidR="00AB31C2" w:rsidRDefault="00AB31C2" w:rsidP="00AB31C2">
            <w:pPr>
              <w:pStyle w:val="AERtabletextleft"/>
            </w:pPr>
            <w:r w:rsidRPr="00AB31C2">
              <w:t>AER (Retail) Exempt selling guideline</w:t>
            </w:r>
          </w:p>
        </w:tc>
      </w:tr>
      <w:tr w:rsidR="00AB31C2" w:rsidTr="00AB31C2">
        <w:tc>
          <w:tcPr>
            <w:tcW w:w="2604" w:type="pct"/>
          </w:tcPr>
          <w:p w:rsidR="00AB31C2" w:rsidRDefault="00AB31C2" w:rsidP="00AB31C2">
            <w:pPr>
              <w:pStyle w:val="AERtabletextleft"/>
            </w:pPr>
            <w:r>
              <w:t>Retail Law</w:t>
            </w:r>
          </w:p>
        </w:tc>
        <w:tc>
          <w:tcPr>
            <w:tcW w:w="2396" w:type="pct"/>
          </w:tcPr>
          <w:p w:rsidR="00AB31C2" w:rsidRPr="00AB31C2" w:rsidRDefault="00AB31C2" w:rsidP="00AB31C2">
            <w:pPr>
              <w:pStyle w:val="AERtabletextleft"/>
            </w:pPr>
            <w:r>
              <w:t>National Energy Retail Law</w:t>
            </w:r>
          </w:p>
        </w:tc>
      </w:tr>
      <w:tr w:rsidR="00AB31C2" w:rsidTr="00AB31C2">
        <w:trPr>
          <w:cnfStyle w:val="000000010000" w:firstRow="0" w:lastRow="0" w:firstColumn="0" w:lastColumn="0" w:oddVBand="0" w:evenVBand="0" w:oddHBand="0" w:evenHBand="1" w:firstRowFirstColumn="0" w:firstRowLastColumn="0" w:lastRowFirstColumn="0" w:lastRowLastColumn="0"/>
        </w:trPr>
        <w:tc>
          <w:tcPr>
            <w:tcW w:w="2604" w:type="pct"/>
          </w:tcPr>
          <w:p w:rsidR="00AB31C2" w:rsidRDefault="00AB31C2" w:rsidP="00AB31C2">
            <w:pPr>
              <w:pStyle w:val="AERtabletextleft"/>
            </w:pPr>
            <w:r>
              <w:t>Retail Rules</w:t>
            </w:r>
          </w:p>
        </w:tc>
        <w:tc>
          <w:tcPr>
            <w:tcW w:w="2396" w:type="pct"/>
          </w:tcPr>
          <w:p w:rsidR="00AB31C2" w:rsidRPr="00AB31C2" w:rsidRDefault="00AB31C2" w:rsidP="00AB31C2">
            <w:pPr>
              <w:pStyle w:val="AERtabletextleft"/>
            </w:pPr>
            <w:r>
              <w:t>National Energy Retail Rules</w:t>
            </w:r>
          </w:p>
        </w:tc>
      </w:tr>
    </w:tbl>
    <w:p w:rsidR="00AB31C2" w:rsidRPr="00AB31C2" w:rsidRDefault="00AB31C2" w:rsidP="00AB31C2">
      <w:pPr>
        <w:pStyle w:val="AERtabletextleft"/>
      </w:pPr>
    </w:p>
    <w:p w:rsidR="00DC015B" w:rsidRDefault="00DC015B" w:rsidP="00DC015B">
      <w:pPr>
        <w:pStyle w:val="Heading1"/>
      </w:pPr>
      <w:bookmarkStart w:id="3" w:name="_Toc407011905"/>
      <w:r>
        <w:lastRenderedPageBreak/>
        <w:t>Nature and authority</w:t>
      </w:r>
      <w:bookmarkEnd w:id="3"/>
    </w:p>
    <w:p w:rsidR="00DC015B" w:rsidRDefault="00DC015B" w:rsidP="00DC015B">
      <w:pPr>
        <w:pStyle w:val="Heading3"/>
      </w:pPr>
      <w:bookmarkStart w:id="4" w:name="_Toc407011906"/>
      <w:r>
        <w:t>Introduction</w:t>
      </w:r>
      <w:bookmarkEnd w:id="4"/>
    </w:p>
    <w:p w:rsidR="00DC015B" w:rsidRDefault="00DC015B" w:rsidP="00DC015B">
      <w:pPr>
        <w:spacing w:after="200"/>
      </w:pPr>
      <w:r>
        <w:t xml:space="preserve">This Notice </w:t>
      </w:r>
      <w:r w:rsidR="00A85CB7">
        <w:t xml:space="preserve">of draft instrument </w:t>
      </w:r>
      <w:r>
        <w:t>and the accompanying consultation draft</w:t>
      </w:r>
      <w:r w:rsidR="001E4272">
        <w:t xml:space="preserve"> of the AER’s Exempt Selling Guideline</w:t>
      </w:r>
      <w:r>
        <w:t xml:space="preserve"> </w:t>
      </w:r>
      <w:r w:rsidR="001C4D53">
        <w:t xml:space="preserve">version 3.0 </w:t>
      </w:r>
      <w:r>
        <w:t>present proposed amendments to v</w:t>
      </w:r>
      <w:r w:rsidR="001C77E8">
        <w:t>ersion 2.0 of the AER’s (Retail)</w:t>
      </w:r>
      <w:r>
        <w:t xml:space="preserve"> </w:t>
      </w:r>
      <w:r w:rsidR="001C77E8">
        <w:t xml:space="preserve">Exempt Selling </w:t>
      </w:r>
      <w:r w:rsidR="0066550D">
        <w:t>Guideline</w:t>
      </w:r>
      <w:r>
        <w:t>.</w:t>
      </w:r>
    </w:p>
    <w:p w:rsidR="00DC015B" w:rsidRDefault="00DC015B" w:rsidP="00DC015B">
      <w:pPr>
        <w:spacing w:after="200"/>
      </w:pPr>
      <w:r>
        <w:t xml:space="preserve">The consultation draft </w:t>
      </w:r>
      <w:r w:rsidR="00A912FB">
        <w:t xml:space="preserve">proposes to reopen </w:t>
      </w:r>
      <w:r w:rsidR="00B6465D">
        <w:t xml:space="preserve">a number of </w:t>
      </w:r>
      <w:r w:rsidR="001E7DC1">
        <w:t xml:space="preserve">registrable </w:t>
      </w:r>
      <w:r w:rsidR="00AA1DB0">
        <w:t xml:space="preserve">exemption classes </w:t>
      </w:r>
      <w:r w:rsidR="00A912FB">
        <w:t xml:space="preserve">that were to close </w:t>
      </w:r>
      <w:r w:rsidR="00B6465D">
        <w:t xml:space="preserve">to new entrants </w:t>
      </w:r>
      <w:r w:rsidR="00A912FB">
        <w:t xml:space="preserve">on 1 January 2015 </w:t>
      </w:r>
      <w:r w:rsidR="00B6465D">
        <w:t>while maintaining the closing date for two classes and for retrofitted embedded network sites</w:t>
      </w:r>
      <w:r>
        <w:t xml:space="preserve">. </w:t>
      </w:r>
    </w:p>
    <w:p w:rsidR="00DC015B" w:rsidRDefault="00DC015B" w:rsidP="00DC015B">
      <w:pPr>
        <w:spacing w:after="200"/>
      </w:pPr>
      <w:r>
        <w:t>The nature and purpose of the proposed amendments, and their possible effects, are explained in this notice.</w:t>
      </w:r>
    </w:p>
    <w:p w:rsidR="00DC015B" w:rsidRDefault="00DC015B" w:rsidP="00DC015B">
      <w:pPr>
        <w:pStyle w:val="Heading3"/>
      </w:pPr>
      <w:bookmarkStart w:id="5" w:name="_Toc407011907"/>
      <w:r>
        <w:t>Authority</w:t>
      </w:r>
      <w:bookmarkEnd w:id="5"/>
    </w:p>
    <w:p w:rsidR="00DC015B" w:rsidRDefault="00DC015B" w:rsidP="00DC015B">
      <w:pPr>
        <w:spacing w:after="200"/>
      </w:pPr>
      <w:r>
        <w:t xml:space="preserve">The National Energy Retail Law (Retail Law) </w:t>
      </w:r>
      <w:r w:rsidRPr="00AA1DB0">
        <w:t xml:space="preserve">allows us to make and amend the AER’s </w:t>
      </w:r>
      <w:r w:rsidR="001C77E8" w:rsidRPr="00AA1DB0">
        <w:t>(</w:t>
      </w:r>
      <w:r w:rsidRPr="00AA1DB0">
        <w:t>Retail</w:t>
      </w:r>
      <w:r w:rsidR="001C77E8" w:rsidRPr="00AA1DB0">
        <w:t>)</w:t>
      </w:r>
      <w:r w:rsidRPr="00AA1DB0">
        <w:t xml:space="preserve"> </w:t>
      </w:r>
      <w:r w:rsidR="001C77E8" w:rsidRPr="00AA1DB0">
        <w:t xml:space="preserve">Exempt Selling </w:t>
      </w:r>
      <w:r w:rsidRPr="00AA1DB0">
        <w:t>guideline in accordance with the retail consultation procedure.</w:t>
      </w:r>
      <w:r>
        <w:t xml:space="preserve">   </w:t>
      </w:r>
    </w:p>
    <w:p w:rsidR="00DC015B" w:rsidRDefault="00DC015B" w:rsidP="00DC015B">
      <w:pPr>
        <w:pStyle w:val="Heading3"/>
      </w:pPr>
      <w:bookmarkStart w:id="6" w:name="_Toc407011908"/>
      <w:r>
        <w:t xml:space="preserve">Role </w:t>
      </w:r>
      <w:r w:rsidR="00A85CB7">
        <w:t xml:space="preserve">and purpose </w:t>
      </w:r>
      <w:r>
        <w:t>of the guideline</w:t>
      </w:r>
      <w:bookmarkEnd w:id="6"/>
    </w:p>
    <w:p w:rsidR="00A85CB7" w:rsidRDefault="00DC015B" w:rsidP="00DC015B">
      <w:pPr>
        <w:spacing w:after="200"/>
      </w:pPr>
      <w:r>
        <w:t xml:space="preserve">The Retail Law requires anyone who is selling energy to hold a retailer authorisation or to be exempt from the requirement to hold an authorisation. </w:t>
      </w:r>
      <w:r w:rsidR="001C4D53">
        <w:t>Energy selling covers a wide range of activities, from energy retailing by authorised retailers to landlords recovering energy costs from their tenants. Energy ‘sales’ do not necessarily have to be for profit—passing on energy costs to another person is considered to be a sale</w:t>
      </w:r>
      <w:r w:rsidR="00D0341F">
        <w:t>.</w:t>
      </w:r>
    </w:p>
    <w:p w:rsidR="00D0341F" w:rsidRDefault="00D0341F" w:rsidP="001C4D53">
      <w:pPr>
        <w:spacing w:after="200"/>
        <w:rPr>
          <w:rFonts w:cs="Arial"/>
        </w:rPr>
      </w:pPr>
      <w:r w:rsidRPr="00953D78">
        <w:rPr>
          <w:rFonts w:cs="Arial"/>
        </w:rPr>
        <w:t>Under the Retail Law, we can exempt people or businesses (sometimes referred to as exempt sellers, onsellers, or non-authorised sellers) from the requirement to hold a retailer authorisation.</w:t>
      </w:r>
      <w:r w:rsidRPr="00953D78">
        <w:rPr>
          <w:rStyle w:val="FootnoteReference"/>
          <w:rFonts w:cs="Arial"/>
        </w:rPr>
        <w:footnoteReference w:id="1"/>
      </w:r>
      <w:r w:rsidRPr="00953D78">
        <w:rPr>
          <w:rFonts w:cs="Arial"/>
        </w:rPr>
        <w:t xml:space="preserve"> We allow exemptions for situations where energy is sold but a retailer authorisation may not be appropriate – for example, the sale of energy in retirement homes or caravan parks, or where an owner buys energy from an authorised retailer and then sells it to tenants. </w:t>
      </w:r>
    </w:p>
    <w:p w:rsidR="0019640A" w:rsidRPr="00E93B00" w:rsidRDefault="001C4D53" w:rsidP="0019640A">
      <w:pPr>
        <w:pStyle w:val="AERbodytext"/>
        <w:rPr>
          <w:rFonts w:ascii="Arial" w:hAnsi="Arial" w:cs="Arial"/>
          <w:sz w:val="22"/>
          <w:szCs w:val="22"/>
        </w:rPr>
      </w:pPr>
      <w:r w:rsidRPr="00E93B00">
        <w:rPr>
          <w:rFonts w:ascii="Arial" w:hAnsi="Arial" w:cs="Arial"/>
          <w:sz w:val="22"/>
          <w:szCs w:val="22"/>
        </w:rPr>
        <w:t xml:space="preserve">The Retail Law and </w:t>
      </w:r>
      <w:r w:rsidR="0053045D">
        <w:rPr>
          <w:rFonts w:ascii="Arial" w:hAnsi="Arial" w:cs="Arial"/>
          <w:sz w:val="22"/>
          <w:szCs w:val="22"/>
        </w:rPr>
        <w:t xml:space="preserve">National Energy Retail Rules (Retail </w:t>
      </w:r>
      <w:r w:rsidRPr="00E93B00">
        <w:rPr>
          <w:rFonts w:ascii="Arial" w:hAnsi="Arial" w:cs="Arial"/>
          <w:sz w:val="22"/>
          <w:szCs w:val="22"/>
        </w:rPr>
        <w:t>Rules</w:t>
      </w:r>
      <w:r w:rsidR="0053045D">
        <w:rPr>
          <w:rFonts w:ascii="Arial" w:hAnsi="Arial" w:cs="Arial"/>
          <w:sz w:val="22"/>
          <w:szCs w:val="22"/>
        </w:rPr>
        <w:t>)</w:t>
      </w:r>
      <w:r w:rsidRPr="00E93B00">
        <w:rPr>
          <w:rFonts w:ascii="Arial" w:hAnsi="Arial" w:cs="Arial"/>
          <w:sz w:val="22"/>
          <w:szCs w:val="22"/>
        </w:rPr>
        <w:t xml:space="preserve"> set out the exemptions framework, and the AER is responsible for regulating this framework.</w:t>
      </w:r>
      <w:r w:rsidR="0019640A" w:rsidRPr="00E93B00">
        <w:rPr>
          <w:rFonts w:ascii="Arial" w:hAnsi="Arial" w:cs="Arial"/>
          <w:sz w:val="22"/>
          <w:szCs w:val="22"/>
        </w:rPr>
        <w:t xml:space="preserve"> The retail exemptions framework is aimed at giving exempt customers protections comparable to those of retail customers. However, exempt sellers differ from authorised retailers in that they usually lack the economies of scale and scope from which retailers benefit and mos</w:t>
      </w:r>
      <w:r w:rsidR="0019640A" w:rsidRPr="0053045D">
        <w:rPr>
          <w:rFonts w:ascii="Arial" w:hAnsi="Arial" w:cs="Arial"/>
          <w:sz w:val="22"/>
          <w:szCs w:val="22"/>
        </w:rPr>
        <w:t xml:space="preserve">tly do not sell energy as their core business. Often they have a pre-existing relationship with the customer (e.g. landlord-tenant) and  sell energy for a variety of reasons—as a matter of convenience, or incidentally, or simply in order to pass on energy </w:t>
      </w:r>
      <w:r w:rsidR="0019640A" w:rsidRPr="00E93B00">
        <w:rPr>
          <w:rFonts w:ascii="Arial" w:hAnsi="Arial" w:cs="Arial"/>
          <w:sz w:val="22"/>
          <w:szCs w:val="22"/>
        </w:rPr>
        <w:t xml:space="preserve">costs. It would be burdensome and unnecessary to compel these businesses to obtain a retailer authorisation. </w:t>
      </w:r>
    </w:p>
    <w:p w:rsidR="0019640A" w:rsidRPr="00D86B98" w:rsidRDefault="0019640A" w:rsidP="0019640A">
      <w:pPr>
        <w:pStyle w:val="AERbodytext"/>
        <w:rPr>
          <w:rFonts w:ascii="Arial" w:hAnsi="Arial" w:cs="Arial"/>
          <w:sz w:val="22"/>
          <w:szCs w:val="22"/>
        </w:rPr>
      </w:pPr>
      <w:r w:rsidRPr="00D86B98">
        <w:rPr>
          <w:rFonts w:ascii="Arial" w:hAnsi="Arial" w:cs="Arial"/>
          <w:sz w:val="22"/>
          <w:szCs w:val="22"/>
        </w:rPr>
        <w:lastRenderedPageBreak/>
        <w:t>There are three kinds of exemptions provided for in the Retail Rules,</w:t>
      </w:r>
      <w:r w:rsidRPr="00D86B98">
        <w:rPr>
          <w:rStyle w:val="FootnoteReference"/>
          <w:rFonts w:ascii="Arial" w:hAnsi="Arial" w:cs="Arial"/>
          <w:sz w:val="22"/>
          <w:szCs w:val="22"/>
        </w:rPr>
        <w:footnoteReference w:id="2"/>
      </w:r>
      <w:r w:rsidRPr="00D86B98">
        <w:rPr>
          <w:rFonts w:ascii="Arial" w:hAnsi="Arial" w:cs="Arial"/>
          <w:sz w:val="22"/>
          <w:szCs w:val="22"/>
        </w:rPr>
        <w:t xml:space="preserve"> being: </w:t>
      </w:r>
    </w:p>
    <w:p w:rsidR="0019640A" w:rsidRPr="00D86B98" w:rsidRDefault="0019640A" w:rsidP="0019640A">
      <w:pPr>
        <w:pStyle w:val="AERbodytext"/>
        <w:numPr>
          <w:ilvl w:val="0"/>
          <w:numId w:val="46"/>
        </w:numPr>
        <w:spacing w:line="240" w:lineRule="auto"/>
        <w:jc w:val="left"/>
        <w:rPr>
          <w:rFonts w:ascii="Arial" w:hAnsi="Arial" w:cs="Arial"/>
          <w:sz w:val="22"/>
          <w:szCs w:val="22"/>
        </w:rPr>
      </w:pPr>
      <w:r w:rsidRPr="00D86B98">
        <w:rPr>
          <w:rFonts w:ascii="Arial" w:hAnsi="Arial" w:cs="Arial"/>
          <w:sz w:val="22"/>
          <w:szCs w:val="22"/>
        </w:rPr>
        <w:t>deemed exemptio</w:t>
      </w:r>
      <w:r>
        <w:rPr>
          <w:rFonts w:ascii="Arial" w:hAnsi="Arial" w:cs="Arial"/>
          <w:sz w:val="22"/>
          <w:szCs w:val="22"/>
        </w:rPr>
        <w:t>ns (which apply automatically)</w:t>
      </w:r>
    </w:p>
    <w:p w:rsidR="0019640A" w:rsidRPr="00D86B98" w:rsidRDefault="0019640A" w:rsidP="0019640A">
      <w:pPr>
        <w:pStyle w:val="AERbodytext"/>
        <w:numPr>
          <w:ilvl w:val="0"/>
          <w:numId w:val="46"/>
        </w:numPr>
        <w:spacing w:line="240" w:lineRule="auto"/>
        <w:jc w:val="left"/>
        <w:rPr>
          <w:rFonts w:ascii="Arial" w:hAnsi="Arial" w:cs="Arial"/>
          <w:sz w:val="22"/>
          <w:szCs w:val="22"/>
        </w:rPr>
      </w:pPr>
      <w:r w:rsidRPr="00D86B98">
        <w:rPr>
          <w:rFonts w:ascii="Arial" w:hAnsi="Arial" w:cs="Arial"/>
          <w:sz w:val="22"/>
          <w:szCs w:val="22"/>
        </w:rPr>
        <w:t>registrable exemptions (which apply when an eligible person registers with the AER)</w:t>
      </w:r>
      <w:r w:rsidRPr="00D86B98">
        <w:rPr>
          <w:rStyle w:val="FootnoteReference"/>
          <w:rFonts w:ascii="Arial" w:hAnsi="Arial" w:cs="Arial"/>
          <w:sz w:val="22"/>
          <w:szCs w:val="22"/>
        </w:rPr>
        <w:footnoteReference w:id="3"/>
      </w:r>
      <w:r w:rsidRPr="00D86B98">
        <w:rPr>
          <w:rFonts w:ascii="Arial" w:hAnsi="Arial" w:cs="Arial"/>
          <w:sz w:val="22"/>
          <w:szCs w:val="22"/>
        </w:rPr>
        <w:t xml:space="preserve"> and</w:t>
      </w:r>
    </w:p>
    <w:p w:rsidR="0019640A" w:rsidRPr="00D86B98" w:rsidRDefault="0019640A" w:rsidP="0019640A">
      <w:pPr>
        <w:pStyle w:val="AERbodytext"/>
        <w:numPr>
          <w:ilvl w:val="0"/>
          <w:numId w:val="46"/>
        </w:numPr>
        <w:spacing w:line="240" w:lineRule="auto"/>
        <w:jc w:val="left"/>
        <w:rPr>
          <w:rFonts w:ascii="Arial" w:hAnsi="Arial" w:cs="Arial"/>
          <w:sz w:val="22"/>
          <w:szCs w:val="22"/>
        </w:rPr>
      </w:pPr>
      <w:r w:rsidRPr="00D86B98">
        <w:rPr>
          <w:rFonts w:ascii="Arial" w:hAnsi="Arial" w:cs="Arial"/>
          <w:sz w:val="22"/>
          <w:szCs w:val="22"/>
        </w:rPr>
        <w:t>individual exemptions (which are granted by the AER on a case b</w:t>
      </w:r>
      <w:r w:rsidR="00EC570A">
        <w:rPr>
          <w:rFonts w:ascii="Arial" w:hAnsi="Arial" w:cs="Arial"/>
          <w:sz w:val="22"/>
          <w:szCs w:val="22"/>
        </w:rPr>
        <w:t xml:space="preserve">y case basis, on application). </w:t>
      </w:r>
    </w:p>
    <w:p w:rsidR="00D0341F" w:rsidRDefault="00D0341F" w:rsidP="0019640A">
      <w:pPr>
        <w:spacing w:after="200"/>
        <w:rPr>
          <w:rFonts w:cs="Arial"/>
        </w:rPr>
      </w:pPr>
      <w:r w:rsidRPr="00953D78">
        <w:rPr>
          <w:rFonts w:cs="Arial"/>
        </w:rPr>
        <w:t>As part our role, we must develop and maintain an exempt selling guideline.</w:t>
      </w:r>
      <w:r w:rsidRPr="00953D78">
        <w:rPr>
          <w:rStyle w:val="FootnoteReference"/>
          <w:rFonts w:cs="Arial"/>
        </w:rPr>
        <w:footnoteReference w:id="4"/>
      </w:r>
      <w:r w:rsidRPr="00953D78">
        <w:rPr>
          <w:rFonts w:cs="Arial"/>
        </w:rPr>
        <w:t xml:space="preserve"> The guideline, which accompanies this </w:t>
      </w:r>
      <w:r w:rsidR="00DE0FB1">
        <w:rPr>
          <w:rFonts w:cs="Arial"/>
        </w:rPr>
        <w:t>n</w:t>
      </w:r>
      <w:r w:rsidRPr="00953D78">
        <w:rPr>
          <w:rFonts w:cs="Arial"/>
        </w:rPr>
        <w:t xml:space="preserve">otice, sets out our approach to regulating exempt sellers. It also details the various exemption classes and the conditions attached to those exemptions. </w:t>
      </w:r>
    </w:p>
    <w:p w:rsidR="0019640A" w:rsidRPr="0019640A" w:rsidRDefault="0019640A" w:rsidP="00D0341F">
      <w:pPr>
        <w:pStyle w:val="AERbodytext"/>
        <w:rPr>
          <w:rFonts w:ascii="Arial" w:hAnsi="Arial" w:cs="Arial"/>
          <w:sz w:val="22"/>
          <w:szCs w:val="22"/>
        </w:rPr>
      </w:pPr>
      <w:r w:rsidRPr="0019640A">
        <w:rPr>
          <w:rFonts w:ascii="Arial" w:hAnsi="Arial" w:cs="Arial"/>
          <w:sz w:val="22"/>
          <w:szCs w:val="22"/>
        </w:rPr>
        <w:t>The purpose of the guideline is to assist people or businesses that sell energy under the Retail Law and need a retail exemption. It should be read by those that charge another person for the cost of energy, be it for profit or simply to recover their own costs. This guideline focuses on what these sellers need to know and what they must do to comply with the Retail Law as an exempt seller.</w:t>
      </w:r>
    </w:p>
    <w:p w:rsidR="00D0341F" w:rsidRDefault="00D0341F" w:rsidP="00D0341F">
      <w:pPr>
        <w:pStyle w:val="AERbodytext"/>
        <w:rPr>
          <w:rFonts w:ascii="Arial" w:hAnsi="Arial" w:cs="Arial"/>
          <w:sz w:val="22"/>
          <w:szCs w:val="22"/>
        </w:rPr>
      </w:pPr>
      <w:r w:rsidRPr="00D86B98">
        <w:rPr>
          <w:rFonts w:ascii="Arial" w:hAnsi="Arial" w:cs="Arial"/>
          <w:sz w:val="22"/>
          <w:szCs w:val="22"/>
        </w:rPr>
        <w:t>When performing our exempt selling functions, we must have regard to the exempt selling policy principles set out in the Retail Law.</w:t>
      </w:r>
      <w:r w:rsidRPr="00D86B98">
        <w:rPr>
          <w:rStyle w:val="FootnoteReference"/>
          <w:rFonts w:ascii="Arial" w:hAnsi="Arial" w:cs="Arial"/>
          <w:sz w:val="22"/>
          <w:szCs w:val="22"/>
        </w:rPr>
        <w:footnoteReference w:id="5"/>
      </w:r>
      <w:r w:rsidRPr="00D86B98">
        <w:rPr>
          <w:rFonts w:ascii="Arial" w:hAnsi="Arial" w:cs="Arial"/>
          <w:sz w:val="22"/>
          <w:szCs w:val="22"/>
        </w:rPr>
        <w:t xml:space="preserve"> We may also consider the exempt seller factors, and the customer related factors, also set out in the Retail Law.</w:t>
      </w:r>
      <w:r w:rsidRPr="00D86B98">
        <w:rPr>
          <w:rStyle w:val="FootnoteReference"/>
          <w:rFonts w:ascii="Arial" w:hAnsi="Arial" w:cs="Arial"/>
          <w:sz w:val="22"/>
          <w:szCs w:val="22"/>
        </w:rPr>
        <w:footnoteReference w:id="6"/>
      </w:r>
      <w:r w:rsidRPr="00D86B98">
        <w:rPr>
          <w:rFonts w:ascii="Arial" w:hAnsi="Arial" w:cs="Arial"/>
          <w:sz w:val="22"/>
          <w:szCs w:val="22"/>
        </w:rPr>
        <w:t xml:space="preserve"> These factors and principles have guided us in the development and amendment of the guideline.  </w:t>
      </w:r>
    </w:p>
    <w:p w:rsidR="00D0341F" w:rsidRDefault="00D0341F" w:rsidP="00D0341F">
      <w:pPr>
        <w:pStyle w:val="Heading3"/>
      </w:pPr>
      <w:bookmarkStart w:id="7" w:name="_Toc407011909"/>
      <w:r>
        <w:t>Definitions and interpretation</w:t>
      </w:r>
      <w:bookmarkEnd w:id="7"/>
    </w:p>
    <w:p w:rsidR="00D0341F" w:rsidRDefault="00D0341F" w:rsidP="00D0341F">
      <w:pPr>
        <w:spacing w:after="200"/>
      </w:pPr>
      <w:r>
        <w:t>In this Notice, key words and phrases have the meaning given to them in:</w:t>
      </w:r>
    </w:p>
    <w:p w:rsidR="00D0341F" w:rsidRDefault="00D0341F" w:rsidP="00D0341F">
      <w:pPr>
        <w:pStyle w:val="ListParagraph"/>
        <w:numPr>
          <w:ilvl w:val="0"/>
          <w:numId w:val="38"/>
        </w:numPr>
        <w:spacing w:after="200"/>
        <w:ind w:left="714" w:hanging="357"/>
        <w:contextualSpacing w:val="0"/>
      </w:pPr>
      <w:r>
        <w:t>the shortened forms or</w:t>
      </w:r>
    </w:p>
    <w:p w:rsidR="00D0341F" w:rsidRDefault="00D0341F" w:rsidP="00D0341F">
      <w:pPr>
        <w:pStyle w:val="ListParagraph"/>
        <w:numPr>
          <w:ilvl w:val="0"/>
          <w:numId w:val="38"/>
        </w:numPr>
        <w:spacing w:after="200"/>
        <w:ind w:left="714" w:hanging="357"/>
        <w:contextualSpacing w:val="0"/>
      </w:pPr>
      <w:r>
        <w:t>if not defined in the shortened forms, the Retail Law and National Energy Retail Rules (Retail Rules).</w:t>
      </w:r>
    </w:p>
    <w:p w:rsidR="00D0341F" w:rsidRDefault="00D0341F" w:rsidP="00D0341F">
      <w:pPr>
        <w:pStyle w:val="Heading3"/>
      </w:pPr>
      <w:bookmarkStart w:id="8" w:name="_Toc407011910"/>
      <w:r>
        <w:t>Version history and effective date</w:t>
      </w:r>
      <w:bookmarkEnd w:id="8"/>
    </w:p>
    <w:p w:rsidR="00D0341F" w:rsidRDefault="00D0341F" w:rsidP="00D0341F">
      <w:pPr>
        <w:spacing w:after="200"/>
      </w:pPr>
      <w:r>
        <w:t xml:space="preserve">This draft notice has been prepared for consultation purposes only. </w:t>
      </w:r>
    </w:p>
    <w:p w:rsidR="00D0341F" w:rsidRPr="00D86B98" w:rsidRDefault="00D0341F" w:rsidP="00492C85">
      <w:pPr>
        <w:spacing w:after="200"/>
        <w:rPr>
          <w:rFonts w:cs="Arial"/>
        </w:rPr>
      </w:pPr>
      <w:r>
        <w:t xml:space="preserve">The current version of the guideline is version 2.0 (July 2013). </w:t>
      </w:r>
    </w:p>
    <w:p w:rsidR="00DC015B" w:rsidRDefault="00DC015B" w:rsidP="009709D9">
      <w:pPr>
        <w:pStyle w:val="Heading1"/>
      </w:pPr>
      <w:bookmarkStart w:id="9" w:name="_Toc407011911"/>
      <w:r>
        <w:lastRenderedPageBreak/>
        <w:t>How to make submissions</w:t>
      </w:r>
      <w:bookmarkEnd w:id="9"/>
    </w:p>
    <w:p w:rsidR="00DC015B" w:rsidRPr="009709D9" w:rsidRDefault="00DC015B" w:rsidP="00DC015B">
      <w:pPr>
        <w:spacing w:after="200"/>
      </w:pPr>
      <w:r>
        <w:t xml:space="preserve">This notice and the </w:t>
      </w:r>
      <w:r w:rsidRPr="009709D9">
        <w:t xml:space="preserve">accompanying consultation draft of the </w:t>
      </w:r>
      <w:r w:rsidR="009709D9" w:rsidRPr="009709D9">
        <w:t>Exempt Selling</w:t>
      </w:r>
      <w:r w:rsidRPr="009709D9">
        <w:t xml:space="preserve"> guideline have been prepared in accordance with the retail consultation procedure set out in rule 173 of the Retail Rules. </w:t>
      </w:r>
    </w:p>
    <w:p w:rsidR="00DC015B" w:rsidRDefault="00DC015B" w:rsidP="00DC015B">
      <w:pPr>
        <w:spacing w:after="200"/>
      </w:pPr>
      <w:r>
        <w:t xml:space="preserve">Interested parties are invited to make written submissions on the draft guideline by close of business, </w:t>
      </w:r>
      <w:r w:rsidR="00A912FB" w:rsidRPr="00660036">
        <w:rPr>
          <w:b/>
        </w:rPr>
        <w:t>1</w:t>
      </w:r>
      <w:r w:rsidR="00F830B1">
        <w:rPr>
          <w:b/>
        </w:rPr>
        <w:t>6</w:t>
      </w:r>
      <w:r w:rsidR="00A912FB" w:rsidRPr="00660036">
        <w:rPr>
          <w:b/>
        </w:rPr>
        <w:t xml:space="preserve"> </w:t>
      </w:r>
      <w:r w:rsidR="00F830B1">
        <w:rPr>
          <w:b/>
        </w:rPr>
        <w:t>February</w:t>
      </w:r>
      <w:r w:rsidR="00F830B1" w:rsidRPr="00660036">
        <w:rPr>
          <w:b/>
        </w:rPr>
        <w:t xml:space="preserve"> </w:t>
      </w:r>
      <w:r w:rsidR="00C56E7A" w:rsidRPr="00660036">
        <w:rPr>
          <w:b/>
        </w:rPr>
        <w:t>2015</w:t>
      </w:r>
      <w:r>
        <w:t>. Late submissions may not be taken into account.</w:t>
      </w:r>
    </w:p>
    <w:p w:rsidR="00DC015B" w:rsidRDefault="00DC015B" w:rsidP="00DC015B">
      <w:pPr>
        <w:spacing w:after="200"/>
      </w:pPr>
      <w:r>
        <w:t>Submissions should be sent electronically to: aerinquiry@aer.gov.au and should be in Microsoft Word or other text readable document form.</w:t>
      </w:r>
    </w:p>
    <w:p w:rsidR="00DC015B" w:rsidRDefault="00DC015B" w:rsidP="00DC015B">
      <w:pPr>
        <w:spacing w:after="200"/>
      </w:pPr>
      <w:r>
        <w:t>Alternatively, submissions can be sent to:</w:t>
      </w:r>
    </w:p>
    <w:p w:rsidR="00DC015B" w:rsidRDefault="00DC015B" w:rsidP="00C56E7A">
      <w:pPr>
        <w:spacing w:after="200"/>
        <w:contextualSpacing/>
      </w:pPr>
      <w:r>
        <w:t>General Manager—Retail Markets Branch</w:t>
      </w:r>
    </w:p>
    <w:p w:rsidR="00DC015B" w:rsidRDefault="00DC015B" w:rsidP="00C56E7A">
      <w:pPr>
        <w:spacing w:after="200"/>
        <w:contextualSpacing/>
      </w:pPr>
      <w:r>
        <w:t>Australian Energy Regulator</w:t>
      </w:r>
    </w:p>
    <w:p w:rsidR="00DC015B" w:rsidRDefault="00DC015B" w:rsidP="00C56E7A">
      <w:pPr>
        <w:spacing w:after="200"/>
        <w:contextualSpacing/>
      </w:pPr>
      <w:r>
        <w:t>GPO Box 520</w:t>
      </w:r>
    </w:p>
    <w:p w:rsidR="00DC015B" w:rsidRDefault="00DC015B" w:rsidP="00DC015B">
      <w:pPr>
        <w:spacing w:after="200"/>
      </w:pPr>
      <w:r>
        <w:t>Melbourne VIC 3001</w:t>
      </w:r>
    </w:p>
    <w:p w:rsidR="00233865" w:rsidRDefault="00DC015B" w:rsidP="00DC015B">
      <w:pPr>
        <w:spacing w:after="200"/>
      </w:pPr>
      <w:r>
        <w:t>Submissions provided by email do not need to be provided separately by mail.</w:t>
      </w:r>
    </w:p>
    <w:p w:rsidR="00353D0F" w:rsidRPr="00353D0F" w:rsidRDefault="00353D0F" w:rsidP="00353D0F">
      <w:pPr>
        <w:pStyle w:val="BoxedText"/>
        <w:pBdr>
          <w:left w:val="single" w:sz="4" w:space="5" w:color="FFFFFF" w:themeColor="background1"/>
        </w:pBdr>
        <w:rPr>
          <w:b/>
          <w:sz w:val="20"/>
          <w:szCs w:val="20"/>
        </w:rPr>
      </w:pPr>
      <w:r w:rsidRPr="00353D0F">
        <w:rPr>
          <w:b/>
          <w:sz w:val="20"/>
          <w:szCs w:val="20"/>
        </w:rPr>
        <w:t>PLEASE NOTE:</w:t>
      </w:r>
    </w:p>
    <w:p w:rsidR="00353D0F" w:rsidRPr="00353D0F" w:rsidRDefault="00353D0F" w:rsidP="00353D0F">
      <w:pPr>
        <w:pStyle w:val="BoxedText"/>
        <w:pBdr>
          <w:left w:val="single" w:sz="4" w:space="5" w:color="FFFFFF" w:themeColor="background1"/>
        </w:pBdr>
        <w:rPr>
          <w:sz w:val="20"/>
          <w:szCs w:val="20"/>
        </w:rPr>
      </w:pPr>
      <w:r w:rsidRPr="00353D0F">
        <w:rPr>
          <w:sz w:val="20"/>
          <w:szCs w:val="20"/>
        </w:rPr>
        <w:t>The AER prefers that all submissions be publicly available to facilitate an informed and transparent consultative process. Submissions will therefore be treated as public documents unless otherwise requested, and will be placed on the AER’s website (www.aer.gov.au). Parties wishing to submit confidential information are asked to:</w:t>
      </w:r>
    </w:p>
    <w:p w:rsidR="00353D0F" w:rsidRPr="00353D0F" w:rsidRDefault="00353D0F" w:rsidP="00353D0F">
      <w:pPr>
        <w:pStyle w:val="BoxedText"/>
        <w:numPr>
          <w:ilvl w:val="0"/>
          <w:numId w:val="48"/>
        </w:numPr>
        <w:pBdr>
          <w:left w:val="single" w:sz="4" w:space="5" w:color="FFFFFF" w:themeColor="background1"/>
        </w:pBdr>
        <w:rPr>
          <w:sz w:val="20"/>
          <w:szCs w:val="20"/>
        </w:rPr>
      </w:pPr>
      <w:r w:rsidRPr="00353D0F">
        <w:rPr>
          <w:sz w:val="20"/>
          <w:szCs w:val="20"/>
        </w:rPr>
        <w:t>clearly identify the information that is subject of the confidentiality claim</w:t>
      </w:r>
    </w:p>
    <w:p w:rsidR="00353D0F" w:rsidRPr="00353D0F" w:rsidRDefault="00353D0F" w:rsidP="00353D0F">
      <w:pPr>
        <w:pStyle w:val="BoxedText"/>
        <w:numPr>
          <w:ilvl w:val="0"/>
          <w:numId w:val="48"/>
        </w:numPr>
        <w:pBdr>
          <w:left w:val="single" w:sz="4" w:space="5" w:color="FFFFFF" w:themeColor="background1"/>
        </w:pBdr>
        <w:rPr>
          <w:sz w:val="20"/>
          <w:szCs w:val="20"/>
        </w:rPr>
      </w:pPr>
      <w:r w:rsidRPr="00353D0F">
        <w:rPr>
          <w:sz w:val="20"/>
          <w:szCs w:val="20"/>
        </w:rPr>
        <w:t>provide a non-confidential version of the submission for publication, in addition to the confidential one.</w:t>
      </w:r>
    </w:p>
    <w:p w:rsidR="00353D0F" w:rsidRPr="00353D0F" w:rsidRDefault="00353D0F" w:rsidP="00353D0F">
      <w:pPr>
        <w:pStyle w:val="BoxedText"/>
        <w:pBdr>
          <w:left w:val="single" w:sz="4" w:space="5" w:color="FFFFFF" w:themeColor="background1"/>
        </w:pBdr>
        <w:rPr>
          <w:sz w:val="20"/>
          <w:szCs w:val="20"/>
        </w:rPr>
      </w:pPr>
      <w:r w:rsidRPr="00353D0F">
        <w:rPr>
          <w:sz w:val="20"/>
          <w:szCs w:val="20"/>
        </w:rPr>
        <w:t>The AER does not generally accept blanket claims for confidentiality over the entirety of the information provided. Such claims should not be made unless all information is truly regarded as confidential. The identified information should genuinely be of a confidential nature and not otherwise publicly available.</w:t>
      </w:r>
    </w:p>
    <w:p w:rsidR="00353D0F" w:rsidRPr="00353D0F" w:rsidRDefault="00353D0F" w:rsidP="00353D0F">
      <w:pPr>
        <w:pStyle w:val="BoxedText"/>
        <w:pBdr>
          <w:left w:val="single" w:sz="4" w:space="5" w:color="FFFFFF" w:themeColor="background1"/>
        </w:pBdr>
        <w:rPr>
          <w:sz w:val="20"/>
          <w:szCs w:val="20"/>
        </w:rPr>
      </w:pPr>
      <w:r w:rsidRPr="00353D0F">
        <w:rPr>
          <w:sz w:val="20"/>
          <w:szCs w:val="20"/>
        </w:rPr>
        <w:t>In addition to this, parties must identify the specific documents or relevant parts of those documents which contain confidential information. The AER does not accept documents or parts of documents which are redacted or ‘blacked out’.</w:t>
      </w:r>
    </w:p>
    <w:p w:rsidR="00353D0F" w:rsidRPr="00353D0F" w:rsidRDefault="00353D0F" w:rsidP="00353D0F">
      <w:pPr>
        <w:pStyle w:val="BoxedText"/>
        <w:pBdr>
          <w:left w:val="single" w:sz="4" w:space="5" w:color="FFFFFF" w:themeColor="background1"/>
        </w:pBdr>
        <w:rPr>
          <w:sz w:val="20"/>
          <w:szCs w:val="20"/>
        </w:rPr>
      </w:pPr>
      <w:r w:rsidRPr="00353D0F">
        <w:rPr>
          <w:sz w:val="20"/>
          <w:szCs w:val="20"/>
        </w:rPr>
        <w:t>For further information regarding the AER’s use and disclosure of information provided to it, please refer to the ACCC–AER information policy: the collection, use and disclosure of information, which is available on the AER website under ‘Publications’.</w:t>
      </w:r>
    </w:p>
    <w:p w:rsidR="00353D0F" w:rsidRDefault="00353D0F" w:rsidP="00353D0F">
      <w:pPr>
        <w:spacing w:after="200"/>
      </w:pPr>
      <w:r>
        <w:t xml:space="preserve">Please direct enquiries about this notice and the draft guidelines, or about lodging a submission, to the Retail Markets Branch of the AER through </w:t>
      </w:r>
      <w:hyperlink r:id="rId13" w:history="1">
        <w:r w:rsidR="000F6787" w:rsidRPr="009F2B1E">
          <w:rPr>
            <w:rStyle w:val="Hyperlink"/>
          </w:rPr>
          <w:t>aerinquiry@aer.gov.au</w:t>
        </w:r>
      </w:hyperlink>
      <w:r>
        <w:t>.</w:t>
      </w:r>
    </w:p>
    <w:p w:rsidR="009709D9" w:rsidRDefault="009709D9" w:rsidP="009709D9">
      <w:pPr>
        <w:pStyle w:val="Heading1"/>
      </w:pPr>
      <w:bookmarkStart w:id="10" w:name="_Toc407011912"/>
      <w:r>
        <w:lastRenderedPageBreak/>
        <w:t>Proposed amendments</w:t>
      </w:r>
      <w:bookmarkEnd w:id="10"/>
    </w:p>
    <w:p w:rsidR="009709D9" w:rsidRDefault="009709D9" w:rsidP="009709D9">
      <w:pPr>
        <w:spacing w:after="200"/>
      </w:pPr>
      <w:r>
        <w:t xml:space="preserve">Our proposed amendments to the guideline are summarised below. These amendments are included in the consultation draft guideline which is also available on our website at </w:t>
      </w:r>
      <w:hyperlink r:id="rId14" w:history="1">
        <w:r>
          <w:rPr>
            <w:rStyle w:val="Hyperlink"/>
          </w:rPr>
          <w:t>www.aer.gov.au</w:t>
        </w:r>
      </w:hyperlink>
      <w:r>
        <w:t>.</w:t>
      </w:r>
    </w:p>
    <w:p w:rsidR="005E4320" w:rsidRDefault="00F21F12" w:rsidP="005E4320">
      <w:r>
        <w:t xml:space="preserve">We are </w:t>
      </w:r>
      <w:r w:rsidR="005E4320">
        <w:t>propos</w:t>
      </w:r>
      <w:r>
        <w:t>ing</w:t>
      </w:r>
      <w:r w:rsidR="005E4320">
        <w:t xml:space="preserve"> </w:t>
      </w:r>
      <w:r>
        <w:t xml:space="preserve">to </w:t>
      </w:r>
      <w:r w:rsidR="005E4320">
        <w:t xml:space="preserve">amend </w:t>
      </w:r>
      <w:r>
        <w:t xml:space="preserve">the guideline to deal with </w:t>
      </w:r>
      <w:r w:rsidR="005E4320">
        <w:t>the closure of certain classes of registrable exemption</w:t>
      </w:r>
      <w:r w:rsidR="00BB34F2">
        <w:t xml:space="preserve"> </w:t>
      </w:r>
      <w:r>
        <w:t xml:space="preserve">which were to </w:t>
      </w:r>
      <w:r w:rsidR="00BB34F2">
        <w:t xml:space="preserve">close </w:t>
      </w:r>
      <w:r w:rsidR="00FC3231">
        <w:t xml:space="preserve">on </w:t>
      </w:r>
      <w:r>
        <w:t>1 </w:t>
      </w:r>
      <w:r w:rsidR="00BB34F2">
        <w:t>January 2015</w:t>
      </w:r>
      <w:r w:rsidR="00FC3231">
        <w:t xml:space="preserve"> under the current guideline</w:t>
      </w:r>
      <w:r w:rsidR="005E4320">
        <w:t>. In light of the imminent closure of th</w:t>
      </w:r>
      <w:r w:rsidR="00FC3231">
        <w:t>e</w:t>
      </w:r>
      <w:r w:rsidR="005E4320">
        <w:t>se classes we considered that a targeted revision was a</w:t>
      </w:r>
      <w:r w:rsidR="00FC3231">
        <w:t>ppropriate</w:t>
      </w:r>
      <w:r w:rsidR="005E4320">
        <w:t xml:space="preserve">. </w:t>
      </w:r>
      <w:r w:rsidR="00FC3231">
        <w:t>As a consequence, there are only minimal revisions to the guideline with t</w:t>
      </w:r>
      <w:r w:rsidR="00BB34F2">
        <w:t xml:space="preserve">he </w:t>
      </w:r>
      <w:r w:rsidR="00FC3231">
        <w:t xml:space="preserve">introductory section being the </w:t>
      </w:r>
      <w:r w:rsidR="00BB34F2">
        <w:t>onl</w:t>
      </w:r>
      <w:r w:rsidR="00FC3231">
        <w:t>y other section that we propose</w:t>
      </w:r>
      <w:r w:rsidR="00BB34F2">
        <w:t xml:space="preserve"> to amend. </w:t>
      </w:r>
    </w:p>
    <w:p w:rsidR="009709D9" w:rsidRDefault="009709D9" w:rsidP="009709D9">
      <w:pPr>
        <w:pStyle w:val="Heading2"/>
      </w:pPr>
      <w:bookmarkStart w:id="11" w:name="_Toc407011913"/>
      <w:r>
        <w:t>Introductory section</w:t>
      </w:r>
      <w:bookmarkEnd w:id="11"/>
    </w:p>
    <w:p w:rsidR="009709D9" w:rsidRDefault="009709D9" w:rsidP="009709D9">
      <w:pPr>
        <w:spacing w:after="200"/>
      </w:pPr>
      <w:r>
        <w:t>We propose to simplify the introductory section of the guideline</w:t>
      </w:r>
      <w:r w:rsidR="00BB34F2">
        <w:t xml:space="preserve"> and to bring </w:t>
      </w:r>
      <w:r w:rsidR="00FC3231">
        <w:t xml:space="preserve">the language of this section in line with the </w:t>
      </w:r>
      <w:r w:rsidR="00BB34F2">
        <w:t>recent</w:t>
      </w:r>
      <w:r w:rsidR="00FC3231">
        <w:t>ly published</w:t>
      </w:r>
      <w:r w:rsidR="00BB34F2">
        <w:t xml:space="preserve"> </w:t>
      </w:r>
      <w:hyperlink r:id="rId15" w:history="1">
        <w:r w:rsidR="00BB34F2">
          <w:rPr>
            <w:rStyle w:val="Hyperlink"/>
          </w:rPr>
          <w:t>AER’s revised Retailer authorisation guideline v2</w:t>
        </w:r>
      </w:hyperlink>
      <w:r>
        <w:t xml:space="preserve">. </w:t>
      </w:r>
      <w:r w:rsidR="00FC3231">
        <w:t xml:space="preserve">The proposed changes to this section seek to make the descriptions of AER’s authorisation and exempt selling frameworks consistent. </w:t>
      </w:r>
    </w:p>
    <w:p w:rsidR="009709D9" w:rsidRDefault="00FF143C" w:rsidP="009709D9">
      <w:pPr>
        <w:pStyle w:val="Heading2"/>
      </w:pPr>
      <w:bookmarkStart w:id="12" w:name="_Toc407011914"/>
      <w:r>
        <w:t>R</w:t>
      </w:r>
      <w:r w:rsidR="009709D9">
        <w:t>egistrable exemptions</w:t>
      </w:r>
      <w:r>
        <w:t xml:space="preserve"> and </w:t>
      </w:r>
      <w:r w:rsidR="00A34041">
        <w:t>new entrants</w:t>
      </w:r>
      <w:bookmarkEnd w:id="12"/>
    </w:p>
    <w:p w:rsidR="00187794" w:rsidRDefault="00667B38" w:rsidP="00C9178D">
      <w:r>
        <w:t xml:space="preserve">Under </w:t>
      </w:r>
      <w:r w:rsidR="00C9178D">
        <w:t>the current version of the guideline a</w:t>
      </w:r>
      <w:r w:rsidR="009709D9">
        <w:t xml:space="preserve"> number of registrable class exemption categories </w:t>
      </w:r>
      <w:r>
        <w:t>w</w:t>
      </w:r>
      <w:r w:rsidR="00352CD6">
        <w:t>ould</w:t>
      </w:r>
      <w:r>
        <w:t xml:space="preserve"> </w:t>
      </w:r>
      <w:r w:rsidR="009709D9">
        <w:t xml:space="preserve">close </w:t>
      </w:r>
      <w:r w:rsidR="00160BF5">
        <w:t xml:space="preserve">to new entrants </w:t>
      </w:r>
      <w:r w:rsidR="00CA6A47">
        <w:t>on 1 </w:t>
      </w:r>
      <w:r w:rsidR="009709D9">
        <w:t>January 2015.</w:t>
      </w:r>
      <w:r w:rsidR="00F065A1">
        <w:t xml:space="preserve"> </w:t>
      </w:r>
      <w:r w:rsidR="009709D9">
        <w:t xml:space="preserve"> </w:t>
      </w:r>
      <w:r w:rsidR="00352CD6">
        <w:t>It is now proposed that a</w:t>
      </w:r>
      <w:r w:rsidR="00D05ADA">
        <w:t>ll but two of these classes remain open</w:t>
      </w:r>
      <w:r>
        <w:t>.</w:t>
      </w:r>
      <w:r w:rsidR="00D05ADA">
        <w:t xml:space="preserve"> </w:t>
      </w:r>
      <w:r w:rsidR="00187794">
        <w:t xml:space="preserve">We propose to: </w:t>
      </w:r>
    </w:p>
    <w:p w:rsidR="00187794" w:rsidRDefault="00187794" w:rsidP="00B929E8">
      <w:pPr>
        <w:pStyle w:val="ListParagraph"/>
        <w:numPr>
          <w:ilvl w:val="0"/>
          <w:numId w:val="49"/>
        </w:numPr>
        <w:ind w:left="357" w:hanging="357"/>
        <w:contextualSpacing w:val="0"/>
      </w:pPr>
      <w:r>
        <w:t>close t</w:t>
      </w:r>
      <w:r w:rsidR="00667B38">
        <w:t xml:space="preserve">he </w:t>
      </w:r>
      <w:r w:rsidR="00D05ADA">
        <w:t>R6</w:t>
      </w:r>
      <w:r>
        <w:rPr>
          <w:rStyle w:val="FootnoteReference"/>
        </w:rPr>
        <w:footnoteReference w:id="7"/>
      </w:r>
      <w:r w:rsidR="00D05ADA">
        <w:t xml:space="preserve"> and R7</w:t>
      </w:r>
      <w:r>
        <w:rPr>
          <w:rStyle w:val="FootnoteReference"/>
        </w:rPr>
        <w:footnoteReference w:id="8"/>
      </w:r>
      <w:r w:rsidR="00D05ADA">
        <w:t xml:space="preserve"> </w:t>
      </w:r>
      <w:r w:rsidR="00667B38">
        <w:t xml:space="preserve">classes </w:t>
      </w:r>
      <w:r w:rsidR="00D05ADA">
        <w:t>to new entrants</w:t>
      </w:r>
      <w:r w:rsidR="00667B38">
        <w:t xml:space="preserve"> </w:t>
      </w:r>
      <w:r w:rsidR="00D05ADA">
        <w:t xml:space="preserve"> </w:t>
      </w:r>
    </w:p>
    <w:p w:rsidR="00B929E8" w:rsidRDefault="00B929E8" w:rsidP="00B929E8">
      <w:pPr>
        <w:pStyle w:val="ListParagraph"/>
        <w:numPr>
          <w:ilvl w:val="0"/>
          <w:numId w:val="49"/>
        </w:numPr>
        <w:ind w:left="357" w:hanging="357"/>
        <w:contextualSpacing w:val="0"/>
      </w:pPr>
      <w:r>
        <w:t>close R1</w:t>
      </w:r>
      <w:r>
        <w:rPr>
          <w:rStyle w:val="FootnoteReference"/>
        </w:rPr>
        <w:footnoteReference w:id="9"/>
      </w:r>
      <w:r>
        <w:t xml:space="preserve"> and R2</w:t>
      </w:r>
      <w:r>
        <w:rPr>
          <w:rStyle w:val="FootnoteReference"/>
        </w:rPr>
        <w:footnoteReference w:id="10"/>
      </w:r>
      <w:r>
        <w:t xml:space="preserve"> to new entrants where the site has been retrofitted as an embedded network</w:t>
      </w:r>
    </w:p>
    <w:p w:rsidR="00B929E8" w:rsidRDefault="00B929E8" w:rsidP="00B929E8">
      <w:pPr>
        <w:pStyle w:val="ListParagraph"/>
        <w:numPr>
          <w:ilvl w:val="0"/>
          <w:numId w:val="49"/>
        </w:numPr>
        <w:ind w:left="357" w:hanging="357"/>
        <w:contextualSpacing w:val="0"/>
      </w:pPr>
      <w:r>
        <w:t xml:space="preserve">otherwise </w:t>
      </w:r>
      <w:r w:rsidR="006D5D58">
        <w:t>keep open classes</w:t>
      </w:r>
      <w:r w:rsidR="006D5D58" w:rsidRPr="00CA6A47">
        <w:t xml:space="preserve"> </w:t>
      </w:r>
      <w:r w:rsidR="006D5D58">
        <w:t>R1, R2, and R3</w:t>
      </w:r>
      <w:r w:rsidR="000F6787">
        <w:t>.</w:t>
      </w:r>
      <w:r>
        <w:rPr>
          <w:rStyle w:val="FootnoteReference"/>
        </w:rPr>
        <w:footnoteReference w:id="11"/>
      </w:r>
    </w:p>
    <w:p w:rsidR="00A046FE" w:rsidRDefault="00187794" w:rsidP="009709D9">
      <w:r>
        <w:t>We are proposing to close R6 and R7 because these classes cover legacy arrangements</w:t>
      </w:r>
      <w:r w:rsidR="00953D78">
        <w:t>.</w:t>
      </w:r>
      <w:r>
        <w:t xml:space="preserve"> </w:t>
      </w:r>
      <w:r w:rsidR="00953D78">
        <w:t xml:space="preserve">We </w:t>
      </w:r>
      <w:r w:rsidR="00B929E8">
        <w:t xml:space="preserve">consider it appropriate that they </w:t>
      </w:r>
      <w:r>
        <w:t>close to new entrants from 1 January 2015</w:t>
      </w:r>
      <w:r w:rsidR="00B929E8">
        <w:t xml:space="preserve"> as these classes were not intended to cover new arrangements but rather </w:t>
      </w:r>
      <w:r w:rsidR="00A046FE">
        <w:t xml:space="preserve">residual arrangements that </w:t>
      </w:r>
      <w:r w:rsidR="00387520">
        <w:t xml:space="preserve">were put in place </w:t>
      </w:r>
      <w:r w:rsidR="00387520" w:rsidRPr="00387520">
        <w:t xml:space="preserve">before the Retail Law and </w:t>
      </w:r>
      <w:r w:rsidR="00387520">
        <w:t xml:space="preserve">Retail </w:t>
      </w:r>
      <w:r w:rsidR="00387520" w:rsidRPr="00387520">
        <w:t xml:space="preserve">Rules commenced. </w:t>
      </w:r>
      <w:r w:rsidR="00387520">
        <w:t>Sellers who would previously have been eligible under these classes can still apply for an individual exemption</w:t>
      </w:r>
      <w:r w:rsidR="00243743">
        <w:t xml:space="preserve"> for these types of arrangements. </w:t>
      </w:r>
    </w:p>
    <w:p w:rsidR="00A046FE" w:rsidRDefault="00187794" w:rsidP="009709D9">
      <w:r>
        <w:lastRenderedPageBreak/>
        <w:t xml:space="preserve">In relation to </w:t>
      </w:r>
      <w:r w:rsidR="00B929E8">
        <w:t>classes that cover the sale of energy in an embedded network, we are proposing to close those classes to new entrants from 1 January 2015</w:t>
      </w:r>
      <w:r>
        <w:t xml:space="preserve"> </w:t>
      </w:r>
      <w:r w:rsidR="00B929E8">
        <w:t xml:space="preserve">where the site has been retrofitted as an embedded network. We consider that all customers should be able to choose their energy retailer and therefore do not support the creation of infrastructure that deliberately reduces a customer’s ability to exercise choice.  </w:t>
      </w:r>
    </w:p>
    <w:p w:rsidR="00BB3CB6" w:rsidRDefault="00B929E8" w:rsidP="009709D9">
      <w:pPr>
        <w:rPr>
          <w:rFonts w:cs="Arial"/>
        </w:rPr>
      </w:pPr>
      <w:r>
        <w:t>We consider that keep</w:t>
      </w:r>
      <w:r w:rsidR="00387520">
        <w:t>ing</w:t>
      </w:r>
      <w:r>
        <w:t xml:space="preserve"> open R1, R2 </w:t>
      </w:r>
      <w:r w:rsidR="00953D78">
        <w:t xml:space="preserve">(other than for retrofitted embedded networks) </w:t>
      </w:r>
      <w:r>
        <w:t xml:space="preserve">and R3 </w:t>
      </w:r>
      <w:r w:rsidR="00CA6A47" w:rsidRPr="00CA6A47">
        <w:t xml:space="preserve">will enable new sellers who would have been eligible under these classes to </w:t>
      </w:r>
      <w:r w:rsidR="00A104DC">
        <w:t>still</w:t>
      </w:r>
      <w:r w:rsidR="00CA6A47" w:rsidRPr="00CA6A47">
        <w:t xml:space="preserve"> register their selling activities, thus ensuring a level playing field </w:t>
      </w:r>
      <w:r w:rsidR="00C9178D">
        <w:t xml:space="preserve">between </w:t>
      </w:r>
      <w:r w:rsidR="002970C1">
        <w:t>existing</w:t>
      </w:r>
      <w:r w:rsidR="00C9178D">
        <w:t xml:space="preserve"> </w:t>
      </w:r>
      <w:r w:rsidR="002970C1">
        <w:t xml:space="preserve">and new </w:t>
      </w:r>
      <w:r w:rsidR="00C9178D">
        <w:t>exempt sellers</w:t>
      </w:r>
      <w:r w:rsidR="00CA6A47" w:rsidRPr="00CA6A47">
        <w:t xml:space="preserve">. It will also provide </w:t>
      </w:r>
      <w:r w:rsidR="00A912FB">
        <w:t xml:space="preserve">new </w:t>
      </w:r>
      <w:r w:rsidR="00C9178D">
        <w:t xml:space="preserve">exempt </w:t>
      </w:r>
      <w:r w:rsidR="00CA6A47" w:rsidRPr="00CA6A47">
        <w:t xml:space="preserve">sellers in jurisdictions where the Retail Law is yet to commence </w:t>
      </w:r>
      <w:r w:rsidR="00F05AA5">
        <w:t xml:space="preserve">with an opportunity </w:t>
      </w:r>
      <w:r w:rsidR="00CA6A47" w:rsidRPr="00CA6A47">
        <w:t xml:space="preserve">to register for </w:t>
      </w:r>
      <w:r w:rsidR="00A046FE">
        <w:t xml:space="preserve">one of these </w:t>
      </w:r>
      <w:r w:rsidR="00CA6A47" w:rsidRPr="00CA6A47">
        <w:t>class exemption</w:t>
      </w:r>
      <w:r w:rsidR="00A046FE">
        <w:t>s</w:t>
      </w:r>
      <w:r w:rsidR="00CA6A47" w:rsidRPr="00CA6A47">
        <w:t xml:space="preserve">. In reaching this view the AER had regard to </w:t>
      </w:r>
      <w:r w:rsidR="00352CD6">
        <w:t xml:space="preserve">the need for </w:t>
      </w:r>
      <w:r w:rsidR="00CA6A47" w:rsidRPr="00CA6A47">
        <w:t>regulation to be fit for purpose</w:t>
      </w:r>
      <w:r w:rsidR="00BB3CB6">
        <w:t>.</w:t>
      </w:r>
      <w:r w:rsidR="00C9178D">
        <w:t xml:space="preserve"> </w:t>
      </w:r>
      <w:r w:rsidR="00BB3CB6">
        <w:t>I</w:t>
      </w:r>
      <w:r w:rsidR="002F6C23">
        <w:t>n particular, t</w:t>
      </w:r>
      <w:r w:rsidR="00A046FE">
        <w:t xml:space="preserve">hese classes are </w:t>
      </w:r>
      <w:r w:rsidR="00D120C4">
        <w:t xml:space="preserve">subject to </w:t>
      </w:r>
      <w:r w:rsidR="00A046FE" w:rsidRPr="00A046FE">
        <w:t xml:space="preserve">conditions that </w:t>
      </w:r>
      <w:r w:rsidR="00D120C4">
        <w:t xml:space="preserve">the exempt seller </w:t>
      </w:r>
      <w:r w:rsidR="00A046FE" w:rsidRPr="00A046FE">
        <w:t xml:space="preserve">must meet to be covered by that exemption. Conditions are designed to provide protections for customers without overburdening exempt sellers, and are modelled on the protections that authorised retailers must provide their customers. </w:t>
      </w:r>
      <w:r w:rsidR="00D120C4" w:rsidRPr="00D120C4">
        <w:t xml:space="preserve">The extent to which these </w:t>
      </w:r>
      <w:r w:rsidR="00D120C4">
        <w:t xml:space="preserve">conditions </w:t>
      </w:r>
      <w:r w:rsidR="00D120C4" w:rsidRPr="00D120C4">
        <w:t xml:space="preserve">apply to a particular class exemption depends largely on the nature of the energy sales and the customer type.  For example, residential exempt customers </w:t>
      </w:r>
      <w:r w:rsidR="00D120C4">
        <w:t xml:space="preserve">(R2) </w:t>
      </w:r>
      <w:r w:rsidR="00D120C4" w:rsidRPr="00D120C4">
        <w:t xml:space="preserve">will receive the greatest level of protection and should receive such protections as flexible payment plans if they identify themselves as experiencing financial </w:t>
      </w:r>
      <w:r w:rsidR="00D120C4" w:rsidRPr="00BA720B">
        <w:t>difficulty.</w:t>
      </w:r>
      <w:r w:rsidR="00D120C4" w:rsidRPr="000F6787">
        <w:rPr>
          <w:rFonts w:cs="Arial"/>
        </w:rPr>
        <w:t xml:space="preserve"> </w:t>
      </w:r>
    </w:p>
    <w:p w:rsidR="00CA6A47" w:rsidRDefault="002F6C23" w:rsidP="009709D9">
      <w:r w:rsidRPr="00BA720B">
        <w:rPr>
          <w:rFonts w:cs="Arial"/>
        </w:rPr>
        <w:t xml:space="preserve">Keeping classes </w:t>
      </w:r>
      <w:r w:rsidR="002B0076">
        <w:rPr>
          <w:rFonts w:cs="Arial"/>
        </w:rPr>
        <w:t xml:space="preserve">R1, R2 and R3 </w:t>
      </w:r>
      <w:r w:rsidRPr="00BA720B">
        <w:rPr>
          <w:rFonts w:cs="Arial"/>
        </w:rPr>
        <w:t xml:space="preserve">open will not lessen customer protections as individual exemption conditions are generally based on those of comparable class exemptions, but will reduce the administrative load of sellers and the AER. </w:t>
      </w:r>
      <w:r w:rsidR="00C9178D" w:rsidRPr="00BA720B">
        <w:t xml:space="preserve">We </w:t>
      </w:r>
      <w:r w:rsidRPr="000F6787">
        <w:t xml:space="preserve">therefore </w:t>
      </w:r>
      <w:r w:rsidR="00352CD6" w:rsidRPr="000F6787">
        <w:t xml:space="preserve">consider </w:t>
      </w:r>
      <w:r w:rsidR="00C9178D" w:rsidRPr="000F6787">
        <w:t xml:space="preserve">that </w:t>
      </w:r>
      <w:r w:rsidR="00CA6A47" w:rsidRPr="000F6787">
        <w:t>a registrable exemption remains the right level of regulation given the low risk associated</w:t>
      </w:r>
      <w:r w:rsidR="00CA6A47" w:rsidRPr="00CA6A47">
        <w:t xml:space="preserve"> with the types of selling arrangements captured by the</w:t>
      </w:r>
      <w:r w:rsidR="00C9178D">
        <w:t>se classes and in light of the our</w:t>
      </w:r>
      <w:r w:rsidR="00CA6A47" w:rsidRPr="00CA6A47">
        <w:t xml:space="preserve"> increased familiarity with these types of arrangements. </w:t>
      </w:r>
      <w:r w:rsidR="00953D78">
        <w:t>W</w:t>
      </w:r>
      <w:r w:rsidR="006008E6">
        <w:t xml:space="preserve">e </w:t>
      </w:r>
      <w:r w:rsidR="00953D78">
        <w:t xml:space="preserve">have received </w:t>
      </w:r>
      <w:r w:rsidR="005703A0">
        <w:t xml:space="preserve">few </w:t>
      </w:r>
      <w:r w:rsidR="00A046FE">
        <w:t xml:space="preserve">complaints from </w:t>
      </w:r>
      <w:r w:rsidR="00953D78">
        <w:t xml:space="preserve">exempt </w:t>
      </w:r>
      <w:r w:rsidR="00A046FE">
        <w:t>customers covered by these arrangements</w:t>
      </w:r>
      <w:r w:rsidR="006008E6">
        <w:rPr>
          <w:rStyle w:val="FootnoteReference"/>
        </w:rPr>
        <w:footnoteReference w:id="12"/>
      </w:r>
      <w:r w:rsidR="00A046FE">
        <w:t xml:space="preserve"> </w:t>
      </w:r>
      <w:r w:rsidR="00953D78">
        <w:t>even though registrations for these types of exemptions remain steady. T</w:t>
      </w:r>
      <w:r w:rsidR="006008E6">
        <w:t xml:space="preserve">his may indicate that the class conditions currently provide appropriate levels of customer protection. </w:t>
      </w:r>
      <w:r w:rsidR="00A046FE">
        <w:t xml:space="preserve">Exempt customers covered by R1, R2 and R3 arrangements are </w:t>
      </w:r>
      <w:r w:rsidR="00D120C4">
        <w:t xml:space="preserve">also </w:t>
      </w:r>
      <w:r w:rsidR="00953D78">
        <w:t xml:space="preserve">covered by all other relevant customer protection legislation, </w:t>
      </w:r>
      <w:r w:rsidR="00234E49">
        <w:t xml:space="preserve">for example, </w:t>
      </w:r>
      <w:r w:rsidR="00953D78">
        <w:t>the Australian Consumer Law.</w:t>
      </w:r>
    </w:p>
    <w:p w:rsidR="00353D0F" w:rsidRDefault="00353D0F" w:rsidP="00353D0F">
      <w:pPr>
        <w:pStyle w:val="Heading2"/>
      </w:pPr>
      <w:bookmarkStart w:id="13" w:name="_Toc407011915"/>
      <w:r>
        <w:t>Further amendments</w:t>
      </w:r>
      <w:bookmarkEnd w:id="13"/>
      <w:r>
        <w:t xml:space="preserve"> </w:t>
      </w:r>
    </w:p>
    <w:p w:rsidR="005E4320" w:rsidRPr="00353D0F" w:rsidRDefault="008A7BE9" w:rsidP="00353D0F">
      <w:pPr>
        <w:pStyle w:val="AERbodytext"/>
        <w:keepNext/>
        <w:spacing w:before="120"/>
      </w:pPr>
      <w:r w:rsidRPr="004C5C05">
        <w:rPr>
          <w:rFonts w:ascii="Arial" w:hAnsi="Arial" w:cs="Arial"/>
          <w:sz w:val="22"/>
          <w:szCs w:val="22"/>
        </w:rPr>
        <w:t xml:space="preserve">We may make additional revisions to </w:t>
      </w:r>
      <w:r w:rsidR="00FF143C" w:rsidRPr="004C5C05">
        <w:rPr>
          <w:rFonts w:ascii="Arial" w:hAnsi="Arial" w:cs="Arial"/>
          <w:sz w:val="22"/>
          <w:szCs w:val="22"/>
        </w:rPr>
        <w:t xml:space="preserve">the </w:t>
      </w:r>
      <w:r w:rsidR="00353D0F" w:rsidRPr="004C5C05">
        <w:rPr>
          <w:rFonts w:ascii="Arial" w:hAnsi="Arial" w:cs="Arial"/>
          <w:sz w:val="22"/>
          <w:szCs w:val="22"/>
        </w:rPr>
        <w:t xml:space="preserve">guideline </w:t>
      </w:r>
      <w:r w:rsidR="00FF143C" w:rsidRPr="004C5C05">
        <w:rPr>
          <w:rFonts w:ascii="Arial" w:hAnsi="Arial" w:cs="Arial"/>
          <w:sz w:val="22"/>
          <w:szCs w:val="22"/>
        </w:rPr>
        <w:t>following our consultation on regulating innovative energy selling business models under the Retail Law.</w:t>
      </w:r>
      <w:r w:rsidR="00A34041" w:rsidRPr="004C5C05">
        <w:rPr>
          <w:rStyle w:val="FootnoteReference"/>
          <w:rFonts w:ascii="Arial" w:hAnsi="Arial" w:cs="Arial"/>
          <w:sz w:val="22"/>
          <w:szCs w:val="22"/>
        </w:rPr>
        <w:footnoteReference w:id="13"/>
      </w:r>
      <w:r w:rsidR="00FF143C" w:rsidRPr="004C5C05">
        <w:rPr>
          <w:rFonts w:ascii="Arial" w:hAnsi="Arial" w:cs="Arial"/>
          <w:sz w:val="22"/>
          <w:szCs w:val="22"/>
        </w:rPr>
        <w:t xml:space="preserve"> </w:t>
      </w:r>
      <w:r w:rsidR="004C5C05" w:rsidRPr="004C5C05">
        <w:rPr>
          <w:rFonts w:ascii="Arial" w:hAnsi="Arial" w:cs="Arial"/>
          <w:sz w:val="22"/>
          <w:szCs w:val="22"/>
        </w:rPr>
        <w:t xml:space="preserve">There are a number of other changes that we consider necessary to clarify how the guideline applies, for example, including further clarification on the meaning of ‘premises’ and explicitly dealing with the surrender of an exemption. We also consider further refinements to a number of the deemed and registrable classes would be appropriate but have not proposed them at this time for the sake of expediency and to keep the consultation targeted. </w:t>
      </w:r>
    </w:p>
    <w:sectPr w:rsidR="005E4320" w:rsidRPr="00353D0F" w:rsidSect="00C953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8B2" w:rsidRDefault="00DE68B2" w:rsidP="00B14A00">
      <w:pPr>
        <w:spacing w:line="240" w:lineRule="auto"/>
      </w:pPr>
      <w:r>
        <w:separator/>
      </w:r>
    </w:p>
  </w:endnote>
  <w:endnote w:type="continuationSeparator" w:id="0">
    <w:p w:rsidR="00DE68B2" w:rsidRDefault="00DE68B2" w:rsidP="00B14A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7E4" w:rsidRDefault="00A417E0" w:rsidP="00492C85">
    <w:pPr>
      <w:pStyle w:val="Footer"/>
      <w:jc w:val="right"/>
    </w:pPr>
    <w:r>
      <w:t>Notice of draft instrument: amendments to Retail Exempt Selling guideline</w:t>
    </w:r>
    <w:r w:rsidR="00EC27E4">
      <w:t xml:space="preserve"> - Page </w:t>
    </w:r>
    <w:sdt>
      <w:sdtPr>
        <w:id w:val="1636304498"/>
        <w:docPartObj>
          <w:docPartGallery w:val="Page Numbers (Bottom of Page)"/>
          <w:docPartUnique/>
        </w:docPartObj>
      </w:sdtPr>
      <w:sdtEndPr>
        <w:rPr>
          <w:noProof/>
        </w:rPr>
      </w:sdtEndPr>
      <w:sdtContent>
        <w:r w:rsidR="00EC27E4">
          <w:fldChar w:fldCharType="begin"/>
        </w:r>
        <w:r w:rsidR="00EC27E4">
          <w:instrText xml:space="preserve"> PAGE   \* MERGEFORMAT </w:instrText>
        </w:r>
        <w:r w:rsidR="00EC27E4">
          <w:fldChar w:fldCharType="separate"/>
        </w:r>
        <w:r w:rsidR="0037236A">
          <w:rPr>
            <w:noProof/>
          </w:rPr>
          <w:t>1</w:t>
        </w:r>
        <w:r w:rsidR="00EC27E4">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7E4" w:rsidRDefault="00EC27E4">
    <w:pPr>
      <w:pStyle w:val="Footer"/>
    </w:pPr>
  </w:p>
  <w:p w:rsidR="00EC27E4" w:rsidRDefault="00EC27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8B2" w:rsidRDefault="00DE68B2" w:rsidP="00B14A00">
      <w:pPr>
        <w:spacing w:line="240" w:lineRule="auto"/>
      </w:pPr>
      <w:r>
        <w:separator/>
      </w:r>
    </w:p>
  </w:footnote>
  <w:footnote w:type="continuationSeparator" w:id="0">
    <w:p w:rsidR="00DE68B2" w:rsidRDefault="00DE68B2" w:rsidP="00B14A00">
      <w:pPr>
        <w:spacing w:line="240" w:lineRule="auto"/>
      </w:pPr>
      <w:r>
        <w:continuationSeparator/>
      </w:r>
    </w:p>
  </w:footnote>
  <w:footnote w:id="1">
    <w:p w:rsidR="00D0341F" w:rsidRDefault="00D0341F" w:rsidP="00D0341F">
      <w:pPr>
        <w:pStyle w:val="FootnoteText"/>
      </w:pPr>
      <w:r>
        <w:rPr>
          <w:rStyle w:val="FootnoteReference"/>
        </w:rPr>
        <w:footnoteRef/>
      </w:r>
      <w:r>
        <w:t xml:space="preserve"> National Energy Retail Law, section 110. </w:t>
      </w:r>
    </w:p>
  </w:footnote>
  <w:footnote w:id="2">
    <w:p w:rsidR="0019640A" w:rsidRDefault="0019640A" w:rsidP="0019640A">
      <w:pPr>
        <w:pStyle w:val="FootnoteText"/>
      </w:pPr>
      <w:r>
        <w:rPr>
          <w:rStyle w:val="FootnoteReference"/>
        </w:rPr>
        <w:footnoteRef/>
      </w:r>
      <w:r>
        <w:t xml:space="preserve"> National Energy Retail Rules, rules 149 – 151. </w:t>
      </w:r>
    </w:p>
  </w:footnote>
  <w:footnote w:id="3">
    <w:p w:rsidR="0019640A" w:rsidRDefault="0019640A" w:rsidP="0019640A">
      <w:pPr>
        <w:pStyle w:val="FootnoteText"/>
      </w:pPr>
      <w:r>
        <w:rPr>
          <w:rStyle w:val="FootnoteReference"/>
        </w:rPr>
        <w:footnoteRef/>
      </w:r>
      <w:r>
        <w:t xml:space="preserve"> And </w:t>
      </w:r>
      <w:r w:rsidRPr="00D5094B">
        <w:t>appea</w:t>
      </w:r>
      <w:r>
        <w:t>r</w:t>
      </w:r>
      <w:r w:rsidRPr="00D5094B">
        <w:t xml:space="preserve"> on the AER’s </w:t>
      </w:r>
      <w:hyperlink r:id="rId1" w:history="1">
        <w:r w:rsidRPr="00B56F87">
          <w:rPr>
            <w:rStyle w:val="Hyperlink"/>
          </w:rPr>
          <w:t>Public Register of Retail Exemptions</w:t>
        </w:r>
      </w:hyperlink>
      <w:r>
        <w:t xml:space="preserve"> (</w:t>
      </w:r>
      <w:hyperlink r:id="rId2" w:history="1">
        <w:r w:rsidRPr="00ED2B96">
          <w:rPr>
            <w:rStyle w:val="Hyperlink"/>
          </w:rPr>
          <w:t>http://www.aer.gov.au/node/11037</w:t>
        </w:r>
      </w:hyperlink>
      <w:r>
        <w:t xml:space="preserve">) </w:t>
      </w:r>
    </w:p>
  </w:footnote>
  <w:footnote w:id="4">
    <w:p w:rsidR="00D0341F" w:rsidRDefault="00D0341F" w:rsidP="00D0341F">
      <w:pPr>
        <w:pStyle w:val="FootnoteText"/>
      </w:pPr>
      <w:r>
        <w:rPr>
          <w:rStyle w:val="FootnoteReference"/>
        </w:rPr>
        <w:footnoteRef/>
      </w:r>
      <w:r>
        <w:t xml:space="preserve"> National Energy Retail Law, section 118. </w:t>
      </w:r>
    </w:p>
  </w:footnote>
  <w:footnote w:id="5">
    <w:p w:rsidR="00D0341F" w:rsidRDefault="00D0341F" w:rsidP="00D0341F">
      <w:pPr>
        <w:pStyle w:val="FootnoteText"/>
      </w:pPr>
      <w:r>
        <w:rPr>
          <w:rStyle w:val="FootnoteReference"/>
        </w:rPr>
        <w:footnoteRef/>
      </w:r>
      <w:r>
        <w:t xml:space="preserve"> National Energy Retail Law, section 114. </w:t>
      </w:r>
    </w:p>
  </w:footnote>
  <w:footnote w:id="6">
    <w:p w:rsidR="00D0341F" w:rsidRDefault="00D0341F" w:rsidP="00D0341F">
      <w:pPr>
        <w:pStyle w:val="FootnoteText"/>
      </w:pPr>
      <w:r>
        <w:rPr>
          <w:rStyle w:val="FootnoteReference"/>
        </w:rPr>
        <w:footnoteRef/>
      </w:r>
      <w:r>
        <w:t xml:space="preserve"> National Energy Retail Law, section 115 (exempt seller factors) and section 116 (customer related factors). </w:t>
      </w:r>
    </w:p>
  </w:footnote>
  <w:footnote w:id="7">
    <w:p w:rsidR="00187794" w:rsidRDefault="00187794">
      <w:pPr>
        <w:pStyle w:val="FootnoteText"/>
      </w:pPr>
      <w:r>
        <w:rPr>
          <w:rStyle w:val="FootnoteReference"/>
        </w:rPr>
        <w:footnoteRef/>
      </w:r>
      <w:r>
        <w:t xml:space="preserve"> R6: persons selling metered energy to small customers at a site or premises adjacent to a site that they own, occupy or operate. This class was intended to cover legacy arrangements. </w:t>
      </w:r>
    </w:p>
  </w:footnote>
  <w:footnote w:id="8">
    <w:p w:rsidR="00187794" w:rsidRDefault="00187794">
      <w:pPr>
        <w:pStyle w:val="FootnoteText"/>
      </w:pPr>
      <w:r>
        <w:rPr>
          <w:rStyle w:val="FootnoteReference"/>
        </w:rPr>
        <w:footnoteRef/>
      </w:r>
      <w:r>
        <w:t xml:space="preserve"> R7: persons selling unmetered energy to small commercial/retail customers at a site that they own, occupy or operate. This class was intended to cover legacy arrangements.</w:t>
      </w:r>
    </w:p>
  </w:footnote>
  <w:footnote w:id="9">
    <w:p w:rsidR="00B929E8" w:rsidRDefault="00B929E8">
      <w:pPr>
        <w:pStyle w:val="FootnoteText"/>
      </w:pPr>
      <w:r>
        <w:rPr>
          <w:rStyle w:val="FootnoteReference"/>
        </w:rPr>
        <w:footnoteRef/>
      </w:r>
      <w:r>
        <w:t xml:space="preserve"> R1: persons selling metered energy to ten or more small commercial/retail customers within the limits of a site that they own, occupy or operate.</w:t>
      </w:r>
    </w:p>
  </w:footnote>
  <w:footnote w:id="10">
    <w:p w:rsidR="00B929E8" w:rsidRDefault="00B929E8">
      <w:pPr>
        <w:pStyle w:val="FootnoteText"/>
      </w:pPr>
      <w:r>
        <w:rPr>
          <w:rStyle w:val="FootnoteReference"/>
        </w:rPr>
        <w:footnoteRef/>
      </w:r>
      <w:r>
        <w:t xml:space="preserve"> R2: persons selling metered energy to ten or more residential customers within the limits of a sit that they own, occupy or operate. </w:t>
      </w:r>
    </w:p>
  </w:footnote>
  <w:footnote w:id="11">
    <w:p w:rsidR="00B929E8" w:rsidRDefault="00B929E8">
      <w:pPr>
        <w:pStyle w:val="FootnoteText"/>
      </w:pPr>
      <w:r>
        <w:rPr>
          <w:rStyle w:val="FootnoteReference"/>
        </w:rPr>
        <w:footnoteRef/>
      </w:r>
      <w:r>
        <w:t xml:space="preserve"> R3: retirement villages selling metered energy to residential customers within the limits of a site that they own, occupy or operate. </w:t>
      </w:r>
    </w:p>
  </w:footnote>
  <w:footnote w:id="12">
    <w:p w:rsidR="006008E6" w:rsidRDefault="006008E6">
      <w:pPr>
        <w:pStyle w:val="FootnoteText"/>
      </w:pPr>
      <w:r>
        <w:rPr>
          <w:rStyle w:val="FootnoteReference"/>
        </w:rPr>
        <w:footnoteRef/>
      </w:r>
      <w:r>
        <w:t xml:space="preserve"> Customers that have complained about onselling arrangements have </w:t>
      </w:r>
      <w:r w:rsidR="005703A0">
        <w:t>largely</w:t>
      </w:r>
      <w:r w:rsidR="00953D78">
        <w:t xml:space="preserve"> </w:t>
      </w:r>
      <w:r>
        <w:t>been exempt customers that are part of a</w:t>
      </w:r>
      <w:r w:rsidR="002F6C23">
        <w:t>n</w:t>
      </w:r>
      <w:r>
        <w:t xml:space="preserve"> embedded network.</w:t>
      </w:r>
    </w:p>
  </w:footnote>
  <w:footnote w:id="13">
    <w:p w:rsidR="00A34041" w:rsidRDefault="00A34041">
      <w:pPr>
        <w:pStyle w:val="FootnoteText"/>
      </w:pPr>
      <w:r>
        <w:rPr>
          <w:rStyle w:val="FootnoteReference"/>
        </w:rPr>
        <w:footnoteRef/>
      </w:r>
      <w:r>
        <w:t xml:space="preserve"> This consultation commenced on 18 November 2014 and will close on </w:t>
      </w:r>
      <w:r w:rsidR="001B3E10">
        <w:t>16 February</w:t>
      </w:r>
      <w:r>
        <w:t xml:space="preserve"> 2015. Further information is available on our website at: </w:t>
      </w:r>
      <w:hyperlink r:id="rId3" w:history="1">
        <w:r w:rsidR="008754E5" w:rsidRPr="00356B72">
          <w:rPr>
            <w:rStyle w:val="Hyperlink"/>
          </w:rPr>
          <w:t>https://www.aer.gov.au/node/28414</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1E00"/>
    <w:multiLevelType w:val="multilevel"/>
    <w:tmpl w:val="0C09001D"/>
    <w:numStyleLink w:val="BulletedList"/>
  </w:abstractNum>
  <w:abstractNum w:abstractNumId="1">
    <w:nsid w:val="03CF3873"/>
    <w:multiLevelType w:val="multilevel"/>
    <w:tmpl w:val="0C09001D"/>
    <w:numStyleLink w:val="BulletedList"/>
  </w:abstractNum>
  <w:abstractNum w:abstractNumId="2">
    <w:nsid w:val="06A34E79"/>
    <w:multiLevelType w:val="multilevel"/>
    <w:tmpl w:val="0136B40A"/>
    <w:numStyleLink w:val="NumberedList-Straight"/>
  </w:abstractNum>
  <w:abstractNum w:abstractNumId="3">
    <w:nsid w:val="0E15769A"/>
    <w:multiLevelType w:val="hybridMultilevel"/>
    <w:tmpl w:val="99D2A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365F8A"/>
    <w:multiLevelType w:val="hybridMultilevel"/>
    <w:tmpl w:val="EBC0E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CE75E2"/>
    <w:multiLevelType w:val="hybridMultilevel"/>
    <w:tmpl w:val="68C2727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39F751B"/>
    <w:multiLevelType w:val="multilevel"/>
    <w:tmpl w:val="5666D91E"/>
    <w:name w:val="Alphanumeric List2"/>
    <w:numStyleLink w:val="AlphanumericList"/>
  </w:abstractNum>
  <w:abstractNum w:abstractNumId="7">
    <w:nsid w:val="14BE045E"/>
    <w:multiLevelType w:val="multilevel"/>
    <w:tmpl w:val="4BE033BA"/>
    <w:name w:val="Alphanumeric List4"/>
    <w:numStyleLink w:val="NumberedList"/>
  </w:abstractNum>
  <w:abstractNum w:abstractNumId="8">
    <w:nsid w:val="17BE123E"/>
    <w:multiLevelType w:val="multilevel"/>
    <w:tmpl w:val="0C09001D"/>
    <w:numStyleLink w:val="BulletedList"/>
  </w:abstractNum>
  <w:abstractNum w:abstractNumId="9">
    <w:nsid w:val="18A06251"/>
    <w:multiLevelType w:val="hybridMultilevel"/>
    <w:tmpl w:val="F1284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9A92704"/>
    <w:multiLevelType w:val="hybridMultilevel"/>
    <w:tmpl w:val="0EE23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DFB4C0C"/>
    <w:multiLevelType w:val="multilevel"/>
    <w:tmpl w:val="4BE033BA"/>
    <w:styleLink w:val="NumberedList"/>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2">
    <w:nsid w:val="1E4E5152"/>
    <w:multiLevelType w:val="multilevel"/>
    <w:tmpl w:val="0C09001D"/>
    <w:numStyleLink w:val="RomanNumeralBulletedList"/>
  </w:abstractNum>
  <w:abstractNum w:abstractNumId="13">
    <w:nsid w:val="1EF27218"/>
    <w:multiLevelType w:val="multilevel"/>
    <w:tmpl w:val="0136B40A"/>
    <w:styleLink w:val="NumberedList-Straight"/>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FD31346"/>
    <w:multiLevelType w:val="multilevel"/>
    <w:tmpl w:val="0C09001D"/>
    <w:styleLink w:val="RomanNumeralBulletedList"/>
    <w:lvl w:ilvl="0">
      <w:start w:val="1"/>
      <w:numFmt w:val="lowerRoman"/>
      <w:lvlText w:val="%1)"/>
      <w:lvlJc w:val="left"/>
      <w:pPr>
        <w:ind w:left="360" w:hanging="360"/>
      </w:pPr>
      <w:rPr>
        <w:rFonts w:ascii="Arial" w:hAnsi="Arial"/>
        <w:sz w:val="22"/>
      </w:rPr>
    </w:lvl>
    <w:lvl w:ilvl="1">
      <w:start w:val="2"/>
      <w:numFmt w:val="lowerRoman"/>
      <w:lvlText w:val="%2)"/>
      <w:lvlJc w:val="left"/>
      <w:pPr>
        <w:ind w:left="720" w:hanging="360"/>
      </w:pPr>
      <w:rPr>
        <w:rFonts w:ascii="Arial" w:hAnsi="Arial"/>
        <w:sz w:val="22"/>
      </w:rPr>
    </w:lvl>
    <w:lvl w:ilvl="2">
      <w:start w:val="3"/>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062091B"/>
    <w:multiLevelType w:val="hybridMultilevel"/>
    <w:tmpl w:val="FFD8B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7BE5F95"/>
    <w:multiLevelType w:val="multilevel"/>
    <w:tmpl w:val="4524DCE4"/>
    <w:styleLink w:val="AlphanumericList-Straight"/>
    <w:lvl w:ilvl="0">
      <w:start w:val="1"/>
      <w:numFmt w:val="decimal"/>
      <w:lvlText w:val="A.%1"/>
      <w:lvlJc w:val="left"/>
      <w:pPr>
        <w:ind w:left="360" w:hanging="360"/>
      </w:pPr>
      <w:rPr>
        <w:rFonts w:ascii="Arial" w:hAnsi="Arial" w:hint="default"/>
        <w:sz w:val="22"/>
      </w:rPr>
    </w:lvl>
    <w:lvl w:ilvl="1">
      <w:start w:val="1"/>
      <w:numFmt w:val="decimal"/>
      <w:lvlText w:val="A.%1.%2"/>
      <w:lvlJc w:val="left"/>
      <w:pPr>
        <w:ind w:left="720" w:hanging="720"/>
      </w:pPr>
      <w:rPr>
        <w:rFonts w:ascii="Arial" w:hAnsi="Arial" w:hint="default"/>
        <w:sz w:val="22"/>
      </w:rPr>
    </w:lvl>
    <w:lvl w:ilvl="2">
      <w:start w:val="1"/>
      <w:numFmt w:val="decimal"/>
      <w:lvlText w:val="A.%1.%2.%3"/>
      <w:lvlJc w:val="left"/>
      <w:pPr>
        <w:ind w:left="1080" w:hanging="1080"/>
      </w:pPr>
      <w:rPr>
        <w:rFonts w:ascii="Arial" w:hAnsi="Arial" w:hint="default"/>
        <w:sz w:val="22"/>
      </w:rPr>
    </w:lvl>
    <w:lvl w:ilvl="3">
      <w:start w:val="1"/>
      <w:numFmt w:val="decimal"/>
      <w:lvlText w:val="A.%1.%2.%3.%4"/>
      <w:lvlJc w:val="left"/>
      <w:pPr>
        <w:ind w:left="1440" w:hanging="1440"/>
      </w:pPr>
      <w:rPr>
        <w:rFonts w:ascii="Arial" w:hAnsi="Aria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8267824"/>
    <w:multiLevelType w:val="hybridMultilevel"/>
    <w:tmpl w:val="971EF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8BB4121"/>
    <w:multiLevelType w:val="multilevel"/>
    <w:tmpl w:val="4BE033BA"/>
    <w:numStyleLink w:val="NumberedList"/>
  </w:abstractNum>
  <w:abstractNum w:abstractNumId="19">
    <w:nsid w:val="28C7219D"/>
    <w:multiLevelType w:val="hybridMultilevel"/>
    <w:tmpl w:val="713681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0C060D3"/>
    <w:multiLevelType w:val="multilevel"/>
    <w:tmpl w:val="0C09001D"/>
    <w:numStyleLink w:val="RomanNumeralBulletedList"/>
  </w:abstractNum>
  <w:abstractNum w:abstractNumId="21">
    <w:nsid w:val="3F83568B"/>
    <w:multiLevelType w:val="hybridMultilevel"/>
    <w:tmpl w:val="D9542A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B763F1C"/>
    <w:multiLevelType w:val="multilevel"/>
    <w:tmpl w:val="0C09001D"/>
    <w:numStyleLink w:val="BulletedList"/>
  </w:abstractNum>
  <w:abstractNum w:abstractNumId="24">
    <w:nsid w:val="4D0030E8"/>
    <w:multiLevelType w:val="multilevel"/>
    <w:tmpl w:val="0C09001D"/>
    <w:numStyleLink w:val="BulletedList"/>
  </w:abstractNum>
  <w:abstractNum w:abstractNumId="25">
    <w:nsid w:val="4D5A494A"/>
    <w:multiLevelType w:val="multilevel"/>
    <w:tmpl w:val="0136B40A"/>
    <w:numStyleLink w:val="NumberedList-Straight"/>
  </w:abstractNum>
  <w:abstractNum w:abstractNumId="26">
    <w:nsid w:val="4DC259A7"/>
    <w:multiLevelType w:val="hybridMultilevel"/>
    <w:tmpl w:val="51D6C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E224022"/>
    <w:multiLevelType w:val="multilevel"/>
    <w:tmpl w:val="4BE033BA"/>
    <w:numStyleLink w:val="NumberedList"/>
  </w:abstractNum>
  <w:abstractNum w:abstractNumId="28">
    <w:nsid w:val="506C7659"/>
    <w:multiLevelType w:val="multilevel"/>
    <w:tmpl w:val="4524DCE4"/>
    <w:numStyleLink w:val="AlphanumericList-Straight"/>
  </w:abstractNum>
  <w:abstractNum w:abstractNumId="29">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4267AE6"/>
    <w:multiLevelType w:val="multilevel"/>
    <w:tmpl w:val="0C09001D"/>
    <w:styleLink w:val="BulletedLis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Symbol" w:hAnsi="Symbol" w:hint="default"/>
        <w:sz w:val="22"/>
      </w:rPr>
    </w:lvl>
    <w:lvl w:ilvl="2">
      <w:start w:val="1"/>
      <w:numFmt w:val="bullet"/>
      <w:lvlText w:val=""/>
      <w:lvlJc w:val="left"/>
      <w:pPr>
        <w:ind w:left="1080" w:hanging="360"/>
      </w:pPr>
      <w:rPr>
        <w:rFonts w:ascii="Symbol" w:hAnsi="Symbol" w:hint="default"/>
        <w:sz w:val="22"/>
      </w:rPr>
    </w:lvl>
    <w:lvl w:ilvl="3">
      <w:start w:val="1"/>
      <w:numFmt w:val="bullet"/>
      <w:lvlText w:val=""/>
      <w:lvlJc w:val="left"/>
      <w:pPr>
        <w:ind w:left="1440" w:hanging="360"/>
      </w:pPr>
      <w:rPr>
        <w:rFonts w:ascii="Symbol" w:hAnsi="Symbol" w:hint="default"/>
        <w:sz w:val="22"/>
      </w:rPr>
    </w:lvl>
    <w:lvl w:ilvl="4">
      <w:start w:val="1"/>
      <w:numFmt w:val="bullet"/>
      <w:lvlText w:val=""/>
      <w:lvlJc w:val="left"/>
      <w:pPr>
        <w:ind w:left="1800" w:hanging="360"/>
      </w:pPr>
      <w:rPr>
        <w:rFonts w:ascii="Symbol" w:hAnsi="Symbol" w:hint="default"/>
        <w:sz w:val="22"/>
      </w:rPr>
    </w:lvl>
    <w:lvl w:ilvl="5">
      <w:start w:val="1"/>
      <w:numFmt w:val="bullet"/>
      <w:lvlText w:val=""/>
      <w:lvlJc w:val="left"/>
      <w:pPr>
        <w:ind w:left="2160" w:hanging="360"/>
      </w:pPr>
      <w:rPr>
        <w:rFonts w:ascii="Symbol" w:hAnsi="Symbol" w:hint="default"/>
        <w:sz w:val="22"/>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582152F"/>
    <w:multiLevelType w:val="hybridMultilevel"/>
    <w:tmpl w:val="D58C1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8823F05"/>
    <w:multiLevelType w:val="multilevel"/>
    <w:tmpl w:val="4BE033BA"/>
    <w:numStyleLink w:val="NumberedList"/>
  </w:abstractNum>
  <w:abstractNum w:abstractNumId="33">
    <w:nsid w:val="58852285"/>
    <w:multiLevelType w:val="hybridMultilevel"/>
    <w:tmpl w:val="F2FAF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99C02FF"/>
    <w:multiLevelType w:val="multilevel"/>
    <w:tmpl w:val="4BE033BA"/>
    <w:numStyleLink w:val="NumberedList"/>
  </w:abstractNum>
  <w:abstractNum w:abstractNumId="35">
    <w:nsid w:val="603C2378"/>
    <w:multiLevelType w:val="hybridMultilevel"/>
    <w:tmpl w:val="C0565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0805E73"/>
    <w:multiLevelType w:val="hybridMultilevel"/>
    <w:tmpl w:val="6EB6D452"/>
    <w:lvl w:ilvl="0" w:tplc="AE84A2D0">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12B6E4C"/>
    <w:multiLevelType w:val="hybridMultilevel"/>
    <w:tmpl w:val="6CA80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83D2B22"/>
    <w:multiLevelType w:val="hybridMultilevel"/>
    <w:tmpl w:val="CCA2E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A01779B"/>
    <w:multiLevelType w:val="multilevel"/>
    <w:tmpl w:val="5666D91E"/>
    <w:numStyleLink w:val="AlphanumericList"/>
  </w:abstractNum>
  <w:abstractNum w:abstractNumId="40">
    <w:nsid w:val="6BF14087"/>
    <w:multiLevelType w:val="hybridMultilevel"/>
    <w:tmpl w:val="8DEE72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6C1E7867"/>
    <w:multiLevelType w:val="multilevel"/>
    <w:tmpl w:val="4524DCE4"/>
    <w:numStyleLink w:val="AlphanumericList-Straight"/>
  </w:abstractNum>
  <w:abstractNum w:abstractNumId="42">
    <w:nsid w:val="6D871F7F"/>
    <w:multiLevelType w:val="multilevel"/>
    <w:tmpl w:val="5666D91E"/>
    <w:numStyleLink w:val="AlphanumericList"/>
  </w:abstractNum>
  <w:abstractNum w:abstractNumId="43">
    <w:nsid w:val="702166FB"/>
    <w:multiLevelType w:val="hybridMultilevel"/>
    <w:tmpl w:val="D5640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2224A24"/>
    <w:multiLevelType w:val="hybridMultilevel"/>
    <w:tmpl w:val="F20EB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5F63F17"/>
    <w:multiLevelType w:val="hybridMultilevel"/>
    <w:tmpl w:val="40B25AB0"/>
    <w:lvl w:ilvl="0" w:tplc="FDCE921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nsid w:val="776C3913"/>
    <w:multiLevelType w:val="multilevel"/>
    <w:tmpl w:val="D5B4DBC8"/>
    <w:lvl w:ilvl="0">
      <w:start w:val="1"/>
      <w:numFmt w:val="decimal"/>
      <w:pStyle w:val="NumberedListStyle"/>
      <w:lvlText w:val="%1."/>
      <w:lvlJc w:val="left"/>
      <w:pPr>
        <w:ind w:left="357" w:firstLine="0"/>
      </w:pPr>
      <w:rPr>
        <w:rFonts w:ascii="Arial" w:hAnsi="Arial" w:hint="default"/>
        <w:sz w:val="22"/>
      </w:rPr>
    </w:lvl>
    <w:lvl w:ilvl="1">
      <w:start w:val="1"/>
      <w:numFmt w:val="decimal"/>
      <w:lvlRestart w:val="0"/>
      <w:lvlText w:val="%1.%2."/>
      <w:lvlJc w:val="left"/>
      <w:pPr>
        <w:ind w:left="357" w:firstLine="0"/>
      </w:pPr>
      <w:rPr>
        <w:rFonts w:hint="default"/>
      </w:rPr>
    </w:lvl>
    <w:lvl w:ilvl="2">
      <w:start w:val="1"/>
      <w:numFmt w:val="decimal"/>
      <w:lvlRestart w:val="0"/>
      <w:lvlText w:val="%1.%2.%3."/>
      <w:lvlJc w:val="left"/>
      <w:pPr>
        <w:ind w:left="357" w:firstLine="0"/>
      </w:pPr>
      <w:rPr>
        <w:rFonts w:hint="default"/>
      </w:rPr>
    </w:lvl>
    <w:lvl w:ilvl="3">
      <w:start w:val="1"/>
      <w:numFmt w:val="decimal"/>
      <w:lvlText w:val="%1.%2.%3.%4."/>
      <w:lvlJc w:val="left"/>
      <w:pPr>
        <w:ind w:left="357" w:firstLine="0"/>
      </w:pPr>
      <w:rPr>
        <w:rFonts w:hint="default"/>
      </w:rPr>
    </w:lvl>
    <w:lvl w:ilvl="4">
      <w:start w:val="1"/>
      <w:numFmt w:val="decimal"/>
      <w:lvlText w:val="%1.%2.%3.%4.%5."/>
      <w:lvlJc w:val="left"/>
      <w:pPr>
        <w:ind w:left="357" w:firstLine="0"/>
      </w:pPr>
      <w:rPr>
        <w:rFonts w:hint="default"/>
      </w:rPr>
    </w:lvl>
    <w:lvl w:ilvl="5">
      <w:start w:val="1"/>
      <w:numFmt w:val="decimal"/>
      <w:lvlText w:val="%1.%2.%3.%4.%5.%6."/>
      <w:lvlJc w:val="left"/>
      <w:pPr>
        <w:ind w:left="357" w:firstLine="0"/>
      </w:pPr>
      <w:rPr>
        <w:rFonts w:hint="default"/>
      </w:rPr>
    </w:lvl>
    <w:lvl w:ilvl="6">
      <w:start w:val="1"/>
      <w:numFmt w:val="decimal"/>
      <w:lvlText w:val="%1.%2.%3.%4.%5.%6.%7."/>
      <w:lvlJc w:val="left"/>
      <w:pPr>
        <w:ind w:left="357" w:firstLine="0"/>
      </w:pPr>
      <w:rPr>
        <w:rFonts w:hint="default"/>
      </w:rPr>
    </w:lvl>
    <w:lvl w:ilvl="7">
      <w:start w:val="1"/>
      <w:numFmt w:val="decimal"/>
      <w:lvlText w:val="%1.%2.%3.%4.%5.%6.%7.%8."/>
      <w:lvlJc w:val="left"/>
      <w:pPr>
        <w:ind w:left="357" w:firstLine="0"/>
      </w:pPr>
      <w:rPr>
        <w:rFonts w:hint="default"/>
      </w:rPr>
    </w:lvl>
    <w:lvl w:ilvl="8">
      <w:start w:val="1"/>
      <w:numFmt w:val="decimal"/>
      <w:lvlText w:val="%1.%2.%3.%4.%5.%6.%7.%8.%9."/>
      <w:lvlJc w:val="left"/>
      <w:pPr>
        <w:ind w:left="357" w:firstLine="0"/>
      </w:pPr>
      <w:rPr>
        <w:rFonts w:hint="default"/>
      </w:rPr>
    </w:lvl>
  </w:abstractNum>
  <w:abstractNum w:abstractNumId="47">
    <w:nsid w:val="77914435"/>
    <w:multiLevelType w:val="hybridMultilevel"/>
    <w:tmpl w:val="E3FCE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CF65028"/>
    <w:multiLevelType w:val="hybridMultilevel"/>
    <w:tmpl w:val="A2BC7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ECC325C"/>
    <w:multiLevelType w:val="hybridMultilevel"/>
    <w:tmpl w:val="54386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46"/>
  </w:num>
  <w:num w:numId="3">
    <w:abstractNumId w:val="18"/>
  </w:num>
  <w:num w:numId="4">
    <w:abstractNumId w:val="30"/>
  </w:num>
  <w:num w:numId="5">
    <w:abstractNumId w:val="14"/>
  </w:num>
  <w:num w:numId="6">
    <w:abstractNumId w:val="20"/>
  </w:num>
  <w:num w:numId="7">
    <w:abstractNumId w:val="22"/>
    <w:lvlOverride w:ilvl="0">
      <w:lvl w:ilvl="0">
        <w:start w:val="1"/>
        <w:numFmt w:val="none"/>
        <w:lvlText w:val="%1A.1"/>
        <w:lvlJc w:val="left"/>
        <w:pPr>
          <w:ind w:left="360" w:hanging="360"/>
        </w:pPr>
        <w:rPr>
          <w:rFonts w:ascii="Arial" w:hAnsi="Arial" w:hint="default"/>
          <w:sz w:val="36"/>
          <w:szCs w:val="36"/>
        </w:rPr>
      </w:lvl>
    </w:lvlOverride>
    <w:lvlOverride w:ilvl="1">
      <w:lvl w:ilvl="1">
        <w:start w:val="1"/>
        <w:numFmt w:val="none"/>
        <w:lvlRestart w:val="0"/>
        <w:lvlText w:val="%2A.1.1"/>
        <w:lvlJc w:val="left"/>
        <w:pPr>
          <w:ind w:left="357" w:hanging="357"/>
        </w:pPr>
        <w:rPr>
          <w:rFonts w:hint="default"/>
        </w:rPr>
      </w:lvl>
    </w:lvlOverride>
    <w:lvlOverride w:ilvl="2">
      <w:lvl w:ilvl="2">
        <w:start w:val="1"/>
        <w:numFmt w:val="none"/>
        <w:lvlRestart w:val="0"/>
        <w:lvlText w:val="%3A.1.1.1"/>
        <w:lvlJc w:val="left"/>
        <w:pPr>
          <w:ind w:left="357" w:hanging="35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32"/>
  </w:num>
  <w:num w:numId="9">
    <w:abstractNumId w:val="22"/>
  </w:num>
  <w:num w:numId="10">
    <w:abstractNumId w:val="13"/>
  </w:num>
  <w:num w:numId="11">
    <w:abstractNumId w:val="16"/>
  </w:num>
  <w:num w:numId="12">
    <w:abstractNumId w:val="38"/>
  </w:num>
  <w:num w:numId="13">
    <w:abstractNumId w:val="39"/>
  </w:num>
  <w:num w:numId="14">
    <w:abstractNumId w:val="41"/>
  </w:num>
  <w:num w:numId="15">
    <w:abstractNumId w:val="34"/>
  </w:num>
  <w:num w:numId="16">
    <w:abstractNumId w:val="25"/>
  </w:num>
  <w:num w:numId="17">
    <w:abstractNumId w:val="42"/>
  </w:num>
  <w:num w:numId="18">
    <w:abstractNumId w:val="28"/>
  </w:num>
  <w:num w:numId="19">
    <w:abstractNumId w:val="8"/>
  </w:num>
  <w:num w:numId="20">
    <w:abstractNumId w:val="27"/>
  </w:num>
  <w:num w:numId="21">
    <w:abstractNumId w:val="2"/>
  </w:num>
  <w:num w:numId="22">
    <w:abstractNumId w:val="12"/>
  </w:num>
  <w:num w:numId="23">
    <w:abstractNumId w:val="17"/>
  </w:num>
  <w:num w:numId="24">
    <w:abstractNumId w:val="31"/>
  </w:num>
  <w:num w:numId="25">
    <w:abstractNumId w:val="48"/>
  </w:num>
  <w:num w:numId="26">
    <w:abstractNumId w:val="37"/>
  </w:num>
  <w:num w:numId="27">
    <w:abstractNumId w:val="26"/>
  </w:num>
  <w:num w:numId="28">
    <w:abstractNumId w:val="15"/>
  </w:num>
  <w:num w:numId="29">
    <w:abstractNumId w:val="4"/>
  </w:num>
  <w:num w:numId="30">
    <w:abstractNumId w:val="9"/>
  </w:num>
  <w:num w:numId="31">
    <w:abstractNumId w:val="49"/>
  </w:num>
  <w:num w:numId="32">
    <w:abstractNumId w:val="33"/>
  </w:num>
  <w:num w:numId="33">
    <w:abstractNumId w:val="43"/>
  </w:num>
  <w:num w:numId="34">
    <w:abstractNumId w:val="47"/>
  </w:num>
  <w:num w:numId="35">
    <w:abstractNumId w:val="19"/>
  </w:num>
  <w:num w:numId="36">
    <w:abstractNumId w:val="40"/>
  </w:num>
  <w:num w:numId="37">
    <w:abstractNumId w:val="10"/>
  </w:num>
  <w:num w:numId="38">
    <w:abstractNumId w:val="44"/>
  </w:num>
  <w:num w:numId="39">
    <w:abstractNumId w:val="3"/>
  </w:num>
  <w:num w:numId="40">
    <w:abstractNumId w:val="29"/>
  </w:num>
  <w:num w:numId="41">
    <w:abstractNumId w:val="45"/>
  </w:num>
  <w:num w:numId="42">
    <w:abstractNumId w:val="36"/>
  </w:num>
  <w:num w:numId="43">
    <w:abstractNumId w:val="35"/>
  </w:num>
  <w:num w:numId="44">
    <w:abstractNumId w:val="21"/>
  </w:num>
  <w:num w:numId="45">
    <w:abstractNumId w:val="5"/>
  </w:num>
  <w:num w:numId="46">
    <w:abstractNumId w:val="24"/>
  </w:num>
  <w:num w:numId="47">
    <w:abstractNumId w:val="23"/>
  </w:num>
  <w:num w:numId="48">
    <w:abstractNumId w:val="0"/>
  </w:num>
  <w:num w:numId="49">
    <w:abstractNumId w:val="1"/>
  </w:num>
  <w:num w:numId="50">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Notice of draft instrument revised Exempt Selling Guideline - December 2014.docx"/>
  </w:docVars>
  <w:rsids>
    <w:rsidRoot w:val="00DE68B2"/>
    <w:rsid w:val="00006B9E"/>
    <w:rsid w:val="000113D6"/>
    <w:rsid w:val="00014A3D"/>
    <w:rsid w:val="000200A0"/>
    <w:rsid w:val="00027B91"/>
    <w:rsid w:val="00044D8E"/>
    <w:rsid w:val="00045887"/>
    <w:rsid w:val="00050BC1"/>
    <w:rsid w:val="0006201F"/>
    <w:rsid w:val="000664BE"/>
    <w:rsid w:val="00067039"/>
    <w:rsid w:val="000722B1"/>
    <w:rsid w:val="000731B8"/>
    <w:rsid w:val="00080374"/>
    <w:rsid w:val="0008333F"/>
    <w:rsid w:val="000C5FBF"/>
    <w:rsid w:val="000D0765"/>
    <w:rsid w:val="000D117D"/>
    <w:rsid w:val="000D2285"/>
    <w:rsid w:val="000E06D4"/>
    <w:rsid w:val="000E4923"/>
    <w:rsid w:val="000E7C3D"/>
    <w:rsid w:val="000F51B1"/>
    <w:rsid w:val="000F6787"/>
    <w:rsid w:val="000F6A41"/>
    <w:rsid w:val="00123A43"/>
    <w:rsid w:val="00130EA5"/>
    <w:rsid w:val="0013660A"/>
    <w:rsid w:val="00141A26"/>
    <w:rsid w:val="0014451D"/>
    <w:rsid w:val="00160BF5"/>
    <w:rsid w:val="00166F28"/>
    <w:rsid w:val="00175E60"/>
    <w:rsid w:val="001822DD"/>
    <w:rsid w:val="0018415E"/>
    <w:rsid w:val="00184BBF"/>
    <w:rsid w:val="00187794"/>
    <w:rsid w:val="00187DC1"/>
    <w:rsid w:val="001918CC"/>
    <w:rsid w:val="00192403"/>
    <w:rsid w:val="001939DE"/>
    <w:rsid w:val="0019640A"/>
    <w:rsid w:val="001974A9"/>
    <w:rsid w:val="001A2BBC"/>
    <w:rsid w:val="001B05B6"/>
    <w:rsid w:val="001B3E10"/>
    <w:rsid w:val="001B6CD9"/>
    <w:rsid w:val="001C4D46"/>
    <w:rsid w:val="001C4D53"/>
    <w:rsid w:val="001C634E"/>
    <w:rsid w:val="001C77E8"/>
    <w:rsid w:val="001D200D"/>
    <w:rsid w:val="001D222D"/>
    <w:rsid w:val="001D432F"/>
    <w:rsid w:val="001E15DE"/>
    <w:rsid w:val="001E4272"/>
    <w:rsid w:val="001E5CBF"/>
    <w:rsid w:val="001E7DC1"/>
    <w:rsid w:val="001F1DE6"/>
    <w:rsid w:val="001F2EE7"/>
    <w:rsid w:val="00207D1E"/>
    <w:rsid w:val="002167E4"/>
    <w:rsid w:val="002170FE"/>
    <w:rsid w:val="00227E0F"/>
    <w:rsid w:val="00233865"/>
    <w:rsid w:val="00234597"/>
    <w:rsid w:val="00234E49"/>
    <w:rsid w:val="00243743"/>
    <w:rsid w:val="00247536"/>
    <w:rsid w:val="00257A19"/>
    <w:rsid w:val="00272FE2"/>
    <w:rsid w:val="00284A98"/>
    <w:rsid w:val="00292F9A"/>
    <w:rsid w:val="002956A8"/>
    <w:rsid w:val="002956ED"/>
    <w:rsid w:val="002970C1"/>
    <w:rsid w:val="002A0BA6"/>
    <w:rsid w:val="002A384A"/>
    <w:rsid w:val="002A566D"/>
    <w:rsid w:val="002A62EA"/>
    <w:rsid w:val="002A75ED"/>
    <w:rsid w:val="002B0076"/>
    <w:rsid w:val="002B5C11"/>
    <w:rsid w:val="002D05D5"/>
    <w:rsid w:val="002D4DAB"/>
    <w:rsid w:val="002F1039"/>
    <w:rsid w:val="002F6C23"/>
    <w:rsid w:val="003017FE"/>
    <w:rsid w:val="003104EF"/>
    <w:rsid w:val="003329A5"/>
    <w:rsid w:val="00346199"/>
    <w:rsid w:val="00352CD6"/>
    <w:rsid w:val="00353D0F"/>
    <w:rsid w:val="00354786"/>
    <w:rsid w:val="00357CC3"/>
    <w:rsid w:val="0037236A"/>
    <w:rsid w:val="003820A0"/>
    <w:rsid w:val="00382D42"/>
    <w:rsid w:val="003853B1"/>
    <w:rsid w:val="003873BD"/>
    <w:rsid w:val="00387432"/>
    <w:rsid w:val="00387520"/>
    <w:rsid w:val="003876DC"/>
    <w:rsid w:val="003B4441"/>
    <w:rsid w:val="003B5212"/>
    <w:rsid w:val="003C000B"/>
    <w:rsid w:val="003D0BB0"/>
    <w:rsid w:val="003E2822"/>
    <w:rsid w:val="003E29D7"/>
    <w:rsid w:val="00406DCE"/>
    <w:rsid w:val="00416370"/>
    <w:rsid w:val="00416508"/>
    <w:rsid w:val="00423179"/>
    <w:rsid w:val="00423B48"/>
    <w:rsid w:val="00431321"/>
    <w:rsid w:val="0043152E"/>
    <w:rsid w:val="00432856"/>
    <w:rsid w:val="00437A2F"/>
    <w:rsid w:val="004423EB"/>
    <w:rsid w:val="0044407F"/>
    <w:rsid w:val="00444DAA"/>
    <w:rsid w:val="0045298C"/>
    <w:rsid w:val="0045491E"/>
    <w:rsid w:val="00465112"/>
    <w:rsid w:val="00472B72"/>
    <w:rsid w:val="00475FD0"/>
    <w:rsid w:val="00480BB1"/>
    <w:rsid w:val="00492C85"/>
    <w:rsid w:val="004A7005"/>
    <w:rsid w:val="004C54CB"/>
    <w:rsid w:val="004C5C05"/>
    <w:rsid w:val="004D07B3"/>
    <w:rsid w:val="004D1FB1"/>
    <w:rsid w:val="004E75D7"/>
    <w:rsid w:val="004F11CD"/>
    <w:rsid w:val="00501E07"/>
    <w:rsid w:val="00504AE8"/>
    <w:rsid w:val="00525710"/>
    <w:rsid w:val="0053045D"/>
    <w:rsid w:val="00543634"/>
    <w:rsid w:val="00544B2F"/>
    <w:rsid w:val="00554210"/>
    <w:rsid w:val="00556232"/>
    <w:rsid w:val="005703A0"/>
    <w:rsid w:val="005824AF"/>
    <w:rsid w:val="0058741C"/>
    <w:rsid w:val="005875FD"/>
    <w:rsid w:val="0059148E"/>
    <w:rsid w:val="005A0E84"/>
    <w:rsid w:val="005A20D1"/>
    <w:rsid w:val="005A42EE"/>
    <w:rsid w:val="005B66E4"/>
    <w:rsid w:val="005C0148"/>
    <w:rsid w:val="005C3C73"/>
    <w:rsid w:val="005E0F24"/>
    <w:rsid w:val="005E1971"/>
    <w:rsid w:val="005E4320"/>
    <w:rsid w:val="005F17BF"/>
    <w:rsid w:val="0060031D"/>
    <w:rsid w:val="006008E6"/>
    <w:rsid w:val="00603EB4"/>
    <w:rsid w:val="00620DCD"/>
    <w:rsid w:val="00621B0E"/>
    <w:rsid w:val="0062521A"/>
    <w:rsid w:val="00650A9B"/>
    <w:rsid w:val="006550E6"/>
    <w:rsid w:val="00660036"/>
    <w:rsid w:val="00660664"/>
    <w:rsid w:val="0066550D"/>
    <w:rsid w:val="00665809"/>
    <w:rsid w:val="0066589E"/>
    <w:rsid w:val="006670BF"/>
    <w:rsid w:val="00667B38"/>
    <w:rsid w:val="006746F2"/>
    <w:rsid w:val="00694E1F"/>
    <w:rsid w:val="006A43A5"/>
    <w:rsid w:val="006A5214"/>
    <w:rsid w:val="006B0A0E"/>
    <w:rsid w:val="006C71C1"/>
    <w:rsid w:val="006D0316"/>
    <w:rsid w:val="006D5D58"/>
    <w:rsid w:val="006E0793"/>
    <w:rsid w:val="006F2D65"/>
    <w:rsid w:val="007116BE"/>
    <w:rsid w:val="00714404"/>
    <w:rsid w:val="007153F4"/>
    <w:rsid w:val="00725E2A"/>
    <w:rsid w:val="007347FE"/>
    <w:rsid w:val="007378E9"/>
    <w:rsid w:val="00740A6F"/>
    <w:rsid w:val="0074400E"/>
    <w:rsid w:val="007453E8"/>
    <w:rsid w:val="00745BC9"/>
    <w:rsid w:val="00756C5D"/>
    <w:rsid w:val="007774C9"/>
    <w:rsid w:val="00781ED9"/>
    <w:rsid w:val="0078432A"/>
    <w:rsid w:val="00786D34"/>
    <w:rsid w:val="00796418"/>
    <w:rsid w:val="007B04FB"/>
    <w:rsid w:val="007B475E"/>
    <w:rsid w:val="007B7070"/>
    <w:rsid w:val="007C27A5"/>
    <w:rsid w:val="007C31BB"/>
    <w:rsid w:val="007E13A5"/>
    <w:rsid w:val="007E44E0"/>
    <w:rsid w:val="0080115C"/>
    <w:rsid w:val="008163AF"/>
    <w:rsid w:val="008235A5"/>
    <w:rsid w:val="008244B2"/>
    <w:rsid w:val="008340CD"/>
    <w:rsid w:val="00836940"/>
    <w:rsid w:val="00847401"/>
    <w:rsid w:val="008475BB"/>
    <w:rsid w:val="00857142"/>
    <w:rsid w:val="00863CDF"/>
    <w:rsid w:val="0086625B"/>
    <w:rsid w:val="008700A9"/>
    <w:rsid w:val="00870E29"/>
    <w:rsid w:val="008754E5"/>
    <w:rsid w:val="00891D48"/>
    <w:rsid w:val="00895D7A"/>
    <w:rsid w:val="008A2138"/>
    <w:rsid w:val="008A3DE9"/>
    <w:rsid w:val="008A7BE9"/>
    <w:rsid w:val="008B52F9"/>
    <w:rsid w:val="008C3501"/>
    <w:rsid w:val="008D457C"/>
    <w:rsid w:val="008E1F32"/>
    <w:rsid w:val="008E6027"/>
    <w:rsid w:val="008E75F6"/>
    <w:rsid w:val="00912011"/>
    <w:rsid w:val="00913F40"/>
    <w:rsid w:val="00915EDF"/>
    <w:rsid w:val="009225C2"/>
    <w:rsid w:val="0092639E"/>
    <w:rsid w:val="009327A0"/>
    <w:rsid w:val="00936049"/>
    <w:rsid w:val="0093640F"/>
    <w:rsid w:val="00953D78"/>
    <w:rsid w:val="00957F3E"/>
    <w:rsid w:val="009616F6"/>
    <w:rsid w:val="009709D9"/>
    <w:rsid w:val="0097193C"/>
    <w:rsid w:val="00982D9C"/>
    <w:rsid w:val="00997326"/>
    <w:rsid w:val="009A46F9"/>
    <w:rsid w:val="009C613C"/>
    <w:rsid w:val="009D5D59"/>
    <w:rsid w:val="009F5B7A"/>
    <w:rsid w:val="00A02730"/>
    <w:rsid w:val="00A046FE"/>
    <w:rsid w:val="00A104DC"/>
    <w:rsid w:val="00A178CC"/>
    <w:rsid w:val="00A21831"/>
    <w:rsid w:val="00A22D13"/>
    <w:rsid w:val="00A34041"/>
    <w:rsid w:val="00A417E0"/>
    <w:rsid w:val="00A44498"/>
    <w:rsid w:val="00A5268E"/>
    <w:rsid w:val="00A55C38"/>
    <w:rsid w:val="00A638A3"/>
    <w:rsid w:val="00A7479F"/>
    <w:rsid w:val="00A85CB7"/>
    <w:rsid w:val="00A911B9"/>
    <w:rsid w:val="00A912FB"/>
    <w:rsid w:val="00A94A4E"/>
    <w:rsid w:val="00A972F9"/>
    <w:rsid w:val="00AA1DB0"/>
    <w:rsid w:val="00AA38B2"/>
    <w:rsid w:val="00AA516B"/>
    <w:rsid w:val="00AB2C81"/>
    <w:rsid w:val="00AB31C2"/>
    <w:rsid w:val="00AB3BE8"/>
    <w:rsid w:val="00AB4987"/>
    <w:rsid w:val="00AC2B3B"/>
    <w:rsid w:val="00AD0968"/>
    <w:rsid w:val="00AE6233"/>
    <w:rsid w:val="00AE7E16"/>
    <w:rsid w:val="00AF0D4D"/>
    <w:rsid w:val="00AF1A72"/>
    <w:rsid w:val="00B036B5"/>
    <w:rsid w:val="00B03A91"/>
    <w:rsid w:val="00B14A00"/>
    <w:rsid w:val="00B24521"/>
    <w:rsid w:val="00B2492A"/>
    <w:rsid w:val="00B46283"/>
    <w:rsid w:val="00B55015"/>
    <w:rsid w:val="00B610EE"/>
    <w:rsid w:val="00B63E1A"/>
    <w:rsid w:val="00B6465D"/>
    <w:rsid w:val="00B70541"/>
    <w:rsid w:val="00B70E55"/>
    <w:rsid w:val="00B801CA"/>
    <w:rsid w:val="00B81968"/>
    <w:rsid w:val="00B84B17"/>
    <w:rsid w:val="00B929E8"/>
    <w:rsid w:val="00B93286"/>
    <w:rsid w:val="00BA720B"/>
    <w:rsid w:val="00BB34F2"/>
    <w:rsid w:val="00BB3CB6"/>
    <w:rsid w:val="00BB4939"/>
    <w:rsid w:val="00BC19B7"/>
    <w:rsid w:val="00BD13A7"/>
    <w:rsid w:val="00BE3D7C"/>
    <w:rsid w:val="00BE740F"/>
    <w:rsid w:val="00C11A40"/>
    <w:rsid w:val="00C44EE3"/>
    <w:rsid w:val="00C56C82"/>
    <w:rsid w:val="00C56E7A"/>
    <w:rsid w:val="00C86863"/>
    <w:rsid w:val="00C9178D"/>
    <w:rsid w:val="00C93331"/>
    <w:rsid w:val="00C95315"/>
    <w:rsid w:val="00CA6A47"/>
    <w:rsid w:val="00CB2A7A"/>
    <w:rsid w:val="00CC659E"/>
    <w:rsid w:val="00CC7C6F"/>
    <w:rsid w:val="00CD3FD1"/>
    <w:rsid w:val="00CD4929"/>
    <w:rsid w:val="00CF36BC"/>
    <w:rsid w:val="00D0341F"/>
    <w:rsid w:val="00D05ADA"/>
    <w:rsid w:val="00D120C4"/>
    <w:rsid w:val="00D15C2D"/>
    <w:rsid w:val="00D15E2C"/>
    <w:rsid w:val="00D2244D"/>
    <w:rsid w:val="00D564CB"/>
    <w:rsid w:val="00D629BB"/>
    <w:rsid w:val="00D67B8E"/>
    <w:rsid w:val="00D7398F"/>
    <w:rsid w:val="00D7788B"/>
    <w:rsid w:val="00D865AD"/>
    <w:rsid w:val="00D86B98"/>
    <w:rsid w:val="00D933BD"/>
    <w:rsid w:val="00D94D1A"/>
    <w:rsid w:val="00DC015B"/>
    <w:rsid w:val="00DD225E"/>
    <w:rsid w:val="00DE0FB1"/>
    <w:rsid w:val="00DE43B7"/>
    <w:rsid w:val="00DE49F7"/>
    <w:rsid w:val="00DE68B2"/>
    <w:rsid w:val="00DF0710"/>
    <w:rsid w:val="00DF1D35"/>
    <w:rsid w:val="00DF43A2"/>
    <w:rsid w:val="00DF6DA8"/>
    <w:rsid w:val="00DF7C2E"/>
    <w:rsid w:val="00E022CC"/>
    <w:rsid w:val="00E20052"/>
    <w:rsid w:val="00E340D5"/>
    <w:rsid w:val="00E67D84"/>
    <w:rsid w:val="00E72EF4"/>
    <w:rsid w:val="00E7321C"/>
    <w:rsid w:val="00E747B9"/>
    <w:rsid w:val="00E93B00"/>
    <w:rsid w:val="00EA0FEB"/>
    <w:rsid w:val="00EA56AF"/>
    <w:rsid w:val="00EB4A17"/>
    <w:rsid w:val="00EC20FB"/>
    <w:rsid w:val="00EC27E4"/>
    <w:rsid w:val="00EC2FFE"/>
    <w:rsid w:val="00EC4378"/>
    <w:rsid w:val="00EC55B7"/>
    <w:rsid w:val="00EC570A"/>
    <w:rsid w:val="00ED0A9C"/>
    <w:rsid w:val="00ED2BFC"/>
    <w:rsid w:val="00ED617D"/>
    <w:rsid w:val="00EE3361"/>
    <w:rsid w:val="00EF456F"/>
    <w:rsid w:val="00EF662D"/>
    <w:rsid w:val="00F04533"/>
    <w:rsid w:val="00F05AA5"/>
    <w:rsid w:val="00F065A1"/>
    <w:rsid w:val="00F20820"/>
    <w:rsid w:val="00F20BBD"/>
    <w:rsid w:val="00F21F12"/>
    <w:rsid w:val="00F227AF"/>
    <w:rsid w:val="00F4016A"/>
    <w:rsid w:val="00F412C9"/>
    <w:rsid w:val="00F42496"/>
    <w:rsid w:val="00F52C5E"/>
    <w:rsid w:val="00F60213"/>
    <w:rsid w:val="00F830B1"/>
    <w:rsid w:val="00F87AEA"/>
    <w:rsid w:val="00F92516"/>
    <w:rsid w:val="00F94117"/>
    <w:rsid w:val="00FA433D"/>
    <w:rsid w:val="00FB3452"/>
    <w:rsid w:val="00FB7F8B"/>
    <w:rsid w:val="00FB7FDA"/>
    <w:rsid w:val="00FC3231"/>
    <w:rsid w:val="00FC3E6B"/>
    <w:rsid w:val="00FC5744"/>
    <w:rsid w:val="00FD01FB"/>
    <w:rsid w:val="00FD1D51"/>
    <w:rsid w:val="00FD2E7F"/>
    <w:rsid w:val="00FD7BD6"/>
    <w:rsid w:val="00FE5F28"/>
    <w:rsid w:val="00FF14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F1DE6"/>
    <w:rPr>
      <w:rFonts w:ascii="Arial" w:hAnsi="Arial"/>
    </w:rPr>
  </w:style>
  <w:style w:type="paragraph" w:styleId="Heading1">
    <w:name w:val="heading 1"/>
    <w:basedOn w:val="Normal"/>
    <w:next w:val="Normal"/>
    <w:link w:val="Heading1Char"/>
    <w:uiPriority w:val="9"/>
    <w:qFormat/>
    <w:rsid w:val="00A178CC"/>
    <w:pPr>
      <w:keepNext/>
      <w:keepLines/>
      <w:pageBreakBefore/>
      <w:spacing w:before="240"/>
      <w:ind w:left="432" w:hanging="432"/>
      <w:outlineLvl w:val="0"/>
    </w:pPr>
    <w:rPr>
      <w:rFonts w:eastAsiaTheme="majorEastAsia" w:cs="Arial"/>
      <w:b/>
      <w:bCs/>
      <w:color w:val="70635A"/>
      <w:sz w:val="36"/>
      <w:szCs w:val="36"/>
    </w:rPr>
  </w:style>
  <w:style w:type="paragraph" w:styleId="Heading2">
    <w:name w:val="heading 2"/>
    <w:basedOn w:val="Normal"/>
    <w:next w:val="Normal"/>
    <w:link w:val="Heading2Char"/>
    <w:uiPriority w:val="9"/>
    <w:unhideWhenUsed/>
    <w:qFormat/>
    <w:rsid w:val="00A178CC"/>
    <w:pPr>
      <w:keepNext/>
      <w:keepLines/>
      <w:spacing w:before="240"/>
      <w:ind w:left="576" w:hanging="576"/>
      <w:outlineLvl w:val="1"/>
    </w:pPr>
    <w:rPr>
      <w:rFonts w:eastAsiaTheme="majorEastAsia" w:cs="Arial"/>
      <w:b/>
      <w:bCs/>
      <w:color w:val="70635A"/>
      <w:sz w:val="32"/>
      <w:szCs w:val="32"/>
    </w:rPr>
  </w:style>
  <w:style w:type="paragraph" w:styleId="Heading3">
    <w:name w:val="heading 3"/>
    <w:basedOn w:val="Normal"/>
    <w:next w:val="Normal"/>
    <w:link w:val="Heading3Char"/>
    <w:uiPriority w:val="9"/>
    <w:unhideWhenUsed/>
    <w:qFormat/>
    <w:rsid w:val="00A178CC"/>
    <w:pPr>
      <w:keepNext/>
      <w:keepLines/>
      <w:spacing w:before="240"/>
      <w:ind w:left="720" w:hanging="720"/>
      <w:outlineLvl w:val="2"/>
    </w:pPr>
    <w:rPr>
      <w:rFonts w:eastAsiaTheme="majorEastAsia" w:cs="Arial"/>
      <w:b/>
      <w:bCs/>
      <w:color w:val="70635A"/>
      <w:sz w:val="28"/>
      <w:szCs w:val="28"/>
    </w:rPr>
  </w:style>
  <w:style w:type="paragraph" w:styleId="Heading4">
    <w:name w:val="heading 4"/>
    <w:basedOn w:val="Normal"/>
    <w:next w:val="Normal"/>
    <w:link w:val="Heading4Char"/>
    <w:uiPriority w:val="9"/>
    <w:unhideWhenUsed/>
    <w:qFormat/>
    <w:rsid w:val="00A178CC"/>
    <w:pPr>
      <w:keepNext/>
      <w:keepLines/>
      <w:spacing w:before="240"/>
      <w:ind w:left="864" w:hanging="864"/>
      <w:outlineLvl w:val="3"/>
    </w:pPr>
    <w:rPr>
      <w:rFonts w:eastAsiaTheme="majorEastAsia" w:cs="Arial"/>
      <w:b/>
      <w:bCs/>
      <w:iCs/>
      <w:color w:val="70635A"/>
      <w:sz w:val="24"/>
      <w:szCs w:val="24"/>
    </w:rPr>
  </w:style>
  <w:style w:type="paragraph" w:styleId="Heading5">
    <w:name w:val="heading 5"/>
    <w:basedOn w:val="Normal"/>
    <w:next w:val="Normal"/>
    <w:link w:val="Heading5Char"/>
    <w:uiPriority w:val="9"/>
    <w:unhideWhenUsed/>
    <w:qFormat/>
    <w:rsid w:val="00A178CC"/>
    <w:pPr>
      <w:keepNext/>
      <w:keepLines/>
      <w:spacing w:before="240"/>
      <w:ind w:left="1008" w:hanging="1008"/>
      <w:outlineLvl w:val="4"/>
    </w:pPr>
    <w:rPr>
      <w:rFonts w:eastAsiaTheme="majorEastAsia" w:cs="Arial"/>
      <w:b/>
      <w:szCs w:val="24"/>
    </w:rPr>
  </w:style>
  <w:style w:type="paragraph" w:styleId="Heading6">
    <w:name w:val="heading 6"/>
    <w:basedOn w:val="Normal"/>
    <w:next w:val="Normal"/>
    <w:link w:val="Heading6Char"/>
    <w:uiPriority w:val="9"/>
    <w:unhideWhenUsed/>
    <w:qFormat/>
    <w:rsid w:val="00A178CC"/>
    <w:pPr>
      <w:keepNext/>
      <w:keepLines/>
      <w:spacing w:before="240"/>
      <w:ind w:left="1152" w:hanging="1152"/>
      <w:outlineLvl w:val="5"/>
    </w:pPr>
    <w:rPr>
      <w:rFonts w:eastAsiaTheme="majorEastAsia" w:cs="Arial"/>
      <w:b/>
      <w:i/>
      <w:iCs/>
      <w:color w:val="076A92"/>
      <w:szCs w:val="24"/>
    </w:rPr>
  </w:style>
  <w:style w:type="paragraph" w:styleId="Heading7">
    <w:name w:val="heading 7"/>
    <w:basedOn w:val="Normal"/>
    <w:next w:val="Normal"/>
    <w:link w:val="Heading7Char"/>
    <w:uiPriority w:val="9"/>
    <w:semiHidden/>
    <w:unhideWhenUsed/>
    <w:rsid w:val="00A94A4E"/>
    <w:pPr>
      <w:keepNext/>
      <w:keepLines/>
      <w:spacing w:before="200" w:after="0"/>
      <w:outlineLvl w:val="6"/>
    </w:pPr>
    <w:rPr>
      <w:rFonts w:asciiTheme="majorHAnsi" w:eastAsiaTheme="majorEastAsia" w:hAnsiTheme="majorHAnsi" w:cstheme="majorBidi"/>
      <w:i/>
      <w:iCs/>
      <w:color w:val="0BA7E7" w:themeColor="text1" w:themeTint="BF"/>
    </w:rPr>
  </w:style>
  <w:style w:type="paragraph" w:styleId="Heading8">
    <w:name w:val="heading 8"/>
    <w:basedOn w:val="Normal"/>
    <w:next w:val="Normal"/>
    <w:link w:val="Heading8Char"/>
    <w:uiPriority w:val="9"/>
    <w:semiHidden/>
    <w:unhideWhenUsed/>
    <w:qFormat/>
    <w:rsid w:val="00A94A4E"/>
    <w:pPr>
      <w:keepNext/>
      <w:keepLines/>
      <w:spacing w:before="200" w:after="0"/>
      <w:outlineLvl w:val="7"/>
    </w:pPr>
    <w:rPr>
      <w:rFonts w:asciiTheme="majorHAnsi" w:eastAsiaTheme="majorEastAsia" w:hAnsiTheme="majorHAnsi" w:cstheme="majorBidi"/>
      <w:color w:val="0BA7E7" w:themeColor="text1" w:themeTint="BF"/>
      <w:sz w:val="20"/>
      <w:szCs w:val="20"/>
    </w:rPr>
  </w:style>
  <w:style w:type="paragraph" w:styleId="Heading9">
    <w:name w:val="heading 9"/>
    <w:basedOn w:val="Normal"/>
    <w:next w:val="Normal"/>
    <w:link w:val="Heading9Char"/>
    <w:uiPriority w:val="9"/>
    <w:semiHidden/>
    <w:unhideWhenUsed/>
    <w:qFormat/>
    <w:rsid w:val="00A94A4E"/>
    <w:pPr>
      <w:keepNext/>
      <w:keepLines/>
      <w:spacing w:before="200" w:after="0"/>
      <w:outlineLvl w:val="8"/>
    </w:pPr>
    <w:rPr>
      <w:rFonts w:asciiTheme="majorHAnsi" w:eastAsiaTheme="majorEastAsia" w:hAnsiTheme="majorHAnsi" w:cstheme="majorBidi"/>
      <w:i/>
      <w:iCs/>
      <w:color w:val="0BA7E7"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right">
    <w:name w:val="Copyright"/>
    <w:basedOn w:val="Normal"/>
    <w:next w:val="Normal"/>
    <w:link w:val="CopyrightChar"/>
    <w:qFormat/>
    <w:rsid w:val="002D4DAB"/>
    <w:pPr>
      <w:spacing w:before="5680" w:line="288" w:lineRule="auto"/>
      <w:contextualSpacing/>
    </w:pPr>
    <w:rPr>
      <w:sz w:val="20"/>
      <w:szCs w:val="20"/>
    </w:rPr>
  </w:style>
  <w:style w:type="paragraph" w:customStyle="1" w:styleId="TOCText">
    <w:name w:val="TOC Text"/>
    <w:basedOn w:val="Normal"/>
    <w:next w:val="Normal"/>
    <w:rsid w:val="00B801CA"/>
  </w:style>
  <w:style w:type="paragraph" w:customStyle="1" w:styleId="ReportTitle">
    <w:name w:val="Report Title"/>
    <w:basedOn w:val="Normal"/>
    <w:next w:val="Normal"/>
    <w:link w:val="ReportTitleChar"/>
    <w:qFormat/>
    <w:rsid w:val="00FC3E6B"/>
    <w:pPr>
      <w:spacing w:before="6240"/>
      <w:contextualSpacing/>
      <w:jc w:val="center"/>
    </w:pPr>
    <w:rPr>
      <w:b/>
      <w:sz w:val="72"/>
      <w:szCs w:val="72"/>
    </w:rPr>
  </w:style>
  <w:style w:type="paragraph" w:customStyle="1" w:styleId="ChapterTitle">
    <w:name w:val="Chapter Title"/>
    <w:basedOn w:val="Heading1"/>
    <w:next w:val="Normal"/>
    <w:link w:val="ChapterTitleChar"/>
    <w:qFormat/>
    <w:rsid w:val="00CC659E"/>
    <w:rPr>
      <w:color w:val="070692"/>
      <w:sz w:val="52"/>
    </w:rPr>
  </w:style>
  <w:style w:type="character" w:customStyle="1" w:styleId="Heading1Char">
    <w:name w:val="Heading 1 Char"/>
    <w:basedOn w:val="DefaultParagraphFont"/>
    <w:link w:val="Heading1"/>
    <w:uiPriority w:val="9"/>
    <w:rsid w:val="00A178CC"/>
    <w:rPr>
      <w:rFonts w:ascii="Arial" w:eastAsiaTheme="majorEastAsia" w:hAnsi="Arial" w:cs="Arial"/>
      <w:b/>
      <w:bCs/>
      <w:color w:val="70635A"/>
      <w:sz w:val="36"/>
      <w:szCs w:val="36"/>
    </w:rPr>
  </w:style>
  <w:style w:type="character" w:customStyle="1" w:styleId="Heading2Char">
    <w:name w:val="Heading 2 Char"/>
    <w:basedOn w:val="DefaultParagraphFont"/>
    <w:link w:val="Heading2"/>
    <w:uiPriority w:val="9"/>
    <w:rsid w:val="00A178CC"/>
    <w:rPr>
      <w:rFonts w:ascii="Arial" w:eastAsiaTheme="majorEastAsia" w:hAnsi="Arial" w:cs="Arial"/>
      <w:b/>
      <w:bCs/>
      <w:color w:val="70635A"/>
      <w:sz w:val="32"/>
      <w:szCs w:val="32"/>
    </w:rPr>
  </w:style>
  <w:style w:type="character" w:customStyle="1" w:styleId="Heading3Char">
    <w:name w:val="Heading 3 Char"/>
    <w:basedOn w:val="DefaultParagraphFont"/>
    <w:link w:val="Heading3"/>
    <w:uiPriority w:val="9"/>
    <w:rsid w:val="00A178CC"/>
    <w:rPr>
      <w:rFonts w:ascii="Arial" w:eastAsiaTheme="majorEastAsia" w:hAnsi="Arial" w:cs="Arial"/>
      <w:b/>
      <w:bCs/>
      <w:color w:val="70635A"/>
      <w:sz w:val="28"/>
      <w:szCs w:val="28"/>
    </w:rPr>
  </w:style>
  <w:style w:type="character" w:customStyle="1" w:styleId="Heading4Char">
    <w:name w:val="Heading 4 Char"/>
    <w:basedOn w:val="DefaultParagraphFont"/>
    <w:link w:val="Heading4"/>
    <w:uiPriority w:val="9"/>
    <w:rsid w:val="00A178CC"/>
    <w:rPr>
      <w:rFonts w:ascii="Arial" w:eastAsiaTheme="majorEastAsia" w:hAnsi="Arial" w:cs="Arial"/>
      <w:b/>
      <w:bCs/>
      <w:iCs/>
      <w:color w:val="70635A"/>
      <w:sz w:val="24"/>
      <w:szCs w:val="24"/>
    </w:rPr>
  </w:style>
  <w:style w:type="character" w:customStyle="1" w:styleId="Heading5Char">
    <w:name w:val="Heading 5 Char"/>
    <w:basedOn w:val="DefaultParagraphFont"/>
    <w:link w:val="Heading5"/>
    <w:uiPriority w:val="9"/>
    <w:rsid w:val="00A178CC"/>
    <w:rPr>
      <w:rFonts w:ascii="Arial" w:eastAsiaTheme="majorEastAsia" w:hAnsi="Arial" w:cs="Arial"/>
      <w:b/>
      <w:szCs w:val="24"/>
    </w:rPr>
  </w:style>
  <w:style w:type="character" w:customStyle="1" w:styleId="Heading6Char">
    <w:name w:val="Heading 6 Char"/>
    <w:basedOn w:val="DefaultParagraphFont"/>
    <w:link w:val="Heading6"/>
    <w:uiPriority w:val="9"/>
    <w:rsid w:val="00A178CC"/>
    <w:rPr>
      <w:rFonts w:ascii="Arial" w:eastAsiaTheme="majorEastAsia" w:hAnsi="Arial" w:cs="Arial"/>
      <w:b/>
      <w:i/>
      <w:iCs/>
      <w:color w:val="076A92"/>
      <w:szCs w:val="24"/>
    </w:rPr>
  </w:style>
  <w:style w:type="paragraph" w:styleId="ListParagraph">
    <w:name w:val="List Paragraph"/>
    <w:basedOn w:val="Normal"/>
    <w:link w:val="ListParagraphChar"/>
    <w:uiPriority w:val="34"/>
    <w:rsid w:val="006A5214"/>
    <w:pPr>
      <w:ind w:left="720"/>
      <w:contextualSpacing/>
    </w:pPr>
  </w:style>
  <w:style w:type="paragraph" w:customStyle="1" w:styleId="NumberedListStyle">
    <w:name w:val="Numbered List Style"/>
    <w:basedOn w:val="ListParagraph"/>
    <w:link w:val="NumberedListStyleChar"/>
    <w:rsid w:val="006A5214"/>
    <w:pPr>
      <w:numPr>
        <w:numId w:val="2"/>
      </w:numPr>
    </w:pPr>
  </w:style>
  <w:style w:type="numbering" w:customStyle="1" w:styleId="NumberedList">
    <w:name w:val="Numbered List"/>
    <w:uiPriority w:val="99"/>
    <w:rsid w:val="00A21831"/>
    <w:pPr>
      <w:numPr>
        <w:numId w:val="1"/>
      </w:numPr>
    </w:pPr>
  </w:style>
  <w:style w:type="character" w:customStyle="1" w:styleId="ListParagraphChar">
    <w:name w:val="List Paragraph Char"/>
    <w:basedOn w:val="DefaultParagraphFont"/>
    <w:link w:val="ListParagraph"/>
    <w:uiPriority w:val="34"/>
    <w:rsid w:val="006A5214"/>
    <w:rPr>
      <w:rFonts w:ascii="Arial" w:hAnsi="Arial"/>
    </w:rPr>
  </w:style>
  <w:style w:type="character" w:customStyle="1" w:styleId="NumberedListStyleChar">
    <w:name w:val="Numbered List Style Char"/>
    <w:basedOn w:val="ListParagraphChar"/>
    <w:link w:val="NumberedListStyle"/>
    <w:rsid w:val="006A5214"/>
    <w:rPr>
      <w:rFonts w:ascii="Arial" w:hAnsi="Arial"/>
    </w:rPr>
  </w:style>
  <w:style w:type="numbering" w:customStyle="1" w:styleId="NumberedList-Straight">
    <w:name w:val="Numbered List - Straight"/>
    <w:uiPriority w:val="99"/>
    <w:rsid w:val="00C93331"/>
    <w:pPr>
      <w:numPr>
        <w:numId w:val="10"/>
      </w:numPr>
    </w:pPr>
  </w:style>
  <w:style w:type="numbering" w:customStyle="1" w:styleId="AlphanumericList-Straight">
    <w:name w:val="Alphanumeric List - Straight"/>
    <w:uiPriority w:val="99"/>
    <w:rsid w:val="00870E29"/>
    <w:pPr>
      <w:numPr>
        <w:numId w:val="11"/>
      </w:numPr>
    </w:pPr>
  </w:style>
  <w:style w:type="paragraph" w:customStyle="1" w:styleId="TableBodyFigurealignedright">
    <w:name w:val="Table Body Figure (aligned right)"/>
    <w:basedOn w:val="Normal"/>
    <w:link w:val="TableBodyFigurealignedrightChar"/>
    <w:qFormat/>
    <w:rsid w:val="008244B2"/>
    <w:pPr>
      <w:jc w:val="right"/>
    </w:pPr>
    <w:rPr>
      <w:sz w:val="20"/>
    </w:rPr>
  </w:style>
  <w:style w:type="paragraph" w:customStyle="1" w:styleId="ChartHeading">
    <w:name w:val="Chart Heading"/>
    <w:basedOn w:val="Normal"/>
    <w:next w:val="Normal"/>
    <w:link w:val="ChartHeadingChar"/>
    <w:qFormat/>
    <w:rsid w:val="001939DE"/>
    <w:pPr>
      <w:spacing w:before="240"/>
    </w:pPr>
    <w:rPr>
      <w:b/>
      <w:sz w:val="24"/>
      <w:szCs w:val="24"/>
    </w:rPr>
  </w:style>
  <w:style w:type="character" w:customStyle="1" w:styleId="TableBodyFigurealignedrightChar">
    <w:name w:val="Table Body Figure (aligned right) Char"/>
    <w:basedOn w:val="DefaultParagraphFont"/>
    <w:link w:val="TableBodyFigurealignedright"/>
    <w:rsid w:val="008244B2"/>
    <w:rPr>
      <w:rFonts w:ascii="Arial" w:hAnsi="Arial"/>
      <w:sz w:val="20"/>
    </w:rPr>
  </w:style>
  <w:style w:type="paragraph" w:customStyle="1" w:styleId="ChartText">
    <w:name w:val="Chart Text"/>
    <w:basedOn w:val="Normal"/>
    <w:next w:val="Normal"/>
    <w:link w:val="ChartTextChar"/>
    <w:qFormat/>
    <w:rsid w:val="002F1039"/>
    <w:rPr>
      <w:sz w:val="20"/>
    </w:rPr>
  </w:style>
  <w:style w:type="character" w:customStyle="1" w:styleId="ChartHeadingChar">
    <w:name w:val="Chart Heading Char"/>
    <w:basedOn w:val="DefaultParagraphFont"/>
    <w:link w:val="ChartHeading"/>
    <w:rsid w:val="001939DE"/>
    <w:rPr>
      <w:rFonts w:ascii="Arial" w:hAnsi="Arial"/>
      <w:b/>
      <w:sz w:val="24"/>
      <w:szCs w:val="24"/>
    </w:rPr>
  </w:style>
  <w:style w:type="paragraph" w:styleId="TOCHeading">
    <w:name w:val="TOC Heading"/>
    <w:aliases w:val="Table of Contents (TOC) Heading"/>
    <w:basedOn w:val="Normal"/>
    <w:next w:val="Normal"/>
    <w:link w:val="TOCHeadingChar"/>
    <w:uiPriority w:val="39"/>
    <w:unhideWhenUsed/>
    <w:qFormat/>
    <w:rsid w:val="002B5C11"/>
    <w:pPr>
      <w:pageBreakBefore/>
    </w:pPr>
    <w:rPr>
      <w:rFonts w:cstheme="majorBidi"/>
      <w:b/>
      <w:color w:val="076A92"/>
      <w:sz w:val="36"/>
      <w:szCs w:val="28"/>
    </w:rPr>
  </w:style>
  <w:style w:type="character" w:customStyle="1" w:styleId="ChartTextChar">
    <w:name w:val="Chart Text Char"/>
    <w:basedOn w:val="DefaultParagraphFont"/>
    <w:link w:val="ChartText"/>
    <w:rsid w:val="002F1039"/>
    <w:rPr>
      <w:rFonts w:ascii="Arial" w:hAnsi="Arial"/>
      <w:sz w:val="20"/>
    </w:rPr>
  </w:style>
  <w:style w:type="paragraph" w:styleId="Footer">
    <w:name w:val="footer"/>
    <w:basedOn w:val="Normal"/>
    <w:link w:val="FooterChar"/>
    <w:uiPriority w:val="99"/>
    <w:unhideWhenUsed/>
    <w:qFormat/>
    <w:rsid w:val="009A46F9"/>
    <w:pPr>
      <w:tabs>
        <w:tab w:val="center" w:pos="4513"/>
        <w:tab w:val="right" w:pos="9026"/>
      </w:tabs>
      <w:spacing w:after="0" w:line="240" w:lineRule="auto"/>
    </w:pPr>
    <w:rPr>
      <w:b/>
      <w:color w:val="076A92"/>
      <w:sz w:val="20"/>
    </w:rPr>
  </w:style>
  <w:style w:type="character" w:customStyle="1" w:styleId="FooterChar">
    <w:name w:val="Footer Char"/>
    <w:basedOn w:val="DefaultParagraphFont"/>
    <w:link w:val="Footer"/>
    <w:uiPriority w:val="99"/>
    <w:rsid w:val="009A46F9"/>
    <w:rPr>
      <w:rFonts w:ascii="Arial" w:hAnsi="Arial"/>
      <w:b/>
      <w:color w:val="076A92"/>
      <w:sz w:val="20"/>
    </w:rPr>
  </w:style>
  <w:style w:type="character" w:styleId="Hyperlink">
    <w:name w:val="Hyperlink"/>
    <w:basedOn w:val="DefaultParagraphFont"/>
    <w:uiPriority w:val="99"/>
    <w:unhideWhenUsed/>
    <w:qFormat/>
    <w:rsid w:val="001939DE"/>
    <w:rPr>
      <w:color w:val="076A92" w:themeColor="hyperlink"/>
      <w:u w:val="single"/>
    </w:rPr>
  </w:style>
  <w:style w:type="paragraph" w:styleId="FootnoteText">
    <w:name w:val="footnote text"/>
    <w:aliases w:val="Footnote"/>
    <w:basedOn w:val="Normal"/>
    <w:link w:val="FootnoteTextChar"/>
    <w:semiHidden/>
    <w:unhideWhenUsed/>
    <w:qFormat/>
    <w:rsid w:val="00F412C9"/>
    <w:pPr>
      <w:spacing w:line="240" w:lineRule="auto"/>
    </w:pPr>
    <w:rPr>
      <w:color w:val="000000" w:themeColor="accent5"/>
      <w:sz w:val="18"/>
      <w:szCs w:val="20"/>
    </w:rPr>
  </w:style>
  <w:style w:type="character" w:customStyle="1" w:styleId="FootnoteTextChar">
    <w:name w:val="Footnote Text Char"/>
    <w:aliases w:val="Footnote Char"/>
    <w:basedOn w:val="DefaultParagraphFont"/>
    <w:link w:val="FootnoteText"/>
    <w:semiHidden/>
    <w:rsid w:val="00F412C9"/>
    <w:rPr>
      <w:rFonts w:ascii="Arial" w:hAnsi="Arial"/>
      <w:color w:val="000000" w:themeColor="accent5"/>
      <w:sz w:val="18"/>
      <w:szCs w:val="20"/>
    </w:rPr>
  </w:style>
  <w:style w:type="paragraph" w:customStyle="1" w:styleId="Source">
    <w:name w:val="Source"/>
    <w:basedOn w:val="Normal"/>
    <w:link w:val="SourceChar"/>
    <w:qFormat/>
    <w:rsid w:val="00694E1F"/>
    <w:rPr>
      <w:sz w:val="18"/>
      <w:szCs w:val="18"/>
    </w:rPr>
  </w:style>
  <w:style w:type="paragraph" w:customStyle="1" w:styleId="Note">
    <w:name w:val="Note"/>
    <w:basedOn w:val="Source"/>
    <w:link w:val="NoteChar"/>
    <w:qFormat/>
    <w:rsid w:val="00694E1F"/>
  </w:style>
  <w:style w:type="character" w:customStyle="1" w:styleId="SourceChar">
    <w:name w:val="Source Char"/>
    <w:basedOn w:val="DefaultParagraphFont"/>
    <w:link w:val="Source"/>
    <w:rsid w:val="00694E1F"/>
    <w:rPr>
      <w:rFonts w:ascii="Arial" w:hAnsi="Arial"/>
      <w:sz w:val="18"/>
      <w:szCs w:val="18"/>
    </w:rPr>
  </w:style>
  <w:style w:type="character" w:customStyle="1" w:styleId="Heading7Char">
    <w:name w:val="Heading 7 Char"/>
    <w:basedOn w:val="DefaultParagraphFont"/>
    <w:link w:val="Heading7"/>
    <w:uiPriority w:val="9"/>
    <w:semiHidden/>
    <w:rsid w:val="00CC659E"/>
    <w:rPr>
      <w:rFonts w:asciiTheme="majorHAnsi" w:eastAsiaTheme="majorEastAsia" w:hAnsiTheme="majorHAnsi" w:cstheme="majorBidi"/>
      <w:i/>
      <w:iCs/>
      <w:color w:val="0BA7E7" w:themeColor="text1" w:themeTint="BF"/>
    </w:rPr>
  </w:style>
  <w:style w:type="character" w:customStyle="1" w:styleId="NoteChar">
    <w:name w:val="Note Char"/>
    <w:basedOn w:val="SourceChar"/>
    <w:link w:val="Note"/>
    <w:rsid w:val="00694E1F"/>
    <w:rPr>
      <w:rFonts w:ascii="Arial" w:hAnsi="Arial"/>
      <w:sz w:val="18"/>
      <w:szCs w:val="18"/>
    </w:rPr>
  </w:style>
  <w:style w:type="character" w:customStyle="1" w:styleId="Heading8Char">
    <w:name w:val="Heading 8 Char"/>
    <w:basedOn w:val="DefaultParagraphFont"/>
    <w:link w:val="Heading8"/>
    <w:uiPriority w:val="9"/>
    <w:semiHidden/>
    <w:rsid w:val="00CC659E"/>
    <w:rPr>
      <w:rFonts w:asciiTheme="majorHAnsi" w:eastAsiaTheme="majorEastAsia" w:hAnsiTheme="majorHAnsi" w:cstheme="majorBidi"/>
      <w:color w:val="0BA7E7" w:themeColor="text1" w:themeTint="BF"/>
      <w:sz w:val="20"/>
      <w:szCs w:val="20"/>
    </w:rPr>
  </w:style>
  <w:style w:type="character" w:customStyle="1" w:styleId="Heading9Char">
    <w:name w:val="Heading 9 Char"/>
    <w:basedOn w:val="DefaultParagraphFont"/>
    <w:link w:val="Heading9"/>
    <w:uiPriority w:val="9"/>
    <w:semiHidden/>
    <w:rsid w:val="00CC659E"/>
    <w:rPr>
      <w:rFonts w:asciiTheme="majorHAnsi" w:eastAsiaTheme="majorEastAsia" w:hAnsiTheme="majorHAnsi" w:cstheme="majorBidi"/>
      <w:i/>
      <w:iCs/>
      <w:color w:val="0BA7E7" w:themeColor="text1" w:themeTint="BF"/>
      <w:sz w:val="20"/>
      <w:szCs w:val="20"/>
    </w:rPr>
  </w:style>
  <w:style w:type="numbering" w:customStyle="1" w:styleId="AlphanumericList">
    <w:name w:val="Alphanumeric List"/>
    <w:uiPriority w:val="99"/>
    <w:rsid w:val="00A94A4E"/>
    <w:pPr>
      <w:numPr>
        <w:numId w:val="9"/>
      </w:numPr>
    </w:pPr>
  </w:style>
  <w:style w:type="paragraph" w:styleId="BalloonText">
    <w:name w:val="Balloon Text"/>
    <w:basedOn w:val="Normal"/>
    <w:link w:val="BalloonTextChar"/>
    <w:uiPriority w:val="99"/>
    <w:semiHidden/>
    <w:unhideWhenUsed/>
    <w:rsid w:val="00AE7E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E16"/>
    <w:rPr>
      <w:rFonts w:ascii="Tahoma" w:hAnsi="Tahoma" w:cs="Tahoma"/>
      <w:sz w:val="16"/>
      <w:szCs w:val="16"/>
    </w:rPr>
  </w:style>
  <w:style w:type="paragraph" w:styleId="Header">
    <w:name w:val="header"/>
    <w:basedOn w:val="Normal"/>
    <w:link w:val="HeaderChar"/>
    <w:uiPriority w:val="99"/>
    <w:unhideWhenUsed/>
    <w:rsid w:val="00B14A00"/>
    <w:pPr>
      <w:tabs>
        <w:tab w:val="center" w:pos="4513"/>
        <w:tab w:val="right" w:pos="9026"/>
      </w:tabs>
      <w:spacing w:line="240" w:lineRule="auto"/>
    </w:pPr>
  </w:style>
  <w:style w:type="character" w:customStyle="1" w:styleId="HeaderChar">
    <w:name w:val="Header Char"/>
    <w:basedOn w:val="DefaultParagraphFont"/>
    <w:link w:val="Header"/>
    <w:uiPriority w:val="99"/>
    <w:rsid w:val="00B14A00"/>
    <w:rPr>
      <w:rFonts w:ascii="Arial" w:hAnsi="Arial"/>
    </w:rPr>
  </w:style>
  <w:style w:type="paragraph" w:customStyle="1" w:styleId="DocumentReferenceTitle">
    <w:name w:val="Document Reference Title"/>
    <w:basedOn w:val="Normal"/>
    <w:link w:val="DocumentReferenceTitleChar"/>
    <w:qFormat/>
    <w:rsid w:val="00E67D84"/>
    <w:rPr>
      <w:i/>
    </w:rPr>
  </w:style>
  <w:style w:type="paragraph" w:customStyle="1" w:styleId="Subscript">
    <w:name w:val="Subscript"/>
    <w:basedOn w:val="Normal"/>
    <w:next w:val="Normal"/>
    <w:link w:val="SubscriptChar"/>
    <w:qFormat/>
    <w:rsid w:val="00192403"/>
    <w:rPr>
      <w:sz w:val="20"/>
      <w:vertAlign w:val="subscript"/>
    </w:rPr>
  </w:style>
  <w:style w:type="character" w:customStyle="1" w:styleId="DocumentReferenceTitleChar">
    <w:name w:val="Document Reference Title Char"/>
    <w:basedOn w:val="DefaultParagraphFont"/>
    <w:link w:val="DocumentReferenceTitle"/>
    <w:rsid w:val="00E67D84"/>
    <w:rPr>
      <w:rFonts w:ascii="Arial" w:hAnsi="Arial"/>
      <w:i/>
    </w:rPr>
  </w:style>
  <w:style w:type="paragraph" w:customStyle="1" w:styleId="Superscript">
    <w:name w:val="Superscript"/>
    <w:basedOn w:val="Normal"/>
    <w:next w:val="Normal"/>
    <w:link w:val="SuperscriptChar"/>
    <w:qFormat/>
    <w:rsid w:val="00192403"/>
    <w:rPr>
      <w:sz w:val="20"/>
      <w:vertAlign w:val="superscript"/>
    </w:rPr>
  </w:style>
  <w:style w:type="character" w:customStyle="1" w:styleId="SubscriptChar">
    <w:name w:val="Subscript Char"/>
    <w:basedOn w:val="DefaultParagraphFont"/>
    <w:link w:val="Subscript"/>
    <w:rsid w:val="00192403"/>
    <w:rPr>
      <w:rFonts w:ascii="Arial" w:hAnsi="Arial"/>
      <w:sz w:val="20"/>
      <w:vertAlign w:val="subscript"/>
    </w:rPr>
  </w:style>
  <w:style w:type="character" w:customStyle="1" w:styleId="SuperscriptChar">
    <w:name w:val="Superscript Char"/>
    <w:basedOn w:val="DefaultParagraphFont"/>
    <w:link w:val="Superscript"/>
    <w:rsid w:val="00192403"/>
    <w:rPr>
      <w:rFonts w:ascii="Arial" w:hAnsi="Arial"/>
      <w:sz w:val="20"/>
      <w:vertAlign w:val="superscript"/>
    </w:rPr>
  </w:style>
  <w:style w:type="paragraph" w:styleId="TOC1">
    <w:name w:val="toc 1"/>
    <w:basedOn w:val="Normal"/>
    <w:next w:val="Normal"/>
    <w:link w:val="TOC1Char"/>
    <w:uiPriority w:val="39"/>
    <w:unhideWhenUsed/>
    <w:qFormat/>
    <w:rsid w:val="001D222D"/>
    <w:pPr>
      <w:tabs>
        <w:tab w:val="left" w:pos="397"/>
        <w:tab w:val="left" w:leader="dot" w:pos="9072"/>
      </w:tabs>
      <w:spacing w:after="100"/>
      <w:jc w:val="center"/>
    </w:pPr>
    <w:rPr>
      <w:b/>
      <w:color w:val="70635A"/>
      <w:sz w:val="24"/>
    </w:rPr>
  </w:style>
  <w:style w:type="table" w:customStyle="1" w:styleId="AERTable-Text">
    <w:name w:val="AER Table - Text"/>
    <w:basedOn w:val="TableNormal"/>
    <w:uiPriority w:val="99"/>
    <w:rsid w:val="00C93331"/>
    <w:pPr>
      <w:spacing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DF1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6746F2"/>
    <w:pPr>
      <w:spacing w:before="240" w:line="240" w:lineRule="auto"/>
    </w:pPr>
    <w:rPr>
      <w:b/>
      <w:bCs/>
      <w:color w:val="076A92"/>
      <w:szCs w:val="18"/>
    </w:rPr>
  </w:style>
  <w:style w:type="paragraph" w:customStyle="1" w:styleId="Quotation">
    <w:name w:val="Quotation"/>
    <w:basedOn w:val="Normal"/>
    <w:next w:val="Normal"/>
    <w:link w:val="QuotationChar"/>
    <w:qFormat/>
    <w:rsid w:val="002D05D5"/>
    <w:rPr>
      <w:i/>
    </w:rPr>
  </w:style>
  <w:style w:type="paragraph" w:customStyle="1" w:styleId="BlockQuote">
    <w:name w:val="Block Quote"/>
    <w:basedOn w:val="Normal"/>
    <w:next w:val="Normal"/>
    <w:link w:val="BlockQuoteChar"/>
    <w:qFormat/>
    <w:rsid w:val="002D05D5"/>
    <w:pPr>
      <w:ind w:left="284"/>
    </w:pPr>
    <w:rPr>
      <w:sz w:val="20"/>
      <w:szCs w:val="20"/>
    </w:rPr>
  </w:style>
  <w:style w:type="paragraph" w:styleId="Quote">
    <w:name w:val="Quote"/>
    <w:basedOn w:val="Normal"/>
    <w:next w:val="Normal"/>
    <w:link w:val="QuoteChar"/>
    <w:uiPriority w:val="29"/>
    <w:rsid w:val="006A43A5"/>
    <w:rPr>
      <w:i/>
      <w:iCs/>
    </w:rPr>
  </w:style>
  <w:style w:type="paragraph" w:customStyle="1" w:styleId="BoxedText">
    <w:name w:val="Boxed Text"/>
    <w:basedOn w:val="Normal"/>
    <w:link w:val="BoxedTextChar"/>
    <w:qFormat/>
    <w:rsid w:val="0038743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C8C0BA" w:themeFill="text2" w:themeFillTint="66"/>
    </w:pPr>
  </w:style>
  <w:style w:type="character" w:customStyle="1" w:styleId="BoxedTextChar">
    <w:name w:val="Boxed Text Char"/>
    <w:basedOn w:val="DefaultParagraphFont"/>
    <w:link w:val="BoxedText"/>
    <w:rsid w:val="00387432"/>
    <w:rPr>
      <w:rFonts w:ascii="Arial" w:hAnsi="Arial"/>
      <w:shd w:val="clear" w:color="auto" w:fill="C8C0BA" w:themeFill="text2" w:themeFillTint="66"/>
    </w:rPr>
  </w:style>
  <w:style w:type="paragraph" w:customStyle="1" w:styleId="ReportDate">
    <w:name w:val="Report Date"/>
    <w:basedOn w:val="ReportTitle"/>
    <w:link w:val="ReportDateChar"/>
    <w:qFormat/>
    <w:rsid w:val="002956ED"/>
    <w:pPr>
      <w:tabs>
        <w:tab w:val="center" w:pos="4598"/>
        <w:tab w:val="right" w:pos="9026"/>
      </w:tabs>
    </w:pPr>
    <w:rPr>
      <w:b w:val="0"/>
      <w:noProof/>
      <w:sz w:val="36"/>
      <w:szCs w:val="36"/>
      <w:lang w:eastAsia="en-AU"/>
    </w:rPr>
  </w:style>
  <w:style w:type="paragraph" w:customStyle="1" w:styleId="ReportSubtitle">
    <w:name w:val="Report Subtitle"/>
    <w:basedOn w:val="ReportTitle"/>
    <w:link w:val="ReportSubtitleChar"/>
    <w:qFormat/>
    <w:rsid w:val="002956ED"/>
    <w:pPr>
      <w:tabs>
        <w:tab w:val="center" w:pos="4598"/>
        <w:tab w:val="right" w:pos="9026"/>
      </w:tabs>
    </w:pPr>
    <w:rPr>
      <w:noProof/>
      <w:sz w:val="56"/>
      <w:szCs w:val="56"/>
      <w:lang w:eastAsia="en-AU"/>
    </w:rPr>
  </w:style>
  <w:style w:type="character" w:customStyle="1" w:styleId="ReportTitleChar">
    <w:name w:val="Report Title Char"/>
    <w:basedOn w:val="Heading1Char"/>
    <w:link w:val="ReportTitle"/>
    <w:rsid w:val="00FC3E6B"/>
    <w:rPr>
      <w:rFonts w:ascii="Arial" w:eastAsiaTheme="majorEastAsia" w:hAnsi="Arial" w:cs="Arial"/>
      <w:b/>
      <w:bCs w:val="0"/>
      <w:color w:val="70635A"/>
      <w:sz w:val="72"/>
      <w:szCs w:val="72"/>
    </w:rPr>
  </w:style>
  <w:style w:type="character" w:customStyle="1" w:styleId="ReportDateChar">
    <w:name w:val="Report Date Char"/>
    <w:basedOn w:val="ReportTitleChar"/>
    <w:link w:val="ReportDate"/>
    <w:rsid w:val="002956ED"/>
    <w:rPr>
      <w:rFonts w:ascii="Arial" w:eastAsiaTheme="majorEastAsia" w:hAnsi="Arial" w:cs="Arial"/>
      <w:b w:val="0"/>
      <w:bCs w:val="0"/>
      <w:noProof/>
      <w:color w:val="70635A"/>
      <w:sz w:val="36"/>
      <w:szCs w:val="36"/>
      <w:lang w:eastAsia="en-AU"/>
    </w:rPr>
  </w:style>
  <w:style w:type="character" w:customStyle="1" w:styleId="ReportSubtitleChar">
    <w:name w:val="Report Subtitle Char"/>
    <w:basedOn w:val="ReportTitleChar"/>
    <w:link w:val="ReportSubtitle"/>
    <w:rsid w:val="002956ED"/>
    <w:rPr>
      <w:rFonts w:ascii="Arial" w:eastAsiaTheme="majorEastAsia" w:hAnsi="Arial" w:cs="Arial"/>
      <w:b/>
      <w:bCs w:val="0"/>
      <w:noProof/>
      <w:color w:val="70635A"/>
      <w:sz w:val="56"/>
      <w:szCs w:val="56"/>
      <w:lang w:eastAsia="en-AU"/>
    </w:rPr>
  </w:style>
  <w:style w:type="paragraph" w:styleId="TOC2">
    <w:name w:val="toc 2"/>
    <w:basedOn w:val="Normal"/>
    <w:next w:val="Normal"/>
    <w:link w:val="TOC2Char"/>
    <w:uiPriority w:val="39"/>
    <w:unhideWhenUsed/>
    <w:qFormat/>
    <w:rsid w:val="001D222D"/>
    <w:pPr>
      <w:tabs>
        <w:tab w:val="left" w:pos="907"/>
        <w:tab w:val="left" w:leader="dot" w:pos="9072"/>
      </w:tabs>
      <w:ind w:left="284"/>
    </w:pPr>
    <w:rPr>
      <w:sz w:val="24"/>
    </w:rPr>
  </w:style>
  <w:style w:type="paragraph" w:styleId="TOC3">
    <w:name w:val="toc 3"/>
    <w:basedOn w:val="Normal"/>
    <w:next w:val="Normal"/>
    <w:link w:val="TOC3Char"/>
    <w:uiPriority w:val="39"/>
    <w:unhideWhenUsed/>
    <w:qFormat/>
    <w:rsid w:val="001974A9"/>
    <w:pPr>
      <w:tabs>
        <w:tab w:val="left" w:pos="1134"/>
        <w:tab w:val="left" w:leader="dot" w:pos="9072"/>
      </w:tabs>
      <w:ind w:left="567"/>
    </w:pPr>
  </w:style>
  <w:style w:type="numbering" w:customStyle="1" w:styleId="BulletedList">
    <w:name w:val="Bulleted List"/>
    <w:uiPriority w:val="99"/>
    <w:rsid w:val="006E0793"/>
    <w:pPr>
      <w:numPr>
        <w:numId w:val="4"/>
      </w:numPr>
    </w:pPr>
  </w:style>
  <w:style w:type="numbering" w:customStyle="1" w:styleId="RomanNumeralBulletedList">
    <w:name w:val="Roman Numeral Bulleted List"/>
    <w:uiPriority w:val="99"/>
    <w:rsid w:val="006E0793"/>
    <w:pPr>
      <w:numPr>
        <w:numId w:val="5"/>
      </w:numPr>
    </w:pPr>
  </w:style>
  <w:style w:type="character" w:styleId="Strong">
    <w:name w:val="Strong"/>
    <w:basedOn w:val="DefaultParagraphFont"/>
    <w:uiPriority w:val="22"/>
    <w:qFormat/>
    <w:rsid w:val="008235A5"/>
    <w:rPr>
      <w:rFonts w:ascii="Arial" w:hAnsi="Arial"/>
      <w:b/>
      <w:bCs/>
      <w:sz w:val="22"/>
    </w:rPr>
  </w:style>
  <w:style w:type="character" w:styleId="Emphasis">
    <w:name w:val="Emphasis"/>
    <w:aliases w:val="Quotation Style"/>
    <w:basedOn w:val="DefaultParagraphFont"/>
    <w:uiPriority w:val="20"/>
    <w:qFormat/>
    <w:rsid w:val="008235A5"/>
    <w:rPr>
      <w:rFonts w:ascii="Arial" w:hAnsi="Arial"/>
      <w:i/>
      <w:iCs/>
      <w:sz w:val="22"/>
    </w:rPr>
  </w:style>
  <w:style w:type="paragraph" w:styleId="EndnoteText">
    <w:name w:val="endnote text"/>
    <w:basedOn w:val="Normal"/>
    <w:link w:val="EndnoteTextChar"/>
    <w:uiPriority w:val="99"/>
    <w:semiHidden/>
    <w:unhideWhenUsed/>
    <w:rsid w:val="00175E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E60"/>
    <w:rPr>
      <w:rFonts w:ascii="Arial" w:hAnsi="Arial"/>
      <w:sz w:val="20"/>
      <w:szCs w:val="20"/>
    </w:rPr>
  </w:style>
  <w:style w:type="character" w:styleId="EndnoteReference">
    <w:name w:val="endnote reference"/>
    <w:basedOn w:val="DefaultParagraphFont"/>
    <w:uiPriority w:val="99"/>
    <w:semiHidden/>
    <w:unhideWhenUsed/>
    <w:rsid w:val="00175E60"/>
    <w:rPr>
      <w:vertAlign w:val="superscript"/>
    </w:rPr>
  </w:style>
  <w:style w:type="character" w:styleId="FootnoteReference">
    <w:name w:val="footnote reference"/>
    <w:basedOn w:val="DefaultParagraphFont"/>
    <w:semiHidden/>
    <w:unhideWhenUsed/>
    <w:rsid w:val="00F412C9"/>
    <w:rPr>
      <w:color w:val="000000" w:themeColor="accent5"/>
      <w:vertAlign w:val="superscript"/>
    </w:rPr>
  </w:style>
  <w:style w:type="character" w:customStyle="1" w:styleId="ConfidentialText">
    <w:name w:val="Confidential Text"/>
    <w:basedOn w:val="DefaultParagraphFont"/>
    <w:uiPriority w:val="1"/>
    <w:qFormat/>
    <w:rsid w:val="006550E6"/>
    <w:rPr>
      <w:rFonts w:ascii="Arial" w:hAnsi="Arial"/>
      <w:sz w:val="22"/>
      <w:bdr w:val="none" w:sz="0" w:space="0" w:color="auto"/>
      <w:shd w:val="clear" w:color="auto" w:fill="FFFF00"/>
    </w:rPr>
  </w:style>
  <w:style w:type="character" w:customStyle="1" w:styleId="QuoteChar">
    <w:name w:val="Quote Char"/>
    <w:basedOn w:val="DefaultParagraphFont"/>
    <w:link w:val="Quote"/>
    <w:uiPriority w:val="29"/>
    <w:rsid w:val="006A43A5"/>
    <w:rPr>
      <w:rFonts w:ascii="Arial" w:hAnsi="Arial"/>
      <w:i/>
      <w:iCs/>
    </w:rPr>
  </w:style>
  <w:style w:type="character" w:styleId="IntenseEmphasis">
    <w:name w:val="Intense Emphasis"/>
    <w:basedOn w:val="DefaultParagraphFont"/>
    <w:uiPriority w:val="21"/>
    <w:qFormat/>
    <w:rsid w:val="009225C2"/>
    <w:rPr>
      <w:rFonts w:ascii="Arial" w:hAnsi="Arial"/>
      <w:b/>
      <w:bCs/>
      <w:i/>
      <w:iCs/>
      <w:color w:val="000000"/>
      <w:sz w:val="22"/>
    </w:rPr>
  </w:style>
  <w:style w:type="character" w:styleId="PlaceholderText">
    <w:name w:val="Placeholder Text"/>
    <w:basedOn w:val="DefaultParagraphFont"/>
    <w:uiPriority w:val="99"/>
    <w:semiHidden/>
    <w:rsid w:val="00847401"/>
    <w:rPr>
      <w:color w:val="808080"/>
    </w:rPr>
  </w:style>
  <w:style w:type="character" w:customStyle="1" w:styleId="BlockQuoteChar">
    <w:name w:val="Block Quote Char"/>
    <w:basedOn w:val="DefaultParagraphFont"/>
    <w:link w:val="BlockQuote"/>
    <w:rsid w:val="00ED2BFC"/>
    <w:rPr>
      <w:rFonts w:ascii="Arial" w:hAnsi="Arial"/>
      <w:sz w:val="20"/>
      <w:szCs w:val="20"/>
    </w:rPr>
  </w:style>
  <w:style w:type="character" w:customStyle="1" w:styleId="ChapterTitleChar">
    <w:name w:val="Chapter Title Char"/>
    <w:basedOn w:val="Heading1Char"/>
    <w:link w:val="ChapterTitle"/>
    <w:rsid w:val="00B2492A"/>
    <w:rPr>
      <w:rFonts w:ascii="Arial" w:eastAsiaTheme="majorEastAsia" w:hAnsi="Arial" w:cs="Arial"/>
      <w:b/>
      <w:bCs/>
      <w:color w:val="070692"/>
      <w:sz w:val="52"/>
      <w:szCs w:val="36"/>
    </w:rPr>
  </w:style>
  <w:style w:type="character" w:customStyle="1" w:styleId="CopyrightChar">
    <w:name w:val="Copyright Char"/>
    <w:basedOn w:val="DefaultParagraphFont"/>
    <w:link w:val="Copyright"/>
    <w:rsid w:val="002D4DAB"/>
    <w:rPr>
      <w:rFonts w:ascii="Arial" w:hAnsi="Arial"/>
      <w:sz w:val="20"/>
      <w:szCs w:val="20"/>
    </w:rPr>
  </w:style>
  <w:style w:type="character" w:customStyle="1" w:styleId="QuotationChar">
    <w:name w:val="Quotation Char"/>
    <w:basedOn w:val="DefaultParagraphFont"/>
    <w:link w:val="Quotation"/>
    <w:rsid w:val="00B2492A"/>
    <w:rPr>
      <w:rFonts w:ascii="Arial" w:hAnsi="Arial"/>
      <w:i/>
    </w:rPr>
  </w:style>
  <w:style w:type="character" w:customStyle="1" w:styleId="TOCHeadingChar">
    <w:name w:val="TOC Heading Char"/>
    <w:aliases w:val="Table of Contents (TOC) Heading Char"/>
    <w:basedOn w:val="DefaultParagraphFont"/>
    <w:link w:val="TOCHeading"/>
    <w:uiPriority w:val="39"/>
    <w:rsid w:val="00B46283"/>
    <w:rPr>
      <w:rFonts w:ascii="Arial" w:hAnsi="Arial" w:cstheme="majorBidi"/>
      <w:b/>
      <w:color w:val="076A92"/>
      <w:sz w:val="36"/>
      <w:szCs w:val="28"/>
    </w:rPr>
  </w:style>
  <w:style w:type="character" w:customStyle="1" w:styleId="TOC1Char">
    <w:name w:val="TOC 1 Char"/>
    <w:basedOn w:val="DefaultParagraphFont"/>
    <w:link w:val="TOC1"/>
    <w:uiPriority w:val="39"/>
    <w:rsid w:val="001D222D"/>
    <w:rPr>
      <w:rFonts w:ascii="Arial" w:hAnsi="Arial"/>
      <w:b/>
      <w:color w:val="70635A"/>
      <w:sz w:val="24"/>
    </w:rPr>
  </w:style>
  <w:style w:type="character" w:customStyle="1" w:styleId="TOC2Char">
    <w:name w:val="TOC 2 Char"/>
    <w:basedOn w:val="DefaultParagraphFont"/>
    <w:link w:val="TOC2"/>
    <w:uiPriority w:val="39"/>
    <w:rsid w:val="001D222D"/>
    <w:rPr>
      <w:rFonts w:ascii="Arial" w:hAnsi="Arial"/>
      <w:sz w:val="24"/>
    </w:rPr>
  </w:style>
  <w:style w:type="character" w:customStyle="1" w:styleId="TOC3Char">
    <w:name w:val="TOC 3 Char"/>
    <w:basedOn w:val="DefaultParagraphFont"/>
    <w:link w:val="TOC3"/>
    <w:uiPriority w:val="39"/>
    <w:rsid w:val="001974A9"/>
    <w:rPr>
      <w:rFonts w:ascii="Arial" w:hAnsi="Arial"/>
    </w:rPr>
  </w:style>
  <w:style w:type="character" w:styleId="CommentReference">
    <w:name w:val="annotation reference"/>
    <w:basedOn w:val="DefaultParagraphFont"/>
    <w:uiPriority w:val="99"/>
    <w:semiHidden/>
    <w:unhideWhenUsed/>
    <w:rsid w:val="008E75F6"/>
    <w:rPr>
      <w:sz w:val="16"/>
      <w:szCs w:val="16"/>
    </w:rPr>
  </w:style>
  <w:style w:type="paragraph" w:styleId="CommentText">
    <w:name w:val="annotation text"/>
    <w:basedOn w:val="Normal"/>
    <w:link w:val="CommentTextChar"/>
    <w:uiPriority w:val="99"/>
    <w:semiHidden/>
    <w:unhideWhenUsed/>
    <w:rsid w:val="008E75F6"/>
    <w:pPr>
      <w:spacing w:line="240" w:lineRule="auto"/>
    </w:pPr>
    <w:rPr>
      <w:sz w:val="20"/>
      <w:szCs w:val="20"/>
    </w:rPr>
  </w:style>
  <w:style w:type="character" w:customStyle="1" w:styleId="CommentTextChar">
    <w:name w:val="Comment Text Char"/>
    <w:basedOn w:val="DefaultParagraphFont"/>
    <w:link w:val="CommentText"/>
    <w:uiPriority w:val="99"/>
    <w:semiHidden/>
    <w:rsid w:val="008E75F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E75F6"/>
    <w:rPr>
      <w:b/>
      <w:bCs/>
    </w:rPr>
  </w:style>
  <w:style w:type="character" w:customStyle="1" w:styleId="CommentSubjectChar">
    <w:name w:val="Comment Subject Char"/>
    <w:basedOn w:val="CommentTextChar"/>
    <w:link w:val="CommentSubject"/>
    <w:uiPriority w:val="99"/>
    <w:semiHidden/>
    <w:rsid w:val="008E75F6"/>
    <w:rPr>
      <w:rFonts w:ascii="Arial" w:hAnsi="Arial"/>
      <w:b/>
      <w:bCs/>
      <w:sz w:val="20"/>
      <w:szCs w:val="20"/>
    </w:rPr>
  </w:style>
  <w:style w:type="paragraph" w:customStyle="1" w:styleId="AERbodytext">
    <w:name w:val="AER body text"/>
    <w:link w:val="AERbodytextChar"/>
    <w:qFormat/>
    <w:rsid w:val="00AB31C2"/>
    <w:pPr>
      <w:numPr>
        <w:numId w:val="40"/>
      </w:numPr>
      <w:spacing w:before="0" w:after="240" w:line="288" w:lineRule="auto"/>
      <w:jc w:val="both"/>
    </w:pPr>
    <w:rPr>
      <w:rFonts w:ascii="Gautami" w:eastAsia="Times New Roman" w:hAnsi="Gautami" w:cs="Times New Roman"/>
      <w:sz w:val="20"/>
      <w:szCs w:val="24"/>
    </w:rPr>
  </w:style>
  <w:style w:type="paragraph" w:customStyle="1" w:styleId="AERnumberedlistfirststyle">
    <w:name w:val="AER numbered list (first style)"/>
    <w:basedOn w:val="AERbodytext"/>
    <w:qFormat/>
    <w:rsid w:val="00AB31C2"/>
    <w:pPr>
      <w:numPr>
        <w:ilvl w:val="1"/>
      </w:numPr>
      <w:tabs>
        <w:tab w:val="clear" w:pos="357"/>
      </w:tabs>
      <w:spacing w:after="200"/>
      <w:ind w:left="720" w:hanging="380"/>
    </w:pPr>
  </w:style>
  <w:style w:type="paragraph" w:customStyle="1" w:styleId="AERnumberedlistsecondstyle">
    <w:name w:val="AER numbered list (second style)"/>
    <w:basedOn w:val="AERnumberedlistfirststyle"/>
    <w:qFormat/>
    <w:rsid w:val="00AB31C2"/>
    <w:pPr>
      <w:numPr>
        <w:ilvl w:val="2"/>
      </w:numPr>
      <w:tabs>
        <w:tab w:val="clear" w:pos="720"/>
      </w:tabs>
      <w:ind w:left="1077" w:hanging="357"/>
    </w:pPr>
  </w:style>
  <w:style w:type="paragraph" w:customStyle="1" w:styleId="AERnumberedlistthirdstyle">
    <w:name w:val="AER numbered list (third style)"/>
    <w:basedOn w:val="AERnumberedlistsecondstyle"/>
    <w:qFormat/>
    <w:rsid w:val="00AB31C2"/>
    <w:pPr>
      <w:numPr>
        <w:ilvl w:val="3"/>
      </w:numPr>
      <w:tabs>
        <w:tab w:val="clear" w:pos="1077"/>
      </w:tabs>
      <w:ind w:left="1440" w:hanging="363"/>
    </w:pPr>
  </w:style>
  <w:style w:type="paragraph" w:customStyle="1" w:styleId="AERtablesource">
    <w:name w:val="AER table source"/>
    <w:next w:val="AERbodytext"/>
    <w:qFormat/>
    <w:rsid w:val="00AB31C2"/>
    <w:pPr>
      <w:tabs>
        <w:tab w:val="left" w:pos="794"/>
      </w:tabs>
      <w:spacing w:before="40" w:after="240" w:line="240" w:lineRule="auto"/>
      <w:ind w:left="794" w:hanging="794"/>
      <w:contextualSpacing/>
      <w:jc w:val="both"/>
    </w:pPr>
    <w:rPr>
      <w:rFonts w:ascii="Gautami" w:eastAsia="Times New Roman" w:hAnsi="Gautami" w:cs="Times New Roman"/>
      <w:sz w:val="16"/>
      <w:szCs w:val="24"/>
    </w:rPr>
  </w:style>
  <w:style w:type="table" w:customStyle="1" w:styleId="AERtable-text0">
    <w:name w:val="AER table - text"/>
    <w:basedOn w:val="TableNormal"/>
    <w:uiPriority w:val="99"/>
    <w:rsid w:val="00AB31C2"/>
    <w:pPr>
      <w:spacing w:after="80" w:line="240" w:lineRule="auto"/>
    </w:pPr>
    <w:rPr>
      <w:rFonts w:ascii="Gautami" w:eastAsia="Calibri" w:hAnsi="Gautam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AB31C2"/>
    <w:pPr>
      <w:spacing w:before="80" w:line="288" w:lineRule="auto"/>
    </w:pPr>
    <w:rPr>
      <w:rFonts w:ascii="Gautami" w:eastAsia="Times New Roman" w:hAnsi="Gautami" w:cs="Times New Roman"/>
      <w:sz w:val="16"/>
      <w:szCs w:val="24"/>
    </w:rPr>
  </w:style>
  <w:style w:type="character" w:customStyle="1" w:styleId="AERtextbold">
    <w:name w:val="AER text bold"/>
    <w:qFormat/>
    <w:rsid w:val="00AB31C2"/>
    <w:rPr>
      <w:b/>
    </w:rPr>
  </w:style>
  <w:style w:type="numbering" w:customStyle="1" w:styleId="AERnumberedlist">
    <w:name w:val="AER numbered list"/>
    <w:uiPriority w:val="99"/>
    <w:rsid w:val="00AB31C2"/>
    <w:pPr>
      <w:numPr>
        <w:numId w:val="40"/>
      </w:numPr>
    </w:pPr>
  </w:style>
  <w:style w:type="paragraph" w:customStyle="1" w:styleId="AERnumberedlist2first">
    <w:name w:val="AER numbered list 2 first"/>
    <w:basedOn w:val="AERbodytext"/>
    <w:qFormat/>
    <w:rsid w:val="00AB31C2"/>
    <w:pPr>
      <w:numPr>
        <w:ilvl w:val="4"/>
      </w:numPr>
      <w:tabs>
        <w:tab w:val="clear" w:pos="357"/>
      </w:tabs>
      <w:ind w:left="1797"/>
    </w:pPr>
  </w:style>
  <w:style w:type="paragraph" w:customStyle="1" w:styleId="AERnumberedlist2second">
    <w:name w:val="AER numbered list 2 second"/>
    <w:basedOn w:val="AERnumberedlist2first"/>
    <w:qFormat/>
    <w:rsid w:val="00AB31C2"/>
    <w:pPr>
      <w:numPr>
        <w:ilvl w:val="5"/>
      </w:numPr>
      <w:tabs>
        <w:tab w:val="clear" w:pos="720"/>
      </w:tabs>
      <w:ind w:left="2155" w:hanging="358"/>
    </w:pPr>
  </w:style>
  <w:style w:type="paragraph" w:customStyle="1" w:styleId="AERnumberedlist2third">
    <w:name w:val="AER numbered list 2 third"/>
    <w:basedOn w:val="AERnumberedlist2second"/>
    <w:qFormat/>
    <w:rsid w:val="00AB31C2"/>
    <w:pPr>
      <w:numPr>
        <w:ilvl w:val="6"/>
      </w:numPr>
      <w:tabs>
        <w:tab w:val="clear" w:pos="1077"/>
      </w:tabs>
      <w:ind w:left="720" w:firstLine="0"/>
    </w:pPr>
  </w:style>
  <w:style w:type="character" w:customStyle="1" w:styleId="AERbodytextChar">
    <w:name w:val="AER body text Char"/>
    <w:basedOn w:val="DefaultParagraphFont"/>
    <w:link w:val="AERbodytext"/>
    <w:rsid w:val="00AB31C2"/>
    <w:rPr>
      <w:rFonts w:ascii="Gautami" w:eastAsia="Times New Roman" w:hAnsi="Gautami"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F1DE6"/>
    <w:rPr>
      <w:rFonts w:ascii="Arial" w:hAnsi="Arial"/>
    </w:rPr>
  </w:style>
  <w:style w:type="paragraph" w:styleId="Heading1">
    <w:name w:val="heading 1"/>
    <w:basedOn w:val="Normal"/>
    <w:next w:val="Normal"/>
    <w:link w:val="Heading1Char"/>
    <w:uiPriority w:val="9"/>
    <w:qFormat/>
    <w:rsid w:val="00A178CC"/>
    <w:pPr>
      <w:keepNext/>
      <w:keepLines/>
      <w:pageBreakBefore/>
      <w:spacing w:before="240"/>
      <w:ind w:left="432" w:hanging="432"/>
      <w:outlineLvl w:val="0"/>
    </w:pPr>
    <w:rPr>
      <w:rFonts w:eastAsiaTheme="majorEastAsia" w:cs="Arial"/>
      <w:b/>
      <w:bCs/>
      <w:color w:val="70635A"/>
      <w:sz w:val="36"/>
      <w:szCs w:val="36"/>
    </w:rPr>
  </w:style>
  <w:style w:type="paragraph" w:styleId="Heading2">
    <w:name w:val="heading 2"/>
    <w:basedOn w:val="Normal"/>
    <w:next w:val="Normal"/>
    <w:link w:val="Heading2Char"/>
    <w:uiPriority w:val="9"/>
    <w:unhideWhenUsed/>
    <w:qFormat/>
    <w:rsid w:val="00A178CC"/>
    <w:pPr>
      <w:keepNext/>
      <w:keepLines/>
      <w:spacing w:before="240"/>
      <w:ind w:left="576" w:hanging="576"/>
      <w:outlineLvl w:val="1"/>
    </w:pPr>
    <w:rPr>
      <w:rFonts w:eastAsiaTheme="majorEastAsia" w:cs="Arial"/>
      <w:b/>
      <w:bCs/>
      <w:color w:val="70635A"/>
      <w:sz w:val="32"/>
      <w:szCs w:val="32"/>
    </w:rPr>
  </w:style>
  <w:style w:type="paragraph" w:styleId="Heading3">
    <w:name w:val="heading 3"/>
    <w:basedOn w:val="Normal"/>
    <w:next w:val="Normal"/>
    <w:link w:val="Heading3Char"/>
    <w:uiPriority w:val="9"/>
    <w:unhideWhenUsed/>
    <w:qFormat/>
    <w:rsid w:val="00A178CC"/>
    <w:pPr>
      <w:keepNext/>
      <w:keepLines/>
      <w:spacing w:before="240"/>
      <w:ind w:left="720" w:hanging="720"/>
      <w:outlineLvl w:val="2"/>
    </w:pPr>
    <w:rPr>
      <w:rFonts w:eastAsiaTheme="majorEastAsia" w:cs="Arial"/>
      <w:b/>
      <w:bCs/>
      <w:color w:val="70635A"/>
      <w:sz w:val="28"/>
      <w:szCs w:val="28"/>
    </w:rPr>
  </w:style>
  <w:style w:type="paragraph" w:styleId="Heading4">
    <w:name w:val="heading 4"/>
    <w:basedOn w:val="Normal"/>
    <w:next w:val="Normal"/>
    <w:link w:val="Heading4Char"/>
    <w:uiPriority w:val="9"/>
    <w:unhideWhenUsed/>
    <w:qFormat/>
    <w:rsid w:val="00A178CC"/>
    <w:pPr>
      <w:keepNext/>
      <w:keepLines/>
      <w:spacing w:before="240"/>
      <w:ind w:left="864" w:hanging="864"/>
      <w:outlineLvl w:val="3"/>
    </w:pPr>
    <w:rPr>
      <w:rFonts w:eastAsiaTheme="majorEastAsia" w:cs="Arial"/>
      <w:b/>
      <w:bCs/>
      <w:iCs/>
      <w:color w:val="70635A"/>
      <w:sz w:val="24"/>
      <w:szCs w:val="24"/>
    </w:rPr>
  </w:style>
  <w:style w:type="paragraph" w:styleId="Heading5">
    <w:name w:val="heading 5"/>
    <w:basedOn w:val="Normal"/>
    <w:next w:val="Normal"/>
    <w:link w:val="Heading5Char"/>
    <w:uiPriority w:val="9"/>
    <w:unhideWhenUsed/>
    <w:qFormat/>
    <w:rsid w:val="00A178CC"/>
    <w:pPr>
      <w:keepNext/>
      <w:keepLines/>
      <w:spacing w:before="240"/>
      <w:ind w:left="1008" w:hanging="1008"/>
      <w:outlineLvl w:val="4"/>
    </w:pPr>
    <w:rPr>
      <w:rFonts w:eastAsiaTheme="majorEastAsia" w:cs="Arial"/>
      <w:b/>
      <w:szCs w:val="24"/>
    </w:rPr>
  </w:style>
  <w:style w:type="paragraph" w:styleId="Heading6">
    <w:name w:val="heading 6"/>
    <w:basedOn w:val="Normal"/>
    <w:next w:val="Normal"/>
    <w:link w:val="Heading6Char"/>
    <w:uiPriority w:val="9"/>
    <w:unhideWhenUsed/>
    <w:qFormat/>
    <w:rsid w:val="00A178CC"/>
    <w:pPr>
      <w:keepNext/>
      <w:keepLines/>
      <w:spacing w:before="240"/>
      <w:ind w:left="1152" w:hanging="1152"/>
      <w:outlineLvl w:val="5"/>
    </w:pPr>
    <w:rPr>
      <w:rFonts w:eastAsiaTheme="majorEastAsia" w:cs="Arial"/>
      <w:b/>
      <w:i/>
      <w:iCs/>
      <w:color w:val="076A92"/>
      <w:szCs w:val="24"/>
    </w:rPr>
  </w:style>
  <w:style w:type="paragraph" w:styleId="Heading7">
    <w:name w:val="heading 7"/>
    <w:basedOn w:val="Normal"/>
    <w:next w:val="Normal"/>
    <w:link w:val="Heading7Char"/>
    <w:uiPriority w:val="9"/>
    <w:semiHidden/>
    <w:unhideWhenUsed/>
    <w:rsid w:val="00A94A4E"/>
    <w:pPr>
      <w:keepNext/>
      <w:keepLines/>
      <w:spacing w:before="200" w:after="0"/>
      <w:outlineLvl w:val="6"/>
    </w:pPr>
    <w:rPr>
      <w:rFonts w:asciiTheme="majorHAnsi" w:eastAsiaTheme="majorEastAsia" w:hAnsiTheme="majorHAnsi" w:cstheme="majorBidi"/>
      <w:i/>
      <w:iCs/>
      <w:color w:val="0BA7E7" w:themeColor="text1" w:themeTint="BF"/>
    </w:rPr>
  </w:style>
  <w:style w:type="paragraph" w:styleId="Heading8">
    <w:name w:val="heading 8"/>
    <w:basedOn w:val="Normal"/>
    <w:next w:val="Normal"/>
    <w:link w:val="Heading8Char"/>
    <w:uiPriority w:val="9"/>
    <w:semiHidden/>
    <w:unhideWhenUsed/>
    <w:qFormat/>
    <w:rsid w:val="00A94A4E"/>
    <w:pPr>
      <w:keepNext/>
      <w:keepLines/>
      <w:spacing w:before="200" w:after="0"/>
      <w:outlineLvl w:val="7"/>
    </w:pPr>
    <w:rPr>
      <w:rFonts w:asciiTheme="majorHAnsi" w:eastAsiaTheme="majorEastAsia" w:hAnsiTheme="majorHAnsi" w:cstheme="majorBidi"/>
      <w:color w:val="0BA7E7" w:themeColor="text1" w:themeTint="BF"/>
      <w:sz w:val="20"/>
      <w:szCs w:val="20"/>
    </w:rPr>
  </w:style>
  <w:style w:type="paragraph" w:styleId="Heading9">
    <w:name w:val="heading 9"/>
    <w:basedOn w:val="Normal"/>
    <w:next w:val="Normal"/>
    <w:link w:val="Heading9Char"/>
    <w:uiPriority w:val="9"/>
    <w:semiHidden/>
    <w:unhideWhenUsed/>
    <w:qFormat/>
    <w:rsid w:val="00A94A4E"/>
    <w:pPr>
      <w:keepNext/>
      <w:keepLines/>
      <w:spacing w:before="200" w:after="0"/>
      <w:outlineLvl w:val="8"/>
    </w:pPr>
    <w:rPr>
      <w:rFonts w:asciiTheme="majorHAnsi" w:eastAsiaTheme="majorEastAsia" w:hAnsiTheme="majorHAnsi" w:cstheme="majorBidi"/>
      <w:i/>
      <w:iCs/>
      <w:color w:val="0BA7E7"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right">
    <w:name w:val="Copyright"/>
    <w:basedOn w:val="Normal"/>
    <w:next w:val="Normal"/>
    <w:link w:val="CopyrightChar"/>
    <w:qFormat/>
    <w:rsid w:val="002D4DAB"/>
    <w:pPr>
      <w:spacing w:before="5680" w:line="288" w:lineRule="auto"/>
      <w:contextualSpacing/>
    </w:pPr>
    <w:rPr>
      <w:sz w:val="20"/>
      <w:szCs w:val="20"/>
    </w:rPr>
  </w:style>
  <w:style w:type="paragraph" w:customStyle="1" w:styleId="TOCText">
    <w:name w:val="TOC Text"/>
    <w:basedOn w:val="Normal"/>
    <w:next w:val="Normal"/>
    <w:rsid w:val="00B801CA"/>
  </w:style>
  <w:style w:type="paragraph" w:customStyle="1" w:styleId="ReportTitle">
    <w:name w:val="Report Title"/>
    <w:basedOn w:val="Normal"/>
    <w:next w:val="Normal"/>
    <w:link w:val="ReportTitleChar"/>
    <w:qFormat/>
    <w:rsid w:val="00FC3E6B"/>
    <w:pPr>
      <w:spacing w:before="6240"/>
      <w:contextualSpacing/>
      <w:jc w:val="center"/>
    </w:pPr>
    <w:rPr>
      <w:b/>
      <w:sz w:val="72"/>
      <w:szCs w:val="72"/>
    </w:rPr>
  </w:style>
  <w:style w:type="paragraph" w:customStyle="1" w:styleId="ChapterTitle">
    <w:name w:val="Chapter Title"/>
    <w:basedOn w:val="Heading1"/>
    <w:next w:val="Normal"/>
    <w:link w:val="ChapterTitleChar"/>
    <w:qFormat/>
    <w:rsid w:val="00CC659E"/>
    <w:rPr>
      <w:color w:val="070692"/>
      <w:sz w:val="52"/>
    </w:rPr>
  </w:style>
  <w:style w:type="character" w:customStyle="1" w:styleId="Heading1Char">
    <w:name w:val="Heading 1 Char"/>
    <w:basedOn w:val="DefaultParagraphFont"/>
    <w:link w:val="Heading1"/>
    <w:uiPriority w:val="9"/>
    <w:rsid w:val="00A178CC"/>
    <w:rPr>
      <w:rFonts w:ascii="Arial" w:eastAsiaTheme="majorEastAsia" w:hAnsi="Arial" w:cs="Arial"/>
      <w:b/>
      <w:bCs/>
      <w:color w:val="70635A"/>
      <w:sz w:val="36"/>
      <w:szCs w:val="36"/>
    </w:rPr>
  </w:style>
  <w:style w:type="character" w:customStyle="1" w:styleId="Heading2Char">
    <w:name w:val="Heading 2 Char"/>
    <w:basedOn w:val="DefaultParagraphFont"/>
    <w:link w:val="Heading2"/>
    <w:uiPriority w:val="9"/>
    <w:rsid w:val="00A178CC"/>
    <w:rPr>
      <w:rFonts w:ascii="Arial" w:eastAsiaTheme="majorEastAsia" w:hAnsi="Arial" w:cs="Arial"/>
      <w:b/>
      <w:bCs/>
      <w:color w:val="70635A"/>
      <w:sz w:val="32"/>
      <w:szCs w:val="32"/>
    </w:rPr>
  </w:style>
  <w:style w:type="character" w:customStyle="1" w:styleId="Heading3Char">
    <w:name w:val="Heading 3 Char"/>
    <w:basedOn w:val="DefaultParagraphFont"/>
    <w:link w:val="Heading3"/>
    <w:uiPriority w:val="9"/>
    <w:rsid w:val="00A178CC"/>
    <w:rPr>
      <w:rFonts w:ascii="Arial" w:eastAsiaTheme="majorEastAsia" w:hAnsi="Arial" w:cs="Arial"/>
      <w:b/>
      <w:bCs/>
      <w:color w:val="70635A"/>
      <w:sz w:val="28"/>
      <w:szCs w:val="28"/>
    </w:rPr>
  </w:style>
  <w:style w:type="character" w:customStyle="1" w:styleId="Heading4Char">
    <w:name w:val="Heading 4 Char"/>
    <w:basedOn w:val="DefaultParagraphFont"/>
    <w:link w:val="Heading4"/>
    <w:uiPriority w:val="9"/>
    <w:rsid w:val="00A178CC"/>
    <w:rPr>
      <w:rFonts w:ascii="Arial" w:eastAsiaTheme="majorEastAsia" w:hAnsi="Arial" w:cs="Arial"/>
      <w:b/>
      <w:bCs/>
      <w:iCs/>
      <w:color w:val="70635A"/>
      <w:sz w:val="24"/>
      <w:szCs w:val="24"/>
    </w:rPr>
  </w:style>
  <w:style w:type="character" w:customStyle="1" w:styleId="Heading5Char">
    <w:name w:val="Heading 5 Char"/>
    <w:basedOn w:val="DefaultParagraphFont"/>
    <w:link w:val="Heading5"/>
    <w:uiPriority w:val="9"/>
    <w:rsid w:val="00A178CC"/>
    <w:rPr>
      <w:rFonts w:ascii="Arial" w:eastAsiaTheme="majorEastAsia" w:hAnsi="Arial" w:cs="Arial"/>
      <w:b/>
      <w:szCs w:val="24"/>
    </w:rPr>
  </w:style>
  <w:style w:type="character" w:customStyle="1" w:styleId="Heading6Char">
    <w:name w:val="Heading 6 Char"/>
    <w:basedOn w:val="DefaultParagraphFont"/>
    <w:link w:val="Heading6"/>
    <w:uiPriority w:val="9"/>
    <w:rsid w:val="00A178CC"/>
    <w:rPr>
      <w:rFonts w:ascii="Arial" w:eastAsiaTheme="majorEastAsia" w:hAnsi="Arial" w:cs="Arial"/>
      <w:b/>
      <w:i/>
      <w:iCs/>
      <w:color w:val="076A92"/>
      <w:szCs w:val="24"/>
    </w:rPr>
  </w:style>
  <w:style w:type="paragraph" w:styleId="ListParagraph">
    <w:name w:val="List Paragraph"/>
    <w:basedOn w:val="Normal"/>
    <w:link w:val="ListParagraphChar"/>
    <w:uiPriority w:val="34"/>
    <w:rsid w:val="006A5214"/>
    <w:pPr>
      <w:ind w:left="720"/>
      <w:contextualSpacing/>
    </w:pPr>
  </w:style>
  <w:style w:type="paragraph" w:customStyle="1" w:styleId="NumberedListStyle">
    <w:name w:val="Numbered List Style"/>
    <w:basedOn w:val="ListParagraph"/>
    <w:link w:val="NumberedListStyleChar"/>
    <w:rsid w:val="006A5214"/>
    <w:pPr>
      <w:numPr>
        <w:numId w:val="2"/>
      </w:numPr>
    </w:pPr>
  </w:style>
  <w:style w:type="numbering" w:customStyle="1" w:styleId="NumberedList">
    <w:name w:val="Numbered List"/>
    <w:uiPriority w:val="99"/>
    <w:rsid w:val="00A21831"/>
    <w:pPr>
      <w:numPr>
        <w:numId w:val="1"/>
      </w:numPr>
    </w:pPr>
  </w:style>
  <w:style w:type="character" w:customStyle="1" w:styleId="ListParagraphChar">
    <w:name w:val="List Paragraph Char"/>
    <w:basedOn w:val="DefaultParagraphFont"/>
    <w:link w:val="ListParagraph"/>
    <w:uiPriority w:val="34"/>
    <w:rsid w:val="006A5214"/>
    <w:rPr>
      <w:rFonts w:ascii="Arial" w:hAnsi="Arial"/>
    </w:rPr>
  </w:style>
  <w:style w:type="character" w:customStyle="1" w:styleId="NumberedListStyleChar">
    <w:name w:val="Numbered List Style Char"/>
    <w:basedOn w:val="ListParagraphChar"/>
    <w:link w:val="NumberedListStyle"/>
    <w:rsid w:val="006A5214"/>
    <w:rPr>
      <w:rFonts w:ascii="Arial" w:hAnsi="Arial"/>
    </w:rPr>
  </w:style>
  <w:style w:type="numbering" w:customStyle="1" w:styleId="NumberedList-Straight">
    <w:name w:val="Numbered List - Straight"/>
    <w:uiPriority w:val="99"/>
    <w:rsid w:val="00C93331"/>
    <w:pPr>
      <w:numPr>
        <w:numId w:val="10"/>
      </w:numPr>
    </w:pPr>
  </w:style>
  <w:style w:type="numbering" w:customStyle="1" w:styleId="AlphanumericList-Straight">
    <w:name w:val="Alphanumeric List - Straight"/>
    <w:uiPriority w:val="99"/>
    <w:rsid w:val="00870E29"/>
    <w:pPr>
      <w:numPr>
        <w:numId w:val="11"/>
      </w:numPr>
    </w:pPr>
  </w:style>
  <w:style w:type="paragraph" w:customStyle="1" w:styleId="TableBodyFigurealignedright">
    <w:name w:val="Table Body Figure (aligned right)"/>
    <w:basedOn w:val="Normal"/>
    <w:link w:val="TableBodyFigurealignedrightChar"/>
    <w:qFormat/>
    <w:rsid w:val="008244B2"/>
    <w:pPr>
      <w:jc w:val="right"/>
    </w:pPr>
    <w:rPr>
      <w:sz w:val="20"/>
    </w:rPr>
  </w:style>
  <w:style w:type="paragraph" w:customStyle="1" w:styleId="ChartHeading">
    <w:name w:val="Chart Heading"/>
    <w:basedOn w:val="Normal"/>
    <w:next w:val="Normal"/>
    <w:link w:val="ChartHeadingChar"/>
    <w:qFormat/>
    <w:rsid w:val="001939DE"/>
    <w:pPr>
      <w:spacing w:before="240"/>
    </w:pPr>
    <w:rPr>
      <w:b/>
      <w:sz w:val="24"/>
      <w:szCs w:val="24"/>
    </w:rPr>
  </w:style>
  <w:style w:type="character" w:customStyle="1" w:styleId="TableBodyFigurealignedrightChar">
    <w:name w:val="Table Body Figure (aligned right) Char"/>
    <w:basedOn w:val="DefaultParagraphFont"/>
    <w:link w:val="TableBodyFigurealignedright"/>
    <w:rsid w:val="008244B2"/>
    <w:rPr>
      <w:rFonts w:ascii="Arial" w:hAnsi="Arial"/>
      <w:sz w:val="20"/>
    </w:rPr>
  </w:style>
  <w:style w:type="paragraph" w:customStyle="1" w:styleId="ChartText">
    <w:name w:val="Chart Text"/>
    <w:basedOn w:val="Normal"/>
    <w:next w:val="Normal"/>
    <w:link w:val="ChartTextChar"/>
    <w:qFormat/>
    <w:rsid w:val="002F1039"/>
    <w:rPr>
      <w:sz w:val="20"/>
    </w:rPr>
  </w:style>
  <w:style w:type="character" w:customStyle="1" w:styleId="ChartHeadingChar">
    <w:name w:val="Chart Heading Char"/>
    <w:basedOn w:val="DefaultParagraphFont"/>
    <w:link w:val="ChartHeading"/>
    <w:rsid w:val="001939DE"/>
    <w:rPr>
      <w:rFonts w:ascii="Arial" w:hAnsi="Arial"/>
      <w:b/>
      <w:sz w:val="24"/>
      <w:szCs w:val="24"/>
    </w:rPr>
  </w:style>
  <w:style w:type="paragraph" w:styleId="TOCHeading">
    <w:name w:val="TOC Heading"/>
    <w:aliases w:val="Table of Contents (TOC) Heading"/>
    <w:basedOn w:val="Normal"/>
    <w:next w:val="Normal"/>
    <w:link w:val="TOCHeadingChar"/>
    <w:uiPriority w:val="39"/>
    <w:unhideWhenUsed/>
    <w:qFormat/>
    <w:rsid w:val="002B5C11"/>
    <w:pPr>
      <w:pageBreakBefore/>
    </w:pPr>
    <w:rPr>
      <w:rFonts w:cstheme="majorBidi"/>
      <w:b/>
      <w:color w:val="076A92"/>
      <w:sz w:val="36"/>
      <w:szCs w:val="28"/>
    </w:rPr>
  </w:style>
  <w:style w:type="character" w:customStyle="1" w:styleId="ChartTextChar">
    <w:name w:val="Chart Text Char"/>
    <w:basedOn w:val="DefaultParagraphFont"/>
    <w:link w:val="ChartText"/>
    <w:rsid w:val="002F1039"/>
    <w:rPr>
      <w:rFonts w:ascii="Arial" w:hAnsi="Arial"/>
      <w:sz w:val="20"/>
    </w:rPr>
  </w:style>
  <w:style w:type="paragraph" w:styleId="Footer">
    <w:name w:val="footer"/>
    <w:basedOn w:val="Normal"/>
    <w:link w:val="FooterChar"/>
    <w:uiPriority w:val="99"/>
    <w:unhideWhenUsed/>
    <w:qFormat/>
    <w:rsid w:val="009A46F9"/>
    <w:pPr>
      <w:tabs>
        <w:tab w:val="center" w:pos="4513"/>
        <w:tab w:val="right" w:pos="9026"/>
      </w:tabs>
      <w:spacing w:after="0" w:line="240" w:lineRule="auto"/>
    </w:pPr>
    <w:rPr>
      <w:b/>
      <w:color w:val="076A92"/>
      <w:sz w:val="20"/>
    </w:rPr>
  </w:style>
  <w:style w:type="character" w:customStyle="1" w:styleId="FooterChar">
    <w:name w:val="Footer Char"/>
    <w:basedOn w:val="DefaultParagraphFont"/>
    <w:link w:val="Footer"/>
    <w:uiPriority w:val="99"/>
    <w:rsid w:val="009A46F9"/>
    <w:rPr>
      <w:rFonts w:ascii="Arial" w:hAnsi="Arial"/>
      <w:b/>
      <w:color w:val="076A92"/>
      <w:sz w:val="20"/>
    </w:rPr>
  </w:style>
  <w:style w:type="character" w:styleId="Hyperlink">
    <w:name w:val="Hyperlink"/>
    <w:basedOn w:val="DefaultParagraphFont"/>
    <w:uiPriority w:val="99"/>
    <w:unhideWhenUsed/>
    <w:qFormat/>
    <w:rsid w:val="001939DE"/>
    <w:rPr>
      <w:color w:val="076A92" w:themeColor="hyperlink"/>
      <w:u w:val="single"/>
    </w:rPr>
  </w:style>
  <w:style w:type="paragraph" w:styleId="FootnoteText">
    <w:name w:val="footnote text"/>
    <w:aliases w:val="Footnote"/>
    <w:basedOn w:val="Normal"/>
    <w:link w:val="FootnoteTextChar"/>
    <w:semiHidden/>
    <w:unhideWhenUsed/>
    <w:qFormat/>
    <w:rsid w:val="00F412C9"/>
    <w:pPr>
      <w:spacing w:line="240" w:lineRule="auto"/>
    </w:pPr>
    <w:rPr>
      <w:color w:val="000000" w:themeColor="accent5"/>
      <w:sz w:val="18"/>
      <w:szCs w:val="20"/>
    </w:rPr>
  </w:style>
  <w:style w:type="character" w:customStyle="1" w:styleId="FootnoteTextChar">
    <w:name w:val="Footnote Text Char"/>
    <w:aliases w:val="Footnote Char"/>
    <w:basedOn w:val="DefaultParagraphFont"/>
    <w:link w:val="FootnoteText"/>
    <w:semiHidden/>
    <w:rsid w:val="00F412C9"/>
    <w:rPr>
      <w:rFonts w:ascii="Arial" w:hAnsi="Arial"/>
      <w:color w:val="000000" w:themeColor="accent5"/>
      <w:sz w:val="18"/>
      <w:szCs w:val="20"/>
    </w:rPr>
  </w:style>
  <w:style w:type="paragraph" w:customStyle="1" w:styleId="Source">
    <w:name w:val="Source"/>
    <w:basedOn w:val="Normal"/>
    <w:link w:val="SourceChar"/>
    <w:qFormat/>
    <w:rsid w:val="00694E1F"/>
    <w:rPr>
      <w:sz w:val="18"/>
      <w:szCs w:val="18"/>
    </w:rPr>
  </w:style>
  <w:style w:type="paragraph" w:customStyle="1" w:styleId="Note">
    <w:name w:val="Note"/>
    <w:basedOn w:val="Source"/>
    <w:link w:val="NoteChar"/>
    <w:qFormat/>
    <w:rsid w:val="00694E1F"/>
  </w:style>
  <w:style w:type="character" w:customStyle="1" w:styleId="SourceChar">
    <w:name w:val="Source Char"/>
    <w:basedOn w:val="DefaultParagraphFont"/>
    <w:link w:val="Source"/>
    <w:rsid w:val="00694E1F"/>
    <w:rPr>
      <w:rFonts w:ascii="Arial" w:hAnsi="Arial"/>
      <w:sz w:val="18"/>
      <w:szCs w:val="18"/>
    </w:rPr>
  </w:style>
  <w:style w:type="character" w:customStyle="1" w:styleId="Heading7Char">
    <w:name w:val="Heading 7 Char"/>
    <w:basedOn w:val="DefaultParagraphFont"/>
    <w:link w:val="Heading7"/>
    <w:uiPriority w:val="9"/>
    <w:semiHidden/>
    <w:rsid w:val="00CC659E"/>
    <w:rPr>
      <w:rFonts w:asciiTheme="majorHAnsi" w:eastAsiaTheme="majorEastAsia" w:hAnsiTheme="majorHAnsi" w:cstheme="majorBidi"/>
      <w:i/>
      <w:iCs/>
      <w:color w:val="0BA7E7" w:themeColor="text1" w:themeTint="BF"/>
    </w:rPr>
  </w:style>
  <w:style w:type="character" w:customStyle="1" w:styleId="NoteChar">
    <w:name w:val="Note Char"/>
    <w:basedOn w:val="SourceChar"/>
    <w:link w:val="Note"/>
    <w:rsid w:val="00694E1F"/>
    <w:rPr>
      <w:rFonts w:ascii="Arial" w:hAnsi="Arial"/>
      <w:sz w:val="18"/>
      <w:szCs w:val="18"/>
    </w:rPr>
  </w:style>
  <w:style w:type="character" w:customStyle="1" w:styleId="Heading8Char">
    <w:name w:val="Heading 8 Char"/>
    <w:basedOn w:val="DefaultParagraphFont"/>
    <w:link w:val="Heading8"/>
    <w:uiPriority w:val="9"/>
    <w:semiHidden/>
    <w:rsid w:val="00CC659E"/>
    <w:rPr>
      <w:rFonts w:asciiTheme="majorHAnsi" w:eastAsiaTheme="majorEastAsia" w:hAnsiTheme="majorHAnsi" w:cstheme="majorBidi"/>
      <w:color w:val="0BA7E7" w:themeColor="text1" w:themeTint="BF"/>
      <w:sz w:val="20"/>
      <w:szCs w:val="20"/>
    </w:rPr>
  </w:style>
  <w:style w:type="character" w:customStyle="1" w:styleId="Heading9Char">
    <w:name w:val="Heading 9 Char"/>
    <w:basedOn w:val="DefaultParagraphFont"/>
    <w:link w:val="Heading9"/>
    <w:uiPriority w:val="9"/>
    <w:semiHidden/>
    <w:rsid w:val="00CC659E"/>
    <w:rPr>
      <w:rFonts w:asciiTheme="majorHAnsi" w:eastAsiaTheme="majorEastAsia" w:hAnsiTheme="majorHAnsi" w:cstheme="majorBidi"/>
      <w:i/>
      <w:iCs/>
      <w:color w:val="0BA7E7" w:themeColor="text1" w:themeTint="BF"/>
      <w:sz w:val="20"/>
      <w:szCs w:val="20"/>
    </w:rPr>
  </w:style>
  <w:style w:type="numbering" w:customStyle="1" w:styleId="AlphanumericList">
    <w:name w:val="Alphanumeric List"/>
    <w:uiPriority w:val="99"/>
    <w:rsid w:val="00A94A4E"/>
    <w:pPr>
      <w:numPr>
        <w:numId w:val="9"/>
      </w:numPr>
    </w:pPr>
  </w:style>
  <w:style w:type="paragraph" w:styleId="BalloonText">
    <w:name w:val="Balloon Text"/>
    <w:basedOn w:val="Normal"/>
    <w:link w:val="BalloonTextChar"/>
    <w:uiPriority w:val="99"/>
    <w:semiHidden/>
    <w:unhideWhenUsed/>
    <w:rsid w:val="00AE7E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E16"/>
    <w:rPr>
      <w:rFonts w:ascii="Tahoma" w:hAnsi="Tahoma" w:cs="Tahoma"/>
      <w:sz w:val="16"/>
      <w:szCs w:val="16"/>
    </w:rPr>
  </w:style>
  <w:style w:type="paragraph" w:styleId="Header">
    <w:name w:val="header"/>
    <w:basedOn w:val="Normal"/>
    <w:link w:val="HeaderChar"/>
    <w:uiPriority w:val="99"/>
    <w:unhideWhenUsed/>
    <w:rsid w:val="00B14A00"/>
    <w:pPr>
      <w:tabs>
        <w:tab w:val="center" w:pos="4513"/>
        <w:tab w:val="right" w:pos="9026"/>
      </w:tabs>
      <w:spacing w:line="240" w:lineRule="auto"/>
    </w:pPr>
  </w:style>
  <w:style w:type="character" w:customStyle="1" w:styleId="HeaderChar">
    <w:name w:val="Header Char"/>
    <w:basedOn w:val="DefaultParagraphFont"/>
    <w:link w:val="Header"/>
    <w:uiPriority w:val="99"/>
    <w:rsid w:val="00B14A00"/>
    <w:rPr>
      <w:rFonts w:ascii="Arial" w:hAnsi="Arial"/>
    </w:rPr>
  </w:style>
  <w:style w:type="paragraph" w:customStyle="1" w:styleId="DocumentReferenceTitle">
    <w:name w:val="Document Reference Title"/>
    <w:basedOn w:val="Normal"/>
    <w:link w:val="DocumentReferenceTitleChar"/>
    <w:qFormat/>
    <w:rsid w:val="00E67D84"/>
    <w:rPr>
      <w:i/>
    </w:rPr>
  </w:style>
  <w:style w:type="paragraph" w:customStyle="1" w:styleId="Subscript">
    <w:name w:val="Subscript"/>
    <w:basedOn w:val="Normal"/>
    <w:next w:val="Normal"/>
    <w:link w:val="SubscriptChar"/>
    <w:qFormat/>
    <w:rsid w:val="00192403"/>
    <w:rPr>
      <w:sz w:val="20"/>
      <w:vertAlign w:val="subscript"/>
    </w:rPr>
  </w:style>
  <w:style w:type="character" w:customStyle="1" w:styleId="DocumentReferenceTitleChar">
    <w:name w:val="Document Reference Title Char"/>
    <w:basedOn w:val="DefaultParagraphFont"/>
    <w:link w:val="DocumentReferenceTitle"/>
    <w:rsid w:val="00E67D84"/>
    <w:rPr>
      <w:rFonts w:ascii="Arial" w:hAnsi="Arial"/>
      <w:i/>
    </w:rPr>
  </w:style>
  <w:style w:type="paragraph" w:customStyle="1" w:styleId="Superscript">
    <w:name w:val="Superscript"/>
    <w:basedOn w:val="Normal"/>
    <w:next w:val="Normal"/>
    <w:link w:val="SuperscriptChar"/>
    <w:qFormat/>
    <w:rsid w:val="00192403"/>
    <w:rPr>
      <w:sz w:val="20"/>
      <w:vertAlign w:val="superscript"/>
    </w:rPr>
  </w:style>
  <w:style w:type="character" w:customStyle="1" w:styleId="SubscriptChar">
    <w:name w:val="Subscript Char"/>
    <w:basedOn w:val="DefaultParagraphFont"/>
    <w:link w:val="Subscript"/>
    <w:rsid w:val="00192403"/>
    <w:rPr>
      <w:rFonts w:ascii="Arial" w:hAnsi="Arial"/>
      <w:sz w:val="20"/>
      <w:vertAlign w:val="subscript"/>
    </w:rPr>
  </w:style>
  <w:style w:type="character" w:customStyle="1" w:styleId="SuperscriptChar">
    <w:name w:val="Superscript Char"/>
    <w:basedOn w:val="DefaultParagraphFont"/>
    <w:link w:val="Superscript"/>
    <w:rsid w:val="00192403"/>
    <w:rPr>
      <w:rFonts w:ascii="Arial" w:hAnsi="Arial"/>
      <w:sz w:val="20"/>
      <w:vertAlign w:val="superscript"/>
    </w:rPr>
  </w:style>
  <w:style w:type="paragraph" w:styleId="TOC1">
    <w:name w:val="toc 1"/>
    <w:basedOn w:val="Normal"/>
    <w:next w:val="Normal"/>
    <w:link w:val="TOC1Char"/>
    <w:uiPriority w:val="39"/>
    <w:unhideWhenUsed/>
    <w:qFormat/>
    <w:rsid w:val="001D222D"/>
    <w:pPr>
      <w:tabs>
        <w:tab w:val="left" w:pos="397"/>
        <w:tab w:val="left" w:leader="dot" w:pos="9072"/>
      </w:tabs>
      <w:spacing w:after="100"/>
      <w:jc w:val="center"/>
    </w:pPr>
    <w:rPr>
      <w:b/>
      <w:color w:val="70635A"/>
      <w:sz w:val="24"/>
    </w:rPr>
  </w:style>
  <w:style w:type="table" w:customStyle="1" w:styleId="AERTable-Text">
    <w:name w:val="AER Table - Text"/>
    <w:basedOn w:val="TableNormal"/>
    <w:uiPriority w:val="99"/>
    <w:rsid w:val="00C93331"/>
    <w:pPr>
      <w:spacing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DF1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6746F2"/>
    <w:pPr>
      <w:spacing w:before="240" w:line="240" w:lineRule="auto"/>
    </w:pPr>
    <w:rPr>
      <w:b/>
      <w:bCs/>
      <w:color w:val="076A92"/>
      <w:szCs w:val="18"/>
    </w:rPr>
  </w:style>
  <w:style w:type="paragraph" w:customStyle="1" w:styleId="Quotation">
    <w:name w:val="Quotation"/>
    <w:basedOn w:val="Normal"/>
    <w:next w:val="Normal"/>
    <w:link w:val="QuotationChar"/>
    <w:qFormat/>
    <w:rsid w:val="002D05D5"/>
    <w:rPr>
      <w:i/>
    </w:rPr>
  </w:style>
  <w:style w:type="paragraph" w:customStyle="1" w:styleId="BlockQuote">
    <w:name w:val="Block Quote"/>
    <w:basedOn w:val="Normal"/>
    <w:next w:val="Normal"/>
    <w:link w:val="BlockQuoteChar"/>
    <w:qFormat/>
    <w:rsid w:val="002D05D5"/>
    <w:pPr>
      <w:ind w:left="284"/>
    </w:pPr>
    <w:rPr>
      <w:sz w:val="20"/>
      <w:szCs w:val="20"/>
    </w:rPr>
  </w:style>
  <w:style w:type="paragraph" w:styleId="Quote">
    <w:name w:val="Quote"/>
    <w:basedOn w:val="Normal"/>
    <w:next w:val="Normal"/>
    <w:link w:val="QuoteChar"/>
    <w:uiPriority w:val="29"/>
    <w:rsid w:val="006A43A5"/>
    <w:rPr>
      <w:i/>
      <w:iCs/>
    </w:rPr>
  </w:style>
  <w:style w:type="paragraph" w:customStyle="1" w:styleId="BoxedText">
    <w:name w:val="Boxed Text"/>
    <w:basedOn w:val="Normal"/>
    <w:link w:val="BoxedTextChar"/>
    <w:qFormat/>
    <w:rsid w:val="0038743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C8C0BA" w:themeFill="text2" w:themeFillTint="66"/>
    </w:pPr>
  </w:style>
  <w:style w:type="character" w:customStyle="1" w:styleId="BoxedTextChar">
    <w:name w:val="Boxed Text Char"/>
    <w:basedOn w:val="DefaultParagraphFont"/>
    <w:link w:val="BoxedText"/>
    <w:rsid w:val="00387432"/>
    <w:rPr>
      <w:rFonts w:ascii="Arial" w:hAnsi="Arial"/>
      <w:shd w:val="clear" w:color="auto" w:fill="C8C0BA" w:themeFill="text2" w:themeFillTint="66"/>
    </w:rPr>
  </w:style>
  <w:style w:type="paragraph" w:customStyle="1" w:styleId="ReportDate">
    <w:name w:val="Report Date"/>
    <w:basedOn w:val="ReportTitle"/>
    <w:link w:val="ReportDateChar"/>
    <w:qFormat/>
    <w:rsid w:val="002956ED"/>
    <w:pPr>
      <w:tabs>
        <w:tab w:val="center" w:pos="4598"/>
        <w:tab w:val="right" w:pos="9026"/>
      </w:tabs>
    </w:pPr>
    <w:rPr>
      <w:b w:val="0"/>
      <w:noProof/>
      <w:sz w:val="36"/>
      <w:szCs w:val="36"/>
      <w:lang w:eastAsia="en-AU"/>
    </w:rPr>
  </w:style>
  <w:style w:type="paragraph" w:customStyle="1" w:styleId="ReportSubtitle">
    <w:name w:val="Report Subtitle"/>
    <w:basedOn w:val="ReportTitle"/>
    <w:link w:val="ReportSubtitleChar"/>
    <w:qFormat/>
    <w:rsid w:val="002956ED"/>
    <w:pPr>
      <w:tabs>
        <w:tab w:val="center" w:pos="4598"/>
        <w:tab w:val="right" w:pos="9026"/>
      </w:tabs>
    </w:pPr>
    <w:rPr>
      <w:noProof/>
      <w:sz w:val="56"/>
      <w:szCs w:val="56"/>
      <w:lang w:eastAsia="en-AU"/>
    </w:rPr>
  </w:style>
  <w:style w:type="character" w:customStyle="1" w:styleId="ReportTitleChar">
    <w:name w:val="Report Title Char"/>
    <w:basedOn w:val="Heading1Char"/>
    <w:link w:val="ReportTitle"/>
    <w:rsid w:val="00FC3E6B"/>
    <w:rPr>
      <w:rFonts w:ascii="Arial" w:eastAsiaTheme="majorEastAsia" w:hAnsi="Arial" w:cs="Arial"/>
      <w:b/>
      <w:bCs w:val="0"/>
      <w:color w:val="70635A"/>
      <w:sz w:val="72"/>
      <w:szCs w:val="72"/>
    </w:rPr>
  </w:style>
  <w:style w:type="character" w:customStyle="1" w:styleId="ReportDateChar">
    <w:name w:val="Report Date Char"/>
    <w:basedOn w:val="ReportTitleChar"/>
    <w:link w:val="ReportDate"/>
    <w:rsid w:val="002956ED"/>
    <w:rPr>
      <w:rFonts w:ascii="Arial" w:eastAsiaTheme="majorEastAsia" w:hAnsi="Arial" w:cs="Arial"/>
      <w:b w:val="0"/>
      <w:bCs w:val="0"/>
      <w:noProof/>
      <w:color w:val="70635A"/>
      <w:sz w:val="36"/>
      <w:szCs w:val="36"/>
      <w:lang w:eastAsia="en-AU"/>
    </w:rPr>
  </w:style>
  <w:style w:type="character" w:customStyle="1" w:styleId="ReportSubtitleChar">
    <w:name w:val="Report Subtitle Char"/>
    <w:basedOn w:val="ReportTitleChar"/>
    <w:link w:val="ReportSubtitle"/>
    <w:rsid w:val="002956ED"/>
    <w:rPr>
      <w:rFonts w:ascii="Arial" w:eastAsiaTheme="majorEastAsia" w:hAnsi="Arial" w:cs="Arial"/>
      <w:b/>
      <w:bCs w:val="0"/>
      <w:noProof/>
      <w:color w:val="70635A"/>
      <w:sz w:val="56"/>
      <w:szCs w:val="56"/>
      <w:lang w:eastAsia="en-AU"/>
    </w:rPr>
  </w:style>
  <w:style w:type="paragraph" w:styleId="TOC2">
    <w:name w:val="toc 2"/>
    <w:basedOn w:val="Normal"/>
    <w:next w:val="Normal"/>
    <w:link w:val="TOC2Char"/>
    <w:uiPriority w:val="39"/>
    <w:unhideWhenUsed/>
    <w:qFormat/>
    <w:rsid w:val="001D222D"/>
    <w:pPr>
      <w:tabs>
        <w:tab w:val="left" w:pos="907"/>
        <w:tab w:val="left" w:leader="dot" w:pos="9072"/>
      </w:tabs>
      <w:ind w:left="284"/>
    </w:pPr>
    <w:rPr>
      <w:sz w:val="24"/>
    </w:rPr>
  </w:style>
  <w:style w:type="paragraph" w:styleId="TOC3">
    <w:name w:val="toc 3"/>
    <w:basedOn w:val="Normal"/>
    <w:next w:val="Normal"/>
    <w:link w:val="TOC3Char"/>
    <w:uiPriority w:val="39"/>
    <w:unhideWhenUsed/>
    <w:qFormat/>
    <w:rsid w:val="001974A9"/>
    <w:pPr>
      <w:tabs>
        <w:tab w:val="left" w:pos="1134"/>
        <w:tab w:val="left" w:leader="dot" w:pos="9072"/>
      </w:tabs>
      <w:ind w:left="567"/>
    </w:pPr>
  </w:style>
  <w:style w:type="numbering" w:customStyle="1" w:styleId="BulletedList">
    <w:name w:val="Bulleted List"/>
    <w:uiPriority w:val="99"/>
    <w:rsid w:val="006E0793"/>
    <w:pPr>
      <w:numPr>
        <w:numId w:val="4"/>
      </w:numPr>
    </w:pPr>
  </w:style>
  <w:style w:type="numbering" w:customStyle="1" w:styleId="RomanNumeralBulletedList">
    <w:name w:val="Roman Numeral Bulleted List"/>
    <w:uiPriority w:val="99"/>
    <w:rsid w:val="006E0793"/>
    <w:pPr>
      <w:numPr>
        <w:numId w:val="5"/>
      </w:numPr>
    </w:pPr>
  </w:style>
  <w:style w:type="character" w:styleId="Strong">
    <w:name w:val="Strong"/>
    <w:basedOn w:val="DefaultParagraphFont"/>
    <w:uiPriority w:val="22"/>
    <w:qFormat/>
    <w:rsid w:val="008235A5"/>
    <w:rPr>
      <w:rFonts w:ascii="Arial" w:hAnsi="Arial"/>
      <w:b/>
      <w:bCs/>
      <w:sz w:val="22"/>
    </w:rPr>
  </w:style>
  <w:style w:type="character" w:styleId="Emphasis">
    <w:name w:val="Emphasis"/>
    <w:aliases w:val="Quotation Style"/>
    <w:basedOn w:val="DefaultParagraphFont"/>
    <w:uiPriority w:val="20"/>
    <w:qFormat/>
    <w:rsid w:val="008235A5"/>
    <w:rPr>
      <w:rFonts w:ascii="Arial" w:hAnsi="Arial"/>
      <w:i/>
      <w:iCs/>
      <w:sz w:val="22"/>
    </w:rPr>
  </w:style>
  <w:style w:type="paragraph" w:styleId="EndnoteText">
    <w:name w:val="endnote text"/>
    <w:basedOn w:val="Normal"/>
    <w:link w:val="EndnoteTextChar"/>
    <w:uiPriority w:val="99"/>
    <w:semiHidden/>
    <w:unhideWhenUsed/>
    <w:rsid w:val="00175E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E60"/>
    <w:rPr>
      <w:rFonts w:ascii="Arial" w:hAnsi="Arial"/>
      <w:sz w:val="20"/>
      <w:szCs w:val="20"/>
    </w:rPr>
  </w:style>
  <w:style w:type="character" w:styleId="EndnoteReference">
    <w:name w:val="endnote reference"/>
    <w:basedOn w:val="DefaultParagraphFont"/>
    <w:uiPriority w:val="99"/>
    <w:semiHidden/>
    <w:unhideWhenUsed/>
    <w:rsid w:val="00175E60"/>
    <w:rPr>
      <w:vertAlign w:val="superscript"/>
    </w:rPr>
  </w:style>
  <w:style w:type="character" w:styleId="FootnoteReference">
    <w:name w:val="footnote reference"/>
    <w:basedOn w:val="DefaultParagraphFont"/>
    <w:semiHidden/>
    <w:unhideWhenUsed/>
    <w:rsid w:val="00F412C9"/>
    <w:rPr>
      <w:color w:val="000000" w:themeColor="accent5"/>
      <w:vertAlign w:val="superscript"/>
    </w:rPr>
  </w:style>
  <w:style w:type="character" w:customStyle="1" w:styleId="ConfidentialText">
    <w:name w:val="Confidential Text"/>
    <w:basedOn w:val="DefaultParagraphFont"/>
    <w:uiPriority w:val="1"/>
    <w:qFormat/>
    <w:rsid w:val="006550E6"/>
    <w:rPr>
      <w:rFonts w:ascii="Arial" w:hAnsi="Arial"/>
      <w:sz w:val="22"/>
      <w:bdr w:val="none" w:sz="0" w:space="0" w:color="auto"/>
      <w:shd w:val="clear" w:color="auto" w:fill="FFFF00"/>
    </w:rPr>
  </w:style>
  <w:style w:type="character" w:customStyle="1" w:styleId="QuoteChar">
    <w:name w:val="Quote Char"/>
    <w:basedOn w:val="DefaultParagraphFont"/>
    <w:link w:val="Quote"/>
    <w:uiPriority w:val="29"/>
    <w:rsid w:val="006A43A5"/>
    <w:rPr>
      <w:rFonts w:ascii="Arial" w:hAnsi="Arial"/>
      <w:i/>
      <w:iCs/>
    </w:rPr>
  </w:style>
  <w:style w:type="character" w:styleId="IntenseEmphasis">
    <w:name w:val="Intense Emphasis"/>
    <w:basedOn w:val="DefaultParagraphFont"/>
    <w:uiPriority w:val="21"/>
    <w:qFormat/>
    <w:rsid w:val="009225C2"/>
    <w:rPr>
      <w:rFonts w:ascii="Arial" w:hAnsi="Arial"/>
      <w:b/>
      <w:bCs/>
      <w:i/>
      <w:iCs/>
      <w:color w:val="000000"/>
      <w:sz w:val="22"/>
    </w:rPr>
  </w:style>
  <w:style w:type="character" w:styleId="PlaceholderText">
    <w:name w:val="Placeholder Text"/>
    <w:basedOn w:val="DefaultParagraphFont"/>
    <w:uiPriority w:val="99"/>
    <w:semiHidden/>
    <w:rsid w:val="00847401"/>
    <w:rPr>
      <w:color w:val="808080"/>
    </w:rPr>
  </w:style>
  <w:style w:type="character" w:customStyle="1" w:styleId="BlockQuoteChar">
    <w:name w:val="Block Quote Char"/>
    <w:basedOn w:val="DefaultParagraphFont"/>
    <w:link w:val="BlockQuote"/>
    <w:rsid w:val="00ED2BFC"/>
    <w:rPr>
      <w:rFonts w:ascii="Arial" w:hAnsi="Arial"/>
      <w:sz w:val="20"/>
      <w:szCs w:val="20"/>
    </w:rPr>
  </w:style>
  <w:style w:type="character" w:customStyle="1" w:styleId="ChapterTitleChar">
    <w:name w:val="Chapter Title Char"/>
    <w:basedOn w:val="Heading1Char"/>
    <w:link w:val="ChapterTitle"/>
    <w:rsid w:val="00B2492A"/>
    <w:rPr>
      <w:rFonts w:ascii="Arial" w:eastAsiaTheme="majorEastAsia" w:hAnsi="Arial" w:cs="Arial"/>
      <w:b/>
      <w:bCs/>
      <w:color w:val="070692"/>
      <w:sz w:val="52"/>
      <w:szCs w:val="36"/>
    </w:rPr>
  </w:style>
  <w:style w:type="character" w:customStyle="1" w:styleId="CopyrightChar">
    <w:name w:val="Copyright Char"/>
    <w:basedOn w:val="DefaultParagraphFont"/>
    <w:link w:val="Copyright"/>
    <w:rsid w:val="002D4DAB"/>
    <w:rPr>
      <w:rFonts w:ascii="Arial" w:hAnsi="Arial"/>
      <w:sz w:val="20"/>
      <w:szCs w:val="20"/>
    </w:rPr>
  </w:style>
  <w:style w:type="character" w:customStyle="1" w:styleId="QuotationChar">
    <w:name w:val="Quotation Char"/>
    <w:basedOn w:val="DefaultParagraphFont"/>
    <w:link w:val="Quotation"/>
    <w:rsid w:val="00B2492A"/>
    <w:rPr>
      <w:rFonts w:ascii="Arial" w:hAnsi="Arial"/>
      <w:i/>
    </w:rPr>
  </w:style>
  <w:style w:type="character" w:customStyle="1" w:styleId="TOCHeadingChar">
    <w:name w:val="TOC Heading Char"/>
    <w:aliases w:val="Table of Contents (TOC) Heading Char"/>
    <w:basedOn w:val="DefaultParagraphFont"/>
    <w:link w:val="TOCHeading"/>
    <w:uiPriority w:val="39"/>
    <w:rsid w:val="00B46283"/>
    <w:rPr>
      <w:rFonts w:ascii="Arial" w:hAnsi="Arial" w:cstheme="majorBidi"/>
      <w:b/>
      <w:color w:val="076A92"/>
      <w:sz w:val="36"/>
      <w:szCs w:val="28"/>
    </w:rPr>
  </w:style>
  <w:style w:type="character" w:customStyle="1" w:styleId="TOC1Char">
    <w:name w:val="TOC 1 Char"/>
    <w:basedOn w:val="DefaultParagraphFont"/>
    <w:link w:val="TOC1"/>
    <w:uiPriority w:val="39"/>
    <w:rsid w:val="001D222D"/>
    <w:rPr>
      <w:rFonts w:ascii="Arial" w:hAnsi="Arial"/>
      <w:b/>
      <w:color w:val="70635A"/>
      <w:sz w:val="24"/>
    </w:rPr>
  </w:style>
  <w:style w:type="character" w:customStyle="1" w:styleId="TOC2Char">
    <w:name w:val="TOC 2 Char"/>
    <w:basedOn w:val="DefaultParagraphFont"/>
    <w:link w:val="TOC2"/>
    <w:uiPriority w:val="39"/>
    <w:rsid w:val="001D222D"/>
    <w:rPr>
      <w:rFonts w:ascii="Arial" w:hAnsi="Arial"/>
      <w:sz w:val="24"/>
    </w:rPr>
  </w:style>
  <w:style w:type="character" w:customStyle="1" w:styleId="TOC3Char">
    <w:name w:val="TOC 3 Char"/>
    <w:basedOn w:val="DefaultParagraphFont"/>
    <w:link w:val="TOC3"/>
    <w:uiPriority w:val="39"/>
    <w:rsid w:val="001974A9"/>
    <w:rPr>
      <w:rFonts w:ascii="Arial" w:hAnsi="Arial"/>
    </w:rPr>
  </w:style>
  <w:style w:type="character" w:styleId="CommentReference">
    <w:name w:val="annotation reference"/>
    <w:basedOn w:val="DefaultParagraphFont"/>
    <w:uiPriority w:val="99"/>
    <w:semiHidden/>
    <w:unhideWhenUsed/>
    <w:rsid w:val="008E75F6"/>
    <w:rPr>
      <w:sz w:val="16"/>
      <w:szCs w:val="16"/>
    </w:rPr>
  </w:style>
  <w:style w:type="paragraph" w:styleId="CommentText">
    <w:name w:val="annotation text"/>
    <w:basedOn w:val="Normal"/>
    <w:link w:val="CommentTextChar"/>
    <w:uiPriority w:val="99"/>
    <w:semiHidden/>
    <w:unhideWhenUsed/>
    <w:rsid w:val="008E75F6"/>
    <w:pPr>
      <w:spacing w:line="240" w:lineRule="auto"/>
    </w:pPr>
    <w:rPr>
      <w:sz w:val="20"/>
      <w:szCs w:val="20"/>
    </w:rPr>
  </w:style>
  <w:style w:type="character" w:customStyle="1" w:styleId="CommentTextChar">
    <w:name w:val="Comment Text Char"/>
    <w:basedOn w:val="DefaultParagraphFont"/>
    <w:link w:val="CommentText"/>
    <w:uiPriority w:val="99"/>
    <w:semiHidden/>
    <w:rsid w:val="008E75F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E75F6"/>
    <w:rPr>
      <w:b/>
      <w:bCs/>
    </w:rPr>
  </w:style>
  <w:style w:type="character" w:customStyle="1" w:styleId="CommentSubjectChar">
    <w:name w:val="Comment Subject Char"/>
    <w:basedOn w:val="CommentTextChar"/>
    <w:link w:val="CommentSubject"/>
    <w:uiPriority w:val="99"/>
    <w:semiHidden/>
    <w:rsid w:val="008E75F6"/>
    <w:rPr>
      <w:rFonts w:ascii="Arial" w:hAnsi="Arial"/>
      <w:b/>
      <w:bCs/>
      <w:sz w:val="20"/>
      <w:szCs w:val="20"/>
    </w:rPr>
  </w:style>
  <w:style w:type="paragraph" w:customStyle="1" w:styleId="AERbodytext">
    <w:name w:val="AER body text"/>
    <w:link w:val="AERbodytextChar"/>
    <w:qFormat/>
    <w:rsid w:val="00AB31C2"/>
    <w:pPr>
      <w:numPr>
        <w:numId w:val="40"/>
      </w:numPr>
      <w:spacing w:before="0" w:after="240" w:line="288" w:lineRule="auto"/>
      <w:jc w:val="both"/>
    </w:pPr>
    <w:rPr>
      <w:rFonts w:ascii="Gautami" w:eastAsia="Times New Roman" w:hAnsi="Gautami" w:cs="Times New Roman"/>
      <w:sz w:val="20"/>
      <w:szCs w:val="24"/>
    </w:rPr>
  </w:style>
  <w:style w:type="paragraph" w:customStyle="1" w:styleId="AERnumberedlistfirststyle">
    <w:name w:val="AER numbered list (first style)"/>
    <w:basedOn w:val="AERbodytext"/>
    <w:qFormat/>
    <w:rsid w:val="00AB31C2"/>
    <w:pPr>
      <w:numPr>
        <w:ilvl w:val="1"/>
      </w:numPr>
      <w:tabs>
        <w:tab w:val="clear" w:pos="357"/>
      </w:tabs>
      <w:spacing w:after="200"/>
      <w:ind w:left="720" w:hanging="380"/>
    </w:pPr>
  </w:style>
  <w:style w:type="paragraph" w:customStyle="1" w:styleId="AERnumberedlistsecondstyle">
    <w:name w:val="AER numbered list (second style)"/>
    <w:basedOn w:val="AERnumberedlistfirststyle"/>
    <w:qFormat/>
    <w:rsid w:val="00AB31C2"/>
    <w:pPr>
      <w:numPr>
        <w:ilvl w:val="2"/>
      </w:numPr>
      <w:tabs>
        <w:tab w:val="clear" w:pos="720"/>
      </w:tabs>
      <w:ind w:left="1077" w:hanging="357"/>
    </w:pPr>
  </w:style>
  <w:style w:type="paragraph" w:customStyle="1" w:styleId="AERnumberedlistthirdstyle">
    <w:name w:val="AER numbered list (third style)"/>
    <w:basedOn w:val="AERnumberedlistsecondstyle"/>
    <w:qFormat/>
    <w:rsid w:val="00AB31C2"/>
    <w:pPr>
      <w:numPr>
        <w:ilvl w:val="3"/>
      </w:numPr>
      <w:tabs>
        <w:tab w:val="clear" w:pos="1077"/>
      </w:tabs>
      <w:ind w:left="1440" w:hanging="363"/>
    </w:pPr>
  </w:style>
  <w:style w:type="paragraph" w:customStyle="1" w:styleId="AERtablesource">
    <w:name w:val="AER table source"/>
    <w:next w:val="AERbodytext"/>
    <w:qFormat/>
    <w:rsid w:val="00AB31C2"/>
    <w:pPr>
      <w:tabs>
        <w:tab w:val="left" w:pos="794"/>
      </w:tabs>
      <w:spacing w:before="40" w:after="240" w:line="240" w:lineRule="auto"/>
      <w:ind w:left="794" w:hanging="794"/>
      <w:contextualSpacing/>
      <w:jc w:val="both"/>
    </w:pPr>
    <w:rPr>
      <w:rFonts w:ascii="Gautami" w:eastAsia="Times New Roman" w:hAnsi="Gautami" w:cs="Times New Roman"/>
      <w:sz w:val="16"/>
      <w:szCs w:val="24"/>
    </w:rPr>
  </w:style>
  <w:style w:type="table" w:customStyle="1" w:styleId="AERtable-text0">
    <w:name w:val="AER table - text"/>
    <w:basedOn w:val="TableNormal"/>
    <w:uiPriority w:val="99"/>
    <w:rsid w:val="00AB31C2"/>
    <w:pPr>
      <w:spacing w:after="80" w:line="240" w:lineRule="auto"/>
    </w:pPr>
    <w:rPr>
      <w:rFonts w:ascii="Gautami" w:eastAsia="Calibri" w:hAnsi="Gautam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AB31C2"/>
    <w:pPr>
      <w:spacing w:before="80" w:line="288" w:lineRule="auto"/>
    </w:pPr>
    <w:rPr>
      <w:rFonts w:ascii="Gautami" w:eastAsia="Times New Roman" w:hAnsi="Gautami" w:cs="Times New Roman"/>
      <w:sz w:val="16"/>
      <w:szCs w:val="24"/>
    </w:rPr>
  </w:style>
  <w:style w:type="character" w:customStyle="1" w:styleId="AERtextbold">
    <w:name w:val="AER text bold"/>
    <w:qFormat/>
    <w:rsid w:val="00AB31C2"/>
    <w:rPr>
      <w:b/>
    </w:rPr>
  </w:style>
  <w:style w:type="numbering" w:customStyle="1" w:styleId="AERnumberedlist">
    <w:name w:val="AER numbered list"/>
    <w:uiPriority w:val="99"/>
    <w:rsid w:val="00AB31C2"/>
    <w:pPr>
      <w:numPr>
        <w:numId w:val="40"/>
      </w:numPr>
    </w:pPr>
  </w:style>
  <w:style w:type="paragraph" w:customStyle="1" w:styleId="AERnumberedlist2first">
    <w:name w:val="AER numbered list 2 first"/>
    <w:basedOn w:val="AERbodytext"/>
    <w:qFormat/>
    <w:rsid w:val="00AB31C2"/>
    <w:pPr>
      <w:numPr>
        <w:ilvl w:val="4"/>
      </w:numPr>
      <w:tabs>
        <w:tab w:val="clear" w:pos="357"/>
      </w:tabs>
      <w:ind w:left="1797"/>
    </w:pPr>
  </w:style>
  <w:style w:type="paragraph" w:customStyle="1" w:styleId="AERnumberedlist2second">
    <w:name w:val="AER numbered list 2 second"/>
    <w:basedOn w:val="AERnumberedlist2first"/>
    <w:qFormat/>
    <w:rsid w:val="00AB31C2"/>
    <w:pPr>
      <w:numPr>
        <w:ilvl w:val="5"/>
      </w:numPr>
      <w:tabs>
        <w:tab w:val="clear" w:pos="720"/>
      </w:tabs>
      <w:ind w:left="2155" w:hanging="358"/>
    </w:pPr>
  </w:style>
  <w:style w:type="paragraph" w:customStyle="1" w:styleId="AERnumberedlist2third">
    <w:name w:val="AER numbered list 2 third"/>
    <w:basedOn w:val="AERnumberedlist2second"/>
    <w:qFormat/>
    <w:rsid w:val="00AB31C2"/>
    <w:pPr>
      <w:numPr>
        <w:ilvl w:val="6"/>
      </w:numPr>
      <w:tabs>
        <w:tab w:val="clear" w:pos="1077"/>
      </w:tabs>
      <w:ind w:left="720" w:firstLine="0"/>
    </w:pPr>
  </w:style>
  <w:style w:type="character" w:customStyle="1" w:styleId="AERbodytextChar">
    <w:name w:val="AER body text Char"/>
    <w:basedOn w:val="DefaultParagraphFont"/>
    <w:link w:val="AERbodytext"/>
    <w:rsid w:val="00AB31C2"/>
    <w:rPr>
      <w:rFonts w:ascii="Gautami" w:eastAsia="Times New Roman" w:hAnsi="Gautami"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074350">
      <w:bodyDiv w:val="1"/>
      <w:marLeft w:val="0"/>
      <w:marRight w:val="0"/>
      <w:marTop w:val="0"/>
      <w:marBottom w:val="0"/>
      <w:divBdr>
        <w:top w:val="none" w:sz="0" w:space="0" w:color="auto"/>
        <w:left w:val="none" w:sz="0" w:space="0" w:color="auto"/>
        <w:bottom w:val="none" w:sz="0" w:space="0" w:color="auto"/>
        <w:right w:val="none" w:sz="0" w:space="0" w:color="auto"/>
      </w:divBdr>
    </w:div>
    <w:div w:id="886792527">
      <w:bodyDiv w:val="1"/>
      <w:marLeft w:val="0"/>
      <w:marRight w:val="0"/>
      <w:marTop w:val="0"/>
      <w:marBottom w:val="0"/>
      <w:divBdr>
        <w:top w:val="none" w:sz="0" w:space="0" w:color="auto"/>
        <w:left w:val="none" w:sz="0" w:space="0" w:color="auto"/>
        <w:bottom w:val="none" w:sz="0" w:space="0" w:color="auto"/>
        <w:right w:val="none" w:sz="0" w:space="0" w:color="auto"/>
      </w:divBdr>
    </w:div>
    <w:div w:id="914783205">
      <w:bodyDiv w:val="1"/>
      <w:marLeft w:val="0"/>
      <w:marRight w:val="0"/>
      <w:marTop w:val="0"/>
      <w:marBottom w:val="0"/>
      <w:divBdr>
        <w:top w:val="none" w:sz="0" w:space="0" w:color="auto"/>
        <w:left w:val="none" w:sz="0" w:space="0" w:color="auto"/>
        <w:bottom w:val="none" w:sz="0" w:space="0" w:color="auto"/>
        <w:right w:val="none" w:sz="0" w:space="0" w:color="auto"/>
      </w:divBdr>
    </w:div>
    <w:div w:id="973411092">
      <w:bodyDiv w:val="1"/>
      <w:marLeft w:val="0"/>
      <w:marRight w:val="0"/>
      <w:marTop w:val="0"/>
      <w:marBottom w:val="0"/>
      <w:divBdr>
        <w:top w:val="none" w:sz="0" w:space="0" w:color="auto"/>
        <w:left w:val="none" w:sz="0" w:space="0" w:color="auto"/>
        <w:bottom w:val="none" w:sz="0" w:space="0" w:color="auto"/>
        <w:right w:val="none" w:sz="0" w:space="0" w:color="auto"/>
      </w:divBdr>
    </w:div>
    <w:div w:id="13105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erinquiry@aer.gov.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ERInquiry@aer.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aer.gov.au/node/27682"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er.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er.gov.au/node/28414" TargetMode="External"/><Relationship Id="rId2" Type="http://schemas.openxmlformats.org/officeDocument/2006/relationships/hyperlink" Target="http://www.aer.gov.au/node/11037" TargetMode="External"/><Relationship Id="rId1" Type="http://schemas.openxmlformats.org/officeDocument/2006/relationships/hyperlink" Target="http://www.aer.gov.au/node/11037" TargetMode="External"/></Relationships>
</file>

<file path=word/theme/theme1.xml><?xml version="1.0" encoding="utf-8"?>
<a:theme xmlns:a="http://schemas.openxmlformats.org/drawingml/2006/main" name="Office Theme">
  <a:themeElements>
    <a:clrScheme name="AER">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76A92"/>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740BD-7E5F-466D-871A-46C97FCFB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9651BECC</Template>
  <TotalTime>0</TotalTime>
  <Pages>9</Pages>
  <Words>2141</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Notice of draft instrument: amendments to Retail Exempt Selling guideline</vt:lpstr>
    </vt:vector>
  </TitlesOfParts>
  <LinksUpToDate>false</LinksUpToDate>
  <CharactersWithSpaces>14319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draft instrument: amendments to Retail Exempt Selling guideline</dc:title>
  <dc:creator/>
  <cp:lastModifiedBy/>
  <cp:revision>1</cp:revision>
  <dcterms:created xsi:type="dcterms:W3CDTF">2014-12-22T01:32:00Z</dcterms:created>
  <dcterms:modified xsi:type="dcterms:W3CDTF">2014-12-22T01:34:00Z</dcterms:modified>
</cp:coreProperties>
</file>