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A0BA6" w:rsidRPr="00D2244D" w:rsidRDefault="00166F28" w:rsidP="006E0793">
          <w:pPr>
            <w:pStyle w:val="ReportTitle"/>
            <w:spacing w:before="4800"/>
            <w:ind w:left="360"/>
            <w:rPr>
              <w:noProof/>
              <w:lang w:eastAsia="en-AU"/>
            </w:rPr>
          </w:pPr>
          <w:r w:rsidRPr="00D2244D">
            <w:rPr>
              <w:noProof/>
              <w:lang w:eastAsia="en-AU"/>
            </w:rPr>
            <w:drawing>
              <wp:anchor distT="0" distB="0" distL="114300" distR="114300" simplePos="0" relativeHeight="251660288" behindDoc="1" locked="0" layoutInCell="1" allowOverlap="1" wp14:anchorId="067CF064" wp14:editId="021EE08F">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A417E0" w:rsidRPr="00D2244D">
            <w:rPr>
              <w:noProof/>
              <w:lang w:eastAsia="en-AU"/>
            </w:rPr>
            <w:t>Notice of instrument:</w:t>
          </w:r>
        </w:p>
        <w:p w:rsidR="002956ED" w:rsidRDefault="002B2A4B" w:rsidP="001822DD">
          <w:pPr>
            <w:pStyle w:val="ReportTitle"/>
            <w:tabs>
              <w:tab w:val="center" w:pos="4598"/>
              <w:tab w:val="right" w:pos="9026"/>
            </w:tabs>
            <w:spacing w:before="240"/>
            <w:rPr>
              <w:noProof/>
              <w:lang w:eastAsia="en-AU"/>
            </w:rPr>
          </w:pPr>
          <w:r>
            <w:rPr>
              <w:noProof/>
              <w:lang w:eastAsia="en-AU"/>
            </w:rPr>
            <w:t xml:space="preserve">Revised </w:t>
          </w:r>
          <w:r w:rsidR="00FA65AE">
            <w:rPr>
              <w:noProof/>
              <w:lang w:eastAsia="en-AU"/>
            </w:rPr>
            <w:t>AER</w:t>
          </w:r>
          <w:r w:rsidR="00A417E0">
            <w:rPr>
              <w:noProof/>
              <w:lang w:eastAsia="en-AU"/>
            </w:rPr>
            <w:t xml:space="preserve"> </w:t>
          </w:r>
          <w:r w:rsidR="00FA65AE">
            <w:rPr>
              <w:noProof/>
              <w:lang w:eastAsia="en-AU"/>
            </w:rPr>
            <w:t>(</w:t>
          </w:r>
          <w:r w:rsidR="00346199">
            <w:rPr>
              <w:noProof/>
              <w:lang w:eastAsia="en-AU"/>
            </w:rPr>
            <w:t>Retail</w:t>
          </w:r>
          <w:r w:rsidR="00FA65AE">
            <w:rPr>
              <w:noProof/>
              <w:lang w:eastAsia="en-AU"/>
            </w:rPr>
            <w:t>)</w:t>
          </w:r>
          <w:r w:rsidR="00346199">
            <w:rPr>
              <w:noProof/>
              <w:lang w:eastAsia="en-AU"/>
            </w:rPr>
            <w:t xml:space="preserve"> Exempt Selling Guideline</w:t>
          </w:r>
        </w:p>
        <w:p w:rsidR="002956ED" w:rsidRPr="002956ED" w:rsidRDefault="00346199" w:rsidP="00D2244D">
          <w:pPr>
            <w:pStyle w:val="ReportSubtitle"/>
            <w:numPr>
              <w:ilvl w:val="0"/>
              <w:numId w:val="42"/>
            </w:numPr>
            <w:spacing w:before="240"/>
          </w:pPr>
          <w:r>
            <w:t>Version 3</w:t>
          </w:r>
        </w:p>
        <w:p w:rsidR="002A0BA6" w:rsidRPr="002956ED" w:rsidRDefault="00FA65AE" w:rsidP="0045491E">
          <w:pPr>
            <w:pStyle w:val="ReportDate"/>
            <w:spacing w:before="360" w:after="6240"/>
            <w:ind w:left="360"/>
            <w:rPr>
              <w:b/>
            </w:rPr>
          </w:pPr>
          <w:r>
            <w:t>April 2015</w:t>
          </w:r>
        </w:p>
        <w:p w:rsidR="00847401" w:rsidRDefault="00847401" w:rsidP="002956ED">
          <w:pPr>
            <w:pStyle w:val="ReportTitle"/>
            <w:sectPr w:rsidR="00847401" w:rsidSect="00C95315">
              <w:footerReference w:type="default" r:id="rId9"/>
              <w:footerReference w:type="first" r:id="rId10"/>
              <w:pgSz w:w="11906" w:h="16838"/>
              <w:pgMar w:top="1440" w:right="1440" w:bottom="1440" w:left="1440" w:header="708" w:footer="708" w:gutter="0"/>
              <w:pgNumType w:start="0"/>
              <w:cols w:space="708"/>
              <w:titlePg/>
              <w:docGrid w:linePitch="360"/>
            </w:sectPr>
          </w:pPr>
        </w:p>
        <w:p w:rsidR="00EF456F" w:rsidRDefault="0086056E"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5C3C73">
      <w:pPr>
        <w:pStyle w:val="Copyright"/>
        <w:numPr>
          <w:ilvl w:val="0"/>
          <w:numId w:val="12"/>
        </w:numPr>
        <w:spacing w:after="240"/>
      </w:pPr>
      <w:r>
        <w:t>the Commonwealth Coat of Arms</w:t>
      </w:r>
    </w:p>
    <w:p w:rsidR="005C3C73" w:rsidRDefault="005C3C73" w:rsidP="005C3C73">
      <w:pPr>
        <w:pStyle w:val="Copyright"/>
        <w:numPr>
          <w:ilvl w:val="0"/>
          <w:numId w:val="12"/>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proofErr w:type="gramStart"/>
      <w:r>
        <w:t>Melbourne  Vic</w:t>
      </w:r>
      <w:proofErr w:type="gramEnd"/>
      <w:r>
        <w:t xml:space="preserve">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1" w:history="1">
        <w:r w:rsidRPr="00D64888">
          <w:rPr>
            <w:rStyle w:val="Hyperlink"/>
          </w:rPr>
          <w:t>AERInquiry@aer.gov.au</w:t>
        </w:r>
      </w:hyperlink>
    </w:p>
    <w:p w:rsidR="00006B9E" w:rsidRDefault="00006B9E" w:rsidP="00006B9E">
      <w:pPr>
        <w:pStyle w:val="Copyright"/>
      </w:pPr>
      <w:r>
        <w:t xml:space="preserve">AER Reference: </w:t>
      </w:r>
      <w:proofErr w:type="spellStart"/>
      <w:r>
        <w:t>Trackit</w:t>
      </w:r>
      <w:proofErr w:type="spellEnd"/>
      <w:r>
        <w:t>/Doris</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936"/>
        <w:gridCol w:w="2693"/>
        <w:gridCol w:w="2613"/>
      </w:tblGrid>
      <w:tr w:rsidR="005875FD" w:rsidTr="008B52F9">
        <w:trPr>
          <w:cnfStyle w:val="100000000000" w:firstRow="1" w:lastRow="0" w:firstColumn="0" w:lastColumn="0" w:oddVBand="0" w:evenVBand="0" w:oddHBand="0" w:evenHBand="0" w:firstRowFirstColumn="0" w:firstRowLastColumn="0" w:lastRowFirstColumn="0" w:lastRowLastColumn="0"/>
        </w:trPr>
        <w:tc>
          <w:tcPr>
            <w:tcW w:w="3936" w:type="dxa"/>
          </w:tcPr>
          <w:p w:rsidR="005875FD" w:rsidRDefault="005875FD">
            <w:pPr>
              <w:spacing w:before="0" w:after="200"/>
            </w:pPr>
            <w:r>
              <w:t>Version</w:t>
            </w:r>
          </w:p>
        </w:tc>
        <w:tc>
          <w:tcPr>
            <w:tcW w:w="2693" w:type="dxa"/>
          </w:tcPr>
          <w:p w:rsidR="005875FD" w:rsidRDefault="005875FD">
            <w:pPr>
              <w:spacing w:before="0" w:after="200"/>
            </w:pPr>
            <w:r>
              <w:t>Date</w:t>
            </w:r>
          </w:p>
        </w:tc>
        <w:tc>
          <w:tcPr>
            <w:tcW w:w="2613" w:type="dxa"/>
          </w:tcPr>
          <w:p w:rsidR="005875FD" w:rsidRDefault="005875FD">
            <w:pPr>
              <w:spacing w:before="0" w:after="200"/>
            </w:pPr>
            <w:r>
              <w:t>Pages</w:t>
            </w:r>
          </w:p>
        </w:tc>
      </w:tr>
      <w:tr w:rsidR="005875FD" w:rsidTr="008B52F9">
        <w:tc>
          <w:tcPr>
            <w:tcW w:w="3936" w:type="dxa"/>
          </w:tcPr>
          <w:p w:rsidR="005875FD" w:rsidRDefault="00346199" w:rsidP="00DC015B">
            <w:pPr>
              <w:spacing w:before="0" w:after="200"/>
            </w:pPr>
            <w:r>
              <w:t xml:space="preserve">1.0 </w:t>
            </w:r>
          </w:p>
        </w:tc>
        <w:tc>
          <w:tcPr>
            <w:tcW w:w="2693" w:type="dxa"/>
          </w:tcPr>
          <w:p w:rsidR="005875FD" w:rsidRDefault="00FA65AE">
            <w:pPr>
              <w:spacing w:before="0" w:after="200"/>
            </w:pPr>
            <w:r>
              <w:t>April 2015</w:t>
            </w:r>
          </w:p>
        </w:tc>
        <w:tc>
          <w:tcPr>
            <w:tcW w:w="2613" w:type="dxa"/>
          </w:tcPr>
          <w:p w:rsidR="005875FD" w:rsidRDefault="002B2A4B">
            <w:pPr>
              <w:spacing w:before="0" w:after="200"/>
            </w:pPr>
            <w:r>
              <w:t>7</w:t>
            </w:r>
          </w:p>
        </w:tc>
      </w:tr>
    </w:tbl>
    <w:bookmarkStart w:id="1" w:name="_Toc360530357" w:displacedByCustomXml="next"/>
    <w:sdt>
      <w:sdtPr>
        <w:rPr>
          <w:rFonts w:cstheme="minorBidi"/>
          <w:b w:val="0"/>
          <w:color w:val="auto"/>
          <w:sz w:val="22"/>
          <w:szCs w:val="22"/>
        </w:rPr>
        <w:id w:val="410899039"/>
        <w:docPartObj>
          <w:docPartGallery w:val="Table of Contents"/>
          <w:docPartUnique/>
        </w:docPartObj>
      </w:sdtPr>
      <w:sdtEndPr>
        <w:rPr>
          <w:bCs/>
          <w:noProof/>
        </w:rPr>
      </w:sdtEndPr>
      <w:sdtContent>
        <w:p w:rsidR="00B6465D" w:rsidRDefault="00B6465D">
          <w:pPr>
            <w:pStyle w:val="TOCHeading"/>
          </w:pPr>
          <w:r>
            <w:t>Table of Contents</w:t>
          </w:r>
        </w:p>
        <w:p w:rsidR="00D96D02" w:rsidRDefault="00B6465D">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16439168" w:history="1">
            <w:r w:rsidR="00D96D02" w:rsidRPr="00E36C2E">
              <w:rPr>
                <w:rStyle w:val="Hyperlink"/>
                <w:noProof/>
              </w:rPr>
              <w:t>Shortened forms</w:t>
            </w:r>
            <w:r w:rsidR="00D96D02">
              <w:rPr>
                <w:noProof/>
                <w:webHidden/>
              </w:rPr>
              <w:tab/>
            </w:r>
            <w:r w:rsidR="00D96D02">
              <w:rPr>
                <w:noProof/>
                <w:webHidden/>
              </w:rPr>
              <w:fldChar w:fldCharType="begin"/>
            </w:r>
            <w:r w:rsidR="00D96D02">
              <w:rPr>
                <w:noProof/>
                <w:webHidden/>
              </w:rPr>
              <w:instrText xml:space="preserve"> PAGEREF _Toc416439168 \h </w:instrText>
            </w:r>
            <w:r w:rsidR="00D96D02">
              <w:rPr>
                <w:noProof/>
                <w:webHidden/>
              </w:rPr>
            </w:r>
            <w:r w:rsidR="00D96D02">
              <w:rPr>
                <w:noProof/>
                <w:webHidden/>
              </w:rPr>
              <w:fldChar w:fldCharType="separate"/>
            </w:r>
            <w:r w:rsidR="00B62E00">
              <w:rPr>
                <w:noProof/>
                <w:webHidden/>
              </w:rPr>
              <w:t>2</w:t>
            </w:r>
            <w:r w:rsidR="00D96D02">
              <w:rPr>
                <w:noProof/>
                <w:webHidden/>
              </w:rPr>
              <w:fldChar w:fldCharType="end"/>
            </w:r>
          </w:hyperlink>
        </w:p>
        <w:p w:rsidR="00D96D02" w:rsidRDefault="0086056E">
          <w:pPr>
            <w:pStyle w:val="TOC1"/>
            <w:rPr>
              <w:rFonts w:asciiTheme="minorHAnsi" w:eastAsiaTheme="minorEastAsia" w:hAnsiTheme="minorHAnsi"/>
              <w:b w:val="0"/>
              <w:noProof/>
              <w:color w:val="auto"/>
              <w:sz w:val="22"/>
              <w:lang w:eastAsia="en-AU"/>
            </w:rPr>
          </w:pPr>
          <w:hyperlink w:anchor="_Toc416439169" w:history="1">
            <w:r w:rsidR="00D96D02" w:rsidRPr="00E36C2E">
              <w:rPr>
                <w:rStyle w:val="Hyperlink"/>
                <w:noProof/>
              </w:rPr>
              <w:t>Nature and authority</w:t>
            </w:r>
            <w:r w:rsidR="00D96D02">
              <w:rPr>
                <w:noProof/>
                <w:webHidden/>
              </w:rPr>
              <w:tab/>
            </w:r>
            <w:r w:rsidR="00D96D02">
              <w:rPr>
                <w:noProof/>
                <w:webHidden/>
              </w:rPr>
              <w:fldChar w:fldCharType="begin"/>
            </w:r>
            <w:r w:rsidR="00D96D02">
              <w:rPr>
                <w:noProof/>
                <w:webHidden/>
              </w:rPr>
              <w:instrText xml:space="preserve"> PAGEREF _Toc416439169 \h </w:instrText>
            </w:r>
            <w:r w:rsidR="00D96D02">
              <w:rPr>
                <w:noProof/>
                <w:webHidden/>
              </w:rPr>
            </w:r>
            <w:r w:rsidR="00D96D02">
              <w:rPr>
                <w:noProof/>
                <w:webHidden/>
              </w:rPr>
              <w:fldChar w:fldCharType="separate"/>
            </w:r>
            <w:r w:rsidR="00B62E00">
              <w:rPr>
                <w:noProof/>
                <w:webHidden/>
              </w:rPr>
              <w:t>3</w:t>
            </w:r>
            <w:r w:rsidR="00D96D02">
              <w:rPr>
                <w:noProof/>
                <w:webHidden/>
              </w:rPr>
              <w:fldChar w:fldCharType="end"/>
            </w:r>
          </w:hyperlink>
        </w:p>
        <w:p w:rsidR="00D96D02" w:rsidRDefault="0086056E">
          <w:pPr>
            <w:pStyle w:val="TOC3"/>
            <w:rPr>
              <w:rFonts w:asciiTheme="minorHAnsi" w:eastAsiaTheme="minorEastAsia" w:hAnsiTheme="minorHAnsi"/>
              <w:noProof/>
              <w:lang w:eastAsia="en-AU"/>
            </w:rPr>
          </w:pPr>
          <w:hyperlink w:anchor="_Toc416439170" w:history="1">
            <w:r w:rsidR="00D96D02" w:rsidRPr="00E36C2E">
              <w:rPr>
                <w:rStyle w:val="Hyperlink"/>
                <w:noProof/>
              </w:rPr>
              <w:t>Introduction</w:t>
            </w:r>
            <w:r w:rsidR="00D96D02">
              <w:rPr>
                <w:noProof/>
                <w:webHidden/>
              </w:rPr>
              <w:tab/>
            </w:r>
            <w:r w:rsidR="00D96D02">
              <w:rPr>
                <w:noProof/>
                <w:webHidden/>
              </w:rPr>
              <w:fldChar w:fldCharType="begin"/>
            </w:r>
            <w:r w:rsidR="00D96D02">
              <w:rPr>
                <w:noProof/>
                <w:webHidden/>
              </w:rPr>
              <w:instrText xml:space="preserve"> PAGEREF _Toc416439170 \h </w:instrText>
            </w:r>
            <w:r w:rsidR="00D96D02">
              <w:rPr>
                <w:noProof/>
                <w:webHidden/>
              </w:rPr>
            </w:r>
            <w:r w:rsidR="00D96D02">
              <w:rPr>
                <w:noProof/>
                <w:webHidden/>
              </w:rPr>
              <w:fldChar w:fldCharType="separate"/>
            </w:r>
            <w:r w:rsidR="00B62E00">
              <w:rPr>
                <w:noProof/>
                <w:webHidden/>
              </w:rPr>
              <w:t>3</w:t>
            </w:r>
            <w:r w:rsidR="00D96D02">
              <w:rPr>
                <w:noProof/>
                <w:webHidden/>
              </w:rPr>
              <w:fldChar w:fldCharType="end"/>
            </w:r>
          </w:hyperlink>
        </w:p>
        <w:p w:rsidR="00D96D02" w:rsidRDefault="0086056E">
          <w:pPr>
            <w:pStyle w:val="TOC3"/>
            <w:rPr>
              <w:rFonts w:asciiTheme="minorHAnsi" w:eastAsiaTheme="minorEastAsia" w:hAnsiTheme="minorHAnsi"/>
              <w:noProof/>
              <w:lang w:eastAsia="en-AU"/>
            </w:rPr>
          </w:pPr>
          <w:hyperlink w:anchor="_Toc416439171" w:history="1">
            <w:r w:rsidR="00D96D02" w:rsidRPr="00E36C2E">
              <w:rPr>
                <w:rStyle w:val="Hyperlink"/>
                <w:noProof/>
              </w:rPr>
              <w:t>Authority</w:t>
            </w:r>
            <w:r w:rsidR="00D96D02">
              <w:rPr>
                <w:noProof/>
                <w:webHidden/>
              </w:rPr>
              <w:tab/>
            </w:r>
            <w:r w:rsidR="00D96D02">
              <w:rPr>
                <w:noProof/>
                <w:webHidden/>
              </w:rPr>
              <w:fldChar w:fldCharType="begin"/>
            </w:r>
            <w:r w:rsidR="00D96D02">
              <w:rPr>
                <w:noProof/>
                <w:webHidden/>
              </w:rPr>
              <w:instrText xml:space="preserve"> PAGEREF _Toc416439171 \h </w:instrText>
            </w:r>
            <w:r w:rsidR="00D96D02">
              <w:rPr>
                <w:noProof/>
                <w:webHidden/>
              </w:rPr>
            </w:r>
            <w:r w:rsidR="00D96D02">
              <w:rPr>
                <w:noProof/>
                <w:webHidden/>
              </w:rPr>
              <w:fldChar w:fldCharType="separate"/>
            </w:r>
            <w:r w:rsidR="00B62E00">
              <w:rPr>
                <w:noProof/>
                <w:webHidden/>
              </w:rPr>
              <w:t>3</w:t>
            </w:r>
            <w:r w:rsidR="00D96D02">
              <w:rPr>
                <w:noProof/>
                <w:webHidden/>
              </w:rPr>
              <w:fldChar w:fldCharType="end"/>
            </w:r>
          </w:hyperlink>
        </w:p>
        <w:p w:rsidR="00D96D02" w:rsidRDefault="0086056E">
          <w:pPr>
            <w:pStyle w:val="TOC3"/>
            <w:rPr>
              <w:rFonts w:asciiTheme="minorHAnsi" w:eastAsiaTheme="minorEastAsia" w:hAnsiTheme="minorHAnsi"/>
              <w:noProof/>
              <w:lang w:eastAsia="en-AU"/>
            </w:rPr>
          </w:pPr>
          <w:hyperlink w:anchor="_Toc416439172" w:history="1">
            <w:r w:rsidR="00D96D02" w:rsidRPr="00E36C2E">
              <w:rPr>
                <w:rStyle w:val="Hyperlink"/>
                <w:noProof/>
              </w:rPr>
              <w:t>Role of the guideline</w:t>
            </w:r>
            <w:r w:rsidR="00D96D02">
              <w:rPr>
                <w:noProof/>
                <w:webHidden/>
              </w:rPr>
              <w:tab/>
            </w:r>
            <w:r w:rsidR="00D96D02">
              <w:rPr>
                <w:noProof/>
                <w:webHidden/>
              </w:rPr>
              <w:fldChar w:fldCharType="begin"/>
            </w:r>
            <w:r w:rsidR="00D96D02">
              <w:rPr>
                <w:noProof/>
                <w:webHidden/>
              </w:rPr>
              <w:instrText xml:space="preserve"> PAGEREF _Toc416439172 \h </w:instrText>
            </w:r>
            <w:r w:rsidR="00D96D02">
              <w:rPr>
                <w:noProof/>
                <w:webHidden/>
              </w:rPr>
            </w:r>
            <w:r w:rsidR="00D96D02">
              <w:rPr>
                <w:noProof/>
                <w:webHidden/>
              </w:rPr>
              <w:fldChar w:fldCharType="separate"/>
            </w:r>
            <w:r w:rsidR="00B62E00">
              <w:rPr>
                <w:noProof/>
                <w:webHidden/>
              </w:rPr>
              <w:t>3</w:t>
            </w:r>
            <w:r w:rsidR="00D96D02">
              <w:rPr>
                <w:noProof/>
                <w:webHidden/>
              </w:rPr>
              <w:fldChar w:fldCharType="end"/>
            </w:r>
          </w:hyperlink>
        </w:p>
        <w:p w:rsidR="00D96D02" w:rsidRDefault="0086056E">
          <w:pPr>
            <w:pStyle w:val="TOC3"/>
            <w:rPr>
              <w:rFonts w:asciiTheme="minorHAnsi" w:eastAsiaTheme="minorEastAsia" w:hAnsiTheme="minorHAnsi"/>
              <w:noProof/>
              <w:lang w:eastAsia="en-AU"/>
            </w:rPr>
          </w:pPr>
          <w:hyperlink w:anchor="_Toc416439173" w:history="1">
            <w:r w:rsidR="00D96D02" w:rsidRPr="00E36C2E">
              <w:rPr>
                <w:rStyle w:val="Hyperlink"/>
                <w:noProof/>
              </w:rPr>
              <w:t>Definitions and interpretation</w:t>
            </w:r>
            <w:r w:rsidR="00D96D02">
              <w:rPr>
                <w:noProof/>
                <w:webHidden/>
              </w:rPr>
              <w:tab/>
            </w:r>
            <w:r w:rsidR="00D96D02">
              <w:rPr>
                <w:noProof/>
                <w:webHidden/>
              </w:rPr>
              <w:fldChar w:fldCharType="begin"/>
            </w:r>
            <w:r w:rsidR="00D96D02">
              <w:rPr>
                <w:noProof/>
                <w:webHidden/>
              </w:rPr>
              <w:instrText xml:space="preserve"> PAGEREF _Toc416439173 \h </w:instrText>
            </w:r>
            <w:r w:rsidR="00D96D02">
              <w:rPr>
                <w:noProof/>
                <w:webHidden/>
              </w:rPr>
            </w:r>
            <w:r w:rsidR="00D96D02">
              <w:rPr>
                <w:noProof/>
                <w:webHidden/>
              </w:rPr>
              <w:fldChar w:fldCharType="separate"/>
            </w:r>
            <w:r w:rsidR="00B62E00">
              <w:rPr>
                <w:noProof/>
                <w:webHidden/>
              </w:rPr>
              <w:t>3</w:t>
            </w:r>
            <w:r w:rsidR="00D96D02">
              <w:rPr>
                <w:noProof/>
                <w:webHidden/>
              </w:rPr>
              <w:fldChar w:fldCharType="end"/>
            </w:r>
          </w:hyperlink>
        </w:p>
        <w:p w:rsidR="00D96D02" w:rsidRDefault="0086056E">
          <w:pPr>
            <w:pStyle w:val="TOC3"/>
            <w:rPr>
              <w:rFonts w:asciiTheme="minorHAnsi" w:eastAsiaTheme="minorEastAsia" w:hAnsiTheme="minorHAnsi"/>
              <w:noProof/>
              <w:lang w:eastAsia="en-AU"/>
            </w:rPr>
          </w:pPr>
          <w:hyperlink w:anchor="_Toc416439174" w:history="1">
            <w:r w:rsidR="00D96D02" w:rsidRPr="00E36C2E">
              <w:rPr>
                <w:rStyle w:val="Hyperlink"/>
                <w:noProof/>
              </w:rPr>
              <w:t>Version history and effective date</w:t>
            </w:r>
            <w:r w:rsidR="00D96D02">
              <w:rPr>
                <w:noProof/>
                <w:webHidden/>
              </w:rPr>
              <w:tab/>
            </w:r>
            <w:r w:rsidR="00D96D02">
              <w:rPr>
                <w:noProof/>
                <w:webHidden/>
              </w:rPr>
              <w:fldChar w:fldCharType="begin"/>
            </w:r>
            <w:r w:rsidR="00D96D02">
              <w:rPr>
                <w:noProof/>
                <w:webHidden/>
              </w:rPr>
              <w:instrText xml:space="preserve"> PAGEREF _Toc416439174 \h </w:instrText>
            </w:r>
            <w:r w:rsidR="00D96D02">
              <w:rPr>
                <w:noProof/>
                <w:webHidden/>
              </w:rPr>
            </w:r>
            <w:r w:rsidR="00D96D02">
              <w:rPr>
                <w:noProof/>
                <w:webHidden/>
              </w:rPr>
              <w:fldChar w:fldCharType="separate"/>
            </w:r>
            <w:r w:rsidR="00B62E00">
              <w:rPr>
                <w:noProof/>
                <w:webHidden/>
              </w:rPr>
              <w:t>4</w:t>
            </w:r>
            <w:r w:rsidR="00D96D02">
              <w:rPr>
                <w:noProof/>
                <w:webHidden/>
              </w:rPr>
              <w:fldChar w:fldCharType="end"/>
            </w:r>
          </w:hyperlink>
        </w:p>
        <w:p w:rsidR="00D96D02" w:rsidRDefault="0086056E">
          <w:pPr>
            <w:pStyle w:val="TOC2"/>
            <w:rPr>
              <w:rFonts w:asciiTheme="minorHAnsi" w:eastAsiaTheme="minorEastAsia" w:hAnsiTheme="minorHAnsi"/>
              <w:noProof/>
              <w:sz w:val="22"/>
              <w:lang w:eastAsia="en-AU"/>
            </w:rPr>
          </w:pPr>
          <w:hyperlink w:anchor="_Toc416439175" w:history="1">
            <w:r w:rsidR="00D96D02" w:rsidRPr="00E36C2E">
              <w:rPr>
                <w:rStyle w:val="Hyperlink"/>
                <w:noProof/>
              </w:rPr>
              <w:t>Overview</w:t>
            </w:r>
            <w:r w:rsidR="00D96D02">
              <w:rPr>
                <w:noProof/>
                <w:webHidden/>
              </w:rPr>
              <w:tab/>
            </w:r>
            <w:r w:rsidR="00D96D02">
              <w:rPr>
                <w:noProof/>
                <w:webHidden/>
              </w:rPr>
              <w:fldChar w:fldCharType="begin"/>
            </w:r>
            <w:r w:rsidR="00D96D02">
              <w:rPr>
                <w:noProof/>
                <w:webHidden/>
              </w:rPr>
              <w:instrText xml:space="preserve"> PAGEREF _Toc416439175 \h </w:instrText>
            </w:r>
            <w:r w:rsidR="00D96D02">
              <w:rPr>
                <w:noProof/>
                <w:webHidden/>
              </w:rPr>
            </w:r>
            <w:r w:rsidR="00D96D02">
              <w:rPr>
                <w:noProof/>
                <w:webHidden/>
              </w:rPr>
              <w:fldChar w:fldCharType="separate"/>
            </w:r>
            <w:r w:rsidR="00B62E00">
              <w:rPr>
                <w:noProof/>
                <w:webHidden/>
              </w:rPr>
              <w:t>4</w:t>
            </w:r>
            <w:r w:rsidR="00D96D02">
              <w:rPr>
                <w:noProof/>
                <w:webHidden/>
              </w:rPr>
              <w:fldChar w:fldCharType="end"/>
            </w:r>
          </w:hyperlink>
        </w:p>
        <w:p w:rsidR="00D96D02" w:rsidRDefault="0086056E">
          <w:pPr>
            <w:pStyle w:val="TOC1"/>
            <w:rPr>
              <w:rFonts w:asciiTheme="minorHAnsi" w:eastAsiaTheme="minorEastAsia" w:hAnsiTheme="minorHAnsi"/>
              <w:b w:val="0"/>
              <w:noProof/>
              <w:color w:val="auto"/>
              <w:sz w:val="22"/>
              <w:lang w:eastAsia="en-AU"/>
            </w:rPr>
          </w:pPr>
          <w:hyperlink w:anchor="_Toc416439176" w:history="1">
            <w:r w:rsidR="00D96D02" w:rsidRPr="00E36C2E">
              <w:rPr>
                <w:rStyle w:val="Hyperlink"/>
                <w:noProof/>
              </w:rPr>
              <w:t>Amendments to the guideline</w:t>
            </w:r>
            <w:r w:rsidR="00D96D02">
              <w:rPr>
                <w:noProof/>
                <w:webHidden/>
              </w:rPr>
              <w:tab/>
            </w:r>
            <w:r w:rsidR="00D96D02">
              <w:rPr>
                <w:noProof/>
                <w:webHidden/>
              </w:rPr>
              <w:fldChar w:fldCharType="begin"/>
            </w:r>
            <w:r w:rsidR="00D96D02">
              <w:rPr>
                <w:noProof/>
                <w:webHidden/>
              </w:rPr>
              <w:instrText xml:space="preserve"> PAGEREF _Toc416439176 \h </w:instrText>
            </w:r>
            <w:r w:rsidR="00D96D02">
              <w:rPr>
                <w:noProof/>
                <w:webHidden/>
              </w:rPr>
            </w:r>
            <w:r w:rsidR="00D96D02">
              <w:rPr>
                <w:noProof/>
                <w:webHidden/>
              </w:rPr>
              <w:fldChar w:fldCharType="separate"/>
            </w:r>
            <w:r w:rsidR="00B62E00">
              <w:rPr>
                <w:noProof/>
                <w:webHidden/>
              </w:rPr>
              <w:t>6</w:t>
            </w:r>
            <w:r w:rsidR="00D96D02">
              <w:rPr>
                <w:noProof/>
                <w:webHidden/>
              </w:rPr>
              <w:fldChar w:fldCharType="end"/>
            </w:r>
          </w:hyperlink>
        </w:p>
        <w:p w:rsidR="00D96D02" w:rsidRDefault="0086056E">
          <w:pPr>
            <w:pStyle w:val="TOC2"/>
            <w:rPr>
              <w:rFonts w:asciiTheme="minorHAnsi" w:eastAsiaTheme="minorEastAsia" w:hAnsiTheme="minorHAnsi"/>
              <w:noProof/>
              <w:sz w:val="22"/>
              <w:lang w:eastAsia="en-AU"/>
            </w:rPr>
          </w:pPr>
          <w:hyperlink w:anchor="_Toc416439177" w:history="1">
            <w:r w:rsidR="00D96D02" w:rsidRPr="00E36C2E">
              <w:rPr>
                <w:rStyle w:val="Hyperlink"/>
                <w:noProof/>
              </w:rPr>
              <w:t>Introductory section</w:t>
            </w:r>
            <w:r w:rsidR="00D96D02">
              <w:rPr>
                <w:noProof/>
                <w:webHidden/>
              </w:rPr>
              <w:tab/>
            </w:r>
            <w:r w:rsidR="00D96D02">
              <w:rPr>
                <w:noProof/>
                <w:webHidden/>
              </w:rPr>
              <w:fldChar w:fldCharType="begin"/>
            </w:r>
            <w:r w:rsidR="00D96D02">
              <w:rPr>
                <w:noProof/>
                <w:webHidden/>
              </w:rPr>
              <w:instrText xml:space="preserve"> PAGEREF _Toc416439177 \h </w:instrText>
            </w:r>
            <w:r w:rsidR="00D96D02">
              <w:rPr>
                <w:noProof/>
                <w:webHidden/>
              </w:rPr>
            </w:r>
            <w:r w:rsidR="00D96D02">
              <w:rPr>
                <w:noProof/>
                <w:webHidden/>
              </w:rPr>
              <w:fldChar w:fldCharType="separate"/>
            </w:r>
            <w:r w:rsidR="00B62E00">
              <w:rPr>
                <w:noProof/>
                <w:webHidden/>
              </w:rPr>
              <w:t>6</w:t>
            </w:r>
            <w:r w:rsidR="00D96D02">
              <w:rPr>
                <w:noProof/>
                <w:webHidden/>
              </w:rPr>
              <w:fldChar w:fldCharType="end"/>
            </w:r>
          </w:hyperlink>
        </w:p>
        <w:p w:rsidR="00D96D02" w:rsidRDefault="0086056E">
          <w:pPr>
            <w:pStyle w:val="TOC2"/>
            <w:rPr>
              <w:rFonts w:asciiTheme="minorHAnsi" w:eastAsiaTheme="minorEastAsia" w:hAnsiTheme="minorHAnsi"/>
              <w:noProof/>
              <w:sz w:val="22"/>
              <w:lang w:eastAsia="en-AU"/>
            </w:rPr>
          </w:pPr>
          <w:hyperlink w:anchor="_Toc416439178" w:history="1">
            <w:r w:rsidR="00D96D02" w:rsidRPr="00E36C2E">
              <w:rPr>
                <w:rStyle w:val="Hyperlink"/>
                <w:noProof/>
              </w:rPr>
              <w:t>Registrable exemptions and new entrants</w:t>
            </w:r>
            <w:r w:rsidR="00D96D02">
              <w:rPr>
                <w:noProof/>
                <w:webHidden/>
              </w:rPr>
              <w:tab/>
            </w:r>
            <w:r w:rsidR="00D96D02">
              <w:rPr>
                <w:noProof/>
                <w:webHidden/>
              </w:rPr>
              <w:fldChar w:fldCharType="begin"/>
            </w:r>
            <w:r w:rsidR="00D96D02">
              <w:rPr>
                <w:noProof/>
                <w:webHidden/>
              </w:rPr>
              <w:instrText xml:space="preserve"> PAGEREF _Toc416439178 \h </w:instrText>
            </w:r>
            <w:r w:rsidR="00D96D02">
              <w:rPr>
                <w:noProof/>
                <w:webHidden/>
              </w:rPr>
            </w:r>
            <w:r w:rsidR="00D96D02">
              <w:rPr>
                <w:noProof/>
                <w:webHidden/>
              </w:rPr>
              <w:fldChar w:fldCharType="separate"/>
            </w:r>
            <w:r w:rsidR="00B62E00">
              <w:rPr>
                <w:noProof/>
                <w:webHidden/>
              </w:rPr>
              <w:t>6</w:t>
            </w:r>
            <w:r w:rsidR="00D96D02">
              <w:rPr>
                <w:noProof/>
                <w:webHidden/>
              </w:rPr>
              <w:fldChar w:fldCharType="end"/>
            </w:r>
          </w:hyperlink>
        </w:p>
        <w:p w:rsidR="00D2244D" w:rsidRPr="00D2244D" w:rsidRDefault="00B6465D" w:rsidP="00B6465D">
          <w:r>
            <w:rPr>
              <w:b/>
              <w:bCs/>
              <w:noProof/>
            </w:rPr>
            <w:fldChar w:fldCharType="end"/>
          </w:r>
        </w:p>
      </w:sdtContent>
    </w:sdt>
    <w:p w:rsidR="00AB31C2" w:rsidRDefault="00AB31C2" w:rsidP="00DC015B">
      <w:pPr>
        <w:pStyle w:val="Heading1"/>
      </w:pPr>
      <w:bookmarkStart w:id="2" w:name="_Toc416439168"/>
      <w:r>
        <w:lastRenderedPageBreak/>
        <w:t>Shortened forms</w:t>
      </w:r>
      <w:bookmarkEnd w:id="2"/>
      <w:bookmarkEnd w:id="1"/>
      <w:r>
        <w:t xml:space="preserve"> </w:t>
      </w:r>
    </w:p>
    <w:p w:rsidR="00AB31C2" w:rsidRPr="00427E4B" w:rsidRDefault="00AB31C2" w:rsidP="00AB31C2">
      <w:pPr>
        <w:pStyle w:val="AERbodytext"/>
        <w:rPr>
          <w:rStyle w:val="AERtextbold"/>
        </w:rPr>
      </w:pPr>
    </w:p>
    <w:tbl>
      <w:tblPr>
        <w:tblStyle w:val="AERtable-text0"/>
        <w:tblW w:w="5000" w:type="pct"/>
        <w:tblLook w:val="01E0" w:firstRow="1" w:lastRow="1" w:firstColumn="1" w:lastColumn="1" w:noHBand="0" w:noVBand="0"/>
      </w:tblPr>
      <w:tblGrid>
        <w:gridCol w:w="4813"/>
        <w:gridCol w:w="4429"/>
      </w:tblGrid>
      <w:tr w:rsidR="00AB31C2" w:rsidTr="00AB31C2">
        <w:trPr>
          <w:cnfStyle w:val="100000000000" w:firstRow="1" w:lastRow="0" w:firstColumn="0" w:lastColumn="0" w:oddVBand="0" w:evenVBand="0" w:oddHBand="0" w:evenHBand="0" w:firstRowFirstColumn="0" w:firstRowLastColumn="0" w:lastRowFirstColumn="0" w:lastRowLastColumn="0"/>
        </w:trPr>
        <w:tc>
          <w:tcPr>
            <w:tcW w:w="2604" w:type="pct"/>
          </w:tcPr>
          <w:p w:rsidR="00AB31C2" w:rsidRPr="00427E4B" w:rsidRDefault="00AB31C2" w:rsidP="00BE4727">
            <w:pPr>
              <w:pStyle w:val="AERtabletextleft"/>
            </w:pPr>
            <w:r>
              <w:t>Shortened form</w:t>
            </w:r>
          </w:p>
        </w:tc>
        <w:tc>
          <w:tcPr>
            <w:tcW w:w="2396" w:type="pct"/>
          </w:tcPr>
          <w:p w:rsidR="00AB31C2" w:rsidRPr="00427E4B" w:rsidRDefault="00AB31C2" w:rsidP="00BE4727">
            <w:pPr>
              <w:pStyle w:val="AERtabletextleft"/>
            </w:pPr>
            <w:r>
              <w:t>Long form</w:t>
            </w:r>
          </w:p>
        </w:tc>
      </w:tr>
      <w:tr w:rsidR="00AB31C2" w:rsidTr="00AB31C2">
        <w:tc>
          <w:tcPr>
            <w:tcW w:w="2604" w:type="pct"/>
          </w:tcPr>
          <w:p w:rsidR="00AB31C2" w:rsidRDefault="00AB31C2" w:rsidP="00AB31C2">
            <w:pPr>
              <w:pStyle w:val="AERtabletextleft"/>
            </w:pPr>
            <w:r>
              <w:t>AER</w:t>
            </w:r>
          </w:p>
        </w:tc>
        <w:tc>
          <w:tcPr>
            <w:tcW w:w="2396" w:type="pct"/>
          </w:tcPr>
          <w:p w:rsidR="00AB31C2" w:rsidRDefault="00AB31C2" w:rsidP="00AB31C2">
            <w:pPr>
              <w:pStyle w:val="AERtabletextleft"/>
            </w:pPr>
            <w:r>
              <w:t>Australian Energy Regulator</w:t>
            </w:r>
          </w:p>
        </w:tc>
      </w:tr>
      <w:tr w:rsidR="00AB31C2"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AB31C2" w:rsidRDefault="00AB31C2" w:rsidP="00AB31C2">
            <w:pPr>
              <w:pStyle w:val="AERtabletextleft"/>
            </w:pPr>
            <w:r>
              <w:t xml:space="preserve">guideline </w:t>
            </w:r>
          </w:p>
        </w:tc>
        <w:tc>
          <w:tcPr>
            <w:tcW w:w="2396" w:type="pct"/>
          </w:tcPr>
          <w:p w:rsidR="00AB31C2" w:rsidRPr="002B2A4B" w:rsidRDefault="00AB31C2" w:rsidP="00EC276D">
            <w:pPr>
              <w:pStyle w:val="AERtabletextleft"/>
              <w:rPr>
                <w:i/>
              </w:rPr>
            </w:pPr>
            <w:r w:rsidRPr="002B2A4B">
              <w:rPr>
                <w:i/>
              </w:rPr>
              <w:t xml:space="preserve">AER (Retail) Exempt </w:t>
            </w:r>
            <w:r w:rsidR="00EC276D" w:rsidRPr="002B2A4B">
              <w:rPr>
                <w:i/>
              </w:rPr>
              <w:t>S</w:t>
            </w:r>
            <w:r w:rsidRPr="002B2A4B">
              <w:rPr>
                <w:i/>
              </w:rPr>
              <w:t xml:space="preserve">elling </w:t>
            </w:r>
            <w:r w:rsidR="00EC276D" w:rsidRPr="002B2A4B">
              <w:rPr>
                <w:i/>
              </w:rPr>
              <w:t>Guideline</w:t>
            </w:r>
          </w:p>
        </w:tc>
      </w:tr>
      <w:tr w:rsidR="00AB31C2" w:rsidTr="00AB31C2">
        <w:tc>
          <w:tcPr>
            <w:tcW w:w="2604" w:type="pct"/>
          </w:tcPr>
          <w:p w:rsidR="00AB31C2" w:rsidRDefault="00AB31C2" w:rsidP="00AB31C2">
            <w:pPr>
              <w:pStyle w:val="AERtabletextleft"/>
            </w:pPr>
            <w:r>
              <w:t>Retail Law</w:t>
            </w:r>
          </w:p>
        </w:tc>
        <w:tc>
          <w:tcPr>
            <w:tcW w:w="2396" w:type="pct"/>
          </w:tcPr>
          <w:p w:rsidR="00AB31C2" w:rsidRPr="00AB31C2" w:rsidRDefault="00AB31C2" w:rsidP="00AB31C2">
            <w:pPr>
              <w:pStyle w:val="AERtabletextleft"/>
            </w:pPr>
            <w:r>
              <w:t>National Energy Retail Law</w:t>
            </w:r>
          </w:p>
        </w:tc>
      </w:tr>
      <w:tr w:rsidR="00AB31C2"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AB31C2" w:rsidRDefault="00AB31C2" w:rsidP="00AB31C2">
            <w:pPr>
              <w:pStyle w:val="AERtabletextleft"/>
            </w:pPr>
            <w:r>
              <w:t>Retail Rules</w:t>
            </w:r>
          </w:p>
        </w:tc>
        <w:tc>
          <w:tcPr>
            <w:tcW w:w="2396" w:type="pct"/>
          </w:tcPr>
          <w:p w:rsidR="00AB31C2" w:rsidRPr="00AB31C2" w:rsidRDefault="00AB31C2" w:rsidP="00AB31C2">
            <w:pPr>
              <w:pStyle w:val="AERtabletextleft"/>
            </w:pPr>
            <w:r>
              <w:t>National Energy Retail Rules</w:t>
            </w:r>
          </w:p>
        </w:tc>
      </w:tr>
    </w:tbl>
    <w:p w:rsidR="00AB31C2" w:rsidRPr="00AB31C2" w:rsidRDefault="00AB31C2" w:rsidP="00AB31C2">
      <w:pPr>
        <w:pStyle w:val="AERtabletextleft"/>
      </w:pPr>
    </w:p>
    <w:p w:rsidR="00DC015B" w:rsidRDefault="00DC015B" w:rsidP="00DC015B">
      <w:pPr>
        <w:pStyle w:val="Heading1"/>
      </w:pPr>
      <w:bookmarkStart w:id="3" w:name="_Toc416439169"/>
      <w:r w:rsidRPr="0097498D">
        <w:rPr>
          <w:b w:val="0"/>
        </w:rPr>
        <w:lastRenderedPageBreak/>
        <w:t>N</w:t>
      </w:r>
      <w:r>
        <w:t>ature and authority</w:t>
      </w:r>
      <w:bookmarkEnd w:id="3"/>
    </w:p>
    <w:p w:rsidR="00DC015B" w:rsidRDefault="00DC015B" w:rsidP="00DC015B">
      <w:pPr>
        <w:pStyle w:val="Heading3"/>
      </w:pPr>
      <w:bookmarkStart w:id="4" w:name="_Toc416439170"/>
      <w:r>
        <w:t>Introduction</w:t>
      </w:r>
      <w:bookmarkEnd w:id="4"/>
    </w:p>
    <w:p w:rsidR="00DC015B" w:rsidRDefault="00DC015B" w:rsidP="00DC015B">
      <w:pPr>
        <w:spacing w:after="200"/>
      </w:pPr>
      <w:r>
        <w:t xml:space="preserve">This Notice </w:t>
      </w:r>
      <w:r w:rsidR="00FA65AE">
        <w:t xml:space="preserve">outlines amendments </w:t>
      </w:r>
      <w:r>
        <w:t>to v</w:t>
      </w:r>
      <w:r w:rsidR="001C77E8">
        <w:t xml:space="preserve">ersion 2.0 of the </w:t>
      </w:r>
      <w:r w:rsidR="001C77E8" w:rsidRPr="002B2A4B">
        <w:rPr>
          <w:i/>
        </w:rPr>
        <w:t>AER (Retail)</w:t>
      </w:r>
      <w:r w:rsidRPr="002B2A4B">
        <w:rPr>
          <w:i/>
        </w:rPr>
        <w:t xml:space="preserve"> </w:t>
      </w:r>
      <w:r w:rsidR="001C77E8" w:rsidRPr="002B2A4B">
        <w:rPr>
          <w:i/>
        </w:rPr>
        <w:t xml:space="preserve">Exempt Selling </w:t>
      </w:r>
      <w:r w:rsidR="0066550D" w:rsidRPr="002B2A4B">
        <w:rPr>
          <w:i/>
        </w:rPr>
        <w:t>Guideline</w:t>
      </w:r>
      <w:r w:rsidR="003E193F">
        <w:t xml:space="preserve"> (the guideline)</w:t>
      </w:r>
      <w:r>
        <w:t>.</w:t>
      </w:r>
    </w:p>
    <w:p w:rsidR="00DC015B" w:rsidRDefault="00DC015B" w:rsidP="00DC015B">
      <w:pPr>
        <w:spacing w:after="200"/>
      </w:pPr>
      <w:r>
        <w:t xml:space="preserve">The </w:t>
      </w:r>
      <w:r w:rsidR="00FA65AE">
        <w:t xml:space="preserve">amendments </w:t>
      </w:r>
      <w:r w:rsidR="00EC276D">
        <w:t>serve to</w:t>
      </w:r>
      <w:r w:rsidR="00FA65AE">
        <w:t xml:space="preserve"> </w:t>
      </w:r>
      <w:r w:rsidR="00A912FB">
        <w:t>re</w:t>
      </w:r>
      <w:r w:rsidR="00EC276D">
        <w:t>-</w:t>
      </w:r>
      <w:r w:rsidR="00A912FB">
        <w:t xml:space="preserve">open </w:t>
      </w:r>
      <w:r w:rsidR="00B6465D">
        <w:t xml:space="preserve">a number of </w:t>
      </w:r>
      <w:r w:rsidR="001E7DC1">
        <w:t xml:space="preserve">registrable </w:t>
      </w:r>
      <w:r w:rsidR="00AA1DB0">
        <w:t xml:space="preserve">exemption classes </w:t>
      </w:r>
      <w:r w:rsidR="00A912FB">
        <w:t>that close</w:t>
      </w:r>
      <w:r w:rsidR="00FA65AE">
        <w:t>d</w:t>
      </w:r>
      <w:r w:rsidR="00A912FB">
        <w:t xml:space="preserve"> </w:t>
      </w:r>
      <w:r w:rsidR="00B6465D">
        <w:t xml:space="preserve">to new entrants </w:t>
      </w:r>
      <w:r w:rsidR="00A912FB">
        <w:t>on 1 January 2015</w:t>
      </w:r>
      <w:r w:rsidR="00FA65AE">
        <w:t>. T</w:t>
      </w:r>
      <w:r w:rsidR="00B6465D">
        <w:t>he closing date for two classes and for retrofitted embedded network sites</w:t>
      </w:r>
      <w:r w:rsidR="00FA65AE">
        <w:t xml:space="preserve"> remain closed</w:t>
      </w:r>
      <w:r>
        <w:t>.</w:t>
      </w:r>
      <w:r w:rsidR="00FA65AE">
        <w:t xml:space="preserve"> </w:t>
      </w:r>
      <w:r>
        <w:t xml:space="preserve"> </w:t>
      </w:r>
    </w:p>
    <w:p w:rsidR="003E193F" w:rsidRDefault="00FA65AE" w:rsidP="00DC015B">
      <w:pPr>
        <w:spacing w:after="200"/>
      </w:pPr>
      <w:r>
        <w:t>The proposed amendments were subject to public consultation</w:t>
      </w:r>
      <w:r w:rsidR="003E193F">
        <w:t xml:space="preserve">. This process, which concluded on 10 February 2015, did not result in any submissions. </w:t>
      </w:r>
    </w:p>
    <w:p w:rsidR="00DC015B" w:rsidRDefault="00DC015B" w:rsidP="00DC015B">
      <w:pPr>
        <w:pStyle w:val="Heading3"/>
      </w:pPr>
      <w:bookmarkStart w:id="5" w:name="_Toc416439171"/>
      <w:r>
        <w:t>Authority</w:t>
      </w:r>
      <w:bookmarkEnd w:id="5"/>
    </w:p>
    <w:p w:rsidR="00DC015B" w:rsidRDefault="00DC015B" w:rsidP="00DC015B">
      <w:pPr>
        <w:spacing w:after="200"/>
      </w:pPr>
      <w:r>
        <w:t xml:space="preserve">The National Energy Retail Law (Retail Law) </w:t>
      </w:r>
      <w:r w:rsidRPr="00AA1DB0">
        <w:t xml:space="preserve">allows us to make and amend AER </w:t>
      </w:r>
      <w:r w:rsidR="001C77E8" w:rsidRPr="00AA1DB0">
        <w:t xml:space="preserve">Exempt Selling </w:t>
      </w:r>
      <w:r w:rsidR="00EC276D">
        <w:t>G</w:t>
      </w:r>
      <w:r w:rsidRPr="00AA1DB0">
        <w:t>uideline</w:t>
      </w:r>
      <w:r w:rsidR="003E193F">
        <w:t>s</w:t>
      </w:r>
      <w:r w:rsidRPr="00AA1DB0">
        <w:t xml:space="preserve"> in accordance with the retail consultation procedure.</w:t>
      </w:r>
      <w:r>
        <w:t xml:space="preserve">   </w:t>
      </w:r>
    </w:p>
    <w:p w:rsidR="00DC015B" w:rsidRDefault="00DC015B" w:rsidP="00DC015B">
      <w:pPr>
        <w:pStyle w:val="Heading3"/>
      </w:pPr>
      <w:bookmarkStart w:id="6" w:name="_Toc416439172"/>
      <w:r>
        <w:t>Role of the guideline</w:t>
      </w:r>
      <w:bookmarkEnd w:id="6"/>
    </w:p>
    <w:p w:rsidR="00DC015B" w:rsidRDefault="00DC015B" w:rsidP="00DC015B">
      <w:pPr>
        <w:spacing w:after="200"/>
      </w:pPr>
      <w:r>
        <w:t xml:space="preserve">The Retail Law requires anyone who is selling energy to hold a retailer authorisation or to be exempt from the requirement to hold an authorisation. To assist potential applicants, we have developed a guideline under the Retail Law, which: </w:t>
      </w:r>
    </w:p>
    <w:p w:rsidR="00416508" w:rsidRDefault="00416508" w:rsidP="00416508">
      <w:pPr>
        <w:pStyle w:val="ListParagraph"/>
        <w:numPr>
          <w:ilvl w:val="0"/>
          <w:numId w:val="39"/>
        </w:numPr>
        <w:contextualSpacing w:val="0"/>
      </w:pPr>
      <w:r>
        <w:t>explains what retail exemptions are and how they work</w:t>
      </w:r>
    </w:p>
    <w:p w:rsidR="00416508" w:rsidRDefault="00416508" w:rsidP="00416508">
      <w:pPr>
        <w:pStyle w:val="ListParagraph"/>
        <w:numPr>
          <w:ilvl w:val="0"/>
          <w:numId w:val="39"/>
        </w:numPr>
        <w:contextualSpacing w:val="0"/>
      </w:pPr>
      <w:r>
        <w:t xml:space="preserve">provides information to assist </w:t>
      </w:r>
      <w:r w:rsidR="00B6465D">
        <w:t>exempt sellers</w:t>
      </w:r>
      <w:r>
        <w:t xml:space="preserve"> in determining whether or not </w:t>
      </w:r>
      <w:r w:rsidR="00B6465D">
        <w:t>they</w:t>
      </w:r>
      <w:r>
        <w:t xml:space="preserve">, or </w:t>
      </w:r>
      <w:r w:rsidR="00B6465D">
        <w:t xml:space="preserve">their </w:t>
      </w:r>
      <w:r>
        <w:t xml:space="preserve">business, need a retail exemption </w:t>
      </w:r>
    </w:p>
    <w:p w:rsidR="00416508" w:rsidRDefault="00416508" w:rsidP="00416508">
      <w:pPr>
        <w:pStyle w:val="ListParagraph"/>
        <w:numPr>
          <w:ilvl w:val="0"/>
          <w:numId w:val="39"/>
        </w:numPr>
        <w:contextualSpacing w:val="0"/>
      </w:pPr>
      <w:r w:rsidRPr="00B6465D">
        <w:t xml:space="preserve">explains how to obtain a retail exemption and which exemption class applies to </w:t>
      </w:r>
      <w:r w:rsidR="00B6465D" w:rsidRPr="00B6465D">
        <w:t>the</w:t>
      </w:r>
      <w:r w:rsidR="00B6465D">
        <w:t xml:space="preserve"> seller</w:t>
      </w:r>
    </w:p>
    <w:p w:rsidR="00B6465D" w:rsidRDefault="00416508" w:rsidP="00416508">
      <w:pPr>
        <w:pStyle w:val="ListParagraph"/>
        <w:numPr>
          <w:ilvl w:val="0"/>
          <w:numId w:val="39"/>
        </w:numPr>
        <w:contextualSpacing w:val="0"/>
      </w:pPr>
      <w:r>
        <w:t>outlines the factors we will consider when assessing individual exemption applications</w:t>
      </w:r>
    </w:p>
    <w:p w:rsidR="00416508" w:rsidRDefault="00B6465D" w:rsidP="00416508">
      <w:pPr>
        <w:pStyle w:val="ListParagraph"/>
        <w:numPr>
          <w:ilvl w:val="0"/>
          <w:numId w:val="39"/>
        </w:numPr>
        <w:contextualSpacing w:val="0"/>
      </w:pPr>
      <w:proofErr w:type="gramStart"/>
      <w:r>
        <w:t>covers</w:t>
      </w:r>
      <w:proofErr w:type="gramEnd"/>
      <w:r>
        <w:t xml:space="preserve"> the conditions attached to various classes of exemption</w:t>
      </w:r>
      <w:r w:rsidR="00416508">
        <w:t xml:space="preserve">. </w:t>
      </w:r>
    </w:p>
    <w:p w:rsidR="00416508" w:rsidRDefault="003104EF" w:rsidP="003104EF">
      <w:pPr>
        <w:spacing w:after="200"/>
      </w:pPr>
      <w:r>
        <w:t>The purpose of th</w:t>
      </w:r>
      <w:r w:rsidR="00B6465D">
        <w:t>e</w:t>
      </w:r>
      <w:r w:rsidR="00416508">
        <w:t xml:space="preserve"> guideline is </w:t>
      </w:r>
      <w:r>
        <w:t xml:space="preserve">to assist </w:t>
      </w:r>
      <w:r w:rsidR="00416508">
        <w:t>people or businesses that sell energy under the Retail L</w:t>
      </w:r>
      <w:r w:rsidR="00B6465D">
        <w:t xml:space="preserve">aw and need a retail exemption. It should be read by those </w:t>
      </w:r>
      <w:r w:rsidR="001E15DE">
        <w:t xml:space="preserve">that </w:t>
      </w:r>
      <w:r w:rsidR="00416508">
        <w:t xml:space="preserve">charge another person for the cost of energy, be it for profit or simply to recover </w:t>
      </w:r>
      <w:r w:rsidR="00B6465D">
        <w:t xml:space="preserve">their </w:t>
      </w:r>
      <w:r w:rsidR="00416508">
        <w:t xml:space="preserve">own costs. This guideline focuses on what </w:t>
      </w:r>
      <w:r w:rsidR="001E15DE">
        <w:t>these sellers</w:t>
      </w:r>
      <w:r w:rsidR="00416508">
        <w:t xml:space="preserve"> need to know and what </w:t>
      </w:r>
      <w:r w:rsidR="001E15DE">
        <w:t xml:space="preserve">they </w:t>
      </w:r>
      <w:r w:rsidR="00416508">
        <w:t>must do to comply with the Retail Law as an exempt seller.</w:t>
      </w:r>
    </w:p>
    <w:p w:rsidR="00DC015B" w:rsidRDefault="00DC015B" w:rsidP="00DC015B">
      <w:pPr>
        <w:pStyle w:val="Heading3"/>
      </w:pPr>
      <w:bookmarkStart w:id="7" w:name="_Toc416439173"/>
      <w:r>
        <w:t>Definitions and interpretation</w:t>
      </w:r>
      <w:bookmarkEnd w:id="7"/>
    </w:p>
    <w:p w:rsidR="00DC015B" w:rsidRDefault="00DC015B" w:rsidP="00DC015B">
      <w:pPr>
        <w:spacing w:after="200"/>
      </w:pPr>
      <w:r>
        <w:t>In this notice, key words and phrases have the meaning given to them in:</w:t>
      </w:r>
    </w:p>
    <w:p w:rsidR="00DC015B" w:rsidRDefault="00DC015B" w:rsidP="00DC015B">
      <w:pPr>
        <w:pStyle w:val="ListParagraph"/>
        <w:numPr>
          <w:ilvl w:val="0"/>
          <w:numId w:val="38"/>
        </w:numPr>
        <w:spacing w:after="200"/>
        <w:ind w:left="714" w:hanging="357"/>
        <w:contextualSpacing w:val="0"/>
      </w:pPr>
      <w:r>
        <w:t>the shortened forms or</w:t>
      </w:r>
    </w:p>
    <w:p w:rsidR="00DC015B" w:rsidRDefault="00DC015B" w:rsidP="00DC015B">
      <w:pPr>
        <w:pStyle w:val="ListParagraph"/>
        <w:numPr>
          <w:ilvl w:val="0"/>
          <w:numId w:val="38"/>
        </w:numPr>
        <w:spacing w:after="200"/>
        <w:ind w:left="714" w:hanging="357"/>
        <w:contextualSpacing w:val="0"/>
      </w:pPr>
      <w:proofErr w:type="gramStart"/>
      <w:r>
        <w:t>if</w:t>
      </w:r>
      <w:proofErr w:type="gramEnd"/>
      <w:r>
        <w:t xml:space="preserve"> not defined in the shortened forms, the Retail Law and National Energy Retail Rules (Retail Rules).</w:t>
      </w:r>
    </w:p>
    <w:p w:rsidR="00DC015B" w:rsidRDefault="00DC015B" w:rsidP="00DC015B">
      <w:pPr>
        <w:pStyle w:val="Heading3"/>
      </w:pPr>
      <w:bookmarkStart w:id="8" w:name="_Toc416439174"/>
      <w:r>
        <w:lastRenderedPageBreak/>
        <w:t>Version history and effective date</w:t>
      </w:r>
      <w:bookmarkEnd w:id="8"/>
    </w:p>
    <w:p w:rsidR="00DC015B" w:rsidRDefault="00DC015B" w:rsidP="00DC015B">
      <w:pPr>
        <w:spacing w:after="200"/>
      </w:pPr>
      <w:r>
        <w:t>The current versi</w:t>
      </w:r>
      <w:r w:rsidR="00D2244D">
        <w:t xml:space="preserve">on of the guideline is version </w:t>
      </w:r>
      <w:r w:rsidR="003E193F">
        <w:t>3</w:t>
      </w:r>
      <w:r w:rsidR="00D2244D">
        <w:t>.0 (</w:t>
      </w:r>
      <w:r w:rsidR="003E193F">
        <w:t xml:space="preserve">April </w:t>
      </w:r>
      <w:r w:rsidR="00D2244D">
        <w:t>201</w:t>
      </w:r>
      <w:r w:rsidR="003E193F">
        <w:t>5</w:t>
      </w:r>
      <w:r>
        <w:t xml:space="preserve">). </w:t>
      </w:r>
    </w:p>
    <w:p w:rsidR="00DC015B" w:rsidRDefault="00DC015B" w:rsidP="00DC015B">
      <w:pPr>
        <w:pStyle w:val="Heading2"/>
      </w:pPr>
      <w:bookmarkStart w:id="9" w:name="_Toc416439175"/>
      <w:r>
        <w:t>Overview</w:t>
      </w:r>
      <w:bookmarkEnd w:id="9"/>
    </w:p>
    <w:p w:rsidR="00D86B98" w:rsidRPr="00953D78" w:rsidRDefault="00D86B98" w:rsidP="002B2A4B">
      <w:pPr>
        <w:pStyle w:val="AERbodytext"/>
        <w:jc w:val="left"/>
        <w:rPr>
          <w:rFonts w:ascii="Arial" w:hAnsi="Arial" w:cs="Arial"/>
          <w:sz w:val="22"/>
          <w:szCs w:val="22"/>
        </w:rPr>
      </w:pPr>
      <w:r w:rsidRPr="00953D78">
        <w:rPr>
          <w:rFonts w:ascii="Arial" w:hAnsi="Arial" w:cs="Arial"/>
          <w:sz w:val="22"/>
          <w:szCs w:val="22"/>
        </w:rPr>
        <w:t>Under the Retail Law, the AER is responsible for regulating exempt selling. Exempt selling refers to the sale of energy which is not subject to a national retailer authorisation. As part our role, we must develop and maintain an exempt selling guideline.</w:t>
      </w:r>
      <w:r w:rsidRPr="00953D78">
        <w:rPr>
          <w:rStyle w:val="FootnoteReference"/>
          <w:rFonts w:ascii="Arial" w:hAnsi="Arial" w:cs="Arial"/>
          <w:sz w:val="22"/>
          <w:szCs w:val="22"/>
        </w:rPr>
        <w:footnoteReference w:id="1"/>
      </w:r>
      <w:r w:rsidRPr="00953D78">
        <w:rPr>
          <w:rFonts w:ascii="Arial" w:hAnsi="Arial" w:cs="Arial"/>
          <w:sz w:val="22"/>
          <w:szCs w:val="22"/>
        </w:rPr>
        <w:t xml:space="preserve"> The guideline, which accompanies this notice, sets out our approach to regulating exempt sellers. It also details the various exemption classes and the conditions attached to those exemptions. </w:t>
      </w:r>
    </w:p>
    <w:p w:rsidR="00D86B98" w:rsidRPr="00953D78" w:rsidRDefault="00D86B98" w:rsidP="002B2A4B">
      <w:pPr>
        <w:pStyle w:val="AERbodytext"/>
        <w:jc w:val="left"/>
        <w:rPr>
          <w:rFonts w:ascii="Arial" w:hAnsi="Arial" w:cs="Arial"/>
          <w:sz w:val="22"/>
          <w:szCs w:val="22"/>
        </w:rPr>
      </w:pPr>
      <w:r w:rsidRPr="00953D78">
        <w:rPr>
          <w:rFonts w:ascii="Arial" w:hAnsi="Arial" w:cs="Arial"/>
          <w:sz w:val="22"/>
          <w:szCs w:val="22"/>
        </w:rPr>
        <w:t xml:space="preserve">Under the Retail Law, we can exempt people or businesses (sometimes referred to as exempt sellers, </w:t>
      </w:r>
      <w:proofErr w:type="spellStart"/>
      <w:r w:rsidRPr="00953D78">
        <w:rPr>
          <w:rFonts w:ascii="Arial" w:hAnsi="Arial" w:cs="Arial"/>
          <w:sz w:val="22"/>
          <w:szCs w:val="22"/>
        </w:rPr>
        <w:t>onsellers</w:t>
      </w:r>
      <w:proofErr w:type="spellEnd"/>
      <w:r w:rsidRPr="00953D78">
        <w:rPr>
          <w:rFonts w:ascii="Arial" w:hAnsi="Arial" w:cs="Arial"/>
          <w:sz w:val="22"/>
          <w:szCs w:val="22"/>
        </w:rPr>
        <w:t>, or non-authorised sellers) from the requirement to hold a retailer authorisation.</w:t>
      </w:r>
      <w:r w:rsidRPr="00953D78">
        <w:rPr>
          <w:rStyle w:val="FootnoteReference"/>
          <w:rFonts w:ascii="Arial" w:hAnsi="Arial" w:cs="Arial"/>
          <w:sz w:val="22"/>
          <w:szCs w:val="22"/>
        </w:rPr>
        <w:footnoteReference w:id="2"/>
      </w:r>
      <w:r w:rsidRPr="00953D78">
        <w:rPr>
          <w:rFonts w:ascii="Arial" w:hAnsi="Arial" w:cs="Arial"/>
          <w:sz w:val="22"/>
          <w:szCs w:val="22"/>
        </w:rPr>
        <w:t xml:space="preserve"> We allow exemptions for situations where energy is sold but a retailer authorisation may not be appropriate – for example, the sale of energy in retirement homes or caravan parks, or where an owner buys energy from an authorised retailer and then sells it to tenants. </w:t>
      </w:r>
      <w:r w:rsidR="00953D78" w:rsidRPr="00953D78">
        <w:rPr>
          <w:rFonts w:ascii="Arial" w:hAnsi="Arial" w:cs="Arial"/>
          <w:sz w:val="22"/>
          <w:szCs w:val="22"/>
        </w:rPr>
        <w:t xml:space="preserve">The retail exemptions framework is aimed at giving exempt customers protections comparable to those of retail customers. However, exempt sellers differ from authorised retailers in that they usually lack the economies of scale and scope from which retailers benefit and mostly do not sell energy as their core business. </w:t>
      </w:r>
      <w:r w:rsidR="002A62EA">
        <w:rPr>
          <w:rFonts w:ascii="Arial" w:hAnsi="Arial" w:cs="Arial"/>
          <w:sz w:val="22"/>
          <w:szCs w:val="22"/>
        </w:rPr>
        <w:t xml:space="preserve">Often they have a pre-existing relationship with the customer (e.g. landlord-tenant) and </w:t>
      </w:r>
      <w:r w:rsidR="00953D78" w:rsidRPr="00953D78">
        <w:rPr>
          <w:rFonts w:ascii="Arial" w:hAnsi="Arial" w:cs="Arial"/>
          <w:sz w:val="22"/>
          <w:szCs w:val="22"/>
        </w:rPr>
        <w:t xml:space="preserve"> sell energy for a variety of reasons—as a matter of convenience, or incidentally, or simply in order to pass on energy costs. </w:t>
      </w:r>
      <w:r w:rsidRPr="00953D78">
        <w:rPr>
          <w:rFonts w:ascii="Arial" w:hAnsi="Arial" w:cs="Arial"/>
          <w:sz w:val="22"/>
          <w:szCs w:val="22"/>
        </w:rPr>
        <w:t xml:space="preserve">It would be burdensome and unnecessary to compel these businesses to obtain a retailer authorisation. </w:t>
      </w:r>
    </w:p>
    <w:p w:rsidR="00D86B98" w:rsidRPr="00D86B98" w:rsidRDefault="00D86B98" w:rsidP="002B2A4B">
      <w:pPr>
        <w:pStyle w:val="AERbodytext"/>
        <w:jc w:val="left"/>
        <w:rPr>
          <w:rFonts w:ascii="Arial" w:hAnsi="Arial" w:cs="Arial"/>
          <w:sz w:val="22"/>
          <w:szCs w:val="22"/>
        </w:rPr>
      </w:pPr>
      <w:r w:rsidRPr="00D86B98">
        <w:rPr>
          <w:rFonts w:ascii="Arial" w:hAnsi="Arial" w:cs="Arial"/>
          <w:sz w:val="22"/>
          <w:szCs w:val="22"/>
        </w:rPr>
        <w:t>There are three kinds of exemptions provided for in the Retail Rules,</w:t>
      </w:r>
      <w:r w:rsidRPr="00D86B98">
        <w:rPr>
          <w:rStyle w:val="FootnoteReference"/>
          <w:rFonts w:ascii="Arial" w:hAnsi="Arial" w:cs="Arial"/>
          <w:sz w:val="22"/>
          <w:szCs w:val="22"/>
        </w:rPr>
        <w:footnoteReference w:id="3"/>
      </w:r>
      <w:r w:rsidRPr="00D86B98">
        <w:rPr>
          <w:rFonts w:ascii="Arial" w:hAnsi="Arial" w:cs="Arial"/>
          <w:sz w:val="22"/>
          <w:szCs w:val="22"/>
        </w:rPr>
        <w:t xml:space="preserve"> being: </w:t>
      </w:r>
    </w:p>
    <w:p w:rsidR="00D86B98" w:rsidRPr="00D86B98" w:rsidRDefault="00D86B98" w:rsidP="00F45305">
      <w:pPr>
        <w:pStyle w:val="AERbodytext"/>
        <w:numPr>
          <w:ilvl w:val="0"/>
          <w:numId w:val="46"/>
        </w:numPr>
        <w:spacing w:line="240" w:lineRule="auto"/>
        <w:jc w:val="left"/>
        <w:rPr>
          <w:rFonts w:ascii="Arial" w:hAnsi="Arial" w:cs="Arial"/>
          <w:sz w:val="22"/>
          <w:szCs w:val="22"/>
        </w:rPr>
      </w:pPr>
      <w:r w:rsidRPr="00D86B98">
        <w:rPr>
          <w:rFonts w:ascii="Arial" w:hAnsi="Arial" w:cs="Arial"/>
          <w:sz w:val="22"/>
          <w:szCs w:val="22"/>
        </w:rPr>
        <w:t>deemed exemptio</w:t>
      </w:r>
      <w:r>
        <w:rPr>
          <w:rFonts w:ascii="Arial" w:hAnsi="Arial" w:cs="Arial"/>
          <w:sz w:val="22"/>
          <w:szCs w:val="22"/>
        </w:rPr>
        <w:t>ns (which apply automatically)</w:t>
      </w:r>
    </w:p>
    <w:p w:rsidR="00D86B98" w:rsidRPr="00D86B98" w:rsidRDefault="00D86B98">
      <w:pPr>
        <w:pStyle w:val="AERbodytext"/>
        <w:numPr>
          <w:ilvl w:val="0"/>
          <w:numId w:val="46"/>
        </w:numPr>
        <w:spacing w:line="240" w:lineRule="auto"/>
        <w:jc w:val="left"/>
        <w:rPr>
          <w:rFonts w:ascii="Arial" w:hAnsi="Arial" w:cs="Arial"/>
          <w:sz w:val="22"/>
          <w:szCs w:val="22"/>
        </w:rPr>
      </w:pPr>
      <w:r w:rsidRPr="00D86B98">
        <w:rPr>
          <w:rFonts w:ascii="Arial" w:hAnsi="Arial" w:cs="Arial"/>
          <w:sz w:val="22"/>
          <w:szCs w:val="22"/>
        </w:rPr>
        <w:t>registrable exemptions (which apply when an eligible person registers with the AER)</w:t>
      </w:r>
      <w:r w:rsidRPr="00D86B98">
        <w:rPr>
          <w:rStyle w:val="FootnoteReference"/>
          <w:rFonts w:ascii="Arial" w:hAnsi="Arial" w:cs="Arial"/>
          <w:sz w:val="22"/>
          <w:szCs w:val="22"/>
        </w:rPr>
        <w:footnoteReference w:id="4"/>
      </w:r>
      <w:r w:rsidRPr="00D86B98">
        <w:rPr>
          <w:rFonts w:ascii="Arial" w:hAnsi="Arial" w:cs="Arial"/>
          <w:sz w:val="22"/>
          <w:szCs w:val="22"/>
        </w:rPr>
        <w:t xml:space="preserve"> and</w:t>
      </w:r>
    </w:p>
    <w:p w:rsidR="00D86B98" w:rsidRPr="00D86B98" w:rsidRDefault="00D86B98">
      <w:pPr>
        <w:pStyle w:val="AERbodytext"/>
        <w:numPr>
          <w:ilvl w:val="0"/>
          <w:numId w:val="46"/>
        </w:numPr>
        <w:spacing w:line="240" w:lineRule="auto"/>
        <w:jc w:val="left"/>
        <w:rPr>
          <w:rFonts w:ascii="Arial" w:hAnsi="Arial" w:cs="Arial"/>
          <w:sz w:val="22"/>
          <w:szCs w:val="22"/>
        </w:rPr>
      </w:pPr>
      <w:proofErr w:type="gramStart"/>
      <w:r w:rsidRPr="00D86B98">
        <w:rPr>
          <w:rFonts w:ascii="Arial" w:hAnsi="Arial" w:cs="Arial"/>
          <w:sz w:val="22"/>
          <w:szCs w:val="22"/>
        </w:rPr>
        <w:t>individual</w:t>
      </w:r>
      <w:proofErr w:type="gramEnd"/>
      <w:r w:rsidRPr="00D86B98">
        <w:rPr>
          <w:rFonts w:ascii="Arial" w:hAnsi="Arial" w:cs="Arial"/>
          <w:sz w:val="22"/>
          <w:szCs w:val="22"/>
        </w:rPr>
        <w:t xml:space="preserve"> exemptions (which are granted by the AER on a case by case basis, on application).  </w:t>
      </w:r>
    </w:p>
    <w:p w:rsidR="00D86B98" w:rsidRPr="00D86B98" w:rsidRDefault="00D86B98" w:rsidP="002B2A4B">
      <w:pPr>
        <w:pStyle w:val="AERbodytext"/>
        <w:jc w:val="left"/>
        <w:rPr>
          <w:rFonts w:ascii="Arial" w:hAnsi="Arial" w:cs="Arial"/>
          <w:sz w:val="22"/>
          <w:szCs w:val="22"/>
        </w:rPr>
      </w:pPr>
      <w:r w:rsidRPr="00D86B98">
        <w:rPr>
          <w:rFonts w:ascii="Arial" w:hAnsi="Arial" w:cs="Arial"/>
          <w:sz w:val="22"/>
          <w:szCs w:val="22"/>
        </w:rPr>
        <w:t>When performing our exempt selling functions, we must have regard to the exempt selling policy principles set out in the Retail Law.</w:t>
      </w:r>
      <w:r w:rsidRPr="00D86B98">
        <w:rPr>
          <w:rStyle w:val="FootnoteReference"/>
          <w:rFonts w:ascii="Arial" w:hAnsi="Arial" w:cs="Arial"/>
          <w:sz w:val="22"/>
          <w:szCs w:val="22"/>
        </w:rPr>
        <w:footnoteReference w:id="5"/>
      </w:r>
      <w:r w:rsidRPr="00D86B98">
        <w:rPr>
          <w:rFonts w:ascii="Arial" w:hAnsi="Arial" w:cs="Arial"/>
          <w:sz w:val="22"/>
          <w:szCs w:val="22"/>
        </w:rPr>
        <w:t xml:space="preserve"> We may also consider the exempt seller factors, </w:t>
      </w:r>
      <w:r w:rsidRPr="00D86B98">
        <w:rPr>
          <w:rFonts w:ascii="Arial" w:hAnsi="Arial" w:cs="Arial"/>
          <w:sz w:val="22"/>
          <w:szCs w:val="22"/>
        </w:rPr>
        <w:lastRenderedPageBreak/>
        <w:t>and the customer related factors, also set out in the Retail Law.</w:t>
      </w:r>
      <w:r w:rsidRPr="00D86B98">
        <w:rPr>
          <w:rStyle w:val="FootnoteReference"/>
          <w:rFonts w:ascii="Arial" w:hAnsi="Arial" w:cs="Arial"/>
          <w:sz w:val="22"/>
          <w:szCs w:val="22"/>
        </w:rPr>
        <w:footnoteReference w:id="6"/>
      </w:r>
      <w:r w:rsidRPr="00D86B98">
        <w:rPr>
          <w:rFonts w:ascii="Arial" w:hAnsi="Arial" w:cs="Arial"/>
          <w:sz w:val="22"/>
          <w:szCs w:val="22"/>
        </w:rPr>
        <w:t xml:space="preserve"> These factors and principles have guided us in the development and amendment of the guideline.  </w:t>
      </w:r>
    </w:p>
    <w:p w:rsidR="009709D9" w:rsidRDefault="003E193F" w:rsidP="009709D9">
      <w:pPr>
        <w:pStyle w:val="Heading1"/>
      </w:pPr>
      <w:bookmarkStart w:id="10" w:name="_Toc416439176"/>
      <w:r>
        <w:lastRenderedPageBreak/>
        <w:t>A</w:t>
      </w:r>
      <w:r w:rsidR="009709D9">
        <w:t>mendments</w:t>
      </w:r>
      <w:r>
        <w:t xml:space="preserve"> to the guideline</w:t>
      </w:r>
      <w:bookmarkEnd w:id="10"/>
    </w:p>
    <w:p w:rsidR="009709D9" w:rsidRDefault="009C4A05" w:rsidP="0097498D">
      <w:pPr>
        <w:spacing w:after="200"/>
      </w:pPr>
      <w:r>
        <w:t>A</w:t>
      </w:r>
      <w:r w:rsidR="009709D9">
        <w:t>mendments to the guideline are summarised below. The</w:t>
      </w:r>
      <w:r>
        <w:t xml:space="preserve"> revised guideline</w:t>
      </w:r>
      <w:r w:rsidR="009709D9">
        <w:t xml:space="preserve"> is available on our website at </w:t>
      </w:r>
      <w:hyperlink r:id="rId12" w:history="1">
        <w:r w:rsidR="009709D9">
          <w:rPr>
            <w:rStyle w:val="Hyperlink"/>
          </w:rPr>
          <w:t>www.aer.gov.au</w:t>
        </w:r>
      </w:hyperlink>
      <w:r w:rsidR="009709D9">
        <w:t>.</w:t>
      </w:r>
    </w:p>
    <w:p w:rsidR="00F45305" w:rsidRDefault="009C4A05" w:rsidP="0097498D">
      <w:pPr>
        <w:pStyle w:val="AERbodytext"/>
        <w:spacing w:before="120"/>
        <w:jc w:val="left"/>
        <w:rPr>
          <w:rFonts w:ascii="Arial" w:hAnsi="Arial" w:cs="Arial"/>
          <w:sz w:val="22"/>
          <w:szCs w:val="22"/>
        </w:rPr>
      </w:pPr>
      <w:r w:rsidRPr="002B2A4B">
        <w:rPr>
          <w:rFonts w:ascii="Arial" w:hAnsi="Arial" w:cs="Arial"/>
          <w:sz w:val="22"/>
          <w:szCs w:val="22"/>
        </w:rPr>
        <w:t xml:space="preserve">The </w:t>
      </w:r>
      <w:r w:rsidR="005E4320" w:rsidRPr="002B2A4B">
        <w:rPr>
          <w:rFonts w:ascii="Arial" w:hAnsi="Arial" w:cs="Arial"/>
          <w:sz w:val="22"/>
          <w:szCs w:val="22"/>
        </w:rPr>
        <w:t xml:space="preserve">amendments </w:t>
      </w:r>
      <w:r w:rsidRPr="002B2A4B">
        <w:rPr>
          <w:rFonts w:ascii="Arial" w:hAnsi="Arial" w:cs="Arial"/>
          <w:sz w:val="22"/>
          <w:szCs w:val="22"/>
        </w:rPr>
        <w:t>address</w:t>
      </w:r>
      <w:r w:rsidR="005E4320" w:rsidRPr="002B2A4B">
        <w:rPr>
          <w:rFonts w:ascii="Arial" w:hAnsi="Arial" w:cs="Arial"/>
          <w:sz w:val="22"/>
          <w:szCs w:val="22"/>
        </w:rPr>
        <w:t xml:space="preserve"> the closure of certain classes of registrable exemption</w:t>
      </w:r>
      <w:r w:rsidR="00BB34F2" w:rsidRPr="002B2A4B">
        <w:rPr>
          <w:rFonts w:ascii="Arial" w:hAnsi="Arial" w:cs="Arial"/>
          <w:sz w:val="22"/>
          <w:szCs w:val="22"/>
        </w:rPr>
        <w:t xml:space="preserve"> </w:t>
      </w:r>
      <w:r w:rsidR="00FC3231" w:rsidRPr="002B2A4B">
        <w:rPr>
          <w:rFonts w:ascii="Arial" w:hAnsi="Arial" w:cs="Arial"/>
          <w:sz w:val="22"/>
          <w:szCs w:val="22"/>
        </w:rPr>
        <w:t xml:space="preserve">on </w:t>
      </w:r>
      <w:r w:rsidR="00D96D02">
        <w:rPr>
          <w:rFonts w:ascii="Arial" w:hAnsi="Arial" w:cs="Arial"/>
          <w:sz w:val="22"/>
          <w:szCs w:val="22"/>
        </w:rPr>
        <w:t>1 </w:t>
      </w:r>
      <w:r w:rsidR="00BB34F2" w:rsidRPr="002B2A4B">
        <w:rPr>
          <w:rFonts w:ascii="Arial" w:hAnsi="Arial" w:cs="Arial"/>
          <w:sz w:val="22"/>
          <w:szCs w:val="22"/>
        </w:rPr>
        <w:t>January 2015</w:t>
      </w:r>
      <w:r w:rsidRPr="002B2A4B">
        <w:rPr>
          <w:rFonts w:ascii="Arial" w:hAnsi="Arial" w:cs="Arial"/>
          <w:sz w:val="22"/>
          <w:szCs w:val="22"/>
        </w:rPr>
        <w:t xml:space="preserve">. </w:t>
      </w:r>
      <w:r w:rsidR="005E4320" w:rsidRPr="002B2A4B">
        <w:rPr>
          <w:rFonts w:ascii="Arial" w:hAnsi="Arial" w:cs="Arial"/>
          <w:sz w:val="22"/>
          <w:szCs w:val="22"/>
        </w:rPr>
        <w:t xml:space="preserve"> </w:t>
      </w:r>
      <w:r w:rsidRPr="002B2A4B">
        <w:rPr>
          <w:rFonts w:ascii="Arial" w:hAnsi="Arial" w:cs="Arial"/>
          <w:sz w:val="22"/>
          <w:szCs w:val="22"/>
        </w:rPr>
        <w:t xml:space="preserve">A number of editorial changes have also been made to the introductory section of the guideline to bring it into line with the recently revised </w:t>
      </w:r>
      <w:r w:rsidRPr="002B2A4B">
        <w:rPr>
          <w:rFonts w:ascii="Arial" w:hAnsi="Arial" w:cs="Arial"/>
          <w:i/>
          <w:sz w:val="22"/>
          <w:szCs w:val="22"/>
        </w:rPr>
        <w:t>Retailer Authorisation Guideline</w:t>
      </w:r>
      <w:r w:rsidRPr="002B2A4B">
        <w:rPr>
          <w:rFonts w:ascii="Arial" w:hAnsi="Arial" w:cs="Arial"/>
          <w:sz w:val="22"/>
          <w:szCs w:val="22"/>
        </w:rPr>
        <w:t xml:space="preserve">. </w:t>
      </w:r>
      <w:r w:rsidR="00F45305" w:rsidRPr="002B2A4B">
        <w:rPr>
          <w:rFonts w:ascii="Arial" w:hAnsi="Arial" w:cs="Arial"/>
          <w:sz w:val="22"/>
          <w:szCs w:val="22"/>
        </w:rPr>
        <w:t xml:space="preserve">Otherwise, the policy decisions underpinning the guideline remain substantively unchanged. </w:t>
      </w:r>
    </w:p>
    <w:p w:rsidR="00C36874" w:rsidRPr="00C36874" w:rsidRDefault="00C36874" w:rsidP="00C36874">
      <w:pPr>
        <w:pStyle w:val="AERbodytext"/>
        <w:spacing w:before="120"/>
        <w:jc w:val="left"/>
        <w:rPr>
          <w:rFonts w:ascii="Arial" w:hAnsi="Arial" w:cs="Arial"/>
          <w:sz w:val="22"/>
          <w:szCs w:val="22"/>
        </w:rPr>
      </w:pPr>
      <w:r>
        <w:rPr>
          <w:rFonts w:ascii="Arial" w:hAnsi="Arial" w:cs="Arial"/>
          <w:sz w:val="22"/>
          <w:szCs w:val="22"/>
        </w:rPr>
        <w:t xml:space="preserve">In accordance with the </w:t>
      </w:r>
      <w:r w:rsidR="002F36FA">
        <w:rPr>
          <w:rFonts w:ascii="Arial" w:hAnsi="Arial" w:cs="Arial"/>
          <w:sz w:val="22"/>
          <w:szCs w:val="22"/>
        </w:rPr>
        <w:t>r</w:t>
      </w:r>
      <w:r>
        <w:rPr>
          <w:rFonts w:ascii="Arial" w:hAnsi="Arial" w:cs="Arial"/>
          <w:sz w:val="22"/>
          <w:szCs w:val="22"/>
        </w:rPr>
        <w:t xml:space="preserve">etail </w:t>
      </w:r>
      <w:r w:rsidR="002F36FA">
        <w:rPr>
          <w:rFonts w:ascii="Arial" w:hAnsi="Arial" w:cs="Arial"/>
          <w:sz w:val="22"/>
          <w:szCs w:val="22"/>
        </w:rPr>
        <w:t>c</w:t>
      </w:r>
      <w:r>
        <w:rPr>
          <w:rFonts w:ascii="Arial" w:hAnsi="Arial" w:cs="Arial"/>
          <w:sz w:val="22"/>
          <w:szCs w:val="22"/>
        </w:rPr>
        <w:t>onsultation</w:t>
      </w:r>
      <w:r w:rsidR="002F36FA">
        <w:rPr>
          <w:rFonts w:ascii="Arial" w:hAnsi="Arial" w:cs="Arial"/>
          <w:sz w:val="22"/>
          <w:szCs w:val="22"/>
        </w:rPr>
        <w:t xml:space="preserve"> procedure,</w:t>
      </w:r>
      <w:r w:rsidR="002F36FA">
        <w:rPr>
          <w:rStyle w:val="FootnoteReference"/>
          <w:rFonts w:ascii="Arial" w:hAnsi="Arial" w:cs="Arial"/>
          <w:sz w:val="22"/>
          <w:szCs w:val="22"/>
        </w:rPr>
        <w:footnoteReference w:id="7"/>
      </w:r>
      <w:r w:rsidR="002F36FA">
        <w:rPr>
          <w:rFonts w:ascii="Arial" w:hAnsi="Arial" w:cs="Arial"/>
          <w:sz w:val="22"/>
          <w:szCs w:val="22"/>
        </w:rPr>
        <w:t xml:space="preserve"> the AER sought written submissions on the</w:t>
      </w:r>
      <w:r w:rsidRPr="00C36874">
        <w:rPr>
          <w:rFonts w:ascii="Arial" w:hAnsi="Arial" w:cs="Arial"/>
          <w:sz w:val="22"/>
          <w:szCs w:val="22"/>
        </w:rPr>
        <w:t xml:space="preserve"> amended guideline and draft notice of instrument</w:t>
      </w:r>
      <w:r w:rsidR="002F36FA">
        <w:rPr>
          <w:rFonts w:ascii="Arial" w:hAnsi="Arial" w:cs="Arial"/>
          <w:sz w:val="22"/>
          <w:szCs w:val="22"/>
        </w:rPr>
        <w:t>. W</w:t>
      </w:r>
      <w:r w:rsidRPr="00C36874">
        <w:rPr>
          <w:rFonts w:ascii="Arial" w:hAnsi="Arial" w:cs="Arial"/>
          <w:sz w:val="22"/>
          <w:szCs w:val="22"/>
        </w:rPr>
        <w:t>e received two submissions</w:t>
      </w:r>
      <w:r>
        <w:rPr>
          <w:rFonts w:ascii="Arial" w:hAnsi="Arial" w:cs="Arial"/>
          <w:sz w:val="22"/>
          <w:szCs w:val="22"/>
        </w:rPr>
        <w:t xml:space="preserve">. These submissions raised </w:t>
      </w:r>
      <w:r w:rsidRPr="00C36874">
        <w:rPr>
          <w:rFonts w:ascii="Arial" w:hAnsi="Arial" w:cs="Arial"/>
          <w:sz w:val="22"/>
          <w:szCs w:val="22"/>
        </w:rPr>
        <w:t xml:space="preserve">important issues that </w:t>
      </w:r>
      <w:r w:rsidR="002F36FA">
        <w:rPr>
          <w:rFonts w:ascii="Arial" w:hAnsi="Arial" w:cs="Arial"/>
          <w:sz w:val="22"/>
          <w:szCs w:val="22"/>
        </w:rPr>
        <w:t xml:space="preserve">were </w:t>
      </w:r>
      <w:r w:rsidR="002F36FA" w:rsidRPr="00C36874">
        <w:rPr>
          <w:rFonts w:ascii="Arial" w:hAnsi="Arial" w:cs="Arial"/>
          <w:sz w:val="22"/>
          <w:szCs w:val="22"/>
        </w:rPr>
        <w:t xml:space="preserve">outside the scope of </w:t>
      </w:r>
      <w:r w:rsidR="002F36FA">
        <w:rPr>
          <w:rFonts w:ascii="Arial" w:hAnsi="Arial" w:cs="Arial"/>
          <w:sz w:val="22"/>
          <w:szCs w:val="22"/>
        </w:rPr>
        <w:t xml:space="preserve">the </w:t>
      </w:r>
      <w:r w:rsidR="002F36FA" w:rsidRPr="00C36874">
        <w:rPr>
          <w:rFonts w:ascii="Arial" w:hAnsi="Arial" w:cs="Arial"/>
          <w:sz w:val="22"/>
          <w:szCs w:val="22"/>
        </w:rPr>
        <w:t xml:space="preserve">review </w:t>
      </w:r>
      <w:r w:rsidR="002F36FA">
        <w:rPr>
          <w:rFonts w:ascii="Arial" w:hAnsi="Arial" w:cs="Arial"/>
          <w:sz w:val="22"/>
          <w:szCs w:val="22"/>
        </w:rPr>
        <w:t xml:space="preserve">but </w:t>
      </w:r>
      <w:r w:rsidRPr="00C36874">
        <w:rPr>
          <w:rFonts w:ascii="Arial" w:hAnsi="Arial" w:cs="Arial"/>
          <w:sz w:val="22"/>
          <w:szCs w:val="22"/>
        </w:rPr>
        <w:t>will be addressed in the next review of the guideline</w:t>
      </w:r>
      <w:r w:rsidR="002F36FA">
        <w:rPr>
          <w:rFonts w:ascii="Arial" w:hAnsi="Arial" w:cs="Arial"/>
          <w:sz w:val="22"/>
          <w:szCs w:val="22"/>
        </w:rPr>
        <w:t xml:space="preserve">. </w:t>
      </w:r>
    </w:p>
    <w:p w:rsidR="009709D9" w:rsidRDefault="009709D9" w:rsidP="009709D9">
      <w:pPr>
        <w:pStyle w:val="Heading2"/>
      </w:pPr>
      <w:bookmarkStart w:id="11" w:name="_Toc416439177"/>
      <w:r>
        <w:t>Introductory section</w:t>
      </w:r>
      <w:bookmarkEnd w:id="11"/>
    </w:p>
    <w:p w:rsidR="009709D9" w:rsidRDefault="00301765" w:rsidP="009709D9">
      <w:pPr>
        <w:spacing w:after="200"/>
      </w:pPr>
      <w:r>
        <w:t>T</w:t>
      </w:r>
      <w:r w:rsidR="009709D9">
        <w:t>he introductory section of the guideline</w:t>
      </w:r>
      <w:r w:rsidR="00BB34F2">
        <w:t xml:space="preserve"> </w:t>
      </w:r>
      <w:r>
        <w:t>has been simplified</w:t>
      </w:r>
      <w:r w:rsidR="00FC3231">
        <w:t xml:space="preserve"> in line with the </w:t>
      </w:r>
      <w:hyperlink r:id="rId13" w:history="1">
        <w:r w:rsidR="00BB34F2">
          <w:rPr>
            <w:rStyle w:val="Hyperlink"/>
          </w:rPr>
          <w:t xml:space="preserve">AER’s revised Retailer </w:t>
        </w:r>
        <w:r>
          <w:rPr>
            <w:rStyle w:val="Hyperlink"/>
          </w:rPr>
          <w:t>A</w:t>
        </w:r>
        <w:r w:rsidR="00BB34F2">
          <w:rPr>
            <w:rStyle w:val="Hyperlink"/>
          </w:rPr>
          <w:t xml:space="preserve">uthorisation </w:t>
        </w:r>
        <w:r>
          <w:rPr>
            <w:rStyle w:val="Hyperlink"/>
          </w:rPr>
          <w:t>G</w:t>
        </w:r>
        <w:r w:rsidR="00BB34F2">
          <w:rPr>
            <w:rStyle w:val="Hyperlink"/>
          </w:rPr>
          <w:t>uideline v2</w:t>
        </w:r>
      </w:hyperlink>
      <w:r w:rsidR="009709D9">
        <w:t xml:space="preserve">. </w:t>
      </w:r>
      <w:r w:rsidR="00FC3231">
        <w:t xml:space="preserve">The changes to this section </w:t>
      </w:r>
      <w:r>
        <w:t>will</w:t>
      </w:r>
      <w:r w:rsidR="00FC3231">
        <w:t xml:space="preserve"> make the descriptions of AER’s authorisation and exempt selling frameworks consistent. </w:t>
      </w:r>
    </w:p>
    <w:p w:rsidR="009709D9" w:rsidRDefault="00FF143C" w:rsidP="009709D9">
      <w:pPr>
        <w:pStyle w:val="Heading2"/>
      </w:pPr>
      <w:bookmarkStart w:id="12" w:name="_Toc416439178"/>
      <w:r>
        <w:t>R</w:t>
      </w:r>
      <w:r w:rsidR="009709D9">
        <w:t>egistrable exemptions</w:t>
      </w:r>
      <w:r>
        <w:t xml:space="preserve"> and </w:t>
      </w:r>
      <w:r w:rsidR="00A34041">
        <w:t>new entrants</w:t>
      </w:r>
      <w:bookmarkEnd w:id="12"/>
    </w:p>
    <w:p w:rsidR="00A046FE" w:rsidRDefault="00667B38" w:rsidP="009709D9">
      <w:r>
        <w:t xml:space="preserve">Under </w:t>
      </w:r>
      <w:r w:rsidR="00C9178D">
        <w:t xml:space="preserve">the </w:t>
      </w:r>
      <w:r w:rsidR="00301765">
        <w:t xml:space="preserve">previous </w:t>
      </w:r>
      <w:r w:rsidR="00C9178D">
        <w:t>version of the guideline a</w:t>
      </w:r>
      <w:r w:rsidR="009709D9">
        <w:t xml:space="preserve"> number of registrable class exemption categories close</w:t>
      </w:r>
      <w:r w:rsidR="00301765">
        <w:t>d</w:t>
      </w:r>
      <w:r w:rsidR="009709D9">
        <w:t xml:space="preserve"> </w:t>
      </w:r>
      <w:r w:rsidR="00160BF5">
        <w:t xml:space="preserve">to new entrants </w:t>
      </w:r>
      <w:r w:rsidR="00F45305">
        <w:t xml:space="preserve">from </w:t>
      </w:r>
      <w:r w:rsidR="00CA6A47">
        <w:t>1 </w:t>
      </w:r>
      <w:r w:rsidR="009709D9">
        <w:t>January 2015.</w:t>
      </w:r>
      <w:r w:rsidR="00F065A1">
        <w:t xml:space="preserve"> </w:t>
      </w:r>
      <w:r w:rsidR="009709D9">
        <w:t xml:space="preserve"> </w:t>
      </w:r>
      <w:r w:rsidR="00301765">
        <w:t>A</w:t>
      </w:r>
      <w:r w:rsidR="00D05ADA">
        <w:t xml:space="preserve">ll but two of these classes </w:t>
      </w:r>
      <w:r w:rsidR="00301765">
        <w:t>will be re-</w:t>
      </w:r>
      <w:r w:rsidR="00D05ADA">
        <w:t>open</w:t>
      </w:r>
      <w:r w:rsidR="00301765">
        <w:t>ed, namely classes R6</w:t>
      </w:r>
      <w:r w:rsidR="00301765">
        <w:rPr>
          <w:rStyle w:val="FootnoteReference"/>
        </w:rPr>
        <w:footnoteReference w:id="8"/>
      </w:r>
      <w:r w:rsidR="00301765">
        <w:t xml:space="preserve"> and R7</w:t>
      </w:r>
      <w:r w:rsidR="00301765">
        <w:rPr>
          <w:rStyle w:val="FootnoteReference"/>
        </w:rPr>
        <w:footnoteReference w:id="9"/>
      </w:r>
      <w:r>
        <w:t>.</w:t>
      </w:r>
      <w:r w:rsidR="00301765">
        <w:t xml:space="preserve"> Except where embedded networks are retrofitted, classes R1</w:t>
      </w:r>
      <w:r w:rsidR="00301765">
        <w:rPr>
          <w:rStyle w:val="FootnoteReference"/>
        </w:rPr>
        <w:footnoteReference w:id="10"/>
      </w:r>
      <w:r w:rsidR="00301765">
        <w:t>, R2</w:t>
      </w:r>
      <w:r w:rsidR="00301765">
        <w:rPr>
          <w:rStyle w:val="FootnoteReference"/>
        </w:rPr>
        <w:footnoteReference w:id="11"/>
      </w:r>
      <w:r w:rsidR="00301765">
        <w:t xml:space="preserve">, </w:t>
      </w:r>
      <w:r w:rsidR="00301765" w:rsidRPr="00E16D40">
        <w:t>and R3</w:t>
      </w:r>
      <w:r w:rsidR="00301765" w:rsidRPr="00E16D40">
        <w:rPr>
          <w:rStyle w:val="FootnoteReference"/>
        </w:rPr>
        <w:footnoteReference w:id="12"/>
      </w:r>
      <w:r w:rsidR="00301765">
        <w:t xml:space="preserve"> </w:t>
      </w:r>
      <w:r w:rsidR="00D604F2">
        <w:t>have been</w:t>
      </w:r>
      <w:r w:rsidR="00301765">
        <w:t xml:space="preserve"> re-opened.</w:t>
      </w:r>
      <w:r w:rsidR="00D05ADA">
        <w:t xml:space="preserve"> </w:t>
      </w:r>
      <w:r w:rsidR="00D604F2">
        <w:t>Classes</w:t>
      </w:r>
      <w:r w:rsidR="00187794">
        <w:t xml:space="preserve"> R6 and R7 </w:t>
      </w:r>
      <w:r w:rsidR="00D604F2">
        <w:t xml:space="preserve">were closed </w:t>
      </w:r>
      <w:r w:rsidR="00187794">
        <w:t xml:space="preserve">because </w:t>
      </w:r>
      <w:r w:rsidR="00C36874">
        <w:t>they were</w:t>
      </w:r>
      <w:r w:rsidR="00B929E8">
        <w:t xml:space="preserve"> not intended to cover new arrangements but rather </w:t>
      </w:r>
      <w:r w:rsidR="001E5DD1">
        <w:t xml:space="preserve">legacy </w:t>
      </w:r>
      <w:r w:rsidR="00A046FE">
        <w:t xml:space="preserve">arrangements that </w:t>
      </w:r>
      <w:r w:rsidR="00387520">
        <w:t xml:space="preserve">were put in place </w:t>
      </w:r>
      <w:r w:rsidR="00387520" w:rsidRPr="00387520">
        <w:t xml:space="preserve">before the Retail Law and </w:t>
      </w:r>
      <w:r w:rsidR="00387520">
        <w:t xml:space="preserve">Retail </w:t>
      </w:r>
      <w:r w:rsidR="00387520" w:rsidRPr="00387520">
        <w:t xml:space="preserve">Rules commenced. </w:t>
      </w:r>
      <w:r w:rsidR="00387520">
        <w:t>Sellers who would previously have been eligible under these classes can still apply for individual exemption</w:t>
      </w:r>
      <w:r w:rsidR="00F45305">
        <w:t xml:space="preserve">s. </w:t>
      </w:r>
      <w:r w:rsidR="00243743">
        <w:t xml:space="preserve"> </w:t>
      </w:r>
    </w:p>
    <w:p w:rsidR="00A046FE" w:rsidRDefault="001E5DD1" w:rsidP="009709D9">
      <w:r>
        <w:t xml:space="preserve">Under the previous version of the guideline, a number of exemption classes—both deemed and registrable—were </w:t>
      </w:r>
      <w:proofErr w:type="spellStart"/>
      <w:r>
        <w:t>to</w:t>
      </w:r>
      <w:proofErr w:type="spellEnd"/>
      <w:r>
        <w:t xml:space="preserve"> close </w:t>
      </w:r>
      <w:r w:rsidR="00F45305">
        <w:t xml:space="preserve">to </w:t>
      </w:r>
      <w:r>
        <w:t xml:space="preserve">any sites retrofitted </w:t>
      </w:r>
      <w:r w:rsidR="0097498D">
        <w:t>after 1</w:t>
      </w:r>
      <w:r w:rsidR="00B929E8">
        <w:t xml:space="preserve"> January 2015</w:t>
      </w:r>
      <w:r>
        <w:t xml:space="preserve">. </w:t>
      </w:r>
      <w:r w:rsidR="00B929E8">
        <w:t xml:space="preserve"> We consider that all customers should be able to choose their energy retailer and therefore do not support </w:t>
      </w:r>
      <w:r w:rsidR="00B929E8">
        <w:lastRenderedPageBreak/>
        <w:t>the creation of infrastructure that deliberately reduces a customer’s ability to exercise choice</w:t>
      </w:r>
      <w:r w:rsidR="00D95079">
        <w:t>. T</w:t>
      </w:r>
      <w:r>
        <w:t xml:space="preserve">hese restrictions </w:t>
      </w:r>
      <w:r w:rsidR="00D95079">
        <w:t xml:space="preserve">on exemption registrations </w:t>
      </w:r>
      <w:r>
        <w:t xml:space="preserve">have </w:t>
      </w:r>
      <w:r w:rsidR="00D95079">
        <w:t xml:space="preserve">therefore </w:t>
      </w:r>
      <w:r>
        <w:t>been retained</w:t>
      </w:r>
      <w:r w:rsidR="00D95079">
        <w:t xml:space="preserve">.  </w:t>
      </w:r>
    </w:p>
    <w:p w:rsidR="00BB3CB6" w:rsidRDefault="00B929E8" w:rsidP="009709D9">
      <w:pPr>
        <w:rPr>
          <w:rFonts w:cs="Arial"/>
        </w:rPr>
      </w:pPr>
      <w:r>
        <w:t>We consider that keep</w:t>
      </w:r>
      <w:r w:rsidR="00387520">
        <w:t>ing</w:t>
      </w:r>
      <w:r>
        <w:t xml:space="preserve"> open R1, R2</w:t>
      </w:r>
      <w:r w:rsidR="00D95079">
        <w:t xml:space="preserve"> </w:t>
      </w:r>
      <w:r w:rsidR="00D95079" w:rsidRPr="00E16D40">
        <w:t>and R3</w:t>
      </w:r>
      <w:r>
        <w:t xml:space="preserve"> </w:t>
      </w:r>
      <w:r w:rsidR="00953D78">
        <w:t xml:space="preserve">(other than for retrofitted embedded networks) </w:t>
      </w:r>
      <w:r w:rsidR="00CA6A47" w:rsidRPr="00CA6A47">
        <w:t xml:space="preserve">will enable new sellers who would have been eligible under these classes to </w:t>
      </w:r>
      <w:r w:rsidR="00A104DC">
        <w:t>still</w:t>
      </w:r>
      <w:r w:rsidR="00CA6A47" w:rsidRPr="00CA6A47">
        <w:t xml:space="preserve"> register their selling activities, thus ensuring a level playing field </w:t>
      </w:r>
      <w:r w:rsidR="00C9178D">
        <w:t xml:space="preserve">between </w:t>
      </w:r>
      <w:r w:rsidR="002970C1">
        <w:t>existing</w:t>
      </w:r>
      <w:r w:rsidR="00C9178D">
        <w:t xml:space="preserve"> </w:t>
      </w:r>
      <w:r w:rsidR="002970C1">
        <w:t xml:space="preserve">and new </w:t>
      </w:r>
      <w:r w:rsidR="00C9178D">
        <w:t>exempt sellers</w:t>
      </w:r>
      <w:r w:rsidR="00CA6A47" w:rsidRPr="00CA6A47">
        <w:t xml:space="preserve">. It will also provide </w:t>
      </w:r>
      <w:r w:rsidR="00A912FB">
        <w:t xml:space="preserve">new </w:t>
      </w:r>
      <w:r w:rsidR="00C9178D">
        <w:t xml:space="preserve">exempt </w:t>
      </w:r>
      <w:r w:rsidR="00CA6A47" w:rsidRPr="00CA6A47">
        <w:t xml:space="preserve">sellers in jurisdictions where the Retail Law is yet to commence </w:t>
      </w:r>
      <w:r w:rsidR="00F05AA5">
        <w:t xml:space="preserve">with an opportunity </w:t>
      </w:r>
      <w:r w:rsidR="00CA6A47" w:rsidRPr="00CA6A47">
        <w:t xml:space="preserve">to register for </w:t>
      </w:r>
      <w:r w:rsidR="00A046FE">
        <w:t xml:space="preserve">one of these </w:t>
      </w:r>
      <w:r w:rsidR="00CA6A47" w:rsidRPr="00CA6A47">
        <w:t>class exemption</w:t>
      </w:r>
      <w:r w:rsidR="00A046FE">
        <w:t>s</w:t>
      </w:r>
      <w:r w:rsidR="00CA6A47" w:rsidRPr="00CA6A47">
        <w:t>. In reaching this view the AER ha</w:t>
      </w:r>
      <w:r w:rsidR="00D95079">
        <w:t>s ha</w:t>
      </w:r>
      <w:r w:rsidR="00CA6A47" w:rsidRPr="00CA6A47">
        <w:t xml:space="preserve">d regard to </w:t>
      </w:r>
      <w:r w:rsidR="00352CD6">
        <w:t xml:space="preserve">the need for </w:t>
      </w:r>
      <w:r w:rsidR="00CA6A47" w:rsidRPr="00CA6A47">
        <w:t>regulation to be fit for purpose</w:t>
      </w:r>
      <w:r w:rsidR="00BB3CB6">
        <w:t>.</w:t>
      </w:r>
      <w:r w:rsidR="00C9178D">
        <w:t xml:space="preserve"> </w:t>
      </w:r>
      <w:r w:rsidR="00BB3CB6">
        <w:t>I</w:t>
      </w:r>
      <w:r w:rsidR="002F6C23">
        <w:t>n particular, t</w:t>
      </w:r>
      <w:r w:rsidR="00A046FE">
        <w:t xml:space="preserve">hese classes are </w:t>
      </w:r>
      <w:r w:rsidR="00D120C4">
        <w:t xml:space="preserve">subject to </w:t>
      </w:r>
      <w:r w:rsidR="00A046FE" w:rsidRPr="00A046FE">
        <w:t xml:space="preserve">conditions that </w:t>
      </w:r>
      <w:r w:rsidR="00D120C4">
        <w:t xml:space="preserve">the exempt seller </w:t>
      </w:r>
      <w:r w:rsidR="00A046FE" w:rsidRPr="00A046FE">
        <w:t xml:space="preserve">must meet to be covered by that exemption. Conditions are designed to provide protections for customers without overburdening exempt sellers, and are modelled on the protections that authorised retailers must provide their customers. </w:t>
      </w:r>
      <w:r w:rsidR="00D120C4" w:rsidRPr="00D120C4">
        <w:t xml:space="preserve">The extent to which these </w:t>
      </w:r>
      <w:r w:rsidR="00D120C4">
        <w:t xml:space="preserve">conditions </w:t>
      </w:r>
      <w:r w:rsidR="00D120C4" w:rsidRPr="00D120C4">
        <w:t xml:space="preserve">apply to a particular class exemption depends largely on the nature of the energy sales and the customer type.  For example, residential exempt customers </w:t>
      </w:r>
      <w:r w:rsidR="00D120C4">
        <w:t xml:space="preserve">(R2) </w:t>
      </w:r>
      <w:r w:rsidR="00D120C4" w:rsidRPr="00D120C4">
        <w:t xml:space="preserve">will receive the greatest level of protection and should receive such protections as flexible payment plans if they identify themselves as experiencing financial </w:t>
      </w:r>
      <w:r w:rsidR="00D120C4" w:rsidRPr="00BA720B">
        <w:t>difficulty.</w:t>
      </w:r>
      <w:r w:rsidR="00D120C4" w:rsidRPr="000F6787">
        <w:rPr>
          <w:rFonts w:cs="Arial"/>
        </w:rPr>
        <w:t xml:space="preserve"> </w:t>
      </w:r>
    </w:p>
    <w:p w:rsidR="00CA6A47" w:rsidRDefault="002F6C23" w:rsidP="009709D9">
      <w:r w:rsidRPr="00BA720B">
        <w:rPr>
          <w:rFonts w:cs="Arial"/>
        </w:rPr>
        <w:t xml:space="preserve">Keeping classes </w:t>
      </w:r>
      <w:r w:rsidR="002B0076">
        <w:rPr>
          <w:rFonts w:cs="Arial"/>
        </w:rPr>
        <w:t xml:space="preserve">R1, R2 and R3 </w:t>
      </w:r>
      <w:r w:rsidRPr="00BA720B">
        <w:rPr>
          <w:rFonts w:cs="Arial"/>
        </w:rPr>
        <w:t xml:space="preserve">open will not lessen customer protections as individual exemption conditions are generally based on those of comparable class exemptions, but will reduce the administrative load of sellers and the AER. </w:t>
      </w:r>
      <w:r w:rsidR="00F45305">
        <w:rPr>
          <w:rFonts w:cs="Arial"/>
        </w:rPr>
        <w:t>Based on our experience, w</w:t>
      </w:r>
      <w:r w:rsidR="00C9178D" w:rsidRPr="00BA720B">
        <w:t xml:space="preserve">e </w:t>
      </w:r>
      <w:r w:rsidR="00352CD6" w:rsidRPr="000F6787">
        <w:t xml:space="preserve">consider </w:t>
      </w:r>
      <w:r w:rsidR="00C9178D" w:rsidRPr="000F6787">
        <w:t xml:space="preserve">that </w:t>
      </w:r>
      <w:r w:rsidR="00CA6A47" w:rsidRPr="000F6787">
        <w:t>a registrable exemption remains the right level of regulation given the low risk associated</w:t>
      </w:r>
      <w:r w:rsidR="00CA6A47" w:rsidRPr="00CA6A47">
        <w:t xml:space="preserve"> with the types of selling arrangements captured by the</w:t>
      </w:r>
      <w:r w:rsidR="00C9178D">
        <w:t>se classes</w:t>
      </w:r>
      <w:r w:rsidR="00F45305">
        <w:t xml:space="preserve">. </w:t>
      </w:r>
      <w:r w:rsidR="00953D78">
        <w:t>W</w:t>
      </w:r>
      <w:r w:rsidR="006008E6">
        <w:t xml:space="preserve">e </w:t>
      </w:r>
      <w:r w:rsidR="00953D78">
        <w:t xml:space="preserve">have received </w:t>
      </w:r>
      <w:r w:rsidR="005703A0">
        <w:t xml:space="preserve">few </w:t>
      </w:r>
      <w:r w:rsidR="00A046FE">
        <w:t xml:space="preserve">complaints from </w:t>
      </w:r>
      <w:r w:rsidR="00953D78">
        <w:t xml:space="preserve">exempt </w:t>
      </w:r>
      <w:r w:rsidR="00A046FE">
        <w:t>customers covered by these arrangements</w:t>
      </w:r>
      <w:r w:rsidR="006008E6">
        <w:rPr>
          <w:rStyle w:val="FootnoteReference"/>
        </w:rPr>
        <w:footnoteReference w:id="13"/>
      </w:r>
      <w:r w:rsidR="00A046FE">
        <w:t xml:space="preserve"> </w:t>
      </w:r>
      <w:r w:rsidR="00953D78">
        <w:t>even though registrations for these types of exemptions remain steady. T</w:t>
      </w:r>
      <w:r w:rsidR="006008E6">
        <w:t xml:space="preserve">his may indicate that the class conditions currently provide appropriate levels of customer protection. </w:t>
      </w:r>
      <w:r w:rsidR="00A046FE">
        <w:t xml:space="preserve">Exempt customers covered by R1, R2 and R3 arrangements are </w:t>
      </w:r>
      <w:r w:rsidR="00D120C4">
        <w:t xml:space="preserve">also </w:t>
      </w:r>
      <w:r w:rsidR="00953D78">
        <w:t xml:space="preserve">covered by all other relevant customer protection legislation, </w:t>
      </w:r>
      <w:r w:rsidR="00234E49">
        <w:t xml:space="preserve">for example, </w:t>
      </w:r>
      <w:r w:rsidR="00953D78">
        <w:t>the Australian Consumer Law.</w:t>
      </w:r>
    </w:p>
    <w:p w:rsidR="005E4320" w:rsidRPr="00353D0F" w:rsidRDefault="005E4320" w:rsidP="00353D0F">
      <w:pPr>
        <w:pStyle w:val="AERbodytext"/>
        <w:keepNext/>
        <w:spacing w:before="120"/>
      </w:pPr>
    </w:p>
    <w:sectPr w:rsidR="005E4320" w:rsidRPr="00353D0F" w:rsidSect="00C953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B2" w:rsidRDefault="00DE68B2" w:rsidP="00B14A00">
      <w:pPr>
        <w:spacing w:line="240" w:lineRule="auto"/>
      </w:pPr>
      <w:r>
        <w:separator/>
      </w:r>
    </w:p>
  </w:endnote>
  <w:endnote w:type="continuationSeparator" w:id="0">
    <w:p w:rsidR="00DE68B2" w:rsidRDefault="00DE68B2"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155C54">
    <w:pPr>
      <w:pStyle w:val="Footer"/>
      <w:jc w:val="right"/>
    </w:pPr>
    <w:r>
      <w:t>Notice of final instrument –</w:t>
    </w:r>
    <w:r w:rsidR="00861C38">
      <w:t xml:space="preserve"> AER (Retail</w:t>
    </w:r>
    <w:r w:rsidR="00EC276D">
      <w:t>)</w:t>
    </w:r>
    <w:r w:rsidR="00861C38">
      <w:t xml:space="preserve"> Exempt Selling </w:t>
    </w:r>
    <w:r w:rsidR="00EC276D">
      <w:t>G</w:t>
    </w:r>
    <w:r w:rsidR="00861C38">
      <w:t>uideline</w:t>
    </w:r>
    <w:r>
      <w:t xml:space="preserve"> – April 2015</w:t>
    </w:r>
    <w:r>
      <w:tab/>
    </w:r>
    <w:sdt>
      <w:sdtPr>
        <w:id w:val="1636304498"/>
        <w:docPartObj>
          <w:docPartGallery w:val="Page Numbers (Bottom of Page)"/>
          <w:docPartUnique/>
        </w:docPartObj>
      </w:sdtPr>
      <w:sdtEndPr>
        <w:rPr>
          <w:noProof/>
        </w:rPr>
      </w:sdtEndPr>
      <w:sdtContent>
        <w:r w:rsidR="00EC27E4">
          <w:fldChar w:fldCharType="begin"/>
        </w:r>
        <w:r w:rsidR="00EC27E4">
          <w:instrText xml:space="preserve"> PAGE   \* MERGEFORMAT </w:instrText>
        </w:r>
        <w:r w:rsidR="00EC27E4">
          <w:fldChar w:fldCharType="separate"/>
        </w:r>
        <w:r w:rsidR="0086056E">
          <w:rPr>
            <w:noProof/>
          </w:rPr>
          <w:t>2</w:t>
        </w:r>
        <w:r w:rsidR="00EC27E4">
          <w:rPr>
            <w:noProof/>
          </w:rPr>
          <w:fldChar w:fldCharType="end"/>
        </w:r>
      </w:sdtContent>
    </w:sdt>
  </w:p>
  <w:p w:rsidR="00EC27E4" w:rsidRDefault="00EC27E4" w:rsidP="008474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EC27E4">
    <w:pPr>
      <w:pStyle w:val="Footer"/>
    </w:pPr>
  </w:p>
  <w:p w:rsidR="00EC27E4" w:rsidRDefault="00EC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B2" w:rsidRDefault="00DE68B2" w:rsidP="00B14A00">
      <w:pPr>
        <w:spacing w:line="240" w:lineRule="auto"/>
      </w:pPr>
      <w:r>
        <w:separator/>
      </w:r>
    </w:p>
  </w:footnote>
  <w:footnote w:type="continuationSeparator" w:id="0">
    <w:p w:rsidR="00DE68B2" w:rsidRDefault="00DE68B2" w:rsidP="00B14A00">
      <w:pPr>
        <w:spacing w:line="240" w:lineRule="auto"/>
      </w:pPr>
      <w:r>
        <w:continuationSeparator/>
      </w:r>
    </w:p>
  </w:footnote>
  <w:footnote w:id="1">
    <w:p w:rsidR="00D86B98" w:rsidRDefault="00D86B98" w:rsidP="00D86B98">
      <w:pPr>
        <w:pStyle w:val="FootnoteText"/>
      </w:pPr>
      <w:r>
        <w:rPr>
          <w:rStyle w:val="FootnoteReference"/>
        </w:rPr>
        <w:footnoteRef/>
      </w:r>
      <w:r>
        <w:t xml:space="preserve"> National Energy Retail Law, section 118. </w:t>
      </w:r>
    </w:p>
  </w:footnote>
  <w:footnote w:id="2">
    <w:p w:rsidR="00D86B98" w:rsidRDefault="00D86B98" w:rsidP="00D86B98">
      <w:pPr>
        <w:pStyle w:val="FootnoteText"/>
      </w:pPr>
      <w:r>
        <w:rPr>
          <w:rStyle w:val="FootnoteReference"/>
        </w:rPr>
        <w:footnoteRef/>
      </w:r>
      <w:r>
        <w:t xml:space="preserve"> National Energy Retail Law, section 110. </w:t>
      </w:r>
    </w:p>
  </w:footnote>
  <w:footnote w:id="3">
    <w:p w:rsidR="00D86B98" w:rsidRDefault="00D86B98" w:rsidP="00D86B98">
      <w:pPr>
        <w:pStyle w:val="FootnoteText"/>
      </w:pPr>
      <w:r>
        <w:rPr>
          <w:rStyle w:val="FootnoteReference"/>
        </w:rPr>
        <w:footnoteRef/>
      </w:r>
      <w:r>
        <w:t xml:space="preserve"> National Energy Retail Rules, rules 149 – 151. </w:t>
      </w:r>
    </w:p>
  </w:footnote>
  <w:footnote w:id="4">
    <w:p w:rsidR="00D86B98" w:rsidRDefault="00D86B98" w:rsidP="00D86B98">
      <w:pPr>
        <w:pStyle w:val="FootnoteText"/>
      </w:pPr>
      <w:r>
        <w:rPr>
          <w:rStyle w:val="FootnoteReference"/>
        </w:rPr>
        <w:footnoteRef/>
      </w:r>
      <w:r>
        <w:t xml:space="preserve"> And </w:t>
      </w:r>
      <w:r w:rsidRPr="00D5094B">
        <w:t>appea</w:t>
      </w:r>
      <w:r>
        <w:t>r</w:t>
      </w:r>
      <w:r w:rsidRPr="00D5094B">
        <w:t xml:space="preserve"> on the AER’s </w:t>
      </w:r>
      <w:hyperlink r:id="rId1" w:history="1">
        <w:r w:rsidRPr="00B56F87">
          <w:rPr>
            <w:rStyle w:val="Hyperlink"/>
          </w:rPr>
          <w:t>Public Register of Retail Exemptions</w:t>
        </w:r>
      </w:hyperlink>
      <w:r>
        <w:t xml:space="preserve"> (</w:t>
      </w:r>
      <w:hyperlink r:id="rId2" w:history="1">
        <w:r w:rsidRPr="00ED2B96">
          <w:rPr>
            <w:rStyle w:val="Hyperlink"/>
          </w:rPr>
          <w:t>http://www.aer.gov.au/node/11037</w:t>
        </w:r>
      </w:hyperlink>
      <w:r>
        <w:t xml:space="preserve">) </w:t>
      </w:r>
      <w:r w:rsidRPr="00D5094B">
        <w:t xml:space="preserve">  </w:t>
      </w:r>
    </w:p>
  </w:footnote>
  <w:footnote w:id="5">
    <w:p w:rsidR="00D86B98" w:rsidRDefault="00D86B98" w:rsidP="00D86B98">
      <w:pPr>
        <w:pStyle w:val="FootnoteText"/>
      </w:pPr>
      <w:r>
        <w:rPr>
          <w:rStyle w:val="FootnoteReference"/>
        </w:rPr>
        <w:footnoteRef/>
      </w:r>
      <w:r>
        <w:t xml:space="preserve"> National Energy Retail Law, section 114. </w:t>
      </w:r>
    </w:p>
  </w:footnote>
  <w:footnote w:id="6">
    <w:p w:rsidR="00D86B98" w:rsidRDefault="00D86B98" w:rsidP="00D86B98">
      <w:pPr>
        <w:pStyle w:val="FootnoteText"/>
      </w:pPr>
      <w:r>
        <w:rPr>
          <w:rStyle w:val="FootnoteReference"/>
        </w:rPr>
        <w:footnoteRef/>
      </w:r>
      <w:r>
        <w:t xml:space="preserve"> National Energy Retail Law, section 115 (exempt seller factors) and section 116 (customer related factors). </w:t>
      </w:r>
    </w:p>
  </w:footnote>
  <w:footnote w:id="7">
    <w:p w:rsidR="002F36FA" w:rsidRDefault="002F36FA">
      <w:pPr>
        <w:pStyle w:val="FootnoteText"/>
      </w:pPr>
      <w:r>
        <w:rPr>
          <w:rStyle w:val="FootnoteReference"/>
        </w:rPr>
        <w:footnoteRef/>
      </w:r>
      <w:r>
        <w:t xml:space="preserve"> National Energy Retail Rules, rule 173.</w:t>
      </w:r>
    </w:p>
  </w:footnote>
  <w:footnote w:id="8">
    <w:p w:rsidR="00301765" w:rsidRDefault="00301765" w:rsidP="00301765">
      <w:pPr>
        <w:pStyle w:val="FootnoteText"/>
      </w:pPr>
      <w:r>
        <w:rPr>
          <w:rStyle w:val="FootnoteReference"/>
        </w:rPr>
        <w:footnoteRef/>
      </w:r>
      <w:r>
        <w:t xml:space="preserve"> R6: persons selling metered energy to small customers at a site or premises adjacent to a site that they own, occupy or operate. This class was intended to cover legacy arrangements. </w:t>
      </w:r>
    </w:p>
  </w:footnote>
  <w:footnote w:id="9">
    <w:p w:rsidR="00301765" w:rsidRDefault="00301765" w:rsidP="00301765">
      <w:pPr>
        <w:pStyle w:val="FootnoteText"/>
      </w:pPr>
      <w:r>
        <w:rPr>
          <w:rStyle w:val="FootnoteReference"/>
        </w:rPr>
        <w:footnoteRef/>
      </w:r>
      <w:r>
        <w:t xml:space="preserve"> R7: persons selling unmetered energy to small commercial/retail customers at a site that they </w:t>
      </w:r>
      <w:proofErr w:type="gramStart"/>
      <w:r>
        <w:t>own,</w:t>
      </w:r>
      <w:proofErr w:type="gramEnd"/>
      <w:r>
        <w:t xml:space="preserve"> occupy or operate. This class was intended to cover legacy arrangements.</w:t>
      </w:r>
    </w:p>
  </w:footnote>
  <w:footnote w:id="10">
    <w:p w:rsidR="00301765" w:rsidRDefault="00301765" w:rsidP="00301765">
      <w:pPr>
        <w:pStyle w:val="FootnoteText"/>
      </w:pPr>
      <w:r>
        <w:rPr>
          <w:rStyle w:val="FootnoteReference"/>
        </w:rPr>
        <w:footnoteRef/>
      </w:r>
      <w:r>
        <w:t xml:space="preserve"> R1: persons selling metered energy to ten or </w:t>
      </w:r>
      <w:proofErr w:type="gramStart"/>
      <w:r>
        <w:t>more small</w:t>
      </w:r>
      <w:proofErr w:type="gramEnd"/>
      <w:r>
        <w:t xml:space="preserve"> commercial/retail customers within the limits of a site that they own, occupy or operate.</w:t>
      </w:r>
    </w:p>
  </w:footnote>
  <w:footnote w:id="11">
    <w:p w:rsidR="00301765" w:rsidRDefault="00301765" w:rsidP="00301765">
      <w:pPr>
        <w:pStyle w:val="FootnoteText"/>
      </w:pPr>
      <w:r>
        <w:rPr>
          <w:rStyle w:val="FootnoteReference"/>
        </w:rPr>
        <w:footnoteRef/>
      </w:r>
      <w:r>
        <w:t xml:space="preserve"> R2: persons selling metered energy to ten or more residential customers within the limits of a sit that they </w:t>
      </w:r>
      <w:proofErr w:type="gramStart"/>
      <w:r>
        <w:t>own,</w:t>
      </w:r>
      <w:proofErr w:type="gramEnd"/>
      <w:r>
        <w:t xml:space="preserve"> occupy or operate. </w:t>
      </w:r>
    </w:p>
  </w:footnote>
  <w:footnote w:id="12">
    <w:p w:rsidR="00301765" w:rsidRDefault="00301765" w:rsidP="00301765">
      <w:pPr>
        <w:pStyle w:val="FootnoteText"/>
      </w:pPr>
      <w:r>
        <w:rPr>
          <w:rStyle w:val="FootnoteReference"/>
        </w:rPr>
        <w:footnoteRef/>
      </w:r>
      <w:r>
        <w:t xml:space="preserve"> R3: retirement villages selling metered energy to residential customers within the limits of a site that they </w:t>
      </w:r>
      <w:proofErr w:type="gramStart"/>
      <w:r>
        <w:t>own,</w:t>
      </w:r>
      <w:proofErr w:type="gramEnd"/>
      <w:r>
        <w:t xml:space="preserve"> occupy or operate. </w:t>
      </w:r>
    </w:p>
  </w:footnote>
  <w:footnote w:id="13">
    <w:p w:rsidR="006008E6" w:rsidRDefault="006008E6">
      <w:pPr>
        <w:pStyle w:val="FootnoteText"/>
      </w:pPr>
      <w:r>
        <w:rPr>
          <w:rStyle w:val="FootnoteReference"/>
        </w:rPr>
        <w:footnoteRef/>
      </w:r>
      <w:r>
        <w:t xml:space="preserve"> Customers that have complained about </w:t>
      </w:r>
      <w:proofErr w:type="spellStart"/>
      <w:r>
        <w:t>onselling</w:t>
      </w:r>
      <w:proofErr w:type="spellEnd"/>
      <w:r>
        <w:t xml:space="preserve"> arrangements have </w:t>
      </w:r>
      <w:r w:rsidR="005703A0">
        <w:t>largely</w:t>
      </w:r>
      <w:r w:rsidR="00953D78">
        <w:t xml:space="preserve"> </w:t>
      </w:r>
      <w:r>
        <w:t>been exempt customers that are part of a</w:t>
      </w:r>
      <w:r w:rsidR="002F6C23">
        <w:t>n</w:t>
      </w:r>
      <w:r>
        <w:t xml:space="preserve"> embedded network.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E00"/>
    <w:multiLevelType w:val="multilevel"/>
    <w:tmpl w:val="0C09001D"/>
    <w:numStyleLink w:val="BulletedList"/>
  </w:abstractNum>
  <w:abstractNum w:abstractNumId="1">
    <w:nsid w:val="03CF3873"/>
    <w:multiLevelType w:val="multilevel"/>
    <w:tmpl w:val="0C09001D"/>
    <w:numStyleLink w:val="BulletedList"/>
  </w:abstractNum>
  <w:abstractNum w:abstractNumId="2">
    <w:nsid w:val="06A34E79"/>
    <w:multiLevelType w:val="multilevel"/>
    <w:tmpl w:val="0136B40A"/>
    <w:numStyleLink w:val="NumberedList-Straight"/>
  </w:abstractNum>
  <w:abstractNum w:abstractNumId="3">
    <w:nsid w:val="0E15769A"/>
    <w:multiLevelType w:val="hybridMultilevel"/>
    <w:tmpl w:val="99D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365F8A"/>
    <w:multiLevelType w:val="hybridMultilevel"/>
    <w:tmpl w:val="EBC0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CE75E2"/>
    <w:multiLevelType w:val="hybridMultilevel"/>
    <w:tmpl w:val="68C2727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9F751B"/>
    <w:multiLevelType w:val="multilevel"/>
    <w:tmpl w:val="5666D91E"/>
    <w:name w:val="Alphanumeric List2"/>
    <w:numStyleLink w:val="AlphanumericList"/>
  </w:abstractNum>
  <w:abstractNum w:abstractNumId="8">
    <w:nsid w:val="14BE045E"/>
    <w:multiLevelType w:val="multilevel"/>
    <w:tmpl w:val="4BE033BA"/>
    <w:name w:val="Alphanumeric List4"/>
    <w:numStyleLink w:val="NumberedList"/>
  </w:abstractNum>
  <w:abstractNum w:abstractNumId="9">
    <w:nsid w:val="17BE123E"/>
    <w:multiLevelType w:val="multilevel"/>
    <w:tmpl w:val="0C09001D"/>
    <w:numStyleLink w:val="BulletedList"/>
  </w:abstractNum>
  <w:abstractNum w:abstractNumId="10">
    <w:nsid w:val="18A06251"/>
    <w:multiLevelType w:val="hybridMultilevel"/>
    <w:tmpl w:val="F128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A92704"/>
    <w:multiLevelType w:val="hybridMultilevel"/>
    <w:tmpl w:val="0EE2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
    <w:nsid w:val="1E4E5152"/>
    <w:multiLevelType w:val="multilevel"/>
    <w:tmpl w:val="0C09001D"/>
    <w:numStyleLink w:val="RomanNumeralBulletedList"/>
  </w:abstractNum>
  <w:abstractNum w:abstractNumId="14">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062091B"/>
    <w:multiLevelType w:val="hybridMultilevel"/>
    <w:tmpl w:val="FFD8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8267824"/>
    <w:multiLevelType w:val="hybridMultilevel"/>
    <w:tmpl w:val="971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BB4121"/>
    <w:multiLevelType w:val="multilevel"/>
    <w:tmpl w:val="4BE033BA"/>
    <w:numStyleLink w:val="NumberedList"/>
  </w:abstractNum>
  <w:abstractNum w:abstractNumId="20">
    <w:nsid w:val="28C7219D"/>
    <w:multiLevelType w:val="hybridMultilevel"/>
    <w:tmpl w:val="71368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C060D3"/>
    <w:multiLevelType w:val="multilevel"/>
    <w:tmpl w:val="0C09001D"/>
    <w:numStyleLink w:val="RomanNumeralBulletedList"/>
  </w:abstractNum>
  <w:abstractNum w:abstractNumId="22">
    <w:nsid w:val="3F83568B"/>
    <w:multiLevelType w:val="hybridMultilevel"/>
    <w:tmpl w:val="D9542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B763F1C"/>
    <w:multiLevelType w:val="multilevel"/>
    <w:tmpl w:val="0C09001D"/>
    <w:numStyleLink w:val="BulletedList"/>
  </w:abstractNum>
  <w:abstractNum w:abstractNumId="25">
    <w:nsid w:val="4D0030E8"/>
    <w:multiLevelType w:val="multilevel"/>
    <w:tmpl w:val="0C09001D"/>
    <w:numStyleLink w:val="BulletedList"/>
  </w:abstractNum>
  <w:abstractNum w:abstractNumId="26">
    <w:nsid w:val="4D5A494A"/>
    <w:multiLevelType w:val="multilevel"/>
    <w:tmpl w:val="0136B40A"/>
    <w:numStyleLink w:val="NumberedList-Straight"/>
  </w:abstractNum>
  <w:abstractNum w:abstractNumId="27">
    <w:nsid w:val="4DC259A7"/>
    <w:multiLevelType w:val="hybridMultilevel"/>
    <w:tmpl w:val="51D6C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224022"/>
    <w:multiLevelType w:val="multilevel"/>
    <w:tmpl w:val="4BE033BA"/>
    <w:numStyleLink w:val="NumberedList"/>
  </w:abstractNum>
  <w:abstractNum w:abstractNumId="29">
    <w:nsid w:val="506C7659"/>
    <w:multiLevelType w:val="multilevel"/>
    <w:tmpl w:val="4524DCE4"/>
    <w:numStyleLink w:val="AlphanumericList-Straight"/>
  </w:abstractNum>
  <w:abstractNum w:abstractNumId="30">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582152F"/>
    <w:multiLevelType w:val="hybridMultilevel"/>
    <w:tmpl w:val="D58C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823F05"/>
    <w:multiLevelType w:val="multilevel"/>
    <w:tmpl w:val="4BE033BA"/>
    <w:numStyleLink w:val="NumberedList"/>
  </w:abstractNum>
  <w:abstractNum w:abstractNumId="34">
    <w:nsid w:val="58852285"/>
    <w:multiLevelType w:val="hybridMultilevel"/>
    <w:tmpl w:val="F2FA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9C02FF"/>
    <w:multiLevelType w:val="multilevel"/>
    <w:tmpl w:val="4BE033BA"/>
    <w:numStyleLink w:val="NumberedList"/>
  </w:abstractNum>
  <w:abstractNum w:abstractNumId="36">
    <w:nsid w:val="603C2378"/>
    <w:multiLevelType w:val="hybridMultilevel"/>
    <w:tmpl w:val="C056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805E73"/>
    <w:multiLevelType w:val="hybridMultilevel"/>
    <w:tmpl w:val="6EB6D452"/>
    <w:lvl w:ilvl="0" w:tplc="AE84A2D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12B6E4C"/>
    <w:multiLevelType w:val="hybridMultilevel"/>
    <w:tmpl w:val="6CA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01779B"/>
    <w:multiLevelType w:val="multilevel"/>
    <w:tmpl w:val="5666D91E"/>
    <w:numStyleLink w:val="AlphanumericList"/>
  </w:abstractNum>
  <w:abstractNum w:abstractNumId="41">
    <w:nsid w:val="6BF14087"/>
    <w:multiLevelType w:val="hybridMultilevel"/>
    <w:tmpl w:val="8DEE7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C1E7867"/>
    <w:multiLevelType w:val="multilevel"/>
    <w:tmpl w:val="4524DCE4"/>
    <w:numStyleLink w:val="AlphanumericList-Straight"/>
  </w:abstractNum>
  <w:abstractNum w:abstractNumId="43">
    <w:nsid w:val="6D871F7F"/>
    <w:multiLevelType w:val="multilevel"/>
    <w:tmpl w:val="5666D91E"/>
    <w:numStyleLink w:val="AlphanumericList"/>
  </w:abstractNum>
  <w:abstractNum w:abstractNumId="44">
    <w:nsid w:val="702166FB"/>
    <w:multiLevelType w:val="hybridMultilevel"/>
    <w:tmpl w:val="D564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2224A24"/>
    <w:multiLevelType w:val="hybridMultilevel"/>
    <w:tmpl w:val="F20E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5F63F17"/>
    <w:multiLevelType w:val="hybridMultilevel"/>
    <w:tmpl w:val="40B25AB0"/>
    <w:lvl w:ilvl="0" w:tplc="FDCE921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48">
    <w:nsid w:val="77914435"/>
    <w:multiLevelType w:val="hybridMultilevel"/>
    <w:tmpl w:val="E3FC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CF65028"/>
    <w:multiLevelType w:val="hybridMultilevel"/>
    <w:tmpl w:val="A2BC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ECC325C"/>
    <w:multiLevelType w:val="hybridMultilevel"/>
    <w:tmpl w:val="54386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7"/>
  </w:num>
  <w:num w:numId="3">
    <w:abstractNumId w:val="19"/>
  </w:num>
  <w:num w:numId="4">
    <w:abstractNumId w:val="31"/>
  </w:num>
  <w:num w:numId="5">
    <w:abstractNumId w:val="15"/>
  </w:num>
  <w:num w:numId="6">
    <w:abstractNumId w:val="21"/>
  </w:num>
  <w:num w:numId="7">
    <w:abstractNumId w:val="23"/>
    <w:lvlOverride w:ilvl="0">
      <w:lvl w:ilvl="0">
        <w:start w:val="1"/>
        <w:numFmt w:val="none"/>
        <w:lvlText w:val="%1A.1"/>
        <w:lvlJc w:val="left"/>
        <w:pPr>
          <w:ind w:left="360" w:hanging="360"/>
        </w:pPr>
        <w:rPr>
          <w:rFonts w:ascii="Arial" w:hAnsi="Arial" w:hint="default"/>
          <w:sz w:val="36"/>
          <w:szCs w:val="36"/>
        </w:rPr>
      </w:lvl>
    </w:lvlOverride>
    <w:lvlOverride w:ilvl="1">
      <w:lvl w:ilvl="1">
        <w:start w:val="1"/>
        <w:numFmt w:val="none"/>
        <w:lvlRestart w:val="0"/>
        <w:lvlText w:val="%2A.1.1"/>
        <w:lvlJc w:val="left"/>
        <w:pPr>
          <w:ind w:left="357" w:hanging="357"/>
        </w:pPr>
        <w:rPr>
          <w:rFonts w:hint="default"/>
        </w:rPr>
      </w:lvl>
    </w:lvlOverride>
    <w:lvlOverride w:ilvl="2">
      <w:lvl w:ilvl="2">
        <w:start w:val="1"/>
        <w:numFmt w:val="none"/>
        <w:lvlRestart w:val="0"/>
        <w:lvlText w:val="%3A.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3"/>
  </w:num>
  <w:num w:numId="9">
    <w:abstractNumId w:val="23"/>
  </w:num>
  <w:num w:numId="10">
    <w:abstractNumId w:val="14"/>
  </w:num>
  <w:num w:numId="11">
    <w:abstractNumId w:val="17"/>
  </w:num>
  <w:num w:numId="12">
    <w:abstractNumId w:val="39"/>
  </w:num>
  <w:num w:numId="13">
    <w:abstractNumId w:val="40"/>
  </w:num>
  <w:num w:numId="14">
    <w:abstractNumId w:val="42"/>
  </w:num>
  <w:num w:numId="15">
    <w:abstractNumId w:val="35"/>
  </w:num>
  <w:num w:numId="16">
    <w:abstractNumId w:val="26"/>
  </w:num>
  <w:num w:numId="17">
    <w:abstractNumId w:val="43"/>
  </w:num>
  <w:num w:numId="18">
    <w:abstractNumId w:val="29"/>
  </w:num>
  <w:num w:numId="19">
    <w:abstractNumId w:val="9"/>
  </w:num>
  <w:num w:numId="20">
    <w:abstractNumId w:val="28"/>
  </w:num>
  <w:num w:numId="21">
    <w:abstractNumId w:val="2"/>
  </w:num>
  <w:num w:numId="22">
    <w:abstractNumId w:val="13"/>
  </w:num>
  <w:num w:numId="23">
    <w:abstractNumId w:val="18"/>
  </w:num>
  <w:num w:numId="24">
    <w:abstractNumId w:val="32"/>
  </w:num>
  <w:num w:numId="25">
    <w:abstractNumId w:val="49"/>
  </w:num>
  <w:num w:numId="26">
    <w:abstractNumId w:val="38"/>
  </w:num>
  <w:num w:numId="27">
    <w:abstractNumId w:val="27"/>
  </w:num>
  <w:num w:numId="28">
    <w:abstractNumId w:val="16"/>
  </w:num>
  <w:num w:numId="29">
    <w:abstractNumId w:val="4"/>
  </w:num>
  <w:num w:numId="30">
    <w:abstractNumId w:val="10"/>
  </w:num>
  <w:num w:numId="31">
    <w:abstractNumId w:val="50"/>
  </w:num>
  <w:num w:numId="32">
    <w:abstractNumId w:val="34"/>
  </w:num>
  <w:num w:numId="33">
    <w:abstractNumId w:val="44"/>
  </w:num>
  <w:num w:numId="34">
    <w:abstractNumId w:val="48"/>
  </w:num>
  <w:num w:numId="35">
    <w:abstractNumId w:val="20"/>
  </w:num>
  <w:num w:numId="36">
    <w:abstractNumId w:val="41"/>
  </w:num>
  <w:num w:numId="37">
    <w:abstractNumId w:val="11"/>
  </w:num>
  <w:num w:numId="38">
    <w:abstractNumId w:val="45"/>
  </w:num>
  <w:num w:numId="39">
    <w:abstractNumId w:val="3"/>
  </w:num>
  <w:num w:numId="40">
    <w:abstractNumId w:val="30"/>
  </w:num>
  <w:num w:numId="41">
    <w:abstractNumId w:val="46"/>
  </w:num>
  <w:num w:numId="42">
    <w:abstractNumId w:val="37"/>
  </w:num>
  <w:num w:numId="43">
    <w:abstractNumId w:val="36"/>
  </w:num>
  <w:num w:numId="44">
    <w:abstractNumId w:val="22"/>
  </w:num>
  <w:num w:numId="45">
    <w:abstractNumId w:val="5"/>
  </w:num>
  <w:num w:numId="46">
    <w:abstractNumId w:val="25"/>
  </w:num>
  <w:num w:numId="47">
    <w:abstractNumId w:val="24"/>
  </w:num>
  <w:num w:numId="48">
    <w:abstractNumId w:val="0"/>
  </w:num>
  <w:num w:numId="49">
    <w:abstractNumId w:val="1"/>
  </w:num>
  <w:num w:numId="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Desktop\Notice of final instrument - AER (Retail) Exempt Selling Guideline - April 2015.docx"/>
  </w:docVars>
  <w:rsids>
    <w:rsidRoot w:val="00DE68B2"/>
    <w:rsid w:val="00006B9E"/>
    <w:rsid w:val="000113D6"/>
    <w:rsid w:val="00014A3D"/>
    <w:rsid w:val="000200A0"/>
    <w:rsid w:val="00027B91"/>
    <w:rsid w:val="00044D8E"/>
    <w:rsid w:val="00045887"/>
    <w:rsid w:val="0006201F"/>
    <w:rsid w:val="000664BE"/>
    <w:rsid w:val="00067039"/>
    <w:rsid w:val="000722B1"/>
    <w:rsid w:val="000731B8"/>
    <w:rsid w:val="00080374"/>
    <w:rsid w:val="0008333F"/>
    <w:rsid w:val="000C5FBF"/>
    <w:rsid w:val="000D0765"/>
    <w:rsid w:val="000D117D"/>
    <w:rsid w:val="000D2285"/>
    <w:rsid w:val="000E06D4"/>
    <w:rsid w:val="000E4923"/>
    <w:rsid w:val="000E7C3D"/>
    <w:rsid w:val="000F51B1"/>
    <w:rsid w:val="000F6787"/>
    <w:rsid w:val="000F6A41"/>
    <w:rsid w:val="00130EA5"/>
    <w:rsid w:val="0013660A"/>
    <w:rsid w:val="00141A26"/>
    <w:rsid w:val="0014451D"/>
    <w:rsid w:val="00155C54"/>
    <w:rsid w:val="00160BF5"/>
    <w:rsid w:val="00166F28"/>
    <w:rsid w:val="00175E60"/>
    <w:rsid w:val="001822DD"/>
    <w:rsid w:val="0018415E"/>
    <w:rsid w:val="00184BBF"/>
    <w:rsid w:val="00187794"/>
    <w:rsid w:val="00187DC1"/>
    <w:rsid w:val="00192403"/>
    <w:rsid w:val="001939DE"/>
    <w:rsid w:val="001974A9"/>
    <w:rsid w:val="001A2BBC"/>
    <w:rsid w:val="001B05B6"/>
    <w:rsid w:val="001B3E10"/>
    <w:rsid w:val="001B6CD9"/>
    <w:rsid w:val="001C4D46"/>
    <w:rsid w:val="001C634E"/>
    <w:rsid w:val="001C77E8"/>
    <w:rsid w:val="001D200D"/>
    <w:rsid w:val="001D222D"/>
    <w:rsid w:val="001D432F"/>
    <w:rsid w:val="001E15DE"/>
    <w:rsid w:val="001E4272"/>
    <w:rsid w:val="001E5CBF"/>
    <w:rsid w:val="001E5DD1"/>
    <w:rsid w:val="001E7DC1"/>
    <w:rsid w:val="001F1DE6"/>
    <w:rsid w:val="001F2EE7"/>
    <w:rsid w:val="00207D1E"/>
    <w:rsid w:val="002167E4"/>
    <w:rsid w:val="002170FE"/>
    <w:rsid w:val="00221598"/>
    <w:rsid w:val="00227E0F"/>
    <w:rsid w:val="00233865"/>
    <w:rsid w:val="00234597"/>
    <w:rsid w:val="00234E49"/>
    <w:rsid w:val="00243743"/>
    <w:rsid w:val="00247536"/>
    <w:rsid w:val="00272FE2"/>
    <w:rsid w:val="00284A98"/>
    <w:rsid w:val="00292F9A"/>
    <w:rsid w:val="002956A8"/>
    <w:rsid w:val="002956ED"/>
    <w:rsid w:val="002970C1"/>
    <w:rsid w:val="002A0BA6"/>
    <w:rsid w:val="002A384A"/>
    <w:rsid w:val="002A566D"/>
    <w:rsid w:val="002A62EA"/>
    <w:rsid w:val="002A75ED"/>
    <w:rsid w:val="002B0076"/>
    <w:rsid w:val="002B2A4B"/>
    <w:rsid w:val="002B5C11"/>
    <w:rsid w:val="002D05D5"/>
    <w:rsid w:val="002D4DAB"/>
    <w:rsid w:val="002F1039"/>
    <w:rsid w:val="002F36FA"/>
    <w:rsid w:val="002F6C23"/>
    <w:rsid w:val="00301765"/>
    <w:rsid w:val="003017FE"/>
    <w:rsid w:val="003104EF"/>
    <w:rsid w:val="003329A5"/>
    <w:rsid w:val="00346199"/>
    <w:rsid w:val="00352CD6"/>
    <w:rsid w:val="00353D0F"/>
    <w:rsid w:val="00354786"/>
    <w:rsid w:val="00357CC3"/>
    <w:rsid w:val="003820A0"/>
    <w:rsid w:val="00382D42"/>
    <w:rsid w:val="003853B1"/>
    <w:rsid w:val="003873BD"/>
    <w:rsid w:val="00387432"/>
    <w:rsid w:val="00387520"/>
    <w:rsid w:val="003876DC"/>
    <w:rsid w:val="003B4441"/>
    <w:rsid w:val="003B5212"/>
    <w:rsid w:val="003C000B"/>
    <w:rsid w:val="003E193F"/>
    <w:rsid w:val="003E2822"/>
    <w:rsid w:val="003E29D7"/>
    <w:rsid w:val="00406DCE"/>
    <w:rsid w:val="00416370"/>
    <w:rsid w:val="00416508"/>
    <w:rsid w:val="00423179"/>
    <w:rsid w:val="00423B48"/>
    <w:rsid w:val="00431321"/>
    <w:rsid w:val="0043152E"/>
    <w:rsid w:val="00437A2F"/>
    <w:rsid w:val="004423EB"/>
    <w:rsid w:val="0044407F"/>
    <w:rsid w:val="00444DAA"/>
    <w:rsid w:val="0045298C"/>
    <w:rsid w:val="0045491E"/>
    <w:rsid w:val="00465112"/>
    <w:rsid w:val="00475FD0"/>
    <w:rsid w:val="00480BB1"/>
    <w:rsid w:val="004A7005"/>
    <w:rsid w:val="004C54CB"/>
    <w:rsid w:val="004C5C05"/>
    <w:rsid w:val="004D1FB1"/>
    <w:rsid w:val="004F11CD"/>
    <w:rsid w:val="00501E07"/>
    <w:rsid w:val="00504AE8"/>
    <w:rsid w:val="00525710"/>
    <w:rsid w:val="00543634"/>
    <w:rsid w:val="00544B2F"/>
    <w:rsid w:val="00554210"/>
    <w:rsid w:val="00556232"/>
    <w:rsid w:val="005703A0"/>
    <w:rsid w:val="005824AF"/>
    <w:rsid w:val="0058741C"/>
    <w:rsid w:val="005875FD"/>
    <w:rsid w:val="005A0E84"/>
    <w:rsid w:val="005A20D1"/>
    <w:rsid w:val="005A42EE"/>
    <w:rsid w:val="005B66E4"/>
    <w:rsid w:val="005C0148"/>
    <w:rsid w:val="005C3C73"/>
    <w:rsid w:val="005E0F24"/>
    <w:rsid w:val="005E1971"/>
    <w:rsid w:val="005E4320"/>
    <w:rsid w:val="005F17BF"/>
    <w:rsid w:val="006008E6"/>
    <w:rsid w:val="00603EB4"/>
    <w:rsid w:val="00621B0E"/>
    <w:rsid w:val="0062521A"/>
    <w:rsid w:val="00650A9B"/>
    <w:rsid w:val="006550E6"/>
    <w:rsid w:val="00660036"/>
    <w:rsid w:val="00660664"/>
    <w:rsid w:val="0066550D"/>
    <w:rsid w:val="00665809"/>
    <w:rsid w:val="0066589E"/>
    <w:rsid w:val="006670BF"/>
    <w:rsid w:val="00667B38"/>
    <w:rsid w:val="006746F2"/>
    <w:rsid w:val="0068636A"/>
    <w:rsid w:val="00694E1F"/>
    <w:rsid w:val="006A43A5"/>
    <w:rsid w:val="006A5214"/>
    <w:rsid w:val="006B0A0E"/>
    <w:rsid w:val="006C71C1"/>
    <w:rsid w:val="006D0316"/>
    <w:rsid w:val="006D5D58"/>
    <w:rsid w:val="006E0793"/>
    <w:rsid w:val="006F2D65"/>
    <w:rsid w:val="007116BE"/>
    <w:rsid w:val="00714404"/>
    <w:rsid w:val="007153F4"/>
    <w:rsid w:val="00725E2A"/>
    <w:rsid w:val="007347FE"/>
    <w:rsid w:val="007378E9"/>
    <w:rsid w:val="00740A6F"/>
    <w:rsid w:val="0074400E"/>
    <w:rsid w:val="00745BC9"/>
    <w:rsid w:val="00756C5D"/>
    <w:rsid w:val="007774C9"/>
    <w:rsid w:val="00781ED9"/>
    <w:rsid w:val="0078432A"/>
    <w:rsid w:val="00786D34"/>
    <w:rsid w:val="00796418"/>
    <w:rsid w:val="007B04FB"/>
    <w:rsid w:val="007B475E"/>
    <w:rsid w:val="007C27A5"/>
    <w:rsid w:val="007C31BB"/>
    <w:rsid w:val="007E13A5"/>
    <w:rsid w:val="007E44E0"/>
    <w:rsid w:val="0080115C"/>
    <w:rsid w:val="008163AF"/>
    <w:rsid w:val="008235A5"/>
    <w:rsid w:val="008244B2"/>
    <w:rsid w:val="008340CD"/>
    <w:rsid w:val="00836940"/>
    <w:rsid w:val="00847401"/>
    <w:rsid w:val="008475BB"/>
    <w:rsid w:val="00857142"/>
    <w:rsid w:val="0086056E"/>
    <w:rsid w:val="00861C38"/>
    <w:rsid w:val="00863CDF"/>
    <w:rsid w:val="0086625B"/>
    <w:rsid w:val="008700A9"/>
    <w:rsid w:val="00870E29"/>
    <w:rsid w:val="008754E5"/>
    <w:rsid w:val="00891D48"/>
    <w:rsid w:val="00895D7A"/>
    <w:rsid w:val="008A2138"/>
    <w:rsid w:val="008A3DE9"/>
    <w:rsid w:val="008A7BE9"/>
    <w:rsid w:val="008B52F9"/>
    <w:rsid w:val="008C3501"/>
    <w:rsid w:val="008D457C"/>
    <w:rsid w:val="008E1F32"/>
    <w:rsid w:val="008E6027"/>
    <w:rsid w:val="008E75F6"/>
    <w:rsid w:val="00912011"/>
    <w:rsid w:val="00913F40"/>
    <w:rsid w:val="00915EDF"/>
    <w:rsid w:val="009225C2"/>
    <w:rsid w:val="00925CA1"/>
    <w:rsid w:val="0092639E"/>
    <w:rsid w:val="009327A0"/>
    <w:rsid w:val="00936049"/>
    <w:rsid w:val="0093640F"/>
    <w:rsid w:val="00953D78"/>
    <w:rsid w:val="00957F3E"/>
    <w:rsid w:val="009616F6"/>
    <w:rsid w:val="009709D9"/>
    <w:rsid w:val="0097193C"/>
    <w:rsid w:val="0097498D"/>
    <w:rsid w:val="00982D9C"/>
    <w:rsid w:val="00997326"/>
    <w:rsid w:val="009A46F9"/>
    <w:rsid w:val="009C4A05"/>
    <w:rsid w:val="009C613C"/>
    <w:rsid w:val="009D5D59"/>
    <w:rsid w:val="009F5B7A"/>
    <w:rsid w:val="00A02730"/>
    <w:rsid w:val="00A046FE"/>
    <w:rsid w:val="00A104DC"/>
    <w:rsid w:val="00A178CC"/>
    <w:rsid w:val="00A21831"/>
    <w:rsid w:val="00A22D13"/>
    <w:rsid w:val="00A34041"/>
    <w:rsid w:val="00A417E0"/>
    <w:rsid w:val="00A44498"/>
    <w:rsid w:val="00A5268E"/>
    <w:rsid w:val="00A55C38"/>
    <w:rsid w:val="00A638A3"/>
    <w:rsid w:val="00A7479F"/>
    <w:rsid w:val="00A911B9"/>
    <w:rsid w:val="00A912FB"/>
    <w:rsid w:val="00A94A4E"/>
    <w:rsid w:val="00A972F9"/>
    <w:rsid w:val="00AA1DB0"/>
    <w:rsid w:val="00AA38B2"/>
    <w:rsid w:val="00AA516B"/>
    <w:rsid w:val="00AB2C81"/>
    <w:rsid w:val="00AB31C2"/>
    <w:rsid w:val="00AB3BE8"/>
    <w:rsid w:val="00AB4987"/>
    <w:rsid w:val="00AC2B3B"/>
    <w:rsid w:val="00AD0968"/>
    <w:rsid w:val="00AE6233"/>
    <w:rsid w:val="00AE7E16"/>
    <w:rsid w:val="00AF0D4D"/>
    <w:rsid w:val="00AF1A72"/>
    <w:rsid w:val="00B036B5"/>
    <w:rsid w:val="00B03A91"/>
    <w:rsid w:val="00B14A00"/>
    <w:rsid w:val="00B24521"/>
    <w:rsid w:val="00B2492A"/>
    <w:rsid w:val="00B46283"/>
    <w:rsid w:val="00B55015"/>
    <w:rsid w:val="00B610EE"/>
    <w:rsid w:val="00B62E00"/>
    <w:rsid w:val="00B63E1A"/>
    <w:rsid w:val="00B6465D"/>
    <w:rsid w:val="00B70541"/>
    <w:rsid w:val="00B70E55"/>
    <w:rsid w:val="00B801CA"/>
    <w:rsid w:val="00B81968"/>
    <w:rsid w:val="00B84B17"/>
    <w:rsid w:val="00B929E8"/>
    <w:rsid w:val="00B93286"/>
    <w:rsid w:val="00BA720B"/>
    <w:rsid w:val="00BB34F2"/>
    <w:rsid w:val="00BB3CB6"/>
    <w:rsid w:val="00BB4939"/>
    <w:rsid w:val="00BC19B7"/>
    <w:rsid w:val="00BD13A7"/>
    <w:rsid w:val="00BE3D7C"/>
    <w:rsid w:val="00C11A40"/>
    <w:rsid w:val="00C34142"/>
    <w:rsid w:val="00C36874"/>
    <w:rsid w:val="00C44EE3"/>
    <w:rsid w:val="00C56C82"/>
    <w:rsid w:val="00C56E7A"/>
    <w:rsid w:val="00C86863"/>
    <w:rsid w:val="00C9178D"/>
    <w:rsid w:val="00C93331"/>
    <w:rsid w:val="00C95315"/>
    <w:rsid w:val="00CA6A47"/>
    <w:rsid w:val="00CB2A7A"/>
    <w:rsid w:val="00CC659E"/>
    <w:rsid w:val="00CD3FD1"/>
    <w:rsid w:val="00CD4929"/>
    <w:rsid w:val="00CF36BC"/>
    <w:rsid w:val="00D05ADA"/>
    <w:rsid w:val="00D120C4"/>
    <w:rsid w:val="00D15C2D"/>
    <w:rsid w:val="00D15E2C"/>
    <w:rsid w:val="00D2244D"/>
    <w:rsid w:val="00D564CB"/>
    <w:rsid w:val="00D604F2"/>
    <w:rsid w:val="00D629BB"/>
    <w:rsid w:val="00D67B8E"/>
    <w:rsid w:val="00D7398F"/>
    <w:rsid w:val="00D7788B"/>
    <w:rsid w:val="00D865AD"/>
    <w:rsid w:val="00D86B98"/>
    <w:rsid w:val="00D933BD"/>
    <w:rsid w:val="00D94D1A"/>
    <w:rsid w:val="00D95079"/>
    <w:rsid w:val="00D96D02"/>
    <w:rsid w:val="00DC015B"/>
    <w:rsid w:val="00DD225E"/>
    <w:rsid w:val="00DE43B7"/>
    <w:rsid w:val="00DE49F7"/>
    <w:rsid w:val="00DE68B2"/>
    <w:rsid w:val="00DF0710"/>
    <w:rsid w:val="00DF1D35"/>
    <w:rsid w:val="00DF43A2"/>
    <w:rsid w:val="00DF6DA8"/>
    <w:rsid w:val="00DF7C2E"/>
    <w:rsid w:val="00E022CC"/>
    <w:rsid w:val="00E15919"/>
    <w:rsid w:val="00E16D40"/>
    <w:rsid w:val="00E20052"/>
    <w:rsid w:val="00E340D5"/>
    <w:rsid w:val="00E67D84"/>
    <w:rsid w:val="00E72EF4"/>
    <w:rsid w:val="00E7321C"/>
    <w:rsid w:val="00E747B9"/>
    <w:rsid w:val="00EA0FEB"/>
    <w:rsid w:val="00EA56AF"/>
    <w:rsid w:val="00EB4A17"/>
    <w:rsid w:val="00EC20FB"/>
    <w:rsid w:val="00EC276D"/>
    <w:rsid w:val="00EC27E4"/>
    <w:rsid w:val="00EC2FFE"/>
    <w:rsid w:val="00EC4378"/>
    <w:rsid w:val="00EC55B7"/>
    <w:rsid w:val="00ED0A9C"/>
    <w:rsid w:val="00ED2BFC"/>
    <w:rsid w:val="00ED617D"/>
    <w:rsid w:val="00EE3361"/>
    <w:rsid w:val="00EF456F"/>
    <w:rsid w:val="00F04533"/>
    <w:rsid w:val="00F05AA5"/>
    <w:rsid w:val="00F065A1"/>
    <w:rsid w:val="00F20820"/>
    <w:rsid w:val="00F20BBD"/>
    <w:rsid w:val="00F227AF"/>
    <w:rsid w:val="00F4016A"/>
    <w:rsid w:val="00F412C9"/>
    <w:rsid w:val="00F45305"/>
    <w:rsid w:val="00F52C5E"/>
    <w:rsid w:val="00F60213"/>
    <w:rsid w:val="00F830B1"/>
    <w:rsid w:val="00F87AEA"/>
    <w:rsid w:val="00F92516"/>
    <w:rsid w:val="00F94117"/>
    <w:rsid w:val="00FA433D"/>
    <w:rsid w:val="00FA65AE"/>
    <w:rsid w:val="00FB3452"/>
    <w:rsid w:val="00FB7F8B"/>
    <w:rsid w:val="00FB7FDA"/>
    <w:rsid w:val="00FC3231"/>
    <w:rsid w:val="00FC3E6B"/>
    <w:rsid w:val="00FC5744"/>
    <w:rsid w:val="00FD01FB"/>
    <w:rsid w:val="00FD1D51"/>
    <w:rsid w:val="00FD2E7F"/>
    <w:rsid w:val="00FD7BD6"/>
    <w:rsid w:val="00FE5F28"/>
    <w:rsid w:val="00FF1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 w:type="paragraph" w:customStyle="1" w:styleId="Headingnumbered11">
    <w:name w:val="Heading numbered 1.1"/>
    <w:basedOn w:val="Normal"/>
    <w:qFormat/>
    <w:rsid w:val="00F45305"/>
    <w:pPr>
      <w:numPr>
        <w:ilvl w:val="1"/>
        <w:numId w:val="50"/>
      </w:numPr>
      <w:spacing w:before="520" w:after="0" w:line="240" w:lineRule="auto"/>
      <w:ind w:left="958" w:hanging="958"/>
      <w:contextualSpacing/>
      <w:outlineLvl w:val="2"/>
    </w:pPr>
    <w:rPr>
      <w:rFonts w:ascii="Calibri" w:eastAsia="Calibri" w:hAnsi="Calibri" w:cs="Calibri"/>
      <w:b/>
      <w:color w:val="51626F"/>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 w:type="paragraph" w:customStyle="1" w:styleId="Headingnumbered11">
    <w:name w:val="Heading numbered 1.1"/>
    <w:basedOn w:val="Normal"/>
    <w:qFormat/>
    <w:rsid w:val="00F45305"/>
    <w:pPr>
      <w:numPr>
        <w:ilvl w:val="1"/>
        <w:numId w:val="50"/>
      </w:numPr>
      <w:spacing w:before="520" w:after="0" w:line="240" w:lineRule="auto"/>
      <w:ind w:left="958" w:hanging="958"/>
      <w:contextualSpacing/>
      <w:outlineLvl w:val="2"/>
    </w:pPr>
    <w:rPr>
      <w:rFonts w:ascii="Calibri" w:eastAsia="Calibri" w:hAnsi="Calibri" w:cs="Calibri"/>
      <w:b/>
      <w:color w:val="51626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4350">
      <w:bodyDiv w:val="1"/>
      <w:marLeft w:val="0"/>
      <w:marRight w:val="0"/>
      <w:marTop w:val="0"/>
      <w:marBottom w:val="0"/>
      <w:divBdr>
        <w:top w:val="none" w:sz="0" w:space="0" w:color="auto"/>
        <w:left w:val="none" w:sz="0" w:space="0" w:color="auto"/>
        <w:bottom w:val="none" w:sz="0" w:space="0" w:color="auto"/>
        <w:right w:val="none" w:sz="0" w:space="0" w:color="auto"/>
      </w:divBdr>
    </w:div>
    <w:div w:id="886792527">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973411092">
      <w:bodyDiv w:val="1"/>
      <w:marLeft w:val="0"/>
      <w:marRight w:val="0"/>
      <w:marTop w:val="0"/>
      <w:marBottom w:val="0"/>
      <w:divBdr>
        <w:top w:val="none" w:sz="0" w:space="0" w:color="auto"/>
        <w:left w:val="none" w:sz="0" w:space="0" w:color="auto"/>
        <w:bottom w:val="none" w:sz="0" w:space="0" w:color="auto"/>
        <w:right w:val="none" w:sz="0" w:space="0" w:color="auto"/>
      </w:divBdr>
    </w:div>
    <w:div w:id="13105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er.gov.au/node/2768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er.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11037" TargetMode="External"/><Relationship Id="rId1" Type="http://schemas.openxmlformats.org/officeDocument/2006/relationships/hyperlink" Target="http://www.aer.gov.au/node/11037"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E2B78770</Template>
  <TotalTime>0</TotalTime>
  <Pages>9</Pages>
  <Words>1672</Words>
  <Characters>9537</Characters>
  <Application>Microsoft Office Word</Application>
  <DocSecurity>0</DocSecurity>
  <Lines>79</Lines>
  <Paragraphs>22</Paragraphs>
  <ScaleCrop>false</ScaleCrop>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instrument - Revised AER (Retail) Exempt Selling Guideline - April 2015</dc:title>
  <dc:creator/>
  <cp:lastModifiedBy/>
  <cp:revision>1</cp:revision>
  <dcterms:created xsi:type="dcterms:W3CDTF">2015-04-10T04:32:00Z</dcterms:created>
  <dcterms:modified xsi:type="dcterms:W3CDTF">2015-04-10T04:32:00Z</dcterms:modified>
</cp:coreProperties>
</file>