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3F4" w:rsidRDefault="006343F4" w:rsidP="006D338E">
      <w:pPr>
        <w:pStyle w:val="BodyText"/>
      </w:pPr>
    </w:p>
    <w:p w:rsidR="006343F4" w:rsidRDefault="006343F4" w:rsidP="006D338E">
      <w:pPr>
        <w:pStyle w:val="BodyText"/>
        <w:rPr>
          <w:rStyle w:val="Hyperlink"/>
        </w:rPr>
      </w:pPr>
    </w:p>
    <w:p w:rsidR="005C082F" w:rsidRDefault="005C082F" w:rsidP="006D338E">
      <w:pPr>
        <w:pStyle w:val="BodyText"/>
        <w:rPr>
          <w:rStyle w:val="Hyperlink"/>
        </w:rPr>
      </w:pPr>
    </w:p>
    <w:p w:rsidR="006343F4" w:rsidRDefault="006343F4" w:rsidP="006D338E">
      <w:pPr>
        <w:pStyle w:val="BodyText"/>
      </w:pPr>
    </w:p>
    <w:p w:rsidR="005C082F" w:rsidRDefault="005C082F" w:rsidP="006D338E">
      <w:pPr>
        <w:pStyle w:val="ReportName"/>
      </w:pPr>
    </w:p>
    <w:p w:rsidR="005C082F" w:rsidRDefault="005C082F" w:rsidP="006D338E">
      <w:pPr>
        <w:pStyle w:val="ReportName"/>
      </w:pPr>
    </w:p>
    <w:p w:rsidR="004D5116" w:rsidRDefault="004D5116" w:rsidP="006D338E">
      <w:pPr>
        <w:pStyle w:val="ReportName"/>
      </w:pPr>
    </w:p>
    <w:p w:rsidR="00D801C6" w:rsidRDefault="00CD1D28" w:rsidP="006D338E">
      <w:pPr>
        <w:pStyle w:val="ReportName"/>
      </w:pPr>
      <w:r>
        <w:fldChar w:fldCharType="begin"/>
      </w:r>
      <w:r>
        <w:instrText xml:space="preserve"> DOCPROPERTY "Title"  \* MERGEFORMAT </w:instrText>
      </w:r>
      <w:r>
        <w:fldChar w:fldCharType="separate"/>
      </w:r>
      <w:r w:rsidR="000B33C7">
        <w:t xml:space="preserve">Peer review of the </w:t>
      </w:r>
      <w:proofErr w:type="gramStart"/>
      <w:r w:rsidR="000B33C7">
        <w:t>willingness</w:t>
      </w:r>
      <w:proofErr w:type="gramEnd"/>
      <w:r w:rsidR="000B33C7">
        <w:t xml:space="preserve"> to pay research submitted by SAPN</w:t>
      </w:r>
      <w:r>
        <w:fldChar w:fldCharType="end"/>
      </w:r>
    </w:p>
    <w:p w:rsidR="00742437" w:rsidRDefault="00742437" w:rsidP="006D338E">
      <w:pPr>
        <w:pStyle w:val="ReportName"/>
      </w:pPr>
    </w:p>
    <w:p w:rsidR="00742437" w:rsidRPr="00742437" w:rsidRDefault="006739A6" w:rsidP="006739A6">
      <w:pPr>
        <w:pStyle w:val="preparedfor"/>
        <w:rPr>
          <w:rFonts w:ascii="Arial Black" w:hAnsi="Arial Black"/>
        </w:rPr>
      </w:pPr>
      <w:proofErr w:type="gramStart"/>
      <w:r>
        <w:t>p</w:t>
      </w:r>
      <w:r w:rsidR="00742437">
        <w:t>repared</w:t>
      </w:r>
      <w:proofErr w:type="gramEnd"/>
      <w:r w:rsidR="00742437">
        <w:t xml:space="preserve"> f</w:t>
      </w:r>
      <w:r w:rsidR="00742437" w:rsidRPr="00742437">
        <w:t xml:space="preserve">or: </w:t>
      </w:r>
      <w:r w:rsidR="00742437">
        <w:br/>
      </w:r>
      <w:fldSimple w:instr=" DOCPROPERTY &quot;Client&quot;  \* MERGEFORMAT ">
        <w:r w:rsidR="000B33C7">
          <w:t>Australian Energy Regulator</w:t>
        </w:r>
      </w:fldSimple>
    </w:p>
    <w:p w:rsidR="00BE5EC6" w:rsidRPr="00BE5EC6" w:rsidRDefault="00BE5EC6" w:rsidP="006D338E">
      <w:pPr>
        <w:pStyle w:val="ReportName"/>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Default="006343F4" w:rsidP="006D338E">
      <w:pPr>
        <w:pStyle w:val="BodyText"/>
      </w:pPr>
    </w:p>
    <w:p w:rsidR="006343F4" w:rsidRPr="001E74A8" w:rsidRDefault="006343F4" w:rsidP="006D338E">
      <w:pPr>
        <w:pStyle w:val="BodyText"/>
        <w:sectPr w:rsidR="006343F4" w:rsidRPr="001E74A8" w:rsidSect="002B46C1">
          <w:headerReference w:type="default" r:id="rId8"/>
          <w:footerReference w:type="even" r:id="rId9"/>
          <w:footerReference w:type="default" r:id="rId10"/>
          <w:headerReference w:type="first" r:id="rId11"/>
          <w:footerReference w:type="first" r:id="rId12"/>
          <w:pgSz w:w="11907" w:h="16840" w:code="9"/>
          <w:pgMar w:top="1440" w:right="1304" w:bottom="1440" w:left="1304" w:header="578" w:footer="431" w:gutter="851"/>
          <w:cols w:space="720"/>
          <w:titlePg/>
        </w:sectPr>
      </w:pPr>
    </w:p>
    <w:p w:rsidR="006343F4" w:rsidRDefault="00815EC0" w:rsidP="00E53354">
      <w:pPr>
        <w:pStyle w:val="SectionHeadinggreen"/>
      </w:pPr>
      <w:r>
        <w:lastRenderedPageBreak/>
        <w:br/>
      </w:r>
    </w:p>
    <w:p w:rsidR="006343F4" w:rsidRDefault="006343F4" w:rsidP="006D514E">
      <w:pPr>
        <w:pStyle w:val="SectionHeadinggreen"/>
      </w:pPr>
      <w:r>
        <w:t>Disclaimer</w:t>
      </w:r>
    </w:p>
    <w:p w:rsidR="00E53354" w:rsidRPr="00AC2062" w:rsidRDefault="00E53354" w:rsidP="00E53354">
      <w:pPr>
        <w:pStyle w:val="BodyText"/>
      </w:pPr>
      <w:r w:rsidRPr="00210A7F">
        <w:t xml:space="preserve">This report has been prepared for the </w:t>
      </w:r>
      <w:r>
        <w:t xml:space="preserve">Australian Energy Regulator (AER) as an </w:t>
      </w:r>
      <w:r w:rsidRPr="00431557">
        <w:t xml:space="preserve">input to </w:t>
      </w:r>
      <w:r>
        <w:t xml:space="preserve">its consideration of material submitted to it by SA Power Networks (SAPN) as part of the 2015 – 2020 Electricity Distribution Price Review.  </w:t>
      </w:r>
    </w:p>
    <w:p w:rsidR="00C1266B" w:rsidRDefault="00E53354" w:rsidP="00E53354">
      <w:pPr>
        <w:pStyle w:val="BodyText"/>
      </w:pPr>
      <w:r w:rsidRPr="00210A7F">
        <w:t xml:space="preserve">The analysis and information provided in this report is derived </w:t>
      </w:r>
      <w:r>
        <w:t xml:space="preserve">in whole or in part </w:t>
      </w:r>
      <w:r w:rsidRPr="00210A7F">
        <w:t xml:space="preserve">from information prepared by parties other than </w:t>
      </w:r>
      <w:r>
        <w:t>Oakley Greenwood (</w:t>
      </w:r>
      <w:r w:rsidRPr="00210A7F">
        <w:t>OGW</w:t>
      </w:r>
      <w:r>
        <w:t>)</w:t>
      </w:r>
      <w:r w:rsidRPr="00210A7F">
        <w:t>, and OGW explicitly disclaims liability for any errors or omissions</w:t>
      </w:r>
      <w:r>
        <w:t xml:space="preserve"> in that information</w:t>
      </w:r>
      <w:r w:rsidRPr="00210A7F">
        <w:t>, or any other aspect of the validity of th</w:t>
      </w:r>
      <w:r>
        <w:t xml:space="preserve">at </w:t>
      </w:r>
      <w:r w:rsidRPr="00210A7F">
        <w:t>information</w:t>
      </w:r>
      <w:r>
        <w:t xml:space="preserve">.  We also disclaim liability for </w:t>
      </w:r>
      <w:r w:rsidRPr="00210A7F">
        <w:t xml:space="preserve">the use of any information in this report by any party </w:t>
      </w:r>
      <w:r>
        <w:t xml:space="preserve">other than the AER or </w:t>
      </w:r>
      <w:r w:rsidRPr="00210A7F">
        <w:t>for any purpose other than the intended purpose.</w:t>
      </w:r>
    </w:p>
    <w:p w:rsidR="00250151" w:rsidRDefault="00250151" w:rsidP="006D338E">
      <w:pPr>
        <w:pStyle w:val="BodyText"/>
      </w:pPr>
    </w:p>
    <w:p w:rsidR="0057359E" w:rsidRDefault="0057359E" w:rsidP="006D514E">
      <w:pPr>
        <w:pStyle w:val="SectionHeadinggreen"/>
      </w:pPr>
      <w:r>
        <w:t>Document information</w:t>
      </w:r>
    </w:p>
    <w:tbl>
      <w:tblPr>
        <w:tblW w:w="0" w:type="auto"/>
        <w:tblLook w:val="01E0" w:firstRow="1" w:lastRow="1" w:firstColumn="1" w:lastColumn="1" w:noHBand="0" w:noVBand="0"/>
      </w:tblPr>
      <w:tblGrid>
        <w:gridCol w:w="2376"/>
        <w:gridCol w:w="6288"/>
      </w:tblGrid>
      <w:tr w:rsidR="00770AFB" w:rsidTr="008B7065">
        <w:tc>
          <w:tcPr>
            <w:tcW w:w="2376" w:type="dxa"/>
            <w:shd w:val="clear" w:color="auto" w:fill="auto"/>
          </w:tcPr>
          <w:p w:rsidR="00770AFB" w:rsidRPr="008B7065" w:rsidRDefault="00815EC0" w:rsidP="006D338E">
            <w:pPr>
              <w:pStyle w:val="Documentinfo"/>
            </w:pPr>
            <w:r w:rsidRPr="008B7065">
              <w:t>Project</w:t>
            </w:r>
          </w:p>
        </w:tc>
        <w:tc>
          <w:tcPr>
            <w:tcW w:w="6288" w:type="dxa"/>
            <w:shd w:val="clear" w:color="auto" w:fill="auto"/>
          </w:tcPr>
          <w:p w:rsidR="00770AFB" w:rsidRDefault="00CD1D28" w:rsidP="006D338E">
            <w:pPr>
              <w:pStyle w:val="Documentinfo"/>
            </w:pPr>
            <w:fldSimple w:instr=" DOCPROPERTY &quot;Project&quot;  \* MERGEFORMAT ">
              <w:r w:rsidR="000B33C7">
                <w:t>Peer review of the willingness to pay research submitted by SAPN</w:t>
              </w:r>
            </w:fldSimple>
          </w:p>
        </w:tc>
      </w:tr>
      <w:tr w:rsidR="006D514E" w:rsidTr="008B7065">
        <w:tc>
          <w:tcPr>
            <w:tcW w:w="2376" w:type="dxa"/>
            <w:shd w:val="clear" w:color="auto" w:fill="auto"/>
          </w:tcPr>
          <w:p w:rsidR="006D514E" w:rsidRPr="008B7065" w:rsidRDefault="006D514E" w:rsidP="006D338E">
            <w:pPr>
              <w:pStyle w:val="Documentinfo"/>
            </w:pPr>
            <w:r w:rsidRPr="008B7065">
              <w:t>Client</w:t>
            </w:r>
          </w:p>
        </w:tc>
        <w:tc>
          <w:tcPr>
            <w:tcW w:w="6288" w:type="dxa"/>
            <w:shd w:val="clear" w:color="auto" w:fill="auto"/>
          </w:tcPr>
          <w:p w:rsidR="006D514E" w:rsidRDefault="00CD1D28" w:rsidP="006D338E">
            <w:pPr>
              <w:pStyle w:val="Documentinfo"/>
            </w:pPr>
            <w:fldSimple w:instr=" DOCPROPERTY &quot;Client&quot;  \* MERGEFORMAT ">
              <w:r w:rsidR="000B33C7">
                <w:t>Australian Energy Regulator</w:t>
              </w:r>
            </w:fldSimple>
          </w:p>
        </w:tc>
      </w:tr>
      <w:tr w:rsidR="00770AFB" w:rsidTr="008B7065">
        <w:tc>
          <w:tcPr>
            <w:tcW w:w="2376" w:type="dxa"/>
            <w:shd w:val="clear" w:color="auto" w:fill="auto"/>
          </w:tcPr>
          <w:p w:rsidR="00770AFB" w:rsidRPr="008B7065" w:rsidRDefault="00815EC0" w:rsidP="006D338E">
            <w:pPr>
              <w:pStyle w:val="Documentinfo"/>
            </w:pPr>
            <w:r w:rsidRPr="008B7065">
              <w:t>Status</w:t>
            </w:r>
          </w:p>
        </w:tc>
        <w:tc>
          <w:tcPr>
            <w:tcW w:w="6288" w:type="dxa"/>
            <w:shd w:val="clear" w:color="auto" w:fill="auto"/>
          </w:tcPr>
          <w:p w:rsidR="00770AFB" w:rsidRDefault="00CD1D28" w:rsidP="006D338E">
            <w:pPr>
              <w:pStyle w:val="Documentinfo"/>
            </w:pPr>
            <w:fldSimple w:instr=" DOCPROPERTY &quot;Status&quot;  \* MERGEFORMAT ">
              <w:r w:rsidR="00F55880">
                <w:t>Peer Review</w:t>
              </w:r>
            </w:fldSimple>
          </w:p>
        </w:tc>
      </w:tr>
      <w:tr w:rsidR="00770AFB" w:rsidTr="008B7065">
        <w:tc>
          <w:tcPr>
            <w:tcW w:w="2376" w:type="dxa"/>
            <w:shd w:val="clear" w:color="auto" w:fill="auto"/>
          </w:tcPr>
          <w:p w:rsidR="00770AFB" w:rsidRPr="008B7065" w:rsidRDefault="00815EC0" w:rsidP="006D338E">
            <w:pPr>
              <w:pStyle w:val="Documentinfo"/>
            </w:pPr>
            <w:r w:rsidRPr="008B7065">
              <w:t>Report prepared by</w:t>
            </w:r>
          </w:p>
        </w:tc>
        <w:tc>
          <w:tcPr>
            <w:tcW w:w="6288" w:type="dxa"/>
            <w:shd w:val="clear" w:color="auto" w:fill="auto"/>
          </w:tcPr>
          <w:p w:rsidR="00770AFB" w:rsidRDefault="00CD1D28" w:rsidP="006D338E">
            <w:pPr>
              <w:pStyle w:val="Documentinfo"/>
            </w:pPr>
            <w:fldSimple w:instr=" DOCPROPERTY &quot;1st Author&quot;  \* MERGEFORMAT ">
              <w:r w:rsidR="000B33C7">
                <w:t>Lance Hoch (lhoch@oakleygreenwood.com.au)</w:t>
              </w:r>
            </w:fldSimple>
            <w:r w:rsidR="00815EC0">
              <w:br/>
            </w:r>
            <w:fldSimple w:instr=" DOCPROPERTY &quot;2nd Author&quot;  \* MERGEFORMAT ">
              <w:r w:rsidR="000B33C7">
                <w:t>Jim Snow (jsnow@oakleygreenwood.com.au)</w:t>
              </w:r>
            </w:fldSimple>
          </w:p>
        </w:tc>
      </w:tr>
      <w:tr w:rsidR="00770AFB" w:rsidTr="008B7065">
        <w:tc>
          <w:tcPr>
            <w:tcW w:w="2376" w:type="dxa"/>
            <w:shd w:val="clear" w:color="auto" w:fill="auto"/>
          </w:tcPr>
          <w:p w:rsidR="00770AFB" w:rsidRPr="008B7065" w:rsidRDefault="00815EC0" w:rsidP="006D338E">
            <w:pPr>
              <w:pStyle w:val="Documentinfo"/>
            </w:pPr>
            <w:r w:rsidRPr="008B7065">
              <w:t>Date</w:t>
            </w:r>
          </w:p>
        </w:tc>
        <w:tc>
          <w:tcPr>
            <w:tcW w:w="6288" w:type="dxa"/>
            <w:shd w:val="clear" w:color="auto" w:fill="auto"/>
          </w:tcPr>
          <w:p w:rsidR="00770AFB" w:rsidRDefault="00CD1D28" w:rsidP="006D338E">
            <w:pPr>
              <w:pStyle w:val="Documentinfo"/>
            </w:pPr>
            <w:fldSimple w:instr=" DOCPROPERTY &quot;Date&quot;  \* MERGEFORMAT ">
              <w:r w:rsidR="00E54D24">
                <w:t>20 April 2015</w:t>
              </w:r>
            </w:fldSimple>
          </w:p>
        </w:tc>
      </w:tr>
      <w:tr w:rsidR="006D514E" w:rsidTr="008B7065">
        <w:tc>
          <w:tcPr>
            <w:tcW w:w="2376" w:type="dxa"/>
            <w:shd w:val="clear" w:color="auto" w:fill="auto"/>
          </w:tcPr>
          <w:p w:rsidR="006D514E" w:rsidRPr="008B7065" w:rsidRDefault="006D514E" w:rsidP="006D338E">
            <w:pPr>
              <w:pStyle w:val="Documentinfo"/>
            </w:pPr>
          </w:p>
        </w:tc>
        <w:tc>
          <w:tcPr>
            <w:tcW w:w="6288" w:type="dxa"/>
            <w:shd w:val="clear" w:color="auto" w:fill="auto"/>
          </w:tcPr>
          <w:p w:rsidR="006D514E" w:rsidRDefault="006D514E" w:rsidP="006D338E">
            <w:pPr>
              <w:pStyle w:val="Documentinfo"/>
            </w:pPr>
          </w:p>
        </w:tc>
      </w:tr>
    </w:tbl>
    <w:p w:rsidR="00815EC0" w:rsidRPr="00EF296D" w:rsidRDefault="00D10AEF" w:rsidP="006D338E">
      <w:pPr>
        <w:pStyle w:val="Documentinfo"/>
      </w:pPr>
      <w:r>
        <w:t xml:space="preserve"> </w:t>
      </w:r>
      <w:r w:rsidR="00815EC0">
        <w:t xml:space="preserve"> </w:t>
      </w:r>
    </w:p>
    <w:p w:rsidR="00A83106" w:rsidRDefault="00A83106" w:rsidP="006D338E">
      <w:pPr>
        <w:pStyle w:val="BodyText"/>
        <w:sectPr w:rsidR="00A83106" w:rsidSect="002B46C1">
          <w:headerReference w:type="default" r:id="rId13"/>
          <w:footerReference w:type="default" r:id="rId14"/>
          <w:headerReference w:type="first" r:id="rId15"/>
          <w:footerReference w:type="first" r:id="rId16"/>
          <w:pgSz w:w="11907" w:h="16840" w:code="9"/>
          <w:pgMar w:top="1440" w:right="1304" w:bottom="1440" w:left="1304" w:header="578" w:footer="431" w:gutter="851"/>
          <w:pgNumType w:fmt="lowerRoman" w:start="1"/>
          <w:cols w:space="720"/>
        </w:sectPr>
      </w:pPr>
    </w:p>
    <w:p w:rsidR="00BC1FB2" w:rsidRDefault="004C69E0" w:rsidP="004C69E0">
      <w:pPr>
        <w:pStyle w:val="SectionHeadinggrey"/>
      </w:pPr>
      <w:r w:rsidRPr="004C69E0">
        <w:lastRenderedPageBreak/>
        <w:t>Table of</w:t>
      </w:r>
      <w:r>
        <w:t xml:space="preserve"> </w:t>
      </w:r>
      <w:r w:rsidRPr="004C69E0">
        <w:rPr>
          <w:rStyle w:val="SectionHeadinggreenChar"/>
        </w:rPr>
        <w:t>contents</w:t>
      </w:r>
    </w:p>
    <w:p w:rsidR="00D823EA" w:rsidRDefault="001E74A8">
      <w:pPr>
        <w:pStyle w:val="TOC1"/>
        <w:rPr>
          <w:rFonts w:asciiTheme="minorHAnsi" w:eastAsiaTheme="minorEastAsia" w:hAnsiTheme="minorHAnsi" w:cstheme="minorBidi"/>
          <w:b w:val="0"/>
          <w:noProof/>
          <w:color w:val="auto"/>
          <w:szCs w:val="22"/>
          <w:lang w:eastAsia="en-AU"/>
        </w:rPr>
      </w:pPr>
      <w:r>
        <w:rPr>
          <w:caps/>
        </w:rPr>
        <w:fldChar w:fldCharType="begin"/>
      </w:r>
      <w:r>
        <w:rPr>
          <w:caps/>
        </w:rPr>
        <w:instrText xml:space="preserve"> TOC \o "2-3" \h \z \t "Heading 1,1,Appendix 1,1,Appendix 2,2,Appendix 3,3,CVTitle,2" </w:instrText>
      </w:r>
      <w:r>
        <w:rPr>
          <w:caps/>
        </w:rPr>
        <w:fldChar w:fldCharType="separate"/>
      </w:r>
      <w:hyperlink w:anchor="_Toc416970973" w:history="1">
        <w:r w:rsidR="00D823EA" w:rsidRPr="00450BD9">
          <w:rPr>
            <w:rStyle w:val="Hyperlink"/>
            <w:noProof/>
          </w:rPr>
          <w:t>1.</w:t>
        </w:r>
        <w:r w:rsidR="00D823EA">
          <w:rPr>
            <w:rFonts w:asciiTheme="minorHAnsi" w:eastAsiaTheme="minorEastAsia" w:hAnsiTheme="minorHAnsi" w:cstheme="minorBidi"/>
            <w:b w:val="0"/>
            <w:noProof/>
            <w:color w:val="auto"/>
            <w:szCs w:val="22"/>
            <w:lang w:eastAsia="en-AU"/>
          </w:rPr>
          <w:tab/>
        </w:r>
        <w:r w:rsidR="00D823EA" w:rsidRPr="00450BD9">
          <w:rPr>
            <w:rStyle w:val="Hyperlink"/>
            <w:noProof/>
          </w:rPr>
          <w:t>Review background, requirements and limits</w:t>
        </w:r>
        <w:r w:rsidR="00D823EA">
          <w:rPr>
            <w:noProof/>
            <w:webHidden/>
          </w:rPr>
          <w:tab/>
        </w:r>
        <w:r w:rsidR="00D823EA">
          <w:rPr>
            <w:noProof/>
            <w:webHidden/>
          </w:rPr>
          <w:fldChar w:fldCharType="begin"/>
        </w:r>
        <w:r w:rsidR="00D823EA">
          <w:rPr>
            <w:noProof/>
            <w:webHidden/>
          </w:rPr>
          <w:instrText xml:space="preserve"> PAGEREF _Toc416970973 \h </w:instrText>
        </w:r>
        <w:r w:rsidR="00D823EA">
          <w:rPr>
            <w:noProof/>
            <w:webHidden/>
          </w:rPr>
        </w:r>
        <w:r w:rsidR="00D823EA">
          <w:rPr>
            <w:noProof/>
            <w:webHidden/>
          </w:rPr>
          <w:fldChar w:fldCharType="separate"/>
        </w:r>
        <w:r w:rsidR="00E54D24">
          <w:rPr>
            <w:noProof/>
            <w:webHidden/>
          </w:rPr>
          <w:t>1</w:t>
        </w:r>
        <w:r w:rsidR="00D823EA">
          <w:rPr>
            <w:noProof/>
            <w:webHidden/>
          </w:rPr>
          <w:fldChar w:fldCharType="end"/>
        </w:r>
      </w:hyperlink>
    </w:p>
    <w:p w:rsidR="00D823EA" w:rsidRDefault="000A1284">
      <w:pPr>
        <w:pStyle w:val="TOC2"/>
        <w:rPr>
          <w:rFonts w:asciiTheme="minorHAnsi" w:eastAsiaTheme="minorEastAsia" w:hAnsiTheme="minorHAnsi" w:cstheme="minorBidi"/>
          <w:noProof/>
          <w:sz w:val="22"/>
          <w:szCs w:val="22"/>
          <w:lang w:eastAsia="en-AU"/>
        </w:rPr>
      </w:pPr>
      <w:hyperlink w:anchor="_Toc416970974" w:history="1">
        <w:r w:rsidR="00D823EA" w:rsidRPr="00450BD9">
          <w:rPr>
            <w:rStyle w:val="Hyperlink"/>
            <w:noProof/>
          </w:rPr>
          <w:t>1.1.</w:t>
        </w:r>
        <w:r w:rsidR="00D823EA">
          <w:rPr>
            <w:rFonts w:asciiTheme="minorHAnsi" w:eastAsiaTheme="minorEastAsia" w:hAnsiTheme="minorHAnsi" w:cstheme="minorBidi"/>
            <w:noProof/>
            <w:sz w:val="22"/>
            <w:szCs w:val="22"/>
            <w:lang w:eastAsia="en-AU"/>
          </w:rPr>
          <w:tab/>
        </w:r>
        <w:r w:rsidR="00D823EA" w:rsidRPr="00450BD9">
          <w:rPr>
            <w:rStyle w:val="Hyperlink"/>
            <w:noProof/>
          </w:rPr>
          <w:t>Background of the review</w:t>
        </w:r>
        <w:r w:rsidR="00D823EA">
          <w:rPr>
            <w:noProof/>
            <w:webHidden/>
          </w:rPr>
          <w:tab/>
        </w:r>
        <w:r w:rsidR="00D823EA">
          <w:rPr>
            <w:noProof/>
            <w:webHidden/>
          </w:rPr>
          <w:fldChar w:fldCharType="begin"/>
        </w:r>
        <w:r w:rsidR="00D823EA">
          <w:rPr>
            <w:noProof/>
            <w:webHidden/>
          </w:rPr>
          <w:instrText xml:space="preserve"> PAGEREF _Toc416970974 \h </w:instrText>
        </w:r>
        <w:r w:rsidR="00D823EA">
          <w:rPr>
            <w:noProof/>
            <w:webHidden/>
          </w:rPr>
        </w:r>
        <w:r w:rsidR="00D823EA">
          <w:rPr>
            <w:noProof/>
            <w:webHidden/>
          </w:rPr>
          <w:fldChar w:fldCharType="separate"/>
        </w:r>
        <w:r w:rsidR="00E54D24">
          <w:rPr>
            <w:noProof/>
            <w:webHidden/>
          </w:rPr>
          <w:t>1</w:t>
        </w:r>
        <w:r w:rsidR="00D823EA">
          <w:rPr>
            <w:noProof/>
            <w:webHidden/>
          </w:rPr>
          <w:fldChar w:fldCharType="end"/>
        </w:r>
      </w:hyperlink>
    </w:p>
    <w:p w:rsidR="00D823EA" w:rsidRDefault="000A1284">
      <w:pPr>
        <w:pStyle w:val="TOC2"/>
        <w:rPr>
          <w:rFonts w:asciiTheme="minorHAnsi" w:eastAsiaTheme="minorEastAsia" w:hAnsiTheme="minorHAnsi" w:cstheme="minorBidi"/>
          <w:noProof/>
          <w:sz w:val="22"/>
          <w:szCs w:val="22"/>
          <w:lang w:eastAsia="en-AU"/>
        </w:rPr>
      </w:pPr>
      <w:hyperlink w:anchor="_Toc416970975" w:history="1">
        <w:r w:rsidR="00D823EA" w:rsidRPr="00450BD9">
          <w:rPr>
            <w:rStyle w:val="Hyperlink"/>
            <w:noProof/>
          </w:rPr>
          <w:t>1.3.</w:t>
        </w:r>
        <w:r w:rsidR="00D823EA">
          <w:rPr>
            <w:rFonts w:asciiTheme="minorHAnsi" w:eastAsiaTheme="minorEastAsia" w:hAnsiTheme="minorHAnsi" w:cstheme="minorBidi"/>
            <w:noProof/>
            <w:sz w:val="22"/>
            <w:szCs w:val="22"/>
            <w:lang w:eastAsia="en-AU"/>
          </w:rPr>
          <w:tab/>
        </w:r>
        <w:r w:rsidR="00D823EA" w:rsidRPr="00450BD9">
          <w:rPr>
            <w:rStyle w:val="Hyperlink"/>
            <w:noProof/>
          </w:rPr>
          <w:t>Limits and caveats</w:t>
        </w:r>
        <w:r w:rsidR="00D823EA">
          <w:rPr>
            <w:noProof/>
            <w:webHidden/>
          </w:rPr>
          <w:tab/>
        </w:r>
        <w:r w:rsidR="00D823EA">
          <w:rPr>
            <w:noProof/>
            <w:webHidden/>
          </w:rPr>
          <w:fldChar w:fldCharType="begin"/>
        </w:r>
        <w:r w:rsidR="00D823EA">
          <w:rPr>
            <w:noProof/>
            <w:webHidden/>
          </w:rPr>
          <w:instrText xml:space="preserve"> PAGEREF _Toc416970975 \h </w:instrText>
        </w:r>
        <w:r w:rsidR="00D823EA">
          <w:rPr>
            <w:noProof/>
            <w:webHidden/>
          </w:rPr>
        </w:r>
        <w:r w:rsidR="00D823EA">
          <w:rPr>
            <w:noProof/>
            <w:webHidden/>
          </w:rPr>
          <w:fldChar w:fldCharType="separate"/>
        </w:r>
        <w:r w:rsidR="00E54D24">
          <w:rPr>
            <w:noProof/>
            <w:webHidden/>
          </w:rPr>
          <w:t>2</w:t>
        </w:r>
        <w:r w:rsidR="00D823EA">
          <w:rPr>
            <w:noProof/>
            <w:webHidden/>
          </w:rPr>
          <w:fldChar w:fldCharType="end"/>
        </w:r>
      </w:hyperlink>
    </w:p>
    <w:p w:rsidR="00D823EA" w:rsidRDefault="000A1284">
      <w:pPr>
        <w:pStyle w:val="TOC1"/>
        <w:rPr>
          <w:rFonts w:asciiTheme="minorHAnsi" w:eastAsiaTheme="minorEastAsia" w:hAnsiTheme="minorHAnsi" w:cstheme="minorBidi"/>
          <w:b w:val="0"/>
          <w:noProof/>
          <w:color w:val="auto"/>
          <w:szCs w:val="22"/>
          <w:lang w:eastAsia="en-AU"/>
        </w:rPr>
      </w:pPr>
      <w:hyperlink w:anchor="_Toc416970976" w:history="1">
        <w:r w:rsidR="00D823EA" w:rsidRPr="00450BD9">
          <w:rPr>
            <w:rStyle w:val="Hyperlink"/>
            <w:noProof/>
          </w:rPr>
          <w:t>2.</w:t>
        </w:r>
        <w:r w:rsidR="00D823EA">
          <w:rPr>
            <w:rFonts w:asciiTheme="minorHAnsi" w:eastAsiaTheme="minorEastAsia" w:hAnsiTheme="minorHAnsi" w:cstheme="minorBidi"/>
            <w:b w:val="0"/>
            <w:noProof/>
            <w:color w:val="auto"/>
            <w:szCs w:val="22"/>
            <w:lang w:eastAsia="en-AU"/>
          </w:rPr>
          <w:tab/>
        </w:r>
        <w:r w:rsidR="00D823EA" w:rsidRPr="00450BD9">
          <w:rPr>
            <w:rStyle w:val="Hyperlink"/>
            <w:noProof/>
          </w:rPr>
          <w:t>Findings</w:t>
        </w:r>
        <w:r w:rsidR="00D823EA">
          <w:rPr>
            <w:noProof/>
            <w:webHidden/>
          </w:rPr>
          <w:tab/>
        </w:r>
        <w:r w:rsidR="00D823EA">
          <w:rPr>
            <w:noProof/>
            <w:webHidden/>
          </w:rPr>
          <w:fldChar w:fldCharType="begin"/>
        </w:r>
        <w:r w:rsidR="00D823EA">
          <w:rPr>
            <w:noProof/>
            <w:webHidden/>
          </w:rPr>
          <w:instrText xml:space="preserve"> PAGEREF _Toc416970976 \h </w:instrText>
        </w:r>
        <w:r w:rsidR="00D823EA">
          <w:rPr>
            <w:noProof/>
            <w:webHidden/>
          </w:rPr>
        </w:r>
        <w:r w:rsidR="00D823EA">
          <w:rPr>
            <w:noProof/>
            <w:webHidden/>
          </w:rPr>
          <w:fldChar w:fldCharType="separate"/>
        </w:r>
        <w:r w:rsidR="00E54D24">
          <w:rPr>
            <w:noProof/>
            <w:webHidden/>
          </w:rPr>
          <w:t>3</w:t>
        </w:r>
        <w:r w:rsidR="00D823EA">
          <w:rPr>
            <w:noProof/>
            <w:webHidden/>
          </w:rPr>
          <w:fldChar w:fldCharType="end"/>
        </w:r>
      </w:hyperlink>
    </w:p>
    <w:p w:rsidR="00D823EA" w:rsidRDefault="000A1284">
      <w:pPr>
        <w:pStyle w:val="TOC2"/>
        <w:rPr>
          <w:rFonts w:asciiTheme="minorHAnsi" w:eastAsiaTheme="minorEastAsia" w:hAnsiTheme="minorHAnsi" w:cstheme="minorBidi"/>
          <w:noProof/>
          <w:sz w:val="22"/>
          <w:szCs w:val="22"/>
          <w:lang w:eastAsia="en-AU"/>
        </w:rPr>
      </w:pPr>
      <w:hyperlink w:anchor="_Toc416970977" w:history="1">
        <w:r w:rsidR="00D823EA" w:rsidRPr="00450BD9">
          <w:rPr>
            <w:rStyle w:val="Hyperlink"/>
            <w:noProof/>
          </w:rPr>
          <w:t>2.1.</w:t>
        </w:r>
        <w:r w:rsidR="00D823EA">
          <w:rPr>
            <w:rFonts w:asciiTheme="minorHAnsi" w:eastAsiaTheme="minorEastAsia" w:hAnsiTheme="minorHAnsi" w:cstheme="minorBidi"/>
            <w:noProof/>
            <w:sz w:val="22"/>
            <w:szCs w:val="22"/>
            <w:lang w:eastAsia="en-AU"/>
          </w:rPr>
          <w:tab/>
        </w:r>
        <w:r w:rsidR="00D823EA" w:rsidRPr="00450BD9">
          <w:rPr>
            <w:rStyle w:val="Hyperlink"/>
            <w:noProof/>
          </w:rPr>
          <w:t>Genesis of the WTP study</w:t>
        </w:r>
        <w:r w:rsidR="00D823EA">
          <w:rPr>
            <w:noProof/>
            <w:webHidden/>
          </w:rPr>
          <w:tab/>
        </w:r>
        <w:r w:rsidR="00D823EA">
          <w:rPr>
            <w:noProof/>
            <w:webHidden/>
          </w:rPr>
          <w:fldChar w:fldCharType="begin"/>
        </w:r>
        <w:r w:rsidR="00D823EA">
          <w:rPr>
            <w:noProof/>
            <w:webHidden/>
          </w:rPr>
          <w:instrText xml:space="preserve"> PAGEREF _Toc416970977 \h </w:instrText>
        </w:r>
        <w:r w:rsidR="00D823EA">
          <w:rPr>
            <w:noProof/>
            <w:webHidden/>
          </w:rPr>
        </w:r>
        <w:r w:rsidR="00D823EA">
          <w:rPr>
            <w:noProof/>
            <w:webHidden/>
          </w:rPr>
          <w:fldChar w:fldCharType="separate"/>
        </w:r>
        <w:r w:rsidR="00E54D24">
          <w:rPr>
            <w:noProof/>
            <w:webHidden/>
          </w:rPr>
          <w:t>3</w:t>
        </w:r>
        <w:r w:rsidR="00D823EA">
          <w:rPr>
            <w:noProof/>
            <w:webHidden/>
          </w:rPr>
          <w:fldChar w:fldCharType="end"/>
        </w:r>
      </w:hyperlink>
    </w:p>
    <w:p w:rsidR="00D823EA" w:rsidRDefault="000A1284">
      <w:pPr>
        <w:pStyle w:val="TOC2"/>
        <w:rPr>
          <w:rFonts w:asciiTheme="minorHAnsi" w:eastAsiaTheme="minorEastAsia" w:hAnsiTheme="minorHAnsi" w:cstheme="minorBidi"/>
          <w:noProof/>
          <w:sz w:val="22"/>
          <w:szCs w:val="22"/>
          <w:lang w:eastAsia="en-AU"/>
        </w:rPr>
      </w:pPr>
      <w:hyperlink w:anchor="_Toc416970978" w:history="1">
        <w:r w:rsidR="00D823EA" w:rsidRPr="00450BD9">
          <w:rPr>
            <w:rStyle w:val="Hyperlink"/>
            <w:noProof/>
          </w:rPr>
          <w:t>2.2.</w:t>
        </w:r>
        <w:r w:rsidR="00D823EA">
          <w:rPr>
            <w:rFonts w:asciiTheme="minorHAnsi" w:eastAsiaTheme="minorEastAsia" w:hAnsiTheme="minorHAnsi" w:cstheme="minorBidi"/>
            <w:noProof/>
            <w:sz w:val="22"/>
            <w:szCs w:val="22"/>
            <w:lang w:eastAsia="en-AU"/>
          </w:rPr>
          <w:tab/>
        </w:r>
        <w:r w:rsidR="00D823EA" w:rsidRPr="00450BD9">
          <w:rPr>
            <w:rStyle w:val="Hyperlink"/>
            <w:noProof/>
          </w:rPr>
          <w:t>Robustness of the research</w:t>
        </w:r>
        <w:r w:rsidR="00D823EA">
          <w:rPr>
            <w:noProof/>
            <w:webHidden/>
          </w:rPr>
          <w:tab/>
        </w:r>
        <w:r w:rsidR="00D823EA">
          <w:rPr>
            <w:noProof/>
            <w:webHidden/>
          </w:rPr>
          <w:fldChar w:fldCharType="begin"/>
        </w:r>
        <w:r w:rsidR="00D823EA">
          <w:rPr>
            <w:noProof/>
            <w:webHidden/>
          </w:rPr>
          <w:instrText xml:space="preserve"> PAGEREF _Toc416970978 \h </w:instrText>
        </w:r>
        <w:r w:rsidR="00D823EA">
          <w:rPr>
            <w:noProof/>
            <w:webHidden/>
          </w:rPr>
        </w:r>
        <w:r w:rsidR="00D823EA">
          <w:rPr>
            <w:noProof/>
            <w:webHidden/>
          </w:rPr>
          <w:fldChar w:fldCharType="separate"/>
        </w:r>
        <w:r w:rsidR="00E54D24">
          <w:rPr>
            <w:noProof/>
            <w:webHidden/>
          </w:rPr>
          <w:t>4</w:t>
        </w:r>
        <w:r w:rsidR="00D823EA">
          <w:rPr>
            <w:noProof/>
            <w:webHidden/>
          </w:rPr>
          <w:fldChar w:fldCharType="end"/>
        </w:r>
      </w:hyperlink>
    </w:p>
    <w:p w:rsidR="00D823EA" w:rsidRDefault="000A1284">
      <w:pPr>
        <w:pStyle w:val="TOC3"/>
        <w:rPr>
          <w:rFonts w:asciiTheme="minorHAnsi" w:eastAsiaTheme="minorEastAsia" w:hAnsiTheme="minorHAnsi" w:cstheme="minorBidi"/>
          <w:noProof/>
          <w:sz w:val="22"/>
          <w:szCs w:val="22"/>
          <w:lang w:eastAsia="en-AU"/>
        </w:rPr>
      </w:pPr>
      <w:hyperlink w:anchor="_Toc416970979" w:history="1">
        <w:r w:rsidR="00D823EA" w:rsidRPr="00450BD9">
          <w:rPr>
            <w:rStyle w:val="Hyperlink"/>
            <w:noProof/>
          </w:rPr>
          <w:t>2.2.1.</w:t>
        </w:r>
        <w:r w:rsidR="00D823EA">
          <w:rPr>
            <w:rFonts w:asciiTheme="minorHAnsi" w:eastAsiaTheme="minorEastAsia" w:hAnsiTheme="minorHAnsi" w:cstheme="minorBidi"/>
            <w:noProof/>
            <w:sz w:val="22"/>
            <w:szCs w:val="22"/>
            <w:lang w:eastAsia="en-AU"/>
          </w:rPr>
          <w:tab/>
        </w:r>
        <w:r w:rsidR="00D823EA" w:rsidRPr="00450BD9">
          <w:rPr>
            <w:rStyle w:val="Hyperlink"/>
            <w:noProof/>
          </w:rPr>
          <w:t>Assumptions</w:t>
        </w:r>
        <w:r w:rsidR="00D823EA">
          <w:rPr>
            <w:noProof/>
            <w:webHidden/>
          </w:rPr>
          <w:tab/>
        </w:r>
        <w:r w:rsidR="00D823EA">
          <w:rPr>
            <w:noProof/>
            <w:webHidden/>
          </w:rPr>
          <w:fldChar w:fldCharType="begin"/>
        </w:r>
        <w:r w:rsidR="00D823EA">
          <w:rPr>
            <w:noProof/>
            <w:webHidden/>
          </w:rPr>
          <w:instrText xml:space="preserve"> PAGEREF _Toc416970979 \h </w:instrText>
        </w:r>
        <w:r w:rsidR="00D823EA">
          <w:rPr>
            <w:noProof/>
            <w:webHidden/>
          </w:rPr>
        </w:r>
        <w:r w:rsidR="00D823EA">
          <w:rPr>
            <w:noProof/>
            <w:webHidden/>
          </w:rPr>
          <w:fldChar w:fldCharType="separate"/>
        </w:r>
        <w:r w:rsidR="00E54D24">
          <w:rPr>
            <w:noProof/>
            <w:webHidden/>
          </w:rPr>
          <w:t>4</w:t>
        </w:r>
        <w:r w:rsidR="00D823EA">
          <w:rPr>
            <w:noProof/>
            <w:webHidden/>
          </w:rPr>
          <w:fldChar w:fldCharType="end"/>
        </w:r>
      </w:hyperlink>
    </w:p>
    <w:p w:rsidR="00D823EA" w:rsidRDefault="000A1284">
      <w:pPr>
        <w:pStyle w:val="TOC3"/>
        <w:rPr>
          <w:rFonts w:asciiTheme="minorHAnsi" w:eastAsiaTheme="minorEastAsia" w:hAnsiTheme="minorHAnsi" w:cstheme="minorBidi"/>
          <w:noProof/>
          <w:sz w:val="22"/>
          <w:szCs w:val="22"/>
          <w:lang w:eastAsia="en-AU"/>
        </w:rPr>
      </w:pPr>
      <w:hyperlink w:anchor="_Toc416970980" w:history="1">
        <w:r w:rsidR="00D823EA" w:rsidRPr="00450BD9">
          <w:rPr>
            <w:rStyle w:val="Hyperlink"/>
            <w:noProof/>
          </w:rPr>
          <w:t>2.2.2.</w:t>
        </w:r>
        <w:r w:rsidR="00D823EA">
          <w:rPr>
            <w:rFonts w:asciiTheme="minorHAnsi" w:eastAsiaTheme="minorEastAsia" w:hAnsiTheme="minorHAnsi" w:cstheme="minorBidi"/>
            <w:noProof/>
            <w:sz w:val="22"/>
            <w:szCs w:val="22"/>
            <w:lang w:eastAsia="en-AU"/>
          </w:rPr>
          <w:tab/>
        </w:r>
        <w:r w:rsidR="00D823EA" w:rsidRPr="00450BD9">
          <w:rPr>
            <w:rStyle w:val="Hyperlink"/>
            <w:noProof/>
          </w:rPr>
          <w:t>Methodology, scope and implementation</w:t>
        </w:r>
        <w:r w:rsidR="00D823EA">
          <w:rPr>
            <w:noProof/>
            <w:webHidden/>
          </w:rPr>
          <w:tab/>
        </w:r>
        <w:r w:rsidR="00D823EA">
          <w:rPr>
            <w:noProof/>
            <w:webHidden/>
          </w:rPr>
          <w:fldChar w:fldCharType="begin"/>
        </w:r>
        <w:r w:rsidR="00D823EA">
          <w:rPr>
            <w:noProof/>
            <w:webHidden/>
          </w:rPr>
          <w:instrText xml:space="preserve"> PAGEREF _Toc416970980 \h </w:instrText>
        </w:r>
        <w:r w:rsidR="00D823EA">
          <w:rPr>
            <w:noProof/>
            <w:webHidden/>
          </w:rPr>
        </w:r>
        <w:r w:rsidR="00D823EA">
          <w:rPr>
            <w:noProof/>
            <w:webHidden/>
          </w:rPr>
          <w:fldChar w:fldCharType="separate"/>
        </w:r>
        <w:r w:rsidR="00E54D24">
          <w:rPr>
            <w:noProof/>
            <w:webHidden/>
          </w:rPr>
          <w:t>5</w:t>
        </w:r>
        <w:r w:rsidR="00D823EA">
          <w:rPr>
            <w:noProof/>
            <w:webHidden/>
          </w:rPr>
          <w:fldChar w:fldCharType="end"/>
        </w:r>
      </w:hyperlink>
    </w:p>
    <w:p w:rsidR="00D823EA" w:rsidRDefault="000A1284">
      <w:pPr>
        <w:pStyle w:val="TOC2"/>
        <w:rPr>
          <w:rFonts w:asciiTheme="minorHAnsi" w:eastAsiaTheme="minorEastAsia" w:hAnsiTheme="minorHAnsi" w:cstheme="minorBidi"/>
          <w:noProof/>
          <w:sz w:val="22"/>
          <w:szCs w:val="22"/>
          <w:lang w:eastAsia="en-AU"/>
        </w:rPr>
      </w:pPr>
      <w:hyperlink w:anchor="_Toc416970981" w:history="1">
        <w:r w:rsidR="00D823EA" w:rsidRPr="00450BD9">
          <w:rPr>
            <w:rStyle w:val="Hyperlink"/>
            <w:noProof/>
          </w:rPr>
          <w:t>2.3.</w:t>
        </w:r>
        <w:r w:rsidR="00D823EA">
          <w:rPr>
            <w:rFonts w:asciiTheme="minorHAnsi" w:eastAsiaTheme="minorEastAsia" w:hAnsiTheme="minorHAnsi" w:cstheme="minorBidi"/>
            <w:noProof/>
            <w:sz w:val="22"/>
            <w:szCs w:val="22"/>
            <w:lang w:eastAsia="en-AU"/>
          </w:rPr>
          <w:tab/>
        </w:r>
        <w:r w:rsidR="00D823EA" w:rsidRPr="00450BD9">
          <w:rPr>
            <w:rStyle w:val="Hyperlink"/>
            <w:noProof/>
          </w:rPr>
          <w:t>Accuracy and strength of conclusions drawn</w:t>
        </w:r>
        <w:r w:rsidR="00D823EA">
          <w:rPr>
            <w:noProof/>
            <w:webHidden/>
          </w:rPr>
          <w:tab/>
        </w:r>
        <w:r w:rsidR="00D823EA">
          <w:rPr>
            <w:noProof/>
            <w:webHidden/>
          </w:rPr>
          <w:fldChar w:fldCharType="begin"/>
        </w:r>
        <w:r w:rsidR="00D823EA">
          <w:rPr>
            <w:noProof/>
            <w:webHidden/>
          </w:rPr>
          <w:instrText xml:space="preserve"> PAGEREF _Toc416970981 \h </w:instrText>
        </w:r>
        <w:r w:rsidR="00D823EA">
          <w:rPr>
            <w:noProof/>
            <w:webHidden/>
          </w:rPr>
        </w:r>
        <w:r w:rsidR="00D823EA">
          <w:rPr>
            <w:noProof/>
            <w:webHidden/>
          </w:rPr>
          <w:fldChar w:fldCharType="separate"/>
        </w:r>
        <w:r w:rsidR="00E54D24">
          <w:rPr>
            <w:noProof/>
            <w:webHidden/>
          </w:rPr>
          <w:t>9</w:t>
        </w:r>
        <w:r w:rsidR="00D823EA">
          <w:rPr>
            <w:noProof/>
            <w:webHidden/>
          </w:rPr>
          <w:fldChar w:fldCharType="end"/>
        </w:r>
      </w:hyperlink>
    </w:p>
    <w:p w:rsidR="00D823EA" w:rsidRDefault="000A1284">
      <w:pPr>
        <w:pStyle w:val="TOC1"/>
        <w:rPr>
          <w:rFonts w:asciiTheme="minorHAnsi" w:eastAsiaTheme="minorEastAsia" w:hAnsiTheme="minorHAnsi" w:cstheme="minorBidi"/>
          <w:b w:val="0"/>
          <w:noProof/>
          <w:color w:val="auto"/>
          <w:szCs w:val="22"/>
          <w:lang w:eastAsia="en-AU"/>
        </w:rPr>
      </w:pPr>
      <w:hyperlink w:anchor="_Toc416970982" w:history="1">
        <w:r w:rsidR="00D823EA" w:rsidRPr="00450BD9">
          <w:rPr>
            <w:rStyle w:val="Hyperlink"/>
            <w:noProof/>
          </w:rPr>
          <w:t>3.</w:t>
        </w:r>
        <w:r w:rsidR="00D823EA">
          <w:rPr>
            <w:rFonts w:asciiTheme="minorHAnsi" w:eastAsiaTheme="minorEastAsia" w:hAnsiTheme="minorHAnsi" w:cstheme="minorBidi"/>
            <w:b w:val="0"/>
            <w:noProof/>
            <w:color w:val="auto"/>
            <w:szCs w:val="22"/>
            <w:lang w:eastAsia="en-AU"/>
          </w:rPr>
          <w:tab/>
        </w:r>
        <w:r w:rsidR="00D823EA" w:rsidRPr="00450BD9">
          <w:rPr>
            <w:rStyle w:val="Hyperlink"/>
            <w:noProof/>
          </w:rPr>
          <w:t>Other considerations</w:t>
        </w:r>
        <w:r w:rsidR="00D823EA">
          <w:rPr>
            <w:noProof/>
            <w:webHidden/>
          </w:rPr>
          <w:tab/>
        </w:r>
        <w:r w:rsidR="00D823EA">
          <w:rPr>
            <w:noProof/>
            <w:webHidden/>
          </w:rPr>
          <w:fldChar w:fldCharType="begin"/>
        </w:r>
        <w:r w:rsidR="00D823EA">
          <w:rPr>
            <w:noProof/>
            <w:webHidden/>
          </w:rPr>
          <w:instrText xml:space="preserve"> PAGEREF _Toc416970982 \h </w:instrText>
        </w:r>
        <w:r w:rsidR="00D823EA">
          <w:rPr>
            <w:noProof/>
            <w:webHidden/>
          </w:rPr>
        </w:r>
        <w:r w:rsidR="00D823EA">
          <w:rPr>
            <w:noProof/>
            <w:webHidden/>
          </w:rPr>
          <w:fldChar w:fldCharType="separate"/>
        </w:r>
        <w:r w:rsidR="00E54D24">
          <w:rPr>
            <w:noProof/>
            <w:webHidden/>
          </w:rPr>
          <w:t>18</w:t>
        </w:r>
        <w:r w:rsidR="00D823EA">
          <w:rPr>
            <w:noProof/>
            <w:webHidden/>
          </w:rPr>
          <w:fldChar w:fldCharType="end"/>
        </w:r>
      </w:hyperlink>
    </w:p>
    <w:p w:rsidR="006343F4" w:rsidRDefault="001E74A8" w:rsidP="006D338E">
      <w:pPr>
        <w:pStyle w:val="BodyText"/>
      </w:pPr>
      <w:r>
        <w:fldChar w:fldCharType="end"/>
      </w:r>
    </w:p>
    <w:p w:rsidR="00F817A5" w:rsidRDefault="000E3C41">
      <w:pPr>
        <w:pStyle w:val="TableofFigures"/>
        <w:tabs>
          <w:tab w:val="right" w:leader="dot" w:pos="7940"/>
        </w:tabs>
        <w:rPr>
          <w:rStyle w:val="SectionHeadinggreyChar"/>
        </w:rPr>
      </w:pPr>
      <w:r>
        <w:rPr>
          <w:rStyle w:val="SectionHeadinggreyChar"/>
        </w:rPr>
        <w:br w:type="page"/>
      </w:r>
    </w:p>
    <w:p w:rsidR="000E3C41" w:rsidRDefault="000E3C41">
      <w:pPr>
        <w:pStyle w:val="TableofFigures"/>
        <w:tabs>
          <w:tab w:val="right" w:leader="dot" w:pos="7940"/>
        </w:tabs>
      </w:pPr>
      <w:r w:rsidRPr="000E3C41">
        <w:rPr>
          <w:rStyle w:val="SectionHeadinggreyChar"/>
        </w:rPr>
        <w:lastRenderedPageBreak/>
        <w:t>Table of</w:t>
      </w:r>
      <w:r>
        <w:t xml:space="preserve">  </w:t>
      </w:r>
      <w:r>
        <w:rPr>
          <w:rStyle w:val="SectionHeadinggreenChar"/>
        </w:rPr>
        <w:t>Figures</w:t>
      </w:r>
      <w:r>
        <w:t xml:space="preserve"> </w:t>
      </w:r>
    </w:p>
    <w:p w:rsidR="00F817A5" w:rsidRPr="00F817A5" w:rsidRDefault="00F817A5" w:rsidP="00F817A5"/>
    <w:p w:rsidR="00F02BC4" w:rsidRDefault="001A4780">
      <w:pPr>
        <w:pStyle w:val="TableofFigures"/>
        <w:tabs>
          <w:tab w:val="right" w:leader="dot" w:pos="8438"/>
        </w:tabs>
        <w:rPr>
          <w:rFonts w:asciiTheme="minorHAnsi" w:eastAsiaTheme="minorEastAsia" w:hAnsiTheme="minorHAnsi" w:cstheme="minorBidi"/>
          <w:noProof/>
          <w:sz w:val="22"/>
          <w:szCs w:val="22"/>
          <w:lang w:eastAsia="en-AU"/>
        </w:rPr>
      </w:pPr>
      <w:r>
        <w:fldChar w:fldCharType="begin"/>
      </w:r>
      <w:r>
        <w:instrText xml:space="preserve"> TOC \f F \h \z \c "Figure" </w:instrText>
      </w:r>
      <w:r>
        <w:fldChar w:fldCharType="separate"/>
      </w:r>
      <w:hyperlink w:anchor="_Toc416971032" w:history="1">
        <w:r w:rsidR="00F02BC4" w:rsidRPr="005E276F">
          <w:rPr>
            <w:rStyle w:val="Hyperlink"/>
            <w:noProof/>
          </w:rPr>
          <w:t>Figure 1: Example of the form of discrete choice question used in the SAPN WTP study</w:t>
        </w:r>
        <w:r w:rsidR="00F02BC4">
          <w:rPr>
            <w:noProof/>
            <w:webHidden/>
          </w:rPr>
          <w:tab/>
        </w:r>
        <w:r w:rsidR="00F02BC4">
          <w:rPr>
            <w:noProof/>
            <w:webHidden/>
          </w:rPr>
          <w:fldChar w:fldCharType="begin"/>
        </w:r>
        <w:r w:rsidR="00F02BC4">
          <w:rPr>
            <w:noProof/>
            <w:webHidden/>
          </w:rPr>
          <w:instrText xml:space="preserve"> PAGEREF _Toc416971032 \h </w:instrText>
        </w:r>
        <w:r w:rsidR="00F02BC4">
          <w:rPr>
            <w:noProof/>
            <w:webHidden/>
          </w:rPr>
        </w:r>
        <w:r w:rsidR="00F02BC4">
          <w:rPr>
            <w:noProof/>
            <w:webHidden/>
          </w:rPr>
          <w:fldChar w:fldCharType="separate"/>
        </w:r>
        <w:r w:rsidR="00E54D24">
          <w:rPr>
            <w:noProof/>
            <w:webHidden/>
          </w:rPr>
          <w:t>5</w:t>
        </w:r>
        <w:r w:rsidR="00F02BC4">
          <w:rPr>
            <w:noProof/>
            <w:webHidden/>
          </w:rPr>
          <w:fldChar w:fldCharType="end"/>
        </w:r>
      </w:hyperlink>
    </w:p>
    <w:p w:rsidR="00F02BC4" w:rsidRDefault="000A1284">
      <w:pPr>
        <w:pStyle w:val="TableofFigures"/>
        <w:tabs>
          <w:tab w:val="right" w:leader="dot" w:pos="8438"/>
        </w:tabs>
        <w:rPr>
          <w:rFonts w:asciiTheme="minorHAnsi" w:eastAsiaTheme="minorEastAsia" w:hAnsiTheme="minorHAnsi" w:cstheme="minorBidi"/>
          <w:noProof/>
          <w:sz w:val="22"/>
          <w:szCs w:val="22"/>
          <w:lang w:eastAsia="en-AU"/>
        </w:rPr>
      </w:pPr>
      <w:hyperlink w:anchor="_Toc416971033" w:history="1">
        <w:r w:rsidR="00F02BC4" w:rsidRPr="005E276F">
          <w:rPr>
            <w:rStyle w:val="Hyperlink"/>
            <w:noProof/>
          </w:rPr>
          <w:t>Figure 2: The 13 key ‘insights’ identified in the Stage 1 research</w:t>
        </w:r>
        <w:r w:rsidR="00F02BC4">
          <w:rPr>
            <w:noProof/>
            <w:webHidden/>
          </w:rPr>
          <w:tab/>
        </w:r>
        <w:r w:rsidR="00F02BC4">
          <w:rPr>
            <w:noProof/>
            <w:webHidden/>
          </w:rPr>
          <w:fldChar w:fldCharType="begin"/>
        </w:r>
        <w:r w:rsidR="00F02BC4">
          <w:rPr>
            <w:noProof/>
            <w:webHidden/>
          </w:rPr>
          <w:instrText xml:space="preserve"> PAGEREF _Toc416971033 \h </w:instrText>
        </w:r>
        <w:r w:rsidR="00F02BC4">
          <w:rPr>
            <w:noProof/>
            <w:webHidden/>
          </w:rPr>
        </w:r>
        <w:r w:rsidR="00F02BC4">
          <w:rPr>
            <w:noProof/>
            <w:webHidden/>
          </w:rPr>
          <w:fldChar w:fldCharType="separate"/>
        </w:r>
        <w:r w:rsidR="00E54D24">
          <w:rPr>
            <w:noProof/>
            <w:webHidden/>
          </w:rPr>
          <w:t>8</w:t>
        </w:r>
        <w:r w:rsidR="00F02BC4">
          <w:rPr>
            <w:noProof/>
            <w:webHidden/>
          </w:rPr>
          <w:fldChar w:fldCharType="end"/>
        </w:r>
      </w:hyperlink>
    </w:p>
    <w:p w:rsidR="00F02BC4" w:rsidRDefault="000A1284">
      <w:pPr>
        <w:pStyle w:val="TableofFigures"/>
        <w:tabs>
          <w:tab w:val="right" w:leader="dot" w:pos="8438"/>
        </w:tabs>
        <w:rPr>
          <w:rFonts w:asciiTheme="minorHAnsi" w:eastAsiaTheme="minorEastAsia" w:hAnsiTheme="minorHAnsi" w:cstheme="minorBidi"/>
          <w:noProof/>
          <w:sz w:val="22"/>
          <w:szCs w:val="22"/>
          <w:lang w:eastAsia="en-AU"/>
        </w:rPr>
      </w:pPr>
      <w:hyperlink w:anchor="_Toc416971034" w:history="1">
        <w:r w:rsidR="00F02BC4" w:rsidRPr="005E276F">
          <w:rPr>
            <w:rStyle w:val="Hyperlink"/>
            <w:noProof/>
          </w:rPr>
          <w:t>Figure 3: Contribution of the various drivers of SAPN customer satisfaction</w:t>
        </w:r>
        <w:r w:rsidR="00F02BC4">
          <w:rPr>
            <w:noProof/>
            <w:webHidden/>
          </w:rPr>
          <w:tab/>
        </w:r>
        <w:r w:rsidR="00F02BC4">
          <w:rPr>
            <w:noProof/>
            <w:webHidden/>
          </w:rPr>
          <w:fldChar w:fldCharType="begin"/>
        </w:r>
        <w:r w:rsidR="00F02BC4">
          <w:rPr>
            <w:noProof/>
            <w:webHidden/>
          </w:rPr>
          <w:instrText xml:space="preserve"> PAGEREF _Toc416971034 \h </w:instrText>
        </w:r>
        <w:r w:rsidR="00F02BC4">
          <w:rPr>
            <w:noProof/>
            <w:webHidden/>
          </w:rPr>
        </w:r>
        <w:r w:rsidR="00F02BC4">
          <w:rPr>
            <w:noProof/>
            <w:webHidden/>
          </w:rPr>
          <w:fldChar w:fldCharType="separate"/>
        </w:r>
        <w:r w:rsidR="00E54D24">
          <w:rPr>
            <w:noProof/>
            <w:webHidden/>
          </w:rPr>
          <w:t>9</w:t>
        </w:r>
        <w:r w:rsidR="00F02BC4">
          <w:rPr>
            <w:noProof/>
            <w:webHidden/>
          </w:rPr>
          <w:fldChar w:fldCharType="end"/>
        </w:r>
      </w:hyperlink>
    </w:p>
    <w:p w:rsidR="00F02BC4" w:rsidRDefault="000A1284" w:rsidP="00F02BC4">
      <w:pPr>
        <w:pStyle w:val="TableofFigures"/>
        <w:tabs>
          <w:tab w:val="right" w:leader="dot" w:pos="8438"/>
        </w:tabs>
        <w:jc w:val="left"/>
        <w:rPr>
          <w:rFonts w:asciiTheme="minorHAnsi" w:eastAsiaTheme="minorEastAsia" w:hAnsiTheme="minorHAnsi" w:cstheme="minorBidi"/>
          <w:noProof/>
          <w:sz w:val="22"/>
          <w:szCs w:val="22"/>
          <w:lang w:eastAsia="en-AU"/>
        </w:rPr>
      </w:pPr>
      <w:hyperlink w:anchor="_Toc416971035" w:history="1">
        <w:r w:rsidR="00F02BC4" w:rsidRPr="005E276F">
          <w:rPr>
            <w:rStyle w:val="Hyperlink"/>
            <w:noProof/>
          </w:rPr>
          <w:t>Figure 4: Willingness to pay for improved vegetation removal and undergrounding in HBFRAs</w:t>
        </w:r>
        <w:r w:rsidR="00F02BC4">
          <w:rPr>
            <w:rStyle w:val="Hyperlink"/>
            <w:noProof/>
          </w:rPr>
          <w:br/>
        </w:r>
        <w:r w:rsidR="00F02BC4" w:rsidRPr="005E276F">
          <w:rPr>
            <w:rStyle w:val="Hyperlink"/>
            <w:noProof/>
          </w:rPr>
          <w:t>and BFRAs</w:t>
        </w:r>
        <w:r w:rsidR="00F02BC4">
          <w:rPr>
            <w:noProof/>
            <w:webHidden/>
          </w:rPr>
          <w:tab/>
        </w:r>
        <w:r w:rsidR="00F02BC4">
          <w:rPr>
            <w:noProof/>
            <w:webHidden/>
          </w:rPr>
          <w:fldChar w:fldCharType="begin"/>
        </w:r>
        <w:r w:rsidR="00F02BC4">
          <w:rPr>
            <w:noProof/>
            <w:webHidden/>
          </w:rPr>
          <w:instrText xml:space="preserve"> PAGEREF _Toc416971035 \h </w:instrText>
        </w:r>
        <w:r w:rsidR="00F02BC4">
          <w:rPr>
            <w:noProof/>
            <w:webHidden/>
          </w:rPr>
        </w:r>
        <w:r w:rsidR="00F02BC4">
          <w:rPr>
            <w:noProof/>
            <w:webHidden/>
          </w:rPr>
          <w:fldChar w:fldCharType="separate"/>
        </w:r>
        <w:r w:rsidR="00E54D24">
          <w:rPr>
            <w:noProof/>
            <w:webHidden/>
          </w:rPr>
          <w:t>11</w:t>
        </w:r>
        <w:r w:rsidR="00F02BC4">
          <w:rPr>
            <w:noProof/>
            <w:webHidden/>
          </w:rPr>
          <w:fldChar w:fldCharType="end"/>
        </w:r>
      </w:hyperlink>
    </w:p>
    <w:p w:rsidR="00F02BC4" w:rsidRDefault="000A1284" w:rsidP="00F02BC4">
      <w:pPr>
        <w:pStyle w:val="TableofFigures"/>
        <w:tabs>
          <w:tab w:val="right" w:leader="dot" w:pos="8438"/>
        </w:tabs>
        <w:jc w:val="left"/>
        <w:rPr>
          <w:rFonts w:asciiTheme="minorHAnsi" w:eastAsiaTheme="minorEastAsia" w:hAnsiTheme="minorHAnsi" w:cstheme="minorBidi"/>
          <w:noProof/>
          <w:sz w:val="22"/>
          <w:szCs w:val="22"/>
          <w:lang w:eastAsia="en-AU"/>
        </w:rPr>
      </w:pPr>
      <w:hyperlink w:anchor="_Toc416971036" w:history="1">
        <w:r w:rsidR="00F02BC4" w:rsidRPr="005E276F">
          <w:rPr>
            <w:rStyle w:val="Hyperlink"/>
            <w:noProof/>
          </w:rPr>
          <w:t xml:space="preserve">Figure 5: Relationship between SAPN customers’ concern about electricity cost and overall </w:t>
        </w:r>
        <w:r w:rsidR="00F02BC4">
          <w:rPr>
            <w:rStyle w:val="Hyperlink"/>
            <w:noProof/>
          </w:rPr>
          <w:br/>
        </w:r>
        <w:r w:rsidR="00F02BC4" w:rsidRPr="005E276F">
          <w:rPr>
            <w:rStyle w:val="Hyperlink"/>
            <w:noProof/>
          </w:rPr>
          <w:t>satisfaction</w:t>
        </w:r>
        <w:r w:rsidR="00F02BC4">
          <w:rPr>
            <w:noProof/>
            <w:webHidden/>
          </w:rPr>
          <w:tab/>
        </w:r>
        <w:r w:rsidR="00F02BC4">
          <w:rPr>
            <w:noProof/>
            <w:webHidden/>
          </w:rPr>
          <w:fldChar w:fldCharType="begin"/>
        </w:r>
        <w:r w:rsidR="00F02BC4">
          <w:rPr>
            <w:noProof/>
            <w:webHidden/>
          </w:rPr>
          <w:instrText xml:space="preserve"> PAGEREF _Toc416971036 \h </w:instrText>
        </w:r>
        <w:r w:rsidR="00F02BC4">
          <w:rPr>
            <w:noProof/>
            <w:webHidden/>
          </w:rPr>
        </w:r>
        <w:r w:rsidR="00F02BC4">
          <w:rPr>
            <w:noProof/>
            <w:webHidden/>
          </w:rPr>
          <w:fldChar w:fldCharType="separate"/>
        </w:r>
        <w:r w:rsidR="00E54D24">
          <w:rPr>
            <w:noProof/>
            <w:webHidden/>
          </w:rPr>
          <w:t>13</w:t>
        </w:r>
        <w:r w:rsidR="00F02BC4">
          <w:rPr>
            <w:noProof/>
            <w:webHidden/>
          </w:rPr>
          <w:fldChar w:fldCharType="end"/>
        </w:r>
      </w:hyperlink>
    </w:p>
    <w:p w:rsidR="00F02BC4" w:rsidRDefault="000A1284">
      <w:pPr>
        <w:pStyle w:val="TableofFigures"/>
        <w:tabs>
          <w:tab w:val="right" w:leader="dot" w:pos="8438"/>
        </w:tabs>
        <w:rPr>
          <w:rFonts w:asciiTheme="minorHAnsi" w:eastAsiaTheme="minorEastAsia" w:hAnsiTheme="minorHAnsi" w:cstheme="minorBidi"/>
          <w:noProof/>
          <w:sz w:val="22"/>
          <w:szCs w:val="22"/>
          <w:lang w:eastAsia="en-AU"/>
        </w:rPr>
      </w:pPr>
      <w:hyperlink w:anchor="_Toc416971037" w:history="1">
        <w:r w:rsidR="00F02BC4" w:rsidRPr="005E276F">
          <w:rPr>
            <w:rStyle w:val="Hyperlink"/>
            <w:noProof/>
          </w:rPr>
          <w:t>Figure 6: Willingness to pay for undergrounding at traffic blackspots</w:t>
        </w:r>
        <w:r w:rsidR="00F02BC4">
          <w:rPr>
            <w:noProof/>
            <w:webHidden/>
          </w:rPr>
          <w:tab/>
        </w:r>
        <w:r w:rsidR="00F02BC4">
          <w:rPr>
            <w:noProof/>
            <w:webHidden/>
          </w:rPr>
          <w:fldChar w:fldCharType="begin"/>
        </w:r>
        <w:r w:rsidR="00F02BC4">
          <w:rPr>
            <w:noProof/>
            <w:webHidden/>
          </w:rPr>
          <w:instrText xml:space="preserve"> PAGEREF _Toc416971037 \h </w:instrText>
        </w:r>
        <w:r w:rsidR="00F02BC4">
          <w:rPr>
            <w:noProof/>
            <w:webHidden/>
          </w:rPr>
        </w:r>
        <w:r w:rsidR="00F02BC4">
          <w:rPr>
            <w:noProof/>
            <w:webHidden/>
          </w:rPr>
          <w:fldChar w:fldCharType="separate"/>
        </w:r>
        <w:r w:rsidR="00E54D24">
          <w:rPr>
            <w:noProof/>
            <w:webHidden/>
          </w:rPr>
          <w:t>15</w:t>
        </w:r>
        <w:r w:rsidR="00F02BC4">
          <w:rPr>
            <w:noProof/>
            <w:webHidden/>
          </w:rPr>
          <w:fldChar w:fldCharType="end"/>
        </w:r>
      </w:hyperlink>
    </w:p>
    <w:p w:rsidR="00F02BC4" w:rsidRDefault="000A1284">
      <w:pPr>
        <w:pStyle w:val="TableofFigures"/>
        <w:tabs>
          <w:tab w:val="right" w:leader="dot" w:pos="8438"/>
        </w:tabs>
        <w:rPr>
          <w:rFonts w:asciiTheme="minorHAnsi" w:eastAsiaTheme="minorEastAsia" w:hAnsiTheme="minorHAnsi" w:cstheme="minorBidi"/>
          <w:noProof/>
          <w:sz w:val="22"/>
          <w:szCs w:val="22"/>
          <w:lang w:eastAsia="en-AU"/>
        </w:rPr>
      </w:pPr>
      <w:hyperlink w:anchor="_Toc416971038" w:history="1">
        <w:r w:rsidR="00F02BC4" w:rsidRPr="005E276F">
          <w:rPr>
            <w:rStyle w:val="Hyperlink"/>
            <w:noProof/>
          </w:rPr>
          <w:t>Figure 7: Willingness to pay for service options developed for NBFRAs</w:t>
        </w:r>
        <w:r w:rsidR="00F02BC4">
          <w:rPr>
            <w:noProof/>
            <w:webHidden/>
          </w:rPr>
          <w:tab/>
        </w:r>
        <w:r w:rsidR="00F02BC4">
          <w:rPr>
            <w:noProof/>
            <w:webHidden/>
          </w:rPr>
          <w:fldChar w:fldCharType="begin"/>
        </w:r>
        <w:r w:rsidR="00F02BC4">
          <w:rPr>
            <w:noProof/>
            <w:webHidden/>
          </w:rPr>
          <w:instrText xml:space="preserve"> PAGEREF _Toc416971038 \h </w:instrText>
        </w:r>
        <w:r w:rsidR="00F02BC4">
          <w:rPr>
            <w:noProof/>
            <w:webHidden/>
          </w:rPr>
        </w:r>
        <w:r w:rsidR="00F02BC4">
          <w:rPr>
            <w:noProof/>
            <w:webHidden/>
          </w:rPr>
          <w:fldChar w:fldCharType="separate"/>
        </w:r>
        <w:r w:rsidR="00E54D24">
          <w:rPr>
            <w:noProof/>
            <w:webHidden/>
          </w:rPr>
          <w:t>16</w:t>
        </w:r>
        <w:r w:rsidR="00F02BC4">
          <w:rPr>
            <w:noProof/>
            <w:webHidden/>
          </w:rPr>
          <w:fldChar w:fldCharType="end"/>
        </w:r>
      </w:hyperlink>
    </w:p>
    <w:p w:rsidR="00893C32" w:rsidRDefault="001A4780" w:rsidP="006D338E">
      <w:pPr>
        <w:pStyle w:val="BodyText"/>
      </w:pPr>
      <w:r>
        <w:fldChar w:fldCharType="end"/>
      </w:r>
    </w:p>
    <w:p w:rsidR="000E3C41" w:rsidRDefault="000E3C41" w:rsidP="006D338E">
      <w:pPr>
        <w:pStyle w:val="BodyText"/>
      </w:pPr>
    </w:p>
    <w:p w:rsidR="00F817A5" w:rsidRDefault="00F817A5" w:rsidP="006D338E">
      <w:pPr>
        <w:pStyle w:val="BodyText"/>
      </w:pPr>
    </w:p>
    <w:p w:rsidR="00F817A5" w:rsidRDefault="00F817A5" w:rsidP="006D338E">
      <w:pPr>
        <w:pStyle w:val="BodyText"/>
      </w:pPr>
    </w:p>
    <w:p w:rsidR="000E3C41" w:rsidRDefault="000E3C41" w:rsidP="006D338E">
      <w:pPr>
        <w:pStyle w:val="BodyText"/>
      </w:pPr>
    </w:p>
    <w:p w:rsidR="000E3C41" w:rsidRDefault="000E3C41" w:rsidP="000E3C41">
      <w:pPr>
        <w:pStyle w:val="TableofFigures"/>
        <w:tabs>
          <w:tab w:val="right" w:leader="dot" w:pos="7940"/>
        </w:tabs>
      </w:pPr>
      <w:r w:rsidRPr="000E3C41">
        <w:rPr>
          <w:rStyle w:val="SectionHeadinggreyChar"/>
        </w:rPr>
        <w:t>Table of</w:t>
      </w:r>
      <w:r>
        <w:t xml:space="preserve">  </w:t>
      </w:r>
      <w:r>
        <w:rPr>
          <w:rStyle w:val="SectionHeadinggreenChar"/>
        </w:rPr>
        <w:t>TaBLEs</w:t>
      </w:r>
      <w:r>
        <w:t xml:space="preserve"> </w:t>
      </w:r>
    </w:p>
    <w:p w:rsidR="00F817A5" w:rsidRPr="00F817A5" w:rsidRDefault="00F817A5" w:rsidP="00F817A5"/>
    <w:p w:rsidR="00504DF2" w:rsidRDefault="00893C32">
      <w:pPr>
        <w:pStyle w:val="TableofFigures"/>
        <w:tabs>
          <w:tab w:val="right" w:leader="dot" w:pos="843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16347001" w:history="1">
        <w:r w:rsidR="00504DF2" w:rsidRPr="007E003A">
          <w:rPr>
            <w:rStyle w:val="Hyperlink"/>
            <w:noProof/>
          </w:rPr>
          <w:t>Table 1: Alternate calculation approach to identify most preferred option</w:t>
        </w:r>
        <w:r w:rsidR="00504DF2">
          <w:rPr>
            <w:noProof/>
            <w:webHidden/>
          </w:rPr>
          <w:tab/>
        </w:r>
        <w:r w:rsidR="00504DF2">
          <w:rPr>
            <w:noProof/>
            <w:webHidden/>
          </w:rPr>
          <w:fldChar w:fldCharType="begin"/>
        </w:r>
        <w:r w:rsidR="00504DF2">
          <w:rPr>
            <w:noProof/>
            <w:webHidden/>
          </w:rPr>
          <w:instrText xml:space="preserve"> PAGEREF _Toc416347001 \h </w:instrText>
        </w:r>
        <w:r w:rsidR="00504DF2">
          <w:rPr>
            <w:noProof/>
            <w:webHidden/>
          </w:rPr>
        </w:r>
        <w:r w:rsidR="00504DF2">
          <w:rPr>
            <w:noProof/>
            <w:webHidden/>
          </w:rPr>
          <w:fldChar w:fldCharType="separate"/>
        </w:r>
        <w:r w:rsidR="00E54D24">
          <w:rPr>
            <w:noProof/>
            <w:webHidden/>
          </w:rPr>
          <w:t>12</w:t>
        </w:r>
        <w:r w:rsidR="00504DF2">
          <w:rPr>
            <w:noProof/>
            <w:webHidden/>
          </w:rPr>
          <w:fldChar w:fldCharType="end"/>
        </w:r>
      </w:hyperlink>
    </w:p>
    <w:p w:rsidR="006343F4" w:rsidRDefault="00893C32" w:rsidP="006D338E">
      <w:pPr>
        <w:pStyle w:val="BodyText"/>
      </w:pPr>
      <w:r>
        <w:fldChar w:fldCharType="end"/>
      </w:r>
    </w:p>
    <w:p w:rsidR="006343F4" w:rsidRDefault="006343F4" w:rsidP="00FE26FB">
      <w:pPr>
        <w:sectPr w:rsidR="006343F4" w:rsidSect="002B46C1">
          <w:headerReference w:type="default" r:id="rId17"/>
          <w:footerReference w:type="default" r:id="rId18"/>
          <w:pgSz w:w="11907" w:h="16840" w:code="9"/>
          <w:pgMar w:top="1440" w:right="1304" w:bottom="1440" w:left="1304" w:header="578" w:footer="431" w:gutter="851"/>
          <w:pgNumType w:fmt="lowerRoman" w:start="1"/>
          <w:cols w:space="720"/>
        </w:sectPr>
      </w:pPr>
    </w:p>
    <w:p w:rsidR="00D87166" w:rsidRDefault="00D87166" w:rsidP="00D87166">
      <w:pPr>
        <w:pStyle w:val="Heading1"/>
      </w:pPr>
      <w:bookmarkStart w:id="0" w:name="_Toc416165769"/>
      <w:bookmarkStart w:id="1" w:name="_Toc416970973"/>
      <w:bookmarkStart w:id="2" w:name="OLE_LINK3"/>
      <w:bookmarkStart w:id="3" w:name="OLE_LINK4"/>
      <w:r>
        <w:lastRenderedPageBreak/>
        <w:t>Review background, requirements and limits</w:t>
      </w:r>
      <w:bookmarkEnd w:id="0"/>
      <w:bookmarkEnd w:id="1"/>
    </w:p>
    <w:p w:rsidR="00D87166" w:rsidRDefault="00D87166" w:rsidP="00D87166">
      <w:pPr>
        <w:pStyle w:val="Heading2"/>
        <w:numPr>
          <w:ilvl w:val="1"/>
          <w:numId w:val="2"/>
        </w:numPr>
        <w:ind w:left="0" w:hanging="720"/>
      </w:pPr>
      <w:bookmarkStart w:id="4" w:name="_Toc416165770"/>
      <w:bookmarkStart w:id="5" w:name="_Toc416970974"/>
      <w:r>
        <w:t>Background of the review</w:t>
      </w:r>
      <w:bookmarkEnd w:id="4"/>
      <w:bookmarkEnd w:id="5"/>
    </w:p>
    <w:p w:rsidR="00701D3E" w:rsidRDefault="00D87166" w:rsidP="00D87166">
      <w:pPr>
        <w:pStyle w:val="BodyText"/>
      </w:pPr>
      <w:r>
        <w:t xml:space="preserve">In accordance with the recent requirements of the regulatory process, </w:t>
      </w:r>
      <w:r w:rsidR="00405534">
        <w:t xml:space="preserve">SA Power Networks (SAPN) </w:t>
      </w:r>
      <w:r w:rsidR="00701D3E">
        <w:t>developed its Consumer Engagement Program (CEP), the design of which was completed in 2012.  The CEP was structured into the following three stages:</w:t>
      </w:r>
    </w:p>
    <w:p w:rsidR="00701D3E" w:rsidRDefault="00701D3E" w:rsidP="00701D3E">
      <w:pPr>
        <w:pStyle w:val="ListBullet"/>
      </w:pPr>
      <w:r>
        <w:t>Stage 1: Research – which in</w:t>
      </w:r>
      <w:bookmarkStart w:id="6" w:name="_GoBack"/>
      <w:bookmarkEnd w:id="6"/>
      <w:r>
        <w:t xml:space="preserve">cluded: </w:t>
      </w:r>
    </w:p>
    <w:p w:rsidR="00701D3E" w:rsidRDefault="00701D3E" w:rsidP="00701D3E">
      <w:pPr>
        <w:pStyle w:val="ListBullet2"/>
      </w:pPr>
      <w:r>
        <w:t xml:space="preserve">Preliminary </w:t>
      </w:r>
      <w:r w:rsidR="00F55880">
        <w:t xml:space="preserve">Stakeholder Perception </w:t>
      </w:r>
      <w:r>
        <w:t>surveys</w:t>
      </w:r>
    </w:p>
    <w:p w:rsidR="00701D3E" w:rsidRDefault="00701D3E" w:rsidP="00701D3E">
      <w:pPr>
        <w:pStyle w:val="ListBullet2"/>
      </w:pPr>
      <w:r>
        <w:t>Stakeholder and Industry Consumer Workshops</w:t>
      </w:r>
    </w:p>
    <w:p w:rsidR="00701D3E" w:rsidRDefault="00701D3E" w:rsidP="00701D3E">
      <w:pPr>
        <w:pStyle w:val="ListBullet2"/>
      </w:pPr>
      <w:r>
        <w:t>An Online Consumer Consultation Survey</w:t>
      </w:r>
    </w:p>
    <w:p w:rsidR="00701D3E" w:rsidRDefault="00701D3E" w:rsidP="00701D3E">
      <w:pPr>
        <w:pStyle w:val="ListBullet2"/>
      </w:pPr>
      <w:r>
        <w:t>Bilateral Engagement with Key Stakeholders</w:t>
      </w:r>
    </w:p>
    <w:p w:rsidR="00701D3E" w:rsidRDefault="00701D3E" w:rsidP="00701D3E">
      <w:pPr>
        <w:pStyle w:val="ListBullet1Body"/>
      </w:pPr>
      <w:r>
        <w:t>The outcomes and insights of these consumer engagement activities served as an input to Stage 2.</w:t>
      </w:r>
    </w:p>
    <w:p w:rsidR="00701D3E" w:rsidRDefault="00701D3E" w:rsidP="00701D3E">
      <w:pPr>
        <w:pStyle w:val="ListBullet"/>
      </w:pPr>
      <w:r>
        <w:t>Stage 2: Strategy – which included:</w:t>
      </w:r>
    </w:p>
    <w:p w:rsidR="00701D3E" w:rsidRDefault="00701D3E" w:rsidP="00701D3E">
      <w:pPr>
        <w:pStyle w:val="ListBullet2"/>
      </w:pPr>
      <w:r>
        <w:t>Targeted Strategic Workshops</w:t>
      </w:r>
    </w:p>
    <w:p w:rsidR="00C34199" w:rsidRDefault="00701D3E" w:rsidP="00701D3E">
      <w:pPr>
        <w:pStyle w:val="ListBullet2"/>
      </w:pPr>
      <w:r>
        <w:t xml:space="preserve">Another round of </w:t>
      </w:r>
      <w:r w:rsidR="00C34199">
        <w:t>Stakeholder and Consumer Workshops</w:t>
      </w:r>
    </w:p>
    <w:p w:rsidR="00C34199" w:rsidRDefault="00C34199" w:rsidP="00701D3E">
      <w:pPr>
        <w:pStyle w:val="ListBullet2"/>
      </w:pPr>
      <w:r>
        <w:t>Further Bilateral Engagement with Key Stakeholders</w:t>
      </w:r>
    </w:p>
    <w:p w:rsidR="00C34199" w:rsidRDefault="00C34199" w:rsidP="00701D3E">
      <w:pPr>
        <w:pStyle w:val="ListBullet2"/>
      </w:pPr>
      <w:r>
        <w:t>A Targeted Willingness to Pay Survey</w:t>
      </w:r>
    </w:p>
    <w:p w:rsidR="00C34199" w:rsidRDefault="00C34199" w:rsidP="00701D3E">
      <w:pPr>
        <w:pStyle w:val="ListBullet2"/>
      </w:pPr>
      <w:r>
        <w:t>Development of a set of Directions &amp; Priorities based on the information gained from Stage 1 and the activities above in Stage 2</w:t>
      </w:r>
    </w:p>
    <w:p w:rsidR="00C34199" w:rsidRDefault="00C34199" w:rsidP="00701D3E">
      <w:pPr>
        <w:pStyle w:val="ListBullet2"/>
      </w:pPr>
      <w:r>
        <w:t>Conduct of a set of Directions &amp; Priorities briefings and a formal Directions &amp; Priorities Consultation process</w:t>
      </w:r>
    </w:p>
    <w:p w:rsidR="00C34199" w:rsidRDefault="00C34199" w:rsidP="00701D3E">
      <w:pPr>
        <w:pStyle w:val="ListBullet2"/>
      </w:pPr>
      <w:r>
        <w:t>The development and conduct of a Service</w:t>
      </w:r>
      <w:r w:rsidR="00F55880">
        <w:t>-</w:t>
      </w:r>
      <w:r>
        <w:t>Price Research survey with input from the Directions &amp; Priorities consultation process</w:t>
      </w:r>
    </w:p>
    <w:p w:rsidR="00C34199" w:rsidRDefault="00C34199" w:rsidP="00701D3E">
      <w:pPr>
        <w:pStyle w:val="ListBullet2"/>
      </w:pPr>
      <w:r>
        <w:t>Development of the SAPN Regulatory Proposal, which was submitted to the AER in October 2014</w:t>
      </w:r>
      <w:r w:rsidR="00F55880">
        <w:t>.</w:t>
      </w:r>
    </w:p>
    <w:p w:rsidR="00C34199" w:rsidRDefault="00C34199" w:rsidP="00C34199">
      <w:pPr>
        <w:pStyle w:val="ListBullet"/>
      </w:pPr>
      <w:r>
        <w:t xml:space="preserve">Stage 3: Regulatory – which commenced with the submittal of the Regulatory Proposal and will continue through </w:t>
      </w:r>
      <w:r w:rsidR="00D778DD">
        <w:t xml:space="preserve">to </w:t>
      </w:r>
      <w:r>
        <w:t>October 2015 when the AER’s Final Determination on SAPN’s Regulatory Proposal is scheduled to be published.</w:t>
      </w:r>
    </w:p>
    <w:p w:rsidR="00D87166" w:rsidRDefault="00D87166" w:rsidP="00D60BA2">
      <w:pPr>
        <w:pStyle w:val="ListBullet2"/>
        <w:numPr>
          <w:ilvl w:val="1"/>
          <w:numId w:val="2"/>
        </w:numPr>
        <w:ind w:left="0" w:hanging="720"/>
      </w:pPr>
      <w:bookmarkStart w:id="7" w:name="_Toc416165771"/>
      <w:r>
        <w:t>Requirements of the review</w:t>
      </w:r>
      <w:bookmarkEnd w:id="7"/>
    </w:p>
    <w:p w:rsidR="00D87166" w:rsidRDefault="00D87166" w:rsidP="00D87166">
      <w:pPr>
        <w:pStyle w:val="BodyText"/>
      </w:pPr>
      <w:r>
        <w:t xml:space="preserve">The AER </w:t>
      </w:r>
      <w:r w:rsidR="00816DCF">
        <w:t xml:space="preserve">has </w:t>
      </w:r>
      <w:r>
        <w:t xml:space="preserve">commissioned Oakley Greenwood to peer review the </w:t>
      </w:r>
      <w:r w:rsidR="00701D3E">
        <w:t xml:space="preserve">willingness to pay </w:t>
      </w:r>
      <w:r w:rsidR="00F55880">
        <w:t xml:space="preserve">(WTP) </w:t>
      </w:r>
      <w:r w:rsidR="00816DCF">
        <w:t>research that was commissioned by SAPN.</w:t>
      </w:r>
      <w:r>
        <w:t xml:space="preserve">  The AER specified that the peer review meet the following requirements:</w:t>
      </w:r>
    </w:p>
    <w:p w:rsidR="00405534" w:rsidRPr="00405534" w:rsidRDefault="00405534" w:rsidP="00405534">
      <w:pPr>
        <w:pStyle w:val="ListBullet"/>
        <w:rPr>
          <w:i/>
          <w:snapToGrid w:val="0"/>
          <w:color w:val="09869B"/>
          <w:sz w:val="18"/>
          <w:szCs w:val="18"/>
        </w:rPr>
      </w:pPr>
      <w:r w:rsidRPr="00405534">
        <w:rPr>
          <w:i/>
          <w:snapToGrid w:val="0"/>
          <w:color w:val="09869B"/>
          <w:sz w:val="18"/>
          <w:szCs w:val="18"/>
        </w:rPr>
        <w:t>Provide a report that peer reviews SAPN and its consultants’ willingness to pay findings and the assumptions and methodology that underpinned the research. In particular, the report should comment on:</w:t>
      </w:r>
    </w:p>
    <w:p w:rsidR="00405534" w:rsidRPr="00E6228E" w:rsidRDefault="00405534" w:rsidP="00405534">
      <w:pPr>
        <w:pStyle w:val="ListBullet2"/>
        <w:rPr>
          <w:snapToGrid w:val="0"/>
        </w:rPr>
      </w:pPr>
      <w:r>
        <w:rPr>
          <w:i/>
          <w:snapToGrid w:val="0"/>
          <w:color w:val="09869B"/>
          <w:sz w:val="18"/>
          <w:szCs w:val="18"/>
        </w:rPr>
        <w:t>th</w:t>
      </w:r>
      <w:r w:rsidRPr="00405534">
        <w:rPr>
          <w:i/>
          <w:snapToGrid w:val="0"/>
          <w:color w:val="09869B"/>
          <w:sz w:val="18"/>
          <w:szCs w:val="18"/>
        </w:rPr>
        <w:t>e robustness of the research including the assumptions or methodology used and the accuracy of its findings;</w:t>
      </w:r>
    </w:p>
    <w:p w:rsidR="00405534" w:rsidRPr="00E6228E" w:rsidRDefault="00405534" w:rsidP="00405534">
      <w:pPr>
        <w:pStyle w:val="ListBullet2"/>
        <w:rPr>
          <w:snapToGrid w:val="0"/>
        </w:rPr>
      </w:pPr>
      <w:r w:rsidRPr="00405534">
        <w:rPr>
          <w:i/>
          <w:snapToGrid w:val="0"/>
          <w:color w:val="09869B"/>
          <w:sz w:val="18"/>
          <w:szCs w:val="18"/>
        </w:rPr>
        <w:t>the strength of the conclusions that can be drawn from the results of the survey;</w:t>
      </w:r>
    </w:p>
    <w:p w:rsidR="00405534" w:rsidRPr="00E6228E" w:rsidRDefault="00405534" w:rsidP="00405534">
      <w:pPr>
        <w:pStyle w:val="ListBullet"/>
      </w:pPr>
      <w:r>
        <w:rPr>
          <w:i/>
          <w:snapToGrid w:val="0"/>
          <w:color w:val="09869B"/>
          <w:sz w:val="18"/>
          <w:szCs w:val="18"/>
        </w:rPr>
        <w:t>In</w:t>
      </w:r>
      <w:r w:rsidRPr="00405534">
        <w:rPr>
          <w:i/>
          <w:snapToGrid w:val="0"/>
          <w:color w:val="09869B"/>
          <w:sz w:val="18"/>
          <w:szCs w:val="18"/>
        </w:rPr>
        <w:t xml:space="preserve"> undertaking this review, have regard to:</w:t>
      </w:r>
    </w:p>
    <w:p w:rsidR="00405534" w:rsidRPr="00E6228E" w:rsidRDefault="00405534" w:rsidP="00405534">
      <w:pPr>
        <w:pStyle w:val="ListBullet2"/>
        <w:rPr>
          <w:snapToGrid w:val="0"/>
        </w:rPr>
      </w:pPr>
      <w:r w:rsidRPr="00405534">
        <w:rPr>
          <w:i/>
          <w:snapToGrid w:val="0"/>
          <w:color w:val="09869B"/>
          <w:sz w:val="18"/>
          <w:szCs w:val="18"/>
        </w:rPr>
        <w:lastRenderedPageBreak/>
        <w:t>SAPN Targeted Willingness to Pay Research – Research Findings and supporting material listed in attachment A of this RFQ submitted as part SAPN’s regulatory proposal in October 2014;</w:t>
      </w:r>
    </w:p>
    <w:p w:rsidR="00405534" w:rsidRPr="00816DCF" w:rsidRDefault="00405534" w:rsidP="00405534">
      <w:pPr>
        <w:pStyle w:val="ListBullet2"/>
        <w:tabs>
          <w:tab w:val="clear" w:pos="791"/>
        </w:tabs>
        <w:ind w:left="851" w:hanging="420"/>
        <w:rPr>
          <w:snapToGrid w:val="0"/>
        </w:rPr>
      </w:pPr>
      <w:r w:rsidRPr="00405534">
        <w:rPr>
          <w:i/>
          <w:snapToGrid w:val="0"/>
          <w:color w:val="09869B"/>
          <w:sz w:val="18"/>
          <w:szCs w:val="18"/>
        </w:rPr>
        <w:t>supporting material listed in attachment B of this RFQ provided by SAPN in March 2015 in response to an information request from the AER.</w:t>
      </w:r>
    </w:p>
    <w:p w:rsidR="00816DCF" w:rsidRDefault="00816DCF" w:rsidP="00816DCF">
      <w:pPr>
        <w:pStyle w:val="BodyText"/>
        <w:rPr>
          <w:snapToGrid w:val="0"/>
        </w:rPr>
      </w:pPr>
      <w:r>
        <w:rPr>
          <w:snapToGrid w:val="0"/>
        </w:rPr>
        <w:t>The supporting materials listed in Attachment A were the following:</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SAPN </w:t>
      </w:r>
      <w:r w:rsidR="004E58BD" w:rsidRPr="004E58BD">
        <w:rPr>
          <w:rFonts w:cs="Microsoft Sans Serif"/>
          <w:i/>
          <w:snapToGrid w:val="0"/>
          <w:color w:val="000000"/>
        </w:rPr>
        <w:t>Regulatory Proposal</w:t>
      </w:r>
      <w:r w:rsidR="004E58BD" w:rsidRPr="00F319E3">
        <w:rPr>
          <w:rFonts w:cs="Microsoft Sans Serif"/>
          <w:snapToGrid w:val="0"/>
          <w:color w:val="000000"/>
        </w:rPr>
        <w:t xml:space="preserve"> </w:t>
      </w:r>
      <w:r w:rsidRPr="00F319E3">
        <w:rPr>
          <w:rFonts w:cs="Microsoft Sans Serif"/>
          <w:snapToGrid w:val="0"/>
          <w:color w:val="000000"/>
        </w:rPr>
        <w:t xml:space="preserve">– </w:t>
      </w:r>
      <w:r w:rsidR="004E58BD" w:rsidRPr="00F319E3">
        <w:rPr>
          <w:rFonts w:cs="Microsoft Sans Serif"/>
          <w:snapToGrid w:val="0"/>
          <w:color w:val="000000"/>
        </w:rPr>
        <w:t xml:space="preserve">Chapter </w:t>
      </w:r>
      <w:r w:rsidRPr="00F319E3">
        <w:rPr>
          <w:rFonts w:cs="Microsoft Sans Serif"/>
          <w:snapToGrid w:val="0"/>
          <w:color w:val="000000"/>
        </w:rPr>
        <w:t>6</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ORC International: </w:t>
      </w:r>
      <w:r w:rsidRPr="004E58BD">
        <w:rPr>
          <w:rFonts w:cs="Microsoft Sans Serif"/>
          <w:i/>
          <w:snapToGrid w:val="0"/>
          <w:color w:val="000000"/>
        </w:rPr>
        <w:t>SAPN Customer Management Model Study – regulatory summary</w:t>
      </w:r>
      <w:r w:rsidRPr="00F319E3">
        <w:rPr>
          <w:rFonts w:cs="Microsoft Sans Serif"/>
          <w:snapToGrid w:val="0"/>
          <w:color w:val="000000"/>
        </w:rPr>
        <w:t>, February 2013 (attachment 6.1)</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Deloitte: </w:t>
      </w:r>
      <w:r w:rsidRPr="004E58BD">
        <w:rPr>
          <w:rFonts w:cs="Microsoft Sans Serif"/>
          <w:i/>
          <w:snapToGrid w:val="0"/>
          <w:color w:val="000000"/>
        </w:rPr>
        <w:t>SAPN Stage 1 Stakeholder &amp; Consumer Workshop Report,</w:t>
      </w:r>
      <w:r w:rsidRPr="00F319E3">
        <w:rPr>
          <w:rFonts w:cs="Microsoft Sans Serif"/>
          <w:snapToGrid w:val="0"/>
          <w:color w:val="000000"/>
        </w:rPr>
        <w:t xml:space="preserve"> July 2013 (attachment 6.3)</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Deloitte: </w:t>
      </w:r>
      <w:r w:rsidRPr="004E58BD">
        <w:rPr>
          <w:rFonts w:cs="Microsoft Sans Serif"/>
          <w:i/>
          <w:snapToGrid w:val="0"/>
          <w:color w:val="000000"/>
        </w:rPr>
        <w:t>SAPN Stage 1 Online Consumer Survey Report</w:t>
      </w:r>
      <w:r w:rsidRPr="00F319E3">
        <w:rPr>
          <w:rFonts w:cs="Microsoft Sans Serif"/>
          <w:snapToGrid w:val="0"/>
          <w:color w:val="000000"/>
        </w:rPr>
        <w:t>, July 2013 (attachment 6.5)</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Deloitte, </w:t>
      </w:r>
      <w:r w:rsidRPr="004E58BD">
        <w:rPr>
          <w:rFonts w:cs="Microsoft Sans Serif"/>
          <w:i/>
          <w:snapToGrid w:val="0"/>
          <w:color w:val="000000"/>
        </w:rPr>
        <w:t>SAPN Stage 2 Stakeholder &amp; Consumer Workshop Report</w:t>
      </w:r>
      <w:r w:rsidRPr="00F319E3">
        <w:rPr>
          <w:rFonts w:cs="Microsoft Sans Serif"/>
          <w:snapToGrid w:val="0"/>
          <w:color w:val="000000"/>
        </w:rPr>
        <w:t>, December 2013 (attachment 6.7)</w:t>
      </w:r>
    </w:p>
    <w:p w:rsidR="00816DCF" w:rsidRPr="00F319E3" w:rsidRDefault="00816DCF" w:rsidP="00816DCF">
      <w:pPr>
        <w:pStyle w:val="ListBullet"/>
        <w:rPr>
          <w:rFonts w:cs="Microsoft Sans Serif"/>
          <w:snapToGrid w:val="0"/>
        </w:rPr>
      </w:pPr>
      <w:r w:rsidRPr="00F319E3">
        <w:rPr>
          <w:rFonts w:cs="Microsoft Sans Serif"/>
          <w:snapToGrid w:val="0"/>
          <w:color w:val="000000"/>
        </w:rPr>
        <w:t xml:space="preserve">The NTF Group: </w:t>
      </w:r>
      <w:r w:rsidRPr="004E58BD">
        <w:rPr>
          <w:rFonts w:cs="Microsoft Sans Serif"/>
          <w:i/>
          <w:snapToGrid w:val="0"/>
          <w:color w:val="000000"/>
        </w:rPr>
        <w:t>SA Power Networks Targeted Willingness to Pay Research Findings</w:t>
      </w:r>
      <w:r w:rsidRPr="00F319E3">
        <w:rPr>
          <w:rFonts w:cs="Microsoft Sans Serif"/>
          <w:snapToGrid w:val="0"/>
          <w:color w:val="000000"/>
        </w:rPr>
        <w:t>, July 2014 (attachment 6.8)</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The NTF Group: </w:t>
      </w:r>
      <w:r w:rsidRPr="004E58BD">
        <w:rPr>
          <w:rFonts w:cs="Microsoft Sans Serif"/>
          <w:i/>
          <w:snapToGrid w:val="0"/>
          <w:color w:val="000000"/>
        </w:rPr>
        <w:t>Estimating Community Willingness to Pay</w:t>
      </w:r>
      <w:r w:rsidRPr="008F3413">
        <w:rPr>
          <w:rFonts w:cs="Microsoft Sans Serif"/>
          <w:snapToGrid w:val="0"/>
          <w:color w:val="000000"/>
        </w:rPr>
        <w:t xml:space="preserve"> – February 2009 (supporting document 6.12)</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SAPN: </w:t>
      </w:r>
      <w:r w:rsidRPr="004E58BD">
        <w:rPr>
          <w:rFonts w:cs="Microsoft Sans Serif"/>
          <w:i/>
          <w:snapToGrid w:val="0"/>
          <w:color w:val="000000"/>
        </w:rPr>
        <w:t>Discussion Paper – Directions for vegetation management, SAPN’s long –term plan for managing trees near power lines</w:t>
      </w:r>
      <w:r w:rsidRPr="008F3413">
        <w:rPr>
          <w:rFonts w:cs="Microsoft Sans Serif"/>
          <w:snapToGrid w:val="0"/>
          <w:color w:val="000000"/>
        </w:rPr>
        <w:t>, March 2014 (attachment 6.9)</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Local Government Association of South Australia: </w:t>
      </w:r>
      <w:r w:rsidRPr="004E58BD">
        <w:rPr>
          <w:rFonts w:cs="Microsoft Sans Serif"/>
          <w:i/>
          <w:snapToGrid w:val="0"/>
          <w:color w:val="000000"/>
        </w:rPr>
        <w:t>Submission – Directions for vegetation management, June 2014</w:t>
      </w:r>
      <w:r w:rsidRPr="008F3413">
        <w:rPr>
          <w:rFonts w:cs="Microsoft Sans Serif"/>
          <w:snapToGrid w:val="0"/>
          <w:color w:val="000000"/>
        </w:rPr>
        <w:t xml:space="preserve"> (supporting document 15.1)</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SAPN: </w:t>
      </w:r>
      <w:r w:rsidRPr="004E58BD">
        <w:rPr>
          <w:rFonts w:cs="Microsoft Sans Serif"/>
          <w:i/>
          <w:snapToGrid w:val="0"/>
          <w:color w:val="000000"/>
        </w:rPr>
        <w:t>The South Australian Distribution Network, Directions and Priorities 2015 to 2020</w:t>
      </w:r>
      <w:r w:rsidRPr="008F3413">
        <w:rPr>
          <w:rFonts w:cs="Microsoft Sans Serif"/>
          <w:snapToGrid w:val="0"/>
          <w:color w:val="000000"/>
        </w:rPr>
        <w:t>, May 2014 (attachment 6.10)</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SAPN: </w:t>
      </w:r>
      <w:r w:rsidRPr="004E58BD">
        <w:rPr>
          <w:rFonts w:cs="Microsoft Sans Serif"/>
          <w:i/>
          <w:snapToGrid w:val="0"/>
          <w:color w:val="000000"/>
        </w:rPr>
        <w:t>Directions and Priorities 2015 to 2020 consultation – submissions</w:t>
      </w:r>
      <w:r w:rsidRPr="008F3413">
        <w:rPr>
          <w:rFonts w:cs="Microsoft Sans Serif"/>
          <w:snapToGrid w:val="0"/>
          <w:color w:val="000000"/>
        </w:rPr>
        <w:t>, June 2014 (supporting document 6.11)</w:t>
      </w:r>
    </w:p>
    <w:p w:rsidR="00816DCF" w:rsidRPr="008F3413" w:rsidRDefault="00816DCF" w:rsidP="00816DCF">
      <w:pPr>
        <w:pStyle w:val="ListBullet"/>
        <w:rPr>
          <w:rFonts w:cs="Microsoft Sans Serif"/>
          <w:snapToGrid w:val="0"/>
        </w:rPr>
      </w:pPr>
      <w:r w:rsidRPr="008F3413">
        <w:rPr>
          <w:rFonts w:cs="Microsoft Sans Serif"/>
          <w:snapToGrid w:val="0"/>
          <w:color w:val="000000"/>
        </w:rPr>
        <w:t xml:space="preserve">The NTF Group: </w:t>
      </w:r>
      <w:r w:rsidRPr="004E58BD">
        <w:rPr>
          <w:rFonts w:cs="Microsoft Sans Serif"/>
          <w:i/>
          <w:snapToGrid w:val="0"/>
          <w:color w:val="000000"/>
        </w:rPr>
        <w:t>Service-Price Research Findings</w:t>
      </w:r>
      <w:r w:rsidRPr="008F3413">
        <w:rPr>
          <w:rFonts w:cs="Microsoft Sans Serif"/>
          <w:snapToGrid w:val="0"/>
          <w:color w:val="000000"/>
        </w:rPr>
        <w:t>, October 2014 (attachment 17.3)</w:t>
      </w:r>
    </w:p>
    <w:p w:rsidR="00816DCF" w:rsidRDefault="00816DCF" w:rsidP="00816DCF">
      <w:pPr>
        <w:pStyle w:val="BodyText"/>
        <w:rPr>
          <w:snapToGrid w:val="0"/>
        </w:rPr>
      </w:pPr>
      <w:r>
        <w:rPr>
          <w:snapToGrid w:val="0"/>
        </w:rPr>
        <w:t>The supporting materials listed in Attachment B were:</w:t>
      </w:r>
    </w:p>
    <w:p w:rsidR="00816DCF" w:rsidRDefault="00816DCF" w:rsidP="008F3413">
      <w:pPr>
        <w:pStyle w:val="ListBullet"/>
        <w:rPr>
          <w:snapToGrid w:val="0"/>
        </w:rPr>
      </w:pPr>
      <w:r>
        <w:rPr>
          <w:snapToGrid w:val="0"/>
        </w:rPr>
        <w:t>SAPN RE: AER SAPN 031 – Consumer Engagement, March 2015</w:t>
      </w:r>
    </w:p>
    <w:p w:rsidR="00816DCF" w:rsidRDefault="00816DCF" w:rsidP="008F3413">
      <w:pPr>
        <w:pStyle w:val="ListBullet"/>
        <w:rPr>
          <w:snapToGrid w:val="0"/>
        </w:rPr>
      </w:pPr>
      <w:r>
        <w:rPr>
          <w:snapToGrid w:val="0"/>
        </w:rPr>
        <w:t xml:space="preserve">The NTF Group </w:t>
      </w:r>
      <w:r w:rsidRPr="004E58BD">
        <w:rPr>
          <w:i/>
          <w:snapToGrid w:val="0"/>
        </w:rPr>
        <w:t>Service-Price Research Questionnaire</w:t>
      </w:r>
      <w:r>
        <w:rPr>
          <w:snapToGrid w:val="0"/>
        </w:rPr>
        <w:t>, October 2014</w:t>
      </w:r>
    </w:p>
    <w:p w:rsidR="00816DCF" w:rsidRDefault="008F3413" w:rsidP="008F3413">
      <w:pPr>
        <w:pStyle w:val="ListBullet"/>
        <w:rPr>
          <w:snapToGrid w:val="0"/>
        </w:rPr>
      </w:pPr>
      <w:r>
        <w:rPr>
          <w:snapToGrid w:val="0"/>
        </w:rPr>
        <w:t xml:space="preserve">The NTG Group </w:t>
      </w:r>
      <w:r w:rsidRPr="004E58BD">
        <w:rPr>
          <w:i/>
          <w:snapToGrid w:val="0"/>
        </w:rPr>
        <w:t>Targeted Willingness to Pay Survey Instrument</w:t>
      </w:r>
      <w:r>
        <w:rPr>
          <w:snapToGrid w:val="0"/>
        </w:rPr>
        <w:t>, undated</w:t>
      </w:r>
    </w:p>
    <w:p w:rsidR="008F3413" w:rsidRPr="00E6228E" w:rsidRDefault="008F3413" w:rsidP="008F3413">
      <w:pPr>
        <w:pStyle w:val="ListBullet"/>
        <w:rPr>
          <w:snapToGrid w:val="0"/>
        </w:rPr>
      </w:pPr>
      <w:r>
        <w:rPr>
          <w:snapToGrid w:val="0"/>
        </w:rPr>
        <w:t xml:space="preserve">Deloitte, Stage 1 </w:t>
      </w:r>
      <w:r w:rsidRPr="004E58BD">
        <w:rPr>
          <w:i/>
          <w:snapToGrid w:val="0"/>
        </w:rPr>
        <w:t>Online Consumer Survey Questionnaire</w:t>
      </w:r>
      <w:r>
        <w:rPr>
          <w:snapToGrid w:val="0"/>
        </w:rPr>
        <w:t>, 2013</w:t>
      </w:r>
    </w:p>
    <w:p w:rsidR="00D87166" w:rsidRDefault="00D87166" w:rsidP="00D87166">
      <w:pPr>
        <w:pStyle w:val="Heading2"/>
        <w:numPr>
          <w:ilvl w:val="1"/>
          <w:numId w:val="2"/>
        </w:numPr>
        <w:ind w:left="0" w:hanging="720"/>
      </w:pPr>
      <w:bookmarkStart w:id="8" w:name="_Toc416165772"/>
      <w:bookmarkStart w:id="9" w:name="_Toc416970975"/>
      <w:r>
        <w:t>Limits and caveats</w:t>
      </w:r>
      <w:bookmarkEnd w:id="8"/>
      <w:bookmarkEnd w:id="9"/>
    </w:p>
    <w:p w:rsidR="008F3413" w:rsidRDefault="00D87166" w:rsidP="00D87166">
      <w:pPr>
        <w:pStyle w:val="BodyText"/>
      </w:pPr>
      <w:r>
        <w:t>It should be note</w:t>
      </w:r>
      <w:r w:rsidR="008F3413">
        <w:t>d</w:t>
      </w:r>
      <w:r>
        <w:t xml:space="preserve"> that </w:t>
      </w:r>
      <w:r w:rsidR="008F3413">
        <w:t>the review was limited to the documents above.  The review did not have access to the datasets that resulted from the surveys that were conducted throughout the course of the CEP.</w:t>
      </w:r>
    </w:p>
    <w:p w:rsidR="00405534" w:rsidRDefault="00405534">
      <w:pPr>
        <w:spacing w:before="0" w:after="0"/>
        <w:ind w:left="0"/>
        <w:jc w:val="left"/>
      </w:pPr>
    </w:p>
    <w:p w:rsidR="00405534" w:rsidRDefault="00405534">
      <w:pPr>
        <w:spacing w:before="0" w:after="0"/>
        <w:ind w:left="0"/>
        <w:jc w:val="left"/>
      </w:pPr>
    </w:p>
    <w:p w:rsidR="00405534" w:rsidRDefault="00405534">
      <w:pPr>
        <w:spacing w:before="0" w:after="0"/>
        <w:ind w:left="0"/>
        <w:jc w:val="left"/>
        <w:rPr>
          <w:rFonts w:ascii="Microsoft Sans Serif" w:hAnsi="Microsoft Sans Serif"/>
          <w:sz w:val="20"/>
        </w:rPr>
      </w:pPr>
      <w:r>
        <w:br w:type="page"/>
      </w:r>
    </w:p>
    <w:p w:rsidR="003F6289" w:rsidRDefault="003F6289" w:rsidP="00123306">
      <w:pPr>
        <w:pStyle w:val="Heading1"/>
      </w:pPr>
      <w:bookmarkStart w:id="10" w:name="_Toc416970976"/>
      <w:r>
        <w:lastRenderedPageBreak/>
        <w:t>Findings</w:t>
      </w:r>
      <w:bookmarkEnd w:id="10"/>
    </w:p>
    <w:p w:rsidR="00244127" w:rsidRDefault="00244127" w:rsidP="00244127">
      <w:pPr>
        <w:pStyle w:val="BodyText"/>
      </w:pPr>
      <w:r>
        <w:t>This section of the review examines:</w:t>
      </w:r>
    </w:p>
    <w:p w:rsidR="00244127" w:rsidRDefault="00244127" w:rsidP="00244127">
      <w:pPr>
        <w:pStyle w:val="ListBullet"/>
        <w:tabs>
          <w:tab w:val="clear" w:pos="360"/>
          <w:tab w:val="num" w:pos="426"/>
        </w:tabs>
        <w:ind w:left="426" w:hanging="426"/>
        <w:rPr>
          <w:snapToGrid w:val="0"/>
        </w:rPr>
      </w:pPr>
      <w:r>
        <w:rPr>
          <w:snapToGrid w:val="0"/>
        </w:rPr>
        <w:t xml:space="preserve">The genesis of the WTP study that was commissioned by SAPN and how it fits in with the rest of the </w:t>
      </w:r>
      <w:r w:rsidR="00F55880">
        <w:rPr>
          <w:snapToGrid w:val="0"/>
        </w:rPr>
        <w:t>SAPN</w:t>
      </w:r>
      <w:r>
        <w:rPr>
          <w:snapToGrid w:val="0"/>
        </w:rPr>
        <w:t xml:space="preserve"> CEP,</w:t>
      </w:r>
    </w:p>
    <w:p w:rsidR="00244127" w:rsidRDefault="00244127" w:rsidP="00244127">
      <w:pPr>
        <w:pStyle w:val="ListBullet"/>
        <w:tabs>
          <w:tab w:val="clear" w:pos="360"/>
          <w:tab w:val="num" w:pos="426"/>
        </w:tabs>
        <w:ind w:left="426" w:hanging="426"/>
        <w:rPr>
          <w:snapToGrid w:val="0"/>
        </w:rPr>
      </w:pPr>
      <w:r>
        <w:rPr>
          <w:snapToGrid w:val="0"/>
        </w:rPr>
        <w:t xml:space="preserve">The robustness of the research, including the assumptions </w:t>
      </w:r>
      <w:r w:rsidR="00F55880">
        <w:rPr>
          <w:snapToGrid w:val="0"/>
        </w:rPr>
        <w:t>and</w:t>
      </w:r>
      <w:r>
        <w:rPr>
          <w:snapToGrid w:val="0"/>
        </w:rPr>
        <w:t xml:space="preserve"> methodology used, and the accuracy of its findings, and</w:t>
      </w:r>
    </w:p>
    <w:p w:rsidR="00244127" w:rsidRPr="0032688F" w:rsidRDefault="00244127" w:rsidP="00244127">
      <w:pPr>
        <w:pStyle w:val="ListBullet"/>
        <w:tabs>
          <w:tab w:val="clear" w:pos="360"/>
          <w:tab w:val="num" w:pos="426"/>
        </w:tabs>
        <w:ind w:left="426" w:hanging="426"/>
      </w:pPr>
      <w:r>
        <w:rPr>
          <w:snapToGrid w:val="0"/>
        </w:rPr>
        <w:t>The strength of the conclusions that were drawn from the results of the survey.</w:t>
      </w:r>
    </w:p>
    <w:p w:rsidR="00F319E3" w:rsidRDefault="00F319E3" w:rsidP="00533F1C">
      <w:pPr>
        <w:pStyle w:val="Heading2"/>
        <w:numPr>
          <w:ilvl w:val="1"/>
          <w:numId w:val="2"/>
        </w:numPr>
        <w:ind w:left="0" w:hanging="720"/>
      </w:pPr>
      <w:bookmarkStart w:id="11" w:name="_Ref416327994"/>
      <w:bookmarkStart w:id="12" w:name="_Toc416970977"/>
      <w:bookmarkStart w:id="13" w:name="_Toc416165774"/>
      <w:r>
        <w:t>Genesis of the WTP study</w:t>
      </w:r>
      <w:bookmarkEnd w:id="11"/>
      <w:bookmarkEnd w:id="12"/>
    </w:p>
    <w:p w:rsidR="00AF46D6" w:rsidRDefault="00F319E3" w:rsidP="00F319E3">
      <w:pPr>
        <w:pStyle w:val="BodyText"/>
      </w:pPr>
      <w:r>
        <w:t xml:space="preserve">The </w:t>
      </w:r>
      <w:r w:rsidR="00F55880">
        <w:t>WTP</w:t>
      </w:r>
      <w:r>
        <w:t xml:space="preserve"> study commissioned by SAPN as part of the Stage 2 Research program was an addition to the CEP.  When the CEP was first designed, and indeed even when Stage 2 was commenced, a WTP study was not contemplated as part of the research</w:t>
      </w:r>
      <w:r>
        <w:rPr>
          <w:rStyle w:val="FootnoteReference"/>
        </w:rPr>
        <w:footnoteReference w:id="1"/>
      </w:r>
      <w:r>
        <w:t xml:space="preserve">.  </w:t>
      </w:r>
    </w:p>
    <w:p w:rsidR="00AF46D6" w:rsidRDefault="00AF46D6" w:rsidP="00F319E3">
      <w:pPr>
        <w:pStyle w:val="BodyText"/>
      </w:pPr>
      <w:r>
        <w:t>The decision to undertake the WTP study appears to have been made in the following steps:</w:t>
      </w:r>
    </w:p>
    <w:p w:rsidR="00AF46D6" w:rsidRDefault="00AF46D6" w:rsidP="002B07EB">
      <w:pPr>
        <w:pStyle w:val="ListBullet"/>
      </w:pPr>
      <w:r>
        <w:t>The Stage 1 Research (Stakeholder and Industry Workshops and Online Survey) identified 13 key ‘insights’ concerning what SAPN’s customers want</w:t>
      </w:r>
      <w:r w:rsidR="00F55880">
        <w:t>.</w:t>
      </w:r>
    </w:p>
    <w:p w:rsidR="00AF46D6" w:rsidRDefault="002B07EB" w:rsidP="002B07EB">
      <w:pPr>
        <w:pStyle w:val="ListBullet"/>
      </w:pPr>
      <w:r>
        <w:t>It also identified ‘the community’s top three safety and reliability initiatives’ as being:</w:t>
      </w:r>
    </w:p>
    <w:p w:rsidR="002B07EB" w:rsidRDefault="002B07EB" w:rsidP="002B07EB">
      <w:pPr>
        <w:pStyle w:val="ListBullet2"/>
        <w:rPr>
          <w:lang w:eastAsia="en-NZ"/>
        </w:rPr>
      </w:pPr>
      <w:r w:rsidRPr="002B07EB">
        <w:rPr>
          <w:lang w:eastAsia="en-NZ"/>
        </w:rPr>
        <w:t xml:space="preserve">Inspecting, maintaining and upgrading the network </w:t>
      </w:r>
    </w:p>
    <w:p w:rsidR="002B07EB" w:rsidRDefault="002B07EB" w:rsidP="002B07EB">
      <w:pPr>
        <w:pStyle w:val="ListBullet2"/>
      </w:pPr>
      <w:r>
        <w:t>Bushfire prevention activities</w:t>
      </w:r>
    </w:p>
    <w:p w:rsidR="002B07EB" w:rsidRDefault="002B07EB" w:rsidP="002B07EB">
      <w:pPr>
        <w:pStyle w:val="ListBullet2"/>
      </w:pPr>
      <w:r>
        <w:t>Hardening the network against lightning and storms</w:t>
      </w:r>
      <w:r w:rsidR="00F55880">
        <w:t>.</w:t>
      </w:r>
    </w:p>
    <w:p w:rsidR="002B07EB" w:rsidRDefault="002B07EB" w:rsidP="002B07EB">
      <w:pPr>
        <w:pStyle w:val="ListBullet"/>
      </w:pPr>
      <w:r>
        <w:t xml:space="preserve">At the commencement of Stage 2, </w:t>
      </w:r>
      <w:r>
        <w:rPr>
          <w:lang w:eastAsia="en-NZ"/>
        </w:rPr>
        <w:t>a workshop was held in which Deloitte, who had conducted the Stage 1 research, presented the findings from the Stage 1 customer workshops and surveys to 30 SAPN business leaders.  Those business leaders then “workshopped a range of services and opportunities that might deliver on customer expectations, noting that many of the customer insights were directly relevant to SA Power Networks’ core business activities. These opportunities were then further considered and analysed by the responsible business areas to develop plans and refine approaches”</w:t>
      </w:r>
      <w:r>
        <w:rPr>
          <w:rStyle w:val="FootnoteReference"/>
          <w:lang w:eastAsia="en-NZ"/>
        </w:rPr>
        <w:footnoteReference w:id="2"/>
      </w:r>
      <w:r>
        <w:rPr>
          <w:lang w:eastAsia="en-NZ"/>
        </w:rPr>
        <w:t>.</w:t>
      </w:r>
      <w:r>
        <w:t xml:space="preserve"> </w:t>
      </w:r>
    </w:p>
    <w:p w:rsidR="002173F5" w:rsidRDefault="007D47DF" w:rsidP="00DB567E">
      <w:pPr>
        <w:pStyle w:val="ListBullet"/>
      </w:pPr>
      <w:r>
        <w:rPr>
          <w:lang w:eastAsia="en-NZ"/>
        </w:rPr>
        <w:t>That process identified “two key areas — undergrounding power lines and managing vegetation clearance</w:t>
      </w:r>
      <w:r w:rsidR="002173F5">
        <w:rPr>
          <w:lang w:eastAsia="en-NZ"/>
        </w:rPr>
        <w:t>”</w:t>
      </w:r>
      <w:r>
        <w:rPr>
          <w:rStyle w:val="FootnoteReference"/>
          <w:lang w:eastAsia="en-NZ"/>
        </w:rPr>
        <w:footnoteReference w:id="3"/>
      </w:r>
      <w:r>
        <w:rPr>
          <w:lang w:eastAsia="en-NZ"/>
        </w:rPr>
        <w:t xml:space="preserve"> as being of particular relevance, given that they are elements of SAPN’s core business and according to Deloitte, “</w:t>
      </w:r>
      <w:r w:rsidRPr="007D47DF">
        <w:rPr>
          <w:lang w:eastAsia="en-NZ"/>
        </w:rPr>
        <w:t>were topics of considerable public interest during the Stage 1 engagement activities”</w:t>
      </w:r>
      <w:r>
        <w:rPr>
          <w:rStyle w:val="FootnoteReference"/>
          <w:lang w:eastAsia="en-NZ"/>
        </w:rPr>
        <w:footnoteReference w:id="4"/>
      </w:r>
      <w:r w:rsidR="002173F5">
        <w:rPr>
          <w:lang w:eastAsia="en-NZ"/>
        </w:rPr>
        <w:t>.</w:t>
      </w:r>
    </w:p>
    <w:p w:rsidR="003204A5" w:rsidRDefault="002173F5" w:rsidP="00DB567E">
      <w:pPr>
        <w:pStyle w:val="ListBullet"/>
        <w:rPr>
          <w:lang w:eastAsia="en-NZ"/>
        </w:rPr>
      </w:pPr>
      <w:r>
        <w:rPr>
          <w:lang w:eastAsia="en-NZ"/>
        </w:rPr>
        <w:t>Two Targeted Strategic Workshops were specially designed and added to the CEP to explore these two topics in further detail, one workshop for each topic.</w:t>
      </w:r>
    </w:p>
    <w:p w:rsidR="003204A5" w:rsidRPr="00F55880" w:rsidRDefault="003204A5" w:rsidP="003204A5">
      <w:pPr>
        <w:pStyle w:val="ListBullet2"/>
        <w:rPr>
          <w:lang w:eastAsia="en-NZ"/>
        </w:rPr>
      </w:pPr>
      <w:r>
        <w:rPr>
          <w:lang w:eastAsia="en-NZ"/>
        </w:rPr>
        <w:lastRenderedPageBreak/>
        <w:t xml:space="preserve">The objective was to </w:t>
      </w:r>
      <w:r w:rsidRPr="00F55880">
        <w:rPr>
          <w:lang w:eastAsia="en-NZ"/>
        </w:rPr>
        <w:t>“</w:t>
      </w:r>
      <w:r w:rsidRPr="00F55880">
        <w:rPr>
          <w:rFonts w:cs="Frutiger Next Pro Light"/>
        </w:rPr>
        <w:t>foster community thinking and develop a shared citizen-focused interest in the future of the South Australian electricity distribution network.  SA Power Networks wanted to understand what consumers value and how they prioritise alternative activities and strategies concerning vegetation management and undergrounding, in addition to exploring a range of issues, tensions, and trade-offs to generate further consumer insights”</w:t>
      </w:r>
      <w:r w:rsidRPr="00F55880">
        <w:rPr>
          <w:rStyle w:val="FootnoteReference"/>
          <w:rFonts w:cs="Frutiger Next Pro Light"/>
        </w:rPr>
        <w:footnoteReference w:id="5"/>
      </w:r>
      <w:r w:rsidRPr="00F55880">
        <w:rPr>
          <w:rFonts w:cs="Frutiger Next Pro Light"/>
        </w:rPr>
        <w:t>.</w:t>
      </w:r>
    </w:p>
    <w:p w:rsidR="00770DF7" w:rsidRPr="00F55880" w:rsidRDefault="002173F5" w:rsidP="003204A5">
      <w:pPr>
        <w:pStyle w:val="ListBullet2"/>
        <w:rPr>
          <w:lang w:eastAsia="en-NZ"/>
        </w:rPr>
      </w:pPr>
      <w:r w:rsidRPr="00F55880">
        <w:rPr>
          <w:lang w:eastAsia="en-NZ"/>
        </w:rPr>
        <w:t xml:space="preserve">Each of the workshops was attended by </w:t>
      </w:r>
      <w:r w:rsidR="00770DF7" w:rsidRPr="00F55880">
        <w:rPr>
          <w:lang w:eastAsia="en-NZ"/>
        </w:rPr>
        <w:t>“customers from stage one workshops, external parties with relevant expertise on the topic as well as key SA Power Networks personnel with responsibility for the relevant business area”</w:t>
      </w:r>
      <w:r w:rsidR="00770DF7" w:rsidRPr="00F55880">
        <w:rPr>
          <w:rStyle w:val="FootnoteReference"/>
          <w:lang w:eastAsia="en-NZ"/>
        </w:rPr>
        <w:footnoteReference w:id="6"/>
      </w:r>
      <w:r w:rsidR="00770DF7" w:rsidRPr="00F55880">
        <w:rPr>
          <w:lang w:eastAsia="en-NZ"/>
        </w:rPr>
        <w:t xml:space="preserve">.  </w:t>
      </w:r>
      <w:r w:rsidR="003204A5" w:rsidRPr="00F55880">
        <w:rPr>
          <w:lang w:eastAsia="en-NZ"/>
        </w:rPr>
        <w:t xml:space="preserve">A total </w:t>
      </w:r>
      <w:r w:rsidR="00D778DD">
        <w:rPr>
          <w:lang w:eastAsia="en-NZ"/>
        </w:rPr>
        <w:t xml:space="preserve">of </w:t>
      </w:r>
      <w:r w:rsidR="003204A5" w:rsidRPr="00F55880">
        <w:rPr>
          <w:lang w:eastAsia="en-NZ"/>
        </w:rPr>
        <w:t xml:space="preserve">24 </w:t>
      </w:r>
      <w:r w:rsidR="003204A5" w:rsidRPr="00F55880">
        <w:rPr>
          <w:rFonts w:cs="Frutiger Next Pro Light"/>
        </w:rPr>
        <w:t>consumers participated across the two groups.</w:t>
      </w:r>
    </w:p>
    <w:p w:rsidR="00770DF7" w:rsidRPr="007C4853" w:rsidRDefault="004E58BD" w:rsidP="004E58BD">
      <w:pPr>
        <w:pStyle w:val="ListBullet2"/>
        <w:rPr>
          <w:lang w:eastAsia="en-NZ"/>
        </w:rPr>
      </w:pPr>
      <w:r w:rsidRPr="00F55880">
        <w:rPr>
          <w:lang w:eastAsia="en-NZ"/>
        </w:rPr>
        <w:t xml:space="preserve">SAPN </w:t>
      </w:r>
      <w:r w:rsidR="003204A5" w:rsidRPr="00F55880">
        <w:rPr>
          <w:lang w:eastAsia="en-NZ"/>
        </w:rPr>
        <w:t>stated that “</w:t>
      </w:r>
      <w:r w:rsidR="00770DF7" w:rsidRPr="00F55880">
        <w:rPr>
          <w:lang w:eastAsia="en-NZ"/>
        </w:rPr>
        <w:t>In each workshop</w:t>
      </w:r>
      <w:r w:rsidR="003204A5" w:rsidRPr="00F55880">
        <w:rPr>
          <w:lang w:eastAsia="en-NZ"/>
        </w:rPr>
        <w:t>,</w:t>
      </w:r>
      <w:r w:rsidR="00770DF7" w:rsidRPr="00F55880">
        <w:rPr>
          <w:lang w:eastAsia="en-NZ"/>
        </w:rPr>
        <w:t xml:space="preserve"> participants were provided with objective information about the respective topic including regulatory and safety obligations, the cost of undergrounding power lines and the annual cost of vegetation clearance.  Workshop participants explored perceptions of the present situation, evaluated possible alternatives with the required commitments (including the consequences) of implementation in order to develop a future vision</w:t>
      </w:r>
      <w:r w:rsidR="003204A5" w:rsidRPr="00F55880">
        <w:rPr>
          <w:lang w:eastAsia="en-NZ"/>
        </w:rPr>
        <w:t>”</w:t>
      </w:r>
      <w:r w:rsidR="003204A5" w:rsidRPr="006F2A58">
        <w:rPr>
          <w:rStyle w:val="FootnoteReference"/>
          <w:lang w:eastAsia="en-NZ"/>
        </w:rPr>
        <w:footnoteReference w:id="7"/>
      </w:r>
      <w:r w:rsidR="00770DF7" w:rsidRPr="006F2A58">
        <w:rPr>
          <w:lang w:eastAsia="en-NZ"/>
        </w:rPr>
        <w:t>.</w:t>
      </w:r>
    </w:p>
    <w:p w:rsidR="004E58BD" w:rsidRPr="00770DF7" w:rsidRDefault="004E58BD" w:rsidP="004E58BD">
      <w:pPr>
        <w:pStyle w:val="ListBullet"/>
        <w:rPr>
          <w:lang w:eastAsia="en-NZ"/>
        </w:rPr>
      </w:pPr>
      <w:r>
        <w:rPr>
          <w:lang w:eastAsia="en-NZ"/>
        </w:rPr>
        <w:t>According to SAPN, “the principles and proposals for undergrounding and vegetation management [that came out of the workshops] translate to a range of investment levels [and] SA Power Networks considered it prudent to test consumers’ Willingness to Pay using discrete choice modelling techniques”</w:t>
      </w:r>
      <w:r>
        <w:rPr>
          <w:rStyle w:val="FootnoteReference"/>
          <w:lang w:eastAsia="en-NZ"/>
        </w:rPr>
        <w:footnoteReference w:id="8"/>
      </w:r>
      <w:r>
        <w:rPr>
          <w:lang w:eastAsia="en-NZ"/>
        </w:rPr>
        <w:t>.</w:t>
      </w:r>
    </w:p>
    <w:p w:rsidR="00F319E3" w:rsidRPr="00F319E3" w:rsidRDefault="004E58BD" w:rsidP="00F319E3">
      <w:pPr>
        <w:pStyle w:val="BodyText"/>
      </w:pPr>
      <w:r>
        <w:t>It is clear, therefore</w:t>
      </w:r>
      <w:r w:rsidR="00F55880">
        <w:t>,</w:t>
      </w:r>
      <w:r>
        <w:t xml:space="preserve"> that the WTP study that was undertaken was not conceptualised </w:t>
      </w:r>
      <w:r w:rsidR="00F55880">
        <w:t xml:space="preserve">– </w:t>
      </w:r>
      <w:r>
        <w:t xml:space="preserve">and should not be interpreted </w:t>
      </w:r>
      <w:r w:rsidR="00F55880">
        <w:t xml:space="preserve">– </w:t>
      </w:r>
      <w:r>
        <w:t xml:space="preserve">as providing information on customers’ preferences or willingness to pay for anything other than </w:t>
      </w:r>
      <w:r w:rsidR="00AB6A79">
        <w:t>the specific service levels and associated costs pertaining to the two service areas of undergrounding and vegetation management.</w:t>
      </w:r>
    </w:p>
    <w:p w:rsidR="00533F1C" w:rsidRDefault="00533F1C" w:rsidP="00533F1C">
      <w:pPr>
        <w:pStyle w:val="Heading2"/>
        <w:numPr>
          <w:ilvl w:val="1"/>
          <w:numId w:val="2"/>
        </w:numPr>
        <w:ind w:left="0" w:hanging="720"/>
      </w:pPr>
      <w:bookmarkStart w:id="14" w:name="_Toc416970978"/>
      <w:r>
        <w:t>Robustness of the research</w:t>
      </w:r>
      <w:bookmarkEnd w:id="13"/>
      <w:bookmarkEnd w:id="14"/>
    </w:p>
    <w:p w:rsidR="00533F1C" w:rsidRDefault="00533F1C" w:rsidP="00533F1C">
      <w:pPr>
        <w:pStyle w:val="Heading3"/>
        <w:numPr>
          <w:ilvl w:val="2"/>
          <w:numId w:val="2"/>
        </w:numPr>
        <w:ind w:left="0" w:hanging="720"/>
      </w:pPr>
      <w:bookmarkStart w:id="15" w:name="_Toc416165775"/>
      <w:bookmarkStart w:id="16" w:name="_Toc416970979"/>
      <w:r>
        <w:t>Assumptions</w:t>
      </w:r>
      <w:bookmarkEnd w:id="15"/>
      <w:bookmarkEnd w:id="16"/>
    </w:p>
    <w:p w:rsidR="001F6A5D" w:rsidRDefault="001F6A5D" w:rsidP="003F6289">
      <w:pPr>
        <w:pStyle w:val="BodyText"/>
      </w:pPr>
      <w:r>
        <w:t xml:space="preserve">The assumption that the only services that needed to be submitted to WTP considerations were those concerning undergrounding of powerlines and vegetation management was addressed in Section </w:t>
      </w:r>
      <w:r>
        <w:fldChar w:fldCharType="begin"/>
      </w:r>
      <w:r>
        <w:instrText xml:space="preserve"> REF _Ref416327994 \r \h </w:instrText>
      </w:r>
      <w:r>
        <w:fldChar w:fldCharType="separate"/>
      </w:r>
      <w:r w:rsidR="00F55880">
        <w:t>2.1</w:t>
      </w:r>
      <w:r>
        <w:fldChar w:fldCharType="end"/>
      </w:r>
      <w:r>
        <w:t>.</w:t>
      </w:r>
      <w:r w:rsidR="00651993">
        <w:t xml:space="preserve">  As noted, that assumption could lead to the view that these service areas are the only ones in which service level improvements are worth considering.</w:t>
      </w:r>
    </w:p>
    <w:p w:rsidR="003F6289" w:rsidRDefault="001F6A5D" w:rsidP="003F6289">
      <w:pPr>
        <w:pStyle w:val="BodyText"/>
      </w:pPr>
      <w:r>
        <w:t xml:space="preserve">Other than that, the review did not find any assumptions in the WTP research that </w:t>
      </w:r>
      <w:r w:rsidR="008416A8">
        <w:t>caused any concern regarding its methodological soundness or that would potentially compromise the validity of its results.</w:t>
      </w:r>
    </w:p>
    <w:p w:rsidR="00533F1C" w:rsidRDefault="00533F1C" w:rsidP="00533F1C">
      <w:pPr>
        <w:pStyle w:val="Heading3"/>
        <w:numPr>
          <w:ilvl w:val="2"/>
          <w:numId w:val="2"/>
        </w:numPr>
        <w:ind w:left="0" w:hanging="720"/>
      </w:pPr>
      <w:bookmarkStart w:id="17" w:name="_Toc416165776"/>
      <w:bookmarkStart w:id="18" w:name="_Toc416970980"/>
      <w:r>
        <w:lastRenderedPageBreak/>
        <w:t>Methodology, scope and implementation</w:t>
      </w:r>
      <w:bookmarkEnd w:id="17"/>
      <w:bookmarkEnd w:id="18"/>
    </w:p>
    <w:p w:rsidR="00533F1C" w:rsidRDefault="00533F1C" w:rsidP="00533F1C">
      <w:pPr>
        <w:pStyle w:val="Heading4"/>
      </w:pPr>
      <w:r>
        <w:t>Methodology</w:t>
      </w:r>
    </w:p>
    <w:p w:rsidR="00CB4514" w:rsidRDefault="00244127" w:rsidP="003F6289">
      <w:pPr>
        <w:pStyle w:val="BodyText"/>
      </w:pPr>
      <w:r>
        <w:t xml:space="preserve">The SAPN WTP used a Discrete Choice Experiment (DCE) design in which different pairs of service options and </w:t>
      </w:r>
      <w:r w:rsidR="00305249">
        <w:t>their impacts on the quarterly bill of an average customer</w:t>
      </w:r>
      <w:r>
        <w:t xml:space="preserve"> were presented to the respondent </w:t>
      </w:r>
      <w:r w:rsidR="00CB4514">
        <w:t>who was then asked in each case to select the option he or she preferred.</w:t>
      </w:r>
    </w:p>
    <w:p w:rsidR="00244127" w:rsidRDefault="00CB4514" w:rsidP="00244127">
      <w:pPr>
        <w:pStyle w:val="BodyText"/>
      </w:pPr>
      <w:r>
        <w:fldChar w:fldCharType="begin"/>
      </w:r>
      <w:r>
        <w:instrText xml:space="preserve"> REF _Ref416324538 \h </w:instrText>
      </w:r>
      <w:r>
        <w:fldChar w:fldCharType="separate"/>
      </w:r>
      <w:r w:rsidR="00F55880">
        <w:t xml:space="preserve">Figure </w:t>
      </w:r>
      <w:r w:rsidR="00F55880">
        <w:rPr>
          <w:noProof/>
        </w:rPr>
        <w:t>1</w:t>
      </w:r>
      <w:r>
        <w:fldChar w:fldCharType="end"/>
      </w:r>
      <w:r w:rsidR="00515D4D">
        <w:t xml:space="preserve"> </w:t>
      </w:r>
      <w:r w:rsidR="00F55880">
        <w:t>below</w:t>
      </w:r>
      <w:r>
        <w:t xml:space="preserve"> provides an example of how the choice sets were constructed.</w:t>
      </w:r>
    </w:p>
    <w:p w:rsidR="004F0533" w:rsidRDefault="00CB4514" w:rsidP="00CB4514">
      <w:pPr>
        <w:pStyle w:val="Caption"/>
      </w:pPr>
      <w:bookmarkStart w:id="19" w:name="_Ref416324538"/>
      <w:bookmarkStart w:id="20" w:name="_Toc416971032"/>
      <w:r>
        <w:t xml:space="preserve">Figure </w:t>
      </w:r>
      <w:r>
        <w:fldChar w:fldCharType="begin"/>
      </w:r>
      <w:r>
        <w:instrText xml:space="preserve"> SEQ Figure \* ARABIC </w:instrText>
      </w:r>
      <w:r>
        <w:fldChar w:fldCharType="separate"/>
      </w:r>
      <w:r w:rsidR="00F55880">
        <w:rPr>
          <w:noProof/>
        </w:rPr>
        <w:t>1</w:t>
      </w:r>
      <w:r>
        <w:fldChar w:fldCharType="end"/>
      </w:r>
      <w:bookmarkEnd w:id="19"/>
      <w:r>
        <w:t>: Example of the form of discrete choice question used in the SAPN WTP study</w:t>
      </w:r>
      <w:bookmarkEnd w:id="20"/>
    </w:p>
    <w:p w:rsidR="004F0533" w:rsidRDefault="00CB4514" w:rsidP="003F6289">
      <w:pPr>
        <w:pStyle w:val="BodyText"/>
      </w:pPr>
      <w:r w:rsidRPr="00CB4514">
        <w:rPr>
          <w:noProof/>
          <w:lang w:eastAsia="en-AU"/>
        </w:rPr>
        <w:drawing>
          <wp:inline distT="0" distB="0" distL="0" distR="0" wp14:anchorId="08C6F4FE" wp14:editId="53B15BAF">
            <wp:extent cx="5364480" cy="5036801"/>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5036801"/>
                    </a:xfrm>
                    <a:prstGeom prst="rect">
                      <a:avLst/>
                    </a:prstGeom>
                    <a:noFill/>
                    <a:ln>
                      <a:noFill/>
                    </a:ln>
                  </pic:spPr>
                </pic:pic>
              </a:graphicData>
            </a:graphic>
          </wp:inline>
        </w:drawing>
      </w:r>
    </w:p>
    <w:p w:rsidR="004F0533" w:rsidRDefault="00CB4514" w:rsidP="00CB4514">
      <w:pPr>
        <w:pStyle w:val="Source"/>
      </w:pPr>
      <w:r>
        <w:t xml:space="preserve">Source: NTF Group, </w:t>
      </w:r>
      <w:r w:rsidRPr="00CB4514">
        <w:rPr>
          <w:i/>
        </w:rPr>
        <w:t>SAPN Targeted Willingness to Pay Survey Instrument</w:t>
      </w:r>
      <w:r>
        <w:t xml:space="preserve">, p 21. </w:t>
      </w:r>
    </w:p>
    <w:p w:rsidR="00305249" w:rsidRDefault="00305249" w:rsidP="003F6289">
      <w:pPr>
        <w:pStyle w:val="BodyText"/>
      </w:pPr>
      <w:r>
        <w:t>Another option in the same series was comprised as follows:</w:t>
      </w:r>
    </w:p>
    <w:p w:rsidR="004F0533" w:rsidRDefault="00A46D40" w:rsidP="00A46D40">
      <w:pPr>
        <w:pStyle w:val="ListBullet"/>
      </w:pPr>
      <w:r w:rsidRPr="00A46D40">
        <w:t>Remov</w:t>
      </w:r>
      <w:r>
        <w:t xml:space="preserve">ing inappropriate vegetation in approximately 5% of targeted areas (equivalent to 500 km of powerlines in </w:t>
      </w:r>
      <w:r w:rsidR="00D778DD">
        <w:t>High Bushfire Risk Areas (</w:t>
      </w:r>
      <w:r>
        <w:t>HBFRA</w:t>
      </w:r>
      <w:r w:rsidR="00D778DD">
        <w:t>)</w:t>
      </w:r>
      <w:r>
        <w:t xml:space="preserve"> and </w:t>
      </w:r>
      <w:r w:rsidR="00D778DD">
        <w:t>Bushfire Risk Areas (</w:t>
      </w:r>
      <w:r>
        <w:t>BFRA</w:t>
      </w:r>
      <w:r w:rsidR="00D778DD">
        <w:t>)</w:t>
      </w:r>
    </w:p>
    <w:p w:rsidR="004F0533" w:rsidRDefault="00A46D40" w:rsidP="00A46D40">
      <w:pPr>
        <w:pStyle w:val="ListBullet"/>
      </w:pPr>
      <w:r>
        <w:t xml:space="preserve">Targeted undergrounding of approximately 5% (around 270 km) of powerlines in HBFRA </w:t>
      </w:r>
    </w:p>
    <w:p w:rsidR="004F0533" w:rsidRDefault="00A46D40" w:rsidP="00A46D40">
      <w:pPr>
        <w:pStyle w:val="ListBullet"/>
      </w:pPr>
      <w:r>
        <w:t>Add $6.00 to your average quarterly bill.</w:t>
      </w:r>
    </w:p>
    <w:p w:rsidR="00A46D40" w:rsidRDefault="00A46D40" w:rsidP="00A46D40">
      <w:pPr>
        <w:pStyle w:val="ListBullet"/>
        <w:numPr>
          <w:ilvl w:val="0"/>
          <w:numId w:val="0"/>
        </w:numPr>
      </w:pPr>
      <w:r>
        <w:lastRenderedPageBreak/>
        <w:t xml:space="preserve">In each case the customer </w:t>
      </w:r>
      <w:r w:rsidR="006F2A58">
        <w:t xml:space="preserve">was asked to </w:t>
      </w:r>
      <w:r>
        <w:t xml:space="preserve">choose </w:t>
      </w:r>
      <w:r w:rsidR="006F2A58">
        <w:t>the option they preferred, and in so doing expressed a preference for the specific service levels contained in the bundle and its price as compared to those in the other option.</w:t>
      </w:r>
      <w:r>
        <w:t xml:space="preserve">  </w:t>
      </w:r>
      <w:r w:rsidR="006F2A58">
        <w:t xml:space="preserve">Analysis of the choices made across all survey respondents as the combinations of service attribute levels and price were changed allows the </w:t>
      </w:r>
      <w:r>
        <w:t xml:space="preserve">DCE approach </w:t>
      </w:r>
      <w:r w:rsidR="006F2A58">
        <w:t>to provide a preference function for the various service attributes, levels and prices.</w:t>
      </w:r>
    </w:p>
    <w:p w:rsidR="005B2DB1" w:rsidRDefault="00A46D40" w:rsidP="00A46D40">
      <w:pPr>
        <w:pStyle w:val="ListBullet"/>
        <w:numPr>
          <w:ilvl w:val="0"/>
          <w:numId w:val="0"/>
        </w:numPr>
      </w:pPr>
      <w:r>
        <w:t xml:space="preserve">However, the choice that is being provided is about inputs, not outcomes.  Presumably, the </w:t>
      </w:r>
      <w:r w:rsidR="005B2DB1">
        <w:t xml:space="preserve">objective of these service activities is to reduce the incidence of fires in bushfire risk areas.  What is lacking is the relative reduction in fire risk that could reasonably be </w:t>
      </w:r>
      <w:r w:rsidR="006F2A58">
        <w:t xml:space="preserve">expected to result from the implementation of </w:t>
      </w:r>
      <w:r w:rsidR="005B2DB1">
        <w:t>each service bundle</w:t>
      </w:r>
      <w:r w:rsidR="006F2A58">
        <w:t xml:space="preserve"> as compared to the status quo</w:t>
      </w:r>
      <w:r w:rsidR="005B2DB1">
        <w:t>.  In effect, the respondent is being asked to choose between different cost levels without understanding what the benefit level is likely to be.</w:t>
      </w:r>
    </w:p>
    <w:p w:rsidR="005B2DB1" w:rsidRDefault="005B2DB1" w:rsidP="00A46D40">
      <w:pPr>
        <w:pStyle w:val="ListBullet"/>
        <w:numPr>
          <w:ilvl w:val="0"/>
          <w:numId w:val="0"/>
        </w:numPr>
      </w:pPr>
      <w:r>
        <w:t xml:space="preserve">This problem also characterises the choice options posed concerning the number of traffic blackspots at which consumers would be willing to pay to underground electricity lines, and the frequency of tree trimming and the </w:t>
      </w:r>
      <w:r w:rsidRPr="005B2DB1">
        <w:t xml:space="preserve">removal and replacement of inappropriate vegetation in relevant </w:t>
      </w:r>
      <w:r w:rsidR="00585CD4">
        <w:t>Non Bushfire Risk Areas (</w:t>
      </w:r>
      <w:r>
        <w:t>NBFRAs</w:t>
      </w:r>
      <w:r w:rsidR="00585CD4">
        <w:t>)</w:t>
      </w:r>
      <w:r>
        <w:t xml:space="preserve"> that consumers would be willing to pay for.</w:t>
      </w:r>
    </w:p>
    <w:p w:rsidR="005B2DB1" w:rsidRDefault="005B2DB1" w:rsidP="00A46D40">
      <w:pPr>
        <w:pStyle w:val="ListBullet"/>
        <w:numPr>
          <w:ilvl w:val="0"/>
          <w:numId w:val="0"/>
        </w:numPr>
      </w:pPr>
      <w:r>
        <w:t>In these cases, there is no relationship between the relative amounts of money paid and:</w:t>
      </w:r>
    </w:p>
    <w:p w:rsidR="005B2DB1" w:rsidRPr="005D6CD3" w:rsidRDefault="005B2DB1" w:rsidP="005D6CD3">
      <w:pPr>
        <w:pStyle w:val="ListBullet"/>
      </w:pPr>
      <w:r>
        <w:t xml:space="preserve">the </w:t>
      </w:r>
      <w:r w:rsidRPr="005D6CD3">
        <w:t>likely reduction in traffic accidents and associated property damage and injury/death (in the case of the traffic blackspots), or</w:t>
      </w:r>
    </w:p>
    <w:p w:rsidR="005D6CD3" w:rsidRDefault="005B2DB1" w:rsidP="005D6CD3">
      <w:pPr>
        <w:pStyle w:val="ListBullet"/>
      </w:pPr>
      <w:r w:rsidRPr="005D6CD3">
        <w:t xml:space="preserve">the </w:t>
      </w:r>
      <w:r>
        <w:t xml:space="preserve">risk of fires and unplanned outages resulting from </w:t>
      </w:r>
      <w:r w:rsidR="005D6CD3">
        <w:t>trees contacting or bringing down powerlines.</w:t>
      </w:r>
    </w:p>
    <w:p w:rsidR="005D6CD3" w:rsidRDefault="005D6CD3" w:rsidP="00A46D40">
      <w:pPr>
        <w:pStyle w:val="ListBullet"/>
        <w:numPr>
          <w:ilvl w:val="0"/>
          <w:numId w:val="0"/>
        </w:numPr>
      </w:pPr>
      <w:r>
        <w:t xml:space="preserve">In each of these cases, the consumer is being asked to make a choice on either a best guess or emotional basis.  The analysis will provide a result, but it will not </w:t>
      </w:r>
      <w:r w:rsidR="006F2A58">
        <w:t xml:space="preserve">necessarily </w:t>
      </w:r>
      <w:r>
        <w:t>be the result of a</w:t>
      </w:r>
      <w:r w:rsidR="006F2A58">
        <w:t xml:space="preserve"> particularly well-</w:t>
      </w:r>
      <w:r>
        <w:t xml:space="preserve">informed </w:t>
      </w:r>
      <w:r w:rsidR="006F2A58">
        <w:t>decision</w:t>
      </w:r>
      <w:r>
        <w:t>.</w:t>
      </w:r>
    </w:p>
    <w:p w:rsidR="007C4853" w:rsidRDefault="005D6CD3" w:rsidP="00A46D40">
      <w:pPr>
        <w:pStyle w:val="ListBullet"/>
        <w:numPr>
          <w:ilvl w:val="0"/>
          <w:numId w:val="0"/>
        </w:numPr>
      </w:pPr>
      <w:r>
        <w:t xml:space="preserve">The exception to this problem is the consideration of undergrounding powerlines to improve visual amenity.  In this case, as there is no quantitative measure of improvement in visual amenity, the choice options are simply asking customers how much they would be willing to spend.  </w:t>
      </w:r>
    </w:p>
    <w:p w:rsidR="00A46D40" w:rsidRDefault="005D6CD3" w:rsidP="00A46D40">
      <w:pPr>
        <w:pStyle w:val="ListBullet"/>
        <w:numPr>
          <w:ilvl w:val="0"/>
          <w:numId w:val="0"/>
        </w:numPr>
      </w:pPr>
      <w:r>
        <w:t xml:space="preserve">In the survey, however, this service area was part of the bundle for NBFRAs that also included tree trimming and the </w:t>
      </w:r>
      <w:r w:rsidRPr="005B2DB1">
        <w:t>removal and replacement of inappropriate vegetation</w:t>
      </w:r>
      <w:r>
        <w:t>.  While those services have some level of visual amenity associated with them (particularly the frequency of tree trimming)</w:t>
      </w:r>
      <w:r w:rsidR="006F2A58">
        <w:t>,</w:t>
      </w:r>
      <w:r>
        <w:t xml:space="preserve"> having to choose between options that mix strictly visual amenity improvements with o</w:t>
      </w:r>
      <w:r w:rsidR="007C4853">
        <w:t>thers</w:t>
      </w:r>
      <w:r>
        <w:t xml:space="preserve"> that are primarily safety and reliability related </w:t>
      </w:r>
      <w:r w:rsidR="007C4853">
        <w:t>again entails the problem of not including a measure by which the respondent can assess the relative improvement in an outcome based on a change in service levels and price</w:t>
      </w:r>
      <w:r>
        <w:t>.</w:t>
      </w:r>
    </w:p>
    <w:p w:rsidR="00533F1C" w:rsidRDefault="00533F1C" w:rsidP="00533F1C">
      <w:pPr>
        <w:pStyle w:val="Heading4"/>
      </w:pPr>
      <w:r>
        <w:t>Implementation</w:t>
      </w:r>
    </w:p>
    <w:p w:rsidR="008416A8" w:rsidRDefault="008416A8" w:rsidP="008416A8">
      <w:pPr>
        <w:pStyle w:val="BodyText"/>
      </w:pPr>
      <w:r>
        <w:t>The following aspects of how the survey was implemented were entirely in accordance with standard practice:</w:t>
      </w:r>
    </w:p>
    <w:p w:rsidR="00632175" w:rsidRDefault="008416A8" w:rsidP="002F0FFB">
      <w:pPr>
        <w:pStyle w:val="ListBullet"/>
        <w:tabs>
          <w:tab w:val="clear" w:pos="360"/>
        </w:tabs>
        <w:ind w:left="426" w:hanging="426"/>
        <w:rPr>
          <w:lang w:eastAsia="en-NZ"/>
        </w:rPr>
      </w:pPr>
      <w:r>
        <w:t xml:space="preserve">Sample size -- </w:t>
      </w:r>
      <w:r>
        <w:rPr>
          <w:lang w:eastAsia="en-NZ"/>
        </w:rPr>
        <w:t xml:space="preserve">The survey was launched on the 17 January 2014 and a sample of 895 electricity customers was achieved </w:t>
      </w:r>
      <w:r w:rsidRPr="008416A8">
        <w:rPr>
          <w:lang w:eastAsia="en-NZ"/>
        </w:rPr>
        <w:t xml:space="preserve">by 17 February 2014. </w:t>
      </w:r>
      <w:r w:rsidR="00632175">
        <w:rPr>
          <w:lang w:eastAsia="en-NZ"/>
        </w:rPr>
        <w:t xml:space="preserve"> The WTP study did not provide information on the statistical validity </w:t>
      </w:r>
      <w:r w:rsidR="007C4853">
        <w:rPr>
          <w:lang w:eastAsia="en-NZ"/>
        </w:rPr>
        <w:t xml:space="preserve">of either the sample or the survey results.  However, the sample size </w:t>
      </w:r>
      <w:r w:rsidR="00632175">
        <w:rPr>
          <w:lang w:eastAsia="en-NZ"/>
        </w:rPr>
        <w:t xml:space="preserve">is likely to </w:t>
      </w:r>
      <w:r w:rsidR="007C4853">
        <w:rPr>
          <w:lang w:eastAsia="en-NZ"/>
        </w:rPr>
        <w:t xml:space="preserve">provide results that provide results at acceptable levels of statistical validity for </w:t>
      </w:r>
      <w:r w:rsidR="00632175">
        <w:rPr>
          <w:lang w:eastAsia="en-NZ"/>
        </w:rPr>
        <w:t xml:space="preserve">the overall SAPN </w:t>
      </w:r>
      <w:r w:rsidR="007C4853">
        <w:rPr>
          <w:lang w:eastAsia="en-NZ"/>
        </w:rPr>
        <w:t>customer base</w:t>
      </w:r>
      <w:r w:rsidR="00632175">
        <w:rPr>
          <w:lang w:eastAsia="en-NZ"/>
        </w:rPr>
        <w:t>.</w:t>
      </w:r>
    </w:p>
    <w:p w:rsidR="00632175" w:rsidRDefault="00632175" w:rsidP="002F0FFB">
      <w:pPr>
        <w:pStyle w:val="ListBullet1Body"/>
        <w:rPr>
          <w:lang w:eastAsia="en-NZ"/>
        </w:rPr>
      </w:pPr>
      <w:r>
        <w:rPr>
          <w:lang w:eastAsia="en-NZ"/>
        </w:rPr>
        <w:lastRenderedPageBreak/>
        <w:t>Participants represented all ESCOSA reliability regions, though the samples in a few regions were very small making it impossible to draw statistically valid conclusions for those regions.  This is not seen as a major flaw, but could have been overcome with enforced quotas in recruitment.</w:t>
      </w:r>
    </w:p>
    <w:p w:rsidR="002F0FFB" w:rsidRPr="002F0FFB" w:rsidRDefault="002F0FFB" w:rsidP="002F0FFB">
      <w:pPr>
        <w:pStyle w:val="ListBullet"/>
        <w:tabs>
          <w:tab w:val="clear" w:pos="360"/>
        </w:tabs>
        <w:ind w:left="426" w:hanging="426"/>
        <w:rPr>
          <w:rFonts w:cs="Microsoft Sans Serif"/>
        </w:rPr>
      </w:pPr>
      <w:r w:rsidRPr="002F0FFB">
        <w:rPr>
          <w:rFonts w:cs="Microsoft Sans Serif"/>
        </w:rPr>
        <w:t>Sampling frame --  A combination of t</w:t>
      </w:r>
      <w:r w:rsidRPr="002F0FFB">
        <w:rPr>
          <w:rFonts w:cs="Microsoft Sans Serif"/>
          <w:lang w:eastAsia="en-NZ"/>
        </w:rPr>
        <w:t>wo modes of recruitment were used in order to obtain a usable sample of SAPN customers in a timely manner:</w:t>
      </w:r>
    </w:p>
    <w:p w:rsidR="002F0FFB" w:rsidRPr="002F0FFB" w:rsidRDefault="002F0FFB" w:rsidP="002F0FFB">
      <w:pPr>
        <w:pStyle w:val="ListBullet2"/>
        <w:rPr>
          <w:rFonts w:cs="Microsoft Sans Serif"/>
        </w:rPr>
      </w:pPr>
      <w:r w:rsidRPr="002F0FFB">
        <w:rPr>
          <w:rFonts w:cs="Microsoft Sans Serif"/>
          <w:lang w:eastAsia="en-NZ"/>
        </w:rPr>
        <w:t xml:space="preserve">Telephone recruitment via random number dialling, subject to known South Australian telephone number prefixes, and </w:t>
      </w:r>
    </w:p>
    <w:p w:rsidR="0055332E" w:rsidRPr="0055332E" w:rsidRDefault="002F0FFB" w:rsidP="0055332E">
      <w:pPr>
        <w:pStyle w:val="ListBullet2"/>
        <w:rPr>
          <w:lang w:eastAsia="en-NZ"/>
        </w:rPr>
      </w:pPr>
      <w:r w:rsidRPr="002F0FFB">
        <w:rPr>
          <w:rFonts w:cs="Microsoft Sans Serif"/>
          <w:lang w:eastAsia="en-NZ"/>
        </w:rPr>
        <w:t>Online panel</w:t>
      </w:r>
      <w:r w:rsidR="0055332E">
        <w:rPr>
          <w:rFonts w:cs="Microsoft Sans Serif"/>
          <w:lang w:eastAsia="en-NZ"/>
        </w:rPr>
        <w:t xml:space="preserve">s.  </w:t>
      </w:r>
    </w:p>
    <w:p w:rsidR="0055332E" w:rsidRDefault="0055332E" w:rsidP="00D823EA">
      <w:pPr>
        <w:pStyle w:val="ListBullet1Body"/>
        <w:rPr>
          <w:lang w:eastAsia="en-NZ"/>
        </w:rPr>
      </w:pPr>
      <w:r>
        <w:rPr>
          <w:lang w:eastAsia="en-NZ"/>
        </w:rPr>
        <w:t xml:space="preserve">The percentage of the sample that was derived from the two approaches was not provided in NTF’s </w:t>
      </w:r>
      <w:r w:rsidRPr="004E58BD">
        <w:rPr>
          <w:rFonts w:cs="Microsoft Sans Serif"/>
          <w:i/>
          <w:snapToGrid w:val="0"/>
          <w:color w:val="000000"/>
        </w:rPr>
        <w:t>SA Power Networks Targeted Willingness to Pay Research Findings</w:t>
      </w:r>
      <w:r>
        <w:rPr>
          <w:lang w:eastAsia="en-NZ"/>
        </w:rPr>
        <w:t xml:space="preserve"> report.</w:t>
      </w:r>
    </w:p>
    <w:p w:rsidR="0055332E" w:rsidRDefault="0055332E" w:rsidP="0055332E">
      <w:pPr>
        <w:pStyle w:val="BodyText"/>
      </w:pPr>
      <w:r>
        <w:t>Areas in which the implementation of the survey could have been improved include:</w:t>
      </w:r>
    </w:p>
    <w:p w:rsidR="0055332E" w:rsidRPr="00BF335C" w:rsidRDefault="0055332E" w:rsidP="00BF335C">
      <w:pPr>
        <w:pStyle w:val="ListBullet"/>
      </w:pPr>
      <w:r w:rsidRPr="00BF335C">
        <w:t>Inclusion of statistics on response rates – NTF did not report statistics on the response and abandonment rates of the survey, which would have been useful</w:t>
      </w:r>
      <w:r w:rsidR="002779A8" w:rsidRPr="00D778DD">
        <w:t xml:space="preserve"> given that the survey included 13 choice sets in the WTP portion of the survey as</w:t>
      </w:r>
      <w:r w:rsidR="002779A8" w:rsidRPr="00BF335C">
        <w:t xml:space="preserve"> well questions on respondents’ current attitudes and behaviours, satisfaction with the network, perceptions and level of exposure to SA Power Networks, and demographics.  </w:t>
      </w:r>
      <w:r w:rsidRPr="00BF335C">
        <w:t>However, as noted above, the achieved sample was adequate in terms of size and therefore the lack of these statistics is not a significant concern.</w:t>
      </w:r>
    </w:p>
    <w:p w:rsidR="00DB567E" w:rsidRDefault="0055332E" w:rsidP="00BF335C">
      <w:pPr>
        <w:pStyle w:val="ListBullet"/>
      </w:pPr>
      <w:r w:rsidRPr="00BF335C">
        <w:t xml:space="preserve">Sample quotas – As noted above, the number of customers from </w:t>
      </w:r>
      <w:r w:rsidR="00DB567E" w:rsidRPr="00BF335C">
        <w:t xml:space="preserve">three ESCOSA reliability </w:t>
      </w:r>
      <w:r w:rsidRPr="00BF335C">
        <w:t xml:space="preserve">regions was too small to allow statistically valid conclusions to be drawn about those areas.  </w:t>
      </w:r>
      <w:r w:rsidR="00DB567E" w:rsidRPr="00BF335C">
        <w:t>Some other areas – and types of customers (particularly customers with solar systems) - were over-represented in the sample.  Weights were able to be applied to adjust the sample composi</w:t>
      </w:r>
      <w:r w:rsidR="00DB567E">
        <w:t xml:space="preserve">tion to the composition of the overall customer base in all cases </w:t>
      </w:r>
      <w:r w:rsidR="002779A8">
        <w:t xml:space="preserve">(age, gender and solar usage) </w:t>
      </w:r>
      <w:r w:rsidR="00DB567E">
        <w:t>except that of regional representation.  The authors of the WTP study did not comment on wheth</w:t>
      </w:r>
      <w:r w:rsidR="002779A8">
        <w:t>er or the extent to which the under-representation of those three ESCOSA reliability regions might impact the statistical validity of the study results.</w:t>
      </w:r>
    </w:p>
    <w:p w:rsidR="00533F1C" w:rsidRDefault="00533F1C" w:rsidP="00533F1C">
      <w:pPr>
        <w:pStyle w:val="Heading4"/>
      </w:pPr>
      <w:r>
        <w:t>Survey scope and content</w:t>
      </w:r>
    </w:p>
    <w:p w:rsidR="00244127" w:rsidRDefault="00244127" w:rsidP="00244127">
      <w:pPr>
        <w:pStyle w:val="BodyText"/>
      </w:pPr>
      <w:r>
        <w:t>The genesis of the WTP study makes it clear that its results cannot be construed as providing information on anything other than customers’ willingness to pay for different levels of undergrounding and vegetation management in three specific areas:</w:t>
      </w:r>
    </w:p>
    <w:p w:rsidR="00244127" w:rsidRDefault="00244127" w:rsidP="00244127">
      <w:pPr>
        <w:pStyle w:val="ListBullet"/>
      </w:pPr>
      <w:r>
        <w:t>High Bushfire Risk Areas and Bushfire Risk Areas</w:t>
      </w:r>
    </w:p>
    <w:p w:rsidR="00244127" w:rsidRDefault="00244127" w:rsidP="00244127">
      <w:pPr>
        <w:pStyle w:val="ListBullet"/>
      </w:pPr>
      <w:r>
        <w:t>Non-Bushfire Risk Areas</w:t>
      </w:r>
    </w:p>
    <w:p w:rsidR="00244127" w:rsidRDefault="00244127" w:rsidP="00244127">
      <w:pPr>
        <w:pStyle w:val="ListBullet"/>
      </w:pPr>
      <w:r>
        <w:t>Traffic Blackspots (undergrounding only)</w:t>
      </w:r>
      <w:r w:rsidR="005C40AD">
        <w:rPr>
          <w:rStyle w:val="FootnoteReference"/>
        </w:rPr>
        <w:footnoteReference w:id="9"/>
      </w:r>
      <w:r>
        <w:t>.</w:t>
      </w:r>
    </w:p>
    <w:p w:rsidR="00244127" w:rsidRDefault="00244127" w:rsidP="00244127">
      <w:pPr>
        <w:pStyle w:val="BodyText"/>
      </w:pPr>
      <w:r>
        <w:t>No conclusions can be drawn regarding whether customers would prefer SAPN to undertake other activities instead of activities related to undergrounding and vegetation management, and no conclusions can be drawn regarding consumers’ willingness to pay for other services.</w:t>
      </w:r>
    </w:p>
    <w:p w:rsidR="00BF335C" w:rsidRDefault="00BF335C" w:rsidP="00244127">
      <w:pPr>
        <w:pStyle w:val="BodyText"/>
      </w:pPr>
      <w:r>
        <w:lastRenderedPageBreak/>
        <w:t xml:space="preserve">Furthermore, the WTP study did not ascertain whether customers who expressed a willingness to pay for at least one option in more than one of the safety and reliability initiatives would actually be willing to pay for both (or all three) of the safety and reliability initiatives – which was essentially assumed in SAPN’s conclusion from the study. </w:t>
      </w:r>
    </w:p>
    <w:p w:rsidR="00244127" w:rsidRDefault="00244127" w:rsidP="00244127">
      <w:pPr>
        <w:pStyle w:val="BodyText"/>
      </w:pPr>
      <w:r>
        <w:t>While the decision to test consumers’ willingness to pay for these services is not illogical, there would seem to be equally valid reasons to widen the focus of the willingness to pay study.</w:t>
      </w:r>
    </w:p>
    <w:p w:rsidR="00244127" w:rsidRDefault="00244127" w:rsidP="00244127">
      <w:pPr>
        <w:pStyle w:val="BodyText"/>
      </w:pPr>
      <w:r>
        <w:t xml:space="preserve">For example, 13 key ‘insights’ about what customers want from SAPN that were identified in the Stage 1 workshops and online survey (see </w:t>
      </w:r>
      <w:r>
        <w:fldChar w:fldCharType="begin"/>
      </w:r>
      <w:r>
        <w:instrText xml:space="preserve"> REF _Ref416323053 \h </w:instrText>
      </w:r>
      <w:r>
        <w:fldChar w:fldCharType="separate"/>
      </w:r>
      <w:r w:rsidR="00F55880">
        <w:t xml:space="preserve">Figure </w:t>
      </w:r>
      <w:r w:rsidR="00F55880">
        <w:rPr>
          <w:noProof/>
        </w:rPr>
        <w:t>2</w:t>
      </w:r>
      <w:r>
        <w:fldChar w:fldCharType="end"/>
      </w:r>
      <w:r>
        <w:t xml:space="preserve"> below) suggest that a number of other areas are likely to have offered fertile ground for </w:t>
      </w:r>
      <w:r w:rsidR="00BF335C">
        <w:t xml:space="preserve">areas in which SAPN’s service could be improved </w:t>
      </w:r>
      <w:r>
        <w:t>to better meet customers’ expectations and needs.</w:t>
      </w:r>
    </w:p>
    <w:p w:rsidR="00244127" w:rsidRDefault="00244127" w:rsidP="00244127">
      <w:pPr>
        <w:pStyle w:val="Caption"/>
      </w:pPr>
      <w:bookmarkStart w:id="21" w:name="_Ref416323053"/>
      <w:bookmarkStart w:id="22" w:name="_Toc416971033"/>
      <w:r>
        <w:t xml:space="preserve">Figure </w:t>
      </w:r>
      <w:r>
        <w:fldChar w:fldCharType="begin"/>
      </w:r>
      <w:r>
        <w:instrText xml:space="preserve"> SEQ Figure \* ARABIC </w:instrText>
      </w:r>
      <w:r>
        <w:fldChar w:fldCharType="separate"/>
      </w:r>
      <w:r w:rsidR="00F55880">
        <w:rPr>
          <w:noProof/>
        </w:rPr>
        <w:t>2</w:t>
      </w:r>
      <w:r>
        <w:fldChar w:fldCharType="end"/>
      </w:r>
      <w:bookmarkEnd w:id="21"/>
      <w:r>
        <w:t>: The 13 key ‘insights’ identified in the Stage 1 research</w:t>
      </w:r>
      <w:bookmarkEnd w:id="22"/>
    </w:p>
    <w:p w:rsidR="00244127" w:rsidRDefault="00244127" w:rsidP="00244127">
      <w:pPr>
        <w:pStyle w:val="BodyText"/>
        <w:ind w:left="-284"/>
      </w:pPr>
      <w:r w:rsidRPr="00EA0848">
        <w:rPr>
          <w:noProof/>
          <w:lang w:eastAsia="en-AU"/>
        </w:rPr>
        <w:drawing>
          <wp:inline distT="0" distB="0" distL="0" distR="0" wp14:anchorId="5617373E" wp14:editId="53AF2A3A">
            <wp:extent cx="5733535" cy="617752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714" cy="6188487"/>
                    </a:xfrm>
                    <a:prstGeom prst="rect">
                      <a:avLst/>
                    </a:prstGeom>
                    <a:noFill/>
                    <a:ln>
                      <a:noFill/>
                    </a:ln>
                  </pic:spPr>
                </pic:pic>
              </a:graphicData>
            </a:graphic>
          </wp:inline>
        </w:drawing>
      </w:r>
    </w:p>
    <w:p w:rsidR="00244127" w:rsidRDefault="00244127" w:rsidP="00244127">
      <w:pPr>
        <w:pStyle w:val="Source"/>
      </w:pPr>
      <w:r>
        <w:t xml:space="preserve">Source: SAPN, </w:t>
      </w:r>
      <w:r w:rsidRPr="004F0533">
        <w:rPr>
          <w:i/>
        </w:rPr>
        <w:t>Regulatory Proposal</w:t>
      </w:r>
      <w:r>
        <w:t>, October 2014, p 63.</w:t>
      </w:r>
    </w:p>
    <w:p w:rsidR="00244127" w:rsidRDefault="00244127" w:rsidP="00244127">
      <w:pPr>
        <w:pStyle w:val="BodyText"/>
      </w:pPr>
      <w:r>
        <w:lastRenderedPageBreak/>
        <w:t xml:space="preserve">This is further borne out by findings within the WTP research itself which identified the factors that contribute to customer satisfaction and the relative importance of each, as shown in </w:t>
      </w:r>
      <w:r>
        <w:fldChar w:fldCharType="begin"/>
      </w:r>
      <w:r>
        <w:instrText xml:space="preserve"> REF _Ref416323309 \h </w:instrText>
      </w:r>
      <w:r>
        <w:fldChar w:fldCharType="separate"/>
      </w:r>
      <w:r w:rsidR="00F55880">
        <w:t xml:space="preserve">Figure </w:t>
      </w:r>
      <w:r w:rsidR="00F55880">
        <w:rPr>
          <w:noProof/>
        </w:rPr>
        <w:t>3</w:t>
      </w:r>
      <w:r>
        <w:fldChar w:fldCharType="end"/>
      </w:r>
      <w:r>
        <w:t xml:space="preserve"> below.</w:t>
      </w:r>
    </w:p>
    <w:p w:rsidR="00244127" w:rsidRDefault="00244127" w:rsidP="00244127">
      <w:pPr>
        <w:pStyle w:val="Caption"/>
      </w:pPr>
      <w:bookmarkStart w:id="23" w:name="_Ref416323309"/>
      <w:bookmarkStart w:id="24" w:name="_Toc416971034"/>
      <w:r>
        <w:t xml:space="preserve">Figure </w:t>
      </w:r>
      <w:r>
        <w:fldChar w:fldCharType="begin"/>
      </w:r>
      <w:r>
        <w:instrText xml:space="preserve"> SEQ Figure \* ARABIC </w:instrText>
      </w:r>
      <w:r>
        <w:fldChar w:fldCharType="separate"/>
      </w:r>
      <w:r w:rsidR="00F55880">
        <w:rPr>
          <w:noProof/>
        </w:rPr>
        <w:t>3</w:t>
      </w:r>
      <w:r>
        <w:fldChar w:fldCharType="end"/>
      </w:r>
      <w:bookmarkEnd w:id="23"/>
      <w:r>
        <w:t>: Contribution of the various drivers of SAPN customer satisfaction</w:t>
      </w:r>
      <w:bookmarkEnd w:id="24"/>
    </w:p>
    <w:p w:rsidR="00244127" w:rsidRDefault="00244127" w:rsidP="00244127">
      <w:pPr>
        <w:pStyle w:val="BodyText"/>
      </w:pPr>
      <w:r w:rsidRPr="004F0533">
        <w:rPr>
          <w:noProof/>
          <w:lang w:eastAsia="en-AU"/>
        </w:rPr>
        <w:drawing>
          <wp:inline distT="0" distB="0" distL="0" distR="0" wp14:anchorId="01F3D1B5" wp14:editId="01C0D00B">
            <wp:extent cx="5364480" cy="353070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530708"/>
                    </a:xfrm>
                    <a:prstGeom prst="rect">
                      <a:avLst/>
                    </a:prstGeom>
                    <a:noFill/>
                    <a:ln>
                      <a:noFill/>
                    </a:ln>
                  </pic:spPr>
                </pic:pic>
              </a:graphicData>
            </a:graphic>
          </wp:inline>
        </w:drawing>
      </w:r>
    </w:p>
    <w:p w:rsidR="004B0722" w:rsidRDefault="00244127" w:rsidP="004B0722">
      <w:pPr>
        <w:pStyle w:val="Source"/>
        <w:ind w:left="2552"/>
      </w:pPr>
      <w:r>
        <w:t xml:space="preserve">Source: NTF Group, </w:t>
      </w:r>
      <w:r w:rsidRPr="00244127">
        <w:rPr>
          <w:i/>
        </w:rPr>
        <w:t>SAPN Targeted Willingness to Pay Research – Research Findings</w:t>
      </w:r>
      <w:r>
        <w:t>, July 2014, p 13.</w:t>
      </w:r>
    </w:p>
    <w:p w:rsidR="004B0722" w:rsidRDefault="004B0722" w:rsidP="004B0722">
      <w:pPr>
        <w:pStyle w:val="BodyText"/>
      </w:pPr>
      <w:r>
        <w:t xml:space="preserve">It is worth </w:t>
      </w:r>
      <w:r w:rsidRPr="004B0722">
        <w:t xml:space="preserve">noting that while vegetation management </w:t>
      </w:r>
      <w:r w:rsidR="00302649">
        <w:t xml:space="preserve">and undergrounding </w:t>
      </w:r>
      <w:r>
        <w:t xml:space="preserve">can have an impact on the frequency of </w:t>
      </w:r>
      <w:r w:rsidRPr="004B0722">
        <w:t>interruption</w:t>
      </w:r>
      <w:r>
        <w:t>s, which is the largest driver of customer satisfaction noted above, undergrounding in and of itself is not a strong driver of satisfaction and there are several other material drivers of satisfaction that are unlikely to be affected by the service areas considered in the WTP study.</w:t>
      </w:r>
    </w:p>
    <w:p w:rsidR="007916A4" w:rsidRDefault="004B0722" w:rsidP="004B0722">
      <w:pPr>
        <w:pStyle w:val="BodyText"/>
      </w:pPr>
      <w:r>
        <w:t xml:space="preserve">This is not a reason to say that the service areas considered in the WTP study should not be candidates for implementation, but </w:t>
      </w:r>
      <w:r w:rsidR="007916A4">
        <w:t>it does raise the question of how SAPN decided on the relative level of resource to devote to these areas as compared to other areas which may provide greater impacts in terms of customer satisfaction.</w:t>
      </w:r>
    </w:p>
    <w:p w:rsidR="00533F1C" w:rsidRDefault="004B0722" w:rsidP="00533F1C">
      <w:pPr>
        <w:pStyle w:val="Heading2"/>
        <w:numPr>
          <w:ilvl w:val="1"/>
          <w:numId w:val="2"/>
        </w:numPr>
        <w:ind w:left="0" w:hanging="720"/>
      </w:pPr>
      <w:bookmarkStart w:id="25" w:name="_Toc416165778"/>
      <w:bookmarkStart w:id="26" w:name="_Toc416970981"/>
      <w:r>
        <w:t>Accuracy and s</w:t>
      </w:r>
      <w:r w:rsidR="00533F1C">
        <w:t>trength of conclusions drawn</w:t>
      </w:r>
      <w:bookmarkEnd w:id="25"/>
      <w:bookmarkEnd w:id="26"/>
    </w:p>
    <w:p w:rsidR="00372210" w:rsidRDefault="00372210" w:rsidP="00C07958">
      <w:pPr>
        <w:pStyle w:val="BodyText"/>
        <w:rPr>
          <w:lang w:eastAsia="en-NZ"/>
        </w:rPr>
      </w:pPr>
      <w:r>
        <w:rPr>
          <w:lang w:eastAsia="en-NZ"/>
        </w:rPr>
        <w:t xml:space="preserve">SAPN, on the basis of the WTP results, stated that </w:t>
      </w:r>
    </w:p>
    <w:p w:rsidR="00372210" w:rsidRDefault="00372210" w:rsidP="00372210">
      <w:pPr>
        <w:pStyle w:val="Quotationsblue"/>
        <w:rPr>
          <w:lang w:eastAsia="en-NZ"/>
        </w:rPr>
      </w:pPr>
      <w:r>
        <w:rPr>
          <w:lang w:eastAsia="en-NZ"/>
        </w:rPr>
        <w:t xml:space="preserve">Community consultation confirmed majority support and Willingness to Pay for the following service enhancements: </w:t>
      </w:r>
    </w:p>
    <w:p w:rsidR="00372210" w:rsidRDefault="00372210" w:rsidP="00372210">
      <w:pPr>
        <w:pStyle w:val="ListBullet"/>
        <w:tabs>
          <w:tab w:val="clear" w:pos="360"/>
        </w:tabs>
        <w:ind w:left="851"/>
        <w:rPr>
          <w:lang w:eastAsia="en-NZ"/>
        </w:rPr>
      </w:pPr>
      <w:r w:rsidRPr="00372210">
        <w:rPr>
          <w:i/>
          <w:iCs/>
          <w:color w:val="09869B"/>
          <w:sz w:val="18"/>
          <w:lang w:eastAsia="en-NZ"/>
        </w:rPr>
        <w:t>implementing a program for 2.5% removal and replacement of vegetation in NBFRA, HBFRA and BFRA;</w:t>
      </w:r>
    </w:p>
    <w:p w:rsidR="00372210" w:rsidRDefault="00372210" w:rsidP="00372210">
      <w:pPr>
        <w:pStyle w:val="ListBullet"/>
        <w:tabs>
          <w:tab w:val="clear" w:pos="360"/>
        </w:tabs>
        <w:ind w:left="851"/>
        <w:rPr>
          <w:lang w:eastAsia="en-NZ"/>
        </w:rPr>
      </w:pPr>
      <w:r w:rsidRPr="00372210">
        <w:rPr>
          <w:i/>
          <w:iCs/>
          <w:color w:val="09869B"/>
          <w:sz w:val="18"/>
          <w:lang w:eastAsia="en-NZ"/>
        </w:rPr>
        <w:t>move from a 3 year to a 2 year trimming cycle for vegetation near power lines in NBFRA;</w:t>
      </w:r>
    </w:p>
    <w:p w:rsidR="00372210" w:rsidRDefault="00372210" w:rsidP="00372210">
      <w:pPr>
        <w:pStyle w:val="ListBullet"/>
        <w:tabs>
          <w:tab w:val="clear" w:pos="360"/>
        </w:tabs>
        <w:ind w:left="851"/>
        <w:rPr>
          <w:lang w:eastAsia="en-NZ"/>
        </w:rPr>
      </w:pPr>
      <w:r w:rsidRPr="00372210">
        <w:rPr>
          <w:i/>
          <w:iCs/>
          <w:color w:val="09869B"/>
          <w:sz w:val="18"/>
          <w:lang w:eastAsia="en-NZ"/>
        </w:rPr>
        <w:t>undergrounding up to 135kms of power lines in HBFRA; and</w:t>
      </w:r>
    </w:p>
    <w:p w:rsidR="00372210" w:rsidRDefault="00372210" w:rsidP="00372210">
      <w:pPr>
        <w:pStyle w:val="ListBullet"/>
        <w:tabs>
          <w:tab w:val="clear" w:pos="360"/>
        </w:tabs>
        <w:ind w:left="851"/>
        <w:rPr>
          <w:lang w:eastAsia="en-NZ"/>
        </w:rPr>
      </w:pPr>
      <w:r w:rsidRPr="00372210">
        <w:rPr>
          <w:i/>
          <w:iCs/>
          <w:color w:val="09869B"/>
          <w:sz w:val="18"/>
          <w:lang w:eastAsia="en-NZ"/>
        </w:rPr>
        <w:lastRenderedPageBreak/>
        <w:t xml:space="preserve">undergrounding power lines around 20 traffic black spots in NBFRA. </w:t>
      </w:r>
      <w:r w:rsidRPr="00372210">
        <w:rPr>
          <w:rStyle w:val="FootnoteReference"/>
          <w:iCs/>
          <w:lang w:eastAsia="en-NZ"/>
        </w:rPr>
        <w:footnoteReference w:id="10"/>
      </w:r>
    </w:p>
    <w:p w:rsidR="00372210" w:rsidRDefault="00372210" w:rsidP="00C07958">
      <w:pPr>
        <w:pStyle w:val="BodyText"/>
        <w:rPr>
          <w:lang w:eastAsia="en-NZ"/>
        </w:rPr>
      </w:pPr>
      <w:r>
        <w:rPr>
          <w:lang w:eastAsia="en-NZ"/>
        </w:rPr>
        <w:t>These service bundles were those identified in the NTF WTP research as the best option in each case.</w:t>
      </w:r>
      <w:r w:rsidR="001F45F9">
        <w:rPr>
          <w:lang w:eastAsia="en-NZ"/>
        </w:rPr>
        <w:t xml:space="preserve">  NTF also provided the following description of the criterion it used to identify the level at which WTP results should be seen as justifying that a particular initiative should be undertaken:</w:t>
      </w:r>
    </w:p>
    <w:p w:rsidR="00372210" w:rsidRDefault="00372210" w:rsidP="00372210">
      <w:pPr>
        <w:pStyle w:val="Quotationsblue"/>
        <w:rPr>
          <w:lang w:eastAsia="en-NZ"/>
        </w:rPr>
      </w:pPr>
      <w:r>
        <w:rPr>
          <w:lang w:eastAsia="en-NZ"/>
        </w:rPr>
        <w:t>In WTP research there are no accepted deterministic rules governing the level of WTP support that mean a given proposal has community endorsement. Service improvements receiving greater than 50% WTP represent majority customer support. To use an analogy from Federal Elections or Referendums, a political party or proposal garnering a 55% majority (in two-party-preferred terms) is deemed to have attracted a significant majority of community support.</w:t>
      </w:r>
    </w:p>
    <w:p w:rsidR="00372210" w:rsidRDefault="00372210" w:rsidP="001F45F9">
      <w:pPr>
        <w:pStyle w:val="Quotationsblue"/>
        <w:rPr>
          <w:lang w:eastAsia="en-NZ"/>
        </w:rPr>
      </w:pPr>
      <w:r>
        <w:rPr>
          <w:lang w:eastAsia="en-NZ"/>
        </w:rPr>
        <w:t>Therefore, in NTF’s opinion SA Power Networks has an evidence based case for improvement proposals where 55% of the community or more are willing to fund the proposal. This case is reinforced where this threshold is achieved amongst all key community segments, particularly hardship customers. In this report, 55% acceptance has been used as the threshold that determines support for the proposal.</w:t>
      </w:r>
      <w:r w:rsidR="001F45F9" w:rsidRPr="001F45F9">
        <w:rPr>
          <w:rStyle w:val="FootnoteReference"/>
          <w:i w:val="0"/>
          <w:color w:val="auto"/>
          <w:lang w:eastAsia="en-NZ"/>
        </w:rPr>
        <w:footnoteReference w:id="11"/>
      </w:r>
      <w:r>
        <w:rPr>
          <w:lang w:eastAsia="en-NZ"/>
        </w:rPr>
        <w:t xml:space="preserve"> </w:t>
      </w:r>
    </w:p>
    <w:p w:rsidR="001F45F9" w:rsidRDefault="001F45F9" w:rsidP="00C07958">
      <w:pPr>
        <w:pStyle w:val="BodyText"/>
        <w:rPr>
          <w:lang w:eastAsia="en-NZ"/>
        </w:rPr>
      </w:pPr>
      <w:r>
        <w:rPr>
          <w:lang w:eastAsia="en-NZ"/>
        </w:rPr>
        <w:t>Using that criterion</w:t>
      </w:r>
      <w:r w:rsidR="00302649">
        <w:rPr>
          <w:lang w:eastAsia="en-NZ"/>
        </w:rPr>
        <w:t>,</w:t>
      </w:r>
      <w:r>
        <w:rPr>
          <w:lang w:eastAsia="en-NZ"/>
        </w:rPr>
        <w:t xml:space="preserve"> </w:t>
      </w:r>
      <w:r w:rsidR="004230EB">
        <w:rPr>
          <w:lang w:eastAsia="en-NZ"/>
        </w:rPr>
        <w:t xml:space="preserve">NTF recommends </w:t>
      </w:r>
      <w:r>
        <w:rPr>
          <w:lang w:eastAsia="en-NZ"/>
        </w:rPr>
        <w:t>reject</w:t>
      </w:r>
      <w:r w:rsidR="004230EB">
        <w:rPr>
          <w:lang w:eastAsia="en-NZ"/>
        </w:rPr>
        <w:t>ing</w:t>
      </w:r>
      <w:r>
        <w:rPr>
          <w:lang w:eastAsia="en-NZ"/>
        </w:rPr>
        <w:t xml:space="preserve"> any service bundle that achieves acceptance by less than 55% of respondents, and prefers service bundles that achieve even higher levels of acceptance.</w:t>
      </w:r>
    </w:p>
    <w:p w:rsidR="001F45F9" w:rsidRDefault="001F45F9" w:rsidP="00C07958">
      <w:pPr>
        <w:pStyle w:val="BodyText"/>
        <w:rPr>
          <w:lang w:eastAsia="en-NZ"/>
        </w:rPr>
      </w:pPr>
      <w:r>
        <w:rPr>
          <w:lang w:eastAsia="en-NZ"/>
        </w:rPr>
        <w:t>Upon review we find the threshold criterion plausible – it is intuitively persuasive.</w:t>
      </w:r>
    </w:p>
    <w:p w:rsidR="00372210" w:rsidRDefault="001F45F9" w:rsidP="00C07958">
      <w:pPr>
        <w:pStyle w:val="BodyText"/>
        <w:rPr>
          <w:lang w:eastAsia="en-NZ"/>
        </w:rPr>
      </w:pPr>
      <w:r>
        <w:rPr>
          <w:lang w:eastAsia="en-NZ"/>
        </w:rPr>
        <w:t xml:space="preserve">However, we do not agree that service bundles that achieve higher acceptance levels are necessarily better than those that achieve lower levels (but </w:t>
      </w:r>
      <w:r w:rsidR="00302649">
        <w:rPr>
          <w:lang w:eastAsia="en-NZ"/>
        </w:rPr>
        <w:t xml:space="preserve">that </w:t>
      </w:r>
      <w:r>
        <w:rPr>
          <w:lang w:eastAsia="en-NZ"/>
        </w:rPr>
        <w:t xml:space="preserve">still exceed the 55% acceptance threshold). </w:t>
      </w:r>
    </w:p>
    <w:p w:rsidR="004230EB" w:rsidRDefault="001F45F9" w:rsidP="00C07958">
      <w:pPr>
        <w:pStyle w:val="BodyText"/>
        <w:rPr>
          <w:lang w:eastAsia="en-NZ"/>
        </w:rPr>
      </w:pPr>
      <w:r>
        <w:rPr>
          <w:lang w:eastAsia="en-NZ"/>
        </w:rPr>
        <w:t xml:space="preserve">Our reason for this is that </w:t>
      </w:r>
      <w:r w:rsidR="004230EB">
        <w:rPr>
          <w:lang w:eastAsia="en-NZ"/>
        </w:rPr>
        <w:t>once the initiative has been deemed to be acceptable</w:t>
      </w:r>
      <w:r w:rsidR="000758A8">
        <w:rPr>
          <w:lang w:eastAsia="en-NZ"/>
        </w:rPr>
        <w:t xml:space="preserve"> by dint of exceeding the 55% acceptance threshold</w:t>
      </w:r>
      <w:r w:rsidR="004230EB">
        <w:rPr>
          <w:lang w:eastAsia="en-NZ"/>
        </w:rPr>
        <w:t>, all customers will be required to bear the additional cost associated with the initiative.  This amounts to an impost on customers who did not choose a particular service bundle by those who were willing to pay more.  And the amount of that impost is the same amount that those who were willing to pay accepted.</w:t>
      </w:r>
    </w:p>
    <w:p w:rsidR="000758A8" w:rsidRDefault="004230EB" w:rsidP="00C07958">
      <w:pPr>
        <w:pStyle w:val="BodyText"/>
        <w:rPr>
          <w:lang w:eastAsia="en-NZ"/>
        </w:rPr>
      </w:pPr>
      <w:r>
        <w:rPr>
          <w:lang w:eastAsia="en-NZ"/>
        </w:rPr>
        <w:t xml:space="preserve">Under the NTF approach, if </w:t>
      </w:r>
      <w:r w:rsidR="000758A8">
        <w:rPr>
          <w:lang w:eastAsia="en-NZ"/>
        </w:rPr>
        <w:t xml:space="preserve">even </w:t>
      </w:r>
      <w:r>
        <w:rPr>
          <w:lang w:eastAsia="en-NZ"/>
        </w:rPr>
        <w:t xml:space="preserve">more customers were willing to pay a yet higher amount (a somewhat counter-intuitive result in its own right), that higher amount would be imposed on all other customers.  </w:t>
      </w:r>
      <w:r w:rsidR="000758A8">
        <w:rPr>
          <w:lang w:eastAsia="en-NZ"/>
        </w:rPr>
        <w:t>This was in fact the case for one of the service areas, and is explored further below.</w:t>
      </w:r>
    </w:p>
    <w:p w:rsidR="000758A8" w:rsidRDefault="000758A8" w:rsidP="00C07958">
      <w:pPr>
        <w:pStyle w:val="BodyText"/>
        <w:rPr>
          <w:lang w:eastAsia="en-NZ"/>
        </w:rPr>
      </w:pPr>
      <w:r>
        <w:rPr>
          <w:lang w:eastAsia="en-NZ"/>
        </w:rPr>
        <w:t xml:space="preserve">Rather, our view is that </w:t>
      </w:r>
      <w:r w:rsidR="00302649">
        <w:rPr>
          <w:lang w:eastAsia="en-NZ"/>
        </w:rPr>
        <w:t xml:space="preserve">it is important to balance </w:t>
      </w:r>
      <w:r>
        <w:rPr>
          <w:lang w:eastAsia="en-NZ"/>
        </w:rPr>
        <w:t xml:space="preserve">the desire among some customers for higher service levels </w:t>
      </w:r>
      <w:r w:rsidR="00302649">
        <w:rPr>
          <w:lang w:eastAsia="en-NZ"/>
        </w:rPr>
        <w:t>with</w:t>
      </w:r>
      <w:r>
        <w:rPr>
          <w:lang w:eastAsia="en-NZ"/>
        </w:rPr>
        <w:t xml:space="preserve"> the amount of cost that desire imposes on other customers who are not willing to pay for the higher level of service.  This </w:t>
      </w:r>
      <w:r w:rsidR="00302649">
        <w:rPr>
          <w:lang w:eastAsia="en-NZ"/>
        </w:rPr>
        <w:t xml:space="preserve">would </w:t>
      </w:r>
      <w:r>
        <w:rPr>
          <w:lang w:eastAsia="en-NZ"/>
        </w:rPr>
        <w:t xml:space="preserve">allow the majority to </w:t>
      </w:r>
      <w:r w:rsidR="00302649">
        <w:rPr>
          <w:lang w:eastAsia="en-NZ"/>
        </w:rPr>
        <w:t>affect the collective outcome</w:t>
      </w:r>
      <w:r>
        <w:rPr>
          <w:lang w:eastAsia="en-NZ"/>
        </w:rPr>
        <w:t xml:space="preserve"> while seeking to minimise the impact of the majority will on others.</w:t>
      </w:r>
    </w:p>
    <w:p w:rsidR="000758A8" w:rsidRDefault="000758A8" w:rsidP="004803E7">
      <w:pPr>
        <w:pStyle w:val="BodyText"/>
        <w:rPr>
          <w:lang w:eastAsia="en-NZ"/>
        </w:rPr>
      </w:pPr>
      <w:r>
        <w:rPr>
          <w:lang w:eastAsia="en-NZ"/>
        </w:rPr>
        <w:t xml:space="preserve">Consider for example, the </w:t>
      </w:r>
      <w:r w:rsidR="00895DEB">
        <w:rPr>
          <w:lang w:eastAsia="en-NZ"/>
        </w:rPr>
        <w:t>results obtained in the NTF WTP study concerning respondents’ willingness to pay for the service bundles presented regarding HBFRAs and BFRAs (which were comprised of varying combinations of the r</w:t>
      </w:r>
      <w:r w:rsidR="00895DEB" w:rsidRPr="004803E7">
        <w:rPr>
          <w:lang w:eastAsia="en-NZ"/>
        </w:rPr>
        <w:t xml:space="preserve">emoval and replacement of inappropriate vegetation and the undergrounding of powerlines in targeted areas), which are shown in </w:t>
      </w:r>
      <w:r w:rsidR="00302649">
        <w:rPr>
          <w:lang w:eastAsia="en-NZ"/>
        </w:rPr>
        <w:fldChar w:fldCharType="begin"/>
      </w:r>
      <w:r w:rsidR="00302649">
        <w:rPr>
          <w:lang w:eastAsia="en-NZ"/>
        </w:rPr>
        <w:instrText xml:space="preserve"> REF _Ref416345503 \h </w:instrText>
      </w:r>
      <w:r w:rsidR="00302649">
        <w:rPr>
          <w:lang w:eastAsia="en-NZ"/>
        </w:rPr>
      </w:r>
      <w:r w:rsidR="00302649">
        <w:rPr>
          <w:lang w:eastAsia="en-NZ"/>
        </w:rPr>
        <w:fldChar w:fldCharType="separate"/>
      </w:r>
      <w:r w:rsidR="00302649">
        <w:t xml:space="preserve">Figure </w:t>
      </w:r>
      <w:r w:rsidR="00302649">
        <w:rPr>
          <w:noProof/>
        </w:rPr>
        <w:t>4</w:t>
      </w:r>
      <w:r w:rsidR="00302649">
        <w:rPr>
          <w:lang w:eastAsia="en-NZ"/>
        </w:rPr>
        <w:fldChar w:fldCharType="end"/>
      </w:r>
      <w:r w:rsidR="00895DEB" w:rsidRPr="004803E7">
        <w:rPr>
          <w:lang w:eastAsia="en-NZ"/>
        </w:rPr>
        <w:t xml:space="preserve"> on the following page.</w:t>
      </w:r>
    </w:p>
    <w:p w:rsidR="00895DEB" w:rsidRDefault="00895DEB" w:rsidP="00C07958">
      <w:pPr>
        <w:pStyle w:val="BodyText"/>
        <w:rPr>
          <w:lang w:eastAsia="en-NZ"/>
        </w:rPr>
      </w:pPr>
    </w:p>
    <w:p w:rsidR="00895DEB" w:rsidRDefault="00895DEB" w:rsidP="00895DEB">
      <w:pPr>
        <w:pStyle w:val="Caption"/>
        <w:rPr>
          <w:lang w:eastAsia="en-NZ"/>
        </w:rPr>
      </w:pPr>
      <w:bookmarkStart w:id="27" w:name="_Ref416345503"/>
      <w:bookmarkStart w:id="28" w:name="_Ref416345524"/>
      <w:bookmarkStart w:id="29" w:name="_Toc416971035"/>
      <w:r>
        <w:lastRenderedPageBreak/>
        <w:t xml:space="preserve">Figure </w:t>
      </w:r>
      <w:r>
        <w:fldChar w:fldCharType="begin"/>
      </w:r>
      <w:r>
        <w:instrText xml:space="preserve"> SEQ Figure \* ARABIC </w:instrText>
      </w:r>
      <w:r>
        <w:fldChar w:fldCharType="separate"/>
      </w:r>
      <w:r w:rsidR="00F55880">
        <w:rPr>
          <w:noProof/>
        </w:rPr>
        <w:t>4</w:t>
      </w:r>
      <w:r>
        <w:fldChar w:fldCharType="end"/>
      </w:r>
      <w:bookmarkEnd w:id="27"/>
      <w:r>
        <w:t>: Willingness to pay for improved vegetation removal and undergrounding in HB</w:t>
      </w:r>
      <w:r w:rsidR="00D823EA">
        <w:t>F</w:t>
      </w:r>
      <w:r>
        <w:t>RAs and B</w:t>
      </w:r>
      <w:r w:rsidR="00D823EA">
        <w:t>F</w:t>
      </w:r>
      <w:r>
        <w:t>RAs</w:t>
      </w:r>
      <w:bookmarkEnd w:id="28"/>
      <w:bookmarkEnd w:id="29"/>
    </w:p>
    <w:p w:rsidR="00895DEB" w:rsidRDefault="00895DEB" w:rsidP="00C07958">
      <w:pPr>
        <w:pStyle w:val="BodyText"/>
        <w:rPr>
          <w:lang w:eastAsia="en-NZ"/>
        </w:rPr>
      </w:pPr>
      <w:r w:rsidRPr="00895DEB">
        <w:rPr>
          <w:noProof/>
          <w:lang w:eastAsia="en-AU"/>
        </w:rPr>
        <w:drawing>
          <wp:inline distT="0" distB="0" distL="0" distR="0" wp14:anchorId="5CF9EDD2" wp14:editId="7B25681F">
            <wp:extent cx="5364480" cy="3477086"/>
            <wp:effectExtent l="0" t="0" r="762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480" cy="3477086"/>
                    </a:xfrm>
                    <a:prstGeom prst="rect">
                      <a:avLst/>
                    </a:prstGeom>
                    <a:noFill/>
                    <a:ln>
                      <a:noFill/>
                    </a:ln>
                  </pic:spPr>
                </pic:pic>
              </a:graphicData>
            </a:graphic>
          </wp:inline>
        </w:drawing>
      </w:r>
    </w:p>
    <w:p w:rsidR="00372210" w:rsidRDefault="00895DEB" w:rsidP="00895DEB">
      <w:pPr>
        <w:pStyle w:val="Source"/>
        <w:ind w:left="284"/>
        <w:rPr>
          <w:lang w:eastAsia="en-NZ"/>
        </w:rPr>
      </w:pPr>
      <w:r>
        <w:rPr>
          <w:lang w:eastAsia="en-NZ"/>
        </w:rPr>
        <w:t xml:space="preserve">Source: </w:t>
      </w:r>
      <w:r>
        <w:t xml:space="preserve">NTF Group, </w:t>
      </w:r>
      <w:r w:rsidRPr="00895DEB">
        <w:rPr>
          <w:i/>
        </w:rPr>
        <w:t>SAPN Targeted Willingness to Pay Research – Research Findings</w:t>
      </w:r>
      <w:r>
        <w:t>, July 2014, p 13.</w:t>
      </w:r>
    </w:p>
    <w:p w:rsidR="00895DEB" w:rsidRDefault="00895DEB" w:rsidP="00C07958">
      <w:pPr>
        <w:pStyle w:val="BodyText"/>
        <w:rPr>
          <w:lang w:eastAsia="en-NZ"/>
        </w:rPr>
      </w:pPr>
      <w:r>
        <w:rPr>
          <w:lang w:eastAsia="en-NZ"/>
        </w:rPr>
        <w:t>In assessing these results, NTF states:</w:t>
      </w:r>
    </w:p>
    <w:p w:rsidR="00895DEB" w:rsidRPr="004803E7" w:rsidRDefault="00895DEB" w:rsidP="004803E7">
      <w:pPr>
        <w:pStyle w:val="ListBullet"/>
        <w:tabs>
          <w:tab w:val="clear" w:pos="360"/>
        </w:tabs>
        <w:ind w:left="851"/>
        <w:rPr>
          <w:i/>
          <w:iCs/>
          <w:color w:val="09869B"/>
          <w:sz w:val="18"/>
          <w:lang w:eastAsia="en-NZ"/>
        </w:rPr>
      </w:pPr>
      <w:r w:rsidRPr="004803E7">
        <w:rPr>
          <w:i/>
          <w:iCs/>
          <w:color w:val="09869B"/>
          <w:sz w:val="18"/>
          <w:lang w:eastAsia="en-NZ"/>
        </w:rPr>
        <w:t>2.5% removal and replacement of inappropriate vegetation is perceived by customers as the ‘sweet spot’ amongst the vegetation management improvement options. This level consistently attracts the highest level of community willingness to pay.</w:t>
      </w:r>
    </w:p>
    <w:p w:rsidR="00895DEB" w:rsidRPr="004803E7" w:rsidRDefault="00895DEB" w:rsidP="004803E7">
      <w:pPr>
        <w:pStyle w:val="ListBullet"/>
        <w:tabs>
          <w:tab w:val="clear" w:pos="360"/>
        </w:tabs>
        <w:ind w:left="851"/>
        <w:rPr>
          <w:i/>
          <w:iCs/>
          <w:color w:val="09869B"/>
          <w:sz w:val="18"/>
          <w:lang w:eastAsia="en-NZ"/>
        </w:rPr>
      </w:pPr>
      <w:r w:rsidRPr="004803E7">
        <w:rPr>
          <w:i/>
          <w:iCs/>
          <w:color w:val="09869B"/>
          <w:sz w:val="18"/>
          <w:lang w:eastAsia="en-NZ"/>
        </w:rPr>
        <w:t xml:space="preserve">The highest level of community willingness to pay is associated with 135kms of undergrounding. </w:t>
      </w:r>
    </w:p>
    <w:p w:rsidR="00895DEB" w:rsidRPr="004803E7" w:rsidRDefault="00895DEB" w:rsidP="004803E7">
      <w:pPr>
        <w:pStyle w:val="ListBullet"/>
        <w:tabs>
          <w:tab w:val="clear" w:pos="360"/>
        </w:tabs>
        <w:ind w:left="851"/>
        <w:rPr>
          <w:i/>
          <w:iCs/>
          <w:color w:val="09869B"/>
          <w:sz w:val="18"/>
          <w:lang w:eastAsia="en-NZ"/>
        </w:rPr>
      </w:pPr>
      <w:r w:rsidRPr="004803E7">
        <w:rPr>
          <w:i/>
          <w:iCs/>
          <w:color w:val="09869B"/>
          <w:sz w:val="18"/>
          <w:lang w:eastAsia="en-NZ"/>
        </w:rPr>
        <w:t>The combination of 135 km of undergrounding and 2.5% tree removal and replacement achieved support from nearly two-thirds (63%) of the community</w:t>
      </w:r>
      <w:r w:rsidR="00515D4D" w:rsidRPr="00D823EA">
        <w:rPr>
          <w:rStyle w:val="FootnoteReference"/>
          <w:iCs/>
          <w:lang w:eastAsia="en-NZ"/>
        </w:rPr>
        <w:footnoteReference w:id="12"/>
      </w:r>
      <w:r w:rsidRPr="004803E7">
        <w:rPr>
          <w:i/>
          <w:iCs/>
          <w:color w:val="09869B"/>
          <w:sz w:val="18"/>
          <w:lang w:eastAsia="en-NZ"/>
        </w:rPr>
        <w:t>, who are prepared to pay an additional $12 per year to see this service improvement delivered.</w:t>
      </w:r>
      <w:r w:rsidR="004803E7" w:rsidRPr="008B7E21">
        <w:rPr>
          <w:rStyle w:val="FootnoteReference"/>
          <w:iCs/>
          <w:lang w:eastAsia="en-NZ"/>
        </w:rPr>
        <w:footnoteReference w:id="13"/>
      </w:r>
    </w:p>
    <w:p w:rsidR="00895DEB" w:rsidRDefault="004803E7" w:rsidP="00C07958">
      <w:pPr>
        <w:pStyle w:val="BodyText"/>
        <w:rPr>
          <w:lang w:eastAsia="en-NZ"/>
        </w:rPr>
      </w:pPr>
      <w:r>
        <w:rPr>
          <w:lang w:eastAsia="en-NZ"/>
        </w:rPr>
        <w:t>Based on this analysis, SAPN endorsed that service initiative for HBFRAs and BFRAs.</w:t>
      </w:r>
    </w:p>
    <w:p w:rsidR="00711B02" w:rsidRDefault="0025382D" w:rsidP="00C07958">
      <w:pPr>
        <w:pStyle w:val="BodyText"/>
        <w:rPr>
          <w:lang w:eastAsia="en-NZ"/>
        </w:rPr>
      </w:pPr>
      <w:r>
        <w:rPr>
          <w:lang w:eastAsia="en-NZ"/>
        </w:rPr>
        <w:fldChar w:fldCharType="begin"/>
      </w:r>
      <w:r>
        <w:rPr>
          <w:lang w:eastAsia="en-NZ"/>
        </w:rPr>
        <w:instrText xml:space="preserve"> REF _Ref416346903 \h </w:instrText>
      </w:r>
      <w:r>
        <w:rPr>
          <w:lang w:eastAsia="en-NZ"/>
        </w:rPr>
      </w:r>
      <w:r>
        <w:rPr>
          <w:lang w:eastAsia="en-NZ"/>
        </w:rPr>
        <w:fldChar w:fldCharType="separate"/>
      </w:r>
      <w:r w:rsidR="00F55880">
        <w:t xml:space="preserve">Table </w:t>
      </w:r>
      <w:r w:rsidR="00F55880">
        <w:rPr>
          <w:noProof/>
        </w:rPr>
        <w:t>1</w:t>
      </w:r>
      <w:r>
        <w:rPr>
          <w:lang w:eastAsia="en-NZ"/>
        </w:rPr>
        <w:fldChar w:fldCharType="end"/>
      </w:r>
      <w:r w:rsidR="004803E7">
        <w:rPr>
          <w:lang w:eastAsia="en-NZ"/>
        </w:rPr>
        <w:t xml:space="preserve"> </w:t>
      </w:r>
      <w:r>
        <w:rPr>
          <w:lang w:eastAsia="en-NZ"/>
        </w:rPr>
        <w:t>on the following page</w:t>
      </w:r>
      <w:r w:rsidR="004803E7">
        <w:rPr>
          <w:lang w:eastAsia="en-NZ"/>
        </w:rPr>
        <w:t xml:space="preserve"> explores the financial impact of accepting each of the service options shown in Figure 4 above that exceeded the 55% acceptance threshold on those customers who did not ‘vote’ for the option.</w:t>
      </w:r>
      <w:r w:rsidR="00302649">
        <w:rPr>
          <w:lang w:eastAsia="en-NZ"/>
        </w:rPr>
        <w:t xml:space="preserve">  The options as listed from top to bottom in </w:t>
      </w:r>
      <w:r w:rsidR="00302649">
        <w:rPr>
          <w:lang w:eastAsia="en-NZ"/>
        </w:rPr>
        <w:fldChar w:fldCharType="begin"/>
      </w:r>
      <w:r w:rsidR="00302649">
        <w:rPr>
          <w:lang w:eastAsia="en-NZ"/>
        </w:rPr>
        <w:instrText xml:space="preserve"> REF _Ref416346903 \h </w:instrText>
      </w:r>
      <w:r w:rsidR="00302649">
        <w:rPr>
          <w:lang w:eastAsia="en-NZ"/>
        </w:rPr>
      </w:r>
      <w:r w:rsidR="00302649">
        <w:rPr>
          <w:lang w:eastAsia="en-NZ"/>
        </w:rPr>
        <w:fldChar w:fldCharType="separate"/>
      </w:r>
      <w:r w:rsidR="00302649">
        <w:t xml:space="preserve">Table </w:t>
      </w:r>
      <w:r w:rsidR="00302649">
        <w:rPr>
          <w:noProof/>
        </w:rPr>
        <w:t>1</w:t>
      </w:r>
      <w:r w:rsidR="00302649">
        <w:rPr>
          <w:lang w:eastAsia="en-NZ"/>
        </w:rPr>
        <w:fldChar w:fldCharType="end"/>
      </w:r>
      <w:r w:rsidR="00302649">
        <w:rPr>
          <w:lang w:eastAsia="en-NZ"/>
        </w:rPr>
        <w:t xml:space="preserve"> correspond with the options from left to right in </w:t>
      </w:r>
      <w:r w:rsidR="00302649">
        <w:rPr>
          <w:lang w:eastAsia="en-NZ"/>
        </w:rPr>
        <w:fldChar w:fldCharType="begin"/>
      </w:r>
      <w:r w:rsidR="00302649">
        <w:rPr>
          <w:lang w:eastAsia="en-NZ"/>
        </w:rPr>
        <w:instrText xml:space="preserve"> REF _Ref416345503 \h </w:instrText>
      </w:r>
      <w:r w:rsidR="00302649">
        <w:rPr>
          <w:lang w:eastAsia="en-NZ"/>
        </w:rPr>
      </w:r>
      <w:r w:rsidR="00302649">
        <w:rPr>
          <w:lang w:eastAsia="en-NZ"/>
        </w:rPr>
        <w:fldChar w:fldCharType="separate"/>
      </w:r>
      <w:r w:rsidR="00302649">
        <w:t xml:space="preserve">Figure </w:t>
      </w:r>
      <w:r w:rsidR="00302649">
        <w:rPr>
          <w:noProof/>
        </w:rPr>
        <w:t>4</w:t>
      </w:r>
      <w:r w:rsidR="00302649">
        <w:rPr>
          <w:lang w:eastAsia="en-NZ"/>
        </w:rPr>
        <w:fldChar w:fldCharType="end"/>
      </w:r>
      <w:r w:rsidR="00302649">
        <w:rPr>
          <w:lang w:eastAsia="en-NZ"/>
        </w:rPr>
        <w:t>.</w:t>
      </w:r>
    </w:p>
    <w:p w:rsidR="0025382D" w:rsidRDefault="0025382D" w:rsidP="00D823EA">
      <w:pPr>
        <w:pStyle w:val="BodyText"/>
        <w:rPr>
          <w:lang w:eastAsia="en-NZ"/>
        </w:rPr>
      </w:pPr>
      <w:r>
        <w:rPr>
          <w:lang w:eastAsia="en-NZ"/>
        </w:rPr>
        <w:br w:type="page"/>
      </w:r>
    </w:p>
    <w:p w:rsidR="0025382D" w:rsidRDefault="0025382D" w:rsidP="0025382D">
      <w:pPr>
        <w:pStyle w:val="Caption"/>
        <w:rPr>
          <w:lang w:eastAsia="en-NZ"/>
        </w:rPr>
      </w:pPr>
      <w:bookmarkStart w:id="30" w:name="_Ref416346903"/>
      <w:bookmarkStart w:id="31" w:name="_Toc416347001"/>
      <w:r>
        <w:lastRenderedPageBreak/>
        <w:t xml:space="preserve">Table </w:t>
      </w:r>
      <w:r>
        <w:fldChar w:fldCharType="begin"/>
      </w:r>
      <w:r>
        <w:instrText xml:space="preserve"> SEQ Table \* ARABIC </w:instrText>
      </w:r>
      <w:r>
        <w:fldChar w:fldCharType="separate"/>
      </w:r>
      <w:r w:rsidR="00F55880">
        <w:rPr>
          <w:noProof/>
        </w:rPr>
        <w:t>1</w:t>
      </w:r>
      <w:r>
        <w:fldChar w:fldCharType="end"/>
      </w:r>
      <w:bookmarkEnd w:id="30"/>
      <w:r>
        <w:t>: Alternate calculation approach to identify most preferred option</w:t>
      </w:r>
      <w:bookmarkEnd w:id="31"/>
    </w:p>
    <w:tbl>
      <w:tblPr>
        <w:tblW w:w="8505" w:type="dxa"/>
        <w:tblInd w:w="108" w:type="dxa"/>
        <w:tblLayout w:type="fixed"/>
        <w:tblLook w:val="0000" w:firstRow="0" w:lastRow="0" w:firstColumn="0" w:lastColumn="0" w:noHBand="0" w:noVBand="0"/>
      </w:tblPr>
      <w:tblGrid>
        <w:gridCol w:w="2410"/>
        <w:gridCol w:w="1559"/>
        <w:gridCol w:w="1843"/>
        <w:gridCol w:w="2693"/>
      </w:tblGrid>
      <w:tr w:rsidR="007A50A6" w:rsidRPr="00484023" w:rsidTr="009A1DD8">
        <w:tc>
          <w:tcPr>
            <w:tcW w:w="2410" w:type="dxa"/>
            <w:tcBorders>
              <w:top w:val="single" w:sz="24" w:space="0" w:color="09869B"/>
            </w:tcBorders>
            <w:shd w:val="clear" w:color="auto" w:fill="FBEAB1"/>
          </w:tcPr>
          <w:p w:rsidR="007A50A6" w:rsidRPr="00EC2E83" w:rsidRDefault="007A50A6" w:rsidP="009A1DD8">
            <w:pPr>
              <w:pStyle w:val="TableHeading"/>
              <w:spacing w:before="80" w:after="80" w:line="240" w:lineRule="atLeast"/>
              <w:rPr>
                <w:color w:val="0A93AA"/>
              </w:rPr>
            </w:pPr>
            <w:r>
              <w:rPr>
                <w:color w:val="0A93AA"/>
              </w:rPr>
              <w:t>Option</w:t>
            </w:r>
            <w:r>
              <w:rPr>
                <w:color w:val="0A93AA"/>
              </w:rPr>
              <w:br/>
              <w:t>(km, % target area)</w:t>
            </w:r>
          </w:p>
        </w:tc>
        <w:tc>
          <w:tcPr>
            <w:tcW w:w="1559" w:type="dxa"/>
            <w:tcBorders>
              <w:top w:val="single" w:sz="24" w:space="0" w:color="09869B"/>
            </w:tcBorders>
            <w:shd w:val="clear" w:color="auto" w:fill="FBEAB1"/>
          </w:tcPr>
          <w:p w:rsidR="007A50A6" w:rsidRPr="00EC2E83" w:rsidRDefault="007A50A6" w:rsidP="009A1DD8">
            <w:pPr>
              <w:pStyle w:val="TableHeading"/>
              <w:spacing w:before="80" w:after="80" w:line="240" w:lineRule="atLeast"/>
              <w:rPr>
                <w:color w:val="0A93AA"/>
              </w:rPr>
            </w:pPr>
            <w:r>
              <w:rPr>
                <w:color w:val="0A93AA"/>
              </w:rPr>
              <w:t>% Accepting</w:t>
            </w:r>
          </w:p>
        </w:tc>
        <w:tc>
          <w:tcPr>
            <w:tcW w:w="1843" w:type="dxa"/>
            <w:tcBorders>
              <w:top w:val="single" w:sz="24" w:space="0" w:color="09869B"/>
            </w:tcBorders>
            <w:shd w:val="clear" w:color="auto" w:fill="FBEAB1"/>
          </w:tcPr>
          <w:p w:rsidR="007A50A6" w:rsidRDefault="007A50A6" w:rsidP="009A1DD8">
            <w:pPr>
              <w:pStyle w:val="TableHeading"/>
              <w:spacing w:before="80" w:after="80" w:line="240" w:lineRule="atLeast"/>
              <w:rPr>
                <w:color w:val="0A93AA"/>
              </w:rPr>
            </w:pPr>
            <w:r>
              <w:rPr>
                <w:color w:val="0A93AA"/>
              </w:rPr>
              <w:t>Additional Cost</w:t>
            </w:r>
          </w:p>
        </w:tc>
        <w:tc>
          <w:tcPr>
            <w:tcW w:w="2693" w:type="dxa"/>
            <w:tcBorders>
              <w:top w:val="single" w:sz="24" w:space="0" w:color="09869B"/>
            </w:tcBorders>
            <w:shd w:val="clear" w:color="auto" w:fill="FBEAB1"/>
          </w:tcPr>
          <w:p w:rsidR="007A50A6" w:rsidRPr="00EC2E83" w:rsidRDefault="007A50A6" w:rsidP="009A1DD8">
            <w:pPr>
              <w:pStyle w:val="TableHeading"/>
              <w:spacing w:before="80" w:after="80" w:line="240" w:lineRule="atLeast"/>
              <w:rPr>
                <w:color w:val="0A93AA"/>
              </w:rPr>
            </w:pPr>
            <w:r>
              <w:rPr>
                <w:color w:val="0A93AA"/>
              </w:rPr>
              <w:t>Aggregate cost imposed on those who did not ‘vote’ for the option</w:t>
            </w:r>
          </w:p>
        </w:tc>
      </w:tr>
      <w:tr w:rsidR="007925CD" w:rsidRPr="007925CD" w:rsidTr="009A1DD8">
        <w:tc>
          <w:tcPr>
            <w:tcW w:w="2410" w:type="dxa"/>
          </w:tcPr>
          <w:p w:rsidR="007925CD" w:rsidRPr="007925CD" w:rsidRDefault="007925CD" w:rsidP="009A1DD8">
            <w:pPr>
              <w:pStyle w:val="TableText"/>
              <w:spacing w:before="80" w:after="80"/>
            </w:pPr>
            <w:r w:rsidRPr="007925CD">
              <w:t>0 - 2.5%</w:t>
            </w:r>
          </w:p>
        </w:tc>
        <w:tc>
          <w:tcPr>
            <w:tcW w:w="1559" w:type="dxa"/>
            <w:vAlign w:val="bottom"/>
          </w:tcPr>
          <w:p w:rsidR="007925CD" w:rsidRPr="007925CD" w:rsidRDefault="007925CD" w:rsidP="009A1DD8">
            <w:pPr>
              <w:pStyle w:val="TableText"/>
              <w:spacing w:before="80" w:after="80"/>
              <w:jc w:val="center"/>
            </w:pPr>
            <w:r w:rsidRPr="007925CD">
              <w:t>57%</w:t>
            </w:r>
          </w:p>
        </w:tc>
        <w:tc>
          <w:tcPr>
            <w:tcW w:w="1843" w:type="dxa"/>
            <w:vAlign w:val="bottom"/>
          </w:tcPr>
          <w:p w:rsidR="007925CD" w:rsidRPr="007925CD" w:rsidRDefault="007925CD" w:rsidP="009A1DD8">
            <w:pPr>
              <w:pStyle w:val="TableText"/>
              <w:tabs>
                <w:tab w:val="decimal" w:pos="917"/>
              </w:tabs>
              <w:spacing w:before="80" w:after="80"/>
            </w:pPr>
            <w:r w:rsidRPr="007925CD">
              <w:t>$1.60</w:t>
            </w:r>
          </w:p>
        </w:tc>
        <w:tc>
          <w:tcPr>
            <w:tcW w:w="2693" w:type="dxa"/>
            <w:vAlign w:val="bottom"/>
          </w:tcPr>
          <w:p w:rsidR="007925CD" w:rsidRPr="007925CD" w:rsidRDefault="009A1DD8" w:rsidP="009A1DD8">
            <w:pPr>
              <w:pStyle w:val="TableText"/>
              <w:tabs>
                <w:tab w:val="right" w:pos="1451"/>
              </w:tabs>
              <w:spacing w:before="80" w:after="80"/>
            </w:pPr>
            <w:r>
              <w:tab/>
              <w:t>$</w:t>
            </w:r>
            <w:r w:rsidR="007925CD" w:rsidRPr="007925CD">
              <w:t>516</w:t>
            </w:r>
            <w:r>
              <w:t>,</w:t>
            </w:r>
            <w:r w:rsidR="007925CD" w:rsidRPr="007925CD">
              <w:t>000</w:t>
            </w:r>
          </w:p>
        </w:tc>
      </w:tr>
      <w:tr w:rsidR="007925CD" w:rsidRPr="007925CD" w:rsidTr="009A1DD8">
        <w:tc>
          <w:tcPr>
            <w:tcW w:w="2410" w:type="dxa"/>
          </w:tcPr>
          <w:p w:rsidR="007925CD" w:rsidRPr="007925CD" w:rsidRDefault="007925CD" w:rsidP="009A1DD8">
            <w:pPr>
              <w:pStyle w:val="TableText"/>
              <w:spacing w:before="80" w:after="80"/>
            </w:pPr>
            <w:r w:rsidRPr="007925CD">
              <w:t>0 – 5.0%</w:t>
            </w:r>
          </w:p>
        </w:tc>
        <w:tc>
          <w:tcPr>
            <w:tcW w:w="1559" w:type="dxa"/>
            <w:vAlign w:val="bottom"/>
          </w:tcPr>
          <w:p w:rsidR="007925CD" w:rsidRPr="007925CD" w:rsidRDefault="007925CD" w:rsidP="009A1DD8">
            <w:pPr>
              <w:pStyle w:val="TableText"/>
              <w:spacing w:before="80" w:after="80"/>
              <w:jc w:val="center"/>
            </w:pPr>
            <w:r w:rsidRPr="007925CD">
              <w:t>52%</w:t>
            </w:r>
          </w:p>
        </w:tc>
        <w:tc>
          <w:tcPr>
            <w:tcW w:w="1843" w:type="dxa"/>
            <w:vAlign w:val="bottom"/>
          </w:tcPr>
          <w:p w:rsidR="007925CD" w:rsidRPr="007925CD" w:rsidRDefault="007925CD" w:rsidP="009A1DD8">
            <w:pPr>
              <w:pStyle w:val="TableText"/>
              <w:tabs>
                <w:tab w:val="decimal" w:pos="917"/>
              </w:tabs>
              <w:spacing w:before="80" w:after="80"/>
            </w:pPr>
            <w:r w:rsidRPr="007925CD">
              <w:t>$3.40</w:t>
            </w:r>
          </w:p>
        </w:tc>
        <w:tc>
          <w:tcPr>
            <w:tcW w:w="2693" w:type="dxa"/>
            <w:vAlign w:val="bottom"/>
          </w:tcPr>
          <w:p w:rsidR="007925CD" w:rsidRPr="007925CD" w:rsidRDefault="007925CD" w:rsidP="009A1DD8">
            <w:pPr>
              <w:pStyle w:val="TableText"/>
              <w:tabs>
                <w:tab w:val="right" w:pos="1451"/>
              </w:tabs>
              <w:spacing w:before="80" w:after="80"/>
              <w:jc w:val="center"/>
            </w:pPr>
            <w:r w:rsidRPr="007925CD">
              <w:t>NA</w:t>
            </w:r>
          </w:p>
        </w:tc>
      </w:tr>
      <w:tr w:rsidR="0009600D" w:rsidRPr="007925CD" w:rsidTr="009A1DD8">
        <w:tc>
          <w:tcPr>
            <w:tcW w:w="2410" w:type="dxa"/>
          </w:tcPr>
          <w:p w:rsidR="0009600D" w:rsidRPr="007925CD" w:rsidRDefault="0009600D" w:rsidP="009A1DD8">
            <w:pPr>
              <w:pStyle w:val="TableText"/>
              <w:spacing w:before="80" w:after="80"/>
            </w:pPr>
            <w:r w:rsidRPr="007925CD">
              <w:t>0 – 8.0%</w:t>
            </w:r>
          </w:p>
        </w:tc>
        <w:tc>
          <w:tcPr>
            <w:tcW w:w="1559" w:type="dxa"/>
            <w:vAlign w:val="bottom"/>
          </w:tcPr>
          <w:p w:rsidR="0009600D" w:rsidRPr="007925CD" w:rsidRDefault="0009600D" w:rsidP="009A1DD8">
            <w:pPr>
              <w:pStyle w:val="TableText"/>
              <w:spacing w:before="80" w:after="80"/>
              <w:jc w:val="center"/>
            </w:pPr>
            <w:r w:rsidRPr="007925CD">
              <w:t>54%</w:t>
            </w:r>
          </w:p>
        </w:tc>
        <w:tc>
          <w:tcPr>
            <w:tcW w:w="1843" w:type="dxa"/>
            <w:vAlign w:val="bottom"/>
          </w:tcPr>
          <w:p w:rsidR="0009600D" w:rsidRPr="007925CD" w:rsidRDefault="00711B02" w:rsidP="009A1DD8">
            <w:pPr>
              <w:pStyle w:val="TableText"/>
              <w:tabs>
                <w:tab w:val="decimal" w:pos="917"/>
              </w:tabs>
              <w:spacing w:before="80" w:after="80"/>
            </w:pPr>
            <w:r>
              <w:t>$</w:t>
            </w:r>
            <w:r w:rsidR="0009600D" w:rsidRPr="007925CD">
              <w:t>5.60</w:t>
            </w:r>
          </w:p>
        </w:tc>
        <w:tc>
          <w:tcPr>
            <w:tcW w:w="2693" w:type="dxa"/>
          </w:tcPr>
          <w:p w:rsidR="0009600D" w:rsidRPr="007925CD" w:rsidRDefault="007925CD" w:rsidP="009A1DD8">
            <w:pPr>
              <w:pStyle w:val="TableText"/>
              <w:tabs>
                <w:tab w:val="right" w:pos="1451"/>
              </w:tabs>
              <w:spacing w:before="80" w:after="80"/>
              <w:jc w:val="center"/>
            </w:pPr>
            <w:r>
              <w:t>NA</w:t>
            </w:r>
          </w:p>
        </w:tc>
      </w:tr>
      <w:tr w:rsidR="007925CD" w:rsidRPr="007925CD" w:rsidTr="009A1DD8">
        <w:tc>
          <w:tcPr>
            <w:tcW w:w="2410" w:type="dxa"/>
          </w:tcPr>
          <w:p w:rsidR="007925CD" w:rsidRPr="007925CD" w:rsidRDefault="007925CD" w:rsidP="009A1DD8">
            <w:pPr>
              <w:pStyle w:val="TableText"/>
              <w:spacing w:before="80" w:after="80"/>
            </w:pPr>
            <w:r w:rsidRPr="007925CD">
              <w:t>0 – 10.0%</w:t>
            </w:r>
          </w:p>
        </w:tc>
        <w:tc>
          <w:tcPr>
            <w:tcW w:w="1559" w:type="dxa"/>
            <w:vAlign w:val="bottom"/>
          </w:tcPr>
          <w:p w:rsidR="007925CD" w:rsidRPr="007925CD" w:rsidRDefault="007925CD" w:rsidP="009A1DD8">
            <w:pPr>
              <w:pStyle w:val="TableText"/>
              <w:spacing w:before="80" w:after="80"/>
              <w:jc w:val="center"/>
            </w:pPr>
            <w:r w:rsidRPr="007925CD">
              <w:t>55%</w:t>
            </w:r>
          </w:p>
        </w:tc>
        <w:tc>
          <w:tcPr>
            <w:tcW w:w="1843" w:type="dxa"/>
            <w:vAlign w:val="bottom"/>
          </w:tcPr>
          <w:p w:rsidR="007925CD" w:rsidRPr="007925CD" w:rsidRDefault="007925CD" w:rsidP="009A1DD8">
            <w:pPr>
              <w:pStyle w:val="TableText"/>
              <w:tabs>
                <w:tab w:val="decimal" w:pos="917"/>
              </w:tabs>
              <w:spacing w:before="80" w:after="80"/>
            </w:pPr>
            <w:r w:rsidRPr="007925CD">
              <w:t>$7.00</w:t>
            </w:r>
          </w:p>
        </w:tc>
        <w:tc>
          <w:tcPr>
            <w:tcW w:w="2693" w:type="dxa"/>
            <w:vAlign w:val="bottom"/>
          </w:tcPr>
          <w:p w:rsidR="007925CD" w:rsidRDefault="009A1DD8" w:rsidP="009A1DD8">
            <w:pPr>
              <w:pStyle w:val="TableText"/>
              <w:tabs>
                <w:tab w:val="right" w:pos="1451"/>
              </w:tabs>
              <w:spacing w:before="80" w:after="80"/>
              <w:rPr>
                <w:lang w:eastAsia="en-AU"/>
              </w:rPr>
            </w:pPr>
            <w:r>
              <w:tab/>
              <w:t>$</w:t>
            </w:r>
            <w:r w:rsidR="007925CD">
              <w:t>2</w:t>
            </w:r>
            <w:r>
              <w:t>,</w:t>
            </w:r>
            <w:r w:rsidR="007925CD">
              <w:t>362</w:t>
            </w:r>
            <w:r>
              <w:t>,</w:t>
            </w:r>
            <w:r w:rsidR="007925CD">
              <w:t>500</w:t>
            </w:r>
          </w:p>
        </w:tc>
      </w:tr>
      <w:tr w:rsidR="007925CD" w:rsidRPr="007925CD" w:rsidTr="009A1DD8">
        <w:tc>
          <w:tcPr>
            <w:tcW w:w="2410" w:type="dxa"/>
          </w:tcPr>
          <w:p w:rsidR="007925CD" w:rsidRPr="007925CD" w:rsidRDefault="007925CD" w:rsidP="009A1DD8">
            <w:pPr>
              <w:pStyle w:val="TableText"/>
              <w:spacing w:before="80" w:after="80"/>
            </w:pPr>
            <w:r w:rsidRPr="007925CD">
              <w:t>135 – 0.0%</w:t>
            </w:r>
          </w:p>
        </w:tc>
        <w:tc>
          <w:tcPr>
            <w:tcW w:w="1559" w:type="dxa"/>
            <w:vAlign w:val="bottom"/>
          </w:tcPr>
          <w:p w:rsidR="007925CD" w:rsidRPr="007925CD" w:rsidRDefault="007925CD" w:rsidP="009A1DD8">
            <w:pPr>
              <w:pStyle w:val="TableText"/>
              <w:spacing w:before="80" w:after="80"/>
              <w:jc w:val="center"/>
            </w:pPr>
            <w:r w:rsidRPr="007925CD">
              <w:t>58%</w:t>
            </w:r>
          </w:p>
        </w:tc>
        <w:tc>
          <w:tcPr>
            <w:tcW w:w="1843" w:type="dxa"/>
            <w:vAlign w:val="bottom"/>
          </w:tcPr>
          <w:p w:rsidR="007925CD" w:rsidRPr="007925CD" w:rsidRDefault="007925CD" w:rsidP="009A1DD8">
            <w:pPr>
              <w:pStyle w:val="TableText"/>
              <w:tabs>
                <w:tab w:val="decimal" w:pos="917"/>
              </w:tabs>
              <w:spacing w:before="80" w:after="80"/>
            </w:pPr>
            <w:r w:rsidRPr="007925CD">
              <w:t>$10.20</w:t>
            </w:r>
          </w:p>
        </w:tc>
        <w:tc>
          <w:tcPr>
            <w:tcW w:w="2693" w:type="dxa"/>
            <w:vAlign w:val="bottom"/>
          </w:tcPr>
          <w:p w:rsidR="007925CD" w:rsidRDefault="009A1DD8" w:rsidP="009A1DD8">
            <w:pPr>
              <w:pStyle w:val="TableText"/>
              <w:tabs>
                <w:tab w:val="right" w:pos="1451"/>
              </w:tabs>
              <w:spacing w:before="80" w:after="80"/>
              <w:rPr>
                <w:lang w:eastAsia="en-AU"/>
              </w:rPr>
            </w:pPr>
            <w:r>
              <w:tab/>
              <w:t>$</w:t>
            </w:r>
            <w:r w:rsidR="007925CD">
              <w:t>3</w:t>
            </w:r>
            <w:r>
              <w:t>,</w:t>
            </w:r>
            <w:r w:rsidR="007925CD">
              <w:t>213</w:t>
            </w:r>
            <w:r>
              <w:t>,</w:t>
            </w:r>
            <w:r w:rsidR="007925CD">
              <w:t>000</w:t>
            </w:r>
          </w:p>
        </w:tc>
      </w:tr>
      <w:tr w:rsidR="007925CD" w:rsidRPr="007925CD" w:rsidTr="009A1DD8">
        <w:tc>
          <w:tcPr>
            <w:tcW w:w="2410" w:type="dxa"/>
          </w:tcPr>
          <w:p w:rsidR="007925CD" w:rsidRPr="007925CD" w:rsidRDefault="007925CD" w:rsidP="009A1DD8">
            <w:pPr>
              <w:pStyle w:val="TableText"/>
              <w:spacing w:before="80" w:after="80"/>
            </w:pPr>
            <w:r w:rsidRPr="007925CD">
              <w:t>135 - 2.5%</w:t>
            </w:r>
          </w:p>
        </w:tc>
        <w:tc>
          <w:tcPr>
            <w:tcW w:w="1559" w:type="dxa"/>
            <w:vAlign w:val="bottom"/>
          </w:tcPr>
          <w:p w:rsidR="007925CD" w:rsidRPr="007925CD" w:rsidRDefault="007925CD" w:rsidP="009A1DD8">
            <w:pPr>
              <w:pStyle w:val="TableText"/>
              <w:spacing w:before="80" w:after="80"/>
              <w:jc w:val="center"/>
            </w:pPr>
            <w:r w:rsidRPr="007925CD">
              <w:t>63%</w:t>
            </w:r>
          </w:p>
        </w:tc>
        <w:tc>
          <w:tcPr>
            <w:tcW w:w="1843" w:type="dxa"/>
            <w:vAlign w:val="bottom"/>
          </w:tcPr>
          <w:p w:rsidR="007925CD" w:rsidRPr="007925CD" w:rsidRDefault="007925CD" w:rsidP="009A1DD8">
            <w:pPr>
              <w:pStyle w:val="TableText"/>
              <w:tabs>
                <w:tab w:val="decimal" w:pos="917"/>
              </w:tabs>
              <w:spacing w:before="80" w:after="80"/>
            </w:pPr>
            <w:r w:rsidRPr="007925CD">
              <w:t>$12.00</w:t>
            </w:r>
          </w:p>
        </w:tc>
        <w:tc>
          <w:tcPr>
            <w:tcW w:w="2693" w:type="dxa"/>
            <w:vAlign w:val="bottom"/>
          </w:tcPr>
          <w:p w:rsidR="007925CD" w:rsidRDefault="009A1DD8" w:rsidP="009A1DD8">
            <w:pPr>
              <w:pStyle w:val="TableText"/>
              <w:tabs>
                <w:tab w:val="right" w:pos="1451"/>
              </w:tabs>
              <w:spacing w:before="80" w:after="80"/>
            </w:pPr>
            <w:r>
              <w:tab/>
              <w:t>$</w:t>
            </w:r>
            <w:r w:rsidR="007925CD">
              <w:t>3</w:t>
            </w:r>
            <w:r>
              <w:t>,</w:t>
            </w:r>
            <w:r w:rsidR="007925CD">
              <w:t>330</w:t>
            </w:r>
            <w:r>
              <w:t>,</w:t>
            </w:r>
            <w:r w:rsidR="007925CD">
              <w:t>000</w:t>
            </w:r>
          </w:p>
        </w:tc>
      </w:tr>
      <w:tr w:rsidR="007925CD" w:rsidRPr="007925CD" w:rsidTr="009A1DD8">
        <w:tc>
          <w:tcPr>
            <w:tcW w:w="2410" w:type="dxa"/>
          </w:tcPr>
          <w:p w:rsidR="007925CD" w:rsidRPr="007925CD" w:rsidRDefault="007925CD" w:rsidP="009A1DD8">
            <w:pPr>
              <w:pStyle w:val="TableText"/>
              <w:spacing w:before="80" w:after="80"/>
            </w:pPr>
            <w:r w:rsidRPr="007925CD">
              <w:t>135 – 5.0%</w:t>
            </w:r>
          </w:p>
        </w:tc>
        <w:tc>
          <w:tcPr>
            <w:tcW w:w="1559" w:type="dxa"/>
            <w:vAlign w:val="bottom"/>
          </w:tcPr>
          <w:p w:rsidR="007925CD" w:rsidRPr="007925CD" w:rsidRDefault="007925CD" w:rsidP="009A1DD8">
            <w:pPr>
              <w:pStyle w:val="TableText"/>
              <w:spacing w:before="80" w:after="80"/>
              <w:jc w:val="center"/>
            </w:pPr>
            <w:r w:rsidRPr="007925CD">
              <w:t>58%</w:t>
            </w:r>
          </w:p>
        </w:tc>
        <w:tc>
          <w:tcPr>
            <w:tcW w:w="1843" w:type="dxa"/>
            <w:vAlign w:val="bottom"/>
          </w:tcPr>
          <w:p w:rsidR="007925CD" w:rsidRPr="007925CD" w:rsidRDefault="007925CD" w:rsidP="009A1DD8">
            <w:pPr>
              <w:pStyle w:val="TableText"/>
              <w:tabs>
                <w:tab w:val="decimal" w:pos="917"/>
              </w:tabs>
              <w:spacing w:before="80" w:after="80"/>
            </w:pPr>
            <w:r w:rsidRPr="007925CD">
              <w:t>$13.80</w:t>
            </w:r>
          </w:p>
        </w:tc>
        <w:tc>
          <w:tcPr>
            <w:tcW w:w="2693" w:type="dxa"/>
            <w:vAlign w:val="bottom"/>
          </w:tcPr>
          <w:p w:rsidR="007925CD" w:rsidRDefault="009A1DD8" w:rsidP="009A1DD8">
            <w:pPr>
              <w:pStyle w:val="TableText"/>
              <w:tabs>
                <w:tab w:val="right" w:pos="1451"/>
              </w:tabs>
              <w:spacing w:before="80" w:after="80"/>
            </w:pPr>
            <w:r>
              <w:tab/>
              <w:t>$</w:t>
            </w:r>
            <w:r w:rsidR="007925CD">
              <w:t>4</w:t>
            </w:r>
            <w:r>
              <w:t>,</w:t>
            </w:r>
            <w:r w:rsidR="007925CD">
              <w:t>347</w:t>
            </w:r>
            <w:r>
              <w:t>,</w:t>
            </w:r>
            <w:r w:rsidR="007925CD">
              <w:t>000</w:t>
            </w:r>
          </w:p>
        </w:tc>
      </w:tr>
      <w:tr w:rsidR="007925CD" w:rsidRPr="007925CD" w:rsidTr="009A1DD8">
        <w:tc>
          <w:tcPr>
            <w:tcW w:w="2410" w:type="dxa"/>
          </w:tcPr>
          <w:p w:rsidR="007925CD" w:rsidRPr="007925CD" w:rsidRDefault="007925CD" w:rsidP="009A1DD8">
            <w:pPr>
              <w:pStyle w:val="TableText"/>
              <w:spacing w:before="80" w:after="80"/>
            </w:pPr>
            <w:r w:rsidRPr="007925CD">
              <w:t>135 – 8.0%</w:t>
            </w:r>
          </w:p>
        </w:tc>
        <w:tc>
          <w:tcPr>
            <w:tcW w:w="1559" w:type="dxa"/>
            <w:vAlign w:val="bottom"/>
          </w:tcPr>
          <w:p w:rsidR="007925CD" w:rsidRPr="007925CD" w:rsidRDefault="007925CD" w:rsidP="009A1DD8">
            <w:pPr>
              <w:pStyle w:val="TableText"/>
              <w:spacing w:before="80" w:after="80"/>
              <w:jc w:val="center"/>
            </w:pPr>
            <w:r w:rsidRPr="007925CD">
              <w:t>60%</w:t>
            </w:r>
          </w:p>
        </w:tc>
        <w:tc>
          <w:tcPr>
            <w:tcW w:w="1843" w:type="dxa"/>
            <w:vAlign w:val="bottom"/>
          </w:tcPr>
          <w:p w:rsidR="007925CD" w:rsidRPr="007925CD" w:rsidRDefault="007925CD" w:rsidP="009A1DD8">
            <w:pPr>
              <w:pStyle w:val="TableText"/>
              <w:tabs>
                <w:tab w:val="decimal" w:pos="917"/>
              </w:tabs>
              <w:spacing w:before="80" w:after="80"/>
            </w:pPr>
            <w:r w:rsidRPr="007925CD">
              <w:t>$15.80</w:t>
            </w:r>
          </w:p>
        </w:tc>
        <w:tc>
          <w:tcPr>
            <w:tcW w:w="2693" w:type="dxa"/>
            <w:vAlign w:val="bottom"/>
          </w:tcPr>
          <w:p w:rsidR="007925CD" w:rsidRDefault="009A1DD8" w:rsidP="009A1DD8">
            <w:pPr>
              <w:pStyle w:val="TableText"/>
              <w:tabs>
                <w:tab w:val="right" w:pos="1451"/>
              </w:tabs>
              <w:spacing w:before="80" w:after="80"/>
            </w:pPr>
            <w:r>
              <w:tab/>
              <w:t>$</w:t>
            </w:r>
            <w:r w:rsidR="007925CD">
              <w:t>4</w:t>
            </w:r>
            <w:r>
              <w:t>,</w:t>
            </w:r>
            <w:r w:rsidR="007925CD">
              <w:t>740</w:t>
            </w:r>
            <w:r>
              <w:t>,</w:t>
            </w:r>
            <w:r w:rsidR="007925CD">
              <w:t>000</w:t>
            </w:r>
          </w:p>
        </w:tc>
      </w:tr>
      <w:tr w:rsidR="007925CD" w:rsidRPr="007925CD" w:rsidTr="009A1DD8">
        <w:tc>
          <w:tcPr>
            <w:tcW w:w="2410" w:type="dxa"/>
          </w:tcPr>
          <w:p w:rsidR="007925CD" w:rsidRPr="007925CD" w:rsidRDefault="007925CD" w:rsidP="009A1DD8">
            <w:pPr>
              <w:pStyle w:val="TableText"/>
              <w:spacing w:before="80" w:after="80"/>
            </w:pPr>
            <w:r w:rsidRPr="007925CD">
              <w:t>135 – 10.0%</w:t>
            </w:r>
          </w:p>
        </w:tc>
        <w:tc>
          <w:tcPr>
            <w:tcW w:w="1559" w:type="dxa"/>
            <w:vAlign w:val="bottom"/>
          </w:tcPr>
          <w:p w:rsidR="007925CD" w:rsidRPr="007925CD" w:rsidRDefault="007925CD" w:rsidP="009A1DD8">
            <w:pPr>
              <w:pStyle w:val="TableText"/>
              <w:spacing w:before="80" w:after="80"/>
              <w:jc w:val="center"/>
            </w:pPr>
            <w:r w:rsidRPr="007925CD">
              <w:t>62%</w:t>
            </w:r>
          </w:p>
        </w:tc>
        <w:tc>
          <w:tcPr>
            <w:tcW w:w="1843" w:type="dxa"/>
            <w:vAlign w:val="bottom"/>
          </w:tcPr>
          <w:p w:rsidR="007925CD" w:rsidRPr="007925CD" w:rsidRDefault="007925CD" w:rsidP="009A1DD8">
            <w:pPr>
              <w:pStyle w:val="TableText"/>
              <w:tabs>
                <w:tab w:val="decimal" w:pos="917"/>
              </w:tabs>
              <w:spacing w:before="80" w:after="80"/>
            </w:pPr>
            <w:r w:rsidRPr="007925CD">
              <w:t>$17.20</w:t>
            </w:r>
          </w:p>
        </w:tc>
        <w:tc>
          <w:tcPr>
            <w:tcW w:w="2693" w:type="dxa"/>
            <w:vAlign w:val="bottom"/>
          </w:tcPr>
          <w:p w:rsidR="007925CD" w:rsidRDefault="009A1DD8" w:rsidP="009A1DD8">
            <w:pPr>
              <w:pStyle w:val="TableText"/>
              <w:tabs>
                <w:tab w:val="right" w:pos="1451"/>
              </w:tabs>
              <w:spacing w:before="80" w:after="80"/>
            </w:pPr>
            <w:r>
              <w:tab/>
              <w:t>$</w:t>
            </w:r>
            <w:r w:rsidR="007925CD">
              <w:t>4</w:t>
            </w:r>
            <w:r>
              <w:t>,</w:t>
            </w:r>
            <w:r w:rsidR="007925CD">
              <w:t>902</w:t>
            </w:r>
            <w:r>
              <w:t>,</w:t>
            </w:r>
            <w:r w:rsidR="007925CD">
              <w:t>000</w:t>
            </w:r>
          </w:p>
        </w:tc>
      </w:tr>
      <w:tr w:rsidR="007925CD" w:rsidRPr="007925CD" w:rsidTr="009A1DD8">
        <w:tc>
          <w:tcPr>
            <w:tcW w:w="2410" w:type="dxa"/>
          </w:tcPr>
          <w:p w:rsidR="007925CD" w:rsidRPr="007925CD" w:rsidRDefault="007925CD" w:rsidP="009A1DD8">
            <w:pPr>
              <w:pStyle w:val="TableText"/>
              <w:spacing w:before="80" w:after="80"/>
            </w:pPr>
            <w:r w:rsidRPr="007925CD">
              <w:t>270 – 0.0%</w:t>
            </w:r>
          </w:p>
        </w:tc>
        <w:tc>
          <w:tcPr>
            <w:tcW w:w="1559" w:type="dxa"/>
            <w:vAlign w:val="bottom"/>
          </w:tcPr>
          <w:p w:rsidR="007925CD" w:rsidRPr="007925CD" w:rsidRDefault="007925CD" w:rsidP="009A1DD8">
            <w:pPr>
              <w:pStyle w:val="TableText"/>
              <w:spacing w:before="80" w:after="80"/>
              <w:jc w:val="center"/>
            </w:pPr>
            <w:r w:rsidRPr="007925CD">
              <w:t>53%</w:t>
            </w:r>
          </w:p>
        </w:tc>
        <w:tc>
          <w:tcPr>
            <w:tcW w:w="1843" w:type="dxa"/>
            <w:vAlign w:val="bottom"/>
          </w:tcPr>
          <w:p w:rsidR="007925CD" w:rsidRPr="007925CD" w:rsidRDefault="007925CD" w:rsidP="009A1DD8">
            <w:pPr>
              <w:pStyle w:val="TableText"/>
              <w:tabs>
                <w:tab w:val="decimal" w:pos="917"/>
              </w:tabs>
              <w:spacing w:before="80" w:after="80"/>
            </w:pPr>
            <w:r w:rsidRPr="007925CD">
              <w:t>$20.60</w:t>
            </w:r>
          </w:p>
        </w:tc>
        <w:tc>
          <w:tcPr>
            <w:tcW w:w="2693" w:type="dxa"/>
          </w:tcPr>
          <w:p w:rsidR="007925CD" w:rsidRPr="007925CD" w:rsidRDefault="007925CD" w:rsidP="009A1DD8">
            <w:pPr>
              <w:pStyle w:val="TableText"/>
              <w:tabs>
                <w:tab w:val="right" w:pos="1451"/>
              </w:tabs>
              <w:spacing w:before="80" w:after="80"/>
              <w:jc w:val="center"/>
            </w:pPr>
            <w:r>
              <w:t>NA</w:t>
            </w:r>
          </w:p>
        </w:tc>
      </w:tr>
      <w:tr w:rsidR="007925CD" w:rsidRPr="007925CD" w:rsidTr="009A1DD8">
        <w:tc>
          <w:tcPr>
            <w:tcW w:w="2410" w:type="dxa"/>
          </w:tcPr>
          <w:p w:rsidR="007925CD" w:rsidRPr="007925CD" w:rsidRDefault="007925CD" w:rsidP="009A1DD8">
            <w:pPr>
              <w:pStyle w:val="TableText"/>
              <w:spacing w:before="80" w:after="80"/>
            </w:pPr>
            <w:r w:rsidRPr="007925CD">
              <w:t>270 - 2.5%</w:t>
            </w:r>
          </w:p>
        </w:tc>
        <w:tc>
          <w:tcPr>
            <w:tcW w:w="1559" w:type="dxa"/>
            <w:vAlign w:val="bottom"/>
          </w:tcPr>
          <w:p w:rsidR="007925CD" w:rsidRPr="007925CD" w:rsidRDefault="007925CD" w:rsidP="009A1DD8">
            <w:pPr>
              <w:pStyle w:val="TableText"/>
              <w:spacing w:before="80" w:after="80"/>
              <w:jc w:val="center"/>
            </w:pPr>
            <w:r w:rsidRPr="007925CD">
              <w:t>59%</w:t>
            </w:r>
          </w:p>
        </w:tc>
        <w:tc>
          <w:tcPr>
            <w:tcW w:w="1843" w:type="dxa"/>
            <w:vAlign w:val="bottom"/>
          </w:tcPr>
          <w:p w:rsidR="007925CD" w:rsidRPr="007925CD" w:rsidRDefault="007925CD" w:rsidP="009A1DD8">
            <w:pPr>
              <w:pStyle w:val="TableText"/>
              <w:tabs>
                <w:tab w:val="decimal" w:pos="917"/>
              </w:tabs>
              <w:spacing w:before="80" w:after="80"/>
            </w:pPr>
            <w:r w:rsidRPr="007925CD">
              <w:t>$22.20</w:t>
            </w:r>
          </w:p>
        </w:tc>
        <w:tc>
          <w:tcPr>
            <w:tcW w:w="2693" w:type="dxa"/>
          </w:tcPr>
          <w:p w:rsidR="007925CD" w:rsidRPr="007925CD" w:rsidRDefault="009A1DD8" w:rsidP="009A1DD8">
            <w:pPr>
              <w:pStyle w:val="TableText"/>
              <w:tabs>
                <w:tab w:val="right" w:pos="1451"/>
              </w:tabs>
              <w:spacing w:before="80" w:after="80"/>
            </w:pPr>
            <w:r>
              <w:tab/>
              <w:t>$6,826,500</w:t>
            </w:r>
          </w:p>
        </w:tc>
      </w:tr>
      <w:tr w:rsidR="007925CD" w:rsidRPr="007925CD" w:rsidTr="009A1DD8">
        <w:tc>
          <w:tcPr>
            <w:tcW w:w="2410" w:type="dxa"/>
          </w:tcPr>
          <w:p w:rsidR="007925CD" w:rsidRPr="007925CD" w:rsidRDefault="007925CD" w:rsidP="009A1DD8">
            <w:pPr>
              <w:pStyle w:val="TableText"/>
              <w:spacing w:before="80" w:after="80"/>
            </w:pPr>
            <w:r w:rsidRPr="007925CD">
              <w:t>270 – 5.0%</w:t>
            </w:r>
          </w:p>
        </w:tc>
        <w:tc>
          <w:tcPr>
            <w:tcW w:w="1559" w:type="dxa"/>
            <w:vAlign w:val="bottom"/>
          </w:tcPr>
          <w:p w:rsidR="007925CD" w:rsidRPr="007925CD" w:rsidRDefault="007925CD" w:rsidP="009A1DD8">
            <w:pPr>
              <w:pStyle w:val="TableText"/>
              <w:spacing w:before="80" w:after="80"/>
              <w:jc w:val="center"/>
            </w:pPr>
            <w:r w:rsidRPr="007925CD">
              <w:t>53%</w:t>
            </w:r>
          </w:p>
        </w:tc>
        <w:tc>
          <w:tcPr>
            <w:tcW w:w="1843" w:type="dxa"/>
            <w:vAlign w:val="bottom"/>
          </w:tcPr>
          <w:p w:rsidR="007925CD" w:rsidRPr="007925CD" w:rsidRDefault="007925CD" w:rsidP="009A1DD8">
            <w:pPr>
              <w:pStyle w:val="TableText"/>
              <w:tabs>
                <w:tab w:val="decimal" w:pos="917"/>
              </w:tabs>
              <w:spacing w:before="80" w:after="80"/>
            </w:pPr>
            <w:r w:rsidRPr="007925CD">
              <w:t>$24.00</w:t>
            </w:r>
          </w:p>
        </w:tc>
        <w:tc>
          <w:tcPr>
            <w:tcW w:w="2693" w:type="dxa"/>
          </w:tcPr>
          <w:p w:rsidR="007925CD" w:rsidRPr="007925CD" w:rsidRDefault="007925CD" w:rsidP="009A1DD8">
            <w:pPr>
              <w:pStyle w:val="TableText"/>
              <w:tabs>
                <w:tab w:val="right" w:pos="1451"/>
              </w:tabs>
              <w:spacing w:before="80" w:after="80"/>
              <w:jc w:val="center"/>
            </w:pPr>
            <w:r>
              <w:t>NA</w:t>
            </w:r>
          </w:p>
        </w:tc>
      </w:tr>
      <w:tr w:rsidR="007925CD" w:rsidRPr="007925CD" w:rsidTr="009A1DD8">
        <w:tc>
          <w:tcPr>
            <w:tcW w:w="2410" w:type="dxa"/>
          </w:tcPr>
          <w:p w:rsidR="007925CD" w:rsidRPr="007925CD" w:rsidRDefault="007925CD" w:rsidP="009A1DD8">
            <w:pPr>
              <w:pStyle w:val="TableText"/>
              <w:spacing w:before="80" w:after="80"/>
            </w:pPr>
            <w:r w:rsidRPr="007925CD">
              <w:t>270 – 8.0%</w:t>
            </w:r>
          </w:p>
        </w:tc>
        <w:tc>
          <w:tcPr>
            <w:tcW w:w="1559" w:type="dxa"/>
            <w:vAlign w:val="bottom"/>
          </w:tcPr>
          <w:p w:rsidR="007925CD" w:rsidRPr="007925CD" w:rsidRDefault="007925CD" w:rsidP="009A1DD8">
            <w:pPr>
              <w:pStyle w:val="TableText"/>
              <w:spacing w:before="80" w:after="80"/>
              <w:jc w:val="center"/>
            </w:pPr>
            <w:r w:rsidRPr="007925CD">
              <w:t>56%</w:t>
            </w:r>
          </w:p>
        </w:tc>
        <w:tc>
          <w:tcPr>
            <w:tcW w:w="1843" w:type="dxa"/>
            <w:vAlign w:val="bottom"/>
          </w:tcPr>
          <w:p w:rsidR="007925CD" w:rsidRPr="007925CD" w:rsidRDefault="007925CD" w:rsidP="009A1DD8">
            <w:pPr>
              <w:pStyle w:val="TableText"/>
              <w:tabs>
                <w:tab w:val="decimal" w:pos="917"/>
              </w:tabs>
              <w:spacing w:before="80" w:after="80"/>
            </w:pPr>
            <w:r w:rsidRPr="007925CD">
              <w:t>$26.00</w:t>
            </w:r>
          </w:p>
        </w:tc>
        <w:tc>
          <w:tcPr>
            <w:tcW w:w="2693" w:type="dxa"/>
          </w:tcPr>
          <w:p w:rsidR="007925CD" w:rsidRPr="007925CD" w:rsidRDefault="009A1DD8" w:rsidP="009A1DD8">
            <w:pPr>
              <w:pStyle w:val="TableText"/>
              <w:tabs>
                <w:tab w:val="right" w:pos="1451"/>
              </w:tabs>
              <w:spacing w:before="80" w:after="80"/>
            </w:pPr>
            <w:r>
              <w:tab/>
              <w:t>$8,580,000</w:t>
            </w:r>
          </w:p>
        </w:tc>
      </w:tr>
      <w:tr w:rsidR="007925CD" w:rsidRPr="007925CD" w:rsidTr="009A1DD8">
        <w:tc>
          <w:tcPr>
            <w:tcW w:w="2410" w:type="dxa"/>
          </w:tcPr>
          <w:p w:rsidR="007925CD" w:rsidRPr="007925CD" w:rsidRDefault="007925CD" w:rsidP="009A1DD8">
            <w:pPr>
              <w:pStyle w:val="TableText"/>
              <w:spacing w:before="80" w:after="80"/>
            </w:pPr>
            <w:r w:rsidRPr="007925CD">
              <w:t>270 – 10.0%</w:t>
            </w:r>
          </w:p>
        </w:tc>
        <w:tc>
          <w:tcPr>
            <w:tcW w:w="1559" w:type="dxa"/>
            <w:vAlign w:val="bottom"/>
          </w:tcPr>
          <w:p w:rsidR="007925CD" w:rsidRPr="007925CD" w:rsidRDefault="007925CD" w:rsidP="009A1DD8">
            <w:pPr>
              <w:pStyle w:val="TableText"/>
              <w:spacing w:before="80" w:after="80"/>
              <w:jc w:val="center"/>
            </w:pPr>
            <w:r w:rsidRPr="007925CD">
              <w:t>57%</w:t>
            </w:r>
          </w:p>
        </w:tc>
        <w:tc>
          <w:tcPr>
            <w:tcW w:w="1843" w:type="dxa"/>
            <w:vAlign w:val="bottom"/>
          </w:tcPr>
          <w:p w:rsidR="007925CD" w:rsidRPr="007925CD" w:rsidRDefault="007925CD" w:rsidP="009A1DD8">
            <w:pPr>
              <w:pStyle w:val="TableText"/>
              <w:tabs>
                <w:tab w:val="decimal" w:pos="917"/>
              </w:tabs>
              <w:spacing w:before="80" w:after="80"/>
            </w:pPr>
            <w:r w:rsidRPr="007925CD">
              <w:t>$27.60</w:t>
            </w:r>
          </w:p>
        </w:tc>
        <w:tc>
          <w:tcPr>
            <w:tcW w:w="2693" w:type="dxa"/>
          </w:tcPr>
          <w:p w:rsidR="007925CD" w:rsidRPr="007925CD" w:rsidRDefault="009A1DD8" w:rsidP="009A1DD8">
            <w:pPr>
              <w:pStyle w:val="TableText"/>
              <w:tabs>
                <w:tab w:val="right" w:pos="1451"/>
              </w:tabs>
              <w:spacing w:before="80" w:after="80"/>
            </w:pPr>
            <w:r>
              <w:tab/>
              <w:t>$8,901,000</w:t>
            </w:r>
          </w:p>
        </w:tc>
      </w:tr>
      <w:tr w:rsidR="007925CD" w:rsidRPr="007925CD" w:rsidTr="009A1DD8">
        <w:tc>
          <w:tcPr>
            <w:tcW w:w="2410" w:type="dxa"/>
          </w:tcPr>
          <w:p w:rsidR="007925CD" w:rsidRPr="007925CD" w:rsidRDefault="007925CD" w:rsidP="009A1DD8">
            <w:pPr>
              <w:pStyle w:val="TableText"/>
              <w:spacing w:before="80" w:after="80"/>
            </w:pPr>
            <w:r w:rsidRPr="007925CD">
              <w:t>375 – 0.0%</w:t>
            </w:r>
          </w:p>
        </w:tc>
        <w:tc>
          <w:tcPr>
            <w:tcW w:w="1559" w:type="dxa"/>
            <w:vAlign w:val="bottom"/>
          </w:tcPr>
          <w:p w:rsidR="007925CD" w:rsidRPr="007925CD" w:rsidRDefault="007925CD" w:rsidP="009A1DD8">
            <w:pPr>
              <w:pStyle w:val="TableText"/>
              <w:spacing w:before="80" w:after="80"/>
              <w:jc w:val="center"/>
            </w:pPr>
            <w:r w:rsidRPr="007925CD">
              <w:t>49%</w:t>
            </w:r>
          </w:p>
        </w:tc>
        <w:tc>
          <w:tcPr>
            <w:tcW w:w="1843" w:type="dxa"/>
            <w:vAlign w:val="bottom"/>
          </w:tcPr>
          <w:p w:rsidR="007925CD" w:rsidRPr="007925CD" w:rsidRDefault="007925CD" w:rsidP="009A1DD8">
            <w:pPr>
              <w:pStyle w:val="TableText"/>
              <w:tabs>
                <w:tab w:val="decimal" w:pos="917"/>
              </w:tabs>
              <w:spacing w:before="80" w:after="80"/>
            </w:pPr>
            <w:r w:rsidRPr="007925CD">
              <w:t>$30.80</w:t>
            </w:r>
          </w:p>
        </w:tc>
        <w:tc>
          <w:tcPr>
            <w:tcW w:w="2693" w:type="dxa"/>
          </w:tcPr>
          <w:p w:rsidR="007925CD" w:rsidRPr="007925CD" w:rsidRDefault="007925CD" w:rsidP="009A1DD8">
            <w:pPr>
              <w:pStyle w:val="TableText"/>
              <w:tabs>
                <w:tab w:val="right" w:pos="1451"/>
              </w:tabs>
              <w:spacing w:before="80" w:after="80"/>
              <w:jc w:val="center"/>
            </w:pPr>
            <w:r>
              <w:t>NA</w:t>
            </w:r>
          </w:p>
        </w:tc>
      </w:tr>
      <w:tr w:rsidR="007925CD" w:rsidRPr="007925CD" w:rsidTr="009A1DD8">
        <w:tc>
          <w:tcPr>
            <w:tcW w:w="2410" w:type="dxa"/>
          </w:tcPr>
          <w:p w:rsidR="007925CD" w:rsidRPr="007925CD" w:rsidRDefault="007925CD" w:rsidP="009A1DD8">
            <w:pPr>
              <w:pStyle w:val="TableText"/>
              <w:spacing w:before="80" w:after="80"/>
            </w:pPr>
            <w:r w:rsidRPr="007925CD">
              <w:t>375 - 2.5%</w:t>
            </w:r>
          </w:p>
        </w:tc>
        <w:tc>
          <w:tcPr>
            <w:tcW w:w="1559" w:type="dxa"/>
            <w:vAlign w:val="bottom"/>
          </w:tcPr>
          <w:p w:rsidR="007925CD" w:rsidRPr="007925CD" w:rsidRDefault="007925CD" w:rsidP="009A1DD8">
            <w:pPr>
              <w:pStyle w:val="TableText"/>
              <w:spacing w:before="80" w:after="80"/>
              <w:jc w:val="center"/>
            </w:pPr>
            <w:r w:rsidRPr="007925CD">
              <w:t>55%</w:t>
            </w:r>
          </w:p>
        </w:tc>
        <w:tc>
          <w:tcPr>
            <w:tcW w:w="1843" w:type="dxa"/>
            <w:vAlign w:val="bottom"/>
          </w:tcPr>
          <w:p w:rsidR="007925CD" w:rsidRPr="007925CD" w:rsidRDefault="007925CD" w:rsidP="009A1DD8">
            <w:pPr>
              <w:pStyle w:val="TableText"/>
              <w:tabs>
                <w:tab w:val="decimal" w:pos="917"/>
              </w:tabs>
              <w:spacing w:before="80" w:after="80"/>
            </w:pPr>
            <w:r w:rsidRPr="007925CD">
              <w:t>$30.40</w:t>
            </w:r>
          </w:p>
        </w:tc>
        <w:tc>
          <w:tcPr>
            <w:tcW w:w="2693" w:type="dxa"/>
          </w:tcPr>
          <w:p w:rsidR="007925CD" w:rsidRPr="007925CD" w:rsidRDefault="009A1DD8" w:rsidP="009A1DD8">
            <w:pPr>
              <w:pStyle w:val="TableText"/>
              <w:tabs>
                <w:tab w:val="right" w:pos="1451"/>
              </w:tabs>
              <w:spacing w:before="80" w:after="80"/>
            </w:pPr>
            <w:r>
              <w:tab/>
              <w:t>$10,260,000</w:t>
            </w:r>
          </w:p>
        </w:tc>
      </w:tr>
      <w:tr w:rsidR="007925CD" w:rsidRPr="007925CD" w:rsidTr="009A1DD8">
        <w:tc>
          <w:tcPr>
            <w:tcW w:w="2410" w:type="dxa"/>
          </w:tcPr>
          <w:p w:rsidR="007925CD" w:rsidRPr="007925CD" w:rsidRDefault="007925CD" w:rsidP="009A1DD8">
            <w:pPr>
              <w:pStyle w:val="TableText"/>
              <w:spacing w:before="80" w:after="80"/>
            </w:pPr>
            <w:r w:rsidRPr="007925CD">
              <w:t>375 – 5.0%</w:t>
            </w:r>
          </w:p>
        </w:tc>
        <w:tc>
          <w:tcPr>
            <w:tcW w:w="1559" w:type="dxa"/>
          </w:tcPr>
          <w:p w:rsidR="007925CD" w:rsidRPr="007925CD" w:rsidRDefault="007925CD" w:rsidP="009A1DD8">
            <w:pPr>
              <w:pStyle w:val="TableText"/>
              <w:spacing w:before="80" w:after="80"/>
              <w:jc w:val="center"/>
            </w:pPr>
            <w:r w:rsidRPr="007925CD">
              <w:t>49%</w:t>
            </w:r>
          </w:p>
        </w:tc>
        <w:tc>
          <w:tcPr>
            <w:tcW w:w="1843" w:type="dxa"/>
          </w:tcPr>
          <w:p w:rsidR="007925CD" w:rsidRPr="007925CD" w:rsidRDefault="007925CD" w:rsidP="009A1DD8">
            <w:pPr>
              <w:pStyle w:val="TableText"/>
              <w:tabs>
                <w:tab w:val="decimal" w:pos="917"/>
              </w:tabs>
              <w:spacing w:before="80" w:after="80"/>
            </w:pPr>
            <w:r w:rsidRPr="007925CD">
              <w:t>$32.30</w:t>
            </w:r>
          </w:p>
        </w:tc>
        <w:tc>
          <w:tcPr>
            <w:tcW w:w="2693" w:type="dxa"/>
          </w:tcPr>
          <w:p w:rsidR="007925CD" w:rsidRPr="007925CD" w:rsidRDefault="007925CD" w:rsidP="009A1DD8">
            <w:pPr>
              <w:pStyle w:val="TableText"/>
              <w:tabs>
                <w:tab w:val="right" w:pos="1451"/>
              </w:tabs>
              <w:spacing w:before="80" w:after="80"/>
              <w:jc w:val="center"/>
            </w:pPr>
            <w:r>
              <w:t>NA</w:t>
            </w:r>
          </w:p>
        </w:tc>
      </w:tr>
      <w:tr w:rsidR="007925CD" w:rsidRPr="007925CD" w:rsidTr="009A1DD8">
        <w:tc>
          <w:tcPr>
            <w:tcW w:w="2410" w:type="dxa"/>
          </w:tcPr>
          <w:p w:rsidR="007925CD" w:rsidRPr="007925CD" w:rsidRDefault="007925CD" w:rsidP="009A1DD8">
            <w:pPr>
              <w:pStyle w:val="TableText"/>
              <w:spacing w:before="80" w:after="80"/>
            </w:pPr>
            <w:r w:rsidRPr="007925CD">
              <w:t>375 – 8.0%</w:t>
            </w:r>
          </w:p>
        </w:tc>
        <w:tc>
          <w:tcPr>
            <w:tcW w:w="1559" w:type="dxa"/>
          </w:tcPr>
          <w:p w:rsidR="007925CD" w:rsidRPr="007925CD" w:rsidRDefault="007925CD" w:rsidP="009A1DD8">
            <w:pPr>
              <w:pStyle w:val="TableText"/>
              <w:spacing w:before="80" w:after="80"/>
              <w:jc w:val="center"/>
            </w:pPr>
            <w:r w:rsidRPr="007925CD">
              <w:t>52%</w:t>
            </w:r>
          </w:p>
        </w:tc>
        <w:tc>
          <w:tcPr>
            <w:tcW w:w="1843" w:type="dxa"/>
          </w:tcPr>
          <w:p w:rsidR="007925CD" w:rsidRPr="007925CD" w:rsidRDefault="007925CD" w:rsidP="009A1DD8">
            <w:pPr>
              <w:pStyle w:val="TableText"/>
              <w:tabs>
                <w:tab w:val="decimal" w:pos="917"/>
              </w:tabs>
              <w:spacing w:before="80" w:after="80"/>
            </w:pPr>
            <w:r w:rsidRPr="007925CD">
              <w:t>$34.40</w:t>
            </w:r>
          </w:p>
        </w:tc>
        <w:tc>
          <w:tcPr>
            <w:tcW w:w="2693" w:type="dxa"/>
          </w:tcPr>
          <w:p w:rsidR="007925CD" w:rsidRPr="007925CD" w:rsidRDefault="007925CD" w:rsidP="009A1DD8">
            <w:pPr>
              <w:pStyle w:val="TableText"/>
              <w:tabs>
                <w:tab w:val="right" w:pos="1451"/>
              </w:tabs>
              <w:spacing w:before="80" w:after="80"/>
              <w:jc w:val="center"/>
            </w:pPr>
            <w:r>
              <w:t>NA</w:t>
            </w:r>
          </w:p>
        </w:tc>
      </w:tr>
      <w:tr w:rsidR="007925CD" w:rsidRPr="007925CD" w:rsidTr="009A1DD8">
        <w:tc>
          <w:tcPr>
            <w:tcW w:w="2410" w:type="dxa"/>
            <w:tcBorders>
              <w:bottom w:val="single" w:sz="24" w:space="0" w:color="09869B"/>
            </w:tcBorders>
          </w:tcPr>
          <w:p w:rsidR="007925CD" w:rsidRPr="007925CD" w:rsidRDefault="007925CD" w:rsidP="009A1DD8">
            <w:pPr>
              <w:pStyle w:val="TableText"/>
              <w:spacing w:before="80" w:after="80"/>
            </w:pPr>
            <w:r w:rsidRPr="007925CD">
              <w:t>375 – 10.0%</w:t>
            </w:r>
          </w:p>
        </w:tc>
        <w:tc>
          <w:tcPr>
            <w:tcW w:w="1559" w:type="dxa"/>
            <w:tcBorders>
              <w:bottom w:val="single" w:sz="24" w:space="0" w:color="09869B"/>
            </w:tcBorders>
          </w:tcPr>
          <w:p w:rsidR="007925CD" w:rsidRPr="007925CD" w:rsidRDefault="007925CD" w:rsidP="009A1DD8">
            <w:pPr>
              <w:pStyle w:val="TableText"/>
              <w:spacing w:before="80" w:after="80"/>
              <w:jc w:val="center"/>
            </w:pPr>
            <w:r w:rsidRPr="007925CD">
              <w:t>53%</w:t>
            </w:r>
          </w:p>
        </w:tc>
        <w:tc>
          <w:tcPr>
            <w:tcW w:w="1843" w:type="dxa"/>
            <w:tcBorders>
              <w:bottom w:val="single" w:sz="24" w:space="0" w:color="09869B"/>
            </w:tcBorders>
          </w:tcPr>
          <w:p w:rsidR="007925CD" w:rsidRPr="007925CD" w:rsidRDefault="007925CD" w:rsidP="009A1DD8">
            <w:pPr>
              <w:pStyle w:val="TableText"/>
              <w:tabs>
                <w:tab w:val="decimal" w:pos="917"/>
              </w:tabs>
              <w:spacing w:before="80" w:after="80"/>
            </w:pPr>
            <w:r w:rsidRPr="007925CD">
              <w:t>$35.60</w:t>
            </w:r>
          </w:p>
        </w:tc>
        <w:tc>
          <w:tcPr>
            <w:tcW w:w="2693" w:type="dxa"/>
            <w:tcBorders>
              <w:bottom w:val="single" w:sz="24" w:space="0" w:color="09869B"/>
            </w:tcBorders>
          </w:tcPr>
          <w:p w:rsidR="007925CD" w:rsidRPr="007925CD" w:rsidRDefault="007925CD" w:rsidP="009A1DD8">
            <w:pPr>
              <w:pStyle w:val="TableText"/>
              <w:tabs>
                <w:tab w:val="right" w:pos="1451"/>
              </w:tabs>
              <w:spacing w:before="80" w:after="80"/>
              <w:jc w:val="center"/>
            </w:pPr>
            <w:r>
              <w:t>NA</w:t>
            </w:r>
          </w:p>
        </w:tc>
      </w:tr>
    </w:tbl>
    <w:p w:rsidR="004803E7" w:rsidRDefault="002C3090" w:rsidP="002C3090">
      <w:pPr>
        <w:pStyle w:val="Source"/>
        <w:rPr>
          <w:lang w:eastAsia="en-NZ"/>
        </w:rPr>
      </w:pPr>
      <w:r>
        <w:rPr>
          <w:lang w:eastAsia="en-NZ"/>
        </w:rPr>
        <w:t>Source: OGW analysis</w:t>
      </w:r>
    </w:p>
    <w:p w:rsidR="002C3090" w:rsidRDefault="002C3090" w:rsidP="002C3090">
      <w:pPr>
        <w:pStyle w:val="BodyText"/>
        <w:rPr>
          <w:lang w:eastAsia="en-NZ"/>
        </w:rPr>
      </w:pPr>
      <w:r>
        <w:rPr>
          <w:lang w:eastAsia="en-NZ"/>
        </w:rPr>
        <w:t xml:space="preserve">As shown, this approach would select the service bundle comprised of 0 km </w:t>
      </w:r>
      <w:r w:rsidR="00321220">
        <w:rPr>
          <w:lang w:eastAsia="en-NZ"/>
        </w:rPr>
        <w:t xml:space="preserve">of undergrounding of powerlines in HBFRAs and BFRAs, and </w:t>
      </w:r>
      <w:r w:rsidR="00321220" w:rsidRPr="00321220">
        <w:rPr>
          <w:lang w:eastAsia="en-NZ"/>
        </w:rPr>
        <w:t xml:space="preserve">removal and replacement of inappropriate vegetation </w:t>
      </w:r>
      <w:r w:rsidR="00321220">
        <w:rPr>
          <w:lang w:eastAsia="en-NZ"/>
        </w:rPr>
        <w:t xml:space="preserve">in </w:t>
      </w:r>
      <w:r>
        <w:rPr>
          <w:lang w:eastAsia="en-NZ"/>
        </w:rPr>
        <w:t>2.5%</w:t>
      </w:r>
      <w:r w:rsidR="00321220">
        <w:rPr>
          <w:lang w:eastAsia="en-NZ"/>
        </w:rPr>
        <w:t xml:space="preserve"> of the HBFRAs and BFRAs, rather than the 135 km of undergrounding and </w:t>
      </w:r>
      <w:r w:rsidR="00321220" w:rsidRPr="00321220">
        <w:rPr>
          <w:lang w:eastAsia="en-NZ"/>
        </w:rPr>
        <w:t>removal and replacement of inappropriate</w:t>
      </w:r>
      <w:r w:rsidR="00321220">
        <w:rPr>
          <w:lang w:eastAsia="en-NZ"/>
        </w:rPr>
        <w:t xml:space="preserve"> vegetation in 2.5% of the areas.  This option would reduce the additional annual costs to those who were not willing to pay for this service from $12.00 per customer to $1.60, and reduce aggregate costs to those who were not willing to pay for this service from </w:t>
      </w:r>
      <w:r w:rsidR="00321220">
        <w:t>$3,330,000 to $516,000</w:t>
      </w:r>
      <w:r w:rsidR="00321220">
        <w:rPr>
          <w:lang w:eastAsia="en-NZ"/>
        </w:rPr>
        <w:t>.</w:t>
      </w:r>
    </w:p>
    <w:p w:rsidR="00321220" w:rsidRDefault="00321220" w:rsidP="002C3090">
      <w:pPr>
        <w:pStyle w:val="BodyText"/>
        <w:rPr>
          <w:lang w:eastAsia="en-NZ"/>
        </w:rPr>
      </w:pPr>
      <w:r>
        <w:rPr>
          <w:lang w:eastAsia="en-NZ"/>
        </w:rPr>
        <w:t>Note that the majority ha</w:t>
      </w:r>
      <w:r w:rsidR="00B915A6">
        <w:rPr>
          <w:lang w:eastAsia="en-NZ"/>
        </w:rPr>
        <w:t>s</w:t>
      </w:r>
      <w:r>
        <w:rPr>
          <w:lang w:eastAsia="en-NZ"/>
        </w:rPr>
        <w:t xml:space="preserve"> still occasioned an improvement in service, but at the least cost to those who were not willing to pay for improvements in this service area.</w:t>
      </w:r>
    </w:p>
    <w:p w:rsidR="00B915A6" w:rsidRDefault="00B915A6" w:rsidP="002C3090">
      <w:pPr>
        <w:pStyle w:val="BodyText"/>
        <w:rPr>
          <w:lang w:eastAsia="en-NZ"/>
        </w:rPr>
      </w:pPr>
      <w:r>
        <w:rPr>
          <w:lang w:eastAsia="en-NZ"/>
        </w:rPr>
        <w:t>Further thoughts about the modelling of the willingness to pay for this service area are discussed later in this section.</w:t>
      </w:r>
    </w:p>
    <w:p w:rsidR="00895DEB" w:rsidRDefault="00321220" w:rsidP="002C3090">
      <w:pPr>
        <w:pStyle w:val="BodyText"/>
        <w:rPr>
          <w:lang w:eastAsia="en-NZ"/>
        </w:rPr>
      </w:pPr>
      <w:r>
        <w:rPr>
          <w:lang w:eastAsia="en-NZ"/>
        </w:rPr>
        <w:t xml:space="preserve">Use of this approach in </w:t>
      </w:r>
      <w:r w:rsidR="002C3090">
        <w:rPr>
          <w:lang w:eastAsia="en-NZ"/>
        </w:rPr>
        <w:t>the other service areas investigated in the NTF WTP results in</w:t>
      </w:r>
      <w:r w:rsidR="00B776D8">
        <w:rPr>
          <w:lang w:eastAsia="en-NZ"/>
        </w:rPr>
        <w:t>:</w:t>
      </w:r>
    </w:p>
    <w:p w:rsidR="00B776D8" w:rsidRDefault="00B776D8" w:rsidP="00B776D8">
      <w:pPr>
        <w:pStyle w:val="ListBullet"/>
        <w:rPr>
          <w:lang w:eastAsia="en-NZ"/>
        </w:rPr>
      </w:pPr>
      <w:r>
        <w:rPr>
          <w:lang w:eastAsia="en-NZ"/>
        </w:rPr>
        <w:t xml:space="preserve">A preference in NBFRAs for </w:t>
      </w:r>
    </w:p>
    <w:p w:rsidR="00B776D8" w:rsidRDefault="00B776D8" w:rsidP="00B776D8">
      <w:pPr>
        <w:pStyle w:val="ListBullet2"/>
        <w:rPr>
          <w:lang w:eastAsia="en-NZ"/>
        </w:rPr>
      </w:pPr>
      <w:r>
        <w:rPr>
          <w:lang w:eastAsia="en-NZ"/>
        </w:rPr>
        <w:t>a 3 year tree trimming</w:t>
      </w:r>
      <w:r w:rsidR="000377FF">
        <w:rPr>
          <w:lang w:eastAsia="en-NZ"/>
        </w:rPr>
        <w:t xml:space="preserve"> cycle</w:t>
      </w:r>
      <w:r>
        <w:rPr>
          <w:lang w:eastAsia="en-NZ"/>
        </w:rPr>
        <w:t xml:space="preserve">, </w:t>
      </w:r>
      <w:r w:rsidR="000A1284" w:rsidRPr="00B776D8">
        <w:rPr>
          <w:lang w:eastAsia="en-NZ"/>
        </w:rPr>
        <w:t>removal and replacement of inappropriate vegetation in about 2.5% of the target area</w:t>
      </w:r>
      <w:r w:rsidRPr="00B776D8">
        <w:rPr>
          <w:lang w:eastAsia="en-NZ"/>
        </w:rPr>
        <w:t>,</w:t>
      </w:r>
      <w:r>
        <w:rPr>
          <w:lang w:eastAsia="en-NZ"/>
        </w:rPr>
        <w:t xml:space="preserve"> and </w:t>
      </w:r>
      <w:r w:rsidR="000A1284">
        <w:rPr>
          <w:lang w:eastAsia="en-NZ"/>
        </w:rPr>
        <w:t xml:space="preserve">no </w:t>
      </w:r>
      <w:r>
        <w:rPr>
          <w:lang w:eastAsia="en-NZ"/>
        </w:rPr>
        <w:t xml:space="preserve">undergrounding </w:t>
      </w:r>
    </w:p>
    <w:p w:rsidR="00895DEB" w:rsidRDefault="00B776D8" w:rsidP="00B915A6">
      <w:pPr>
        <w:pStyle w:val="ListBullet2"/>
        <w:rPr>
          <w:lang w:eastAsia="en-NZ"/>
        </w:rPr>
      </w:pPr>
      <w:r>
        <w:rPr>
          <w:lang w:eastAsia="en-NZ"/>
        </w:rPr>
        <w:lastRenderedPageBreak/>
        <w:t xml:space="preserve">rather than the </w:t>
      </w:r>
      <w:r w:rsidRPr="00372210">
        <w:rPr>
          <w:lang w:eastAsia="en-NZ"/>
        </w:rPr>
        <w:t>move from a 3 year to a 2 year trimming cycle for vegetation near power lines</w:t>
      </w:r>
      <w:r>
        <w:rPr>
          <w:lang w:eastAsia="en-NZ"/>
        </w:rPr>
        <w:t xml:space="preserve">, </w:t>
      </w:r>
      <w:r w:rsidRPr="00B776D8">
        <w:rPr>
          <w:lang w:eastAsia="en-NZ"/>
        </w:rPr>
        <w:t xml:space="preserve">removal and replacement of inappropriate vegetation in about 2.5% of the target area and </w:t>
      </w:r>
      <w:r>
        <w:rPr>
          <w:lang w:eastAsia="en-NZ"/>
        </w:rPr>
        <w:t>undergrounding of about 1</w:t>
      </w:r>
      <w:r w:rsidR="00166AED">
        <w:rPr>
          <w:lang w:eastAsia="en-NZ"/>
        </w:rPr>
        <w:t>40</w:t>
      </w:r>
      <w:r>
        <w:rPr>
          <w:lang w:eastAsia="en-NZ"/>
        </w:rPr>
        <w:t xml:space="preserve"> km of powerlines.</w:t>
      </w:r>
    </w:p>
    <w:p w:rsidR="00B776D8" w:rsidRDefault="00B776D8" w:rsidP="00B776D8">
      <w:pPr>
        <w:pStyle w:val="ListBullet1Body"/>
        <w:rPr>
          <w:lang w:eastAsia="en-NZ"/>
        </w:rPr>
      </w:pPr>
      <w:r>
        <w:rPr>
          <w:lang w:eastAsia="en-NZ"/>
        </w:rPr>
        <w:t xml:space="preserve">This shift would </w:t>
      </w:r>
      <w:r w:rsidR="00166AED">
        <w:rPr>
          <w:lang w:eastAsia="en-NZ"/>
        </w:rPr>
        <w:t>reduce the annual additional cost of those who were not willing to pay to improve this service from $29.40 to $0.40, and would also reduce aggregate costs to those who were not willing to pay to improve this service from $8,599,500 to $108,000.</w:t>
      </w:r>
    </w:p>
    <w:p w:rsidR="00372210" w:rsidRDefault="00166AED" w:rsidP="00166AED">
      <w:pPr>
        <w:pStyle w:val="ListBullet"/>
        <w:rPr>
          <w:lang w:eastAsia="en-NZ"/>
        </w:rPr>
      </w:pPr>
      <w:r>
        <w:rPr>
          <w:lang w:eastAsia="en-NZ"/>
        </w:rPr>
        <w:t>A preference for treating 10 blackspot traffic intersections rather than 20, as this would reduce the annual additional cost paid by those unwilling to fund this service initiative from $</w:t>
      </w:r>
      <w:r w:rsidR="00B915A6">
        <w:rPr>
          <w:lang w:eastAsia="en-NZ"/>
        </w:rPr>
        <w:t>6.2</w:t>
      </w:r>
      <w:r>
        <w:rPr>
          <w:lang w:eastAsia="en-NZ"/>
        </w:rPr>
        <w:t>0 to $3.00</w:t>
      </w:r>
      <w:r w:rsidR="00B915A6">
        <w:rPr>
          <w:lang w:eastAsia="en-NZ"/>
        </w:rPr>
        <w:t>.  Further thoughts about the modelling of the willingness to pay for this service area are discussed later in this section.</w:t>
      </w:r>
    </w:p>
    <w:p w:rsidR="00C07958" w:rsidRDefault="00B915A6" w:rsidP="00C07958">
      <w:pPr>
        <w:pStyle w:val="BodyText"/>
        <w:rPr>
          <w:lang w:eastAsia="en-NZ"/>
        </w:rPr>
      </w:pPr>
      <w:r>
        <w:rPr>
          <w:lang w:eastAsia="en-NZ"/>
        </w:rPr>
        <w:t xml:space="preserve">We think this approach is particularly warranted given SAPN customers’ concerns about future electricity prices.  </w:t>
      </w:r>
      <w:r w:rsidR="00C07958">
        <w:rPr>
          <w:lang w:eastAsia="en-NZ"/>
        </w:rPr>
        <w:t>As noted above, the WTP survey addressed a number of areas in addition to customers’ WTP regarding service levels in the areas of vegetation management and the undergrounding of powerlines.</w:t>
      </w:r>
    </w:p>
    <w:p w:rsidR="00C07958" w:rsidRDefault="00C07958" w:rsidP="00C07958">
      <w:pPr>
        <w:pStyle w:val="BodyText"/>
        <w:rPr>
          <w:lang w:eastAsia="en-NZ"/>
        </w:rPr>
      </w:pPr>
      <w:r>
        <w:rPr>
          <w:lang w:eastAsia="en-NZ"/>
        </w:rPr>
        <w:t>One set of questions explored customers’ views about future electricity prices.  In its analysis of survey results, NTF found that those views were related to customers’ satisfaction levels:</w:t>
      </w:r>
    </w:p>
    <w:p w:rsidR="00C07958" w:rsidRDefault="00C07958" w:rsidP="00C07958">
      <w:pPr>
        <w:pStyle w:val="Quotationsblue"/>
        <w:rPr>
          <w:lang w:eastAsia="en-NZ"/>
        </w:rPr>
      </w:pPr>
      <w:r>
        <w:rPr>
          <w:lang w:eastAsia="en-NZ"/>
        </w:rPr>
        <w:t>Overall satisfaction with SA Power Networks also appears to be correlated with customer concerns about future price increases.  The following chart shows that the more concerned customers are regarding electricity price increases, the more likely they are to be dissatisfied with SA Power Networks.  Only 44% of customers who indicated that they were very satisfied with SA Power Networks were very concerned about rising electricity costs.</w:t>
      </w:r>
      <w:r w:rsidRPr="00C07958">
        <w:rPr>
          <w:rStyle w:val="FootnoteReference"/>
          <w:i w:val="0"/>
          <w:color w:val="auto"/>
          <w:lang w:eastAsia="en-NZ"/>
        </w:rPr>
        <w:footnoteReference w:id="14"/>
      </w:r>
      <w:r>
        <w:rPr>
          <w:lang w:eastAsia="en-NZ"/>
        </w:rPr>
        <w:t xml:space="preserve"> </w:t>
      </w:r>
    </w:p>
    <w:p w:rsidR="0078743A" w:rsidRDefault="002F21CF" w:rsidP="002F21CF">
      <w:pPr>
        <w:pStyle w:val="Caption"/>
        <w:rPr>
          <w:b w:val="0"/>
          <w:lang w:eastAsia="en-NZ"/>
        </w:rPr>
      </w:pPr>
      <w:bookmarkStart w:id="32" w:name="_Toc416971036"/>
      <w:r>
        <w:t xml:space="preserve">Figure </w:t>
      </w:r>
      <w:r>
        <w:fldChar w:fldCharType="begin"/>
      </w:r>
      <w:r>
        <w:instrText xml:space="preserve"> SEQ Figure \* ARABIC </w:instrText>
      </w:r>
      <w:r>
        <w:fldChar w:fldCharType="separate"/>
      </w:r>
      <w:r w:rsidR="00F55880">
        <w:rPr>
          <w:noProof/>
        </w:rPr>
        <w:t>5</w:t>
      </w:r>
      <w:r>
        <w:fldChar w:fldCharType="end"/>
      </w:r>
      <w:r>
        <w:t>: Relationship between SAPN customers’ concern about electricity cost and overall satisfaction</w:t>
      </w:r>
      <w:bookmarkEnd w:id="32"/>
    </w:p>
    <w:p w:rsidR="0078743A" w:rsidRDefault="0078743A" w:rsidP="0078743A">
      <w:pPr>
        <w:pStyle w:val="BodyText"/>
        <w:rPr>
          <w:lang w:eastAsia="en-NZ"/>
        </w:rPr>
      </w:pPr>
      <w:r w:rsidRPr="0078743A">
        <w:rPr>
          <w:noProof/>
          <w:lang w:eastAsia="en-AU"/>
        </w:rPr>
        <w:drawing>
          <wp:inline distT="0" distB="0" distL="0" distR="0">
            <wp:extent cx="5364480" cy="2859757"/>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480" cy="2859757"/>
                    </a:xfrm>
                    <a:prstGeom prst="rect">
                      <a:avLst/>
                    </a:prstGeom>
                    <a:noFill/>
                    <a:ln>
                      <a:noFill/>
                    </a:ln>
                  </pic:spPr>
                </pic:pic>
              </a:graphicData>
            </a:graphic>
          </wp:inline>
        </w:drawing>
      </w:r>
    </w:p>
    <w:p w:rsidR="0078743A" w:rsidRDefault="002F21CF" w:rsidP="002F21CF">
      <w:pPr>
        <w:pStyle w:val="Source"/>
        <w:ind w:left="993"/>
        <w:rPr>
          <w:lang w:eastAsia="en-NZ"/>
        </w:rPr>
      </w:pPr>
      <w:r>
        <w:rPr>
          <w:lang w:eastAsia="en-NZ"/>
        </w:rPr>
        <w:t xml:space="preserve">Source: </w:t>
      </w:r>
      <w:r>
        <w:t xml:space="preserve">NTF Group, </w:t>
      </w:r>
      <w:r w:rsidRPr="00244127">
        <w:t>SAPN Targeted Willingness to Pay Research – Research Findings</w:t>
      </w:r>
      <w:r>
        <w:t>, July 2014, p 12.</w:t>
      </w:r>
    </w:p>
    <w:p w:rsidR="0078743A" w:rsidRDefault="002F21CF" w:rsidP="0078743A">
      <w:pPr>
        <w:pStyle w:val="BodyText"/>
        <w:rPr>
          <w:lang w:eastAsia="en-NZ"/>
        </w:rPr>
      </w:pPr>
      <w:r>
        <w:rPr>
          <w:lang w:eastAsia="en-NZ"/>
        </w:rPr>
        <w:lastRenderedPageBreak/>
        <w:t>However, multiplying these segment sizes and percentages through reveals that overall 49.8% of the respondents to the WTP survey described themselves as being ‘very concerned about future electricity prices</w:t>
      </w:r>
      <w:r w:rsidR="00B915A6">
        <w:rPr>
          <w:lang w:eastAsia="en-NZ"/>
        </w:rPr>
        <w:t>’</w:t>
      </w:r>
      <w:r>
        <w:rPr>
          <w:lang w:eastAsia="en-NZ"/>
        </w:rPr>
        <w:t>.</w:t>
      </w:r>
      <w:r w:rsidR="00BA7C4E">
        <w:rPr>
          <w:lang w:eastAsia="en-NZ"/>
        </w:rPr>
        <w:t xml:space="preserve">  An additional 22% say they are somewhat concerned about future electricity prices</w:t>
      </w:r>
      <w:r w:rsidR="00BA7C4E">
        <w:rPr>
          <w:rStyle w:val="FootnoteReference"/>
          <w:lang w:eastAsia="en-NZ"/>
        </w:rPr>
        <w:footnoteReference w:id="15"/>
      </w:r>
      <w:r w:rsidR="00BA7C4E">
        <w:rPr>
          <w:lang w:eastAsia="en-NZ"/>
        </w:rPr>
        <w:t>.</w:t>
      </w:r>
    </w:p>
    <w:p w:rsidR="00B915A6" w:rsidRDefault="00B915A6" w:rsidP="0078743A">
      <w:pPr>
        <w:pStyle w:val="BodyText"/>
        <w:rPr>
          <w:lang w:eastAsia="en-NZ"/>
        </w:rPr>
      </w:pPr>
      <w:r>
        <w:rPr>
          <w:lang w:eastAsia="en-NZ"/>
        </w:rPr>
        <w:t xml:space="preserve">Given this level of concern we think SAPN should consider the absolute amount of additional cost that discretionary initiatives based on </w:t>
      </w:r>
      <w:r w:rsidR="00302649">
        <w:rPr>
          <w:lang w:eastAsia="en-NZ"/>
        </w:rPr>
        <w:t xml:space="preserve">the </w:t>
      </w:r>
      <w:r>
        <w:rPr>
          <w:lang w:eastAsia="en-NZ"/>
        </w:rPr>
        <w:t>willingness to pay of some customers would impose on those who did not choose or could not afford to choose those service improvements.</w:t>
      </w:r>
    </w:p>
    <w:p w:rsidR="00B915A6" w:rsidRDefault="00B915A6" w:rsidP="0078743A">
      <w:pPr>
        <w:pStyle w:val="BodyText"/>
        <w:rPr>
          <w:lang w:eastAsia="en-NZ"/>
        </w:rPr>
      </w:pPr>
      <w:r>
        <w:rPr>
          <w:lang w:eastAsia="en-NZ"/>
        </w:rPr>
        <w:t>In this regard we note that the NTF WTP study also found that:</w:t>
      </w:r>
    </w:p>
    <w:p w:rsidR="00B915A6" w:rsidRDefault="00B915A6" w:rsidP="008B7E21">
      <w:pPr>
        <w:pStyle w:val="ListBullet"/>
        <w:tabs>
          <w:tab w:val="clear" w:pos="360"/>
        </w:tabs>
        <w:ind w:left="426"/>
        <w:rPr>
          <w:lang w:eastAsia="en-NZ"/>
        </w:rPr>
      </w:pPr>
      <w:r w:rsidRPr="008B7E21">
        <w:rPr>
          <w:i/>
          <w:iCs/>
          <w:color w:val="09869B"/>
          <w:sz w:val="18"/>
          <w:lang w:eastAsia="en-NZ"/>
        </w:rPr>
        <w:t>Generally, willingness to pay is higher amongst those customers:</w:t>
      </w:r>
    </w:p>
    <w:p w:rsidR="00B915A6" w:rsidRDefault="00B915A6" w:rsidP="008B7E21">
      <w:pPr>
        <w:pStyle w:val="ListBullet2"/>
        <w:rPr>
          <w:lang w:eastAsia="en-NZ"/>
        </w:rPr>
      </w:pPr>
      <w:r w:rsidRPr="008B7E21">
        <w:rPr>
          <w:i/>
          <w:iCs/>
          <w:color w:val="09869B"/>
          <w:sz w:val="18"/>
          <w:lang w:eastAsia="en-NZ"/>
        </w:rPr>
        <w:t>living in Adelaide;</w:t>
      </w:r>
    </w:p>
    <w:p w:rsidR="00B915A6" w:rsidRDefault="00B915A6" w:rsidP="008B7E21">
      <w:pPr>
        <w:pStyle w:val="ListBullet2"/>
        <w:rPr>
          <w:lang w:eastAsia="en-NZ"/>
        </w:rPr>
      </w:pPr>
      <w:r w:rsidRPr="008B7E21">
        <w:rPr>
          <w:i/>
          <w:iCs/>
          <w:color w:val="09869B"/>
          <w:sz w:val="18"/>
          <w:lang w:eastAsia="en-NZ"/>
        </w:rPr>
        <w:t>with solar panels or solar hot water systems installed;</w:t>
      </w:r>
    </w:p>
    <w:p w:rsidR="00B915A6" w:rsidRDefault="00B915A6" w:rsidP="008B7E21">
      <w:pPr>
        <w:pStyle w:val="ListBullet2"/>
        <w:rPr>
          <w:lang w:eastAsia="en-NZ"/>
        </w:rPr>
      </w:pPr>
      <w:r w:rsidRPr="008B7E21">
        <w:rPr>
          <w:i/>
          <w:iCs/>
          <w:color w:val="09869B"/>
          <w:sz w:val="18"/>
          <w:lang w:eastAsia="en-NZ"/>
        </w:rPr>
        <w:t>receiving higher levels of household income;</w:t>
      </w:r>
    </w:p>
    <w:p w:rsidR="00B915A6" w:rsidRDefault="00B915A6" w:rsidP="008B7E21">
      <w:pPr>
        <w:pStyle w:val="ListBullet2"/>
        <w:rPr>
          <w:lang w:eastAsia="en-NZ"/>
        </w:rPr>
      </w:pPr>
      <w:r w:rsidRPr="008B7E21">
        <w:rPr>
          <w:i/>
          <w:iCs/>
          <w:color w:val="09869B"/>
          <w:sz w:val="18"/>
          <w:lang w:eastAsia="en-NZ"/>
        </w:rPr>
        <w:t>who have achieved a university education;</w:t>
      </w:r>
    </w:p>
    <w:p w:rsidR="00B915A6" w:rsidRDefault="00B915A6" w:rsidP="008B7E21">
      <w:pPr>
        <w:pStyle w:val="ListBullet2"/>
        <w:rPr>
          <w:lang w:eastAsia="en-NZ"/>
        </w:rPr>
      </w:pPr>
      <w:r w:rsidRPr="008B7E21">
        <w:rPr>
          <w:i/>
          <w:iCs/>
          <w:color w:val="09869B"/>
          <w:sz w:val="18"/>
          <w:lang w:eastAsia="en-NZ"/>
        </w:rPr>
        <w:t>aged in the 50-64 (asset accumulation, pre-retirement life cycle stage) age category, and</w:t>
      </w:r>
    </w:p>
    <w:p w:rsidR="00B915A6" w:rsidRDefault="00B915A6" w:rsidP="008B7E21">
      <w:pPr>
        <w:pStyle w:val="ListBullet2"/>
      </w:pPr>
      <w:r w:rsidRPr="008B7E21">
        <w:rPr>
          <w:i/>
          <w:iCs/>
          <w:color w:val="09869B"/>
          <w:sz w:val="18"/>
          <w:lang w:eastAsia="en-NZ"/>
        </w:rPr>
        <w:t>who use clothes dryers and dish washers</w:t>
      </w:r>
      <w:r>
        <w:rPr>
          <w:lang w:eastAsia="en-NZ"/>
        </w:rPr>
        <w:t>.</w:t>
      </w:r>
      <w:r w:rsidR="008B7E21">
        <w:rPr>
          <w:rStyle w:val="FootnoteReference"/>
          <w:lang w:eastAsia="en-NZ"/>
        </w:rPr>
        <w:footnoteReference w:id="16"/>
      </w:r>
      <w:r>
        <w:rPr>
          <w:lang w:eastAsia="en-NZ"/>
        </w:rPr>
        <w:t xml:space="preserve"> </w:t>
      </w:r>
    </w:p>
    <w:p w:rsidR="0078743A" w:rsidRDefault="00872C4E" w:rsidP="0078743A">
      <w:pPr>
        <w:pStyle w:val="BodyText"/>
        <w:rPr>
          <w:lang w:eastAsia="en-NZ"/>
        </w:rPr>
      </w:pPr>
      <w:r>
        <w:rPr>
          <w:lang w:eastAsia="en-NZ"/>
        </w:rPr>
        <w:t xml:space="preserve">and </w:t>
      </w:r>
    </w:p>
    <w:p w:rsidR="008B7E21" w:rsidRPr="008B7E21" w:rsidRDefault="00872C4E" w:rsidP="008B7E21">
      <w:pPr>
        <w:pStyle w:val="ListBullet"/>
        <w:tabs>
          <w:tab w:val="clear" w:pos="360"/>
        </w:tabs>
        <w:ind w:left="426"/>
        <w:rPr>
          <w:i/>
          <w:iCs/>
          <w:color w:val="09869B"/>
          <w:sz w:val="18"/>
          <w:lang w:eastAsia="en-NZ"/>
        </w:rPr>
      </w:pPr>
      <w:r w:rsidRPr="008B7E21">
        <w:rPr>
          <w:i/>
          <w:iCs/>
          <w:color w:val="09869B"/>
          <w:sz w:val="18"/>
          <w:lang w:eastAsia="en-NZ"/>
        </w:rPr>
        <w:t>We</w:t>
      </w:r>
      <w:r w:rsidR="008B7E21" w:rsidRPr="008B7E21">
        <w:rPr>
          <w:i/>
          <w:iCs/>
          <w:color w:val="09869B"/>
          <w:sz w:val="18"/>
          <w:lang w:eastAsia="en-NZ"/>
        </w:rPr>
        <w:t xml:space="preserve"> observed a strong desire to pay for service improvements amongst hardship customers, but their capacity to pay is severely constrained by their financial circumstances.</w:t>
      </w:r>
      <w:r w:rsidR="008B7E21" w:rsidRPr="008B7E21">
        <w:rPr>
          <w:rStyle w:val="FootnoteReference"/>
          <w:iCs/>
          <w:lang w:eastAsia="en-NZ"/>
        </w:rPr>
        <w:footnoteReference w:id="17"/>
      </w:r>
      <w:r w:rsidR="008B7E21" w:rsidRPr="008B7E21">
        <w:rPr>
          <w:i/>
          <w:iCs/>
          <w:color w:val="09869B"/>
          <w:sz w:val="18"/>
          <w:lang w:eastAsia="en-NZ"/>
        </w:rPr>
        <w:t xml:space="preserve"> </w:t>
      </w:r>
    </w:p>
    <w:p w:rsidR="009C186A" w:rsidRDefault="00302649" w:rsidP="009C186A">
      <w:pPr>
        <w:pStyle w:val="BodyText"/>
      </w:pPr>
      <w:r>
        <w:rPr>
          <w:lang w:eastAsia="en-NZ"/>
        </w:rPr>
        <w:t>In addition, s</w:t>
      </w:r>
      <w:r w:rsidR="009C186A">
        <w:rPr>
          <w:lang w:eastAsia="en-NZ"/>
        </w:rPr>
        <w:t xml:space="preserve">ome of the research results are puzzling.  For example, every customer </w:t>
      </w:r>
      <w:r w:rsidR="009C186A">
        <w:t xml:space="preserve">segment </w:t>
      </w:r>
      <w:r w:rsidR="00A11526">
        <w:t xml:space="preserve">– even core hardship customers -- </w:t>
      </w:r>
      <w:r w:rsidR="009C186A">
        <w:t>strongly preferred the service level that involved treating 30 blackspot traffic intersections as compared to the other choices (20, 10 or no intersections</w:t>
      </w:r>
      <w:r>
        <w:t>,</w:t>
      </w:r>
      <w:r w:rsidR="00A11526">
        <w:t xml:space="preserve"> </w:t>
      </w:r>
      <w:r w:rsidR="009C186A">
        <w:t xml:space="preserve">as shown in </w:t>
      </w:r>
      <w:r w:rsidR="00A11526">
        <w:fldChar w:fldCharType="begin"/>
      </w:r>
      <w:r w:rsidR="00A11526">
        <w:instrText xml:space="preserve"> REF _Ref416345094 \h </w:instrText>
      </w:r>
      <w:r w:rsidR="00A11526">
        <w:fldChar w:fldCharType="separate"/>
      </w:r>
      <w:r w:rsidR="00F55880">
        <w:t xml:space="preserve">Figure </w:t>
      </w:r>
      <w:r w:rsidR="00F55880">
        <w:rPr>
          <w:noProof/>
        </w:rPr>
        <w:t>6</w:t>
      </w:r>
      <w:r w:rsidR="00A11526">
        <w:fldChar w:fldCharType="end"/>
      </w:r>
      <w:r w:rsidR="009C186A">
        <w:t xml:space="preserve"> </w:t>
      </w:r>
      <w:r w:rsidR="005C40AD">
        <w:t>on the following page</w:t>
      </w:r>
      <w:r w:rsidR="009C186A">
        <w:t>.</w:t>
      </w:r>
      <w:r w:rsidR="00A11526">
        <w:t xml:space="preserve"> </w:t>
      </w:r>
    </w:p>
    <w:p w:rsidR="00A11526" w:rsidRDefault="00A11526" w:rsidP="00A11526">
      <w:pPr>
        <w:pStyle w:val="Caption"/>
      </w:pPr>
      <w:bookmarkStart w:id="33" w:name="_Ref416345094"/>
      <w:bookmarkStart w:id="34" w:name="_Toc416971037"/>
      <w:r>
        <w:lastRenderedPageBreak/>
        <w:t xml:space="preserve">Figure </w:t>
      </w:r>
      <w:r>
        <w:fldChar w:fldCharType="begin"/>
      </w:r>
      <w:r>
        <w:instrText xml:space="preserve"> SEQ Figure \* ARABIC </w:instrText>
      </w:r>
      <w:r>
        <w:fldChar w:fldCharType="separate"/>
      </w:r>
      <w:r w:rsidR="00F55880">
        <w:rPr>
          <w:noProof/>
        </w:rPr>
        <w:t>6</w:t>
      </w:r>
      <w:r>
        <w:fldChar w:fldCharType="end"/>
      </w:r>
      <w:bookmarkEnd w:id="33"/>
      <w:r>
        <w:t>: Willingness to pay for undergrounding at traffic blackspots</w:t>
      </w:r>
      <w:bookmarkEnd w:id="34"/>
    </w:p>
    <w:p w:rsidR="00A11526" w:rsidRDefault="00A11526" w:rsidP="009C186A">
      <w:pPr>
        <w:pStyle w:val="BodyText"/>
      </w:pPr>
      <w:r w:rsidRPr="00A11526">
        <w:rPr>
          <w:noProof/>
          <w:lang w:eastAsia="en-AU"/>
        </w:rPr>
        <w:drawing>
          <wp:inline distT="0" distB="0" distL="0" distR="0">
            <wp:extent cx="5364480" cy="3074886"/>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3074886"/>
                    </a:xfrm>
                    <a:prstGeom prst="rect">
                      <a:avLst/>
                    </a:prstGeom>
                    <a:noFill/>
                    <a:ln>
                      <a:noFill/>
                    </a:ln>
                  </pic:spPr>
                </pic:pic>
              </a:graphicData>
            </a:graphic>
          </wp:inline>
        </w:drawing>
      </w:r>
    </w:p>
    <w:p w:rsidR="00A11526" w:rsidRDefault="00A11526" w:rsidP="00A11526">
      <w:pPr>
        <w:pStyle w:val="Source"/>
        <w:ind w:left="142"/>
      </w:pPr>
      <w:r>
        <w:t xml:space="preserve">Source: NTF Group, </w:t>
      </w:r>
      <w:r w:rsidRPr="00DF0E32">
        <w:rPr>
          <w:i/>
        </w:rPr>
        <w:t>SAPN Targeted Willingness to Pay Research – Research Findings</w:t>
      </w:r>
      <w:r>
        <w:t>, July 2014, p 18.</w:t>
      </w:r>
    </w:p>
    <w:p w:rsidR="00A11526" w:rsidRDefault="00A11526" w:rsidP="009C186A">
      <w:pPr>
        <w:pStyle w:val="BodyText"/>
      </w:pPr>
      <w:r>
        <w:t>Furthermore, the 30 intersection option was the only one that reached the acceptance threshold.  Could this be an artefact of the numbers themselves?  Did the number of intersections just seem very small as compared to what respondents may have perceived as the number of intersections for which this treatment might be warranted?</w:t>
      </w:r>
    </w:p>
    <w:p w:rsidR="00A11526" w:rsidRDefault="00A11526" w:rsidP="009C186A">
      <w:pPr>
        <w:pStyle w:val="BodyText"/>
      </w:pPr>
      <w:r>
        <w:t xml:space="preserve">Similarly, it is worth noting the difference in the pattern of the willingness to pay for the service options contemplated for HBFRAs and BFRAs on the one hand and those contemplated for NBFRAs on the other.  </w:t>
      </w:r>
      <w:r w:rsidR="0093620B">
        <w:fldChar w:fldCharType="begin"/>
      </w:r>
      <w:r w:rsidR="0093620B">
        <w:instrText xml:space="preserve"> REF _Ref416345610 \h </w:instrText>
      </w:r>
      <w:r w:rsidR="0093620B">
        <w:fldChar w:fldCharType="separate"/>
      </w:r>
      <w:r w:rsidR="00F55880">
        <w:t xml:space="preserve">Figure </w:t>
      </w:r>
      <w:r w:rsidR="00F55880">
        <w:rPr>
          <w:noProof/>
        </w:rPr>
        <w:t>7</w:t>
      </w:r>
      <w:r w:rsidR="0093620B">
        <w:fldChar w:fldCharType="end"/>
      </w:r>
      <w:r>
        <w:t xml:space="preserve"> </w:t>
      </w:r>
      <w:r w:rsidR="001342E1">
        <w:t>on the following page</w:t>
      </w:r>
      <w:r>
        <w:t xml:space="preserve"> shows the pattern for the service options contemplated for NBFRAs.</w:t>
      </w:r>
    </w:p>
    <w:p w:rsidR="009C186A" w:rsidRDefault="00DF0E32" w:rsidP="00DF0E32">
      <w:pPr>
        <w:pStyle w:val="Caption"/>
      </w:pPr>
      <w:bookmarkStart w:id="35" w:name="_Ref416345610"/>
      <w:bookmarkStart w:id="36" w:name="_Toc416971038"/>
      <w:r>
        <w:lastRenderedPageBreak/>
        <w:t xml:space="preserve">Figure </w:t>
      </w:r>
      <w:r>
        <w:fldChar w:fldCharType="begin"/>
      </w:r>
      <w:r>
        <w:instrText xml:space="preserve"> SEQ Figure \* ARABIC </w:instrText>
      </w:r>
      <w:r>
        <w:fldChar w:fldCharType="separate"/>
      </w:r>
      <w:r w:rsidR="00F55880">
        <w:rPr>
          <w:noProof/>
        </w:rPr>
        <w:t>7</w:t>
      </w:r>
      <w:r>
        <w:fldChar w:fldCharType="end"/>
      </w:r>
      <w:bookmarkEnd w:id="35"/>
      <w:r>
        <w:t>: Willingness to pay for service options developed for NBFRAs</w:t>
      </w:r>
      <w:bookmarkEnd w:id="36"/>
    </w:p>
    <w:p w:rsidR="00DF0E32" w:rsidRDefault="00DF0E32" w:rsidP="009C186A">
      <w:pPr>
        <w:spacing w:before="0" w:after="0"/>
        <w:ind w:left="0"/>
        <w:jc w:val="left"/>
      </w:pPr>
      <w:r w:rsidRPr="00DF0E32">
        <w:rPr>
          <w:noProof/>
          <w:lang w:eastAsia="en-AU"/>
        </w:rPr>
        <w:drawing>
          <wp:inline distT="0" distB="0" distL="0" distR="0">
            <wp:extent cx="5364480" cy="3386413"/>
            <wp:effectExtent l="0" t="0" r="762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3386413"/>
                    </a:xfrm>
                    <a:prstGeom prst="rect">
                      <a:avLst/>
                    </a:prstGeom>
                    <a:noFill/>
                    <a:ln>
                      <a:noFill/>
                    </a:ln>
                  </pic:spPr>
                </pic:pic>
              </a:graphicData>
            </a:graphic>
          </wp:inline>
        </w:drawing>
      </w:r>
    </w:p>
    <w:p w:rsidR="00DF0E32" w:rsidRDefault="00DF0E32" w:rsidP="00DF0E32">
      <w:pPr>
        <w:pStyle w:val="Source"/>
      </w:pPr>
      <w:r>
        <w:t xml:space="preserve">Source: Source: NTF Group, </w:t>
      </w:r>
      <w:r w:rsidRPr="00DF0E32">
        <w:rPr>
          <w:i/>
        </w:rPr>
        <w:t>SAPN Targeted Willingness to Pay Research – Research Findings</w:t>
      </w:r>
      <w:r>
        <w:t>, July 2014, p 17.</w:t>
      </w:r>
    </w:p>
    <w:p w:rsidR="0093620B" w:rsidRDefault="00DF0E32" w:rsidP="00DF0E32">
      <w:pPr>
        <w:pStyle w:val="BodyText"/>
      </w:pPr>
      <w:r>
        <w:t>Note that the percentage of customers that are willing to pay for the groups of options generally decreases as the relative costs of the options increases.  Giv</w:t>
      </w:r>
      <w:r w:rsidR="0093620B">
        <w:t>e</w:t>
      </w:r>
      <w:r>
        <w:t xml:space="preserve">n that the groups of options are </w:t>
      </w:r>
      <w:r w:rsidR="0093620B">
        <w:t>essentially increasing levels of service this makes sense.</w:t>
      </w:r>
    </w:p>
    <w:p w:rsidR="00DF2596" w:rsidRDefault="0093620B" w:rsidP="00DF0E32">
      <w:pPr>
        <w:pStyle w:val="BodyText"/>
      </w:pPr>
      <w:r>
        <w:t xml:space="preserve">However, the pattern with regard to the service options developed for HBFRAs and BFRAs is different as shown in </w:t>
      </w:r>
      <w:r>
        <w:fldChar w:fldCharType="begin"/>
      </w:r>
      <w:r>
        <w:instrText xml:space="preserve"> REF _Ref416345503 \h </w:instrText>
      </w:r>
      <w:r>
        <w:fldChar w:fldCharType="separate"/>
      </w:r>
      <w:r w:rsidR="00F55880">
        <w:t xml:space="preserve">Figure </w:t>
      </w:r>
      <w:r w:rsidR="00F55880">
        <w:rPr>
          <w:noProof/>
        </w:rPr>
        <w:t>4</w:t>
      </w:r>
      <w:r>
        <w:fldChar w:fldCharType="end"/>
      </w:r>
      <w:r>
        <w:t xml:space="preserve"> on page </w:t>
      </w:r>
      <w:r>
        <w:fldChar w:fldCharType="begin"/>
      </w:r>
      <w:r>
        <w:instrText xml:space="preserve"> PAGEREF _Ref416345524 \h </w:instrText>
      </w:r>
      <w:r>
        <w:fldChar w:fldCharType="separate"/>
      </w:r>
      <w:r w:rsidR="001342E1">
        <w:rPr>
          <w:noProof/>
        </w:rPr>
        <w:t>11</w:t>
      </w:r>
      <w:r>
        <w:fldChar w:fldCharType="end"/>
      </w:r>
      <w:r>
        <w:t xml:space="preserve"> above.  In that chart </w:t>
      </w:r>
      <w:r w:rsidR="00DF0E32">
        <w:t xml:space="preserve">willingness to pay </w:t>
      </w:r>
      <w:r>
        <w:t>increases between the first and second groups of service options</w:t>
      </w:r>
      <w:r w:rsidR="00DF2596">
        <w:t>, and then decreases as the service options continue to increase in service levels and cost</w:t>
      </w:r>
      <w:r>
        <w:t>.</w:t>
      </w:r>
      <w:r w:rsidR="00DF2596">
        <w:t xml:space="preserve">  Given that respondents had no way of assessing the relative reduction in the incidence of bushfires from the different levels of service could it be that there was some bias against choosing the lowest level of service improvement as perhaps not taking the issue seriously enough or not expressing the appropriate level of willingness to assist fellow South Australians who live in bushfire</w:t>
      </w:r>
      <w:r w:rsidR="00302649">
        <w:t>-</w:t>
      </w:r>
      <w:r w:rsidR="00DF2596">
        <w:t>risk areas?</w:t>
      </w:r>
    </w:p>
    <w:p w:rsidR="00885A05" w:rsidRDefault="005C40AD" w:rsidP="0078743A">
      <w:pPr>
        <w:pStyle w:val="BodyText"/>
        <w:rPr>
          <w:lang w:eastAsia="en-NZ"/>
        </w:rPr>
      </w:pPr>
      <w:r>
        <w:rPr>
          <w:lang w:eastAsia="en-NZ"/>
        </w:rPr>
        <w:t xml:space="preserve">As a result, it is difficult to see the </w:t>
      </w:r>
      <w:r w:rsidR="00515D4D">
        <w:rPr>
          <w:lang w:eastAsia="en-NZ"/>
        </w:rPr>
        <w:t>W</w:t>
      </w:r>
      <w:r w:rsidR="00EC716B">
        <w:rPr>
          <w:lang w:eastAsia="en-NZ"/>
        </w:rPr>
        <w:t>TP Survey</w:t>
      </w:r>
      <w:r w:rsidR="00515D4D">
        <w:rPr>
          <w:lang w:eastAsia="en-NZ"/>
        </w:rPr>
        <w:t xml:space="preserve"> </w:t>
      </w:r>
      <w:r>
        <w:rPr>
          <w:lang w:eastAsia="en-NZ"/>
        </w:rPr>
        <w:t xml:space="preserve">as a comprehensive assessment of SAPN customers’ willingness to pay for improved service: it simply too narrow in its scope.  It is also limited in its value in providing a meaningful preference function for the service improvement options it does canvas in that it does not provide information on how the different service levels and associated costs can </w:t>
      </w:r>
      <w:r w:rsidR="00302649">
        <w:rPr>
          <w:lang w:eastAsia="en-NZ"/>
        </w:rPr>
        <w:t xml:space="preserve">be </w:t>
      </w:r>
      <w:r>
        <w:rPr>
          <w:lang w:eastAsia="en-NZ"/>
        </w:rPr>
        <w:t>expect</w:t>
      </w:r>
      <w:r w:rsidR="00302649">
        <w:rPr>
          <w:lang w:eastAsia="en-NZ"/>
        </w:rPr>
        <w:t>ed</w:t>
      </w:r>
      <w:r>
        <w:rPr>
          <w:lang w:eastAsia="en-NZ"/>
        </w:rPr>
        <w:t xml:space="preserve"> to impact on </w:t>
      </w:r>
      <w:r w:rsidR="00885A05">
        <w:rPr>
          <w:lang w:eastAsia="en-NZ"/>
        </w:rPr>
        <w:t xml:space="preserve">the objectives of the service improvements.  Further, its results have not been used in a way that adequately takes into account the impact of the willingness to pay of what may be a relatively narrow majority of customers on the annual bills of other customers who were not interested in or possibly could not afford the candidate </w:t>
      </w:r>
      <w:r w:rsidR="00872C4E">
        <w:rPr>
          <w:lang w:eastAsia="en-NZ"/>
        </w:rPr>
        <w:t>service</w:t>
      </w:r>
      <w:r w:rsidR="00885A05">
        <w:rPr>
          <w:lang w:eastAsia="en-NZ"/>
        </w:rPr>
        <w:t xml:space="preserve"> improvement(s).</w:t>
      </w:r>
    </w:p>
    <w:p w:rsidR="00DF2596" w:rsidRDefault="00DF2596" w:rsidP="0078743A">
      <w:pPr>
        <w:pStyle w:val="BodyText"/>
        <w:rPr>
          <w:lang w:eastAsia="en-NZ"/>
        </w:rPr>
      </w:pPr>
      <w:r>
        <w:rPr>
          <w:lang w:eastAsia="en-NZ"/>
        </w:rPr>
        <w:t xml:space="preserve">Finally, significantly more information was collected in the survey than was analysed.  More could have been done in a number of areas to improve understanding of and to draw out </w:t>
      </w:r>
      <w:r w:rsidR="0025382D">
        <w:rPr>
          <w:lang w:eastAsia="en-NZ"/>
        </w:rPr>
        <w:t xml:space="preserve">the </w:t>
      </w:r>
      <w:r>
        <w:rPr>
          <w:lang w:eastAsia="en-NZ"/>
        </w:rPr>
        <w:t>implication</w:t>
      </w:r>
      <w:r w:rsidR="0025382D">
        <w:rPr>
          <w:lang w:eastAsia="en-NZ"/>
        </w:rPr>
        <w:t>s</w:t>
      </w:r>
      <w:r>
        <w:rPr>
          <w:lang w:eastAsia="en-NZ"/>
        </w:rPr>
        <w:t xml:space="preserve"> of the survey results, including:</w:t>
      </w:r>
    </w:p>
    <w:p w:rsidR="0078743A" w:rsidRDefault="00DF2596" w:rsidP="00DF2596">
      <w:pPr>
        <w:pStyle w:val="ListBullet"/>
        <w:rPr>
          <w:lang w:eastAsia="en-NZ"/>
        </w:rPr>
      </w:pPr>
      <w:r>
        <w:lastRenderedPageBreak/>
        <w:t>Additional profiling of acceptors</w:t>
      </w:r>
      <w:r w:rsidR="002F7D1E">
        <w:t>,</w:t>
      </w:r>
      <w:r>
        <w:t xml:space="preserve"> improvement-specific acceptors and </w:t>
      </w:r>
      <w:r w:rsidR="00BB306E">
        <w:t>rejecters</w:t>
      </w:r>
      <w:r w:rsidR="00EC716B">
        <w:t xml:space="preserve">.  </w:t>
      </w:r>
      <w:r>
        <w:t>This was an interesting segmentation.  These groups were profiled in terms of their attitudes and their location in HBFRAs and BFRAs vs NBFRAs.  It would have been useful to continue the profiling to include income, education and household composition.</w:t>
      </w:r>
    </w:p>
    <w:p w:rsidR="0078743A" w:rsidRDefault="00DF2596" w:rsidP="0025382D">
      <w:pPr>
        <w:pStyle w:val="ListBullet"/>
        <w:rPr>
          <w:lang w:eastAsia="en-NZ"/>
        </w:rPr>
      </w:pPr>
      <w:r>
        <w:rPr>
          <w:lang w:eastAsia="en-NZ"/>
        </w:rPr>
        <w:t>Customers with solar equipment who also received concessi</w:t>
      </w:r>
      <w:r w:rsidR="0025382D">
        <w:rPr>
          <w:lang w:eastAsia="en-NZ"/>
        </w:rPr>
        <w:t>o</w:t>
      </w:r>
      <w:r>
        <w:rPr>
          <w:lang w:eastAsia="en-NZ"/>
        </w:rPr>
        <w:t xml:space="preserve">ns </w:t>
      </w:r>
      <w:r w:rsidR="002F7D1E">
        <w:rPr>
          <w:lang w:eastAsia="en-NZ"/>
        </w:rPr>
        <w:t xml:space="preserve">were included in the overall solar customer segment </w:t>
      </w:r>
      <w:r>
        <w:rPr>
          <w:lang w:eastAsia="en-NZ"/>
        </w:rPr>
        <w:t>despite an apparent difference in income</w:t>
      </w:r>
      <w:r w:rsidR="00CF1A6C">
        <w:rPr>
          <w:lang w:eastAsia="en-NZ"/>
        </w:rPr>
        <w:t>, and the sizeable proportion of this concession sub-segment as compared to all solar users (32%)</w:t>
      </w:r>
      <w:r>
        <w:rPr>
          <w:lang w:eastAsia="en-NZ"/>
        </w:rPr>
        <w:t>.  Breaking out that group might have been interesting.</w:t>
      </w:r>
    </w:p>
    <w:p w:rsidR="0078743A" w:rsidRDefault="0078743A" w:rsidP="0078743A">
      <w:pPr>
        <w:pStyle w:val="BodyText"/>
        <w:rPr>
          <w:lang w:eastAsia="en-NZ"/>
        </w:rPr>
      </w:pPr>
    </w:p>
    <w:p w:rsidR="00533F1C" w:rsidRDefault="00533F1C">
      <w:pPr>
        <w:spacing w:before="0" w:after="0"/>
        <w:ind w:left="0"/>
        <w:jc w:val="left"/>
        <w:rPr>
          <w:rFonts w:ascii="Microsoft Sans Serif" w:hAnsi="Microsoft Sans Serif"/>
          <w:sz w:val="20"/>
        </w:rPr>
      </w:pPr>
      <w:r>
        <w:br w:type="page"/>
      </w:r>
    </w:p>
    <w:p w:rsidR="003F6289" w:rsidRDefault="003F6289" w:rsidP="003F6289">
      <w:pPr>
        <w:pStyle w:val="Heading1"/>
      </w:pPr>
      <w:bookmarkStart w:id="37" w:name="_Toc416970982"/>
      <w:r>
        <w:lastRenderedPageBreak/>
        <w:t>Other considerations</w:t>
      </w:r>
      <w:bookmarkEnd w:id="37"/>
    </w:p>
    <w:p w:rsidR="003F6289" w:rsidRDefault="003F6289" w:rsidP="003F6289">
      <w:pPr>
        <w:pStyle w:val="BodyText"/>
      </w:pPr>
      <w:r>
        <w:t xml:space="preserve">Two other considerations may be worth considering </w:t>
      </w:r>
      <w:r w:rsidR="002F7D1E">
        <w:t xml:space="preserve">more generally </w:t>
      </w:r>
      <w:r>
        <w:t>regarding the role of willingness to pay research in AER regulatory determinations:</w:t>
      </w:r>
    </w:p>
    <w:p w:rsidR="003F6289" w:rsidRDefault="003F6289" w:rsidP="002F7D1E">
      <w:pPr>
        <w:pStyle w:val="ListBullet"/>
        <w:tabs>
          <w:tab w:val="clear" w:pos="360"/>
        </w:tabs>
        <w:ind w:left="426" w:hanging="426"/>
      </w:pPr>
      <w:r>
        <w:t>The relationship of WTP study values for reliability as compared to the use of benchmarking</w:t>
      </w:r>
    </w:p>
    <w:p w:rsidR="003F6289" w:rsidRDefault="003F6289" w:rsidP="002F7D1E">
      <w:pPr>
        <w:pStyle w:val="ListBullet1Body"/>
      </w:pPr>
      <w:r>
        <w:t>Benchmarking establishes the level of service that can be provided at a given cost by similar distribution businesses. How should research documenting a willingness to pay more for a higher level of service (or less for a lower level) be viewed in regulatory proceedings where that same level of service is already provided elsewhere at a lower relative cost?  Would such a</w:t>
      </w:r>
      <w:r w:rsidR="002F7D1E">
        <w:t>n</w:t>
      </w:r>
      <w:r>
        <w:t xml:space="preserve"> instance imply the possibility that trade-offs in less-valued service attributes may have already been made in those jurisdictions and that these could usefully be identified and tested in the jurisdiction being reviewed</w:t>
      </w:r>
      <w:r w:rsidRPr="00B56239">
        <w:t>?</w:t>
      </w:r>
      <w:r>
        <w:t xml:space="preserve">  </w:t>
      </w:r>
    </w:p>
    <w:p w:rsidR="003F6289" w:rsidRDefault="003F6289" w:rsidP="002F7D1E">
      <w:pPr>
        <w:pStyle w:val="ListBullet"/>
        <w:tabs>
          <w:tab w:val="clear" w:pos="360"/>
        </w:tabs>
        <w:ind w:left="426" w:hanging="426"/>
      </w:pPr>
      <w:r>
        <w:t>The relationship of WTP study values to AEMO’s VCR values</w:t>
      </w:r>
    </w:p>
    <w:p w:rsidR="003F6289" w:rsidRDefault="003F6289" w:rsidP="003F6289">
      <w:pPr>
        <w:pStyle w:val="ListBullet1Body"/>
      </w:pPr>
      <w:r>
        <w:t>The Australian Energy Market Operator has recently undertaken a NEM-wide study that established the value that residential (and other customer classes) place on the reliability of their electricity supply.  How should research documenting a willingness to pay more than the VCR for a higher level of service be treated in regulatory proceedings?  Similarly, where a willingness to pay study documents a lower willingness to accept value than the VCR, how should that be handled in a regulatory proceeding considering reduced reliability for reductions in network charges?</w:t>
      </w:r>
    </w:p>
    <w:p w:rsidR="003F6289" w:rsidRPr="003F6289" w:rsidRDefault="003F6289" w:rsidP="003F6289">
      <w:pPr>
        <w:pStyle w:val="BodyText"/>
      </w:pPr>
    </w:p>
    <w:bookmarkEnd w:id="2"/>
    <w:bookmarkEnd w:id="3"/>
    <w:p w:rsidR="00D10AEF" w:rsidRDefault="00D10AEF" w:rsidP="006D338E">
      <w:pPr>
        <w:pStyle w:val="BodyText"/>
      </w:pPr>
    </w:p>
    <w:sectPr w:rsidR="00D10AEF" w:rsidSect="00504DF2">
      <w:headerReference w:type="default" r:id="rId26"/>
      <w:footerReference w:type="default" r:id="rId27"/>
      <w:headerReference w:type="first" r:id="rId28"/>
      <w:pgSz w:w="11907" w:h="16840" w:code="9"/>
      <w:pgMar w:top="1440" w:right="1304" w:bottom="1440" w:left="1304" w:header="578" w:footer="431" w:gutter="85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7A0" w:rsidRDefault="001167A0">
      <w:r>
        <w:separator/>
      </w:r>
    </w:p>
  </w:endnote>
  <w:endnote w:type="continuationSeparator" w:id="0">
    <w:p w:rsidR="001167A0" w:rsidRDefault="0011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Frutiger Next Pro Light">
    <w:altName w:val="Frutiger Next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661EB1">
    <w:pPr>
      <w:pStyle w:val="Footer"/>
      <w:framePr w:wrap="around" w:vAnchor="text" w:hAnchor="margin" w:xAlign="right" w:y="1"/>
    </w:pPr>
    <w:r>
      <w:fldChar w:fldCharType="begin"/>
    </w:r>
    <w:r>
      <w:instrText xml:space="preserve">PAGE  </w:instrText>
    </w:r>
    <w:r>
      <w:fldChar w:fldCharType="separate"/>
    </w:r>
    <w:r>
      <w:t>3</w:t>
    </w:r>
    <w:r>
      <w:fldChar w:fldCharType="end"/>
    </w:r>
  </w:p>
  <w:p w:rsidR="000A1284" w:rsidRDefault="000A128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165ADD">
    <w:pPr>
      <w:pStyle w:val="Footer"/>
      <w:pBdr>
        <w:top w:val="none" w:sz="0" w:space="0" w:color="auto"/>
      </w:pBdr>
      <w:tabs>
        <w:tab w:val="right" w:pos="7938"/>
      </w:tabs>
      <w:ind w:right="360"/>
    </w:pPr>
    <w:r>
      <w:rPr>
        <w:rFonts w:ascii="Century Gothic" w:hAnsi="Century Gothic"/>
        <w:noProof/>
        <w:color w:val="065764"/>
        <w:sz w:val="20"/>
        <w:lang w:eastAsia="en-AU"/>
      </w:rPr>
      <mc:AlternateContent>
        <mc:Choice Requires="wps">
          <w:drawing>
            <wp:anchor distT="0" distB="0" distL="114300" distR="114300" simplePos="0" relativeHeight="251656704" behindDoc="0" locked="0" layoutInCell="1" allowOverlap="1" wp14:anchorId="2BB1C90D" wp14:editId="5E7AC68C">
              <wp:simplePos x="0" y="0"/>
              <wp:positionH relativeFrom="column">
                <wp:posOffset>5499100</wp:posOffset>
              </wp:positionH>
              <wp:positionV relativeFrom="paragraph">
                <wp:posOffset>-1996440</wp:posOffset>
              </wp:positionV>
              <wp:extent cx="340995" cy="2287905"/>
              <wp:effectExtent l="0" t="0" r="0" b="0"/>
              <wp:wrapNone/>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165ADD">
                          <w:pPr>
                            <w:ind w:left="0"/>
                          </w:pPr>
                          <w:r>
                            <w:rPr>
                              <w:noProof/>
                              <w:lang w:eastAsia="en-AU"/>
                            </w:rPr>
                            <w:drawing>
                              <wp:inline distT="0" distB="0" distL="0" distR="0" wp14:anchorId="5D4630B1" wp14:editId="68C6E425">
                                <wp:extent cx="161925" cy="2047875"/>
                                <wp:effectExtent l="0" t="0" r="9525" b="9525"/>
                                <wp:docPr id="49" name="Picture 3"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B1C90D" id="_x0000_t202" coordsize="21600,21600" o:spt="202" path="m,l,21600r21600,l21600,xe">
              <v:stroke joinstyle="miter"/>
              <v:path gradientshapeok="t" o:connecttype="rect"/>
            </v:shapetype>
            <v:shape id="Text Box 100" o:spid="_x0000_s1027" type="#_x0000_t202" style="position:absolute;left:0;text-align:left;margin-left:433pt;margin-top:-157.2pt;width:26.85pt;height:180.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" stroked="f">
              <v:textbox style="mso-fit-shape-to-text:t">
                <w:txbxContent>
                  <w:p w:rsidR="000A1284" w:rsidRDefault="000A1284" w:rsidP="00165ADD">
                    <w:pPr>
                      <w:ind w:left="0"/>
                    </w:pPr>
                    <w:r>
                      <w:rPr>
                        <w:noProof/>
                        <w:lang w:eastAsia="en-AU"/>
                      </w:rPr>
                      <w:drawing>
                        <wp:inline distT="0" distB="0" distL="0" distR="0" wp14:anchorId="5D4630B1" wp14:editId="68C6E425">
                          <wp:extent cx="161925" cy="2047875"/>
                          <wp:effectExtent l="0" t="0" r="9525" b="9525"/>
                          <wp:docPr id="49" name="Picture 3"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pPr>
      <w:pStyle w:val="Footer"/>
      <w:pBdr>
        <w:top w:val="none" w:sz="0" w:space="0" w:color="auto"/>
      </w:pBdr>
      <w:tabs>
        <w:tab w:val="center" w:pos="4320"/>
        <w:tab w:val="right" w:pos="8190"/>
      </w:tabs>
      <w:ind w:left="1134" w:right="-764"/>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Pr="000E3C41" w:rsidRDefault="000A1284" w:rsidP="000E3C41">
    <w:pPr>
      <w:pStyle w:val="Footer"/>
      <w:pBdr>
        <w:top w:val="none" w:sz="0" w:space="0" w:color="auto"/>
      </w:pBdr>
      <w:tabs>
        <w:tab w:val="right" w:pos="7938"/>
      </w:tabs>
      <w:ind w:right="360"/>
    </w:pPr>
    <w:r>
      <w:rPr>
        <w:noProof/>
        <w:lang w:eastAsia="en-AU"/>
      </w:rPr>
      <mc:AlternateContent>
        <mc:Choice Requires="wps">
          <w:drawing>
            <wp:anchor distT="0" distB="0" distL="114300" distR="114300" simplePos="0" relativeHeight="251653632" behindDoc="0" locked="0" layoutInCell="1" allowOverlap="1" wp14:anchorId="741D4C11" wp14:editId="22FC289B">
              <wp:simplePos x="0" y="0"/>
              <wp:positionH relativeFrom="column">
                <wp:posOffset>-541020</wp:posOffset>
              </wp:positionH>
              <wp:positionV relativeFrom="paragraph">
                <wp:posOffset>-287020</wp:posOffset>
              </wp:positionV>
              <wp:extent cx="2280920" cy="63309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0E3C41">
                          <w:pPr>
                            <w:ind w:left="0"/>
                            <w:jc w:val="left"/>
                          </w:pPr>
                          <w:r>
                            <w:rPr>
                              <w:noProof/>
                              <w:lang w:eastAsia="en-AU"/>
                            </w:rPr>
                            <w:drawing>
                              <wp:inline distT="0" distB="0" distL="0" distR="0" wp14:anchorId="6BD3B6D3" wp14:editId="3419B716">
                                <wp:extent cx="2095500" cy="390525"/>
                                <wp:effectExtent l="0" t="0" r="0" b="9525"/>
                                <wp:docPr id="47" name="Picture 5"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1D4C11" id="_x0000_t202" coordsize="21600,21600" o:spt="202" path="m,l,21600r21600,l21600,xe">
              <v:stroke joinstyle="miter"/>
              <v:path gradientshapeok="t" o:connecttype="rect"/>
            </v:shapetype>
            <v:shape id="Text Box 16" o:spid="_x0000_s1029" type="#_x0000_t202" style="position:absolute;left:0;text-align:left;margin-left:-42.6pt;margin-top:-22.6pt;width:179.6pt;height:49.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" stroked="f">
              <v:textbox style="mso-fit-shape-to-text:t">
                <w:txbxContent>
                  <w:p w:rsidR="000A1284" w:rsidRDefault="000A1284" w:rsidP="000E3C41">
                    <w:pPr>
                      <w:ind w:left="0"/>
                      <w:jc w:val="left"/>
                    </w:pPr>
                    <w:r>
                      <w:rPr>
                        <w:noProof/>
                        <w:lang w:eastAsia="en-AU"/>
                      </w:rPr>
                      <w:drawing>
                        <wp:inline distT="0" distB="0" distL="0" distR="0" wp14:anchorId="6BD3B6D3" wp14:editId="3419B716">
                          <wp:extent cx="2095500" cy="390525"/>
                          <wp:effectExtent l="0" t="0" r="0" b="9525"/>
                          <wp:docPr id="47" name="Picture 5"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r>
      <w:rPr>
        <w:rFonts w:ascii="Century Gothic" w:hAnsi="Century Gothic"/>
        <w:noProof/>
        <w:color w:val="065764"/>
        <w:sz w:val="20"/>
        <w:lang w:eastAsia="en-AU"/>
      </w:rPr>
      <mc:AlternateContent>
        <mc:Choice Requires="wps">
          <w:drawing>
            <wp:anchor distT="0" distB="0" distL="114300" distR="114300" simplePos="0" relativeHeight="251655680" behindDoc="0" locked="0" layoutInCell="1" allowOverlap="1" wp14:anchorId="3EAE8286" wp14:editId="47D21BB5">
              <wp:simplePos x="0" y="0"/>
              <wp:positionH relativeFrom="column">
                <wp:posOffset>5499100</wp:posOffset>
              </wp:positionH>
              <wp:positionV relativeFrom="paragraph">
                <wp:posOffset>-1996440</wp:posOffset>
              </wp:positionV>
              <wp:extent cx="340995" cy="2287905"/>
              <wp:effectExtent l="0" t="0" r="0" b="0"/>
              <wp:wrapNone/>
              <wp:docPr id="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8661D7">
                          <w:pPr>
                            <w:ind w:left="0"/>
                          </w:pPr>
                          <w:r>
                            <w:rPr>
                              <w:noProof/>
                              <w:lang w:eastAsia="en-AU"/>
                            </w:rPr>
                            <w:drawing>
                              <wp:inline distT="0" distB="0" distL="0" distR="0" wp14:anchorId="64C5E443" wp14:editId="16D2D315">
                                <wp:extent cx="161925" cy="2047875"/>
                                <wp:effectExtent l="0" t="0" r="9525" b="9525"/>
                                <wp:docPr id="46" name="Picture 6"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AE8286" id="Text Box 73" o:spid="_x0000_s1030" type="#_x0000_t202" style="position:absolute;left:0;text-align:left;margin-left:433pt;margin-top:-157.2pt;width:26.85pt;height:180.1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CdhAIAABY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" stroked="f">
              <v:textbox style="mso-fit-shape-to-text:t">
                <w:txbxContent>
                  <w:p w:rsidR="000A1284" w:rsidRDefault="000A1284" w:rsidP="008661D7">
                    <w:pPr>
                      <w:ind w:left="0"/>
                    </w:pPr>
                    <w:r>
                      <w:rPr>
                        <w:noProof/>
                        <w:lang w:eastAsia="en-AU"/>
                      </w:rPr>
                      <w:drawing>
                        <wp:inline distT="0" distB="0" distL="0" distR="0" wp14:anchorId="64C5E443" wp14:editId="16D2D315">
                          <wp:extent cx="161925" cy="2047875"/>
                          <wp:effectExtent l="0" t="0" r="9525" b="9525"/>
                          <wp:docPr id="46" name="Picture 6"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pPr>
      <w:pStyle w:val="Footer"/>
      <w:pBdr>
        <w:top w:val="single" w:sz="6" w:space="1" w:color="568A9E"/>
      </w:pBdr>
    </w:pPr>
    <w:r>
      <w:rPr>
        <w:noProof/>
        <w:lang w:eastAsia="en-AU"/>
      </w:rPr>
      <mc:AlternateContent>
        <mc:Choice Requires="wps">
          <w:drawing>
            <wp:anchor distT="0" distB="0" distL="114300" distR="114300" simplePos="0" relativeHeight="251654656" behindDoc="0" locked="0" layoutInCell="1" allowOverlap="1" wp14:anchorId="527154C0" wp14:editId="60CD3B44">
              <wp:simplePos x="0" y="0"/>
              <wp:positionH relativeFrom="column">
                <wp:posOffset>-619125</wp:posOffset>
              </wp:positionH>
              <wp:positionV relativeFrom="paragraph">
                <wp:posOffset>69850</wp:posOffset>
              </wp:positionV>
              <wp:extent cx="605155" cy="452755"/>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pPr>
                            <w:spacing w:before="0" w:after="0"/>
                            <w:jc w:val="right"/>
                          </w:pPr>
                          <w:r>
                            <w:rPr>
                              <w:noProof/>
                              <w:lang w:eastAsia="en-AU"/>
                            </w:rPr>
                            <w:drawing>
                              <wp:inline distT="0" distB="0" distL="0" distR="0" wp14:anchorId="24B976FA" wp14:editId="7A160838">
                                <wp:extent cx="361950" cy="361950"/>
                                <wp:effectExtent l="0" t="0" r="0" b="0"/>
                                <wp:docPr id="45" name="Picture 7"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box logo 4 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154C0" id="_x0000_t202" coordsize="21600,21600" o:spt="202" path="m,l,21600r21600,l21600,xe">
              <v:stroke joinstyle="miter"/>
              <v:path gradientshapeok="t" o:connecttype="rect"/>
            </v:shapetype>
            <v:shape id="Text Box 1" o:spid="_x0000_s1031" type="#_x0000_t202" style="position:absolute;left:0;text-align:left;margin-left:-48.75pt;margin-top:5.5pt;width:47.65pt;height: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1mtw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" filled="f" stroked="f">
              <v:textbox>
                <w:txbxContent>
                  <w:p w:rsidR="000A1284" w:rsidRDefault="000A1284">
                    <w:pPr>
                      <w:spacing w:before="0" w:after="0"/>
                      <w:jc w:val="right"/>
                    </w:pPr>
                    <w:r>
                      <w:rPr>
                        <w:noProof/>
                        <w:lang w:eastAsia="en-AU"/>
                      </w:rPr>
                      <w:drawing>
                        <wp:inline distT="0" distB="0" distL="0" distR="0" wp14:anchorId="24B976FA" wp14:editId="7A160838">
                          <wp:extent cx="361950" cy="361950"/>
                          <wp:effectExtent l="0" t="0" r="0" b="0"/>
                          <wp:docPr id="45" name="Picture 7" descr="Blue box logo 4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box logo 4 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tab/>
    </w:r>
    <w:fldSimple w:instr=" DOCPROPERTY &quot;Status&quot;  \* MERGEFORMAT ">
      <w:r>
        <w:t>Peer Review</w:t>
      </w:r>
    </w:fldSimple>
    <w:r>
      <w:tab/>
      <w:t xml:space="preserve">Page </w:t>
    </w:r>
    <w:r>
      <w:fldChar w:fldCharType="begin"/>
    </w:r>
    <w:r>
      <w:instrText xml:space="preserve"> PAGE </w:instrText>
    </w:r>
    <w:r>
      <w:fldChar w:fldCharType="separate"/>
    </w:r>
    <w:proofErr w:type="spellStart"/>
    <w:r>
      <w:t>i</w:t>
    </w:r>
    <w:proofErr w:type="spellEnd"/>
    <w:r>
      <w:fldChar w:fldCharType="end"/>
    </w:r>
  </w:p>
  <w:p w:rsidR="000A1284" w:rsidRDefault="000A1284">
    <w:pPr>
      <w:pStyle w:val="Footer"/>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Pr="00661EB1" w:rsidRDefault="000A1284" w:rsidP="000E3C41">
    <w:pPr>
      <w:pStyle w:val="Footer"/>
      <w:framePr w:wrap="around" w:vAnchor="text" w:hAnchor="margin" w:xAlign="right" w:y="1"/>
      <w:pBdr>
        <w:top w:val="none" w:sz="0" w:space="0" w:color="auto"/>
      </w:pBdr>
      <w:jc w:val="right"/>
      <w:rPr>
        <w:rStyle w:val="PageNumber"/>
        <w:rFonts w:ascii="Century Gothic" w:hAnsi="Century Gothic"/>
      </w:rPr>
    </w:pPr>
    <w:r w:rsidRPr="00661EB1">
      <w:rPr>
        <w:rStyle w:val="PageNumber"/>
        <w:rFonts w:ascii="Century Gothic" w:hAnsi="Century Gothic"/>
      </w:rPr>
      <w:fldChar w:fldCharType="begin"/>
    </w:r>
    <w:r w:rsidRPr="00661EB1">
      <w:rPr>
        <w:rStyle w:val="PageNumber"/>
        <w:rFonts w:ascii="Century Gothic" w:hAnsi="Century Gothic"/>
      </w:rPr>
      <w:instrText xml:space="preserve">PAGE  </w:instrText>
    </w:r>
    <w:r w:rsidRPr="00661EB1">
      <w:rPr>
        <w:rStyle w:val="PageNumber"/>
        <w:rFonts w:ascii="Century Gothic" w:hAnsi="Century Gothic"/>
      </w:rPr>
      <w:fldChar w:fldCharType="separate"/>
    </w:r>
    <w:r w:rsidR="00E54D24">
      <w:rPr>
        <w:rStyle w:val="PageNumber"/>
        <w:rFonts w:ascii="Century Gothic" w:hAnsi="Century Gothic"/>
        <w:noProof/>
      </w:rPr>
      <w:t>ii</w:t>
    </w:r>
    <w:r w:rsidRPr="00661EB1">
      <w:rPr>
        <w:rStyle w:val="PageNumber"/>
        <w:rFonts w:ascii="Century Gothic" w:hAnsi="Century Gothic"/>
      </w:rPr>
      <w:fldChar w:fldCharType="end"/>
    </w:r>
  </w:p>
  <w:p w:rsidR="000A1284" w:rsidRPr="000E3C41" w:rsidRDefault="000A1284" w:rsidP="000E3C41">
    <w:pPr>
      <w:pStyle w:val="Footer"/>
      <w:pBdr>
        <w:top w:val="none" w:sz="0" w:space="0" w:color="auto"/>
      </w:pBdr>
      <w:tabs>
        <w:tab w:val="right" w:pos="7938"/>
      </w:tabs>
      <w:ind w:right="360"/>
    </w:pPr>
    <w:r>
      <w:rPr>
        <w:noProof/>
        <w:lang w:eastAsia="en-AU"/>
      </w:rPr>
      <mc:AlternateContent>
        <mc:Choice Requires="wps">
          <w:drawing>
            <wp:anchor distT="0" distB="0" distL="114300" distR="114300" simplePos="0" relativeHeight="251658240" behindDoc="0" locked="0" layoutInCell="1" allowOverlap="1" wp14:anchorId="23C47322" wp14:editId="4281B2D2">
              <wp:simplePos x="0" y="0"/>
              <wp:positionH relativeFrom="column">
                <wp:posOffset>-541020</wp:posOffset>
              </wp:positionH>
              <wp:positionV relativeFrom="paragraph">
                <wp:posOffset>-287020</wp:posOffset>
              </wp:positionV>
              <wp:extent cx="2280920" cy="633095"/>
              <wp:effectExtent l="0" t="0" r="0" b="0"/>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0E3C41">
                          <w:pPr>
                            <w:ind w:left="0"/>
                            <w:jc w:val="left"/>
                          </w:pPr>
                          <w:r>
                            <w:rPr>
                              <w:noProof/>
                              <w:lang w:eastAsia="en-AU"/>
                            </w:rPr>
                            <w:drawing>
                              <wp:inline distT="0" distB="0" distL="0" distR="0" wp14:anchorId="780AFA92" wp14:editId="583BAAC6">
                                <wp:extent cx="2095500" cy="390525"/>
                                <wp:effectExtent l="0" t="0" r="0" b="9525"/>
                                <wp:docPr id="44" name="Picture 8"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C47322" id="_x0000_t202" coordsize="21600,21600" o:spt="202" path="m,l,21600r21600,l21600,xe">
              <v:stroke joinstyle="miter"/>
              <v:path gradientshapeok="t" o:connecttype="rect"/>
            </v:shapetype>
            <v:shape id="Text Box 165" o:spid="_x0000_s1032" type="#_x0000_t202" style="position:absolute;left:0;text-align:left;margin-left:-42.6pt;margin-top:-22.6pt;width:179.6pt;height:49.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N5hQIAABc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" stroked="f">
              <v:textbox style="mso-fit-shape-to-text:t">
                <w:txbxContent>
                  <w:p w:rsidR="000A1284" w:rsidRDefault="000A1284" w:rsidP="000E3C41">
                    <w:pPr>
                      <w:ind w:left="0"/>
                      <w:jc w:val="left"/>
                    </w:pPr>
                    <w:r>
                      <w:rPr>
                        <w:noProof/>
                        <w:lang w:eastAsia="en-AU"/>
                      </w:rPr>
                      <w:drawing>
                        <wp:inline distT="0" distB="0" distL="0" distR="0" wp14:anchorId="780AFA92" wp14:editId="583BAAC6">
                          <wp:extent cx="2095500" cy="390525"/>
                          <wp:effectExtent l="0" t="0" r="0" b="9525"/>
                          <wp:docPr id="44" name="Picture 8"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r>
      <w:rPr>
        <w:rFonts w:ascii="Century Gothic" w:hAnsi="Century Gothic"/>
        <w:noProof/>
        <w:color w:val="065764"/>
        <w:sz w:val="20"/>
        <w:lang w:eastAsia="en-AU"/>
      </w:rPr>
      <mc:AlternateContent>
        <mc:Choice Requires="wps">
          <w:drawing>
            <wp:anchor distT="0" distB="0" distL="114300" distR="114300" simplePos="0" relativeHeight="251660288" behindDoc="0" locked="0" layoutInCell="1" allowOverlap="1" wp14:anchorId="04B60978" wp14:editId="5695F8A4">
              <wp:simplePos x="0" y="0"/>
              <wp:positionH relativeFrom="column">
                <wp:posOffset>5499100</wp:posOffset>
              </wp:positionH>
              <wp:positionV relativeFrom="paragraph">
                <wp:posOffset>-1996440</wp:posOffset>
              </wp:positionV>
              <wp:extent cx="340995" cy="2287905"/>
              <wp:effectExtent l="0" t="0" r="0" b="0"/>
              <wp:wrapNone/>
              <wp:docPr id="2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8661D7">
                          <w:pPr>
                            <w:ind w:left="0"/>
                          </w:pPr>
                          <w:r>
                            <w:rPr>
                              <w:noProof/>
                              <w:lang w:eastAsia="en-AU"/>
                            </w:rPr>
                            <w:drawing>
                              <wp:inline distT="0" distB="0" distL="0" distR="0" wp14:anchorId="62CAC4E6" wp14:editId="17F085B2">
                                <wp:extent cx="161925" cy="2047875"/>
                                <wp:effectExtent l="0" t="0" r="9525" b="9525"/>
                                <wp:docPr id="43" name="Picture 9"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B60978" id="Text Box 166" o:spid="_x0000_s1033" type="#_x0000_t202" style="position:absolute;left:0;text-align:left;margin-left:433pt;margin-top:-157.2pt;width:26.85pt;height:180.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" stroked="f">
              <v:textbox style="mso-fit-shape-to-text:t">
                <w:txbxContent>
                  <w:p w:rsidR="000A1284" w:rsidRDefault="000A1284" w:rsidP="008661D7">
                    <w:pPr>
                      <w:ind w:left="0"/>
                    </w:pPr>
                    <w:r>
                      <w:rPr>
                        <w:noProof/>
                        <w:lang w:eastAsia="en-AU"/>
                      </w:rPr>
                      <w:drawing>
                        <wp:inline distT="0" distB="0" distL="0" distR="0" wp14:anchorId="62CAC4E6" wp14:editId="17F085B2">
                          <wp:extent cx="161925" cy="2047875"/>
                          <wp:effectExtent l="0" t="0" r="9525" b="9525"/>
                          <wp:docPr id="43" name="Picture 9"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fli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Pr="00661EB1" w:rsidRDefault="000A1284" w:rsidP="000E3C41">
    <w:pPr>
      <w:pStyle w:val="Footer"/>
      <w:framePr w:wrap="around" w:vAnchor="text" w:hAnchor="margin" w:xAlign="right" w:y="1"/>
      <w:pBdr>
        <w:top w:val="none" w:sz="0" w:space="0" w:color="auto"/>
      </w:pBdr>
      <w:jc w:val="right"/>
      <w:rPr>
        <w:rStyle w:val="PageNumber"/>
        <w:rFonts w:ascii="Century Gothic" w:hAnsi="Century Gothic"/>
      </w:rPr>
    </w:pPr>
    <w:r w:rsidRPr="00661EB1">
      <w:rPr>
        <w:rStyle w:val="PageNumber"/>
        <w:rFonts w:ascii="Century Gothic" w:hAnsi="Century Gothic"/>
      </w:rPr>
      <w:fldChar w:fldCharType="begin"/>
    </w:r>
    <w:r w:rsidRPr="00661EB1">
      <w:rPr>
        <w:rStyle w:val="PageNumber"/>
        <w:rFonts w:ascii="Century Gothic" w:hAnsi="Century Gothic"/>
      </w:rPr>
      <w:instrText xml:space="preserve">PAGE  </w:instrText>
    </w:r>
    <w:r w:rsidRPr="00661EB1">
      <w:rPr>
        <w:rStyle w:val="PageNumber"/>
        <w:rFonts w:ascii="Century Gothic" w:hAnsi="Century Gothic"/>
      </w:rPr>
      <w:fldChar w:fldCharType="separate"/>
    </w:r>
    <w:r w:rsidR="00E54D24">
      <w:rPr>
        <w:rStyle w:val="PageNumber"/>
        <w:rFonts w:ascii="Century Gothic" w:hAnsi="Century Gothic"/>
        <w:noProof/>
      </w:rPr>
      <w:t>12</w:t>
    </w:r>
    <w:r w:rsidRPr="00661EB1">
      <w:rPr>
        <w:rStyle w:val="PageNumber"/>
        <w:rFonts w:ascii="Century Gothic" w:hAnsi="Century Gothic"/>
      </w:rPr>
      <w:fldChar w:fldCharType="end"/>
    </w:r>
  </w:p>
  <w:p w:rsidR="000A1284" w:rsidRPr="000E3C41" w:rsidRDefault="000A1284" w:rsidP="000E3C41">
    <w:pPr>
      <w:pStyle w:val="Footer"/>
      <w:pBdr>
        <w:top w:val="none" w:sz="0" w:space="0" w:color="auto"/>
      </w:pBdr>
      <w:tabs>
        <w:tab w:val="right" w:pos="7938"/>
      </w:tabs>
      <w:ind w:right="360"/>
    </w:pPr>
    <w:r>
      <w:rPr>
        <w:rFonts w:ascii="Century Gothic" w:hAnsi="Century Gothic"/>
        <w:noProof/>
        <w:color w:val="065764"/>
        <w:sz w:val="20"/>
        <w:lang w:eastAsia="en-AU"/>
      </w:rPr>
      <mc:AlternateContent>
        <mc:Choice Requires="wps">
          <w:drawing>
            <wp:anchor distT="0" distB="0" distL="114300" distR="114300" simplePos="0" relativeHeight="251652608" behindDoc="0" locked="0" layoutInCell="1" allowOverlap="1">
              <wp:simplePos x="0" y="0"/>
              <wp:positionH relativeFrom="column">
                <wp:posOffset>5497830</wp:posOffset>
              </wp:positionH>
              <wp:positionV relativeFrom="paragraph">
                <wp:posOffset>-1986915</wp:posOffset>
              </wp:positionV>
              <wp:extent cx="340995" cy="2287905"/>
              <wp:effectExtent l="0" t="0" r="0" b="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8661D7">
                          <w:pPr>
                            <w:ind w:left="0"/>
                          </w:pPr>
                          <w:r>
                            <w:rPr>
                              <w:noProof/>
                              <w:lang w:eastAsia="en-AU"/>
                            </w:rPr>
                            <w:drawing>
                              <wp:inline distT="0" distB="0" distL="0" distR="0">
                                <wp:extent cx="161925" cy="2047875"/>
                                <wp:effectExtent l="0" t="0" r="9525" b="9525"/>
                                <wp:docPr id="37" name="Picture 15"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4" type="#_x0000_t202" style="position:absolute;left:0;text-align:left;margin-left:432.9pt;margin-top:-156.45pt;width:26.85pt;height:180.1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bgwIAABU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" stroked="f">
              <v:textbox style="mso-fit-shape-to-text:t">
                <w:txbxContent>
                  <w:p w:rsidR="000A1284" w:rsidRDefault="000A1284" w:rsidP="008661D7">
                    <w:pPr>
                      <w:ind w:left="0"/>
                    </w:pPr>
                    <w:r>
                      <w:rPr>
                        <w:noProof/>
                        <w:lang w:eastAsia="en-AU"/>
                      </w:rPr>
                      <w:drawing>
                        <wp:inline distT="0" distB="0" distL="0" distR="0">
                          <wp:extent cx="161925" cy="2047875"/>
                          <wp:effectExtent l="0" t="0" r="9525" b="9525"/>
                          <wp:docPr id="37" name="Picture 15" descr="www 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 fli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204787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-579120</wp:posOffset>
              </wp:positionH>
              <wp:positionV relativeFrom="paragraph">
                <wp:posOffset>-287020</wp:posOffset>
              </wp:positionV>
              <wp:extent cx="2280920" cy="63309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0E3C41">
                          <w:pPr>
                            <w:ind w:left="0"/>
                            <w:jc w:val="left"/>
                          </w:pPr>
                          <w:r>
                            <w:rPr>
                              <w:noProof/>
                              <w:lang w:eastAsia="en-AU"/>
                            </w:rPr>
                            <w:drawing>
                              <wp:inline distT="0" distB="0" distL="0" distR="0">
                                <wp:extent cx="2095500" cy="390525"/>
                                <wp:effectExtent l="0" t="0" r="0" b="9525"/>
                                <wp:docPr id="36" name="Picture 16"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45.6pt;margin-top:-22.6pt;width:179.6pt;height:49.8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" stroked="f">
              <v:textbox style="mso-fit-shape-to-text:t">
                <w:txbxContent>
                  <w:p w:rsidR="000A1284" w:rsidRDefault="000A1284" w:rsidP="000E3C41">
                    <w:pPr>
                      <w:ind w:left="0"/>
                      <w:jc w:val="left"/>
                    </w:pPr>
                    <w:r>
                      <w:rPr>
                        <w:noProof/>
                        <w:lang w:eastAsia="en-AU"/>
                      </w:rPr>
                      <w:drawing>
                        <wp:inline distT="0" distB="0" distL="0" distR="0">
                          <wp:extent cx="2095500" cy="390525"/>
                          <wp:effectExtent l="0" t="0" r="0" b="9525"/>
                          <wp:docPr id="36" name="Picture 16"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7A0" w:rsidRDefault="001167A0">
      <w:r>
        <w:separator/>
      </w:r>
    </w:p>
  </w:footnote>
  <w:footnote w:type="continuationSeparator" w:id="0">
    <w:p w:rsidR="001167A0" w:rsidRDefault="001167A0">
      <w:r>
        <w:continuationSeparator/>
      </w:r>
    </w:p>
  </w:footnote>
  <w:footnote w:id="1">
    <w:p w:rsidR="000A1284" w:rsidRPr="00AF46D6" w:rsidRDefault="000A1284" w:rsidP="00F319E3">
      <w:pPr>
        <w:pStyle w:val="Footnote"/>
      </w:pPr>
      <w:r>
        <w:rPr>
          <w:rStyle w:val="FootnoteReference"/>
        </w:rPr>
        <w:footnoteRef/>
      </w:r>
      <w:r>
        <w:t xml:space="preserve"> </w:t>
      </w:r>
      <w:r>
        <w:tab/>
        <w:t xml:space="preserve">This is evident from the fact that Figure 1 on page 5 the </w:t>
      </w:r>
      <w:r w:rsidRPr="00F319E3">
        <w:rPr>
          <w:i/>
        </w:rPr>
        <w:t>SA Power Networks Stage 2 Stakeholder and Consumer Workshop Report</w:t>
      </w:r>
      <w:r>
        <w:t xml:space="preserve"> (December 2013) makes no mention of the WTP study (or the Targeted Strategic Workshops).  The </w:t>
      </w:r>
      <w:r w:rsidRPr="00AF46D6">
        <w:t xml:space="preserve">Stage 2 Stakeholder and Consumer Workshops were the first activity in Stage 2, and Figure 1 in the report </w:t>
      </w:r>
      <w:r>
        <w:t>about</w:t>
      </w:r>
      <w:r w:rsidRPr="00AF46D6">
        <w:t xml:space="preserve"> those workshops presented a schematic diagram of all activities planned in each of the three stages </w:t>
      </w:r>
      <w:r>
        <w:t>o</w:t>
      </w:r>
      <w:r w:rsidRPr="00AF46D6">
        <w:t>f the CEP.</w:t>
      </w:r>
    </w:p>
  </w:footnote>
  <w:footnote w:id="2">
    <w:p w:rsidR="000A1284" w:rsidRDefault="000A1284">
      <w:pPr>
        <w:pStyle w:val="FootnoteText"/>
      </w:pPr>
      <w:r>
        <w:rPr>
          <w:rStyle w:val="FootnoteReference"/>
        </w:rPr>
        <w:footnoteRef/>
      </w:r>
      <w:r>
        <w:t xml:space="preserve"> </w:t>
      </w:r>
      <w:r>
        <w:tab/>
        <w:t xml:space="preserve">SAPN, </w:t>
      </w:r>
      <w:r w:rsidRPr="007D47DF">
        <w:rPr>
          <w:i/>
        </w:rPr>
        <w:t>Regulatory Proposal 2015-20</w:t>
      </w:r>
      <w:r>
        <w:t>, October 2014, p 64.</w:t>
      </w:r>
    </w:p>
  </w:footnote>
  <w:footnote w:id="3">
    <w:p w:rsidR="000A1284" w:rsidRDefault="000A1284">
      <w:pPr>
        <w:pStyle w:val="FootnoteText"/>
      </w:pPr>
      <w:r>
        <w:rPr>
          <w:rStyle w:val="FootnoteReference"/>
        </w:rPr>
        <w:footnoteRef/>
      </w:r>
      <w:r>
        <w:t xml:space="preserve"> </w:t>
      </w:r>
      <w:r>
        <w:tab/>
        <w:t>Ibid.</w:t>
      </w:r>
    </w:p>
  </w:footnote>
  <w:footnote w:id="4">
    <w:p w:rsidR="000A1284" w:rsidRDefault="000A1284">
      <w:pPr>
        <w:pStyle w:val="FootnoteText"/>
      </w:pPr>
      <w:r>
        <w:rPr>
          <w:rStyle w:val="FootnoteReference"/>
        </w:rPr>
        <w:footnoteRef/>
      </w:r>
      <w:r>
        <w:t xml:space="preserve"> </w:t>
      </w:r>
      <w:r>
        <w:tab/>
        <w:t xml:space="preserve">Deloitte, </w:t>
      </w:r>
      <w:r w:rsidRPr="00F319E3">
        <w:rPr>
          <w:i/>
        </w:rPr>
        <w:t>A Power Networks Stage 2 Stakeholder and Consumer Workshop Report</w:t>
      </w:r>
      <w:r>
        <w:t>, December 2013, p 19.</w:t>
      </w:r>
    </w:p>
  </w:footnote>
  <w:footnote w:id="5">
    <w:p w:rsidR="000A1284" w:rsidRDefault="000A1284" w:rsidP="003204A5">
      <w:pPr>
        <w:pStyle w:val="FootnoteText"/>
      </w:pPr>
      <w:r>
        <w:rPr>
          <w:rStyle w:val="FootnoteReference"/>
        </w:rPr>
        <w:footnoteRef/>
      </w:r>
      <w:r>
        <w:t xml:space="preserve"> </w:t>
      </w:r>
      <w:r>
        <w:tab/>
        <w:t>Ibid.</w:t>
      </w:r>
    </w:p>
  </w:footnote>
  <w:footnote w:id="6">
    <w:p w:rsidR="000A1284" w:rsidRDefault="000A1284">
      <w:pPr>
        <w:pStyle w:val="FootnoteText"/>
      </w:pPr>
      <w:r>
        <w:rPr>
          <w:rStyle w:val="FootnoteReference"/>
        </w:rPr>
        <w:footnoteRef/>
      </w:r>
      <w:r>
        <w:t xml:space="preserve"> </w:t>
      </w:r>
      <w:r>
        <w:tab/>
        <w:t>SAPN, op. cit., p 64.</w:t>
      </w:r>
    </w:p>
  </w:footnote>
  <w:footnote w:id="7">
    <w:p w:rsidR="000A1284" w:rsidRDefault="000A1284">
      <w:pPr>
        <w:pStyle w:val="FootnoteText"/>
      </w:pPr>
      <w:r>
        <w:rPr>
          <w:rStyle w:val="FootnoteReference"/>
        </w:rPr>
        <w:footnoteRef/>
      </w:r>
      <w:r>
        <w:t xml:space="preserve"> </w:t>
      </w:r>
      <w:r>
        <w:tab/>
        <w:t>Ibid.</w:t>
      </w:r>
    </w:p>
  </w:footnote>
  <w:footnote w:id="8">
    <w:p w:rsidR="000A1284" w:rsidRDefault="000A1284">
      <w:pPr>
        <w:pStyle w:val="FootnoteText"/>
      </w:pPr>
      <w:r>
        <w:rPr>
          <w:rStyle w:val="FootnoteReference"/>
        </w:rPr>
        <w:footnoteRef/>
      </w:r>
      <w:r>
        <w:t xml:space="preserve"> </w:t>
      </w:r>
      <w:r>
        <w:tab/>
        <w:t>Ibid., p 65.</w:t>
      </w:r>
    </w:p>
  </w:footnote>
  <w:footnote w:id="9">
    <w:p w:rsidR="000A1284" w:rsidRDefault="000A1284">
      <w:pPr>
        <w:pStyle w:val="FootnoteText"/>
      </w:pPr>
      <w:r>
        <w:rPr>
          <w:rStyle w:val="FootnoteReference"/>
        </w:rPr>
        <w:footnoteRef/>
      </w:r>
      <w:r>
        <w:t xml:space="preserve"> </w:t>
      </w:r>
      <w:r>
        <w:tab/>
        <w:t>The inclusion of Traffic blackspots was identified in the Stage 1 research as part of key insight no 9, consider improvements to public safety in asset planning.  It may have also been discussed in the Targeted Strategic Workshops.</w:t>
      </w:r>
    </w:p>
  </w:footnote>
  <w:footnote w:id="10">
    <w:p w:rsidR="000A1284" w:rsidRDefault="000A1284">
      <w:pPr>
        <w:pStyle w:val="FootnoteText"/>
      </w:pPr>
      <w:r>
        <w:rPr>
          <w:rStyle w:val="FootnoteReference"/>
        </w:rPr>
        <w:footnoteRef/>
      </w:r>
      <w:r>
        <w:t xml:space="preserve"> </w:t>
      </w:r>
      <w:r>
        <w:tab/>
        <w:t xml:space="preserve">SAPN, </w:t>
      </w:r>
      <w:r w:rsidRPr="00372210">
        <w:rPr>
          <w:i/>
        </w:rPr>
        <w:t>Regulatory Proposal 2015-20</w:t>
      </w:r>
      <w:r>
        <w:t>, p 66.</w:t>
      </w:r>
    </w:p>
  </w:footnote>
  <w:footnote w:id="11">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July 2014, p 5.</w:t>
      </w:r>
    </w:p>
  </w:footnote>
  <w:footnote w:id="12">
    <w:p w:rsidR="000A1284" w:rsidRDefault="000A1284">
      <w:pPr>
        <w:pStyle w:val="FootnoteText"/>
      </w:pPr>
      <w:r>
        <w:rPr>
          <w:rStyle w:val="FootnoteReference"/>
        </w:rPr>
        <w:footnoteRef/>
      </w:r>
      <w:r>
        <w:t xml:space="preserve"> </w:t>
      </w:r>
      <w:r>
        <w:tab/>
        <w:t xml:space="preserve">We note that these were also the levels given in the examples in the Survey – although this was not the case for the blackspot results; see SAPN, </w:t>
      </w:r>
      <w:r w:rsidRPr="00D823EA">
        <w:rPr>
          <w:i/>
        </w:rPr>
        <w:t>Targeted Willingness to Pay Survey Instrument</w:t>
      </w:r>
      <w:r>
        <w:t>, pp18, 19 and 28.</w:t>
      </w:r>
    </w:p>
  </w:footnote>
  <w:footnote w:id="13">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July 2014, p 16.</w:t>
      </w:r>
    </w:p>
  </w:footnote>
  <w:footnote w:id="14">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July 2014, p 11.</w:t>
      </w:r>
    </w:p>
  </w:footnote>
  <w:footnote w:id="15">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xml:space="preserve">, July 2014, p 21. </w:t>
      </w:r>
    </w:p>
  </w:footnote>
  <w:footnote w:id="16">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July 2014, p 18.</w:t>
      </w:r>
    </w:p>
  </w:footnote>
  <w:footnote w:id="17">
    <w:p w:rsidR="000A1284" w:rsidRDefault="000A1284">
      <w:pPr>
        <w:pStyle w:val="FootnoteText"/>
      </w:pPr>
      <w:r>
        <w:rPr>
          <w:rStyle w:val="FootnoteReference"/>
        </w:rPr>
        <w:footnoteRef/>
      </w:r>
      <w:r>
        <w:t xml:space="preserve"> </w:t>
      </w:r>
      <w:r>
        <w:tab/>
        <w:t xml:space="preserve">NTF Group, </w:t>
      </w:r>
      <w:r w:rsidRPr="00244127">
        <w:rPr>
          <w:i/>
        </w:rPr>
        <w:t>SAPN Targeted Willingness to Pay Research – Research Findings</w:t>
      </w:r>
      <w:r>
        <w:t>, July 2014, 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165ADD">
    <w:pPr>
      <w:pStyle w:val="Header"/>
      <w:tabs>
        <w:tab w:val="clear" w:pos="7938"/>
      </w:tabs>
    </w:pPr>
    <w:r>
      <w:t xml:space="preserve"> </w:t>
    </w:r>
  </w:p>
  <w:p w:rsidR="000A1284" w:rsidRDefault="000A1284" w:rsidP="00DE3C1B">
    <w:pPr>
      <w:pStyle w:val="Header1"/>
      <w:tabs>
        <w:tab w:val="left" w:pos="1440"/>
      </w:tabs>
      <w:jc w:val="both"/>
    </w:pPr>
    <w:r>
      <w:tab/>
    </w:r>
    <w:r>
      <w:tab/>
    </w:r>
  </w:p>
  <w:p w:rsidR="000A1284" w:rsidRDefault="000A1284" w:rsidP="00165ADD">
    <w:pPr>
      <w:pStyle w:val="Header"/>
    </w:pPr>
    <w:r>
      <w:rPr>
        <w:noProof/>
        <w:lang w:eastAsia="en-AU"/>
      </w:rPr>
      <mc:AlternateContent>
        <mc:Choice Requires="wps">
          <w:drawing>
            <wp:anchor distT="0" distB="0" distL="114300" distR="114300" simplePos="0" relativeHeight="251659776" behindDoc="0" locked="0" layoutInCell="1" allowOverlap="1" wp14:anchorId="63B958F6" wp14:editId="5896C935">
              <wp:simplePos x="0" y="0"/>
              <wp:positionH relativeFrom="column">
                <wp:posOffset>-274955</wp:posOffset>
              </wp:positionH>
              <wp:positionV relativeFrom="paragraph">
                <wp:posOffset>167640</wp:posOffset>
              </wp:positionV>
              <wp:extent cx="2926715" cy="756920"/>
              <wp:effectExtent l="0" t="0" r="0" b="0"/>
              <wp:wrapNone/>
              <wp:docPr id="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75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rsidP="00DE3C1B">
                          <w:pPr>
                            <w:ind w:left="0"/>
                            <w:jc w:val="left"/>
                          </w:pPr>
                          <w:r>
                            <w:rPr>
                              <w:noProof/>
                              <w:lang w:eastAsia="en-AU"/>
                            </w:rPr>
                            <w:drawing>
                              <wp:inline distT="0" distB="0" distL="0" distR="0" wp14:anchorId="69AC8D4A" wp14:editId="1BB551D0">
                                <wp:extent cx="2743200" cy="514350"/>
                                <wp:effectExtent l="0" t="0" r="0" b="0"/>
                                <wp:docPr id="50" name="Picture 2"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B958F6" id="_x0000_t202" coordsize="21600,21600" o:spt="202" path="m,l,21600r21600,l21600,xe">
              <v:stroke joinstyle="miter"/>
              <v:path gradientshapeok="t" o:connecttype="rect"/>
            </v:shapetype>
            <v:shape id="Text Box 103" o:spid="_x0000_s1026" type="#_x0000_t202" style="position:absolute;left:0;text-align:left;margin-left:-21.65pt;margin-top:13.2pt;width:230.45pt;height:59.6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dggIAABA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" stroked="f">
              <v:textbox style="mso-fit-shape-to-text:t">
                <w:txbxContent>
                  <w:p w:rsidR="000A1284" w:rsidRDefault="000A1284" w:rsidP="00DE3C1B">
                    <w:pPr>
                      <w:ind w:left="0"/>
                      <w:jc w:val="left"/>
                    </w:pPr>
                    <w:r>
                      <w:rPr>
                        <w:noProof/>
                        <w:lang w:eastAsia="en-AU"/>
                      </w:rPr>
                      <w:drawing>
                        <wp:inline distT="0" distB="0" distL="0" distR="0" wp14:anchorId="69AC8D4A" wp14:editId="1BB551D0">
                          <wp:extent cx="2743200" cy="514350"/>
                          <wp:effectExtent l="0" t="0" r="0" b="0"/>
                          <wp:docPr id="50" name="Picture 2" descr="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p>
                </w:txbxContent>
              </v:textbox>
            </v:shape>
          </w:pict>
        </mc:Fallback>
      </mc:AlternateContent>
    </w:r>
  </w:p>
  <w:p w:rsidR="000A1284" w:rsidRPr="00165ADD" w:rsidRDefault="000A1284" w:rsidP="00165A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pPr>
      <w:jc w:val="left"/>
    </w:pPr>
    <w:r>
      <w:rPr>
        <w:noProof/>
        <w:lang w:eastAsia="en-AU"/>
      </w:rPr>
      <mc:AlternateContent>
        <mc:Choice Requires="wps">
          <w:drawing>
            <wp:anchor distT="0" distB="0" distL="114300" distR="114300" simplePos="0" relativeHeight="251663872" behindDoc="0" locked="0" layoutInCell="1" allowOverlap="1" wp14:anchorId="271FC5FF" wp14:editId="08FB9903">
              <wp:simplePos x="0" y="0"/>
              <wp:positionH relativeFrom="column">
                <wp:posOffset>-1551305</wp:posOffset>
              </wp:positionH>
              <wp:positionV relativeFrom="paragraph">
                <wp:posOffset>-582930</wp:posOffset>
              </wp:positionV>
              <wp:extent cx="7601585" cy="10742930"/>
              <wp:effectExtent l="0" t="0" r="0" b="0"/>
              <wp:wrapNone/>
              <wp:docPr id="3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5" cy="1074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284" w:rsidRDefault="000A1284">
                          <w:pPr>
                            <w:ind w:left="0"/>
                          </w:pPr>
                          <w:r>
                            <w:rPr>
                              <w:noProof/>
                              <w:lang w:eastAsia="en-AU"/>
                            </w:rPr>
                            <w:drawing>
                              <wp:inline distT="0" distB="0" distL="0" distR="0" wp14:anchorId="62EF1271" wp14:editId="08A3579D">
                                <wp:extent cx="7658650" cy="10833283"/>
                                <wp:effectExtent l="0" t="0" r="0" b="635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W Corporate Cov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650" cy="10833283"/>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1FC5FF" id="_x0000_t202" coordsize="21600,21600" o:spt="202" path="m,l,21600r21600,l21600,xe">
              <v:stroke joinstyle="miter"/>
              <v:path gradientshapeok="t" o:connecttype="rect"/>
            </v:shapetype>
            <v:shape id="Text Box 160" o:spid="_x0000_s1028" type="#_x0000_t202" style="position:absolute;left:0;text-align:left;margin-left:-122.15pt;margin-top:-45.9pt;width:598.55pt;height:84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" stroked="f">
              <v:textbox style="mso-fit-shape-to-text:t">
                <w:txbxContent>
                  <w:p w:rsidR="000A1284" w:rsidRDefault="000A1284">
                    <w:pPr>
                      <w:ind w:left="0"/>
                    </w:pPr>
                    <w:r>
                      <w:rPr>
                        <w:noProof/>
                        <w:lang w:eastAsia="en-AU"/>
                      </w:rPr>
                      <w:drawing>
                        <wp:inline distT="0" distB="0" distL="0" distR="0" wp14:anchorId="62EF1271" wp14:editId="08A3579D">
                          <wp:extent cx="7658650" cy="10833283"/>
                          <wp:effectExtent l="0" t="0" r="0" b="635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W Corporate Cov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8650" cy="10833283"/>
                                  </a:xfrm>
                                  <a:prstGeom prst="rect">
                                    <a:avLst/>
                                  </a:prstGeom>
                                  <a:noFill/>
                                  <a:ln>
                                    <a:noFill/>
                                  </a:ln>
                                </pic:spPr>
                              </pic:pic>
                            </a:graphicData>
                          </a:graphic>
                        </wp:inline>
                      </w:drawing>
                    </w:r>
                  </w:p>
                </w:txbxContent>
              </v:textbox>
            </v:shape>
          </w:pict>
        </mc:Fallback>
      </mc:AlternateContent>
    </w:r>
  </w:p>
  <w:p w:rsidR="000A1284" w:rsidRDefault="000A1284">
    <w:pPr>
      <w:jc w:val="left"/>
    </w:pPr>
  </w:p>
  <w:p w:rsidR="000A1284" w:rsidRDefault="000A1284">
    <w:pPr>
      <w:jc w:val="left"/>
    </w:pPr>
  </w:p>
  <w:p w:rsidR="000A1284" w:rsidRDefault="000A12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736D1E">
    <w:pPr>
      <w:pStyle w:val="Header"/>
      <w:tabs>
        <w:tab w:val="clear" w:pos="7938"/>
      </w:tabs>
    </w:pPr>
    <w:r>
      <w:rPr>
        <w:noProof/>
        <w:lang w:eastAsia="en-AU"/>
      </w:rPr>
      <mc:AlternateContent>
        <mc:Choice Requires="wpg">
          <w:drawing>
            <wp:anchor distT="0" distB="0" distL="114300" distR="114300" simplePos="0" relativeHeight="251662848" behindDoc="1" locked="0" layoutInCell="1" allowOverlap="1" wp14:anchorId="3729C59B" wp14:editId="588EAA04">
              <wp:simplePos x="0" y="0"/>
              <wp:positionH relativeFrom="column">
                <wp:posOffset>-436880</wp:posOffset>
              </wp:positionH>
              <wp:positionV relativeFrom="paragraph">
                <wp:posOffset>-203200</wp:posOffset>
              </wp:positionV>
              <wp:extent cx="5850255" cy="782955"/>
              <wp:effectExtent l="0" t="0" r="0" b="0"/>
              <wp:wrapNone/>
              <wp:docPr id="2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30" name="Rectangle 129"/>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1" name="Picture 130"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31"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0EAD95" id="Group 128" o:spid="_x0000_s1026" style="position:absolute;margin-left:-34.4pt;margin-top:-16pt;width:460.65pt;height:61.65pt;z-index:-251653632"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AV+uy7ogQAAP0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29"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JsEA&#10;AADbAAAADwAAAGRycy9kb3ducmV2LnhtbERP3WrCMBS+F/YO4Qy809Spm3SmZQiTXQzEbg9wTI5t&#10;WXNSkqzWPf1yIXj58f1vy9F2YiAfWscKFvMMBLF2puVawffX+2wDIkRkg51jUnClAGXxMNlibtyF&#10;jzRUsRYphEOOCpoY+1zKoBuyGOauJ07c2XmLMUFfS+PxksJtJ5+y7FlabDk1NNjTriH9U/1aBbjQ&#10;q7UZVqcXzd7uDnv/136elJo+jm+vICKN8S6+uT+MgmVan76k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mSbBAAAA2wAAAA8AAAAAAAAAAAAAAAAAmAIAAGRycy9kb3du&#10;cmV2LnhtbFBLBQYAAAAABAAEAPUAAACGAw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bmwbDAAAA2wAAAA8AAABkcnMvZG93bnJldi54bWxEj9GKwjAURN+F/YdwF3yRNVVBlq5RlgVB&#10;EQXrfsClubbV5qYksVa/3giCj8PMnGFmi87UoiXnK8sKRsMEBHFudcWFgv/D8usbhA/IGmvLpOBG&#10;Hhbzj94MU22vvKc2C4WIEPYpKihDaFIpfV6SQT+0DXH0jtYZDFG6QmqH1wg3tRwnyVQarDgulNjQ&#10;X0n5ObsYBU1mV4NNezsuT3fnk/VA7rZaKtX/7H5/QATqwjv8aq+0gskInl/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ubBsMAAADbAAAADwAAAAAAAAAAAAAAAACf&#10;AgAAZHJzL2Rvd25yZXYueG1sUEsFBgAAAAAEAAQA9wAAAI8DAAAAAA==&#10;">
                <v:imagedata r:id="rId3" o:title="orange box" cropbottom="692f"/>
              </v:shape>
              <v:shape id="Picture 131"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A4zCAAAA2wAAAA8AAABkcnMvZG93bnJldi54bWxEj19rwjAUxd8HfodwBV+GTadMRm0U6Rj4&#10;2k5lj5fmri1rbmqSafftF0Hw8XD+/Dj5djS9uJDznWUFL0kKgri2uuNGweHzY/4Gwgdkjb1lUvBH&#10;HrabyVOOmbZXLulShUbEEfYZKmhDGDIpfd2SQZ/YgTh639YZDFG6RmqH1zhuerlI05U02HEktDhQ&#10;0VL9U/2aCCm7d9Oc+nN5pK+iGF+rZzwVSs2m424NItAYHuF7e68VLBdw+x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AOMwgAAANsAAAAPAAAAAAAAAAAAAAAAAJ8C&#10;AABkcnMvZG93bnJldi54bWxQSwUGAAAAAAQABAD3AAAAjgMAAAAA&#10;">
                <v:imagedata r:id="rId4" o:title="OGW header" croptop="33651f" cropbottom="589f" cropleft="7817f" cropright="53955f"/>
              </v:shape>
            </v:group>
          </w:pict>
        </mc:Fallback>
      </mc:AlternateContent>
    </w:r>
    <w:r>
      <w:t xml:space="preserve"> </w:t>
    </w:r>
  </w:p>
  <w:p w:rsidR="000A1284" w:rsidRDefault="000A1284" w:rsidP="00736D1E">
    <w:pPr>
      <w:pStyle w:val="Header1"/>
    </w:pPr>
    <w:r>
      <w:t xml:space="preserve"> </w:t>
    </w:r>
  </w:p>
  <w:p w:rsidR="000A1284" w:rsidRDefault="000A1284" w:rsidP="00736D1E">
    <w:pPr>
      <w:pStyle w:val="Header1"/>
    </w:pPr>
    <w:r>
      <w:t xml:space="preserve"> </w:t>
    </w:r>
  </w:p>
  <w:p w:rsidR="000A1284" w:rsidRDefault="000A1284" w:rsidP="00736D1E">
    <w:pPr>
      <w:pStyle w:val="Header1"/>
    </w:pPr>
  </w:p>
  <w:p w:rsidR="000A1284" w:rsidRPr="00736D1E" w:rsidRDefault="000A1284" w:rsidP="00736D1E">
    <w:pPr>
      <w:pStyle w:val="Header"/>
      <w:ind w:left="0" w:right="38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pPr>
      <w:pStyle w:val="Header"/>
    </w:pPr>
    <w:fldSimple w:instr=" DOCPROPERTY &quot;Project&quot;  \* MERGEFORMAT ">
      <w:r>
        <w:t>Peer review of the willingness to pay research submitted by SAPN</w:t>
      </w:r>
    </w:fldSimple>
    <w:r>
      <w:tab/>
      <w:t>Charles</w:t>
    </w:r>
  </w:p>
  <w:p w:rsidR="000A1284" w:rsidRDefault="000A1284">
    <w:pPr>
      <w:pStyle w:val="Header"/>
    </w:pPr>
    <w:r>
      <w:tab/>
      <w:t>River</w:t>
    </w:r>
  </w:p>
  <w:p w:rsidR="000A1284" w:rsidRDefault="000A1284">
    <w:pPr>
      <w:pStyle w:val="Header"/>
    </w:pPr>
    <w:fldSimple w:instr=" DOCPROPERTY &quot;Date&quot;  \* MERGEFORMAT ">
      <w:r>
        <w:t>17 April 2015</w:t>
      </w:r>
    </w:fldSimple>
    <w:r>
      <w:tab/>
      <w:t>Associates</w:t>
    </w:r>
  </w:p>
  <w:p w:rsidR="000A1284" w:rsidRDefault="000A1284">
    <w:pPr>
      <w:pStyle w:val="Header"/>
      <w:pBdr>
        <w:top w:val="single" w:sz="6" w:space="1" w:color="568A9E"/>
      </w:pBdr>
    </w:pPr>
  </w:p>
  <w:p w:rsidR="000A1284" w:rsidRDefault="000A12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736D1E">
    <w:pPr>
      <w:pStyle w:val="Header"/>
      <w:tabs>
        <w:tab w:val="clear" w:pos="7938"/>
      </w:tabs>
    </w:pPr>
    <w:r>
      <w:rPr>
        <w:noProof/>
        <w:lang w:eastAsia="en-AU"/>
      </w:rPr>
      <mc:AlternateContent>
        <mc:Choice Requires="wpg">
          <w:drawing>
            <wp:anchor distT="0" distB="0" distL="114300" distR="114300" simplePos="0" relativeHeight="251656192" behindDoc="1" locked="0" layoutInCell="1" allowOverlap="1" wp14:anchorId="5DE55A0D" wp14:editId="42BC9C62">
              <wp:simplePos x="0" y="0"/>
              <wp:positionH relativeFrom="column">
                <wp:posOffset>-436880</wp:posOffset>
              </wp:positionH>
              <wp:positionV relativeFrom="paragraph">
                <wp:posOffset>-203200</wp:posOffset>
              </wp:positionV>
              <wp:extent cx="5850255" cy="782955"/>
              <wp:effectExtent l="0" t="0" r="0" b="0"/>
              <wp:wrapNone/>
              <wp:docPr id="2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23" name="Rectangle 162"/>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4" name="Picture 163"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64"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0F20A7" id="Group 161" o:spid="_x0000_s1026" style="position:absolute;margin-left:-34.4pt;margin-top:-16pt;width:460.65pt;height:61.65pt;z-index:-251660288"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CukviQogQAAP0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62"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jMQA&#10;AADbAAAADwAAAGRycy9kb3ducmV2LnhtbESPUWvCMBSF3wf7D+EOfJtp1W1STWUIyh6EodsPuCbX&#10;ttjclCSr1V+/CIM9Hs453+EsV4NtRU8+NI4V5OMMBLF2puFKwffX5nkOIkRkg61jUnClAKvy8WGJ&#10;hXEX3lN/iJVIEA4FKqhj7Aopg67JYhi7jjh5J+ctxiR9JY3HS4LbVk6y7FVabDgt1NjRuiZ9PvxY&#10;BZjr2YvpZ8c3zd6uP7f+1uyOSo2ehvcFiEhD/A//tT+MgskU7l/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YzEAAAA2wAAAA8AAAAAAAAAAAAAAAAAmAIAAGRycy9k&#10;b3ducmV2LnhtbFBLBQYAAAAABAAEAPUAAACJAw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1rkPEAAAA2wAAAA8AAABkcnMvZG93bnJldi54bWxEj91qwkAUhO8LvsNyBG+kbhpKKamriCBE&#10;pIXGPsAhe0yi2bNhd5sfn75bKPRymJlvmPV2NK3oyfnGsoKnVQKCuLS64UrB1/nw+ArCB2SNrWVS&#10;MJGH7Wb2sMZM24E/qS9CJSKEfYYK6hC6TEpf1mTQr2xHHL2LdQZDlK6S2uEQ4aaVaZK8SIMNx4Ua&#10;O9rXVN6Kb6OgK2y+PPXT5XC9O58cl/LjXUulFvNx9wYi0Bj+w3/tXCtIn+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1rkPEAAAA2wAAAA8AAAAAAAAAAAAAAAAA&#10;nwIAAGRycy9kb3ducmV2LnhtbFBLBQYAAAAABAAEAPcAAACQAwAAAAA=&#10;">
                <v:imagedata r:id="rId3" o:title="orange box" cropbottom="692f"/>
              </v:shape>
              <v:shape id="Picture 164"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DSXAAAAA2wAAAA8AAABkcnMvZG93bnJldi54bWxEj0uLwjAUhfcD/odwBTeDpiMoUo0iHQS3&#10;rQ9cXpprW2xuahO1/nsjCC4P5/FxFqvO1OJOrassK/gbRSCIc6srLhTsd5vhDITzyBpry6TgSQ5W&#10;y97PAmNtH5zSPfOFCCPsYlRQet/EUrq8JINuZBvi4J1ta9AH2RZSt/gI46aW4yiaSoMVB0KJDSUl&#10;5ZfsZgIkrf5Ncayv6YFOSdJNsl88JkoN+t16DsJT57/hT3urFYwn8P4Sfo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XwNJcAAAADbAAAADwAAAAAAAAAAAAAAAACfAgAA&#10;ZHJzL2Rvd25yZXYueG1sUEsFBgAAAAAEAAQA9wAAAIwDAAAAAA==&#10;">
                <v:imagedata r:id="rId4" o:title="OGW header" croptop="33651f" cropbottom="589f" cropleft="7817f" cropright="53955f"/>
              </v:shape>
            </v:group>
          </w:pict>
        </mc:Fallback>
      </mc:AlternateContent>
    </w:r>
    <w:fldSimple w:instr=" DOCPROPERTY &quot;Project&quot;  \* MERGEFORMAT ">
      <w:r>
        <w:t>Peer review of the willingness to pay research submitted by SAPN</w:t>
      </w:r>
    </w:fldSimple>
  </w:p>
  <w:p w:rsidR="000A1284" w:rsidRDefault="000A1284" w:rsidP="00736D1E">
    <w:pPr>
      <w:pStyle w:val="Header1"/>
    </w:pPr>
    <w:fldSimple w:instr=" DOCPROPERTY &quot;Date&quot;  \* MERGEFORMAT ">
      <w:r w:rsidR="00E54D24">
        <w:t>20 April 2015</w:t>
      </w:r>
    </w:fldSimple>
  </w:p>
  <w:p w:rsidR="000A1284" w:rsidRDefault="000A1284" w:rsidP="00736D1E">
    <w:pPr>
      <w:pStyle w:val="Header1"/>
    </w:pPr>
    <w:fldSimple w:instr=" DOCPROPERTY &quot;Status&quot;  \* MERGEFORMAT ">
      <w:r>
        <w:t>Peer Review</w:t>
      </w:r>
    </w:fldSimple>
  </w:p>
  <w:p w:rsidR="000A1284" w:rsidRDefault="000A1284" w:rsidP="00736D1E">
    <w:pPr>
      <w:pStyle w:val="Header1"/>
    </w:pPr>
  </w:p>
  <w:p w:rsidR="000A1284" w:rsidRPr="00736D1E" w:rsidRDefault="000A1284" w:rsidP="00736D1E">
    <w:pPr>
      <w:pStyle w:val="Header"/>
      <w:ind w:left="0" w:right="38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rsidP="00736D1E">
    <w:pPr>
      <w:pStyle w:val="Header"/>
      <w:tabs>
        <w:tab w:val="clear" w:pos="7938"/>
      </w:tabs>
    </w:pPr>
    <w:r>
      <w:rPr>
        <w:noProof/>
        <w:lang w:eastAsia="en-AU"/>
      </w:rPr>
      <mc:AlternateContent>
        <mc:Choice Requires="wpg">
          <w:drawing>
            <wp:anchor distT="0" distB="0" distL="114300" distR="114300" simplePos="0" relativeHeight="251661824" behindDoc="1" locked="0" layoutInCell="1" allowOverlap="1" wp14:anchorId="488C124B" wp14:editId="40A6A847">
              <wp:simplePos x="0" y="0"/>
              <wp:positionH relativeFrom="column">
                <wp:posOffset>-436880</wp:posOffset>
              </wp:positionH>
              <wp:positionV relativeFrom="paragraph">
                <wp:posOffset>-203200</wp:posOffset>
              </wp:positionV>
              <wp:extent cx="5850255" cy="782955"/>
              <wp:effectExtent l="0" t="0" r="0" b="0"/>
              <wp:wrapNone/>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782955"/>
                        <a:chOff x="125" y="4177"/>
                        <a:chExt cx="4195" cy="562"/>
                      </a:xfrm>
                    </wpg:grpSpPr>
                    <wps:wsp>
                      <wps:cNvPr id="4" name="Rectangle 133"/>
                      <wps:cNvSpPr>
                        <a:spLocks noChangeArrowheads="1"/>
                      </wps:cNvSpPr>
                      <wps:spPr bwMode="auto">
                        <a:xfrm>
                          <a:off x="401" y="4457"/>
                          <a:ext cx="3919" cy="282"/>
                        </a:xfrm>
                        <a:prstGeom prst="rect">
                          <a:avLst/>
                        </a:prstGeom>
                        <a:solidFill>
                          <a:srgbClr val="FBEA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5" name="Picture 134" descr="orange box"/>
                        <pic:cNvPicPr>
                          <a:picLocks noChangeAspect="1" noChangeArrowheads="1"/>
                        </pic:cNvPicPr>
                      </pic:nvPicPr>
                      <pic:blipFill>
                        <a:blip r:embed="rId1">
                          <a:extLst>
                            <a:ext uri="{28A0092B-C50C-407E-A947-70E740481C1C}">
                              <a14:useLocalDpi xmlns:a14="http://schemas.microsoft.com/office/drawing/2010/main" val="0"/>
                            </a:ext>
                          </a:extLst>
                        </a:blip>
                        <a:srcRect b="1056"/>
                        <a:stretch>
                          <a:fillRect/>
                        </a:stretch>
                      </pic:blipFill>
                      <pic:spPr bwMode="auto">
                        <a:xfrm>
                          <a:off x="125" y="4177"/>
                          <a:ext cx="27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5" descr="OGW header"/>
                        <pic:cNvPicPr>
                          <a:picLocks noChangeAspect="1" noChangeArrowheads="1"/>
                        </pic:cNvPicPr>
                      </pic:nvPicPr>
                      <pic:blipFill>
                        <a:blip r:embed="rId2">
                          <a:extLst>
                            <a:ext uri="{28A0092B-C50C-407E-A947-70E740481C1C}">
                              <a14:useLocalDpi xmlns:a14="http://schemas.microsoft.com/office/drawing/2010/main" val="0"/>
                            </a:ext>
                          </a:extLst>
                        </a:blip>
                        <a:srcRect l="11928" t="51347" r="82329" b="899"/>
                        <a:stretch>
                          <a:fillRect/>
                        </a:stretch>
                      </pic:blipFill>
                      <pic:spPr bwMode="auto">
                        <a:xfrm>
                          <a:off x="400" y="4456"/>
                          <a:ext cx="289"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0F6370" id="Group 132" o:spid="_x0000_s1026" style="position:absolute;margin-left:-34.4pt;margin-top:-16pt;width:460.65pt;height:61.65pt;z-index:-251654656" coordorigin="125,4177" coordsize="419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">
              <v:rect id="Rectangle 133" o:spid="_x0000_s1027" style="position:absolute;left:401;top:4457;width:3919;height: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rB8IA&#10;AADaAAAADwAAAGRycy9kb3ducmV2LnhtbESPUWvCMBSF34X9h3AHe9O00k2ppiLCxh4GY+oPuCbX&#10;ttjclCSrnb/eDAZ7PJxzvsNZb0bbiYF8aB0ryGcZCGLtTMu1guPhdboEESKywc4xKfihAJvqYbLG&#10;0rgrf9Gwj7VIEA4lKmhi7Espg27IYpi5njh5Z+ctxiR9LY3Ha4LbTs6z7EVabDktNNjTriF92X9b&#10;BZjr4tkMxWmh2dvd55u/tR8npZ4ex+0KRKQx/of/2u9GQQG/V9IN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msHwgAAANoAAAAPAAAAAAAAAAAAAAAAAJgCAABkcnMvZG93&#10;bnJldi54bWxQSwUGAAAAAAQABAD1AAAAhwMAAAAA&#10;" fillcolor="#fbeab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alt="orange box" style="position:absolute;left:125;top:4177;width:27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ZMTDCAAAA2gAAAA8AAABkcnMvZG93bnJldi54bWxEj9GKwjAURN8X/IdwBV9EUwWXpRpFBEGR&#10;FbbrB1yaa1ttbkoSa/XrN4Kwj8PMnGEWq87UoiXnK8sKJuMEBHFudcWFgtPvdvQFwgdkjbVlUvAg&#10;D6tl72OBqbZ3/qE2C4WIEPYpKihDaFIpfV6SQT+2DXH0ztYZDFG6QmqH9wg3tZwmyac0WHFcKLGh&#10;TUn5NbsZBU1md8ND+zhvL0/nk/1QHr+1VGrQ79ZzEIG68B9+t3dawQxeV+IN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TEwwgAAANoAAAAPAAAAAAAAAAAAAAAAAJ8C&#10;AABkcnMvZG93bnJldi54bWxQSwUGAAAAAAQABAD3AAAAjgMAAAAA&#10;">
                <v:imagedata r:id="rId3" o:title="orange box" cropbottom="692f"/>
              </v:shape>
              <v:shape id="Picture 135" o:spid="_x0000_s1029" type="#_x0000_t75" alt="OGW header" style="position:absolute;left:400;top:4456;width:28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kyO/AAAA2gAAAA8AAABkcnMvZG93bnJldi54bWxEj0uLwjAUhfeC/yFcwY1oqqBIxyhDRXDb&#10;+sDlpbnTlmluahO1/nsjCC4P5/FxVpvO1OJOrassK5hOIhDEudUVFwqOh914CcJ5ZI21ZVLwJAeb&#10;db+3wljbB6d0z3whwgi7GBWU3jexlC4vyaCb2IY4eH+2NeiDbAupW3yEcVPLWRQtpMGKA6HEhpKS&#10;8v/sZgIkrbamONfX9ESXJOnm2QjPiVLDQff7A8JT57/hT3uvFSzgfSXc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kJMjvwAAANoAAAAPAAAAAAAAAAAAAAAAAJ8CAABk&#10;cnMvZG93bnJldi54bWxQSwUGAAAAAAQABAD3AAAAiwMAAAAA&#10;">
                <v:imagedata r:id="rId4" o:title="OGW header" croptop="33651f" cropbottom="589f" cropleft="7817f" cropright="53955f"/>
              </v:shape>
            </v:group>
          </w:pict>
        </mc:Fallback>
      </mc:AlternateContent>
    </w:r>
    <w:fldSimple w:instr=" DOCPROPERTY &quot;Project&quot;  \* MERGEFORMAT ">
      <w:r>
        <w:t>Peer review of the willingness to pay research submitted by SAPN</w:t>
      </w:r>
    </w:fldSimple>
  </w:p>
  <w:p w:rsidR="000A1284" w:rsidRDefault="000A1284" w:rsidP="00736D1E">
    <w:pPr>
      <w:pStyle w:val="Header1"/>
    </w:pPr>
    <w:fldSimple w:instr=" DOCPROPERTY &quot;Date&quot;  \* MERGEFORMAT ">
      <w:r w:rsidR="00E54D24">
        <w:t>20 April 2015</w:t>
      </w:r>
    </w:fldSimple>
  </w:p>
  <w:p w:rsidR="000A1284" w:rsidRDefault="000A1284" w:rsidP="00736D1E">
    <w:pPr>
      <w:pStyle w:val="Header1"/>
    </w:pPr>
    <w:fldSimple w:instr=" DOCPROPERTY &quot;Status&quot;  \* MERGEFORMAT ">
      <w:r>
        <w:t>Peer Review</w:t>
      </w:r>
    </w:fldSimple>
  </w:p>
  <w:p w:rsidR="000A1284" w:rsidRDefault="000A1284" w:rsidP="00736D1E">
    <w:pPr>
      <w:pStyle w:val="Header1"/>
    </w:pPr>
  </w:p>
  <w:p w:rsidR="000A1284" w:rsidRPr="00736D1E" w:rsidRDefault="000A1284" w:rsidP="00736D1E">
    <w:pPr>
      <w:pStyle w:val="Header"/>
      <w:ind w:left="0" w:right="38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284" w:rsidRDefault="000A1284">
    <w:pPr>
      <w:pStyle w:val="Header"/>
    </w:pPr>
    <w:fldSimple w:instr=" DOCPROPERTY &quot;Project&quot;  \* MERGEFORMAT ">
      <w:r>
        <w:t>Peer review of the willingness to pay research submitted by SAPN</w:t>
      </w:r>
    </w:fldSimple>
    <w:r>
      <w:tab/>
      <w:t>Charles</w:t>
    </w:r>
  </w:p>
  <w:p w:rsidR="000A1284" w:rsidRDefault="000A1284">
    <w:pPr>
      <w:pStyle w:val="Header"/>
    </w:pPr>
    <w:r>
      <w:tab/>
      <w:t>River</w:t>
    </w:r>
  </w:p>
  <w:p w:rsidR="000A1284" w:rsidRDefault="000A1284">
    <w:pPr>
      <w:pStyle w:val="Header"/>
    </w:pPr>
    <w:fldSimple w:instr=" DOCPROPERTY &quot;Date&quot;  \* MERGEFORMAT ">
      <w:r>
        <w:t>17 April 2015</w:t>
      </w:r>
    </w:fldSimple>
    <w:r>
      <w:tab/>
      <w:t>Associates</w:t>
    </w:r>
  </w:p>
  <w:p w:rsidR="000A1284" w:rsidRDefault="000A1284">
    <w:pPr>
      <w:pStyle w:val="Header"/>
      <w:pBdr>
        <w:top w:val="single" w:sz="6" w:space="1" w:color="568A9E"/>
      </w:pBdr>
    </w:pPr>
  </w:p>
  <w:p w:rsidR="000A1284" w:rsidRDefault="000A12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6.25pt;height:66.25pt" o:bullet="t">
        <v:imagedata r:id="rId1" o:title="ogw box"/>
      </v:shape>
    </w:pict>
  </w:numPicBullet>
  <w:numPicBullet w:numPicBulletId="1">
    <w:pict>
      <v:shape id="_x0000_i1055" type="#_x0000_t75" style="width:445.4pt;height:436.75pt" o:bullet="t">
        <v:imagedata r:id="rId2" o:title="gold on green bullet"/>
      </v:shape>
    </w:pict>
  </w:numPicBullet>
  <w:numPicBullet w:numPicBulletId="2">
    <w:pict>
      <v:shape id="_x0000_i1056" type="#_x0000_t75" style="width:295.65pt;height:290.4pt" o:bullet="t">
        <v:imagedata r:id="rId3" o:title="gold on green bullet"/>
      </v:shape>
    </w:pict>
  </w:numPicBullet>
  <w:numPicBullet w:numPicBulletId="3">
    <w:pict>
      <v:shape id="_x0000_i1057" type="#_x0000_t75" style="width:149.25pt;height:146.85pt" o:bullet="t">
        <v:imagedata r:id="rId4" o:title="Level 2 bullet"/>
      </v:shape>
    </w:pict>
  </w:numPicBullet>
  <w:numPicBullet w:numPicBulletId="4">
    <w:pict>
      <v:shape id="_x0000_i1058" type="#_x0000_t75" style="width:12.5pt;height:12.5pt" o:bullet="t">
        <v:imagedata r:id="rId5" o:title="OGW list bullet"/>
      </v:shape>
    </w:pict>
  </w:numPicBullet>
  <w:numPicBullet w:numPicBulletId="5">
    <w:pict>
      <v:shape id="_x0000_i1059" type="#_x0000_t75" style="width:14.9pt;height:14.4pt" o:bullet="t">
        <v:imagedata r:id="rId6" o:title="OGW list bullet2"/>
      </v:shape>
    </w:pict>
  </w:numPicBullet>
  <w:numPicBullet w:numPicBulletId="6">
    <w:pict>
      <v:shape id="_x0000_i1060" type="#_x0000_t75" style="width:12.5pt;height:12.5pt" o:bullet="t">
        <v:imagedata r:id="rId7" o:title="OGW list bullet1"/>
      </v:shape>
    </w:pict>
  </w:numPicBullet>
  <w:abstractNum w:abstractNumId="0">
    <w:nsid w:val="FFFFFFFB"/>
    <w:multiLevelType w:val="multilevel"/>
    <w:tmpl w:val="9F866A60"/>
    <w:lvl w:ilvl="0">
      <w:start w:val="1"/>
      <w:numFmt w:val="decimal"/>
      <w:pStyle w:val="Heading1"/>
      <w:lvlText w:val="%1."/>
      <w:legacy w:legacy="1" w:legacySpace="0" w:legacyIndent="708"/>
      <w:lvlJc w:val="left"/>
      <w:pPr>
        <w:ind w:left="708" w:hanging="708"/>
      </w:pPr>
    </w:lvl>
    <w:lvl w:ilvl="1">
      <w:start w:val="1"/>
      <w:numFmt w:val="decimal"/>
      <w:pStyle w:val="Heading2"/>
      <w:lvlText w:val="%1.%2."/>
      <w:legacy w:legacy="1" w:legacySpace="0" w:legacyIndent="708"/>
      <w:lvlJc w:val="left"/>
      <w:pPr>
        <w:ind w:left="720" w:hanging="708"/>
      </w:pPr>
    </w:lvl>
    <w:lvl w:ilvl="2">
      <w:start w:val="1"/>
      <w:numFmt w:val="decimal"/>
      <w:pStyle w:val="Heading3"/>
      <w:lvlText w:val="%1.%2.%3."/>
      <w:legacy w:legacy="1" w:legacySpace="0" w:legacyIndent="708"/>
      <w:lvlJc w:val="left"/>
      <w:pPr>
        <w:ind w:left="720" w:hanging="708"/>
      </w:pPr>
    </w:lvl>
    <w:lvl w:ilvl="3">
      <w:start w:val="1"/>
      <w:numFmt w:val="none"/>
      <w:suff w:val="nothing"/>
      <w:lvlText w:val=""/>
      <w:lvlJc w:val="left"/>
      <w:pPr>
        <w:ind w:left="1440" w:hanging="708"/>
      </w:pPr>
    </w:lvl>
    <w:lvl w:ilvl="4">
      <w:start w:val="1"/>
      <w:numFmt w:val="decimal"/>
      <w:pStyle w:val="Heading5"/>
      <w:lvlText w:val="%5."/>
      <w:legacy w:legacy="1" w:legacySpace="0" w:legacyIndent="708"/>
      <w:lvlJc w:val="left"/>
      <w:pPr>
        <w:ind w:left="3540" w:hanging="708"/>
      </w:pPr>
    </w:lvl>
    <w:lvl w:ilvl="5">
      <w:start w:val="1"/>
      <w:numFmt w:val="decimal"/>
      <w:pStyle w:val="Heading6"/>
      <w:lvlText w:val="%5.%6."/>
      <w:legacy w:legacy="1" w:legacySpace="0" w:legacyIndent="708"/>
      <w:lvlJc w:val="left"/>
      <w:pPr>
        <w:ind w:left="4248" w:hanging="708"/>
      </w:pPr>
    </w:lvl>
    <w:lvl w:ilvl="6">
      <w:start w:val="1"/>
      <w:numFmt w:val="decimal"/>
      <w:pStyle w:val="Heading7"/>
      <w:lvlText w:val="%5.%6.%7."/>
      <w:legacy w:legacy="1" w:legacySpace="0" w:legacyIndent="708"/>
      <w:lvlJc w:val="left"/>
      <w:pPr>
        <w:ind w:left="4956" w:hanging="708"/>
      </w:pPr>
    </w:lvl>
    <w:lvl w:ilvl="7">
      <w:start w:val="1"/>
      <w:numFmt w:val="decimal"/>
      <w:pStyle w:val="Heading8"/>
      <w:lvlText w:val="%5.%6.%7.%8."/>
      <w:legacy w:legacy="1" w:legacySpace="0" w:legacyIndent="708"/>
      <w:lvlJc w:val="left"/>
      <w:pPr>
        <w:ind w:left="5664" w:hanging="708"/>
      </w:pPr>
    </w:lvl>
    <w:lvl w:ilvl="8">
      <w:start w:val="1"/>
      <w:numFmt w:val="decimal"/>
      <w:pStyle w:val="Heading9"/>
      <w:lvlText w:val="%5.%6.%7.%8.%9."/>
      <w:legacy w:legacy="1" w:legacySpace="0" w:legacyIndent="708"/>
      <w:lvlJc w:val="left"/>
      <w:pPr>
        <w:ind w:left="6372" w:hanging="708"/>
      </w:pPr>
    </w:lvl>
  </w:abstractNum>
  <w:abstractNum w:abstractNumId="1">
    <w:nsid w:val="01D61529"/>
    <w:multiLevelType w:val="multilevel"/>
    <w:tmpl w:val="0DB2A7A0"/>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2">
    <w:nsid w:val="030343D6"/>
    <w:multiLevelType w:val="multilevel"/>
    <w:tmpl w:val="CAA81F96"/>
    <w:lvl w:ilvl="0">
      <w:start w:val="1"/>
      <w:numFmt w:val="bullet"/>
      <w:lvlText w:val=""/>
      <w:lvlJc w:val="left"/>
      <w:pPr>
        <w:tabs>
          <w:tab w:val="num" w:pos="791"/>
        </w:tabs>
        <w:ind w:left="791"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F8D5406"/>
    <w:multiLevelType w:val="multilevel"/>
    <w:tmpl w:val="9B0C8628"/>
    <w:lvl w:ilvl="0">
      <w:start w:val="1"/>
      <w:numFmt w:val="bullet"/>
      <w:lvlText w:val=""/>
      <w:lvlPicBulletId w:val="2"/>
      <w:lvlJc w:val="left"/>
      <w:pPr>
        <w:tabs>
          <w:tab w:val="num" w:pos="360"/>
        </w:tabs>
        <w:ind w:left="3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052EF2"/>
    <w:multiLevelType w:val="multilevel"/>
    <w:tmpl w:val="CAAA94B8"/>
    <w:lvl w:ilvl="0">
      <w:start w:val="1"/>
      <w:numFmt w:val="bullet"/>
      <w:lvlText w:val="-"/>
      <w:lvlJc w:val="left"/>
      <w:pPr>
        <w:tabs>
          <w:tab w:val="num" w:pos="791"/>
        </w:tabs>
        <w:ind w:left="791" w:hanging="360"/>
      </w:pPr>
      <w:rPr>
        <w:rFonts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2EF7E13"/>
    <w:multiLevelType w:val="multilevel"/>
    <w:tmpl w:val="06C2BD2C"/>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58B2FBE"/>
    <w:multiLevelType w:val="multilevel"/>
    <w:tmpl w:val="9DF2E98E"/>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44E72B1"/>
    <w:multiLevelType w:val="multilevel"/>
    <w:tmpl w:val="FF088DB4"/>
    <w:lvl w:ilvl="0">
      <w:start w:val="1"/>
      <w:numFmt w:val="bullet"/>
      <w:lvlText w:val=""/>
      <w:lvlPicBulletId w:val="2"/>
      <w:lvlJc w:val="left"/>
      <w:pPr>
        <w:tabs>
          <w:tab w:val="num" w:pos="360"/>
        </w:tabs>
        <w:ind w:left="3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64D1B7B"/>
    <w:multiLevelType w:val="multilevel"/>
    <w:tmpl w:val="C690F41C"/>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9">
    <w:nsid w:val="2906734E"/>
    <w:multiLevelType w:val="hybridMultilevel"/>
    <w:tmpl w:val="AED012D4"/>
    <w:lvl w:ilvl="0" w:tplc="C14C123A">
      <w:start w:val="1"/>
      <w:numFmt w:val="bullet"/>
      <w:pStyle w:val="ListBullet2"/>
      <w:lvlText w:val=""/>
      <w:lvlPicBulletId w:val="3"/>
      <w:lvlJc w:val="left"/>
      <w:pPr>
        <w:tabs>
          <w:tab w:val="num" w:pos="791"/>
        </w:tabs>
        <w:ind w:left="791"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FC4928"/>
    <w:multiLevelType w:val="hybridMultilevel"/>
    <w:tmpl w:val="F6FCE8CA"/>
    <w:lvl w:ilvl="0" w:tplc="0276D90C">
      <w:start w:val="1"/>
      <w:numFmt w:val="bullet"/>
      <w:lvlText w:val=""/>
      <w:lvlJc w:val="left"/>
      <w:pPr>
        <w:tabs>
          <w:tab w:val="num" w:pos="360"/>
        </w:tabs>
        <w:ind w:left="360" w:hanging="360"/>
      </w:pPr>
      <w:rPr>
        <w:rFonts w:ascii="Wingdings" w:hAnsi="Wingdings" w:hint="default"/>
        <w:color w:val="F7AD09"/>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0E923D8"/>
    <w:multiLevelType w:val="multilevel"/>
    <w:tmpl w:val="8940FA24"/>
    <w:lvl w:ilvl="0">
      <w:start w:val="1"/>
      <w:numFmt w:val="upperLetter"/>
      <w:pStyle w:val="Appendix1"/>
      <w:suff w:val="nothing"/>
      <w:lvlText w:val="Appendix %1"/>
      <w:lvlJc w:val="left"/>
      <w:pPr>
        <w:ind w:left="-288" w:hanging="432"/>
      </w:pPr>
      <w:rPr>
        <w:rFonts w:hint="default"/>
      </w:rPr>
    </w:lvl>
    <w:lvl w:ilvl="1">
      <w:start w:val="1"/>
      <w:numFmt w:val="decimal"/>
      <w:pStyle w:val="Appendix2"/>
      <w:lvlText w:val="%1.%2"/>
      <w:lvlJc w:val="left"/>
      <w:pPr>
        <w:tabs>
          <w:tab w:val="num" w:pos="-144"/>
        </w:tabs>
        <w:ind w:left="-144" w:hanging="576"/>
      </w:pPr>
      <w:rPr>
        <w:rFonts w:hint="default"/>
      </w:rPr>
    </w:lvl>
    <w:lvl w:ilvl="2">
      <w:start w:val="1"/>
      <w:numFmt w:val="decimal"/>
      <w:pStyle w:val="Appendix3"/>
      <w:lvlText w:val="%1.%2.%3"/>
      <w:lvlJc w:val="left"/>
      <w:pPr>
        <w:tabs>
          <w:tab w:val="num" w:pos="0"/>
        </w:tabs>
        <w:ind w:left="0" w:hanging="720"/>
      </w:pPr>
      <w:rPr>
        <w:rFonts w:hint="default"/>
      </w:rPr>
    </w:lvl>
    <w:lvl w:ilvl="3">
      <w:start w:val="1"/>
      <w:numFmt w:val="none"/>
      <w:pStyle w:val="Appendix4"/>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2">
    <w:nsid w:val="3CDD257E"/>
    <w:multiLevelType w:val="multilevel"/>
    <w:tmpl w:val="9098805C"/>
    <w:lvl w:ilvl="0">
      <w:start w:val="1"/>
      <w:numFmt w:val="bullet"/>
      <w:lvlText w:val="■"/>
      <w:lvlJc w:val="left"/>
      <w:pPr>
        <w:tabs>
          <w:tab w:val="num" w:pos="791"/>
        </w:tabs>
        <w:ind w:left="791" w:hanging="360"/>
      </w:pPr>
      <w:rPr>
        <w:rFonts w:ascii="Microsoft Sans Serif" w:hAnsi="Microsoft Sans Serif" w:cs="Times New Roman" w:hint="default"/>
        <w:color w:val="F7AD09"/>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C983A68"/>
    <w:multiLevelType w:val="multilevel"/>
    <w:tmpl w:val="6AD60628"/>
    <w:lvl w:ilvl="0">
      <w:start w:val="1"/>
      <w:numFmt w:val="upperLetter"/>
      <w:suff w:val="nothing"/>
      <w:lvlText w:val="Appendix %1"/>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4">
    <w:nsid w:val="5316331C"/>
    <w:multiLevelType w:val="singleLevel"/>
    <w:tmpl w:val="BBEE1768"/>
    <w:lvl w:ilvl="0">
      <w:start w:val="1"/>
      <w:numFmt w:val="decimal"/>
      <w:pStyle w:val="ListNumber"/>
      <w:lvlText w:val="%1."/>
      <w:lvlJc w:val="left"/>
      <w:pPr>
        <w:tabs>
          <w:tab w:val="num" w:pos="562"/>
        </w:tabs>
        <w:ind w:left="562" w:hanging="562"/>
      </w:pPr>
    </w:lvl>
  </w:abstractNum>
  <w:abstractNum w:abstractNumId="15">
    <w:nsid w:val="56E37BC1"/>
    <w:multiLevelType w:val="multilevel"/>
    <w:tmpl w:val="F2C28F76"/>
    <w:lvl w:ilvl="0">
      <w:start w:val="1"/>
      <w:numFmt w:val="upperLetter"/>
      <w:suff w:val="nothing"/>
      <w:lvlText w:val="Appendix %1:  "/>
      <w:lvlJc w:val="left"/>
      <w:pPr>
        <w:ind w:left="-288" w:hanging="432"/>
      </w:pPr>
      <w:rPr>
        <w:rFonts w:hint="default"/>
      </w:rPr>
    </w:lvl>
    <w:lvl w:ilvl="1">
      <w:start w:val="1"/>
      <w:numFmt w:val="decimal"/>
      <w:lvlText w:val="%1.%2"/>
      <w:lvlJc w:val="left"/>
      <w:pPr>
        <w:tabs>
          <w:tab w:val="num" w:pos="-144"/>
        </w:tabs>
        <w:ind w:left="-144" w:hanging="576"/>
      </w:pPr>
      <w:rPr>
        <w:rFonts w:hint="default"/>
      </w:rPr>
    </w:lvl>
    <w:lvl w:ilvl="2">
      <w:start w:val="1"/>
      <w:numFmt w:val="decimal"/>
      <w:lvlText w:val="%1.%2.%3"/>
      <w:lvlJc w:val="left"/>
      <w:pPr>
        <w:tabs>
          <w:tab w:val="num" w:pos="0"/>
        </w:tabs>
        <w:ind w:left="0" w:hanging="720"/>
      </w:pPr>
      <w:rPr>
        <w:rFonts w:hint="default"/>
      </w:rPr>
    </w:lvl>
    <w:lvl w:ilvl="3">
      <w:start w:val="1"/>
      <w:numFmt w:val="none"/>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6">
    <w:nsid w:val="571210CC"/>
    <w:multiLevelType w:val="multilevel"/>
    <w:tmpl w:val="4E80E9C6"/>
    <w:lvl w:ilvl="0">
      <w:start w:val="1"/>
      <w:numFmt w:val="bullet"/>
      <w:lvlText w:val="■"/>
      <w:lvlJc w:val="left"/>
      <w:pPr>
        <w:tabs>
          <w:tab w:val="num" w:pos="791"/>
        </w:tabs>
        <w:ind w:left="791" w:hanging="360"/>
      </w:pPr>
      <w:rPr>
        <w:rFonts w:ascii="Times New Roman" w:hAnsi="Times New Roman" w:cs="Times New Roman" w:hint="default"/>
        <w:color w:val="076A7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ABE7FCA"/>
    <w:multiLevelType w:val="multilevel"/>
    <w:tmpl w:val="145C5F54"/>
    <w:lvl w:ilvl="0">
      <w:start w:val="1"/>
      <w:numFmt w:val="bullet"/>
      <w:lvlText w:val="-"/>
      <w:lvlJc w:val="left"/>
      <w:pPr>
        <w:tabs>
          <w:tab w:val="num" w:pos="791"/>
        </w:tabs>
        <w:ind w:left="791" w:hanging="360"/>
      </w:pPr>
      <w:rPr>
        <w:rFonts w:hint="default"/>
        <w:color w:val="A7AAA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B8E1FC8"/>
    <w:multiLevelType w:val="hybridMultilevel"/>
    <w:tmpl w:val="43D231FE"/>
    <w:lvl w:ilvl="0" w:tplc="6E54E7C8">
      <w:start w:val="1"/>
      <w:numFmt w:val="bullet"/>
      <w:pStyle w:val="ListBullet"/>
      <w:lvlText w:val=""/>
      <w:lvlPicBulletId w:val="2"/>
      <w:lvlJc w:val="left"/>
      <w:pPr>
        <w:tabs>
          <w:tab w:val="num" w:pos="360"/>
        </w:tabs>
        <w:ind w:left="36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color w:val="F7AD09"/>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ECF6D18"/>
    <w:multiLevelType w:val="multilevel"/>
    <w:tmpl w:val="E74AC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8D1422"/>
    <w:multiLevelType w:val="multilevel"/>
    <w:tmpl w:val="28B8879A"/>
    <w:lvl w:ilvl="0">
      <w:start w:val="1"/>
      <w:numFmt w:val="bullet"/>
      <w:lvlText w:val=""/>
      <w:lvlJc w:val="left"/>
      <w:pPr>
        <w:tabs>
          <w:tab w:val="num" w:pos="360"/>
        </w:tabs>
        <w:ind w:left="360" w:hanging="360"/>
      </w:pPr>
      <w:rPr>
        <w:rFonts w:ascii="Wingdings" w:hAnsi="Wingdings" w:hint="default"/>
        <w:color w:val="F7AD09"/>
        <w:sz w:val="20"/>
      </w:rPr>
    </w:lvl>
    <w:lvl w:ilvl="1">
      <w:start w:val="1"/>
      <w:numFmt w:val="bullet"/>
      <w:lvlText w:val="o"/>
      <w:lvlJc w:val="left"/>
      <w:pPr>
        <w:tabs>
          <w:tab w:val="num" w:pos="1440"/>
        </w:tabs>
        <w:ind w:left="1440" w:hanging="360"/>
      </w:pPr>
      <w:rPr>
        <w:rFonts w:ascii="Courier New" w:hAnsi="Courier New" w:cs="Courier New" w:hint="default"/>
        <w:color w:val="F7AD09"/>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FA73C03"/>
    <w:multiLevelType w:val="singleLevel"/>
    <w:tmpl w:val="99AE3E04"/>
    <w:lvl w:ilvl="0">
      <w:start w:val="1"/>
      <w:numFmt w:val="bullet"/>
      <w:lvlText w:val=""/>
      <w:lvlJc w:val="left"/>
      <w:pPr>
        <w:tabs>
          <w:tab w:val="num" w:pos="360"/>
        </w:tabs>
        <w:ind w:left="360" w:hanging="360"/>
      </w:pPr>
      <w:rPr>
        <w:rFonts w:ascii="Wingdings" w:hAnsi="Wingdings" w:hint="default"/>
        <w:color w:val="F7AD09"/>
        <w:sz w:val="20"/>
      </w:rPr>
    </w:lvl>
  </w:abstractNum>
  <w:abstractNum w:abstractNumId="22">
    <w:nsid w:val="728B1F4F"/>
    <w:multiLevelType w:val="multilevel"/>
    <w:tmpl w:val="D73219F2"/>
    <w:lvl w:ilvl="0">
      <w:start w:val="1"/>
      <w:numFmt w:val="bullet"/>
      <w:lvlText w:val="■"/>
      <w:lvlJc w:val="left"/>
      <w:pPr>
        <w:tabs>
          <w:tab w:val="num" w:pos="791"/>
        </w:tabs>
        <w:ind w:left="791" w:hanging="360"/>
      </w:pPr>
      <w:rPr>
        <w:rFonts w:ascii="Times New Roman" w:hAnsi="Times New Roman" w:cs="Times New Roman" w:hint="default"/>
        <w:color w:val="0A93AA"/>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4F118EA"/>
    <w:multiLevelType w:val="multilevel"/>
    <w:tmpl w:val="8A14B2F2"/>
    <w:lvl w:ilvl="0">
      <w:start w:val="1"/>
      <w:numFmt w:val="bullet"/>
      <w:lvlText w:val="-"/>
      <w:lvlJc w:val="left"/>
      <w:pPr>
        <w:tabs>
          <w:tab w:val="num" w:pos="360"/>
        </w:tabs>
        <w:ind w:left="360" w:hanging="360"/>
      </w:pPr>
      <w:rPr>
        <w:rFonts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1"/>
  </w:num>
  <w:num w:numId="11">
    <w:abstractNumId w:val="14"/>
  </w:num>
  <w:num w:numId="12">
    <w:abstractNumId w:val="9"/>
  </w:num>
  <w:num w:numId="13">
    <w:abstractNumId w:val="13"/>
  </w:num>
  <w:num w:numId="14">
    <w:abstractNumId w:val="15"/>
  </w:num>
  <w:num w:numId="15">
    <w:abstractNumId w:val="8"/>
  </w:num>
  <w:num w:numId="16">
    <w:abstractNumId w:val="1"/>
  </w:num>
  <w:num w:numId="17">
    <w:abstractNumId w:val="23"/>
  </w:num>
  <w:num w:numId="18">
    <w:abstractNumId w:val="4"/>
  </w:num>
  <w:num w:numId="19">
    <w:abstractNumId w:val="17"/>
  </w:num>
  <w:num w:numId="20">
    <w:abstractNumId w:val="22"/>
  </w:num>
  <w:num w:numId="21">
    <w:abstractNumId w:val="16"/>
  </w:num>
  <w:num w:numId="22">
    <w:abstractNumId w:val="9"/>
  </w:num>
  <w:num w:numId="23">
    <w:abstractNumId w:val="10"/>
  </w:num>
  <w:num w:numId="24">
    <w:abstractNumId w:val="6"/>
  </w:num>
  <w:num w:numId="25">
    <w:abstractNumId w:val="18"/>
  </w:num>
  <w:num w:numId="26">
    <w:abstractNumId w:val="5"/>
  </w:num>
  <w:num w:numId="27">
    <w:abstractNumId w:val="12"/>
  </w:num>
  <w:num w:numId="28">
    <w:abstractNumId w:val="20"/>
  </w:num>
  <w:num w:numId="29">
    <w:abstractNumId w:val="2"/>
  </w:num>
  <w:num w:numId="30">
    <w:abstractNumId w:val="7"/>
  </w:num>
  <w:num w:numId="31">
    <w:abstractNumId w:val="3"/>
  </w:num>
  <w:num w:numId="32">
    <w:abstractNumId w:val="19"/>
  </w:num>
  <w:num w:numId="33">
    <w:abstractNumId w:val="18"/>
  </w:num>
  <w:num w:numId="34">
    <w:abstractNumId w:val="9"/>
  </w:num>
  <w:num w:numId="35">
    <w:abstractNumId w:val="18"/>
  </w:num>
  <w:num w:numId="36">
    <w:abstractNumId w:val="18"/>
  </w:num>
  <w:num w:numId="37">
    <w:abstractNumId w:val="9"/>
  </w:num>
  <w:num w:numId="38">
    <w:abstractNumId w:val="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en-NZ"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49">
      <o:colormru v:ext="edit" colors="#568a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354"/>
    <w:rsid w:val="00017396"/>
    <w:rsid w:val="0002141A"/>
    <w:rsid w:val="000242AC"/>
    <w:rsid w:val="000377FF"/>
    <w:rsid w:val="000433D6"/>
    <w:rsid w:val="00056D12"/>
    <w:rsid w:val="0006130F"/>
    <w:rsid w:val="00074175"/>
    <w:rsid w:val="000758A8"/>
    <w:rsid w:val="000800D1"/>
    <w:rsid w:val="0009600D"/>
    <w:rsid w:val="000A1284"/>
    <w:rsid w:val="000B33C7"/>
    <w:rsid w:val="000B5521"/>
    <w:rsid w:val="000C38E8"/>
    <w:rsid w:val="000E3C41"/>
    <w:rsid w:val="00110D6E"/>
    <w:rsid w:val="001167A0"/>
    <w:rsid w:val="00123306"/>
    <w:rsid w:val="001342E1"/>
    <w:rsid w:val="001364ED"/>
    <w:rsid w:val="00144DB6"/>
    <w:rsid w:val="0016265F"/>
    <w:rsid w:val="00165ADD"/>
    <w:rsid w:val="00166AED"/>
    <w:rsid w:val="00172EFF"/>
    <w:rsid w:val="0017514B"/>
    <w:rsid w:val="001826BB"/>
    <w:rsid w:val="001876B3"/>
    <w:rsid w:val="001A4780"/>
    <w:rsid w:val="001C3618"/>
    <w:rsid w:val="001C631F"/>
    <w:rsid w:val="001E74A8"/>
    <w:rsid w:val="001F45F9"/>
    <w:rsid w:val="001F6A5D"/>
    <w:rsid w:val="00205CF8"/>
    <w:rsid w:val="00210286"/>
    <w:rsid w:val="002173F5"/>
    <w:rsid w:val="002178B2"/>
    <w:rsid w:val="00234006"/>
    <w:rsid w:val="00244127"/>
    <w:rsid w:val="00250151"/>
    <w:rsid w:val="0025382D"/>
    <w:rsid w:val="00257D3E"/>
    <w:rsid w:val="00264467"/>
    <w:rsid w:val="00265CE4"/>
    <w:rsid w:val="002779A8"/>
    <w:rsid w:val="00284CF9"/>
    <w:rsid w:val="00286DF2"/>
    <w:rsid w:val="002A6B94"/>
    <w:rsid w:val="002B07EB"/>
    <w:rsid w:val="002B1D3F"/>
    <w:rsid w:val="002B2B8A"/>
    <w:rsid w:val="002B46C1"/>
    <w:rsid w:val="002B4BA5"/>
    <w:rsid w:val="002C3090"/>
    <w:rsid w:val="002D6598"/>
    <w:rsid w:val="002F0FFB"/>
    <w:rsid w:val="002F21CF"/>
    <w:rsid w:val="002F371D"/>
    <w:rsid w:val="002F7D1E"/>
    <w:rsid w:val="00302649"/>
    <w:rsid w:val="00305249"/>
    <w:rsid w:val="00317960"/>
    <w:rsid w:val="003204A5"/>
    <w:rsid w:val="00321220"/>
    <w:rsid w:val="00331D0E"/>
    <w:rsid w:val="00353BDB"/>
    <w:rsid w:val="00357E93"/>
    <w:rsid w:val="00360A76"/>
    <w:rsid w:val="003648B0"/>
    <w:rsid w:val="00367B65"/>
    <w:rsid w:val="00371DC0"/>
    <w:rsid w:val="00372210"/>
    <w:rsid w:val="0038340C"/>
    <w:rsid w:val="00384313"/>
    <w:rsid w:val="003A1C71"/>
    <w:rsid w:val="003A3479"/>
    <w:rsid w:val="003E4104"/>
    <w:rsid w:val="003F6289"/>
    <w:rsid w:val="00405534"/>
    <w:rsid w:val="00410369"/>
    <w:rsid w:val="0041233A"/>
    <w:rsid w:val="004230EB"/>
    <w:rsid w:val="00444518"/>
    <w:rsid w:val="0045357B"/>
    <w:rsid w:val="0045648E"/>
    <w:rsid w:val="004803E7"/>
    <w:rsid w:val="00484023"/>
    <w:rsid w:val="004B0722"/>
    <w:rsid w:val="004C62D0"/>
    <w:rsid w:val="004C69E0"/>
    <w:rsid w:val="004D5116"/>
    <w:rsid w:val="004D6116"/>
    <w:rsid w:val="004E496B"/>
    <w:rsid w:val="004E58BD"/>
    <w:rsid w:val="004E6DE5"/>
    <w:rsid w:val="004F0533"/>
    <w:rsid w:val="004F2C25"/>
    <w:rsid w:val="00504DF2"/>
    <w:rsid w:val="005078CE"/>
    <w:rsid w:val="005123A6"/>
    <w:rsid w:val="00515D4D"/>
    <w:rsid w:val="0052437C"/>
    <w:rsid w:val="0052565B"/>
    <w:rsid w:val="00532586"/>
    <w:rsid w:val="00533F1C"/>
    <w:rsid w:val="0055332E"/>
    <w:rsid w:val="00565EE8"/>
    <w:rsid w:val="0057359E"/>
    <w:rsid w:val="00580BE8"/>
    <w:rsid w:val="00585CD4"/>
    <w:rsid w:val="00585F42"/>
    <w:rsid w:val="005B2DB1"/>
    <w:rsid w:val="005C082F"/>
    <w:rsid w:val="005C40AD"/>
    <w:rsid w:val="005D2BC4"/>
    <w:rsid w:val="005D6CD3"/>
    <w:rsid w:val="006025E3"/>
    <w:rsid w:val="00604F2A"/>
    <w:rsid w:val="00615A76"/>
    <w:rsid w:val="00617FF2"/>
    <w:rsid w:val="006317DB"/>
    <w:rsid w:val="00632175"/>
    <w:rsid w:val="006343F4"/>
    <w:rsid w:val="006449D3"/>
    <w:rsid w:val="00651993"/>
    <w:rsid w:val="00651F7A"/>
    <w:rsid w:val="00657A91"/>
    <w:rsid w:val="00661EB1"/>
    <w:rsid w:val="00671BC3"/>
    <w:rsid w:val="006739A6"/>
    <w:rsid w:val="00674907"/>
    <w:rsid w:val="006834A9"/>
    <w:rsid w:val="00686B46"/>
    <w:rsid w:val="006C1DD1"/>
    <w:rsid w:val="006D0E00"/>
    <w:rsid w:val="006D338E"/>
    <w:rsid w:val="006D4FC9"/>
    <w:rsid w:val="006D514E"/>
    <w:rsid w:val="006D55EA"/>
    <w:rsid w:val="006F2A58"/>
    <w:rsid w:val="006F570D"/>
    <w:rsid w:val="007004BF"/>
    <w:rsid w:val="00701D3E"/>
    <w:rsid w:val="00711B02"/>
    <w:rsid w:val="007129A2"/>
    <w:rsid w:val="00712FB2"/>
    <w:rsid w:val="0071659D"/>
    <w:rsid w:val="00722E71"/>
    <w:rsid w:val="00725410"/>
    <w:rsid w:val="0073441F"/>
    <w:rsid w:val="00736D1E"/>
    <w:rsid w:val="00740285"/>
    <w:rsid w:val="00740DC8"/>
    <w:rsid w:val="00742437"/>
    <w:rsid w:val="00770AFB"/>
    <w:rsid w:val="00770DF7"/>
    <w:rsid w:val="00781B42"/>
    <w:rsid w:val="0078743A"/>
    <w:rsid w:val="007874D5"/>
    <w:rsid w:val="0079066D"/>
    <w:rsid w:val="00790905"/>
    <w:rsid w:val="007916A4"/>
    <w:rsid w:val="00791DCA"/>
    <w:rsid w:val="007925CD"/>
    <w:rsid w:val="007A50A6"/>
    <w:rsid w:val="007B728C"/>
    <w:rsid w:val="007C4853"/>
    <w:rsid w:val="007C7F21"/>
    <w:rsid w:val="007D47DF"/>
    <w:rsid w:val="007E78A6"/>
    <w:rsid w:val="007F041C"/>
    <w:rsid w:val="00800748"/>
    <w:rsid w:val="008056D9"/>
    <w:rsid w:val="008126E4"/>
    <w:rsid w:val="00815EC0"/>
    <w:rsid w:val="00816DCF"/>
    <w:rsid w:val="00831236"/>
    <w:rsid w:val="008370B0"/>
    <w:rsid w:val="008416A8"/>
    <w:rsid w:val="00851595"/>
    <w:rsid w:val="00865AE8"/>
    <w:rsid w:val="008661D7"/>
    <w:rsid w:val="00872C4E"/>
    <w:rsid w:val="00882D55"/>
    <w:rsid w:val="00885A05"/>
    <w:rsid w:val="00893C32"/>
    <w:rsid w:val="00895DEB"/>
    <w:rsid w:val="008B4895"/>
    <w:rsid w:val="008B7065"/>
    <w:rsid w:val="008B7E21"/>
    <w:rsid w:val="008E3B70"/>
    <w:rsid w:val="008E498C"/>
    <w:rsid w:val="008E57F6"/>
    <w:rsid w:val="008F3413"/>
    <w:rsid w:val="008F706F"/>
    <w:rsid w:val="00904A38"/>
    <w:rsid w:val="00933CE9"/>
    <w:rsid w:val="00934402"/>
    <w:rsid w:val="0093620B"/>
    <w:rsid w:val="00944390"/>
    <w:rsid w:val="009547DC"/>
    <w:rsid w:val="00977B2B"/>
    <w:rsid w:val="00987929"/>
    <w:rsid w:val="00991FA2"/>
    <w:rsid w:val="009A1DD8"/>
    <w:rsid w:val="009A5C84"/>
    <w:rsid w:val="009C186A"/>
    <w:rsid w:val="009D21E9"/>
    <w:rsid w:val="009E1852"/>
    <w:rsid w:val="009E5525"/>
    <w:rsid w:val="009F305C"/>
    <w:rsid w:val="00A01548"/>
    <w:rsid w:val="00A11526"/>
    <w:rsid w:val="00A2495F"/>
    <w:rsid w:val="00A34FA6"/>
    <w:rsid w:val="00A369AC"/>
    <w:rsid w:val="00A4505F"/>
    <w:rsid w:val="00A46D40"/>
    <w:rsid w:val="00A60667"/>
    <w:rsid w:val="00A621CC"/>
    <w:rsid w:val="00A67568"/>
    <w:rsid w:val="00A83106"/>
    <w:rsid w:val="00A96889"/>
    <w:rsid w:val="00A97B11"/>
    <w:rsid w:val="00AA108C"/>
    <w:rsid w:val="00AB3001"/>
    <w:rsid w:val="00AB6911"/>
    <w:rsid w:val="00AB6A79"/>
    <w:rsid w:val="00AC038B"/>
    <w:rsid w:val="00AC2073"/>
    <w:rsid w:val="00AE1CB6"/>
    <w:rsid w:val="00AE1F88"/>
    <w:rsid w:val="00AF46D6"/>
    <w:rsid w:val="00B11467"/>
    <w:rsid w:val="00B201FD"/>
    <w:rsid w:val="00B21B3C"/>
    <w:rsid w:val="00B2779C"/>
    <w:rsid w:val="00B52229"/>
    <w:rsid w:val="00B6176F"/>
    <w:rsid w:val="00B749F9"/>
    <w:rsid w:val="00B776D8"/>
    <w:rsid w:val="00B800E2"/>
    <w:rsid w:val="00B915A6"/>
    <w:rsid w:val="00B935F3"/>
    <w:rsid w:val="00BA7C4E"/>
    <w:rsid w:val="00BB306E"/>
    <w:rsid w:val="00BC1FB2"/>
    <w:rsid w:val="00BE46BB"/>
    <w:rsid w:val="00BE5EC6"/>
    <w:rsid w:val="00BF335C"/>
    <w:rsid w:val="00C01106"/>
    <w:rsid w:val="00C02337"/>
    <w:rsid w:val="00C07958"/>
    <w:rsid w:val="00C10141"/>
    <w:rsid w:val="00C10A2D"/>
    <w:rsid w:val="00C1266B"/>
    <w:rsid w:val="00C1302B"/>
    <w:rsid w:val="00C34199"/>
    <w:rsid w:val="00C407DB"/>
    <w:rsid w:val="00C45B7D"/>
    <w:rsid w:val="00C51976"/>
    <w:rsid w:val="00C53025"/>
    <w:rsid w:val="00C54E57"/>
    <w:rsid w:val="00C81100"/>
    <w:rsid w:val="00C86B36"/>
    <w:rsid w:val="00C94C7B"/>
    <w:rsid w:val="00CA7588"/>
    <w:rsid w:val="00CB4514"/>
    <w:rsid w:val="00CB4B89"/>
    <w:rsid w:val="00CB641F"/>
    <w:rsid w:val="00CC0C71"/>
    <w:rsid w:val="00CD0CF0"/>
    <w:rsid w:val="00CD1D28"/>
    <w:rsid w:val="00CE1897"/>
    <w:rsid w:val="00CF0025"/>
    <w:rsid w:val="00CF1A6C"/>
    <w:rsid w:val="00CF40C0"/>
    <w:rsid w:val="00D10AEF"/>
    <w:rsid w:val="00D10FFF"/>
    <w:rsid w:val="00D23791"/>
    <w:rsid w:val="00D23843"/>
    <w:rsid w:val="00D5226A"/>
    <w:rsid w:val="00D54F19"/>
    <w:rsid w:val="00D60BA2"/>
    <w:rsid w:val="00D778DD"/>
    <w:rsid w:val="00D801C6"/>
    <w:rsid w:val="00D823EA"/>
    <w:rsid w:val="00D85711"/>
    <w:rsid w:val="00D8585F"/>
    <w:rsid w:val="00D87166"/>
    <w:rsid w:val="00D948F4"/>
    <w:rsid w:val="00DA356D"/>
    <w:rsid w:val="00DA3E95"/>
    <w:rsid w:val="00DB567E"/>
    <w:rsid w:val="00DC45FA"/>
    <w:rsid w:val="00DC563F"/>
    <w:rsid w:val="00DD0F14"/>
    <w:rsid w:val="00DD3443"/>
    <w:rsid w:val="00DD3B5D"/>
    <w:rsid w:val="00DE3C1B"/>
    <w:rsid w:val="00DE7BA0"/>
    <w:rsid w:val="00DF0E32"/>
    <w:rsid w:val="00DF2596"/>
    <w:rsid w:val="00E01920"/>
    <w:rsid w:val="00E05C0B"/>
    <w:rsid w:val="00E16C9B"/>
    <w:rsid w:val="00E204E1"/>
    <w:rsid w:val="00E3196F"/>
    <w:rsid w:val="00E32620"/>
    <w:rsid w:val="00E41053"/>
    <w:rsid w:val="00E47BC1"/>
    <w:rsid w:val="00E53354"/>
    <w:rsid w:val="00E53B6F"/>
    <w:rsid w:val="00E54D24"/>
    <w:rsid w:val="00E74342"/>
    <w:rsid w:val="00E7722F"/>
    <w:rsid w:val="00E82C78"/>
    <w:rsid w:val="00E84106"/>
    <w:rsid w:val="00EA0848"/>
    <w:rsid w:val="00EA098C"/>
    <w:rsid w:val="00EC1514"/>
    <w:rsid w:val="00EC4561"/>
    <w:rsid w:val="00EC716B"/>
    <w:rsid w:val="00EC755F"/>
    <w:rsid w:val="00EE7B73"/>
    <w:rsid w:val="00EF296D"/>
    <w:rsid w:val="00F02BC4"/>
    <w:rsid w:val="00F128FD"/>
    <w:rsid w:val="00F319E3"/>
    <w:rsid w:val="00F32071"/>
    <w:rsid w:val="00F33EB6"/>
    <w:rsid w:val="00F453BF"/>
    <w:rsid w:val="00F55880"/>
    <w:rsid w:val="00F55B03"/>
    <w:rsid w:val="00F74600"/>
    <w:rsid w:val="00F75C33"/>
    <w:rsid w:val="00F76DED"/>
    <w:rsid w:val="00F817A5"/>
    <w:rsid w:val="00F87461"/>
    <w:rsid w:val="00F96068"/>
    <w:rsid w:val="00FA6825"/>
    <w:rsid w:val="00FB1F48"/>
    <w:rsid w:val="00FC3EE4"/>
    <w:rsid w:val="00FC645F"/>
    <w:rsid w:val="00FD364F"/>
    <w:rsid w:val="00FE26FB"/>
    <w:rsid w:val="00FF2913"/>
    <w:rsid w:val="00FF6A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68a9e"/>
    </o:shapedefaults>
    <o:shapelayout v:ext="edit">
      <o:idmap v:ext="edit" data="1"/>
    </o:shapelayout>
  </w:shapeDefaults>
  <w:decimalSymbol w:val="."/>
  <w:listSeparator w:val=","/>
  <w15:docId w15:val="{1F3E102F-DF3B-4D35-99B8-ACE8B1518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n-NZ" w:eastAsia="en-NZ"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5AE8"/>
    <w:pPr>
      <w:spacing w:before="120" w:after="120"/>
      <w:ind w:left="-720"/>
      <w:jc w:val="both"/>
    </w:pPr>
    <w:rPr>
      <w:rFonts w:ascii="Times New Roman" w:hAnsi="Times New Roman"/>
      <w:sz w:val="24"/>
      <w:lang w:val="en-AU" w:eastAsia="en-US"/>
    </w:rPr>
  </w:style>
  <w:style w:type="paragraph" w:styleId="Heading1">
    <w:name w:val="heading 1"/>
    <w:basedOn w:val="Normal"/>
    <w:next w:val="BodyText"/>
    <w:qFormat/>
    <w:rsid w:val="00484023"/>
    <w:pPr>
      <w:keepNext/>
      <w:numPr>
        <w:numId w:val="2"/>
      </w:numPr>
      <w:suppressLineNumbers/>
      <w:spacing w:before="360" w:after="240"/>
      <w:ind w:left="0" w:hanging="720"/>
      <w:jc w:val="left"/>
      <w:outlineLvl w:val="0"/>
    </w:pPr>
    <w:rPr>
      <w:rFonts w:ascii="Microsoft Sans Serif" w:hAnsi="Microsoft Sans Serif"/>
      <w:b/>
      <w:color w:val="09869B"/>
      <w:kern w:val="28"/>
      <w:sz w:val="28"/>
      <w:u w:color="568A9E"/>
    </w:rPr>
  </w:style>
  <w:style w:type="paragraph" w:styleId="Heading2">
    <w:name w:val="heading 2"/>
    <w:basedOn w:val="Normal"/>
    <w:next w:val="BodyText"/>
    <w:qFormat/>
    <w:rsid w:val="001876B3"/>
    <w:pPr>
      <w:keepNext/>
      <w:numPr>
        <w:ilvl w:val="1"/>
        <w:numId w:val="3"/>
      </w:numPr>
      <w:suppressLineNumbers/>
      <w:spacing w:before="240"/>
      <w:ind w:left="0" w:hanging="720"/>
      <w:jc w:val="left"/>
      <w:outlineLvl w:val="1"/>
    </w:pPr>
    <w:rPr>
      <w:rFonts w:ascii="Microsoft Sans Serif" w:hAnsi="Microsoft Sans Serif"/>
      <w:b/>
      <w:color w:val="09869B"/>
    </w:rPr>
  </w:style>
  <w:style w:type="paragraph" w:styleId="Heading3">
    <w:name w:val="heading 3"/>
    <w:basedOn w:val="Normal"/>
    <w:next w:val="BodyText"/>
    <w:qFormat/>
    <w:rsid w:val="00074175"/>
    <w:pPr>
      <w:keepNext/>
      <w:numPr>
        <w:ilvl w:val="2"/>
        <w:numId w:val="4"/>
      </w:numPr>
      <w:suppressLineNumbers/>
      <w:spacing w:before="240"/>
      <w:ind w:left="0" w:hanging="720"/>
      <w:jc w:val="left"/>
      <w:outlineLvl w:val="2"/>
    </w:pPr>
    <w:rPr>
      <w:rFonts w:ascii="Microsoft Sans Serif" w:hAnsi="Microsoft Sans Serif"/>
      <w:b/>
      <w:color w:val="595959" w:themeColor="text1" w:themeTint="A6"/>
      <w:sz w:val="22"/>
    </w:rPr>
  </w:style>
  <w:style w:type="paragraph" w:styleId="Heading4">
    <w:name w:val="heading 4"/>
    <w:basedOn w:val="Normal"/>
    <w:next w:val="BodyText"/>
    <w:qFormat/>
    <w:rsid w:val="00074175"/>
    <w:pPr>
      <w:keepNext/>
      <w:suppressLineNumbers/>
      <w:suppressAutoHyphens/>
      <w:spacing w:before="200"/>
      <w:ind w:left="0"/>
      <w:jc w:val="left"/>
      <w:outlineLvl w:val="3"/>
    </w:pPr>
    <w:rPr>
      <w:rFonts w:ascii="Microsoft Sans Serif" w:hAnsi="Microsoft Sans Serif"/>
      <w:b/>
      <w:color w:val="595959" w:themeColor="text1" w:themeTint="A6"/>
      <w:sz w:val="20"/>
    </w:rPr>
  </w:style>
  <w:style w:type="paragraph" w:styleId="Heading5">
    <w:name w:val="heading 5"/>
    <w:basedOn w:val="Normal"/>
    <w:next w:val="Normal"/>
    <w:pPr>
      <w:numPr>
        <w:ilvl w:val="4"/>
        <w:numId w:val="5"/>
      </w:numPr>
      <w:outlineLvl w:val="4"/>
    </w:pPr>
    <w:rPr>
      <w:b/>
      <w:sz w:val="20"/>
    </w:rPr>
  </w:style>
  <w:style w:type="paragraph" w:styleId="Heading6">
    <w:name w:val="heading 6"/>
    <w:basedOn w:val="Normal"/>
    <w:next w:val="Normal"/>
    <w:pPr>
      <w:numPr>
        <w:ilvl w:val="5"/>
        <w:numId w:val="6"/>
      </w:numPr>
      <w:outlineLvl w:val="5"/>
    </w:pPr>
    <w:rPr>
      <w:sz w:val="20"/>
      <w:u w:val="single"/>
    </w:rPr>
  </w:style>
  <w:style w:type="paragraph" w:styleId="Heading7">
    <w:name w:val="heading 7"/>
    <w:basedOn w:val="Normal"/>
    <w:next w:val="Normal"/>
    <w:pPr>
      <w:numPr>
        <w:ilvl w:val="6"/>
        <w:numId w:val="7"/>
      </w:numPr>
      <w:spacing w:before="240" w:after="60"/>
      <w:outlineLvl w:val="6"/>
    </w:pPr>
    <w:rPr>
      <w:rFonts w:ascii="Arial" w:hAnsi="Arial"/>
      <w:sz w:val="20"/>
    </w:rPr>
  </w:style>
  <w:style w:type="paragraph" w:styleId="Heading8">
    <w:name w:val="heading 8"/>
    <w:basedOn w:val="Normal"/>
    <w:next w:val="Normal"/>
    <w:pPr>
      <w:numPr>
        <w:ilvl w:val="7"/>
        <w:numId w:val="8"/>
      </w:numPr>
      <w:spacing w:before="240" w:after="60"/>
      <w:outlineLvl w:val="7"/>
    </w:pPr>
    <w:rPr>
      <w:rFonts w:ascii="Arial" w:hAnsi="Arial"/>
      <w:i/>
      <w:sz w:val="20"/>
    </w:rPr>
  </w:style>
  <w:style w:type="paragraph" w:styleId="Heading9">
    <w:name w:val="heading 9"/>
    <w:basedOn w:val="Normal"/>
    <w:next w:val="Normal"/>
    <w:pPr>
      <w:numPr>
        <w:ilvl w:val="8"/>
        <w:numId w:val="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D338E"/>
    <w:pPr>
      <w:keepLines/>
      <w:suppressAutoHyphens/>
      <w:spacing w:line="260" w:lineRule="atLeast"/>
      <w:ind w:left="0"/>
    </w:pPr>
    <w:rPr>
      <w:rFonts w:ascii="Microsoft Sans Serif" w:hAnsi="Microsoft Sans Serif"/>
      <w:sz w:val="20"/>
    </w:rPr>
  </w:style>
  <w:style w:type="paragraph" w:styleId="Title">
    <w:name w:val="Title"/>
    <w:basedOn w:val="Normal"/>
    <w:pPr>
      <w:widowControl w:val="0"/>
      <w:suppressAutoHyphens/>
      <w:spacing w:before="0" w:after="280"/>
      <w:ind w:left="431" w:right="-357"/>
      <w:jc w:val="left"/>
    </w:pPr>
    <w:rPr>
      <w:rFonts w:ascii="Arial Bold" w:hAnsi="Arial Bold"/>
      <w:b/>
      <w:color w:val="FFFFFF"/>
      <w:sz w:val="40"/>
    </w:rPr>
  </w:style>
  <w:style w:type="paragraph" w:styleId="TOC2">
    <w:name w:val="toc 2"/>
    <w:basedOn w:val="Normal"/>
    <w:next w:val="Normal"/>
    <w:uiPriority w:val="39"/>
    <w:rsid w:val="001E74A8"/>
    <w:pPr>
      <w:tabs>
        <w:tab w:val="left" w:pos="425"/>
        <w:tab w:val="right" w:leader="dot" w:pos="7938"/>
      </w:tabs>
      <w:spacing w:after="0"/>
      <w:ind w:left="425" w:hanging="714"/>
      <w:jc w:val="left"/>
    </w:pPr>
    <w:rPr>
      <w:rFonts w:ascii="Century Gothic" w:hAnsi="Century Gothic"/>
      <w:sz w:val="20"/>
    </w:rPr>
  </w:style>
  <w:style w:type="paragraph" w:styleId="TOC1">
    <w:name w:val="toc 1"/>
    <w:basedOn w:val="Normal"/>
    <w:next w:val="Normal"/>
    <w:uiPriority w:val="39"/>
    <w:rsid w:val="001E74A8"/>
    <w:pPr>
      <w:tabs>
        <w:tab w:val="left" w:pos="-288"/>
        <w:tab w:val="left" w:pos="-144"/>
        <w:tab w:val="right" w:leader="dot" w:pos="7938"/>
      </w:tabs>
      <w:spacing w:before="360"/>
      <w:ind w:left="-288" w:hanging="432"/>
      <w:jc w:val="left"/>
    </w:pPr>
    <w:rPr>
      <w:rFonts w:ascii="Century Gothic" w:hAnsi="Century Gothic"/>
      <w:b/>
      <w:color w:val="065764"/>
      <w:sz w:val="22"/>
    </w:rPr>
  </w:style>
  <w:style w:type="paragraph" w:styleId="Footer">
    <w:name w:val="footer"/>
    <w:basedOn w:val="Normal"/>
    <w:pPr>
      <w:pBdr>
        <w:top w:val="single" w:sz="6" w:space="1" w:color="808080"/>
      </w:pBdr>
      <w:tabs>
        <w:tab w:val="center" w:pos="3686"/>
        <w:tab w:val="right" w:pos="13892"/>
      </w:tabs>
      <w:spacing w:line="280" w:lineRule="exact"/>
      <w:ind w:left="0"/>
    </w:pPr>
    <w:rPr>
      <w:rFonts w:ascii="Arial" w:hAnsi="Arial"/>
      <w:sz w:val="18"/>
    </w:rPr>
  </w:style>
  <w:style w:type="paragraph" w:styleId="Header">
    <w:name w:val="header"/>
    <w:basedOn w:val="Normal"/>
    <w:rsid w:val="00B749F9"/>
    <w:pPr>
      <w:tabs>
        <w:tab w:val="right" w:pos="7938"/>
        <w:tab w:val="right" w:pos="13860"/>
      </w:tabs>
      <w:spacing w:before="0"/>
      <w:jc w:val="right"/>
    </w:pPr>
    <w:rPr>
      <w:rFonts w:ascii="Microsoft Sans Serif" w:hAnsi="Microsoft Sans Serif"/>
      <w:b/>
      <w:color w:val="09869B"/>
      <w:sz w:val="19"/>
    </w:rPr>
  </w:style>
  <w:style w:type="character" w:styleId="FootnoteReference">
    <w:name w:val="footnote reference"/>
    <w:semiHidden/>
    <w:rPr>
      <w:position w:val="6"/>
      <w:sz w:val="16"/>
    </w:rPr>
  </w:style>
  <w:style w:type="paragraph" w:styleId="FootnoteText">
    <w:name w:val="footnote text"/>
    <w:basedOn w:val="Normal"/>
    <w:semiHidden/>
    <w:rsid w:val="00740DC8"/>
    <w:pPr>
      <w:keepLines/>
      <w:suppressAutoHyphens/>
      <w:spacing w:line="240" w:lineRule="exact"/>
      <w:ind w:left="0" w:hanging="720"/>
      <w:jc w:val="left"/>
    </w:pPr>
    <w:rPr>
      <w:rFonts w:ascii="Microsoft Sans Serif" w:hAnsi="Microsoft Sans Serif"/>
      <w:sz w:val="16"/>
    </w:rPr>
  </w:style>
  <w:style w:type="paragraph" w:styleId="TOC3">
    <w:name w:val="toc 3"/>
    <w:basedOn w:val="Normal"/>
    <w:next w:val="Normal"/>
    <w:uiPriority w:val="39"/>
    <w:rsid w:val="001E74A8"/>
    <w:pPr>
      <w:tabs>
        <w:tab w:val="left" w:pos="432"/>
        <w:tab w:val="left" w:pos="1080"/>
        <w:tab w:val="left" w:pos="1200"/>
        <w:tab w:val="right" w:leader="dot" w:pos="7938"/>
      </w:tabs>
      <w:spacing w:after="0"/>
      <w:ind w:left="432"/>
      <w:jc w:val="left"/>
    </w:pPr>
    <w:rPr>
      <w:rFonts w:ascii="Century Gothic" w:hAnsi="Century Gothic"/>
      <w:sz w:val="18"/>
    </w:rPr>
  </w:style>
  <w:style w:type="paragraph" w:styleId="ListNumber">
    <w:name w:val="List Number"/>
    <w:basedOn w:val="BodyText"/>
    <w:qFormat/>
    <w:rsid w:val="005078CE"/>
    <w:pPr>
      <w:numPr>
        <w:numId w:val="11"/>
      </w:numPr>
      <w:tabs>
        <w:tab w:val="clear" w:pos="562"/>
        <w:tab w:val="num" w:pos="426"/>
      </w:tabs>
      <w:spacing w:line="280" w:lineRule="atLeast"/>
      <w:ind w:left="425" w:hanging="425"/>
    </w:pPr>
  </w:style>
  <w:style w:type="paragraph" w:styleId="TOC4">
    <w:name w:val="toc 4"/>
    <w:basedOn w:val="Normal"/>
    <w:next w:val="Normal"/>
    <w:semiHidden/>
    <w:rsid w:val="001E74A8"/>
    <w:pPr>
      <w:spacing w:before="0" w:after="0"/>
      <w:ind w:left="720"/>
      <w:jc w:val="left"/>
    </w:pPr>
    <w:rPr>
      <w:rFonts w:ascii="Century Gothic" w:hAnsi="Century Gothic"/>
      <w:sz w:val="18"/>
    </w:rPr>
  </w:style>
  <w:style w:type="paragraph" w:styleId="TOC5">
    <w:name w:val="toc 5"/>
    <w:basedOn w:val="Normal"/>
    <w:next w:val="Normal"/>
    <w:semiHidden/>
    <w:rsid w:val="001E74A8"/>
    <w:pPr>
      <w:spacing w:before="0" w:after="0"/>
      <w:ind w:left="960"/>
      <w:jc w:val="left"/>
    </w:pPr>
    <w:rPr>
      <w:rFonts w:ascii="Century Gothic" w:hAnsi="Century Gothic"/>
      <w:sz w:val="18"/>
    </w:rPr>
  </w:style>
  <w:style w:type="paragraph" w:styleId="TOC6">
    <w:name w:val="toc 6"/>
    <w:basedOn w:val="Normal"/>
    <w:next w:val="Normal"/>
    <w:semiHidden/>
    <w:pPr>
      <w:spacing w:before="0" w:after="0"/>
      <w:ind w:left="1200"/>
      <w:jc w:val="left"/>
    </w:pPr>
    <w:rPr>
      <w:sz w:val="18"/>
    </w:rPr>
  </w:style>
  <w:style w:type="paragraph" w:styleId="TOC7">
    <w:name w:val="toc 7"/>
    <w:basedOn w:val="Normal"/>
    <w:next w:val="Normal"/>
    <w:semiHidden/>
    <w:pPr>
      <w:spacing w:before="0" w:after="0"/>
      <w:ind w:left="1440"/>
      <w:jc w:val="left"/>
    </w:pPr>
    <w:rPr>
      <w:sz w:val="18"/>
    </w:rPr>
  </w:style>
  <w:style w:type="paragraph" w:styleId="TOC8">
    <w:name w:val="toc 8"/>
    <w:basedOn w:val="Normal"/>
    <w:next w:val="Normal"/>
    <w:semiHidden/>
    <w:pPr>
      <w:spacing w:before="0" w:after="0"/>
      <w:ind w:left="1680"/>
      <w:jc w:val="left"/>
    </w:pPr>
    <w:rPr>
      <w:sz w:val="18"/>
    </w:rPr>
  </w:style>
  <w:style w:type="paragraph" w:styleId="TOC9">
    <w:name w:val="toc 9"/>
    <w:basedOn w:val="Normal"/>
    <w:next w:val="Normal"/>
    <w:semiHidden/>
    <w:pPr>
      <w:spacing w:before="0" w:after="0"/>
      <w:ind w:left="1920"/>
      <w:jc w:val="left"/>
    </w:pPr>
    <w:rPr>
      <w:sz w:val="18"/>
    </w:rPr>
  </w:style>
  <w:style w:type="paragraph" w:styleId="Date">
    <w:name w:val="Date"/>
    <w:basedOn w:val="Normal"/>
    <w:next w:val="Normal"/>
    <w:pPr>
      <w:spacing w:before="0" w:after="0"/>
      <w:ind w:left="885" w:right="-357"/>
      <w:jc w:val="left"/>
    </w:pPr>
    <w:rPr>
      <w:rFonts w:ascii="Arial Bold" w:hAnsi="Arial Bold"/>
      <w:b/>
      <w:color w:val="FFFFFF"/>
      <w:sz w:val="19"/>
    </w:rPr>
  </w:style>
  <w:style w:type="paragraph" w:customStyle="1" w:styleId="Status">
    <w:name w:val="Status"/>
    <w:pPr>
      <w:spacing w:before="120" w:after="120" w:line="280" w:lineRule="exact"/>
    </w:pPr>
    <w:rPr>
      <w:rFonts w:ascii="Arial Bold" w:hAnsi="Arial Bold"/>
      <w:b/>
      <w:caps/>
      <w:noProof/>
      <w:color w:val="808080"/>
      <w:sz w:val="22"/>
      <w:lang w:val="en-GB" w:eastAsia="en-US"/>
    </w:rPr>
  </w:style>
  <w:style w:type="paragraph" w:customStyle="1" w:styleId="SectionHeadinggrey">
    <w:name w:val="Section Heading grey"/>
    <w:basedOn w:val="Normal"/>
    <w:link w:val="SectionHeadinggreyChar"/>
    <w:qFormat/>
    <w:rsid w:val="00740DC8"/>
    <w:pPr>
      <w:spacing w:before="240" w:after="240" w:line="360" w:lineRule="auto"/>
      <w:jc w:val="left"/>
    </w:pPr>
    <w:rPr>
      <w:rFonts w:ascii="Microsoft Sans Serif" w:hAnsi="Microsoft Sans Serif"/>
      <w:color w:val="CCCECF"/>
      <w:sz w:val="32"/>
    </w:rPr>
  </w:style>
  <w:style w:type="paragraph" w:styleId="ListBullet2">
    <w:name w:val="List Bullet 2"/>
    <w:basedOn w:val="BodyText"/>
    <w:qFormat/>
    <w:rsid w:val="00B21B3C"/>
    <w:pPr>
      <w:numPr>
        <w:numId w:val="12"/>
      </w:numPr>
      <w:tabs>
        <w:tab w:val="left" w:pos="851"/>
      </w:tabs>
    </w:pPr>
  </w:style>
  <w:style w:type="paragraph" w:styleId="TableofFigures">
    <w:name w:val="table of figures"/>
    <w:basedOn w:val="Normal"/>
    <w:next w:val="Normal"/>
    <w:uiPriority w:val="99"/>
    <w:rsid w:val="00893C32"/>
    <w:rPr>
      <w:rFonts w:ascii="Arial" w:hAnsi="Arial"/>
      <w:sz w:val="20"/>
    </w:rPr>
  </w:style>
  <w:style w:type="paragraph" w:styleId="Caption">
    <w:name w:val="caption"/>
    <w:basedOn w:val="Normal"/>
    <w:next w:val="BodyText"/>
    <w:qFormat/>
    <w:rsid w:val="00074175"/>
    <w:pPr>
      <w:keepNext/>
      <w:keepLines/>
      <w:suppressAutoHyphens/>
      <w:spacing w:line="280" w:lineRule="exact"/>
      <w:ind w:left="0"/>
    </w:pPr>
    <w:rPr>
      <w:rFonts w:ascii="Microsoft Sans Serif" w:hAnsi="Microsoft Sans Serif"/>
      <w:b/>
      <w:color w:val="595959" w:themeColor="text1" w:themeTint="A6"/>
      <w:sz w:val="18"/>
    </w:rPr>
  </w:style>
  <w:style w:type="paragraph" w:customStyle="1" w:styleId="TableHeading">
    <w:name w:val="Table Heading"/>
    <w:basedOn w:val="Normal"/>
    <w:next w:val="TableText"/>
    <w:qFormat/>
    <w:rsid w:val="00991FA2"/>
    <w:pPr>
      <w:keepNext/>
      <w:suppressAutoHyphens/>
      <w:spacing w:line="280" w:lineRule="atLeast"/>
      <w:ind w:left="0"/>
      <w:jc w:val="left"/>
    </w:pPr>
    <w:rPr>
      <w:rFonts w:ascii="Century Gothic" w:hAnsi="Century Gothic"/>
      <w:b/>
      <w:color w:val="C4A47A"/>
      <w:sz w:val="16"/>
    </w:rPr>
  </w:style>
  <w:style w:type="paragraph" w:customStyle="1" w:styleId="TableText">
    <w:name w:val="Table Text"/>
    <w:basedOn w:val="Normal"/>
    <w:qFormat/>
    <w:rsid w:val="00740DC8"/>
    <w:pPr>
      <w:keepLines/>
      <w:suppressAutoHyphens/>
      <w:ind w:left="0"/>
      <w:jc w:val="left"/>
    </w:pPr>
    <w:rPr>
      <w:rFonts w:ascii="Microsoft Sans Serif" w:hAnsi="Microsoft Sans Serif"/>
      <w:snapToGrid w:val="0"/>
      <w:sz w:val="16"/>
      <w:lang w:val="en-NZ"/>
    </w:rPr>
  </w:style>
  <w:style w:type="paragraph" w:styleId="ListBullet">
    <w:name w:val="List Bullet"/>
    <w:basedOn w:val="BodyText"/>
    <w:qFormat/>
    <w:rsid w:val="00674907"/>
    <w:pPr>
      <w:numPr>
        <w:numId w:val="25"/>
      </w:numPr>
    </w:pPr>
  </w:style>
  <w:style w:type="paragraph" w:customStyle="1" w:styleId="Appendix1">
    <w:name w:val="Appendix 1"/>
    <w:basedOn w:val="Normal"/>
    <w:next w:val="BodyText"/>
    <w:qFormat/>
    <w:rsid w:val="00484023"/>
    <w:pPr>
      <w:keepNext/>
      <w:keepLines/>
      <w:numPr>
        <w:numId w:val="1"/>
      </w:numPr>
      <w:suppressLineNumbers/>
      <w:suppressAutoHyphens/>
      <w:spacing w:before="360" w:after="240"/>
      <w:ind w:left="1260" w:hanging="1980"/>
      <w:jc w:val="left"/>
    </w:pPr>
    <w:rPr>
      <w:rFonts w:ascii="Microsoft Sans Serif" w:hAnsi="Microsoft Sans Serif"/>
      <w:b/>
      <w:color w:val="09869B"/>
      <w:sz w:val="28"/>
      <w:u w:color="568A9E"/>
    </w:rPr>
  </w:style>
  <w:style w:type="paragraph" w:customStyle="1" w:styleId="Appendix2">
    <w:name w:val="Appendix 2"/>
    <w:basedOn w:val="Normal"/>
    <w:next w:val="BodyText"/>
    <w:qFormat/>
    <w:rsid w:val="00D948F4"/>
    <w:pPr>
      <w:keepNext/>
      <w:keepLines/>
      <w:numPr>
        <w:ilvl w:val="1"/>
        <w:numId w:val="1"/>
      </w:numPr>
      <w:suppressLineNumbers/>
      <w:tabs>
        <w:tab w:val="clear" w:pos="-144"/>
        <w:tab w:val="num" w:pos="0"/>
      </w:tabs>
      <w:suppressAutoHyphens/>
      <w:spacing w:before="240"/>
      <w:ind w:left="0" w:hanging="720"/>
      <w:jc w:val="left"/>
    </w:pPr>
    <w:rPr>
      <w:rFonts w:ascii="Microsoft Sans Serif" w:hAnsi="Microsoft Sans Serif"/>
      <w:b/>
      <w:color w:val="09869B"/>
    </w:rPr>
  </w:style>
  <w:style w:type="paragraph" w:customStyle="1" w:styleId="Appendix3">
    <w:name w:val="Appendix 3"/>
    <w:basedOn w:val="Normal"/>
    <w:next w:val="BodyText"/>
    <w:qFormat/>
    <w:rsid w:val="00074175"/>
    <w:pPr>
      <w:keepNext/>
      <w:keepLines/>
      <w:numPr>
        <w:ilvl w:val="2"/>
        <w:numId w:val="1"/>
      </w:numPr>
      <w:suppressLineNumbers/>
      <w:suppressAutoHyphens/>
      <w:spacing w:before="240"/>
      <w:jc w:val="left"/>
    </w:pPr>
    <w:rPr>
      <w:rFonts w:ascii="Microsoft Sans Serif" w:hAnsi="Microsoft Sans Serif"/>
      <w:b/>
      <w:color w:val="595959" w:themeColor="text1" w:themeTint="A6"/>
      <w:sz w:val="22"/>
    </w:rPr>
  </w:style>
  <w:style w:type="paragraph" w:customStyle="1" w:styleId="Appendix4">
    <w:name w:val="Appendix 4"/>
    <w:basedOn w:val="Normal"/>
    <w:next w:val="BodyText"/>
    <w:qFormat/>
    <w:rsid w:val="00074175"/>
    <w:pPr>
      <w:keepNext/>
      <w:keepLines/>
      <w:numPr>
        <w:ilvl w:val="3"/>
        <w:numId w:val="1"/>
      </w:numPr>
      <w:suppressLineNumbers/>
      <w:suppressAutoHyphens/>
      <w:spacing w:before="200"/>
      <w:ind w:left="720" w:hanging="720"/>
      <w:jc w:val="left"/>
    </w:pPr>
    <w:rPr>
      <w:rFonts w:ascii="Microsoft Sans Serif" w:hAnsi="Microsoft Sans Serif"/>
      <w:b/>
      <w:color w:val="595959" w:themeColor="text1" w:themeTint="A6"/>
      <w:sz w:val="20"/>
    </w:rPr>
  </w:style>
  <w:style w:type="paragraph" w:customStyle="1" w:styleId="CVTitle">
    <w:name w:val="CVTitle"/>
    <w:basedOn w:val="Normal"/>
    <w:rsid w:val="00B800E2"/>
    <w:pPr>
      <w:pageBreakBefore/>
      <w:suppressAutoHyphens/>
      <w:spacing w:before="240" w:after="240"/>
      <w:ind w:left="0"/>
      <w:jc w:val="left"/>
    </w:pPr>
    <w:rPr>
      <w:rFonts w:ascii="Arial Bold" w:hAnsi="Arial Bold"/>
      <w:b/>
      <w:caps/>
      <w:color w:val="808080"/>
      <w:sz w:val="32"/>
      <w:lang w:val="en-US"/>
    </w:rPr>
  </w:style>
  <w:style w:type="paragraph" w:customStyle="1" w:styleId="Titlepagebodytext">
    <w:name w:val="Titlepagebodytext"/>
    <w:basedOn w:val="BodyText"/>
    <w:pPr>
      <w:spacing w:before="0" w:after="0"/>
      <w:ind w:left="885" w:right="-357"/>
      <w:jc w:val="left"/>
    </w:pPr>
    <w:rPr>
      <w:color w:val="FFFFFF"/>
    </w:rPr>
  </w:style>
  <w:style w:type="paragraph" w:customStyle="1" w:styleId="CVHeading2">
    <w:name w:val="CVHeading2"/>
    <w:basedOn w:val="Normal"/>
    <w:pPr>
      <w:keepNext/>
      <w:suppressAutoHyphens/>
      <w:spacing w:before="240"/>
      <w:ind w:left="0"/>
      <w:jc w:val="left"/>
      <w:outlineLvl w:val="0"/>
    </w:pPr>
    <w:rPr>
      <w:rFonts w:ascii="Arial Bold" w:hAnsi="Arial Bold"/>
      <w:b/>
      <w:color w:val="808080"/>
      <w:kern w:val="28"/>
    </w:rPr>
  </w:style>
  <w:style w:type="paragraph" w:customStyle="1" w:styleId="CVHeading3">
    <w:name w:val="CVHeading3"/>
    <w:basedOn w:val="CVHeading2"/>
    <w:rPr>
      <w:b w:val="0"/>
      <w:i/>
    </w:rPr>
  </w:style>
  <w:style w:type="character" w:styleId="Hyperlink">
    <w:name w:val="Hyperlink"/>
    <w:uiPriority w:val="99"/>
    <w:rsid w:val="00740DC8"/>
    <w:rPr>
      <w:rFonts w:ascii="Microsoft Sans Serif" w:hAnsi="Microsoft Sans Serif"/>
      <w:color w:val="808080"/>
      <w:sz w:val="20"/>
      <w:u w:val="single" w:color="808080"/>
    </w:rPr>
  </w:style>
  <w:style w:type="paragraph" w:customStyle="1" w:styleId="CVHeading1">
    <w:name w:val="CVHeading1"/>
    <w:basedOn w:val="Heading1"/>
    <w:pPr>
      <w:numPr>
        <w:numId w:val="0"/>
      </w:numPr>
      <w:suppressAutoHyphens/>
    </w:pPr>
    <w:rPr>
      <w:rFonts w:cs="Helvetica"/>
      <w:caps/>
      <w:smallCaps/>
    </w:rPr>
  </w:style>
  <w:style w:type="character" w:styleId="FollowedHyperlink">
    <w:name w:val="FollowedHyperlink"/>
    <w:rPr>
      <w:rFonts w:ascii="Arial" w:hAnsi="Arial"/>
      <w:color w:val="808080"/>
      <w:sz w:val="19"/>
      <w:u w:val="single" w:color="808080"/>
    </w:rPr>
  </w:style>
  <w:style w:type="character" w:styleId="LineNumber">
    <w:name w:val="line number"/>
    <w:rPr>
      <w:rFonts w:ascii="Arial" w:hAnsi="Arial"/>
      <w:vanish/>
      <w:color w:val="808080"/>
      <w:sz w:val="16"/>
    </w:rPr>
  </w:style>
  <w:style w:type="paragraph" w:customStyle="1" w:styleId="Quotationsgold">
    <w:name w:val="Quotations gold"/>
    <w:basedOn w:val="BodyText"/>
    <w:qFormat/>
    <w:rsid w:val="00C1266B"/>
    <w:pPr>
      <w:ind w:left="425"/>
    </w:pPr>
    <w:rPr>
      <w:i/>
      <w:iCs/>
      <w:color w:val="F7AD09"/>
      <w:sz w:val="18"/>
    </w:rPr>
  </w:style>
  <w:style w:type="paragraph" w:customStyle="1" w:styleId="Source">
    <w:name w:val="Source"/>
    <w:basedOn w:val="BodyText"/>
    <w:qFormat/>
    <w:rsid w:val="00712FB2"/>
    <w:pPr>
      <w:spacing w:after="360"/>
    </w:pPr>
    <w:rPr>
      <w:sz w:val="16"/>
    </w:rPr>
  </w:style>
  <w:style w:type="paragraph" w:customStyle="1" w:styleId="Disclaimer">
    <w:name w:val="Disclaimer"/>
    <w:basedOn w:val="BodyText"/>
    <w:qFormat/>
    <w:rsid w:val="00FE26FB"/>
    <w:rPr>
      <w:i/>
      <w:iCs/>
    </w:rPr>
  </w:style>
  <w:style w:type="paragraph" w:customStyle="1" w:styleId="BodyTextOut">
    <w:name w:val="Body Text Out"/>
    <w:basedOn w:val="BodyText"/>
    <w:qFormat/>
    <w:pPr>
      <w:ind w:left="-709"/>
    </w:pPr>
  </w:style>
  <w:style w:type="paragraph" w:customStyle="1" w:styleId="SectionHeadinggreen">
    <w:name w:val="Section Heading green"/>
    <w:basedOn w:val="SectionHeadinggrey"/>
    <w:next w:val="BodyText"/>
    <w:link w:val="SectionHeadinggreenChar"/>
    <w:qFormat/>
    <w:rsid w:val="003A3479"/>
    <w:rPr>
      <w:caps/>
      <w:color w:val="09869B"/>
    </w:rPr>
  </w:style>
  <w:style w:type="paragraph" w:customStyle="1" w:styleId="BoxHeading">
    <w:name w:val="Box Heading"/>
    <w:basedOn w:val="Heading4"/>
    <w:qFormat/>
    <w:rPr>
      <w:i/>
    </w:rPr>
  </w:style>
  <w:style w:type="character" w:customStyle="1" w:styleId="SectionHeadinggreyChar">
    <w:name w:val="Section Heading grey Char"/>
    <w:link w:val="SectionHeadinggrey"/>
    <w:rsid w:val="00740DC8"/>
    <w:rPr>
      <w:rFonts w:ascii="Microsoft Sans Serif" w:hAnsi="Microsoft Sans Serif"/>
      <w:noProof/>
      <w:color w:val="CCCECF"/>
      <w:sz w:val="32"/>
      <w:lang w:val="en-GB" w:eastAsia="en-US" w:bidi="ar-SA"/>
    </w:rPr>
  </w:style>
  <w:style w:type="paragraph" w:customStyle="1" w:styleId="ReportName">
    <w:name w:val="Report Name"/>
    <w:basedOn w:val="BodyText"/>
    <w:qFormat/>
    <w:rsid w:val="006739A6"/>
    <w:pPr>
      <w:keepLines w:val="0"/>
      <w:spacing w:before="0" w:after="240" w:line="264" w:lineRule="auto"/>
      <w:ind w:left="1440"/>
      <w:jc w:val="left"/>
    </w:pPr>
    <w:rPr>
      <w:b/>
      <w:color w:val="09869B"/>
      <w:sz w:val="60"/>
    </w:rPr>
  </w:style>
  <w:style w:type="paragraph" w:customStyle="1" w:styleId="DeleteMe">
    <w:name w:val="Delete Me"/>
    <w:basedOn w:val="BodyText"/>
    <w:rPr>
      <w:color w:val="FF0000"/>
    </w:rPr>
  </w:style>
  <w:style w:type="character" w:customStyle="1" w:styleId="SectionHeadinggreenChar">
    <w:name w:val="Section Heading green Char"/>
    <w:link w:val="SectionHeadinggreen"/>
    <w:rsid w:val="003A3479"/>
    <w:rPr>
      <w:rFonts w:ascii="Microsoft Sans Serif" w:hAnsi="Microsoft Sans Serif"/>
      <w:caps/>
      <w:noProof/>
      <w:color w:val="09869B"/>
      <w:sz w:val="32"/>
      <w:lang w:val="en-GB" w:eastAsia="en-US" w:bidi="ar-SA"/>
    </w:rPr>
  </w:style>
  <w:style w:type="paragraph" w:customStyle="1" w:styleId="Figures">
    <w:name w:val="Figures"/>
    <w:basedOn w:val="BodyText"/>
    <w:pPr>
      <w:spacing w:line="240" w:lineRule="auto"/>
    </w:pPr>
  </w:style>
  <w:style w:type="character" w:styleId="Emphasis">
    <w:name w:val="Emphasis"/>
    <w:rsid w:val="00410369"/>
    <w:rPr>
      <w:i/>
      <w:iCs/>
    </w:rPr>
  </w:style>
  <w:style w:type="paragraph" w:customStyle="1" w:styleId="Header1">
    <w:name w:val="Header1"/>
    <w:basedOn w:val="Header"/>
    <w:rsid w:val="00B749F9"/>
    <w:pPr>
      <w:spacing w:before="40" w:after="40"/>
    </w:pPr>
    <w:rPr>
      <w:b w:val="0"/>
      <w:sz w:val="16"/>
    </w:rPr>
  </w:style>
  <w:style w:type="character" w:styleId="PageNumber">
    <w:name w:val="page number"/>
    <w:rsid w:val="00740DC8"/>
    <w:rPr>
      <w:rFonts w:ascii="Microsoft Sans Serif" w:hAnsi="Microsoft Sans Serif"/>
      <w:color w:val="065764"/>
      <w:sz w:val="20"/>
    </w:rPr>
  </w:style>
  <w:style w:type="character" w:customStyle="1" w:styleId="BodyTextChar">
    <w:name w:val="Body Text Char"/>
    <w:link w:val="BodyText"/>
    <w:rsid w:val="006D338E"/>
    <w:rPr>
      <w:rFonts w:ascii="Microsoft Sans Serif" w:hAnsi="Microsoft Sans Serif"/>
      <w:lang w:val="en-AU" w:eastAsia="en-US"/>
    </w:rPr>
  </w:style>
  <w:style w:type="paragraph" w:customStyle="1" w:styleId="Boxtext">
    <w:name w:val="Box text"/>
    <w:basedOn w:val="TableText"/>
    <w:qFormat/>
    <w:rsid w:val="00B6176F"/>
    <w:rPr>
      <w:color w:val="F7AD09"/>
    </w:rPr>
  </w:style>
  <w:style w:type="paragraph" w:customStyle="1" w:styleId="Quotationsblue">
    <w:name w:val="Quotations blue"/>
    <w:basedOn w:val="Quotationsgold"/>
    <w:qFormat/>
    <w:rsid w:val="00EF296D"/>
    <w:rPr>
      <w:color w:val="09869B"/>
    </w:rPr>
  </w:style>
  <w:style w:type="paragraph" w:customStyle="1" w:styleId="Documentinfo">
    <w:name w:val="Document info"/>
    <w:basedOn w:val="BodyText"/>
    <w:link w:val="DocumentinfoChar"/>
    <w:qFormat/>
    <w:rsid w:val="006739A6"/>
    <w:pPr>
      <w:jc w:val="left"/>
    </w:pPr>
    <w:rPr>
      <w:rFonts w:cs="Arial"/>
      <w:color w:val="595959" w:themeColor="text1" w:themeTint="A6"/>
      <w:lang w:eastAsia="en-GB"/>
    </w:rPr>
  </w:style>
  <w:style w:type="paragraph" w:customStyle="1" w:styleId="StyleDocumentinfoBold">
    <w:name w:val="Style Document info + Bold"/>
    <w:basedOn w:val="Documentinfo"/>
    <w:link w:val="StyleDocumentinfoBoldChar"/>
    <w:rsid w:val="003A3479"/>
    <w:rPr>
      <w:b/>
      <w:bCs/>
    </w:rPr>
  </w:style>
  <w:style w:type="character" w:customStyle="1" w:styleId="DocumentinfoChar">
    <w:name w:val="Document info Char"/>
    <w:link w:val="Documentinfo"/>
    <w:rsid w:val="006739A6"/>
    <w:rPr>
      <w:rFonts w:ascii="Microsoft Sans Serif" w:hAnsi="Microsoft Sans Serif" w:cs="Arial"/>
      <w:color w:val="595959" w:themeColor="text1" w:themeTint="A6"/>
      <w:lang w:val="en-AU" w:eastAsia="en-GB"/>
    </w:rPr>
  </w:style>
  <w:style w:type="character" w:customStyle="1" w:styleId="StyleDocumentinfoBoldChar">
    <w:name w:val="Style Document info + Bold Char"/>
    <w:link w:val="StyleDocumentinfoBold"/>
    <w:rsid w:val="003A3479"/>
    <w:rPr>
      <w:rFonts w:ascii="Microsoft Sans Serif" w:hAnsi="Microsoft Sans Serif" w:cs="Arial"/>
      <w:b/>
      <w:bCs/>
      <w:noProof/>
      <w:color w:val="A7AAAB"/>
      <w:lang w:val="en-GB" w:eastAsia="en-GB" w:bidi="ar-SA"/>
    </w:rPr>
  </w:style>
  <w:style w:type="table" w:styleId="TableGrid">
    <w:name w:val="Table Grid"/>
    <w:basedOn w:val="TableNormal"/>
    <w:rsid w:val="00770AFB"/>
    <w:pPr>
      <w:spacing w:before="120" w:after="120"/>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2437"/>
    <w:pPr>
      <w:spacing w:before="0" w:after="0"/>
    </w:pPr>
    <w:rPr>
      <w:rFonts w:ascii="Tahoma" w:hAnsi="Tahoma" w:cs="Tahoma"/>
      <w:sz w:val="16"/>
      <w:szCs w:val="16"/>
    </w:rPr>
  </w:style>
  <w:style w:type="character" w:customStyle="1" w:styleId="BalloonTextChar">
    <w:name w:val="Balloon Text Char"/>
    <w:basedOn w:val="DefaultParagraphFont"/>
    <w:link w:val="BalloonText"/>
    <w:rsid w:val="00742437"/>
    <w:rPr>
      <w:rFonts w:ascii="Tahoma" w:hAnsi="Tahoma" w:cs="Tahoma"/>
      <w:sz w:val="16"/>
      <w:szCs w:val="16"/>
      <w:lang w:val="en-AU" w:eastAsia="en-US"/>
    </w:rPr>
  </w:style>
  <w:style w:type="paragraph" w:customStyle="1" w:styleId="ListBullet1Body">
    <w:name w:val="List Bullet 1 Body"/>
    <w:basedOn w:val="BodyText"/>
    <w:qFormat/>
    <w:rsid w:val="00674907"/>
    <w:pPr>
      <w:ind w:left="426"/>
    </w:pPr>
  </w:style>
  <w:style w:type="paragraph" w:customStyle="1" w:styleId="preparedfor">
    <w:name w:val="prepared for"/>
    <w:basedOn w:val="ReportName"/>
    <w:rsid w:val="006739A6"/>
    <w:rPr>
      <w:sz w:val="40"/>
    </w:rPr>
  </w:style>
  <w:style w:type="paragraph" w:customStyle="1" w:styleId="ListBullet2body">
    <w:name w:val="List Bullet 2 body"/>
    <w:basedOn w:val="BodyText"/>
    <w:qFormat/>
    <w:rsid w:val="00B21B3C"/>
    <w:pPr>
      <w:ind w:left="851"/>
    </w:pPr>
  </w:style>
  <w:style w:type="paragraph" w:customStyle="1" w:styleId="BodyTextIn">
    <w:name w:val="Body Text In"/>
    <w:basedOn w:val="BodyText"/>
    <w:qFormat/>
    <w:rsid w:val="001C3618"/>
    <w:pPr>
      <w:ind w:left="720"/>
    </w:pPr>
  </w:style>
  <w:style w:type="paragraph" w:customStyle="1" w:styleId="Footnote">
    <w:name w:val="Footnote"/>
    <w:basedOn w:val="FootnoteText"/>
    <w:qFormat/>
    <w:rsid w:val="00865AE8"/>
    <w:rPr>
      <w:lang w:val="en-GB"/>
    </w:rPr>
  </w:style>
  <w:style w:type="paragraph" w:customStyle="1" w:styleId="Default">
    <w:name w:val="Default"/>
    <w:rsid w:val="00F319E3"/>
    <w:pPr>
      <w:autoSpaceDE w:val="0"/>
      <w:autoSpaceDN w:val="0"/>
      <w:adjustRightInd w:val="0"/>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326020">
      <w:bodyDiv w:val="1"/>
      <w:marLeft w:val="0"/>
      <w:marRight w:val="0"/>
      <w:marTop w:val="0"/>
      <w:marBottom w:val="0"/>
      <w:divBdr>
        <w:top w:val="none" w:sz="0" w:space="0" w:color="auto"/>
        <w:left w:val="none" w:sz="0" w:space="0" w:color="auto"/>
        <w:bottom w:val="none" w:sz="0" w:space="0" w:color="auto"/>
        <w:right w:val="none" w:sz="0" w:space="0" w:color="auto"/>
      </w:divBdr>
    </w:div>
    <w:div w:id="1114255636">
      <w:bodyDiv w:val="1"/>
      <w:marLeft w:val="0"/>
      <w:marRight w:val="0"/>
      <w:marTop w:val="0"/>
      <w:marBottom w:val="0"/>
      <w:divBdr>
        <w:top w:val="none" w:sz="0" w:space="0" w:color="auto"/>
        <w:left w:val="none" w:sz="0" w:space="0" w:color="auto"/>
        <w:bottom w:val="none" w:sz="0" w:space="0" w:color="auto"/>
        <w:right w:val="none" w:sz="0" w:space="0" w:color="auto"/>
      </w:divBdr>
    </w:div>
    <w:div w:id="1334381312">
      <w:bodyDiv w:val="1"/>
      <w:marLeft w:val="0"/>
      <w:marRight w:val="0"/>
      <w:marTop w:val="0"/>
      <w:marBottom w:val="0"/>
      <w:divBdr>
        <w:top w:val="none" w:sz="0" w:space="0" w:color="auto"/>
        <w:left w:val="none" w:sz="0" w:space="0" w:color="auto"/>
        <w:bottom w:val="none" w:sz="0" w:space="0" w:color="auto"/>
        <w:right w:val="none" w:sz="0" w:space="0" w:color="auto"/>
      </w:divBdr>
      <w:divsChild>
        <w:div w:id="478132">
          <w:marLeft w:val="0"/>
          <w:marRight w:val="0"/>
          <w:marTop w:val="0"/>
          <w:marBottom w:val="0"/>
          <w:divBdr>
            <w:top w:val="none" w:sz="0" w:space="0" w:color="auto"/>
            <w:left w:val="none" w:sz="0" w:space="0" w:color="auto"/>
            <w:bottom w:val="none" w:sz="0" w:space="0" w:color="auto"/>
            <w:right w:val="none" w:sz="0" w:space="0" w:color="auto"/>
          </w:divBdr>
        </w:div>
        <w:div w:id="93206467">
          <w:marLeft w:val="0"/>
          <w:marRight w:val="0"/>
          <w:marTop w:val="0"/>
          <w:marBottom w:val="0"/>
          <w:divBdr>
            <w:top w:val="none" w:sz="0" w:space="0" w:color="auto"/>
            <w:left w:val="none" w:sz="0" w:space="0" w:color="auto"/>
            <w:bottom w:val="none" w:sz="0" w:space="0" w:color="auto"/>
            <w:right w:val="none" w:sz="0" w:space="0" w:color="auto"/>
          </w:divBdr>
        </w:div>
        <w:div w:id="151913119">
          <w:marLeft w:val="0"/>
          <w:marRight w:val="0"/>
          <w:marTop w:val="0"/>
          <w:marBottom w:val="0"/>
          <w:divBdr>
            <w:top w:val="none" w:sz="0" w:space="0" w:color="auto"/>
            <w:left w:val="none" w:sz="0" w:space="0" w:color="auto"/>
            <w:bottom w:val="none" w:sz="0" w:space="0" w:color="auto"/>
            <w:right w:val="none" w:sz="0" w:space="0" w:color="auto"/>
          </w:divBdr>
        </w:div>
        <w:div w:id="487479708">
          <w:marLeft w:val="0"/>
          <w:marRight w:val="0"/>
          <w:marTop w:val="0"/>
          <w:marBottom w:val="0"/>
          <w:divBdr>
            <w:top w:val="none" w:sz="0" w:space="0" w:color="auto"/>
            <w:left w:val="none" w:sz="0" w:space="0" w:color="auto"/>
            <w:bottom w:val="none" w:sz="0" w:space="0" w:color="auto"/>
            <w:right w:val="none" w:sz="0" w:space="0" w:color="auto"/>
          </w:divBdr>
        </w:div>
        <w:div w:id="609555194">
          <w:marLeft w:val="0"/>
          <w:marRight w:val="0"/>
          <w:marTop w:val="0"/>
          <w:marBottom w:val="0"/>
          <w:divBdr>
            <w:top w:val="none" w:sz="0" w:space="0" w:color="auto"/>
            <w:left w:val="none" w:sz="0" w:space="0" w:color="auto"/>
            <w:bottom w:val="none" w:sz="0" w:space="0" w:color="auto"/>
            <w:right w:val="none" w:sz="0" w:space="0" w:color="auto"/>
          </w:divBdr>
        </w:div>
        <w:div w:id="1330600640">
          <w:marLeft w:val="0"/>
          <w:marRight w:val="0"/>
          <w:marTop w:val="0"/>
          <w:marBottom w:val="0"/>
          <w:divBdr>
            <w:top w:val="none" w:sz="0" w:space="0" w:color="auto"/>
            <w:left w:val="none" w:sz="0" w:space="0" w:color="auto"/>
            <w:bottom w:val="none" w:sz="0" w:space="0" w:color="auto"/>
            <w:right w:val="none" w:sz="0" w:space="0" w:color="auto"/>
          </w:divBdr>
        </w:div>
        <w:div w:id="1485391677">
          <w:marLeft w:val="0"/>
          <w:marRight w:val="0"/>
          <w:marTop w:val="0"/>
          <w:marBottom w:val="0"/>
          <w:divBdr>
            <w:top w:val="none" w:sz="0" w:space="0" w:color="auto"/>
            <w:left w:val="none" w:sz="0" w:space="0" w:color="auto"/>
            <w:bottom w:val="none" w:sz="0" w:space="0" w:color="auto"/>
            <w:right w:val="none" w:sz="0" w:space="0" w:color="auto"/>
          </w:divBdr>
        </w:div>
        <w:div w:id="1886139757">
          <w:marLeft w:val="0"/>
          <w:marRight w:val="0"/>
          <w:marTop w:val="0"/>
          <w:marBottom w:val="0"/>
          <w:divBdr>
            <w:top w:val="none" w:sz="0" w:space="0" w:color="auto"/>
            <w:left w:val="none" w:sz="0" w:space="0" w:color="auto"/>
            <w:bottom w:val="none" w:sz="0" w:space="0" w:color="auto"/>
            <w:right w:val="none" w:sz="0" w:space="0" w:color="auto"/>
          </w:divBdr>
        </w:div>
      </w:divsChild>
    </w:div>
    <w:div w:id="1336572285">
      <w:bodyDiv w:val="1"/>
      <w:marLeft w:val="0"/>
      <w:marRight w:val="0"/>
      <w:marTop w:val="0"/>
      <w:marBottom w:val="0"/>
      <w:divBdr>
        <w:top w:val="none" w:sz="0" w:space="0" w:color="auto"/>
        <w:left w:val="none" w:sz="0" w:space="0" w:color="auto"/>
        <w:bottom w:val="none" w:sz="0" w:space="0" w:color="auto"/>
        <w:right w:val="none" w:sz="0" w:space="0" w:color="auto"/>
      </w:divBdr>
    </w:div>
    <w:div w:id="1512834618">
      <w:bodyDiv w:val="1"/>
      <w:marLeft w:val="0"/>
      <w:marRight w:val="0"/>
      <w:marTop w:val="0"/>
      <w:marBottom w:val="0"/>
      <w:divBdr>
        <w:top w:val="none" w:sz="0" w:space="0" w:color="auto"/>
        <w:left w:val="none" w:sz="0" w:space="0" w:color="auto"/>
        <w:bottom w:val="none" w:sz="0" w:space="0" w:color="auto"/>
        <w:right w:val="none" w:sz="0" w:space="0" w:color="auto"/>
      </w:divBdr>
    </w:div>
    <w:div w:id="164064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1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0.emf"/><Relationship Id="rId28"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9.emf"/><Relationship Id="rId27" Type="http://schemas.openxmlformats.org/officeDocument/2006/relationships/footer" Target="footer7.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Saved%20Files\Admin\Templates\Report,%20letter,%20fax%20,%20memo%20templates%20-%20Feb%202014\OGW%20Report%2027FEB14-fix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9B785-7B36-4779-9F3F-08E0397F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OGW Report 27FEB14-fixed (2)</Template>
  <TotalTime>2</TotalTime>
  <Pages>22</Pages>
  <Words>5625</Words>
  <Characters>32069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OGW Report</vt:lpstr>
    </vt:vector>
  </TitlesOfParts>
  <Company>Oakley Greenwood</Company>
  <LinksUpToDate>false</LinksUpToDate>
  <CharactersWithSpaces>37619</CharactersWithSpaces>
  <SharedDoc>false</SharedDoc>
  <HLinks>
    <vt:vector size="108" baseType="variant">
      <vt:variant>
        <vt:i4>1835070</vt:i4>
      </vt:variant>
      <vt:variant>
        <vt:i4>131</vt:i4>
      </vt:variant>
      <vt:variant>
        <vt:i4>0</vt:i4>
      </vt:variant>
      <vt:variant>
        <vt:i4>5</vt:i4>
      </vt:variant>
      <vt:variant>
        <vt:lpwstr/>
      </vt:variant>
      <vt:variant>
        <vt:lpwstr>_Toc224292192</vt:lpwstr>
      </vt:variant>
      <vt:variant>
        <vt:i4>1835070</vt:i4>
      </vt:variant>
      <vt:variant>
        <vt:i4>122</vt:i4>
      </vt:variant>
      <vt:variant>
        <vt:i4>0</vt:i4>
      </vt:variant>
      <vt:variant>
        <vt:i4>5</vt:i4>
      </vt:variant>
      <vt:variant>
        <vt:lpwstr/>
      </vt:variant>
      <vt:variant>
        <vt:lpwstr>_Toc224292191</vt:lpwstr>
      </vt:variant>
      <vt:variant>
        <vt:i4>1900603</vt:i4>
      </vt:variant>
      <vt:variant>
        <vt:i4>113</vt:i4>
      </vt:variant>
      <vt:variant>
        <vt:i4>0</vt:i4>
      </vt:variant>
      <vt:variant>
        <vt:i4>5</vt:i4>
      </vt:variant>
      <vt:variant>
        <vt:lpwstr/>
      </vt:variant>
      <vt:variant>
        <vt:lpwstr>_Toc229907063</vt:lpwstr>
      </vt:variant>
      <vt:variant>
        <vt:i4>1900603</vt:i4>
      </vt:variant>
      <vt:variant>
        <vt:i4>107</vt:i4>
      </vt:variant>
      <vt:variant>
        <vt:i4>0</vt:i4>
      </vt:variant>
      <vt:variant>
        <vt:i4>5</vt:i4>
      </vt:variant>
      <vt:variant>
        <vt:lpwstr/>
      </vt:variant>
      <vt:variant>
        <vt:lpwstr>_Toc229907062</vt:lpwstr>
      </vt:variant>
      <vt:variant>
        <vt:i4>1900603</vt:i4>
      </vt:variant>
      <vt:variant>
        <vt:i4>101</vt:i4>
      </vt:variant>
      <vt:variant>
        <vt:i4>0</vt:i4>
      </vt:variant>
      <vt:variant>
        <vt:i4>5</vt:i4>
      </vt:variant>
      <vt:variant>
        <vt:lpwstr/>
      </vt:variant>
      <vt:variant>
        <vt:lpwstr>_Toc229907061</vt:lpwstr>
      </vt:variant>
      <vt:variant>
        <vt:i4>1900603</vt:i4>
      </vt:variant>
      <vt:variant>
        <vt:i4>95</vt:i4>
      </vt:variant>
      <vt:variant>
        <vt:i4>0</vt:i4>
      </vt:variant>
      <vt:variant>
        <vt:i4>5</vt:i4>
      </vt:variant>
      <vt:variant>
        <vt:lpwstr/>
      </vt:variant>
      <vt:variant>
        <vt:lpwstr>_Toc229907060</vt:lpwstr>
      </vt:variant>
      <vt:variant>
        <vt:i4>1966139</vt:i4>
      </vt:variant>
      <vt:variant>
        <vt:i4>89</vt:i4>
      </vt:variant>
      <vt:variant>
        <vt:i4>0</vt:i4>
      </vt:variant>
      <vt:variant>
        <vt:i4>5</vt:i4>
      </vt:variant>
      <vt:variant>
        <vt:lpwstr/>
      </vt:variant>
      <vt:variant>
        <vt:lpwstr>_Toc229907059</vt:lpwstr>
      </vt:variant>
      <vt:variant>
        <vt:i4>1966139</vt:i4>
      </vt:variant>
      <vt:variant>
        <vt:i4>83</vt:i4>
      </vt:variant>
      <vt:variant>
        <vt:i4>0</vt:i4>
      </vt:variant>
      <vt:variant>
        <vt:i4>5</vt:i4>
      </vt:variant>
      <vt:variant>
        <vt:lpwstr/>
      </vt:variant>
      <vt:variant>
        <vt:lpwstr>_Toc229907058</vt:lpwstr>
      </vt:variant>
      <vt:variant>
        <vt:i4>1966139</vt:i4>
      </vt:variant>
      <vt:variant>
        <vt:i4>77</vt:i4>
      </vt:variant>
      <vt:variant>
        <vt:i4>0</vt:i4>
      </vt:variant>
      <vt:variant>
        <vt:i4>5</vt:i4>
      </vt:variant>
      <vt:variant>
        <vt:lpwstr/>
      </vt:variant>
      <vt:variant>
        <vt:lpwstr>_Toc229907057</vt:lpwstr>
      </vt:variant>
      <vt:variant>
        <vt:i4>1966139</vt:i4>
      </vt:variant>
      <vt:variant>
        <vt:i4>71</vt:i4>
      </vt:variant>
      <vt:variant>
        <vt:i4>0</vt:i4>
      </vt:variant>
      <vt:variant>
        <vt:i4>5</vt:i4>
      </vt:variant>
      <vt:variant>
        <vt:lpwstr/>
      </vt:variant>
      <vt:variant>
        <vt:lpwstr>_Toc229907056</vt:lpwstr>
      </vt:variant>
      <vt:variant>
        <vt:i4>1966139</vt:i4>
      </vt:variant>
      <vt:variant>
        <vt:i4>65</vt:i4>
      </vt:variant>
      <vt:variant>
        <vt:i4>0</vt:i4>
      </vt:variant>
      <vt:variant>
        <vt:i4>5</vt:i4>
      </vt:variant>
      <vt:variant>
        <vt:lpwstr/>
      </vt:variant>
      <vt:variant>
        <vt:lpwstr>_Toc229907055</vt:lpwstr>
      </vt:variant>
      <vt:variant>
        <vt:i4>1966139</vt:i4>
      </vt:variant>
      <vt:variant>
        <vt:i4>59</vt:i4>
      </vt:variant>
      <vt:variant>
        <vt:i4>0</vt:i4>
      </vt:variant>
      <vt:variant>
        <vt:i4>5</vt:i4>
      </vt:variant>
      <vt:variant>
        <vt:lpwstr/>
      </vt:variant>
      <vt:variant>
        <vt:lpwstr>_Toc229907054</vt:lpwstr>
      </vt:variant>
      <vt:variant>
        <vt:i4>1966139</vt:i4>
      </vt:variant>
      <vt:variant>
        <vt:i4>53</vt:i4>
      </vt:variant>
      <vt:variant>
        <vt:i4>0</vt:i4>
      </vt:variant>
      <vt:variant>
        <vt:i4>5</vt:i4>
      </vt:variant>
      <vt:variant>
        <vt:lpwstr/>
      </vt:variant>
      <vt:variant>
        <vt:lpwstr>_Toc229907053</vt:lpwstr>
      </vt:variant>
      <vt:variant>
        <vt:i4>1966139</vt:i4>
      </vt:variant>
      <vt:variant>
        <vt:i4>47</vt:i4>
      </vt:variant>
      <vt:variant>
        <vt:i4>0</vt:i4>
      </vt:variant>
      <vt:variant>
        <vt:i4>5</vt:i4>
      </vt:variant>
      <vt:variant>
        <vt:lpwstr/>
      </vt:variant>
      <vt:variant>
        <vt:lpwstr>_Toc229907052</vt:lpwstr>
      </vt:variant>
      <vt:variant>
        <vt:i4>1966139</vt:i4>
      </vt:variant>
      <vt:variant>
        <vt:i4>41</vt:i4>
      </vt:variant>
      <vt:variant>
        <vt:i4>0</vt:i4>
      </vt:variant>
      <vt:variant>
        <vt:i4>5</vt:i4>
      </vt:variant>
      <vt:variant>
        <vt:lpwstr/>
      </vt:variant>
      <vt:variant>
        <vt:lpwstr>_Toc229907051</vt:lpwstr>
      </vt:variant>
      <vt:variant>
        <vt:i4>1966139</vt:i4>
      </vt:variant>
      <vt:variant>
        <vt:i4>35</vt:i4>
      </vt:variant>
      <vt:variant>
        <vt:i4>0</vt:i4>
      </vt:variant>
      <vt:variant>
        <vt:i4>5</vt:i4>
      </vt:variant>
      <vt:variant>
        <vt:lpwstr/>
      </vt:variant>
      <vt:variant>
        <vt:lpwstr>_Toc229907050</vt:lpwstr>
      </vt:variant>
      <vt:variant>
        <vt:i4>2031675</vt:i4>
      </vt:variant>
      <vt:variant>
        <vt:i4>29</vt:i4>
      </vt:variant>
      <vt:variant>
        <vt:i4>0</vt:i4>
      </vt:variant>
      <vt:variant>
        <vt:i4>5</vt:i4>
      </vt:variant>
      <vt:variant>
        <vt:lpwstr/>
      </vt:variant>
      <vt:variant>
        <vt:lpwstr>_Toc229907049</vt:lpwstr>
      </vt:variant>
      <vt:variant>
        <vt:i4>2031675</vt:i4>
      </vt:variant>
      <vt:variant>
        <vt:i4>23</vt:i4>
      </vt:variant>
      <vt:variant>
        <vt:i4>0</vt:i4>
      </vt:variant>
      <vt:variant>
        <vt:i4>5</vt:i4>
      </vt:variant>
      <vt:variant>
        <vt:lpwstr/>
      </vt:variant>
      <vt:variant>
        <vt:lpwstr>_Toc229907048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OGW Report</dc:title>
  <dc:creator>Lance</dc:creator>
  <cp:keywords>Report and Proposal</cp:keywords>
  <cp:lastModifiedBy>Lance Hoch</cp:lastModifiedBy>
  <cp:revision>3</cp:revision>
  <cp:lastPrinted>2015-04-16T03:10:00Z</cp:lastPrinted>
  <dcterms:created xsi:type="dcterms:W3CDTF">2015-04-19T17:59:00Z</dcterms:created>
  <dcterms:modified xsi:type="dcterms:W3CDTF">2015-04-19T18:01:00Z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Australian Energy Regulator</vt:lpwstr>
  </property>
  <property fmtid="{D5CDD505-2E9C-101B-9397-08002B2CF9AE}" pid="3" name="Project">
    <vt:lpwstr>Peer review of the willingness to pay research submitted by SAPN</vt:lpwstr>
  </property>
  <property fmtid="{D5CDD505-2E9C-101B-9397-08002B2CF9AE}" pid="4" name="Status">
    <vt:lpwstr>Peer Review</vt:lpwstr>
  </property>
  <property fmtid="{D5CDD505-2E9C-101B-9397-08002B2CF9AE}" pid="5" name="Date">
    <vt:lpwstr>20 April 2015</vt:lpwstr>
  </property>
  <property fmtid="{D5CDD505-2E9C-101B-9397-08002B2CF9AE}" pid="6" name="Title">
    <vt:lpwstr>Peer review of the willingness to pay research submitted by SAPN</vt:lpwstr>
  </property>
  <property fmtid="{D5CDD505-2E9C-101B-9397-08002B2CF9AE}" pid="7" name="1st Author">
    <vt:lpwstr>Lance Hoch (lhoch@oakleygreenwood.com.au)</vt:lpwstr>
  </property>
  <property fmtid="{D5CDD505-2E9C-101B-9397-08002B2CF9AE}" pid="8" name="2nd Author">
    <vt:lpwstr>Jim Snow (jsnow@oakleygreenwood.com.au)</vt:lpwstr>
  </property>
  <property fmtid="{D5CDD505-2E9C-101B-9397-08002B2CF9AE}" pid="9" name="Address">
    <vt:lpwstr>[Enter client city and state in Address property]</vt:lpwstr>
  </property>
</Properties>
</file>