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99676627"/>
        <w:docPartObj>
          <w:docPartGallery w:val="Cover Pages"/>
          <w:docPartUnique/>
        </w:docPartObj>
      </w:sdtPr>
      <w:sdtEndPr>
        <w:rPr>
          <w:rFonts w:eastAsiaTheme="majorEastAsia" w:cstheme="majorBidi"/>
          <w:b/>
          <w:noProof/>
          <w:sz w:val="72"/>
          <w:szCs w:val="72"/>
          <w:lang w:eastAsia="en-AU"/>
        </w:rPr>
      </w:sdtEndPr>
      <w:sdtContent>
        <w:p w:rsidR="00DB723B" w:rsidRPr="00DB723B" w:rsidRDefault="00DB723B" w:rsidP="00951978">
          <w:r w:rsidRPr="00DB723B">
            <w:rPr>
              <w:noProof/>
              <w:lang w:eastAsia="en-AU"/>
            </w:rPr>
            <w:drawing>
              <wp:anchor distT="0" distB="0" distL="114300" distR="114300" simplePos="0" relativeHeight="251659264" behindDoc="1" locked="0" layoutInCell="1" allowOverlap="1" wp14:anchorId="709FA665" wp14:editId="37BF576B">
                <wp:simplePos x="0" y="0"/>
                <wp:positionH relativeFrom="column">
                  <wp:posOffset>-1107440</wp:posOffset>
                </wp:positionH>
                <wp:positionV relativeFrom="paragraph">
                  <wp:posOffset>-928370</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1B6A5C"/>
        <w:p w:rsidR="00DB723B" w:rsidRPr="00DB723B" w:rsidRDefault="00DB723B" w:rsidP="001B6A5C"/>
        <w:p w:rsidR="00DB723B" w:rsidRPr="00DB723B" w:rsidRDefault="00DB723B" w:rsidP="001B6A5C"/>
        <w:p w:rsidR="00DB723B" w:rsidRPr="00DB723B" w:rsidRDefault="00DB723B" w:rsidP="001B6A5C"/>
        <w:p w:rsidR="009B2BF2" w:rsidRDefault="009B2BF2" w:rsidP="00327A1E">
          <w:pPr>
            <w:pStyle w:val="ReportSubtitle"/>
          </w:pPr>
        </w:p>
        <w:p w:rsidR="006E4F2A" w:rsidRDefault="006E4F2A" w:rsidP="00327A1E">
          <w:pPr>
            <w:pStyle w:val="ReportSubtitle"/>
          </w:pPr>
          <w:r w:rsidRPr="006E4F2A">
            <w:t>Overview of compliance reports by gas distribution and transmission pipelines</w:t>
          </w:r>
        </w:p>
        <w:p w:rsidR="006E4F2A" w:rsidRDefault="006E4F2A" w:rsidP="00327A1E">
          <w:pPr>
            <w:pStyle w:val="ReportSubtitle"/>
          </w:pPr>
        </w:p>
        <w:p w:rsidR="00DB723B" w:rsidRPr="00DB723B" w:rsidRDefault="00477AEC" w:rsidP="00327A1E">
          <w:pPr>
            <w:pStyle w:val="ReportSubtitle"/>
          </w:pPr>
          <w:r>
            <w:t xml:space="preserve">For reporting period </w:t>
          </w:r>
          <w:r w:rsidR="009B2BF2">
            <w:t>2013-14</w:t>
          </w:r>
        </w:p>
        <w:p w:rsidR="006E4F2A" w:rsidRDefault="006E4F2A" w:rsidP="00327A1E">
          <w:pPr>
            <w:pStyle w:val="ReportDate"/>
          </w:pPr>
        </w:p>
        <w:p w:rsidR="00DB723B" w:rsidRPr="00DB723B" w:rsidRDefault="009B2BF2" w:rsidP="00327A1E">
          <w:pPr>
            <w:pStyle w:val="ReportDate"/>
          </w:pPr>
          <w:r>
            <w:t>June</w:t>
          </w:r>
          <w:r w:rsidR="00DB723B" w:rsidRPr="00DB723B">
            <w:t xml:space="preserve"> 201</w:t>
          </w:r>
          <w:r w:rsidR="00DB723B">
            <w:t>5</w:t>
          </w:r>
        </w:p>
        <w:p w:rsidR="00DB723B" w:rsidRPr="00DB723B" w:rsidRDefault="00DB723B" w:rsidP="00DB723B"/>
        <w:p w:rsidR="00DB723B" w:rsidRDefault="0086176B">
          <w:pPr>
            <w:spacing w:line="240" w:lineRule="auto"/>
            <w:rPr>
              <w:rFonts w:eastAsiaTheme="majorEastAsia" w:cstheme="majorBidi"/>
              <w:b/>
              <w:noProof/>
              <w:sz w:val="72"/>
              <w:szCs w:val="72"/>
              <w:lang w:eastAsia="en-AU"/>
            </w:rPr>
          </w:pPr>
        </w:p>
      </w:sdtContent>
    </w:sdt>
    <w:p w:rsidR="00327A1E" w:rsidRPr="00FE3C32" w:rsidRDefault="00327A1E">
      <w:pPr>
        <w:spacing w:line="240" w:lineRule="auto"/>
      </w:pPr>
      <w:r>
        <w:br w:type="page"/>
      </w:r>
    </w:p>
    <w:p w:rsidR="000A6C7B" w:rsidRDefault="000A6C7B" w:rsidP="00327A1E">
      <w:pPr>
        <w:pStyle w:val="Copyright"/>
      </w:pPr>
      <w:r>
        <w:lastRenderedPageBreak/>
        <w:t>© Co</w:t>
      </w:r>
      <w:bookmarkStart w:id="0" w:name="_GoBack"/>
      <w:bookmarkEnd w:id="0"/>
      <w:r>
        <w:t>mmonwealth of Australia 201</w:t>
      </w:r>
      <w:r w:rsidR="00D81EF4">
        <w:t>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0A6C7B">
      <w:pPr>
        <w:pStyle w:val="Copyright"/>
      </w:pPr>
      <w:r>
        <w:t>Tel: (03) 9290 1444</w:t>
      </w:r>
      <w:r w:rsidR="00951978">
        <w:br/>
      </w:r>
      <w:r>
        <w:t>Fax: (03) 9290 1457</w:t>
      </w:r>
    </w:p>
    <w:p w:rsidR="000A6C7B" w:rsidRPr="00951978" w:rsidRDefault="000A6C7B" w:rsidP="000A6C7B">
      <w:pPr>
        <w:pStyle w:val="Copyright"/>
        <w:rPr>
          <w:color w:val="0000FF"/>
          <w:sz w:val="22"/>
          <w:u w:val="single"/>
        </w:rPr>
      </w:pPr>
      <w:r>
        <w:t xml:space="preserve">Email: </w:t>
      </w:r>
      <w:hyperlink r:id="rId11" w:history="1">
        <w:r w:rsidRPr="00D64888">
          <w:rPr>
            <w:rStyle w:val="Hyperlink"/>
          </w:rPr>
          <w:t>AERInquiry@aer.gov.au</w:t>
        </w:r>
      </w:hyperlink>
      <w:r w:rsidR="00951978">
        <w:rPr>
          <w:rStyle w:val="Hyperlink"/>
        </w:rPr>
        <w:br/>
      </w:r>
      <w:r>
        <w:t xml:space="preserve">AER Reference: </w:t>
      </w:r>
      <w:r w:rsidR="00101708" w:rsidRPr="00101708">
        <w:t>43268</w:t>
      </w:r>
    </w:p>
    <w:p w:rsidR="000A6C7B" w:rsidRDefault="000A6C7B" w:rsidP="000A6C7B"/>
    <w:p w:rsidR="002010BC" w:rsidRDefault="002010BC">
      <w:pPr>
        <w:spacing w:line="240" w:lineRule="auto"/>
      </w:pPr>
      <w:r>
        <w:br w:type="page"/>
      </w:r>
    </w:p>
    <w:p w:rsidR="002010BC" w:rsidRDefault="002010BC" w:rsidP="00DB5074"/>
    <w:p w:rsidR="002010BC" w:rsidRDefault="00A75077" w:rsidP="00A75077">
      <w:pPr>
        <w:pStyle w:val="TOCHeading"/>
      </w:pPr>
      <w:r>
        <w:t>Contents</w:t>
      </w:r>
    </w:p>
    <w:p w:rsidR="00C72109"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21265601" w:history="1">
        <w:r w:rsidR="00C72109" w:rsidRPr="00681DA7">
          <w:rPr>
            <w:rStyle w:val="Hyperlink"/>
          </w:rPr>
          <w:t>1</w:t>
        </w:r>
        <w:r w:rsidR="00C72109">
          <w:rPr>
            <w:rFonts w:asciiTheme="minorHAnsi" w:eastAsiaTheme="minorEastAsia" w:hAnsiTheme="minorHAnsi"/>
            <w:b w:val="0"/>
            <w:color w:val="auto"/>
            <w:sz w:val="22"/>
            <w:lang w:val="en-AU" w:eastAsia="en-AU"/>
          </w:rPr>
          <w:tab/>
        </w:r>
        <w:r w:rsidR="00C72109" w:rsidRPr="00681DA7">
          <w:rPr>
            <w:rStyle w:val="Hyperlink"/>
          </w:rPr>
          <w:t>Introduction</w:t>
        </w:r>
        <w:r w:rsidR="00C72109">
          <w:rPr>
            <w:webHidden/>
          </w:rPr>
          <w:tab/>
        </w:r>
        <w:r w:rsidR="00C72109">
          <w:rPr>
            <w:webHidden/>
          </w:rPr>
          <w:fldChar w:fldCharType="begin"/>
        </w:r>
        <w:r w:rsidR="00C72109">
          <w:rPr>
            <w:webHidden/>
          </w:rPr>
          <w:instrText xml:space="preserve"> PAGEREF _Toc421265601 \h </w:instrText>
        </w:r>
        <w:r w:rsidR="00C72109">
          <w:rPr>
            <w:webHidden/>
          </w:rPr>
        </w:r>
        <w:r w:rsidR="00C72109">
          <w:rPr>
            <w:webHidden/>
          </w:rPr>
          <w:fldChar w:fldCharType="separate"/>
        </w:r>
        <w:r w:rsidR="00C72109">
          <w:rPr>
            <w:webHidden/>
          </w:rPr>
          <w:t>1</w:t>
        </w:r>
        <w:r w:rsidR="00C72109">
          <w:rPr>
            <w:webHidden/>
          </w:rPr>
          <w:fldChar w:fldCharType="end"/>
        </w:r>
      </w:hyperlink>
    </w:p>
    <w:p w:rsidR="00C72109" w:rsidRDefault="0086176B">
      <w:pPr>
        <w:pStyle w:val="TOC1"/>
        <w:rPr>
          <w:rFonts w:asciiTheme="minorHAnsi" w:eastAsiaTheme="minorEastAsia" w:hAnsiTheme="minorHAnsi"/>
          <w:b w:val="0"/>
          <w:color w:val="auto"/>
          <w:sz w:val="22"/>
          <w:lang w:val="en-AU" w:eastAsia="en-AU"/>
        </w:rPr>
      </w:pPr>
      <w:hyperlink w:anchor="_Toc421265602" w:history="1">
        <w:r w:rsidR="00C72109" w:rsidRPr="00681DA7">
          <w:rPr>
            <w:rStyle w:val="Hyperlink"/>
          </w:rPr>
          <w:t>2</w:t>
        </w:r>
        <w:r w:rsidR="00C72109">
          <w:rPr>
            <w:rFonts w:asciiTheme="minorHAnsi" w:eastAsiaTheme="minorEastAsia" w:hAnsiTheme="minorHAnsi"/>
            <w:b w:val="0"/>
            <w:color w:val="auto"/>
            <w:sz w:val="22"/>
            <w:lang w:val="en-AU" w:eastAsia="en-AU"/>
          </w:rPr>
          <w:tab/>
        </w:r>
        <w:r w:rsidR="00C72109" w:rsidRPr="00681DA7">
          <w:rPr>
            <w:rStyle w:val="Hyperlink"/>
          </w:rPr>
          <w:t>What must be reported by the covered pipelines owners</w:t>
        </w:r>
        <w:r w:rsidR="00C72109">
          <w:rPr>
            <w:webHidden/>
          </w:rPr>
          <w:tab/>
        </w:r>
        <w:r w:rsidR="00C72109">
          <w:rPr>
            <w:webHidden/>
          </w:rPr>
          <w:fldChar w:fldCharType="begin"/>
        </w:r>
        <w:r w:rsidR="00C72109">
          <w:rPr>
            <w:webHidden/>
          </w:rPr>
          <w:instrText xml:space="preserve"> PAGEREF _Toc421265602 \h </w:instrText>
        </w:r>
        <w:r w:rsidR="00C72109">
          <w:rPr>
            <w:webHidden/>
          </w:rPr>
        </w:r>
        <w:r w:rsidR="00C72109">
          <w:rPr>
            <w:webHidden/>
          </w:rPr>
          <w:fldChar w:fldCharType="separate"/>
        </w:r>
        <w:r w:rsidR="00C72109">
          <w:rPr>
            <w:webHidden/>
          </w:rPr>
          <w:t>3</w:t>
        </w:r>
        <w:r w:rsidR="00C72109">
          <w:rPr>
            <w:webHidden/>
          </w:rPr>
          <w:fldChar w:fldCharType="end"/>
        </w:r>
      </w:hyperlink>
    </w:p>
    <w:p w:rsidR="00C72109" w:rsidRDefault="0086176B">
      <w:pPr>
        <w:pStyle w:val="TOC1"/>
        <w:rPr>
          <w:rFonts w:asciiTheme="minorHAnsi" w:eastAsiaTheme="minorEastAsia" w:hAnsiTheme="minorHAnsi"/>
          <w:b w:val="0"/>
          <w:color w:val="auto"/>
          <w:sz w:val="22"/>
          <w:lang w:val="en-AU" w:eastAsia="en-AU"/>
        </w:rPr>
      </w:pPr>
      <w:hyperlink w:anchor="_Toc421265603" w:history="1">
        <w:r w:rsidR="00C72109" w:rsidRPr="00681DA7">
          <w:rPr>
            <w:rStyle w:val="Hyperlink"/>
          </w:rPr>
          <w:t>3</w:t>
        </w:r>
        <w:r w:rsidR="00C72109">
          <w:rPr>
            <w:rFonts w:asciiTheme="minorHAnsi" w:eastAsiaTheme="minorEastAsia" w:hAnsiTheme="minorHAnsi"/>
            <w:b w:val="0"/>
            <w:color w:val="auto"/>
            <w:sz w:val="22"/>
            <w:lang w:val="en-AU" w:eastAsia="en-AU"/>
          </w:rPr>
          <w:tab/>
        </w:r>
        <w:r w:rsidR="00C72109" w:rsidRPr="00681DA7">
          <w:rPr>
            <w:rStyle w:val="Hyperlink"/>
          </w:rPr>
          <w:t>Review of the 2013–14 annual compliance reports</w:t>
        </w:r>
        <w:r w:rsidR="00C72109">
          <w:rPr>
            <w:webHidden/>
          </w:rPr>
          <w:tab/>
        </w:r>
        <w:r w:rsidR="00C72109">
          <w:rPr>
            <w:webHidden/>
          </w:rPr>
          <w:fldChar w:fldCharType="begin"/>
        </w:r>
        <w:r w:rsidR="00C72109">
          <w:rPr>
            <w:webHidden/>
          </w:rPr>
          <w:instrText xml:space="preserve"> PAGEREF _Toc421265603 \h </w:instrText>
        </w:r>
        <w:r w:rsidR="00C72109">
          <w:rPr>
            <w:webHidden/>
          </w:rPr>
        </w:r>
        <w:r w:rsidR="00C72109">
          <w:rPr>
            <w:webHidden/>
          </w:rPr>
          <w:fldChar w:fldCharType="separate"/>
        </w:r>
        <w:r w:rsidR="00C72109">
          <w:rPr>
            <w:webHidden/>
          </w:rPr>
          <w:t>5</w:t>
        </w:r>
        <w:r w:rsidR="00C72109">
          <w:rPr>
            <w:webHidden/>
          </w:rPr>
          <w:fldChar w:fldCharType="end"/>
        </w:r>
      </w:hyperlink>
    </w:p>
    <w:p w:rsidR="00C72109" w:rsidRDefault="0086176B">
      <w:pPr>
        <w:pStyle w:val="TOC1"/>
        <w:rPr>
          <w:rFonts w:asciiTheme="minorHAnsi" w:eastAsiaTheme="minorEastAsia" w:hAnsiTheme="minorHAnsi"/>
          <w:b w:val="0"/>
          <w:color w:val="auto"/>
          <w:sz w:val="22"/>
          <w:lang w:val="en-AU" w:eastAsia="en-AU"/>
        </w:rPr>
      </w:pPr>
      <w:hyperlink w:anchor="_Toc421265604" w:history="1">
        <w:r w:rsidR="00C72109" w:rsidRPr="00681DA7">
          <w:rPr>
            <w:rStyle w:val="Hyperlink"/>
          </w:rPr>
          <w:t>4</w:t>
        </w:r>
        <w:r w:rsidR="00C72109">
          <w:rPr>
            <w:rFonts w:asciiTheme="minorHAnsi" w:eastAsiaTheme="minorEastAsia" w:hAnsiTheme="minorHAnsi"/>
            <w:b w:val="0"/>
            <w:color w:val="auto"/>
            <w:sz w:val="22"/>
            <w:lang w:val="en-AU" w:eastAsia="en-AU"/>
          </w:rPr>
          <w:tab/>
        </w:r>
        <w:r w:rsidR="00C72109" w:rsidRPr="00681DA7">
          <w:rPr>
            <w:rStyle w:val="Hyperlink"/>
          </w:rPr>
          <w:t>Appendix A: Service Providers and Related Entities</w:t>
        </w:r>
        <w:r w:rsidR="00C72109">
          <w:rPr>
            <w:webHidden/>
          </w:rPr>
          <w:tab/>
        </w:r>
        <w:r w:rsidR="00C72109">
          <w:rPr>
            <w:webHidden/>
          </w:rPr>
          <w:fldChar w:fldCharType="begin"/>
        </w:r>
        <w:r w:rsidR="00C72109">
          <w:rPr>
            <w:webHidden/>
          </w:rPr>
          <w:instrText xml:space="preserve"> PAGEREF _Toc421265604 \h </w:instrText>
        </w:r>
        <w:r w:rsidR="00C72109">
          <w:rPr>
            <w:webHidden/>
          </w:rPr>
        </w:r>
        <w:r w:rsidR="00C72109">
          <w:rPr>
            <w:webHidden/>
          </w:rPr>
          <w:fldChar w:fldCharType="separate"/>
        </w:r>
        <w:r w:rsidR="00C72109">
          <w:rPr>
            <w:webHidden/>
          </w:rPr>
          <w:t>6</w:t>
        </w:r>
        <w:r w:rsidR="00C72109">
          <w:rPr>
            <w:webHidden/>
          </w:rPr>
          <w:fldChar w:fldCharType="end"/>
        </w:r>
      </w:hyperlink>
    </w:p>
    <w:p w:rsidR="0020492C" w:rsidRDefault="00A75077" w:rsidP="009F5BA1">
      <w:r>
        <w:fldChar w:fldCharType="end"/>
      </w:r>
      <w:r w:rsidR="0020492C">
        <w:tab/>
      </w:r>
    </w:p>
    <w:p w:rsidR="0020492C" w:rsidRDefault="0020492C" w:rsidP="0020492C">
      <w:bookmarkStart w:id="1" w:name="_Toc213047617"/>
    </w:p>
    <w:p w:rsidR="0020492C" w:rsidRDefault="0020492C" w:rsidP="0020492C">
      <w:pPr>
        <w:sectPr w:rsidR="0020492C" w:rsidSect="007A4D1F">
          <w:footerReference w:type="default" r:id="rId12"/>
          <w:pgSz w:w="11906" w:h="16838" w:code="9"/>
          <w:pgMar w:top="1440" w:right="1700" w:bottom="1582" w:left="1729" w:header="720" w:footer="1009" w:gutter="0"/>
          <w:pgNumType w:fmt="lowerRoman"/>
          <w:cols w:space="720"/>
          <w:docGrid w:linePitch="326"/>
        </w:sectPr>
      </w:pPr>
    </w:p>
    <w:p w:rsidR="009B2BF2" w:rsidRPr="007828E9" w:rsidRDefault="006E4F2A" w:rsidP="007828E9">
      <w:pPr>
        <w:pStyle w:val="Heading1"/>
      </w:pPr>
      <w:bookmarkStart w:id="2" w:name="_Toc421265601"/>
      <w:bookmarkStart w:id="3" w:name="_Toc346194391"/>
      <w:r w:rsidRPr="007828E9">
        <w:lastRenderedPageBreak/>
        <w:t>Introduction</w:t>
      </w:r>
      <w:bookmarkEnd w:id="2"/>
      <w:r w:rsidRPr="007828E9">
        <w:t xml:space="preserve"> </w:t>
      </w:r>
      <w:bookmarkEnd w:id="3"/>
    </w:p>
    <w:p w:rsidR="007828E9" w:rsidRDefault="006E4F2A" w:rsidP="009B2BF2">
      <w:r>
        <w:t>This paper accompanies the annual compliance reports submitted by regulated gas transmission and distribution pipeline, which are published on our website.</w:t>
      </w:r>
      <w:r>
        <w:rPr>
          <w:rStyle w:val="FootnoteReference"/>
        </w:rPr>
        <w:footnoteReference w:id="2"/>
      </w:r>
      <w:r>
        <w:t xml:space="preserve"> It provides the </w:t>
      </w:r>
      <w:r w:rsidR="00082BE8">
        <w:t xml:space="preserve">background </w:t>
      </w:r>
      <w:r>
        <w:t xml:space="preserve">on </w:t>
      </w:r>
      <w:r w:rsidR="00082BE8">
        <w:t xml:space="preserve">the annual compliance reporting </w:t>
      </w:r>
      <w:r w:rsidR="007828E9">
        <w:t>and inform</w:t>
      </w:r>
      <w:r w:rsidR="00AC62C7">
        <w:t>s</w:t>
      </w:r>
      <w:r w:rsidR="007828E9">
        <w:t xml:space="preserve"> stakeholders</w:t>
      </w:r>
      <w:r w:rsidR="00AC62C7">
        <w:t xml:space="preserve"> on</w:t>
      </w:r>
      <w:r w:rsidR="007828E9">
        <w:t xml:space="preserve"> whether</w:t>
      </w:r>
      <w:r w:rsidR="00AC62C7">
        <w:t xml:space="preserve"> or not</w:t>
      </w:r>
      <w:r w:rsidR="007828E9">
        <w:t xml:space="preserve"> there are significant compliance issues.</w:t>
      </w:r>
    </w:p>
    <w:p w:rsidR="00415E80" w:rsidRDefault="00415E80" w:rsidP="009B2BF2">
      <w:r w:rsidRPr="009B2BF2">
        <w:t>It also provides a list of the current gas service providers and their related entities in Appendix A.</w:t>
      </w:r>
    </w:p>
    <w:p w:rsidR="006E4F2A" w:rsidRPr="00101708" w:rsidRDefault="007828E9" w:rsidP="009B2BF2">
      <w:pPr>
        <w:rPr>
          <w:rStyle w:val="Strong"/>
        </w:rPr>
      </w:pPr>
      <w:r>
        <w:rPr>
          <w:rStyle w:val="Strong"/>
        </w:rPr>
        <w:t xml:space="preserve">Our </w:t>
      </w:r>
      <w:r w:rsidRPr="00101708">
        <w:rPr>
          <w:rStyle w:val="Strong"/>
        </w:rPr>
        <w:t xml:space="preserve">Annual </w:t>
      </w:r>
      <w:r>
        <w:rPr>
          <w:rStyle w:val="Strong"/>
        </w:rPr>
        <w:t>C</w:t>
      </w:r>
      <w:r w:rsidRPr="00101708">
        <w:rPr>
          <w:rStyle w:val="Strong"/>
        </w:rPr>
        <w:t xml:space="preserve">ompliance </w:t>
      </w:r>
      <w:r>
        <w:rPr>
          <w:rStyle w:val="Strong"/>
        </w:rPr>
        <w:t>O</w:t>
      </w:r>
      <w:r w:rsidRPr="00101708">
        <w:rPr>
          <w:rStyle w:val="Strong"/>
        </w:rPr>
        <w:t>rder</w:t>
      </w:r>
      <w:r w:rsidR="006E4F2A" w:rsidRPr="00101708">
        <w:rPr>
          <w:rStyle w:val="Strong"/>
        </w:rPr>
        <w:t xml:space="preserve"> </w:t>
      </w:r>
    </w:p>
    <w:p w:rsidR="009B2BF2" w:rsidRPr="009B2BF2" w:rsidRDefault="009B2BF2" w:rsidP="009B2BF2">
      <w:r>
        <w:t>The National Gas Law (NGL) and National Gas Rules (NGR) comprise the legislative framework to establish a cooperative national access regime for natural gas transmission and distribution pipelines.</w:t>
      </w:r>
    </w:p>
    <w:p w:rsidR="0000333C" w:rsidRDefault="009B2BF2" w:rsidP="009B2BF2">
      <w:r>
        <w:t>We</w:t>
      </w:r>
      <w:r w:rsidRPr="009B2BF2">
        <w:t xml:space="preserve"> issued an Annual Compliance Order (Order) under section 48(1) of the NGL in November 2008. The Order </w:t>
      </w:r>
      <w:r w:rsidR="0000333C">
        <w:t xml:space="preserve">requires regulated gas </w:t>
      </w:r>
      <w:r w:rsidR="0000333C" w:rsidRPr="009B2BF2">
        <w:t xml:space="preserve">transmission and distribution </w:t>
      </w:r>
      <w:r w:rsidR="0000333C">
        <w:t xml:space="preserve">pipeline businesses (referred </w:t>
      </w:r>
      <w:r w:rsidR="00AC62C7">
        <w:t xml:space="preserve">to </w:t>
      </w:r>
      <w:r w:rsidR="0000333C">
        <w:t xml:space="preserve">as "covered pipeline" in the NGL and NGR) to report on their compliance status regarding key regulatory obligations for the </w:t>
      </w:r>
      <w:r w:rsidR="0000333C" w:rsidRPr="009B2BF2">
        <w:t>12</w:t>
      </w:r>
      <w:r w:rsidR="0000333C">
        <w:t>-</w:t>
      </w:r>
      <w:r w:rsidR="0000333C" w:rsidRPr="009B2BF2">
        <w:t>month period ending 30 June of that year.</w:t>
      </w:r>
      <w:r w:rsidR="0000333C" w:rsidRPr="009B2BF2">
        <w:rPr>
          <w:rStyle w:val="FootnoteReference"/>
        </w:rPr>
        <w:footnoteReference w:id="3"/>
      </w:r>
      <w:r w:rsidR="0000333C" w:rsidRPr="009B2BF2">
        <w:t xml:space="preserve">  </w:t>
      </w:r>
      <w:r w:rsidR="0000333C">
        <w:t xml:space="preserve">The </w:t>
      </w:r>
      <w:r w:rsidR="00AC62C7">
        <w:t xml:space="preserve">compliance </w:t>
      </w:r>
      <w:r w:rsidR="0000333C">
        <w:t xml:space="preserve">reports must be </w:t>
      </w:r>
      <w:r w:rsidR="00AC62C7">
        <w:t>signed</w:t>
      </w:r>
      <w:r w:rsidR="0000333C">
        <w:t xml:space="preserve"> by a director or a board member of the regulated business.</w:t>
      </w:r>
      <w:r w:rsidR="00415E80">
        <w:rPr>
          <w:rStyle w:val="FootnoteReference"/>
        </w:rPr>
        <w:footnoteReference w:id="4"/>
      </w:r>
    </w:p>
    <w:p w:rsidR="009B2BF2" w:rsidRPr="009B2BF2" w:rsidRDefault="0000333C" w:rsidP="009B2BF2">
      <w:r>
        <w:t>This reporting framework forms a part of our compliance monitoring framework</w:t>
      </w:r>
      <w:r w:rsidR="004568DC">
        <w:t xml:space="preserve"> as well as informing </w:t>
      </w:r>
      <w:r w:rsidR="009B2BF2" w:rsidRPr="009B2BF2">
        <w:t>our economic regulatory functions (under sections 27 (1)(a) and (e) of the NGL)</w:t>
      </w:r>
      <w:r w:rsidR="004568DC">
        <w:t xml:space="preserve">––in particular </w:t>
      </w:r>
      <w:r w:rsidR="00101708">
        <w:t xml:space="preserve">revealing </w:t>
      </w:r>
      <w:r w:rsidR="004568DC">
        <w:t xml:space="preserve">the structure of all related businesses of the regulated pipeline </w:t>
      </w:r>
      <w:r w:rsidR="00415E80">
        <w:t>owner</w:t>
      </w:r>
      <w:r w:rsidR="004568DC">
        <w:t>s</w:t>
      </w:r>
      <w:r w:rsidR="009B2BF2" w:rsidRPr="009B2BF2">
        <w:t xml:space="preserve">. </w:t>
      </w:r>
    </w:p>
    <w:p w:rsidR="009B2BF2" w:rsidRPr="009B2BF2" w:rsidRDefault="009B2BF2" w:rsidP="009B2BF2">
      <w:r>
        <w:t>The</w:t>
      </w:r>
      <w:r w:rsidRPr="009B2BF2">
        <w:t xml:space="preserve"> annual compliance process is </w:t>
      </w:r>
      <w:r w:rsidR="004568DC">
        <w:t xml:space="preserve">also </w:t>
      </w:r>
      <w:r w:rsidRPr="009B2BF2">
        <w:t>a continuation of the regulatory function previously undertaken by the Australian Competition and Consumer Commission (ACCC) (for transmission) and the state and territory regulators (for distribution) to assess service providers’ ring fencing compliance. These former processes were carried out under the former National Third Party Access Code for Natural Gas Pipeline System (the Code). It establishes a consistent framework for all service providers to report compliance with their obligations under the NGL and NGR. These obligations include:</w:t>
      </w:r>
    </w:p>
    <w:p w:rsidR="009B2BF2" w:rsidRPr="009B2BF2" w:rsidRDefault="009B2BF2" w:rsidP="00101708">
      <w:pPr>
        <w:pStyle w:val="Bulletpoint"/>
      </w:pPr>
      <w:r>
        <w:t xml:space="preserve">the general </w:t>
      </w:r>
      <w:r w:rsidRPr="009B2BF2">
        <w:t>compliance required for a service provider (such as not hindering access)</w:t>
      </w:r>
      <w:r w:rsidRPr="009B2BF2">
        <w:rPr>
          <w:rStyle w:val="FootnoteReference"/>
        </w:rPr>
        <w:footnoteReference w:id="5"/>
      </w:r>
    </w:p>
    <w:p w:rsidR="009B2BF2" w:rsidRPr="009B2BF2" w:rsidRDefault="009B2BF2" w:rsidP="00101708">
      <w:pPr>
        <w:pStyle w:val="Bulletpoint"/>
      </w:pPr>
      <w:r>
        <w:t>structural and operational separation arrangements (including minimum ring fencing requirements)</w:t>
      </w:r>
      <w:r w:rsidRPr="009B2BF2">
        <w:rPr>
          <w:rStyle w:val="FootnoteReference"/>
        </w:rPr>
        <w:footnoteReference w:id="6"/>
      </w:r>
    </w:p>
    <w:p w:rsidR="009B2BF2" w:rsidRPr="009B2BF2" w:rsidRDefault="009B2BF2" w:rsidP="00101708">
      <w:pPr>
        <w:pStyle w:val="Bulletpoint"/>
      </w:pPr>
      <w:r>
        <w:lastRenderedPageBreak/>
        <w:t>not disclosing confidential information</w:t>
      </w:r>
    </w:p>
    <w:p w:rsidR="009B2BF2" w:rsidRPr="009B2BF2" w:rsidRDefault="009B2BF2" w:rsidP="00101708">
      <w:pPr>
        <w:pStyle w:val="Bulletpoint"/>
      </w:pPr>
      <w:r>
        <w:t>have an access determination</w:t>
      </w:r>
      <w:r w:rsidRPr="009B2BF2">
        <w:t xml:space="preserve">. </w:t>
      </w:r>
    </w:p>
    <w:p w:rsidR="009B2BF2" w:rsidRDefault="009B2BF2" w:rsidP="009B2BF2">
      <w:r>
        <w:t>We published an Annual Compliance Guideline on 1 April 2010 to assist service providers in meeting the requirements of the Order, it is available at:</w:t>
      </w:r>
    </w:p>
    <w:p w:rsidR="009B2BF2" w:rsidRDefault="009B2BF2" w:rsidP="009B2BF2">
      <w:r>
        <w:t xml:space="preserve"> </w:t>
      </w:r>
      <w:hyperlink r:id="rId13" w:history="1">
        <w:r w:rsidRPr="00981EE5">
          <w:rPr>
            <w:rStyle w:val="Hyperlink"/>
          </w:rPr>
          <w:t>http://www.aer.gov.au/sites/default/files/Annual%20compliance%20guideline.pdf</w:t>
        </w:r>
      </w:hyperlink>
    </w:p>
    <w:p w:rsidR="004568DC" w:rsidRDefault="004568DC" w:rsidP="009B2BF2"/>
    <w:p w:rsidR="009B2BF2" w:rsidRPr="009B2BF2" w:rsidRDefault="004568DC" w:rsidP="009B2BF2">
      <w:pPr>
        <w:pStyle w:val="Heading1"/>
      </w:pPr>
      <w:bookmarkStart w:id="4" w:name="_Toc420658076"/>
      <w:bookmarkStart w:id="5" w:name="_Toc346194393"/>
      <w:bookmarkStart w:id="6" w:name="_Toc421265602"/>
      <w:bookmarkStart w:id="7" w:name="_Toc346194392"/>
      <w:bookmarkEnd w:id="4"/>
      <w:r>
        <w:lastRenderedPageBreak/>
        <w:t xml:space="preserve">What must be reported by the </w:t>
      </w:r>
      <w:r w:rsidR="003F6B2E">
        <w:t xml:space="preserve">covered </w:t>
      </w:r>
      <w:r>
        <w:t>pipelines</w:t>
      </w:r>
      <w:bookmarkEnd w:id="5"/>
      <w:r>
        <w:t xml:space="preserve"> o</w:t>
      </w:r>
      <w:r w:rsidR="00415E80">
        <w:t>wners</w:t>
      </w:r>
      <w:bookmarkEnd w:id="6"/>
    </w:p>
    <w:p w:rsidR="009B2BF2" w:rsidRDefault="004568DC" w:rsidP="009B2BF2">
      <w:r>
        <w:t xml:space="preserve">Each </w:t>
      </w:r>
      <w:r w:rsidR="003F6B2E">
        <w:t xml:space="preserve">covered </w:t>
      </w:r>
      <w:r w:rsidR="009B2BF2" w:rsidRPr="001E4060">
        <w:t>pipeline</w:t>
      </w:r>
      <w:r>
        <w:t xml:space="preserve"> </w:t>
      </w:r>
      <w:r w:rsidR="00415E80">
        <w:t>owner</w:t>
      </w:r>
      <w:r w:rsidR="009B2BF2" w:rsidRPr="001E4060">
        <w:t xml:space="preserve"> </w:t>
      </w:r>
      <w:r>
        <w:t xml:space="preserve">must </w:t>
      </w:r>
      <w:r w:rsidR="009B2BF2">
        <w:t xml:space="preserve">address the following matters in the annual compliance </w:t>
      </w:r>
      <w:r>
        <w:t>reports</w:t>
      </w:r>
      <w:r w:rsidR="009B2BF2" w:rsidRPr="001E4060">
        <w:t>:</w:t>
      </w:r>
    </w:p>
    <w:p w:rsidR="009B2BF2" w:rsidRPr="009B2BF2" w:rsidRDefault="009B2BF2" w:rsidP="00101708">
      <w:pPr>
        <w:pStyle w:val="ListNumber"/>
      </w:pPr>
      <w:r w:rsidRPr="00904500">
        <w:t>The general duties of a service provider as set out in Chapter 4 Part 1</w:t>
      </w:r>
      <w:r w:rsidRPr="009B2BF2">
        <w:t xml:space="preserve"> of the NGL. These general requirements include:</w:t>
      </w:r>
    </w:p>
    <w:p w:rsidR="009B2BF2" w:rsidRPr="009B2BF2" w:rsidRDefault="009B2BF2" w:rsidP="00101708">
      <w:pPr>
        <w:pStyle w:val="Bulletpoint2"/>
      </w:pPr>
      <w:r w:rsidRPr="00904500">
        <w:t>being a legal entity</w:t>
      </w:r>
      <w:r w:rsidRPr="009B2BF2">
        <w:t xml:space="preserve"> of a specified kind (s.131 of the NGL)</w:t>
      </w:r>
    </w:p>
    <w:p w:rsidR="009B2BF2" w:rsidRPr="009B2BF2" w:rsidRDefault="009B2BF2" w:rsidP="00101708">
      <w:pPr>
        <w:pStyle w:val="Bulletpoint2"/>
      </w:pPr>
      <w:r>
        <w:t>if applicable, submitting a full access arrangement or revisions to a full access arrangement to the AER for approval (s.132 of the NGL)</w:t>
      </w:r>
    </w:p>
    <w:p w:rsidR="009B2BF2" w:rsidRPr="009B2BF2" w:rsidRDefault="009B2BF2" w:rsidP="00101708">
      <w:pPr>
        <w:pStyle w:val="Bulletpoint2"/>
      </w:pPr>
      <w:r w:rsidRPr="00904500">
        <w:t>not engaging in conduct that prevents or hinders access</w:t>
      </w:r>
      <w:r w:rsidRPr="009B2BF2">
        <w:t xml:space="preserve"> of services to a third party on the covered pipeline (s.133 of the NGL)</w:t>
      </w:r>
    </w:p>
    <w:p w:rsidR="009B2BF2" w:rsidRPr="009B2BF2" w:rsidRDefault="009B2BF2" w:rsidP="00101708">
      <w:pPr>
        <w:pStyle w:val="Bulletpoint2"/>
      </w:pPr>
      <w:r>
        <w:t>provide a statement of reasons if there is a difference between the terms and conditions stated on offer and the terms and conditions stated when there is a request fo</w:t>
      </w:r>
      <w:r w:rsidR="00101708">
        <w:t>r</w:t>
      </w:r>
      <w:r>
        <w:t xml:space="preserve"> the supply and haulage of gas along the covered pipeline</w:t>
      </w:r>
      <w:r w:rsidRPr="009B2BF2">
        <w:t xml:space="preserve"> (s.134 of the NGL)</w:t>
      </w:r>
      <w:r w:rsidRPr="009B2BF2">
        <w:rPr>
          <w:rStyle w:val="FootnoteReference"/>
        </w:rPr>
        <w:footnoteReference w:id="7"/>
      </w:r>
    </w:p>
    <w:p w:rsidR="009B2BF2" w:rsidRPr="009B2BF2" w:rsidRDefault="009B2BF2" w:rsidP="00101708">
      <w:pPr>
        <w:pStyle w:val="Bulletpoint2"/>
      </w:pPr>
      <w:r>
        <w:t>complying with the queuing requirements of the applicable access arrangement (s.135 of the NGL)</w:t>
      </w:r>
    </w:p>
    <w:p w:rsidR="009B2BF2" w:rsidRPr="009B2BF2" w:rsidRDefault="009B2BF2" w:rsidP="00101708">
      <w:pPr>
        <w:pStyle w:val="Bulletpoint2"/>
      </w:pPr>
      <w:r>
        <w:t>not to price discriminate when providing light regulation services</w:t>
      </w:r>
      <w:r w:rsidRPr="009B2BF2">
        <w:t xml:space="preserve"> (s.136 of the NGL). </w:t>
      </w:r>
    </w:p>
    <w:p w:rsidR="009B2BF2" w:rsidRPr="009B2BF2" w:rsidRDefault="009B2BF2" w:rsidP="00101708">
      <w:pPr>
        <w:pStyle w:val="ListNumber"/>
      </w:pPr>
      <w:r w:rsidRPr="00904500">
        <w:t xml:space="preserve">The </w:t>
      </w:r>
      <w:r w:rsidRPr="009B2BF2">
        <w:t>minimum ring fencing requirements of structural and operational separation as set out in Chapter 4 Part 2 of the NGL. The NGL:</w:t>
      </w:r>
    </w:p>
    <w:p w:rsidR="009B2BF2" w:rsidRPr="009B2BF2" w:rsidRDefault="009B2BF2" w:rsidP="00101708">
      <w:pPr>
        <w:pStyle w:val="Bulletpoint2"/>
      </w:pPr>
      <w:r>
        <w:t>prohibits the s</w:t>
      </w:r>
      <w:r w:rsidRPr="009B2BF2">
        <w:t>ervice provider from carrying on a related business (s.139 of the NGL)</w:t>
      </w:r>
    </w:p>
    <w:p w:rsidR="009B2BF2" w:rsidRPr="009B2BF2" w:rsidRDefault="009B2BF2" w:rsidP="00101708">
      <w:pPr>
        <w:pStyle w:val="Bulletpoint2"/>
      </w:pPr>
      <w:r>
        <w:t xml:space="preserve">prevents </w:t>
      </w:r>
      <w:r w:rsidRPr="009B2BF2">
        <w:t>the service provider’s marketing staff from taking part in a related business or other staff from being the marketing staff of an associate because of the sensitivity of certain information known to marketing staff about tariff and non-tariff terms and conditions of certain arrangements between service providers and users (s.140 of the NGL)</w:t>
      </w:r>
    </w:p>
    <w:p w:rsidR="009B2BF2" w:rsidRPr="009B2BF2" w:rsidRDefault="009B2BF2" w:rsidP="00101708">
      <w:pPr>
        <w:pStyle w:val="Bulletpoint2"/>
      </w:pPr>
      <w:r>
        <w:t xml:space="preserve">requires service providers to separately account for regulated parts of its business by preparing, maintaining and keeping </w:t>
      </w:r>
      <w:r w:rsidRPr="009B2BF2">
        <w:t>separate accounts for each pipeline services. Service providers also must prepare, maintain and keep a consolidated set of accounts (s.141 of the NGL)</w:t>
      </w:r>
    </w:p>
    <w:p w:rsidR="009B2BF2" w:rsidRPr="009B2BF2" w:rsidRDefault="009B2BF2" w:rsidP="00101708">
      <w:pPr>
        <w:pStyle w:val="Bulletpoint2"/>
      </w:pPr>
      <w:r>
        <w:lastRenderedPageBreak/>
        <w:t xml:space="preserve">service providers must also comply with every </w:t>
      </w:r>
      <w:r w:rsidRPr="009B2BF2">
        <w:t>additional ring fencing requirement on and from the notified compliance date in a ring fencing determination  (s. 143(6) of the NGL)</w:t>
      </w:r>
    </w:p>
    <w:p w:rsidR="009B2BF2" w:rsidRPr="009B2BF2" w:rsidRDefault="009B2BF2" w:rsidP="00101708">
      <w:pPr>
        <w:pStyle w:val="Bulletpoint2"/>
      </w:pPr>
      <w:r>
        <w:t>related businesses should not contract with each other on terms that are different to those that would be entered into with unrelated businesses</w:t>
      </w:r>
      <w:r w:rsidRPr="009B2BF2">
        <w:t xml:space="preserve"> (s.147 of the NGL)</w:t>
      </w:r>
    </w:p>
    <w:p w:rsidR="009B2BF2" w:rsidRPr="009B2BF2" w:rsidRDefault="009B2BF2" w:rsidP="00101708">
      <w:pPr>
        <w:pStyle w:val="Bulletpoint2"/>
      </w:pPr>
      <w:r>
        <w:t xml:space="preserve">associate contracts between related business should be neither anti-competitive in effect nor be on terms that are different to entities that </w:t>
      </w:r>
      <w:r w:rsidRPr="009B2BF2">
        <w:t>are unrelated (unless approved) (s.148 of the NGL).</w:t>
      </w:r>
    </w:p>
    <w:p w:rsidR="009B2BF2" w:rsidRPr="009B2BF2" w:rsidRDefault="009B2BF2" w:rsidP="00101708">
      <w:pPr>
        <w:pStyle w:val="ListNumber"/>
      </w:pPr>
      <w:r w:rsidRPr="00904500">
        <w:t xml:space="preserve">Other requirements of a service provider are set out in Parts 5 and 7 of the NGR (publishing requirements), Chapter 6 Part 5 of the NGL (compliance with access determinations) and Parts 11 and 16 of the NGR (confidentiality requirements and prohibition of bundling of services). These </w:t>
      </w:r>
      <w:r w:rsidRPr="009B2BF2">
        <w:t>include that a service provider must:</w:t>
      </w:r>
    </w:p>
    <w:p w:rsidR="009B2BF2" w:rsidRPr="009B2BF2" w:rsidRDefault="009B2BF2" w:rsidP="00101708">
      <w:pPr>
        <w:pStyle w:val="Bulletpoint2"/>
      </w:pPr>
      <w:r>
        <w:t>ensure that the applicable access arrangement is accessible on its website and includes an access arrangement for an approved competitive tender process</w:t>
      </w:r>
      <w:r w:rsidRPr="009B2BF2">
        <w:t xml:space="preserve"> (r. 107(1) and r. 27(4) of the NGR)</w:t>
      </w:r>
    </w:p>
    <w:p w:rsidR="009B2BF2" w:rsidRPr="009B2BF2" w:rsidRDefault="009B2BF2" w:rsidP="00101708">
      <w:pPr>
        <w:pStyle w:val="Bulletpoint2"/>
      </w:pPr>
      <w:r>
        <w:t>publish on its website the tariffs on offer for light regulation services and other terms and conditions of access to those services (r.</w:t>
      </w:r>
      <w:r w:rsidRPr="009B2BF2">
        <w:t xml:space="preserve"> 36 of the NGR)</w:t>
      </w:r>
    </w:p>
    <w:p w:rsidR="009B2BF2" w:rsidRPr="009B2BF2" w:rsidRDefault="009B2BF2" w:rsidP="00101708">
      <w:pPr>
        <w:pStyle w:val="Bulletpoint2"/>
      </w:pPr>
      <w:r>
        <w:t>report to the AER on access negotiations relating to light regulation services, which the AER may choose to publish from time to time (r.</w:t>
      </w:r>
      <w:r w:rsidRPr="009B2BF2">
        <w:t xml:space="preserve"> 37 of the NGR)</w:t>
      </w:r>
    </w:p>
    <w:p w:rsidR="009B2BF2" w:rsidRPr="009B2BF2" w:rsidRDefault="009B2BF2" w:rsidP="00101708">
      <w:pPr>
        <w:pStyle w:val="Bulletpoint2"/>
      </w:pPr>
      <w:r>
        <w:t xml:space="preserve">respond within a certain time and in a </w:t>
      </w:r>
      <w:r w:rsidRPr="009B2BF2">
        <w:t>specified way to an access request from a prospective user (r. 112 of the NGR)</w:t>
      </w:r>
    </w:p>
    <w:p w:rsidR="009B2BF2" w:rsidRPr="009B2BF2" w:rsidRDefault="009B2BF2" w:rsidP="00101708">
      <w:pPr>
        <w:pStyle w:val="Bulletpoint2"/>
      </w:pPr>
      <w:r>
        <w:t>comply with the prohibition against the bundling of services (r. 109 of the NGR)</w:t>
      </w:r>
    </w:p>
    <w:p w:rsidR="009B2BF2" w:rsidRPr="009B2BF2" w:rsidRDefault="009B2BF2" w:rsidP="00101708">
      <w:pPr>
        <w:pStyle w:val="Bulletpoint2"/>
      </w:pPr>
      <w:r>
        <w:t>maintain confidentiality of relevant information and take all practicable steps to protect relevant confidential information in the service provider’s possession against improper disclosure or use (r. 137 of the NGR)</w:t>
      </w:r>
    </w:p>
    <w:p w:rsidR="009B2BF2" w:rsidRPr="009B2BF2" w:rsidRDefault="009B2BF2" w:rsidP="00101708">
      <w:pPr>
        <w:pStyle w:val="Bulletpoint2"/>
      </w:pPr>
      <w:r>
        <w:t>comply with an access determination, if party to an access dispute where an access determination has been made (s.195 of the NGL)</w:t>
      </w:r>
    </w:p>
    <w:p w:rsidR="003718D2" w:rsidRDefault="003718D2" w:rsidP="00101708">
      <w:pPr>
        <w:pStyle w:val="Footer"/>
      </w:pPr>
    </w:p>
    <w:p w:rsidR="009B2BF2" w:rsidRPr="009B2BF2" w:rsidRDefault="003718D2" w:rsidP="009B2BF2">
      <w:pPr>
        <w:pStyle w:val="Heading1"/>
      </w:pPr>
      <w:bookmarkStart w:id="8" w:name="_Toc421265603"/>
      <w:r>
        <w:lastRenderedPageBreak/>
        <w:t>Re</w:t>
      </w:r>
      <w:r w:rsidR="009B2BF2">
        <w:t>view</w:t>
      </w:r>
      <w:r w:rsidR="009B2BF2" w:rsidRPr="009B2BF2">
        <w:t xml:space="preserve"> of the 2013–14 annual compliance </w:t>
      </w:r>
      <w:bookmarkEnd w:id="7"/>
      <w:r>
        <w:t>reports</w:t>
      </w:r>
      <w:bookmarkEnd w:id="8"/>
    </w:p>
    <w:p w:rsidR="009B2BF2" w:rsidRDefault="009B2BF2" w:rsidP="009B2BF2">
      <w:r>
        <w:t xml:space="preserve">We received annual compliance reports (reports) from 23 nominated service providers for 8 transmission and 11 distribution pipelines for 2013–14. (Some pipelines have more than one nominated service provider). </w:t>
      </w:r>
    </w:p>
    <w:p w:rsidR="00F51290" w:rsidRDefault="009B2BF2" w:rsidP="009B2BF2">
      <w:r w:rsidRPr="009B2BF2">
        <w:t xml:space="preserve">Our review process involved assessing each response to the Order against the relevant NGL and NGR obligations. </w:t>
      </w:r>
      <w:r>
        <w:t>We found that none of the reports raised any compliance issues</w:t>
      </w:r>
      <w:r w:rsidR="003718D2">
        <w:t xml:space="preserve"> with respect to the Order</w:t>
      </w:r>
      <w:r>
        <w:t xml:space="preserve">. </w:t>
      </w:r>
      <w:r w:rsidR="00F51290">
        <w:t xml:space="preserve">However, we noted that ActewAGL gas distribution did not submit its compliance report by </w:t>
      </w:r>
      <w:r w:rsidR="00F51290" w:rsidRPr="009B2BF2">
        <w:t xml:space="preserve">the </w:t>
      </w:r>
      <w:r w:rsidR="00F51290">
        <w:t>due</w:t>
      </w:r>
      <w:r w:rsidR="00F51290" w:rsidRPr="009B2BF2">
        <w:t xml:space="preserve"> date of 31 October 2015</w:t>
      </w:r>
      <w:r w:rsidR="00F51290">
        <w:t>.</w:t>
      </w:r>
      <w:r w:rsidR="0057689C">
        <w:t xml:space="preserve"> </w:t>
      </w:r>
    </w:p>
    <w:p w:rsidR="009B2BF2" w:rsidRDefault="009B2BF2" w:rsidP="009B2BF2">
      <w:r>
        <w:t xml:space="preserve">Copies of the service providers’ </w:t>
      </w:r>
      <w:r w:rsidR="00F51290">
        <w:t xml:space="preserve">compliance </w:t>
      </w:r>
      <w:r>
        <w:t>reports for 2013–14 are located on the AER’s website at:</w:t>
      </w:r>
    </w:p>
    <w:p w:rsidR="009B2BF2" w:rsidRPr="009B2BF2" w:rsidRDefault="0086176B" w:rsidP="009B2BF2">
      <w:pPr>
        <w:rPr>
          <w:highlight w:val="yellow"/>
        </w:rPr>
      </w:pPr>
      <w:hyperlink r:id="rId14" w:history="1">
        <w:r w:rsidR="009B2BF2" w:rsidRPr="009B2BF2">
          <w:rPr>
            <w:rStyle w:val="Hyperlink"/>
          </w:rPr>
          <w:t>http://www.aer.gov.au/node/484?date%5Bvalue%5D%5Byear%5D=&amp;sector=5&amp;category=311</w:t>
        </w:r>
      </w:hyperlink>
      <w:r w:rsidR="009B2BF2" w:rsidRPr="009B2BF2">
        <w:t xml:space="preserve"> </w:t>
      </w:r>
    </w:p>
    <w:p w:rsidR="009B2BF2" w:rsidRPr="009B2BF2" w:rsidRDefault="003718D2" w:rsidP="00101708">
      <w:pPr>
        <w:pStyle w:val="Heading1"/>
      </w:pPr>
      <w:bookmarkStart w:id="9" w:name="_Toc420658079"/>
      <w:bookmarkStart w:id="10" w:name="_Toc346194394"/>
      <w:bookmarkStart w:id="11" w:name="_Toc421265604"/>
      <w:bookmarkEnd w:id="9"/>
      <w:r>
        <w:lastRenderedPageBreak/>
        <w:t xml:space="preserve">Appendix A: </w:t>
      </w:r>
      <w:r w:rsidR="009B2BF2">
        <w:t>Service Providers and Related Entities</w:t>
      </w:r>
      <w:bookmarkEnd w:id="10"/>
      <w:bookmarkEnd w:id="11"/>
    </w:p>
    <w:p w:rsidR="009B2BF2" w:rsidRPr="009B2BF2" w:rsidRDefault="007746EB" w:rsidP="009B2BF2">
      <w:r>
        <w:t xml:space="preserve">The </w:t>
      </w:r>
      <w:r w:rsidR="0057689C">
        <w:t xml:space="preserve">covered </w:t>
      </w:r>
      <w:r>
        <w:t xml:space="preserve">pipeline owners must disclose the </w:t>
      </w:r>
      <w:r w:rsidR="009B2BF2" w:rsidRPr="001E4060">
        <w:t>service provider</w:t>
      </w:r>
      <w:r>
        <w:t xml:space="preserve">s of each regulated pipeline network and their respective related </w:t>
      </w:r>
      <w:r w:rsidR="009B2BF2" w:rsidRPr="009B2BF2">
        <w:t>Australian parents</w:t>
      </w:r>
      <w:r>
        <w:t xml:space="preserve"> businesses. This information is summarised in table 1.1</w:t>
      </w:r>
      <w:r w:rsidR="009B2BF2" w:rsidRPr="009B2BF2">
        <w:t xml:space="preserve"> </w:t>
      </w:r>
    </w:p>
    <w:p w:rsidR="009B2BF2" w:rsidRPr="00655D9F" w:rsidRDefault="009B2BF2" w:rsidP="009B2BF2">
      <w:pPr>
        <w:pStyle w:val="Caption"/>
      </w:pPr>
      <w:bookmarkStart w:id="12" w:name="_Ref317511728"/>
      <w:r>
        <w:t xml:space="preserve">Table 1.1 </w:t>
      </w:r>
      <w:r>
        <w:tab/>
      </w:r>
      <w:r w:rsidRPr="00655D9F">
        <w:t xml:space="preserve">Summary of service providers and related entities of covered transmission pipelines and distribution networks at </w:t>
      </w:r>
      <w:r w:rsidRPr="009A0E6F">
        <w:t xml:space="preserve">30 June </w:t>
      </w:r>
      <w:bookmarkEnd w:id="12"/>
      <w:r>
        <w:t>2014</w:t>
      </w:r>
    </w:p>
    <w:tbl>
      <w:tblPr>
        <w:tblStyle w:val="AERTable-Text"/>
        <w:tblW w:w="5000" w:type="pct"/>
        <w:tblLook w:val="0420" w:firstRow="1" w:lastRow="0" w:firstColumn="0" w:lastColumn="0" w:noHBand="0" w:noVBand="1"/>
      </w:tblPr>
      <w:tblGrid>
        <w:gridCol w:w="2310"/>
        <w:gridCol w:w="2310"/>
        <w:gridCol w:w="2311"/>
        <w:gridCol w:w="2311"/>
      </w:tblGrid>
      <w:tr w:rsidR="00F51290" w:rsidRPr="00195357" w:rsidTr="00DE26EC">
        <w:trPr>
          <w:cnfStyle w:val="100000000000" w:firstRow="1" w:lastRow="0" w:firstColumn="0" w:lastColumn="0" w:oddVBand="0" w:evenVBand="0" w:oddHBand="0" w:evenHBand="0" w:firstRowFirstColumn="0" w:firstRowLastColumn="0" w:lastRowFirstColumn="0" w:lastRowLastColumn="0"/>
          <w:trHeight w:val="973"/>
          <w:tblHeader/>
        </w:trPr>
        <w:tc>
          <w:tcPr>
            <w:tcW w:w="1250" w:type="pct"/>
          </w:tcPr>
          <w:p w:rsidR="00F51290" w:rsidRPr="00195357" w:rsidRDefault="00F51290" w:rsidP="00195357">
            <w:pPr>
              <w:pStyle w:val="Tabletext"/>
            </w:pPr>
            <w:r w:rsidRPr="00195357">
              <w:t>Pipeline</w:t>
            </w:r>
          </w:p>
        </w:tc>
        <w:tc>
          <w:tcPr>
            <w:tcW w:w="1250" w:type="pct"/>
          </w:tcPr>
          <w:p w:rsidR="00F51290" w:rsidRPr="00195357" w:rsidRDefault="00F51290" w:rsidP="00195357">
            <w:pPr>
              <w:pStyle w:val="Tabletext"/>
              <w:rPr>
                <w:rStyle w:val="Emphasis"/>
                <w:i w:val="0"/>
                <w:iCs w:val="0"/>
              </w:rPr>
            </w:pPr>
            <w:r w:rsidRPr="00195357">
              <w:rPr>
                <w:rStyle w:val="Emphasis"/>
                <w:i w:val="0"/>
                <w:iCs w:val="0"/>
              </w:rPr>
              <w:t>Jurisdiction</w:t>
            </w:r>
          </w:p>
        </w:tc>
        <w:tc>
          <w:tcPr>
            <w:tcW w:w="1250" w:type="pct"/>
          </w:tcPr>
          <w:p w:rsidR="00F51290" w:rsidRPr="00195357" w:rsidRDefault="00F51290" w:rsidP="00195357">
            <w:pPr>
              <w:pStyle w:val="Tabletext"/>
            </w:pPr>
            <w:r w:rsidRPr="00195357">
              <w:t>Service Provider under NGL as nominated by pipeline owner</w:t>
            </w:r>
          </w:p>
        </w:tc>
        <w:tc>
          <w:tcPr>
            <w:tcW w:w="1250" w:type="pct"/>
          </w:tcPr>
          <w:p w:rsidR="00F51290" w:rsidRPr="00195357" w:rsidRDefault="00F51290" w:rsidP="00195357">
            <w:pPr>
              <w:pStyle w:val="Tabletext"/>
            </w:pPr>
            <w:r w:rsidRPr="00195357">
              <w:t>Related Australian parent</w:t>
            </w:r>
            <w:r w:rsidR="007746EB" w:rsidRPr="00195357">
              <w:t xml:space="preserve"> business</w:t>
            </w:r>
          </w:p>
        </w:tc>
      </w:tr>
      <w:tr w:rsidR="00A51237" w:rsidRPr="004C37D9" w:rsidTr="007746EB">
        <w:trPr>
          <w:trHeight w:val="307"/>
        </w:trPr>
        <w:tc>
          <w:tcPr>
            <w:tcW w:w="5000" w:type="pct"/>
            <w:gridSpan w:val="4"/>
          </w:tcPr>
          <w:p w:rsidR="00A51237" w:rsidRPr="00DE26EC" w:rsidRDefault="00A51237" w:rsidP="00F51290">
            <w:pPr>
              <w:pStyle w:val="Tabletext"/>
              <w:rPr>
                <w:rStyle w:val="Emphasis"/>
              </w:rPr>
            </w:pPr>
            <w:r w:rsidRPr="00DE26EC">
              <w:rPr>
                <w:rStyle w:val="Emphasis"/>
              </w:rPr>
              <w:t>Transmission Pipelines</w:t>
            </w:r>
          </w:p>
        </w:tc>
      </w:tr>
      <w:tr w:rsidR="00F51290" w:rsidRPr="00C53CB2" w:rsidTr="00DE26EC">
        <w:trPr>
          <w:cnfStyle w:val="000000010000" w:firstRow="0" w:lastRow="0" w:firstColumn="0" w:lastColumn="0" w:oddVBand="0" w:evenVBand="0" w:oddHBand="0" w:evenHBand="1" w:firstRowFirstColumn="0" w:firstRowLastColumn="0" w:lastRowFirstColumn="0" w:lastRowLastColumn="0"/>
          <w:trHeight w:val="700"/>
        </w:trPr>
        <w:tc>
          <w:tcPr>
            <w:tcW w:w="1250" w:type="pct"/>
          </w:tcPr>
          <w:p w:rsidR="009B2BF2" w:rsidRPr="009B2BF2" w:rsidRDefault="009B2BF2" w:rsidP="00F51290">
            <w:pPr>
              <w:pStyle w:val="Tabletext"/>
            </w:pPr>
            <w:r w:rsidRPr="009B2BF2">
              <w:t>Moomba Sydney Pipeline</w:t>
            </w:r>
          </w:p>
        </w:tc>
        <w:tc>
          <w:tcPr>
            <w:tcW w:w="1250" w:type="pct"/>
          </w:tcPr>
          <w:p w:rsidR="009B2BF2" w:rsidRPr="00DE26EC" w:rsidRDefault="009B2BF2" w:rsidP="00F51290">
            <w:pPr>
              <w:pStyle w:val="Tabletext"/>
              <w:rPr>
                <w:rStyle w:val="Emphasis"/>
              </w:rPr>
            </w:pPr>
            <w:r w:rsidRPr="00DE26EC">
              <w:rPr>
                <w:rStyle w:val="Emphasis"/>
              </w:rPr>
              <w:t>NSW</w:t>
            </w:r>
          </w:p>
        </w:tc>
        <w:tc>
          <w:tcPr>
            <w:tcW w:w="1250" w:type="pct"/>
          </w:tcPr>
          <w:p w:rsidR="009B2BF2" w:rsidRPr="009B2BF2" w:rsidRDefault="009B2BF2" w:rsidP="00F51290">
            <w:pPr>
              <w:pStyle w:val="Tabletext"/>
            </w:pPr>
            <w:r w:rsidRPr="009B2BF2">
              <w:t>East Australian Pipeline Pty Limited</w:t>
            </w:r>
          </w:p>
        </w:tc>
        <w:tc>
          <w:tcPr>
            <w:tcW w:w="1250" w:type="pct"/>
          </w:tcPr>
          <w:p w:rsidR="009B2BF2" w:rsidRPr="009B2BF2" w:rsidRDefault="009B2BF2" w:rsidP="00F51290">
            <w:pPr>
              <w:pStyle w:val="Tabletext"/>
            </w:pPr>
            <w:r w:rsidRPr="009B2BF2">
              <w:t>APA Group</w:t>
            </w:r>
          </w:p>
        </w:tc>
      </w:tr>
      <w:tr w:rsidR="009B2BF2" w:rsidRPr="00C53CB2" w:rsidTr="00DE26EC">
        <w:trPr>
          <w:trHeight w:val="700"/>
        </w:trPr>
        <w:tc>
          <w:tcPr>
            <w:tcW w:w="1250" w:type="pct"/>
          </w:tcPr>
          <w:p w:rsidR="009B2BF2" w:rsidRPr="009B2BF2" w:rsidRDefault="009B2BF2" w:rsidP="00F51290">
            <w:pPr>
              <w:pStyle w:val="Tabletext"/>
            </w:pPr>
            <w:r w:rsidRPr="009B2BF2">
              <w:t>Central West Pipeline (Marsden to Dubbo)</w:t>
            </w:r>
          </w:p>
        </w:tc>
        <w:tc>
          <w:tcPr>
            <w:tcW w:w="1250" w:type="pct"/>
          </w:tcPr>
          <w:p w:rsidR="009B2BF2" w:rsidRPr="00DE26EC" w:rsidRDefault="009B2BF2" w:rsidP="00F51290">
            <w:pPr>
              <w:pStyle w:val="Tabletext"/>
              <w:rPr>
                <w:rStyle w:val="Emphasis"/>
              </w:rPr>
            </w:pPr>
            <w:r w:rsidRPr="00DE26EC">
              <w:rPr>
                <w:rStyle w:val="Emphasis"/>
              </w:rPr>
              <w:t>NSW</w:t>
            </w:r>
          </w:p>
        </w:tc>
        <w:tc>
          <w:tcPr>
            <w:tcW w:w="1250" w:type="pct"/>
          </w:tcPr>
          <w:p w:rsidR="009B2BF2" w:rsidRPr="009B2BF2" w:rsidRDefault="009B2BF2" w:rsidP="00F51290">
            <w:pPr>
              <w:pStyle w:val="Tabletext"/>
            </w:pPr>
            <w:r w:rsidRPr="009B2BF2">
              <w:t>APT Pipelines (NSW) Pty Ltd</w:t>
            </w:r>
          </w:p>
        </w:tc>
        <w:tc>
          <w:tcPr>
            <w:tcW w:w="1250" w:type="pct"/>
          </w:tcPr>
          <w:p w:rsidR="009B2BF2" w:rsidRPr="009B2BF2" w:rsidRDefault="009B2BF2" w:rsidP="00F51290">
            <w:pPr>
              <w:pStyle w:val="Tabletext"/>
            </w:pPr>
            <w:r w:rsidRPr="009B2BF2">
              <w:t>APA Group</w:t>
            </w:r>
          </w:p>
        </w:tc>
      </w:tr>
      <w:tr w:rsidR="00F51290" w:rsidRPr="00C53CB2" w:rsidTr="00DE26EC">
        <w:trPr>
          <w:cnfStyle w:val="000000010000" w:firstRow="0" w:lastRow="0" w:firstColumn="0" w:lastColumn="0" w:oddVBand="0" w:evenVBand="0" w:oddHBand="0" w:evenHBand="1" w:firstRowFirstColumn="0" w:firstRowLastColumn="0" w:lastRowFirstColumn="0" w:lastRowLastColumn="0"/>
          <w:trHeight w:val="460"/>
        </w:trPr>
        <w:tc>
          <w:tcPr>
            <w:tcW w:w="1250" w:type="pct"/>
          </w:tcPr>
          <w:p w:rsidR="009B2BF2" w:rsidRPr="009B2BF2" w:rsidRDefault="009B2BF2" w:rsidP="00F51290">
            <w:pPr>
              <w:pStyle w:val="Tabletext"/>
            </w:pPr>
            <w:r w:rsidRPr="009B2BF2">
              <w:t>Central Ranges Pipeline</w:t>
            </w:r>
          </w:p>
        </w:tc>
        <w:tc>
          <w:tcPr>
            <w:tcW w:w="1250" w:type="pct"/>
          </w:tcPr>
          <w:p w:rsidR="009B2BF2" w:rsidRPr="00DE26EC" w:rsidRDefault="009B2BF2" w:rsidP="00F51290">
            <w:pPr>
              <w:pStyle w:val="Tabletext"/>
              <w:rPr>
                <w:rStyle w:val="Emphasis"/>
              </w:rPr>
            </w:pPr>
            <w:r w:rsidRPr="00DE26EC">
              <w:rPr>
                <w:rStyle w:val="Emphasis"/>
              </w:rPr>
              <w:t>NSW</w:t>
            </w:r>
          </w:p>
        </w:tc>
        <w:tc>
          <w:tcPr>
            <w:tcW w:w="1250" w:type="pct"/>
          </w:tcPr>
          <w:p w:rsidR="009B2BF2" w:rsidRPr="009B2BF2" w:rsidRDefault="009B2BF2" w:rsidP="00F51290">
            <w:pPr>
              <w:pStyle w:val="Tabletext"/>
            </w:pPr>
            <w:r w:rsidRPr="009B2BF2">
              <w:t xml:space="preserve">Central Ranges Pipeline Pty Ltd </w:t>
            </w:r>
          </w:p>
        </w:tc>
        <w:tc>
          <w:tcPr>
            <w:tcW w:w="1250" w:type="pct"/>
          </w:tcPr>
          <w:p w:rsidR="009B2BF2" w:rsidRPr="009B2BF2" w:rsidRDefault="009B2BF2" w:rsidP="00F51290">
            <w:pPr>
              <w:pStyle w:val="Tabletext"/>
            </w:pPr>
            <w:r w:rsidRPr="009B2BF2">
              <w:t>APA Group</w:t>
            </w:r>
          </w:p>
        </w:tc>
      </w:tr>
      <w:tr w:rsidR="009B2BF2" w:rsidRPr="00C53CB2" w:rsidTr="00DE26EC">
        <w:trPr>
          <w:trHeight w:val="618"/>
        </w:trPr>
        <w:tc>
          <w:tcPr>
            <w:tcW w:w="1250" w:type="pct"/>
          </w:tcPr>
          <w:p w:rsidR="009B2BF2" w:rsidRPr="009B2BF2" w:rsidRDefault="009B2BF2" w:rsidP="00F51290">
            <w:pPr>
              <w:pStyle w:val="Tabletext"/>
            </w:pPr>
            <w:r w:rsidRPr="009B2BF2">
              <w:t>Victorian Principal Transmission System</w:t>
            </w:r>
          </w:p>
        </w:tc>
        <w:tc>
          <w:tcPr>
            <w:tcW w:w="1250" w:type="pct"/>
          </w:tcPr>
          <w:p w:rsidR="009B2BF2" w:rsidRPr="00DE26EC" w:rsidRDefault="009B2BF2" w:rsidP="00F51290">
            <w:pPr>
              <w:pStyle w:val="Tabletext"/>
              <w:rPr>
                <w:rStyle w:val="Emphasis"/>
              </w:rPr>
            </w:pPr>
            <w:r w:rsidRPr="00DE26EC">
              <w:rPr>
                <w:rStyle w:val="Emphasis"/>
              </w:rPr>
              <w:t>VIC</w:t>
            </w:r>
          </w:p>
        </w:tc>
        <w:tc>
          <w:tcPr>
            <w:tcW w:w="1250" w:type="pct"/>
          </w:tcPr>
          <w:p w:rsidR="009B2BF2" w:rsidRPr="009B2BF2" w:rsidRDefault="009B2BF2" w:rsidP="00F51290">
            <w:pPr>
              <w:pStyle w:val="Tabletext"/>
            </w:pPr>
            <w:r w:rsidRPr="009B2BF2">
              <w:t>APA GasNet Australia (Operations) Pty Limited</w:t>
            </w:r>
          </w:p>
        </w:tc>
        <w:tc>
          <w:tcPr>
            <w:tcW w:w="1250" w:type="pct"/>
          </w:tcPr>
          <w:p w:rsidR="009B2BF2" w:rsidRPr="009B2BF2" w:rsidRDefault="009B2BF2" w:rsidP="00F51290">
            <w:pPr>
              <w:pStyle w:val="Tabletext"/>
            </w:pPr>
            <w:r w:rsidRPr="009B2BF2">
              <w:t>APA Group</w:t>
            </w:r>
          </w:p>
        </w:tc>
      </w:tr>
      <w:tr w:rsidR="00F51290" w:rsidRPr="00C53CB2" w:rsidTr="00DE26EC">
        <w:trPr>
          <w:cnfStyle w:val="000000010000" w:firstRow="0" w:lastRow="0" w:firstColumn="0" w:lastColumn="0" w:oddVBand="0" w:evenVBand="0" w:oddHBand="0" w:evenHBand="1" w:firstRowFirstColumn="0" w:firstRowLastColumn="0" w:lastRowFirstColumn="0" w:lastRowLastColumn="0"/>
          <w:trHeight w:val="748"/>
        </w:trPr>
        <w:tc>
          <w:tcPr>
            <w:tcW w:w="1250" w:type="pct"/>
          </w:tcPr>
          <w:p w:rsidR="009B2BF2" w:rsidRPr="009B2BF2" w:rsidRDefault="009B2BF2" w:rsidP="00F51290">
            <w:pPr>
              <w:pStyle w:val="Tabletext"/>
            </w:pPr>
            <w:r w:rsidRPr="009B2BF2">
              <w:t>Roma Brisbane Pipeline</w:t>
            </w:r>
          </w:p>
        </w:tc>
        <w:tc>
          <w:tcPr>
            <w:tcW w:w="1250" w:type="pct"/>
          </w:tcPr>
          <w:p w:rsidR="009B2BF2" w:rsidRPr="00DE26EC" w:rsidRDefault="009B2BF2" w:rsidP="00F51290">
            <w:pPr>
              <w:pStyle w:val="Tabletext"/>
              <w:rPr>
                <w:rStyle w:val="Emphasis"/>
              </w:rPr>
            </w:pPr>
            <w:r w:rsidRPr="00DE26EC">
              <w:rPr>
                <w:rStyle w:val="Emphasis"/>
              </w:rPr>
              <w:t>QLD</w:t>
            </w:r>
          </w:p>
        </w:tc>
        <w:tc>
          <w:tcPr>
            <w:tcW w:w="1250" w:type="pct"/>
          </w:tcPr>
          <w:p w:rsidR="009B2BF2" w:rsidRPr="009B2BF2" w:rsidRDefault="009B2BF2" w:rsidP="00F51290">
            <w:pPr>
              <w:pStyle w:val="Tabletext"/>
            </w:pPr>
            <w:r w:rsidRPr="009B2BF2">
              <w:t>APT Petroleum Pipelines Pty Limited</w:t>
            </w:r>
          </w:p>
        </w:tc>
        <w:tc>
          <w:tcPr>
            <w:tcW w:w="1250" w:type="pct"/>
          </w:tcPr>
          <w:p w:rsidR="009B2BF2" w:rsidRPr="009B2BF2" w:rsidRDefault="009B2BF2" w:rsidP="00F51290">
            <w:pPr>
              <w:pStyle w:val="Tabletext"/>
            </w:pPr>
            <w:r w:rsidRPr="009B2BF2">
              <w:t>APA Group</w:t>
            </w:r>
          </w:p>
        </w:tc>
      </w:tr>
      <w:tr w:rsidR="009B2BF2" w:rsidRPr="00C53CB2" w:rsidTr="00DE26EC">
        <w:trPr>
          <w:trHeight w:val="915"/>
        </w:trPr>
        <w:tc>
          <w:tcPr>
            <w:tcW w:w="1250" w:type="pct"/>
          </w:tcPr>
          <w:p w:rsidR="009B2BF2" w:rsidRPr="009B2BF2" w:rsidRDefault="009B2BF2" w:rsidP="00F51290">
            <w:pPr>
              <w:pStyle w:val="Tabletext"/>
            </w:pPr>
            <w:r w:rsidRPr="009B2BF2">
              <w:t>Carpentaria Gas Pipeline</w:t>
            </w:r>
          </w:p>
        </w:tc>
        <w:tc>
          <w:tcPr>
            <w:tcW w:w="1250" w:type="pct"/>
          </w:tcPr>
          <w:p w:rsidR="009B2BF2" w:rsidRPr="00DE26EC" w:rsidRDefault="009B2BF2" w:rsidP="00F51290">
            <w:pPr>
              <w:pStyle w:val="Tabletext"/>
              <w:rPr>
                <w:rStyle w:val="Emphasis"/>
              </w:rPr>
            </w:pPr>
            <w:r w:rsidRPr="00DE26EC">
              <w:rPr>
                <w:rStyle w:val="Emphasis"/>
              </w:rPr>
              <w:t>QLD</w:t>
            </w:r>
          </w:p>
        </w:tc>
        <w:tc>
          <w:tcPr>
            <w:tcW w:w="1250" w:type="pct"/>
          </w:tcPr>
          <w:p w:rsidR="00A51237" w:rsidRPr="009B2BF2" w:rsidRDefault="009B2BF2" w:rsidP="00415E80">
            <w:pPr>
              <w:pStyle w:val="Tabletext"/>
            </w:pPr>
            <w:r w:rsidRPr="009B2BF2">
              <w:t>CGP Joint Venture comprised of APT Pipelines (Qld) Pty Ltd (30%) and Roverton Pty Ltd (70%)</w:t>
            </w:r>
          </w:p>
        </w:tc>
        <w:tc>
          <w:tcPr>
            <w:tcW w:w="1250" w:type="pct"/>
          </w:tcPr>
          <w:p w:rsidR="009B2BF2" w:rsidRPr="009B2BF2" w:rsidRDefault="009B2BF2" w:rsidP="00F51290">
            <w:pPr>
              <w:pStyle w:val="Tabletext"/>
            </w:pPr>
            <w:r w:rsidRPr="009B2BF2">
              <w:t>APA Group</w:t>
            </w:r>
          </w:p>
        </w:tc>
      </w:tr>
      <w:tr w:rsidR="00F51290" w:rsidRPr="00C53CB2" w:rsidTr="00DE26EC">
        <w:trPr>
          <w:cnfStyle w:val="000000010000" w:firstRow="0" w:lastRow="0" w:firstColumn="0" w:lastColumn="0" w:oddVBand="0" w:evenVBand="0" w:oddHBand="0" w:evenHBand="1" w:firstRowFirstColumn="0" w:firstRowLastColumn="0" w:lastRowFirstColumn="0" w:lastRowLastColumn="0"/>
          <w:trHeight w:val="301"/>
        </w:trPr>
        <w:tc>
          <w:tcPr>
            <w:tcW w:w="1250" w:type="pct"/>
          </w:tcPr>
          <w:p w:rsidR="009B2BF2" w:rsidRPr="009B2BF2" w:rsidRDefault="009B2BF2" w:rsidP="00F51290">
            <w:pPr>
              <w:pStyle w:val="Tabletext"/>
            </w:pPr>
            <w:r w:rsidRPr="009B2BF2">
              <w:t>Dawson Valley Pipeline</w:t>
            </w:r>
          </w:p>
        </w:tc>
        <w:tc>
          <w:tcPr>
            <w:tcW w:w="1250" w:type="pct"/>
          </w:tcPr>
          <w:p w:rsidR="009B2BF2" w:rsidRPr="00DE26EC" w:rsidRDefault="009B2BF2" w:rsidP="00F51290">
            <w:pPr>
              <w:pStyle w:val="Tabletext"/>
              <w:rPr>
                <w:rStyle w:val="Emphasis"/>
              </w:rPr>
            </w:pPr>
            <w:r w:rsidRPr="00DE26EC">
              <w:rPr>
                <w:rStyle w:val="Emphasis"/>
              </w:rPr>
              <w:t>QLD</w:t>
            </w:r>
          </w:p>
        </w:tc>
        <w:tc>
          <w:tcPr>
            <w:tcW w:w="1250" w:type="pct"/>
          </w:tcPr>
          <w:p w:rsidR="009B2BF2" w:rsidRPr="009B2BF2" w:rsidRDefault="009B2BF2" w:rsidP="00F51290">
            <w:pPr>
              <w:pStyle w:val="Tabletext"/>
            </w:pPr>
            <w:r w:rsidRPr="009B2BF2">
              <w:t>The Meridian SeamGas Joint Venture comprised of Westside CSG A Pty Ltd and WestSide CSG D Pty Ltd (51%) and Mitsui E&amp;P Australia Pty Ltd (49%).</w:t>
            </w:r>
          </w:p>
        </w:tc>
        <w:tc>
          <w:tcPr>
            <w:tcW w:w="1250" w:type="pct"/>
          </w:tcPr>
          <w:p w:rsidR="009B2BF2" w:rsidRPr="009B2BF2" w:rsidRDefault="009B2BF2" w:rsidP="00F51290">
            <w:pPr>
              <w:pStyle w:val="Tabletext"/>
            </w:pPr>
            <w:r w:rsidRPr="009B2BF2">
              <w:t>WestSide Corporation Limited (51%) and Mitsui &amp; Co., Ltd (49%)</w:t>
            </w:r>
          </w:p>
        </w:tc>
      </w:tr>
      <w:tr w:rsidR="009B2BF2" w:rsidRPr="00C53CB2" w:rsidTr="00DE26EC">
        <w:trPr>
          <w:trHeight w:val="454"/>
        </w:trPr>
        <w:tc>
          <w:tcPr>
            <w:tcW w:w="1250" w:type="pct"/>
            <w:tcBorders>
              <w:bottom w:val="single" w:sz="4" w:space="0" w:color="auto"/>
            </w:tcBorders>
          </w:tcPr>
          <w:p w:rsidR="009B2BF2" w:rsidRPr="009B2BF2" w:rsidRDefault="009B2BF2" w:rsidP="00F51290">
            <w:pPr>
              <w:pStyle w:val="Tabletext"/>
            </w:pPr>
            <w:r w:rsidRPr="009B2BF2">
              <w:t>Amadeus Gas Pipeline</w:t>
            </w:r>
          </w:p>
        </w:tc>
        <w:tc>
          <w:tcPr>
            <w:tcW w:w="1250" w:type="pct"/>
            <w:tcBorders>
              <w:bottom w:val="single" w:sz="4" w:space="0" w:color="auto"/>
            </w:tcBorders>
          </w:tcPr>
          <w:p w:rsidR="009B2BF2" w:rsidRPr="00DE26EC" w:rsidRDefault="009B2BF2" w:rsidP="00F51290">
            <w:pPr>
              <w:pStyle w:val="Tabletext"/>
              <w:rPr>
                <w:rStyle w:val="Emphasis"/>
              </w:rPr>
            </w:pPr>
            <w:r w:rsidRPr="00DE26EC">
              <w:rPr>
                <w:rStyle w:val="Emphasis"/>
              </w:rPr>
              <w:t>NT</w:t>
            </w:r>
          </w:p>
        </w:tc>
        <w:tc>
          <w:tcPr>
            <w:tcW w:w="1250" w:type="pct"/>
            <w:tcBorders>
              <w:bottom w:val="single" w:sz="4" w:space="0" w:color="auto"/>
            </w:tcBorders>
          </w:tcPr>
          <w:p w:rsidR="009B2BF2" w:rsidRPr="009B2BF2" w:rsidRDefault="009B2BF2" w:rsidP="00F51290">
            <w:pPr>
              <w:pStyle w:val="Tabletext"/>
            </w:pPr>
            <w:r w:rsidRPr="009B2BF2">
              <w:t xml:space="preserve">APT Pipeline (NT) Pty Limited </w:t>
            </w:r>
          </w:p>
          <w:p w:rsidR="009B2BF2" w:rsidRPr="009B2BF2" w:rsidRDefault="009B2BF2" w:rsidP="00F51290">
            <w:pPr>
              <w:pStyle w:val="Tabletext"/>
            </w:pPr>
          </w:p>
        </w:tc>
        <w:tc>
          <w:tcPr>
            <w:tcW w:w="1250" w:type="pct"/>
            <w:tcBorders>
              <w:bottom w:val="single" w:sz="4" w:space="0" w:color="auto"/>
            </w:tcBorders>
          </w:tcPr>
          <w:p w:rsidR="009B2BF2" w:rsidRPr="009B2BF2" w:rsidRDefault="009B2BF2" w:rsidP="00F51290">
            <w:pPr>
              <w:pStyle w:val="Tabletext"/>
            </w:pPr>
            <w:r w:rsidRPr="009B2BF2">
              <w:t>APA Group</w:t>
            </w:r>
          </w:p>
        </w:tc>
      </w:tr>
      <w:tr w:rsidR="00A51237" w:rsidRPr="00C53CB2" w:rsidTr="007746EB">
        <w:trPr>
          <w:cnfStyle w:val="000000010000" w:firstRow="0" w:lastRow="0" w:firstColumn="0" w:lastColumn="0" w:oddVBand="0" w:evenVBand="0" w:oddHBand="0" w:evenHBand="1" w:firstRowFirstColumn="0" w:firstRowLastColumn="0" w:lastRowFirstColumn="0" w:lastRowLastColumn="0"/>
          <w:trHeight w:val="508"/>
        </w:trPr>
        <w:tc>
          <w:tcPr>
            <w:tcW w:w="5000" w:type="pct"/>
            <w:gridSpan w:val="4"/>
          </w:tcPr>
          <w:p w:rsidR="00A51237" w:rsidRPr="00DE26EC" w:rsidRDefault="00A51237" w:rsidP="00F51290">
            <w:pPr>
              <w:pStyle w:val="Tabletext"/>
              <w:rPr>
                <w:rStyle w:val="Emphasis"/>
              </w:rPr>
            </w:pPr>
            <w:r w:rsidRPr="00DE26EC">
              <w:rPr>
                <w:rStyle w:val="Emphasis"/>
              </w:rPr>
              <w:lastRenderedPageBreak/>
              <w:t>Distribution pipelines</w:t>
            </w:r>
          </w:p>
        </w:tc>
      </w:tr>
      <w:tr w:rsidR="009B2BF2" w:rsidRPr="00C53CB2" w:rsidTr="00DE26EC">
        <w:trPr>
          <w:trHeight w:val="700"/>
        </w:trPr>
        <w:tc>
          <w:tcPr>
            <w:tcW w:w="1250" w:type="pct"/>
          </w:tcPr>
          <w:p w:rsidR="009B2BF2" w:rsidRPr="009B2BF2" w:rsidRDefault="009B2BF2" w:rsidP="00F51290">
            <w:pPr>
              <w:pStyle w:val="Tabletext"/>
            </w:pPr>
            <w:r w:rsidRPr="009B2BF2">
              <w:t xml:space="preserve">Jemena NSW Gas Networks </w:t>
            </w:r>
          </w:p>
        </w:tc>
        <w:tc>
          <w:tcPr>
            <w:tcW w:w="1250" w:type="pct"/>
          </w:tcPr>
          <w:p w:rsidR="009B2BF2" w:rsidRPr="00DE26EC" w:rsidRDefault="009B2BF2" w:rsidP="00F51290">
            <w:pPr>
              <w:pStyle w:val="Tabletext"/>
              <w:rPr>
                <w:rStyle w:val="Emphasis"/>
              </w:rPr>
            </w:pPr>
            <w:r w:rsidRPr="00DE26EC">
              <w:rPr>
                <w:rStyle w:val="Emphasis"/>
              </w:rPr>
              <w:t>NSW</w:t>
            </w:r>
          </w:p>
        </w:tc>
        <w:tc>
          <w:tcPr>
            <w:tcW w:w="1250" w:type="pct"/>
          </w:tcPr>
          <w:p w:rsidR="009B2BF2" w:rsidRPr="009B2BF2" w:rsidRDefault="009B2BF2" w:rsidP="00F51290">
            <w:pPr>
              <w:pStyle w:val="Tabletext"/>
            </w:pPr>
            <w:r w:rsidRPr="009B2BF2">
              <w:t xml:space="preserve">Jemena Gas Networks (NSW) Ltd </w:t>
            </w:r>
          </w:p>
        </w:tc>
        <w:tc>
          <w:tcPr>
            <w:tcW w:w="1250" w:type="pct"/>
          </w:tcPr>
          <w:p w:rsidR="009B2BF2" w:rsidRPr="009B2BF2" w:rsidRDefault="009B2BF2" w:rsidP="00F51290">
            <w:pPr>
              <w:pStyle w:val="Tabletext"/>
            </w:pPr>
            <w:r w:rsidRPr="009B2BF2">
              <w:t>State Grid International Development Australia Investment Company Limited (60%) and Singapore Power International (40%)</w:t>
            </w:r>
          </w:p>
        </w:tc>
      </w:tr>
      <w:tr w:rsidR="00F51290" w:rsidRPr="00C53CB2" w:rsidTr="00DE26EC">
        <w:trPr>
          <w:cnfStyle w:val="000000010000" w:firstRow="0" w:lastRow="0" w:firstColumn="0" w:lastColumn="0" w:oddVBand="0" w:evenVBand="0" w:oddHBand="0" w:evenHBand="1" w:firstRowFirstColumn="0" w:firstRowLastColumn="0" w:lastRowFirstColumn="0" w:lastRowLastColumn="0"/>
          <w:trHeight w:val="508"/>
        </w:trPr>
        <w:tc>
          <w:tcPr>
            <w:tcW w:w="1250" w:type="pct"/>
          </w:tcPr>
          <w:p w:rsidR="009B2BF2" w:rsidRPr="009B2BF2" w:rsidRDefault="009B2BF2" w:rsidP="00F51290">
            <w:pPr>
              <w:pStyle w:val="Tabletext"/>
            </w:pPr>
            <w:r w:rsidRPr="009B2BF2">
              <w:t>Wagga Wagga Gas Distribution System</w:t>
            </w:r>
          </w:p>
        </w:tc>
        <w:tc>
          <w:tcPr>
            <w:tcW w:w="1250" w:type="pct"/>
          </w:tcPr>
          <w:p w:rsidR="009B2BF2" w:rsidRPr="00DE26EC" w:rsidRDefault="009B2BF2" w:rsidP="00F51290">
            <w:pPr>
              <w:pStyle w:val="Tabletext"/>
              <w:rPr>
                <w:rStyle w:val="Emphasis"/>
              </w:rPr>
            </w:pPr>
            <w:r w:rsidRPr="00DE26EC">
              <w:rPr>
                <w:rStyle w:val="Emphasis"/>
              </w:rPr>
              <w:t>NSW</w:t>
            </w:r>
          </w:p>
        </w:tc>
        <w:tc>
          <w:tcPr>
            <w:tcW w:w="1250" w:type="pct"/>
          </w:tcPr>
          <w:p w:rsidR="009B2BF2" w:rsidRPr="009B2BF2" w:rsidRDefault="009B2BF2" w:rsidP="00F51290">
            <w:pPr>
              <w:pStyle w:val="Tabletext"/>
            </w:pPr>
            <w:r w:rsidRPr="009B2BF2">
              <w:t>Envestra (NSW) Pty Ltd</w:t>
            </w:r>
          </w:p>
        </w:tc>
        <w:tc>
          <w:tcPr>
            <w:tcW w:w="1250" w:type="pct"/>
          </w:tcPr>
          <w:p w:rsidR="009B2BF2" w:rsidRPr="009B2BF2" w:rsidRDefault="009B2BF2" w:rsidP="00F51290">
            <w:pPr>
              <w:pStyle w:val="Tabletext"/>
            </w:pPr>
            <w:r w:rsidRPr="009B2BF2">
              <w:t>Envestra Limited</w:t>
            </w:r>
            <w:r w:rsidRPr="009B2BF2">
              <w:rPr>
                <w:rStyle w:val="FootnoteReference"/>
              </w:rPr>
              <w:footnoteReference w:id="8"/>
            </w:r>
          </w:p>
        </w:tc>
      </w:tr>
      <w:tr w:rsidR="009B2BF2" w:rsidRPr="00C53CB2" w:rsidTr="00DE26EC">
        <w:trPr>
          <w:trHeight w:val="580"/>
        </w:trPr>
        <w:tc>
          <w:tcPr>
            <w:tcW w:w="1250" w:type="pct"/>
          </w:tcPr>
          <w:p w:rsidR="009B2BF2" w:rsidRPr="009B2BF2" w:rsidRDefault="009B2BF2" w:rsidP="00F51290">
            <w:pPr>
              <w:pStyle w:val="Tabletext"/>
            </w:pPr>
            <w:r w:rsidRPr="009B2BF2">
              <w:t xml:space="preserve">Central Ranges Network </w:t>
            </w:r>
          </w:p>
        </w:tc>
        <w:tc>
          <w:tcPr>
            <w:tcW w:w="1250" w:type="pct"/>
          </w:tcPr>
          <w:p w:rsidR="009B2BF2" w:rsidRPr="00DE26EC" w:rsidRDefault="009B2BF2" w:rsidP="00F51290">
            <w:pPr>
              <w:pStyle w:val="Tabletext"/>
              <w:rPr>
                <w:rStyle w:val="Emphasis"/>
              </w:rPr>
            </w:pPr>
            <w:r w:rsidRPr="00DE26EC">
              <w:rPr>
                <w:rStyle w:val="Emphasis"/>
              </w:rPr>
              <w:t>NSW</w:t>
            </w:r>
          </w:p>
        </w:tc>
        <w:tc>
          <w:tcPr>
            <w:tcW w:w="1250" w:type="pct"/>
          </w:tcPr>
          <w:p w:rsidR="009B2BF2" w:rsidRPr="009B2BF2" w:rsidRDefault="009B2BF2" w:rsidP="00F51290">
            <w:pPr>
              <w:pStyle w:val="Tabletext"/>
            </w:pPr>
            <w:r w:rsidRPr="009B2BF2">
              <w:t>Central Ranges Pipeline Pty Ltd</w:t>
            </w:r>
          </w:p>
        </w:tc>
        <w:tc>
          <w:tcPr>
            <w:tcW w:w="1250" w:type="pct"/>
          </w:tcPr>
          <w:p w:rsidR="009B2BF2" w:rsidRPr="009B2BF2" w:rsidRDefault="009B2BF2" w:rsidP="00F51290">
            <w:pPr>
              <w:pStyle w:val="Tabletext"/>
            </w:pPr>
            <w:r w:rsidRPr="009B2BF2">
              <w:t>APA Group</w:t>
            </w:r>
          </w:p>
        </w:tc>
      </w:tr>
      <w:tr w:rsidR="00F51290" w:rsidRPr="00C53CB2" w:rsidTr="00DE26EC">
        <w:trPr>
          <w:cnfStyle w:val="000000010000" w:firstRow="0" w:lastRow="0" w:firstColumn="0" w:lastColumn="0" w:oddVBand="0" w:evenVBand="0" w:oddHBand="0" w:evenHBand="1" w:firstRowFirstColumn="0" w:firstRowLastColumn="0" w:lastRowFirstColumn="0" w:lastRowLastColumn="0"/>
          <w:trHeight w:val="960"/>
        </w:trPr>
        <w:tc>
          <w:tcPr>
            <w:tcW w:w="1250" w:type="pct"/>
          </w:tcPr>
          <w:p w:rsidR="009B2BF2" w:rsidRPr="009B2BF2" w:rsidRDefault="009B2BF2" w:rsidP="00F51290">
            <w:pPr>
              <w:pStyle w:val="Tabletext"/>
            </w:pPr>
            <w:r w:rsidRPr="009B2BF2">
              <w:t xml:space="preserve">ActewAGL Gas Distribution System </w:t>
            </w:r>
          </w:p>
        </w:tc>
        <w:tc>
          <w:tcPr>
            <w:tcW w:w="1250" w:type="pct"/>
          </w:tcPr>
          <w:p w:rsidR="009B2BF2" w:rsidRPr="00DE26EC" w:rsidRDefault="009B2BF2" w:rsidP="00F51290">
            <w:pPr>
              <w:pStyle w:val="Tabletext"/>
              <w:rPr>
                <w:rStyle w:val="Emphasis"/>
              </w:rPr>
            </w:pPr>
            <w:r w:rsidRPr="00DE26EC">
              <w:rPr>
                <w:rStyle w:val="Emphasis"/>
              </w:rPr>
              <w:t>ACT/NSW</w:t>
            </w:r>
          </w:p>
        </w:tc>
        <w:tc>
          <w:tcPr>
            <w:tcW w:w="1250" w:type="pct"/>
          </w:tcPr>
          <w:p w:rsidR="009B2BF2" w:rsidRPr="009B2BF2" w:rsidRDefault="009B2BF2" w:rsidP="00F51290">
            <w:pPr>
              <w:pStyle w:val="Tabletext"/>
            </w:pPr>
            <w:r w:rsidRPr="009B2BF2">
              <w:t>ActewAGL Distribution partnership which is made up of ACTEW Distribution Limited and Jemena Networks (ACT) Pty Ltd. Each with an equal share in the partnership.</w:t>
            </w:r>
          </w:p>
        </w:tc>
        <w:tc>
          <w:tcPr>
            <w:tcW w:w="1250" w:type="pct"/>
          </w:tcPr>
          <w:p w:rsidR="009B2BF2" w:rsidRPr="009B2BF2" w:rsidRDefault="009B2BF2" w:rsidP="00F51290">
            <w:pPr>
              <w:pStyle w:val="Tabletext"/>
            </w:pPr>
            <w:r w:rsidRPr="009B2BF2">
              <w:t>ActewAGL Distribution partnership</w:t>
            </w:r>
          </w:p>
        </w:tc>
      </w:tr>
      <w:tr w:rsidR="009B2BF2" w:rsidRPr="00C53CB2" w:rsidTr="00DE26EC">
        <w:trPr>
          <w:trHeight w:val="652"/>
        </w:trPr>
        <w:tc>
          <w:tcPr>
            <w:tcW w:w="1250" w:type="pct"/>
          </w:tcPr>
          <w:p w:rsidR="009B2BF2" w:rsidRPr="009B2BF2" w:rsidRDefault="009B2BF2" w:rsidP="00F51290">
            <w:pPr>
              <w:pStyle w:val="Tabletext"/>
            </w:pPr>
            <w:r w:rsidRPr="009B2BF2">
              <w:t>Envestra Victorian Distribution System</w:t>
            </w:r>
          </w:p>
        </w:tc>
        <w:tc>
          <w:tcPr>
            <w:tcW w:w="1250" w:type="pct"/>
          </w:tcPr>
          <w:p w:rsidR="009B2BF2" w:rsidRPr="00DE26EC" w:rsidRDefault="009B2BF2" w:rsidP="00F51290">
            <w:pPr>
              <w:pStyle w:val="Tabletext"/>
              <w:rPr>
                <w:rStyle w:val="Emphasis"/>
              </w:rPr>
            </w:pPr>
            <w:r w:rsidRPr="00DE26EC">
              <w:rPr>
                <w:rStyle w:val="Emphasis"/>
              </w:rPr>
              <w:t>VIC</w:t>
            </w:r>
          </w:p>
        </w:tc>
        <w:tc>
          <w:tcPr>
            <w:tcW w:w="1250" w:type="pct"/>
          </w:tcPr>
          <w:p w:rsidR="009B2BF2" w:rsidRPr="009B2BF2" w:rsidRDefault="009B2BF2" w:rsidP="00F51290">
            <w:pPr>
              <w:pStyle w:val="Tabletext"/>
            </w:pPr>
            <w:r w:rsidRPr="009B2BF2">
              <w:t>Vic Gas Distribution Pty Ltd</w:t>
            </w:r>
          </w:p>
        </w:tc>
        <w:tc>
          <w:tcPr>
            <w:tcW w:w="1250" w:type="pct"/>
          </w:tcPr>
          <w:p w:rsidR="009B2BF2" w:rsidRPr="009B2BF2" w:rsidRDefault="009B2BF2" w:rsidP="00F51290">
            <w:pPr>
              <w:pStyle w:val="Tabletext"/>
            </w:pPr>
            <w:r w:rsidRPr="009B2BF2">
              <w:t>Envestra Limited</w:t>
            </w:r>
          </w:p>
        </w:tc>
      </w:tr>
      <w:tr w:rsidR="00F51290" w:rsidRPr="00C53CB2" w:rsidTr="00DE26EC">
        <w:trPr>
          <w:cnfStyle w:val="000000010000" w:firstRow="0" w:lastRow="0" w:firstColumn="0" w:lastColumn="0" w:oddVBand="0" w:evenVBand="0" w:oddHBand="0" w:evenHBand="1" w:firstRowFirstColumn="0" w:firstRowLastColumn="0" w:lastRowFirstColumn="0" w:lastRowLastColumn="0"/>
          <w:trHeight w:val="664"/>
        </w:trPr>
        <w:tc>
          <w:tcPr>
            <w:tcW w:w="1250" w:type="pct"/>
          </w:tcPr>
          <w:p w:rsidR="009B2BF2" w:rsidRPr="009B2BF2" w:rsidRDefault="009B2BF2" w:rsidP="00F51290">
            <w:pPr>
              <w:pStyle w:val="Tabletext"/>
            </w:pPr>
            <w:r w:rsidRPr="009B2BF2">
              <w:t>Albury Distribution System</w:t>
            </w:r>
          </w:p>
        </w:tc>
        <w:tc>
          <w:tcPr>
            <w:tcW w:w="1250" w:type="pct"/>
          </w:tcPr>
          <w:p w:rsidR="009B2BF2" w:rsidRPr="00DE26EC" w:rsidRDefault="009B2BF2" w:rsidP="00F51290">
            <w:pPr>
              <w:pStyle w:val="Tabletext"/>
              <w:rPr>
                <w:rStyle w:val="Emphasis"/>
              </w:rPr>
            </w:pPr>
            <w:r w:rsidRPr="00DE26EC">
              <w:rPr>
                <w:rStyle w:val="Emphasis"/>
              </w:rPr>
              <w:t>VIC</w:t>
            </w:r>
          </w:p>
        </w:tc>
        <w:tc>
          <w:tcPr>
            <w:tcW w:w="1250" w:type="pct"/>
          </w:tcPr>
          <w:p w:rsidR="009B2BF2" w:rsidRPr="009B2BF2" w:rsidRDefault="009B2BF2" w:rsidP="00F51290">
            <w:pPr>
              <w:pStyle w:val="Tabletext"/>
            </w:pPr>
            <w:r w:rsidRPr="009B2BF2">
              <w:t>The Albury Gas Company Ltd</w:t>
            </w:r>
          </w:p>
        </w:tc>
        <w:tc>
          <w:tcPr>
            <w:tcW w:w="1250" w:type="pct"/>
          </w:tcPr>
          <w:p w:rsidR="009B2BF2" w:rsidRPr="009B2BF2" w:rsidRDefault="009B2BF2" w:rsidP="00F51290">
            <w:pPr>
              <w:pStyle w:val="Tabletext"/>
            </w:pPr>
            <w:r w:rsidRPr="009B2BF2">
              <w:t>Envestra Limited</w:t>
            </w:r>
          </w:p>
        </w:tc>
      </w:tr>
      <w:tr w:rsidR="009B2BF2" w:rsidRPr="00C53CB2" w:rsidTr="00DE26EC">
        <w:trPr>
          <w:trHeight w:val="960"/>
        </w:trPr>
        <w:tc>
          <w:tcPr>
            <w:tcW w:w="1250" w:type="pct"/>
          </w:tcPr>
          <w:p w:rsidR="009B2BF2" w:rsidRPr="009B2BF2" w:rsidRDefault="009B2BF2" w:rsidP="00F51290">
            <w:pPr>
              <w:pStyle w:val="Tabletext"/>
            </w:pPr>
            <w:r w:rsidRPr="009B2BF2">
              <w:t>Multinet Distribution System</w:t>
            </w:r>
          </w:p>
        </w:tc>
        <w:tc>
          <w:tcPr>
            <w:tcW w:w="1250" w:type="pct"/>
          </w:tcPr>
          <w:p w:rsidR="009B2BF2" w:rsidRPr="00DE26EC" w:rsidRDefault="009B2BF2" w:rsidP="00F51290">
            <w:pPr>
              <w:pStyle w:val="Tabletext"/>
              <w:rPr>
                <w:rStyle w:val="Emphasis"/>
              </w:rPr>
            </w:pPr>
            <w:r w:rsidRPr="00DE26EC">
              <w:rPr>
                <w:rStyle w:val="Emphasis"/>
              </w:rPr>
              <w:t>VIC</w:t>
            </w:r>
          </w:p>
        </w:tc>
        <w:tc>
          <w:tcPr>
            <w:tcW w:w="1250" w:type="pct"/>
          </w:tcPr>
          <w:p w:rsidR="009B2BF2" w:rsidRPr="009B2BF2" w:rsidRDefault="009B2BF2" w:rsidP="00F51290">
            <w:pPr>
              <w:pStyle w:val="Tabletext"/>
            </w:pPr>
            <w:r w:rsidRPr="009B2BF2">
              <w:t>Multinet Gas (DB No. 1) Pty Ltd and Multinet Gas (DB No. 2) Pty Ltd trading as Multinet Gas Distribution Partnership.</w:t>
            </w:r>
          </w:p>
        </w:tc>
        <w:tc>
          <w:tcPr>
            <w:tcW w:w="1250" w:type="pct"/>
          </w:tcPr>
          <w:p w:rsidR="009B2BF2" w:rsidRPr="009B2BF2" w:rsidRDefault="009B2BF2" w:rsidP="00F51290">
            <w:pPr>
              <w:pStyle w:val="Tabletext"/>
            </w:pPr>
            <w:r w:rsidRPr="009B2BF2">
              <w:t>DUET 1 Trust</w:t>
            </w:r>
          </w:p>
        </w:tc>
      </w:tr>
      <w:tr w:rsidR="00F51290" w:rsidRPr="00C53CB2" w:rsidTr="00DE26EC">
        <w:trPr>
          <w:cnfStyle w:val="000000010000" w:firstRow="0" w:lastRow="0" w:firstColumn="0" w:lastColumn="0" w:oddVBand="0" w:evenVBand="0" w:oddHBand="0" w:evenHBand="1" w:firstRowFirstColumn="0" w:firstRowLastColumn="0" w:lastRowFirstColumn="0" w:lastRowLastColumn="0"/>
          <w:trHeight w:val="960"/>
        </w:trPr>
        <w:tc>
          <w:tcPr>
            <w:tcW w:w="1250" w:type="pct"/>
          </w:tcPr>
          <w:p w:rsidR="009B2BF2" w:rsidRPr="009B2BF2" w:rsidRDefault="009B2BF2" w:rsidP="00F51290">
            <w:pPr>
              <w:pStyle w:val="Tabletext"/>
            </w:pPr>
            <w:r w:rsidRPr="009B2BF2">
              <w:t>AusNet Distribution System</w:t>
            </w:r>
          </w:p>
        </w:tc>
        <w:tc>
          <w:tcPr>
            <w:tcW w:w="1250" w:type="pct"/>
          </w:tcPr>
          <w:p w:rsidR="009B2BF2" w:rsidRPr="00DE26EC" w:rsidRDefault="009B2BF2" w:rsidP="00F51290">
            <w:pPr>
              <w:pStyle w:val="Tabletext"/>
              <w:rPr>
                <w:rStyle w:val="Emphasis"/>
              </w:rPr>
            </w:pPr>
            <w:bookmarkStart w:id="13" w:name="OLE_LINK74"/>
            <w:bookmarkStart w:id="14" w:name="OLE_LINK75"/>
            <w:r w:rsidRPr="00DE26EC">
              <w:rPr>
                <w:rStyle w:val="Emphasis"/>
              </w:rPr>
              <w:t>VIC</w:t>
            </w:r>
            <w:bookmarkEnd w:id="13"/>
            <w:bookmarkEnd w:id="14"/>
          </w:p>
        </w:tc>
        <w:tc>
          <w:tcPr>
            <w:tcW w:w="1250" w:type="pct"/>
          </w:tcPr>
          <w:p w:rsidR="009B2BF2" w:rsidRPr="009B2BF2" w:rsidRDefault="009B2BF2" w:rsidP="00F51290">
            <w:pPr>
              <w:pStyle w:val="Tabletext"/>
            </w:pPr>
            <w:r w:rsidRPr="009B2BF2">
              <w:t>AusNet Gas Services Pty Ltd</w:t>
            </w:r>
          </w:p>
        </w:tc>
        <w:tc>
          <w:tcPr>
            <w:tcW w:w="1250" w:type="pct"/>
          </w:tcPr>
          <w:p w:rsidR="009B2BF2" w:rsidRPr="009B2BF2" w:rsidRDefault="009B2BF2" w:rsidP="00F51290">
            <w:pPr>
              <w:pStyle w:val="Tabletext"/>
            </w:pPr>
            <w:r w:rsidRPr="009B2BF2">
              <w:t>Singapore Power International (31.1%), State Grid International Australia Development Company Limited (19.9%) and public investors (49%)</w:t>
            </w:r>
          </w:p>
        </w:tc>
      </w:tr>
      <w:tr w:rsidR="009B2BF2" w:rsidRPr="00C53CB2" w:rsidTr="00DE26EC">
        <w:trPr>
          <w:trHeight w:val="960"/>
        </w:trPr>
        <w:tc>
          <w:tcPr>
            <w:tcW w:w="1250" w:type="pct"/>
          </w:tcPr>
          <w:p w:rsidR="009B2BF2" w:rsidRPr="009B2BF2" w:rsidRDefault="009B2BF2" w:rsidP="00F51290">
            <w:pPr>
              <w:pStyle w:val="Tabletext"/>
            </w:pPr>
            <w:r w:rsidRPr="009B2BF2">
              <w:lastRenderedPageBreak/>
              <w:t>Envestra South Australian Gas Distribution System</w:t>
            </w:r>
          </w:p>
        </w:tc>
        <w:tc>
          <w:tcPr>
            <w:tcW w:w="1250" w:type="pct"/>
          </w:tcPr>
          <w:p w:rsidR="009B2BF2" w:rsidRPr="00DE26EC" w:rsidRDefault="009B2BF2" w:rsidP="00F51290">
            <w:pPr>
              <w:pStyle w:val="Tabletext"/>
              <w:rPr>
                <w:rStyle w:val="Emphasis"/>
              </w:rPr>
            </w:pPr>
            <w:r w:rsidRPr="00DE26EC">
              <w:rPr>
                <w:rStyle w:val="Emphasis"/>
              </w:rPr>
              <w:t>SA</w:t>
            </w:r>
          </w:p>
        </w:tc>
        <w:tc>
          <w:tcPr>
            <w:tcW w:w="1250" w:type="pct"/>
          </w:tcPr>
          <w:p w:rsidR="009B2BF2" w:rsidRPr="009B2BF2" w:rsidRDefault="009B2BF2" w:rsidP="00F51290">
            <w:pPr>
              <w:pStyle w:val="Tabletext"/>
            </w:pPr>
            <w:r w:rsidRPr="009B2BF2">
              <w:t>Envestra Limited</w:t>
            </w:r>
          </w:p>
        </w:tc>
        <w:tc>
          <w:tcPr>
            <w:tcW w:w="1250" w:type="pct"/>
          </w:tcPr>
          <w:p w:rsidR="009B2BF2" w:rsidRPr="009B2BF2" w:rsidRDefault="009B2BF2" w:rsidP="00F51290">
            <w:pPr>
              <w:pStyle w:val="Tabletext"/>
            </w:pPr>
            <w:r w:rsidRPr="009B2BF2">
              <w:t>Envestra Limited</w:t>
            </w:r>
          </w:p>
        </w:tc>
      </w:tr>
      <w:tr w:rsidR="00F51290" w:rsidRPr="00C53CB2" w:rsidTr="00DE26EC">
        <w:trPr>
          <w:cnfStyle w:val="000000010000" w:firstRow="0" w:lastRow="0" w:firstColumn="0" w:lastColumn="0" w:oddVBand="0" w:evenVBand="0" w:oddHBand="0" w:evenHBand="1" w:firstRowFirstColumn="0" w:firstRowLastColumn="0" w:lastRowFirstColumn="0" w:lastRowLastColumn="0"/>
          <w:trHeight w:val="604"/>
        </w:trPr>
        <w:tc>
          <w:tcPr>
            <w:tcW w:w="1250" w:type="pct"/>
          </w:tcPr>
          <w:p w:rsidR="009B2BF2" w:rsidRPr="009B2BF2" w:rsidRDefault="009B2BF2" w:rsidP="00F51290">
            <w:pPr>
              <w:pStyle w:val="Tabletext"/>
            </w:pPr>
            <w:r w:rsidRPr="009B2BF2">
              <w:t>Allgas Network</w:t>
            </w:r>
          </w:p>
        </w:tc>
        <w:tc>
          <w:tcPr>
            <w:tcW w:w="1250" w:type="pct"/>
          </w:tcPr>
          <w:p w:rsidR="009B2BF2" w:rsidRPr="00DE26EC" w:rsidRDefault="009B2BF2" w:rsidP="00F51290">
            <w:pPr>
              <w:pStyle w:val="Tabletext"/>
              <w:rPr>
                <w:rStyle w:val="Emphasis"/>
              </w:rPr>
            </w:pPr>
            <w:r w:rsidRPr="00DE26EC">
              <w:rPr>
                <w:rStyle w:val="Emphasis"/>
              </w:rPr>
              <w:t>QLD</w:t>
            </w:r>
          </w:p>
        </w:tc>
        <w:tc>
          <w:tcPr>
            <w:tcW w:w="1250" w:type="pct"/>
          </w:tcPr>
          <w:p w:rsidR="009B2BF2" w:rsidRPr="009B2BF2" w:rsidRDefault="009B2BF2" w:rsidP="00F51290">
            <w:pPr>
              <w:pStyle w:val="Tabletext"/>
            </w:pPr>
            <w:r w:rsidRPr="009B2BF2">
              <w:t xml:space="preserve">Allgas Energy Pty Limited </w:t>
            </w:r>
          </w:p>
        </w:tc>
        <w:tc>
          <w:tcPr>
            <w:tcW w:w="1250" w:type="pct"/>
          </w:tcPr>
          <w:p w:rsidR="009B2BF2" w:rsidRPr="009B2BF2" w:rsidRDefault="009B2BF2" w:rsidP="00F51290">
            <w:pPr>
              <w:pStyle w:val="Tabletext"/>
            </w:pPr>
            <w:r w:rsidRPr="009B2BF2">
              <w:t>GDI (EII) Pty Limited which is owned by Marubeni (40%), Deutsche AWM (40%) and APA Group (20%)</w:t>
            </w:r>
          </w:p>
        </w:tc>
      </w:tr>
      <w:tr w:rsidR="009B2BF2" w:rsidRPr="00C53CB2" w:rsidTr="00DE26EC">
        <w:trPr>
          <w:trHeight w:val="960"/>
        </w:trPr>
        <w:tc>
          <w:tcPr>
            <w:tcW w:w="1250" w:type="pct"/>
          </w:tcPr>
          <w:p w:rsidR="009B2BF2" w:rsidRPr="009B2BF2" w:rsidRDefault="009B2BF2" w:rsidP="00F51290">
            <w:pPr>
              <w:pStyle w:val="Tabletext"/>
            </w:pPr>
            <w:r w:rsidRPr="009B2BF2">
              <w:t>Envestra Queensland Gas Distribution System</w:t>
            </w:r>
          </w:p>
        </w:tc>
        <w:tc>
          <w:tcPr>
            <w:tcW w:w="1250" w:type="pct"/>
          </w:tcPr>
          <w:p w:rsidR="009B2BF2" w:rsidRPr="00DE26EC" w:rsidRDefault="009B2BF2" w:rsidP="00F51290">
            <w:pPr>
              <w:pStyle w:val="Tabletext"/>
              <w:rPr>
                <w:rStyle w:val="Emphasis"/>
              </w:rPr>
            </w:pPr>
            <w:r w:rsidRPr="00DE26EC">
              <w:rPr>
                <w:rStyle w:val="Emphasis"/>
              </w:rPr>
              <w:t>QLD</w:t>
            </w:r>
          </w:p>
        </w:tc>
        <w:tc>
          <w:tcPr>
            <w:tcW w:w="1250" w:type="pct"/>
          </w:tcPr>
          <w:p w:rsidR="009B2BF2" w:rsidRPr="009B2BF2" w:rsidRDefault="009B2BF2" w:rsidP="00F51290">
            <w:pPr>
              <w:pStyle w:val="Tabletext"/>
            </w:pPr>
            <w:r w:rsidRPr="009B2BF2">
              <w:t>Envestra Limited</w:t>
            </w:r>
          </w:p>
        </w:tc>
        <w:tc>
          <w:tcPr>
            <w:tcW w:w="1250" w:type="pct"/>
          </w:tcPr>
          <w:p w:rsidR="009B2BF2" w:rsidRPr="009B2BF2" w:rsidRDefault="009B2BF2" w:rsidP="00F51290">
            <w:pPr>
              <w:pStyle w:val="Tabletext"/>
            </w:pPr>
            <w:r w:rsidRPr="009B2BF2">
              <w:t>Envestra Limited</w:t>
            </w:r>
          </w:p>
        </w:tc>
      </w:tr>
    </w:tbl>
    <w:p w:rsidR="009B2BF2" w:rsidRPr="00904500" w:rsidRDefault="009B2BF2" w:rsidP="009B2BF2"/>
    <w:p w:rsidR="009B2BF2" w:rsidRDefault="009B2BF2" w:rsidP="009B2BF2"/>
    <w:bookmarkEnd w:id="1"/>
    <w:p w:rsidR="00185CB9" w:rsidRDefault="00185CB9" w:rsidP="00185CB9"/>
    <w:sectPr w:rsidR="00185CB9" w:rsidSect="00E137FB">
      <w:footerReference w:type="even" r:id="rId15"/>
      <w:footerReference w:type="default" r:id="rId16"/>
      <w:footerReference w:type="first" r:id="rId17"/>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F9D" w:rsidRDefault="008B6F9D" w:rsidP="004B4412">
      <w:pPr>
        <w:spacing w:before="0"/>
      </w:pPr>
      <w:r>
        <w:separator/>
      </w:r>
    </w:p>
    <w:p w:rsidR="008B6F9D" w:rsidRDefault="008B6F9D"/>
    <w:p w:rsidR="008B6F9D" w:rsidRDefault="008B6F9D"/>
  </w:endnote>
  <w:endnote w:type="continuationSeparator" w:id="0">
    <w:p w:rsidR="008B6F9D" w:rsidRDefault="008B6F9D" w:rsidP="004B4412">
      <w:pPr>
        <w:spacing w:before="0"/>
      </w:pPr>
      <w:r>
        <w:continuationSeparator/>
      </w:r>
    </w:p>
    <w:p w:rsidR="008B6F9D" w:rsidRDefault="008B6F9D"/>
    <w:p w:rsidR="008B6F9D" w:rsidRDefault="008B6F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1F" w:rsidRPr="007A4D1F" w:rsidRDefault="00195357" w:rsidP="007A4D1F">
    <w:pPr>
      <w:tabs>
        <w:tab w:val="left" w:pos="1623"/>
        <w:tab w:val="center" w:pos="4513"/>
        <w:tab w:val="right" w:pos="9026"/>
      </w:tabs>
      <w:spacing w:after="120"/>
      <w:rPr>
        <w:rFonts w:eastAsia="Arial" w:cs="Times New Roman"/>
        <w:color w:val="076A92" w:themeColor="text1"/>
        <w:sz w:val="18"/>
      </w:rPr>
    </w:pPr>
    <w:r w:rsidRPr="00195357">
      <w:t xml:space="preserve">Overview of </w:t>
    </w:r>
    <w:r>
      <w:t xml:space="preserve">2013-14 </w:t>
    </w:r>
    <w:r w:rsidRPr="00195357">
      <w:t>compliance reports by gas distribution and transmission pipelines</w:t>
    </w:r>
    <w:r w:rsidR="007A4D1F" w:rsidRPr="007A4D1F">
      <w:rPr>
        <w:rFonts w:eastAsia="Arial" w:cs="Times New Roman"/>
        <w:color w:val="076A92" w:themeColor="text1"/>
        <w:sz w:val="18"/>
      </w:rPr>
      <w:tab/>
    </w:r>
    <w:r w:rsidR="007A4D1F" w:rsidRPr="007A4D1F">
      <w:rPr>
        <w:rFonts w:eastAsia="Arial" w:cs="Times New Roman"/>
        <w:color w:val="076A92" w:themeColor="text1"/>
        <w:sz w:val="18"/>
      </w:rPr>
      <w:tab/>
    </w:r>
    <w:r w:rsidR="007A4D1F" w:rsidRPr="007A4D1F">
      <w:rPr>
        <w:rFonts w:eastAsia="Arial" w:cs="Times New Roman"/>
        <w:color w:val="076A92" w:themeColor="text1"/>
        <w:sz w:val="18"/>
      </w:rPr>
      <w:tab/>
    </w:r>
    <w:r w:rsidR="007A4D1F" w:rsidRPr="007A4D1F">
      <w:rPr>
        <w:rFonts w:eastAsia="Arial" w:cs="Times New Roman"/>
        <w:color w:val="076A92" w:themeColor="text1"/>
        <w:sz w:val="18"/>
      </w:rPr>
      <w:fldChar w:fldCharType="begin"/>
    </w:r>
    <w:r w:rsidR="007A4D1F" w:rsidRPr="007A4D1F">
      <w:rPr>
        <w:rFonts w:eastAsia="Arial" w:cs="Times New Roman"/>
        <w:color w:val="076A92" w:themeColor="text1"/>
        <w:sz w:val="18"/>
      </w:rPr>
      <w:instrText xml:space="preserve"> PAGE   \* MERGEFORMAT </w:instrText>
    </w:r>
    <w:r w:rsidR="007A4D1F" w:rsidRPr="007A4D1F">
      <w:rPr>
        <w:rFonts w:eastAsia="Arial" w:cs="Times New Roman"/>
        <w:color w:val="076A92" w:themeColor="text1"/>
        <w:sz w:val="18"/>
      </w:rPr>
      <w:fldChar w:fldCharType="separate"/>
    </w:r>
    <w:r w:rsidR="0086176B">
      <w:rPr>
        <w:rFonts w:eastAsia="Arial" w:cs="Times New Roman"/>
        <w:noProof/>
        <w:color w:val="076A92" w:themeColor="text1"/>
        <w:sz w:val="18"/>
      </w:rPr>
      <w:t>ii</w:t>
    </w:r>
    <w:r w:rsidR="007A4D1F" w:rsidRPr="007A4D1F">
      <w:rPr>
        <w:rFonts w:eastAsia="Arial" w:cs="Times New Roman"/>
        <w:noProof/>
        <w:color w:val="076A92" w:themeColor="text1"/>
        <w:sz w:val="18"/>
      </w:rPr>
      <w:fldChar w:fldCharType="end"/>
    </w:r>
    <w:r w:rsidR="007A4D1F" w:rsidRPr="007A4D1F">
      <w:rPr>
        <w:rFonts w:eastAsia="Arial" w:cs="Times New Roman"/>
        <w:color w:val="076A92" w:themeColor="text1"/>
        <w:sz w:val="18"/>
      </w:rPr>
      <w:tab/>
    </w:r>
  </w:p>
  <w:p w:rsidR="007A4D1F" w:rsidRDefault="00A60023" w:rsidP="00A60023">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92C" w:rsidRPr="00A91A9E" w:rsidRDefault="0020492C" w:rsidP="00D34063">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DB1A67" w:rsidRDefault="00DB1A67"/>
  <w:p w:rsidR="0056080A" w:rsidRDefault="0056080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1D" w:rsidRDefault="00195357" w:rsidP="00CC7F1D">
    <w:pPr>
      <w:pStyle w:val="Footer"/>
      <w:tabs>
        <w:tab w:val="clear" w:pos="9026"/>
        <w:tab w:val="right" w:pos="8505"/>
      </w:tabs>
    </w:pPr>
    <w:r w:rsidRPr="00195357">
      <w:t>Overview of 2013-14 compliance reports by gas distribution and transmission pipelines</w:t>
    </w:r>
    <w:r w:rsidR="00CC7F1D">
      <w:tab/>
    </w:r>
    <w:r w:rsidR="00CC7F1D">
      <w:tab/>
    </w:r>
    <w:r w:rsidR="00CC7F1D">
      <w:fldChar w:fldCharType="begin"/>
    </w:r>
    <w:r w:rsidR="00CC7F1D">
      <w:instrText xml:space="preserve"> PAGE   \* MERGEFORMAT </w:instrText>
    </w:r>
    <w:r w:rsidR="00CC7F1D">
      <w:fldChar w:fldCharType="separate"/>
    </w:r>
    <w:r w:rsidR="0086176B">
      <w:rPr>
        <w:noProof/>
      </w:rPr>
      <w:t>2</w:t>
    </w:r>
    <w:r w:rsidR="00CC7F1D">
      <w:rPr>
        <w:noProof/>
      </w:rPr>
      <w:fldChar w:fldCharType="end"/>
    </w:r>
  </w:p>
  <w:p w:rsidR="00DB1A67" w:rsidRDefault="00DB1A67"/>
  <w:p w:rsidR="0056080A" w:rsidRDefault="0056080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1D" w:rsidRDefault="00195357" w:rsidP="00CC7F1D">
    <w:pPr>
      <w:pStyle w:val="Footer"/>
      <w:tabs>
        <w:tab w:val="clear" w:pos="9026"/>
        <w:tab w:val="right" w:pos="8505"/>
      </w:tabs>
    </w:pPr>
    <w:r w:rsidRPr="00195357">
      <w:t>Overview of 2013-14 compliance reports by gas distribution and transmission pipelines</w:t>
    </w:r>
    <w:r w:rsidR="00CC7F1D">
      <w:tab/>
    </w:r>
    <w:r w:rsidR="00CC7F1D">
      <w:tab/>
    </w:r>
    <w:r w:rsidR="00CC7F1D">
      <w:fldChar w:fldCharType="begin"/>
    </w:r>
    <w:r w:rsidR="00CC7F1D">
      <w:instrText xml:space="preserve"> PAGE   \* MERGEFORMAT </w:instrText>
    </w:r>
    <w:r w:rsidR="00CC7F1D">
      <w:fldChar w:fldCharType="separate"/>
    </w:r>
    <w:r w:rsidR="0086176B">
      <w:rPr>
        <w:noProof/>
      </w:rPr>
      <w:t>1</w:t>
    </w:r>
    <w:r w:rsidR="00CC7F1D">
      <w:fldChar w:fldCharType="end"/>
    </w:r>
  </w:p>
  <w:p w:rsidR="00CC7F1D" w:rsidRDefault="00CC7F1D">
    <w:pPr>
      <w:pStyle w:val="Footer"/>
    </w:pPr>
  </w:p>
  <w:p w:rsidR="00DB1A67" w:rsidRDefault="00DB1A67"/>
  <w:p w:rsidR="0056080A" w:rsidRDefault="005608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F9D" w:rsidRDefault="008B6F9D" w:rsidP="00182906">
      <w:pPr>
        <w:spacing w:before="0"/>
      </w:pPr>
      <w:r>
        <w:separator/>
      </w:r>
    </w:p>
  </w:footnote>
  <w:footnote w:type="continuationSeparator" w:id="0">
    <w:p w:rsidR="008B6F9D" w:rsidRDefault="008B6F9D" w:rsidP="00182906">
      <w:pPr>
        <w:spacing w:before="0"/>
      </w:pPr>
      <w:r>
        <w:continuationSeparator/>
      </w:r>
    </w:p>
  </w:footnote>
  <w:footnote w:type="continuationNotice" w:id="1">
    <w:p w:rsidR="008B6F9D" w:rsidRDefault="008B6F9D">
      <w:pPr>
        <w:spacing w:before="0" w:line="240" w:lineRule="auto"/>
      </w:pPr>
    </w:p>
  </w:footnote>
  <w:footnote w:id="2">
    <w:p w:rsidR="006E4F2A" w:rsidRDefault="006E4F2A" w:rsidP="006E4F2A">
      <w:pPr>
        <w:pStyle w:val="FootnoteText"/>
      </w:pPr>
      <w:r>
        <w:rPr>
          <w:rStyle w:val="FootnoteReference"/>
        </w:rPr>
        <w:footnoteRef/>
      </w:r>
      <w:r>
        <w:t xml:space="preserve"> </w:t>
      </w:r>
      <w:r>
        <w:tab/>
      </w:r>
      <w:r w:rsidR="00082BE8">
        <w:t>Available a</w:t>
      </w:r>
      <w:r>
        <w:t>t</w:t>
      </w:r>
      <w:r w:rsidR="00082BE8">
        <w:t>:</w:t>
      </w:r>
      <w:r>
        <w:t xml:space="preserve"> </w:t>
      </w:r>
      <w:hyperlink r:id="rId1" w:history="1">
        <w:r w:rsidRPr="00101708">
          <w:rPr>
            <w:rStyle w:val="Hyperlink"/>
            <w:color w:val="auto"/>
            <w:sz w:val="16"/>
            <w:u w:val="none"/>
          </w:rPr>
          <w:t>http://www.aer.gov.au/node/484?date%5Bvalue%5D%5Byear%5D=&amp;sector=All&amp;category=311</w:t>
        </w:r>
      </w:hyperlink>
    </w:p>
  </w:footnote>
  <w:footnote w:id="3">
    <w:p w:rsidR="0000333C" w:rsidRDefault="0000333C" w:rsidP="0000333C">
      <w:pPr>
        <w:pStyle w:val="FootnoteText"/>
      </w:pPr>
      <w:r>
        <w:rPr>
          <w:rStyle w:val="FootnoteReference"/>
        </w:rPr>
        <w:footnoteRef/>
      </w:r>
      <w:r>
        <w:t xml:space="preserve"> </w:t>
      </w:r>
      <w:r>
        <w:tab/>
        <w:t>Under the NGL, a covered pipeline is defined as both a pipeline subject to a coverage determination or deemed to be covered by the operation of s.126 (tender approval pipelines) or s.127 (pipelines with approved voluntary access arrangements). The annual compliance process only applies to covered pipeline service providers as defined by the NGL.</w:t>
      </w:r>
    </w:p>
  </w:footnote>
  <w:footnote w:id="4">
    <w:p w:rsidR="00415E80" w:rsidRDefault="00415E80">
      <w:pPr>
        <w:pStyle w:val="FootnoteText"/>
      </w:pPr>
      <w:r>
        <w:rPr>
          <w:rStyle w:val="FootnoteReference"/>
        </w:rPr>
        <w:footnoteRef/>
      </w:r>
      <w:r>
        <w:t xml:space="preserve"> </w:t>
      </w:r>
      <w:r>
        <w:tab/>
        <w:t>The person submitting must declare that the information is accurate, true and not misleading.</w:t>
      </w:r>
    </w:p>
  </w:footnote>
  <w:footnote w:id="5">
    <w:p w:rsidR="009B2BF2" w:rsidRDefault="009B2BF2" w:rsidP="009B2BF2">
      <w:pPr>
        <w:pStyle w:val="FootnoteText"/>
      </w:pPr>
      <w:r>
        <w:rPr>
          <w:rStyle w:val="FootnoteReference"/>
        </w:rPr>
        <w:footnoteRef/>
      </w:r>
      <w:r>
        <w:t xml:space="preserve"> </w:t>
      </w:r>
      <w:r>
        <w:tab/>
        <w:t>Chapter 4, Part 1 of the NGL.</w:t>
      </w:r>
    </w:p>
  </w:footnote>
  <w:footnote w:id="6">
    <w:p w:rsidR="009B2BF2" w:rsidRDefault="009B2BF2" w:rsidP="009B2BF2">
      <w:pPr>
        <w:pStyle w:val="FootnoteText"/>
      </w:pPr>
      <w:r>
        <w:rPr>
          <w:rStyle w:val="FootnoteReference"/>
        </w:rPr>
        <w:footnoteRef/>
      </w:r>
      <w:r>
        <w:t xml:space="preserve"> </w:t>
      </w:r>
      <w:r>
        <w:tab/>
        <w:t>Chapter 4, Part 2 of the NGL.</w:t>
      </w:r>
    </w:p>
  </w:footnote>
  <w:footnote w:id="7">
    <w:p w:rsidR="009B2BF2" w:rsidRDefault="009B2BF2" w:rsidP="009B2BF2">
      <w:pPr>
        <w:pStyle w:val="FootnoteText"/>
      </w:pPr>
      <w:r>
        <w:rPr>
          <w:rStyle w:val="FootnoteReference"/>
        </w:rPr>
        <w:footnoteRef/>
      </w:r>
      <w:r>
        <w:t xml:space="preserve"> </w:t>
      </w:r>
      <w:r>
        <w:tab/>
      </w:r>
      <w:r w:rsidRPr="00B30F1A">
        <w:t>On review of the responses to the annual compliance reports, the AER has come to the vie</w:t>
      </w:r>
      <w:r>
        <w:t xml:space="preserve">w that the requirements set out </w:t>
      </w:r>
      <w:r w:rsidRPr="00B30F1A">
        <w:t>under section 134 of the NGL do not apply to the service providers of covered pipelines. As an interim measure, the AER has amended its Annual Compliance Guideline to provide further explanation about the applicability of this obligation for service providers under the NGL.</w:t>
      </w:r>
    </w:p>
  </w:footnote>
  <w:footnote w:id="8">
    <w:p w:rsidR="009B2BF2" w:rsidRDefault="009B2BF2" w:rsidP="009B2BF2">
      <w:pPr>
        <w:pStyle w:val="FootnoteText"/>
      </w:pPr>
      <w:r>
        <w:rPr>
          <w:rStyle w:val="FootnoteReference"/>
        </w:rPr>
        <w:footnoteRef/>
      </w:r>
      <w:r>
        <w:t xml:space="preserve"> </w:t>
      </w:r>
      <w:r>
        <w:tab/>
        <w:t>Envestra Limited is owned by APA Group (30.6%), Cheung Kong Infrastructure Holdings Ltd (17.3%) and public investors (52.1%)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6">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9"/>
  </w:num>
  <w:num w:numId="14">
    <w:abstractNumId w:val="13"/>
  </w:num>
  <w:num w:numId="15">
    <w:abstractNumId w:val="16"/>
  </w:num>
  <w:num w:numId="16">
    <w:abstractNumId w:val="21"/>
  </w:num>
  <w:num w:numId="17">
    <w:abstractNumId w:val="12"/>
  </w:num>
  <w:num w:numId="18">
    <w:abstractNumId w:val="18"/>
  </w:num>
  <w:num w:numId="19">
    <w:abstractNumId w:val="11"/>
  </w:num>
  <w:num w:numId="20">
    <w:abstractNumId w:val="22"/>
  </w:num>
  <w:num w:numId="21">
    <w:abstractNumId w:val="26"/>
  </w:num>
  <w:num w:numId="22">
    <w:abstractNumId w:val="17"/>
  </w:num>
  <w:num w:numId="23">
    <w:abstractNumId w:val="2"/>
    <w:lvlOverride w:ilvl="0">
      <w:startOverride w:val="1"/>
    </w:lvlOverride>
  </w:num>
  <w:num w:numId="24">
    <w:abstractNumId w:val="18"/>
    <w:lvlOverride w:ilvl="0">
      <w:startOverride w:val="1"/>
    </w:lvlOverride>
  </w:num>
  <w:num w:numId="25">
    <w:abstractNumId w:val="24"/>
  </w:num>
  <w:num w:numId="26">
    <w:abstractNumId w:val="20"/>
  </w:num>
  <w:num w:numId="27">
    <w:abstractNumId w:val="9"/>
  </w:num>
  <w:num w:numId="28">
    <w:abstractNumId w:val="15"/>
  </w:num>
  <w:num w:numId="29">
    <w:abstractNumId w:val="10"/>
  </w:num>
  <w:num w:numId="30">
    <w:abstractNumId w:val="23"/>
  </w:num>
  <w:num w:numId="31">
    <w:abstractNumId w:val="19"/>
  </w:num>
  <w:num w:numId="32">
    <w:abstractNumId w:val="20"/>
  </w:num>
  <w:num w:numId="33">
    <w:abstractNumId w:val="20"/>
  </w:num>
  <w:num w:numId="34">
    <w:abstractNumId w:val="15"/>
  </w:num>
  <w:num w:numId="35">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attachedTemplate r:id="rId1"/>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2820\D15 73949  3.3.1 - Overview of compliance reports by gas distribution and transmission pipelines for 2013-14 reporting year - 20150619.DOCX"/>
  </w:docVars>
  <w:rsids>
    <w:rsidRoot w:val="008B6F9D"/>
    <w:rsid w:val="0000333C"/>
    <w:rsid w:val="00021202"/>
    <w:rsid w:val="0002517F"/>
    <w:rsid w:val="0003578C"/>
    <w:rsid w:val="00063247"/>
    <w:rsid w:val="00070F9F"/>
    <w:rsid w:val="0007137B"/>
    <w:rsid w:val="00074341"/>
    <w:rsid w:val="00082BE8"/>
    <w:rsid w:val="00085663"/>
    <w:rsid w:val="00085EBF"/>
    <w:rsid w:val="000A6C7B"/>
    <w:rsid w:val="000D122C"/>
    <w:rsid w:val="000E1819"/>
    <w:rsid w:val="000E6C72"/>
    <w:rsid w:val="00101708"/>
    <w:rsid w:val="00107CC7"/>
    <w:rsid w:val="00116EB2"/>
    <w:rsid w:val="00124609"/>
    <w:rsid w:val="00130C3C"/>
    <w:rsid w:val="0014573B"/>
    <w:rsid w:val="001573E4"/>
    <w:rsid w:val="00160756"/>
    <w:rsid w:val="00170114"/>
    <w:rsid w:val="0017232E"/>
    <w:rsid w:val="00174102"/>
    <w:rsid w:val="00180157"/>
    <w:rsid w:val="00182906"/>
    <w:rsid w:val="00185CB9"/>
    <w:rsid w:val="00186F77"/>
    <w:rsid w:val="001926A4"/>
    <w:rsid w:val="00192AD5"/>
    <w:rsid w:val="00195357"/>
    <w:rsid w:val="001B45A0"/>
    <w:rsid w:val="001D055E"/>
    <w:rsid w:val="001F492E"/>
    <w:rsid w:val="001F6DA3"/>
    <w:rsid w:val="002010BC"/>
    <w:rsid w:val="00202E03"/>
    <w:rsid w:val="0020492C"/>
    <w:rsid w:val="00207FDC"/>
    <w:rsid w:val="00224DB9"/>
    <w:rsid w:val="00233775"/>
    <w:rsid w:val="00251745"/>
    <w:rsid w:val="00263AC0"/>
    <w:rsid w:val="0026772D"/>
    <w:rsid w:val="00286874"/>
    <w:rsid w:val="00296B65"/>
    <w:rsid w:val="002A7DEF"/>
    <w:rsid w:val="002E1BE5"/>
    <w:rsid w:val="002E2BFC"/>
    <w:rsid w:val="002F7986"/>
    <w:rsid w:val="00301B40"/>
    <w:rsid w:val="00305CC8"/>
    <w:rsid w:val="00307F6D"/>
    <w:rsid w:val="003177A2"/>
    <w:rsid w:val="003271B5"/>
    <w:rsid w:val="00327A1E"/>
    <w:rsid w:val="00331264"/>
    <w:rsid w:val="00334C8D"/>
    <w:rsid w:val="003518B3"/>
    <w:rsid w:val="003718D2"/>
    <w:rsid w:val="003846F1"/>
    <w:rsid w:val="003F6B2E"/>
    <w:rsid w:val="00415E80"/>
    <w:rsid w:val="004568DC"/>
    <w:rsid w:val="00477AEC"/>
    <w:rsid w:val="00480B4B"/>
    <w:rsid w:val="00485DC4"/>
    <w:rsid w:val="004A43D1"/>
    <w:rsid w:val="004B4412"/>
    <w:rsid w:val="004C348C"/>
    <w:rsid w:val="004D55BA"/>
    <w:rsid w:val="004E22EC"/>
    <w:rsid w:val="00530128"/>
    <w:rsid w:val="00532467"/>
    <w:rsid w:val="0056080A"/>
    <w:rsid w:val="00562632"/>
    <w:rsid w:val="00564A4D"/>
    <w:rsid w:val="00567BA5"/>
    <w:rsid w:val="00571B35"/>
    <w:rsid w:val="00571D57"/>
    <w:rsid w:val="0057689C"/>
    <w:rsid w:val="00577A09"/>
    <w:rsid w:val="005829C2"/>
    <w:rsid w:val="00584D8F"/>
    <w:rsid w:val="005A404D"/>
    <w:rsid w:val="005B1E3C"/>
    <w:rsid w:val="005C26CC"/>
    <w:rsid w:val="005C4261"/>
    <w:rsid w:val="00615C6B"/>
    <w:rsid w:val="00632D6D"/>
    <w:rsid w:val="00642C3E"/>
    <w:rsid w:val="00663DAD"/>
    <w:rsid w:val="00670957"/>
    <w:rsid w:val="00676679"/>
    <w:rsid w:val="006B4CF9"/>
    <w:rsid w:val="006B7AC8"/>
    <w:rsid w:val="006C1FEB"/>
    <w:rsid w:val="006D550F"/>
    <w:rsid w:val="006E4F2A"/>
    <w:rsid w:val="00701CAB"/>
    <w:rsid w:val="00707563"/>
    <w:rsid w:val="0072348C"/>
    <w:rsid w:val="00724A37"/>
    <w:rsid w:val="007303C3"/>
    <w:rsid w:val="00743223"/>
    <w:rsid w:val="00746E01"/>
    <w:rsid w:val="00757BDF"/>
    <w:rsid w:val="00763E5D"/>
    <w:rsid w:val="00767740"/>
    <w:rsid w:val="007746EB"/>
    <w:rsid w:val="00777EE6"/>
    <w:rsid w:val="007828E9"/>
    <w:rsid w:val="00782EEA"/>
    <w:rsid w:val="007A4D1F"/>
    <w:rsid w:val="007B2C72"/>
    <w:rsid w:val="007C1C53"/>
    <w:rsid w:val="007C74BB"/>
    <w:rsid w:val="007E4904"/>
    <w:rsid w:val="007E4CB5"/>
    <w:rsid w:val="007F066B"/>
    <w:rsid w:val="008033C4"/>
    <w:rsid w:val="00806C88"/>
    <w:rsid w:val="0081034E"/>
    <w:rsid w:val="008344F6"/>
    <w:rsid w:val="0083510F"/>
    <w:rsid w:val="00843704"/>
    <w:rsid w:val="00851209"/>
    <w:rsid w:val="0086176B"/>
    <w:rsid w:val="008837AC"/>
    <w:rsid w:val="008A3E3C"/>
    <w:rsid w:val="008A587D"/>
    <w:rsid w:val="008B6F9D"/>
    <w:rsid w:val="008C5486"/>
    <w:rsid w:val="008D1661"/>
    <w:rsid w:val="008E51D5"/>
    <w:rsid w:val="008E7031"/>
    <w:rsid w:val="008F2354"/>
    <w:rsid w:val="009233EE"/>
    <w:rsid w:val="009460AA"/>
    <w:rsid w:val="00951978"/>
    <w:rsid w:val="009661DE"/>
    <w:rsid w:val="0098403F"/>
    <w:rsid w:val="009856B7"/>
    <w:rsid w:val="009A5FC3"/>
    <w:rsid w:val="009B2BF2"/>
    <w:rsid w:val="009B74B0"/>
    <w:rsid w:val="009D6B46"/>
    <w:rsid w:val="009F4940"/>
    <w:rsid w:val="009F5BA1"/>
    <w:rsid w:val="00A02A88"/>
    <w:rsid w:val="00A0562E"/>
    <w:rsid w:val="00A0726D"/>
    <w:rsid w:val="00A22495"/>
    <w:rsid w:val="00A32FBB"/>
    <w:rsid w:val="00A4478A"/>
    <w:rsid w:val="00A44852"/>
    <w:rsid w:val="00A51237"/>
    <w:rsid w:val="00A57D04"/>
    <w:rsid w:val="00A60023"/>
    <w:rsid w:val="00A60A26"/>
    <w:rsid w:val="00A61598"/>
    <w:rsid w:val="00A75077"/>
    <w:rsid w:val="00A84F46"/>
    <w:rsid w:val="00A871F4"/>
    <w:rsid w:val="00AC1B2C"/>
    <w:rsid w:val="00AC3264"/>
    <w:rsid w:val="00AC62C7"/>
    <w:rsid w:val="00AE1BF1"/>
    <w:rsid w:val="00AF0857"/>
    <w:rsid w:val="00AF0DD2"/>
    <w:rsid w:val="00AF1ED6"/>
    <w:rsid w:val="00B13048"/>
    <w:rsid w:val="00B1716D"/>
    <w:rsid w:val="00B17A1D"/>
    <w:rsid w:val="00B207A0"/>
    <w:rsid w:val="00B37E38"/>
    <w:rsid w:val="00B514DD"/>
    <w:rsid w:val="00B52AF0"/>
    <w:rsid w:val="00B56E03"/>
    <w:rsid w:val="00B8080B"/>
    <w:rsid w:val="00B87C39"/>
    <w:rsid w:val="00B927D8"/>
    <w:rsid w:val="00BA3C98"/>
    <w:rsid w:val="00BA4665"/>
    <w:rsid w:val="00BB2FB2"/>
    <w:rsid w:val="00BB3304"/>
    <w:rsid w:val="00BD3446"/>
    <w:rsid w:val="00BE1F1B"/>
    <w:rsid w:val="00BE47B5"/>
    <w:rsid w:val="00C25FA6"/>
    <w:rsid w:val="00C538A9"/>
    <w:rsid w:val="00C53B5A"/>
    <w:rsid w:val="00C54F5A"/>
    <w:rsid w:val="00C569B4"/>
    <w:rsid w:val="00C67A92"/>
    <w:rsid w:val="00C72109"/>
    <w:rsid w:val="00C86679"/>
    <w:rsid w:val="00CA489E"/>
    <w:rsid w:val="00CB666B"/>
    <w:rsid w:val="00CC213C"/>
    <w:rsid w:val="00CC7F1D"/>
    <w:rsid w:val="00D01CF0"/>
    <w:rsid w:val="00D0442A"/>
    <w:rsid w:val="00D61388"/>
    <w:rsid w:val="00D61A54"/>
    <w:rsid w:val="00D64DEA"/>
    <w:rsid w:val="00D7168E"/>
    <w:rsid w:val="00D71E57"/>
    <w:rsid w:val="00D80893"/>
    <w:rsid w:val="00D81EF4"/>
    <w:rsid w:val="00D92CF1"/>
    <w:rsid w:val="00D92D38"/>
    <w:rsid w:val="00D950F5"/>
    <w:rsid w:val="00DB0F93"/>
    <w:rsid w:val="00DB1A67"/>
    <w:rsid w:val="00DB1C30"/>
    <w:rsid w:val="00DB41C5"/>
    <w:rsid w:val="00DB5074"/>
    <w:rsid w:val="00DB723B"/>
    <w:rsid w:val="00DC7981"/>
    <w:rsid w:val="00DE26EC"/>
    <w:rsid w:val="00DE4EFA"/>
    <w:rsid w:val="00DE5520"/>
    <w:rsid w:val="00E04818"/>
    <w:rsid w:val="00E06442"/>
    <w:rsid w:val="00E137FB"/>
    <w:rsid w:val="00E16751"/>
    <w:rsid w:val="00E22820"/>
    <w:rsid w:val="00E23993"/>
    <w:rsid w:val="00E25B8C"/>
    <w:rsid w:val="00E65C85"/>
    <w:rsid w:val="00E66199"/>
    <w:rsid w:val="00E755EC"/>
    <w:rsid w:val="00E7624D"/>
    <w:rsid w:val="00EA3D42"/>
    <w:rsid w:val="00EA6B1B"/>
    <w:rsid w:val="00EB505D"/>
    <w:rsid w:val="00EE28F3"/>
    <w:rsid w:val="00EF5110"/>
    <w:rsid w:val="00F15882"/>
    <w:rsid w:val="00F171E0"/>
    <w:rsid w:val="00F20BD3"/>
    <w:rsid w:val="00F373A5"/>
    <w:rsid w:val="00F47559"/>
    <w:rsid w:val="00F51290"/>
    <w:rsid w:val="00F64C7B"/>
    <w:rsid w:val="00F676DD"/>
    <w:rsid w:val="00F71778"/>
    <w:rsid w:val="00F75A26"/>
    <w:rsid w:val="00F835C9"/>
    <w:rsid w:val="00F83FAD"/>
    <w:rsid w:val="00F952A0"/>
    <w:rsid w:val="00FA3C7F"/>
    <w:rsid w:val="00FB74E2"/>
    <w:rsid w:val="00FD5614"/>
    <w:rsid w:val="00FE0BE1"/>
    <w:rsid w:val="00FE1DE9"/>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uiPriority w:val="9"/>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R Footnote Text Char Char Char Char Char Char,Footnote Text Char2,Char Char,Footnote Text Char1 Char Char"/>
    <w:basedOn w:val="Normal"/>
    <w:link w:val="FootnoteTextChar"/>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1,AR Footnote Text Char Char Char Char Char Char Char,Footnote Text Char2 Char,Char Char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o"/>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9B2BF2"/>
    <w:pPr>
      <w:spacing w:before="0" w:after="240" w:line="240" w:lineRule="auto"/>
      <w:jc w:val="both"/>
    </w:pPr>
    <w:rPr>
      <w:rFonts w:ascii="Gautami" w:eastAsia="Calibri" w:hAnsi="Gautami" w:cs="Times New Roman"/>
      <w:sz w:val="20"/>
      <w:szCs w:val="20"/>
    </w:rPr>
  </w:style>
  <w:style w:type="character" w:customStyle="1" w:styleId="CommentTextChar">
    <w:name w:val="Comment Text Char"/>
    <w:basedOn w:val="DefaultParagraphFont"/>
    <w:link w:val="CommentText"/>
    <w:uiPriority w:val="99"/>
    <w:semiHidden/>
    <w:rsid w:val="009B2BF2"/>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195357"/>
    <w:pPr>
      <w:spacing w:before="200" w:after="0"/>
      <w:jc w:val="left"/>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195357"/>
    <w:rPr>
      <w:rFonts w:ascii="Arial" w:eastAsia="Calibri"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uiPriority w:val="9"/>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R Footnote Text Char Char Char Char Char Char,Footnote Text Char2,Char Char,Footnote Text Char1 Char Char"/>
    <w:basedOn w:val="Normal"/>
    <w:link w:val="FootnoteTextChar"/>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1,AR Footnote Text Char Char Char Char Char Char Char,Footnote Text Char2 Char,Char Char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o"/>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9B2BF2"/>
    <w:pPr>
      <w:spacing w:before="0" w:after="240" w:line="240" w:lineRule="auto"/>
      <w:jc w:val="both"/>
    </w:pPr>
    <w:rPr>
      <w:rFonts w:ascii="Gautami" w:eastAsia="Calibri" w:hAnsi="Gautami" w:cs="Times New Roman"/>
      <w:sz w:val="20"/>
      <w:szCs w:val="20"/>
    </w:rPr>
  </w:style>
  <w:style w:type="character" w:customStyle="1" w:styleId="CommentTextChar">
    <w:name w:val="Comment Text Char"/>
    <w:basedOn w:val="DefaultParagraphFont"/>
    <w:link w:val="CommentText"/>
    <w:uiPriority w:val="99"/>
    <w:semiHidden/>
    <w:rsid w:val="009B2BF2"/>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195357"/>
    <w:pPr>
      <w:spacing w:before="200" w:after="0"/>
      <w:jc w:val="left"/>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195357"/>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sites/default/files/Annual%20compliance%20guideline.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aer.gov.au/node/484?date%5Bvalue%5D%5Byear%5D=&amp;sector=5&amp;category=31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er.gov.au/node/484?date%5Bvalue%5D%5Byear%5D=&amp;sector=All&amp;category=3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AER\AER%20Report%20Template%20Jan%202015.dotm"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EAC847-578F-4290-BE8C-0B89FC2AD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AER Report Template Jan 2015</Template>
  <TotalTime>1</TotalTime>
  <Pages>11</Pages>
  <Words>1754</Words>
  <Characters>10001</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[Document title]</vt:lpstr>
    </vt:vector>
  </TitlesOfParts>
  <Company>AER</Company>
  <LinksUpToDate>false</LinksUpToDate>
  <CharactersWithSpaces>11732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Chan, David</dc:creator>
  <cp:lastModifiedBy>Yang, Jessica</cp:lastModifiedBy>
  <cp:revision>2</cp:revision>
  <dcterms:created xsi:type="dcterms:W3CDTF">2015-06-29T04:13:00Z</dcterms:created>
  <dcterms:modified xsi:type="dcterms:W3CDTF">2015-06-29T04:13:00Z</dcterms:modified>
</cp:coreProperties>
</file>