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rPr>
          <w:rFonts w:eastAsiaTheme="majorEastAsia" w:cstheme="majorBidi"/>
          <w:b w:val="0"/>
          <w:noProof/>
          <w:color w:val="auto"/>
          <w:sz w:val="72"/>
          <w:szCs w:val="72"/>
          <w:lang w:eastAsia="en-AU"/>
        </w:rPr>
      </w:sdtEndPr>
      <w:sdtContent>
        <w:p w:rsidR="00C7068C" w:rsidRDefault="00D66516" w:rsidP="00C7068C">
          <w:r w:rsidRPr="00290C63">
            <w:rPr>
              <w:noProof/>
              <w:lang w:eastAsia="en-AU"/>
            </w:rPr>
            <w:drawing>
              <wp:anchor distT="0" distB="0" distL="114300" distR="114300" simplePos="0" relativeHeight="251674624" behindDoc="1" locked="0" layoutInCell="1" allowOverlap="1" wp14:anchorId="337F8A5A" wp14:editId="3EEB6E7F">
                <wp:simplePos x="0" y="0"/>
                <wp:positionH relativeFrom="column">
                  <wp:posOffset>-1089489</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9820B7" w:rsidP="00C7068C">
              <w:pPr>
                <w:pStyle w:val="ReportSubtitle"/>
              </w:pPr>
              <w:r>
                <w:t>South Australia</w:t>
              </w:r>
              <w:r w:rsidR="006F7401">
                <w:br/>
              </w:r>
              <w:r>
                <w:t>8</w:t>
              </w:r>
              <w:r w:rsidR="00C7068C">
                <w:t xml:space="preserve"> </w:t>
              </w:r>
              <w:r>
                <w:t xml:space="preserve">February </w:t>
              </w:r>
              <w:r w:rsidR="002F631A">
                <w:t>201</w:t>
              </w:r>
              <w:r w:rsidR="000B4873">
                <w:t>7</w:t>
              </w:r>
            </w:p>
            <w:p w:rsidR="00C7068C" w:rsidRDefault="00C7068C" w:rsidP="00C7068C">
              <w:pPr>
                <w:pStyle w:val="ReportDate"/>
              </w:pPr>
            </w:p>
            <w:p w:rsidR="00C7068C" w:rsidRDefault="00C7068C" w:rsidP="00C7068C">
              <w:pPr>
                <w:pStyle w:val="ReportDate"/>
              </w:pPr>
            </w:p>
            <w:p w:rsidR="00C7068C" w:rsidRPr="00DB723B" w:rsidRDefault="0059447B" w:rsidP="00C7068C">
              <w:pPr>
                <w:pStyle w:val="ReportDate"/>
              </w:pPr>
              <w:r>
                <w:t>2</w:t>
              </w:r>
              <w:r w:rsidR="0045509D">
                <w:t>7</w:t>
              </w:r>
              <w:r w:rsidR="00526460">
                <w:t xml:space="preserve"> </w:t>
              </w:r>
              <w:r w:rsidR="00375371" w:rsidRPr="00EF3683">
                <w:t>April</w:t>
              </w:r>
              <w:r w:rsidR="002F631A" w:rsidRPr="00EF3683">
                <w:t xml:space="preserve"> </w:t>
              </w:r>
              <w:r w:rsidR="00C7068C" w:rsidRPr="00EF3683">
                <w:t>201</w:t>
              </w:r>
              <w:r w:rsidR="000B4873" w:rsidRPr="00EF3683">
                <w:t>7</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0B4873">
            <w:t>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43E89">
          <w:pPr>
            <w:pStyle w:val="StyleCopyrightBefore0pt"/>
            <w:numPr>
              <w:ilvl w:val="0"/>
              <w:numId w:val="22"/>
            </w:numPr>
          </w:pPr>
          <w:r>
            <w:t>the Commonwealth Coat of Arms</w:t>
          </w:r>
        </w:p>
        <w:p w:rsidR="00C7068C" w:rsidRDefault="00C7068C" w:rsidP="00C43E89">
          <w:pPr>
            <w:pStyle w:val="StyleCopyrightBefore0pt"/>
            <w:numPr>
              <w:ilvl w:val="0"/>
              <w:numId w:val="22"/>
            </w:numPr>
          </w:pPr>
          <w:r>
            <w:t>the ACCC and AER logos</w:t>
          </w:r>
        </w:p>
        <w:p w:rsidR="00C7068C" w:rsidRPr="00B927D8" w:rsidRDefault="00C7068C" w:rsidP="00C43E89">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A04E1B" w:rsidRPr="00BD2640">
            <w:t>61</w:t>
          </w:r>
          <w:r w:rsidR="0058799D">
            <w:t>675</w:t>
          </w:r>
          <w:r w:rsidR="006329AC" w:rsidRPr="00BD2640">
            <w:t>-</w:t>
          </w:r>
          <w:r w:rsidR="002743BE" w:rsidRPr="00BD2640">
            <w:rPr>
              <w:rFonts w:cs="Arial"/>
              <w:szCs w:val="18"/>
            </w:rPr>
            <w:t>D1</w:t>
          </w:r>
          <w:r w:rsidR="00BD2640" w:rsidRPr="00BD2640">
            <w:rPr>
              <w:rFonts w:cs="Arial"/>
              <w:szCs w:val="18"/>
            </w:rPr>
            <w:t>7</w:t>
          </w:r>
          <w:r w:rsidR="002743BE" w:rsidRPr="00BD2640">
            <w:rPr>
              <w:rFonts w:cs="Arial"/>
              <w:szCs w:val="18"/>
            </w:rPr>
            <w:t>/</w:t>
          </w:r>
          <w:r w:rsidR="0058799D">
            <w:rPr>
              <w:rFonts w:cs="Arial"/>
              <w:szCs w:val="18"/>
            </w:rPr>
            <w:t>17370</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8C6B1B">
                <w:pPr>
                  <w:pStyle w:val="TableHeading"/>
                </w:pPr>
                <w:r>
                  <w:t>Version</w:t>
                </w:r>
              </w:p>
            </w:tc>
            <w:tc>
              <w:tcPr>
                <w:tcW w:w="2906" w:type="dxa"/>
              </w:tcPr>
              <w:p w:rsidR="00C7068C" w:rsidRDefault="00C7068C" w:rsidP="008C6B1B">
                <w:pPr>
                  <w:pStyle w:val="TableHeading"/>
                </w:pPr>
                <w:r>
                  <w:t>Date</w:t>
                </w:r>
              </w:p>
            </w:tc>
            <w:tc>
              <w:tcPr>
                <w:tcW w:w="2888" w:type="dxa"/>
              </w:tcPr>
              <w:p w:rsidR="00C7068C" w:rsidRDefault="00C7068C" w:rsidP="008C6B1B">
                <w:pPr>
                  <w:pStyle w:val="TableHeading"/>
                </w:pPr>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536EBE">
                <w:pPr>
                  <w:pStyle w:val="tablebodycentered"/>
                </w:pPr>
                <w:r>
                  <w:t>1 version for publication</w:t>
                </w:r>
              </w:p>
            </w:tc>
            <w:tc>
              <w:tcPr>
                <w:tcW w:w="2906" w:type="dxa"/>
              </w:tcPr>
              <w:p w:rsidR="00C7068C" w:rsidRDefault="00392368" w:rsidP="0045509D">
                <w:pPr>
                  <w:pStyle w:val="tablebodycentered"/>
                </w:pPr>
                <w:r>
                  <w:t>2</w:t>
                </w:r>
                <w:r w:rsidR="0045509D">
                  <w:t>7</w:t>
                </w:r>
                <w:r w:rsidR="00825E69">
                  <w:t xml:space="preserve"> </w:t>
                </w:r>
                <w:r w:rsidR="00375371">
                  <w:t>April 2017</w:t>
                </w:r>
              </w:p>
            </w:tc>
            <w:tc>
              <w:tcPr>
                <w:tcW w:w="2888" w:type="dxa"/>
              </w:tcPr>
              <w:p w:rsidR="00C7068C" w:rsidRDefault="00392368" w:rsidP="00536EBE">
                <w:pPr>
                  <w:pStyle w:val="tablebodycentered"/>
                </w:pPr>
                <w:r>
                  <w:t>27</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536EBE">
                <w:pPr>
                  <w:pStyle w:val="tablebodycentered"/>
                </w:pPr>
              </w:p>
            </w:tc>
            <w:tc>
              <w:tcPr>
                <w:tcW w:w="2906" w:type="dxa"/>
              </w:tcPr>
              <w:p w:rsidR="007A223D" w:rsidRPr="007A223D" w:rsidRDefault="007A223D" w:rsidP="00536EBE">
                <w:pPr>
                  <w:pStyle w:val="tablebodycentered"/>
                </w:pPr>
              </w:p>
            </w:tc>
            <w:tc>
              <w:tcPr>
                <w:tcW w:w="2888" w:type="dxa"/>
              </w:tcPr>
              <w:p w:rsidR="007A223D" w:rsidRPr="007A223D" w:rsidRDefault="007A223D" w:rsidP="00536EBE">
                <w:pPr>
                  <w:pStyle w:val="tablebodycentered"/>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59447B"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0971264" w:history="1">
            <w:r w:rsidR="0059447B" w:rsidRPr="009E4F5F">
              <w:rPr>
                <w:rStyle w:val="Hyperlink"/>
              </w:rPr>
              <w:t>1</w:t>
            </w:r>
            <w:r w:rsidR="0059447B">
              <w:rPr>
                <w:rFonts w:asciiTheme="minorHAnsi" w:eastAsiaTheme="minorEastAsia" w:hAnsiTheme="minorHAnsi"/>
                <w:b w:val="0"/>
                <w:color w:val="auto"/>
                <w:sz w:val="22"/>
                <w:lang w:val="en-AU" w:eastAsia="en-AU"/>
              </w:rPr>
              <w:tab/>
            </w:r>
            <w:r w:rsidR="0059447B" w:rsidRPr="009E4F5F">
              <w:rPr>
                <w:rStyle w:val="Hyperlink"/>
              </w:rPr>
              <w:t>Obligation</w:t>
            </w:r>
            <w:r w:rsidR="0059447B">
              <w:rPr>
                <w:webHidden/>
              </w:rPr>
              <w:tab/>
            </w:r>
            <w:r w:rsidR="0059447B">
              <w:rPr>
                <w:webHidden/>
              </w:rPr>
              <w:fldChar w:fldCharType="begin"/>
            </w:r>
            <w:r w:rsidR="0059447B">
              <w:rPr>
                <w:webHidden/>
              </w:rPr>
              <w:instrText xml:space="preserve"> PAGEREF _Toc480971264 \h </w:instrText>
            </w:r>
            <w:r w:rsidR="0059447B">
              <w:rPr>
                <w:webHidden/>
              </w:rPr>
            </w:r>
            <w:r w:rsidR="0059447B">
              <w:rPr>
                <w:webHidden/>
              </w:rPr>
              <w:fldChar w:fldCharType="separate"/>
            </w:r>
            <w:r w:rsidR="005B5767">
              <w:rPr>
                <w:webHidden/>
              </w:rPr>
              <w:t>4</w:t>
            </w:r>
            <w:r w:rsidR="0059447B">
              <w:rPr>
                <w:webHidden/>
              </w:rPr>
              <w:fldChar w:fldCharType="end"/>
            </w:r>
          </w:hyperlink>
        </w:p>
        <w:p w:rsidR="0059447B" w:rsidRDefault="00AA25BA">
          <w:pPr>
            <w:pStyle w:val="TOC1"/>
            <w:rPr>
              <w:rFonts w:asciiTheme="minorHAnsi" w:eastAsiaTheme="minorEastAsia" w:hAnsiTheme="minorHAnsi"/>
              <w:b w:val="0"/>
              <w:color w:val="auto"/>
              <w:sz w:val="22"/>
              <w:lang w:val="en-AU" w:eastAsia="en-AU"/>
            </w:rPr>
          </w:pPr>
          <w:hyperlink w:anchor="_Toc480971265" w:history="1">
            <w:r w:rsidR="0059447B" w:rsidRPr="009E4F5F">
              <w:rPr>
                <w:rStyle w:val="Hyperlink"/>
              </w:rPr>
              <w:t>2</w:t>
            </w:r>
            <w:r w:rsidR="0059447B">
              <w:rPr>
                <w:rFonts w:asciiTheme="minorHAnsi" w:eastAsiaTheme="minorEastAsia" w:hAnsiTheme="minorHAnsi"/>
                <w:b w:val="0"/>
                <w:color w:val="auto"/>
                <w:sz w:val="22"/>
                <w:lang w:val="en-AU" w:eastAsia="en-AU"/>
              </w:rPr>
              <w:tab/>
            </w:r>
            <w:r w:rsidR="0059447B" w:rsidRPr="009E4F5F">
              <w:rPr>
                <w:rStyle w:val="Hyperlink"/>
              </w:rPr>
              <w:t>Summary</w:t>
            </w:r>
            <w:r w:rsidR="0059447B">
              <w:rPr>
                <w:webHidden/>
              </w:rPr>
              <w:tab/>
            </w:r>
            <w:r w:rsidR="0059447B">
              <w:rPr>
                <w:webHidden/>
              </w:rPr>
              <w:fldChar w:fldCharType="begin"/>
            </w:r>
            <w:r w:rsidR="0059447B">
              <w:rPr>
                <w:webHidden/>
              </w:rPr>
              <w:instrText xml:space="preserve"> PAGEREF _Toc480971265 \h </w:instrText>
            </w:r>
            <w:r w:rsidR="0059447B">
              <w:rPr>
                <w:webHidden/>
              </w:rPr>
            </w:r>
            <w:r w:rsidR="0059447B">
              <w:rPr>
                <w:webHidden/>
              </w:rPr>
              <w:fldChar w:fldCharType="separate"/>
            </w:r>
            <w:r w:rsidR="005B5767">
              <w:rPr>
                <w:webHidden/>
              </w:rPr>
              <w:t>5</w:t>
            </w:r>
            <w:r w:rsidR="0059447B">
              <w:rPr>
                <w:webHidden/>
              </w:rPr>
              <w:fldChar w:fldCharType="end"/>
            </w:r>
          </w:hyperlink>
        </w:p>
        <w:p w:rsidR="0059447B" w:rsidRDefault="00AA25BA">
          <w:pPr>
            <w:pStyle w:val="TOC1"/>
            <w:rPr>
              <w:rFonts w:asciiTheme="minorHAnsi" w:eastAsiaTheme="minorEastAsia" w:hAnsiTheme="minorHAnsi"/>
              <w:b w:val="0"/>
              <w:color w:val="auto"/>
              <w:sz w:val="22"/>
              <w:lang w:val="en-AU" w:eastAsia="en-AU"/>
            </w:rPr>
          </w:pPr>
          <w:hyperlink w:anchor="_Toc480971266" w:history="1">
            <w:r w:rsidR="0059447B" w:rsidRPr="009E4F5F">
              <w:rPr>
                <w:rStyle w:val="Hyperlink"/>
              </w:rPr>
              <w:t>3</w:t>
            </w:r>
            <w:r w:rsidR="0059447B">
              <w:rPr>
                <w:rFonts w:asciiTheme="minorHAnsi" w:eastAsiaTheme="minorEastAsia" w:hAnsiTheme="minorHAnsi"/>
                <w:b w:val="0"/>
                <w:color w:val="auto"/>
                <w:sz w:val="22"/>
                <w:lang w:val="en-AU" w:eastAsia="en-AU"/>
              </w:rPr>
              <w:tab/>
            </w:r>
            <w:r w:rsidR="0059447B" w:rsidRPr="009E4F5F">
              <w:rPr>
                <w:rStyle w:val="Hyperlink"/>
              </w:rPr>
              <w:t>Analysis</w:t>
            </w:r>
            <w:r w:rsidR="0059447B">
              <w:rPr>
                <w:webHidden/>
              </w:rPr>
              <w:tab/>
            </w:r>
            <w:r w:rsidR="0059447B">
              <w:rPr>
                <w:webHidden/>
              </w:rPr>
              <w:fldChar w:fldCharType="begin"/>
            </w:r>
            <w:r w:rsidR="0059447B">
              <w:rPr>
                <w:webHidden/>
              </w:rPr>
              <w:instrText xml:space="preserve"> PAGEREF _Toc480971266 \h </w:instrText>
            </w:r>
            <w:r w:rsidR="0059447B">
              <w:rPr>
                <w:webHidden/>
              </w:rPr>
            </w:r>
            <w:r w:rsidR="0059447B">
              <w:rPr>
                <w:webHidden/>
              </w:rPr>
              <w:fldChar w:fldCharType="separate"/>
            </w:r>
            <w:r w:rsidR="005B5767">
              <w:rPr>
                <w:webHidden/>
              </w:rPr>
              <w:t>7</w:t>
            </w:r>
            <w:r w:rsidR="0059447B">
              <w:rPr>
                <w:webHidden/>
              </w:rPr>
              <w:fldChar w:fldCharType="end"/>
            </w:r>
          </w:hyperlink>
        </w:p>
        <w:p w:rsidR="0059447B" w:rsidRDefault="00AA25BA">
          <w:pPr>
            <w:pStyle w:val="TOC2"/>
            <w:rPr>
              <w:rFonts w:asciiTheme="minorHAnsi" w:eastAsiaTheme="minorEastAsia" w:hAnsiTheme="minorHAnsi"/>
              <w:b w:val="0"/>
              <w:color w:val="auto"/>
              <w:sz w:val="22"/>
              <w:lang w:eastAsia="en-AU"/>
            </w:rPr>
          </w:pPr>
          <w:hyperlink w:anchor="_Toc480971267" w:history="1">
            <w:r w:rsidR="0059447B" w:rsidRPr="009E4F5F">
              <w:rPr>
                <w:rStyle w:val="Hyperlink"/>
              </w:rPr>
              <w:t>3.1</w:t>
            </w:r>
            <w:r w:rsidR="0059447B">
              <w:rPr>
                <w:rFonts w:asciiTheme="minorHAnsi" w:eastAsiaTheme="minorEastAsia" w:hAnsiTheme="minorHAnsi"/>
                <w:b w:val="0"/>
                <w:color w:val="auto"/>
                <w:sz w:val="22"/>
                <w:lang w:eastAsia="en-AU"/>
              </w:rPr>
              <w:tab/>
            </w:r>
            <w:r w:rsidR="0059447B" w:rsidRPr="009E4F5F">
              <w:rPr>
                <w:rStyle w:val="Hyperlink"/>
              </w:rPr>
              <w:t>Conditions on the day</w:t>
            </w:r>
            <w:r w:rsidR="0059447B">
              <w:rPr>
                <w:webHidden/>
              </w:rPr>
              <w:tab/>
            </w:r>
            <w:r w:rsidR="0059447B">
              <w:rPr>
                <w:webHidden/>
              </w:rPr>
              <w:fldChar w:fldCharType="begin"/>
            </w:r>
            <w:r w:rsidR="0059447B">
              <w:rPr>
                <w:webHidden/>
              </w:rPr>
              <w:instrText xml:space="preserve"> PAGEREF _Toc480971267 \h </w:instrText>
            </w:r>
            <w:r w:rsidR="0059447B">
              <w:rPr>
                <w:webHidden/>
              </w:rPr>
            </w:r>
            <w:r w:rsidR="0059447B">
              <w:rPr>
                <w:webHidden/>
              </w:rPr>
              <w:fldChar w:fldCharType="separate"/>
            </w:r>
            <w:r w:rsidR="005B5767">
              <w:rPr>
                <w:webHidden/>
              </w:rPr>
              <w:t>8</w:t>
            </w:r>
            <w:r w:rsidR="0059447B">
              <w:rPr>
                <w:webHidden/>
              </w:rPr>
              <w:fldChar w:fldCharType="end"/>
            </w:r>
          </w:hyperlink>
        </w:p>
        <w:p w:rsidR="0059447B" w:rsidRDefault="00AA25BA">
          <w:pPr>
            <w:pStyle w:val="TOC3"/>
            <w:rPr>
              <w:rFonts w:asciiTheme="minorHAnsi" w:eastAsiaTheme="minorEastAsia" w:hAnsiTheme="minorHAnsi"/>
              <w:lang w:eastAsia="en-AU"/>
            </w:rPr>
          </w:pPr>
          <w:hyperlink w:anchor="_Toc480971268" w:history="1">
            <w:r w:rsidR="0059447B" w:rsidRPr="009E4F5F">
              <w:rPr>
                <w:rStyle w:val="Hyperlink"/>
              </w:rPr>
              <w:t>3.1.1</w:t>
            </w:r>
            <w:r w:rsidR="0059447B">
              <w:rPr>
                <w:rFonts w:asciiTheme="minorHAnsi" w:eastAsiaTheme="minorEastAsia" w:hAnsiTheme="minorHAnsi"/>
                <w:lang w:eastAsia="en-AU"/>
              </w:rPr>
              <w:tab/>
            </w:r>
            <w:r w:rsidR="0059447B" w:rsidRPr="009E4F5F">
              <w:rPr>
                <w:rStyle w:val="Hyperlink"/>
              </w:rPr>
              <w:t>Demand forecasts</w:t>
            </w:r>
            <w:r w:rsidR="0059447B">
              <w:rPr>
                <w:webHidden/>
              </w:rPr>
              <w:tab/>
            </w:r>
            <w:r w:rsidR="0059447B">
              <w:rPr>
                <w:webHidden/>
              </w:rPr>
              <w:fldChar w:fldCharType="begin"/>
            </w:r>
            <w:r w:rsidR="0059447B">
              <w:rPr>
                <w:webHidden/>
              </w:rPr>
              <w:instrText xml:space="preserve"> PAGEREF _Toc480971268 \h </w:instrText>
            </w:r>
            <w:r w:rsidR="0059447B">
              <w:rPr>
                <w:webHidden/>
              </w:rPr>
            </w:r>
            <w:r w:rsidR="0059447B">
              <w:rPr>
                <w:webHidden/>
              </w:rPr>
              <w:fldChar w:fldCharType="separate"/>
            </w:r>
            <w:r w:rsidR="005B5767">
              <w:rPr>
                <w:webHidden/>
              </w:rPr>
              <w:t>8</w:t>
            </w:r>
            <w:r w:rsidR="0059447B">
              <w:rPr>
                <w:webHidden/>
              </w:rPr>
              <w:fldChar w:fldCharType="end"/>
            </w:r>
          </w:hyperlink>
        </w:p>
        <w:p w:rsidR="0059447B" w:rsidRDefault="00AA25BA">
          <w:pPr>
            <w:pStyle w:val="TOC3"/>
            <w:rPr>
              <w:rFonts w:asciiTheme="minorHAnsi" w:eastAsiaTheme="minorEastAsia" w:hAnsiTheme="minorHAnsi"/>
              <w:lang w:eastAsia="en-AU"/>
            </w:rPr>
          </w:pPr>
          <w:hyperlink w:anchor="_Toc480971269" w:history="1">
            <w:r w:rsidR="0059447B" w:rsidRPr="009E4F5F">
              <w:rPr>
                <w:rStyle w:val="Hyperlink"/>
              </w:rPr>
              <w:t>3.1.2</w:t>
            </w:r>
            <w:r w:rsidR="0059447B">
              <w:rPr>
                <w:rFonts w:asciiTheme="minorHAnsi" w:eastAsiaTheme="minorEastAsia" w:hAnsiTheme="minorHAnsi"/>
                <w:lang w:eastAsia="en-AU"/>
              </w:rPr>
              <w:tab/>
            </w:r>
            <w:r w:rsidR="0059447B" w:rsidRPr="009E4F5F">
              <w:rPr>
                <w:rStyle w:val="Hyperlink"/>
              </w:rPr>
              <w:t>Network availability</w:t>
            </w:r>
            <w:r w:rsidR="0059447B">
              <w:rPr>
                <w:webHidden/>
              </w:rPr>
              <w:tab/>
            </w:r>
            <w:r w:rsidR="0059447B">
              <w:rPr>
                <w:webHidden/>
              </w:rPr>
              <w:fldChar w:fldCharType="begin"/>
            </w:r>
            <w:r w:rsidR="0059447B">
              <w:rPr>
                <w:webHidden/>
              </w:rPr>
              <w:instrText xml:space="preserve"> PAGEREF _Toc480971269 \h </w:instrText>
            </w:r>
            <w:r w:rsidR="0059447B">
              <w:rPr>
                <w:webHidden/>
              </w:rPr>
            </w:r>
            <w:r w:rsidR="0059447B">
              <w:rPr>
                <w:webHidden/>
              </w:rPr>
              <w:fldChar w:fldCharType="separate"/>
            </w:r>
            <w:r w:rsidR="005B5767">
              <w:rPr>
                <w:webHidden/>
              </w:rPr>
              <w:t>10</w:t>
            </w:r>
            <w:r w:rsidR="0059447B">
              <w:rPr>
                <w:webHidden/>
              </w:rPr>
              <w:fldChar w:fldCharType="end"/>
            </w:r>
          </w:hyperlink>
        </w:p>
        <w:p w:rsidR="0059447B" w:rsidRDefault="00AA25BA">
          <w:pPr>
            <w:pStyle w:val="TOC3"/>
            <w:rPr>
              <w:rFonts w:asciiTheme="minorHAnsi" w:eastAsiaTheme="minorEastAsia" w:hAnsiTheme="minorHAnsi"/>
              <w:lang w:eastAsia="en-AU"/>
            </w:rPr>
          </w:pPr>
          <w:hyperlink w:anchor="_Toc480971270" w:history="1">
            <w:r w:rsidR="0059447B" w:rsidRPr="009E4F5F">
              <w:rPr>
                <w:rStyle w:val="Hyperlink"/>
              </w:rPr>
              <w:t>3.1.3</w:t>
            </w:r>
            <w:r w:rsidR="0059447B">
              <w:rPr>
                <w:rFonts w:asciiTheme="minorHAnsi" w:eastAsiaTheme="minorEastAsia" w:hAnsiTheme="minorHAnsi"/>
                <w:lang w:eastAsia="en-AU"/>
              </w:rPr>
              <w:tab/>
            </w:r>
            <w:r w:rsidR="0059447B" w:rsidRPr="009E4F5F">
              <w:rPr>
                <w:rStyle w:val="Hyperlink"/>
              </w:rPr>
              <w:t>Generator offers and availability</w:t>
            </w:r>
            <w:r w:rsidR="0059447B">
              <w:rPr>
                <w:webHidden/>
              </w:rPr>
              <w:tab/>
            </w:r>
            <w:r w:rsidR="0059447B">
              <w:rPr>
                <w:webHidden/>
              </w:rPr>
              <w:fldChar w:fldCharType="begin"/>
            </w:r>
            <w:r w:rsidR="0059447B">
              <w:rPr>
                <w:webHidden/>
              </w:rPr>
              <w:instrText xml:space="preserve"> PAGEREF _Toc480971270 \h </w:instrText>
            </w:r>
            <w:r w:rsidR="0059447B">
              <w:rPr>
                <w:webHidden/>
              </w:rPr>
            </w:r>
            <w:r w:rsidR="0059447B">
              <w:rPr>
                <w:webHidden/>
              </w:rPr>
              <w:fldChar w:fldCharType="separate"/>
            </w:r>
            <w:r w:rsidR="005B5767">
              <w:rPr>
                <w:webHidden/>
              </w:rPr>
              <w:t>11</w:t>
            </w:r>
            <w:r w:rsidR="0059447B">
              <w:rPr>
                <w:webHidden/>
              </w:rPr>
              <w:fldChar w:fldCharType="end"/>
            </w:r>
          </w:hyperlink>
        </w:p>
        <w:p w:rsidR="0059447B" w:rsidRDefault="00AA25BA">
          <w:pPr>
            <w:pStyle w:val="TOC3"/>
            <w:rPr>
              <w:rFonts w:asciiTheme="minorHAnsi" w:eastAsiaTheme="minorEastAsia" w:hAnsiTheme="minorHAnsi"/>
              <w:lang w:eastAsia="en-AU"/>
            </w:rPr>
          </w:pPr>
          <w:hyperlink w:anchor="_Toc480971271" w:history="1">
            <w:r w:rsidR="0059447B" w:rsidRPr="009E4F5F">
              <w:rPr>
                <w:rStyle w:val="Hyperlink"/>
              </w:rPr>
              <w:t>3.1.4</w:t>
            </w:r>
            <w:r w:rsidR="0059447B">
              <w:rPr>
                <w:rFonts w:asciiTheme="minorHAnsi" w:eastAsiaTheme="minorEastAsia" w:hAnsiTheme="minorHAnsi"/>
                <w:lang w:eastAsia="en-AU"/>
              </w:rPr>
              <w:tab/>
            </w:r>
            <w:r w:rsidR="0059447B" w:rsidRPr="009E4F5F">
              <w:rPr>
                <w:rStyle w:val="Hyperlink"/>
              </w:rPr>
              <w:t>Lack of Reserve (LOR)</w:t>
            </w:r>
            <w:r w:rsidR="0059447B">
              <w:rPr>
                <w:webHidden/>
              </w:rPr>
              <w:tab/>
            </w:r>
            <w:r w:rsidR="0059447B">
              <w:rPr>
                <w:webHidden/>
              </w:rPr>
              <w:fldChar w:fldCharType="begin"/>
            </w:r>
            <w:r w:rsidR="0059447B">
              <w:rPr>
                <w:webHidden/>
              </w:rPr>
              <w:instrText xml:space="preserve"> PAGEREF _Toc480971271 \h </w:instrText>
            </w:r>
            <w:r w:rsidR="0059447B">
              <w:rPr>
                <w:webHidden/>
              </w:rPr>
            </w:r>
            <w:r w:rsidR="0059447B">
              <w:rPr>
                <w:webHidden/>
              </w:rPr>
              <w:fldChar w:fldCharType="separate"/>
            </w:r>
            <w:r w:rsidR="005B5767">
              <w:rPr>
                <w:webHidden/>
              </w:rPr>
              <w:t>15</w:t>
            </w:r>
            <w:r w:rsidR="0059447B">
              <w:rPr>
                <w:webHidden/>
              </w:rPr>
              <w:fldChar w:fldCharType="end"/>
            </w:r>
          </w:hyperlink>
        </w:p>
        <w:p w:rsidR="0059447B" w:rsidRDefault="00AA25BA">
          <w:pPr>
            <w:pStyle w:val="TOC2"/>
            <w:rPr>
              <w:rFonts w:asciiTheme="minorHAnsi" w:eastAsiaTheme="minorEastAsia" w:hAnsiTheme="minorHAnsi"/>
              <w:b w:val="0"/>
              <w:color w:val="auto"/>
              <w:sz w:val="22"/>
              <w:lang w:eastAsia="en-AU"/>
            </w:rPr>
          </w:pPr>
          <w:hyperlink w:anchor="_Toc480971272" w:history="1">
            <w:r w:rsidR="0059447B" w:rsidRPr="009E4F5F">
              <w:rPr>
                <w:rStyle w:val="Hyperlink"/>
              </w:rPr>
              <w:t>3.2</w:t>
            </w:r>
            <w:r w:rsidR="0059447B">
              <w:rPr>
                <w:rFonts w:asciiTheme="minorHAnsi" w:eastAsiaTheme="minorEastAsia" w:hAnsiTheme="minorHAnsi"/>
                <w:b w:val="0"/>
                <w:color w:val="auto"/>
                <w:sz w:val="22"/>
                <w:lang w:eastAsia="en-AU"/>
              </w:rPr>
              <w:tab/>
            </w:r>
            <w:r w:rsidR="0059447B" w:rsidRPr="009E4F5F">
              <w:rPr>
                <w:rStyle w:val="Hyperlink"/>
              </w:rPr>
              <w:t>Market Outcomes</w:t>
            </w:r>
            <w:r w:rsidR="0059447B">
              <w:rPr>
                <w:webHidden/>
              </w:rPr>
              <w:tab/>
            </w:r>
            <w:r w:rsidR="0059447B">
              <w:rPr>
                <w:webHidden/>
              </w:rPr>
              <w:fldChar w:fldCharType="begin"/>
            </w:r>
            <w:r w:rsidR="0059447B">
              <w:rPr>
                <w:webHidden/>
              </w:rPr>
              <w:instrText xml:space="preserve"> PAGEREF _Toc480971272 \h </w:instrText>
            </w:r>
            <w:r w:rsidR="0059447B">
              <w:rPr>
                <w:webHidden/>
              </w:rPr>
            </w:r>
            <w:r w:rsidR="0059447B">
              <w:rPr>
                <w:webHidden/>
              </w:rPr>
              <w:fldChar w:fldCharType="separate"/>
            </w:r>
            <w:r w:rsidR="005B5767">
              <w:rPr>
                <w:webHidden/>
              </w:rPr>
              <w:t>17</w:t>
            </w:r>
            <w:r w:rsidR="0059447B">
              <w:rPr>
                <w:webHidden/>
              </w:rPr>
              <w:fldChar w:fldCharType="end"/>
            </w:r>
          </w:hyperlink>
        </w:p>
        <w:p w:rsidR="0059447B" w:rsidRDefault="00AA25BA">
          <w:pPr>
            <w:pStyle w:val="TOC1"/>
            <w:tabs>
              <w:tab w:val="left" w:pos="1701"/>
            </w:tabs>
            <w:rPr>
              <w:rFonts w:asciiTheme="minorHAnsi" w:eastAsiaTheme="minorEastAsia" w:hAnsiTheme="minorHAnsi"/>
              <w:b w:val="0"/>
              <w:color w:val="auto"/>
              <w:sz w:val="22"/>
              <w:lang w:val="en-AU" w:eastAsia="en-AU"/>
            </w:rPr>
          </w:pPr>
          <w:hyperlink w:anchor="_Toc480971273" w:history="1">
            <w:r w:rsidR="0059447B" w:rsidRPr="009E4F5F">
              <w:rPr>
                <w:rStyle w:val="Hyperlink"/>
              </w:rPr>
              <w:t>Appendix A:</w:t>
            </w:r>
            <w:r w:rsidR="0059447B">
              <w:rPr>
                <w:rFonts w:asciiTheme="minorHAnsi" w:eastAsiaTheme="minorEastAsia" w:hAnsiTheme="minorHAnsi"/>
                <w:b w:val="0"/>
                <w:color w:val="auto"/>
                <w:sz w:val="22"/>
                <w:lang w:val="en-AU" w:eastAsia="en-AU"/>
              </w:rPr>
              <w:tab/>
            </w:r>
            <w:r w:rsidR="0059447B" w:rsidRPr="009E4F5F">
              <w:rPr>
                <w:rStyle w:val="Hyperlink"/>
              </w:rPr>
              <w:t>Significant Rebids</w:t>
            </w:r>
            <w:r w:rsidR="0059447B">
              <w:rPr>
                <w:webHidden/>
              </w:rPr>
              <w:tab/>
            </w:r>
            <w:r w:rsidR="0059447B">
              <w:rPr>
                <w:webHidden/>
              </w:rPr>
              <w:fldChar w:fldCharType="begin"/>
            </w:r>
            <w:r w:rsidR="0059447B">
              <w:rPr>
                <w:webHidden/>
              </w:rPr>
              <w:instrText xml:space="preserve"> PAGEREF _Toc480971273 \h </w:instrText>
            </w:r>
            <w:r w:rsidR="0059447B">
              <w:rPr>
                <w:webHidden/>
              </w:rPr>
            </w:r>
            <w:r w:rsidR="0059447B">
              <w:rPr>
                <w:webHidden/>
              </w:rPr>
              <w:fldChar w:fldCharType="separate"/>
            </w:r>
            <w:r w:rsidR="005B5767">
              <w:rPr>
                <w:webHidden/>
              </w:rPr>
              <w:t>19</w:t>
            </w:r>
            <w:r w:rsidR="0059447B">
              <w:rPr>
                <w:webHidden/>
              </w:rPr>
              <w:fldChar w:fldCharType="end"/>
            </w:r>
          </w:hyperlink>
        </w:p>
        <w:p w:rsidR="0059447B" w:rsidRDefault="00AA25BA">
          <w:pPr>
            <w:pStyle w:val="TOC1"/>
            <w:tabs>
              <w:tab w:val="left" w:pos="1701"/>
            </w:tabs>
            <w:rPr>
              <w:rFonts w:asciiTheme="minorHAnsi" w:eastAsiaTheme="minorEastAsia" w:hAnsiTheme="minorHAnsi"/>
              <w:b w:val="0"/>
              <w:color w:val="auto"/>
              <w:sz w:val="22"/>
              <w:lang w:val="en-AU" w:eastAsia="en-AU"/>
            </w:rPr>
          </w:pPr>
          <w:hyperlink w:anchor="_Toc480971274" w:history="1">
            <w:r w:rsidR="0059447B" w:rsidRPr="009E4F5F">
              <w:rPr>
                <w:rStyle w:val="Hyperlink"/>
              </w:rPr>
              <w:t>Appendix B:</w:t>
            </w:r>
            <w:r w:rsidR="0059447B">
              <w:rPr>
                <w:rFonts w:asciiTheme="minorHAnsi" w:eastAsiaTheme="minorEastAsia" w:hAnsiTheme="minorHAnsi"/>
                <w:b w:val="0"/>
                <w:color w:val="auto"/>
                <w:sz w:val="22"/>
                <w:lang w:val="en-AU" w:eastAsia="en-AU"/>
              </w:rPr>
              <w:tab/>
            </w:r>
            <w:r w:rsidR="0059447B" w:rsidRPr="009E4F5F">
              <w:rPr>
                <w:rStyle w:val="Hyperlink"/>
              </w:rPr>
              <w:t>Price setter</w:t>
            </w:r>
            <w:r w:rsidR="0059447B">
              <w:rPr>
                <w:webHidden/>
              </w:rPr>
              <w:tab/>
            </w:r>
            <w:r w:rsidR="0059447B">
              <w:rPr>
                <w:webHidden/>
              </w:rPr>
              <w:fldChar w:fldCharType="begin"/>
            </w:r>
            <w:r w:rsidR="0059447B">
              <w:rPr>
                <w:webHidden/>
              </w:rPr>
              <w:instrText xml:space="preserve"> PAGEREF _Toc480971274 \h </w:instrText>
            </w:r>
            <w:r w:rsidR="0059447B">
              <w:rPr>
                <w:webHidden/>
              </w:rPr>
            </w:r>
            <w:r w:rsidR="0059447B">
              <w:rPr>
                <w:webHidden/>
              </w:rPr>
              <w:fldChar w:fldCharType="separate"/>
            </w:r>
            <w:r w:rsidR="005B5767">
              <w:rPr>
                <w:webHidden/>
              </w:rPr>
              <w:t>21</w:t>
            </w:r>
            <w:r w:rsidR="0059447B">
              <w:rPr>
                <w:webHidden/>
              </w:rPr>
              <w:fldChar w:fldCharType="end"/>
            </w:r>
          </w:hyperlink>
        </w:p>
        <w:p w:rsidR="0059447B" w:rsidRDefault="00AA25BA">
          <w:pPr>
            <w:pStyle w:val="TOC1"/>
            <w:tabs>
              <w:tab w:val="left" w:pos="1701"/>
            </w:tabs>
            <w:rPr>
              <w:rFonts w:asciiTheme="minorHAnsi" w:eastAsiaTheme="minorEastAsia" w:hAnsiTheme="minorHAnsi"/>
              <w:b w:val="0"/>
              <w:color w:val="auto"/>
              <w:sz w:val="22"/>
              <w:lang w:val="en-AU" w:eastAsia="en-AU"/>
            </w:rPr>
          </w:pPr>
          <w:hyperlink w:anchor="_Toc480971275" w:history="1">
            <w:r w:rsidR="0059447B" w:rsidRPr="009E4F5F">
              <w:rPr>
                <w:rStyle w:val="Hyperlink"/>
              </w:rPr>
              <w:t>Appendix C:</w:t>
            </w:r>
            <w:r w:rsidR="0059447B">
              <w:rPr>
                <w:rFonts w:asciiTheme="minorHAnsi" w:eastAsiaTheme="minorEastAsia" w:hAnsiTheme="minorHAnsi"/>
                <w:b w:val="0"/>
                <w:color w:val="auto"/>
                <w:sz w:val="22"/>
                <w:lang w:val="en-AU" w:eastAsia="en-AU"/>
              </w:rPr>
              <w:tab/>
            </w:r>
            <w:r w:rsidR="0059447B" w:rsidRPr="009E4F5F">
              <w:rPr>
                <w:rStyle w:val="Hyperlink"/>
              </w:rPr>
              <w:t>Closing bids</w:t>
            </w:r>
            <w:r w:rsidR="0059447B">
              <w:rPr>
                <w:webHidden/>
              </w:rPr>
              <w:tab/>
            </w:r>
            <w:r w:rsidR="0059447B">
              <w:rPr>
                <w:webHidden/>
              </w:rPr>
              <w:fldChar w:fldCharType="begin"/>
            </w:r>
            <w:r w:rsidR="0059447B">
              <w:rPr>
                <w:webHidden/>
              </w:rPr>
              <w:instrText xml:space="preserve"> PAGEREF _Toc480971275 \h </w:instrText>
            </w:r>
            <w:r w:rsidR="0059447B">
              <w:rPr>
                <w:webHidden/>
              </w:rPr>
            </w:r>
            <w:r w:rsidR="0059447B">
              <w:rPr>
                <w:webHidden/>
              </w:rPr>
              <w:fldChar w:fldCharType="separate"/>
            </w:r>
            <w:r w:rsidR="005B5767">
              <w:rPr>
                <w:webHidden/>
              </w:rPr>
              <w:t>24</w:t>
            </w:r>
            <w:r w:rsidR="0059447B">
              <w:rPr>
                <w:webHidden/>
              </w:rPr>
              <w:fldChar w:fldCharType="end"/>
            </w:r>
          </w:hyperlink>
        </w:p>
        <w:p w:rsidR="0059447B" w:rsidRDefault="00AA25BA">
          <w:pPr>
            <w:pStyle w:val="TOC1"/>
            <w:tabs>
              <w:tab w:val="left" w:pos="1701"/>
            </w:tabs>
            <w:rPr>
              <w:rFonts w:asciiTheme="minorHAnsi" w:eastAsiaTheme="minorEastAsia" w:hAnsiTheme="minorHAnsi"/>
              <w:b w:val="0"/>
              <w:color w:val="auto"/>
              <w:sz w:val="22"/>
              <w:lang w:val="en-AU" w:eastAsia="en-AU"/>
            </w:rPr>
          </w:pPr>
          <w:hyperlink w:anchor="_Toc480971276" w:history="1">
            <w:r w:rsidR="0059447B" w:rsidRPr="009E4F5F">
              <w:rPr>
                <w:rStyle w:val="Hyperlink"/>
              </w:rPr>
              <w:t>Appendix D:</w:t>
            </w:r>
            <w:r w:rsidR="0059447B">
              <w:rPr>
                <w:rFonts w:asciiTheme="minorHAnsi" w:eastAsiaTheme="minorEastAsia" w:hAnsiTheme="minorHAnsi"/>
                <w:b w:val="0"/>
                <w:color w:val="auto"/>
                <w:sz w:val="22"/>
                <w:lang w:val="en-AU" w:eastAsia="en-AU"/>
              </w:rPr>
              <w:tab/>
            </w:r>
            <w:r w:rsidR="0059447B" w:rsidRPr="009E4F5F">
              <w:rPr>
                <w:rStyle w:val="Hyperlink"/>
              </w:rPr>
              <w:t>Relevant Market Notices</w:t>
            </w:r>
            <w:r w:rsidR="0059447B">
              <w:rPr>
                <w:webHidden/>
              </w:rPr>
              <w:tab/>
            </w:r>
            <w:r w:rsidR="0059447B">
              <w:rPr>
                <w:webHidden/>
              </w:rPr>
              <w:fldChar w:fldCharType="begin"/>
            </w:r>
            <w:r w:rsidR="0059447B">
              <w:rPr>
                <w:webHidden/>
              </w:rPr>
              <w:instrText xml:space="preserve"> PAGEREF _Toc480971276 \h </w:instrText>
            </w:r>
            <w:r w:rsidR="0059447B">
              <w:rPr>
                <w:webHidden/>
              </w:rPr>
            </w:r>
            <w:r w:rsidR="0059447B">
              <w:rPr>
                <w:webHidden/>
              </w:rPr>
              <w:fldChar w:fldCharType="separate"/>
            </w:r>
            <w:r w:rsidR="005B5767">
              <w:rPr>
                <w:webHidden/>
              </w:rPr>
              <w:t>25</w:t>
            </w:r>
            <w:r w:rsidR="0059447B">
              <w:rPr>
                <w:webHidden/>
              </w:rPr>
              <w:fldChar w:fldCharType="end"/>
            </w:r>
          </w:hyperlink>
        </w:p>
        <w:p w:rsidR="0059447B" w:rsidRDefault="00AA25BA">
          <w:pPr>
            <w:pStyle w:val="TOC1"/>
            <w:tabs>
              <w:tab w:val="left" w:pos="1701"/>
            </w:tabs>
            <w:rPr>
              <w:rFonts w:asciiTheme="minorHAnsi" w:eastAsiaTheme="minorEastAsia" w:hAnsiTheme="minorHAnsi"/>
              <w:b w:val="0"/>
              <w:color w:val="auto"/>
              <w:sz w:val="22"/>
              <w:lang w:val="en-AU" w:eastAsia="en-AU"/>
            </w:rPr>
          </w:pPr>
          <w:hyperlink w:anchor="_Toc480971277" w:history="1">
            <w:r w:rsidR="0059447B" w:rsidRPr="009E4F5F">
              <w:rPr>
                <w:rStyle w:val="Hyperlink"/>
              </w:rPr>
              <w:t>Appendix E:</w:t>
            </w:r>
            <w:r w:rsidR="0059447B">
              <w:rPr>
                <w:rFonts w:asciiTheme="minorHAnsi" w:eastAsiaTheme="minorEastAsia" w:hAnsiTheme="minorHAnsi"/>
                <w:b w:val="0"/>
                <w:color w:val="auto"/>
                <w:sz w:val="22"/>
                <w:lang w:val="en-AU" w:eastAsia="en-AU"/>
              </w:rPr>
              <w:tab/>
            </w:r>
            <w:r w:rsidR="0059447B" w:rsidRPr="009E4F5F">
              <w:rPr>
                <w:rStyle w:val="Hyperlink"/>
              </w:rPr>
              <w:t>Generation Capacity</w:t>
            </w:r>
            <w:r w:rsidR="0059447B">
              <w:rPr>
                <w:webHidden/>
              </w:rPr>
              <w:tab/>
            </w:r>
            <w:r w:rsidR="0059447B">
              <w:rPr>
                <w:webHidden/>
              </w:rPr>
              <w:fldChar w:fldCharType="begin"/>
            </w:r>
            <w:r w:rsidR="0059447B">
              <w:rPr>
                <w:webHidden/>
              </w:rPr>
              <w:instrText xml:space="preserve"> PAGEREF _Toc480971277 \h </w:instrText>
            </w:r>
            <w:r w:rsidR="0059447B">
              <w:rPr>
                <w:webHidden/>
              </w:rPr>
            </w:r>
            <w:r w:rsidR="0059447B">
              <w:rPr>
                <w:webHidden/>
              </w:rPr>
              <w:fldChar w:fldCharType="separate"/>
            </w:r>
            <w:r w:rsidR="005B5767">
              <w:rPr>
                <w:webHidden/>
              </w:rPr>
              <w:t>27</w:t>
            </w:r>
            <w:r w:rsidR="0059447B">
              <w:rPr>
                <w:webHidden/>
              </w:rPr>
              <w:fldChar w:fldCharType="end"/>
            </w:r>
          </w:hyperlink>
        </w:p>
        <w:p w:rsidR="00C7068C" w:rsidRDefault="00C7068C" w:rsidP="00C7068C">
          <w:r>
            <w:fldChar w:fldCharType="end"/>
          </w:r>
          <w:bookmarkStart w:id="0" w:name="_Toc213047617"/>
        </w:p>
        <w:p w:rsidR="00C7068C" w:rsidRDefault="00C7068C" w:rsidP="00C7068C">
          <w:pPr>
            <w:sectPr w:rsidR="00C7068C" w:rsidSect="001C3F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C7068C" w:rsidRDefault="00FC06D9" w:rsidP="00C7068C">
          <w:pPr>
            <w:pStyle w:val="Heading1"/>
          </w:pPr>
          <w:bookmarkStart w:id="1" w:name="_Toc480971264"/>
          <w:bookmarkEnd w:id="0"/>
          <w:r>
            <w:lastRenderedPageBreak/>
            <w:t>Obligation</w:t>
          </w:r>
          <w:bookmarkEnd w:id="1"/>
          <w:r w:rsidR="00C7068C">
            <w:t xml:space="preserve"> </w:t>
          </w:r>
        </w:p>
        <w:p w:rsidR="0050565B" w:rsidRDefault="0050565B" w:rsidP="0050565B">
          <w:pPr>
            <w:pStyle w:val="AERBody"/>
            <w:rPr>
              <w:rFonts w:ascii="Helvetica" w:hAnsi="Helvetica" w:cs="Helvetica"/>
              <w:sz w:val="21"/>
              <w:szCs w:val="21"/>
              <w:lang w:val="en" w:eastAsia="en-AU"/>
            </w:rPr>
          </w:pPr>
          <w:r>
            <w:rPr>
              <w:lang w:val="en" w:eastAsia="en-AU"/>
            </w:rPr>
            <w:t xml:space="preserve">The Australian Energy Regulator regulates energy markets and networks under national legislation and rules in eastern and southern Australia, as well as networks in the Northern Territory. Its functions include: </w:t>
          </w:r>
        </w:p>
        <w:p w:rsidR="0050565B" w:rsidRDefault="0050565B" w:rsidP="0050565B">
          <w:pPr>
            <w:pStyle w:val="Bulletpoint"/>
            <w:rPr>
              <w:rFonts w:ascii="Helvetica" w:hAnsi="Helvetica" w:cs="Helvetica"/>
              <w:sz w:val="21"/>
              <w:szCs w:val="21"/>
              <w:lang w:val="en" w:eastAsia="en-AU"/>
            </w:rPr>
          </w:pPr>
          <w:r>
            <w:rPr>
              <w:lang w:val="en" w:eastAsia="en-AU"/>
            </w:rPr>
            <w:t xml:space="preserve">monitoring wholesale electricity and gas markets to ensure energy businesses comply with the legislation and rules, and taking enforcement action where necessary; </w:t>
          </w:r>
        </w:p>
        <w:p w:rsidR="0050565B" w:rsidRDefault="0050565B" w:rsidP="0050565B">
          <w:pPr>
            <w:pStyle w:val="Bulletpoint"/>
            <w:rPr>
              <w:rFonts w:ascii="Helvetica" w:hAnsi="Helvetica" w:cs="Helvetica"/>
              <w:sz w:val="21"/>
              <w:szCs w:val="21"/>
              <w:lang w:val="en" w:eastAsia="en-AU"/>
            </w:rPr>
          </w:pPr>
          <w:r>
            <w:rPr>
              <w:lang w:val="en" w:eastAsia="en-AU"/>
            </w:rPr>
            <w:t xml:space="preserve">setting the amount of revenue that network businesses can recover from customers for using networks (electricity poles and wires and gas pipelines) that transport energy; </w:t>
          </w:r>
        </w:p>
        <w:p w:rsidR="0050565B" w:rsidRDefault="0050565B" w:rsidP="0050565B">
          <w:pPr>
            <w:pStyle w:val="Bulletpoint"/>
            <w:rPr>
              <w:rFonts w:ascii="Helvetica" w:hAnsi="Helvetica" w:cs="Helvetica"/>
              <w:sz w:val="21"/>
              <w:szCs w:val="21"/>
              <w:lang w:val="en" w:eastAsia="en-AU"/>
            </w:rPr>
          </w:pPr>
          <w:r>
            <w:rPr>
              <w:lang w:val="en" w:eastAsia="en-AU"/>
            </w:rPr>
            <w:t xml:space="preserve">regulating retail energy markets in Queensland, New South Wales, South Australia, Tasmania (electricity only), and the ACT; </w:t>
          </w:r>
        </w:p>
        <w:p w:rsidR="0050565B" w:rsidRDefault="0050565B" w:rsidP="0050565B">
          <w:pPr>
            <w:pStyle w:val="Bulletpoint"/>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50565B" w:rsidRDefault="0050565B" w:rsidP="0050565B">
          <w:pPr>
            <w:pStyle w:val="Bulletpoint"/>
            <w:rPr>
              <w:rFonts w:ascii="Helvetica" w:hAnsi="Helvetica" w:cs="Helvetica"/>
              <w:sz w:val="21"/>
              <w:szCs w:val="21"/>
              <w:lang w:val="en" w:eastAsia="en-AU"/>
            </w:rPr>
          </w:pPr>
          <w:proofErr w:type="gramStart"/>
          <w:r>
            <w:rPr>
              <w:lang w:val="en" w:eastAsia="en-AU"/>
            </w:rPr>
            <w:t>publishing</w:t>
          </w:r>
          <w:proofErr w:type="gramEnd"/>
          <w:r>
            <w:rPr>
              <w:lang w:val="en" w:eastAsia="en-AU"/>
            </w:rPr>
            <w:t xml:space="preserve"> information on energy markets, including the annual State of the energy market report, to assist participants and the wider community. </w:t>
          </w:r>
        </w:p>
        <w:p w:rsidR="00FC06D9" w:rsidRPr="00065A0D" w:rsidRDefault="00065A0D" w:rsidP="0050565B">
          <w:pPr>
            <w:pStyle w:val="AERBody"/>
          </w:pPr>
          <w:r>
            <w:t>T</w:t>
          </w:r>
          <w:r w:rsidR="00FC06D9">
            <w:t xml:space="preserve">he AER is required to publish a report </w:t>
          </w:r>
          <w:r>
            <w:t xml:space="preserve">whenever the electricity spot price exceeds $5000/MWh in </w:t>
          </w:r>
          <w:r w:rsidRPr="0050565B">
            <w:t>accordance</w:t>
          </w:r>
          <w:r>
            <w:t xml:space="preserve"> with clause 3.13.7 (d) the National Electricity Rules</w:t>
          </w:r>
          <w:r w:rsidR="00FC06D9">
            <w:t>.</w:t>
          </w:r>
        </w:p>
        <w:p w:rsidR="00FC06D9" w:rsidRDefault="00FC06D9" w:rsidP="0050565B">
          <w:pPr>
            <w:pStyle w:val="AERBody"/>
          </w:pPr>
          <w:r>
            <w:t xml:space="preserve">The </w:t>
          </w:r>
          <w:r w:rsidRPr="0050565B">
            <w:t>report</w:t>
          </w:r>
          <w:r>
            <w:t xml:space="preserve">: </w:t>
          </w:r>
        </w:p>
        <w:p w:rsidR="00FC06D9" w:rsidRDefault="00FC06D9" w:rsidP="00FC06D9">
          <w:pPr>
            <w:pStyle w:val="Bulletpoint"/>
            <w:numPr>
              <w:ilvl w:val="0"/>
              <w:numId w:val="33"/>
            </w:numPr>
            <w:tabs>
              <w:tab w:val="clear" w:pos="340"/>
            </w:tabs>
          </w:pPr>
          <w:r>
            <w:t xml:space="preserve">describes the significant factors contributing to the spot price exceeding $5000/MWh, including withdrawal of generation capacity and network availability; </w:t>
          </w:r>
        </w:p>
        <w:p w:rsidR="00FC06D9" w:rsidRDefault="00FC06D9" w:rsidP="00FC06D9">
          <w:pPr>
            <w:pStyle w:val="Bulletpoint"/>
            <w:numPr>
              <w:ilvl w:val="0"/>
              <w:numId w:val="33"/>
            </w:numPr>
            <w:tabs>
              <w:tab w:val="clear" w:pos="340"/>
            </w:tabs>
          </w:pPr>
          <w:r>
            <w:t xml:space="preserve">assesses whether rebidding contributed to the spot price exceeding $5000/MWh; </w:t>
          </w:r>
        </w:p>
        <w:p w:rsidR="00FC06D9" w:rsidRDefault="00FC06D9" w:rsidP="00FC06D9">
          <w:pPr>
            <w:pStyle w:val="Bulletpoint"/>
            <w:numPr>
              <w:ilvl w:val="0"/>
              <w:numId w:val="33"/>
            </w:numPr>
            <w:tabs>
              <w:tab w:val="clear" w:pos="340"/>
            </w:tabs>
          </w:pPr>
          <w:r>
            <w:t>identifies the marginal scheduled generating units; and</w:t>
          </w:r>
        </w:p>
        <w:p w:rsidR="00FC06D9" w:rsidRDefault="00FC06D9" w:rsidP="00FC06D9">
          <w:pPr>
            <w:pStyle w:val="Bulletpoint"/>
            <w:numPr>
              <w:ilvl w:val="0"/>
              <w:numId w:val="33"/>
            </w:numPr>
            <w:tabs>
              <w:tab w:val="clear" w:pos="340"/>
            </w:tabs>
          </w:pPr>
          <w:proofErr w:type="gramStart"/>
          <w:r>
            <w:t>identifies</w:t>
          </w:r>
          <w:proofErr w:type="gramEnd"/>
          <w:r>
            <w:t xml:space="preserve"> all units with offers for the trading interval equal to or greater than $5000/MWh and compares these dispatch offers to relevant dispatch offers in previous trading intervals. </w:t>
          </w:r>
        </w:p>
        <w:p w:rsidR="00FC06D9" w:rsidRDefault="00FC06D9" w:rsidP="0050565B">
          <w:pPr>
            <w:pStyle w:val="AERBody"/>
          </w:pPr>
          <w:r>
            <w:t xml:space="preserve">These </w:t>
          </w:r>
          <w:r w:rsidRPr="0050565B">
            <w:t>reports</w:t>
          </w:r>
          <w:r>
            <w:t xml:space="preserve"> are designed to examine market events </w:t>
          </w:r>
          <w:r w:rsidR="00FF4078">
            <w:t xml:space="preserve">and circumstances </w:t>
          </w:r>
          <w:r>
            <w:t xml:space="preserve">that contributed to </w:t>
          </w:r>
          <w:r w:rsidR="00FF4078">
            <w:t xml:space="preserve">wholesale market </w:t>
          </w:r>
          <w:r w:rsidR="003A14AA">
            <w:t>price outcomes and</w:t>
          </w:r>
          <w:r>
            <w:t xml:space="preserve"> are not a</w:t>
          </w:r>
          <w:r w:rsidR="006C4134">
            <w:t>n</w:t>
          </w:r>
          <w:r>
            <w:t xml:space="preserve"> indicator of potential enforcement action. </w:t>
          </w:r>
        </w:p>
        <w:p w:rsidR="00C7068C" w:rsidRDefault="00C7068C" w:rsidP="00C7068C">
          <w:pPr>
            <w:pStyle w:val="Heading1"/>
          </w:pPr>
          <w:bookmarkStart w:id="2" w:name="_Toc480971265"/>
          <w:r>
            <w:lastRenderedPageBreak/>
            <w:t>Summary</w:t>
          </w:r>
          <w:bookmarkEnd w:id="2"/>
          <w:r>
            <w:t xml:space="preserve"> </w:t>
          </w:r>
        </w:p>
        <w:p w:rsidR="005C43B6" w:rsidRPr="003704FC" w:rsidRDefault="009820B7" w:rsidP="003A585C">
          <w:pPr>
            <w:pStyle w:val="AERBody"/>
          </w:pPr>
          <w:r>
            <w:t>On 8</w:t>
          </w:r>
          <w:r w:rsidR="00065A0D">
            <w:t> </w:t>
          </w:r>
          <w:r>
            <w:t xml:space="preserve">February </w:t>
          </w:r>
          <w:r w:rsidR="000951D5" w:rsidRPr="004B7847">
            <w:t>201</w:t>
          </w:r>
          <w:r w:rsidR="004B7847" w:rsidRPr="004B7847">
            <w:t>7</w:t>
          </w:r>
          <w:r w:rsidR="000951D5" w:rsidRPr="004B7847">
            <w:t xml:space="preserve">, the spot price in </w:t>
          </w:r>
          <w:r>
            <w:t>South Australia</w:t>
          </w:r>
          <w:r w:rsidR="001E7FB9">
            <w:t xml:space="preserve"> exceeded $5000/MWh </w:t>
          </w:r>
          <w:r w:rsidR="00A0708D">
            <w:t xml:space="preserve">for five </w:t>
          </w:r>
          <w:r w:rsidR="00A72668" w:rsidRPr="003704FC">
            <w:t>consecutive</w:t>
          </w:r>
          <w:r w:rsidR="00A0708D" w:rsidRPr="003704FC">
            <w:t xml:space="preserve"> </w:t>
          </w:r>
          <w:r w:rsidR="004F7068">
            <w:t xml:space="preserve">half hourly </w:t>
          </w:r>
          <w:r w:rsidR="00A0708D" w:rsidRPr="003704FC">
            <w:t xml:space="preserve">trading intervals, </w:t>
          </w:r>
          <w:r w:rsidR="00A72668" w:rsidRPr="003704FC">
            <w:t>from</w:t>
          </w:r>
          <w:r w:rsidR="00A0708D" w:rsidRPr="003704FC">
            <w:t xml:space="preserve"> </w:t>
          </w:r>
          <w:r w:rsidR="005C43B6" w:rsidRPr="003704FC">
            <w:t>5.30</w:t>
          </w:r>
          <w:r w:rsidR="00D02B41">
            <w:t> </w:t>
          </w:r>
          <w:r w:rsidR="006B3970">
            <w:noBreakHyphen/>
          </w:r>
          <w:r w:rsidR="00D02B41">
            <w:t> </w:t>
          </w:r>
          <w:r w:rsidR="005C43B6" w:rsidRPr="003704FC">
            <w:t xml:space="preserve">7.30 pm inclusive. </w:t>
          </w:r>
          <w:r w:rsidR="00D57BDF">
            <w:t>P</w:t>
          </w:r>
          <w:r w:rsidR="005C43B6" w:rsidRPr="003704FC">
            <w:t>rice</w:t>
          </w:r>
          <w:r w:rsidR="00E54660" w:rsidRPr="003704FC">
            <w:t>s</w:t>
          </w:r>
          <w:r w:rsidR="005C43B6" w:rsidRPr="003704FC">
            <w:t xml:space="preserve"> rang</w:t>
          </w:r>
          <w:r w:rsidR="006128CC" w:rsidRPr="003704FC">
            <w:t>ed between $9387/MWh and $13 440</w:t>
          </w:r>
          <w:r w:rsidR="005C43B6" w:rsidRPr="003704FC">
            <w:t>/MWh.</w:t>
          </w:r>
          <w:r w:rsidR="001E7FB9" w:rsidRPr="003704FC">
            <w:t xml:space="preserve"> </w:t>
          </w:r>
        </w:p>
        <w:p w:rsidR="000A2B28" w:rsidRDefault="000A2B28" w:rsidP="000A2B28">
          <w:pPr>
            <w:pStyle w:val="AERBody"/>
          </w:pPr>
          <w:r w:rsidRPr="000A2B28">
            <w:t xml:space="preserve">The cause of </w:t>
          </w:r>
          <w:r w:rsidR="00D57BDF">
            <w:t xml:space="preserve">these high prices in </w:t>
          </w:r>
          <w:r w:rsidRPr="000A2B28">
            <w:t xml:space="preserve">South Australia can be attributed to two main factors: </w:t>
          </w:r>
          <w:r w:rsidR="00D57BDF">
            <w:t xml:space="preserve">the dispatch of </w:t>
          </w:r>
          <w:r w:rsidRPr="000A2B28">
            <w:t xml:space="preserve">high priced electricity generation to satisfy electricity demand (5.30 pm, 6 pm and 7.30 pm) and </w:t>
          </w:r>
          <w:r w:rsidR="00D57BDF">
            <w:t xml:space="preserve">action by </w:t>
          </w:r>
          <w:r w:rsidR="004F7068" w:rsidRPr="004F7068">
            <w:t xml:space="preserve">the market operator </w:t>
          </w:r>
          <w:r w:rsidR="00D57BDF">
            <w:t xml:space="preserve">to shed </w:t>
          </w:r>
          <w:r w:rsidR="004F7068" w:rsidRPr="004F7068">
            <w:t xml:space="preserve">load </w:t>
          </w:r>
          <w:r w:rsidRPr="000A2B28">
            <w:t>(6.30 pm and 7 pm).</w:t>
          </w:r>
        </w:p>
        <w:p w:rsidR="00111148" w:rsidRDefault="00DC3C55" w:rsidP="003A585C">
          <w:pPr>
            <w:pStyle w:val="AERBody"/>
          </w:pPr>
          <w:r w:rsidRPr="003704FC">
            <w:t>T</w:t>
          </w:r>
          <w:r w:rsidR="005C43B6" w:rsidRPr="003704FC">
            <w:t xml:space="preserve">emperatures in Adelaide reached </w:t>
          </w:r>
          <w:r w:rsidR="00C97689" w:rsidRPr="003704FC">
            <w:t xml:space="preserve">42 degrees, the </w:t>
          </w:r>
          <w:r w:rsidRPr="003704FC">
            <w:t>highest for the 2016</w:t>
          </w:r>
          <w:r w:rsidR="00DA126B" w:rsidRPr="003704FC">
            <w:t xml:space="preserve">/17 summer </w:t>
          </w:r>
          <w:r w:rsidR="00D57BDF">
            <w:t>until that day</w:t>
          </w:r>
          <w:r w:rsidR="005C43B6" w:rsidRPr="003704FC">
            <w:t xml:space="preserve">. </w:t>
          </w:r>
          <w:r w:rsidR="00D02B41">
            <w:t xml:space="preserve">This is around </w:t>
          </w:r>
          <w:r w:rsidR="002837C6">
            <w:t>one</w:t>
          </w:r>
          <w:r w:rsidR="00D02B41">
            <w:t xml:space="preserve"> degree higher than what had been forecast by the Bureau of Meteorology consistently in the preceding 48 hours. T</w:t>
          </w:r>
          <w:r w:rsidR="00D02B41" w:rsidRPr="003704FC">
            <w:t xml:space="preserve">he </w:t>
          </w:r>
          <w:r w:rsidR="00FF4078" w:rsidRPr="003704FC">
            <w:t>hot weather resulted in high levels of demand</w:t>
          </w:r>
          <w:r w:rsidR="00FF4078">
            <w:t>.</w:t>
          </w:r>
        </w:p>
        <w:p w:rsidR="00D62D3B" w:rsidRDefault="00FF4078" w:rsidP="003A585C">
          <w:pPr>
            <w:pStyle w:val="AERBody"/>
          </w:pPr>
          <w:r>
            <w:t xml:space="preserve">Despite the conditions, forecasts prepared by the market operator, </w:t>
          </w:r>
          <w:proofErr w:type="gramStart"/>
          <w:r w:rsidR="005E3645">
            <w:t>AEMO,</w:t>
          </w:r>
          <w:proofErr w:type="gramEnd"/>
          <w:r w:rsidR="005E3645">
            <w:t xml:space="preserve"> </w:t>
          </w:r>
          <w:r>
            <w:t>did not anticipate the level of demand</w:t>
          </w:r>
          <w:r w:rsidR="005E3645">
            <w:t>.</w:t>
          </w:r>
          <w:r>
            <w:t xml:space="preserve"> </w:t>
          </w:r>
          <w:r w:rsidR="00D62D3B">
            <w:t>Throughout the day, the market operators</w:t>
          </w:r>
          <w:r w:rsidR="007F138F">
            <w:t>’</w:t>
          </w:r>
          <w:r w:rsidR="00D62D3B">
            <w:t xml:space="preserve"> forecast</w:t>
          </w:r>
          <w:r w:rsidR="00111148">
            <w:t>s</w:t>
          </w:r>
          <w:r w:rsidR="00D62D3B">
            <w:t xml:space="preserve"> predicted materially lower levels of demand </w:t>
          </w:r>
          <w:r w:rsidR="00111148">
            <w:t xml:space="preserve">and a greater contribution from wind generation </w:t>
          </w:r>
          <w:r w:rsidR="00D62D3B">
            <w:t>than actually occurred.</w:t>
          </w:r>
          <w:r w:rsidR="00111148">
            <w:t xml:space="preserve"> </w:t>
          </w:r>
        </w:p>
        <w:p w:rsidR="00D62D3B" w:rsidRDefault="00D62D3B" w:rsidP="00D62D3B">
          <w:pPr>
            <w:pStyle w:val="AERBody"/>
          </w:pPr>
          <w:r>
            <w:t xml:space="preserve">From 5.25 pm, flows across </w:t>
          </w:r>
          <w:r w:rsidR="00DF3B9F">
            <w:t xml:space="preserve">Murraylink increased </w:t>
          </w:r>
          <w:r>
            <w:t xml:space="preserve">above its import limit </w:t>
          </w:r>
          <w:r w:rsidR="00B43AD8">
            <w:t>result</w:t>
          </w:r>
          <w:r w:rsidR="00DF3B9F">
            <w:t>ing</w:t>
          </w:r>
          <w:r w:rsidR="00B43AD8">
            <w:t xml:space="preserve"> in </w:t>
          </w:r>
          <w:r>
            <w:t xml:space="preserve">the power system </w:t>
          </w:r>
          <w:r w:rsidR="00B43AD8">
            <w:t xml:space="preserve">moving to </w:t>
          </w:r>
          <w:r>
            <w:t>an insecure state. AEMO must take all reasonable actions, including directing generators not currently operating</w:t>
          </w:r>
          <w:r w:rsidR="003700B0">
            <w:t xml:space="preserve"> or</w:t>
          </w:r>
          <w:r>
            <w:t xml:space="preserve"> </w:t>
          </w:r>
          <w:r w:rsidR="003700B0">
            <w:t xml:space="preserve">interrupting customers </w:t>
          </w:r>
          <w:r>
            <w:t>to return the power system to a secure operating state within 30 minutes.</w:t>
          </w:r>
        </w:p>
        <w:p w:rsidR="004F7068" w:rsidRDefault="006D40D1" w:rsidP="006A708F">
          <w:pPr>
            <w:pStyle w:val="AERBody"/>
          </w:pPr>
          <w:r>
            <w:t xml:space="preserve">Around 6 pm, </w:t>
          </w:r>
          <w:r w:rsidR="006C4134">
            <w:t xml:space="preserve">without other alternatives, </w:t>
          </w:r>
          <w:r>
            <w:t xml:space="preserve">AEMO issued a direction to the South Australia transmission network service provider (ElectraNet) to shed 100 MW of load. </w:t>
          </w:r>
          <w:r w:rsidR="00B43AD8">
            <w:t xml:space="preserve">ElectraNet in turn instructed </w:t>
          </w:r>
          <w:r w:rsidR="00640669">
            <w:t xml:space="preserve">the distribution network service provider </w:t>
          </w:r>
          <w:r w:rsidR="00B43AD8">
            <w:t>SA</w:t>
          </w:r>
          <w:r w:rsidR="00640669">
            <w:t xml:space="preserve"> </w:t>
          </w:r>
          <w:r w:rsidR="00B43AD8">
            <w:t>P</w:t>
          </w:r>
          <w:r w:rsidR="00640669">
            <w:t>ower Networks (SAPN)</w:t>
          </w:r>
          <w:r w:rsidR="00B43AD8">
            <w:t>, to shed 100</w:t>
          </w:r>
          <w:r w:rsidR="00BA2949">
            <w:t> </w:t>
          </w:r>
          <w:r w:rsidR="00B43AD8">
            <w:t>MW of customer load, based on established load shedding priorities. SAPN inadvertently shed around 300</w:t>
          </w:r>
          <w:r w:rsidR="00BA2949">
            <w:t> </w:t>
          </w:r>
          <w:r w:rsidR="00B43AD8">
            <w:t xml:space="preserve">MW of customer load </w:t>
          </w:r>
          <w:r w:rsidR="00DF3B9F">
            <w:t xml:space="preserve">for around 40 minutes </w:t>
          </w:r>
          <w:r w:rsidR="00B43AD8">
            <w:t>as a result of a</w:t>
          </w:r>
          <w:r w:rsidR="00640669">
            <w:t>n</w:t>
          </w:r>
          <w:r w:rsidR="00B43AD8">
            <w:t xml:space="preserve"> error</w:t>
          </w:r>
          <w:r w:rsidR="003700B0">
            <w:t xml:space="preserve"> in its load shedding systems</w:t>
          </w:r>
          <w:r w:rsidR="00B43AD8">
            <w:t>.</w:t>
          </w:r>
          <w:r w:rsidR="00BA2949">
            <w:t xml:space="preserve"> </w:t>
          </w:r>
          <w:r w:rsidR="001A7C03">
            <w:t xml:space="preserve">This error had no effect on the market price. </w:t>
          </w:r>
          <w:r w:rsidR="00D120CA">
            <w:t>L</w:t>
          </w:r>
          <w:r>
            <w:t xml:space="preserve">oad shedding was necessary </w:t>
          </w:r>
          <w:r w:rsidR="00D62D3B">
            <w:t xml:space="preserve">to return the power system to a secure state and reduce flows on the </w:t>
          </w:r>
          <w:r>
            <w:t xml:space="preserve">Murraylink interconnector </w:t>
          </w:r>
          <w:r w:rsidR="00D62D3B">
            <w:t xml:space="preserve">to </w:t>
          </w:r>
          <w:r w:rsidR="00B43AD8">
            <w:t xml:space="preserve">within </w:t>
          </w:r>
          <w:r>
            <w:t>limit</w:t>
          </w:r>
          <w:r w:rsidR="00D62D3B">
            <w:t>s</w:t>
          </w:r>
          <w:r>
            <w:t>.</w:t>
          </w:r>
          <w:r w:rsidR="00111148">
            <w:t xml:space="preserve"> Under the National Electricity Rules, when load shedding occurs, prices are s</w:t>
          </w:r>
          <w:r w:rsidR="00D137F3">
            <w:t>et at the market price cap ($14 </w:t>
          </w:r>
          <w:r w:rsidR="00111148">
            <w:t>000/MWh)</w:t>
          </w:r>
          <w:r w:rsidR="00D4168E">
            <w:t>.</w:t>
          </w:r>
          <w:r w:rsidR="00DF3B9F" w:rsidRPr="00DF3B9F">
            <w:t xml:space="preserve"> </w:t>
          </w:r>
        </w:p>
        <w:p w:rsidR="006D40D1" w:rsidRDefault="005E2E54" w:rsidP="006A708F">
          <w:pPr>
            <w:pStyle w:val="AERBody"/>
          </w:pPr>
          <w:r>
            <w:t xml:space="preserve">As stated in </w:t>
          </w:r>
          <w:r w:rsidR="00A40A69">
            <w:t xml:space="preserve">our latest </w:t>
          </w:r>
          <w:r>
            <w:t>Quarterly Compliance Report</w:t>
          </w:r>
          <w:r w:rsidR="00A40A69">
            <w:t>, released in March, we</w:t>
          </w:r>
          <w:r>
            <w:t xml:space="preserve"> </w:t>
          </w:r>
          <w:r>
            <w:rPr>
              <w:rStyle w:val="Strong"/>
              <w:b w:val="0"/>
              <w:noProof/>
              <w:lang w:val="en-US" w:eastAsia="ja-JP"/>
            </w:rPr>
            <w:t xml:space="preserve">will be undertaking a compliance assessment of the load-shedding that occurred in the </w:t>
          </w:r>
          <w:r w:rsidR="00A40A69">
            <w:rPr>
              <w:rStyle w:val="Strong"/>
              <w:b w:val="0"/>
              <w:noProof/>
              <w:lang w:val="en-US" w:eastAsia="ja-JP"/>
            </w:rPr>
            <w:t>S</w:t>
          </w:r>
          <w:r>
            <w:rPr>
              <w:rStyle w:val="Strong"/>
              <w:b w:val="0"/>
              <w:noProof/>
              <w:lang w:val="en-US" w:eastAsia="ja-JP"/>
            </w:rPr>
            <w:t xml:space="preserve">tate on </w:t>
          </w:r>
          <w:r w:rsidR="004F7068">
            <w:rPr>
              <w:rStyle w:val="Strong"/>
              <w:b w:val="0"/>
              <w:noProof/>
              <w:lang w:val="en-US" w:eastAsia="ja-JP"/>
            </w:rPr>
            <w:t>8 February</w:t>
          </w:r>
          <w:r w:rsidR="0085722F">
            <w:rPr>
              <w:rStyle w:val="Strong"/>
              <w:b w:val="0"/>
              <w:noProof/>
              <w:lang w:val="en-US" w:eastAsia="ja-JP"/>
            </w:rPr>
            <w:t>.</w:t>
          </w:r>
        </w:p>
        <w:p w:rsidR="00990CD2" w:rsidRPr="005C6E78" w:rsidRDefault="004B612F" w:rsidP="00D4168E">
          <w:pPr>
            <w:pStyle w:val="AERBody"/>
          </w:pPr>
          <w:r w:rsidRPr="005C6E78">
            <w:t xml:space="preserve">While events on the day are complex and some capacity was unavailable, </w:t>
          </w:r>
          <w:r w:rsidR="005C6E78">
            <w:t xml:space="preserve">difficulties in accurately forecasting demand contributed to the overall uncertainty of market outcomes. The lower demand forecasts and over-estimated wind generation resulted in lower price forecasts. Had the forecasts been more reflective of actual conditions it is likely that the potential shortage of supply may have been visible to the market earlier, allowing for a wider range of potential mitigation actions to have been considered. </w:t>
          </w:r>
          <w:r>
            <w:t>S</w:t>
          </w:r>
          <w:r w:rsidR="00D02B41">
            <w:t>ince these events AEMO has commenced a number of initiatives to improve demand forecasting.</w:t>
          </w:r>
        </w:p>
        <w:p w:rsidR="00D4168E" w:rsidRDefault="00D4168E" w:rsidP="00D4168E">
          <w:pPr>
            <w:pStyle w:val="AERBody"/>
          </w:pPr>
          <w:r>
            <w:rPr>
              <w:rFonts w:cs="Arial"/>
              <w:color w:val="000000"/>
              <w:szCs w:val="18"/>
            </w:rPr>
            <w:t xml:space="preserve">After load was </w:t>
          </w:r>
          <w:r w:rsidR="00640669">
            <w:rPr>
              <w:rFonts w:cs="Arial"/>
              <w:color w:val="000000"/>
              <w:szCs w:val="18"/>
            </w:rPr>
            <w:t xml:space="preserve">fully </w:t>
          </w:r>
          <w:r>
            <w:rPr>
              <w:rFonts w:cs="Arial"/>
              <w:color w:val="000000"/>
              <w:szCs w:val="18"/>
            </w:rPr>
            <w:t xml:space="preserve">restored at 7.08 pm and the market price cap removed, </w:t>
          </w:r>
          <w:r w:rsidR="006C5BD8">
            <w:rPr>
              <w:rFonts w:cs="Arial"/>
              <w:color w:val="000000"/>
              <w:szCs w:val="18"/>
            </w:rPr>
            <w:t xml:space="preserve">wholesale </w:t>
          </w:r>
          <w:r>
            <w:rPr>
              <w:rFonts w:cs="Arial"/>
              <w:color w:val="000000"/>
              <w:szCs w:val="18"/>
            </w:rPr>
            <w:t xml:space="preserve">prices </w:t>
          </w:r>
          <w:r w:rsidR="006C5BD8">
            <w:rPr>
              <w:rFonts w:cs="Arial"/>
              <w:color w:val="000000"/>
              <w:szCs w:val="18"/>
            </w:rPr>
            <w:t xml:space="preserve">continued to be high reflecting </w:t>
          </w:r>
          <w:r>
            <w:rPr>
              <w:rFonts w:cs="Arial"/>
              <w:color w:val="000000"/>
              <w:szCs w:val="18"/>
            </w:rPr>
            <w:t>the tight supply demand conditions</w:t>
          </w:r>
          <w:r w:rsidR="006C5BD8">
            <w:rPr>
              <w:rFonts w:cs="Arial"/>
              <w:color w:val="000000"/>
              <w:szCs w:val="18"/>
            </w:rPr>
            <w:t xml:space="preserve">. </w:t>
          </w:r>
        </w:p>
        <w:p w:rsidR="0047726F" w:rsidRDefault="00D02B41" w:rsidP="003A585C">
          <w:pPr>
            <w:pStyle w:val="AERBody"/>
          </w:pPr>
          <w:r>
            <w:lastRenderedPageBreak/>
            <w:t>While there w</w:t>
          </w:r>
          <w:r w:rsidR="002837C6">
            <w:t>as</w:t>
          </w:r>
          <w:r>
            <w:t xml:space="preserve"> in the order of </w:t>
          </w:r>
          <w:r w:rsidR="00386435">
            <w:t>1</w:t>
          </w:r>
          <w:r w:rsidR="00A772B1">
            <w:t>1</w:t>
          </w:r>
          <w:r w:rsidR="00386435">
            <w:t>5</w:t>
          </w:r>
          <w:r>
            <w:t> MW of capacity withdrawn</w:t>
          </w:r>
          <w:r w:rsidR="002837C6">
            <w:t xml:space="preserve"> due to technical reasons</w:t>
          </w:r>
          <w:r w:rsidR="00386435">
            <w:t>,</w:t>
          </w:r>
          <w:r>
            <w:t xml:space="preserve"> </w:t>
          </w:r>
          <w:r w:rsidR="00386435">
            <w:t>t</w:t>
          </w:r>
          <w:r w:rsidR="0047726F">
            <w:t>here was n</w:t>
          </w:r>
          <w:r w:rsidR="0047726F" w:rsidRPr="00432B7D">
            <w:t xml:space="preserve">o significant rebidding </w:t>
          </w:r>
          <w:r w:rsidR="00640669">
            <w:t xml:space="preserve">by generators </w:t>
          </w:r>
          <w:r w:rsidR="0047726F" w:rsidRPr="00432B7D">
            <w:t>of capacity from low to high prices</w:t>
          </w:r>
          <w:r w:rsidR="0047726F">
            <w:t>, which contributed to the high prices.</w:t>
          </w:r>
        </w:p>
        <w:p w:rsidR="003704FC" w:rsidRDefault="003704FC" w:rsidP="00C7068C">
          <w:pPr>
            <w:pStyle w:val="Heading1"/>
          </w:pPr>
          <w:bookmarkStart w:id="3" w:name="_Toc414272643"/>
          <w:bookmarkStart w:id="4" w:name="_Toc480971266"/>
          <w:bookmarkEnd w:id="3"/>
          <w:r>
            <w:lastRenderedPageBreak/>
            <w:t>Analysis</w:t>
          </w:r>
          <w:bookmarkEnd w:id="4"/>
        </w:p>
        <w:p w:rsidR="002A1A98" w:rsidRPr="009D33A6" w:rsidRDefault="002A1A98" w:rsidP="002A1A98">
          <w:pPr>
            <w:pStyle w:val="AERBody"/>
          </w:pPr>
          <w:r w:rsidRPr="009D33A6">
            <w:t xml:space="preserve">To calculate the amount of electricity that must be supplied, or generated, AEMO collects </w:t>
          </w:r>
          <w:r w:rsidRPr="008C5CCF">
            <w:t>information about</w:t>
          </w:r>
          <w:r w:rsidRPr="009D33A6">
            <w:t>:</w:t>
          </w:r>
          <w:r w:rsidRPr="008C5CCF">
            <w:t xml:space="preserve"> network capability </w:t>
          </w:r>
          <w:r>
            <w:t xml:space="preserve">and </w:t>
          </w:r>
          <w:r w:rsidRPr="008C5CCF">
            <w:t>offers from market generators</w:t>
          </w:r>
          <w:r>
            <w:t xml:space="preserve"> and calculates </w:t>
          </w:r>
          <w:r w:rsidRPr="008C5CCF">
            <w:t xml:space="preserve">expected </w:t>
          </w:r>
          <w:r w:rsidRPr="009D33A6">
            <w:t>(</w:t>
          </w:r>
          <w:r w:rsidRPr="008C5CCF">
            <w:t>forecast</w:t>
          </w:r>
          <w:r w:rsidRPr="009D33A6">
            <w:t>)</w:t>
          </w:r>
          <w:r w:rsidRPr="008C5CCF">
            <w:t xml:space="preserve"> demand</w:t>
          </w:r>
          <w:r>
            <w:t xml:space="preserve"> from customers</w:t>
          </w:r>
          <w:r w:rsidRPr="009D33A6">
            <w:t>.</w:t>
          </w:r>
          <w:r w:rsidRPr="008C5CCF">
            <w:t xml:space="preserve"> </w:t>
          </w:r>
          <w:r>
            <w:t xml:space="preserve">Generator </w:t>
          </w:r>
          <w:r w:rsidRPr="009D33A6">
            <w:t xml:space="preserve">offers </w:t>
          </w:r>
          <w:r w:rsidRPr="008C5CCF">
            <w:t xml:space="preserve">comprise </w:t>
          </w:r>
          <w:r w:rsidRPr="009D33A6">
            <w:t xml:space="preserve">the </w:t>
          </w:r>
          <w:r w:rsidRPr="008C5CCF">
            <w:t xml:space="preserve">mega-watt (MW) capacities </w:t>
          </w:r>
          <w:r w:rsidRPr="009D33A6">
            <w:t xml:space="preserve">generators are willing to supply </w:t>
          </w:r>
          <w:r>
            <w:t>at</w:t>
          </w:r>
          <w:r w:rsidRPr="009D33A6">
            <w:t xml:space="preserve"> a price </w:t>
          </w:r>
          <w:r>
            <w:t>point</w:t>
          </w:r>
          <w:r w:rsidRPr="009D33A6">
            <w:t xml:space="preserve"> </w:t>
          </w:r>
          <w:r w:rsidRPr="008C5CCF">
            <w:t xml:space="preserve">and </w:t>
          </w:r>
          <w:r w:rsidRPr="009D33A6">
            <w:t xml:space="preserve">the amount </w:t>
          </w:r>
          <w:r w:rsidRPr="008C5CCF">
            <w:t>the</w:t>
          </w:r>
          <w:r w:rsidRPr="009D33A6">
            <w:t xml:space="preserve"> generator </w:t>
          </w:r>
          <w:r w:rsidRPr="008C5CCF">
            <w:t>can generate in total (</w:t>
          </w:r>
          <w:r w:rsidRPr="009D33A6">
            <w:t xml:space="preserve">generator </w:t>
          </w:r>
          <w:r w:rsidRPr="008C5CCF">
            <w:t xml:space="preserve">availability). AEMO </w:t>
          </w:r>
          <w:r>
            <w:t xml:space="preserve">publishes </w:t>
          </w:r>
          <w:r w:rsidRPr="008C5CCF">
            <w:t xml:space="preserve">regular forecasts </w:t>
          </w:r>
          <w:r>
            <w:t xml:space="preserve">of </w:t>
          </w:r>
          <w:r w:rsidRPr="008C5CCF">
            <w:t>its assessment of the demand for electricity in each region of the market</w:t>
          </w:r>
          <w:r>
            <w:t xml:space="preserve"> based on a range of external inputs such as temp</w:t>
          </w:r>
          <w:r w:rsidR="00367987">
            <w:t>e</w:t>
          </w:r>
          <w:r>
            <w:t>rature.</w:t>
          </w:r>
        </w:p>
        <w:p w:rsidR="002A1A98" w:rsidRDefault="002A1A98" w:rsidP="002A1A98">
          <w:pPr>
            <w:pStyle w:val="AERBody"/>
          </w:pPr>
          <w:r w:rsidRPr="009D33A6">
            <w:t>Market conditions</w:t>
          </w:r>
          <w:r>
            <w:t xml:space="preserve"> are quite dynamic and to inform market participants</w:t>
          </w:r>
          <w:r w:rsidRPr="009D33A6">
            <w:t xml:space="preserve"> </w:t>
          </w:r>
          <w:r w:rsidRPr="008C5CCF">
            <w:t xml:space="preserve">AEMO </w:t>
          </w:r>
          <w:r>
            <w:t xml:space="preserve">also </w:t>
          </w:r>
          <w:r w:rsidRPr="008C5CCF">
            <w:t xml:space="preserve">publishes aggregated </w:t>
          </w:r>
          <w:r w:rsidRPr="009D33A6">
            <w:t xml:space="preserve">expected and actual </w:t>
          </w:r>
          <w:r w:rsidRPr="008C5CCF">
            <w:t>dispatch information</w:t>
          </w:r>
          <w:r>
            <w:t xml:space="preserve">, price and network loadings </w:t>
          </w:r>
          <w:r w:rsidRPr="009D33A6">
            <w:t xml:space="preserve">at </w:t>
          </w:r>
          <w:r w:rsidRPr="008C5CCF">
            <w:t xml:space="preserve">five minute and 30 minute </w:t>
          </w:r>
          <w:r w:rsidRPr="009D33A6">
            <w:t>intervals</w:t>
          </w:r>
          <w:r w:rsidRPr="008C5CCF">
            <w:t xml:space="preserve"> for the remainder of the day</w:t>
          </w:r>
          <w:r>
            <w:t>. These forecasts form the basis for AEMO’s recommendations with respect to interconnector capacity, transfers between regions, reserves and conditions that relate to power system security</w:t>
          </w:r>
        </w:p>
        <w:p w:rsidR="00971442" w:rsidRDefault="00971442" w:rsidP="003A585C">
          <w:pPr>
            <w:pStyle w:val="AERBody"/>
          </w:pPr>
          <w:r>
            <w:t xml:space="preserve">The </w:t>
          </w:r>
          <w:r w:rsidRPr="00FE57FD">
            <w:t>spot price exceeded $5000/MWh</w:t>
          </w:r>
          <w:r>
            <w:t xml:space="preserve"> </w:t>
          </w:r>
          <w:r w:rsidRPr="00FE57FD">
            <w:t xml:space="preserve">for the </w:t>
          </w:r>
          <w:r>
            <w:t>5.30</w:t>
          </w:r>
          <w:r w:rsidR="00FE3214">
            <w:t> </w:t>
          </w:r>
          <w:r w:rsidR="0047489B">
            <w:noBreakHyphen/>
          </w:r>
          <w:r w:rsidR="00FE3214">
            <w:t> </w:t>
          </w:r>
          <w:r>
            <w:t xml:space="preserve">7.30 pm </w:t>
          </w:r>
          <w:r w:rsidRPr="00FE57FD">
            <w:t>trading interval</w:t>
          </w:r>
          <w:r>
            <w:t>s</w:t>
          </w:r>
          <w:r w:rsidRPr="00FD4E78">
            <w:t xml:space="preserve"> </w:t>
          </w:r>
          <w:r>
            <w:t xml:space="preserve">inclusively, </w:t>
          </w:r>
          <w:r w:rsidRPr="000A2B28">
            <w:t xml:space="preserve">reaching a maximum of $13 400/MWh. </w:t>
          </w:r>
          <w:r w:rsidR="00631ECF" w:rsidRPr="000A2B28">
            <w:t xml:space="preserve">The spot price exceeding $5000/MWh can be attributed to two </w:t>
          </w:r>
          <w:r w:rsidR="00525643" w:rsidRPr="000A2B28">
            <w:t xml:space="preserve">main </w:t>
          </w:r>
          <w:r w:rsidR="00631ECF" w:rsidRPr="000A2B28">
            <w:t>factors: high priced electricity generation was required to satisfy electricity demand</w:t>
          </w:r>
          <w:r w:rsidR="00E51953" w:rsidRPr="000A2B28">
            <w:t xml:space="preserve"> (5.30 pm, 6 pm and 7.30 pm)</w:t>
          </w:r>
          <w:r w:rsidR="00631ECF" w:rsidRPr="000A2B28">
            <w:t xml:space="preserve"> and </w:t>
          </w:r>
          <w:r w:rsidR="004F7068">
            <w:t xml:space="preserve">the </w:t>
          </w:r>
          <w:r w:rsidR="00631ECF" w:rsidRPr="000A2B28">
            <w:t>market operator</w:t>
          </w:r>
          <w:r w:rsidR="00E51953" w:rsidRPr="000A2B28">
            <w:t xml:space="preserve"> </w:t>
          </w:r>
          <w:r w:rsidR="00B42AC6">
            <w:t xml:space="preserve">(AEMO) </w:t>
          </w:r>
          <w:r w:rsidR="004F7068">
            <w:t xml:space="preserve">intervened to require load shedding </w:t>
          </w:r>
          <w:r w:rsidR="00E51953" w:rsidRPr="000A2B28">
            <w:t>(6.30 pm and 7 pm)</w:t>
          </w:r>
          <w:r w:rsidR="00631ECF" w:rsidRPr="000A2B28">
            <w:t xml:space="preserve">. </w:t>
          </w:r>
          <w:r>
            <w:t>The analysis extends to o</w:t>
          </w:r>
          <w:r w:rsidRPr="00C56AD9">
            <w:t xml:space="preserve">ther trading intervals as they </w:t>
          </w:r>
          <w:r>
            <w:t xml:space="preserve">are relevant to the conditions that occurred </w:t>
          </w:r>
          <w:r w:rsidR="00631ECF">
            <w:t>during</w:t>
          </w:r>
          <w:r>
            <w:t xml:space="preserve"> the afternoon</w:t>
          </w:r>
          <w:r w:rsidRPr="00AC4BD9">
            <w:t>.</w:t>
          </w:r>
        </w:p>
        <w:p w:rsidR="00971442" w:rsidRDefault="002D79D0" w:rsidP="003A585C">
          <w:pPr>
            <w:pStyle w:val="AERBody"/>
          </w:pPr>
          <w:r>
            <w:t xml:space="preserve">Actual </w:t>
          </w:r>
          <w:r w:rsidR="00190462">
            <w:t xml:space="preserve">demand </w:t>
          </w:r>
          <w:r w:rsidR="00525643">
            <w:t xml:space="preserve">in South Australia </w:t>
          </w:r>
          <w:r w:rsidR="00190462">
            <w:t xml:space="preserve">was around 300 MW higher than forecast for most of the trading intervals. </w:t>
          </w:r>
          <w:r w:rsidR="0069574E">
            <w:t xml:space="preserve">Maximum temperature reached </w:t>
          </w:r>
          <w:r w:rsidR="0067585A">
            <w:t>42 degrees in Adelaide on the day</w:t>
          </w:r>
          <w:r w:rsidR="00431198">
            <w:t>. V</w:t>
          </w:r>
          <w:r w:rsidR="0067585A">
            <w:t xml:space="preserve">ery high temperatures often have a big impact on electricity demand as air conditioners are in </w:t>
          </w:r>
          <w:r w:rsidR="00DC559D">
            <w:t xml:space="preserve">greater </w:t>
          </w:r>
          <w:r w:rsidR="0067585A">
            <w:t>use</w:t>
          </w:r>
          <w:r w:rsidR="00DC559D">
            <w:t xml:space="preserve"> and must work harder to keep household temperatures down</w:t>
          </w:r>
          <w:r w:rsidR="0067585A">
            <w:t xml:space="preserve">. </w:t>
          </w:r>
        </w:p>
        <w:p w:rsidR="0058799D" w:rsidRDefault="0058799D" w:rsidP="003A585C">
          <w:pPr>
            <w:pStyle w:val="AERBody"/>
          </w:pPr>
          <w:r>
            <w:fldChar w:fldCharType="begin"/>
          </w:r>
          <w:r>
            <w:instrText xml:space="preserve"> REF _Ref479067002 \h </w:instrText>
          </w:r>
          <w:r w:rsidR="003A585C">
            <w:instrText xml:space="preserve"> \* MERGEFORMAT </w:instrText>
          </w:r>
          <w:r>
            <w:fldChar w:fldCharType="separate"/>
          </w:r>
          <w:r w:rsidR="005B5767">
            <w:t xml:space="preserve">Table </w:t>
          </w:r>
          <w:r w:rsidR="005B5767">
            <w:rPr>
              <w:noProof/>
            </w:rPr>
            <w:t>1</w:t>
          </w:r>
          <w:r>
            <w:fldChar w:fldCharType="end"/>
          </w:r>
          <w:r>
            <w:t xml:space="preserve"> shows the actual, </w:t>
          </w:r>
          <w:r w:rsidR="00BA2949">
            <w:t>four</w:t>
          </w:r>
          <w:r>
            <w:t xml:space="preserve"> and </w:t>
          </w:r>
          <w:r w:rsidR="005E1120">
            <w:t>12</w:t>
          </w:r>
          <w:r>
            <w:t xml:space="preserve"> hour </w:t>
          </w:r>
          <w:r w:rsidR="00525643">
            <w:t xml:space="preserve">ahead </w:t>
          </w:r>
          <w:r>
            <w:t>forecasts for</w:t>
          </w:r>
          <w:r w:rsidR="001B3CFB">
            <w:t xml:space="preserve"> spot </w:t>
          </w:r>
          <w:r>
            <w:t xml:space="preserve">price and </w:t>
          </w:r>
          <w:r w:rsidR="002D79D0">
            <w:t>demand</w:t>
          </w:r>
          <w:r w:rsidR="001B3CFB">
            <w:t xml:space="preserve"> in South Australia from 3.30</w:t>
          </w:r>
          <w:r w:rsidR="00FE3214">
            <w:t> </w:t>
          </w:r>
          <w:r w:rsidR="0047489B">
            <w:noBreakHyphen/>
          </w:r>
          <w:r w:rsidR="00FE3214">
            <w:t> </w:t>
          </w:r>
          <w:r w:rsidR="001B3CFB">
            <w:t xml:space="preserve">7.30 pm. The intervals </w:t>
          </w:r>
          <w:r w:rsidR="00525643">
            <w:t xml:space="preserve">where the spot price </w:t>
          </w:r>
          <w:r w:rsidR="001B3CFB">
            <w:t>exceeded $5000/MWh are in bold and the intervals where the price outcome was not determined by the market but instead by the market operator are in bold orange font.</w:t>
          </w:r>
          <w:r w:rsidR="001700C5">
            <w:t xml:space="preserve"> </w:t>
          </w:r>
        </w:p>
        <w:p w:rsidR="007B3733" w:rsidRDefault="007B3733" w:rsidP="007B3733">
          <w:pPr>
            <w:pStyle w:val="Caption"/>
          </w:pPr>
          <w:bookmarkStart w:id="5" w:name="_Ref479067002"/>
          <w:bookmarkStart w:id="6" w:name="_Ref479175193"/>
          <w:r>
            <w:t xml:space="preserve">Table </w:t>
          </w:r>
          <w:fldSimple w:instr=" SEQ Table \* ARABIC ">
            <w:r w:rsidR="005B5767">
              <w:rPr>
                <w:noProof/>
              </w:rPr>
              <w:t>1</w:t>
            </w:r>
          </w:fldSimple>
          <w:bookmarkEnd w:id="5"/>
          <w:r>
            <w:t xml:space="preserve">: </w:t>
          </w:r>
          <w:r w:rsidRPr="005F7AB3">
            <w:t>Actual and forecast</w:t>
          </w:r>
          <w:r>
            <w:t xml:space="preserve"> demand for South Australia</w:t>
          </w:r>
          <w:bookmarkEnd w:id="6"/>
        </w:p>
        <w:tbl>
          <w:tblPr>
            <w:tblStyle w:val="AERTable-Text"/>
            <w:tblW w:w="5000" w:type="pct"/>
            <w:tblLook w:val="04A0" w:firstRow="1" w:lastRow="0" w:firstColumn="1" w:lastColumn="0" w:noHBand="0" w:noVBand="1"/>
          </w:tblPr>
          <w:tblGrid>
            <w:gridCol w:w="1288"/>
            <w:gridCol w:w="1113"/>
            <w:gridCol w:w="1288"/>
            <w:gridCol w:w="1288"/>
            <w:gridCol w:w="1222"/>
            <w:gridCol w:w="1288"/>
            <w:gridCol w:w="1290"/>
          </w:tblGrid>
          <w:tr w:rsidR="00375371" w:rsidRPr="00375371" w:rsidTr="00111148">
            <w:trPr>
              <w:cnfStyle w:val="100000000000" w:firstRow="1" w:lastRow="0" w:firstColumn="0" w:lastColumn="0" w:oddVBand="0" w:evenVBand="0" w:oddHBand="0" w:evenHBand="0" w:firstRowFirstColumn="0" w:firstRowLastColumn="0" w:lastRowFirstColumn="0" w:lastRowLastColumn="0"/>
              <w:trHeight w:val="705"/>
              <w:tblHeader/>
            </w:trPr>
            <w:tc>
              <w:tcPr>
                <w:tcW w:w="733" w:type="pct"/>
                <w:vAlign w:val="center"/>
                <w:hideMark/>
              </w:tcPr>
              <w:p w:rsidR="00375371" w:rsidRPr="002D79D0" w:rsidRDefault="00375371" w:rsidP="0041724F">
                <w:pPr>
                  <w:pStyle w:val="TableHeading"/>
                  <w:rPr>
                    <w:lang w:eastAsia="en-AU"/>
                  </w:rPr>
                </w:pPr>
                <w:r w:rsidRPr="002D79D0">
                  <w:rPr>
                    <w:lang w:eastAsia="en-AU"/>
                  </w:rPr>
                  <w:t>Trading interval</w:t>
                </w:r>
              </w:p>
            </w:tc>
            <w:tc>
              <w:tcPr>
                <w:tcW w:w="2102" w:type="pct"/>
                <w:gridSpan w:val="3"/>
                <w:vAlign w:val="center"/>
                <w:hideMark/>
              </w:tcPr>
              <w:p w:rsidR="00375371" w:rsidRPr="002D79D0" w:rsidRDefault="00C50038" w:rsidP="0041724F">
                <w:pPr>
                  <w:pStyle w:val="TableHeading"/>
                  <w:rPr>
                    <w:lang w:eastAsia="en-AU"/>
                  </w:rPr>
                </w:pPr>
                <w:r>
                  <w:rPr>
                    <w:lang w:eastAsia="en-AU"/>
                  </w:rPr>
                  <w:t xml:space="preserve">Spot </w:t>
                </w:r>
                <w:r w:rsidR="00375371" w:rsidRPr="002D79D0">
                  <w:rPr>
                    <w:lang w:eastAsia="en-AU"/>
                  </w:rPr>
                  <w:t>Price ($/MWh)</w:t>
                </w:r>
              </w:p>
            </w:tc>
            <w:tc>
              <w:tcPr>
                <w:tcW w:w="2165" w:type="pct"/>
                <w:gridSpan w:val="3"/>
                <w:vAlign w:val="center"/>
                <w:hideMark/>
              </w:tcPr>
              <w:p w:rsidR="00375371" w:rsidRPr="002D79D0" w:rsidRDefault="00375371" w:rsidP="0041724F">
                <w:pPr>
                  <w:pStyle w:val="TableHeading"/>
                  <w:rPr>
                    <w:lang w:eastAsia="en-AU"/>
                  </w:rPr>
                </w:pPr>
                <w:r w:rsidRPr="002D79D0">
                  <w:rPr>
                    <w:lang w:eastAsia="en-AU"/>
                  </w:rPr>
                  <w:t>Demand (MW)</w:t>
                </w:r>
              </w:p>
            </w:tc>
          </w:tr>
          <w:tr w:rsidR="00375371" w:rsidRPr="00375371" w:rsidTr="00111148">
            <w:trPr>
              <w:cnfStyle w:val="100000000000" w:firstRow="1" w:lastRow="0" w:firstColumn="0" w:lastColumn="0" w:oddVBand="0" w:evenVBand="0" w:oddHBand="0" w:evenHBand="0" w:firstRowFirstColumn="0" w:firstRowLastColumn="0" w:lastRowFirstColumn="0" w:lastRowLastColumn="0"/>
              <w:trHeight w:val="495"/>
              <w:tblHeader/>
            </w:trPr>
            <w:tc>
              <w:tcPr>
                <w:tcW w:w="733" w:type="pct"/>
                <w:shd w:val="clear" w:color="auto" w:fill="076A92" w:themeFill="text1"/>
                <w:vAlign w:val="center"/>
                <w:hideMark/>
              </w:tcPr>
              <w:p w:rsidR="00375371" w:rsidRPr="002D79D0" w:rsidRDefault="00375371" w:rsidP="0041724F">
                <w:pPr>
                  <w:pStyle w:val="TableHeading"/>
                  <w:rPr>
                    <w:lang w:eastAsia="en-AU"/>
                  </w:rPr>
                </w:pPr>
              </w:p>
            </w:tc>
            <w:tc>
              <w:tcPr>
                <w:tcW w:w="634" w:type="pct"/>
                <w:shd w:val="clear" w:color="auto" w:fill="076A92" w:themeFill="text1"/>
                <w:vAlign w:val="center"/>
                <w:hideMark/>
              </w:tcPr>
              <w:p w:rsidR="00375371" w:rsidRPr="002D79D0" w:rsidRDefault="00375371" w:rsidP="0041724F">
                <w:pPr>
                  <w:pStyle w:val="TableHeading"/>
                  <w:rPr>
                    <w:lang w:eastAsia="en-AU"/>
                  </w:rPr>
                </w:pPr>
                <w:r w:rsidRPr="002D79D0">
                  <w:rPr>
                    <w:lang w:eastAsia="en-AU"/>
                  </w:rPr>
                  <w:t>Actual</w:t>
                </w:r>
              </w:p>
            </w:tc>
            <w:tc>
              <w:tcPr>
                <w:tcW w:w="734" w:type="pct"/>
                <w:shd w:val="clear" w:color="auto" w:fill="076A92" w:themeFill="text1"/>
                <w:vAlign w:val="center"/>
                <w:hideMark/>
              </w:tcPr>
              <w:p w:rsidR="00375371" w:rsidRPr="002D79D0" w:rsidRDefault="00375371" w:rsidP="0041724F">
                <w:pPr>
                  <w:pStyle w:val="TableHeading"/>
                  <w:rPr>
                    <w:lang w:eastAsia="en-AU"/>
                  </w:rPr>
                </w:pPr>
                <w:r w:rsidRPr="002D79D0">
                  <w:rPr>
                    <w:lang w:eastAsia="en-AU"/>
                  </w:rPr>
                  <w:t>4 hr forecast</w:t>
                </w:r>
              </w:p>
            </w:tc>
            <w:tc>
              <w:tcPr>
                <w:tcW w:w="734" w:type="pct"/>
                <w:shd w:val="clear" w:color="auto" w:fill="076A92" w:themeFill="text1"/>
                <w:vAlign w:val="center"/>
                <w:hideMark/>
              </w:tcPr>
              <w:p w:rsidR="00375371" w:rsidRPr="002D79D0" w:rsidRDefault="00375371" w:rsidP="0041724F">
                <w:pPr>
                  <w:pStyle w:val="TableHeading"/>
                  <w:rPr>
                    <w:lang w:eastAsia="en-AU"/>
                  </w:rPr>
                </w:pPr>
                <w:r w:rsidRPr="002D79D0">
                  <w:rPr>
                    <w:lang w:eastAsia="en-AU"/>
                  </w:rPr>
                  <w:t>12 hr forecast</w:t>
                </w:r>
              </w:p>
            </w:tc>
            <w:tc>
              <w:tcPr>
                <w:tcW w:w="696" w:type="pct"/>
                <w:shd w:val="clear" w:color="auto" w:fill="076A92" w:themeFill="text1"/>
                <w:vAlign w:val="center"/>
                <w:hideMark/>
              </w:tcPr>
              <w:p w:rsidR="00375371" w:rsidRPr="002D79D0" w:rsidRDefault="00375371" w:rsidP="0041724F">
                <w:pPr>
                  <w:pStyle w:val="TableHeading"/>
                  <w:rPr>
                    <w:lang w:eastAsia="en-AU"/>
                  </w:rPr>
                </w:pPr>
                <w:r w:rsidRPr="002D79D0">
                  <w:rPr>
                    <w:lang w:eastAsia="en-AU"/>
                  </w:rPr>
                  <w:t>Actual</w:t>
                </w:r>
              </w:p>
            </w:tc>
            <w:tc>
              <w:tcPr>
                <w:tcW w:w="734" w:type="pct"/>
                <w:shd w:val="clear" w:color="auto" w:fill="076A92" w:themeFill="text1"/>
                <w:vAlign w:val="center"/>
                <w:hideMark/>
              </w:tcPr>
              <w:p w:rsidR="00375371" w:rsidRPr="002D79D0" w:rsidRDefault="00375371" w:rsidP="0041724F">
                <w:pPr>
                  <w:pStyle w:val="TableHeading"/>
                  <w:rPr>
                    <w:lang w:eastAsia="en-AU"/>
                  </w:rPr>
                </w:pPr>
                <w:r w:rsidRPr="002D79D0">
                  <w:rPr>
                    <w:lang w:eastAsia="en-AU"/>
                  </w:rPr>
                  <w:t>4 hr forecast</w:t>
                </w:r>
              </w:p>
            </w:tc>
            <w:tc>
              <w:tcPr>
                <w:tcW w:w="735" w:type="pct"/>
                <w:shd w:val="clear" w:color="auto" w:fill="076A92" w:themeFill="text1"/>
                <w:vAlign w:val="center"/>
                <w:hideMark/>
              </w:tcPr>
              <w:p w:rsidR="00375371" w:rsidRPr="002D79D0" w:rsidRDefault="00375371" w:rsidP="0041724F">
                <w:pPr>
                  <w:pStyle w:val="TableHeading"/>
                  <w:rPr>
                    <w:lang w:eastAsia="en-AU"/>
                  </w:rPr>
                </w:pPr>
                <w:r w:rsidRPr="002D79D0">
                  <w:rPr>
                    <w:lang w:eastAsia="en-AU"/>
                  </w:rPr>
                  <w:t>12 hr forecast</w:t>
                </w:r>
              </w:p>
            </w:tc>
          </w:tr>
          <w:tr w:rsidR="00375371" w:rsidRPr="00375371" w:rsidTr="002D79D0">
            <w:trPr>
              <w:cnfStyle w:val="000000100000" w:firstRow="0" w:lastRow="0" w:firstColumn="0" w:lastColumn="0" w:oddVBand="0" w:evenVBand="0" w:oddHBand="1" w:evenHBand="0" w:firstRowFirstColumn="0" w:firstRowLastColumn="0" w:lastRowFirstColumn="0" w:lastRowLastColumn="0"/>
              <w:trHeight w:val="340"/>
            </w:trPr>
            <w:tc>
              <w:tcPr>
                <w:tcW w:w="733" w:type="pct"/>
                <w:vAlign w:val="center"/>
                <w:hideMark/>
              </w:tcPr>
              <w:p w:rsidR="00375371" w:rsidRPr="00375371" w:rsidRDefault="00375371" w:rsidP="0041724F">
                <w:pPr>
                  <w:pStyle w:val="tablebodycentered"/>
                  <w:rPr>
                    <w:lang w:eastAsia="en-AU"/>
                  </w:rPr>
                </w:pPr>
                <w:r w:rsidRPr="00375371">
                  <w:rPr>
                    <w:lang w:eastAsia="en-AU"/>
                  </w:rPr>
                  <w:t>3.30</w:t>
                </w:r>
                <w:r w:rsidR="004515B8">
                  <w:rPr>
                    <w:lang w:eastAsia="en-AU"/>
                  </w:rPr>
                  <w:t> pm</w:t>
                </w:r>
              </w:p>
            </w:tc>
            <w:tc>
              <w:tcPr>
                <w:tcW w:w="634" w:type="pct"/>
                <w:noWrap/>
                <w:vAlign w:val="center"/>
                <w:hideMark/>
              </w:tcPr>
              <w:p w:rsidR="00375371" w:rsidRPr="00375371" w:rsidRDefault="00375371" w:rsidP="0041724F">
                <w:pPr>
                  <w:pStyle w:val="tablebodycentered"/>
                  <w:rPr>
                    <w:lang w:eastAsia="en-AU"/>
                  </w:rPr>
                </w:pPr>
                <w:r w:rsidRPr="00375371">
                  <w:rPr>
                    <w:lang w:eastAsia="en-AU"/>
                  </w:rPr>
                  <w:t>2620</w:t>
                </w:r>
              </w:p>
            </w:tc>
            <w:tc>
              <w:tcPr>
                <w:tcW w:w="734" w:type="pct"/>
                <w:noWrap/>
                <w:vAlign w:val="center"/>
                <w:hideMark/>
              </w:tcPr>
              <w:p w:rsidR="00375371" w:rsidRPr="00375371" w:rsidRDefault="00375371" w:rsidP="0041724F">
                <w:pPr>
                  <w:pStyle w:val="tablebodycentered"/>
                  <w:rPr>
                    <w:lang w:eastAsia="en-AU"/>
                  </w:rPr>
                </w:pPr>
                <w:r w:rsidRPr="00375371">
                  <w:rPr>
                    <w:lang w:eastAsia="en-AU"/>
                  </w:rPr>
                  <w:t>351</w:t>
                </w:r>
              </w:p>
            </w:tc>
            <w:tc>
              <w:tcPr>
                <w:tcW w:w="734" w:type="pct"/>
                <w:noWrap/>
                <w:vAlign w:val="center"/>
                <w:hideMark/>
              </w:tcPr>
              <w:p w:rsidR="00375371" w:rsidRPr="00375371" w:rsidRDefault="00375371" w:rsidP="0041724F">
                <w:pPr>
                  <w:pStyle w:val="tablebodycentered"/>
                  <w:rPr>
                    <w:lang w:eastAsia="en-AU"/>
                  </w:rPr>
                </w:pPr>
                <w:r w:rsidRPr="00375371">
                  <w:rPr>
                    <w:lang w:eastAsia="en-AU"/>
                  </w:rPr>
                  <w:t>351</w:t>
                </w:r>
              </w:p>
            </w:tc>
            <w:tc>
              <w:tcPr>
                <w:tcW w:w="696" w:type="pct"/>
                <w:noWrap/>
                <w:vAlign w:val="center"/>
                <w:hideMark/>
              </w:tcPr>
              <w:p w:rsidR="00375371" w:rsidRPr="00375371" w:rsidRDefault="00375371" w:rsidP="0041724F">
                <w:pPr>
                  <w:pStyle w:val="tablebodycentered"/>
                  <w:rPr>
                    <w:lang w:eastAsia="en-AU"/>
                  </w:rPr>
                </w:pPr>
                <w:r w:rsidRPr="00375371">
                  <w:rPr>
                    <w:lang w:eastAsia="en-AU"/>
                  </w:rPr>
                  <w:t>2677</w:t>
                </w:r>
              </w:p>
            </w:tc>
            <w:tc>
              <w:tcPr>
                <w:tcW w:w="734" w:type="pct"/>
                <w:noWrap/>
                <w:vAlign w:val="center"/>
                <w:hideMark/>
              </w:tcPr>
              <w:p w:rsidR="00375371" w:rsidRPr="00375371" w:rsidRDefault="00375371" w:rsidP="0041724F">
                <w:pPr>
                  <w:pStyle w:val="tablebodycentered"/>
                  <w:rPr>
                    <w:lang w:eastAsia="en-AU"/>
                  </w:rPr>
                </w:pPr>
                <w:r w:rsidRPr="00375371">
                  <w:rPr>
                    <w:lang w:eastAsia="en-AU"/>
                  </w:rPr>
                  <w:t>2415</w:t>
                </w:r>
              </w:p>
            </w:tc>
            <w:tc>
              <w:tcPr>
                <w:tcW w:w="735" w:type="pct"/>
                <w:noWrap/>
                <w:vAlign w:val="center"/>
                <w:hideMark/>
              </w:tcPr>
              <w:p w:rsidR="00375371" w:rsidRPr="00375371" w:rsidRDefault="00375371" w:rsidP="0041724F">
                <w:pPr>
                  <w:pStyle w:val="tablebodycentered"/>
                  <w:rPr>
                    <w:lang w:eastAsia="en-AU"/>
                  </w:rPr>
                </w:pPr>
                <w:r w:rsidRPr="00375371">
                  <w:rPr>
                    <w:lang w:eastAsia="en-AU"/>
                  </w:rPr>
                  <w:t>2283</w:t>
                </w:r>
              </w:p>
            </w:tc>
          </w:tr>
          <w:tr w:rsidR="00375371" w:rsidRPr="00375371" w:rsidTr="002D79D0">
            <w:trPr>
              <w:cnfStyle w:val="000000010000" w:firstRow="0" w:lastRow="0" w:firstColumn="0" w:lastColumn="0" w:oddVBand="0" w:evenVBand="0" w:oddHBand="0" w:evenHBand="1" w:firstRowFirstColumn="0" w:firstRowLastColumn="0" w:lastRowFirstColumn="0" w:lastRowLastColumn="0"/>
              <w:trHeight w:val="340"/>
            </w:trPr>
            <w:tc>
              <w:tcPr>
                <w:tcW w:w="733" w:type="pct"/>
                <w:vAlign w:val="center"/>
                <w:hideMark/>
              </w:tcPr>
              <w:p w:rsidR="00375371" w:rsidRPr="00375371" w:rsidRDefault="004515B8" w:rsidP="0041724F">
                <w:pPr>
                  <w:pStyle w:val="tablebodycentered"/>
                  <w:rPr>
                    <w:lang w:eastAsia="en-AU"/>
                  </w:rPr>
                </w:pPr>
                <w:r>
                  <w:rPr>
                    <w:lang w:eastAsia="en-AU"/>
                  </w:rPr>
                  <w:t>4 pm</w:t>
                </w:r>
              </w:p>
            </w:tc>
            <w:tc>
              <w:tcPr>
                <w:tcW w:w="634" w:type="pct"/>
                <w:vAlign w:val="center"/>
                <w:hideMark/>
              </w:tcPr>
              <w:p w:rsidR="00375371" w:rsidRPr="00375371" w:rsidRDefault="00375371" w:rsidP="0041724F">
                <w:pPr>
                  <w:pStyle w:val="tablebodycentered"/>
                  <w:rPr>
                    <w:lang w:eastAsia="en-AU"/>
                  </w:rPr>
                </w:pPr>
                <w:r w:rsidRPr="00375371">
                  <w:rPr>
                    <w:lang w:eastAsia="en-AU"/>
                  </w:rPr>
                  <w:t>438</w:t>
                </w:r>
              </w:p>
            </w:tc>
            <w:tc>
              <w:tcPr>
                <w:tcW w:w="734" w:type="pct"/>
                <w:vAlign w:val="center"/>
                <w:hideMark/>
              </w:tcPr>
              <w:p w:rsidR="00375371" w:rsidRPr="00375371" w:rsidRDefault="00375371" w:rsidP="0041724F">
                <w:pPr>
                  <w:pStyle w:val="tablebodycentered"/>
                  <w:rPr>
                    <w:lang w:eastAsia="en-AU"/>
                  </w:rPr>
                </w:pPr>
                <w:r w:rsidRPr="00375371">
                  <w:rPr>
                    <w:lang w:eastAsia="en-AU"/>
                  </w:rPr>
                  <w:t>579</w:t>
                </w:r>
              </w:p>
            </w:tc>
            <w:tc>
              <w:tcPr>
                <w:tcW w:w="734" w:type="pct"/>
                <w:vAlign w:val="center"/>
                <w:hideMark/>
              </w:tcPr>
              <w:p w:rsidR="00375371" w:rsidRPr="00375371" w:rsidRDefault="00375371" w:rsidP="0041724F">
                <w:pPr>
                  <w:pStyle w:val="tablebodycentered"/>
                  <w:rPr>
                    <w:lang w:eastAsia="en-AU"/>
                  </w:rPr>
                </w:pPr>
                <w:r w:rsidRPr="00375371">
                  <w:rPr>
                    <w:lang w:eastAsia="en-AU"/>
                  </w:rPr>
                  <w:t>405</w:t>
                </w:r>
              </w:p>
            </w:tc>
            <w:tc>
              <w:tcPr>
                <w:tcW w:w="696" w:type="pct"/>
                <w:vAlign w:val="center"/>
                <w:hideMark/>
              </w:tcPr>
              <w:p w:rsidR="00375371" w:rsidRPr="00375371" w:rsidRDefault="00375371" w:rsidP="0041724F">
                <w:pPr>
                  <w:pStyle w:val="tablebodycentered"/>
                  <w:rPr>
                    <w:lang w:eastAsia="en-AU"/>
                  </w:rPr>
                </w:pPr>
                <w:r w:rsidRPr="00375371">
                  <w:rPr>
                    <w:lang w:eastAsia="en-AU"/>
                  </w:rPr>
                  <w:t>2802</w:t>
                </w:r>
              </w:p>
            </w:tc>
            <w:tc>
              <w:tcPr>
                <w:tcW w:w="734" w:type="pct"/>
                <w:vAlign w:val="center"/>
                <w:hideMark/>
              </w:tcPr>
              <w:p w:rsidR="00375371" w:rsidRPr="00375371" w:rsidRDefault="00375371" w:rsidP="0041724F">
                <w:pPr>
                  <w:pStyle w:val="tablebodycentered"/>
                  <w:rPr>
                    <w:lang w:eastAsia="en-AU"/>
                  </w:rPr>
                </w:pPr>
                <w:r w:rsidRPr="00375371">
                  <w:rPr>
                    <w:lang w:eastAsia="en-AU"/>
                  </w:rPr>
                  <w:t>2503</w:t>
                </w:r>
              </w:p>
            </w:tc>
            <w:tc>
              <w:tcPr>
                <w:tcW w:w="735" w:type="pct"/>
                <w:vAlign w:val="center"/>
                <w:hideMark/>
              </w:tcPr>
              <w:p w:rsidR="00375371" w:rsidRPr="00375371" w:rsidRDefault="00375371" w:rsidP="0041724F">
                <w:pPr>
                  <w:pStyle w:val="tablebodycentered"/>
                  <w:rPr>
                    <w:lang w:eastAsia="en-AU"/>
                  </w:rPr>
                </w:pPr>
                <w:r w:rsidRPr="00375371">
                  <w:rPr>
                    <w:lang w:eastAsia="en-AU"/>
                  </w:rPr>
                  <w:t>2383</w:t>
                </w:r>
              </w:p>
            </w:tc>
          </w:tr>
          <w:tr w:rsidR="00375371" w:rsidRPr="00375371" w:rsidTr="002D79D0">
            <w:trPr>
              <w:cnfStyle w:val="000000100000" w:firstRow="0" w:lastRow="0" w:firstColumn="0" w:lastColumn="0" w:oddVBand="0" w:evenVBand="0" w:oddHBand="1" w:evenHBand="0" w:firstRowFirstColumn="0" w:firstRowLastColumn="0" w:lastRowFirstColumn="0" w:lastRowLastColumn="0"/>
              <w:trHeight w:val="340"/>
            </w:trPr>
            <w:tc>
              <w:tcPr>
                <w:tcW w:w="733" w:type="pct"/>
                <w:vAlign w:val="center"/>
                <w:hideMark/>
              </w:tcPr>
              <w:p w:rsidR="00375371" w:rsidRPr="00375371" w:rsidRDefault="00375371" w:rsidP="0041724F">
                <w:pPr>
                  <w:pStyle w:val="tablebodycentered"/>
                  <w:rPr>
                    <w:lang w:eastAsia="en-AU"/>
                  </w:rPr>
                </w:pPr>
                <w:r w:rsidRPr="00375371">
                  <w:rPr>
                    <w:lang w:eastAsia="en-AU"/>
                  </w:rPr>
                  <w:t>4.3</w:t>
                </w:r>
                <w:r w:rsidR="004515B8">
                  <w:rPr>
                    <w:lang w:eastAsia="en-AU"/>
                  </w:rPr>
                  <w:t>0 pm</w:t>
                </w:r>
              </w:p>
            </w:tc>
            <w:tc>
              <w:tcPr>
                <w:tcW w:w="634" w:type="pct"/>
                <w:noWrap/>
                <w:vAlign w:val="center"/>
                <w:hideMark/>
              </w:tcPr>
              <w:p w:rsidR="00375371" w:rsidRPr="00375371" w:rsidRDefault="00375371" w:rsidP="0041724F">
                <w:pPr>
                  <w:pStyle w:val="tablebodycentered"/>
                  <w:rPr>
                    <w:lang w:eastAsia="en-AU"/>
                  </w:rPr>
                </w:pPr>
                <w:r w:rsidRPr="00375371">
                  <w:rPr>
                    <w:lang w:eastAsia="en-AU"/>
                  </w:rPr>
                  <w:t>444</w:t>
                </w:r>
              </w:p>
            </w:tc>
            <w:tc>
              <w:tcPr>
                <w:tcW w:w="734" w:type="pct"/>
                <w:noWrap/>
                <w:vAlign w:val="center"/>
                <w:hideMark/>
              </w:tcPr>
              <w:p w:rsidR="00375371" w:rsidRPr="00375371" w:rsidRDefault="00375371" w:rsidP="0041724F">
                <w:pPr>
                  <w:pStyle w:val="tablebodycentered"/>
                  <w:rPr>
                    <w:lang w:eastAsia="en-AU"/>
                  </w:rPr>
                </w:pPr>
                <w:r w:rsidRPr="00375371">
                  <w:rPr>
                    <w:lang w:eastAsia="en-AU"/>
                  </w:rPr>
                  <w:t>590</w:t>
                </w:r>
              </w:p>
            </w:tc>
            <w:tc>
              <w:tcPr>
                <w:tcW w:w="734" w:type="pct"/>
                <w:noWrap/>
                <w:vAlign w:val="center"/>
                <w:hideMark/>
              </w:tcPr>
              <w:p w:rsidR="00375371" w:rsidRPr="00375371" w:rsidRDefault="00375371" w:rsidP="0041724F">
                <w:pPr>
                  <w:pStyle w:val="tablebodycentered"/>
                  <w:rPr>
                    <w:lang w:eastAsia="en-AU"/>
                  </w:rPr>
                </w:pPr>
                <w:r w:rsidRPr="00375371">
                  <w:rPr>
                    <w:lang w:eastAsia="en-AU"/>
                  </w:rPr>
                  <w:t>405</w:t>
                </w:r>
              </w:p>
            </w:tc>
            <w:tc>
              <w:tcPr>
                <w:tcW w:w="696" w:type="pct"/>
                <w:noWrap/>
                <w:vAlign w:val="center"/>
                <w:hideMark/>
              </w:tcPr>
              <w:p w:rsidR="00375371" w:rsidRPr="00375371" w:rsidRDefault="00375371" w:rsidP="0041724F">
                <w:pPr>
                  <w:pStyle w:val="tablebodycentered"/>
                  <w:rPr>
                    <w:lang w:eastAsia="en-AU"/>
                  </w:rPr>
                </w:pPr>
                <w:r w:rsidRPr="00375371">
                  <w:rPr>
                    <w:lang w:eastAsia="en-AU"/>
                  </w:rPr>
                  <w:t>2910</w:t>
                </w:r>
              </w:p>
            </w:tc>
            <w:tc>
              <w:tcPr>
                <w:tcW w:w="734" w:type="pct"/>
                <w:noWrap/>
                <w:vAlign w:val="center"/>
                <w:hideMark/>
              </w:tcPr>
              <w:p w:rsidR="00375371" w:rsidRPr="00375371" w:rsidRDefault="00375371" w:rsidP="0041724F">
                <w:pPr>
                  <w:pStyle w:val="tablebodycentered"/>
                  <w:rPr>
                    <w:lang w:eastAsia="en-AU"/>
                  </w:rPr>
                </w:pPr>
                <w:r w:rsidRPr="00375371">
                  <w:rPr>
                    <w:lang w:eastAsia="en-AU"/>
                  </w:rPr>
                  <w:t>2616</w:t>
                </w:r>
              </w:p>
            </w:tc>
            <w:tc>
              <w:tcPr>
                <w:tcW w:w="735" w:type="pct"/>
                <w:noWrap/>
                <w:vAlign w:val="center"/>
                <w:hideMark/>
              </w:tcPr>
              <w:p w:rsidR="00375371" w:rsidRPr="00375371" w:rsidRDefault="00375371" w:rsidP="0041724F">
                <w:pPr>
                  <w:pStyle w:val="tablebodycentered"/>
                  <w:rPr>
                    <w:lang w:eastAsia="en-AU"/>
                  </w:rPr>
                </w:pPr>
                <w:r w:rsidRPr="00375371">
                  <w:rPr>
                    <w:lang w:eastAsia="en-AU"/>
                  </w:rPr>
                  <w:t>2472</w:t>
                </w:r>
              </w:p>
            </w:tc>
          </w:tr>
          <w:tr w:rsidR="00375371" w:rsidRPr="00375371" w:rsidTr="002D79D0">
            <w:trPr>
              <w:cnfStyle w:val="000000010000" w:firstRow="0" w:lastRow="0" w:firstColumn="0" w:lastColumn="0" w:oddVBand="0" w:evenVBand="0" w:oddHBand="0" w:evenHBand="1" w:firstRowFirstColumn="0" w:firstRowLastColumn="0" w:lastRowFirstColumn="0" w:lastRowLastColumn="0"/>
              <w:trHeight w:val="340"/>
            </w:trPr>
            <w:tc>
              <w:tcPr>
                <w:tcW w:w="733" w:type="pct"/>
                <w:vAlign w:val="center"/>
                <w:hideMark/>
              </w:tcPr>
              <w:p w:rsidR="00375371" w:rsidRPr="00375371" w:rsidRDefault="004515B8" w:rsidP="0041724F">
                <w:pPr>
                  <w:pStyle w:val="tablebodycentered"/>
                  <w:rPr>
                    <w:lang w:eastAsia="en-AU"/>
                  </w:rPr>
                </w:pPr>
                <w:r>
                  <w:rPr>
                    <w:lang w:eastAsia="en-AU"/>
                  </w:rPr>
                  <w:t>5 pm</w:t>
                </w:r>
              </w:p>
            </w:tc>
            <w:tc>
              <w:tcPr>
                <w:tcW w:w="634" w:type="pct"/>
                <w:vAlign w:val="center"/>
                <w:hideMark/>
              </w:tcPr>
              <w:p w:rsidR="00375371" w:rsidRPr="00375371" w:rsidRDefault="00375371" w:rsidP="0041724F">
                <w:pPr>
                  <w:pStyle w:val="tablebodycentered"/>
                  <w:rPr>
                    <w:lang w:eastAsia="en-AU"/>
                  </w:rPr>
                </w:pPr>
                <w:r w:rsidRPr="00375371">
                  <w:rPr>
                    <w:lang w:eastAsia="en-AU"/>
                  </w:rPr>
                  <w:t>2482</w:t>
                </w:r>
              </w:p>
            </w:tc>
            <w:tc>
              <w:tcPr>
                <w:tcW w:w="734" w:type="pct"/>
                <w:vAlign w:val="center"/>
                <w:hideMark/>
              </w:tcPr>
              <w:p w:rsidR="00375371" w:rsidRPr="00375371" w:rsidRDefault="00375371" w:rsidP="0041724F">
                <w:pPr>
                  <w:pStyle w:val="tablebodycentered"/>
                  <w:rPr>
                    <w:lang w:eastAsia="en-AU"/>
                  </w:rPr>
                </w:pPr>
                <w:r w:rsidRPr="00375371">
                  <w:rPr>
                    <w:lang w:eastAsia="en-AU"/>
                  </w:rPr>
                  <w:t>353</w:t>
                </w:r>
              </w:p>
            </w:tc>
            <w:tc>
              <w:tcPr>
                <w:tcW w:w="734" w:type="pct"/>
                <w:vAlign w:val="center"/>
                <w:hideMark/>
              </w:tcPr>
              <w:p w:rsidR="00375371" w:rsidRPr="00375371" w:rsidRDefault="00375371" w:rsidP="0041724F">
                <w:pPr>
                  <w:pStyle w:val="tablebodycentered"/>
                  <w:rPr>
                    <w:lang w:eastAsia="en-AU"/>
                  </w:rPr>
                </w:pPr>
                <w:r w:rsidRPr="00375371">
                  <w:rPr>
                    <w:lang w:eastAsia="en-AU"/>
                  </w:rPr>
                  <w:t>440</w:t>
                </w:r>
              </w:p>
            </w:tc>
            <w:tc>
              <w:tcPr>
                <w:tcW w:w="696" w:type="pct"/>
                <w:vAlign w:val="center"/>
                <w:hideMark/>
              </w:tcPr>
              <w:p w:rsidR="00375371" w:rsidRPr="00375371" w:rsidRDefault="00375371" w:rsidP="0041724F">
                <w:pPr>
                  <w:pStyle w:val="tablebodycentered"/>
                  <w:rPr>
                    <w:lang w:eastAsia="en-AU"/>
                  </w:rPr>
                </w:pPr>
                <w:r w:rsidRPr="00375371">
                  <w:rPr>
                    <w:lang w:eastAsia="en-AU"/>
                  </w:rPr>
                  <w:t>2979</w:t>
                </w:r>
              </w:p>
            </w:tc>
            <w:tc>
              <w:tcPr>
                <w:tcW w:w="734" w:type="pct"/>
                <w:vAlign w:val="center"/>
                <w:hideMark/>
              </w:tcPr>
              <w:p w:rsidR="00375371" w:rsidRPr="00375371" w:rsidRDefault="00375371" w:rsidP="0041724F">
                <w:pPr>
                  <w:pStyle w:val="tablebodycentered"/>
                  <w:rPr>
                    <w:lang w:eastAsia="en-AU"/>
                  </w:rPr>
                </w:pPr>
                <w:r w:rsidRPr="00375371">
                  <w:rPr>
                    <w:lang w:eastAsia="en-AU"/>
                  </w:rPr>
                  <w:t>2706</w:t>
                </w:r>
              </w:p>
            </w:tc>
            <w:tc>
              <w:tcPr>
                <w:tcW w:w="735" w:type="pct"/>
                <w:vAlign w:val="center"/>
                <w:hideMark/>
              </w:tcPr>
              <w:p w:rsidR="00375371" w:rsidRPr="00375371" w:rsidRDefault="00375371" w:rsidP="0041724F">
                <w:pPr>
                  <w:pStyle w:val="tablebodycentered"/>
                  <w:rPr>
                    <w:lang w:eastAsia="en-AU"/>
                  </w:rPr>
                </w:pPr>
                <w:r w:rsidRPr="00375371">
                  <w:rPr>
                    <w:lang w:eastAsia="en-AU"/>
                  </w:rPr>
                  <w:t>2545</w:t>
                </w:r>
              </w:p>
            </w:tc>
          </w:tr>
          <w:tr w:rsidR="00375371" w:rsidRPr="00375371" w:rsidTr="002D79D0">
            <w:trPr>
              <w:cnfStyle w:val="000000100000" w:firstRow="0" w:lastRow="0" w:firstColumn="0" w:lastColumn="0" w:oddVBand="0" w:evenVBand="0" w:oddHBand="1" w:evenHBand="0" w:firstRowFirstColumn="0" w:firstRowLastColumn="0" w:lastRowFirstColumn="0" w:lastRowLastColumn="0"/>
              <w:trHeight w:val="340"/>
            </w:trPr>
            <w:tc>
              <w:tcPr>
                <w:tcW w:w="733" w:type="pct"/>
                <w:vAlign w:val="center"/>
                <w:hideMark/>
              </w:tcPr>
              <w:p w:rsidR="00375371" w:rsidRPr="00EC28B9" w:rsidRDefault="00375371" w:rsidP="0041724F">
                <w:pPr>
                  <w:pStyle w:val="tablebodycentered"/>
                  <w:rPr>
                    <w:b/>
                    <w:lang w:eastAsia="en-AU"/>
                  </w:rPr>
                </w:pPr>
                <w:r w:rsidRPr="00EC28B9">
                  <w:rPr>
                    <w:b/>
                    <w:lang w:eastAsia="en-AU"/>
                  </w:rPr>
                  <w:t xml:space="preserve">5.30 </w:t>
                </w:r>
                <w:r w:rsidR="004515B8" w:rsidRPr="00EC28B9">
                  <w:rPr>
                    <w:b/>
                    <w:lang w:eastAsia="en-AU"/>
                  </w:rPr>
                  <w:t>pm</w:t>
                </w:r>
              </w:p>
            </w:tc>
            <w:tc>
              <w:tcPr>
                <w:tcW w:w="634" w:type="pct"/>
                <w:noWrap/>
                <w:vAlign w:val="center"/>
                <w:hideMark/>
              </w:tcPr>
              <w:p w:rsidR="00375371" w:rsidRPr="00EC28B9" w:rsidRDefault="00375371" w:rsidP="0041724F">
                <w:pPr>
                  <w:pStyle w:val="tablebodycentered"/>
                  <w:rPr>
                    <w:b/>
                    <w:lang w:eastAsia="en-AU"/>
                  </w:rPr>
                </w:pPr>
                <w:r w:rsidRPr="00EC28B9">
                  <w:rPr>
                    <w:b/>
                    <w:lang w:eastAsia="en-AU"/>
                  </w:rPr>
                  <w:t>11</w:t>
                </w:r>
                <w:r w:rsidR="004515B8" w:rsidRPr="00EC28B9">
                  <w:rPr>
                    <w:b/>
                    <w:lang w:eastAsia="en-AU"/>
                  </w:rPr>
                  <w:t> </w:t>
                </w:r>
                <w:r w:rsidRPr="00EC28B9">
                  <w:rPr>
                    <w:b/>
                    <w:lang w:eastAsia="en-AU"/>
                  </w:rPr>
                  <w:t>141</w:t>
                </w:r>
              </w:p>
            </w:tc>
            <w:tc>
              <w:tcPr>
                <w:tcW w:w="734" w:type="pct"/>
                <w:noWrap/>
                <w:vAlign w:val="center"/>
                <w:hideMark/>
              </w:tcPr>
              <w:p w:rsidR="00375371" w:rsidRPr="00EC28B9" w:rsidRDefault="00375371" w:rsidP="0041724F">
                <w:pPr>
                  <w:pStyle w:val="tablebodycentered"/>
                  <w:rPr>
                    <w:b/>
                    <w:lang w:eastAsia="en-AU"/>
                  </w:rPr>
                </w:pPr>
                <w:r w:rsidRPr="00EC28B9">
                  <w:rPr>
                    <w:b/>
                    <w:lang w:eastAsia="en-AU"/>
                  </w:rPr>
                  <w:t>579</w:t>
                </w:r>
              </w:p>
            </w:tc>
            <w:tc>
              <w:tcPr>
                <w:tcW w:w="734" w:type="pct"/>
                <w:noWrap/>
                <w:vAlign w:val="center"/>
                <w:hideMark/>
              </w:tcPr>
              <w:p w:rsidR="00375371" w:rsidRPr="00EC28B9" w:rsidRDefault="00375371" w:rsidP="0041724F">
                <w:pPr>
                  <w:pStyle w:val="tablebodycentered"/>
                  <w:rPr>
                    <w:b/>
                    <w:lang w:eastAsia="en-AU"/>
                  </w:rPr>
                </w:pPr>
                <w:r w:rsidRPr="00EC28B9">
                  <w:rPr>
                    <w:b/>
                    <w:lang w:eastAsia="en-AU"/>
                  </w:rPr>
                  <w:t>590</w:t>
                </w:r>
              </w:p>
            </w:tc>
            <w:tc>
              <w:tcPr>
                <w:tcW w:w="696" w:type="pct"/>
                <w:noWrap/>
                <w:vAlign w:val="center"/>
                <w:hideMark/>
              </w:tcPr>
              <w:p w:rsidR="00375371" w:rsidRPr="00EC28B9" w:rsidRDefault="00375371" w:rsidP="0041724F">
                <w:pPr>
                  <w:pStyle w:val="tablebodycentered"/>
                  <w:rPr>
                    <w:b/>
                    <w:lang w:eastAsia="en-AU"/>
                  </w:rPr>
                </w:pPr>
                <w:r w:rsidRPr="00EC28B9">
                  <w:rPr>
                    <w:b/>
                    <w:lang w:eastAsia="en-AU"/>
                  </w:rPr>
                  <w:t>3007</w:t>
                </w:r>
              </w:p>
            </w:tc>
            <w:tc>
              <w:tcPr>
                <w:tcW w:w="734" w:type="pct"/>
                <w:noWrap/>
                <w:vAlign w:val="center"/>
                <w:hideMark/>
              </w:tcPr>
              <w:p w:rsidR="00375371" w:rsidRPr="00EC28B9" w:rsidRDefault="00375371" w:rsidP="0041724F">
                <w:pPr>
                  <w:pStyle w:val="tablebodycentered"/>
                  <w:rPr>
                    <w:b/>
                    <w:lang w:eastAsia="en-AU"/>
                  </w:rPr>
                </w:pPr>
                <w:r w:rsidRPr="00EC28B9">
                  <w:rPr>
                    <w:b/>
                    <w:lang w:eastAsia="en-AU"/>
                  </w:rPr>
                  <w:t>2732</w:t>
                </w:r>
              </w:p>
            </w:tc>
            <w:tc>
              <w:tcPr>
                <w:tcW w:w="735" w:type="pct"/>
                <w:noWrap/>
                <w:vAlign w:val="center"/>
                <w:hideMark/>
              </w:tcPr>
              <w:p w:rsidR="00375371" w:rsidRPr="00EC28B9" w:rsidRDefault="00375371" w:rsidP="0041724F">
                <w:pPr>
                  <w:pStyle w:val="tablebodycentered"/>
                  <w:rPr>
                    <w:b/>
                    <w:lang w:eastAsia="en-AU"/>
                  </w:rPr>
                </w:pPr>
                <w:r w:rsidRPr="00EC28B9">
                  <w:rPr>
                    <w:b/>
                    <w:lang w:eastAsia="en-AU"/>
                  </w:rPr>
                  <w:t>2625</w:t>
                </w:r>
              </w:p>
            </w:tc>
          </w:tr>
          <w:tr w:rsidR="00375371" w:rsidRPr="00375371" w:rsidTr="002D79D0">
            <w:trPr>
              <w:cnfStyle w:val="000000010000" w:firstRow="0" w:lastRow="0" w:firstColumn="0" w:lastColumn="0" w:oddVBand="0" w:evenVBand="0" w:oddHBand="0" w:evenHBand="1" w:firstRowFirstColumn="0" w:firstRowLastColumn="0" w:lastRowFirstColumn="0" w:lastRowLastColumn="0"/>
              <w:trHeight w:val="340"/>
            </w:trPr>
            <w:tc>
              <w:tcPr>
                <w:tcW w:w="733" w:type="pct"/>
                <w:vAlign w:val="center"/>
                <w:hideMark/>
              </w:tcPr>
              <w:p w:rsidR="00375371" w:rsidRPr="00EC28B9" w:rsidRDefault="00375371" w:rsidP="0041724F">
                <w:pPr>
                  <w:pStyle w:val="tablebodycentered"/>
                  <w:rPr>
                    <w:b/>
                    <w:lang w:eastAsia="en-AU"/>
                  </w:rPr>
                </w:pPr>
                <w:r w:rsidRPr="00EC28B9">
                  <w:rPr>
                    <w:b/>
                    <w:lang w:eastAsia="en-AU"/>
                  </w:rPr>
                  <w:t>6</w:t>
                </w:r>
                <w:r w:rsidR="004515B8" w:rsidRPr="00EC28B9">
                  <w:rPr>
                    <w:b/>
                    <w:lang w:eastAsia="en-AU"/>
                  </w:rPr>
                  <w:t> pm</w:t>
                </w:r>
              </w:p>
            </w:tc>
            <w:tc>
              <w:tcPr>
                <w:tcW w:w="634" w:type="pct"/>
                <w:vAlign w:val="center"/>
                <w:hideMark/>
              </w:tcPr>
              <w:p w:rsidR="00375371" w:rsidRPr="00EC28B9" w:rsidRDefault="00375371" w:rsidP="0041724F">
                <w:pPr>
                  <w:pStyle w:val="tablebodycentered"/>
                  <w:rPr>
                    <w:b/>
                    <w:lang w:eastAsia="en-AU"/>
                  </w:rPr>
                </w:pPr>
                <w:r w:rsidRPr="00EC28B9">
                  <w:rPr>
                    <w:b/>
                    <w:lang w:eastAsia="en-AU"/>
                  </w:rPr>
                  <w:t>13</w:t>
                </w:r>
                <w:r w:rsidR="004515B8" w:rsidRPr="00EC28B9">
                  <w:rPr>
                    <w:b/>
                    <w:lang w:eastAsia="en-AU"/>
                  </w:rPr>
                  <w:t> </w:t>
                </w:r>
                <w:r w:rsidRPr="00EC28B9">
                  <w:rPr>
                    <w:b/>
                    <w:lang w:eastAsia="en-AU"/>
                  </w:rPr>
                  <w:t>160</w:t>
                </w:r>
              </w:p>
            </w:tc>
            <w:tc>
              <w:tcPr>
                <w:tcW w:w="734" w:type="pct"/>
                <w:vAlign w:val="center"/>
                <w:hideMark/>
              </w:tcPr>
              <w:p w:rsidR="00375371" w:rsidRPr="00EC28B9" w:rsidRDefault="00375371" w:rsidP="0041724F">
                <w:pPr>
                  <w:pStyle w:val="tablebodycentered"/>
                  <w:rPr>
                    <w:b/>
                    <w:lang w:eastAsia="en-AU"/>
                  </w:rPr>
                </w:pPr>
                <w:r w:rsidRPr="00EC28B9">
                  <w:rPr>
                    <w:b/>
                    <w:lang w:eastAsia="en-AU"/>
                  </w:rPr>
                  <w:t>579</w:t>
                </w:r>
              </w:p>
            </w:tc>
            <w:tc>
              <w:tcPr>
                <w:tcW w:w="734" w:type="pct"/>
                <w:vAlign w:val="center"/>
                <w:hideMark/>
              </w:tcPr>
              <w:p w:rsidR="00375371" w:rsidRPr="00EC28B9" w:rsidRDefault="00375371" w:rsidP="0041724F">
                <w:pPr>
                  <w:pStyle w:val="tablebodycentered"/>
                  <w:rPr>
                    <w:b/>
                    <w:lang w:eastAsia="en-AU"/>
                  </w:rPr>
                </w:pPr>
                <w:r w:rsidRPr="00EC28B9">
                  <w:rPr>
                    <w:b/>
                    <w:lang w:eastAsia="en-AU"/>
                  </w:rPr>
                  <w:t>590</w:t>
                </w:r>
              </w:p>
            </w:tc>
            <w:tc>
              <w:tcPr>
                <w:tcW w:w="696" w:type="pct"/>
                <w:vAlign w:val="center"/>
                <w:hideMark/>
              </w:tcPr>
              <w:p w:rsidR="00375371" w:rsidRPr="00EC28B9" w:rsidRDefault="00375371" w:rsidP="0041724F">
                <w:pPr>
                  <w:pStyle w:val="tablebodycentered"/>
                  <w:rPr>
                    <w:b/>
                    <w:lang w:eastAsia="en-AU"/>
                  </w:rPr>
                </w:pPr>
                <w:r w:rsidRPr="00EC28B9">
                  <w:rPr>
                    <w:b/>
                    <w:lang w:eastAsia="en-AU"/>
                  </w:rPr>
                  <w:t>3046</w:t>
                </w:r>
              </w:p>
            </w:tc>
            <w:tc>
              <w:tcPr>
                <w:tcW w:w="734" w:type="pct"/>
                <w:vAlign w:val="center"/>
                <w:hideMark/>
              </w:tcPr>
              <w:p w:rsidR="00375371" w:rsidRPr="00EC28B9" w:rsidRDefault="00375371" w:rsidP="0041724F">
                <w:pPr>
                  <w:pStyle w:val="tablebodycentered"/>
                  <w:rPr>
                    <w:b/>
                    <w:lang w:eastAsia="en-AU"/>
                  </w:rPr>
                </w:pPr>
                <w:r w:rsidRPr="00EC28B9">
                  <w:rPr>
                    <w:b/>
                    <w:lang w:eastAsia="en-AU"/>
                  </w:rPr>
                  <w:t>2733</w:t>
                </w:r>
              </w:p>
            </w:tc>
            <w:tc>
              <w:tcPr>
                <w:tcW w:w="735" w:type="pct"/>
                <w:vAlign w:val="center"/>
                <w:hideMark/>
              </w:tcPr>
              <w:p w:rsidR="00375371" w:rsidRPr="00EC28B9" w:rsidRDefault="00375371" w:rsidP="0041724F">
                <w:pPr>
                  <w:pStyle w:val="tablebodycentered"/>
                  <w:rPr>
                    <w:b/>
                    <w:lang w:eastAsia="en-AU"/>
                  </w:rPr>
                </w:pPr>
                <w:r w:rsidRPr="00EC28B9">
                  <w:rPr>
                    <w:b/>
                    <w:lang w:eastAsia="en-AU"/>
                  </w:rPr>
                  <w:t>2660</w:t>
                </w:r>
              </w:p>
            </w:tc>
          </w:tr>
          <w:tr w:rsidR="00375371" w:rsidRPr="00375371" w:rsidTr="002D79D0">
            <w:trPr>
              <w:cnfStyle w:val="000000100000" w:firstRow="0" w:lastRow="0" w:firstColumn="0" w:lastColumn="0" w:oddVBand="0" w:evenVBand="0" w:oddHBand="1" w:evenHBand="0" w:firstRowFirstColumn="0" w:firstRowLastColumn="0" w:lastRowFirstColumn="0" w:lastRowLastColumn="0"/>
              <w:trHeight w:val="340"/>
            </w:trPr>
            <w:tc>
              <w:tcPr>
                <w:tcW w:w="733" w:type="pct"/>
                <w:vAlign w:val="center"/>
                <w:hideMark/>
              </w:tcPr>
              <w:p w:rsidR="00375371" w:rsidRPr="00EC28B9" w:rsidRDefault="004515B8" w:rsidP="0041724F">
                <w:pPr>
                  <w:pStyle w:val="tablebodycentered"/>
                  <w:rPr>
                    <w:b/>
                    <w:color w:val="FF8D40" w:themeColor="accent2" w:themeTint="99"/>
                    <w:lang w:eastAsia="en-AU"/>
                  </w:rPr>
                </w:pPr>
                <w:r w:rsidRPr="00EC28B9">
                  <w:rPr>
                    <w:b/>
                    <w:color w:val="FF8D40" w:themeColor="accent2" w:themeTint="99"/>
                    <w:lang w:eastAsia="en-AU"/>
                  </w:rPr>
                  <w:lastRenderedPageBreak/>
                  <w:t>6.30 pm</w:t>
                </w:r>
              </w:p>
            </w:tc>
            <w:tc>
              <w:tcPr>
                <w:tcW w:w="634" w:type="pct"/>
                <w:noWrap/>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13</w:t>
                </w:r>
                <w:r w:rsidR="004515B8" w:rsidRPr="00EC28B9">
                  <w:rPr>
                    <w:b/>
                    <w:color w:val="FF8D40" w:themeColor="accent2" w:themeTint="99"/>
                    <w:lang w:eastAsia="en-AU"/>
                  </w:rPr>
                  <w:t> </w:t>
                </w:r>
                <w:r w:rsidRPr="00EC28B9">
                  <w:rPr>
                    <w:b/>
                    <w:color w:val="FF8D40" w:themeColor="accent2" w:themeTint="99"/>
                    <w:lang w:eastAsia="en-AU"/>
                  </w:rPr>
                  <w:t>440</w:t>
                </w:r>
              </w:p>
            </w:tc>
            <w:tc>
              <w:tcPr>
                <w:tcW w:w="734" w:type="pct"/>
                <w:noWrap/>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579</w:t>
                </w:r>
              </w:p>
            </w:tc>
            <w:tc>
              <w:tcPr>
                <w:tcW w:w="734" w:type="pct"/>
                <w:noWrap/>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590</w:t>
                </w:r>
              </w:p>
            </w:tc>
            <w:tc>
              <w:tcPr>
                <w:tcW w:w="696" w:type="pct"/>
                <w:noWrap/>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2946</w:t>
                </w:r>
              </w:p>
            </w:tc>
            <w:tc>
              <w:tcPr>
                <w:tcW w:w="734" w:type="pct"/>
                <w:noWrap/>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2715</w:t>
                </w:r>
              </w:p>
            </w:tc>
            <w:tc>
              <w:tcPr>
                <w:tcW w:w="735" w:type="pct"/>
                <w:noWrap/>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2685</w:t>
                </w:r>
              </w:p>
            </w:tc>
          </w:tr>
          <w:tr w:rsidR="00375371" w:rsidRPr="00375371" w:rsidTr="002D79D0">
            <w:trPr>
              <w:cnfStyle w:val="000000010000" w:firstRow="0" w:lastRow="0" w:firstColumn="0" w:lastColumn="0" w:oddVBand="0" w:evenVBand="0" w:oddHBand="0" w:evenHBand="1" w:firstRowFirstColumn="0" w:firstRowLastColumn="0" w:lastRowFirstColumn="0" w:lastRowLastColumn="0"/>
              <w:trHeight w:val="340"/>
            </w:trPr>
            <w:tc>
              <w:tcPr>
                <w:tcW w:w="733" w:type="pct"/>
                <w:vAlign w:val="center"/>
                <w:hideMark/>
              </w:tcPr>
              <w:p w:rsidR="00375371" w:rsidRPr="00EC28B9" w:rsidRDefault="004515B8" w:rsidP="0041724F">
                <w:pPr>
                  <w:pStyle w:val="tablebodycentered"/>
                  <w:rPr>
                    <w:b/>
                    <w:color w:val="FF8D40" w:themeColor="accent2" w:themeTint="99"/>
                    <w:lang w:eastAsia="en-AU"/>
                  </w:rPr>
                </w:pPr>
                <w:r w:rsidRPr="00EC28B9">
                  <w:rPr>
                    <w:b/>
                    <w:color w:val="FF8D40" w:themeColor="accent2" w:themeTint="99"/>
                    <w:lang w:eastAsia="en-AU"/>
                  </w:rPr>
                  <w:t>7 pm</w:t>
                </w:r>
              </w:p>
            </w:tc>
            <w:tc>
              <w:tcPr>
                <w:tcW w:w="634" w:type="pct"/>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9387</w:t>
                </w:r>
              </w:p>
            </w:tc>
            <w:tc>
              <w:tcPr>
                <w:tcW w:w="734" w:type="pct"/>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1750</w:t>
                </w:r>
              </w:p>
            </w:tc>
            <w:tc>
              <w:tcPr>
                <w:tcW w:w="734" w:type="pct"/>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579</w:t>
                </w:r>
              </w:p>
            </w:tc>
            <w:tc>
              <w:tcPr>
                <w:tcW w:w="696" w:type="pct"/>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2876</w:t>
                </w:r>
              </w:p>
            </w:tc>
            <w:tc>
              <w:tcPr>
                <w:tcW w:w="734" w:type="pct"/>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2807</w:t>
                </w:r>
              </w:p>
            </w:tc>
            <w:tc>
              <w:tcPr>
                <w:tcW w:w="735" w:type="pct"/>
                <w:vAlign w:val="center"/>
                <w:hideMark/>
              </w:tcPr>
              <w:p w:rsidR="00375371" w:rsidRPr="00EC28B9" w:rsidRDefault="00375371" w:rsidP="0041724F">
                <w:pPr>
                  <w:pStyle w:val="tablebodycentered"/>
                  <w:rPr>
                    <w:b/>
                    <w:color w:val="FF8D40" w:themeColor="accent2" w:themeTint="99"/>
                    <w:lang w:eastAsia="en-AU"/>
                  </w:rPr>
                </w:pPr>
                <w:r w:rsidRPr="00EC28B9">
                  <w:rPr>
                    <w:b/>
                    <w:color w:val="FF8D40" w:themeColor="accent2" w:themeTint="99"/>
                    <w:lang w:eastAsia="en-AU"/>
                  </w:rPr>
                  <w:t>2666</w:t>
                </w:r>
              </w:p>
            </w:tc>
          </w:tr>
          <w:tr w:rsidR="00375371" w:rsidRPr="00375371" w:rsidTr="002D79D0">
            <w:trPr>
              <w:cnfStyle w:val="000000100000" w:firstRow="0" w:lastRow="0" w:firstColumn="0" w:lastColumn="0" w:oddVBand="0" w:evenVBand="0" w:oddHBand="1" w:evenHBand="0" w:firstRowFirstColumn="0" w:firstRowLastColumn="0" w:lastRowFirstColumn="0" w:lastRowLastColumn="0"/>
              <w:trHeight w:val="340"/>
            </w:trPr>
            <w:tc>
              <w:tcPr>
                <w:tcW w:w="733" w:type="pct"/>
                <w:vAlign w:val="center"/>
                <w:hideMark/>
              </w:tcPr>
              <w:p w:rsidR="00375371" w:rsidRPr="00EC28B9" w:rsidRDefault="00375371" w:rsidP="0041724F">
                <w:pPr>
                  <w:pStyle w:val="tablebodycentered"/>
                  <w:rPr>
                    <w:b/>
                    <w:lang w:eastAsia="en-AU"/>
                  </w:rPr>
                </w:pPr>
                <w:r w:rsidRPr="00EC28B9">
                  <w:rPr>
                    <w:b/>
                    <w:lang w:eastAsia="en-AU"/>
                  </w:rPr>
                  <w:t>7.30</w:t>
                </w:r>
                <w:r w:rsidR="004515B8" w:rsidRPr="00EC28B9">
                  <w:rPr>
                    <w:b/>
                    <w:lang w:eastAsia="en-AU"/>
                  </w:rPr>
                  <w:t> pm</w:t>
                </w:r>
              </w:p>
            </w:tc>
            <w:tc>
              <w:tcPr>
                <w:tcW w:w="634" w:type="pct"/>
                <w:noWrap/>
                <w:vAlign w:val="center"/>
                <w:hideMark/>
              </w:tcPr>
              <w:p w:rsidR="00375371" w:rsidRPr="00EC28B9" w:rsidRDefault="00375371" w:rsidP="0041724F">
                <w:pPr>
                  <w:pStyle w:val="tablebodycentered"/>
                  <w:rPr>
                    <w:b/>
                    <w:lang w:eastAsia="en-AU"/>
                  </w:rPr>
                </w:pPr>
                <w:r w:rsidRPr="00EC28B9">
                  <w:rPr>
                    <w:b/>
                    <w:lang w:eastAsia="en-AU"/>
                  </w:rPr>
                  <w:t>13</w:t>
                </w:r>
                <w:r w:rsidR="004515B8" w:rsidRPr="00EC28B9">
                  <w:rPr>
                    <w:b/>
                    <w:lang w:eastAsia="en-AU"/>
                  </w:rPr>
                  <w:t> </w:t>
                </w:r>
                <w:r w:rsidRPr="00EC28B9">
                  <w:rPr>
                    <w:b/>
                    <w:lang w:eastAsia="en-AU"/>
                  </w:rPr>
                  <w:t>400</w:t>
                </w:r>
              </w:p>
            </w:tc>
            <w:tc>
              <w:tcPr>
                <w:tcW w:w="734" w:type="pct"/>
                <w:noWrap/>
                <w:vAlign w:val="center"/>
                <w:hideMark/>
              </w:tcPr>
              <w:p w:rsidR="00375371" w:rsidRPr="00EC28B9" w:rsidRDefault="00375371" w:rsidP="0041724F">
                <w:pPr>
                  <w:pStyle w:val="tablebodycentered"/>
                  <w:rPr>
                    <w:b/>
                    <w:lang w:eastAsia="en-AU"/>
                  </w:rPr>
                </w:pPr>
                <w:r w:rsidRPr="00EC28B9">
                  <w:rPr>
                    <w:b/>
                    <w:lang w:eastAsia="en-AU"/>
                  </w:rPr>
                  <w:t>13</w:t>
                </w:r>
                <w:r w:rsidR="004515B8" w:rsidRPr="00EC28B9">
                  <w:rPr>
                    <w:b/>
                    <w:lang w:eastAsia="en-AU"/>
                  </w:rPr>
                  <w:t> </w:t>
                </w:r>
                <w:r w:rsidRPr="00EC28B9">
                  <w:rPr>
                    <w:b/>
                    <w:lang w:eastAsia="en-AU"/>
                  </w:rPr>
                  <w:t>100</w:t>
                </w:r>
              </w:p>
            </w:tc>
            <w:tc>
              <w:tcPr>
                <w:tcW w:w="734" w:type="pct"/>
                <w:noWrap/>
                <w:vAlign w:val="center"/>
                <w:hideMark/>
              </w:tcPr>
              <w:p w:rsidR="00375371" w:rsidRPr="00EC28B9" w:rsidRDefault="00375371" w:rsidP="0041724F">
                <w:pPr>
                  <w:pStyle w:val="tablebodycentered"/>
                  <w:rPr>
                    <w:b/>
                    <w:lang w:eastAsia="en-AU"/>
                  </w:rPr>
                </w:pPr>
                <w:r w:rsidRPr="00EC28B9">
                  <w:rPr>
                    <w:b/>
                    <w:lang w:eastAsia="en-AU"/>
                  </w:rPr>
                  <w:t>579</w:t>
                </w:r>
              </w:p>
            </w:tc>
            <w:tc>
              <w:tcPr>
                <w:tcW w:w="696" w:type="pct"/>
                <w:noWrap/>
                <w:vAlign w:val="center"/>
                <w:hideMark/>
              </w:tcPr>
              <w:p w:rsidR="00375371" w:rsidRPr="00EC28B9" w:rsidRDefault="00375371" w:rsidP="0041724F">
                <w:pPr>
                  <w:pStyle w:val="tablebodycentered"/>
                  <w:rPr>
                    <w:b/>
                    <w:lang w:eastAsia="en-AU"/>
                  </w:rPr>
                </w:pPr>
                <w:r w:rsidRPr="00EC28B9">
                  <w:rPr>
                    <w:b/>
                    <w:lang w:eastAsia="en-AU"/>
                  </w:rPr>
                  <w:t>3009</w:t>
                </w:r>
              </w:p>
            </w:tc>
            <w:tc>
              <w:tcPr>
                <w:tcW w:w="734" w:type="pct"/>
                <w:noWrap/>
                <w:vAlign w:val="center"/>
                <w:hideMark/>
              </w:tcPr>
              <w:p w:rsidR="00375371" w:rsidRPr="00EC28B9" w:rsidRDefault="00375371" w:rsidP="0041724F">
                <w:pPr>
                  <w:pStyle w:val="tablebodycentered"/>
                  <w:rPr>
                    <w:b/>
                    <w:lang w:eastAsia="en-AU"/>
                  </w:rPr>
                </w:pPr>
                <w:r w:rsidRPr="00EC28B9">
                  <w:rPr>
                    <w:b/>
                    <w:lang w:eastAsia="en-AU"/>
                  </w:rPr>
                  <w:t>2791</w:t>
                </w:r>
              </w:p>
            </w:tc>
            <w:tc>
              <w:tcPr>
                <w:tcW w:w="735" w:type="pct"/>
                <w:noWrap/>
                <w:vAlign w:val="center"/>
                <w:hideMark/>
              </w:tcPr>
              <w:p w:rsidR="00375371" w:rsidRPr="00EC28B9" w:rsidRDefault="00375371" w:rsidP="0041724F">
                <w:pPr>
                  <w:pStyle w:val="tablebodycentered"/>
                  <w:rPr>
                    <w:b/>
                    <w:lang w:eastAsia="en-AU"/>
                  </w:rPr>
                </w:pPr>
                <w:r w:rsidRPr="00EC28B9">
                  <w:rPr>
                    <w:b/>
                    <w:lang w:eastAsia="en-AU"/>
                  </w:rPr>
                  <w:t>2588</w:t>
                </w:r>
              </w:p>
            </w:tc>
          </w:tr>
        </w:tbl>
        <w:p w:rsidR="002D79D0" w:rsidRDefault="002D79D0" w:rsidP="002D79D0">
          <w:pPr>
            <w:pStyle w:val="Heading2"/>
          </w:pPr>
          <w:bookmarkStart w:id="7" w:name="_Toc480971267"/>
          <w:r>
            <w:t>Conditions on the day</w:t>
          </w:r>
          <w:bookmarkEnd w:id="7"/>
        </w:p>
        <w:p w:rsidR="00375371" w:rsidRDefault="0071696F" w:rsidP="003A585C">
          <w:pPr>
            <w:pStyle w:val="AERBody"/>
          </w:pPr>
          <w:r>
            <w:t xml:space="preserve">This section explores the contributing factors that led to the market outcomes on the day. Electricity demand forecast accuracy, transmission network availability, </w:t>
          </w:r>
          <w:r w:rsidR="00A82CE7">
            <w:t xml:space="preserve">South Australian </w:t>
          </w:r>
          <w:r>
            <w:t>generation availability</w:t>
          </w:r>
          <w:r w:rsidR="007C44C6">
            <w:t>, including wind forecast accuracy</w:t>
          </w:r>
          <w:r>
            <w:t xml:space="preserve"> and the conditions that g</w:t>
          </w:r>
          <w:r w:rsidR="00A82CE7">
            <w:t>a</w:t>
          </w:r>
          <w:r>
            <w:t>ve rise to load shedding are discussed</w:t>
          </w:r>
          <w:r w:rsidR="00A82CE7">
            <w:t xml:space="preserve"> further</w:t>
          </w:r>
          <w:r w:rsidR="00556803">
            <w:t xml:space="preserve">. </w:t>
          </w:r>
        </w:p>
        <w:p w:rsidR="00190462" w:rsidRPr="00C0477C" w:rsidRDefault="00190462" w:rsidP="00190462">
          <w:pPr>
            <w:pStyle w:val="Heading3"/>
          </w:pPr>
          <w:bookmarkStart w:id="8" w:name="_Ref479601594"/>
          <w:bookmarkStart w:id="9" w:name="_Toc480971268"/>
          <w:r>
            <w:t xml:space="preserve">Demand </w:t>
          </w:r>
          <w:r w:rsidRPr="00D16D50">
            <w:t>forecast</w:t>
          </w:r>
          <w:r>
            <w:t>s</w:t>
          </w:r>
          <w:bookmarkEnd w:id="8"/>
          <w:bookmarkEnd w:id="9"/>
        </w:p>
        <w:p w:rsidR="006E338B" w:rsidRDefault="00190462" w:rsidP="006E338B">
          <w:pPr>
            <w:pStyle w:val="AERBody"/>
          </w:pPr>
          <w:r>
            <w:t xml:space="preserve">Table 2 shows actual </w:t>
          </w:r>
          <w:r w:rsidR="005C3629">
            <w:t xml:space="preserve">demand </w:t>
          </w:r>
          <w:r>
            <w:t>and the difference between forecast (demand error) half</w:t>
          </w:r>
          <w:r w:rsidR="005E1120">
            <w:t xml:space="preserve"> hour, one</w:t>
          </w:r>
          <w:r>
            <w:t xml:space="preserve">, </w:t>
          </w:r>
          <w:r w:rsidR="005E1120">
            <w:t>four</w:t>
          </w:r>
          <w:r>
            <w:t xml:space="preserve"> and </w:t>
          </w:r>
          <w:r w:rsidR="005E1120">
            <w:t>12</w:t>
          </w:r>
          <w:r>
            <w:t xml:space="preserve"> hour ahead for all trading intervals from 3.30</w:t>
          </w:r>
          <w:r>
            <w:noBreakHyphen/>
            <w:t xml:space="preserve">7.30 pm. </w:t>
          </w:r>
          <w:r w:rsidR="006E338B">
            <w:t>The 6.30</w:t>
          </w:r>
          <w:r w:rsidR="006E338B">
            <w:noBreakHyphen/>
            <w:t xml:space="preserve">7 pm trading intervals are highlighted in orange as AEMO initiated a process to interrupt electricity supply to customers in South Australia, known as load shedding, at 6.03 pm. This is discussed in </w:t>
          </w:r>
          <w:r w:rsidR="00B8653C">
            <w:t xml:space="preserve">more </w:t>
          </w:r>
          <w:r w:rsidR="006E338B">
            <w:t xml:space="preserve">detail in section </w:t>
          </w:r>
          <w:r w:rsidR="00A40A69">
            <w:rPr>
              <w:highlight w:val="yellow"/>
            </w:rPr>
            <w:fldChar w:fldCharType="begin"/>
          </w:r>
          <w:r w:rsidR="00A40A69">
            <w:instrText xml:space="preserve"> REF _Ref479676996 \r \h </w:instrText>
          </w:r>
          <w:r w:rsidR="00A40A69">
            <w:rPr>
              <w:highlight w:val="yellow"/>
            </w:rPr>
          </w:r>
          <w:r w:rsidR="00A40A69">
            <w:rPr>
              <w:highlight w:val="yellow"/>
            </w:rPr>
            <w:fldChar w:fldCharType="separate"/>
          </w:r>
          <w:r w:rsidR="005B5767">
            <w:t>3.2</w:t>
          </w:r>
          <w:r w:rsidR="00A40A69">
            <w:rPr>
              <w:highlight w:val="yellow"/>
            </w:rPr>
            <w:fldChar w:fldCharType="end"/>
          </w:r>
          <w:r w:rsidR="006E338B">
            <w:t>. While AEMO only requested 100 MW, the actual reduction was over 300 MW.</w:t>
          </w:r>
          <w:r w:rsidR="006E338B">
            <w:rPr>
              <w:rStyle w:val="FootnoteReference"/>
            </w:rPr>
            <w:footnoteReference w:id="1"/>
          </w:r>
          <w:r w:rsidR="006E338B">
            <w:t xml:space="preserve"> </w:t>
          </w:r>
        </w:p>
        <w:p w:rsidR="00190462" w:rsidRDefault="00190462" w:rsidP="00190462">
          <w:pPr>
            <w:pStyle w:val="AERBody"/>
          </w:pPr>
          <w:r>
            <w:t>During this period, demand was higher than that forecast</w:t>
          </w:r>
          <w:r w:rsidRPr="00AD4EF4">
            <w:t xml:space="preserve">. </w:t>
          </w:r>
          <w:r w:rsidR="007D716B" w:rsidRPr="00AD4EF4">
            <w:t xml:space="preserve">The </w:t>
          </w:r>
          <w:r w:rsidR="006507C8">
            <w:t>largest</w:t>
          </w:r>
          <w:r w:rsidR="006507C8" w:rsidRPr="00AD4EF4">
            <w:t xml:space="preserve"> </w:t>
          </w:r>
          <w:r w:rsidR="00BA2949">
            <w:t>four</w:t>
          </w:r>
          <w:r w:rsidR="00AD4EF4" w:rsidRPr="00AD4EF4">
            <w:t xml:space="preserve"> hour </w:t>
          </w:r>
          <w:r w:rsidR="00BA2949">
            <w:t xml:space="preserve">ahead </w:t>
          </w:r>
          <w:r w:rsidR="007D716B" w:rsidRPr="00AD4EF4">
            <w:t xml:space="preserve">forecast error occurred </w:t>
          </w:r>
          <w:r w:rsidR="00AD4EF4" w:rsidRPr="00AD4EF4">
            <w:t>just</w:t>
          </w:r>
          <w:r w:rsidR="007D716B" w:rsidRPr="00AD4EF4">
            <w:t xml:space="preserve"> before load was shed at 6.03</w:t>
          </w:r>
          <w:r w:rsidR="000A2B28">
            <w:t> pm</w:t>
          </w:r>
          <w:r w:rsidR="007D716B" w:rsidRPr="00AD4EF4">
            <w:t xml:space="preserve"> during the 6</w:t>
          </w:r>
          <w:r w:rsidR="00AD4EF4" w:rsidRPr="00AD4EF4">
            <w:t> </w:t>
          </w:r>
          <w:r w:rsidR="007D716B" w:rsidRPr="00AD4EF4">
            <w:t>pm trading interval.</w:t>
          </w:r>
          <w:r w:rsidR="007D716B">
            <w:t xml:space="preserve"> </w:t>
          </w:r>
        </w:p>
        <w:p w:rsidR="00190462" w:rsidRDefault="00190462" w:rsidP="00190462">
          <w:pPr>
            <w:pStyle w:val="Caption"/>
          </w:pPr>
          <w:bookmarkStart w:id="10" w:name="_Ref477987891"/>
          <w:r>
            <w:t xml:space="preserve">Table </w:t>
          </w:r>
          <w:fldSimple w:instr=" SEQ Table \* ARABIC ">
            <w:r w:rsidR="005B5767">
              <w:rPr>
                <w:noProof/>
              </w:rPr>
              <w:t>2</w:t>
            </w:r>
          </w:fldSimple>
          <w:bookmarkEnd w:id="10"/>
          <w:r>
            <w:t xml:space="preserve">: </w:t>
          </w:r>
          <w:r w:rsidRPr="005F7AB3">
            <w:t>Actual and forecast</w:t>
          </w:r>
          <w:r>
            <w:t xml:space="preserve"> demand for South Australia</w:t>
          </w:r>
        </w:p>
        <w:tbl>
          <w:tblPr>
            <w:tblW w:w="5000" w:type="pct"/>
            <w:tblLook w:val="04A0" w:firstRow="1" w:lastRow="0" w:firstColumn="1" w:lastColumn="0" w:noHBand="0" w:noVBand="1"/>
          </w:tblPr>
          <w:tblGrid>
            <w:gridCol w:w="1463"/>
            <w:gridCol w:w="1462"/>
            <w:gridCol w:w="1462"/>
            <w:gridCol w:w="1462"/>
            <w:gridCol w:w="1462"/>
            <w:gridCol w:w="1466"/>
          </w:tblGrid>
          <w:tr w:rsidR="00190462" w:rsidRPr="001F3CF8" w:rsidTr="0047489B">
            <w:trPr>
              <w:trHeight w:val="300"/>
              <w:tblHeader/>
            </w:trPr>
            <w:tc>
              <w:tcPr>
                <w:tcW w:w="833" w:type="pct"/>
                <w:vMerge w:val="restart"/>
                <w:tcBorders>
                  <w:top w:val="nil"/>
                  <w:left w:val="nil"/>
                  <w:bottom w:val="nil"/>
                  <w:right w:val="nil"/>
                </w:tcBorders>
                <w:shd w:val="clear" w:color="000000" w:fill="076A92"/>
                <w:vAlign w:val="center"/>
                <w:hideMark/>
              </w:tcPr>
              <w:p w:rsidR="00190462" w:rsidRDefault="00190462" w:rsidP="0047489B">
                <w:pPr>
                  <w:pStyle w:val="TableHeading"/>
                  <w:rPr>
                    <w:lang w:eastAsia="en-AU"/>
                  </w:rPr>
                </w:pPr>
                <w:r w:rsidRPr="001F3CF8">
                  <w:rPr>
                    <w:lang w:eastAsia="en-AU"/>
                  </w:rPr>
                  <w:t>Trading interval</w:t>
                </w:r>
              </w:p>
              <w:p w:rsidR="00190462" w:rsidRPr="001F3CF8" w:rsidRDefault="00190462" w:rsidP="0047489B">
                <w:pPr>
                  <w:pStyle w:val="TableHeading"/>
                  <w:rPr>
                    <w:lang w:eastAsia="en-AU"/>
                  </w:rPr>
                </w:pPr>
              </w:p>
            </w:tc>
            <w:tc>
              <w:tcPr>
                <w:tcW w:w="4167" w:type="pct"/>
                <w:gridSpan w:val="5"/>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Demand (MW)</w:t>
                </w:r>
              </w:p>
            </w:tc>
          </w:tr>
          <w:tr w:rsidR="00190462" w:rsidRPr="001F3CF8" w:rsidTr="00671819">
            <w:trPr>
              <w:trHeight w:val="555"/>
              <w:tblHeader/>
            </w:trPr>
            <w:tc>
              <w:tcPr>
                <w:tcW w:w="833" w:type="pct"/>
                <w:vMerge/>
                <w:tcBorders>
                  <w:top w:val="nil"/>
                  <w:left w:val="nil"/>
                  <w:bottom w:val="nil"/>
                  <w:right w:val="nil"/>
                </w:tcBorders>
                <w:vAlign w:val="center"/>
                <w:hideMark/>
              </w:tcPr>
              <w:p w:rsidR="00190462" w:rsidRPr="001F3CF8" w:rsidRDefault="00190462" w:rsidP="0047489B">
                <w:pPr>
                  <w:pStyle w:val="TableHeading"/>
                  <w:rPr>
                    <w:lang w:eastAsia="en-AU"/>
                  </w:rPr>
                </w:pPr>
              </w:p>
            </w:tc>
            <w:tc>
              <w:tcPr>
                <w:tcW w:w="833" w:type="pct"/>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Actual</w:t>
                </w:r>
              </w:p>
            </w:tc>
            <w:tc>
              <w:tcPr>
                <w:tcW w:w="3334" w:type="pct"/>
                <w:gridSpan w:val="4"/>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Difference (Actual less Forecast)</w:t>
                </w:r>
              </w:p>
            </w:tc>
          </w:tr>
          <w:tr w:rsidR="00190462" w:rsidRPr="001F3CF8" w:rsidTr="00671819">
            <w:trPr>
              <w:trHeight w:val="510"/>
              <w:tblHeader/>
            </w:trPr>
            <w:tc>
              <w:tcPr>
                <w:tcW w:w="833" w:type="pct"/>
                <w:vMerge/>
                <w:tcBorders>
                  <w:top w:val="nil"/>
                  <w:left w:val="nil"/>
                  <w:bottom w:val="nil"/>
                  <w:right w:val="nil"/>
                </w:tcBorders>
                <w:vAlign w:val="center"/>
                <w:hideMark/>
              </w:tcPr>
              <w:p w:rsidR="00190462" w:rsidRPr="001F3CF8" w:rsidRDefault="00190462" w:rsidP="0047489B">
                <w:pPr>
                  <w:pStyle w:val="TableHeading"/>
                  <w:rPr>
                    <w:lang w:eastAsia="en-AU"/>
                  </w:rPr>
                </w:pPr>
              </w:p>
            </w:tc>
            <w:tc>
              <w:tcPr>
                <w:tcW w:w="833" w:type="pct"/>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 </w:t>
                </w:r>
              </w:p>
            </w:tc>
            <w:tc>
              <w:tcPr>
                <w:tcW w:w="833" w:type="pct"/>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1/2 hour forecast</w:t>
                </w:r>
              </w:p>
            </w:tc>
            <w:tc>
              <w:tcPr>
                <w:tcW w:w="833" w:type="pct"/>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1 hour forecast</w:t>
                </w:r>
              </w:p>
            </w:tc>
            <w:tc>
              <w:tcPr>
                <w:tcW w:w="833" w:type="pct"/>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4 hour forecast</w:t>
                </w:r>
              </w:p>
            </w:tc>
            <w:tc>
              <w:tcPr>
                <w:tcW w:w="835" w:type="pct"/>
                <w:tcBorders>
                  <w:top w:val="nil"/>
                  <w:left w:val="nil"/>
                  <w:bottom w:val="nil"/>
                  <w:right w:val="nil"/>
                </w:tcBorders>
                <w:shd w:val="clear" w:color="000000" w:fill="076A92"/>
                <w:vAlign w:val="center"/>
                <w:hideMark/>
              </w:tcPr>
              <w:p w:rsidR="00190462" w:rsidRPr="001F3CF8" w:rsidRDefault="00190462" w:rsidP="0047489B">
                <w:pPr>
                  <w:pStyle w:val="TableHeading"/>
                  <w:rPr>
                    <w:lang w:eastAsia="en-AU"/>
                  </w:rPr>
                </w:pPr>
                <w:r w:rsidRPr="001F3CF8">
                  <w:rPr>
                    <w:lang w:eastAsia="en-AU"/>
                  </w:rPr>
                  <w:t>12 hour forecast</w:t>
                </w:r>
              </w:p>
            </w:tc>
          </w:tr>
          <w:tr w:rsidR="00190462" w:rsidRPr="001F3CF8" w:rsidTr="00671819">
            <w:trPr>
              <w:trHeight w:val="300"/>
            </w:trPr>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3.30 pm</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2677</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48</w:t>
                </w:r>
              </w:p>
            </w:tc>
            <w:tc>
              <w:tcPr>
                <w:tcW w:w="833" w:type="pct"/>
                <w:tcBorders>
                  <w:top w:val="nil"/>
                  <w:left w:val="nil"/>
                  <w:bottom w:val="nil"/>
                  <w:right w:val="nil"/>
                </w:tcBorders>
                <w:shd w:val="clear" w:color="auto" w:fill="auto"/>
                <w:vAlign w:val="center"/>
                <w:hideMark/>
              </w:tcPr>
              <w:p w:rsidR="00190462" w:rsidRPr="001F3CF8" w:rsidRDefault="00190462" w:rsidP="00661A17">
                <w:pPr>
                  <w:pStyle w:val="tablebodycentered"/>
                  <w:rPr>
                    <w:lang w:eastAsia="en-AU"/>
                  </w:rPr>
                </w:pPr>
                <w:r w:rsidRPr="001F3CF8">
                  <w:rPr>
                    <w:lang w:eastAsia="en-AU"/>
                  </w:rPr>
                  <w:t>1</w:t>
                </w:r>
                <w:r w:rsidR="00661A17">
                  <w:rPr>
                    <w:lang w:eastAsia="en-AU"/>
                  </w:rPr>
                  <w:t>50</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262</w:t>
                </w:r>
              </w:p>
            </w:tc>
            <w:tc>
              <w:tcPr>
                <w:tcW w:w="835" w:type="pct"/>
                <w:tcBorders>
                  <w:top w:val="nil"/>
                  <w:left w:val="nil"/>
                  <w:bottom w:val="nil"/>
                  <w:right w:val="nil"/>
                </w:tcBorders>
                <w:shd w:val="clear" w:color="auto" w:fill="auto"/>
                <w:vAlign w:val="center"/>
                <w:hideMark/>
              </w:tcPr>
              <w:p w:rsidR="00190462" w:rsidRPr="001F3CF8" w:rsidRDefault="00661A17" w:rsidP="0047489B">
                <w:pPr>
                  <w:pStyle w:val="tablebodycentered"/>
                  <w:rPr>
                    <w:lang w:eastAsia="en-AU"/>
                  </w:rPr>
                </w:pPr>
                <w:r>
                  <w:rPr>
                    <w:lang w:eastAsia="en-AU"/>
                  </w:rPr>
                  <w:t>395</w:t>
                </w:r>
              </w:p>
            </w:tc>
          </w:tr>
          <w:tr w:rsidR="00190462" w:rsidRPr="001F3CF8" w:rsidTr="00671819">
            <w:trPr>
              <w:trHeight w:val="300"/>
            </w:trPr>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4 pm</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2802</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84</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88</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299</w:t>
                </w:r>
              </w:p>
            </w:tc>
            <w:tc>
              <w:tcPr>
                <w:tcW w:w="835" w:type="pct"/>
                <w:tcBorders>
                  <w:top w:val="nil"/>
                  <w:left w:val="nil"/>
                  <w:bottom w:val="nil"/>
                  <w:right w:val="nil"/>
                </w:tcBorders>
                <w:shd w:val="clear" w:color="000000" w:fill="DBE5F1"/>
                <w:vAlign w:val="center"/>
                <w:hideMark/>
              </w:tcPr>
              <w:p w:rsidR="00190462" w:rsidRPr="001F3CF8" w:rsidRDefault="00661A17" w:rsidP="0047489B">
                <w:pPr>
                  <w:pStyle w:val="tablebodycentered"/>
                  <w:rPr>
                    <w:lang w:eastAsia="en-AU"/>
                  </w:rPr>
                </w:pPr>
                <w:r>
                  <w:rPr>
                    <w:lang w:eastAsia="en-AU"/>
                  </w:rPr>
                  <w:t>420</w:t>
                </w:r>
              </w:p>
            </w:tc>
          </w:tr>
          <w:tr w:rsidR="00190462" w:rsidRPr="001F3CF8" w:rsidTr="00671819">
            <w:trPr>
              <w:trHeight w:val="300"/>
            </w:trPr>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4.30 pm</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2910</w:t>
                </w:r>
              </w:p>
            </w:tc>
            <w:tc>
              <w:tcPr>
                <w:tcW w:w="833" w:type="pct"/>
                <w:tcBorders>
                  <w:top w:val="nil"/>
                  <w:left w:val="nil"/>
                  <w:bottom w:val="nil"/>
                  <w:right w:val="nil"/>
                </w:tcBorders>
                <w:shd w:val="clear" w:color="auto" w:fill="auto"/>
                <w:vAlign w:val="center"/>
                <w:hideMark/>
              </w:tcPr>
              <w:p w:rsidR="00190462" w:rsidRPr="001F3CF8" w:rsidRDefault="00190462" w:rsidP="00661A17">
                <w:pPr>
                  <w:pStyle w:val="tablebodycentered"/>
                  <w:rPr>
                    <w:lang w:eastAsia="en-AU"/>
                  </w:rPr>
                </w:pPr>
                <w:r w:rsidRPr="001F3CF8">
                  <w:rPr>
                    <w:lang w:eastAsia="en-AU"/>
                  </w:rPr>
                  <w:t>10</w:t>
                </w:r>
                <w:r w:rsidR="00661A17">
                  <w:rPr>
                    <w:lang w:eastAsia="en-AU"/>
                  </w:rPr>
                  <w:t>3</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114</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294</w:t>
                </w:r>
              </w:p>
            </w:tc>
            <w:tc>
              <w:tcPr>
                <w:tcW w:w="835" w:type="pct"/>
                <w:tcBorders>
                  <w:top w:val="nil"/>
                  <w:left w:val="nil"/>
                  <w:bottom w:val="nil"/>
                  <w:right w:val="nil"/>
                </w:tcBorders>
                <w:shd w:val="clear" w:color="auto" w:fill="auto"/>
                <w:vAlign w:val="center"/>
                <w:hideMark/>
              </w:tcPr>
              <w:p w:rsidR="00190462" w:rsidRPr="001F3CF8" w:rsidRDefault="00190462" w:rsidP="0047489B">
                <w:pPr>
                  <w:pStyle w:val="tablebodycentered"/>
                  <w:rPr>
                    <w:lang w:eastAsia="en-AU"/>
                  </w:rPr>
                </w:pPr>
                <w:r w:rsidRPr="001F3CF8">
                  <w:rPr>
                    <w:lang w:eastAsia="en-AU"/>
                  </w:rPr>
                  <w:t>438</w:t>
                </w:r>
              </w:p>
            </w:tc>
          </w:tr>
          <w:tr w:rsidR="00190462" w:rsidRPr="001F3CF8" w:rsidTr="00671819">
            <w:trPr>
              <w:trHeight w:val="300"/>
            </w:trPr>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5 pm</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2979</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107</w:t>
                </w:r>
              </w:p>
            </w:tc>
            <w:tc>
              <w:tcPr>
                <w:tcW w:w="833" w:type="pct"/>
                <w:tcBorders>
                  <w:top w:val="nil"/>
                  <w:left w:val="nil"/>
                  <w:bottom w:val="nil"/>
                  <w:right w:val="nil"/>
                </w:tcBorders>
                <w:shd w:val="clear" w:color="000000" w:fill="DBE5F1"/>
                <w:vAlign w:val="center"/>
                <w:hideMark/>
              </w:tcPr>
              <w:p w:rsidR="00190462" w:rsidRPr="001F3CF8" w:rsidRDefault="00190462" w:rsidP="0071696F">
                <w:pPr>
                  <w:pStyle w:val="tablebodycentered"/>
                  <w:rPr>
                    <w:lang w:eastAsia="en-AU"/>
                  </w:rPr>
                </w:pPr>
                <w:r w:rsidRPr="001F3CF8">
                  <w:rPr>
                    <w:lang w:eastAsia="en-AU"/>
                  </w:rPr>
                  <w:t>11</w:t>
                </w:r>
                <w:r w:rsidR="0071696F">
                  <w:rPr>
                    <w:lang w:eastAsia="en-AU"/>
                  </w:rPr>
                  <w:t>5</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273</w:t>
                </w:r>
              </w:p>
            </w:tc>
            <w:tc>
              <w:tcPr>
                <w:tcW w:w="835" w:type="pct"/>
                <w:tcBorders>
                  <w:top w:val="nil"/>
                  <w:left w:val="nil"/>
                  <w:bottom w:val="nil"/>
                  <w:right w:val="nil"/>
                </w:tcBorders>
                <w:shd w:val="clear" w:color="000000" w:fill="DBE5F1"/>
                <w:vAlign w:val="center"/>
                <w:hideMark/>
              </w:tcPr>
              <w:p w:rsidR="00190462" w:rsidRPr="001F3CF8" w:rsidRDefault="00190462" w:rsidP="0047489B">
                <w:pPr>
                  <w:pStyle w:val="tablebodycentered"/>
                  <w:rPr>
                    <w:lang w:eastAsia="en-AU"/>
                  </w:rPr>
                </w:pPr>
                <w:r w:rsidRPr="001F3CF8">
                  <w:rPr>
                    <w:lang w:eastAsia="en-AU"/>
                  </w:rPr>
                  <w:t>434</w:t>
                </w:r>
              </w:p>
            </w:tc>
          </w:tr>
          <w:tr w:rsidR="00190462" w:rsidRPr="001F3CF8" w:rsidTr="00671819">
            <w:trPr>
              <w:trHeight w:val="300"/>
            </w:trPr>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5.30 pm</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3007</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52</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94</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275</w:t>
                </w:r>
              </w:p>
            </w:tc>
            <w:tc>
              <w:tcPr>
                <w:tcW w:w="835" w:type="pct"/>
                <w:tcBorders>
                  <w:top w:val="nil"/>
                  <w:left w:val="nil"/>
                  <w:bottom w:val="nil"/>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382</w:t>
                </w:r>
              </w:p>
            </w:tc>
          </w:tr>
          <w:tr w:rsidR="00190462" w:rsidRPr="001F3CF8" w:rsidTr="00671819">
            <w:trPr>
              <w:trHeight w:val="300"/>
            </w:trPr>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lang w:eastAsia="en-AU"/>
                  </w:rPr>
                </w:pPr>
                <w:r w:rsidRPr="001F3CF8">
                  <w:rPr>
                    <w:b/>
                    <w:lang w:eastAsia="en-AU"/>
                  </w:rPr>
                  <w:t>6 pm</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lang w:eastAsia="en-AU"/>
                  </w:rPr>
                </w:pPr>
                <w:r w:rsidRPr="001F3CF8">
                  <w:rPr>
                    <w:b/>
                    <w:lang w:eastAsia="en-AU"/>
                  </w:rPr>
                  <w:t>3046</w:t>
                </w:r>
              </w:p>
            </w:tc>
            <w:tc>
              <w:tcPr>
                <w:tcW w:w="833" w:type="pct"/>
                <w:tcBorders>
                  <w:top w:val="nil"/>
                  <w:left w:val="nil"/>
                  <w:bottom w:val="nil"/>
                  <w:right w:val="nil"/>
                </w:tcBorders>
                <w:shd w:val="clear" w:color="000000" w:fill="DBE5F1"/>
                <w:vAlign w:val="center"/>
                <w:hideMark/>
              </w:tcPr>
              <w:p w:rsidR="00190462" w:rsidRPr="001F3CF8" w:rsidRDefault="00661A17" w:rsidP="0047489B">
                <w:pPr>
                  <w:pStyle w:val="tablebodycentered"/>
                  <w:rPr>
                    <w:b/>
                    <w:lang w:eastAsia="en-AU"/>
                  </w:rPr>
                </w:pPr>
                <w:r>
                  <w:rPr>
                    <w:b/>
                    <w:lang w:eastAsia="en-AU"/>
                  </w:rPr>
                  <w:t>90</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lang w:eastAsia="en-AU"/>
                  </w:rPr>
                </w:pPr>
                <w:r w:rsidRPr="001F3CF8">
                  <w:rPr>
                    <w:b/>
                    <w:lang w:eastAsia="en-AU"/>
                  </w:rPr>
                  <w:t>95</w:t>
                </w:r>
              </w:p>
            </w:tc>
            <w:tc>
              <w:tcPr>
                <w:tcW w:w="833" w:type="pct"/>
                <w:tcBorders>
                  <w:top w:val="nil"/>
                  <w:left w:val="nil"/>
                  <w:bottom w:val="nil"/>
                  <w:right w:val="nil"/>
                </w:tcBorders>
                <w:shd w:val="clear" w:color="000000" w:fill="DBE5F1"/>
                <w:vAlign w:val="center"/>
                <w:hideMark/>
              </w:tcPr>
              <w:p w:rsidR="00190462" w:rsidRPr="001F3CF8" w:rsidRDefault="00190462" w:rsidP="00661A17">
                <w:pPr>
                  <w:pStyle w:val="tablebodycentered"/>
                  <w:rPr>
                    <w:b/>
                    <w:lang w:eastAsia="en-AU"/>
                  </w:rPr>
                </w:pPr>
                <w:r w:rsidRPr="001F3CF8">
                  <w:rPr>
                    <w:b/>
                    <w:lang w:eastAsia="en-AU"/>
                  </w:rPr>
                  <w:t>31</w:t>
                </w:r>
                <w:r w:rsidR="00661A17">
                  <w:rPr>
                    <w:b/>
                    <w:lang w:eastAsia="en-AU"/>
                  </w:rPr>
                  <w:t>2</w:t>
                </w:r>
              </w:p>
            </w:tc>
            <w:tc>
              <w:tcPr>
                <w:tcW w:w="835"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lang w:eastAsia="en-AU"/>
                  </w:rPr>
                </w:pPr>
                <w:r w:rsidRPr="001F3CF8">
                  <w:rPr>
                    <w:b/>
                    <w:lang w:eastAsia="en-AU"/>
                  </w:rPr>
                  <w:t>386</w:t>
                </w:r>
              </w:p>
            </w:tc>
          </w:tr>
          <w:tr w:rsidR="00190462" w:rsidRPr="001F3CF8" w:rsidTr="00671819">
            <w:trPr>
              <w:trHeight w:val="300"/>
            </w:trPr>
            <w:tc>
              <w:tcPr>
                <w:tcW w:w="833" w:type="pct"/>
                <w:tcBorders>
                  <w:top w:val="nil"/>
                  <w:left w:val="nil"/>
                  <w:bottom w:val="nil"/>
                  <w:right w:val="nil"/>
                </w:tcBorders>
                <w:shd w:val="clear" w:color="auto" w:fill="auto"/>
                <w:vAlign w:val="center"/>
                <w:hideMark/>
              </w:tcPr>
              <w:p w:rsidR="00190462" w:rsidRPr="00785225" w:rsidRDefault="00190462" w:rsidP="0047489B">
                <w:pPr>
                  <w:pStyle w:val="tablebodycentered"/>
                  <w:rPr>
                    <w:b/>
                    <w:color w:val="FF8D40"/>
                    <w:lang w:eastAsia="en-AU"/>
                  </w:rPr>
                </w:pPr>
                <w:r w:rsidRPr="00785225">
                  <w:rPr>
                    <w:b/>
                    <w:color w:val="FF8D40"/>
                    <w:lang w:eastAsia="en-AU"/>
                  </w:rPr>
                  <w:t>6.30 pm</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color w:val="FF8D40"/>
                    <w:lang w:eastAsia="en-AU"/>
                  </w:rPr>
                </w:pPr>
                <w:r w:rsidRPr="001F3CF8">
                  <w:rPr>
                    <w:b/>
                    <w:color w:val="FF8D40"/>
                    <w:lang w:eastAsia="en-AU"/>
                  </w:rPr>
                  <w:t>2946</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color w:val="FF8D40"/>
                    <w:lang w:eastAsia="en-AU"/>
                  </w:rPr>
                </w:pPr>
                <w:r w:rsidRPr="001F3CF8">
                  <w:rPr>
                    <w:b/>
                    <w:color w:val="FF8D40"/>
                    <w:lang w:eastAsia="en-AU"/>
                  </w:rPr>
                  <w:t>-40</w:t>
                </w:r>
              </w:p>
            </w:tc>
            <w:tc>
              <w:tcPr>
                <w:tcW w:w="833" w:type="pct"/>
                <w:tcBorders>
                  <w:top w:val="nil"/>
                  <w:left w:val="nil"/>
                  <w:bottom w:val="nil"/>
                  <w:right w:val="nil"/>
                </w:tcBorders>
                <w:shd w:val="clear" w:color="auto" w:fill="auto"/>
                <w:vAlign w:val="center"/>
                <w:hideMark/>
              </w:tcPr>
              <w:p w:rsidR="00190462" w:rsidRPr="001F3CF8" w:rsidRDefault="00190462" w:rsidP="0047489B">
                <w:pPr>
                  <w:pStyle w:val="tablebodycentered"/>
                  <w:rPr>
                    <w:b/>
                    <w:color w:val="FF8D40"/>
                    <w:lang w:eastAsia="en-AU"/>
                  </w:rPr>
                </w:pPr>
                <w:r w:rsidRPr="001F3CF8">
                  <w:rPr>
                    <w:b/>
                    <w:color w:val="FF8D40"/>
                    <w:lang w:eastAsia="en-AU"/>
                  </w:rPr>
                  <w:t>-12</w:t>
                </w:r>
              </w:p>
            </w:tc>
            <w:tc>
              <w:tcPr>
                <w:tcW w:w="833" w:type="pct"/>
                <w:tcBorders>
                  <w:top w:val="nil"/>
                  <w:left w:val="nil"/>
                  <w:bottom w:val="nil"/>
                  <w:right w:val="nil"/>
                </w:tcBorders>
                <w:shd w:val="clear" w:color="auto" w:fill="auto"/>
                <w:vAlign w:val="center"/>
                <w:hideMark/>
              </w:tcPr>
              <w:p w:rsidR="00190462" w:rsidRPr="001F3CF8" w:rsidRDefault="00190462" w:rsidP="00661A17">
                <w:pPr>
                  <w:pStyle w:val="tablebodycentered"/>
                  <w:rPr>
                    <w:b/>
                    <w:color w:val="FF8D40"/>
                    <w:lang w:eastAsia="en-AU"/>
                  </w:rPr>
                </w:pPr>
                <w:r w:rsidRPr="001F3CF8">
                  <w:rPr>
                    <w:b/>
                    <w:color w:val="FF8D40"/>
                    <w:lang w:eastAsia="en-AU"/>
                  </w:rPr>
                  <w:t>23</w:t>
                </w:r>
                <w:r w:rsidR="00661A17">
                  <w:rPr>
                    <w:b/>
                    <w:color w:val="FF8D40"/>
                    <w:lang w:eastAsia="en-AU"/>
                  </w:rPr>
                  <w:t>2</w:t>
                </w:r>
              </w:p>
            </w:tc>
            <w:tc>
              <w:tcPr>
                <w:tcW w:w="835" w:type="pct"/>
                <w:tcBorders>
                  <w:top w:val="nil"/>
                  <w:left w:val="nil"/>
                  <w:bottom w:val="nil"/>
                  <w:right w:val="nil"/>
                </w:tcBorders>
                <w:shd w:val="clear" w:color="auto" w:fill="auto"/>
                <w:vAlign w:val="center"/>
                <w:hideMark/>
              </w:tcPr>
              <w:p w:rsidR="00190462" w:rsidRPr="001F3CF8" w:rsidRDefault="00190462" w:rsidP="0047489B">
                <w:pPr>
                  <w:pStyle w:val="tablebodycentered"/>
                  <w:rPr>
                    <w:b/>
                    <w:color w:val="FF8D40"/>
                    <w:lang w:eastAsia="en-AU"/>
                  </w:rPr>
                </w:pPr>
                <w:r w:rsidRPr="001F3CF8">
                  <w:rPr>
                    <w:b/>
                    <w:color w:val="FF8D40"/>
                    <w:lang w:eastAsia="en-AU"/>
                  </w:rPr>
                  <w:t>261</w:t>
                </w:r>
              </w:p>
            </w:tc>
          </w:tr>
          <w:tr w:rsidR="00190462" w:rsidRPr="001F3CF8" w:rsidTr="00671819">
            <w:trPr>
              <w:trHeight w:val="300"/>
            </w:trPr>
            <w:tc>
              <w:tcPr>
                <w:tcW w:w="833" w:type="pct"/>
                <w:tcBorders>
                  <w:top w:val="nil"/>
                  <w:left w:val="nil"/>
                  <w:bottom w:val="nil"/>
                  <w:right w:val="nil"/>
                </w:tcBorders>
                <w:shd w:val="clear" w:color="000000" w:fill="DBE5F1"/>
                <w:vAlign w:val="center"/>
                <w:hideMark/>
              </w:tcPr>
              <w:p w:rsidR="00190462" w:rsidRPr="00785225" w:rsidRDefault="00190462" w:rsidP="0047489B">
                <w:pPr>
                  <w:pStyle w:val="tablebodycentered"/>
                  <w:rPr>
                    <w:b/>
                    <w:color w:val="FF8D40"/>
                    <w:lang w:eastAsia="en-AU"/>
                  </w:rPr>
                </w:pPr>
                <w:r w:rsidRPr="00785225">
                  <w:rPr>
                    <w:b/>
                    <w:color w:val="FF8D40"/>
                    <w:lang w:eastAsia="en-AU"/>
                  </w:rPr>
                  <w:t>7 pm</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color w:val="FF8D40"/>
                    <w:lang w:eastAsia="en-AU"/>
                  </w:rPr>
                </w:pPr>
                <w:r w:rsidRPr="001F3CF8">
                  <w:rPr>
                    <w:b/>
                    <w:color w:val="FF8D40"/>
                    <w:lang w:eastAsia="en-AU"/>
                  </w:rPr>
                  <w:t>2876</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color w:val="FF8D40"/>
                    <w:lang w:eastAsia="en-AU"/>
                  </w:rPr>
                </w:pPr>
                <w:r w:rsidRPr="001F3CF8">
                  <w:rPr>
                    <w:b/>
                    <w:color w:val="FF8D40"/>
                    <w:lang w:eastAsia="en-AU"/>
                  </w:rPr>
                  <w:t>-100</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color w:val="FF8D40"/>
                    <w:lang w:eastAsia="en-AU"/>
                  </w:rPr>
                </w:pPr>
                <w:r w:rsidRPr="001F3CF8">
                  <w:rPr>
                    <w:b/>
                    <w:color w:val="FF8D40"/>
                    <w:lang w:eastAsia="en-AU"/>
                  </w:rPr>
                  <w:t>-77</w:t>
                </w:r>
              </w:p>
            </w:tc>
            <w:tc>
              <w:tcPr>
                <w:tcW w:w="833" w:type="pct"/>
                <w:tcBorders>
                  <w:top w:val="nil"/>
                  <w:left w:val="nil"/>
                  <w:bottom w:val="nil"/>
                  <w:right w:val="nil"/>
                </w:tcBorders>
                <w:shd w:val="clear" w:color="000000" w:fill="DBE5F1"/>
                <w:vAlign w:val="center"/>
                <w:hideMark/>
              </w:tcPr>
              <w:p w:rsidR="00190462" w:rsidRPr="001F3CF8" w:rsidRDefault="00190462" w:rsidP="0047489B">
                <w:pPr>
                  <w:pStyle w:val="tablebodycentered"/>
                  <w:rPr>
                    <w:b/>
                    <w:color w:val="FF8D40"/>
                    <w:lang w:eastAsia="en-AU"/>
                  </w:rPr>
                </w:pPr>
                <w:r w:rsidRPr="001F3CF8">
                  <w:rPr>
                    <w:b/>
                    <w:color w:val="FF8D40"/>
                    <w:lang w:eastAsia="en-AU"/>
                  </w:rPr>
                  <w:t>69</w:t>
                </w:r>
              </w:p>
            </w:tc>
            <w:tc>
              <w:tcPr>
                <w:tcW w:w="835" w:type="pct"/>
                <w:tcBorders>
                  <w:top w:val="nil"/>
                  <w:left w:val="nil"/>
                  <w:bottom w:val="nil"/>
                  <w:right w:val="nil"/>
                </w:tcBorders>
                <w:shd w:val="clear" w:color="000000" w:fill="DBE5F1"/>
                <w:vAlign w:val="center"/>
                <w:hideMark/>
              </w:tcPr>
              <w:p w:rsidR="00190462" w:rsidRPr="001F3CF8" w:rsidRDefault="00661A17" w:rsidP="0047489B">
                <w:pPr>
                  <w:pStyle w:val="tablebodycentered"/>
                  <w:rPr>
                    <w:b/>
                    <w:color w:val="FF8D40"/>
                    <w:lang w:eastAsia="en-AU"/>
                  </w:rPr>
                </w:pPr>
                <w:r>
                  <w:rPr>
                    <w:b/>
                    <w:color w:val="FF8D40"/>
                    <w:lang w:eastAsia="en-AU"/>
                  </w:rPr>
                  <w:t>211</w:t>
                </w:r>
              </w:p>
            </w:tc>
          </w:tr>
          <w:tr w:rsidR="00190462" w:rsidRPr="001F3CF8" w:rsidTr="00671819">
            <w:trPr>
              <w:trHeight w:val="315"/>
            </w:trPr>
            <w:tc>
              <w:tcPr>
                <w:tcW w:w="833" w:type="pct"/>
                <w:tcBorders>
                  <w:top w:val="nil"/>
                  <w:left w:val="nil"/>
                  <w:bottom w:val="single" w:sz="8" w:space="0" w:color="auto"/>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7.30 pm</w:t>
                </w:r>
              </w:p>
            </w:tc>
            <w:tc>
              <w:tcPr>
                <w:tcW w:w="833" w:type="pct"/>
                <w:tcBorders>
                  <w:top w:val="nil"/>
                  <w:left w:val="nil"/>
                  <w:bottom w:val="single" w:sz="8" w:space="0" w:color="auto"/>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3009</w:t>
                </w:r>
              </w:p>
            </w:tc>
            <w:tc>
              <w:tcPr>
                <w:tcW w:w="833" w:type="pct"/>
                <w:tcBorders>
                  <w:top w:val="nil"/>
                  <w:left w:val="nil"/>
                  <w:bottom w:val="single" w:sz="8" w:space="0" w:color="auto"/>
                  <w:right w:val="nil"/>
                </w:tcBorders>
                <w:shd w:val="clear" w:color="auto" w:fill="auto"/>
                <w:vAlign w:val="center"/>
                <w:hideMark/>
              </w:tcPr>
              <w:p w:rsidR="00190462" w:rsidRPr="001F3CF8" w:rsidRDefault="00190462" w:rsidP="0047489B">
                <w:pPr>
                  <w:pStyle w:val="tablebodycentered"/>
                  <w:rPr>
                    <w:b/>
                    <w:lang w:eastAsia="en-AU"/>
                  </w:rPr>
                </w:pPr>
                <w:r w:rsidRPr="001F3CF8">
                  <w:rPr>
                    <w:b/>
                    <w:lang w:eastAsia="en-AU"/>
                  </w:rPr>
                  <w:t>79</w:t>
                </w:r>
              </w:p>
            </w:tc>
            <w:tc>
              <w:tcPr>
                <w:tcW w:w="833" w:type="pct"/>
                <w:tcBorders>
                  <w:top w:val="nil"/>
                  <w:left w:val="nil"/>
                  <w:bottom w:val="single" w:sz="8" w:space="0" w:color="auto"/>
                  <w:right w:val="nil"/>
                </w:tcBorders>
                <w:shd w:val="clear" w:color="auto" w:fill="auto"/>
                <w:vAlign w:val="center"/>
                <w:hideMark/>
              </w:tcPr>
              <w:p w:rsidR="00190462" w:rsidRPr="001F3CF8" w:rsidRDefault="00661A17" w:rsidP="0047489B">
                <w:pPr>
                  <w:pStyle w:val="tablebodycentered"/>
                  <w:rPr>
                    <w:b/>
                    <w:lang w:eastAsia="en-AU"/>
                  </w:rPr>
                </w:pPr>
                <w:r>
                  <w:rPr>
                    <w:b/>
                    <w:lang w:eastAsia="en-AU"/>
                  </w:rPr>
                  <w:t>99</w:t>
                </w:r>
              </w:p>
            </w:tc>
            <w:tc>
              <w:tcPr>
                <w:tcW w:w="833" w:type="pct"/>
                <w:tcBorders>
                  <w:top w:val="nil"/>
                  <w:left w:val="nil"/>
                  <w:bottom w:val="single" w:sz="8" w:space="0" w:color="auto"/>
                  <w:right w:val="nil"/>
                </w:tcBorders>
                <w:shd w:val="clear" w:color="auto" w:fill="auto"/>
                <w:vAlign w:val="center"/>
                <w:hideMark/>
              </w:tcPr>
              <w:p w:rsidR="00190462" w:rsidRPr="001F3CF8" w:rsidRDefault="00661A17" w:rsidP="0047489B">
                <w:pPr>
                  <w:pStyle w:val="tablebodycentered"/>
                  <w:rPr>
                    <w:b/>
                    <w:lang w:eastAsia="en-AU"/>
                  </w:rPr>
                </w:pPr>
                <w:r>
                  <w:rPr>
                    <w:b/>
                    <w:lang w:eastAsia="en-AU"/>
                  </w:rPr>
                  <w:t>217</w:t>
                </w:r>
              </w:p>
            </w:tc>
            <w:tc>
              <w:tcPr>
                <w:tcW w:w="835" w:type="pct"/>
                <w:tcBorders>
                  <w:top w:val="nil"/>
                  <w:left w:val="nil"/>
                  <w:bottom w:val="single" w:sz="8" w:space="0" w:color="auto"/>
                  <w:right w:val="nil"/>
                </w:tcBorders>
                <w:shd w:val="clear" w:color="auto" w:fill="auto"/>
                <w:vAlign w:val="center"/>
                <w:hideMark/>
              </w:tcPr>
              <w:p w:rsidR="00190462" w:rsidRPr="001F3CF8" w:rsidRDefault="00661A17" w:rsidP="0047489B">
                <w:pPr>
                  <w:pStyle w:val="tablebodycentered"/>
                  <w:rPr>
                    <w:b/>
                    <w:lang w:eastAsia="en-AU"/>
                  </w:rPr>
                </w:pPr>
                <w:r>
                  <w:rPr>
                    <w:b/>
                    <w:lang w:eastAsia="en-AU"/>
                  </w:rPr>
                  <w:t>421</w:t>
                </w:r>
              </w:p>
            </w:tc>
          </w:tr>
        </w:tbl>
        <w:p w:rsidR="00910933" w:rsidRDefault="00671819" w:rsidP="00A070CA">
          <w:pPr>
            <w:pStyle w:val="AERBody"/>
          </w:pPr>
          <w:r>
            <w:lastRenderedPageBreak/>
            <w:t>Actual demand was between 69 MW and 31</w:t>
          </w:r>
          <w:r w:rsidR="00661A17">
            <w:t>2</w:t>
          </w:r>
          <w:r>
            <w:t xml:space="preserve"> MW higher than forecast </w:t>
          </w:r>
          <w:r w:rsidR="007F138F">
            <w:t>four</w:t>
          </w:r>
          <w:r>
            <w:t xml:space="preserve"> hours ahead</w:t>
          </w:r>
          <w:r w:rsidR="007C44C6">
            <w:t>.</w:t>
          </w:r>
          <w:r w:rsidR="00A070CA" w:rsidRPr="00A070CA">
            <w:t xml:space="preserve"> </w:t>
          </w:r>
          <w:r w:rsidR="00AC726A">
            <w:t xml:space="preserve">AEMO’s demand forecasts are based on temperature forecasts provided by two external service providers. These were lower than what was actually occurring for most periods from midday. </w:t>
          </w:r>
          <w:r w:rsidR="00910933">
            <w:t xml:space="preserve">AEMO’s report into events on the day shows </w:t>
          </w:r>
          <w:r w:rsidR="001A1A24">
            <w:t xml:space="preserve">that the </w:t>
          </w:r>
          <w:r w:rsidR="00910933">
            <w:t>temperature forecast</w:t>
          </w:r>
          <w:r w:rsidR="001A1A24">
            <w:t>s</w:t>
          </w:r>
          <w:r w:rsidR="00A40A69">
            <w:t xml:space="preserve"> </w:t>
          </w:r>
          <w:r w:rsidR="001A1A24">
            <w:t xml:space="preserve">on which it relied </w:t>
          </w:r>
          <w:r w:rsidR="00910933">
            <w:t>failed to adequately correct for the actual temperat</w:t>
          </w:r>
          <w:r w:rsidR="00A40A69">
            <w:t>ure</w:t>
          </w:r>
          <w:r w:rsidR="00910933">
            <w:t xml:space="preserve"> observation.</w:t>
          </w:r>
          <w:r w:rsidR="00910933">
            <w:rPr>
              <w:rStyle w:val="FootnoteReference"/>
            </w:rPr>
            <w:footnoteReference w:id="2"/>
          </w:r>
          <w:r w:rsidR="00910933">
            <w:t xml:space="preserve"> </w:t>
          </w:r>
          <w:r w:rsidR="00B42AC6">
            <w:t>It appears that AEMO did not monitor the accuracy of the forecasts such that they might have been able to make corrective action</w:t>
          </w:r>
          <w:r w:rsidR="00910933">
            <w:t xml:space="preserve">. </w:t>
          </w:r>
        </w:p>
        <w:p w:rsidR="0004772E" w:rsidRPr="0004772E" w:rsidRDefault="0004772E" w:rsidP="0004772E">
          <w:pPr>
            <w:pStyle w:val="AERBody"/>
          </w:pPr>
          <w:r w:rsidRPr="0004772E">
            <w:t>The same AEMO report shows rooftop solar generation estimates were relatively accurate and did not contribute to the overall demand error.</w:t>
          </w:r>
        </w:p>
        <w:p w:rsidR="00A070CA" w:rsidRDefault="00A070CA" w:rsidP="00A070CA">
          <w:pPr>
            <w:pStyle w:val="AERBody"/>
            <w:rPr>
              <w:noProof/>
              <w:lang w:eastAsia="en-AU"/>
            </w:rPr>
          </w:pPr>
          <w:r>
            <w:t xml:space="preserve">The </w:t>
          </w:r>
          <w:r w:rsidR="007F138F">
            <w:t>four</w:t>
          </w:r>
          <w:r>
            <w:t xml:space="preserve"> hour </w:t>
          </w:r>
          <w:proofErr w:type="gramStart"/>
          <w:r>
            <w:t>ahead</w:t>
          </w:r>
          <w:proofErr w:type="gramEnd"/>
          <w:r>
            <w:t xml:space="preserve"> forecast has particular relevance on this occasion as it reflects the time </w:t>
          </w:r>
          <w:r w:rsidR="007F138F">
            <w:t>needed</w:t>
          </w:r>
          <w:r>
            <w:t xml:space="preserve"> for the additional generating unit at Pelican Point to be recalled</w:t>
          </w:r>
          <w:r w:rsidR="00B8653C">
            <w:t>.</w:t>
          </w:r>
          <w:r>
            <w:t xml:space="preserve"> (</w:t>
          </w:r>
          <w:proofErr w:type="gramStart"/>
          <w:r>
            <w:t>see</w:t>
          </w:r>
          <w:proofErr w:type="gramEnd"/>
          <w:r>
            <w:t xml:space="preserve"> section </w:t>
          </w:r>
          <w:r>
            <w:fldChar w:fldCharType="begin"/>
          </w:r>
          <w:r>
            <w:instrText xml:space="preserve"> REF _Ref478116981 \r \h </w:instrText>
          </w:r>
          <w:r>
            <w:fldChar w:fldCharType="separate"/>
          </w:r>
          <w:r w:rsidR="005B5767">
            <w:t>3.1.3</w:t>
          </w:r>
          <w:r>
            <w:fldChar w:fldCharType="end"/>
          </w:r>
          <w:r>
            <w:t>).</w:t>
          </w:r>
        </w:p>
        <w:p w:rsidR="00190462" w:rsidRDefault="00190462" w:rsidP="00190462">
          <w:pPr>
            <w:pStyle w:val="AERBody"/>
            <w:rPr>
              <w:noProof/>
              <w:lang w:eastAsia="en-AU"/>
            </w:rPr>
          </w:pPr>
          <w:r>
            <w:fldChar w:fldCharType="begin"/>
          </w:r>
          <w:r>
            <w:instrText xml:space="preserve"> REF _Ref476749429 \h </w:instrText>
          </w:r>
          <w:r>
            <w:fldChar w:fldCharType="separate"/>
          </w:r>
          <w:r w:rsidR="005B5767">
            <w:t xml:space="preserve">Figure </w:t>
          </w:r>
          <w:r w:rsidR="005B5767">
            <w:rPr>
              <w:noProof/>
            </w:rPr>
            <w:t>1</w:t>
          </w:r>
          <w:r>
            <w:fldChar w:fldCharType="end"/>
          </w:r>
          <w:r>
            <w:t xml:space="preserve"> shows actual demand (</w:t>
          </w:r>
          <w:r w:rsidR="0071696F">
            <w:t>red</w:t>
          </w:r>
          <w:r w:rsidR="00671819">
            <w:t xml:space="preserve"> line), the hour </w:t>
          </w:r>
          <w:proofErr w:type="gramStart"/>
          <w:r w:rsidR="00671819">
            <w:t>ahead</w:t>
          </w:r>
          <w:proofErr w:type="gramEnd"/>
          <w:r w:rsidR="00671819">
            <w:t xml:space="preserve"> demand forecast (heavy dashed b</w:t>
          </w:r>
          <w:r w:rsidR="00F6081B">
            <w:t>lue</w:t>
          </w:r>
          <w:r>
            <w:t xml:space="preserve"> line) and </w:t>
          </w:r>
          <w:r w:rsidR="007F138F">
            <w:t>four</w:t>
          </w:r>
          <w:r>
            <w:t xml:space="preserve"> hours ah</w:t>
          </w:r>
          <w:r w:rsidR="00F6081B">
            <w:t>ead demand forecast (thin dashed blue line</w:t>
          </w:r>
          <w:r w:rsidR="00057762">
            <w:t xml:space="preserve"> line).</w:t>
          </w:r>
        </w:p>
        <w:p w:rsidR="00190462" w:rsidRDefault="00190462" w:rsidP="00190462">
          <w:pPr>
            <w:pStyle w:val="AERBody"/>
            <w:rPr>
              <w:noProof/>
              <w:lang w:eastAsia="en-AU"/>
            </w:rPr>
          </w:pPr>
          <w:r>
            <w:t>T</w:t>
          </w:r>
          <w:r>
            <w:rPr>
              <w:noProof/>
              <w:lang w:eastAsia="en-AU"/>
            </w:rPr>
            <w:t xml:space="preserve">he light shaded section of the graph highlights the trading intervals where the spot price exceeded $5000/MWh. </w:t>
          </w:r>
        </w:p>
        <w:p w:rsidR="00190462" w:rsidRDefault="00190462" w:rsidP="00190462">
          <w:pPr>
            <w:pStyle w:val="Caption"/>
            <w:jc w:val="both"/>
          </w:pPr>
          <w:bookmarkStart w:id="11" w:name="_Ref476749429"/>
          <w:r>
            <w:t xml:space="preserve">Figure </w:t>
          </w:r>
          <w:fldSimple w:instr=" SEQ Figure \* ARABIC ">
            <w:r w:rsidR="005B5767">
              <w:rPr>
                <w:noProof/>
              </w:rPr>
              <w:t>1</w:t>
            </w:r>
          </w:fldSimple>
          <w:bookmarkEnd w:id="11"/>
          <w:r>
            <w:t xml:space="preserve"> South Australia 30 minute actual vs forecast demand </w:t>
          </w:r>
        </w:p>
        <w:p w:rsidR="00190462" w:rsidRDefault="00E258EB" w:rsidP="00190462">
          <w:pPr>
            <w:rPr>
              <w:sz w:val="16"/>
            </w:rPr>
          </w:pPr>
          <w:r w:rsidRPr="00E258EB">
            <w:rPr>
              <w:noProof/>
              <w:lang w:eastAsia="en-AU"/>
            </w:rPr>
            <w:drawing>
              <wp:inline distT="0" distB="0" distL="0" distR="0" wp14:anchorId="1E702F3A" wp14:editId="50D07659">
                <wp:extent cx="5432386" cy="3640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36235" cy="3642926"/>
                        </a:xfrm>
                        <a:prstGeom prst="rect">
                          <a:avLst/>
                        </a:prstGeom>
                        <a:noFill/>
                        <a:ln>
                          <a:noFill/>
                        </a:ln>
                      </pic:spPr>
                    </pic:pic>
                  </a:graphicData>
                </a:graphic>
              </wp:inline>
            </w:drawing>
          </w:r>
        </w:p>
        <w:p w:rsidR="00190462" w:rsidRDefault="00190462" w:rsidP="00190462">
          <w:pPr>
            <w:pStyle w:val="AERBody"/>
          </w:pPr>
          <w:r>
            <w:fldChar w:fldCharType="begin"/>
          </w:r>
          <w:r>
            <w:instrText xml:space="preserve"> REF _Ref476749429 \h </w:instrText>
          </w:r>
          <w:r>
            <w:fldChar w:fldCharType="separate"/>
          </w:r>
          <w:r w:rsidR="005B5767">
            <w:t xml:space="preserve">Figure </w:t>
          </w:r>
          <w:r w:rsidR="005B5767">
            <w:rPr>
              <w:noProof/>
            </w:rPr>
            <w:t>1</w:t>
          </w:r>
          <w:r>
            <w:fldChar w:fldCharType="end"/>
          </w:r>
          <w:r>
            <w:t xml:space="preserve"> shows demand was continually higher than forecast for the period between midday and 10 pm</w:t>
          </w:r>
          <w:r w:rsidR="006E338B">
            <w:t xml:space="preserve"> except for when the load shedding occurred which brought demand down close the </w:t>
          </w:r>
          <w:r w:rsidR="00D137F3">
            <w:t>four</w:t>
          </w:r>
          <w:r w:rsidR="006E338B">
            <w:t xml:space="preserve"> hour forecast level</w:t>
          </w:r>
          <w:r w:rsidR="0047489B">
            <w:t>.</w:t>
          </w:r>
        </w:p>
        <w:p w:rsidR="00190462" w:rsidRDefault="00B8653C" w:rsidP="00190462">
          <w:pPr>
            <w:pStyle w:val="AERBody"/>
          </w:pPr>
          <w:r>
            <w:t xml:space="preserve">Difficulties in accurately forecasting demand </w:t>
          </w:r>
          <w:r w:rsidR="00190462">
            <w:t xml:space="preserve">contributed to the overall uncertainty of market outcomes. The lower demand forecasts </w:t>
          </w:r>
          <w:r w:rsidR="00A070CA">
            <w:t xml:space="preserve">and </w:t>
          </w:r>
          <w:r w:rsidR="006507C8">
            <w:t xml:space="preserve">over-estimated </w:t>
          </w:r>
          <w:r w:rsidR="00A070CA">
            <w:t xml:space="preserve">wind generation </w:t>
          </w:r>
          <w:r w:rsidR="00190462">
            <w:lastRenderedPageBreak/>
            <w:t>resulted in lower price forecasts</w:t>
          </w:r>
          <w:r w:rsidR="006507C8">
            <w:t>.</w:t>
          </w:r>
          <w:r w:rsidR="00190462">
            <w:t xml:space="preserve"> </w:t>
          </w:r>
          <w:r w:rsidR="00D34B45">
            <w:t>H</w:t>
          </w:r>
          <w:r w:rsidR="00190462">
            <w:t xml:space="preserve">ad the forecasts been </w:t>
          </w:r>
          <w:r w:rsidR="00A070CA">
            <w:t xml:space="preserve">more reflective of actual </w:t>
          </w:r>
          <w:r w:rsidR="00D34B45">
            <w:t xml:space="preserve">conditions it is likely that </w:t>
          </w:r>
          <w:r w:rsidR="00190462">
            <w:t xml:space="preserve">the potential shortage of supply may have been visible </w:t>
          </w:r>
          <w:r w:rsidR="00D34B45">
            <w:t xml:space="preserve">to the market </w:t>
          </w:r>
          <w:r w:rsidR="00190462">
            <w:t>earlier</w:t>
          </w:r>
          <w:r w:rsidR="0047489B">
            <w:t>,</w:t>
          </w:r>
          <w:r w:rsidR="00190462">
            <w:t xml:space="preserve"> allowing for a wider range of potential mitigation actions to have been considered. </w:t>
          </w:r>
        </w:p>
        <w:p w:rsidR="00EF4EF4" w:rsidRDefault="00EF4EF4" w:rsidP="00EF4EF4">
          <w:pPr>
            <w:pStyle w:val="Heading3"/>
          </w:pPr>
          <w:bookmarkStart w:id="12" w:name="_Toc480971269"/>
          <w:r>
            <w:t>Network availability</w:t>
          </w:r>
          <w:bookmarkEnd w:id="12"/>
        </w:p>
        <w:p w:rsidR="00EF4EF4" w:rsidRDefault="00EF4EF4" w:rsidP="00EF4EF4">
          <w:pPr>
            <w:pStyle w:val="AERBody"/>
          </w:pPr>
          <w:r w:rsidRPr="00DE0FE9">
            <w:t>This section examines the change in network capability</w:t>
          </w:r>
          <w:r>
            <w:t xml:space="preserve">. </w:t>
          </w:r>
        </w:p>
        <w:p w:rsidR="00FE3214" w:rsidRDefault="00B26438" w:rsidP="00EF4EF4">
          <w:pPr>
            <w:pStyle w:val="AERBody"/>
          </w:pPr>
          <w:r>
            <w:t xml:space="preserve">Network constraints on the Murraylink interconnector </w:t>
          </w:r>
          <w:r w:rsidR="0041724F">
            <w:t xml:space="preserve">limited imports </w:t>
          </w:r>
          <w:r w:rsidR="00D34B45">
            <w:t xml:space="preserve">from Victoria to South Australia </w:t>
          </w:r>
          <w:r w:rsidR="0041724F">
            <w:t>to between 65 MW and 89 MW during the period 5.30 – 7.30 pm</w:t>
          </w:r>
          <w:proofErr w:type="gramStart"/>
          <w:r w:rsidR="00FE3214">
            <w:t>,</w:t>
          </w:r>
          <w:r>
            <w:t>.</w:t>
          </w:r>
          <w:proofErr w:type="gramEnd"/>
          <w:r w:rsidRPr="00B26438">
            <w:t xml:space="preserve"> </w:t>
          </w:r>
        </w:p>
        <w:p w:rsidR="00EF4EF4" w:rsidRDefault="00D34B45" w:rsidP="00EF4EF4">
          <w:pPr>
            <w:pStyle w:val="AERBody"/>
          </w:pPr>
          <w:r>
            <w:t xml:space="preserve">Electricity </w:t>
          </w:r>
          <w:r w:rsidR="001671C0">
            <w:t xml:space="preserve">was flowing into South Australia </w:t>
          </w:r>
          <w:r w:rsidR="00B26438">
            <w:t xml:space="preserve">across the Heywood interconnector </w:t>
          </w:r>
          <w:r w:rsidR="001671C0">
            <w:t xml:space="preserve">from </w:t>
          </w:r>
          <w:r w:rsidR="00B26438">
            <w:t xml:space="preserve">Victoria at or close to its </w:t>
          </w:r>
          <w:r w:rsidR="001671C0">
            <w:t xml:space="preserve">600 MW </w:t>
          </w:r>
          <w:r w:rsidR="00B26438">
            <w:t>maximum capability, as forecast.</w:t>
          </w:r>
        </w:p>
        <w:p w:rsidR="00EF4EF4" w:rsidRPr="00A20E88" w:rsidRDefault="00EF4EF4" w:rsidP="00EF4EF4">
          <w:pPr>
            <w:rPr>
              <w:b/>
            </w:rPr>
          </w:pPr>
          <w:r>
            <w:rPr>
              <w:b/>
            </w:rPr>
            <w:t>Murraylink interconnector</w:t>
          </w:r>
        </w:p>
        <w:p w:rsidR="00EF4EF4" w:rsidRDefault="00EF4EF4" w:rsidP="00EF4EF4">
          <w:pPr>
            <w:pStyle w:val="AERBody"/>
          </w:pPr>
          <w:r>
            <w:fldChar w:fldCharType="begin"/>
          </w:r>
          <w:r>
            <w:instrText xml:space="preserve"> REF _Ref478419912 \h </w:instrText>
          </w:r>
          <w:r>
            <w:fldChar w:fldCharType="separate"/>
          </w:r>
          <w:r w:rsidR="005B5767">
            <w:t xml:space="preserve">Table </w:t>
          </w:r>
          <w:r w:rsidR="005B5767">
            <w:rPr>
              <w:noProof/>
            </w:rPr>
            <w:t>3</w:t>
          </w:r>
          <w:r>
            <w:fldChar w:fldCharType="end"/>
          </w:r>
          <w:r w:rsidR="007D716B">
            <w:t xml:space="preserve"> shows</w:t>
          </w:r>
          <w:r>
            <w:t xml:space="preserve"> the actual and forecast imports and import limit into South</w:t>
          </w:r>
          <w:r w:rsidR="0047489B">
            <w:t> </w:t>
          </w:r>
          <w:r>
            <w:t>Australia on the Murraylink interconnector</w:t>
          </w:r>
          <w:r w:rsidR="00D34B45">
            <w:t xml:space="preserve"> during the early evening</w:t>
          </w:r>
          <w:r>
            <w:t xml:space="preserve">. For the majority of the high price trading intervals, imports were lower than that forecast </w:t>
          </w:r>
          <w:r w:rsidR="00382587">
            <w:t>four</w:t>
          </w:r>
          <w:r>
            <w:t xml:space="preserve"> hours ahead. </w:t>
          </w:r>
          <w:r w:rsidR="005E1120">
            <w:t xml:space="preserve">Half hour </w:t>
          </w:r>
          <w:r w:rsidR="00382587">
            <w:t xml:space="preserve">and </w:t>
          </w:r>
          <w:r w:rsidR="005E1120">
            <w:t>one</w:t>
          </w:r>
          <w:r w:rsidR="00382587">
            <w:t xml:space="preserve"> hour ahead forecasts showed lower limits for Murraylink, further exacerbating the potential shortfall. </w:t>
          </w:r>
          <w:r>
            <w:t>For the 5.30</w:t>
          </w:r>
          <w:r w:rsidR="001671C0">
            <w:t> </w:t>
          </w:r>
          <w:r>
            <w:noBreakHyphen/>
          </w:r>
          <w:r w:rsidR="001671C0">
            <w:t> </w:t>
          </w:r>
          <w:r>
            <w:t>6.3</w:t>
          </w:r>
          <w:r w:rsidR="00A82CE7">
            <w:t xml:space="preserve">0 pm trading intervals imports </w:t>
          </w:r>
          <w:r>
            <w:t xml:space="preserve">exceeded the import limit into South Australia for more than </w:t>
          </w:r>
          <w:r w:rsidR="00D34B45">
            <w:t>30 minutes, breaching power system security criteria, resulting in AEMO taking steps to address the breach</w:t>
          </w:r>
          <w:r w:rsidR="00C67509">
            <w:t>.</w:t>
          </w:r>
        </w:p>
        <w:p w:rsidR="00EF4EF4" w:rsidRDefault="00EF4EF4" w:rsidP="00EF4EF4">
          <w:pPr>
            <w:pStyle w:val="Caption"/>
          </w:pPr>
          <w:bookmarkStart w:id="13" w:name="_Ref478419912"/>
          <w:r>
            <w:t xml:space="preserve">Table </w:t>
          </w:r>
          <w:fldSimple w:instr=" SEQ Table \* ARABIC ">
            <w:r w:rsidR="005B5767">
              <w:rPr>
                <w:noProof/>
              </w:rPr>
              <w:t>3</w:t>
            </w:r>
          </w:fldSimple>
          <w:bookmarkEnd w:id="13"/>
          <w:r>
            <w:t xml:space="preserve">: </w:t>
          </w:r>
          <w:r w:rsidRPr="00F17A4A">
            <w:t>Actual and forecast network capability of Murraylink interconnector</w:t>
          </w:r>
        </w:p>
        <w:tbl>
          <w:tblPr>
            <w:tblStyle w:val="AERTable-Text1"/>
            <w:tblW w:w="5100" w:type="pct"/>
            <w:tblLook w:val="04A0" w:firstRow="1" w:lastRow="0" w:firstColumn="1" w:lastColumn="0" w:noHBand="0" w:noVBand="1"/>
          </w:tblPr>
          <w:tblGrid>
            <w:gridCol w:w="887"/>
            <w:gridCol w:w="699"/>
            <w:gridCol w:w="834"/>
            <w:gridCol w:w="834"/>
            <w:gridCol w:w="834"/>
            <w:gridCol w:w="834"/>
            <w:gridCol w:w="699"/>
            <w:gridCol w:w="834"/>
            <w:gridCol w:w="835"/>
            <w:gridCol w:w="835"/>
            <w:gridCol w:w="828"/>
          </w:tblGrid>
          <w:tr w:rsidR="002E417E" w:rsidRPr="002E417E" w:rsidTr="00785225">
            <w:trPr>
              <w:cnfStyle w:val="100000000000" w:firstRow="1" w:lastRow="0" w:firstColumn="0" w:lastColumn="0" w:oddVBand="0" w:evenVBand="0" w:oddHBand="0" w:evenHBand="0" w:firstRowFirstColumn="0" w:firstRowLastColumn="0" w:lastRowFirstColumn="0" w:lastRowLastColumn="0"/>
              <w:trHeight w:val="510"/>
              <w:tblHeader/>
            </w:trPr>
            <w:tc>
              <w:tcPr>
                <w:tcW w:w="464" w:type="pct"/>
                <w:vMerge w:val="restart"/>
                <w:hideMark/>
              </w:tcPr>
              <w:p w:rsidR="002E417E" w:rsidRPr="002E417E" w:rsidRDefault="002E417E" w:rsidP="002E417E">
                <w:pPr>
                  <w:pStyle w:val="TableHeading"/>
                  <w:rPr>
                    <w:sz w:val="16"/>
                    <w:lang w:eastAsia="en-AU"/>
                  </w:rPr>
                </w:pPr>
                <w:r w:rsidRPr="002E417E">
                  <w:rPr>
                    <w:sz w:val="16"/>
                    <w:lang w:eastAsia="en-AU"/>
                  </w:rPr>
                  <w:t>Trading interval</w:t>
                </w:r>
              </w:p>
            </w:tc>
            <w:tc>
              <w:tcPr>
                <w:tcW w:w="2268" w:type="pct"/>
                <w:gridSpan w:val="5"/>
                <w:hideMark/>
              </w:tcPr>
              <w:p w:rsidR="002E417E" w:rsidRPr="002E417E" w:rsidRDefault="002E417E" w:rsidP="002E417E">
                <w:pPr>
                  <w:pStyle w:val="TableHeading"/>
                  <w:rPr>
                    <w:sz w:val="16"/>
                    <w:lang w:eastAsia="en-AU"/>
                  </w:rPr>
                </w:pPr>
                <w:r w:rsidRPr="002E417E">
                  <w:rPr>
                    <w:sz w:val="16"/>
                    <w:lang w:eastAsia="en-AU"/>
                  </w:rPr>
                  <w:t>Imports (MW)</w:t>
                </w:r>
              </w:p>
            </w:tc>
            <w:tc>
              <w:tcPr>
                <w:tcW w:w="2268" w:type="pct"/>
                <w:gridSpan w:val="5"/>
                <w:hideMark/>
              </w:tcPr>
              <w:p w:rsidR="002E417E" w:rsidRPr="002E417E" w:rsidRDefault="002E417E" w:rsidP="002E417E">
                <w:pPr>
                  <w:pStyle w:val="TableHeading"/>
                  <w:rPr>
                    <w:sz w:val="16"/>
                    <w:lang w:eastAsia="en-AU"/>
                  </w:rPr>
                </w:pPr>
                <w:r w:rsidRPr="002E417E">
                  <w:rPr>
                    <w:sz w:val="16"/>
                    <w:lang w:eastAsia="en-AU"/>
                  </w:rPr>
                  <w:t>Import limit (MW)</w:t>
                </w:r>
              </w:p>
            </w:tc>
          </w:tr>
          <w:tr w:rsidR="002E417E" w:rsidRPr="002E417E" w:rsidTr="00785225">
            <w:trPr>
              <w:cnfStyle w:val="100000000000" w:firstRow="1" w:lastRow="0" w:firstColumn="0" w:lastColumn="0" w:oddVBand="0" w:evenVBand="0" w:oddHBand="0" w:evenHBand="0" w:firstRowFirstColumn="0" w:firstRowLastColumn="0" w:lastRowFirstColumn="0" w:lastRowLastColumn="0"/>
              <w:trHeight w:val="825"/>
              <w:tblHeader/>
            </w:trPr>
            <w:tc>
              <w:tcPr>
                <w:tcW w:w="464" w:type="pct"/>
                <w:vMerge/>
                <w:hideMark/>
              </w:tcPr>
              <w:p w:rsidR="002E417E" w:rsidRPr="002E417E" w:rsidRDefault="002E417E" w:rsidP="002E417E">
                <w:pPr>
                  <w:pStyle w:val="TableHeading"/>
                  <w:rPr>
                    <w:sz w:val="16"/>
                    <w:lang w:eastAsia="en-AU"/>
                  </w:rPr>
                </w:pPr>
              </w:p>
            </w:tc>
            <w:tc>
              <w:tcPr>
                <w:tcW w:w="394" w:type="pct"/>
                <w:hideMark/>
              </w:tcPr>
              <w:p w:rsidR="002E417E" w:rsidRPr="002E417E" w:rsidRDefault="002E417E" w:rsidP="002E417E">
                <w:pPr>
                  <w:pStyle w:val="TableHeading"/>
                  <w:rPr>
                    <w:sz w:val="16"/>
                    <w:lang w:eastAsia="en-AU"/>
                  </w:rPr>
                </w:pPr>
                <w:r w:rsidRPr="002E417E">
                  <w:rPr>
                    <w:sz w:val="16"/>
                    <w:lang w:eastAsia="en-AU"/>
                  </w:rPr>
                  <w:t>Actual</w:t>
                </w:r>
              </w:p>
            </w:tc>
            <w:tc>
              <w:tcPr>
                <w:tcW w:w="469" w:type="pct"/>
                <w:hideMark/>
              </w:tcPr>
              <w:p w:rsidR="002E417E" w:rsidRPr="002E417E" w:rsidRDefault="002E417E" w:rsidP="002E417E">
                <w:pPr>
                  <w:pStyle w:val="TableHeading"/>
                  <w:rPr>
                    <w:sz w:val="16"/>
                    <w:lang w:eastAsia="en-AU"/>
                  </w:rPr>
                </w:pPr>
                <w:r w:rsidRPr="002E417E">
                  <w:rPr>
                    <w:sz w:val="16"/>
                    <w:lang w:eastAsia="en-AU"/>
                  </w:rPr>
                  <w:t>1/2 hr forecast</w:t>
                </w:r>
              </w:p>
            </w:tc>
            <w:tc>
              <w:tcPr>
                <w:tcW w:w="469" w:type="pct"/>
                <w:hideMark/>
              </w:tcPr>
              <w:p w:rsidR="002E417E" w:rsidRPr="002E417E" w:rsidRDefault="002E417E" w:rsidP="002E417E">
                <w:pPr>
                  <w:pStyle w:val="TableHeading"/>
                  <w:rPr>
                    <w:sz w:val="16"/>
                    <w:lang w:eastAsia="en-AU"/>
                  </w:rPr>
                </w:pPr>
                <w:r w:rsidRPr="002E417E">
                  <w:rPr>
                    <w:sz w:val="16"/>
                    <w:lang w:eastAsia="en-AU"/>
                  </w:rPr>
                  <w:t>1 hr forecast</w:t>
                </w:r>
              </w:p>
            </w:tc>
            <w:tc>
              <w:tcPr>
                <w:tcW w:w="469" w:type="pct"/>
                <w:hideMark/>
              </w:tcPr>
              <w:p w:rsidR="002E417E" w:rsidRPr="002E417E" w:rsidRDefault="002E417E" w:rsidP="002E417E">
                <w:pPr>
                  <w:pStyle w:val="TableHeading"/>
                  <w:rPr>
                    <w:sz w:val="16"/>
                    <w:lang w:eastAsia="en-AU"/>
                  </w:rPr>
                </w:pPr>
                <w:r w:rsidRPr="002E417E">
                  <w:rPr>
                    <w:sz w:val="16"/>
                    <w:lang w:eastAsia="en-AU"/>
                  </w:rPr>
                  <w:t>4 hr forecast</w:t>
                </w:r>
              </w:p>
            </w:tc>
            <w:tc>
              <w:tcPr>
                <w:tcW w:w="469" w:type="pct"/>
                <w:hideMark/>
              </w:tcPr>
              <w:p w:rsidR="002E417E" w:rsidRPr="002E417E" w:rsidRDefault="002E417E" w:rsidP="002E417E">
                <w:pPr>
                  <w:pStyle w:val="TableHeading"/>
                  <w:rPr>
                    <w:sz w:val="16"/>
                    <w:lang w:eastAsia="en-AU"/>
                  </w:rPr>
                </w:pPr>
                <w:r w:rsidRPr="002E417E">
                  <w:rPr>
                    <w:sz w:val="16"/>
                    <w:lang w:eastAsia="en-AU"/>
                  </w:rPr>
                  <w:t>12 hr forecast</w:t>
                </w:r>
              </w:p>
            </w:tc>
            <w:tc>
              <w:tcPr>
                <w:tcW w:w="394" w:type="pct"/>
                <w:hideMark/>
              </w:tcPr>
              <w:p w:rsidR="002E417E" w:rsidRPr="002E417E" w:rsidRDefault="002E417E" w:rsidP="002E417E">
                <w:pPr>
                  <w:pStyle w:val="TableHeading"/>
                  <w:rPr>
                    <w:sz w:val="16"/>
                    <w:lang w:eastAsia="en-AU"/>
                  </w:rPr>
                </w:pPr>
                <w:r w:rsidRPr="002E417E">
                  <w:rPr>
                    <w:sz w:val="16"/>
                    <w:lang w:eastAsia="en-AU"/>
                  </w:rPr>
                  <w:t>Actual</w:t>
                </w:r>
              </w:p>
            </w:tc>
            <w:tc>
              <w:tcPr>
                <w:tcW w:w="469" w:type="pct"/>
                <w:hideMark/>
              </w:tcPr>
              <w:p w:rsidR="002E417E" w:rsidRPr="002E417E" w:rsidRDefault="002E417E" w:rsidP="002E417E">
                <w:pPr>
                  <w:pStyle w:val="TableHeading"/>
                  <w:rPr>
                    <w:sz w:val="16"/>
                    <w:lang w:eastAsia="en-AU"/>
                  </w:rPr>
                </w:pPr>
                <w:r w:rsidRPr="002E417E">
                  <w:rPr>
                    <w:sz w:val="16"/>
                    <w:lang w:eastAsia="en-AU"/>
                  </w:rPr>
                  <w:t>1/2 hr forecast</w:t>
                </w:r>
              </w:p>
            </w:tc>
            <w:tc>
              <w:tcPr>
                <w:tcW w:w="469" w:type="pct"/>
                <w:hideMark/>
              </w:tcPr>
              <w:p w:rsidR="002E417E" w:rsidRPr="002E417E" w:rsidRDefault="002E417E" w:rsidP="002E417E">
                <w:pPr>
                  <w:pStyle w:val="TableHeading"/>
                  <w:rPr>
                    <w:sz w:val="16"/>
                    <w:lang w:eastAsia="en-AU"/>
                  </w:rPr>
                </w:pPr>
                <w:r w:rsidRPr="002E417E">
                  <w:rPr>
                    <w:sz w:val="16"/>
                    <w:lang w:eastAsia="en-AU"/>
                  </w:rPr>
                  <w:t>1 hr forecast</w:t>
                </w:r>
              </w:p>
            </w:tc>
            <w:tc>
              <w:tcPr>
                <w:tcW w:w="469" w:type="pct"/>
                <w:hideMark/>
              </w:tcPr>
              <w:p w:rsidR="002E417E" w:rsidRPr="002E417E" w:rsidRDefault="002E417E" w:rsidP="002E417E">
                <w:pPr>
                  <w:pStyle w:val="TableHeading"/>
                  <w:rPr>
                    <w:sz w:val="16"/>
                    <w:lang w:eastAsia="en-AU"/>
                  </w:rPr>
                </w:pPr>
                <w:r w:rsidRPr="002E417E">
                  <w:rPr>
                    <w:sz w:val="16"/>
                    <w:lang w:eastAsia="en-AU"/>
                  </w:rPr>
                  <w:t>4 hr forecast</w:t>
                </w:r>
              </w:p>
            </w:tc>
            <w:tc>
              <w:tcPr>
                <w:tcW w:w="469" w:type="pct"/>
                <w:hideMark/>
              </w:tcPr>
              <w:p w:rsidR="002E417E" w:rsidRPr="002E417E" w:rsidRDefault="002E417E" w:rsidP="002E417E">
                <w:pPr>
                  <w:pStyle w:val="TableHeading"/>
                  <w:rPr>
                    <w:sz w:val="16"/>
                    <w:lang w:eastAsia="en-AU"/>
                  </w:rPr>
                </w:pPr>
                <w:r w:rsidRPr="002E417E">
                  <w:rPr>
                    <w:sz w:val="16"/>
                    <w:lang w:eastAsia="en-AU"/>
                  </w:rPr>
                  <w:t>12 hr forecast</w:t>
                </w:r>
              </w:p>
            </w:tc>
          </w:tr>
          <w:tr w:rsidR="002E417E" w:rsidRPr="002E417E" w:rsidTr="00785225">
            <w:trPr>
              <w:cnfStyle w:val="000000100000" w:firstRow="0" w:lastRow="0" w:firstColumn="0" w:lastColumn="0" w:oddVBand="0" w:evenVBand="0" w:oddHBand="1" w:evenHBand="0" w:firstRowFirstColumn="0" w:firstRowLastColumn="0" w:lastRowFirstColumn="0" w:lastRowLastColumn="0"/>
              <w:trHeight w:val="300"/>
            </w:trPr>
            <w:tc>
              <w:tcPr>
                <w:tcW w:w="464" w:type="pct"/>
                <w:hideMark/>
              </w:tcPr>
              <w:p w:rsidR="002E417E" w:rsidRPr="002E417E" w:rsidRDefault="002E417E" w:rsidP="00C028A3">
                <w:pPr>
                  <w:pStyle w:val="tablebody"/>
                  <w:jc w:val="center"/>
                  <w:rPr>
                    <w:sz w:val="16"/>
                    <w:lang w:eastAsia="en-AU"/>
                  </w:rPr>
                </w:pPr>
                <w:r w:rsidRPr="002E417E">
                  <w:rPr>
                    <w:sz w:val="16"/>
                    <w:lang w:eastAsia="en-AU"/>
                  </w:rPr>
                  <w:t>3.30 pm</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81</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72</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69</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139</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63</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100</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95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110</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139</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195</w:t>
                </w:r>
              </w:p>
            </w:tc>
          </w:tr>
          <w:tr w:rsidR="00315F5D" w:rsidRPr="002E417E" w:rsidTr="00785225">
            <w:trPr>
              <w:cnfStyle w:val="000000010000" w:firstRow="0" w:lastRow="0" w:firstColumn="0" w:lastColumn="0" w:oddVBand="0" w:evenVBand="0" w:oddHBand="0" w:evenHBand="1" w:firstRowFirstColumn="0" w:firstRowLastColumn="0" w:lastRowFirstColumn="0" w:lastRowLastColumn="0"/>
              <w:trHeight w:val="300"/>
            </w:trPr>
            <w:tc>
              <w:tcPr>
                <w:tcW w:w="464" w:type="pct"/>
                <w:hideMark/>
              </w:tcPr>
              <w:p w:rsidR="002E417E" w:rsidRPr="002E417E" w:rsidRDefault="002E417E" w:rsidP="00C028A3">
                <w:pPr>
                  <w:pStyle w:val="tablebody"/>
                  <w:jc w:val="center"/>
                  <w:rPr>
                    <w:sz w:val="16"/>
                    <w:lang w:eastAsia="en-AU"/>
                  </w:rPr>
                </w:pPr>
                <w:r w:rsidRPr="002E417E">
                  <w:rPr>
                    <w:sz w:val="16"/>
                    <w:lang w:eastAsia="en-AU"/>
                  </w:rPr>
                  <w:t>4 pm</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80</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86</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88</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125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113</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119</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86</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88</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125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187</w:t>
                </w:r>
              </w:p>
            </w:tc>
          </w:tr>
          <w:tr w:rsidR="002E417E" w:rsidRPr="002E417E" w:rsidTr="00785225">
            <w:trPr>
              <w:cnfStyle w:val="000000100000" w:firstRow="0" w:lastRow="0" w:firstColumn="0" w:lastColumn="0" w:oddVBand="0" w:evenVBand="0" w:oddHBand="1" w:evenHBand="0" w:firstRowFirstColumn="0" w:firstRowLastColumn="0" w:lastRowFirstColumn="0" w:lastRowLastColumn="0"/>
              <w:trHeight w:val="300"/>
            </w:trPr>
            <w:tc>
              <w:tcPr>
                <w:tcW w:w="464" w:type="pct"/>
                <w:hideMark/>
              </w:tcPr>
              <w:p w:rsidR="002E417E" w:rsidRPr="002E417E" w:rsidRDefault="002E417E" w:rsidP="00C028A3">
                <w:pPr>
                  <w:pStyle w:val="tablebody"/>
                  <w:jc w:val="center"/>
                  <w:rPr>
                    <w:sz w:val="16"/>
                    <w:lang w:eastAsia="en-AU"/>
                  </w:rPr>
                </w:pPr>
                <w:r w:rsidRPr="002E417E">
                  <w:rPr>
                    <w:sz w:val="16"/>
                    <w:lang w:eastAsia="en-AU"/>
                  </w:rPr>
                  <w:t>4.30 pm</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84</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72</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111</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109</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180</w:t>
                </w:r>
              </w:p>
            </w:tc>
          </w:tr>
          <w:tr w:rsidR="00315F5D" w:rsidRPr="002E417E" w:rsidTr="00785225">
            <w:trPr>
              <w:cnfStyle w:val="000000010000" w:firstRow="0" w:lastRow="0" w:firstColumn="0" w:lastColumn="0" w:oddVBand="0" w:evenVBand="0" w:oddHBand="0" w:evenHBand="1" w:firstRowFirstColumn="0" w:firstRowLastColumn="0" w:lastRowFirstColumn="0" w:lastRowLastColumn="0"/>
              <w:trHeight w:val="300"/>
            </w:trPr>
            <w:tc>
              <w:tcPr>
                <w:tcW w:w="464" w:type="pct"/>
                <w:hideMark/>
              </w:tcPr>
              <w:p w:rsidR="002E417E" w:rsidRPr="002E417E" w:rsidRDefault="002E417E" w:rsidP="00C028A3">
                <w:pPr>
                  <w:pStyle w:val="tablebody"/>
                  <w:jc w:val="center"/>
                  <w:rPr>
                    <w:sz w:val="16"/>
                    <w:lang w:eastAsia="en-AU"/>
                  </w:rPr>
                </w:pPr>
                <w:r w:rsidRPr="002E417E">
                  <w:rPr>
                    <w:sz w:val="16"/>
                    <w:lang w:eastAsia="en-AU"/>
                  </w:rPr>
                  <w:t>5 pm</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58</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72</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116</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146</w:t>
                </w:r>
              </w:p>
            </w:tc>
            <w:tc>
              <w:tcPr>
                <w:tcW w:w="394"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97</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81</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85</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116</w:t>
                </w:r>
              </w:p>
            </w:tc>
            <w:tc>
              <w:tcPr>
                <w:tcW w:w="469" w:type="pct"/>
                <w:noWrap/>
                <w:hideMark/>
              </w:tcPr>
              <w:p w:rsidR="002E417E" w:rsidRPr="002E417E" w:rsidRDefault="002E417E" w:rsidP="00C028A3">
                <w:pPr>
                  <w:pStyle w:val="tablebody"/>
                  <w:jc w:val="center"/>
                  <w:rPr>
                    <w:rFonts w:ascii="Calibri" w:hAnsi="Calibri"/>
                    <w:sz w:val="16"/>
                    <w:lang w:eastAsia="en-AU"/>
                  </w:rPr>
                </w:pPr>
                <w:r w:rsidRPr="002E417E">
                  <w:rPr>
                    <w:sz w:val="16"/>
                    <w:lang w:eastAsia="en-AU"/>
                  </w:rPr>
                  <w:t>173</w:t>
                </w:r>
              </w:p>
            </w:tc>
          </w:tr>
          <w:tr w:rsidR="00785225" w:rsidRPr="002E417E" w:rsidTr="00785225">
            <w:trPr>
              <w:cnfStyle w:val="000000100000" w:firstRow="0" w:lastRow="0" w:firstColumn="0" w:lastColumn="0" w:oddVBand="0" w:evenVBand="0" w:oddHBand="1" w:evenHBand="0" w:firstRowFirstColumn="0" w:firstRowLastColumn="0" w:lastRowFirstColumn="0" w:lastRowLastColumn="0"/>
              <w:trHeight w:val="300"/>
            </w:trPr>
            <w:tc>
              <w:tcPr>
                <w:tcW w:w="464" w:type="pct"/>
                <w:hideMark/>
              </w:tcPr>
              <w:p w:rsidR="002E417E" w:rsidRPr="002E417E" w:rsidRDefault="002E417E" w:rsidP="00C028A3">
                <w:pPr>
                  <w:pStyle w:val="tablebody"/>
                  <w:jc w:val="center"/>
                  <w:rPr>
                    <w:b/>
                    <w:bCs/>
                    <w:sz w:val="16"/>
                    <w:lang w:eastAsia="en-AU"/>
                  </w:rPr>
                </w:pPr>
                <w:r w:rsidRPr="002E417E">
                  <w:rPr>
                    <w:b/>
                    <w:bCs/>
                    <w:sz w:val="16"/>
                    <w:lang w:eastAsia="en-AU"/>
                  </w:rPr>
                  <w:t>5.30 pm</w:t>
                </w:r>
              </w:p>
            </w:tc>
            <w:tc>
              <w:tcPr>
                <w:tcW w:w="394"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98</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76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118</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169</w:t>
                </w:r>
              </w:p>
            </w:tc>
            <w:tc>
              <w:tcPr>
                <w:tcW w:w="394"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89</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76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118</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169</w:t>
                </w:r>
              </w:p>
            </w:tc>
          </w:tr>
          <w:tr w:rsidR="002E417E" w:rsidRPr="002E417E" w:rsidTr="00785225">
            <w:trPr>
              <w:cnfStyle w:val="000000010000" w:firstRow="0" w:lastRow="0" w:firstColumn="0" w:lastColumn="0" w:oddVBand="0" w:evenVBand="0" w:oddHBand="0" w:evenHBand="1" w:firstRowFirstColumn="0" w:firstRowLastColumn="0" w:lastRowFirstColumn="0" w:lastRowLastColumn="0"/>
              <w:trHeight w:val="300"/>
            </w:trPr>
            <w:tc>
              <w:tcPr>
                <w:tcW w:w="464" w:type="pct"/>
                <w:hideMark/>
              </w:tcPr>
              <w:p w:rsidR="002E417E" w:rsidRPr="002E417E" w:rsidRDefault="002E417E" w:rsidP="00C028A3">
                <w:pPr>
                  <w:pStyle w:val="tablebody"/>
                  <w:jc w:val="center"/>
                  <w:rPr>
                    <w:b/>
                    <w:bCs/>
                    <w:sz w:val="16"/>
                    <w:lang w:eastAsia="en-AU"/>
                  </w:rPr>
                </w:pPr>
                <w:r w:rsidRPr="002E417E">
                  <w:rPr>
                    <w:b/>
                    <w:bCs/>
                    <w:sz w:val="16"/>
                    <w:lang w:eastAsia="en-AU"/>
                  </w:rPr>
                  <w:t>6</w:t>
                </w:r>
                <w:r w:rsidR="00315F5D">
                  <w:rPr>
                    <w:b/>
                    <w:bCs/>
                    <w:sz w:val="16"/>
                    <w:lang w:eastAsia="en-AU"/>
                  </w:rPr>
                  <w:t> pm</w:t>
                </w:r>
              </w:p>
            </w:tc>
            <w:tc>
              <w:tcPr>
                <w:tcW w:w="394"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146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81</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83</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116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167</w:t>
                </w:r>
              </w:p>
            </w:tc>
            <w:tc>
              <w:tcPr>
                <w:tcW w:w="394"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77</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81</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83</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116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167</w:t>
                </w:r>
              </w:p>
            </w:tc>
          </w:tr>
          <w:tr w:rsidR="00785225" w:rsidRPr="00785225" w:rsidTr="00785225">
            <w:trPr>
              <w:cnfStyle w:val="000000100000" w:firstRow="0" w:lastRow="0" w:firstColumn="0" w:lastColumn="0" w:oddVBand="0" w:evenVBand="0" w:oddHBand="1" w:evenHBand="0" w:firstRowFirstColumn="0" w:firstRowLastColumn="0" w:lastRowFirstColumn="0" w:lastRowLastColumn="0"/>
              <w:trHeight w:val="300"/>
            </w:trPr>
            <w:tc>
              <w:tcPr>
                <w:tcW w:w="464" w:type="pct"/>
                <w:hideMark/>
              </w:tcPr>
              <w:p w:rsidR="002E417E" w:rsidRPr="00785225" w:rsidRDefault="002E417E" w:rsidP="00785225">
                <w:pPr>
                  <w:pStyle w:val="tablebodycentered"/>
                  <w:rPr>
                    <w:b/>
                    <w:color w:val="FF8D40"/>
                    <w:lang w:eastAsia="en-AU"/>
                  </w:rPr>
                </w:pPr>
                <w:r w:rsidRPr="00785225">
                  <w:rPr>
                    <w:b/>
                    <w:color w:val="FF8D40"/>
                    <w:lang w:eastAsia="en-AU"/>
                  </w:rPr>
                  <w:t>6.30</w:t>
                </w:r>
                <w:r w:rsidR="00315F5D" w:rsidRPr="00785225">
                  <w:rPr>
                    <w:b/>
                    <w:color w:val="FF8D40"/>
                    <w:lang w:eastAsia="en-AU"/>
                  </w:rPr>
                  <w:t> </w:t>
                </w:r>
                <w:r w:rsidRPr="00785225">
                  <w:rPr>
                    <w:b/>
                    <w:color w:val="FF8D40"/>
                    <w:lang w:eastAsia="en-AU"/>
                  </w:rPr>
                  <w:t>pm</w:t>
                </w:r>
              </w:p>
            </w:tc>
            <w:tc>
              <w:tcPr>
                <w:tcW w:w="394" w:type="pct"/>
                <w:noWrap/>
                <w:hideMark/>
              </w:tcPr>
              <w:p w:rsidR="002E417E" w:rsidRPr="00785225" w:rsidRDefault="002E417E" w:rsidP="00785225">
                <w:pPr>
                  <w:pStyle w:val="tablebodycentered"/>
                  <w:rPr>
                    <w:b/>
                    <w:color w:val="FF8D40"/>
                    <w:lang w:eastAsia="en-AU"/>
                  </w:rPr>
                </w:pPr>
                <w:r w:rsidRPr="00785225">
                  <w:rPr>
                    <w:b/>
                    <w:color w:val="FF8D40"/>
                    <w:lang w:eastAsia="en-AU"/>
                  </w:rPr>
                  <w:t>111</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85</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92</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132</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170</w:t>
                </w:r>
              </w:p>
            </w:tc>
            <w:tc>
              <w:tcPr>
                <w:tcW w:w="394" w:type="pct"/>
                <w:noWrap/>
                <w:hideMark/>
              </w:tcPr>
              <w:p w:rsidR="002E417E" w:rsidRPr="00785225" w:rsidRDefault="002E417E" w:rsidP="00785225">
                <w:pPr>
                  <w:pStyle w:val="tablebodycentered"/>
                  <w:rPr>
                    <w:b/>
                    <w:color w:val="FF8D40"/>
                    <w:lang w:eastAsia="en-AU"/>
                  </w:rPr>
                </w:pPr>
                <w:r w:rsidRPr="00785225">
                  <w:rPr>
                    <w:b/>
                    <w:color w:val="FF8D40"/>
                    <w:lang w:eastAsia="en-AU"/>
                  </w:rPr>
                  <w:t>77</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85</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92</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132</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170</w:t>
                </w:r>
              </w:p>
            </w:tc>
          </w:tr>
          <w:tr w:rsidR="002E417E" w:rsidRPr="00785225" w:rsidTr="00785225">
            <w:trPr>
              <w:cnfStyle w:val="000000010000" w:firstRow="0" w:lastRow="0" w:firstColumn="0" w:lastColumn="0" w:oddVBand="0" w:evenVBand="0" w:oddHBand="0" w:evenHBand="1" w:firstRowFirstColumn="0" w:firstRowLastColumn="0" w:lastRowFirstColumn="0" w:lastRowLastColumn="0"/>
              <w:trHeight w:val="300"/>
            </w:trPr>
            <w:tc>
              <w:tcPr>
                <w:tcW w:w="464" w:type="pct"/>
                <w:hideMark/>
              </w:tcPr>
              <w:p w:rsidR="002E417E" w:rsidRPr="00785225" w:rsidRDefault="00315F5D" w:rsidP="00785225">
                <w:pPr>
                  <w:pStyle w:val="tablebodycentered"/>
                  <w:rPr>
                    <w:b/>
                    <w:color w:val="FF8D40"/>
                    <w:lang w:eastAsia="en-AU"/>
                  </w:rPr>
                </w:pPr>
                <w:r w:rsidRPr="00785225">
                  <w:rPr>
                    <w:b/>
                    <w:color w:val="FF8D40"/>
                    <w:lang w:eastAsia="en-AU"/>
                  </w:rPr>
                  <w:t>7 pm</w:t>
                </w:r>
              </w:p>
            </w:tc>
            <w:tc>
              <w:tcPr>
                <w:tcW w:w="394" w:type="pct"/>
                <w:noWrap/>
                <w:hideMark/>
              </w:tcPr>
              <w:p w:rsidR="002E417E" w:rsidRPr="00785225" w:rsidRDefault="002E417E" w:rsidP="00785225">
                <w:pPr>
                  <w:pStyle w:val="tablebodycentered"/>
                  <w:rPr>
                    <w:b/>
                    <w:color w:val="FF8D40"/>
                    <w:lang w:eastAsia="en-AU"/>
                  </w:rPr>
                </w:pPr>
                <w:r w:rsidRPr="00785225">
                  <w:rPr>
                    <w:b/>
                    <w:color w:val="FF8D40"/>
                    <w:lang w:eastAsia="en-AU"/>
                  </w:rPr>
                  <w:t>44</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101</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98</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128</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172</w:t>
                </w:r>
              </w:p>
            </w:tc>
            <w:tc>
              <w:tcPr>
                <w:tcW w:w="394" w:type="pct"/>
                <w:noWrap/>
                <w:hideMark/>
              </w:tcPr>
              <w:p w:rsidR="002E417E" w:rsidRPr="00785225" w:rsidRDefault="002E417E" w:rsidP="00785225">
                <w:pPr>
                  <w:pStyle w:val="tablebodycentered"/>
                  <w:rPr>
                    <w:b/>
                    <w:color w:val="FF8D40"/>
                    <w:lang w:eastAsia="en-AU"/>
                  </w:rPr>
                </w:pPr>
                <w:r w:rsidRPr="00785225">
                  <w:rPr>
                    <w:b/>
                    <w:color w:val="FF8D40"/>
                    <w:lang w:eastAsia="en-AU"/>
                  </w:rPr>
                  <w:t>65</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101</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98</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128</w:t>
                </w:r>
              </w:p>
            </w:tc>
            <w:tc>
              <w:tcPr>
                <w:tcW w:w="469" w:type="pct"/>
                <w:noWrap/>
                <w:hideMark/>
              </w:tcPr>
              <w:p w:rsidR="002E417E" w:rsidRPr="00785225" w:rsidRDefault="002E417E" w:rsidP="00785225">
                <w:pPr>
                  <w:pStyle w:val="tablebodycentered"/>
                  <w:rPr>
                    <w:b/>
                    <w:color w:val="FF8D40"/>
                    <w:lang w:eastAsia="en-AU"/>
                  </w:rPr>
                </w:pPr>
                <w:r w:rsidRPr="00785225">
                  <w:rPr>
                    <w:b/>
                    <w:color w:val="FF8D40"/>
                    <w:lang w:eastAsia="en-AU"/>
                  </w:rPr>
                  <w:t>172</w:t>
                </w:r>
              </w:p>
            </w:tc>
          </w:tr>
          <w:tr w:rsidR="00785225" w:rsidRPr="002E417E" w:rsidTr="00785225">
            <w:trPr>
              <w:cnfStyle w:val="000000100000" w:firstRow="0" w:lastRow="0" w:firstColumn="0" w:lastColumn="0" w:oddVBand="0" w:evenVBand="0" w:oddHBand="1" w:evenHBand="0" w:firstRowFirstColumn="0" w:firstRowLastColumn="0" w:lastRowFirstColumn="0" w:lastRowLastColumn="0"/>
              <w:trHeight w:val="315"/>
            </w:trPr>
            <w:tc>
              <w:tcPr>
                <w:tcW w:w="464" w:type="pct"/>
                <w:hideMark/>
              </w:tcPr>
              <w:p w:rsidR="002E417E" w:rsidRPr="002E417E" w:rsidRDefault="00315F5D" w:rsidP="00C028A3">
                <w:pPr>
                  <w:pStyle w:val="tablebody"/>
                  <w:jc w:val="center"/>
                  <w:rPr>
                    <w:b/>
                    <w:bCs/>
                    <w:sz w:val="16"/>
                    <w:lang w:eastAsia="en-AU"/>
                  </w:rPr>
                </w:pPr>
                <w:r>
                  <w:rPr>
                    <w:b/>
                    <w:bCs/>
                    <w:sz w:val="16"/>
                    <w:lang w:eastAsia="en-AU"/>
                  </w:rPr>
                  <w:t>7.30 </w:t>
                </w:r>
                <w:r w:rsidR="002E417E" w:rsidRPr="002E417E">
                  <w:rPr>
                    <w:b/>
                    <w:bCs/>
                    <w:sz w:val="16"/>
                    <w:lang w:eastAsia="en-AU"/>
                  </w:rPr>
                  <w:t>pm</w:t>
                </w:r>
              </w:p>
            </w:tc>
            <w:tc>
              <w:tcPr>
                <w:tcW w:w="394"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122</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115</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138</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180</w:t>
                </w:r>
              </w:p>
            </w:tc>
            <w:tc>
              <w:tcPr>
                <w:tcW w:w="394"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77</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86</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115</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138</w:t>
                </w:r>
              </w:p>
            </w:tc>
            <w:tc>
              <w:tcPr>
                <w:tcW w:w="469" w:type="pct"/>
                <w:noWrap/>
                <w:hideMark/>
              </w:tcPr>
              <w:p w:rsidR="002E417E" w:rsidRPr="00315F5D" w:rsidRDefault="002E417E" w:rsidP="00C028A3">
                <w:pPr>
                  <w:pStyle w:val="tablebody"/>
                  <w:jc w:val="center"/>
                  <w:rPr>
                    <w:rFonts w:ascii="Calibri" w:hAnsi="Calibri"/>
                    <w:b/>
                    <w:sz w:val="16"/>
                    <w:lang w:eastAsia="en-AU"/>
                  </w:rPr>
                </w:pPr>
                <w:r w:rsidRPr="00315F5D">
                  <w:rPr>
                    <w:b/>
                    <w:sz w:val="16"/>
                    <w:lang w:eastAsia="en-AU"/>
                  </w:rPr>
                  <w:t>180</w:t>
                </w:r>
              </w:p>
            </w:tc>
          </w:tr>
        </w:tbl>
        <w:p w:rsidR="00EF4EF4" w:rsidRPr="00024942" w:rsidRDefault="00024942" w:rsidP="0047639E">
          <w:pPr>
            <w:pStyle w:val="AERBody"/>
          </w:pPr>
          <w:r w:rsidRPr="00024942">
            <w:fldChar w:fldCharType="begin"/>
          </w:r>
          <w:r w:rsidRPr="00024942">
            <w:instrText xml:space="preserve"> REF _Ref479077602 \h </w:instrText>
          </w:r>
          <w:r>
            <w:instrText xml:space="preserve"> \* MERGEFORMAT </w:instrText>
          </w:r>
          <w:r w:rsidRPr="00024942">
            <w:fldChar w:fldCharType="separate"/>
          </w:r>
          <w:r w:rsidR="005B5767">
            <w:t xml:space="preserve">Figure </w:t>
          </w:r>
          <w:r w:rsidR="005B5767">
            <w:rPr>
              <w:noProof/>
            </w:rPr>
            <w:t>2</w:t>
          </w:r>
          <w:r w:rsidRPr="00024942">
            <w:fldChar w:fldCharType="end"/>
          </w:r>
          <w:r w:rsidRPr="00024942">
            <w:t xml:space="preserve"> </w:t>
          </w:r>
          <w:r w:rsidR="00EF4EF4" w:rsidRPr="00024942">
            <w:t>shows the import limit</w:t>
          </w:r>
          <w:r w:rsidRPr="00024942">
            <w:t xml:space="preserve"> (red line)</w:t>
          </w:r>
          <w:r w:rsidR="00EF4EF4" w:rsidRPr="00024942">
            <w:t xml:space="preserve">, and flow across Murraylink </w:t>
          </w:r>
          <w:r w:rsidR="00B26438">
            <w:t>(</w:t>
          </w:r>
          <w:r w:rsidRPr="00024942">
            <w:t xml:space="preserve">blue line) as well the violation </w:t>
          </w:r>
          <w:r w:rsidRPr="0047489B">
            <w:t>amount</w:t>
          </w:r>
          <w:r w:rsidRPr="00024942">
            <w:t xml:space="preserve"> that Murraylink was importing above its import limit (blue hatched area)</w:t>
          </w:r>
          <w:r w:rsidR="00EF4EF4" w:rsidRPr="00024942">
            <w:t>.</w:t>
          </w:r>
          <w:r w:rsidR="00382587">
            <w:t xml:space="preserve"> </w:t>
          </w:r>
          <w:r w:rsidR="00EF4EF4" w:rsidRPr="00024942">
            <w:t xml:space="preserve">The target flow should always be less than </w:t>
          </w:r>
          <w:r>
            <w:t xml:space="preserve">or at </w:t>
          </w:r>
          <w:r w:rsidR="00EF4EF4" w:rsidRPr="00024942">
            <w:t xml:space="preserve">the limit of an </w:t>
          </w:r>
          <w:r w:rsidR="00886DA5" w:rsidRPr="00024942">
            <w:t>interconnector</w:t>
          </w:r>
          <w:r w:rsidR="00FE3214">
            <w:t xml:space="preserve"> as allowing interconnector flows to exceed their limits for e</w:t>
          </w:r>
          <w:r w:rsidR="00FE3214" w:rsidRPr="00024942">
            <w:t xml:space="preserve">xtended </w:t>
          </w:r>
          <w:proofErr w:type="gramStart"/>
          <w:r w:rsidR="00FE3214" w:rsidRPr="00024942">
            <w:t>perio</w:t>
          </w:r>
          <w:r w:rsidR="00FE3214">
            <w:t>ds</w:t>
          </w:r>
          <w:proofErr w:type="gramEnd"/>
          <w:r w:rsidR="00FE3214">
            <w:t xml:space="preserve"> poses a </w:t>
          </w:r>
          <w:r w:rsidR="00EF4EF4" w:rsidRPr="00024942">
            <w:t>system</w:t>
          </w:r>
          <w:r>
            <w:t xml:space="preserve"> </w:t>
          </w:r>
          <w:r w:rsidR="00FE3214">
            <w:t xml:space="preserve">security </w:t>
          </w:r>
          <w:r w:rsidRPr="00024942">
            <w:t>risk</w:t>
          </w:r>
          <w:r w:rsidR="00886DA5">
            <w:t>.</w:t>
          </w:r>
          <w:r w:rsidR="00EF4EF4" w:rsidRPr="00024942">
            <w:t xml:space="preserve"> </w:t>
          </w:r>
        </w:p>
        <w:p w:rsidR="009A50E4" w:rsidRDefault="00024942" w:rsidP="009A50E4">
          <w:pPr>
            <w:pStyle w:val="Caption"/>
          </w:pPr>
          <w:bookmarkStart w:id="14" w:name="_Ref479077602"/>
          <w:r>
            <w:lastRenderedPageBreak/>
            <w:t xml:space="preserve">Figure </w:t>
          </w:r>
          <w:fldSimple w:instr=" SEQ Figure \* ARABIC ">
            <w:r w:rsidR="005B5767">
              <w:rPr>
                <w:noProof/>
              </w:rPr>
              <w:t>2</w:t>
            </w:r>
          </w:fldSimple>
          <w:bookmarkEnd w:id="14"/>
          <w:r>
            <w:t xml:space="preserve">: </w:t>
          </w:r>
          <w:r w:rsidRPr="00EF5213">
            <w:t xml:space="preserve">Murraylink import limit, flow and </w:t>
          </w:r>
          <w:r>
            <w:t>violation amount</w:t>
          </w:r>
        </w:p>
        <w:p w:rsidR="00D34B45" w:rsidRDefault="009C48E4" w:rsidP="00D8176C">
          <w:pPr>
            <w:pStyle w:val="AERBody"/>
          </w:pPr>
          <w:r w:rsidRPr="00FC3C98">
            <w:rPr>
              <w:noProof/>
              <w:lang w:eastAsia="en-AU"/>
            </w:rPr>
            <w:drawing>
              <wp:inline distT="0" distB="0" distL="0" distR="0" wp14:anchorId="5C679D91" wp14:editId="0E14B040">
                <wp:extent cx="5382895" cy="3394007"/>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394007"/>
                        </a:xfrm>
                        <a:prstGeom prst="rect">
                          <a:avLst/>
                        </a:prstGeom>
                        <a:noFill/>
                        <a:ln>
                          <a:noFill/>
                        </a:ln>
                      </pic:spPr>
                    </pic:pic>
                  </a:graphicData>
                </a:graphic>
              </wp:inline>
            </w:drawing>
          </w:r>
          <w:r w:rsidR="00886DA5">
            <w:t>From around 5.20 pm</w:t>
          </w:r>
          <w:r w:rsidR="009A50E4" w:rsidRPr="00D8176C">
            <w:t xml:space="preserve"> imports into South Australia began to exceed the import limit</w:t>
          </w:r>
          <w:r w:rsidR="00332644">
            <w:t>, thus putting the power system in an insecure state</w:t>
          </w:r>
          <w:r w:rsidR="00EF4EF4" w:rsidRPr="00D8176C">
            <w:t>.</w:t>
          </w:r>
          <w:r w:rsidR="00B5320F" w:rsidRPr="00D8176C">
            <w:t xml:space="preserve"> As the violation continued for more than </w:t>
          </w:r>
          <w:r w:rsidR="00332644">
            <w:t xml:space="preserve">30 minutes, </w:t>
          </w:r>
          <w:r w:rsidR="00B5320F" w:rsidRPr="00D8176C">
            <w:t xml:space="preserve">AEMO </w:t>
          </w:r>
          <w:r w:rsidR="00D34B45">
            <w:t xml:space="preserve">took </w:t>
          </w:r>
          <w:r w:rsidR="00332644">
            <w:t xml:space="preserve">action to </w:t>
          </w:r>
          <w:r w:rsidR="00B5320F" w:rsidRPr="00D8176C">
            <w:t>return the system to a secure state</w:t>
          </w:r>
          <w:r w:rsidR="00D8176C" w:rsidRPr="00D8176C">
            <w:t>.</w:t>
          </w:r>
          <w:r w:rsidR="00332644">
            <w:rPr>
              <w:rStyle w:val="FootnoteReference"/>
            </w:rPr>
            <w:footnoteReference w:id="3"/>
          </w:r>
          <w:r w:rsidR="00B5320F" w:rsidRPr="00D8176C">
            <w:t xml:space="preserve"> </w:t>
          </w:r>
          <w:r w:rsidR="00D8176C" w:rsidRPr="00D8176C">
            <w:t xml:space="preserve">AEMO explored avenues to return the power system to a secure operating state </w:t>
          </w:r>
          <w:r w:rsidR="00D34B45">
            <w:t xml:space="preserve">as quickly as possible, in the end </w:t>
          </w:r>
          <w:r w:rsidR="00B5320F" w:rsidRPr="00D8176C">
            <w:t>direct</w:t>
          </w:r>
          <w:r w:rsidR="00D34B45">
            <w:t>ing</w:t>
          </w:r>
          <w:r w:rsidR="00B5320F" w:rsidRPr="00D8176C">
            <w:t xml:space="preserve"> </w:t>
          </w:r>
          <w:r w:rsidR="00947DA7" w:rsidRPr="00D8176C">
            <w:t>Electra</w:t>
          </w:r>
          <w:r w:rsidR="00947DA7">
            <w:t>N</w:t>
          </w:r>
          <w:r w:rsidR="00947DA7" w:rsidRPr="00D8176C">
            <w:t>et</w:t>
          </w:r>
          <w:r w:rsidR="00947DA7">
            <w:t>, the transmission network service provider</w:t>
          </w:r>
          <w:r w:rsidR="00947DA7" w:rsidRPr="00D8176C">
            <w:t xml:space="preserve"> to shed 100 MW of customer load at 6.03 pm.</w:t>
          </w:r>
          <w:r w:rsidR="00947DA7">
            <w:t xml:space="preserve"> ElectraNet has an agreement with </w:t>
          </w:r>
          <w:r w:rsidR="005B2273">
            <w:t>SA</w:t>
          </w:r>
          <w:r w:rsidR="00947DA7">
            <w:t>PN</w:t>
          </w:r>
          <w:r w:rsidR="005B2273">
            <w:t>, the distribution network service provider</w:t>
          </w:r>
          <w:r w:rsidR="00947DA7">
            <w:t xml:space="preserve"> to enact this function.</w:t>
          </w:r>
          <w:r w:rsidR="005B2273">
            <w:t xml:space="preserve"> The load shedding commenced at 6.10 pm.</w:t>
          </w:r>
        </w:p>
        <w:p w:rsidR="00B5320F" w:rsidRPr="00D8176C" w:rsidRDefault="005B2273" w:rsidP="00D8176C">
          <w:pPr>
            <w:pStyle w:val="AERBody"/>
          </w:pPr>
          <w:r>
            <w:t>While</w:t>
          </w:r>
          <w:r w:rsidR="00D8176C">
            <w:t xml:space="preserve"> 100 MW was directed </w:t>
          </w:r>
          <w:r>
            <w:t xml:space="preserve">to be interrupted, </w:t>
          </w:r>
          <w:r w:rsidR="00D8176C">
            <w:t>around 300 MW was actually shed</w:t>
          </w:r>
          <w:r>
            <w:t xml:space="preserve"> due to a software error in SAPN’s load shedding system</w:t>
          </w:r>
          <w:r w:rsidR="00D8176C">
            <w:t xml:space="preserve">. </w:t>
          </w:r>
          <w:r w:rsidR="004F7068" w:rsidRPr="004F7068">
            <w:t xml:space="preserve">SAPN have acknowledged this error. </w:t>
          </w:r>
          <w:r w:rsidR="001A7C03">
            <w:t xml:space="preserve">When a directed interruption to customers occurs, the market price is set at the market price cap, independent of the level of load shed. </w:t>
          </w:r>
          <w:r w:rsidR="00EF2F3A">
            <w:t>T</w:t>
          </w:r>
          <w:r w:rsidR="00D8176C">
            <w:t xml:space="preserve">he </w:t>
          </w:r>
          <w:r>
            <w:t xml:space="preserve">power </w:t>
          </w:r>
          <w:r w:rsidR="00D8176C">
            <w:t>system was returned to a secure state by 6.15 pm</w:t>
          </w:r>
          <w:r w:rsidR="00EF2F3A">
            <w:t xml:space="preserve"> and imports on Murraylink no longer exceeded its import limit by 6.20 pm. </w:t>
          </w:r>
        </w:p>
        <w:p w:rsidR="00EF4EF4" w:rsidRDefault="004F7068" w:rsidP="00EF4EF4">
          <w:pPr>
            <w:pStyle w:val="AERBody"/>
          </w:pPr>
          <w:r>
            <w:t>T</w:t>
          </w:r>
          <w:r w:rsidR="00332644">
            <w:t>he market price cap was applied</w:t>
          </w:r>
          <w:r>
            <w:t xml:space="preserve"> and </w:t>
          </w:r>
          <w:r w:rsidR="00332644">
            <w:t>stay</w:t>
          </w:r>
          <w:r>
            <w:t>ed</w:t>
          </w:r>
          <w:r w:rsidR="00332644">
            <w:t xml:space="preserve"> in place until </w:t>
          </w:r>
          <w:r w:rsidR="00886DA5">
            <w:t>AEMO issued a direction to</w:t>
          </w:r>
          <w:r w:rsidR="00332644">
            <w:t xml:space="preserve"> </w:t>
          </w:r>
          <w:r w:rsidR="00886DA5">
            <w:t>r</w:t>
          </w:r>
          <w:r w:rsidR="00332644">
            <w:t>estore</w:t>
          </w:r>
          <w:r w:rsidR="00886DA5">
            <w:t xml:space="preserve"> customer load</w:t>
          </w:r>
          <w:r w:rsidR="005B2273">
            <w:t xml:space="preserve">, </w:t>
          </w:r>
          <w:r w:rsidR="0089624E">
            <w:t xml:space="preserve">some </w:t>
          </w:r>
          <w:r w:rsidR="005B2273">
            <w:t>37 minutes later</w:t>
          </w:r>
          <w:r>
            <w:t>,</w:t>
          </w:r>
          <w:r w:rsidR="005B2273">
            <w:t xml:space="preserve"> at 6.40</w:t>
          </w:r>
          <w:r w:rsidR="00947DA7">
            <w:t> </w:t>
          </w:r>
          <w:r w:rsidR="005B2273">
            <w:t>pm</w:t>
          </w:r>
          <w:r w:rsidR="00332644">
            <w:t xml:space="preserve">. </w:t>
          </w:r>
        </w:p>
        <w:p w:rsidR="0047639E" w:rsidRDefault="0047639E" w:rsidP="00EF4EF4">
          <w:pPr>
            <w:pStyle w:val="AERBody"/>
          </w:pPr>
          <w:r>
            <w:t xml:space="preserve">The second hashed sector of the figure, starting around 7 pm, shows that </w:t>
          </w:r>
          <w:r w:rsidR="00224BC2">
            <w:t>M</w:t>
          </w:r>
          <w:r>
            <w:t>urraylink was again operating above its limits</w:t>
          </w:r>
          <w:r w:rsidR="00E37F7B">
            <w:t>. H</w:t>
          </w:r>
          <w:r>
            <w:t xml:space="preserve">owever, as this was for a period less than </w:t>
          </w:r>
          <w:r w:rsidR="00441440">
            <w:t>30 </w:t>
          </w:r>
          <w:r w:rsidR="00E37F7B">
            <w:t>minutes,</w:t>
          </w:r>
          <w:r w:rsidR="003C6933">
            <w:t xml:space="preserve"> there was no requirement</w:t>
          </w:r>
          <w:r>
            <w:t xml:space="preserve"> for further load shedding.</w:t>
          </w:r>
        </w:p>
        <w:p w:rsidR="00EF4EF4" w:rsidRDefault="00EF4EF4" w:rsidP="00EF4EF4">
          <w:pPr>
            <w:pStyle w:val="Heading3"/>
          </w:pPr>
          <w:bookmarkStart w:id="15" w:name="_Ref478116981"/>
          <w:bookmarkStart w:id="16" w:name="_Toc480971270"/>
          <w:r>
            <w:t xml:space="preserve">Generator </w:t>
          </w:r>
          <w:bookmarkEnd w:id="15"/>
          <w:r w:rsidR="00EF2F3A">
            <w:t>offers and availability</w:t>
          </w:r>
          <w:bookmarkEnd w:id="16"/>
        </w:p>
        <w:p w:rsidR="007E6689" w:rsidRDefault="007E6689" w:rsidP="007E6689">
          <w:r w:rsidRPr="00BF58CA">
            <w:t>South Australia has an installed generation capacity of 4</w:t>
          </w:r>
          <w:r>
            <w:t>556</w:t>
          </w:r>
          <w:r w:rsidRPr="00BF58CA">
            <w:t> MW of which 1</w:t>
          </w:r>
          <w:r>
            <w:t>596</w:t>
          </w:r>
          <w:r w:rsidRPr="00BF58CA">
            <w:t> MW is wind</w:t>
          </w:r>
          <w:r w:rsidR="005B2273">
            <w:t>.</w:t>
          </w:r>
          <w:r w:rsidRPr="00BF58CA">
            <w:t xml:space="preserve"> </w:t>
          </w:r>
          <w:r w:rsidR="005B2273">
            <w:t>T</w:t>
          </w:r>
          <w:r w:rsidRPr="00BF58CA">
            <w:t xml:space="preserve">he remaining </w:t>
          </w:r>
          <w:r w:rsidRPr="00C63BBF">
            <w:t>2960</w:t>
          </w:r>
          <w:r w:rsidRPr="00BF58CA">
            <w:t xml:space="preserve"> MW is mainly gas </w:t>
          </w:r>
          <w:r w:rsidR="005B2273">
            <w:t>fired</w:t>
          </w:r>
          <w:r w:rsidRPr="00BF58CA">
            <w:t>.</w:t>
          </w:r>
          <w:r>
            <w:t xml:space="preserve"> </w:t>
          </w:r>
          <w:r w:rsidR="00A40A69">
            <w:t>G</w:t>
          </w:r>
          <w:r>
            <w:t xml:space="preserve">eneration is classified into three types, scheduled, semi-scheduled and non-scheduled. Scheduled and semi-scheduled </w:t>
          </w:r>
          <w:r>
            <w:lastRenderedPageBreak/>
            <w:t>must offer the</w:t>
          </w:r>
          <w:r w:rsidR="00E34BEA">
            <w:t>ir</w:t>
          </w:r>
          <w:r>
            <w:t xml:space="preserve"> supply availability into the market and are dispatched by AEMO. Non-scheduled generation are not dispatched by AEMO and do not offer into the market (see Appendix </w:t>
          </w:r>
          <w:r w:rsidR="00D137F3">
            <w:t>E</w:t>
          </w:r>
          <w:r>
            <w:t xml:space="preserve">). </w:t>
          </w:r>
        </w:p>
        <w:p w:rsidR="00E1103C" w:rsidRDefault="007E6689" w:rsidP="007E6689">
          <w:r>
            <w:t xml:space="preserve">Installed capacity isn’t </w:t>
          </w:r>
          <w:r w:rsidR="00E1103C">
            <w:t xml:space="preserve">always </w:t>
          </w:r>
          <w:r>
            <w:t xml:space="preserve">the best indication of </w:t>
          </w:r>
          <w:r w:rsidR="00E1103C">
            <w:t xml:space="preserve">what may be </w:t>
          </w:r>
          <w:r>
            <w:t xml:space="preserve">available </w:t>
          </w:r>
          <w:r w:rsidR="00E1103C">
            <w:t>at any particular time, particularly during summer, when high ambient temperature conditions can materially affect a generators ability to perform to its nominal installed capacity</w:t>
          </w:r>
          <w:r>
            <w:t xml:space="preserve">. AEMO </w:t>
          </w:r>
          <w:r w:rsidR="00E1103C">
            <w:t>records</w:t>
          </w:r>
          <w:r>
            <w:t xml:space="preserve"> </w:t>
          </w:r>
          <w:r w:rsidR="00E1103C">
            <w:t xml:space="preserve">each generators </w:t>
          </w:r>
          <w:r>
            <w:t xml:space="preserve">summer rating </w:t>
          </w:r>
          <w:r w:rsidR="00DC7558">
            <w:t xml:space="preserve">against regional bench mark summer conditions </w:t>
          </w:r>
          <w:r w:rsidR="00E1103C">
            <w:t xml:space="preserve">and </w:t>
          </w:r>
          <w:r w:rsidR="00DC7558">
            <w:t xml:space="preserve">for wind generators, it </w:t>
          </w:r>
          <w:r w:rsidR="00E1103C">
            <w:t>calculates, on the basis of probability</w:t>
          </w:r>
          <w:r w:rsidR="00DC7558">
            <w:t>,</w:t>
          </w:r>
          <w:r w:rsidR="00E1103C">
            <w:t xml:space="preserve"> the most </w:t>
          </w:r>
          <w:r>
            <w:t xml:space="preserve">likely wind </w:t>
          </w:r>
          <w:r w:rsidR="00E1103C">
            <w:t>contribution during these conditions</w:t>
          </w:r>
          <w:r>
            <w:t>.</w:t>
          </w:r>
          <w:r>
            <w:rPr>
              <w:rStyle w:val="FootnoteReference"/>
            </w:rPr>
            <w:footnoteReference w:id="4"/>
          </w:r>
          <w:r>
            <w:t xml:space="preserve"> </w:t>
          </w:r>
          <w:r w:rsidR="00AC726A">
            <w:t xml:space="preserve">Furthermore generators are expected to update their capacity as their circumstances change as discussed in section </w:t>
          </w:r>
          <w:r w:rsidR="00AC726A">
            <w:fldChar w:fldCharType="begin"/>
          </w:r>
          <w:r w:rsidR="00AC726A">
            <w:instrText xml:space="preserve"> REF _Ref480462533 \n \h </w:instrText>
          </w:r>
          <w:r w:rsidR="00AC726A">
            <w:fldChar w:fldCharType="separate"/>
          </w:r>
          <w:r w:rsidR="005B5767">
            <w:t>3.1.3.2</w:t>
          </w:r>
          <w:r w:rsidR="00AC726A">
            <w:fldChar w:fldCharType="end"/>
          </w:r>
          <w:r w:rsidR="00AC726A">
            <w:t xml:space="preserve">. </w:t>
          </w:r>
        </w:p>
        <w:p w:rsidR="00E1103C" w:rsidRDefault="00E1103C" w:rsidP="007E6689">
          <w:r>
            <w:t>A</w:t>
          </w:r>
          <w:r w:rsidR="00A91DFC">
            <w:t>l</w:t>
          </w:r>
          <w:r>
            <w:t xml:space="preserve">lowing for summer conditions and the mothballing of half of </w:t>
          </w:r>
          <w:r w:rsidR="004E6763">
            <w:t>Pelican</w:t>
          </w:r>
          <w:r>
            <w:t xml:space="preserve"> </w:t>
          </w:r>
          <w:r w:rsidR="004E6763">
            <w:t>Point Power Station</w:t>
          </w:r>
          <w:r>
            <w:t xml:space="preserve">, </w:t>
          </w:r>
          <w:r w:rsidR="007E6689">
            <w:t xml:space="preserve">AEMO’s </w:t>
          </w:r>
          <w:r>
            <w:t xml:space="preserve">lists the total </w:t>
          </w:r>
          <w:r w:rsidR="007E6689">
            <w:t xml:space="preserve">generator availability </w:t>
          </w:r>
          <w:r>
            <w:t>as</w:t>
          </w:r>
          <w:r w:rsidR="007E6689">
            <w:t xml:space="preserve"> 3626 MW if wind generation </w:t>
          </w:r>
          <w:r>
            <w:t xml:space="preserve">available at its full capacity </w:t>
          </w:r>
          <w:r w:rsidR="007E6689">
            <w:t xml:space="preserve">and 2634 MW if the </w:t>
          </w:r>
          <w:proofErr w:type="gramStart"/>
          <w:r w:rsidR="007E6689">
            <w:t>average wind</w:t>
          </w:r>
          <w:proofErr w:type="gramEnd"/>
          <w:r w:rsidR="007E6689">
            <w:t xml:space="preserve"> availability is used.</w:t>
          </w:r>
          <w:r w:rsidR="007E6689">
            <w:rPr>
              <w:rStyle w:val="FootnoteReference"/>
            </w:rPr>
            <w:footnoteReference w:id="5"/>
          </w:r>
          <w:r w:rsidR="007E6689">
            <w:t xml:space="preserve"> </w:t>
          </w:r>
        </w:p>
        <w:p w:rsidR="007E6689" w:rsidRDefault="007E6689" w:rsidP="007E6689">
          <w:r>
            <w:t>At the time of high prices there was around 2400 MW of supply offered by participants into the market, just below that expected given the conditions.</w:t>
          </w:r>
        </w:p>
        <w:p w:rsidR="00EF2F3A" w:rsidRDefault="009C609C" w:rsidP="00EF2F3A">
          <w:pPr>
            <w:pStyle w:val="Heading4"/>
          </w:pPr>
          <w:r>
            <w:t xml:space="preserve">Scheduled and Semi Scheduled </w:t>
          </w:r>
          <w:r w:rsidR="007E6689">
            <w:t>g</w:t>
          </w:r>
          <w:r w:rsidR="00EF2F3A">
            <w:t>enerator offers</w:t>
          </w:r>
          <w:r w:rsidR="009D7D66">
            <w:rPr>
              <w:rStyle w:val="FootnoteReference"/>
            </w:rPr>
            <w:footnoteReference w:id="6"/>
          </w:r>
        </w:p>
        <w:p w:rsidR="00FE455B" w:rsidRPr="00A24BDA" w:rsidRDefault="00FE455B" w:rsidP="00FE455B">
          <w:pPr>
            <w:pStyle w:val="AERBody"/>
          </w:pPr>
          <w:r w:rsidRPr="00A24BDA">
            <w:t xml:space="preserve">There was </w:t>
          </w:r>
          <w:r>
            <w:t xml:space="preserve">no </w:t>
          </w:r>
          <w:r w:rsidRPr="00A24BDA">
            <w:t>significant rebidding of capacity from low to high prices which contributed to the high price trading intervals.</w:t>
          </w:r>
        </w:p>
        <w:p w:rsidR="00EF2F3A" w:rsidRDefault="00EF2F3A" w:rsidP="00EF2F3A">
          <w:pPr>
            <w:pStyle w:val="AERBody"/>
          </w:pPr>
          <w:r>
            <w:fldChar w:fldCharType="begin"/>
          </w:r>
          <w:r>
            <w:instrText xml:space="preserve"> REF _Ref478721595 \h </w:instrText>
          </w:r>
          <w:r>
            <w:fldChar w:fldCharType="separate"/>
          </w:r>
          <w:r w:rsidR="005B5767">
            <w:t xml:space="preserve">Figure </w:t>
          </w:r>
          <w:r w:rsidR="005B5767">
            <w:rPr>
              <w:noProof/>
            </w:rPr>
            <w:t>3</w:t>
          </w:r>
          <w:r>
            <w:fldChar w:fldCharType="end"/>
          </w:r>
          <w:r>
            <w:t xml:space="preserve"> </w:t>
          </w:r>
          <w:r w:rsidRPr="006D1CE8">
            <w:t xml:space="preserve">shows </w:t>
          </w:r>
          <w:r w:rsidR="00FE455B">
            <w:t xml:space="preserve">wind generation, supply capacity priced above and below $5000/MWh, </w:t>
          </w:r>
          <w:r w:rsidRPr="006D1CE8">
            <w:t>5-minute demand</w:t>
          </w:r>
          <w:r>
            <w:t xml:space="preserve">, </w:t>
          </w:r>
          <w:r w:rsidR="00FE455B">
            <w:t xml:space="preserve">dispatch and </w:t>
          </w:r>
          <w:r>
            <w:t>p</w:t>
          </w:r>
          <w:r w:rsidR="0047639E">
            <w:t>rice</w:t>
          </w:r>
          <w:r>
            <w:t>.</w:t>
          </w:r>
        </w:p>
        <w:p w:rsidR="00EF2F3A" w:rsidRDefault="00EF2F3A" w:rsidP="00EF2F3A">
          <w:pPr>
            <w:pStyle w:val="Caption"/>
            <w:jc w:val="both"/>
          </w:pPr>
          <w:bookmarkStart w:id="17" w:name="_Ref478721595"/>
          <w:r>
            <w:lastRenderedPageBreak/>
            <w:t xml:space="preserve">Figure </w:t>
          </w:r>
          <w:fldSimple w:instr=" SEQ Figure \* ARABIC ">
            <w:r w:rsidR="005B5767">
              <w:rPr>
                <w:noProof/>
              </w:rPr>
              <w:t>3</w:t>
            </w:r>
          </w:fldSimple>
          <w:bookmarkEnd w:id="17"/>
          <w:r>
            <w:t xml:space="preserve"> South Australia </w:t>
          </w:r>
          <w:r w:rsidR="007B249C">
            <w:t xml:space="preserve">closing offers, wind output and </w:t>
          </w:r>
          <w:r>
            <w:t xml:space="preserve">5 minute generation, price, </w:t>
          </w:r>
          <w:r w:rsidR="007B249C">
            <w:t xml:space="preserve">and </w:t>
          </w:r>
          <w:r>
            <w:t xml:space="preserve">demand </w:t>
          </w:r>
        </w:p>
        <w:p w:rsidR="005530FC" w:rsidRDefault="005530FC" w:rsidP="00EF2F3A">
          <w:r w:rsidRPr="005530FC">
            <w:rPr>
              <w:noProof/>
              <w:lang w:eastAsia="en-AU"/>
            </w:rPr>
            <w:drawing>
              <wp:inline distT="0" distB="0" distL="0" distR="0" wp14:anchorId="1E8B48C3" wp14:editId="607327CC">
                <wp:extent cx="5382895" cy="3097976"/>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097976"/>
                        </a:xfrm>
                        <a:prstGeom prst="rect">
                          <a:avLst/>
                        </a:prstGeom>
                        <a:noFill/>
                        <a:ln>
                          <a:noFill/>
                        </a:ln>
                      </pic:spPr>
                    </pic:pic>
                  </a:graphicData>
                </a:graphic>
              </wp:inline>
            </w:drawing>
          </w:r>
        </w:p>
        <w:p w:rsidR="00743932" w:rsidRDefault="00886DA5" w:rsidP="0047639E">
          <w:pPr>
            <w:pStyle w:val="AERBody"/>
          </w:pPr>
          <w:r>
            <w:t>Supply from local generation was around 2</w:t>
          </w:r>
          <w:r w:rsidR="00917AB4">
            <w:t>4</w:t>
          </w:r>
          <w:r>
            <w:t>00 </w:t>
          </w:r>
          <w:r w:rsidR="00917AB4">
            <w:t>MW, with</w:t>
          </w:r>
          <w:r>
            <w:t xml:space="preserve"> wind generati</w:t>
          </w:r>
          <w:r w:rsidR="00873DA9">
            <w:t xml:space="preserve">on </w:t>
          </w:r>
          <w:r w:rsidR="00A66127">
            <w:t xml:space="preserve">accounting for </w:t>
          </w:r>
          <w:r w:rsidR="00873DA9">
            <w:t>around 200 MW</w:t>
          </w:r>
          <w:r w:rsidR="00FB5D75">
            <w:t xml:space="preserve">. </w:t>
          </w:r>
          <w:r w:rsidR="00FB5D75">
            <w:fldChar w:fldCharType="begin"/>
          </w:r>
          <w:r w:rsidR="00FB5D75">
            <w:instrText xml:space="preserve"> REF _Ref478721595 \h </w:instrText>
          </w:r>
          <w:r w:rsidR="00FB5D75">
            <w:fldChar w:fldCharType="separate"/>
          </w:r>
          <w:r w:rsidR="005B5767">
            <w:t xml:space="preserve">Figure </w:t>
          </w:r>
          <w:r w:rsidR="005B5767">
            <w:rPr>
              <w:noProof/>
            </w:rPr>
            <w:t>3</w:t>
          </w:r>
          <w:r w:rsidR="00FB5D75">
            <w:fldChar w:fldCharType="end"/>
          </w:r>
          <w:r w:rsidR="00FB5D75">
            <w:t xml:space="preserve"> </w:t>
          </w:r>
          <w:r w:rsidR="00917AB4">
            <w:t xml:space="preserve">shows </w:t>
          </w:r>
          <w:r w:rsidR="00743932">
            <w:t>all the generation in South</w:t>
          </w:r>
          <w:r w:rsidR="00315F5D">
            <w:t> </w:t>
          </w:r>
          <w:r w:rsidR="00743932">
            <w:t>Australia that was offered into the market was being fully dispatched (orange line is on or above the total capacity available). The remaining power to meet demand (bl</w:t>
          </w:r>
          <w:r w:rsidR="001A0B32">
            <w:t>ue</w:t>
          </w:r>
          <w:r w:rsidR="00743932">
            <w:t xml:space="preserve"> line) was being sourced from interstate across the Murraylink and Heywood </w:t>
          </w:r>
          <w:r w:rsidR="00743932" w:rsidRPr="0047639E">
            <w:t>interconnectors</w:t>
          </w:r>
          <w:r w:rsidR="00743932">
            <w:t xml:space="preserve"> (difference between the bl</w:t>
          </w:r>
          <w:r w:rsidR="00315F5D">
            <w:t>ue</w:t>
          </w:r>
          <w:r w:rsidR="00743932">
            <w:t xml:space="preserve"> and orange lines). It also shows how wind generation started to reduce from around 3 pm to only around 200 MW by 5 pm. </w:t>
          </w:r>
          <w:r w:rsidR="00316090">
            <w:t>C</w:t>
          </w:r>
          <w:r w:rsidR="00743932">
            <w:t xml:space="preserve">apacity </w:t>
          </w:r>
          <w:r w:rsidR="00316090">
            <w:t xml:space="preserve">priced greater than $13 000/MWh </w:t>
          </w:r>
          <w:r w:rsidR="00743932">
            <w:t>had to be dispatched to meet demand</w:t>
          </w:r>
          <w:r w:rsidR="001A0B32">
            <w:t xml:space="preserve"> from </w:t>
          </w:r>
          <w:r w:rsidR="00316090">
            <w:t xml:space="preserve">5.10 pm until 6.20 pm. At that point AEMO intervened, the Market Price Cap was set </w:t>
          </w:r>
          <w:r w:rsidR="00661A17">
            <w:t xml:space="preserve">until 6.55 pm, </w:t>
          </w:r>
          <w:proofErr w:type="gramStart"/>
          <w:r w:rsidR="00661A17">
            <w:t>this is discussed</w:t>
          </w:r>
          <w:r w:rsidR="00316090">
            <w:t xml:space="preserve"> in greater detail in </w:t>
          </w:r>
          <w:r w:rsidR="00B17971">
            <w:t xml:space="preserve">section </w:t>
          </w:r>
          <w:r w:rsidR="00316090">
            <w:fldChar w:fldCharType="begin"/>
          </w:r>
          <w:r w:rsidR="00316090">
            <w:instrText xml:space="preserve"> REF _Ref479676996 \r \h </w:instrText>
          </w:r>
          <w:r w:rsidR="00316090">
            <w:fldChar w:fldCharType="separate"/>
          </w:r>
          <w:r w:rsidR="005B5767">
            <w:t>3.2</w:t>
          </w:r>
          <w:proofErr w:type="gramEnd"/>
          <w:r w:rsidR="00316090">
            <w:fldChar w:fldCharType="end"/>
          </w:r>
          <w:r w:rsidR="00316090">
            <w:t>.</w:t>
          </w:r>
          <w:r w:rsidR="00743932">
            <w:t xml:space="preserve"> </w:t>
          </w:r>
        </w:p>
        <w:p w:rsidR="00886DA5" w:rsidRDefault="003123E1" w:rsidP="0047639E">
          <w:pPr>
            <w:pStyle w:val="AERBody"/>
          </w:pPr>
          <w:r>
            <w:fldChar w:fldCharType="begin"/>
          </w:r>
          <w:r>
            <w:instrText xml:space="preserve"> REF _Ref478721595 \h </w:instrText>
          </w:r>
          <w:r>
            <w:fldChar w:fldCharType="separate"/>
          </w:r>
          <w:r w:rsidR="005B5767">
            <w:t xml:space="preserve">Figure </w:t>
          </w:r>
          <w:r w:rsidR="005B5767">
            <w:rPr>
              <w:noProof/>
            </w:rPr>
            <w:t>3</w:t>
          </w:r>
          <w:r>
            <w:fldChar w:fldCharType="end"/>
          </w:r>
          <w:r>
            <w:t xml:space="preserve"> also shows </w:t>
          </w:r>
          <w:r w:rsidR="000F381E">
            <w:t xml:space="preserve">that </w:t>
          </w:r>
          <w:r w:rsidR="00A66127">
            <w:t xml:space="preserve">imports from neighbouring regions made </w:t>
          </w:r>
          <w:r w:rsidR="000F381E">
            <w:t xml:space="preserve">a significant contribution </w:t>
          </w:r>
          <w:r w:rsidR="00661A17">
            <w:t>in</w:t>
          </w:r>
          <w:r>
            <w:t xml:space="preserve"> meet</w:t>
          </w:r>
          <w:r w:rsidR="000F381E">
            <w:t xml:space="preserve">ing </w:t>
          </w:r>
          <w:r>
            <w:t>demand</w:t>
          </w:r>
          <w:r w:rsidR="000F381E">
            <w:t xml:space="preserve"> in South Australia</w:t>
          </w:r>
          <w:r>
            <w:t xml:space="preserve">. </w:t>
          </w:r>
        </w:p>
        <w:p w:rsidR="00EF4EF4" w:rsidRDefault="00F40DFA" w:rsidP="00EF4EF4">
          <w:pPr>
            <w:pStyle w:val="Heading4"/>
          </w:pPr>
          <w:bookmarkStart w:id="18" w:name="_Ref480462533"/>
          <w:r>
            <w:t>Unavailable</w:t>
          </w:r>
          <w:r w:rsidR="00EF4EF4">
            <w:t xml:space="preserve"> generation</w:t>
          </w:r>
          <w:bookmarkEnd w:id="18"/>
        </w:p>
        <w:p w:rsidR="00EF4EF4" w:rsidRDefault="00596CD8" w:rsidP="00EF4EF4">
          <w:pPr>
            <w:pStyle w:val="AERBody"/>
          </w:pPr>
          <w:r>
            <w:t>At the time of high prices there was 4</w:t>
          </w:r>
          <w:r w:rsidR="00887F3D">
            <w:t>7</w:t>
          </w:r>
          <w:r w:rsidR="00873DA9">
            <w:t>0</w:t>
          </w:r>
          <w:r>
            <w:t xml:space="preserve"> MW of capacity not able to be dispatched. 355 MW was due to long term outages </w:t>
          </w:r>
          <w:r w:rsidR="00B32BDF">
            <w:t xml:space="preserve">which </w:t>
          </w:r>
          <w:r w:rsidR="000F381E">
            <w:t>were</w:t>
          </w:r>
          <w:r w:rsidR="00B32BDF">
            <w:t xml:space="preserve"> account</w:t>
          </w:r>
          <w:r w:rsidR="00947DA7">
            <w:t>ed for</w:t>
          </w:r>
          <w:r w:rsidR="00B32BDF">
            <w:t xml:space="preserve"> </w:t>
          </w:r>
          <w:r w:rsidR="00947DA7">
            <w:t xml:space="preserve">in </w:t>
          </w:r>
          <w:r w:rsidR="000F381E">
            <w:t xml:space="preserve">the </w:t>
          </w:r>
          <w:r w:rsidR="00B32BDF">
            <w:t>forecast</w:t>
          </w:r>
          <w:r w:rsidR="000F381E">
            <w:t xml:space="preserve"> system</w:t>
          </w:r>
          <w:r w:rsidR="00B32BDF">
            <w:t xml:space="preserve">s </w:t>
          </w:r>
          <w:r w:rsidR="00873DA9">
            <w:t>and 1</w:t>
          </w:r>
          <w:r w:rsidR="00887F3D">
            <w:t>1</w:t>
          </w:r>
          <w:r w:rsidR="00873DA9">
            <w:t>5</w:t>
          </w:r>
          <w:r>
            <w:t xml:space="preserve"> MW </w:t>
          </w:r>
          <w:proofErr w:type="gramStart"/>
          <w:r>
            <w:t>was</w:t>
          </w:r>
          <w:proofErr w:type="gramEnd"/>
          <w:r>
            <w:t xml:space="preserve"> rebid unavailable during the afternoon.</w:t>
          </w:r>
        </w:p>
        <w:p w:rsidR="00EF4EF4" w:rsidRDefault="00947DA7" w:rsidP="00947DA7">
          <w:pPr>
            <w:pStyle w:val="AERBody"/>
          </w:pPr>
          <w:r>
            <w:fldChar w:fldCharType="begin"/>
          </w:r>
          <w:r>
            <w:instrText xml:space="preserve"> REF _Ref479773402 \h </w:instrText>
          </w:r>
          <w:r>
            <w:fldChar w:fldCharType="separate"/>
          </w:r>
          <w:r w:rsidR="005B5767">
            <w:t xml:space="preserve">Table </w:t>
          </w:r>
          <w:r w:rsidR="005B5767">
            <w:rPr>
              <w:noProof/>
            </w:rPr>
            <w:t>4</w:t>
          </w:r>
          <w:r>
            <w:fldChar w:fldCharType="end"/>
          </w:r>
          <w:r>
            <w:t xml:space="preserve"> </w:t>
          </w:r>
          <w:r w:rsidR="00EF4EF4">
            <w:t xml:space="preserve">lists the </w:t>
          </w:r>
          <w:r w:rsidR="00386435">
            <w:t xml:space="preserve">major </w:t>
          </w:r>
          <w:r w:rsidR="00B42AC6">
            <w:t>change</w:t>
          </w:r>
          <w:r w:rsidR="00386435">
            <w:t xml:space="preserve">s </w:t>
          </w:r>
          <w:r w:rsidR="00B42AC6">
            <w:t>to</w:t>
          </w:r>
          <w:r w:rsidR="00386435">
            <w:t xml:space="preserve"> capacity from </w:t>
          </w:r>
          <w:r w:rsidR="00EF4EF4">
            <w:t xml:space="preserve">generators that were unavailable </w:t>
          </w:r>
          <w:r w:rsidR="00596CD8">
            <w:t>for the high priced periods</w:t>
          </w:r>
          <w:r>
            <w:t xml:space="preserve"> and their cause. </w:t>
          </w:r>
        </w:p>
        <w:p w:rsidR="00947DA7" w:rsidRDefault="00947DA7" w:rsidP="00947DA7">
          <w:pPr>
            <w:pStyle w:val="Caption"/>
          </w:pPr>
          <w:bookmarkStart w:id="19" w:name="_Ref479773402"/>
          <w:r>
            <w:t xml:space="preserve">Table </w:t>
          </w:r>
          <w:fldSimple w:instr=" SEQ Table \* ARABIC ">
            <w:r w:rsidR="005B5767">
              <w:rPr>
                <w:noProof/>
              </w:rPr>
              <w:t>4</w:t>
            </w:r>
          </w:fldSimple>
          <w:bookmarkEnd w:id="19"/>
          <w:r>
            <w:t xml:space="preserve">: </w:t>
          </w:r>
          <w:r w:rsidRPr="00C11BC4">
            <w:t>Generation unavailable</w:t>
          </w:r>
        </w:p>
        <w:tbl>
          <w:tblPr>
            <w:tblStyle w:val="AERsummarytable"/>
            <w:tblW w:w="0" w:type="auto"/>
            <w:tblLook w:val="04A0" w:firstRow="1" w:lastRow="0" w:firstColumn="1" w:lastColumn="0" w:noHBand="0" w:noVBand="1"/>
          </w:tblPr>
          <w:tblGrid>
            <w:gridCol w:w="2215"/>
            <w:gridCol w:w="1579"/>
            <w:gridCol w:w="1276"/>
            <w:gridCol w:w="3685"/>
          </w:tblGrid>
          <w:tr w:rsidR="007C5A34" w:rsidRPr="00660E8C" w:rsidTr="00803C11">
            <w:trPr>
              <w:cnfStyle w:val="100000000000" w:firstRow="1" w:lastRow="0" w:firstColumn="0" w:lastColumn="0" w:oddVBand="0" w:evenVBand="0" w:oddHBand="0" w:evenHBand="0" w:firstRowFirstColumn="0" w:firstRowLastColumn="0" w:lastRowFirstColumn="0" w:lastRowLastColumn="0"/>
              <w:tblHeader/>
            </w:trPr>
            <w:tc>
              <w:tcPr>
                <w:tcW w:w="2215" w:type="dxa"/>
              </w:tcPr>
              <w:p w:rsidR="007C5A34" w:rsidRPr="002B60A5" w:rsidRDefault="007C5A34" w:rsidP="00F109C7">
                <w:pPr>
                  <w:pStyle w:val="TableHeading"/>
                </w:pPr>
                <w:r w:rsidRPr="002B60A5">
                  <w:rPr>
                    <w:rStyle w:val="a531"/>
                    <w:rFonts w:cstheme="minorBidi"/>
                    <w:color w:val="FFFFFF" w:themeColor="background1"/>
                    <w:sz w:val="20"/>
                    <w:szCs w:val="20"/>
                  </w:rPr>
                  <w:t>Generating unit</w:t>
                </w:r>
              </w:p>
            </w:tc>
            <w:tc>
              <w:tcPr>
                <w:tcW w:w="1579" w:type="dxa"/>
              </w:tcPr>
              <w:p w:rsidR="007C5A34" w:rsidRPr="007C5A34" w:rsidRDefault="007C5A34" w:rsidP="00F109C7">
                <w:pPr>
                  <w:pStyle w:val="TableHeading"/>
                </w:pPr>
                <w:r w:rsidRPr="007C5A34">
                  <w:t>Unavailable capacity (MW)</w:t>
                </w:r>
              </w:p>
            </w:tc>
            <w:tc>
              <w:tcPr>
                <w:tcW w:w="1276" w:type="dxa"/>
              </w:tcPr>
              <w:p w:rsidR="007C5A34" w:rsidRPr="00367987" w:rsidRDefault="00AA25BA" w:rsidP="007C5A34">
                <w:pPr>
                  <w:pStyle w:val="TableHeading"/>
                </w:pPr>
                <w:r>
                  <w:t>Time re</w:t>
                </w:r>
                <w:r w:rsidR="007C5A34" w:rsidRPr="00367987">
                  <w:t>bid</w:t>
                </w:r>
              </w:p>
            </w:tc>
            <w:tc>
              <w:tcPr>
                <w:tcW w:w="3685" w:type="dxa"/>
              </w:tcPr>
              <w:p w:rsidR="007C5A34" w:rsidRPr="007C5A34" w:rsidRDefault="007C5A34" w:rsidP="00F109C7">
                <w:pPr>
                  <w:pStyle w:val="TableHeading"/>
                </w:pPr>
                <w:r w:rsidRPr="007C5A34">
                  <w:t>Reason</w:t>
                </w:r>
              </w:p>
            </w:tc>
          </w:tr>
          <w:tr w:rsidR="007C5A34" w:rsidTr="00803C11">
            <w:trPr>
              <w:cnfStyle w:val="000000100000" w:firstRow="0" w:lastRow="0" w:firstColumn="0" w:lastColumn="0" w:oddVBand="0" w:evenVBand="0" w:oddHBand="1" w:evenHBand="0" w:firstRowFirstColumn="0" w:firstRowLastColumn="0" w:lastRowFirstColumn="0" w:lastRowLastColumn="0"/>
            </w:trPr>
            <w:tc>
              <w:tcPr>
                <w:tcW w:w="2215" w:type="dxa"/>
              </w:tcPr>
              <w:p w:rsidR="007C5A34" w:rsidRPr="00CC709A" w:rsidRDefault="007C5A34" w:rsidP="00F109C7">
                <w:pPr>
                  <w:pStyle w:val="tablebodycentered"/>
                  <w:rPr>
                    <w:lang w:eastAsia="en-AU"/>
                  </w:rPr>
                </w:pPr>
                <w:r>
                  <w:rPr>
                    <w:lang w:eastAsia="en-AU"/>
                  </w:rPr>
                  <w:t>Pelican Point Gas turbine unit 2</w:t>
                </w:r>
              </w:p>
            </w:tc>
            <w:tc>
              <w:tcPr>
                <w:tcW w:w="1579" w:type="dxa"/>
              </w:tcPr>
              <w:p w:rsidR="007C5A34" w:rsidRPr="006A740B" w:rsidRDefault="007C5A34" w:rsidP="00F109C7">
                <w:pPr>
                  <w:pStyle w:val="tablebodycentered"/>
                  <w:rPr>
                    <w:lang w:eastAsia="en-AU"/>
                  </w:rPr>
                </w:pPr>
                <w:r>
                  <w:rPr>
                    <w:lang w:eastAsia="en-AU"/>
                  </w:rPr>
                  <w:t>235</w:t>
                </w:r>
              </w:p>
            </w:tc>
            <w:tc>
              <w:tcPr>
                <w:tcW w:w="1276" w:type="dxa"/>
              </w:tcPr>
              <w:p w:rsidR="007C5A34" w:rsidRDefault="007C5A34" w:rsidP="00F109C7">
                <w:pPr>
                  <w:pStyle w:val="tablebodycentered"/>
                  <w:rPr>
                    <w:lang w:eastAsia="en-AU"/>
                  </w:rPr>
                </w:pPr>
                <w:r>
                  <w:rPr>
                    <w:lang w:eastAsia="en-AU"/>
                  </w:rPr>
                  <w:t>-</w:t>
                </w:r>
              </w:p>
            </w:tc>
            <w:tc>
              <w:tcPr>
                <w:tcW w:w="3685" w:type="dxa"/>
              </w:tcPr>
              <w:p w:rsidR="007C5A34" w:rsidRPr="00CC709A" w:rsidRDefault="007C5A34" w:rsidP="00F109C7">
                <w:pPr>
                  <w:pStyle w:val="tablebodycentered"/>
                  <w:rPr>
                    <w:lang w:eastAsia="en-AU"/>
                  </w:rPr>
                </w:pPr>
                <w:r>
                  <w:rPr>
                    <w:lang w:eastAsia="en-AU"/>
                  </w:rPr>
                  <w:t>Mothballed – require four hours to start</w:t>
                </w:r>
              </w:p>
            </w:tc>
          </w:tr>
          <w:tr w:rsidR="007C5A34" w:rsidTr="00803C11">
            <w:trPr>
              <w:cnfStyle w:val="000000010000" w:firstRow="0" w:lastRow="0" w:firstColumn="0" w:lastColumn="0" w:oddVBand="0" w:evenVBand="0" w:oddHBand="0" w:evenHBand="1" w:firstRowFirstColumn="0" w:firstRowLastColumn="0" w:lastRowFirstColumn="0" w:lastRowLastColumn="0"/>
            </w:trPr>
            <w:tc>
              <w:tcPr>
                <w:tcW w:w="2215" w:type="dxa"/>
              </w:tcPr>
              <w:p w:rsidR="007C5A34" w:rsidRPr="00CC709A" w:rsidRDefault="007C5A34" w:rsidP="00F109C7">
                <w:pPr>
                  <w:pStyle w:val="tablebodycentered"/>
                  <w:rPr>
                    <w:lang w:eastAsia="en-AU"/>
                  </w:rPr>
                </w:pPr>
                <w:r>
                  <w:rPr>
                    <w:lang w:eastAsia="en-AU"/>
                  </w:rPr>
                  <w:lastRenderedPageBreak/>
                  <w:t>Torrens Island A1</w:t>
                </w:r>
              </w:p>
            </w:tc>
            <w:tc>
              <w:tcPr>
                <w:tcW w:w="1579" w:type="dxa"/>
              </w:tcPr>
              <w:p w:rsidR="007C5A34" w:rsidRPr="006A740B" w:rsidRDefault="007C5A34" w:rsidP="00F109C7">
                <w:pPr>
                  <w:pStyle w:val="tablebodycentered"/>
                  <w:rPr>
                    <w:lang w:eastAsia="en-AU"/>
                  </w:rPr>
                </w:pPr>
                <w:r w:rsidRPr="006A740B">
                  <w:rPr>
                    <w:lang w:eastAsia="en-AU"/>
                  </w:rPr>
                  <w:t>120</w:t>
                </w:r>
              </w:p>
            </w:tc>
            <w:tc>
              <w:tcPr>
                <w:tcW w:w="1276" w:type="dxa"/>
              </w:tcPr>
              <w:p w:rsidR="007C5A34" w:rsidRDefault="007C5A34" w:rsidP="00F109C7">
                <w:pPr>
                  <w:pStyle w:val="tablebodycentered"/>
                  <w:rPr>
                    <w:lang w:eastAsia="en-AU"/>
                  </w:rPr>
                </w:pPr>
                <w:r>
                  <w:rPr>
                    <w:lang w:eastAsia="en-AU"/>
                  </w:rPr>
                  <w:t>-</w:t>
                </w:r>
              </w:p>
            </w:tc>
            <w:tc>
              <w:tcPr>
                <w:tcW w:w="3685" w:type="dxa"/>
              </w:tcPr>
              <w:p w:rsidR="007C5A34" w:rsidRPr="00CC709A" w:rsidRDefault="007C5A34" w:rsidP="00F109C7">
                <w:pPr>
                  <w:pStyle w:val="tablebodycentered"/>
                  <w:rPr>
                    <w:lang w:eastAsia="en-AU"/>
                  </w:rPr>
                </w:pPr>
                <w:r>
                  <w:rPr>
                    <w:lang w:eastAsia="en-AU"/>
                  </w:rPr>
                  <w:t>Long term outage – boiler tube leak</w:t>
                </w:r>
              </w:p>
            </w:tc>
          </w:tr>
          <w:tr w:rsidR="007C5A34" w:rsidTr="00803C11">
            <w:trPr>
              <w:cnfStyle w:val="000000100000" w:firstRow="0" w:lastRow="0" w:firstColumn="0" w:lastColumn="0" w:oddVBand="0" w:evenVBand="0" w:oddHBand="1" w:evenHBand="0" w:firstRowFirstColumn="0" w:firstRowLastColumn="0" w:lastRowFirstColumn="0" w:lastRowLastColumn="0"/>
            </w:trPr>
            <w:tc>
              <w:tcPr>
                <w:tcW w:w="2215" w:type="dxa"/>
              </w:tcPr>
              <w:p w:rsidR="007C5A34" w:rsidRDefault="007C5A34" w:rsidP="00F109C7">
                <w:pPr>
                  <w:pStyle w:val="tablebodycentered"/>
                  <w:rPr>
                    <w:lang w:eastAsia="en-AU"/>
                  </w:rPr>
                </w:pPr>
                <w:r>
                  <w:rPr>
                    <w:lang w:eastAsia="en-AU"/>
                  </w:rPr>
                  <w:t>Port Lincoln</w:t>
                </w:r>
              </w:p>
            </w:tc>
            <w:tc>
              <w:tcPr>
                <w:tcW w:w="1579" w:type="dxa"/>
              </w:tcPr>
              <w:p w:rsidR="007C5A34" w:rsidRPr="006A740B" w:rsidRDefault="007C5A34" w:rsidP="00F109C7">
                <w:pPr>
                  <w:pStyle w:val="tablebodycentered"/>
                  <w:rPr>
                    <w:lang w:eastAsia="en-AU"/>
                  </w:rPr>
                </w:pPr>
                <w:r>
                  <w:rPr>
                    <w:lang w:eastAsia="en-AU"/>
                  </w:rPr>
                  <w:t>55</w:t>
                </w:r>
              </w:p>
            </w:tc>
            <w:tc>
              <w:tcPr>
                <w:tcW w:w="1276" w:type="dxa"/>
              </w:tcPr>
              <w:p w:rsidR="007C5A34" w:rsidRDefault="007C5A34" w:rsidP="00F109C7">
                <w:pPr>
                  <w:pStyle w:val="tablebodycentered"/>
                  <w:rPr>
                    <w:lang w:eastAsia="en-AU"/>
                  </w:rPr>
                </w:pPr>
                <w:r>
                  <w:rPr>
                    <w:lang w:eastAsia="en-AU"/>
                  </w:rPr>
                  <w:t>3.53 pm</w:t>
                </w:r>
              </w:p>
            </w:tc>
            <w:tc>
              <w:tcPr>
                <w:tcW w:w="3685" w:type="dxa"/>
              </w:tcPr>
              <w:p w:rsidR="007C5A34" w:rsidRDefault="007C5A34" w:rsidP="00F109C7">
                <w:pPr>
                  <w:pStyle w:val="tablebodycentered"/>
                  <w:rPr>
                    <w:lang w:eastAsia="en-AU"/>
                  </w:rPr>
                </w:pPr>
                <w:r>
                  <w:rPr>
                    <w:lang w:eastAsia="en-AU"/>
                  </w:rPr>
                  <w:t>Rebid unavailable due to technical issues in the network</w:t>
                </w:r>
              </w:p>
            </w:tc>
          </w:tr>
          <w:tr w:rsidR="007C5A34" w:rsidTr="00803C11">
            <w:trPr>
              <w:cnfStyle w:val="000000010000" w:firstRow="0" w:lastRow="0" w:firstColumn="0" w:lastColumn="0" w:oddVBand="0" w:evenVBand="0" w:oddHBand="0" w:evenHBand="1" w:firstRowFirstColumn="0" w:firstRowLastColumn="0" w:lastRowFirstColumn="0" w:lastRowLastColumn="0"/>
            </w:trPr>
            <w:tc>
              <w:tcPr>
                <w:tcW w:w="2215" w:type="dxa"/>
              </w:tcPr>
              <w:p w:rsidR="007C5A34" w:rsidRDefault="007C5A34" w:rsidP="00A772B1">
                <w:pPr>
                  <w:pStyle w:val="tablebodycentered"/>
                  <w:rPr>
                    <w:lang w:eastAsia="en-AU"/>
                  </w:rPr>
                </w:pPr>
                <w:r>
                  <w:rPr>
                    <w:lang w:eastAsia="en-AU"/>
                  </w:rPr>
                  <w:t>Torrens Island A3 and B1 and B</w:t>
                </w:r>
                <w:r w:rsidR="00A772B1">
                  <w:rPr>
                    <w:lang w:eastAsia="en-AU"/>
                  </w:rPr>
                  <w:t>2</w:t>
                </w:r>
              </w:p>
            </w:tc>
            <w:tc>
              <w:tcPr>
                <w:tcW w:w="1579" w:type="dxa"/>
              </w:tcPr>
              <w:p w:rsidR="007C5A34" w:rsidRPr="006A740B" w:rsidRDefault="00A772B1" w:rsidP="00F109C7">
                <w:pPr>
                  <w:pStyle w:val="tablebodycentered"/>
                  <w:rPr>
                    <w:lang w:eastAsia="en-AU"/>
                  </w:rPr>
                </w:pPr>
                <w:r>
                  <w:rPr>
                    <w:lang w:eastAsia="en-AU"/>
                  </w:rPr>
                  <w:t>4</w:t>
                </w:r>
                <w:r w:rsidR="007C5A34">
                  <w:rPr>
                    <w:lang w:eastAsia="en-AU"/>
                  </w:rPr>
                  <w:t>0</w:t>
                </w:r>
              </w:p>
            </w:tc>
            <w:tc>
              <w:tcPr>
                <w:tcW w:w="1276" w:type="dxa"/>
              </w:tcPr>
              <w:p w:rsidR="007C5A34" w:rsidRDefault="00386435" w:rsidP="00386435">
                <w:pPr>
                  <w:pStyle w:val="tablebodycentered"/>
                  <w:rPr>
                    <w:lang w:eastAsia="en-AU"/>
                  </w:rPr>
                </w:pPr>
                <w:r>
                  <w:rPr>
                    <w:lang w:eastAsia="en-AU"/>
                  </w:rPr>
                  <w:t xml:space="preserve">Various from 3 pm </w:t>
                </w:r>
              </w:p>
            </w:tc>
            <w:tc>
              <w:tcPr>
                <w:tcW w:w="3685" w:type="dxa"/>
              </w:tcPr>
              <w:p w:rsidR="007C5A34" w:rsidRDefault="007C5A34" w:rsidP="00F109C7">
                <w:pPr>
                  <w:pStyle w:val="tablebodycentered"/>
                  <w:rPr>
                    <w:lang w:eastAsia="en-AU"/>
                  </w:rPr>
                </w:pPr>
                <w:r>
                  <w:rPr>
                    <w:lang w:eastAsia="en-AU"/>
                  </w:rPr>
                  <w:t>Rebid unavailable due to unexpected plant issues</w:t>
                </w:r>
              </w:p>
            </w:tc>
          </w:tr>
          <w:tr w:rsidR="007C5A34" w:rsidTr="00803C11">
            <w:trPr>
              <w:cnfStyle w:val="000000100000" w:firstRow="0" w:lastRow="0" w:firstColumn="0" w:lastColumn="0" w:oddVBand="0" w:evenVBand="0" w:oddHBand="1" w:evenHBand="0" w:firstRowFirstColumn="0" w:firstRowLastColumn="0" w:lastRowFirstColumn="0" w:lastRowLastColumn="0"/>
            </w:trPr>
            <w:tc>
              <w:tcPr>
                <w:tcW w:w="2215" w:type="dxa"/>
              </w:tcPr>
              <w:p w:rsidR="007C5A34" w:rsidRDefault="007C5A34" w:rsidP="00F109C7">
                <w:pPr>
                  <w:pStyle w:val="tablebodycentered"/>
                  <w:rPr>
                    <w:lang w:eastAsia="en-AU"/>
                  </w:rPr>
                </w:pPr>
                <w:r>
                  <w:rPr>
                    <w:lang w:eastAsia="en-AU"/>
                  </w:rPr>
                  <w:t>Quarantine 4</w:t>
                </w:r>
              </w:p>
            </w:tc>
            <w:tc>
              <w:tcPr>
                <w:tcW w:w="1579" w:type="dxa"/>
              </w:tcPr>
              <w:p w:rsidR="007C5A34" w:rsidRDefault="007C5A34" w:rsidP="00F109C7">
                <w:pPr>
                  <w:pStyle w:val="tablebodycentered"/>
                  <w:rPr>
                    <w:lang w:eastAsia="en-AU"/>
                  </w:rPr>
                </w:pPr>
                <w:r>
                  <w:rPr>
                    <w:lang w:eastAsia="en-AU"/>
                  </w:rPr>
                  <w:t>20</w:t>
                </w:r>
              </w:p>
            </w:tc>
            <w:tc>
              <w:tcPr>
                <w:tcW w:w="1276" w:type="dxa"/>
              </w:tcPr>
              <w:p w:rsidR="007C5A34" w:rsidRDefault="007C5A34" w:rsidP="00F109C7">
                <w:pPr>
                  <w:pStyle w:val="tablebodycentered"/>
                  <w:rPr>
                    <w:lang w:eastAsia="en-AU"/>
                  </w:rPr>
                </w:pPr>
                <w:r>
                  <w:rPr>
                    <w:lang w:eastAsia="en-AU"/>
                  </w:rPr>
                  <w:t>5.20 pm</w:t>
                </w:r>
              </w:p>
            </w:tc>
            <w:tc>
              <w:tcPr>
                <w:tcW w:w="3685" w:type="dxa"/>
              </w:tcPr>
              <w:p w:rsidR="007C5A34" w:rsidRDefault="007C5A34" w:rsidP="00F109C7">
                <w:pPr>
                  <w:pStyle w:val="tablebodycentered"/>
                  <w:rPr>
                    <w:lang w:eastAsia="en-AU"/>
                  </w:rPr>
                </w:pPr>
                <w:r>
                  <w:rPr>
                    <w:lang w:eastAsia="en-AU"/>
                  </w:rPr>
                  <w:t>Rebid unavailable to manage fuel/line</w:t>
                </w:r>
                <w:r w:rsidR="0026241D">
                  <w:rPr>
                    <w:lang w:eastAsia="en-AU"/>
                  </w:rPr>
                  <w:t>-</w:t>
                </w:r>
                <w:r>
                  <w:rPr>
                    <w:lang w:eastAsia="en-AU"/>
                  </w:rPr>
                  <w:t>pack</w:t>
                </w:r>
              </w:p>
            </w:tc>
          </w:tr>
        </w:tbl>
        <w:p w:rsidR="00367987" w:rsidRDefault="00EF4EF4" w:rsidP="00367987">
          <w:pPr>
            <w:rPr>
              <w:rFonts w:asciiTheme="minorHAnsi" w:hAnsiTheme="minorHAnsi"/>
              <w:color w:val="70635A" w:themeColor="dark2"/>
            </w:rPr>
          </w:pPr>
          <w:r>
            <w:t>Pelica</w:t>
          </w:r>
          <w:r w:rsidR="00A62D4D">
            <w:t xml:space="preserve">n </w:t>
          </w:r>
          <w:r w:rsidR="004E6763">
            <w:t xml:space="preserve">Point Power Station </w:t>
          </w:r>
          <w:r w:rsidR="00A62D4D">
            <w:t xml:space="preserve">comprises </w:t>
          </w:r>
          <w:r>
            <w:t>t</w:t>
          </w:r>
          <w:r w:rsidR="00A62D4D">
            <w:t>wo</w:t>
          </w:r>
          <w:r>
            <w:t xml:space="preserve"> 160 MW gas turbines and a</w:t>
          </w:r>
          <w:r w:rsidR="00A62D4D">
            <w:t xml:space="preserve"> secondary</w:t>
          </w:r>
          <w:r>
            <w:t xml:space="preserve"> 158 MW steam turbine</w:t>
          </w:r>
          <w:r w:rsidR="00A62D4D">
            <w:t xml:space="preserve"> that </w:t>
          </w:r>
          <w:r w:rsidR="00FE00F1">
            <w:t xml:space="preserve">recovers </w:t>
          </w:r>
          <w:r w:rsidR="00A62D4D">
            <w:t>waste heat from the gas generation</w:t>
          </w:r>
          <w:r w:rsidR="00083F0F">
            <w:t xml:space="preserve"> for a total of almost 470</w:t>
          </w:r>
          <w:r w:rsidR="00FE00F1">
            <w:t> </w:t>
          </w:r>
          <w:r w:rsidR="00083F0F">
            <w:t>MW</w:t>
          </w:r>
          <w:r>
            <w:t>.</w:t>
          </w:r>
          <w:r w:rsidRPr="00C91558">
            <w:t xml:space="preserve"> </w:t>
          </w:r>
          <w:r>
            <w:t xml:space="preserve">Pelican Point </w:t>
          </w:r>
          <w:r w:rsidR="00083F0F">
            <w:t>can be configured to operate with one gas turbine and half the steam</w:t>
          </w:r>
          <w:r w:rsidR="00FE00F1">
            <w:t xml:space="preserve"> turbine for a total of 235 MW. </w:t>
          </w:r>
          <w:r w:rsidR="00083F0F">
            <w:t xml:space="preserve">Pelican Point </w:t>
          </w:r>
          <w:r w:rsidR="00596CD8">
            <w:t xml:space="preserve">has nominally mothballed </w:t>
          </w:r>
          <w:r w:rsidR="00A700F7">
            <w:t xml:space="preserve">part of the station </w:t>
          </w:r>
          <w:r w:rsidR="00A62D4D">
            <w:t xml:space="preserve">(235 MW capacity of combined gas and steam generation) </w:t>
          </w:r>
          <w:r w:rsidR="00596CD8">
            <w:t xml:space="preserve">since 2014 </w:t>
          </w:r>
          <w:r w:rsidR="00083F0F">
            <w:t xml:space="preserve">based on commercial drivers </w:t>
          </w:r>
          <w:r w:rsidR="00596CD8">
            <w:t>on the understanding that</w:t>
          </w:r>
          <w:r w:rsidR="00FE00F1">
            <w:t>,</w:t>
          </w:r>
          <w:r w:rsidR="00596CD8">
            <w:t xml:space="preserve"> </w:t>
          </w:r>
          <w:r w:rsidR="00083F0F">
            <w:t xml:space="preserve">if required </w:t>
          </w:r>
          <w:r w:rsidR="00596CD8">
            <w:t xml:space="preserve">given </w:t>
          </w:r>
          <w:r w:rsidR="00FE00F1">
            <w:t>four</w:t>
          </w:r>
          <w:r w:rsidR="00596CD8">
            <w:t xml:space="preserve"> </w:t>
          </w:r>
          <w:proofErr w:type="spellStart"/>
          <w:r w:rsidR="00FE00F1">
            <w:t>hours notice</w:t>
          </w:r>
          <w:proofErr w:type="spellEnd"/>
          <w:r w:rsidR="00FE00F1">
            <w:t>,</w:t>
          </w:r>
          <w:r w:rsidR="00596CD8">
            <w:t xml:space="preserve"> it could return to service</w:t>
          </w:r>
          <w:r w:rsidR="00083F0F">
            <w:t xml:space="preserve">. Pelican Point </w:t>
          </w:r>
          <w:r w:rsidR="00596CD8">
            <w:t>has rarely operated at full c</w:t>
          </w:r>
          <w:r w:rsidR="009C609C">
            <w:t xml:space="preserve">apacity </w:t>
          </w:r>
          <w:r w:rsidR="00083F0F">
            <w:t xml:space="preserve">over </w:t>
          </w:r>
          <w:r w:rsidR="009C609C">
            <w:t>the past two years.</w:t>
          </w:r>
          <w:r w:rsidR="009C609C">
            <w:rPr>
              <w:rStyle w:val="FootnoteReference"/>
            </w:rPr>
            <w:footnoteReference w:id="7"/>
          </w:r>
          <w:r w:rsidR="00BE0432">
            <w:t>-</w:t>
          </w:r>
          <w:r>
            <w:rPr>
              <w:rStyle w:val="FootnoteReference"/>
            </w:rPr>
            <w:footnoteReference w:id="8"/>
          </w:r>
          <w:r w:rsidR="00590D64">
            <w:t xml:space="preserve"> </w:t>
          </w:r>
          <w:r w:rsidR="00730D87">
            <w:t>The AER is assessing w</w:t>
          </w:r>
          <w:r w:rsidR="00AA25BA">
            <w:t>h</w:t>
          </w:r>
          <w:r w:rsidR="00730D87">
            <w:t>ether g</w:t>
          </w:r>
          <w:r w:rsidR="00367987">
            <w:t>enerator reporting obligations r</w:t>
          </w:r>
          <w:r w:rsidR="00730D87">
            <w:t>egarding declaring availability on the day was consistent with the Rules</w:t>
          </w:r>
          <w:r w:rsidR="00367987">
            <w:t>.</w:t>
          </w:r>
        </w:p>
        <w:p w:rsidR="00EF4EF4" w:rsidRDefault="00EF4EF4" w:rsidP="00EF4EF4">
          <w:pPr>
            <w:pStyle w:val="AERBody"/>
          </w:pPr>
          <w:r>
            <w:t xml:space="preserve">Torrens Island unit A1 was offline </w:t>
          </w:r>
          <w:r w:rsidR="00BE0432">
            <w:t>due to a</w:t>
          </w:r>
          <w:r>
            <w:t xml:space="preserve"> forced outage following a plant failure on 6 February</w:t>
          </w:r>
          <w:r w:rsidR="002837C6">
            <w:t xml:space="preserve"> 2017</w:t>
          </w:r>
          <w:r>
            <w:t>.</w:t>
          </w:r>
          <w:bookmarkStart w:id="20" w:name="_GoBack"/>
          <w:bookmarkEnd w:id="20"/>
        </w:p>
        <w:p w:rsidR="00EF4EF4" w:rsidRDefault="00A772B1" w:rsidP="00EF4EF4">
          <w:pPr>
            <w:pStyle w:val="AERBody"/>
          </w:pPr>
          <w:r>
            <w:t>By</w:t>
          </w:r>
          <w:r w:rsidR="008E2AF7">
            <w:t xml:space="preserve"> around 4</w:t>
          </w:r>
          <w:r>
            <w:t>.50</w:t>
          </w:r>
          <w:r w:rsidR="008E2AF7">
            <w:t> pm two other generators</w:t>
          </w:r>
          <w:r w:rsidR="002837C6">
            <w:t>:</w:t>
          </w:r>
          <w:r w:rsidR="008E2AF7">
            <w:t xml:space="preserve"> </w:t>
          </w:r>
          <w:r w:rsidR="00B32BDF">
            <w:t>Torrens Island</w:t>
          </w:r>
          <w:r w:rsidR="00D97F02">
            <w:t xml:space="preserve"> </w:t>
          </w:r>
          <w:r w:rsidR="00B32BDF">
            <w:t>and Port Lincoln</w:t>
          </w:r>
          <w:r w:rsidR="008E2AF7">
            <w:t xml:space="preserve"> reduced </w:t>
          </w:r>
          <w:r w:rsidR="00B32BDF">
            <w:t xml:space="preserve">their </w:t>
          </w:r>
          <w:r w:rsidR="00790610">
            <w:t xml:space="preserve">available </w:t>
          </w:r>
          <w:r w:rsidR="00B32BDF">
            <w:t>capacity b</w:t>
          </w:r>
          <w:r w:rsidR="00D97F02">
            <w:t xml:space="preserve">y </w:t>
          </w:r>
          <w:r>
            <w:t>4</w:t>
          </w:r>
          <w:r w:rsidR="002837C6">
            <w:t>0</w:t>
          </w:r>
          <w:r>
            <w:t xml:space="preserve"> </w:t>
          </w:r>
          <w:r w:rsidR="002837C6">
            <w:t>and 55 MW respectively and after 5.15 pm Quarantine 4 reduced its available capacity by 20 MW</w:t>
          </w:r>
          <w:r w:rsidR="00660E8C">
            <w:t>, making</w:t>
          </w:r>
          <w:r w:rsidR="002837C6">
            <w:t xml:space="preserve"> </w:t>
          </w:r>
          <w:r>
            <w:t>a total of 11</w:t>
          </w:r>
          <w:r w:rsidR="00D97F02">
            <w:t>5</w:t>
          </w:r>
          <w:r w:rsidR="00B32BDF">
            <w:t xml:space="preserve"> MW </w:t>
          </w:r>
          <w:r w:rsidR="00660E8C">
            <w:t xml:space="preserve">withdrawn </w:t>
          </w:r>
          <w:r w:rsidR="008E2AF7">
            <w:t xml:space="preserve">as a result of </w:t>
          </w:r>
          <w:r w:rsidR="00B32BDF">
            <w:t xml:space="preserve">unexpected </w:t>
          </w:r>
          <w:r w:rsidR="008E2AF7">
            <w:t>plant issues</w:t>
          </w:r>
          <w:r w:rsidR="00790610">
            <w:t>,</w:t>
          </w:r>
          <w:r w:rsidR="008E2AF7">
            <w:t xml:space="preserve"> </w:t>
          </w:r>
          <w:r w:rsidR="00790610">
            <w:t xml:space="preserve">some of which </w:t>
          </w:r>
          <w:r w:rsidR="00EF4EF4">
            <w:t>relat</w:t>
          </w:r>
          <w:r w:rsidR="00790610">
            <w:t>ed</w:t>
          </w:r>
          <w:r w:rsidR="00EF4EF4">
            <w:t xml:space="preserve"> to the high ambient temperature</w:t>
          </w:r>
          <w:r w:rsidR="008E2AF7">
            <w:t>s</w:t>
          </w:r>
          <w:r w:rsidR="00790610">
            <w:t>,</w:t>
          </w:r>
          <w:r w:rsidR="00C9602B">
            <w:t xml:space="preserve"> and issues in the transmission network</w:t>
          </w:r>
          <w:r w:rsidR="00EF4EF4">
            <w:t xml:space="preserve">. </w:t>
          </w:r>
        </w:p>
        <w:p w:rsidR="00EF4EF4" w:rsidRDefault="00B32BDF" w:rsidP="00B32BDF">
          <w:pPr>
            <w:pStyle w:val="Bulletpoint"/>
            <w:numPr>
              <w:ilvl w:val="0"/>
              <w:numId w:val="0"/>
            </w:numPr>
            <w:ind w:left="360" w:hanging="360"/>
          </w:pPr>
          <w:r>
            <w:t>D</w:t>
          </w:r>
          <w:r w:rsidR="00EF4EF4">
            <w:t xml:space="preserve">etails </w:t>
          </w:r>
          <w:r>
            <w:t>of</w:t>
          </w:r>
          <w:r w:rsidR="00EF4EF4">
            <w:t xml:space="preserve"> the rebids can be found in Appendix A.</w:t>
          </w:r>
        </w:p>
        <w:p w:rsidR="00891250" w:rsidRDefault="00891250" w:rsidP="00891250">
          <w:pPr>
            <w:pStyle w:val="Heading4"/>
          </w:pPr>
          <w:r>
            <w:t>Wind generation in South Australia</w:t>
          </w:r>
        </w:p>
        <w:p w:rsidR="00891250" w:rsidRDefault="00891250" w:rsidP="00891250">
          <w:pPr>
            <w:pStyle w:val="AERBody"/>
          </w:pPr>
          <w:r>
            <w:t>The level of generation from semi-scheduled and non-scheduled wind generators is forecast in a system known as the Australian Wind Energy Forecasting System (AWEFS).</w:t>
          </w:r>
          <w:r w:rsidR="00D137F3">
            <w:t xml:space="preserve"> </w:t>
          </w:r>
          <w:r>
            <w:t xml:space="preserve">Forecasts from this system are produced regularly throughout the day </w:t>
          </w:r>
          <w:r w:rsidR="00A700F7">
            <w:t xml:space="preserve">by AEMO </w:t>
          </w:r>
          <w:r>
            <w:t xml:space="preserve">on both a 5 minute resolution for the next hour, and on a half hourly resolution for the remainder of the trading day. </w:t>
          </w:r>
        </w:p>
        <w:p w:rsidR="00891250" w:rsidRDefault="00891250" w:rsidP="00891250">
          <w:pPr>
            <w:pStyle w:val="AERBody"/>
          </w:pPr>
          <w:r>
            <w:t xml:space="preserve">During the evening peak </w:t>
          </w:r>
          <w:r w:rsidR="00BE0432">
            <w:t xml:space="preserve">the </w:t>
          </w:r>
          <w:r>
            <w:t xml:space="preserve">output </w:t>
          </w:r>
          <w:r w:rsidR="00BE0432">
            <w:t xml:space="preserve">of wind generators in South Australia </w:t>
          </w:r>
          <w:r>
            <w:t xml:space="preserve">was up to 137 MW </w:t>
          </w:r>
          <w:r w:rsidR="00A700F7">
            <w:t xml:space="preserve">lower </w:t>
          </w:r>
          <w:r>
            <w:t xml:space="preserve">than what </w:t>
          </w:r>
          <w:r w:rsidR="00A700F7">
            <w:t>was forecast earlier in the day</w:t>
          </w:r>
          <w:r>
            <w:t>. 111 MW was related to semi-scheduled wind and the remaining 26</w:t>
          </w:r>
          <w:r w:rsidR="00730D87">
            <w:t> </w:t>
          </w:r>
          <w:r>
            <w:t xml:space="preserve">MW was related to non-scheduled wind. The lower than forecast semi-scheduled wind output is reflected in the reduction in generation availability. The lower than forecast non-scheduled wind output is reflected as an increase in demand, contributing the demand forecast error as discussed in section </w:t>
          </w:r>
          <w:r w:rsidR="00E34BEA">
            <w:fldChar w:fldCharType="begin"/>
          </w:r>
          <w:r w:rsidR="00E34BEA">
            <w:instrText xml:space="preserve"> REF _Ref479601594 \r \h </w:instrText>
          </w:r>
          <w:r w:rsidR="00E34BEA">
            <w:fldChar w:fldCharType="separate"/>
          </w:r>
          <w:r w:rsidR="005B5767">
            <w:t>3.1.1</w:t>
          </w:r>
          <w:r w:rsidR="00E34BEA">
            <w:fldChar w:fldCharType="end"/>
          </w:r>
          <w:r>
            <w:t>.</w:t>
          </w:r>
        </w:p>
        <w:p w:rsidR="00891250" w:rsidRDefault="0008020A" w:rsidP="00891250">
          <w:pPr>
            <w:pStyle w:val="AERBody"/>
          </w:pPr>
          <w:r>
            <w:lastRenderedPageBreak/>
            <w:fldChar w:fldCharType="begin"/>
          </w:r>
          <w:r>
            <w:instrText xml:space="preserve"> REF _Ref479770064 \h </w:instrText>
          </w:r>
          <w:r>
            <w:fldChar w:fldCharType="separate"/>
          </w:r>
          <w:r w:rsidR="005B5767">
            <w:t xml:space="preserve">Figure </w:t>
          </w:r>
          <w:r w:rsidR="005B5767">
            <w:rPr>
              <w:noProof/>
            </w:rPr>
            <w:t>4</w:t>
          </w:r>
          <w:r>
            <w:fldChar w:fldCharType="end"/>
          </w:r>
          <w:r>
            <w:t xml:space="preserve"> </w:t>
          </w:r>
          <w:r w:rsidR="00891250">
            <w:t xml:space="preserve">shows actual wind output (filled areas) and the </w:t>
          </w:r>
          <w:r>
            <w:t>four</w:t>
          </w:r>
          <w:r w:rsidR="00891250">
            <w:t xml:space="preserve"> hour ahead forecast output (solid lines) for both semi-scheduled and non-scheduled wind. </w:t>
          </w:r>
        </w:p>
        <w:p w:rsidR="00030AFD" w:rsidRDefault="00030AFD" w:rsidP="00030AFD">
          <w:pPr>
            <w:pStyle w:val="Caption"/>
            <w:jc w:val="both"/>
          </w:pPr>
          <w:bookmarkStart w:id="21" w:name="_Ref479770064"/>
          <w:bookmarkStart w:id="22" w:name="_Ref479576431"/>
          <w:r>
            <w:t xml:space="preserve">Figure </w:t>
          </w:r>
          <w:fldSimple w:instr=" SEQ Figure \* ARABIC ">
            <w:r w:rsidR="005B5767">
              <w:rPr>
                <w:noProof/>
              </w:rPr>
              <w:t>4</w:t>
            </w:r>
          </w:fldSimple>
          <w:bookmarkEnd w:id="21"/>
          <w:r>
            <w:t xml:space="preserve">: Semi-scheduled and non-scheduled </w:t>
          </w:r>
          <w:r w:rsidR="00661A17">
            <w:t>four</w:t>
          </w:r>
          <w:r>
            <w:t xml:space="preserve"> hour forecast and actual generation</w:t>
          </w:r>
          <w:bookmarkEnd w:id="22"/>
        </w:p>
        <w:p w:rsidR="00891250" w:rsidRDefault="00891250" w:rsidP="00891250">
          <w:pPr>
            <w:pStyle w:val="AERBody"/>
          </w:pPr>
          <w:r w:rsidRPr="0091090E">
            <w:rPr>
              <w:noProof/>
              <w:lang w:eastAsia="en-AU"/>
            </w:rPr>
            <w:drawing>
              <wp:inline distT="0" distB="0" distL="0" distR="0" wp14:anchorId="1DACABE0" wp14:editId="044A6368">
                <wp:extent cx="5436990" cy="249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9965"/>
                        <a:stretch/>
                      </pic:blipFill>
                      <pic:spPr bwMode="auto">
                        <a:xfrm>
                          <a:off x="0" y="0"/>
                          <a:ext cx="5436235" cy="2495203"/>
                        </a:xfrm>
                        <a:prstGeom prst="rect">
                          <a:avLst/>
                        </a:prstGeom>
                        <a:noFill/>
                        <a:ln>
                          <a:noFill/>
                        </a:ln>
                        <a:extLst>
                          <a:ext uri="{53640926-AAD7-44D8-BBD7-CCE9431645EC}">
                            <a14:shadowObscured xmlns:a14="http://schemas.microsoft.com/office/drawing/2010/main"/>
                          </a:ext>
                        </a:extLst>
                      </pic:spPr>
                    </pic:pic>
                  </a:graphicData>
                </a:graphic>
              </wp:inline>
            </w:drawing>
          </w:r>
        </w:p>
        <w:p w:rsidR="00891250" w:rsidRDefault="00891250" w:rsidP="00891250">
          <w:pPr>
            <w:pStyle w:val="AERBody"/>
          </w:pPr>
          <w:r>
            <w:t xml:space="preserve">For both semi-scheduled and non-scheduled wind </w:t>
          </w:r>
          <w:r w:rsidR="00BE0432">
            <w:t xml:space="preserve">generators, </w:t>
          </w:r>
          <w:r>
            <w:t xml:space="preserve">the actual wind </w:t>
          </w:r>
          <w:r w:rsidR="00BE0432">
            <w:t xml:space="preserve">generation started </w:t>
          </w:r>
          <w:r>
            <w:t xml:space="preserve">higher than forecast earlier in the day and dropped off at a faster rate than forecast </w:t>
          </w:r>
          <w:r w:rsidR="00BE0432">
            <w:t>late</w:t>
          </w:r>
          <w:r w:rsidR="00B776C5">
            <w:t>r in the</w:t>
          </w:r>
          <w:r w:rsidR="00BE0432">
            <w:t xml:space="preserve"> afternoon</w:t>
          </w:r>
          <w:r>
            <w:t>. This can be seen in the steepness of the reduction in the solid sections compared to the steepness of the line and contributed to the forecast error.</w:t>
          </w:r>
          <w:r w:rsidR="0008020A">
            <w:t xml:space="preserve"> This error compounded the overall forecast errors that lead to load shedding and caused high prices.</w:t>
          </w:r>
          <w:r w:rsidR="00316090">
            <w:t xml:space="preserve"> </w:t>
          </w:r>
        </w:p>
        <w:p w:rsidR="00EF4EF4" w:rsidRDefault="00E65BFD" w:rsidP="00EF4EF4">
          <w:pPr>
            <w:pStyle w:val="Heading3"/>
          </w:pPr>
          <w:bookmarkStart w:id="23" w:name="_Toc480971271"/>
          <w:r>
            <w:t xml:space="preserve">Lack of </w:t>
          </w:r>
          <w:r w:rsidR="00EF4EF4">
            <w:t xml:space="preserve">Reserve </w:t>
          </w:r>
          <w:r>
            <w:t>(LOR)</w:t>
          </w:r>
          <w:bookmarkEnd w:id="23"/>
        </w:p>
        <w:p w:rsidR="004F6E06" w:rsidRDefault="004F6E06" w:rsidP="004F6E06">
          <w:pPr>
            <w:pStyle w:val="AERBody"/>
          </w:pPr>
          <w:r>
            <w:t xml:space="preserve">AEMO </w:t>
          </w:r>
          <w:r w:rsidR="00BE0432">
            <w:t xml:space="preserve">is required to </w:t>
          </w:r>
          <w:r>
            <w:t xml:space="preserve">monitor the level of reserve, or spare capacity, within each </w:t>
          </w:r>
          <w:r w:rsidR="00BE0432">
            <w:t>region of the NEM</w:t>
          </w:r>
          <w:r>
            <w:t xml:space="preserve">. Reserves are defined as the difference between the volume of electricity that can be made available to consumers, either by local generation or through the network </w:t>
          </w:r>
          <w:r w:rsidR="00BE0432">
            <w:t>from</w:t>
          </w:r>
          <w:r>
            <w:t xml:space="preserve"> other </w:t>
          </w:r>
          <w:r w:rsidR="00BE0432">
            <w:t>regions of the NEM</w:t>
          </w:r>
          <w:r>
            <w:t>, and the regional customer demand at that time.</w:t>
          </w:r>
        </w:p>
        <w:p w:rsidR="004F6E06" w:rsidRDefault="004F6E06" w:rsidP="004F6E06">
          <w:pPr>
            <w:pStyle w:val="AERBody"/>
            <w:rPr>
              <w:rFonts w:eastAsia="Times New Roman"/>
            </w:rPr>
          </w:pPr>
          <w:r>
            <w:t xml:space="preserve">Reserves are an indicator of the supply demand balance and an important tool to communicate with the market potential and </w:t>
          </w:r>
          <w:r w:rsidR="008511D1">
            <w:t>actual shortfalls. </w:t>
          </w:r>
          <w:r>
            <w:t>This is achieve</w:t>
          </w:r>
          <w:r w:rsidR="008511D1">
            <w:t>d</w:t>
          </w:r>
          <w:r>
            <w:t xml:space="preserve"> through the r</w:t>
          </w:r>
          <w:r w:rsidR="008511D1">
            <w:t xml:space="preserve">elease of LOR notices by AEMO. </w:t>
          </w:r>
          <w:r>
            <w:t xml:space="preserve">Forecast LOR notices are designed to elicit a </w:t>
          </w:r>
          <w:r w:rsidR="00BE0432">
            <w:t xml:space="preserve">market </w:t>
          </w:r>
          <w:r>
            <w:t>response from generators to increase their declared available capacity</w:t>
          </w:r>
          <w:r w:rsidR="00BE0432">
            <w:t xml:space="preserve"> or retailers to reduce demand</w:t>
          </w:r>
          <w:r>
            <w:t xml:space="preserve"> </w:t>
          </w:r>
          <w:r w:rsidR="00BE0432">
            <w:t>to address any</w:t>
          </w:r>
          <w:r>
            <w:t xml:space="preserve"> </w:t>
          </w:r>
          <w:r w:rsidR="00BE0432">
            <w:t xml:space="preserve">forecast </w:t>
          </w:r>
          <w:r>
            <w:t>reserve shortfall</w:t>
          </w:r>
          <w:r w:rsidR="00BE0432">
            <w:t>s</w:t>
          </w:r>
          <w:r>
            <w:t xml:space="preserve">. Actual LOR notices are </w:t>
          </w:r>
          <w:r w:rsidR="00BE0432">
            <w:t xml:space="preserve">also </w:t>
          </w:r>
          <w:r>
            <w:t>issued when the thresholds are actually triggered.</w:t>
          </w:r>
        </w:p>
        <w:p w:rsidR="004F6E06" w:rsidRDefault="008511D1" w:rsidP="004F6E06">
          <w:pPr>
            <w:pStyle w:val="AERBody"/>
          </w:pPr>
          <w:r>
            <w:t>There are three r</w:t>
          </w:r>
          <w:r w:rsidR="004F6E06">
            <w:t>eserve thresholds which relate to managing power system security following a defined number of unplanned failures of either transmission or generating equipment (credible contingencies). An example of a credible contingency would be the failure of a large generator or the failure of a transmission line that would reduce interconnector capacity.</w:t>
          </w:r>
        </w:p>
        <w:p w:rsidR="008511D1" w:rsidRDefault="008511D1" w:rsidP="008511D1">
          <w:pPr>
            <w:pStyle w:val="AERBody"/>
          </w:pPr>
          <w:r>
            <w:t xml:space="preserve">The </w:t>
          </w:r>
          <w:r w:rsidRPr="008511D1">
            <w:t xml:space="preserve">three </w:t>
          </w:r>
          <w:r>
            <w:t xml:space="preserve">LOR levels are </w:t>
          </w:r>
          <w:r w:rsidR="00DC7558">
            <w:t xml:space="preserve">broadly </w:t>
          </w:r>
          <w:r>
            <w:t xml:space="preserve">categorised </w:t>
          </w:r>
          <w:r w:rsidRPr="008511D1">
            <w:t>as follows</w:t>
          </w:r>
          <w:r>
            <w:t>:</w:t>
          </w:r>
          <w:r w:rsidR="002837C6" w:rsidRPr="002837C6">
            <w:rPr>
              <w:rStyle w:val="FootnoteReference"/>
            </w:rPr>
            <w:t xml:space="preserve"> </w:t>
          </w:r>
          <w:r w:rsidR="002837C6">
            <w:rPr>
              <w:rStyle w:val="FootnoteReference"/>
            </w:rPr>
            <w:footnoteReference w:id="9"/>
          </w:r>
          <w:r>
            <w:t xml:space="preserve"> </w:t>
          </w:r>
        </w:p>
        <w:p w:rsidR="008511D1" w:rsidRDefault="008511D1" w:rsidP="008511D1">
          <w:pPr>
            <w:pStyle w:val="Bulletpoint"/>
            <w:numPr>
              <w:ilvl w:val="0"/>
              <w:numId w:val="31"/>
            </w:numPr>
            <w:tabs>
              <w:tab w:val="clear" w:pos="340"/>
            </w:tabs>
          </w:pPr>
          <w:r>
            <w:lastRenderedPageBreak/>
            <w:t xml:space="preserve">An LOR1 is declared when AEMO considers load shedding </w:t>
          </w:r>
          <w:r w:rsidR="00DC7558">
            <w:t xml:space="preserve">is likely to </w:t>
          </w:r>
          <w:r>
            <w:t>occur after two single credible contingencies.</w:t>
          </w:r>
        </w:p>
        <w:p w:rsidR="008511D1" w:rsidRDefault="008511D1" w:rsidP="008511D1">
          <w:pPr>
            <w:pStyle w:val="Bulletpoint"/>
            <w:numPr>
              <w:ilvl w:val="0"/>
              <w:numId w:val="31"/>
            </w:numPr>
            <w:tabs>
              <w:tab w:val="clear" w:pos="340"/>
            </w:tabs>
          </w:pPr>
          <w:r>
            <w:t xml:space="preserve">An LOR2 is declared when AEMO considers load shedding </w:t>
          </w:r>
          <w:r w:rsidR="00DC7558">
            <w:t xml:space="preserve">is likely to </w:t>
          </w:r>
          <w:r>
            <w:t xml:space="preserve">occur after a single credible contingency. </w:t>
          </w:r>
        </w:p>
        <w:p w:rsidR="008511D1" w:rsidRDefault="008511D1" w:rsidP="008511D1">
          <w:pPr>
            <w:pStyle w:val="Bulletpoint"/>
            <w:numPr>
              <w:ilvl w:val="0"/>
              <w:numId w:val="31"/>
            </w:numPr>
            <w:tabs>
              <w:tab w:val="clear" w:pos="340"/>
            </w:tabs>
          </w:pPr>
          <w:r>
            <w:t>An LOR3 is declared when customer(s) load would be, or is</w:t>
          </w:r>
          <w:r w:rsidR="00DC7558">
            <w:t>,</w:t>
          </w:r>
          <w:r>
            <w:t xml:space="preserve"> shed in order to maintain the </w:t>
          </w:r>
          <w:r w:rsidR="00DC7558">
            <w:t xml:space="preserve">security </w:t>
          </w:r>
          <w:r>
            <w:t>of the power system.</w:t>
          </w:r>
        </w:p>
        <w:p w:rsidR="008511D1" w:rsidRDefault="00210466" w:rsidP="008511D1">
          <w:pPr>
            <w:pStyle w:val="AERBody"/>
          </w:pPr>
          <w:r>
            <w:fldChar w:fldCharType="begin"/>
          </w:r>
          <w:r>
            <w:instrText xml:space="preserve"> REF _Ref478480460 \h </w:instrText>
          </w:r>
          <w:r>
            <w:fldChar w:fldCharType="separate"/>
          </w:r>
          <w:r w:rsidR="005B5767">
            <w:t xml:space="preserve">Figure </w:t>
          </w:r>
          <w:r w:rsidR="005B5767">
            <w:rPr>
              <w:noProof/>
            </w:rPr>
            <w:t>5</w:t>
          </w:r>
          <w:r>
            <w:fldChar w:fldCharType="end"/>
          </w:r>
          <w:r>
            <w:t xml:space="preserve"> </w:t>
          </w:r>
          <w:r w:rsidR="008511D1">
            <w:t xml:space="preserve">shows the </w:t>
          </w:r>
          <w:r>
            <w:t xml:space="preserve">four possible </w:t>
          </w:r>
          <w:r w:rsidRPr="006141DE">
            <w:t xml:space="preserve">spare </w:t>
          </w:r>
          <w:proofErr w:type="gramStart"/>
          <w:r>
            <w:t>capacity</w:t>
          </w:r>
          <w:proofErr w:type="gramEnd"/>
          <w:r>
            <w:t xml:space="preserve"> </w:t>
          </w:r>
          <w:r w:rsidRPr="006141DE">
            <w:t xml:space="preserve">and </w:t>
          </w:r>
          <w:r>
            <w:t xml:space="preserve">the lack of reserve threshold situations graphically. </w:t>
          </w:r>
        </w:p>
        <w:p w:rsidR="00EF4EF4" w:rsidRDefault="00EF4EF4" w:rsidP="00EF4EF4">
          <w:pPr>
            <w:pStyle w:val="Caption"/>
            <w:jc w:val="both"/>
          </w:pPr>
          <w:bookmarkStart w:id="24" w:name="_Ref478480460"/>
          <w:bookmarkStart w:id="25" w:name="_Ref479159618"/>
          <w:r>
            <w:t xml:space="preserve">Figure </w:t>
          </w:r>
          <w:fldSimple w:instr=" SEQ Figure \* ARABIC ">
            <w:r w:rsidR="005B5767">
              <w:rPr>
                <w:noProof/>
              </w:rPr>
              <w:t>5</w:t>
            </w:r>
          </w:fldSimple>
          <w:bookmarkEnd w:id="24"/>
          <w:r>
            <w:t>: Spare</w:t>
          </w:r>
          <w:r w:rsidR="00310156">
            <w:t xml:space="preserve"> capacity and lack of reserve</w:t>
          </w:r>
          <w:bookmarkEnd w:id="25"/>
        </w:p>
        <w:p w:rsidR="003D23D0" w:rsidRDefault="00C1612A" w:rsidP="00EF4EF4">
          <w:pPr>
            <w:pStyle w:val="AERBody"/>
          </w:pPr>
          <w:r w:rsidRPr="00C1612A">
            <w:rPr>
              <w:noProof/>
              <w:lang w:eastAsia="en-AU"/>
            </w:rPr>
            <w:drawing>
              <wp:inline distT="0" distB="0" distL="0" distR="0" wp14:anchorId="09FA2EC3" wp14:editId="5DE0A204">
                <wp:extent cx="5436235" cy="3013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6235" cy="3013115"/>
                        </a:xfrm>
                        <a:prstGeom prst="rect">
                          <a:avLst/>
                        </a:prstGeom>
                        <a:noFill/>
                        <a:ln>
                          <a:noFill/>
                        </a:ln>
                      </pic:spPr>
                    </pic:pic>
                  </a:graphicData>
                </a:graphic>
              </wp:inline>
            </w:drawing>
          </w:r>
        </w:p>
        <w:p w:rsidR="006A762F" w:rsidRDefault="004903D4" w:rsidP="00EF4EF4">
          <w:pPr>
            <w:pStyle w:val="AERBody"/>
          </w:pPr>
          <w:r>
            <w:t>Assuming that th</w:t>
          </w:r>
          <w:r w:rsidR="00210466">
            <w:t xml:space="preserve">e horizontal axis line represents </w:t>
          </w:r>
          <w:r>
            <w:t xml:space="preserve">a situation when </w:t>
          </w:r>
          <w:r w:rsidR="00210466">
            <w:t xml:space="preserve">supply </w:t>
          </w:r>
          <w:r>
            <w:t xml:space="preserve">equals </w:t>
          </w:r>
          <w:r w:rsidR="00210466">
            <w:t>demand</w:t>
          </w:r>
          <w:r>
            <w:t>, then</w:t>
          </w:r>
          <w:r w:rsidR="00210466">
            <w:t xml:space="preserve"> </w:t>
          </w:r>
          <w:r>
            <w:t>excess generating c</w:t>
          </w:r>
          <w:r w:rsidR="00210466">
            <w:t>apacity</w:t>
          </w:r>
          <w:r>
            <w:t xml:space="preserve"> (</w:t>
          </w:r>
          <w:r w:rsidR="00210466">
            <w:t xml:space="preserve">above the </w:t>
          </w:r>
          <w:r>
            <w:t xml:space="preserve">x axis) </w:t>
          </w:r>
          <w:r w:rsidR="00210466">
            <w:t xml:space="preserve">amounts to spare or reserve capacity. </w:t>
          </w:r>
          <w:r>
            <w:t xml:space="preserve">As discussed above, the three reserve levels are shown as </w:t>
          </w:r>
          <w:r w:rsidR="006A762F">
            <w:t>three</w:t>
          </w:r>
          <w:r>
            <w:t xml:space="preserve"> horizontal lines</w:t>
          </w:r>
          <w:r w:rsidR="006A762F">
            <w:t>, reserve requirements for LOR1 in green, for LOR2 in blue and where there are no reserves and all capacity is being used to meet demand</w:t>
          </w:r>
          <w:r w:rsidR="00B17971">
            <w:t>, LOR3,</w:t>
          </w:r>
          <w:r w:rsidR="006A762F">
            <w:t xml:space="preserve"> in red. </w:t>
          </w:r>
        </w:p>
        <w:p w:rsidR="006A762F" w:rsidRDefault="006A762F" w:rsidP="00EF4EF4">
          <w:pPr>
            <w:pStyle w:val="AERBody"/>
          </w:pPr>
          <w:r>
            <w:t xml:space="preserve">The solid </w:t>
          </w:r>
          <w:r w:rsidR="00C1612A">
            <w:t>green</w:t>
          </w:r>
          <w:r>
            <w:t xml:space="preserve"> </w:t>
          </w:r>
          <w:r w:rsidR="00C1612A">
            <w:t xml:space="preserve">and amber </w:t>
          </w:r>
          <w:r>
            <w:t>block</w:t>
          </w:r>
          <w:r w:rsidR="00C1612A">
            <w:t>s</w:t>
          </w:r>
          <w:r>
            <w:t xml:space="preserve"> represent spare capacity. As </w:t>
          </w:r>
          <w:r w:rsidR="00EF4EF4">
            <w:t xml:space="preserve">the spare capacity drops below a reserve line </w:t>
          </w:r>
          <w:r w:rsidR="00310156">
            <w:t>(</w:t>
          </w:r>
          <w:r>
            <w:t>the</w:t>
          </w:r>
          <w:r w:rsidR="00310156">
            <w:t xml:space="preserve"> horizontal line</w:t>
          </w:r>
          <w:r>
            <w:t>s</w:t>
          </w:r>
          <w:r w:rsidR="00310156">
            <w:t xml:space="preserve">) </w:t>
          </w:r>
          <w:r w:rsidR="00EF4EF4">
            <w:t xml:space="preserve">either by a reduction in available capacity or an increase in demand, a new </w:t>
          </w:r>
          <w:r>
            <w:t xml:space="preserve">reserve condition exists. AEMO monitors this situation continuously and issues </w:t>
          </w:r>
          <w:r w:rsidR="00EF4EF4">
            <w:t>LOR notice</w:t>
          </w:r>
          <w:r>
            <w:t>s</w:t>
          </w:r>
          <w:r w:rsidR="00EF4EF4">
            <w:t xml:space="preserve"> to </w:t>
          </w:r>
          <w:r>
            <w:t xml:space="preserve">inform </w:t>
          </w:r>
          <w:r w:rsidR="00EF4EF4">
            <w:t xml:space="preserve">participants. </w:t>
          </w:r>
        </w:p>
        <w:p w:rsidR="00F939BA" w:rsidRDefault="00210466" w:rsidP="00EF4EF4">
          <w:pPr>
            <w:pStyle w:val="AERBody"/>
          </w:pPr>
          <w:r>
            <w:t xml:space="preserve">When there is insufficient capacity to meet demand load must be shed </w:t>
          </w:r>
          <w:r w:rsidR="006A762F">
            <w:t>(</w:t>
          </w:r>
          <w:r>
            <w:t>customers interrupted</w:t>
          </w:r>
          <w:r w:rsidR="006A762F">
            <w:t>)</w:t>
          </w:r>
          <w:r>
            <w:t xml:space="preserve"> and </w:t>
          </w:r>
          <w:r w:rsidR="00EF4EF4">
            <w:t>an LOR3 is is</w:t>
          </w:r>
          <w:r w:rsidR="008673AE">
            <w:t>sued, as occurred on this day</w:t>
          </w:r>
          <w:r w:rsidR="00EF4EF4">
            <w:t>.</w:t>
          </w:r>
        </w:p>
        <w:p w:rsidR="00EF4EF4" w:rsidRDefault="00EF4EF4" w:rsidP="00EF4EF4">
          <w:pPr>
            <w:pStyle w:val="AERBody"/>
            <w:rPr>
              <w:sz w:val="23"/>
              <w:szCs w:val="23"/>
            </w:rPr>
          </w:pPr>
          <w:r>
            <w:rPr>
              <w:sz w:val="23"/>
              <w:szCs w:val="23"/>
            </w:rPr>
            <w:t xml:space="preserve">Details of the </w:t>
          </w:r>
          <w:r w:rsidR="00287F85">
            <w:rPr>
              <w:sz w:val="23"/>
              <w:szCs w:val="23"/>
            </w:rPr>
            <w:t>LOR</w:t>
          </w:r>
          <w:r>
            <w:rPr>
              <w:sz w:val="23"/>
              <w:szCs w:val="23"/>
            </w:rPr>
            <w:t xml:space="preserve"> market notices </w:t>
          </w:r>
          <w:r w:rsidR="00495595">
            <w:rPr>
              <w:sz w:val="23"/>
              <w:szCs w:val="23"/>
            </w:rPr>
            <w:t xml:space="preserve">issued by AEMO </w:t>
          </w:r>
          <w:r>
            <w:rPr>
              <w:sz w:val="23"/>
              <w:szCs w:val="23"/>
            </w:rPr>
            <w:t xml:space="preserve">can be found in Appendix D. </w:t>
          </w:r>
        </w:p>
        <w:p w:rsidR="00EF4EF4" w:rsidRPr="00462020" w:rsidRDefault="00073ADF" w:rsidP="00EF4EF4">
          <w:pPr>
            <w:pStyle w:val="AERBody"/>
            <w:rPr>
              <w:u w:val="single"/>
            </w:rPr>
          </w:pPr>
          <w:r>
            <w:t>In summary</w:t>
          </w:r>
          <w:r w:rsidR="0008020A">
            <w:t>:</w:t>
          </w:r>
        </w:p>
        <w:p w:rsidR="00EF4EF4" w:rsidRPr="00287F85" w:rsidRDefault="007D716B" w:rsidP="00287F85">
          <w:pPr>
            <w:pStyle w:val="Bulletpoint"/>
          </w:pPr>
          <w:r w:rsidRPr="00287F85">
            <w:lastRenderedPageBreak/>
            <w:t>A</w:t>
          </w:r>
          <w:r w:rsidR="00030AFD" w:rsidRPr="00287F85">
            <w:t>t 3.18 pm, AEMO issued a</w:t>
          </w:r>
          <w:r w:rsidRPr="00287F85">
            <w:t xml:space="preserve"> </w:t>
          </w:r>
          <w:r w:rsidR="00EF4EF4" w:rsidRPr="00287F85">
            <w:t>forecast LOR1 notice for South</w:t>
          </w:r>
          <w:r w:rsidR="00030AFD" w:rsidRPr="00287F85">
            <w:t> </w:t>
          </w:r>
          <w:r w:rsidR="00EF4EF4" w:rsidRPr="00287F85">
            <w:t>Australia</w:t>
          </w:r>
          <w:r w:rsidR="00030AFD" w:rsidRPr="00287F85">
            <w:t xml:space="preserve"> for the period 4.30</w:t>
          </w:r>
          <w:r w:rsidR="0008020A" w:rsidRPr="00287F85">
            <w:t> </w:t>
          </w:r>
          <w:r w:rsidR="00030AFD" w:rsidRPr="00287F85">
            <w:noBreakHyphen/>
          </w:r>
          <w:r w:rsidR="0008020A" w:rsidRPr="00287F85">
            <w:t> </w:t>
          </w:r>
          <w:r w:rsidR="00030AFD" w:rsidRPr="00287F85">
            <w:t xml:space="preserve">7 pm. The reserve level required for the afternoon was 400 MW and the minimum reserve available at the time was </w:t>
          </w:r>
          <w:r w:rsidR="00EF4EF4" w:rsidRPr="00287F85">
            <w:t>277 MW</w:t>
          </w:r>
        </w:p>
        <w:p w:rsidR="00073ADF" w:rsidRPr="00287F85" w:rsidRDefault="00073ADF" w:rsidP="00287F85">
          <w:pPr>
            <w:pStyle w:val="Bulletpoint"/>
          </w:pPr>
          <w:r w:rsidRPr="00287F85">
            <w:t>An actual LOR1 notice was issued around an hour later</w:t>
          </w:r>
          <w:r w:rsidR="00790610">
            <w:t xml:space="preserve"> at 4.13 pm</w:t>
          </w:r>
          <w:r w:rsidR="00287F85" w:rsidRPr="00287F85">
            <w:t>.</w:t>
          </w:r>
          <w:r w:rsidRPr="00287F85">
            <w:t xml:space="preserve"> </w:t>
          </w:r>
        </w:p>
        <w:p w:rsidR="00073ADF" w:rsidRDefault="00790610" w:rsidP="00287F85">
          <w:pPr>
            <w:pStyle w:val="Bulletpoint"/>
          </w:pPr>
          <w:r>
            <w:t>An a</w:t>
          </w:r>
          <w:r w:rsidR="00073ADF" w:rsidRPr="00287F85">
            <w:t>ctual LOR2 notice w</w:t>
          </w:r>
          <w:r>
            <w:t>as</w:t>
          </w:r>
          <w:r w:rsidR="00073ADF" w:rsidRPr="00287F85">
            <w:t xml:space="preserve"> issued at 5.13</w:t>
          </w:r>
          <w:r w:rsidR="00287F85">
            <w:t> </w:t>
          </w:r>
          <w:r w:rsidR="00073ADF" w:rsidRPr="00287F85">
            <w:t>pm</w:t>
          </w:r>
          <w:r w:rsidR="00287F85" w:rsidRPr="00287F85">
            <w:t>.</w:t>
          </w:r>
        </w:p>
        <w:p w:rsidR="00790610" w:rsidRPr="00287F85" w:rsidRDefault="00790610" w:rsidP="00790610">
          <w:pPr>
            <w:pStyle w:val="Bulletpoint"/>
          </w:pPr>
          <w:r>
            <w:t xml:space="preserve">An actual </w:t>
          </w:r>
          <w:r w:rsidRPr="00287F85">
            <w:t>LOR3 notice w</w:t>
          </w:r>
          <w:r>
            <w:t>as</w:t>
          </w:r>
          <w:r w:rsidRPr="00287F85">
            <w:t xml:space="preserve"> issued 6.11</w:t>
          </w:r>
          <w:r>
            <w:t> </w:t>
          </w:r>
          <w:r w:rsidRPr="00287F85">
            <w:t>pm.</w:t>
          </w:r>
        </w:p>
        <w:p w:rsidR="00054FE3" w:rsidRDefault="00073ADF" w:rsidP="00EF4EF4">
          <w:pPr>
            <w:pStyle w:val="AERBody"/>
          </w:pPr>
          <w:r>
            <w:t>F</w:t>
          </w:r>
          <w:r w:rsidR="00EF4EF4" w:rsidRPr="00462020">
            <w:t>orecast LOR2 or LOR3 notice</w:t>
          </w:r>
          <w:r>
            <w:t>s</w:t>
          </w:r>
          <w:r w:rsidR="00EF4EF4" w:rsidRPr="00462020">
            <w:t xml:space="preserve"> </w:t>
          </w:r>
          <w:r>
            <w:t xml:space="preserve">were not published </w:t>
          </w:r>
          <w:r w:rsidR="00EF4EF4" w:rsidRPr="00462020">
            <w:t xml:space="preserve">which </w:t>
          </w:r>
          <w:r w:rsidR="001A7C03">
            <w:t>may</w:t>
          </w:r>
          <w:r w:rsidRPr="00462020">
            <w:t xml:space="preserve"> </w:t>
          </w:r>
          <w:r w:rsidR="00EF4EF4" w:rsidRPr="00462020">
            <w:t xml:space="preserve">have provided </w:t>
          </w:r>
          <w:r>
            <w:t xml:space="preserve">some </w:t>
          </w:r>
          <w:r w:rsidR="00EF4EF4" w:rsidRPr="00462020">
            <w:t>notice to the market that there was a likelihood of insufficient supply to meet forecast demand.</w:t>
          </w:r>
          <w:r w:rsidR="00054FE3" w:rsidRPr="00054FE3">
            <w:t xml:space="preserve"> </w:t>
          </w:r>
          <w:r w:rsidR="00D97F02">
            <w:t xml:space="preserve">This was </w:t>
          </w:r>
          <w:r>
            <w:t xml:space="preserve">primarily because </w:t>
          </w:r>
          <w:r w:rsidR="00D97F02">
            <w:t>inaccura</w:t>
          </w:r>
          <w:r>
            <w:t xml:space="preserve">cy in the forecast results which meant that the LOR2 and </w:t>
          </w:r>
          <w:r w:rsidR="00B93BB9">
            <w:t>LOR</w:t>
          </w:r>
          <w:r>
            <w:t>3 reserve report thresholds were not triggered</w:t>
          </w:r>
          <w:r w:rsidR="00D97F02">
            <w:t>.</w:t>
          </w:r>
        </w:p>
        <w:p w:rsidR="00EC74D6" w:rsidRDefault="00DC559D" w:rsidP="0008020A">
          <w:pPr>
            <w:pStyle w:val="Heading2"/>
            <w:keepNext/>
            <w:ind w:left="578" w:hanging="578"/>
          </w:pPr>
          <w:bookmarkStart w:id="26" w:name="_Ref479676996"/>
          <w:bookmarkStart w:id="27" w:name="_Ref479677000"/>
          <w:bookmarkStart w:id="28" w:name="_Toc480971272"/>
          <w:bookmarkStart w:id="29" w:name="_Ref412802451"/>
          <w:bookmarkStart w:id="30" w:name="_Ref413789342"/>
          <w:bookmarkStart w:id="31" w:name="_Ref414281105"/>
          <w:r>
            <w:t>Market Outcomes</w:t>
          </w:r>
          <w:bookmarkEnd w:id="26"/>
          <w:bookmarkEnd w:id="27"/>
          <w:bookmarkEnd w:id="28"/>
        </w:p>
        <w:p w:rsidR="00287F85" w:rsidRDefault="00584190" w:rsidP="003F73DF">
          <w:r>
            <w:t xml:space="preserve">Spot prices in the wholesale market are expected to significantly increase at times when demand is high and the margin between demand and available generation </w:t>
          </w:r>
          <w:r w:rsidR="00B55843">
            <w:t>(</w:t>
          </w:r>
          <w:r>
            <w:t>reserves</w:t>
          </w:r>
          <w:r w:rsidR="00B55843">
            <w:t>)</w:t>
          </w:r>
          <w:r>
            <w:t xml:space="preserve"> </w:t>
          </w:r>
          <w:r w:rsidR="0023635E">
            <w:t>is</w:t>
          </w:r>
          <w:r>
            <w:t xml:space="preserve"> low. </w:t>
          </w:r>
          <w:r w:rsidR="00287F85">
            <w:t xml:space="preserve">When the market operator </w:t>
          </w:r>
          <w:r>
            <w:t>cannot satisfy the reserve requirements and intervention in the market is required</w:t>
          </w:r>
          <w:r w:rsidR="00B55843">
            <w:t>,</w:t>
          </w:r>
          <w:r w:rsidR="00287F85">
            <w:t xml:space="preserve"> two options are available:</w:t>
          </w:r>
        </w:p>
        <w:p w:rsidR="00287F85" w:rsidRDefault="00584190" w:rsidP="00287F85">
          <w:pPr>
            <w:pStyle w:val="Bulletpoint"/>
          </w:pPr>
          <w:r>
            <w:t xml:space="preserve">directing additional resources to enter the market </w:t>
          </w:r>
          <w:r w:rsidR="00287F85">
            <w:t xml:space="preserve">which results in “what-if” pricing, </w:t>
          </w:r>
          <w:r>
            <w:t>or</w:t>
          </w:r>
        </w:p>
        <w:p w:rsidR="00287F85" w:rsidRDefault="00584190" w:rsidP="00287F85">
          <w:pPr>
            <w:pStyle w:val="Bulletpoint"/>
          </w:pPr>
          <w:proofErr w:type="gramStart"/>
          <w:r>
            <w:t>reducing</w:t>
          </w:r>
          <w:proofErr w:type="gramEnd"/>
          <w:r>
            <w:t xml:space="preserve"> demand </w:t>
          </w:r>
          <w:r w:rsidR="00A0037F">
            <w:t xml:space="preserve">to manage a supply shortage </w:t>
          </w:r>
          <w:r>
            <w:t>through load shedding</w:t>
          </w:r>
          <w:r w:rsidR="00287F85">
            <w:t xml:space="preserve"> which results in the price being set to the market price cap</w:t>
          </w:r>
          <w:r>
            <w:t xml:space="preserve">. </w:t>
          </w:r>
        </w:p>
        <w:p w:rsidR="00584190" w:rsidRDefault="00584190" w:rsidP="00287F85">
          <w:pPr>
            <w:pStyle w:val="AERBody"/>
          </w:pPr>
          <w:r>
            <w:t>On this occasion the inability to source additional generation</w:t>
          </w:r>
          <w:r w:rsidR="00A0037F">
            <w:t>,</w:t>
          </w:r>
          <w:r>
            <w:t xml:space="preserve"> in the required timeframe</w:t>
          </w:r>
          <w:r w:rsidR="00A0037F">
            <w:t>,</w:t>
          </w:r>
          <w:r>
            <w:t xml:space="preserve"> resulted in AEMO instructing </w:t>
          </w:r>
          <w:r w:rsidR="00A772B1">
            <w:t>load shedding</w:t>
          </w:r>
          <w:r>
            <w:t xml:space="preserve"> for around 40 minutes. </w:t>
          </w:r>
        </w:p>
        <w:p w:rsidR="00287F85" w:rsidRDefault="00B55843" w:rsidP="00287F85">
          <w:pPr>
            <w:pStyle w:val="AERBody"/>
            <w:rPr>
              <w:rFonts w:cs="Arial"/>
              <w:color w:val="000000"/>
              <w:szCs w:val="18"/>
            </w:rPr>
          </w:pPr>
          <w:r>
            <w:t xml:space="preserve">Had the forecasts reflected the actual demand more closely forecast LOR2 or 3 notices would have informed the market of </w:t>
          </w:r>
          <w:r w:rsidR="00A0037F">
            <w:t xml:space="preserve">the potential </w:t>
          </w:r>
          <w:proofErr w:type="gramStart"/>
          <w:r w:rsidR="00A0037F">
            <w:t>shortfall.</w:t>
          </w:r>
          <w:proofErr w:type="gramEnd"/>
          <w:r w:rsidR="00A0037F">
            <w:t xml:space="preserve"> A response from these participants </w:t>
          </w:r>
          <w:r w:rsidR="00287F85">
            <w:t>may have provided the market operator with a wider range of alternative actions to maintain system security including: directing Engie to operate additional generation at Pelican Point Power Station</w:t>
          </w:r>
          <w:r w:rsidR="00287F85">
            <w:rPr>
              <w:rFonts w:cs="Arial"/>
              <w:color w:val="000000"/>
              <w:szCs w:val="18"/>
            </w:rPr>
            <w:t>.</w:t>
          </w:r>
          <w:r w:rsidR="00287F85">
            <w:rPr>
              <w:rStyle w:val="FootnoteReference"/>
              <w:rFonts w:cs="Arial"/>
              <w:color w:val="000000"/>
              <w:szCs w:val="18"/>
            </w:rPr>
            <w:footnoteReference w:id="10"/>
          </w:r>
          <w:r w:rsidR="00287F85" w:rsidRPr="00DF3B9F">
            <w:t xml:space="preserve"> </w:t>
          </w:r>
        </w:p>
        <w:p w:rsidR="00BC3E4C" w:rsidRDefault="00BC3E4C" w:rsidP="00BC3E4C">
          <w:pPr>
            <w:pStyle w:val="AERBody"/>
          </w:pPr>
          <w:r>
            <w:t>At 6.03 pm, AEMO issued a direction to ElectraNet to shed 100 MW of load. The load shedding was complete at 6.20 </w:t>
          </w:r>
          <w:proofErr w:type="gramStart"/>
          <w:r>
            <w:t>pm,</w:t>
          </w:r>
          <w:proofErr w:type="gramEnd"/>
          <w:r>
            <w:t xml:space="preserve"> however 200 MW of extra load was inadvertently interrupted. SA</w:t>
          </w:r>
          <w:r w:rsidR="00693846">
            <w:t>PN</w:t>
          </w:r>
          <w:r>
            <w:t xml:space="preserve">, who is responsible for </w:t>
          </w:r>
          <w:r w:rsidR="00B55843">
            <w:t xml:space="preserve">implementing the </w:t>
          </w:r>
          <w:r>
            <w:t xml:space="preserve">load shedding, </w:t>
          </w:r>
          <w:r w:rsidR="00FD51ED">
            <w:t>acknowledged</w:t>
          </w:r>
          <w:r>
            <w:t xml:space="preserve"> that the ex</w:t>
          </w:r>
          <w:r w:rsidR="00B55843">
            <w:t>tra load interrupted was as a result of an</w:t>
          </w:r>
          <w:r>
            <w:t xml:space="preserve"> </w:t>
          </w:r>
          <w:r w:rsidR="00B55843">
            <w:t xml:space="preserve">error in </w:t>
          </w:r>
          <w:r>
            <w:t>the load shedding software.</w:t>
          </w:r>
          <w:r>
            <w:rPr>
              <w:rStyle w:val="FootnoteReference"/>
            </w:rPr>
            <w:footnoteReference w:id="11"/>
          </w:r>
        </w:p>
        <w:p w:rsidR="00BC3E4C" w:rsidRDefault="00C35C67" w:rsidP="00BC3E4C">
          <w:pPr>
            <w:pStyle w:val="AERBody"/>
          </w:pPr>
          <w:r>
            <w:t>T</w:t>
          </w:r>
          <w:r w:rsidR="00BC3E4C">
            <w:t>he Market Price Cap</w:t>
          </w:r>
          <w:r w:rsidR="006F5B7B">
            <w:t xml:space="preserve"> (MPC) was applied to the South </w:t>
          </w:r>
          <w:r w:rsidR="00BC3E4C">
            <w:t xml:space="preserve">Australia </w:t>
          </w:r>
          <w:r w:rsidR="006F5B7B">
            <w:t>region</w:t>
          </w:r>
          <w:r w:rsidR="00BC3E4C">
            <w:t xml:space="preserve"> and the 5</w:t>
          </w:r>
          <w:r w:rsidR="00693846">
            <w:t> </w:t>
          </w:r>
          <w:r w:rsidR="00BC3E4C">
            <w:t>minute price was set at $14 000/MWh for the 6.25 pm to 6.50 pm dispatch intervals.</w:t>
          </w:r>
        </w:p>
        <w:p w:rsidR="003253CE" w:rsidRDefault="003253CE" w:rsidP="00BC3E4C">
          <w:pPr>
            <w:pStyle w:val="AERBody"/>
          </w:pPr>
          <w:r>
            <w:fldChar w:fldCharType="begin"/>
          </w:r>
          <w:r>
            <w:instrText xml:space="preserve"> REF _Ref479260061 \h </w:instrText>
          </w:r>
          <w:r>
            <w:fldChar w:fldCharType="separate"/>
          </w:r>
          <w:r w:rsidR="005B5767">
            <w:t xml:space="preserve">Table </w:t>
          </w:r>
          <w:r w:rsidR="005B5767">
            <w:rPr>
              <w:noProof/>
            </w:rPr>
            <w:t>5</w:t>
          </w:r>
          <w:r>
            <w:fldChar w:fldCharType="end"/>
          </w:r>
          <w:r>
            <w:t xml:space="preserve"> summaries the sequence of events and </w:t>
          </w:r>
          <w:r w:rsidR="00A070CA">
            <w:t xml:space="preserve">comments on the impact of these factors </w:t>
          </w:r>
          <w:r>
            <w:t>that lead up to AEMO issuing a direction, load shedding and the price being set to the MPC.</w:t>
          </w:r>
          <w:r w:rsidR="006F5B7B">
            <w:rPr>
              <w:rStyle w:val="FootnoteReference"/>
            </w:rPr>
            <w:footnoteReference w:id="12"/>
          </w:r>
          <w:r>
            <w:t xml:space="preserve"> </w:t>
          </w:r>
        </w:p>
        <w:p w:rsidR="008C4B8F" w:rsidRDefault="008C4B8F" w:rsidP="008C4B8F">
          <w:pPr>
            <w:pStyle w:val="Caption"/>
          </w:pPr>
          <w:bookmarkStart w:id="32" w:name="_Ref479260061"/>
          <w:bookmarkStart w:id="33" w:name="_Ref479260038"/>
          <w:r>
            <w:lastRenderedPageBreak/>
            <w:t xml:space="preserve">Table </w:t>
          </w:r>
          <w:fldSimple w:instr=" SEQ Table \* ARABIC ">
            <w:r w:rsidR="005B5767">
              <w:rPr>
                <w:noProof/>
              </w:rPr>
              <w:t>5</w:t>
            </w:r>
          </w:fldSimple>
          <w:bookmarkEnd w:id="32"/>
          <w:r>
            <w:t>: Sequence of events</w:t>
          </w:r>
          <w:bookmarkEnd w:id="33"/>
        </w:p>
        <w:tbl>
          <w:tblPr>
            <w:tblStyle w:val="AERsummarytable"/>
            <w:tblW w:w="5000" w:type="pct"/>
            <w:tblLook w:val="0000" w:firstRow="0" w:lastRow="0" w:firstColumn="0" w:lastColumn="0" w:noHBand="0" w:noVBand="0"/>
          </w:tblPr>
          <w:tblGrid>
            <w:gridCol w:w="969"/>
            <w:gridCol w:w="2709"/>
            <w:gridCol w:w="5099"/>
          </w:tblGrid>
          <w:tr w:rsidR="0043334B" w:rsidRPr="0008020A" w:rsidTr="0008020A">
            <w:trPr>
              <w:cnfStyle w:val="000000010000" w:firstRow="0" w:lastRow="0" w:firstColumn="0" w:lastColumn="0" w:oddVBand="0" w:evenVBand="0" w:oddHBand="0" w:evenHBand="1" w:firstRowFirstColumn="0" w:firstRowLastColumn="0" w:lastRowFirstColumn="0" w:lastRowLastColumn="0"/>
              <w:trHeight w:val="295"/>
              <w:tblHeader/>
            </w:trPr>
            <w:tc>
              <w:tcPr>
                <w:tcW w:w="552" w:type="pct"/>
                <w:shd w:val="clear" w:color="auto" w:fill="076A92" w:themeFill="text1"/>
              </w:tcPr>
              <w:p w:rsidR="00FD7A22" w:rsidRPr="0008020A" w:rsidRDefault="00FD7A22" w:rsidP="0008020A">
                <w:pPr>
                  <w:pStyle w:val="TableHeading"/>
                </w:pPr>
                <w:r w:rsidRPr="0008020A">
                  <w:t>Time</w:t>
                </w:r>
              </w:p>
            </w:tc>
            <w:tc>
              <w:tcPr>
                <w:tcW w:w="1543" w:type="pct"/>
                <w:shd w:val="clear" w:color="auto" w:fill="076A92" w:themeFill="text1"/>
              </w:tcPr>
              <w:p w:rsidR="00FD7A22" w:rsidRPr="0008020A" w:rsidRDefault="00FD7A22" w:rsidP="0008020A">
                <w:pPr>
                  <w:pStyle w:val="TableHeading"/>
                </w:pPr>
                <w:r w:rsidRPr="0008020A">
                  <w:t>Event</w:t>
                </w:r>
              </w:p>
            </w:tc>
            <w:tc>
              <w:tcPr>
                <w:tcW w:w="2905" w:type="pct"/>
                <w:shd w:val="clear" w:color="auto" w:fill="076A92" w:themeFill="text1"/>
              </w:tcPr>
              <w:p w:rsidR="00FD7A22" w:rsidRPr="0008020A" w:rsidRDefault="006D7C28" w:rsidP="0008020A">
                <w:pPr>
                  <w:pStyle w:val="TableHeading"/>
                </w:pPr>
                <w:r w:rsidRPr="0008020A">
                  <w:t>Comments</w:t>
                </w:r>
              </w:p>
            </w:tc>
          </w:tr>
          <w:tr w:rsidR="000E0831"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0E0831" w:rsidRDefault="000E4FED" w:rsidP="008D013F">
                <w:pPr>
                  <w:pStyle w:val="tablebody"/>
                </w:pPr>
                <w:r>
                  <w:t>3.18 pm</w:t>
                </w:r>
              </w:p>
            </w:tc>
            <w:tc>
              <w:tcPr>
                <w:tcW w:w="1543" w:type="pct"/>
              </w:tcPr>
              <w:p w:rsidR="000E0831" w:rsidRPr="00FD7A22" w:rsidRDefault="000E0831" w:rsidP="00CC1DD3">
                <w:pPr>
                  <w:pStyle w:val="tablebody"/>
                </w:pPr>
                <w:r>
                  <w:t>Forecast LOR1</w:t>
                </w:r>
                <w:r w:rsidR="000E4FED">
                  <w:t xml:space="preserve"> from 4.30</w:t>
                </w:r>
                <w:r w:rsidR="00693846">
                  <w:t> </w:t>
                </w:r>
                <w:r w:rsidR="00CC1DD3">
                  <w:noBreakHyphen/>
                  <w:t xml:space="preserve"> </w:t>
                </w:r>
                <w:r w:rsidR="000E4FED">
                  <w:t xml:space="preserve">7 pm </w:t>
                </w:r>
              </w:p>
            </w:tc>
            <w:tc>
              <w:tcPr>
                <w:tcW w:w="2905" w:type="pct"/>
              </w:tcPr>
              <w:p w:rsidR="000E0831" w:rsidRPr="00FD7A22" w:rsidRDefault="000E4FED" w:rsidP="000E4FED">
                <w:pPr>
                  <w:pStyle w:val="tablebody"/>
                </w:pPr>
                <w:r>
                  <w:rPr>
                    <w:rFonts w:cs="Arial"/>
                    <w:szCs w:val="18"/>
                  </w:rPr>
                  <w:t xml:space="preserve">Forecast a shortage of 277 MW to cope with two unplanned failures. </w:t>
                </w:r>
              </w:p>
            </w:tc>
          </w:tr>
          <w:tr w:rsidR="0043334B"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FD7A22" w:rsidRPr="00FD7A22" w:rsidRDefault="003253CE" w:rsidP="008D013F">
                <w:pPr>
                  <w:pStyle w:val="tablebody"/>
                </w:pPr>
                <w:r>
                  <w:t>4.13 </w:t>
                </w:r>
                <w:r w:rsidR="00FD7A22" w:rsidRPr="00FD7A22">
                  <w:t>pm</w:t>
                </w:r>
              </w:p>
            </w:tc>
            <w:tc>
              <w:tcPr>
                <w:tcW w:w="1543" w:type="pct"/>
              </w:tcPr>
              <w:p w:rsidR="00FD7A22" w:rsidRPr="00FD7A22" w:rsidRDefault="00FD7A22" w:rsidP="00CC1DD3">
                <w:pPr>
                  <w:pStyle w:val="tablebody"/>
                </w:pPr>
                <w:r w:rsidRPr="00FD7A22">
                  <w:t>Actual LOR1 from 4</w:t>
                </w:r>
                <w:r w:rsidR="00693846">
                  <w:t> </w:t>
                </w:r>
                <w:r w:rsidR="00CC1DD3">
                  <w:noBreakHyphen/>
                </w:r>
                <w:r w:rsidR="00693846">
                  <w:t> </w:t>
                </w:r>
                <w:r w:rsidRPr="00FD7A22">
                  <w:t>7 pm</w:t>
                </w:r>
              </w:p>
            </w:tc>
            <w:tc>
              <w:tcPr>
                <w:tcW w:w="2905" w:type="pct"/>
              </w:tcPr>
              <w:p w:rsidR="00FD7A22" w:rsidRPr="00FD7A22" w:rsidRDefault="00FD7A22" w:rsidP="00693846">
                <w:pPr>
                  <w:pStyle w:val="tablebody"/>
                </w:pPr>
                <w:r w:rsidRPr="00FD7A22">
                  <w:t>Short 164</w:t>
                </w:r>
                <w:r w:rsidR="00693846">
                  <w:t> </w:t>
                </w:r>
                <w:r w:rsidRPr="00FD7A22">
                  <w:t>MW of spare capacity to cope with two unplanned failures</w:t>
                </w:r>
              </w:p>
            </w:tc>
          </w:tr>
          <w:tr w:rsidR="0043334B"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FD7A22" w:rsidRPr="00FD7A22" w:rsidRDefault="003253CE" w:rsidP="008D013F">
                <w:pPr>
                  <w:pStyle w:val="tablebody"/>
                </w:pPr>
                <w:r>
                  <w:t>5.13 </w:t>
                </w:r>
                <w:r w:rsidR="00FD7A22" w:rsidRPr="00FD7A22">
                  <w:t>pm</w:t>
                </w:r>
              </w:p>
            </w:tc>
            <w:tc>
              <w:tcPr>
                <w:tcW w:w="1543" w:type="pct"/>
              </w:tcPr>
              <w:p w:rsidR="00FD7A22" w:rsidRPr="00FD7A22" w:rsidRDefault="00FD7A22" w:rsidP="00CC1DD3">
                <w:pPr>
                  <w:pStyle w:val="tablebody"/>
                </w:pPr>
                <w:r w:rsidRPr="00FD7A22">
                  <w:t>Actual LOR2 from 5</w:t>
                </w:r>
                <w:r w:rsidR="00693846">
                  <w:t> </w:t>
                </w:r>
                <w:r w:rsidR="00CC1DD3">
                  <w:noBreakHyphen/>
                </w:r>
                <w:r w:rsidR="00693846">
                  <w:t> </w:t>
                </w:r>
                <w:r w:rsidRPr="00FD7A22">
                  <w:t>7 pm</w:t>
                </w:r>
              </w:p>
            </w:tc>
            <w:tc>
              <w:tcPr>
                <w:tcW w:w="2905" w:type="pct"/>
              </w:tcPr>
              <w:p w:rsidR="00FD7A22" w:rsidRPr="00FD7A22" w:rsidRDefault="00FD7A22" w:rsidP="00693846">
                <w:pPr>
                  <w:pStyle w:val="tablebody"/>
                </w:pPr>
                <w:r w:rsidRPr="00FD7A22">
                  <w:t>Short 86</w:t>
                </w:r>
                <w:r w:rsidR="00693846">
                  <w:t> </w:t>
                </w:r>
                <w:r w:rsidRPr="00FD7A22">
                  <w:t>MW of spare capacity to cope with a single unplanned failure</w:t>
                </w:r>
              </w:p>
            </w:tc>
          </w:tr>
          <w:tr w:rsidR="0043334B"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FD7A22" w:rsidRPr="00FD7A22" w:rsidRDefault="00E11398" w:rsidP="000E4FED">
                <w:pPr>
                  <w:pStyle w:val="tablebody"/>
                </w:pPr>
                <w:r>
                  <w:t>5.2</w:t>
                </w:r>
                <w:r w:rsidR="000E4FED">
                  <w:t>5</w:t>
                </w:r>
                <w:r w:rsidR="003253CE">
                  <w:t> </w:t>
                </w:r>
                <w:r w:rsidR="00FD7A22" w:rsidRPr="00FD7A22">
                  <w:t>pm</w:t>
                </w:r>
              </w:p>
            </w:tc>
            <w:tc>
              <w:tcPr>
                <w:tcW w:w="1543" w:type="pct"/>
              </w:tcPr>
              <w:p w:rsidR="00FD7A22" w:rsidRPr="00FD7A22" w:rsidRDefault="00FD7A22" w:rsidP="008D013F">
                <w:pPr>
                  <w:pStyle w:val="tablebody"/>
                </w:pPr>
                <w:r w:rsidRPr="00FD7A22">
                  <w:t>Imports across Murraylink exceeded safe limits</w:t>
                </w:r>
              </w:p>
            </w:tc>
            <w:tc>
              <w:tcPr>
                <w:tcW w:w="2905" w:type="pct"/>
              </w:tcPr>
              <w:p w:rsidR="00FD7A22" w:rsidRPr="00FD7A22" w:rsidRDefault="00A078F7" w:rsidP="00A078F7">
                <w:pPr>
                  <w:pStyle w:val="tablebody"/>
                </w:pPr>
                <w:r>
                  <w:t>P</w:t>
                </w:r>
                <w:r w:rsidR="00FD7A22" w:rsidRPr="00FD7A22">
                  <w:t xml:space="preserve">ower system </w:t>
                </w:r>
                <w:r>
                  <w:t>no longer</w:t>
                </w:r>
                <w:r w:rsidR="00B104F6">
                  <w:t xml:space="preserve"> </w:t>
                </w:r>
                <w:r w:rsidR="00FD7A22" w:rsidRPr="00FD7A22">
                  <w:t>in</w:t>
                </w:r>
                <w:r w:rsidR="00B104F6">
                  <w:t xml:space="preserve"> a </w:t>
                </w:r>
                <w:r w:rsidR="00FD7A22" w:rsidRPr="00FD7A22">
                  <w:t>secure operating state</w:t>
                </w:r>
              </w:p>
            </w:tc>
          </w:tr>
          <w:tr w:rsidR="006F5B7B"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6F5B7B" w:rsidRDefault="006F5B7B" w:rsidP="008D013F">
                <w:pPr>
                  <w:pStyle w:val="tablebody"/>
                </w:pPr>
                <w:r>
                  <w:t>5.39</w:t>
                </w:r>
                <w:r w:rsidR="00AD4EF4">
                  <w:t> pm</w:t>
                </w:r>
              </w:p>
            </w:tc>
            <w:tc>
              <w:tcPr>
                <w:tcW w:w="1543" w:type="pct"/>
              </w:tcPr>
              <w:p w:rsidR="006F5B7B" w:rsidRPr="00FD7A22" w:rsidRDefault="000E4FED" w:rsidP="008D013F">
                <w:pPr>
                  <w:pStyle w:val="tablebody"/>
                </w:pPr>
                <w:r>
                  <w:t>AEMO contacts Engie to enquire about the availability of Pelican Point gas turbine two.</w:t>
                </w:r>
              </w:p>
            </w:tc>
            <w:tc>
              <w:tcPr>
                <w:tcW w:w="2905" w:type="pct"/>
              </w:tcPr>
              <w:p w:rsidR="006F5B7B" w:rsidRPr="00FD7A22" w:rsidRDefault="000E4FED" w:rsidP="00D137F3">
                <w:pPr>
                  <w:pStyle w:val="tablebody"/>
                </w:pPr>
                <w:r>
                  <w:t xml:space="preserve">Engie do not have the extra gas and even if it could get gas, it would be </w:t>
                </w:r>
                <w:r w:rsidR="00D137F3">
                  <w:t xml:space="preserve">four </w:t>
                </w:r>
                <w:r>
                  <w:t>hours before they could get to minimum load.</w:t>
                </w:r>
              </w:p>
            </w:tc>
          </w:tr>
          <w:tr w:rsidR="0043334B"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FD7A22" w:rsidRPr="00FD7A22" w:rsidRDefault="003253CE" w:rsidP="008D013F">
                <w:pPr>
                  <w:pStyle w:val="tablebody"/>
                </w:pPr>
                <w:r>
                  <w:t>6</w:t>
                </w:r>
                <w:r w:rsidR="000E4FED">
                  <w:t>.03</w:t>
                </w:r>
                <w:r>
                  <w:t> </w:t>
                </w:r>
                <w:r w:rsidR="00FD7A22" w:rsidRPr="00FD7A22">
                  <w:t>pm</w:t>
                </w:r>
              </w:p>
            </w:tc>
            <w:tc>
              <w:tcPr>
                <w:tcW w:w="1543" w:type="pct"/>
              </w:tcPr>
              <w:p w:rsidR="00FD7A22" w:rsidRPr="00FD7A22" w:rsidRDefault="00FD7A22" w:rsidP="00693846">
                <w:pPr>
                  <w:pStyle w:val="tablebody"/>
                </w:pPr>
                <w:r w:rsidRPr="00FD7A22">
                  <w:t>Actual LOR3 from 6</w:t>
                </w:r>
                <w:r w:rsidR="00693846">
                  <w:t> </w:t>
                </w:r>
                <w:r w:rsidR="00693846">
                  <w:noBreakHyphen/>
                  <w:t> </w:t>
                </w:r>
                <w:r w:rsidRPr="00FD7A22">
                  <w:t>7.30</w:t>
                </w:r>
                <w:r w:rsidR="00693846">
                  <w:t> </w:t>
                </w:r>
                <w:r w:rsidRPr="00FD7A22">
                  <w:t>pm</w:t>
                </w:r>
              </w:p>
            </w:tc>
            <w:tc>
              <w:tcPr>
                <w:tcW w:w="2905" w:type="pct"/>
              </w:tcPr>
              <w:p w:rsidR="00FD7A22" w:rsidRPr="00FD7A22" w:rsidRDefault="00FD7A22" w:rsidP="008D013F">
                <w:pPr>
                  <w:pStyle w:val="tablebody"/>
                </w:pPr>
                <w:r w:rsidRPr="00FD7A22">
                  <w:t>No spare capacity to ri</w:t>
                </w:r>
                <w:r w:rsidR="0043334B">
                  <w:t>de through any unforeseen event</w:t>
                </w:r>
                <w:r w:rsidRPr="00FD7A22">
                  <w:t>.</w:t>
                </w:r>
              </w:p>
            </w:tc>
          </w:tr>
          <w:tr w:rsidR="0043334B"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FD7A22" w:rsidRPr="00FD7A22" w:rsidRDefault="00FD7A22" w:rsidP="003253CE">
                <w:pPr>
                  <w:pStyle w:val="tablebody"/>
                </w:pPr>
                <w:r w:rsidRPr="00FD7A22">
                  <w:t>6.03</w:t>
                </w:r>
                <w:r w:rsidR="003253CE">
                  <w:t> </w:t>
                </w:r>
                <w:r w:rsidRPr="00FD7A22">
                  <w:t>pm</w:t>
                </w:r>
              </w:p>
            </w:tc>
            <w:tc>
              <w:tcPr>
                <w:tcW w:w="1543" w:type="pct"/>
              </w:tcPr>
              <w:p w:rsidR="00FD7A22" w:rsidRPr="00FD7A22" w:rsidRDefault="00FD7A22" w:rsidP="00693846">
                <w:pPr>
                  <w:pStyle w:val="tablebody"/>
                </w:pPr>
                <w:r w:rsidRPr="00FD7A22">
                  <w:t>AEMO direct Electranet to shed 100</w:t>
                </w:r>
                <w:r w:rsidR="00693846">
                  <w:t> </w:t>
                </w:r>
                <w:r w:rsidRPr="00FD7A22">
                  <w:t>MW of load</w:t>
                </w:r>
              </w:p>
            </w:tc>
            <w:tc>
              <w:tcPr>
                <w:tcW w:w="2905" w:type="pct"/>
              </w:tcPr>
              <w:p w:rsidR="00FD7A22" w:rsidRPr="00FD7A22" w:rsidRDefault="006D7C28" w:rsidP="000E4FED">
                <w:pPr>
                  <w:pStyle w:val="tablebody"/>
                </w:pPr>
                <w:r>
                  <w:t xml:space="preserve">Electranet </w:t>
                </w:r>
                <w:r w:rsidR="000E4FED">
                  <w:t>instruct</w:t>
                </w:r>
                <w:r>
                  <w:t xml:space="preserve"> SA</w:t>
                </w:r>
                <w:r w:rsidR="000E4FED">
                  <w:t xml:space="preserve"> </w:t>
                </w:r>
                <w:r>
                  <w:t>P</w:t>
                </w:r>
                <w:r w:rsidR="000E4FED">
                  <w:t xml:space="preserve">ower </w:t>
                </w:r>
                <w:r>
                  <w:t>N</w:t>
                </w:r>
                <w:r w:rsidR="000E4FED">
                  <w:t>etworks</w:t>
                </w:r>
                <w:r>
                  <w:t xml:space="preserve"> to </w:t>
                </w:r>
                <w:r w:rsidR="000E4FED">
                  <w:t>s</w:t>
                </w:r>
                <w:r>
                  <w:t>hed</w:t>
                </w:r>
                <w:r w:rsidR="000E4FED">
                  <w:t xml:space="preserve"> 100 MW</w:t>
                </w:r>
                <w:r w:rsidR="00A078F7">
                  <w:t xml:space="preserve"> of residential</w:t>
                </w:r>
                <w:r w:rsidR="000E4FED">
                  <w:t xml:space="preserve"> load.</w:t>
                </w:r>
              </w:p>
            </w:tc>
          </w:tr>
          <w:tr w:rsidR="0043334B"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FD7A22" w:rsidRPr="00FD7A22" w:rsidRDefault="003253CE" w:rsidP="008D013F">
                <w:pPr>
                  <w:pStyle w:val="tablebody"/>
                </w:pPr>
                <w:r>
                  <w:t>6.20 </w:t>
                </w:r>
                <w:r w:rsidR="00FD7A22" w:rsidRPr="00FD7A22">
                  <w:t>pm</w:t>
                </w:r>
              </w:p>
            </w:tc>
            <w:tc>
              <w:tcPr>
                <w:tcW w:w="1543" w:type="pct"/>
              </w:tcPr>
              <w:p w:rsidR="00FD7A22" w:rsidRPr="00FD7A22" w:rsidRDefault="00FD7A22" w:rsidP="008D013F">
                <w:pPr>
                  <w:pStyle w:val="tablebody"/>
                </w:pPr>
                <w:r w:rsidRPr="00FD7A22">
                  <w:t>Load shedding complete</w:t>
                </w:r>
              </w:p>
            </w:tc>
            <w:tc>
              <w:tcPr>
                <w:tcW w:w="2905" w:type="pct"/>
              </w:tcPr>
              <w:p w:rsidR="00FD7A22" w:rsidRPr="00FD7A22" w:rsidRDefault="006D7C28" w:rsidP="00495595">
                <w:pPr>
                  <w:pStyle w:val="tablebody"/>
                </w:pPr>
                <w:r>
                  <w:t xml:space="preserve">Load remains </w:t>
                </w:r>
                <w:r w:rsidR="00A078F7">
                  <w:t>interrupted</w:t>
                </w:r>
                <w:r>
                  <w:t xml:space="preserve"> until AEMO </w:t>
                </w:r>
                <w:r w:rsidR="00A078F7">
                  <w:t>direct</w:t>
                </w:r>
                <w:r>
                  <w:t xml:space="preserve"> load </w:t>
                </w:r>
                <w:r w:rsidR="00A078F7">
                  <w:t xml:space="preserve">restoration. </w:t>
                </w:r>
                <w:r w:rsidR="00495595">
                  <w:t xml:space="preserve">SAPN sheds </w:t>
                </w:r>
                <w:r w:rsidRPr="00FD7A22">
                  <w:t xml:space="preserve">300 </w:t>
                </w:r>
                <w:r>
                  <w:t>MW of customer load due to software error.</w:t>
                </w:r>
              </w:p>
            </w:tc>
          </w:tr>
          <w:tr w:rsidR="00E11398"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E11398" w:rsidRPr="00FD7A22" w:rsidRDefault="00E11398" w:rsidP="008D013F">
                <w:pPr>
                  <w:pStyle w:val="tablebody"/>
                </w:pPr>
                <w:r>
                  <w:t>6.20 pm</w:t>
                </w:r>
              </w:p>
            </w:tc>
            <w:tc>
              <w:tcPr>
                <w:tcW w:w="1543" w:type="pct"/>
              </w:tcPr>
              <w:p w:rsidR="00E11398" w:rsidRPr="00FD7A22" w:rsidRDefault="00E11398" w:rsidP="008D013F">
                <w:pPr>
                  <w:pStyle w:val="tablebody"/>
                </w:pPr>
                <w:r>
                  <w:t>Imports across Murray link reduced to within safe operating thresholds.</w:t>
                </w:r>
              </w:p>
            </w:tc>
            <w:tc>
              <w:tcPr>
                <w:tcW w:w="2905" w:type="pct"/>
              </w:tcPr>
              <w:p w:rsidR="00E11398" w:rsidRPr="00FD7A22" w:rsidRDefault="00B104F6" w:rsidP="008D013F">
                <w:pPr>
                  <w:pStyle w:val="tablebody"/>
                </w:pPr>
                <w:r w:rsidRPr="00FD7A22">
                  <w:t>System returned to a secure operating state</w:t>
                </w:r>
              </w:p>
            </w:tc>
          </w:tr>
          <w:tr w:rsidR="000E4FED"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0E4FED" w:rsidRPr="00FD7A22" w:rsidRDefault="000E4FED" w:rsidP="0050565B">
                <w:pPr>
                  <w:pStyle w:val="tablebody"/>
                </w:pPr>
                <w:r>
                  <w:t>6.25 </w:t>
                </w:r>
                <w:r w:rsidRPr="00FD7A22">
                  <w:t>pm</w:t>
                </w:r>
              </w:p>
            </w:tc>
            <w:tc>
              <w:tcPr>
                <w:tcW w:w="1543" w:type="pct"/>
              </w:tcPr>
              <w:p w:rsidR="000E4FED" w:rsidRPr="00FD7A22" w:rsidRDefault="000E4FED" w:rsidP="0050565B">
                <w:pPr>
                  <w:pStyle w:val="tablebody"/>
                </w:pPr>
                <w:r w:rsidRPr="00FD7A22">
                  <w:t>Market price cap in place</w:t>
                </w:r>
                <w:r w:rsidR="00712F26">
                  <w:t xml:space="preserve"> from the 6.25 pm dispatch interval</w:t>
                </w:r>
                <w:r w:rsidRPr="00FD7A22">
                  <w:t xml:space="preserve"> </w:t>
                </w:r>
              </w:p>
            </w:tc>
            <w:tc>
              <w:tcPr>
                <w:tcW w:w="2905" w:type="pct"/>
              </w:tcPr>
              <w:p w:rsidR="000E4FED" w:rsidRPr="00FD7A22" w:rsidRDefault="000E4FED" w:rsidP="00712F26">
                <w:pPr>
                  <w:pStyle w:val="tablebody"/>
                </w:pPr>
                <w:r w:rsidRPr="00FD7A22">
                  <w:t>Each 5</w:t>
                </w:r>
                <w:r w:rsidR="00A078F7">
                  <w:t xml:space="preserve"> minute price is set to $14 </w:t>
                </w:r>
                <w:r w:rsidRPr="00FD7A22">
                  <w:t>000/MWh until the direction has ceased</w:t>
                </w:r>
              </w:p>
            </w:tc>
          </w:tr>
          <w:tr w:rsidR="000E4FED"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0E4FED" w:rsidRDefault="000E4FED" w:rsidP="008D013F">
                <w:pPr>
                  <w:pStyle w:val="tablebody"/>
                </w:pPr>
                <w:r>
                  <w:t>6.30 pm</w:t>
                </w:r>
              </w:p>
            </w:tc>
            <w:tc>
              <w:tcPr>
                <w:tcW w:w="1543" w:type="pct"/>
              </w:tcPr>
              <w:p w:rsidR="000E4FED" w:rsidRDefault="000E4FED" w:rsidP="000E4FED">
                <w:pPr>
                  <w:pStyle w:val="tablebody"/>
                </w:pPr>
                <w:r>
                  <w:t>AEMO directs ElectraNet to restore 100 MW of load</w:t>
                </w:r>
              </w:p>
            </w:tc>
            <w:tc>
              <w:tcPr>
                <w:tcW w:w="2905" w:type="pct"/>
              </w:tcPr>
              <w:p w:rsidR="000E4FED" w:rsidRPr="00FD7A22" w:rsidRDefault="000E4FED" w:rsidP="000E4FED">
                <w:pPr>
                  <w:pStyle w:val="tablebody"/>
                </w:pPr>
                <w:r>
                  <w:t>Electranet instruct SA Power Networks to restore 100 MW of load</w:t>
                </w:r>
              </w:p>
            </w:tc>
          </w:tr>
          <w:tr w:rsidR="00712F26"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712F26" w:rsidRPr="00FD7A22" w:rsidRDefault="00712F26" w:rsidP="0050565B">
                <w:pPr>
                  <w:pStyle w:val="tablebody"/>
                </w:pPr>
                <w:r>
                  <w:t>6.40 </w:t>
                </w:r>
                <w:r w:rsidRPr="00FD7A22">
                  <w:t>pm</w:t>
                </w:r>
              </w:p>
            </w:tc>
            <w:tc>
              <w:tcPr>
                <w:tcW w:w="1543" w:type="pct"/>
              </w:tcPr>
              <w:p w:rsidR="00712F26" w:rsidRPr="00FD7A22" w:rsidRDefault="00712F26" w:rsidP="0050565B">
                <w:pPr>
                  <w:pStyle w:val="tablebody"/>
                </w:pPr>
                <w:r w:rsidRPr="00FD7A22">
                  <w:t xml:space="preserve">AEMO directs Electranet to restore </w:t>
                </w:r>
                <w:r>
                  <w:t xml:space="preserve">all </w:t>
                </w:r>
                <w:r w:rsidRPr="00FD7A22">
                  <w:t>load</w:t>
                </w:r>
              </w:p>
            </w:tc>
            <w:tc>
              <w:tcPr>
                <w:tcW w:w="2905" w:type="pct"/>
              </w:tcPr>
              <w:p w:rsidR="00712F26" w:rsidRPr="00FD7A22" w:rsidRDefault="00B93BB9" w:rsidP="00B93BB9">
                <w:pPr>
                  <w:pStyle w:val="tablebody"/>
                </w:pPr>
                <w:r>
                  <w:t>All a</w:t>
                </w:r>
                <w:r w:rsidR="00712F26" w:rsidRPr="00FD7A22">
                  <w:t>ffected customers power starts to return</w:t>
                </w:r>
              </w:p>
            </w:tc>
          </w:tr>
          <w:tr w:rsidR="00712F26"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712F26" w:rsidRPr="00FD7A22" w:rsidRDefault="00712F26" w:rsidP="008D013F">
                <w:pPr>
                  <w:pStyle w:val="tablebody"/>
                </w:pPr>
                <w:r>
                  <w:t>6.49 pm</w:t>
                </w:r>
              </w:p>
            </w:tc>
            <w:tc>
              <w:tcPr>
                <w:tcW w:w="1543" w:type="pct"/>
              </w:tcPr>
              <w:p w:rsidR="00712F26" w:rsidRPr="00FD7A22" w:rsidRDefault="00712F26" w:rsidP="00712F26">
                <w:pPr>
                  <w:pStyle w:val="tablebody"/>
                </w:pPr>
                <w:r>
                  <w:t>AEMO confirms with ElectraNet that SAPN are restoring load.</w:t>
                </w:r>
              </w:p>
            </w:tc>
            <w:tc>
              <w:tcPr>
                <w:tcW w:w="2905" w:type="pct"/>
              </w:tcPr>
              <w:p w:rsidR="00712F26" w:rsidRPr="00FD7A22" w:rsidRDefault="00712F26" w:rsidP="00A078F7">
                <w:pPr>
                  <w:pStyle w:val="tablebody"/>
                </w:pPr>
                <w:r>
                  <w:t>The direction</w:t>
                </w:r>
                <w:r w:rsidR="00A078F7">
                  <w:t xml:space="preserve"> is</w:t>
                </w:r>
                <w:r>
                  <w:t xml:space="preserve"> no longer in place.</w:t>
                </w:r>
              </w:p>
            </w:tc>
          </w:tr>
          <w:tr w:rsidR="00712F26"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712F26" w:rsidRPr="00FD7A22" w:rsidRDefault="00712F26" w:rsidP="008D013F">
                <w:pPr>
                  <w:pStyle w:val="tablebody"/>
                </w:pPr>
                <w:r>
                  <w:t>6.50 </w:t>
                </w:r>
                <w:r w:rsidRPr="00FD7A22">
                  <w:t>pm</w:t>
                </w:r>
              </w:p>
            </w:tc>
            <w:tc>
              <w:tcPr>
                <w:tcW w:w="1543" w:type="pct"/>
              </w:tcPr>
              <w:p w:rsidR="00712F26" w:rsidRPr="00FD7A22" w:rsidRDefault="00712F26" w:rsidP="008D013F">
                <w:pPr>
                  <w:pStyle w:val="tablebody"/>
                </w:pPr>
                <w:r w:rsidRPr="00FD7A22">
                  <w:t>Market price cap is removed</w:t>
                </w:r>
              </w:p>
            </w:tc>
            <w:tc>
              <w:tcPr>
                <w:tcW w:w="2905" w:type="pct"/>
              </w:tcPr>
              <w:p w:rsidR="00712F26" w:rsidRPr="00FD7A22" w:rsidRDefault="00712F26" w:rsidP="00A078F7">
                <w:pPr>
                  <w:pStyle w:val="tablebody"/>
                </w:pPr>
                <w:r w:rsidRPr="00FD7A22">
                  <w:t xml:space="preserve">Normal market </w:t>
                </w:r>
                <w:r w:rsidR="00A078F7">
                  <w:t xml:space="preserve">bid stack pricing </w:t>
                </w:r>
                <w:r w:rsidRPr="00FD7A22">
                  <w:t>resumes</w:t>
                </w:r>
              </w:p>
            </w:tc>
          </w:tr>
          <w:tr w:rsidR="00712F26" w:rsidTr="00B104F6">
            <w:trPr>
              <w:cnfStyle w:val="000000100000" w:firstRow="0" w:lastRow="0" w:firstColumn="0" w:lastColumn="0" w:oddVBand="0" w:evenVBand="0" w:oddHBand="1" w:evenHBand="0" w:firstRowFirstColumn="0" w:firstRowLastColumn="0" w:lastRowFirstColumn="0" w:lastRowLastColumn="0"/>
              <w:trHeight w:val="295"/>
            </w:trPr>
            <w:tc>
              <w:tcPr>
                <w:tcW w:w="552" w:type="pct"/>
              </w:tcPr>
              <w:p w:rsidR="00712F26" w:rsidRPr="00FD7A22" w:rsidRDefault="00712F26" w:rsidP="008D013F">
                <w:pPr>
                  <w:pStyle w:val="tablebody"/>
                </w:pPr>
                <w:r>
                  <w:t>7 pm</w:t>
                </w:r>
              </w:p>
            </w:tc>
            <w:tc>
              <w:tcPr>
                <w:tcW w:w="1543" w:type="pct"/>
              </w:tcPr>
              <w:p w:rsidR="00712F26" w:rsidRPr="00FD7A22" w:rsidRDefault="00712F26" w:rsidP="008D013F">
                <w:pPr>
                  <w:pStyle w:val="tablebody"/>
                </w:pPr>
                <w:r>
                  <w:t>LOR3 is cancelled</w:t>
                </w:r>
              </w:p>
            </w:tc>
            <w:tc>
              <w:tcPr>
                <w:tcW w:w="2905" w:type="pct"/>
              </w:tcPr>
              <w:p w:rsidR="00712F26" w:rsidRPr="00FD7A22" w:rsidRDefault="00712F26" w:rsidP="008D013F">
                <w:pPr>
                  <w:pStyle w:val="tablebody"/>
                </w:pPr>
                <w:r>
                  <w:t>Sufficient spare capacity is available to cope with a single unplanned failure</w:t>
                </w:r>
              </w:p>
            </w:tc>
          </w:tr>
          <w:tr w:rsidR="00712F26" w:rsidTr="00B104F6">
            <w:trPr>
              <w:cnfStyle w:val="000000010000" w:firstRow="0" w:lastRow="0" w:firstColumn="0" w:lastColumn="0" w:oddVBand="0" w:evenVBand="0" w:oddHBand="0" w:evenHBand="1" w:firstRowFirstColumn="0" w:firstRowLastColumn="0" w:lastRowFirstColumn="0" w:lastRowLastColumn="0"/>
              <w:trHeight w:val="295"/>
            </w:trPr>
            <w:tc>
              <w:tcPr>
                <w:tcW w:w="552" w:type="pct"/>
              </w:tcPr>
              <w:p w:rsidR="00712F26" w:rsidRDefault="00712F26" w:rsidP="008D013F">
                <w:pPr>
                  <w:pStyle w:val="tablebody"/>
                </w:pPr>
                <w:r>
                  <w:t>7.08 pm</w:t>
                </w:r>
              </w:p>
            </w:tc>
            <w:tc>
              <w:tcPr>
                <w:tcW w:w="1543" w:type="pct"/>
              </w:tcPr>
              <w:p w:rsidR="00712F26" w:rsidRDefault="00712F26" w:rsidP="008D013F">
                <w:pPr>
                  <w:pStyle w:val="tablebody"/>
                </w:pPr>
                <w:r>
                  <w:t>Customer load is fully restored</w:t>
                </w:r>
              </w:p>
            </w:tc>
            <w:tc>
              <w:tcPr>
                <w:tcW w:w="2905" w:type="pct"/>
              </w:tcPr>
              <w:p w:rsidR="00712F26" w:rsidRDefault="00712F26" w:rsidP="008D013F">
                <w:pPr>
                  <w:pStyle w:val="tablebody"/>
                </w:pPr>
              </w:p>
            </w:tc>
          </w:tr>
        </w:tbl>
        <w:p w:rsidR="003F73DF" w:rsidRPr="006D5E16" w:rsidRDefault="003F73DF" w:rsidP="003F73DF">
          <w:pPr>
            <w:rPr>
              <w:rStyle w:val="Bold"/>
            </w:rPr>
          </w:pPr>
          <w:r w:rsidRPr="006D5E16">
            <w:rPr>
              <w:rStyle w:val="Bold"/>
            </w:rPr>
            <w:t>Australian Energy Regulator</w:t>
          </w:r>
        </w:p>
        <w:p w:rsidR="003F73DF" w:rsidRPr="00A640CA" w:rsidRDefault="003F73DF" w:rsidP="003F73DF">
          <w:pPr>
            <w:rPr>
              <w:b/>
              <w:bCs/>
            </w:rPr>
          </w:pPr>
          <w:r>
            <w:rPr>
              <w:rStyle w:val="Bold"/>
            </w:rPr>
            <w:t>April</w:t>
          </w:r>
          <w:r w:rsidRPr="006D5E16">
            <w:rPr>
              <w:rStyle w:val="Bold"/>
            </w:rPr>
            <w:t xml:space="preserve"> </w:t>
          </w:r>
          <w:r>
            <w:rPr>
              <w:rStyle w:val="Bold"/>
            </w:rPr>
            <w:t>2017</w:t>
          </w:r>
        </w:p>
        <w:p w:rsidR="00C7068C" w:rsidRDefault="003250C8" w:rsidP="00C7068C">
          <w:pPr>
            <w:pStyle w:val="Heading1notnumber"/>
          </w:pPr>
          <w:bookmarkStart w:id="34" w:name="_Toc480971273"/>
          <w:bookmarkEnd w:id="29"/>
          <w:bookmarkEnd w:id="30"/>
          <w:bookmarkEnd w:id="31"/>
          <w:r>
            <w:lastRenderedPageBreak/>
            <w:t xml:space="preserve">Appendix </w:t>
          </w:r>
          <w:r w:rsidR="00C7068C">
            <w:t>A</w:t>
          </w:r>
          <w:r w:rsidR="00B602E3">
            <w:t>:</w:t>
          </w:r>
          <w:r w:rsidR="00C7068C">
            <w:tab/>
            <w:t>Significant Rebids</w:t>
          </w:r>
          <w:bookmarkEnd w:id="34"/>
        </w:p>
        <w:p w:rsidR="00C7068C" w:rsidRPr="00723711" w:rsidRDefault="00C7068C" w:rsidP="00CC1DD3">
          <w:pPr>
            <w:pStyle w:val="AERBody"/>
          </w:pPr>
          <w:r w:rsidRPr="00723711">
            <w:t>The rebidding tables highlight the relevant rebids submitted by generators that impacted on market outcomes during the time of high prices. It details the time the rebid was submitted and used by the dispatch process, the capacity involved</w:t>
          </w:r>
          <w:r w:rsidR="00CC65AF" w:rsidRPr="00723711">
            <w:t>,</w:t>
          </w:r>
          <w:r w:rsidRPr="00723711">
            <w:t xml:space="preserve"> the change in the price of the capacity was being offered</w:t>
          </w:r>
          <w:r w:rsidR="00CC65AF" w:rsidRPr="00723711">
            <w:t xml:space="preserve"> and</w:t>
          </w:r>
          <w:r w:rsidRPr="00723711">
            <w:t xml:space="preserve"> </w:t>
          </w:r>
          <w:r w:rsidR="00CC65AF" w:rsidRPr="00723711">
            <w:t>t</w:t>
          </w:r>
          <w:r w:rsidRPr="00723711">
            <w:t xml:space="preserve">he </w:t>
          </w:r>
          <w:r w:rsidR="00CC65AF" w:rsidRPr="00723711">
            <w:t>rebid reason</w:t>
          </w:r>
          <w:r w:rsidRPr="00723711">
            <w:t>.</w:t>
          </w:r>
        </w:p>
        <w:p w:rsidR="005B089A" w:rsidRDefault="005B089A" w:rsidP="005B089A">
          <w:pPr>
            <w:pStyle w:val="Caption"/>
          </w:pPr>
          <w:r>
            <w:t xml:space="preserve">Table </w:t>
          </w:r>
          <w:fldSimple w:instr=" SEQ Table \* ARABIC ">
            <w:r w:rsidR="005B5767">
              <w:rPr>
                <w:noProof/>
              </w:rPr>
              <w:t>6</w:t>
            </w:r>
          </w:fldSimple>
          <w:r>
            <w:t xml:space="preserve">: Energy rebids during the high price period </w:t>
          </w:r>
        </w:p>
        <w:tbl>
          <w:tblPr>
            <w:tblStyle w:val="AERsummarytable"/>
            <w:tblW w:w="9829" w:type="dxa"/>
            <w:tblInd w:w="-34" w:type="dxa"/>
            <w:tblLook w:val="04A0" w:firstRow="1" w:lastRow="0" w:firstColumn="1" w:lastColumn="0" w:noHBand="0" w:noVBand="1"/>
          </w:tblPr>
          <w:tblGrid>
            <w:gridCol w:w="867"/>
            <w:gridCol w:w="961"/>
            <w:gridCol w:w="961"/>
            <w:gridCol w:w="1171"/>
            <w:gridCol w:w="1107"/>
            <w:gridCol w:w="995"/>
            <w:gridCol w:w="983"/>
            <w:gridCol w:w="983"/>
            <w:gridCol w:w="1801"/>
          </w:tblGrid>
          <w:tr w:rsidR="005B089A" w:rsidRPr="00FE396E" w:rsidTr="00CC1DD3">
            <w:trPr>
              <w:cnfStyle w:val="100000000000" w:firstRow="1" w:lastRow="0" w:firstColumn="0" w:lastColumn="0" w:oddVBand="0" w:evenVBand="0" w:oddHBand="0" w:evenHBand="0" w:firstRowFirstColumn="0" w:firstRowLastColumn="0" w:lastRowFirstColumn="0" w:lastRowLastColumn="0"/>
              <w:trHeight w:val="780"/>
              <w:tblHeader/>
            </w:trPr>
            <w:tc>
              <w:tcPr>
                <w:tcW w:w="867" w:type="dxa"/>
                <w:vAlign w:val="center"/>
              </w:tcPr>
              <w:p w:rsidR="005B089A" w:rsidRPr="00555A4D" w:rsidRDefault="005B089A" w:rsidP="00301FE3">
                <w:pPr>
                  <w:pStyle w:val="TableHeading"/>
                </w:pPr>
                <w:r w:rsidRPr="00555A4D">
                  <w:rPr>
                    <w:rStyle w:val="a531"/>
                    <w:sz w:val="20"/>
                    <w:szCs w:val="20"/>
                  </w:rPr>
                  <w:t>Submit time</w:t>
                </w:r>
              </w:p>
            </w:tc>
            <w:tc>
              <w:tcPr>
                <w:tcW w:w="961" w:type="dxa"/>
              </w:tcPr>
              <w:p w:rsidR="005B089A" w:rsidRPr="00555A4D" w:rsidRDefault="005B089A" w:rsidP="00301FE3">
                <w:pPr>
                  <w:pStyle w:val="TableHeading"/>
                  <w:rPr>
                    <w:color w:val="000000"/>
                  </w:rPr>
                </w:pPr>
                <w:r w:rsidRPr="00555A4D">
                  <w:t>Effected high price trading intervals</w:t>
                </w:r>
              </w:p>
            </w:tc>
            <w:tc>
              <w:tcPr>
                <w:tcW w:w="961" w:type="dxa"/>
                <w:vAlign w:val="center"/>
              </w:tcPr>
              <w:p w:rsidR="005B089A" w:rsidRPr="00555A4D" w:rsidRDefault="005B089A" w:rsidP="00301FE3">
                <w:pPr>
                  <w:pStyle w:val="TableHeading"/>
                </w:pPr>
                <w:r w:rsidRPr="00555A4D">
                  <w:t>Time effective</w:t>
                </w:r>
              </w:p>
            </w:tc>
            <w:tc>
              <w:tcPr>
                <w:tcW w:w="1183" w:type="dxa"/>
                <w:vAlign w:val="center"/>
                <w:hideMark/>
              </w:tcPr>
              <w:p w:rsidR="005B089A" w:rsidRPr="00555A4D" w:rsidRDefault="005B089A" w:rsidP="00301FE3">
                <w:pPr>
                  <w:pStyle w:val="TableHeading"/>
                </w:pPr>
                <w:r w:rsidRPr="00555A4D">
                  <w:t>Participant</w:t>
                </w:r>
              </w:p>
            </w:tc>
            <w:tc>
              <w:tcPr>
                <w:tcW w:w="860" w:type="dxa"/>
                <w:vAlign w:val="center"/>
                <w:hideMark/>
              </w:tcPr>
              <w:p w:rsidR="005B089A" w:rsidRPr="00555A4D" w:rsidRDefault="005B089A" w:rsidP="00301FE3">
                <w:pPr>
                  <w:pStyle w:val="TableHeading"/>
                </w:pPr>
                <w:r w:rsidRPr="00555A4D">
                  <w:t>Station</w:t>
                </w:r>
              </w:p>
            </w:tc>
            <w:tc>
              <w:tcPr>
                <w:tcW w:w="995" w:type="dxa"/>
                <w:vAlign w:val="center"/>
                <w:hideMark/>
              </w:tcPr>
              <w:p w:rsidR="005B089A" w:rsidRPr="00555A4D" w:rsidRDefault="005B089A" w:rsidP="00301FE3">
                <w:pPr>
                  <w:pStyle w:val="TableHeading"/>
                </w:pPr>
                <w:r w:rsidRPr="00555A4D">
                  <w:rPr>
                    <w:rStyle w:val="a691"/>
                    <w:sz w:val="20"/>
                    <w:szCs w:val="20"/>
                  </w:rPr>
                  <w:t>Capacity rebid</w:t>
                </w:r>
                <w:r w:rsidRPr="00555A4D">
                  <w:br/>
                </w:r>
                <w:r w:rsidRPr="00555A4D">
                  <w:rPr>
                    <w:rStyle w:val="a691"/>
                    <w:sz w:val="20"/>
                    <w:szCs w:val="20"/>
                  </w:rPr>
                  <w:t>(MW)</w:t>
                </w:r>
              </w:p>
            </w:tc>
            <w:tc>
              <w:tcPr>
                <w:tcW w:w="983" w:type="dxa"/>
                <w:vAlign w:val="center"/>
                <w:hideMark/>
              </w:tcPr>
              <w:p w:rsidR="005B089A" w:rsidRPr="00555A4D" w:rsidRDefault="005B089A" w:rsidP="00301FE3">
                <w:pPr>
                  <w:pStyle w:val="TableHeading"/>
                </w:pPr>
                <w:r w:rsidRPr="00555A4D">
                  <w:rPr>
                    <w:rStyle w:val="a731"/>
                    <w:sz w:val="20"/>
                    <w:szCs w:val="20"/>
                  </w:rPr>
                  <w:t>Price from</w:t>
                </w:r>
                <w:r w:rsidRPr="00555A4D">
                  <w:br/>
                </w:r>
                <w:r w:rsidRPr="00555A4D">
                  <w:rPr>
                    <w:rStyle w:val="a731"/>
                    <w:sz w:val="20"/>
                    <w:szCs w:val="20"/>
                  </w:rPr>
                  <w:t>($/MWh)</w:t>
                </w:r>
              </w:p>
            </w:tc>
            <w:tc>
              <w:tcPr>
                <w:tcW w:w="983" w:type="dxa"/>
                <w:vAlign w:val="center"/>
                <w:hideMark/>
              </w:tcPr>
              <w:p w:rsidR="005B089A" w:rsidRPr="00555A4D" w:rsidRDefault="005B089A" w:rsidP="00301FE3">
                <w:pPr>
                  <w:pStyle w:val="TableHeading"/>
                </w:pPr>
                <w:r w:rsidRPr="00555A4D">
                  <w:rPr>
                    <w:rStyle w:val="a771"/>
                    <w:sz w:val="20"/>
                    <w:szCs w:val="20"/>
                  </w:rPr>
                  <w:t>Price to ($/MWh)</w:t>
                </w:r>
              </w:p>
            </w:tc>
            <w:tc>
              <w:tcPr>
                <w:tcW w:w="2036" w:type="dxa"/>
                <w:vAlign w:val="center"/>
                <w:hideMark/>
              </w:tcPr>
              <w:p w:rsidR="005B089A" w:rsidRPr="00555A4D" w:rsidRDefault="005B089A" w:rsidP="00301FE3">
                <w:pPr>
                  <w:pStyle w:val="TableHeading"/>
                </w:pPr>
                <w:r w:rsidRPr="00555A4D">
                  <w:t>Rebid reason</w:t>
                </w:r>
              </w:p>
            </w:tc>
          </w:tr>
          <w:tr w:rsidR="002837C6" w:rsidRPr="00CC709A" w:rsidTr="00590D64">
            <w:trPr>
              <w:cnfStyle w:val="000000100000" w:firstRow="0" w:lastRow="0" w:firstColumn="0" w:lastColumn="0" w:oddVBand="0" w:evenVBand="0" w:oddHBand="1" w:evenHBand="0" w:firstRowFirstColumn="0" w:firstRowLastColumn="0" w:lastRowFirstColumn="0" w:lastRowLastColumn="0"/>
              <w:trHeight w:val="1048"/>
            </w:trPr>
            <w:tc>
              <w:tcPr>
                <w:tcW w:w="867" w:type="dxa"/>
                <w:vAlign w:val="center"/>
              </w:tcPr>
              <w:p w:rsidR="002837C6" w:rsidRDefault="002837C6" w:rsidP="00590D64">
                <w:pPr>
                  <w:pStyle w:val="AERBody"/>
                </w:pPr>
                <w:r>
                  <w:t>3.09 pm</w:t>
                </w:r>
              </w:p>
            </w:tc>
            <w:tc>
              <w:tcPr>
                <w:tcW w:w="961" w:type="dxa"/>
                <w:vAlign w:val="center"/>
              </w:tcPr>
              <w:p w:rsidR="002837C6" w:rsidRPr="00107AB8" w:rsidRDefault="002837C6" w:rsidP="00590D64">
                <w:pPr>
                  <w:pStyle w:val="AERBody"/>
                </w:pPr>
                <w:r>
                  <w:t>5.30–7.30</w:t>
                </w:r>
              </w:p>
            </w:tc>
            <w:tc>
              <w:tcPr>
                <w:tcW w:w="961" w:type="dxa"/>
                <w:vAlign w:val="center"/>
              </w:tcPr>
              <w:p w:rsidR="002837C6" w:rsidRPr="00800EB6" w:rsidRDefault="002837C6" w:rsidP="00590D64">
                <w:pPr>
                  <w:pStyle w:val="AERBody"/>
                  <w:rPr>
                    <w:szCs w:val="18"/>
                  </w:rPr>
                </w:pPr>
              </w:p>
            </w:tc>
            <w:tc>
              <w:tcPr>
                <w:tcW w:w="1183" w:type="dxa"/>
                <w:vAlign w:val="center"/>
              </w:tcPr>
              <w:p w:rsidR="002837C6" w:rsidRDefault="002837C6" w:rsidP="00590D64">
                <w:pPr>
                  <w:pStyle w:val="AERBody"/>
                </w:pPr>
                <w:r>
                  <w:t>AGL Energy</w:t>
                </w:r>
              </w:p>
            </w:tc>
            <w:tc>
              <w:tcPr>
                <w:tcW w:w="860" w:type="dxa"/>
                <w:vAlign w:val="center"/>
              </w:tcPr>
              <w:p w:rsidR="002837C6" w:rsidRDefault="002837C6" w:rsidP="00590D64">
                <w:pPr>
                  <w:pStyle w:val="AERBody"/>
                </w:pPr>
                <w:r>
                  <w:t>Torrens Island B2</w:t>
                </w:r>
              </w:p>
            </w:tc>
            <w:tc>
              <w:tcPr>
                <w:tcW w:w="995" w:type="dxa"/>
                <w:vAlign w:val="center"/>
              </w:tcPr>
              <w:p w:rsidR="002837C6" w:rsidRDefault="002837C6" w:rsidP="00590D64">
                <w:pPr>
                  <w:pStyle w:val="AERBody"/>
                </w:pPr>
                <w:r>
                  <w:t>20</w:t>
                </w:r>
              </w:p>
            </w:tc>
            <w:tc>
              <w:tcPr>
                <w:tcW w:w="983" w:type="dxa"/>
                <w:vAlign w:val="center"/>
              </w:tcPr>
              <w:p w:rsidR="002837C6" w:rsidRDefault="002837C6" w:rsidP="00590D64">
                <w:pPr>
                  <w:pStyle w:val="AERBody"/>
                </w:pPr>
                <w:r>
                  <w:t>N/A</w:t>
                </w:r>
              </w:p>
            </w:tc>
            <w:tc>
              <w:tcPr>
                <w:tcW w:w="983" w:type="dxa"/>
                <w:vAlign w:val="center"/>
              </w:tcPr>
              <w:p w:rsidR="002837C6" w:rsidRDefault="002837C6" w:rsidP="00590D64">
                <w:pPr>
                  <w:pStyle w:val="AERBody"/>
                </w:pPr>
                <w:r>
                  <w:t>14 000</w:t>
                </w:r>
              </w:p>
            </w:tc>
            <w:tc>
              <w:tcPr>
                <w:tcW w:w="2036" w:type="dxa"/>
                <w:vAlign w:val="center"/>
              </w:tcPr>
              <w:p w:rsidR="002837C6" w:rsidRDefault="002837C6" w:rsidP="00590D64">
                <w:pPr>
                  <w:pStyle w:val="AERBody"/>
                  <w:jc w:val="left"/>
                </w:pPr>
                <w:r>
                  <w:rPr>
                    <w:rFonts w:cs="Arial"/>
                    <w:sz w:val="16"/>
                    <w:szCs w:val="16"/>
                  </w:rPr>
                  <w:t>1506~P~030 increase in avail cap~301 plant limit lifted 20 MW</w:t>
                </w:r>
              </w:p>
            </w:tc>
          </w:tr>
          <w:tr w:rsidR="005B089A" w:rsidRPr="00CC709A" w:rsidTr="00CC1DD3">
            <w:trPr>
              <w:cnfStyle w:val="000000010000" w:firstRow="0" w:lastRow="0" w:firstColumn="0" w:lastColumn="0" w:oddVBand="0" w:evenVBand="0" w:oddHBand="0" w:evenHBand="1" w:firstRowFirstColumn="0" w:firstRowLastColumn="0" w:lastRowFirstColumn="0" w:lastRowLastColumn="0"/>
              <w:trHeight w:val="1048"/>
            </w:trPr>
            <w:tc>
              <w:tcPr>
                <w:tcW w:w="867" w:type="dxa"/>
                <w:vAlign w:val="center"/>
              </w:tcPr>
              <w:p w:rsidR="005B089A" w:rsidRDefault="005B089A" w:rsidP="00FA0A56">
                <w:pPr>
                  <w:pStyle w:val="AERBody"/>
                </w:pPr>
                <w:r>
                  <w:t>3.53 pm</w:t>
                </w:r>
              </w:p>
            </w:tc>
            <w:tc>
              <w:tcPr>
                <w:tcW w:w="961" w:type="dxa"/>
                <w:vAlign w:val="center"/>
              </w:tcPr>
              <w:p w:rsidR="005B089A" w:rsidRPr="00107AB8" w:rsidRDefault="005B089A" w:rsidP="009510A1">
                <w:pPr>
                  <w:pStyle w:val="AERBody"/>
                </w:pPr>
                <w:r>
                  <w:t>5.30–7.30</w:t>
                </w:r>
              </w:p>
            </w:tc>
            <w:tc>
              <w:tcPr>
                <w:tcW w:w="961" w:type="dxa"/>
                <w:vAlign w:val="center"/>
              </w:tcPr>
              <w:p w:rsidR="005B089A" w:rsidRPr="00800EB6" w:rsidRDefault="005B089A" w:rsidP="00FA0A56">
                <w:pPr>
                  <w:pStyle w:val="AERBody"/>
                  <w:rPr>
                    <w:szCs w:val="18"/>
                  </w:rPr>
                </w:pPr>
              </w:p>
            </w:tc>
            <w:tc>
              <w:tcPr>
                <w:tcW w:w="1183" w:type="dxa"/>
                <w:vAlign w:val="center"/>
              </w:tcPr>
              <w:p w:rsidR="005B089A" w:rsidRDefault="005B089A" w:rsidP="00FA0A56">
                <w:pPr>
                  <w:pStyle w:val="AERBody"/>
                </w:pPr>
                <w:r>
                  <w:t>Engie</w:t>
                </w:r>
              </w:p>
            </w:tc>
            <w:tc>
              <w:tcPr>
                <w:tcW w:w="860" w:type="dxa"/>
                <w:vAlign w:val="center"/>
              </w:tcPr>
              <w:p w:rsidR="005B089A" w:rsidRDefault="00F40DFA" w:rsidP="00FA0A56">
                <w:pPr>
                  <w:pStyle w:val="AERBody"/>
                </w:pPr>
                <w:r>
                  <w:t>Port Lincoln</w:t>
                </w:r>
                <w:r w:rsidR="005B089A">
                  <w:t xml:space="preserve"> </w:t>
                </w:r>
              </w:p>
            </w:tc>
            <w:tc>
              <w:tcPr>
                <w:tcW w:w="995" w:type="dxa"/>
                <w:vAlign w:val="center"/>
              </w:tcPr>
              <w:p w:rsidR="005B089A" w:rsidRDefault="005B089A" w:rsidP="00FA0A56">
                <w:pPr>
                  <w:pStyle w:val="AERBody"/>
                </w:pPr>
                <w:r>
                  <w:t>-55</w:t>
                </w:r>
              </w:p>
            </w:tc>
            <w:tc>
              <w:tcPr>
                <w:tcW w:w="983" w:type="dxa"/>
                <w:vAlign w:val="center"/>
              </w:tcPr>
              <w:p w:rsidR="005B089A" w:rsidRDefault="005B089A" w:rsidP="00FA0A56">
                <w:pPr>
                  <w:pStyle w:val="AERBody"/>
                </w:pPr>
                <w:r>
                  <w:t>14</w:t>
                </w:r>
                <w:r w:rsidR="00FC5989">
                  <w:t> </w:t>
                </w:r>
                <w:r>
                  <w:t>000</w:t>
                </w:r>
              </w:p>
            </w:tc>
            <w:tc>
              <w:tcPr>
                <w:tcW w:w="983" w:type="dxa"/>
                <w:vAlign w:val="center"/>
              </w:tcPr>
              <w:p w:rsidR="005B089A" w:rsidRDefault="005B089A" w:rsidP="00FA0A56">
                <w:pPr>
                  <w:pStyle w:val="AERBody"/>
                </w:pPr>
                <w:r>
                  <w:t>N/A</w:t>
                </w:r>
              </w:p>
            </w:tc>
            <w:tc>
              <w:tcPr>
                <w:tcW w:w="2036" w:type="dxa"/>
                <w:vAlign w:val="center"/>
              </w:tcPr>
              <w:p w:rsidR="005B089A" w:rsidRDefault="005B089A" w:rsidP="00FC5989">
                <w:pPr>
                  <w:pStyle w:val="AERBody"/>
                  <w:jc w:val="left"/>
                </w:pPr>
                <w:r>
                  <w:t xml:space="preserve">1552P </w:t>
                </w:r>
                <w:r w:rsidR="00555A4D">
                  <w:t xml:space="preserve">units </w:t>
                </w:r>
                <w:proofErr w:type="spellStart"/>
                <w:r w:rsidR="00555A4D">
                  <w:t>oos</w:t>
                </w:r>
                <w:proofErr w:type="spellEnd"/>
                <w:r w:rsidR="00555A4D">
                  <w:t xml:space="preserve"> – control signal fault</w:t>
                </w:r>
              </w:p>
            </w:tc>
          </w:tr>
          <w:tr w:rsidR="005B089A" w:rsidRPr="00CC709A" w:rsidTr="00CC1DD3">
            <w:trPr>
              <w:cnfStyle w:val="000000100000" w:firstRow="0" w:lastRow="0" w:firstColumn="0" w:lastColumn="0" w:oddVBand="0" w:evenVBand="0" w:oddHBand="1" w:evenHBand="0" w:firstRowFirstColumn="0" w:firstRowLastColumn="0" w:lastRowFirstColumn="0" w:lastRowLastColumn="0"/>
              <w:trHeight w:val="1048"/>
            </w:trPr>
            <w:tc>
              <w:tcPr>
                <w:tcW w:w="867" w:type="dxa"/>
                <w:vAlign w:val="center"/>
              </w:tcPr>
              <w:p w:rsidR="005B089A" w:rsidRDefault="005B089A" w:rsidP="00FA0A56">
                <w:pPr>
                  <w:pStyle w:val="AERBody"/>
                </w:pPr>
                <w:r>
                  <w:t>4.24 pm</w:t>
                </w:r>
              </w:p>
            </w:tc>
            <w:tc>
              <w:tcPr>
                <w:tcW w:w="961" w:type="dxa"/>
                <w:vAlign w:val="center"/>
              </w:tcPr>
              <w:p w:rsidR="005B089A" w:rsidRPr="00107AB8" w:rsidRDefault="005B089A" w:rsidP="009510A1">
                <w:pPr>
                  <w:pStyle w:val="AERBody"/>
                </w:pPr>
                <w:r w:rsidRPr="00107AB8">
                  <w:t>5.30</w:t>
                </w:r>
                <w:r>
                  <w:t>–</w:t>
                </w:r>
                <w:r w:rsidRPr="00107AB8">
                  <w:t>7</w:t>
                </w:r>
                <w:r>
                  <w:t>.30</w:t>
                </w:r>
                <w:r w:rsidRPr="00107AB8">
                  <w:t> pm</w:t>
                </w:r>
              </w:p>
            </w:tc>
            <w:tc>
              <w:tcPr>
                <w:tcW w:w="961" w:type="dxa"/>
                <w:vAlign w:val="center"/>
              </w:tcPr>
              <w:p w:rsidR="005B089A" w:rsidRPr="00800EB6" w:rsidRDefault="005B089A" w:rsidP="00FA0A56">
                <w:pPr>
                  <w:pStyle w:val="AERBody"/>
                  <w:rPr>
                    <w:szCs w:val="18"/>
                  </w:rPr>
                </w:pPr>
                <w:r w:rsidRPr="00800EB6">
                  <w:rPr>
                    <w:szCs w:val="18"/>
                  </w:rPr>
                  <w:t> </w:t>
                </w: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r w:rsidR="00825E69">
                  <w:t xml:space="preserve"> A3</w:t>
                </w:r>
              </w:p>
            </w:tc>
            <w:tc>
              <w:tcPr>
                <w:tcW w:w="995" w:type="dxa"/>
                <w:vAlign w:val="center"/>
              </w:tcPr>
              <w:p w:rsidR="005B089A" w:rsidRDefault="005B089A" w:rsidP="00FA0A56">
                <w:pPr>
                  <w:pStyle w:val="AERBody"/>
                </w:pPr>
                <w:r>
                  <w:t>-10</w:t>
                </w:r>
              </w:p>
            </w:tc>
            <w:tc>
              <w:tcPr>
                <w:tcW w:w="983" w:type="dxa"/>
                <w:vAlign w:val="center"/>
              </w:tcPr>
              <w:p w:rsidR="005B089A" w:rsidRDefault="005B089A" w:rsidP="00FA0A56">
                <w:pPr>
                  <w:pStyle w:val="AERBody"/>
                </w:pPr>
                <w:r>
                  <w:t>&lt;300</w:t>
                </w:r>
              </w:p>
            </w:tc>
            <w:tc>
              <w:tcPr>
                <w:tcW w:w="983" w:type="dxa"/>
                <w:vAlign w:val="center"/>
              </w:tcPr>
              <w:p w:rsidR="005B089A" w:rsidRDefault="005B089A" w:rsidP="00FA0A56">
                <w:pPr>
                  <w:pStyle w:val="AERBody"/>
                </w:pPr>
                <w:r>
                  <w:t>N/A</w:t>
                </w:r>
              </w:p>
            </w:tc>
            <w:tc>
              <w:tcPr>
                <w:tcW w:w="2036" w:type="dxa"/>
                <w:vAlign w:val="center"/>
              </w:tcPr>
              <w:p w:rsidR="005B089A" w:rsidRDefault="005B089A" w:rsidP="00FC5989">
                <w:pPr>
                  <w:pStyle w:val="AERBody"/>
                  <w:jc w:val="left"/>
                </w:pPr>
                <w:r>
                  <w:t>1624~P~</w:t>
                </w:r>
                <w:r w:rsidR="00555A4D">
                  <w:t>020 reduction in avail cap~203 plant failure 10MW</w:t>
                </w:r>
              </w:p>
            </w:tc>
          </w:tr>
          <w:tr w:rsidR="005B089A" w:rsidRPr="00CC709A" w:rsidTr="00CC1DD3">
            <w:trPr>
              <w:cnfStyle w:val="000000010000" w:firstRow="0" w:lastRow="0" w:firstColumn="0" w:lastColumn="0" w:oddVBand="0" w:evenVBand="0" w:oddHBand="0" w:evenHBand="1" w:firstRowFirstColumn="0" w:firstRowLastColumn="0" w:lastRowFirstColumn="0" w:lastRowLastColumn="0"/>
              <w:trHeight w:val="993"/>
            </w:trPr>
            <w:tc>
              <w:tcPr>
                <w:tcW w:w="867" w:type="dxa"/>
                <w:vAlign w:val="center"/>
              </w:tcPr>
              <w:p w:rsidR="005B089A" w:rsidRDefault="005B089A" w:rsidP="00FA0A56">
                <w:pPr>
                  <w:pStyle w:val="AERBody"/>
                </w:pPr>
                <w:r>
                  <w:t>4.48 pm</w:t>
                </w:r>
              </w:p>
            </w:tc>
            <w:tc>
              <w:tcPr>
                <w:tcW w:w="961" w:type="dxa"/>
                <w:vAlign w:val="center"/>
              </w:tcPr>
              <w:p w:rsidR="005B089A" w:rsidRPr="00107AB8" w:rsidRDefault="009510A1" w:rsidP="009510A1">
                <w:pPr>
                  <w:pStyle w:val="AERBody"/>
                </w:pPr>
                <w:r>
                  <w:t>5.30</w:t>
                </w:r>
                <w:r w:rsidR="005B089A" w:rsidRPr="00107AB8">
                  <w:t>-7 pm</w:t>
                </w:r>
              </w:p>
            </w:tc>
            <w:tc>
              <w:tcPr>
                <w:tcW w:w="961" w:type="dxa"/>
                <w:vAlign w:val="center"/>
              </w:tcPr>
              <w:p w:rsidR="005B089A" w:rsidRPr="00800EB6" w:rsidRDefault="005B089A" w:rsidP="00FA0A56">
                <w:pPr>
                  <w:pStyle w:val="AERBody"/>
                  <w:rPr>
                    <w:szCs w:val="18"/>
                  </w:rPr>
                </w:pPr>
                <w:r w:rsidRPr="00800EB6">
                  <w:rPr>
                    <w:szCs w:val="18"/>
                  </w:rPr>
                  <w:t> </w:t>
                </w: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r w:rsidR="00825E69">
                  <w:t xml:space="preserve"> B1</w:t>
                </w:r>
              </w:p>
            </w:tc>
            <w:tc>
              <w:tcPr>
                <w:tcW w:w="995" w:type="dxa"/>
                <w:vAlign w:val="center"/>
              </w:tcPr>
              <w:p w:rsidR="005B089A" w:rsidRDefault="005B089A" w:rsidP="009510A1">
                <w:pPr>
                  <w:pStyle w:val="AERBody"/>
                </w:pPr>
                <w:r w:rsidRPr="00A078F7">
                  <w:t>-</w:t>
                </w:r>
                <w:r w:rsidR="009510A1" w:rsidRPr="00A078F7">
                  <w:t>20</w:t>
                </w:r>
              </w:p>
            </w:tc>
            <w:tc>
              <w:tcPr>
                <w:tcW w:w="983" w:type="dxa"/>
                <w:vAlign w:val="center"/>
              </w:tcPr>
              <w:p w:rsidR="005B089A" w:rsidRDefault="005B089A" w:rsidP="00FA0A56">
                <w:pPr>
                  <w:pStyle w:val="AERBody"/>
                </w:pPr>
                <w:r>
                  <w:t>&lt;350</w:t>
                </w:r>
              </w:p>
            </w:tc>
            <w:tc>
              <w:tcPr>
                <w:tcW w:w="983" w:type="dxa"/>
                <w:vAlign w:val="center"/>
              </w:tcPr>
              <w:p w:rsidR="005B089A" w:rsidRDefault="005B089A" w:rsidP="00FA0A56">
                <w:pPr>
                  <w:pStyle w:val="AERBody"/>
                </w:pPr>
                <w:r>
                  <w:t>N/A</w:t>
                </w:r>
              </w:p>
            </w:tc>
            <w:tc>
              <w:tcPr>
                <w:tcW w:w="2036" w:type="dxa"/>
                <w:vAlign w:val="center"/>
              </w:tcPr>
              <w:p w:rsidR="005B089A" w:rsidRDefault="005B089A" w:rsidP="00FC5989">
                <w:pPr>
                  <w:pStyle w:val="AERBody"/>
                  <w:jc w:val="left"/>
                </w:pPr>
                <w:r>
                  <w:t xml:space="preserve">1648~P~010 </w:t>
                </w:r>
                <w:r w:rsidR="00555A4D">
                  <w:t xml:space="preserve">unexpected/plant </w:t>
                </w:r>
                <w:proofErr w:type="spellStart"/>
                <w:r w:rsidR="00555A4D">
                  <w:t>limits~vaccuum</w:t>
                </w:r>
                <w:proofErr w:type="spellEnd"/>
                <w:r w:rsidR="00555A4D">
                  <w:t xml:space="preserve"> limits</w:t>
                </w:r>
              </w:p>
            </w:tc>
          </w:tr>
          <w:tr w:rsidR="005B089A" w:rsidRPr="00CC709A" w:rsidTr="00CC1DD3">
            <w:trPr>
              <w:cnfStyle w:val="000000100000" w:firstRow="0" w:lastRow="0" w:firstColumn="0" w:lastColumn="0" w:oddVBand="0" w:evenVBand="0" w:oddHBand="1" w:evenHBand="0" w:firstRowFirstColumn="0" w:firstRowLastColumn="0" w:lastRowFirstColumn="0" w:lastRowLastColumn="0"/>
              <w:trHeight w:val="850"/>
            </w:trPr>
            <w:tc>
              <w:tcPr>
                <w:tcW w:w="867" w:type="dxa"/>
                <w:vAlign w:val="center"/>
              </w:tcPr>
              <w:p w:rsidR="005B089A" w:rsidRDefault="005B089A" w:rsidP="00FA0A56">
                <w:pPr>
                  <w:pStyle w:val="AERBody"/>
                </w:pPr>
                <w:r>
                  <w:t>4.53 pm</w:t>
                </w:r>
              </w:p>
            </w:tc>
            <w:tc>
              <w:tcPr>
                <w:tcW w:w="961" w:type="dxa"/>
                <w:vAlign w:val="center"/>
              </w:tcPr>
              <w:p w:rsidR="005B089A" w:rsidRPr="00107AB8" w:rsidRDefault="005B089A" w:rsidP="009510A1">
                <w:pPr>
                  <w:pStyle w:val="AERBody"/>
                </w:pPr>
                <w:r w:rsidRPr="00107AB8">
                  <w:t>5.30-7 pm</w:t>
                </w:r>
              </w:p>
            </w:tc>
            <w:tc>
              <w:tcPr>
                <w:tcW w:w="961" w:type="dxa"/>
                <w:vAlign w:val="center"/>
              </w:tcPr>
              <w:p w:rsidR="005B089A" w:rsidRPr="00800EB6" w:rsidRDefault="005B089A" w:rsidP="00FA0A56">
                <w:pPr>
                  <w:pStyle w:val="AERBody"/>
                  <w:rPr>
                    <w:szCs w:val="18"/>
                  </w:rPr>
                </w:pPr>
                <w:r w:rsidRPr="00800EB6">
                  <w:rPr>
                    <w:szCs w:val="18"/>
                  </w:rPr>
                  <w:t> </w:t>
                </w: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r w:rsidR="00825E69">
                  <w:t xml:space="preserve"> B1</w:t>
                </w:r>
              </w:p>
            </w:tc>
            <w:tc>
              <w:tcPr>
                <w:tcW w:w="995" w:type="dxa"/>
                <w:vAlign w:val="center"/>
              </w:tcPr>
              <w:p w:rsidR="005B089A" w:rsidRDefault="005B089A" w:rsidP="00FA0A56">
                <w:pPr>
                  <w:pStyle w:val="AERBody"/>
                </w:pPr>
                <w:r>
                  <w:t>-30</w:t>
                </w:r>
              </w:p>
            </w:tc>
            <w:tc>
              <w:tcPr>
                <w:tcW w:w="983" w:type="dxa"/>
                <w:vAlign w:val="center"/>
              </w:tcPr>
              <w:p w:rsidR="005B089A" w:rsidRDefault="005B089A" w:rsidP="00FA0A56">
                <w:pPr>
                  <w:pStyle w:val="AERBody"/>
                </w:pPr>
                <w:r>
                  <w:t>125</w:t>
                </w:r>
              </w:p>
            </w:tc>
            <w:tc>
              <w:tcPr>
                <w:tcW w:w="983" w:type="dxa"/>
                <w:vAlign w:val="center"/>
              </w:tcPr>
              <w:p w:rsidR="005B089A" w:rsidRDefault="005B089A" w:rsidP="00FA0A56">
                <w:pPr>
                  <w:pStyle w:val="AERBody"/>
                </w:pPr>
                <w:r>
                  <w:t>N/A</w:t>
                </w:r>
              </w:p>
            </w:tc>
            <w:tc>
              <w:tcPr>
                <w:tcW w:w="2036" w:type="dxa"/>
                <w:vAlign w:val="center"/>
              </w:tcPr>
              <w:p w:rsidR="005B089A" w:rsidRDefault="005B089A" w:rsidP="00FC5989">
                <w:pPr>
                  <w:pStyle w:val="AERBody"/>
                  <w:jc w:val="left"/>
                </w:pPr>
                <w:r>
                  <w:t>1652~P~</w:t>
                </w:r>
                <w:r w:rsidR="00555A4D">
                  <w:t xml:space="preserve">010 unexpected/plant </w:t>
                </w:r>
                <w:proofErr w:type="spellStart"/>
                <w:r w:rsidR="00555A4D">
                  <w:t>limits~vacuum</w:t>
                </w:r>
                <w:proofErr w:type="spellEnd"/>
                <w:r w:rsidR="00555A4D">
                  <w:t xml:space="preserve"> limits</w:t>
                </w:r>
              </w:p>
            </w:tc>
          </w:tr>
          <w:tr w:rsidR="005B089A" w:rsidRPr="00CC709A" w:rsidTr="00CC1DD3">
            <w:trPr>
              <w:cnfStyle w:val="000000010000" w:firstRow="0" w:lastRow="0" w:firstColumn="0" w:lastColumn="0" w:oddVBand="0" w:evenVBand="0" w:oddHBand="0" w:evenHBand="1" w:firstRowFirstColumn="0" w:firstRowLastColumn="0" w:lastRowFirstColumn="0" w:lastRowLastColumn="0"/>
              <w:trHeight w:val="707"/>
            </w:trPr>
            <w:tc>
              <w:tcPr>
                <w:tcW w:w="867" w:type="dxa"/>
                <w:vAlign w:val="center"/>
              </w:tcPr>
              <w:p w:rsidR="005B089A" w:rsidRDefault="005B089A" w:rsidP="00FA0A56">
                <w:pPr>
                  <w:pStyle w:val="AERBody"/>
                </w:pPr>
                <w:r>
                  <w:t>4.53 pm</w:t>
                </w:r>
              </w:p>
            </w:tc>
            <w:tc>
              <w:tcPr>
                <w:tcW w:w="961" w:type="dxa"/>
                <w:vAlign w:val="center"/>
              </w:tcPr>
              <w:p w:rsidR="005B089A" w:rsidRDefault="005B089A" w:rsidP="00FA0A56">
                <w:pPr>
                  <w:pStyle w:val="AERBody"/>
                  <w:rPr>
                    <w:sz w:val="24"/>
                  </w:rPr>
                </w:pPr>
                <w:r>
                  <w:t> 7.30 pm</w:t>
                </w:r>
              </w:p>
            </w:tc>
            <w:tc>
              <w:tcPr>
                <w:tcW w:w="961" w:type="dxa"/>
                <w:vAlign w:val="center"/>
              </w:tcPr>
              <w:p w:rsidR="005B089A" w:rsidRPr="00800EB6" w:rsidRDefault="005B089A" w:rsidP="00FA0A56">
                <w:pPr>
                  <w:pStyle w:val="AERBody"/>
                  <w:rPr>
                    <w:szCs w:val="18"/>
                  </w:rPr>
                </w:pP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r w:rsidR="009510A1">
                  <w:t xml:space="preserve"> B1</w:t>
                </w:r>
              </w:p>
            </w:tc>
            <w:tc>
              <w:tcPr>
                <w:tcW w:w="995" w:type="dxa"/>
                <w:vAlign w:val="center"/>
              </w:tcPr>
              <w:p w:rsidR="005B089A" w:rsidRDefault="005B089A" w:rsidP="009510A1">
                <w:pPr>
                  <w:pStyle w:val="AERBody"/>
                </w:pPr>
                <w:r w:rsidRPr="002C31F5">
                  <w:t>-</w:t>
                </w:r>
                <w:r w:rsidR="009510A1" w:rsidRPr="002C31F5">
                  <w:t>50</w:t>
                </w:r>
              </w:p>
            </w:tc>
            <w:tc>
              <w:tcPr>
                <w:tcW w:w="983" w:type="dxa"/>
                <w:vAlign w:val="center"/>
              </w:tcPr>
              <w:p w:rsidR="005B089A" w:rsidRDefault="005B089A" w:rsidP="00FA0A56">
                <w:pPr>
                  <w:pStyle w:val="AERBody"/>
                </w:pPr>
                <w:r>
                  <w:t>&lt;350</w:t>
                </w:r>
              </w:p>
            </w:tc>
            <w:tc>
              <w:tcPr>
                <w:tcW w:w="983" w:type="dxa"/>
                <w:vAlign w:val="center"/>
              </w:tcPr>
              <w:p w:rsidR="005B089A" w:rsidRDefault="005B089A" w:rsidP="00FA0A56">
                <w:pPr>
                  <w:pStyle w:val="AERBody"/>
                </w:pPr>
                <w:r>
                  <w:t>N/A</w:t>
                </w:r>
              </w:p>
            </w:tc>
            <w:tc>
              <w:tcPr>
                <w:tcW w:w="2036" w:type="dxa"/>
                <w:vAlign w:val="center"/>
              </w:tcPr>
              <w:p w:rsidR="005B089A" w:rsidRDefault="005B089A" w:rsidP="00FC5989">
                <w:pPr>
                  <w:pStyle w:val="AERBody"/>
                  <w:jc w:val="left"/>
                </w:pPr>
                <w:r>
                  <w:t xml:space="preserve">1652~P~010 </w:t>
                </w:r>
                <w:r w:rsidR="00555A4D">
                  <w:t xml:space="preserve">unexpected/plant </w:t>
                </w:r>
                <w:proofErr w:type="spellStart"/>
                <w:r w:rsidR="00555A4D">
                  <w:t>limits~vacuum</w:t>
                </w:r>
                <w:proofErr w:type="spellEnd"/>
                <w:r w:rsidR="00555A4D">
                  <w:t xml:space="preserve"> limits</w:t>
                </w:r>
              </w:p>
            </w:tc>
          </w:tr>
          <w:tr w:rsidR="00BD074C" w:rsidRPr="00CC709A" w:rsidTr="00CC1DD3">
            <w:trPr>
              <w:cnfStyle w:val="000000100000" w:firstRow="0" w:lastRow="0" w:firstColumn="0" w:lastColumn="0" w:oddVBand="0" w:evenVBand="0" w:oddHBand="1" w:evenHBand="0" w:firstRowFirstColumn="0" w:firstRowLastColumn="0" w:lastRowFirstColumn="0" w:lastRowLastColumn="0"/>
              <w:trHeight w:val="707"/>
            </w:trPr>
            <w:tc>
              <w:tcPr>
                <w:tcW w:w="867" w:type="dxa"/>
                <w:vAlign w:val="center"/>
              </w:tcPr>
              <w:p w:rsidR="00BD074C" w:rsidRDefault="00BD074C" w:rsidP="00FA0A56">
                <w:pPr>
                  <w:pStyle w:val="AERBody"/>
                </w:pPr>
                <w:r>
                  <w:t>5.20 pm</w:t>
                </w:r>
              </w:p>
            </w:tc>
            <w:tc>
              <w:tcPr>
                <w:tcW w:w="961" w:type="dxa"/>
                <w:vAlign w:val="center"/>
              </w:tcPr>
              <w:p w:rsidR="00BD074C" w:rsidRDefault="00BD074C" w:rsidP="00BD074C">
                <w:pPr>
                  <w:pStyle w:val="AERBody"/>
                </w:pPr>
                <w:r>
                  <w:t>6–7.30 pm</w:t>
                </w:r>
              </w:p>
            </w:tc>
            <w:tc>
              <w:tcPr>
                <w:tcW w:w="961" w:type="dxa"/>
                <w:vAlign w:val="center"/>
              </w:tcPr>
              <w:p w:rsidR="00BD074C" w:rsidRDefault="00BD074C" w:rsidP="00FA0A56">
                <w:pPr>
                  <w:pStyle w:val="AERBody"/>
                </w:pPr>
              </w:p>
            </w:tc>
            <w:tc>
              <w:tcPr>
                <w:tcW w:w="1183" w:type="dxa"/>
                <w:vAlign w:val="center"/>
              </w:tcPr>
              <w:p w:rsidR="00BD074C" w:rsidRDefault="00BD074C" w:rsidP="00FA0A56">
                <w:pPr>
                  <w:pStyle w:val="AERBody"/>
                </w:pPr>
                <w:r>
                  <w:t>Origin</w:t>
                </w:r>
              </w:p>
            </w:tc>
            <w:tc>
              <w:tcPr>
                <w:tcW w:w="860" w:type="dxa"/>
                <w:vAlign w:val="center"/>
              </w:tcPr>
              <w:p w:rsidR="00BD074C" w:rsidRDefault="00BD074C" w:rsidP="00FA0A56">
                <w:pPr>
                  <w:pStyle w:val="AERBody"/>
                </w:pPr>
                <w:r>
                  <w:t>Quarantine QPS4</w:t>
                </w:r>
              </w:p>
            </w:tc>
            <w:tc>
              <w:tcPr>
                <w:tcW w:w="995" w:type="dxa"/>
                <w:vAlign w:val="center"/>
              </w:tcPr>
              <w:p w:rsidR="00BD074C" w:rsidRDefault="00BD074C" w:rsidP="00FA0A56">
                <w:pPr>
                  <w:pStyle w:val="AERBody"/>
                </w:pPr>
                <w:r>
                  <w:t>-20</w:t>
                </w:r>
              </w:p>
            </w:tc>
            <w:tc>
              <w:tcPr>
                <w:tcW w:w="983" w:type="dxa"/>
                <w:vAlign w:val="center"/>
              </w:tcPr>
              <w:p w:rsidR="00BD074C" w:rsidRDefault="00BD074C" w:rsidP="00FA0A56">
                <w:pPr>
                  <w:pStyle w:val="AERBody"/>
                </w:pPr>
                <w:r>
                  <w:t>14 000</w:t>
                </w:r>
              </w:p>
            </w:tc>
            <w:tc>
              <w:tcPr>
                <w:tcW w:w="983" w:type="dxa"/>
                <w:vAlign w:val="center"/>
              </w:tcPr>
              <w:p w:rsidR="00BD074C" w:rsidRDefault="00BD074C" w:rsidP="00FA0A56">
                <w:pPr>
                  <w:pStyle w:val="AERBody"/>
                </w:pPr>
                <w:r>
                  <w:t>N/A</w:t>
                </w:r>
              </w:p>
            </w:tc>
            <w:tc>
              <w:tcPr>
                <w:tcW w:w="2036" w:type="dxa"/>
                <w:vAlign w:val="center"/>
              </w:tcPr>
              <w:p w:rsidR="00BD074C" w:rsidRDefault="00BD074C" w:rsidP="00555A4D">
                <w:pPr>
                  <w:pStyle w:val="AERBody"/>
                  <w:jc w:val="left"/>
                </w:pPr>
                <w:r>
                  <w:rPr>
                    <w:rFonts w:cs="Arial"/>
                    <w:sz w:val="16"/>
                    <w:szCs w:val="16"/>
                  </w:rPr>
                  <w:t xml:space="preserve">1716P management of fuel and </w:t>
                </w:r>
                <w:proofErr w:type="spellStart"/>
                <w:r>
                  <w:rPr>
                    <w:rFonts w:cs="Arial"/>
                    <w:sz w:val="16"/>
                    <w:szCs w:val="16"/>
                  </w:rPr>
                  <w:t>linepack</w:t>
                </w:r>
                <w:proofErr w:type="spellEnd"/>
                <w:r>
                  <w:rPr>
                    <w:rFonts w:cs="Arial"/>
                    <w:sz w:val="16"/>
                    <w:szCs w:val="16"/>
                  </w:rPr>
                  <w:t xml:space="preserve"> </w:t>
                </w:r>
                <w:proofErr w:type="spellStart"/>
                <w:r>
                  <w:rPr>
                    <w:rFonts w:cs="Arial"/>
                    <w:sz w:val="16"/>
                    <w:szCs w:val="16"/>
                  </w:rPr>
                  <w:t>sl</w:t>
                </w:r>
                <w:proofErr w:type="spellEnd"/>
              </w:p>
            </w:tc>
          </w:tr>
          <w:tr w:rsidR="005B089A" w:rsidRPr="00CC709A" w:rsidTr="00CC1DD3">
            <w:trPr>
              <w:cnfStyle w:val="000000010000" w:firstRow="0" w:lastRow="0" w:firstColumn="0" w:lastColumn="0" w:oddVBand="0" w:evenVBand="0" w:oddHBand="0" w:evenHBand="1" w:firstRowFirstColumn="0" w:firstRowLastColumn="0" w:lastRowFirstColumn="0" w:lastRowLastColumn="0"/>
              <w:trHeight w:val="707"/>
            </w:trPr>
            <w:tc>
              <w:tcPr>
                <w:tcW w:w="867" w:type="dxa"/>
                <w:vAlign w:val="center"/>
              </w:tcPr>
              <w:p w:rsidR="005B089A" w:rsidRDefault="005B089A" w:rsidP="00FA0A56">
                <w:pPr>
                  <w:pStyle w:val="AERBody"/>
                </w:pPr>
                <w:r>
                  <w:t>5.48 pm</w:t>
                </w:r>
              </w:p>
            </w:tc>
            <w:tc>
              <w:tcPr>
                <w:tcW w:w="961" w:type="dxa"/>
                <w:vAlign w:val="center"/>
              </w:tcPr>
              <w:p w:rsidR="005B089A" w:rsidRDefault="009510A1" w:rsidP="00FA0A56">
                <w:pPr>
                  <w:pStyle w:val="AERBody"/>
                </w:pPr>
                <w:r>
                  <w:t>6</w:t>
                </w:r>
                <w:r w:rsidR="005B089A">
                  <w:t>–6.30pm</w:t>
                </w:r>
              </w:p>
            </w:tc>
            <w:tc>
              <w:tcPr>
                <w:tcW w:w="961" w:type="dxa"/>
                <w:vAlign w:val="center"/>
              </w:tcPr>
              <w:p w:rsidR="005B089A" w:rsidRDefault="005B089A" w:rsidP="00FA0A56">
                <w:pPr>
                  <w:pStyle w:val="AERBody"/>
                </w:pPr>
                <w:r>
                  <w:t>5.55 pm</w:t>
                </w: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r w:rsidR="009510A1">
                  <w:t xml:space="preserve"> B4</w:t>
                </w:r>
              </w:p>
            </w:tc>
            <w:tc>
              <w:tcPr>
                <w:tcW w:w="995" w:type="dxa"/>
                <w:vAlign w:val="center"/>
              </w:tcPr>
              <w:p w:rsidR="005B089A" w:rsidRDefault="005B089A" w:rsidP="00FA0A56">
                <w:pPr>
                  <w:pStyle w:val="AERBody"/>
                </w:pPr>
                <w:r>
                  <w:t>-10</w:t>
                </w:r>
              </w:p>
            </w:tc>
            <w:tc>
              <w:tcPr>
                <w:tcW w:w="983" w:type="dxa"/>
                <w:vAlign w:val="center"/>
              </w:tcPr>
              <w:p w:rsidR="005B089A" w:rsidRDefault="005B089A" w:rsidP="00FA0A56">
                <w:pPr>
                  <w:pStyle w:val="AERBody"/>
                </w:pPr>
                <w:r>
                  <w:t>125</w:t>
                </w:r>
              </w:p>
            </w:tc>
            <w:tc>
              <w:tcPr>
                <w:tcW w:w="983" w:type="dxa"/>
                <w:vAlign w:val="center"/>
              </w:tcPr>
              <w:p w:rsidR="005B089A" w:rsidRDefault="005B089A" w:rsidP="00FA0A56">
                <w:pPr>
                  <w:pStyle w:val="AERBody"/>
                </w:pPr>
                <w:r>
                  <w:t>N/A</w:t>
                </w:r>
              </w:p>
            </w:tc>
            <w:tc>
              <w:tcPr>
                <w:tcW w:w="2036" w:type="dxa"/>
                <w:vAlign w:val="center"/>
              </w:tcPr>
              <w:p w:rsidR="005B089A" w:rsidRDefault="005B089A" w:rsidP="00555A4D">
                <w:pPr>
                  <w:pStyle w:val="AERBody"/>
                  <w:jc w:val="left"/>
                </w:pPr>
                <w:r>
                  <w:t xml:space="preserve">1748~P~020 </w:t>
                </w:r>
                <w:r w:rsidR="00555A4D">
                  <w:t xml:space="preserve">reduction in avail cap~206 </w:t>
                </w:r>
                <w:proofErr w:type="spellStart"/>
                <w:r w:rsidR="00555A4D">
                  <w:t>unexp</w:t>
                </w:r>
                <w:proofErr w:type="spellEnd"/>
                <w:r w:rsidR="00555A4D">
                  <w:t xml:space="preserve"> ambient temp effects 10MW</w:t>
                </w:r>
              </w:p>
            </w:tc>
          </w:tr>
          <w:tr w:rsidR="00BD074C" w:rsidRPr="00CC709A" w:rsidTr="00CC1DD3">
            <w:trPr>
              <w:cnfStyle w:val="000000100000" w:firstRow="0" w:lastRow="0" w:firstColumn="0" w:lastColumn="0" w:oddVBand="0" w:evenVBand="0" w:oddHBand="1" w:evenHBand="0" w:firstRowFirstColumn="0" w:firstRowLastColumn="0" w:lastRowFirstColumn="0" w:lastRowLastColumn="0"/>
              <w:trHeight w:val="707"/>
            </w:trPr>
            <w:tc>
              <w:tcPr>
                <w:tcW w:w="867" w:type="dxa"/>
                <w:vAlign w:val="center"/>
              </w:tcPr>
              <w:p w:rsidR="005B089A" w:rsidRDefault="005B089A" w:rsidP="00FA0A56">
                <w:pPr>
                  <w:pStyle w:val="AERBody"/>
                </w:pPr>
                <w:r>
                  <w:lastRenderedPageBreak/>
                  <w:t>6.41 pm</w:t>
                </w:r>
              </w:p>
            </w:tc>
            <w:tc>
              <w:tcPr>
                <w:tcW w:w="961" w:type="dxa"/>
                <w:vAlign w:val="center"/>
              </w:tcPr>
              <w:p w:rsidR="005B089A" w:rsidRDefault="005B089A" w:rsidP="00FA0A56">
                <w:pPr>
                  <w:pStyle w:val="AERBody"/>
                  <w:rPr>
                    <w:sz w:val="24"/>
                  </w:rPr>
                </w:pPr>
                <w:r>
                  <w:t>7.30 pm</w:t>
                </w:r>
              </w:p>
            </w:tc>
            <w:tc>
              <w:tcPr>
                <w:tcW w:w="961" w:type="dxa"/>
                <w:vAlign w:val="center"/>
              </w:tcPr>
              <w:p w:rsidR="005B089A" w:rsidRDefault="00F40DFA" w:rsidP="00FA0A56">
                <w:pPr>
                  <w:pStyle w:val="AERBody"/>
                </w:pPr>
                <w:r>
                  <w:t>7.05 pm</w:t>
                </w: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p>
            </w:tc>
            <w:tc>
              <w:tcPr>
                <w:tcW w:w="995" w:type="dxa"/>
                <w:vAlign w:val="center"/>
              </w:tcPr>
              <w:p w:rsidR="005B089A" w:rsidRDefault="005B089A" w:rsidP="00FA0A56">
                <w:pPr>
                  <w:pStyle w:val="AERBody"/>
                </w:pPr>
                <w:r>
                  <w:t>-5</w:t>
                </w:r>
              </w:p>
            </w:tc>
            <w:tc>
              <w:tcPr>
                <w:tcW w:w="983" w:type="dxa"/>
                <w:vAlign w:val="center"/>
              </w:tcPr>
              <w:p w:rsidR="005B089A" w:rsidRDefault="005B089A" w:rsidP="00FA0A56">
                <w:pPr>
                  <w:pStyle w:val="AERBody"/>
                </w:pPr>
                <w:r>
                  <w:t>-1000</w:t>
                </w:r>
              </w:p>
            </w:tc>
            <w:tc>
              <w:tcPr>
                <w:tcW w:w="983" w:type="dxa"/>
                <w:vAlign w:val="center"/>
              </w:tcPr>
              <w:p w:rsidR="005B089A" w:rsidRDefault="005B089A" w:rsidP="00FA0A56">
                <w:pPr>
                  <w:pStyle w:val="AERBody"/>
                </w:pPr>
                <w:r>
                  <w:t>N/A</w:t>
                </w:r>
              </w:p>
            </w:tc>
            <w:tc>
              <w:tcPr>
                <w:tcW w:w="2036" w:type="dxa"/>
                <w:vAlign w:val="center"/>
              </w:tcPr>
              <w:p w:rsidR="005B089A" w:rsidRDefault="005B089A" w:rsidP="00555A4D">
                <w:pPr>
                  <w:pStyle w:val="AERBody"/>
                  <w:jc w:val="left"/>
                </w:pPr>
                <w:r>
                  <w:t xml:space="preserve">1840~P~020 </w:t>
                </w:r>
                <w:r w:rsidR="00555A4D">
                  <w:t xml:space="preserve">reduction in avail cap~206 </w:t>
                </w:r>
                <w:proofErr w:type="spellStart"/>
                <w:r w:rsidR="00555A4D">
                  <w:t>unexp</w:t>
                </w:r>
                <w:proofErr w:type="spellEnd"/>
                <w:r w:rsidR="00555A4D">
                  <w:t xml:space="preserve"> ambient temp effects 5MW</w:t>
                </w:r>
              </w:p>
            </w:tc>
          </w:tr>
          <w:tr w:rsidR="00BD074C" w:rsidRPr="00CC709A" w:rsidTr="00CC1DD3">
            <w:trPr>
              <w:cnfStyle w:val="000000010000" w:firstRow="0" w:lastRow="0" w:firstColumn="0" w:lastColumn="0" w:oddVBand="0" w:evenVBand="0" w:oddHBand="0" w:evenHBand="1" w:firstRowFirstColumn="0" w:firstRowLastColumn="0" w:lastRowFirstColumn="0" w:lastRowLastColumn="0"/>
              <w:trHeight w:val="707"/>
            </w:trPr>
            <w:tc>
              <w:tcPr>
                <w:tcW w:w="867" w:type="dxa"/>
                <w:vAlign w:val="center"/>
              </w:tcPr>
              <w:p w:rsidR="005B089A" w:rsidRDefault="005B089A" w:rsidP="00FA0A56">
                <w:pPr>
                  <w:pStyle w:val="AERBody"/>
                </w:pPr>
                <w:r>
                  <w:t>7.00 pm</w:t>
                </w:r>
              </w:p>
            </w:tc>
            <w:tc>
              <w:tcPr>
                <w:tcW w:w="961" w:type="dxa"/>
                <w:vAlign w:val="center"/>
              </w:tcPr>
              <w:p w:rsidR="005B089A" w:rsidRDefault="005B089A" w:rsidP="00FA0A56">
                <w:pPr>
                  <w:pStyle w:val="AERBody"/>
                </w:pPr>
                <w:r>
                  <w:t>7.30 pm</w:t>
                </w:r>
              </w:p>
            </w:tc>
            <w:tc>
              <w:tcPr>
                <w:tcW w:w="961" w:type="dxa"/>
                <w:vAlign w:val="center"/>
              </w:tcPr>
              <w:p w:rsidR="005B089A" w:rsidRDefault="005B089A" w:rsidP="00FA0A56">
                <w:pPr>
                  <w:pStyle w:val="AERBody"/>
                </w:pPr>
                <w:r>
                  <w:t>7.10 pm</w:t>
                </w:r>
              </w:p>
            </w:tc>
            <w:tc>
              <w:tcPr>
                <w:tcW w:w="1183" w:type="dxa"/>
                <w:vAlign w:val="center"/>
              </w:tcPr>
              <w:p w:rsidR="005B089A" w:rsidRDefault="005B089A" w:rsidP="00FA0A56">
                <w:pPr>
                  <w:pStyle w:val="AERBody"/>
                </w:pPr>
                <w:r>
                  <w:t>AGL Energy</w:t>
                </w:r>
              </w:p>
            </w:tc>
            <w:tc>
              <w:tcPr>
                <w:tcW w:w="860" w:type="dxa"/>
                <w:vAlign w:val="center"/>
              </w:tcPr>
              <w:p w:rsidR="005B089A" w:rsidRDefault="005B089A" w:rsidP="00FA0A56">
                <w:pPr>
                  <w:pStyle w:val="AERBody"/>
                </w:pPr>
                <w:r>
                  <w:t>Torrens Island</w:t>
                </w:r>
              </w:p>
            </w:tc>
            <w:tc>
              <w:tcPr>
                <w:tcW w:w="995" w:type="dxa"/>
                <w:vAlign w:val="center"/>
              </w:tcPr>
              <w:p w:rsidR="005B089A" w:rsidRDefault="005B089A" w:rsidP="00FA0A56">
                <w:pPr>
                  <w:pStyle w:val="AERBody"/>
                </w:pPr>
                <w:r>
                  <w:t>-20</w:t>
                </w:r>
              </w:p>
            </w:tc>
            <w:tc>
              <w:tcPr>
                <w:tcW w:w="983" w:type="dxa"/>
                <w:vAlign w:val="center"/>
              </w:tcPr>
              <w:p w:rsidR="005B089A" w:rsidRDefault="005B089A" w:rsidP="00FA0A56">
                <w:pPr>
                  <w:pStyle w:val="AERBody"/>
                </w:pPr>
                <w:r>
                  <w:t>-1000</w:t>
                </w:r>
              </w:p>
            </w:tc>
            <w:tc>
              <w:tcPr>
                <w:tcW w:w="983" w:type="dxa"/>
                <w:vAlign w:val="center"/>
              </w:tcPr>
              <w:p w:rsidR="005B089A" w:rsidRDefault="005B089A" w:rsidP="00FA0A56">
                <w:pPr>
                  <w:pStyle w:val="AERBody"/>
                </w:pPr>
                <w:r>
                  <w:t>N/A</w:t>
                </w:r>
              </w:p>
            </w:tc>
            <w:tc>
              <w:tcPr>
                <w:tcW w:w="2036" w:type="dxa"/>
                <w:vAlign w:val="center"/>
              </w:tcPr>
              <w:p w:rsidR="005B089A" w:rsidRDefault="005B089A" w:rsidP="00555A4D">
                <w:pPr>
                  <w:pStyle w:val="AERBody"/>
                  <w:jc w:val="left"/>
                </w:pPr>
                <w:r>
                  <w:t xml:space="preserve">1900~P~020 </w:t>
                </w:r>
                <w:r w:rsidR="00555A4D">
                  <w:t>reduction in avail cap~203 plant failure 20MW</w:t>
                </w:r>
              </w:p>
            </w:tc>
          </w:tr>
        </w:tbl>
        <w:p w:rsidR="00C7068C" w:rsidRDefault="003250C8" w:rsidP="003250C8">
          <w:pPr>
            <w:pStyle w:val="Heading1notnumber"/>
          </w:pPr>
          <w:bookmarkStart w:id="35" w:name="_Toc480971274"/>
          <w:r>
            <w:lastRenderedPageBreak/>
            <w:t xml:space="preserve">Appendix </w:t>
          </w:r>
          <w:r w:rsidR="00C7068C">
            <w:t>B</w:t>
          </w:r>
          <w:r w:rsidR="00B602E3">
            <w:t>:</w:t>
          </w:r>
          <w:r w:rsidR="00024F79">
            <w:tab/>
          </w:r>
          <w:r w:rsidR="00C7068C">
            <w:t>Price setter</w:t>
          </w:r>
          <w:bookmarkEnd w:id="35"/>
        </w:p>
        <w:p w:rsidR="001C3F02" w:rsidRDefault="00C7068C" w:rsidP="00CC1DD3">
          <w:pPr>
            <w:pStyle w:val="AERBody"/>
          </w:pPr>
          <w:r w:rsidRPr="00C95E26">
            <w:t>The following table identifies for the trading interval</w:t>
          </w:r>
          <w:r w:rsidR="00C95E26" w:rsidRPr="00C95E26">
            <w:t>s</w:t>
          </w:r>
          <w:r w:rsidRPr="00C95E26">
            <w:t xml:space="preserve"> in which the spot price exceeded $5000/MWh, each five minute dispatch interval price and the generating units involved in setting the energy price. This information is published by AEMO.</w:t>
          </w:r>
          <w:r w:rsidRPr="00C95E26">
            <w:rPr>
              <w:rStyle w:val="FootnoteReference"/>
            </w:rPr>
            <w:footnoteReference w:id="13"/>
          </w:r>
          <w:r w:rsidRPr="00C95E26">
            <w:t xml:space="preserve"> The 30-minute spot price is the average of the six dispatch interval prices.</w:t>
          </w:r>
          <w:r w:rsidR="001B1888">
            <w:t xml:space="preserve"> Italicised prices are either affected by intervention pricing or exceeded the market price cap (MPC). </w:t>
          </w:r>
          <w:r w:rsidR="00CC1DD3">
            <w:t>While the dispatch process will determine a lower price, t</w:t>
          </w:r>
          <w:r w:rsidR="001B1888">
            <w:t>he</w:t>
          </w:r>
          <w:r w:rsidR="00CC1DD3">
            <w:t xml:space="preserve">se prices are </w:t>
          </w:r>
          <w:r w:rsidR="00ED1D8C">
            <w:t xml:space="preserve">set at the MPC </w:t>
          </w:r>
          <w:r w:rsidR="00CC1DD3">
            <w:t>(</w:t>
          </w:r>
          <w:r w:rsidR="00ED1D8C">
            <w:t>$14 00</w:t>
          </w:r>
          <w:r w:rsidR="001B1888">
            <w:t>0/MWh</w:t>
          </w:r>
          <w:r w:rsidR="00CC1DD3">
            <w:t>)</w:t>
          </w:r>
          <w:r w:rsidR="001B1888">
            <w:t xml:space="preserve"> </w:t>
          </w:r>
          <w:r w:rsidR="00F32A28">
            <w:t>for settlement purposes</w:t>
          </w:r>
          <w:r w:rsidR="001B1888">
            <w:t xml:space="preserve">. </w:t>
          </w:r>
        </w:p>
        <w:p w:rsidR="00EC4A12" w:rsidRDefault="000B47DF" w:rsidP="001C3F02">
          <w:pPr>
            <w:pStyle w:val="Caption"/>
            <w:spacing w:before="0" w:line="240" w:lineRule="auto"/>
          </w:pPr>
          <w:r w:rsidRPr="00C95E26">
            <w:t xml:space="preserve">Table </w:t>
          </w:r>
          <w:fldSimple w:instr=" SEQ Table \* ARABIC ">
            <w:r w:rsidR="005B5767">
              <w:rPr>
                <w:noProof/>
              </w:rPr>
              <w:t>7</w:t>
            </w:r>
          </w:fldSimple>
          <w:r w:rsidRPr="00C95E26">
            <w:t xml:space="preserve">: Price setter for the </w:t>
          </w:r>
          <w:r w:rsidR="00D73F75">
            <w:t>5</w:t>
          </w:r>
          <w:r w:rsidR="00C95E26" w:rsidRPr="00C95E26">
            <w:t xml:space="preserve">.30 </w:t>
          </w:r>
          <w:r w:rsidR="00EC4A12" w:rsidRPr="00C95E26">
            <w:t>pm</w:t>
          </w:r>
          <w:r w:rsidR="00B1455E">
            <w:t xml:space="preserve"> </w:t>
          </w:r>
          <w:r w:rsidRPr="00C95E26">
            <w:t>trading interval</w:t>
          </w:r>
        </w:p>
        <w:p w:rsidR="00B1455E" w:rsidRPr="00301FE3" w:rsidRDefault="00B1455E" w:rsidP="00301FE3">
          <w:pPr>
            <w:spacing w:before="0" w:line="240" w:lineRule="auto"/>
            <w:jc w:val="center"/>
            <w:rPr>
              <w:rFonts w:cs="Arial"/>
              <w:b/>
              <w:sz w:val="20"/>
              <w:szCs w:val="20"/>
            </w:rPr>
          </w:pPr>
        </w:p>
        <w:tbl>
          <w:tblPr>
            <w:tblStyle w:val="AERsummarytable"/>
            <w:tblpPr w:leftFromText="180" w:rightFromText="180" w:vertAnchor="text" w:horzAnchor="margin" w:tblpY="-44"/>
            <w:tblW w:w="5385" w:type="pct"/>
            <w:tblLayout w:type="fixed"/>
            <w:tblLook w:val="04A0" w:firstRow="1" w:lastRow="0" w:firstColumn="1" w:lastColumn="0" w:noHBand="0" w:noVBand="1"/>
          </w:tblPr>
          <w:tblGrid>
            <w:gridCol w:w="719"/>
            <w:gridCol w:w="1161"/>
            <w:gridCol w:w="1511"/>
            <w:gridCol w:w="1329"/>
            <w:gridCol w:w="1015"/>
            <w:gridCol w:w="1138"/>
            <w:gridCol w:w="994"/>
            <w:gridCol w:w="1586"/>
          </w:tblGrid>
          <w:tr w:rsidR="00B1455E" w:rsidRPr="00DD0001" w:rsidTr="001C3F02">
            <w:trPr>
              <w:cnfStyle w:val="100000000000" w:firstRow="1" w:lastRow="0" w:firstColumn="0" w:lastColumn="0" w:oddVBand="0" w:evenVBand="0" w:oddHBand="0" w:evenHBand="0" w:firstRowFirstColumn="0" w:firstRowLastColumn="0" w:lastRowFirstColumn="0" w:lastRowLastColumn="0"/>
              <w:trHeight w:hRule="exact" w:val="1141"/>
            </w:trPr>
            <w:tc>
              <w:tcPr>
                <w:tcW w:w="380" w:type="pct"/>
                <w:tcBorders>
                  <w:bottom w:val="nil"/>
                </w:tcBorders>
              </w:tcPr>
              <w:p w:rsidR="00B1455E" w:rsidRPr="00693846" w:rsidRDefault="00B1455E" w:rsidP="00693846">
                <w:pPr>
                  <w:pStyle w:val="TableHeading"/>
                </w:pPr>
                <w:r w:rsidRPr="00693846">
                  <w:t>DI</w:t>
                </w:r>
              </w:p>
            </w:tc>
            <w:tc>
              <w:tcPr>
                <w:tcW w:w="614" w:type="pct"/>
                <w:tcBorders>
                  <w:bottom w:val="nil"/>
                </w:tcBorders>
              </w:tcPr>
              <w:p w:rsidR="00B1455E" w:rsidRPr="00693846" w:rsidRDefault="00B1455E" w:rsidP="00693846">
                <w:pPr>
                  <w:pStyle w:val="TableHeading"/>
                </w:pPr>
                <w:r w:rsidRPr="00693846">
                  <w:t>Dispatch Price ($/MWh)</w:t>
                </w:r>
              </w:p>
            </w:tc>
            <w:tc>
              <w:tcPr>
                <w:tcW w:w="799" w:type="pct"/>
                <w:tcBorders>
                  <w:bottom w:val="nil"/>
                </w:tcBorders>
              </w:tcPr>
              <w:p w:rsidR="00B1455E" w:rsidRPr="00693846" w:rsidRDefault="00B1455E" w:rsidP="00693846">
                <w:pPr>
                  <w:pStyle w:val="TableHeading"/>
                </w:pPr>
                <w:r w:rsidRPr="00693846">
                  <w:t>Participant</w:t>
                </w:r>
              </w:p>
            </w:tc>
            <w:tc>
              <w:tcPr>
                <w:tcW w:w="703" w:type="pct"/>
                <w:tcBorders>
                  <w:bottom w:val="nil"/>
                </w:tcBorders>
              </w:tcPr>
              <w:p w:rsidR="00B1455E" w:rsidRPr="00693846" w:rsidRDefault="00B1455E" w:rsidP="00693846">
                <w:pPr>
                  <w:pStyle w:val="TableHeading"/>
                </w:pPr>
                <w:r w:rsidRPr="00693846">
                  <w:t>Unit</w:t>
                </w:r>
              </w:p>
            </w:tc>
            <w:tc>
              <w:tcPr>
                <w:tcW w:w="537" w:type="pct"/>
                <w:tcBorders>
                  <w:bottom w:val="nil"/>
                </w:tcBorders>
              </w:tcPr>
              <w:p w:rsidR="00B1455E" w:rsidRPr="00693846" w:rsidRDefault="00B1455E" w:rsidP="00693846">
                <w:pPr>
                  <w:pStyle w:val="TableHeading"/>
                </w:pPr>
                <w:r w:rsidRPr="00693846">
                  <w:t>Service</w:t>
                </w:r>
              </w:p>
            </w:tc>
            <w:tc>
              <w:tcPr>
                <w:tcW w:w="602" w:type="pct"/>
                <w:tcBorders>
                  <w:bottom w:val="nil"/>
                </w:tcBorders>
              </w:tcPr>
              <w:p w:rsidR="00B1455E" w:rsidRPr="00693846" w:rsidRDefault="00B1455E" w:rsidP="00693846">
                <w:pPr>
                  <w:pStyle w:val="TableHeading"/>
                </w:pPr>
                <w:r w:rsidRPr="00693846">
                  <w:t>Offer price ($/MWh)</w:t>
                </w:r>
              </w:p>
            </w:tc>
            <w:tc>
              <w:tcPr>
                <w:tcW w:w="526" w:type="pct"/>
                <w:tcBorders>
                  <w:bottom w:val="nil"/>
                </w:tcBorders>
              </w:tcPr>
              <w:p w:rsidR="00B1455E" w:rsidRPr="00693846" w:rsidRDefault="00B1455E" w:rsidP="00693846">
                <w:pPr>
                  <w:pStyle w:val="TableHeading"/>
                </w:pPr>
                <w:r w:rsidRPr="00693846">
                  <w:t>Marginal change</w:t>
                </w:r>
              </w:p>
            </w:tc>
            <w:tc>
              <w:tcPr>
                <w:tcW w:w="839" w:type="pct"/>
                <w:tcBorders>
                  <w:bottom w:val="nil"/>
                </w:tcBorders>
              </w:tcPr>
              <w:p w:rsidR="00B1455E" w:rsidRPr="00693846" w:rsidRDefault="00B1455E" w:rsidP="00693846">
                <w:pPr>
                  <w:pStyle w:val="TableHeading"/>
                </w:pPr>
                <w:r w:rsidRPr="00693846">
                  <w:t>Contribution</w:t>
                </w:r>
              </w:p>
            </w:tc>
          </w:tr>
          <w:tr w:rsidR="00751805" w:rsidRPr="00796046" w:rsidTr="00556803">
            <w:trPr>
              <w:cnfStyle w:val="000000100000" w:firstRow="0" w:lastRow="0" w:firstColumn="0" w:lastColumn="0" w:oddVBand="0" w:evenVBand="0" w:oddHBand="1" w:evenHBand="0" w:firstRowFirstColumn="0" w:firstRowLastColumn="0" w:lastRowFirstColumn="0" w:lastRowLastColumn="0"/>
              <w:trHeight w:hRule="exact" w:val="430"/>
            </w:trPr>
            <w:tc>
              <w:tcPr>
                <w:tcW w:w="380" w:type="pct"/>
                <w:tcBorders>
                  <w:bottom w:val="nil"/>
                </w:tcBorders>
                <w:vAlign w:val="center"/>
              </w:tcPr>
              <w:p w:rsidR="00751805" w:rsidRPr="00556803" w:rsidRDefault="00751805"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17:05</w:t>
                </w:r>
              </w:p>
            </w:tc>
            <w:tc>
              <w:tcPr>
                <w:tcW w:w="614" w:type="pct"/>
                <w:tcBorders>
                  <w:bottom w:val="nil"/>
                </w:tcBorders>
                <w:vAlign w:val="center"/>
              </w:tcPr>
              <w:p w:rsidR="00751805" w:rsidRPr="00556803" w:rsidRDefault="00751805"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$388.05</w:t>
                </w:r>
              </w:p>
            </w:tc>
            <w:tc>
              <w:tcPr>
                <w:tcW w:w="799" w:type="pct"/>
                <w:tcBorders>
                  <w:bottom w:val="nil"/>
                </w:tcBorders>
                <w:vAlign w:val="center"/>
              </w:tcPr>
              <w:p w:rsidR="00751805" w:rsidRPr="00556803" w:rsidRDefault="00751805"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Snowy Hydro</w:t>
                </w:r>
              </w:p>
            </w:tc>
            <w:tc>
              <w:tcPr>
                <w:tcW w:w="703" w:type="pct"/>
                <w:tcBorders>
                  <w:bottom w:val="nil"/>
                </w:tcBorders>
                <w:vAlign w:val="center"/>
              </w:tcPr>
              <w:p w:rsidR="00751805" w:rsidRPr="00556803" w:rsidRDefault="00751805"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MURRAY</w:t>
                </w:r>
              </w:p>
            </w:tc>
            <w:tc>
              <w:tcPr>
                <w:tcW w:w="537" w:type="pct"/>
                <w:tcBorders>
                  <w:bottom w:val="nil"/>
                </w:tcBorders>
                <w:vAlign w:val="center"/>
              </w:tcPr>
              <w:p w:rsidR="00751805" w:rsidRPr="00556803" w:rsidRDefault="00751805"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vAlign w:val="center"/>
              </w:tcPr>
              <w:p w:rsidR="00751805" w:rsidRPr="00556803" w:rsidRDefault="00751805"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$290.00</w:t>
                </w:r>
              </w:p>
            </w:tc>
            <w:tc>
              <w:tcPr>
                <w:tcW w:w="526" w:type="pct"/>
                <w:tcBorders>
                  <w:bottom w:val="nil"/>
                </w:tcBorders>
                <w:vAlign w:val="center"/>
              </w:tcPr>
              <w:p w:rsidR="00751805" w:rsidRPr="00556803" w:rsidRDefault="00751805"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1.34</w:t>
                </w:r>
              </w:p>
            </w:tc>
            <w:tc>
              <w:tcPr>
                <w:tcW w:w="839" w:type="pct"/>
                <w:tcBorders>
                  <w:bottom w:val="nil"/>
                </w:tcBorders>
                <w:vAlign w:val="center"/>
              </w:tcPr>
              <w:p w:rsidR="00751805" w:rsidRPr="00556803" w:rsidRDefault="00751805"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$388.60</w:t>
                </w:r>
              </w:p>
            </w:tc>
          </w:tr>
          <w:tr w:rsidR="00E14DC8" w:rsidRPr="00796046" w:rsidTr="00556803">
            <w:trPr>
              <w:cnfStyle w:val="000000010000" w:firstRow="0" w:lastRow="0" w:firstColumn="0" w:lastColumn="0" w:oddVBand="0" w:evenVBand="0" w:oddHBand="0" w:evenHBand="1" w:firstRowFirstColumn="0" w:firstRowLastColumn="0" w:lastRowFirstColumn="0" w:lastRowLastColumn="0"/>
              <w:trHeight w:hRule="exact" w:val="430"/>
            </w:trPr>
            <w:tc>
              <w:tcPr>
                <w:tcW w:w="380"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17:10</w:t>
                </w:r>
              </w:p>
            </w:tc>
            <w:tc>
              <w:tcPr>
                <w:tcW w:w="614"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100.02</w:t>
                </w:r>
              </w:p>
            </w:tc>
            <w:tc>
              <w:tcPr>
                <w:tcW w:w="799" w:type="pct"/>
                <w:tcBorders>
                  <w:bottom w:val="nil"/>
                </w:tcBorders>
                <w:vAlign w:val="center"/>
              </w:tcPr>
              <w:p w:rsidR="00E14DC8" w:rsidRPr="00556803" w:rsidRDefault="00556803" w:rsidP="00556803">
                <w:pPr>
                  <w:spacing w:after="0"/>
                  <w:jc w:val="left"/>
                  <w:rPr>
                    <w:rFonts w:asciiTheme="minorHAnsi" w:hAnsiTheme="minorHAnsi" w:cstheme="minorHAnsi"/>
                    <w:sz w:val="16"/>
                    <w:szCs w:val="16"/>
                  </w:rPr>
                </w:pPr>
                <w:r>
                  <w:rPr>
                    <w:rFonts w:asciiTheme="minorHAnsi" w:hAnsiTheme="minorHAnsi" w:cstheme="minorHAnsi"/>
                    <w:sz w:val="16"/>
                    <w:szCs w:val="16"/>
                  </w:rPr>
                  <w:t>Engie</w:t>
                </w:r>
              </w:p>
            </w:tc>
            <w:tc>
              <w:tcPr>
                <w:tcW w:w="703" w:type="pct"/>
                <w:tcBorders>
                  <w:bottom w:val="nil"/>
                </w:tcBorders>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DRYCGT1</w:t>
                </w:r>
              </w:p>
            </w:tc>
            <w:tc>
              <w:tcPr>
                <w:tcW w:w="537"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100.02</w:t>
                </w:r>
              </w:p>
            </w:tc>
            <w:tc>
              <w:tcPr>
                <w:tcW w:w="526"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1.00</w:t>
                </w:r>
              </w:p>
            </w:tc>
            <w:tc>
              <w:tcPr>
                <w:tcW w:w="839"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9A50E4">
                  <w:rPr>
                    <w:rFonts w:asciiTheme="minorHAnsi" w:hAnsiTheme="minorHAnsi" w:cstheme="minorHAnsi"/>
                    <w:sz w:val="16"/>
                    <w:szCs w:val="16"/>
                  </w:rPr>
                  <w:t xml:space="preserve"> </w:t>
                </w:r>
                <w:r w:rsidRPr="00556803">
                  <w:rPr>
                    <w:rFonts w:asciiTheme="minorHAnsi" w:hAnsiTheme="minorHAnsi" w:cstheme="minorHAnsi"/>
                    <w:sz w:val="16"/>
                    <w:szCs w:val="16"/>
                  </w:rPr>
                  <w:t>100.02</w:t>
                </w:r>
              </w:p>
            </w:tc>
          </w:tr>
          <w:tr w:rsidR="00E14DC8" w:rsidRPr="00796046" w:rsidTr="00556803">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17:15</w:t>
                </w:r>
              </w:p>
            </w:tc>
            <w:tc>
              <w:tcPr>
                <w:tcW w:w="614"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160.01</w:t>
                </w:r>
              </w:p>
            </w:tc>
            <w:tc>
              <w:tcPr>
                <w:tcW w:w="799" w:type="pct"/>
                <w:tcBorders>
                  <w:bottom w:val="nil"/>
                </w:tcBorders>
                <w:shd w:val="clear" w:color="auto" w:fill="FFFFFF" w:themeFill="background1"/>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Origin Energy</w:t>
                </w:r>
              </w:p>
            </w:tc>
            <w:tc>
              <w:tcPr>
                <w:tcW w:w="703" w:type="pct"/>
                <w:tcBorders>
                  <w:bottom w:val="nil"/>
                </w:tcBorders>
                <w:shd w:val="clear" w:color="auto" w:fill="FFFFFF" w:themeFill="background1"/>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QPS1</w:t>
                </w:r>
              </w:p>
            </w:tc>
            <w:tc>
              <w:tcPr>
                <w:tcW w:w="537"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160.01</w:t>
                </w:r>
              </w:p>
            </w:tc>
            <w:tc>
              <w:tcPr>
                <w:tcW w:w="526"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0.31</w:t>
                </w:r>
              </w:p>
            </w:tc>
            <w:tc>
              <w:tcPr>
                <w:tcW w:w="839"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$4079.60</w:t>
                </w:r>
              </w:p>
            </w:tc>
          </w:tr>
          <w:tr w:rsidR="00E14DC8" w:rsidRPr="00796046" w:rsidTr="00556803">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p>
            </w:tc>
            <w:tc>
              <w:tcPr>
                <w:tcW w:w="614"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p>
            </w:tc>
            <w:tc>
              <w:tcPr>
                <w:tcW w:w="799" w:type="pct"/>
                <w:tcBorders>
                  <w:bottom w:val="nil"/>
                </w:tcBorders>
                <w:shd w:val="clear" w:color="auto" w:fill="FFFFFF" w:themeFill="background1"/>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Origin Energy</w:t>
                </w:r>
              </w:p>
            </w:tc>
            <w:tc>
              <w:tcPr>
                <w:tcW w:w="703" w:type="pct"/>
                <w:tcBorders>
                  <w:bottom w:val="nil"/>
                </w:tcBorders>
                <w:shd w:val="clear" w:color="auto" w:fill="FFFFFF" w:themeFill="background1"/>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QPS2</w:t>
                </w:r>
              </w:p>
            </w:tc>
            <w:tc>
              <w:tcPr>
                <w:tcW w:w="537"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160.01</w:t>
                </w:r>
              </w:p>
            </w:tc>
            <w:tc>
              <w:tcPr>
                <w:tcW w:w="526"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0.34</w:t>
                </w:r>
              </w:p>
            </w:tc>
            <w:tc>
              <w:tcPr>
                <w:tcW w:w="839"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$4474.40</w:t>
                </w:r>
              </w:p>
            </w:tc>
          </w:tr>
          <w:tr w:rsidR="00E14DC8" w:rsidRPr="00796046" w:rsidTr="00556803">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p>
            </w:tc>
            <w:tc>
              <w:tcPr>
                <w:tcW w:w="614"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p>
            </w:tc>
            <w:tc>
              <w:tcPr>
                <w:tcW w:w="799" w:type="pct"/>
                <w:tcBorders>
                  <w:bottom w:val="nil"/>
                </w:tcBorders>
                <w:shd w:val="clear" w:color="auto" w:fill="FFFFFF" w:themeFill="background1"/>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Origin Energy</w:t>
                </w:r>
              </w:p>
            </w:tc>
            <w:tc>
              <w:tcPr>
                <w:tcW w:w="703" w:type="pct"/>
                <w:tcBorders>
                  <w:bottom w:val="nil"/>
                </w:tcBorders>
                <w:shd w:val="clear" w:color="auto" w:fill="FFFFFF" w:themeFill="background1"/>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QPS3</w:t>
                </w:r>
              </w:p>
            </w:tc>
            <w:tc>
              <w:tcPr>
                <w:tcW w:w="537"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160.01</w:t>
                </w:r>
              </w:p>
            </w:tc>
            <w:tc>
              <w:tcPr>
                <w:tcW w:w="526"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0.34</w:t>
                </w:r>
              </w:p>
            </w:tc>
            <w:tc>
              <w:tcPr>
                <w:tcW w:w="839" w:type="pct"/>
                <w:tcBorders>
                  <w:bottom w:val="nil"/>
                </w:tcBorders>
                <w:shd w:val="clear" w:color="auto" w:fill="FFFFFF" w:themeFill="background1"/>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$4474.40</w:t>
                </w:r>
              </w:p>
            </w:tc>
          </w:tr>
          <w:tr w:rsidR="00E14DC8" w:rsidRPr="00796046" w:rsidTr="00556803">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17:20</w:t>
                </w:r>
              </w:p>
            </w:tc>
            <w:tc>
              <w:tcPr>
                <w:tcW w:w="614"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$14</w:t>
                </w:r>
                <w:r w:rsidR="00556803">
                  <w:rPr>
                    <w:rFonts w:asciiTheme="minorHAnsi" w:hAnsiTheme="minorHAnsi" w:cstheme="minorHAnsi"/>
                    <w:sz w:val="16"/>
                    <w:szCs w:val="16"/>
                  </w:rPr>
                  <w:t> </w:t>
                </w:r>
                <w:r w:rsidRPr="00556803">
                  <w:rPr>
                    <w:rFonts w:asciiTheme="minorHAnsi" w:hAnsiTheme="minorHAnsi" w:cstheme="minorHAnsi"/>
                    <w:sz w:val="16"/>
                    <w:szCs w:val="16"/>
                  </w:rPr>
                  <w:t>000.00</w:t>
                </w:r>
              </w:p>
            </w:tc>
            <w:tc>
              <w:tcPr>
                <w:tcW w:w="799" w:type="pct"/>
                <w:tcBorders>
                  <w:bottom w:val="nil"/>
                </w:tcBorders>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Origin Energy</w:t>
                </w:r>
              </w:p>
            </w:tc>
            <w:tc>
              <w:tcPr>
                <w:tcW w:w="703" w:type="pct"/>
                <w:tcBorders>
                  <w:bottom w:val="nil"/>
                </w:tcBorders>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OSB-AG</w:t>
                </w:r>
              </w:p>
            </w:tc>
            <w:tc>
              <w:tcPr>
                <w:tcW w:w="537"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$14</w:t>
                </w:r>
                <w:r w:rsidR="00556803">
                  <w:rPr>
                    <w:rFonts w:asciiTheme="minorHAnsi" w:hAnsiTheme="minorHAnsi" w:cstheme="minorHAnsi"/>
                    <w:sz w:val="16"/>
                    <w:szCs w:val="16"/>
                  </w:rPr>
                  <w:t> </w:t>
                </w:r>
                <w:r w:rsidRPr="00556803">
                  <w:rPr>
                    <w:rFonts w:asciiTheme="minorHAnsi" w:hAnsiTheme="minorHAnsi" w:cstheme="minorHAnsi"/>
                    <w:sz w:val="16"/>
                    <w:szCs w:val="16"/>
                  </w:rPr>
                  <w:t>000.00</w:t>
                </w:r>
              </w:p>
            </w:tc>
            <w:tc>
              <w:tcPr>
                <w:tcW w:w="526"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1.00</w:t>
                </w:r>
              </w:p>
            </w:tc>
            <w:tc>
              <w:tcPr>
                <w:tcW w:w="839" w:type="pct"/>
                <w:tcBorders>
                  <w:bottom w:val="nil"/>
                </w:tcBorders>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$14</w:t>
                </w:r>
                <w:r w:rsidR="009A50E4">
                  <w:rPr>
                    <w:rFonts w:asciiTheme="minorHAnsi" w:hAnsiTheme="minorHAnsi" w:cstheme="minorHAnsi"/>
                    <w:sz w:val="16"/>
                    <w:szCs w:val="16"/>
                  </w:rPr>
                  <w:t xml:space="preserve"> </w:t>
                </w:r>
                <w:r w:rsidRPr="00556803">
                  <w:rPr>
                    <w:rFonts w:asciiTheme="minorHAnsi" w:hAnsiTheme="minorHAnsi" w:cstheme="minorHAnsi"/>
                    <w:sz w:val="16"/>
                    <w:szCs w:val="16"/>
                  </w:rPr>
                  <w:t>000.00</w:t>
                </w:r>
              </w:p>
            </w:tc>
          </w:tr>
          <w:tr w:rsidR="00E14DC8" w:rsidRPr="00247FC3" w:rsidTr="00556803">
            <w:trPr>
              <w:cnfStyle w:val="000000100000" w:firstRow="0" w:lastRow="0" w:firstColumn="0" w:lastColumn="0" w:oddVBand="0" w:evenVBand="0" w:oddHBand="1" w:evenHBand="0" w:firstRowFirstColumn="0" w:firstRowLastColumn="0" w:lastRowFirstColumn="0" w:lastRowLastColumn="0"/>
              <w:trHeight w:hRule="exact" w:val="359"/>
            </w:trPr>
            <w:tc>
              <w:tcPr>
                <w:tcW w:w="380" w:type="pct"/>
                <w:tcBorders>
                  <w:bottom w:val="nil"/>
                </w:tcBorders>
                <w:shd w:val="clear" w:color="auto" w:fill="auto"/>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17:25</w:t>
                </w:r>
              </w:p>
            </w:tc>
            <w:tc>
              <w:tcPr>
                <w:tcW w:w="614" w:type="pct"/>
                <w:tcBorders>
                  <w:bottom w:val="nil"/>
                </w:tcBorders>
                <w:shd w:val="clear" w:color="auto" w:fill="auto"/>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100.02</w:t>
                </w:r>
              </w:p>
            </w:tc>
            <w:tc>
              <w:tcPr>
                <w:tcW w:w="799" w:type="pct"/>
                <w:tcBorders>
                  <w:bottom w:val="nil"/>
                </w:tcBorders>
                <w:shd w:val="clear" w:color="auto" w:fill="auto"/>
                <w:vAlign w:val="center"/>
              </w:tcPr>
              <w:p w:rsidR="00E14DC8" w:rsidRPr="00556803" w:rsidRDefault="00556803" w:rsidP="00556803">
                <w:pPr>
                  <w:spacing w:after="0"/>
                  <w:jc w:val="left"/>
                  <w:rPr>
                    <w:rFonts w:asciiTheme="minorHAnsi" w:hAnsiTheme="minorHAnsi" w:cstheme="minorHAnsi"/>
                    <w:sz w:val="16"/>
                    <w:szCs w:val="16"/>
                  </w:rPr>
                </w:pPr>
                <w:r>
                  <w:rPr>
                    <w:rFonts w:asciiTheme="minorHAnsi" w:hAnsiTheme="minorHAnsi" w:cstheme="minorHAnsi"/>
                    <w:sz w:val="16"/>
                    <w:szCs w:val="16"/>
                  </w:rPr>
                  <w:t>Engie</w:t>
                </w:r>
              </w:p>
            </w:tc>
            <w:tc>
              <w:tcPr>
                <w:tcW w:w="703" w:type="pct"/>
                <w:tcBorders>
                  <w:bottom w:val="nil"/>
                </w:tcBorders>
                <w:shd w:val="clear" w:color="auto" w:fill="auto"/>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DRYCGT1</w:t>
                </w:r>
              </w:p>
            </w:tc>
            <w:tc>
              <w:tcPr>
                <w:tcW w:w="537" w:type="pct"/>
                <w:tcBorders>
                  <w:bottom w:val="nil"/>
                </w:tcBorders>
                <w:shd w:val="clear" w:color="auto" w:fill="auto"/>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shd w:val="clear" w:color="auto" w:fill="auto"/>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100.02</w:t>
                </w:r>
              </w:p>
            </w:tc>
            <w:tc>
              <w:tcPr>
                <w:tcW w:w="526" w:type="pct"/>
                <w:tcBorders>
                  <w:bottom w:val="nil"/>
                </w:tcBorders>
                <w:shd w:val="clear" w:color="auto" w:fill="auto"/>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1.00</w:t>
                </w:r>
              </w:p>
            </w:tc>
            <w:tc>
              <w:tcPr>
                <w:tcW w:w="839" w:type="pct"/>
                <w:tcBorders>
                  <w:bottom w:val="nil"/>
                </w:tcBorders>
                <w:shd w:val="clear" w:color="auto" w:fill="auto"/>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9A50E4">
                  <w:rPr>
                    <w:rFonts w:asciiTheme="minorHAnsi" w:hAnsiTheme="minorHAnsi" w:cstheme="minorHAnsi"/>
                    <w:sz w:val="16"/>
                    <w:szCs w:val="16"/>
                  </w:rPr>
                  <w:t xml:space="preserve"> </w:t>
                </w:r>
                <w:r w:rsidRPr="00556803">
                  <w:rPr>
                    <w:rFonts w:asciiTheme="minorHAnsi" w:hAnsiTheme="minorHAnsi" w:cstheme="minorHAnsi"/>
                    <w:sz w:val="16"/>
                    <w:szCs w:val="16"/>
                  </w:rPr>
                  <w:t>100.02</w:t>
                </w:r>
              </w:p>
            </w:tc>
          </w:tr>
          <w:tr w:rsidR="00E14DC8" w:rsidRPr="00796046" w:rsidTr="00556803">
            <w:trPr>
              <w:cnfStyle w:val="000000010000" w:firstRow="0" w:lastRow="0" w:firstColumn="0" w:lastColumn="0" w:oddVBand="0" w:evenVBand="0" w:oddHBand="0" w:evenHBand="1" w:firstRowFirstColumn="0" w:firstRowLastColumn="0" w:lastRowFirstColumn="0" w:lastRowLastColumn="0"/>
              <w:trHeight w:val="421"/>
            </w:trPr>
            <w:tc>
              <w:tcPr>
                <w:tcW w:w="380" w:type="pct"/>
                <w:tcBorders>
                  <w:bottom w:val="nil"/>
                </w:tcBorders>
                <w:shd w:val="clear" w:color="auto" w:fill="D4E2FF" w:themeFill="accent3" w:themeFillTint="1A"/>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17:30</w:t>
                </w:r>
              </w:p>
            </w:tc>
            <w:tc>
              <w:tcPr>
                <w:tcW w:w="614" w:type="pct"/>
                <w:tcBorders>
                  <w:bottom w:val="nil"/>
                </w:tcBorders>
                <w:shd w:val="clear" w:color="auto" w:fill="D4E2FF" w:themeFill="accent3" w:themeFillTint="1A"/>
                <w:vAlign w:val="center"/>
              </w:tcPr>
              <w:p w:rsidR="00E14DC8" w:rsidRPr="00556803" w:rsidRDefault="00556803"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Pr>
                    <w:rFonts w:asciiTheme="minorHAnsi" w:hAnsiTheme="minorHAnsi" w:cstheme="minorHAnsi"/>
                    <w:sz w:val="16"/>
                    <w:szCs w:val="16"/>
                  </w:rPr>
                  <w:t> </w:t>
                </w:r>
                <w:r w:rsidRPr="00556803">
                  <w:rPr>
                    <w:rFonts w:asciiTheme="minorHAnsi" w:hAnsiTheme="minorHAnsi" w:cstheme="minorHAnsi"/>
                    <w:sz w:val="16"/>
                    <w:szCs w:val="16"/>
                  </w:rPr>
                  <w:t>100.02</w:t>
                </w:r>
              </w:p>
            </w:tc>
            <w:tc>
              <w:tcPr>
                <w:tcW w:w="799" w:type="pct"/>
                <w:tcBorders>
                  <w:bottom w:val="nil"/>
                </w:tcBorders>
                <w:shd w:val="clear" w:color="auto" w:fill="D4E2FF" w:themeFill="accent3" w:themeFillTint="1A"/>
                <w:vAlign w:val="center"/>
              </w:tcPr>
              <w:p w:rsidR="00E14DC8" w:rsidRPr="00556803" w:rsidRDefault="00556803" w:rsidP="00556803">
                <w:pPr>
                  <w:spacing w:after="0"/>
                  <w:jc w:val="left"/>
                  <w:rPr>
                    <w:rFonts w:asciiTheme="minorHAnsi" w:hAnsiTheme="minorHAnsi" w:cstheme="minorHAnsi"/>
                    <w:sz w:val="16"/>
                    <w:szCs w:val="16"/>
                  </w:rPr>
                </w:pPr>
                <w:r>
                  <w:rPr>
                    <w:rFonts w:asciiTheme="minorHAnsi" w:hAnsiTheme="minorHAnsi" w:cstheme="minorHAnsi"/>
                    <w:sz w:val="16"/>
                    <w:szCs w:val="16"/>
                  </w:rPr>
                  <w:t>Engie</w:t>
                </w:r>
              </w:p>
            </w:tc>
            <w:tc>
              <w:tcPr>
                <w:tcW w:w="703" w:type="pct"/>
                <w:tcBorders>
                  <w:bottom w:val="nil"/>
                </w:tcBorders>
                <w:shd w:val="clear" w:color="auto" w:fill="D4E2FF" w:themeFill="accent3" w:themeFillTint="1A"/>
                <w:vAlign w:val="center"/>
              </w:tcPr>
              <w:p w:rsidR="00E14DC8" w:rsidRPr="00556803" w:rsidRDefault="00E14DC8" w:rsidP="00556803">
                <w:pPr>
                  <w:spacing w:after="0"/>
                  <w:jc w:val="left"/>
                  <w:rPr>
                    <w:rFonts w:asciiTheme="minorHAnsi" w:hAnsiTheme="minorHAnsi" w:cstheme="minorHAnsi"/>
                    <w:sz w:val="16"/>
                    <w:szCs w:val="16"/>
                  </w:rPr>
                </w:pPr>
                <w:r w:rsidRPr="00556803">
                  <w:rPr>
                    <w:rFonts w:asciiTheme="minorHAnsi" w:hAnsiTheme="minorHAnsi" w:cstheme="minorHAnsi"/>
                    <w:sz w:val="16"/>
                    <w:szCs w:val="16"/>
                  </w:rPr>
                  <w:t>DRYCGT1</w:t>
                </w:r>
              </w:p>
            </w:tc>
            <w:tc>
              <w:tcPr>
                <w:tcW w:w="537" w:type="pct"/>
                <w:tcBorders>
                  <w:bottom w:val="nil"/>
                </w:tcBorders>
                <w:shd w:val="clear" w:color="auto" w:fill="D4E2FF" w:themeFill="accent3" w:themeFillTint="1A"/>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Energy</w:t>
                </w:r>
              </w:p>
            </w:tc>
            <w:tc>
              <w:tcPr>
                <w:tcW w:w="602" w:type="pct"/>
                <w:tcBorders>
                  <w:bottom w:val="nil"/>
                </w:tcBorders>
                <w:shd w:val="clear" w:color="auto" w:fill="D4E2FF" w:themeFill="accent3" w:themeFillTint="1A"/>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556803">
                  <w:rPr>
                    <w:rFonts w:asciiTheme="minorHAnsi" w:hAnsiTheme="minorHAnsi" w:cstheme="minorHAnsi"/>
                    <w:sz w:val="16"/>
                    <w:szCs w:val="16"/>
                  </w:rPr>
                  <w:t> </w:t>
                </w:r>
                <w:r w:rsidRPr="00556803">
                  <w:rPr>
                    <w:rFonts w:asciiTheme="minorHAnsi" w:hAnsiTheme="minorHAnsi" w:cstheme="minorHAnsi"/>
                    <w:sz w:val="16"/>
                    <w:szCs w:val="16"/>
                  </w:rPr>
                  <w:t>100.02</w:t>
                </w:r>
              </w:p>
            </w:tc>
            <w:tc>
              <w:tcPr>
                <w:tcW w:w="526" w:type="pct"/>
                <w:tcBorders>
                  <w:bottom w:val="nil"/>
                </w:tcBorders>
                <w:shd w:val="clear" w:color="auto" w:fill="D4E2FF" w:themeFill="accent3" w:themeFillTint="1A"/>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1.00</w:t>
                </w:r>
              </w:p>
            </w:tc>
            <w:tc>
              <w:tcPr>
                <w:tcW w:w="839" w:type="pct"/>
                <w:tcBorders>
                  <w:bottom w:val="nil"/>
                </w:tcBorders>
                <w:shd w:val="clear" w:color="auto" w:fill="D4E2FF" w:themeFill="accent3" w:themeFillTint="1A"/>
                <w:vAlign w:val="center"/>
              </w:tcPr>
              <w:p w:rsidR="00E14DC8" w:rsidRPr="00556803" w:rsidRDefault="00E14DC8" w:rsidP="00556803">
                <w:pPr>
                  <w:spacing w:after="0"/>
                  <w:jc w:val="center"/>
                  <w:rPr>
                    <w:rFonts w:asciiTheme="minorHAnsi" w:hAnsiTheme="minorHAnsi" w:cstheme="minorHAnsi"/>
                    <w:sz w:val="16"/>
                    <w:szCs w:val="16"/>
                  </w:rPr>
                </w:pPr>
                <w:r w:rsidRPr="00556803">
                  <w:rPr>
                    <w:rFonts w:asciiTheme="minorHAnsi" w:hAnsiTheme="minorHAnsi" w:cstheme="minorHAnsi"/>
                    <w:sz w:val="16"/>
                    <w:szCs w:val="16"/>
                  </w:rPr>
                  <w:t>$13</w:t>
                </w:r>
                <w:r w:rsidR="009A50E4">
                  <w:rPr>
                    <w:rFonts w:asciiTheme="minorHAnsi" w:hAnsiTheme="minorHAnsi" w:cstheme="minorHAnsi"/>
                    <w:sz w:val="16"/>
                    <w:szCs w:val="16"/>
                  </w:rPr>
                  <w:t xml:space="preserve"> </w:t>
                </w:r>
                <w:r w:rsidRPr="00556803">
                  <w:rPr>
                    <w:rFonts w:asciiTheme="minorHAnsi" w:hAnsiTheme="minorHAnsi" w:cstheme="minorHAnsi"/>
                    <w:sz w:val="16"/>
                    <w:szCs w:val="16"/>
                  </w:rPr>
                  <w:t>100.02</w:t>
                </w:r>
              </w:p>
            </w:tc>
          </w:tr>
          <w:tr w:rsidR="00E14DC8" w:rsidRPr="00796046" w:rsidTr="00ED1D8C">
            <w:trPr>
              <w:cnfStyle w:val="000000100000" w:firstRow="0" w:lastRow="0" w:firstColumn="0" w:lastColumn="0" w:oddVBand="0" w:evenVBand="0" w:oddHBand="1" w:evenHBand="0" w:firstRowFirstColumn="0" w:firstRowLastColumn="0" w:lastRowFirstColumn="0" w:lastRowLastColumn="0"/>
              <w:trHeight w:hRule="exact" w:val="454"/>
            </w:trPr>
            <w:tc>
              <w:tcPr>
                <w:tcW w:w="994" w:type="pct"/>
                <w:gridSpan w:val="2"/>
                <w:tcBorders>
                  <w:top w:val="nil"/>
                </w:tcBorders>
                <w:vAlign w:val="center"/>
              </w:tcPr>
              <w:p w:rsidR="00E14DC8" w:rsidRPr="001C3F02" w:rsidRDefault="00E14DC8" w:rsidP="00301FE3">
                <w:pPr>
                  <w:spacing w:after="0" w:line="240" w:lineRule="auto"/>
                  <w:jc w:val="center"/>
                  <w:rPr>
                    <w:rFonts w:cs="Arial"/>
                    <w:b/>
                    <w:sz w:val="20"/>
                    <w:szCs w:val="20"/>
                  </w:rPr>
                </w:pPr>
                <w:r w:rsidRPr="001C3F02">
                  <w:rPr>
                    <w:rFonts w:cs="Arial"/>
                    <w:b/>
                    <w:sz w:val="20"/>
                    <w:szCs w:val="20"/>
                  </w:rPr>
                  <w:t>Spot price</w:t>
                </w:r>
              </w:p>
            </w:tc>
            <w:tc>
              <w:tcPr>
                <w:tcW w:w="1502" w:type="pct"/>
                <w:gridSpan w:val="2"/>
                <w:tcBorders>
                  <w:top w:val="nil"/>
                </w:tcBorders>
                <w:vAlign w:val="center"/>
              </w:tcPr>
              <w:p w:rsidR="00E14DC8" w:rsidRPr="00301FE3" w:rsidRDefault="00D73F75" w:rsidP="00301FE3">
                <w:pPr>
                  <w:spacing w:after="0" w:line="240" w:lineRule="auto"/>
                  <w:jc w:val="center"/>
                  <w:rPr>
                    <w:rFonts w:cs="Arial"/>
                    <w:b/>
                    <w:sz w:val="20"/>
                    <w:szCs w:val="20"/>
                  </w:rPr>
                </w:pPr>
                <w:r>
                  <w:rPr>
                    <w:rFonts w:cs="Arial"/>
                    <w:b/>
                    <w:sz w:val="20"/>
                    <w:szCs w:val="20"/>
                  </w:rPr>
                  <w:t>$11 141</w:t>
                </w:r>
                <w:r w:rsidR="00E14DC8" w:rsidRPr="001C3F02">
                  <w:rPr>
                    <w:rFonts w:cs="Arial"/>
                    <w:b/>
                    <w:sz w:val="20"/>
                    <w:szCs w:val="20"/>
                  </w:rPr>
                  <w:t>/MWh</w:t>
                </w:r>
              </w:p>
            </w:tc>
            <w:tc>
              <w:tcPr>
                <w:tcW w:w="537" w:type="pct"/>
                <w:tcBorders>
                  <w:top w:val="nil"/>
                </w:tcBorders>
                <w:vAlign w:val="center"/>
              </w:tcPr>
              <w:p w:rsidR="00E14DC8" w:rsidRDefault="00E14DC8" w:rsidP="00E14DC8">
                <w:pPr>
                  <w:spacing w:before="120"/>
                  <w:jc w:val="left"/>
                  <w:rPr>
                    <w:rFonts w:cs="Arial"/>
                    <w:sz w:val="16"/>
                    <w:szCs w:val="16"/>
                  </w:rPr>
                </w:pPr>
              </w:p>
            </w:tc>
            <w:tc>
              <w:tcPr>
                <w:tcW w:w="602" w:type="pct"/>
                <w:tcBorders>
                  <w:top w:val="nil"/>
                </w:tcBorders>
                <w:vAlign w:val="center"/>
              </w:tcPr>
              <w:p w:rsidR="00E14DC8" w:rsidRDefault="00E14DC8" w:rsidP="00E14DC8">
                <w:pPr>
                  <w:spacing w:before="120"/>
                  <w:jc w:val="left"/>
                  <w:rPr>
                    <w:rFonts w:cs="Arial"/>
                    <w:sz w:val="16"/>
                    <w:szCs w:val="16"/>
                  </w:rPr>
                </w:pPr>
              </w:p>
            </w:tc>
            <w:tc>
              <w:tcPr>
                <w:tcW w:w="526" w:type="pct"/>
                <w:tcBorders>
                  <w:top w:val="nil"/>
                </w:tcBorders>
                <w:vAlign w:val="center"/>
              </w:tcPr>
              <w:p w:rsidR="00E14DC8" w:rsidRDefault="00E14DC8" w:rsidP="00E14DC8">
                <w:pPr>
                  <w:spacing w:before="120"/>
                  <w:jc w:val="left"/>
                  <w:rPr>
                    <w:rFonts w:cs="Arial"/>
                    <w:sz w:val="16"/>
                    <w:szCs w:val="16"/>
                  </w:rPr>
                </w:pPr>
              </w:p>
            </w:tc>
            <w:tc>
              <w:tcPr>
                <w:tcW w:w="839" w:type="pct"/>
                <w:tcBorders>
                  <w:top w:val="nil"/>
                </w:tcBorders>
                <w:vAlign w:val="center"/>
              </w:tcPr>
              <w:p w:rsidR="00E14DC8" w:rsidRDefault="00E14DC8" w:rsidP="00E14DC8">
                <w:pPr>
                  <w:spacing w:before="120"/>
                  <w:jc w:val="left"/>
                  <w:rPr>
                    <w:rFonts w:cs="Arial"/>
                    <w:sz w:val="16"/>
                    <w:szCs w:val="16"/>
                  </w:rPr>
                </w:pPr>
              </w:p>
            </w:tc>
          </w:tr>
        </w:tbl>
        <w:p w:rsidR="00B1455E" w:rsidRDefault="00B1455E" w:rsidP="00B1455E">
          <w:pPr>
            <w:pStyle w:val="Caption"/>
          </w:pPr>
          <w:r w:rsidRPr="00C95E26">
            <w:t xml:space="preserve">Table </w:t>
          </w:r>
          <w:fldSimple w:instr=" SEQ Table \* ARABIC ">
            <w:r w:rsidR="005B5767">
              <w:rPr>
                <w:noProof/>
              </w:rPr>
              <w:t>8</w:t>
            </w:r>
          </w:fldSimple>
          <w:r w:rsidR="00D73F75">
            <w:t>: Price setter for 6</w:t>
          </w:r>
          <w:r w:rsidRPr="00C95E26">
            <w:t xml:space="preserve"> pm trading interval</w:t>
          </w:r>
        </w:p>
        <w:tbl>
          <w:tblPr>
            <w:tblStyle w:val="AERsummarytable"/>
            <w:tblW w:w="5385" w:type="pct"/>
            <w:tblLayout w:type="fixed"/>
            <w:tblLook w:val="04A0" w:firstRow="1" w:lastRow="0" w:firstColumn="1" w:lastColumn="0" w:noHBand="0" w:noVBand="1"/>
          </w:tblPr>
          <w:tblGrid>
            <w:gridCol w:w="719"/>
            <w:gridCol w:w="1161"/>
            <w:gridCol w:w="1511"/>
            <w:gridCol w:w="1329"/>
            <w:gridCol w:w="1015"/>
            <w:gridCol w:w="1138"/>
            <w:gridCol w:w="994"/>
            <w:gridCol w:w="1586"/>
          </w:tblGrid>
          <w:tr w:rsidR="00B1455E" w:rsidRPr="00CC1DD3" w:rsidTr="00A81DD7">
            <w:trPr>
              <w:cnfStyle w:val="100000000000" w:firstRow="1" w:lastRow="0" w:firstColumn="0" w:lastColumn="0" w:oddVBand="0" w:evenVBand="0" w:oddHBand="0" w:evenHBand="0" w:firstRowFirstColumn="0" w:firstRowLastColumn="0" w:lastRowFirstColumn="0" w:lastRowLastColumn="0"/>
              <w:trHeight w:hRule="exact" w:val="1090"/>
              <w:tblHeader/>
            </w:trPr>
            <w:tc>
              <w:tcPr>
                <w:tcW w:w="380" w:type="pct"/>
                <w:tcBorders>
                  <w:bottom w:val="nil"/>
                </w:tcBorders>
              </w:tcPr>
              <w:p w:rsidR="00B1455E" w:rsidRPr="00CC1DD3" w:rsidRDefault="00B1455E" w:rsidP="00CC1DD3">
                <w:pPr>
                  <w:pStyle w:val="TableHeading"/>
                </w:pPr>
                <w:r w:rsidRPr="00CC1DD3">
                  <w:t>DI</w:t>
                </w:r>
              </w:p>
            </w:tc>
            <w:tc>
              <w:tcPr>
                <w:tcW w:w="614" w:type="pct"/>
                <w:tcBorders>
                  <w:bottom w:val="nil"/>
                </w:tcBorders>
              </w:tcPr>
              <w:p w:rsidR="00B1455E" w:rsidRPr="00CC1DD3" w:rsidRDefault="00B1455E" w:rsidP="00CC1DD3">
                <w:pPr>
                  <w:pStyle w:val="TableHeading"/>
                </w:pPr>
                <w:r w:rsidRPr="00CC1DD3">
                  <w:t>Dispatch Price ($/MWh)</w:t>
                </w:r>
              </w:p>
            </w:tc>
            <w:tc>
              <w:tcPr>
                <w:tcW w:w="799" w:type="pct"/>
                <w:tcBorders>
                  <w:bottom w:val="nil"/>
                </w:tcBorders>
              </w:tcPr>
              <w:p w:rsidR="00B1455E" w:rsidRPr="00CC1DD3" w:rsidRDefault="00B1455E" w:rsidP="00CC1DD3">
                <w:pPr>
                  <w:pStyle w:val="TableHeading"/>
                </w:pPr>
                <w:r w:rsidRPr="00CC1DD3">
                  <w:t>Participant</w:t>
                </w:r>
              </w:p>
            </w:tc>
            <w:tc>
              <w:tcPr>
                <w:tcW w:w="703" w:type="pct"/>
                <w:tcBorders>
                  <w:bottom w:val="nil"/>
                </w:tcBorders>
              </w:tcPr>
              <w:p w:rsidR="00B1455E" w:rsidRPr="00CC1DD3" w:rsidRDefault="00B1455E" w:rsidP="00CC1DD3">
                <w:pPr>
                  <w:pStyle w:val="TableHeading"/>
                </w:pPr>
                <w:r w:rsidRPr="00CC1DD3">
                  <w:t>Unit</w:t>
                </w:r>
              </w:p>
            </w:tc>
            <w:tc>
              <w:tcPr>
                <w:tcW w:w="537" w:type="pct"/>
                <w:tcBorders>
                  <w:bottom w:val="nil"/>
                </w:tcBorders>
              </w:tcPr>
              <w:p w:rsidR="00B1455E" w:rsidRPr="00CC1DD3" w:rsidRDefault="00B1455E" w:rsidP="00CC1DD3">
                <w:pPr>
                  <w:pStyle w:val="TableHeading"/>
                </w:pPr>
                <w:r w:rsidRPr="00CC1DD3">
                  <w:t>Service</w:t>
                </w:r>
              </w:p>
            </w:tc>
            <w:tc>
              <w:tcPr>
                <w:tcW w:w="602" w:type="pct"/>
                <w:tcBorders>
                  <w:bottom w:val="nil"/>
                </w:tcBorders>
              </w:tcPr>
              <w:p w:rsidR="00B1455E" w:rsidRPr="00CC1DD3" w:rsidRDefault="00B1455E" w:rsidP="00CC1DD3">
                <w:pPr>
                  <w:pStyle w:val="TableHeading"/>
                </w:pPr>
                <w:r w:rsidRPr="00CC1DD3">
                  <w:t>Offer price ($/MWh)</w:t>
                </w:r>
              </w:p>
            </w:tc>
            <w:tc>
              <w:tcPr>
                <w:tcW w:w="526" w:type="pct"/>
                <w:tcBorders>
                  <w:bottom w:val="nil"/>
                </w:tcBorders>
              </w:tcPr>
              <w:p w:rsidR="00B1455E" w:rsidRPr="00CC1DD3" w:rsidRDefault="00B1455E" w:rsidP="00CC1DD3">
                <w:pPr>
                  <w:pStyle w:val="TableHeading"/>
                </w:pPr>
                <w:r w:rsidRPr="00CC1DD3">
                  <w:t>Marginal change</w:t>
                </w:r>
              </w:p>
            </w:tc>
            <w:tc>
              <w:tcPr>
                <w:tcW w:w="839" w:type="pct"/>
                <w:tcBorders>
                  <w:bottom w:val="nil"/>
                </w:tcBorders>
              </w:tcPr>
              <w:p w:rsidR="00B1455E" w:rsidRPr="00CC1DD3" w:rsidRDefault="00B1455E" w:rsidP="00CC1DD3">
                <w:pPr>
                  <w:pStyle w:val="TableHeading"/>
                </w:pPr>
                <w:r w:rsidRPr="00CC1DD3">
                  <w:t>Contribution</w:t>
                </w:r>
              </w:p>
            </w:tc>
          </w:tr>
          <w:tr w:rsidR="002D4D15"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17:35</w:t>
                </w:r>
              </w:p>
            </w:tc>
            <w:tc>
              <w:tcPr>
                <w:tcW w:w="614"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799"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Origin Energy</w:t>
                </w:r>
              </w:p>
            </w:tc>
            <w:tc>
              <w:tcPr>
                <w:tcW w:w="703"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QPS2</w:t>
                </w:r>
              </w:p>
            </w:tc>
            <w:tc>
              <w:tcPr>
                <w:tcW w:w="537"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Energy</w:t>
                </w:r>
              </w:p>
            </w:tc>
            <w:tc>
              <w:tcPr>
                <w:tcW w:w="602"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526"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1.00</w:t>
                </w:r>
              </w:p>
            </w:tc>
            <w:tc>
              <w:tcPr>
                <w:tcW w:w="839"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r>
          <w:tr w:rsidR="002D4D15"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2D4D15" w:rsidRDefault="002D4D15" w:rsidP="00ED1D8C">
                <w:pPr>
                  <w:spacing w:after="0"/>
                  <w:jc w:val="right"/>
                  <w:rPr>
                    <w:rFonts w:cs="Arial"/>
                    <w:sz w:val="16"/>
                    <w:szCs w:val="16"/>
                  </w:rPr>
                </w:pPr>
                <w:r>
                  <w:rPr>
                    <w:rFonts w:cs="Arial"/>
                    <w:sz w:val="16"/>
                    <w:szCs w:val="16"/>
                  </w:rPr>
                  <w:t>17:40</w:t>
                </w:r>
              </w:p>
            </w:tc>
            <w:tc>
              <w:tcPr>
                <w:tcW w:w="614"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799" w:type="pct"/>
                <w:tcBorders>
                  <w:bottom w:val="nil"/>
                </w:tcBorders>
                <w:vAlign w:val="bottom"/>
              </w:tcPr>
              <w:p w:rsidR="002D4D15" w:rsidRDefault="002D4D1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2D4D15" w:rsidRDefault="002D4D15" w:rsidP="00ED1D8C">
                <w:pPr>
                  <w:spacing w:after="0"/>
                  <w:rPr>
                    <w:rFonts w:cs="Arial"/>
                    <w:sz w:val="16"/>
                    <w:szCs w:val="16"/>
                  </w:rPr>
                </w:pPr>
                <w:r>
                  <w:rPr>
                    <w:rFonts w:cs="Arial"/>
                    <w:sz w:val="16"/>
                    <w:szCs w:val="16"/>
                  </w:rPr>
                  <w:t>QPS2</w:t>
                </w:r>
              </w:p>
            </w:tc>
            <w:tc>
              <w:tcPr>
                <w:tcW w:w="537" w:type="pct"/>
                <w:tcBorders>
                  <w:bottom w:val="nil"/>
                </w:tcBorders>
                <w:vAlign w:val="bottom"/>
              </w:tcPr>
              <w:p w:rsidR="002D4D15" w:rsidRDefault="002D4D15" w:rsidP="00ED1D8C">
                <w:pPr>
                  <w:spacing w:after="0"/>
                  <w:rPr>
                    <w:rFonts w:cs="Arial"/>
                    <w:sz w:val="16"/>
                    <w:szCs w:val="16"/>
                  </w:rPr>
                </w:pPr>
                <w:r>
                  <w:rPr>
                    <w:rFonts w:cs="Arial"/>
                    <w:sz w:val="16"/>
                    <w:szCs w:val="16"/>
                  </w:rPr>
                  <w:t>Energy</w:t>
                </w:r>
              </w:p>
            </w:tc>
            <w:tc>
              <w:tcPr>
                <w:tcW w:w="602"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526" w:type="pct"/>
                <w:tcBorders>
                  <w:bottom w:val="nil"/>
                </w:tcBorders>
                <w:vAlign w:val="bottom"/>
              </w:tcPr>
              <w:p w:rsidR="002D4D15" w:rsidRDefault="002D4D15" w:rsidP="00ED1D8C">
                <w:pPr>
                  <w:spacing w:after="0"/>
                  <w:jc w:val="right"/>
                  <w:rPr>
                    <w:rFonts w:cs="Arial"/>
                    <w:sz w:val="16"/>
                    <w:szCs w:val="16"/>
                  </w:rPr>
                </w:pPr>
                <w:r>
                  <w:rPr>
                    <w:rFonts w:cs="Arial"/>
                    <w:sz w:val="16"/>
                    <w:szCs w:val="16"/>
                  </w:rPr>
                  <w:t>1.00</w:t>
                </w:r>
              </w:p>
            </w:tc>
            <w:tc>
              <w:tcPr>
                <w:tcW w:w="839"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r>
          <w:tr w:rsidR="002D4D15"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17:45</w:t>
                </w:r>
              </w:p>
            </w:tc>
            <w:tc>
              <w:tcPr>
                <w:tcW w:w="614"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799"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Origin Energy</w:t>
                </w:r>
              </w:p>
            </w:tc>
            <w:tc>
              <w:tcPr>
                <w:tcW w:w="703"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QPS2</w:t>
                </w:r>
              </w:p>
            </w:tc>
            <w:tc>
              <w:tcPr>
                <w:tcW w:w="537"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Energy</w:t>
                </w:r>
              </w:p>
            </w:tc>
            <w:tc>
              <w:tcPr>
                <w:tcW w:w="602"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526"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1.00</w:t>
                </w:r>
              </w:p>
            </w:tc>
            <w:tc>
              <w:tcPr>
                <w:tcW w:w="839"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r>
          <w:tr w:rsidR="002D4D15"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2D4D15" w:rsidRDefault="002D4D15" w:rsidP="00ED1D8C">
                <w:pPr>
                  <w:spacing w:after="0"/>
                  <w:jc w:val="right"/>
                  <w:rPr>
                    <w:rFonts w:cs="Arial"/>
                    <w:sz w:val="16"/>
                    <w:szCs w:val="16"/>
                  </w:rPr>
                </w:pPr>
                <w:r>
                  <w:rPr>
                    <w:rFonts w:cs="Arial"/>
                    <w:sz w:val="16"/>
                    <w:szCs w:val="16"/>
                  </w:rPr>
                  <w:t>17:50</w:t>
                </w:r>
              </w:p>
            </w:tc>
            <w:tc>
              <w:tcPr>
                <w:tcW w:w="614"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799" w:type="pct"/>
                <w:tcBorders>
                  <w:bottom w:val="nil"/>
                </w:tcBorders>
                <w:vAlign w:val="bottom"/>
              </w:tcPr>
              <w:p w:rsidR="002D4D15" w:rsidRDefault="002D4D1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2D4D15" w:rsidRDefault="002D4D15" w:rsidP="00ED1D8C">
                <w:pPr>
                  <w:spacing w:after="0"/>
                  <w:rPr>
                    <w:rFonts w:cs="Arial"/>
                    <w:sz w:val="16"/>
                    <w:szCs w:val="16"/>
                  </w:rPr>
                </w:pPr>
                <w:r>
                  <w:rPr>
                    <w:rFonts w:cs="Arial"/>
                    <w:sz w:val="16"/>
                    <w:szCs w:val="16"/>
                  </w:rPr>
                  <w:t>QPS2</w:t>
                </w:r>
              </w:p>
            </w:tc>
            <w:tc>
              <w:tcPr>
                <w:tcW w:w="537" w:type="pct"/>
                <w:tcBorders>
                  <w:bottom w:val="nil"/>
                </w:tcBorders>
                <w:vAlign w:val="bottom"/>
              </w:tcPr>
              <w:p w:rsidR="002D4D15" w:rsidRDefault="002D4D15" w:rsidP="00ED1D8C">
                <w:pPr>
                  <w:spacing w:after="0"/>
                  <w:rPr>
                    <w:rFonts w:cs="Arial"/>
                    <w:sz w:val="16"/>
                    <w:szCs w:val="16"/>
                  </w:rPr>
                </w:pPr>
                <w:r>
                  <w:rPr>
                    <w:rFonts w:cs="Arial"/>
                    <w:sz w:val="16"/>
                    <w:szCs w:val="16"/>
                  </w:rPr>
                  <w:t>Energy</w:t>
                </w:r>
              </w:p>
            </w:tc>
            <w:tc>
              <w:tcPr>
                <w:tcW w:w="602"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526" w:type="pct"/>
                <w:tcBorders>
                  <w:bottom w:val="nil"/>
                </w:tcBorders>
                <w:vAlign w:val="bottom"/>
              </w:tcPr>
              <w:p w:rsidR="002D4D15" w:rsidRDefault="002D4D15" w:rsidP="00ED1D8C">
                <w:pPr>
                  <w:spacing w:after="0"/>
                  <w:jc w:val="right"/>
                  <w:rPr>
                    <w:rFonts w:cs="Arial"/>
                    <w:sz w:val="16"/>
                    <w:szCs w:val="16"/>
                  </w:rPr>
                </w:pPr>
                <w:r>
                  <w:rPr>
                    <w:rFonts w:cs="Arial"/>
                    <w:sz w:val="16"/>
                    <w:szCs w:val="16"/>
                  </w:rPr>
                  <w:t>1.00</w:t>
                </w:r>
              </w:p>
            </w:tc>
            <w:tc>
              <w:tcPr>
                <w:tcW w:w="839"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r>
          <w:tr w:rsidR="002D4D15"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17:55</w:t>
                </w:r>
              </w:p>
            </w:tc>
            <w:tc>
              <w:tcPr>
                <w:tcW w:w="614"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799"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Origin Energy</w:t>
                </w:r>
              </w:p>
            </w:tc>
            <w:tc>
              <w:tcPr>
                <w:tcW w:w="703"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QPS2</w:t>
                </w:r>
              </w:p>
            </w:tc>
            <w:tc>
              <w:tcPr>
                <w:tcW w:w="537" w:type="pct"/>
                <w:tcBorders>
                  <w:bottom w:val="nil"/>
                </w:tcBorders>
                <w:shd w:val="clear" w:color="auto" w:fill="auto"/>
                <w:vAlign w:val="bottom"/>
              </w:tcPr>
              <w:p w:rsidR="002D4D15" w:rsidRDefault="002D4D15" w:rsidP="00ED1D8C">
                <w:pPr>
                  <w:spacing w:after="0"/>
                  <w:rPr>
                    <w:rFonts w:cs="Arial"/>
                    <w:sz w:val="16"/>
                    <w:szCs w:val="16"/>
                  </w:rPr>
                </w:pPr>
                <w:r>
                  <w:rPr>
                    <w:rFonts w:cs="Arial"/>
                    <w:sz w:val="16"/>
                    <w:szCs w:val="16"/>
                  </w:rPr>
                  <w:t>Energy</w:t>
                </w:r>
              </w:p>
            </w:tc>
            <w:tc>
              <w:tcPr>
                <w:tcW w:w="602"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526"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1.00</w:t>
                </w:r>
              </w:p>
            </w:tc>
            <w:tc>
              <w:tcPr>
                <w:tcW w:w="839" w:type="pct"/>
                <w:tcBorders>
                  <w:bottom w:val="nil"/>
                </w:tcBorders>
                <w:shd w:val="clear" w:color="auto" w:fill="auto"/>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r>
          <w:tr w:rsidR="002D4D1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2D4D15" w:rsidRDefault="002D4D15" w:rsidP="00ED1D8C">
                <w:pPr>
                  <w:spacing w:after="0"/>
                  <w:jc w:val="right"/>
                  <w:rPr>
                    <w:rFonts w:cs="Arial"/>
                    <w:sz w:val="16"/>
                    <w:szCs w:val="16"/>
                  </w:rPr>
                </w:pPr>
                <w:r>
                  <w:rPr>
                    <w:rFonts w:cs="Arial"/>
                    <w:sz w:val="16"/>
                    <w:szCs w:val="16"/>
                  </w:rPr>
                  <w:t>18:00</w:t>
                </w:r>
              </w:p>
            </w:tc>
            <w:tc>
              <w:tcPr>
                <w:tcW w:w="614"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799" w:type="pct"/>
                <w:tcBorders>
                  <w:bottom w:val="nil"/>
                </w:tcBorders>
                <w:vAlign w:val="bottom"/>
              </w:tcPr>
              <w:p w:rsidR="002D4D15" w:rsidRDefault="002D4D1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2D4D15" w:rsidRDefault="002D4D15" w:rsidP="00ED1D8C">
                <w:pPr>
                  <w:spacing w:after="0"/>
                  <w:rPr>
                    <w:rFonts w:cs="Arial"/>
                    <w:sz w:val="16"/>
                    <w:szCs w:val="16"/>
                  </w:rPr>
                </w:pPr>
                <w:r>
                  <w:rPr>
                    <w:rFonts w:cs="Arial"/>
                    <w:sz w:val="16"/>
                    <w:szCs w:val="16"/>
                  </w:rPr>
                  <w:t>QPS2</w:t>
                </w:r>
              </w:p>
            </w:tc>
            <w:tc>
              <w:tcPr>
                <w:tcW w:w="537" w:type="pct"/>
                <w:tcBorders>
                  <w:bottom w:val="nil"/>
                </w:tcBorders>
                <w:vAlign w:val="bottom"/>
              </w:tcPr>
              <w:p w:rsidR="002D4D15" w:rsidRDefault="002D4D15" w:rsidP="00ED1D8C">
                <w:pPr>
                  <w:spacing w:after="0"/>
                  <w:rPr>
                    <w:rFonts w:cs="Arial"/>
                    <w:sz w:val="16"/>
                    <w:szCs w:val="16"/>
                  </w:rPr>
                </w:pPr>
                <w:r>
                  <w:rPr>
                    <w:rFonts w:cs="Arial"/>
                    <w:sz w:val="16"/>
                    <w:szCs w:val="16"/>
                  </w:rPr>
                  <w:t>Energy</w:t>
                </w:r>
              </w:p>
            </w:tc>
            <w:tc>
              <w:tcPr>
                <w:tcW w:w="602"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c>
              <w:tcPr>
                <w:tcW w:w="526" w:type="pct"/>
                <w:tcBorders>
                  <w:bottom w:val="nil"/>
                </w:tcBorders>
                <w:vAlign w:val="bottom"/>
              </w:tcPr>
              <w:p w:rsidR="002D4D15" w:rsidRDefault="002D4D15" w:rsidP="00ED1D8C">
                <w:pPr>
                  <w:spacing w:after="0"/>
                  <w:jc w:val="right"/>
                  <w:rPr>
                    <w:rFonts w:cs="Arial"/>
                    <w:sz w:val="16"/>
                    <w:szCs w:val="16"/>
                  </w:rPr>
                </w:pPr>
                <w:r>
                  <w:rPr>
                    <w:rFonts w:cs="Arial"/>
                    <w:sz w:val="16"/>
                    <w:szCs w:val="16"/>
                  </w:rPr>
                  <w:t>1.00</w:t>
                </w:r>
              </w:p>
            </w:tc>
            <w:tc>
              <w:tcPr>
                <w:tcW w:w="839" w:type="pct"/>
                <w:tcBorders>
                  <w:bottom w:val="nil"/>
                </w:tcBorders>
                <w:vAlign w:val="bottom"/>
              </w:tcPr>
              <w:p w:rsidR="002D4D15" w:rsidRDefault="002D4D15" w:rsidP="00ED1D8C">
                <w:pPr>
                  <w:spacing w:after="0"/>
                  <w:jc w:val="right"/>
                  <w:rPr>
                    <w:rFonts w:cs="Arial"/>
                    <w:sz w:val="16"/>
                    <w:szCs w:val="16"/>
                  </w:rPr>
                </w:pPr>
                <w:r>
                  <w:rPr>
                    <w:rFonts w:cs="Arial"/>
                    <w:sz w:val="16"/>
                    <w:szCs w:val="16"/>
                  </w:rPr>
                  <w:t>$13</w:t>
                </w:r>
                <w:r w:rsidR="00556803">
                  <w:rPr>
                    <w:rFonts w:asciiTheme="minorHAnsi" w:hAnsiTheme="minorHAnsi" w:cstheme="minorHAnsi"/>
                    <w:sz w:val="16"/>
                    <w:szCs w:val="16"/>
                  </w:rPr>
                  <w:t> </w:t>
                </w:r>
                <w:r>
                  <w:rPr>
                    <w:rFonts w:cs="Arial"/>
                    <w:sz w:val="16"/>
                    <w:szCs w:val="16"/>
                  </w:rPr>
                  <w:t>160.01</w:t>
                </w:r>
              </w:p>
            </w:tc>
          </w:tr>
          <w:tr w:rsidR="001C3F02" w:rsidRPr="00301FE3" w:rsidTr="00ED1D8C">
            <w:trPr>
              <w:cnfStyle w:val="000000100000" w:firstRow="0" w:lastRow="0" w:firstColumn="0" w:lastColumn="0" w:oddVBand="0" w:evenVBand="0" w:oddHBand="1" w:evenHBand="0" w:firstRowFirstColumn="0" w:firstRowLastColumn="0" w:lastRowFirstColumn="0" w:lastRowLastColumn="0"/>
              <w:trHeight w:hRule="exact" w:val="475"/>
            </w:trPr>
            <w:tc>
              <w:tcPr>
                <w:tcW w:w="994" w:type="pct"/>
                <w:gridSpan w:val="2"/>
                <w:tcBorders>
                  <w:top w:val="nil"/>
                </w:tcBorders>
                <w:vAlign w:val="center"/>
              </w:tcPr>
              <w:p w:rsidR="001C3F02" w:rsidRPr="001C3F02" w:rsidRDefault="001C3F02" w:rsidP="00ED1D8C">
                <w:pPr>
                  <w:spacing w:after="0" w:line="240" w:lineRule="auto"/>
                  <w:jc w:val="center"/>
                  <w:rPr>
                    <w:rFonts w:cs="Arial"/>
                    <w:b/>
                    <w:sz w:val="20"/>
                    <w:szCs w:val="20"/>
                  </w:rPr>
                </w:pPr>
                <w:r w:rsidRPr="001C3F02">
                  <w:rPr>
                    <w:rFonts w:cs="Arial"/>
                    <w:b/>
                    <w:sz w:val="20"/>
                    <w:szCs w:val="20"/>
                  </w:rPr>
                  <w:t>Spot price</w:t>
                </w:r>
              </w:p>
            </w:tc>
            <w:tc>
              <w:tcPr>
                <w:tcW w:w="1502" w:type="pct"/>
                <w:gridSpan w:val="2"/>
                <w:tcBorders>
                  <w:top w:val="nil"/>
                </w:tcBorders>
                <w:vAlign w:val="center"/>
              </w:tcPr>
              <w:p w:rsidR="001C3F02" w:rsidRPr="001C3F02" w:rsidRDefault="001C3F02" w:rsidP="00ED1D8C">
                <w:pPr>
                  <w:spacing w:after="0" w:line="240" w:lineRule="auto"/>
                  <w:jc w:val="center"/>
                  <w:rPr>
                    <w:rFonts w:cs="Arial"/>
                    <w:b/>
                    <w:sz w:val="20"/>
                    <w:szCs w:val="20"/>
                  </w:rPr>
                </w:pPr>
                <w:r w:rsidRPr="001C3F02">
                  <w:rPr>
                    <w:rFonts w:cs="Arial"/>
                    <w:b/>
                    <w:sz w:val="20"/>
                    <w:szCs w:val="20"/>
                  </w:rPr>
                  <w:t>$</w:t>
                </w:r>
                <w:r w:rsidR="00D73F75">
                  <w:rPr>
                    <w:rFonts w:cs="Arial"/>
                    <w:b/>
                    <w:sz w:val="20"/>
                    <w:szCs w:val="20"/>
                  </w:rPr>
                  <w:t>13 160</w:t>
                </w:r>
                <w:r w:rsidRPr="001C3F02">
                  <w:rPr>
                    <w:rFonts w:cs="Arial"/>
                    <w:b/>
                    <w:sz w:val="20"/>
                    <w:szCs w:val="20"/>
                  </w:rPr>
                  <w:t>/MWh</w:t>
                </w:r>
              </w:p>
            </w:tc>
            <w:tc>
              <w:tcPr>
                <w:tcW w:w="537" w:type="pct"/>
                <w:tcBorders>
                  <w:top w:val="nil"/>
                </w:tcBorders>
                <w:vAlign w:val="center"/>
              </w:tcPr>
              <w:p w:rsidR="001C3F02" w:rsidRPr="00301FE3" w:rsidRDefault="001C3F02" w:rsidP="00ED1D8C">
                <w:pPr>
                  <w:spacing w:after="0" w:line="240" w:lineRule="auto"/>
                  <w:jc w:val="center"/>
                  <w:rPr>
                    <w:rFonts w:cs="Arial"/>
                    <w:b/>
                    <w:sz w:val="20"/>
                    <w:szCs w:val="20"/>
                  </w:rPr>
                </w:pPr>
              </w:p>
            </w:tc>
            <w:tc>
              <w:tcPr>
                <w:tcW w:w="602" w:type="pct"/>
                <w:tcBorders>
                  <w:top w:val="nil"/>
                </w:tcBorders>
                <w:vAlign w:val="center"/>
              </w:tcPr>
              <w:p w:rsidR="001C3F02" w:rsidRPr="00301FE3" w:rsidRDefault="001C3F02" w:rsidP="00ED1D8C">
                <w:pPr>
                  <w:spacing w:after="0" w:line="240" w:lineRule="auto"/>
                  <w:jc w:val="center"/>
                  <w:rPr>
                    <w:rFonts w:cs="Arial"/>
                    <w:b/>
                    <w:sz w:val="20"/>
                    <w:szCs w:val="20"/>
                  </w:rPr>
                </w:pPr>
              </w:p>
            </w:tc>
            <w:tc>
              <w:tcPr>
                <w:tcW w:w="526" w:type="pct"/>
                <w:tcBorders>
                  <w:top w:val="nil"/>
                </w:tcBorders>
                <w:vAlign w:val="center"/>
              </w:tcPr>
              <w:p w:rsidR="001C3F02" w:rsidRPr="00301FE3" w:rsidRDefault="001C3F02" w:rsidP="00ED1D8C">
                <w:pPr>
                  <w:spacing w:after="0" w:line="240" w:lineRule="auto"/>
                  <w:jc w:val="center"/>
                  <w:rPr>
                    <w:rFonts w:cs="Arial"/>
                    <w:b/>
                    <w:sz w:val="20"/>
                    <w:szCs w:val="20"/>
                  </w:rPr>
                </w:pPr>
              </w:p>
            </w:tc>
            <w:tc>
              <w:tcPr>
                <w:tcW w:w="839" w:type="pct"/>
                <w:tcBorders>
                  <w:top w:val="nil"/>
                </w:tcBorders>
                <w:vAlign w:val="center"/>
              </w:tcPr>
              <w:p w:rsidR="001C3F02" w:rsidRPr="00301FE3" w:rsidRDefault="001C3F02" w:rsidP="00ED1D8C">
                <w:pPr>
                  <w:spacing w:after="0" w:line="240" w:lineRule="auto"/>
                  <w:jc w:val="center"/>
                  <w:rPr>
                    <w:rFonts w:cs="Arial"/>
                    <w:b/>
                    <w:sz w:val="20"/>
                    <w:szCs w:val="20"/>
                  </w:rPr>
                </w:pPr>
              </w:p>
            </w:tc>
          </w:tr>
        </w:tbl>
        <w:p w:rsidR="00B1455E" w:rsidRDefault="00B1455E" w:rsidP="00B1455E">
          <w:pPr>
            <w:pStyle w:val="Caption"/>
          </w:pPr>
          <w:r w:rsidRPr="00C95E26">
            <w:lastRenderedPageBreak/>
            <w:t xml:space="preserve">Table </w:t>
          </w:r>
          <w:fldSimple w:instr=" SEQ Table \* ARABIC ">
            <w:r w:rsidR="005B5767">
              <w:rPr>
                <w:noProof/>
              </w:rPr>
              <w:t>9</w:t>
            </w:r>
          </w:fldSimple>
          <w:r w:rsidRPr="00C95E26">
            <w:t xml:space="preserve">: Price setter for </w:t>
          </w:r>
          <w:r w:rsidR="00D73F75">
            <w:t>6.30</w:t>
          </w:r>
          <w:r w:rsidRPr="00C95E26">
            <w:t xml:space="preserve"> pm trading interval</w:t>
          </w:r>
        </w:p>
        <w:tbl>
          <w:tblPr>
            <w:tblStyle w:val="AERsummarytable"/>
            <w:tblW w:w="5385" w:type="pct"/>
            <w:tblLayout w:type="fixed"/>
            <w:tblLook w:val="04A0" w:firstRow="1" w:lastRow="0" w:firstColumn="1" w:lastColumn="0" w:noHBand="0" w:noVBand="1"/>
          </w:tblPr>
          <w:tblGrid>
            <w:gridCol w:w="719"/>
            <w:gridCol w:w="1161"/>
            <w:gridCol w:w="1511"/>
            <w:gridCol w:w="1329"/>
            <w:gridCol w:w="1015"/>
            <w:gridCol w:w="1138"/>
            <w:gridCol w:w="994"/>
            <w:gridCol w:w="1586"/>
          </w:tblGrid>
          <w:tr w:rsidR="00B1455E" w:rsidRPr="00693846" w:rsidTr="00A81DD7">
            <w:trPr>
              <w:cnfStyle w:val="100000000000" w:firstRow="1" w:lastRow="0" w:firstColumn="0" w:lastColumn="0" w:oddVBand="0" w:evenVBand="0" w:oddHBand="0" w:evenHBand="0" w:firstRowFirstColumn="0" w:firstRowLastColumn="0" w:lastRowFirstColumn="0" w:lastRowLastColumn="0"/>
              <w:trHeight w:hRule="exact" w:val="1288"/>
              <w:tblHeader/>
            </w:trPr>
            <w:tc>
              <w:tcPr>
                <w:tcW w:w="380" w:type="pct"/>
                <w:vAlign w:val="center"/>
              </w:tcPr>
              <w:p w:rsidR="00B1455E" w:rsidRPr="00693846" w:rsidRDefault="00B1455E" w:rsidP="00693846">
                <w:pPr>
                  <w:pStyle w:val="TableHeading"/>
                </w:pPr>
                <w:r w:rsidRPr="00693846">
                  <w:t>DI</w:t>
                </w:r>
              </w:p>
            </w:tc>
            <w:tc>
              <w:tcPr>
                <w:tcW w:w="614" w:type="pct"/>
                <w:vAlign w:val="center"/>
              </w:tcPr>
              <w:p w:rsidR="00B1455E" w:rsidRPr="00693846" w:rsidRDefault="00B1455E" w:rsidP="00693846">
                <w:pPr>
                  <w:pStyle w:val="TableHeading"/>
                </w:pPr>
                <w:r w:rsidRPr="00693846">
                  <w:t>Dispatch Price ($/MWh)</w:t>
                </w:r>
              </w:p>
            </w:tc>
            <w:tc>
              <w:tcPr>
                <w:tcW w:w="799" w:type="pct"/>
                <w:vAlign w:val="center"/>
              </w:tcPr>
              <w:p w:rsidR="00B1455E" w:rsidRPr="00693846" w:rsidRDefault="00B1455E" w:rsidP="00693846">
                <w:pPr>
                  <w:pStyle w:val="TableHeading"/>
                </w:pPr>
                <w:r w:rsidRPr="00693846">
                  <w:t>Participant</w:t>
                </w:r>
              </w:p>
            </w:tc>
            <w:tc>
              <w:tcPr>
                <w:tcW w:w="703" w:type="pct"/>
                <w:vAlign w:val="center"/>
              </w:tcPr>
              <w:p w:rsidR="00B1455E" w:rsidRPr="00693846" w:rsidRDefault="00B1455E" w:rsidP="00693846">
                <w:pPr>
                  <w:pStyle w:val="TableHeading"/>
                </w:pPr>
                <w:r w:rsidRPr="00693846">
                  <w:t>Unit</w:t>
                </w:r>
              </w:p>
            </w:tc>
            <w:tc>
              <w:tcPr>
                <w:tcW w:w="537" w:type="pct"/>
                <w:vAlign w:val="center"/>
              </w:tcPr>
              <w:p w:rsidR="00B1455E" w:rsidRPr="00693846" w:rsidRDefault="00B1455E" w:rsidP="00693846">
                <w:pPr>
                  <w:pStyle w:val="TableHeading"/>
                </w:pPr>
                <w:r w:rsidRPr="00693846">
                  <w:t>Service</w:t>
                </w:r>
              </w:p>
            </w:tc>
            <w:tc>
              <w:tcPr>
                <w:tcW w:w="602" w:type="pct"/>
                <w:vAlign w:val="center"/>
              </w:tcPr>
              <w:p w:rsidR="00B1455E" w:rsidRPr="00693846" w:rsidRDefault="00B1455E" w:rsidP="00693846">
                <w:pPr>
                  <w:pStyle w:val="TableHeading"/>
                </w:pPr>
                <w:r w:rsidRPr="00693846">
                  <w:t>Offer price ($/MWh)</w:t>
                </w:r>
              </w:p>
            </w:tc>
            <w:tc>
              <w:tcPr>
                <w:tcW w:w="526" w:type="pct"/>
                <w:vAlign w:val="center"/>
              </w:tcPr>
              <w:p w:rsidR="00B1455E" w:rsidRPr="00693846" w:rsidRDefault="00B1455E" w:rsidP="00693846">
                <w:pPr>
                  <w:pStyle w:val="TableHeading"/>
                </w:pPr>
                <w:r w:rsidRPr="00526460">
                  <w:t>Marginal change</w:t>
                </w:r>
              </w:p>
            </w:tc>
            <w:tc>
              <w:tcPr>
                <w:tcW w:w="839" w:type="pct"/>
                <w:vAlign w:val="center"/>
              </w:tcPr>
              <w:p w:rsidR="00B1455E" w:rsidRPr="00693846" w:rsidRDefault="00B1455E" w:rsidP="00693846">
                <w:pPr>
                  <w:pStyle w:val="TableHeading"/>
                </w:pPr>
                <w:r w:rsidRPr="00693846">
                  <w:t>Contribution</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vAlign w:val="bottom"/>
              </w:tcPr>
              <w:p w:rsidR="00D73F75" w:rsidRDefault="00D73F75" w:rsidP="00ED1D8C">
                <w:pPr>
                  <w:spacing w:after="0"/>
                  <w:jc w:val="right"/>
                  <w:rPr>
                    <w:rFonts w:cs="Arial"/>
                    <w:sz w:val="16"/>
                    <w:szCs w:val="16"/>
                  </w:rPr>
                </w:pPr>
                <w:r>
                  <w:rPr>
                    <w:rFonts w:cs="Arial"/>
                    <w:sz w:val="16"/>
                    <w:szCs w:val="16"/>
                  </w:rPr>
                  <w:t>18:05</w:t>
                </w:r>
              </w:p>
            </w:tc>
            <w:tc>
              <w:tcPr>
                <w:tcW w:w="614"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799" w:type="pct"/>
                <w:tcBorders>
                  <w:bottom w:val="nil"/>
                </w:tcBorders>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D73F75" w:rsidRDefault="00D73F75" w:rsidP="00ED1D8C">
                <w:pPr>
                  <w:spacing w:after="0"/>
                  <w:rPr>
                    <w:rFonts w:cs="Arial"/>
                    <w:sz w:val="16"/>
                    <w:szCs w:val="16"/>
                  </w:rPr>
                </w:pPr>
                <w:r>
                  <w:rPr>
                    <w:rFonts w:cs="Arial"/>
                    <w:sz w:val="16"/>
                    <w:szCs w:val="16"/>
                  </w:rPr>
                  <w:t>QPS2</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vAlign w:val="bottom"/>
              </w:tcPr>
              <w:p w:rsidR="00D73F75" w:rsidRDefault="00D73F75" w:rsidP="00ED1D8C">
                <w:pPr>
                  <w:spacing w:after="0"/>
                  <w:jc w:val="right"/>
                  <w:rPr>
                    <w:rFonts w:cs="Arial"/>
                    <w:sz w:val="16"/>
                    <w:szCs w:val="16"/>
                  </w:rPr>
                </w:pPr>
                <w:r>
                  <w:rPr>
                    <w:rFonts w:cs="Arial"/>
                    <w:sz w:val="16"/>
                    <w:szCs w:val="16"/>
                  </w:rPr>
                  <w:t>1.00</w:t>
                </w:r>
              </w:p>
            </w:tc>
            <w:tc>
              <w:tcPr>
                <w:tcW w:w="839"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r>
          <w:tr w:rsidR="00D73F7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D73F75" w:rsidRDefault="00D73F75" w:rsidP="00ED1D8C">
                <w:pPr>
                  <w:spacing w:after="0"/>
                  <w:jc w:val="right"/>
                  <w:rPr>
                    <w:rFonts w:cs="Arial"/>
                    <w:sz w:val="16"/>
                    <w:szCs w:val="16"/>
                  </w:rPr>
                </w:pPr>
                <w:r>
                  <w:rPr>
                    <w:rFonts w:cs="Arial"/>
                    <w:sz w:val="16"/>
                    <w:szCs w:val="16"/>
                  </w:rPr>
                  <w:t>18:10</w:t>
                </w:r>
              </w:p>
            </w:tc>
            <w:tc>
              <w:tcPr>
                <w:tcW w:w="614"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799" w:type="pct"/>
                <w:tcBorders>
                  <w:bottom w:val="nil"/>
                </w:tcBorders>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D73F75" w:rsidRDefault="00D73F75" w:rsidP="00ED1D8C">
                <w:pPr>
                  <w:spacing w:after="0"/>
                  <w:rPr>
                    <w:rFonts w:cs="Arial"/>
                    <w:sz w:val="16"/>
                    <w:szCs w:val="16"/>
                  </w:rPr>
                </w:pPr>
                <w:r>
                  <w:rPr>
                    <w:rFonts w:cs="Arial"/>
                    <w:sz w:val="16"/>
                    <w:szCs w:val="16"/>
                  </w:rPr>
                  <w:t>QPS2</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vAlign w:val="bottom"/>
              </w:tcPr>
              <w:p w:rsidR="00D73F75" w:rsidRDefault="00D73F75" w:rsidP="00ED1D8C">
                <w:pPr>
                  <w:spacing w:after="0"/>
                  <w:jc w:val="right"/>
                  <w:rPr>
                    <w:rFonts w:cs="Arial"/>
                    <w:sz w:val="16"/>
                    <w:szCs w:val="16"/>
                  </w:rPr>
                </w:pPr>
                <w:r>
                  <w:rPr>
                    <w:rFonts w:cs="Arial"/>
                    <w:sz w:val="16"/>
                    <w:szCs w:val="16"/>
                  </w:rPr>
                  <w:t>0.50</w:t>
                </w:r>
              </w:p>
            </w:tc>
            <w:tc>
              <w:tcPr>
                <w:tcW w:w="839" w:type="pct"/>
                <w:tcBorders>
                  <w:bottom w:val="nil"/>
                </w:tcBorders>
                <w:vAlign w:val="bottom"/>
              </w:tcPr>
              <w:p w:rsidR="00D73F75" w:rsidRDefault="00D73F75" w:rsidP="00ED1D8C">
                <w:pPr>
                  <w:spacing w:after="0"/>
                  <w:jc w:val="right"/>
                  <w:rPr>
                    <w:rFonts w:cs="Arial"/>
                    <w:sz w:val="16"/>
                    <w:szCs w:val="16"/>
                  </w:rPr>
                </w:pPr>
                <w:r>
                  <w:rPr>
                    <w:rFonts w:cs="Arial"/>
                    <w:sz w:val="16"/>
                    <w:szCs w:val="16"/>
                  </w:rPr>
                  <w:t>$6580.01</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Default="00D73F75" w:rsidP="00ED1D8C">
                <w:pPr>
                  <w:spacing w:after="0"/>
                  <w:rPr>
                    <w:rFonts w:cs="Arial"/>
                    <w:sz w:val="16"/>
                    <w:szCs w:val="16"/>
                  </w:rPr>
                </w:pPr>
              </w:p>
            </w:tc>
            <w:tc>
              <w:tcPr>
                <w:tcW w:w="614" w:type="pct"/>
                <w:tcBorders>
                  <w:bottom w:val="nil"/>
                </w:tcBorders>
                <w:shd w:val="clear" w:color="auto" w:fill="DBE5F1"/>
                <w:vAlign w:val="bottom"/>
              </w:tcPr>
              <w:p w:rsidR="00D73F75" w:rsidRDefault="00D73F75" w:rsidP="00ED1D8C">
                <w:pPr>
                  <w:spacing w:after="0"/>
                  <w:rPr>
                    <w:rFonts w:cs="Arial"/>
                    <w:sz w:val="16"/>
                    <w:szCs w:val="16"/>
                  </w:rPr>
                </w:pPr>
              </w:p>
            </w:tc>
            <w:tc>
              <w:tcPr>
                <w:tcW w:w="799"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QPS4</w:t>
                </w:r>
              </w:p>
            </w:tc>
            <w:tc>
              <w:tcPr>
                <w:tcW w:w="537"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0.50</w:t>
                </w:r>
              </w:p>
            </w:tc>
            <w:tc>
              <w:tcPr>
                <w:tcW w:w="839"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$6580.01</w:t>
                </w:r>
              </w:p>
            </w:tc>
          </w:tr>
          <w:tr w:rsidR="00D73F75" w:rsidRPr="00796046" w:rsidTr="00C96D40">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18:15</w:t>
                </w:r>
              </w:p>
            </w:tc>
            <w:tc>
              <w:tcPr>
                <w:tcW w:w="614"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799"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QPS2</w:t>
                </w:r>
              </w:p>
            </w:tc>
            <w:tc>
              <w:tcPr>
                <w:tcW w:w="537"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0.50</w:t>
                </w:r>
              </w:p>
            </w:tc>
            <w:tc>
              <w:tcPr>
                <w:tcW w:w="839"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$6580.01</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bottom"/>
              </w:tcPr>
              <w:p w:rsidR="00D73F75" w:rsidRDefault="00D73F75" w:rsidP="00ED1D8C">
                <w:pPr>
                  <w:spacing w:after="0"/>
                  <w:rPr>
                    <w:rFonts w:cs="Arial"/>
                    <w:sz w:val="16"/>
                    <w:szCs w:val="16"/>
                  </w:rPr>
                </w:pPr>
              </w:p>
            </w:tc>
            <w:tc>
              <w:tcPr>
                <w:tcW w:w="614" w:type="pct"/>
                <w:tcBorders>
                  <w:bottom w:val="nil"/>
                </w:tcBorders>
                <w:shd w:val="clear" w:color="auto" w:fill="auto"/>
                <w:vAlign w:val="bottom"/>
              </w:tcPr>
              <w:p w:rsidR="00D73F75" w:rsidRDefault="00D73F75" w:rsidP="00ED1D8C">
                <w:pPr>
                  <w:spacing w:after="0"/>
                  <w:rPr>
                    <w:rFonts w:cs="Arial"/>
                    <w:sz w:val="16"/>
                    <w:szCs w:val="16"/>
                  </w:rPr>
                </w:pPr>
              </w:p>
            </w:tc>
            <w:tc>
              <w:tcPr>
                <w:tcW w:w="799"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QPS4</w:t>
                </w:r>
              </w:p>
            </w:tc>
            <w:tc>
              <w:tcPr>
                <w:tcW w:w="537"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0.50</w:t>
                </w:r>
              </w:p>
            </w:tc>
            <w:tc>
              <w:tcPr>
                <w:tcW w:w="839"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$6580.01</w:t>
                </w:r>
              </w:p>
            </w:tc>
          </w:tr>
          <w:tr w:rsidR="00D73F7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D73F75" w:rsidRDefault="00D73F75" w:rsidP="00ED1D8C">
                <w:pPr>
                  <w:spacing w:after="0"/>
                  <w:jc w:val="right"/>
                  <w:rPr>
                    <w:rFonts w:cs="Arial"/>
                    <w:sz w:val="16"/>
                    <w:szCs w:val="16"/>
                  </w:rPr>
                </w:pPr>
                <w:r>
                  <w:rPr>
                    <w:rFonts w:cs="Arial"/>
                    <w:sz w:val="16"/>
                    <w:szCs w:val="16"/>
                  </w:rPr>
                  <w:t>18:20</w:t>
                </w:r>
              </w:p>
            </w:tc>
            <w:tc>
              <w:tcPr>
                <w:tcW w:w="614"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799" w:type="pct"/>
                <w:tcBorders>
                  <w:bottom w:val="nil"/>
                </w:tcBorders>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D73F75" w:rsidRDefault="00D73F75" w:rsidP="00ED1D8C">
                <w:pPr>
                  <w:spacing w:after="0"/>
                  <w:rPr>
                    <w:rFonts w:cs="Arial"/>
                    <w:sz w:val="16"/>
                    <w:szCs w:val="16"/>
                  </w:rPr>
                </w:pPr>
                <w:r>
                  <w:rPr>
                    <w:rFonts w:cs="Arial"/>
                    <w:sz w:val="16"/>
                    <w:szCs w:val="16"/>
                  </w:rPr>
                  <w:t>QPS1</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vAlign w:val="bottom"/>
              </w:tcPr>
              <w:p w:rsidR="00D73F75" w:rsidRDefault="00D73F75" w:rsidP="00ED1D8C">
                <w:pPr>
                  <w:spacing w:after="0"/>
                  <w:jc w:val="right"/>
                  <w:rPr>
                    <w:rFonts w:cs="Arial"/>
                    <w:sz w:val="16"/>
                    <w:szCs w:val="16"/>
                  </w:rPr>
                </w:pPr>
                <w:r>
                  <w:rPr>
                    <w:rFonts w:cs="Arial"/>
                    <w:sz w:val="16"/>
                    <w:szCs w:val="16"/>
                  </w:rPr>
                  <w:t>0.23</w:t>
                </w:r>
              </w:p>
            </w:tc>
            <w:tc>
              <w:tcPr>
                <w:tcW w:w="839" w:type="pct"/>
                <w:tcBorders>
                  <w:bottom w:val="nil"/>
                </w:tcBorders>
                <w:vAlign w:val="bottom"/>
              </w:tcPr>
              <w:p w:rsidR="00D73F75" w:rsidRDefault="00D73F75" w:rsidP="00ED1D8C">
                <w:pPr>
                  <w:spacing w:after="0"/>
                  <w:jc w:val="right"/>
                  <w:rPr>
                    <w:rFonts w:cs="Arial"/>
                    <w:sz w:val="16"/>
                    <w:szCs w:val="16"/>
                  </w:rPr>
                </w:pPr>
                <w:r>
                  <w:rPr>
                    <w:rFonts w:cs="Arial"/>
                    <w:sz w:val="16"/>
                    <w:szCs w:val="16"/>
                  </w:rPr>
                  <w:t>$3026.80</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Default="00D73F75" w:rsidP="00ED1D8C">
                <w:pPr>
                  <w:spacing w:after="0"/>
                  <w:rPr>
                    <w:rFonts w:cs="Arial"/>
                    <w:sz w:val="16"/>
                    <w:szCs w:val="16"/>
                  </w:rPr>
                </w:pPr>
              </w:p>
            </w:tc>
            <w:tc>
              <w:tcPr>
                <w:tcW w:w="614" w:type="pct"/>
                <w:tcBorders>
                  <w:bottom w:val="nil"/>
                </w:tcBorders>
                <w:shd w:val="clear" w:color="auto" w:fill="DBE5F1"/>
                <w:vAlign w:val="bottom"/>
              </w:tcPr>
              <w:p w:rsidR="00D73F75" w:rsidRDefault="00D73F75" w:rsidP="00ED1D8C">
                <w:pPr>
                  <w:spacing w:after="0"/>
                  <w:rPr>
                    <w:rFonts w:cs="Arial"/>
                    <w:sz w:val="16"/>
                    <w:szCs w:val="16"/>
                  </w:rPr>
                </w:pPr>
              </w:p>
            </w:tc>
            <w:tc>
              <w:tcPr>
                <w:tcW w:w="799"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QPS2</w:t>
                </w:r>
              </w:p>
            </w:tc>
            <w:tc>
              <w:tcPr>
                <w:tcW w:w="537"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0.26</w:t>
                </w:r>
              </w:p>
            </w:tc>
            <w:tc>
              <w:tcPr>
                <w:tcW w:w="839"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$3421.60</w:t>
                </w:r>
              </w:p>
            </w:tc>
          </w:tr>
          <w:tr w:rsidR="00D73F7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D73F75" w:rsidRDefault="00D73F75" w:rsidP="00ED1D8C">
                <w:pPr>
                  <w:spacing w:after="0"/>
                  <w:rPr>
                    <w:rFonts w:cs="Arial"/>
                    <w:sz w:val="16"/>
                    <w:szCs w:val="16"/>
                  </w:rPr>
                </w:pPr>
              </w:p>
            </w:tc>
            <w:tc>
              <w:tcPr>
                <w:tcW w:w="614" w:type="pct"/>
                <w:tcBorders>
                  <w:bottom w:val="nil"/>
                </w:tcBorders>
                <w:vAlign w:val="bottom"/>
              </w:tcPr>
              <w:p w:rsidR="00D73F75" w:rsidRDefault="00D73F75" w:rsidP="00ED1D8C">
                <w:pPr>
                  <w:spacing w:after="0"/>
                  <w:rPr>
                    <w:rFonts w:cs="Arial"/>
                    <w:sz w:val="16"/>
                    <w:szCs w:val="16"/>
                  </w:rPr>
                </w:pPr>
              </w:p>
            </w:tc>
            <w:tc>
              <w:tcPr>
                <w:tcW w:w="799" w:type="pct"/>
                <w:tcBorders>
                  <w:bottom w:val="nil"/>
                </w:tcBorders>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vAlign w:val="bottom"/>
              </w:tcPr>
              <w:p w:rsidR="00D73F75" w:rsidRDefault="00D73F75" w:rsidP="00ED1D8C">
                <w:pPr>
                  <w:spacing w:after="0"/>
                  <w:rPr>
                    <w:rFonts w:cs="Arial"/>
                    <w:sz w:val="16"/>
                    <w:szCs w:val="16"/>
                  </w:rPr>
                </w:pPr>
                <w:r>
                  <w:rPr>
                    <w:rFonts w:cs="Arial"/>
                    <w:sz w:val="16"/>
                    <w:szCs w:val="16"/>
                  </w:rPr>
                  <w:t>QPS3</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vAlign w:val="bottom"/>
              </w:tcPr>
              <w:p w:rsidR="00D73F75" w:rsidRDefault="00D73F75" w:rsidP="00ED1D8C">
                <w:pPr>
                  <w:spacing w:after="0"/>
                  <w:jc w:val="right"/>
                  <w:rPr>
                    <w:rFonts w:cs="Arial"/>
                    <w:sz w:val="16"/>
                    <w:szCs w:val="16"/>
                  </w:rPr>
                </w:pPr>
                <w:r>
                  <w:rPr>
                    <w:rFonts w:cs="Arial"/>
                    <w:sz w:val="16"/>
                    <w:szCs w:val="16"/>
                  </w:rPr>
                  <w:t>0.26</w:t>
                </w:r>
              </w:p>
            </w:tc>
            <w:tc>
              <w:tcPr>
                <w:tcW w:w="839" w:type="pct"/>
                <w:tcBorders>
                  <w:bottom w:val="nil"/>
                </w:tcBorders>
                <w:vAlign w:val="bottom"/>
              </w:tcPr>
              <w:p w:rsidR="00D73F75" w:rsidRDefault="00D73F75" w:rsidP="00ED1D8C">
                <w:pPr>
                  <w:spacing w:after="0"/>
                  <w:jc w:val="right"/>
                  <w:rPr>
                    <w:rFonts w:cs="Arial"/>
                    <w:sz w:val="16"/>
                    <w:szCs w:val="16"/>
                  </w:rPr>
                </w:pPr>
                <w:r>
                  <w:rPr>
                    <w:rFonts w:cs="Arial"/>
                    <w:sz w:val="16"/>
                    <w:szCs w:val="16"/>
                  </w:rPr>
                  <w:t>$3421.60</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Default="00D73F75" w:rsidP="00ED1D8C">
                <w:pPr>
                  <w:spacing w:after="0"/>
                  <w:rPr>
                    <w:rFonts w:cs="Arial"/>
                    <w:sz w:val="16"/>
                    <w:szCs w:val="16"/>
                  </w:rPr>
                </w:pPr>
              </w:p>
            </w:tc>
            <w:tc>
              <w:tcPr>
                <w:tcW w:w="614" w:type="pct"/>
                <w:tcBorders>
                  <w:bottom w:val="nil"/>
                </w:tcBorders>
                <w:shd w:val="clear" w:color="auto" w:fill="DBE5F1"/>
                <w:vAlign w:val="bottom"/>
              </w:tcPr>
              <w:p w:rsidR="00D73F75" w:rsidRDefault="00D73F75" w:rsidP="00ED1D8C">
                <w:pPr>
                  <w:spacing w:after="0"/>
                  <w:rPr>
                    <w:rFonts w:cs="Arial"/>
                    <w:sz w:val="16"/>
                    <w:szCs w:val="16"/>
                  </w:rPr>
                </w:pPr>
              </w:p>
            </w:tc>
            <w:tc>
              <w:tcPr>
                <w:tcW w:w="799"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Origin Energy</w:t>
                </w:r>
              </w:p>
            </w:tc>
            <w:tc>
              <w:tcPr>
                <w:tcW w:w="703"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QPS4</w:t>
                </w:r>
              </w:p>
            </w:tc>
            <w:tc>
              <w:tcPr>
                <w:tcW w:w="537"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$13</w:t>
                </w:r>
                <w:r w:rsidR="00ED1D8C">
                  <w:rPr>
                    <w:rFonts w:cs="Arial"/>
                    <w:sz w:val="16"/>
                    <w:szCs w:val="16"/>
                  </w:rPr>
                  <w:t> </w:t>
                </w:r>
                <w:r>
                  <w:rPr>
                    <w:rFonts w:cs="Arial"/>
                    <w:sz w:val="16"/>
                    <w:szCs w:val="16"/>
                  </w:rPr>
                  <w:t>160.01</w:t>
                </w:r>
              </w:p>
            </w:tc>
            <w:tc>
              <w:tcPr>
                <w:tcW w:w="526"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0.26</w:t>
                </w:r>
              </w:p>
            </w:tc>
            <w:tc>
              <w:tcPr>
                <w:tcW w:w="839"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$3421.60</w:t>
                </w:r>
              </w:p>
            </w:tc>
          </w:tr>
          <w:tr w:rsidR="00D73F7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18:25</w:t>
                </w:r>
              </w:p>
            </w:tc>
            <w:tc>
              <w:tcPr>
                <w:tcW w:w="614" w:type="pct"/>
                <w:tcBorders>
                  <w:bottom w:val="nil"/>
                </w:tcBorders>
                <w:shd w:val="clear" w:color="auto" w:fill="auto"/>
                <w:vAlign w:val="bottom"/>
              </w:tcPr>
              <w:p w:rsidR="00D73F75" w:rsidRPr="005A0B32" w:rsidRDefault="00D73F75" w:rsidP="00ED1D8C">
                <w:pPr>
                  <w:spacing w:after="0"/>
                  <w:jc w:val="right"/>
                  <w:rPr>
                    <w:rFonts w:cs="Arial"/>
                    <w:i/>
                    <w:sz w:val="16"/>
                    <w:szCs w:val="16"/>
                  </w:rPr>
                </w:pPr>
                <w:r w:rsidRPr="005A0B32">
                  <w:rPr>
                    <w:rFonts w:cs="Arial"/>
                    <w:i/>
                    <w:sz w:val="16"/>
                    <w:szCs w:val="16"/>
                  </w:rPr>
                  <w:t>$158.66</w:t>
                </w:r>
              </w:p>
            </w:tc>
            <w:tc>
              <w:tcPr>
                <w:tcW w:w="799"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AGL Hydro</w:t>
                </w:r>
              </w:p>
            </w:tc>
            <w:tc>
              <w:tcPr>
                <w:tcW w:w="703"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MCKAY1</w:t>
                </w:r>
              </w:p>
            </w:tc>
            <w:tc>
              <w:tcPr>
                <w:tcW w:w="537"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$129.86</w:t>
                </w:r>
              </w:p>
            </w:tc>
            <w:tc>
              <w:tcPr>
                <w:tcW w:w="526"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1.22</w:t>
                </w:r>
              </w:p>
            </w:tc>
            <w:tc>
              <w:tcPr>
                <w:tcW w:w="839"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$158.43</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18:30</w:t>
                </w:r>
              </w:p>
            </w:tc>
            <w:tc>
              <w:tcPr>
                <w:tcW w:w="614" w:type="pct"/>
                <w:tcBorders>
                  <w:bottom w:val="nil"/>
                </w:tcBorders>
                <w:shd w:val="clear" w:color="auto" w:fill="DBE5F1"/>
                <w:vAlign w:val="bottom"/>
              </w:tcPr>
              <w:p w:rsidR="00D73F75" w:rsidRPr="005A0B32" w:rsidRDefault="00D73F75" w:rsidP="00ED1D8C">
                <w:pPr>
                  <w:spacing w:after="0"/>
                  <w:jc w:val="right"/>
                  <w:rPr>
                    <w:rFonts w:cs="Arial"/>
                    <w:i/>
                    <w:sz w:val="16"/>
                    <w:szCs w:val="16"/>
                  </w:rPr>
                </w:pPr>
                <w:r w:rsidRPr="005A0B32">
                  <w:rPr>
                    <w:rFonts w:cs="Arial"/>
                    <w:i/>
                    <w:sz w:val="16"/>
                    <w:szCs w:val="16"/>
                  </w:rPr>
                  <w:t>$128.00</w:t>
                </w:r>
              </w:p>
            </w:tc>
            <w:tc>
              <w:tcPr>
                <w:tcW w:w="799"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Hydro Tasmania</w:t>
                </w:r>
              </w:p>
            </w:tc>
            <w:tc>
              <w:tcPr>
                <w:tcW w:w="703"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REECE1</w:t>
                </w:r>
              </w:p>
            </w:tc>
            <w:tc>
              <w:tcPr>
                <w:tcW w:w="537"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02"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$15.00</w:t>
                </w:r>
              </w:p>
            </w:tc>
            <w:tc>
              <w:tcPr>
                <w:tcW w:w="526"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1.00</w:t>
                </w:r>
              </w:p>
            </w:tc>
            <w:tc>
              <w:tcPr>
                <w:tcW w:w="839"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$15.00</w:t>
                </w:r>
              </w:p>
            </w:tc>
          </w:tr>
          <w:tr w:rsidR="00D73F7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D73F75" w:rsidRDefault="00D73F75" w:rsidP="00ED1D8C">
                <w:pPr>
                  <w:spacing w:after="0"/>
                  <w:rPr>
                    <w:rFonts w:cs="Arial"/>
                    <w:sz w:val="16"/>
                    <w:szCs w:val="16"/>
                  </w:rPr>
                </w:pPr>
              </w:p>
            </w:tc>
            <w:tc>
              <w:tcPr>
                <w:tcW w:w="614" w:type="pct"/>
                <w:tcBorders>
                  <w:bottom w:val="nil"/>
                </w:tcBorders>
                <w:vAlign w:val="bottom"/>
              </w:tcPr>
              <w:p w:rsidR="00D73F75" w:rsidRDefault="00D73F75" w:rsidP="00ED1D8C">
                <w:pPr>
                  <w:spacing w:after="0"/>
                  <w:rPr>
                    <w:rFonts w:cs="Arial"/>
                    <w:sz w:val="16"/>
                    <w:szCs w:val="16"/>
                  </w:rPr>
                </w:pPr>
              </w:p>
            </w:tc>
            <w:tc>
              <w:tcPr>
                <w:tcW w:w="799" w:type="pct"/>
                <w:tcBorders>
                  <w:bottom w:val="nil"/>
                </w:tcBorders>
                <w:vAlign w:val="bottom"/>
              </w:tcPr>
              <w:p w:rsidR="00D73F75" w:rsidRDefault="00D73F75" w:rsidP="00ED1D8C">
                <w:pPr>
                  <w:spacing w:after="0"/>
                  <w:rPr>
                    <w:rFonts w:cs="Arial"/>
                    <w:sz w:val="16"/>
                    <w:szCs w:val="16"/>
                  </w:rPr>
                </w:pPr>
                <w:r>
                  <w:rPr>
                    <w:rFonts w:cs="Arial"/>
                    <w:sz w:val="16"/>
                    <w:szCs w:val="16"/>
                  </w:rPr>
                  <w:t>AGL (SA)</w:t>
                </w:r>
              </w:p>
            </w:tc>
            <w:tc>
              <w:tcPr>
                <w:tcW w:w="703" w:type="pct"/>
                <w:tcBorders>
                  <w:bottom w:val="nil"/>
                </w:tcBorders>
                <w:vAlign w:val="bottom"/>
              </w:tcPr>
              <w:p w:rsidR="00D73F75" w:rsidRDefault="00D73F75" w:rsidP="00ED1D8C">
                <w:pPr>
                  <w:spacing w:after="0"/>
                  <w:rPr>
                    <w:rFonts w:cs="Arial"/>
                    <w:sz w:val="16"/>
                    <w:szCs w:val="16"/>
                  </w:rPr>
                </w:pPr>
                <w:r>
                  <w:rPr>
                    <w:rFonts w:cs="Arial"/>
                    <w:sz w:val="16"/>
                    <w:szCs w:val="16"/>
                  </w:rPr>
                  <w:t>TORRB1</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vAlign w:val="bottom"/>
              </w:tcPr>
              <w:p w:rsidR="00D73F75" w:rsidRDefault="00D73F75" w:rsidP="00ED1D8C">
                <w:pPr>
                  <w:spacing w:after="0"/>
                  <w:jc w:val="right"/>
                  <w:rPr>
                    <w:rFonts w:cs="Arial"/>
                    <w:sz w:val="16"/>
                    <w:szCs w:val="16"/>
                  </w:rPr>
                </w:pPr>
                <w:r>
                  <w:rPr>
                    <w:rFonts w:cs="Arial"/>
                    <w:sz w:val="16"/>
                    <w:szCs w:val="16"/>
                  </w:rPr>
                  <w:t>$124.99</w:t>
                </w:r>
              </w:p>
            </w:tc>
            <w:tc>
              <w:tcPr>
                <w:tcW w:w="526" w:type="pct"/>
                <w:tcBorders>
                  <w:bottom w:val="nil"/>
                </w:tcBorders>
                <w:vAlign w:val="bottom"/>
              </w:tcPr>
              <w:p w:rsidR="00D73F75" w:rsidRDefault="00D73F75" w:rsidP="00ED1D8C">
                <w:pPr>
                  <w:spacing w:after="0"/>
                  <w:jc w:val="right"/>
                  <w:rPr>
                    <w:rFonts w:cs="Arial"/>
                    <w:sz w:val="16"/>
                    <w:szCs w:val="16"/>
                  </w:rPr>
                </w:pPr>
                <w:r>
                  <w:rPr>
                    <w:rFonts w:cs="Arial"/>
                    <w:sz w:val="16"/>
                    <w:szCs w:val="16"/>
                  </w:rPr>
                  <w:t>0.47</w:t>
                </w:r>
              </w:p>
            </w:tc>
            <w:tc>
              <w:tcPr>
                <w:tcW w:w="839" w:type="pct"/>
                <w:tcBorders>
                  <w:bottom w:val="nil"/>
                </w:tcBorders>
                <w:vAlign w:val="bottom"/>
              </w:tcPr>
              <w:p w:rsidR="00D73F75" w:rsidRDefault="00D73F75" w:rsidP="00ED1D8C">
                <w:pPr>
                  <w:spacing w:after="0"/>
                  <w:jc w:val="right"/>
                  <w:rPr>
                    <w:rFonts w:cs="Arial"/>
                    <w:sz w:val="16"/>
                    <w:szCs w:val="16"/>
                  </w:rPr>
                </w:pPr>
                <w:r>
                  <w:rPr>
                    <w:rFonts w:cs="Arial"/>
                    <w:sz w:val="16"/>
                    <w:szCs w:val="16"/>
                  </w:rPr>
                  <w:t>$58.75</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Default="00D73F75" w:rsidP="00ED1D8C">
                <w:pPr>
                  <w:spacing w:after="0"/>
                  <w:rPr>
                    <w:rFonts w:cs="Arial"/>
                    <w:sz w:val="16"/>
                    <w:szCs w:val="16"/>
                  </w:rPr>
                </w:pPr>
              </w:p>
            </w:tc>
            <w:tc>
              <w:tcPr>
                <w:tcW w:w="614" w:type="pct"/>
                <w:tcBorders>
                  <w:bottom w:val="nil"/>
                </w:tcBorders>
                <w:shd w:val="clear" w:color="auto" w:fill="DBE5F1"/>
                <w:vAlign w:val="bottom"/>
              </w:tcPr>
              <w:p w:rsidR="00D73F75" w:rsidRDefault="00D73F75" w:rsidP="00ED1D8C">
                <w:pPr>
                  <w:spacing w:after="0"/>
                  <w:rPr>
                    <w:rFonts w:cs="Arial"/>
                    <w:sz w:val="16"/>
                    <w:szCs w:val="16"/>
                  </w:rPr>
                </w:pPr>
              </w:p>
            </w:tc>
            <w:tc>
              <w:tcPr>
                <w:tcW w:w="799"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AGL (SA)</w:t>
                </w:r>
              </w:p>
            </w:tc>
            <w:tc>
              <w:tcPr>
                <w:tcW w:w="703"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TORRB1</w:t>
                </w:r>
              </w:p>
            </w:tc>
            <w:tc>
              <w:tcPr>
                <w:tcW w:w="537"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02"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$11.99</w:t>
                </w:r>
              </w:p>
            </w:tc>
            <w:tc>
              <w:tcPr>
                <w:tcW w:w="526"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-0.47</w:t>
                </w:r>
              </w:p>
            </w:tc>
            <w:tc>
              <w:tcPr>
                <w:tcW w:w="839"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-$5.64</w:t>
                </w:r>
              </w:p>
            </w:tc>
          </w:tr>
          <w:tr w:rsidR="00D73F75" w:rsidRPr="00796046"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D73F75" w:rsidRDefault="00D73F75" w:rsidP="00ED1D8C">
                <w:pPr>
                  <w:spacing w:after="0"/>
                  <w:rPr>
                    <w:rFonts w:cs="Arial"/>
                    <w:sz w:val="16"/>
                    <w:szCs w:val="16"/>
                  </w:rPr>
                </w:pPr>
              </w:p>
            </w:tc>
            <w:tc>
              <w:tcPr>
                <w:tcW w:w="614" w:type="pct"/>
                <w:tcBorders>
                  <w:bottom w:val="nil"/>
                </w:tcBorders>
                <w:vAlign w:val="bottom"/>
              </w:tcPr>
              <w:p w:rsidR="00D73F75" w:rsidRDefault="00D73F75" w:rsidP="00ED1D8C">
                <w:pPr>
                  <w:spacing w:after="0"/>
                  <w:rPr>
                    <w:rFonts w:cs="Arial"/>
                    <w:sz w:val="16"/>
                    <w:szCs w:val="16"/>
                  </w:rPr>
                </w:pPr>
              </w:p>
            </w:tc>
            <w:tc>
              <w:tcPr>
                <w:tcW w:w="799" w:type="pct"/>
                <w:tcBorders>
                  <w:bottom w:val="nil"/>
                </w:tcBorders>
                <w:vAlign w:val="bottom"/>
              </w:tcPr>
              <w:p w:rsidR="00D73F75" w:rsidRDefault="00D73F75" w:rsidP="00ED1D8C">
                <w:pPr>
                  <w:spacing w:after="0"/>
                  <w:rPr>
                    <w:rFonts w:cs="Arial"/>
                    <w:sz w:val="16"/>
                    <w:szCs w:val="16"/>
                  </w:rPr>
                </w:pPr>
                <w:r>
                  <w:rPr>
                    <w:rFonts w:cs="Arial"/>
                    <w:sz w:val="16"/>
                    <w:szCs w:val="16"/>
                  </w:rPr>
                  <w:t>AGL (SA)</w:t>
                </w:r>
              </w:p>
            </w:tc>
            <w:tc>
              <w:tcPr>
                <w:tcW w:w="703" w:type="pct"/>
                <w:tcBorders>
                  <w:bottom w:val="nil"/>
                </w:tcBorders>
                <w:vAlign w:val="bottom"/>
              </w:tcPr>
              <w:p w:rsidR="00D73F75" w:rsidRDefault="00D73F75" w:rsidP="00ED1D8C">
                <w:pPr>
                  <w:spacing w:after="0"/>
                  <w:rPr>
                    <w:rFonts w:cs="Arial"/>
                    <w:sz w:val="16"/>
                    <w:szCs w:val="16"/>
                  </w:rPr>
                </w:pPr>
                <w:r>
                  <w:rPr>
                    <w:rFonts w:cs="Arial"/>
                    <w:sz w:val="16"/>
                    <w:szCs w:val="16"/>
                  </w:rPr>
                  <w:t>TORRB3</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02" w:type="pct"/>
                <w:tcBorders>
                  <w:bottom w:val="nil"/>
                </w:tcBorders>
                <w:vAlign w:val="bottom"/>
              </w:tcPr>
              <w:p w:rsidR="00D73F75" w:rsidRDefault="00D73F75" w:rsidP="00ED1D8C">
                <w:pPr>
                  <w:spacing w:after="0"/>
                  <w:jc w:val="right"/>
                  <w:rPr>
                    <w:rFonts w:cs="Arial"/>
                    <w:sz w:val="16"/>
                    <w:szCs w:val="16"/>
                  </w:rPr>
                </w:pPr>
                <w:r>
                  <w:rPr>
                    <w:rFonts w:cs="Arial"/>
                    <w:sz w:val="16"/>
                    <w:szCs w:val="16"/>
                  </w:rPr>
                  <w:t>$124.99</w:t>
                </w:r>
              </w:p>
            </w:tc>
            <w:tc>
              <w:tcPr>
                <w:tcW w:w="526" w:type="pct"/>
                <w:tcBorders>
                  <w:bottom w:val="nil"/>
                </w:tcBorders>
                <w:vAlign w:val="bottom"/>
              </w:tcPr>
              <w:p w:rsidR="00D73F75" w:rsidRDefault="00D73F75" w:rsidP="00ED1D8C">
                <w:pPr>
                  <w:spacing w:after="0"/>
                  <w:jc w:val="right"/>
                  <w:rPr>
                    <w:rFonts w:cs="Arial"/>
                    <w:sz w:val="16"/>
                    <w:szCs w:val="16"/>
                  </w:rPr>
                </w:pPr>
                <w:r>
                  <w:rPr>
                    <w:rFonts w:cs="Arial"/>
                    <w:sz w:val="16"/>
                    <w:szCs w:val="16"/>
                  </w:rPr>
                  <w:t>0.53</w:t>
                </w:r>
              </w:p>
            </w:tc>
            <w:tc>
              <w:tcPr>
                <w:tcW w:w="839" w:type="pct"/>
                <w:tcBorders>
                  <w:bottom w:val="nil"/>
                </w:tcBorders>
                <w:vAlign w:val="bottom"/>
              </w:tcPr>
              <w:p w:rsidR="00D73F75" w:rsidRDefault="00D73F75" w:rsidP="00ED1D8C">
                <w:pPr>
                  <w:spacing w:after="0"/>
                  <w:jc w:val="right"/>
                  <w:rPr>
                    <w:rFonts w:cs="Arial"/>
                    <w:sz w:val="16"/>
                    <w:szCs w:val="16"/>
                  </w:rPr>
                </w:pPr>
                <w:r>
                  <w:rPr>
                    <w:rFonts w:cs="Arial"/>
                    <w:sz w:val="16"/>
                    <w:szCs w:val="16"/>
                  </w:rPr>
                  <w:t>$66.24</w:t>
                </w:r>
              </w:p>
            </w:tc>
          </w:tr>
          <w:tr w:rsidR="00D73F75" w:rsidRPr="00796046" w:rsidTr="00ED1D8C">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Default="00D73F75" w:rsidP="00ED1D8C">
                <w:pPr>
                  <w:spacing w:after="0"/>
                  <w:rPr>
                    <w:rFonts w:cs="Arial"/>
                    <w:sz w:val="16"/>
                    <w:szCs w:val="16"/>
                  </w:rPr>
                </w:pPr>
              </w:p>
            </w:tc>
            <w:tc>
              <w:tcPr>
                <w:tcW w:w="614" w:type="pct"/>
                <w:tcBorders>
                  <w:bottom w:val="nil"/>
                </w:tcBorders>
                <w:shd w:val="clear" w:color="auto" w:fill="DBE5F1"/>
                <w:vAlign w:val="bottom"/>
              </w:tcPr>
              <w:p w:rsidR="00D73F75" w:rsidRDefault="00D73F75" w:rsidP="00ED1D8C">
                <w:pPr>
                  <w:spacing w:after="0"/>
                  <w:rPr>
                    <w:rFonts w:cs="Arial"/>
                    <w:sz w:val="16"/>
                    <w:szCs w:val="16"/>
                  </w:rPr>
                </w:pPr>
              </w:p>
            </w:tc>
            <w:tc>
              <w:tcPr>
                <w:tcW w:w="799"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AGL (SA)</w:t>
                </w:r>
              </w:p>
            </w:tc>
            <w:tc>
              <w:tcPr>
                <w:tcW w:w="703"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TORRB3</w:t>
                </w:r>
              </w:p>
            </w:tc>
            <w:tc>
              <w:tcPr>
                <w:tcW w:w="537" w:type="pct"/>
                <w:tcBorders>
                  <w:bottom w:val="nil"/>
                </w:tcBorders>
                <w:shd w:val="clear" w:color="auto" w:fill="DBE5F1"/>
                <w:vAlign w:val="bottom"/>
              </w:tcPr>
              <w:p w:rsidR="00D73F75" w:rsidRDefault="00D73F75" w:rsidP="00ED1D8C">
                <w:pPr>
                  <w:spacing w:after="0"/>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02"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$11.99</w:t>
                </w:r>
              </w:p>
            </w:tc>
            <w:tc>
              <w:tcPr>
                <w:tcW w:w="526"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-0.53</w:t>
                </w:r>
              </w:p>
            </w:tc>
            <w:tc>
              <w:tcPr>
                <w:tcW w:w="839" w:type="pct"/>
                <w:tcBorders>
                  <w:bottom w:val="nil"/>
                </w:tcBorders>
                <w:shd w:val="clear" w:color="auto" w:fill="DBE5F1"/>
                <w:vAlign w:val="bottom"/>
              </w:tcPr>
              <w:p w:rsidR="00D73F75" w:rsidRDefault="00D73F75" w:rsidP="00ED1D8C">
                <w:pPr>
                  <w:spacing w:after="0"/>
                  <w:jc w:val="right"/>
                  <w:rPr>
                    <w:rFonts w:cs="Arial"/>
                    <w:sz w:val="16"/>
                    <w:szCs w:val="16"/>
                  </w:rPr>
                </w:pPr>
                <w:r>
                  <w:rPr>
                    <w:rFonts w:cs="Arial"/>
                    <w:sz w:val="16"/>
                    <w:szCs w:val="16"/>
                  </w:rPr>
                  <w:t>-$6.35</w:t>
                </w:r>
              </w:p>
            </w:tc>
          </w:tr>
          <w:tr w:rsidR="00D73F75" w:rsidRPr="00301FE3" w:rsidTr="001B1888">
            <w:trPr>
              <w:cnfStyle w:val="000000010000" w:firstRow="0" w:lastRow="0" w:firstColumn="0" w:lastColumn="0" w:oddVBand="0" w:evenVBand="0" w:oddHBand="0" w:evenHBand="1" w:firstRowFirstColumn="0" w:firstRowLastColumn="0" w:lastRowFirstColumn="0" w:lastRowLastColumn="0"/>
              <w:trHeight w:hRule="exact" w:val="511"/>
            </w:trPr>
            <w:tc>
              <w:tcPr>
                <w:tcW w:w="994" w:type="pct"/>
                <w:gridSpan w:val="2"/>
                <w:tcBorders>
                  <w:top w:val="nil"/>
                  <w:bottom w:val="single" w:sz="4" w:space="0" w:color="auto"/>
                </w:tcBorders>
                <w:shd w:val="clear" w:color="auto" w:fill="auto"/>
                <w:vAlign w:val="center"/>
              </w:tcPr>
              <w:p w:rsidR="00D73F75" w:rsidRPr="001C3F02" w:rsidRDefault="00D73F75" w:rsidP="00C96D40">
                <w:pPr>
                  <w:spacing w:after="0" w:line="240" w:lineRule="auto"/>
                  <w:jc w:val="center"/>
                  <w:rPr>
                    <w:rFonts w:cs="Arial"/>
                    <w:b/>
                    <w:sz w:val="20"/>
                    <w:szCs w:val="20"/>
                  </w:rPr>
                </w:pPr>
                <w:r w:rsidRPr="001C3F02">
                  <w:rPr>
                    <w:rFonts w:cs="Arial"/>
                    <w:b/>
                    <w:sz w:val="20"/>
                    <w:szCs w:val="20"/>
                  </w:rPr>
                  <w:t>Spot price</w:t>
                </w:r>
              </w:p>
            </w:tc>
            <w:tc>
              <w:tcPr>
                <w:tcW w:w="1502" w:type="pct"/>
                <w:gridSpan w:val="2"/>
                <w:tcBorders>
                  <w:top w:val="nil"/>
                  <w:bottom w:val="single" w:sz="4" w:space="0" w:color="auto"/>
                </w:tcBorders>
                <w:shd w:val="clear" w:color="auto" w:fill="auto"/>
                <w:vAlign w:val="center"/>
              </w:tcPr>
              <w:p w:rsidR="00D73F75" w:rsidRPr="00301FE3" w:rsidRDefault="00D73F75" w:rsidP="00D73F75">
                <w:pPr>
                  <w:spacing w:after="0" w:line="240" w:lineRule="auto"/>
                  <w:jc w:val="center"/>
                  <w:rPr>
                    <w:rFonts w:cs="Arial"/>
                    <w:b/>
                    <w:sz w:val="20"/>
                    <w:szCs w:val="20"/>
                  </w:rPr>
                </w:pPr>
                <w:r w:rsidRPr="001C3F02">
                  <w:rPr>
                    <w:rFonts w:cs="Arial"/>
                    <w:b/>
                    <w:sz w:val="20"/>
                    <w:szCs w:val="20"/>
                  </w:rPr>
                  <w:t>$</w:t>
                </w:r>
                <w:r>
                  <w:rPr>
                    <w:rFonts w:cs="Arial"/>
                    <w:b/>
                    <w:sz w:val="20"/>
                    <w:szCs w:val="20"/>
                  </w:rPr>
                  <w:t>13 440</w:t>
                </w:r>
                <w:r w:rsidRPr="001C3F02">
                  <w:rPr>
                    <w:rFonts w:cs="Arial"/>
                    <w:b/>
                    <w:sz w:val="20"/>
                    <w:szCs w:val="20"/>
                  </w:rPr>
                  <w:t>/MWh</w:t>
                </w:r>
              </w:p>
            </w:tc>
            <w:tc>
              <w:tcPr>
                <w:tcW w:w="537" w:type="pct"/>
                <w:tcBorders>
                  <w:top w:val="nil"/>
                  <w:bottom w:val="single" w:sz="4" w:space="0" w:color="auto"/>
                </w:tcBorders>
                <w:shd w:val="clear" w:color="auto" w:fill="auto"/>
                <w:vAlign w:val="center"/>
              </w:tcPr>
              <w:p w:rsidR="00D73F75" w:rsidRPr="00301FE3" w:rsidRDefault="00D73F75" w:rsidP="00301FE3">
                <w:pPr>
                  <w:spacing w:after="0" w:line="240" w:lineRule="auto"/>
                  <w:jc w:val="center"/>
                  <w:rPr>
                    <w:rFonts w:cs="Arial"/>
                    <w:b/>
                    <w:sz w:val="20"/>
                    <w:szCs w:val="20"/>
                  </w:rPr>
                </w:pPr>
              </w:p>
            </w:tc>
            <w:tc>
              <w:tcPr>
                <w:tcW w:w="602" w:type="pct"/>
                <w:tcBorders>
                  <w:top w:val="nil"/>
                  <w:bottom w:val="single" w:sz="4" w:space="0" w:color="auto"/>
                </w:tcBorders>
                <w:shd w:val="clear" w:color="auto" w:fill="auto"/>
                <w:vAlign w:val="center"/>
              </w:tcPr>
              <w:p w:rsidR="00D73F75" w:rsidRPr="00301FE3" w:rsidRDefault="00D73F75" w:rsidP="00301FE3">
                <w:pPr>
                  <w:spacing w:after="0" w:line="240" w:lineRule="auto"/>
                  <w:jc w:val="center"/>
                  <w:rPr>
                    <w:rFonts w:cs="Arial"/>
                    <w:b/>
                    <w:sz w:val="20"/>
                    <w:szCs w:val="20"/>
                  </w:rPr>
                </w:pPr>
              </w:p>
            </w:tc>
            <w:tc>
              <w:tcPr>
                <w:tcW w:w="526" w:type="pct"/>
                <w:tcBorders>
                  <w:top w:val="nil"/>
                  <w:bottom w:val="single" w:sz="4" w:space="0" w:color="auto"/>
                </w:tcBorders>
                <w:shd w:val="clear" w:color="auto" w:fill="auto"/>
                <w:vAlign w:val="center"/>
              </w:tcPr>
              <w:p w:rsidR="00D73F75" w:rsidRPr="00301FE3" w:rsidRDefault="00D73F75" w:rsidP="00301FE3">
                <w:pPr>
                  <w:spacing w:after="0" w:line="240" w:lineRule="auto"/>
                  <w:jc w:val="center"/>
                  <w:rPr>
                    <w:rFonts w:cs="Arial"/>
                    <w:b/>
                    <w:sz w:val="20"/>
                    <w:szCs w:val="20"/>
                  </w:rPr>
                </w:pPr>
              </w:p>
            </w:tc>
            <w:tc>
              <w:tcPr>
                <w:tcW w:w="839" w:type="pct"/>
                <w:tcBorders>
                  <w:top w:val="nil"/>
                  <w:bottom w:val="single" w:sz="4" w:space="0" w:color="auto"/>
                </w:tcBorders>
                <w:shd w:val="clear" w:color="auto" w:fill="auto"/>
                <w:vAlign w:val="center"/>
              </w:tcPr>
              <w:p w:rsidR="00D73F75" w:rsidRPr="00301FE3" w:rsidRDefault="00D73F75" w:rsidP="00301FE3">
                <w:pPr>
                  <w:spacing w:after="0" w:line="240" w:lineRule="auto"/>
                  <w:jc w:val="center"/>
                  <w:rPr>
                    <w:rFonts w:cs="Arial"/>
                    <w:b/>
                    <w:sz w:val="20"/>
                    <w:szCs w:val="20"/>
                  </w:rPr>
                </w:pPr>
              </w:p>
            </w:tc>
          </w:tr>
        </w:tbl>
        <w:p w:rsidR="00D73F75" w:rsidRDefault="00D73F75" w:rsidP="00D73F75">
          <w:pPr>
            <w:pStyle w:val="Caption"/>
          </w:pPr>
          <w:r w:rsidRPr="00C95E26">
            <w:t xml:space="preserve">Table </w:t>
          </w:r>
          <w:fldSimple w:instr=" SEQ Table \* ARABIC ">
            <w:r w:rsidR="005B5767">
              <w:rPr>
                <w:noProof/>
              </w:rPr>
              <w:t>10</w:t>
            </w:r>
          </w:fldSimple>
          <w:r>
            <w:t>: Price setter for 7</w:t>
          </w:r>
          <w:r w:rsidRPr="00C95E26">
            <w:t xml:space="preserve"> pm trading interval</w:t>
          </w:r>
        </w:p>
        <w:tbl>
          <w:tblPr>
            <w:tblStyle w:val="AERsummarytable"/>
            <w:tblW w:w="5385" w:type="pct"/>
            <w:tblLayout w:type="fixed"/>
            <w:tblLook w:val="04A0" w:firstRow="1" w:lastRow="0" w:firstColumn="1" w:lastColumn="0" w:noHBand="0" w:noVBand="1"/>
          </w:tblPr>
          <w:tblGrid>
            <w:gridCol w:w="719"/>
            <w:gridCol w:w="1161"/>
            <w:gridCol w:w="1511"/>
            <w:gridCol w:w="1329"/>
            <w:gridCol w:w="1015"/>
            <w:gridCol w:w="1138"/>
            <w:gridCol w:w="994"/>
            <w:gridCol w:w="1586"/>
          </w:tblGrid>
          <w:tr w:rsidR="00D73F75" w:rsidRPr="00693846" w:rsidTr="00C96D40">
            <w:trPr>
              <w:cnfStyle w:val="100000000000" w:firstRow="1" w:lastRow="0" w:firstColumn="0" w:lastColumn="0" w:oddVBand="0" w:evenVBand="0" w:oddHBand="0" w:evenHBand="0" w:firstRowFirstColumn="0" w:firstRowLastColumn="0" w:lastRowFirstColumn="0" w:lastRowLastColumn="0"/>
              <w:trHeight w:hRule="exact" w:val="1090"/>
              <w:tblHeader/>
            </w:trPr>
            <w:tc>
              <w:tcPr>
                <w:tcW w:w="380" w:type="pct"/>
                <w:tcBorders>
                  <w:bottom w:val="nil"/>
                </w:tcBorders>
              </w:tcPr>
              <w:p w:rsidR="00D73F75" w:rsidRPr="00693846" w:rsidRDefault="00D73F75" w:rsidP="00693846">
                <w:pPr>
                  <w:pStyle w:val="TableHeading"/>
                </w:pPr>
                <w:r w:rsidRPr="00693846">
                  <w:t>DI</w:t>
                </w:r>
              </w:p>
            </w:tc>
            <w:tc>
              <w:tcPr>
                <w:tcW w:w="614" w:type="pct"/>
                <w:tcBorders>
                  <w:bottom w:val="nil"/>
                </w:tcBorders>
              </w:tcPr>
              <w:p w:rsidR="00D73F75" w:rsidRPr="00693846" w:rsidRDefault="00D73F75" w:rsidP="00693846">
                <w:pPr>
                  <w:pStyle w:val="TableHeading"/>
                </w:pPr>
                <w:r w:rsidRPr="00693846">
                  <w:t>Dispatch Price ($/MWh)</w:t>
                </w:r>
              </w:p>
            </w:tc>
            <w:tc>
              <w:tcPr>
                <w:tcW w:w="799" w:type="pct"/>
                <w:tcBorders>
                  <w:bottom w:val="nil"/>
                </w:tcBorders>
              </w:tcPr>
              <w:p w:rsidR="00D73F75" w:rsidRPr="00693846" w:rsidRDefault="00D73F75" w:rsidP="00693846">
                <w:pPr>
                  <w:pStyle w:val="TableHeading"/>
                </w:pPr>
                <w:r w:rsidRPr="00693846">
                  <w:t>Participant</w:t>
                </w:r>
              </w:p>
            </w:tc>
            <w:tc>
              <w:tcPr>
                <w:tcW w:w="703" w:type="pct"/>
                <w:tcBorders>
                  <w:bottom w:val="nil"/>
                </w:tcBorders>
              </w:tcPr>
              <w:p w:rsidR="00D73F75" w:rsidRPr="00693846" w:rsidRDefault="00D73F75" w:rsidP="00693846">
                <w:pPr>
                  <w:pStyle w:val="TableHeading"/>
                </w:pPr>
                <w:r w:rsidRPr="00693846">
                  <w:t>Unit</w:t>
                </w:r>
              </w:p>
            </w:tc>
            <w:tc>
              <w:tcPr>
                <w:tcW w:w="537" w:type="pct"/>
                <w:tcBorders>
                  <w:bottom w:val="nil"/>
                </w:tcBorders>
              </w:tcPr>
              <w:p w:rsidR="00D73F75" w:rsidRPr="00693846" w:rsidRDefault="00D73F75" w:rsidP="00693846">
                <w:pPr>
                  <w:pStyle w:val="TableHeading"/>
                </w:pPr>
                <w:r w:rsidRPr="00693846">
                  <w:t>Service</w:t>
                </w:r>
              </w:p>
            </w:tc>
            <w:tc>
              <w:tcPr>
                <w:tcW w:w="602" w:type="pct"/>
                <w:tcBorders>
                  <w:bottom w:val="nil"/>
                </w:tcBorders>
              </w:tcPr>
              <w:p w:rsidR="00D73F75" w:rsidRPr="00693846" w:rsidRDefault="00D73F75" w:rsidP="00693846">
                <w:pPr>
                  <w:pStyle w:val="TableHeading"/>
                </w:pPr>
                <w:r w:rsidRPr="00693846">
                  <w:t>Offer price ($/MWh)</w:t>
                </w:r>
              </w:p>
            </w:tc>
            <w:tc>
              <w:tcPr>
                <w:tcW w:w="526" w:type="pct"/>
                <w:tcBorders>
                  <w:bottom w:val="nil"/>
                </w:tcBorders>
              </w:tcPr>
              <w:p w:rsidR="00D73F75" w:rsidRPr="00693846" w:rsidRDefault="00D73F75" w:rsidP="00693846">
                <w:pPr>
                  <w:pStyle w:val="TableHeading"/>
                  <w:rPr>
                    <w:highlight w:val="lightGray"/>
                  </w:rPr>
                </w:pPr>
                <w:r w:rsidRPr="00526460">
                  <w:t>Marginal change</w:t>
                </w:r>
              </w:p>
            </w:tc>
            <w:tc>
              <w:tcPr>
                <w:tcW w:w="839" w:type="pct"/>
                <w:tcBorders>
                  <w:bottom w:val="nil"/>
                </w:tcBorders>
              </w:tcPr>
              <w:p w:rsidR="00D73F75" w:rsidRPr="00693846" w:rsidRDefault="00D73F75" w:rsidP="00693846">
                <w:pPr>
                  <w:pStyle w:val="TableHeading"/>
                </w:pPr>
                <w:r w:rsidRPr="00693846">
                  <w:t>Contribution</w:t>
                </w:r>
              </w:p>
            </w:tc>
          </w:tr>
          <w:tr w:rsidR="00D73F75" w:rsidTr="001B1888">
            <w:trPr>
              <w:cnfStyle w:val="000000100000" w:firstRow="0" w:lastRow="0" w:firstColumn="0" w:lastColumn="0" w:oddVBand="0" w:evenVBand="0" w:oddHBand="1" w:evenHBand="0" w:firstRowFirstColumn="0" w:firstRowLastColumn="0" w:lastRowFirstColumn="0" w:lastRowLastColumn="0"/>
              <w:trHeight w:hRule="exact" w:val="395"/>
            </w:trPr>
            <w:tc>
              <w:tcPr>
                <w:tcW w:w="380"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18:35</w:t>
                </w:r>
              </w:p>
            </w:tc>
            <w:tc>
              <w:tcPr>
                <w:tcW w:w="614"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i/>
                    <w:sz w:val="16"/>
                    <w:szCs w:val="16"/>
                  </w:rPr>
                </w:pPr>
                <w:r w:rsidRPr="00ED1D8C">
                  <w:rPr>
                    <w:rFonts w:asciiTheme="minorHAnsi" w:hAnsiTheme="minorHAnsi" w:cstheme="minorHAnsi"/>
                    <w:i/>
                    <w:sz w:val="16"/>
                    <w:szCs w:val="16"/>
                  </w:rPr>
                  <w:t>$126.34</w:t>
                </w:r>
              </w:p>
            </w:tc>
            <w:tc>
              <w:tcPr>
                <w:tcW w:w="799"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Snowy Hydro</w:t>
                </w:r>
              </w:p>
            </w:tc>
            <w:tc>
              <w:tcPr>
                <w:tcW w:w="703"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UPPTUMUT</w:t>
                </w:r>
              </w:p>
            </w:tc>
            <w:tc>
              <w:tcPr>
                <w:tcW w:w="537"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$103.00</w:t>
                </w:r>
              </w:p>
            </w:tc>
            <w:tc>
              <w:tcPr>
                <w:tcW w:w="526"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1.23</w:t>
                </w:r>
              </w:p>
            </w:tc>
            <w:tc>
              <w:tcPr>
                <w:tcW w:w="839"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$126.69</w:t>
                </w:r>
              </w:p>
            </w:tc>
          </w:tr>
          <w:tr w:rsidR="00D73F75"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18:40</w:t>
                </w:r>
              </w:p>
            </w:tc>
            <w:tc>
              <w:tcPr>
                <w:tcW w:w="614" w:type="pct"/>
                <w:tcBorders>
                  <w:bottom w:val="nil"/>
                </w:tcBorders>
                <w:vAlign w:val="bottom"/>
              </w:tcPr>
              <w:p w:rsidR="00D73F75" w:rsidRPr="00ED1D8C" w:rsidRDefault="00D73F75" w:rsidP="00ED1D8C">
                <w:pPr>
                  <w:spacing w:after="0"/>
                  <w:jc w:val="right"/>
                  <w:rPr>
                    <w:rFonts w:asciiTheme="minorHAnsi" w:hAnsiTheme="minorHAnsi" w:cstheme="minorHAnsi"/>
                    <w:i/>
                    <w:sz w:val="16"/>
                    <w:szCs w:val="16"/>
                  </w:rPr>
                </w:pPr>
                <w:r w:rsidRPr="00ED1D8C">
                  <w:rPr>
                    <w:rFonts w:asciiTheme="minorHAnsi" w:hAnsiTheme="minorHAnsi" w:cstheme="minorHAnsi"/>
                    <w:i/>
                    <w:sz w:val="16"/>
                    <w:szCs w:val="16"/>
                  </w:rPr>
                  <w:t>$147.41</w:t>
                </w:r>
              </w:p>
            </w:tc>
            <w:tc>
              <w:tcPr>
                <w:tcW w:w="799" w:type="pct"/>
                <w:tcBorders>
                  <w:bottom w:val="nil"/>
                </w:tcBorders>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AGL Hydro</w:t>
                </w:r>
              </w:p>
            </w:tc>
            <w:tc>
              <w:tcPr>
                <w:tcW w:w="703" w:type="pct"/>
                <w:tcBorders>
                  <w:bottom w:val="nil"/>
                </w:tcBorders>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MCKAY1</w:t>
                </w:r>
              </w:p>
            </w:tc>
            <w:tc>
              <w:tcPr>
                <w:tcW w:w="537" w:type="pct"/>
                <w:tcBorders>
                  <w:bottom w:val="nil"/>
                </w:tcBorders>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$129.86</w:t>
                </w:r>
              </w:p>
            </w:tc>
            <w:tc>
              <w:tcPr>
                <w:tcW w:w="526" w:type="pct"/>
                <w:tcBorders>
                  <w:bottom w:val="nil"/>
                </w:tcBorders>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1.14</w:t>
                </w:r>
              </w:p>
            </w:tc>
            <w:tc>
              <w:tcPr>
                <w:tcW w:w="839" w:type="pct"/>
                <w:tcBorders>
                  <w:bottom w:val="nil"/>
                </w:tcBorders>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$148.04</w:t>
                </w:r>
              </w:p>
            </w:tc>
          </w:tr>
          <w:tr w:rsidR="00D73F75" w:rsidTr="00C96D40">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18:45</w:t>
                </w:r>
              </w:p>
            </w:tc>
            <w:tc>
              <w:tcPr>
                <w:tcW w:w="614"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i/>
                    <w:sz w:val="16"/>
                    <w:szCs w:val="16"/>
                  </w:rPr>
                </w:pPr>
                <w:r w:rsidRPr="00ED1D8C">
                  <w:rPr>
                    <w:rFonts w:asciiTheme="minorHAnsi" w:hAnsiTheme="minorHAnsi" w:cstheme="minorHAnsi"/>
                    <w:i/>
                    <w:sz w:val="16"/>
                    <w:szCs w:val="16"/>
                  </w:rPr>
                  <w:t>$140.34</w:t>
                </w:r>
              </w:p>
            </w:tc>
            <w:tc>
              <w:tcPr>
                <w:tcW w:w="799"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Hydro Tasmania</w:t>
                </w:r>
              </w:p>
            </w:tc>
            <w:tc>
              <w:tcPr>
                <w:tcW w:w="703"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GORDON</w:t>
                </w:r>
              </w:p>
            </w:tc>
            <w:tc>
              <w:tcPr>
                <w:tcW w:w="537"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$107.15</w:t>
                </w:r>
              </w:p>
            </w:tc>
            <w:tc>
              <w:tcPr>
                <w:tcW w:w="526"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1.31</w:t>
                </w:r>
              </w:p>
            </w:tc>
            <w:tc>
              <w:tcPr>
                <w:tcW w:w="839"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$140.37</w:t>
                </w:r>
              </w:p>
            </w:tc>
          </w:tr>
          <w:tr w:rsidR="00D73F75" w:rsidTr="001B1888">
            <w:trPr>
              <w:cnfStyle w:val="000000010000" w:firstRow="0" w:lastRow="0" w:firstColumn="0" w:lastColumn="0" w:oddVBand="0" w:evenVBand="0" w:oddHBand="0" w:evenHBand="1" w:firstRowFirstColumn="0" w:firstRowLastColumn="0" w:lastRowFirstColumn="0" w:lastRowLastColumn="0"/>
              <w:trHeight w:hRule="exact" w:val="485"/>
            </w:trPr>
            <w:tc>
              <w:tcPr>
                <w:tcW w:w="380"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p>
            </w:tc>
            <w:tc>
              <w:tcPr>
                <w:tcW w:w="614"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i/>
                    <w:sz w:val="16"/>
                    <w:szCs w:val="16"/>
                  </w:rPr>
                </w:pPr>
              </w:p>
            </w:tc>
            <w:tc>
              <w:tcPr>
                <w:tcW w:w="799"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p>
            </w:tc>
            <w:tc>
              <w:tcPr>
                <w:tcW w:w="703" w:type="pct"/>
                <w:tcBorders>
                  <w:bottom w:val="nil"/>
                </w:tcBorders>
                <w:shd w:val="clear" w:color="auto" w:fill="auto"/>
                <w:vAlign w:val="bottom"/>
              </w:tcPr>
              <w:p w:rsidR="00D73F75" w:rsidRPr="00ED1D8C" w:rsidRDefault="00ED1D8C" w:rsidP="00ED1D8C">
                <w:pPr>
                  <w:spacing w:after="0"/>
                  <w:rPr>
                    <w:rFonts w:asciiTheme="minorHAnsi" w:hAnsiTheme="minorHAnsi" w:cstheme="minorHAnsi"/>
                    <w:sz w:val="16"/>
                    <w:szCs w:val="16"/>
                  </w:rPr>
                </w:pPr>
                <w:r>
                  <w:rPr>
                    <w:rFonts w:asciiTheme="minorHAnsi" w:hAnsiTheme="minorHAnsi" w:cstheme="minorHAnsi"/>
                    <w:sz w:val="16"/>
                    <w:szCs w:val="16"/>
                  </w:rPr>
                  <w:t>BASSLINK</w:t>
                </w:r>
              </w:p>
            </w:tc>
            <w:tc>
              <w:tcPr>
                <w:tcW w:w="537"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$0.01</w:t>
                </w:r>
              </w:p>
            </w:tc>
            <w:tc>
              <w:tcPr>
                <w:tcW w:w="526"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1.19</w:t>
                </w:r>
              </w:p>
            </w:tc>
            <w:tc>
              <w:tcPr>
                <w:tcW w:w="839"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$0.01</w:t>
                </w:r>
              </w:p>
            </w:tc>
          </w:tr>
          <w:tr w:rsidR="00D73F75"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18:50</w:t>
                </w:r>
              </w:p>
            </w:tc>
            <w:tc>
              <w:tcPr>
                <w:tcW w:w="614"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i/>
                    <w:sz w:val="16"/>
                    <w:szCs w:val="16"/>
                  </w:rPr>
                </w:pPr>
                <w:r w:rsidRPr="00ED1D8C">
                  <w:rPr>
                    <w:rFonts w:asciiTheme="minorHAnsi" w:hAnsiTheme="minorHAnsi" w:cstheme="minorHAnsi"/>
                    <w:i/>
                    <w:sz w:val="16"/>
                    <w:szCs w:val="16"/>
                  </w:rPr>
                  <w:t>$154.73</w:t>
                </w:r>
              </w:p>
            </w:tc>
            <w:tc>
              <w:tcPr>
                <w:tcW w:w="799" w:type="pct"/>
                <w:tcBorders>
                  <w:bottom w:val="nil"/>
                </w:tcBorders>
                <w:shd w:val="clear" w:color="auto" w:fill="DBE5F1"/>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AGL Hydro</w:t>
                </w:r>
              </w:p>
            </w:tc>
            <w:tc>
              <w:tcPr>
                <w:tcW w:w="703" w:type="pct"/>
                <w:tcBorders>
                  <w:bottom w:val="nil"/>
                </w:tcBorders>
                <w:shd w:val="clear" w:color="auto" w:fill="DBE5F1"/>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MCKAY1</w:t>
                </w:r>
              </w:p>
            </w:tc>
            <w:tc>
              <w:tcPr>
                <w:tcW w:w="537" w:type="pct"/>
                <w:tcBorders>
                  <w:bottom w:val="nil"/>
                </w:tcBorders>
                <w:shd w:val="clear" w:color="auto" w:fill="DBE5F1"/>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$129.86</w:t>
                </w:r>
              </w:p>
            </w:tc>
            <w:tc>
              <w:tcPr>
                <w:tcW w:w="526"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1.19</w:t>
                </w:r>
              </w:p>
            </w:tc>
            <w:tc>
              <w:tcPr>
                <w:tcW w:w="839"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$154.53</w:t>
                </w:r>
              </w:p>
            </w:tc>
          </w:tr>
          <w:tr w:rsidR="00D73F75" w:rsidTr="001B1888">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18:55</w:t>
                </w:r>
              </w:p>
            </w:tc>
            <w:tc>
              <w:tcPr>
                <w:tcW w:w="614"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$166.30</w:t>
                </w:r>
              </w:p>
            </w:tc>
            <w:tc>
              <w:tcPr>
                <w:tcW w:w="799"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AGL Hydro</w:t>
                </w:r>
              </w:p>
            </w:tc>
            <w:tc>
              <w:tcPr>
                <w:tcW w:w="703"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MCKAY1</w:t>
                </w:r>
              </w:p>
            </w:tc>
            <w:tc>
              <w:tcPr>
                <w:tcW w:w="537" w:type="pct"/>
                <w:tcBorders>
                  <w:bottom w:val="nil"/>
                </w:tcBorders>
                <w:shd w:val="clear" w:color="auto" w:fill="auto"/>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$129.86</w:t>
                </w:r>
              </w:p>
            </w:tc>
            <w:tc>
              <w:tcPr>
                <w:tcW w:w="526"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1.28</w:t>
                </w:r>
              </w:p>
            </w:tc>
            <w:tc>
              <w:tcPr>
                <w:tcW w:w="839" w:type="pct"/>
                <w:tcBorders>
                  <w:bottom w:val="nil"/>
                </w:tcBorders>
                <w:shd w:val="clear" w:color="auto" w:fill="auto"/>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$166.22</w:t>
                </w:r>
              </w:p>
            </w:tc>
          </w:tr>
          <w:tr w:rsidR="00D73F75" w:rsidRPr="00796046" w:rsidTr="001B1888">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19:00</w:t>
                </w:r>
              </w:p>
            </w:tc>
            <w:tc>
              <w:tcPr>
                <w:tcW w:w="614"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$157.99</w:t>
                </w:r>
              </w:p>
            </w:tc>
            <w:tc>
              <w:tcPr>
                <w:tcW w:w="799" w:type="pct"/>
                <w:tcBorders>
                  <w:bottom w:val="nil"/>
                </w:tcBorders>
                <w:shd w:val="clear" w:color="auto" w:fill="DBE5F1"/>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AGL Hydro</w:t>
                </w:r>
              </w:p>
            </w:tc>
            <w:tc>
              <w:tcPr>
                <w:tcW w:w="703" w:type="pct"/>
                <w:tcBorders>
                  <w:bottom w:val="nil"/>
                </w:tcBorders>
                <w:shd w:val="clear" w:color="auto" w:fill="DBE5F1"/>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MCKAY1</w:t>
                </w:r>
              </w:p>
            </w:tc>
            <w:tc>
              <w:tcPr>
                <w:tcW w:w="537" w:type="pct"/>
                <w:tcBorders>
                  <w:bottom w:val="nil"/>
                </w:tcBorders>
                <w:shd w:val="clear" w:color="auto" w:fill="DBE5F1"/>
                <w:vAlign w:val="bottom"/>
              </w:tcPr>
              <w:p w:rsidR="00D73F75" w:rsidRPr="00ED1D8C" w:rsidRDefault="00D73F75" w:rsidP="00ED1D8C">
                <w:pPr>
                  <w:spacing w:after="0"/>
                  <w:rPr>
                    <w:rFonts w:asciiTheme="minorHAnsi" w:hAnsiTheme="minorHAnsi" w:cstheme="minorHAnsi"/>
                    <w:sz w:val="16"/>
                    <w:szCs w:val="16"/>
                  </w:rPr>
                </w:pPr>
                <w:r w:rsidRPr="00ED1D8C">
                  <w:rPr>
                    <w:rFonts w:asciiTheme="minorHAnsi" w:hAnsiTheme="minorHAnsi" w:cstheme="minorHAnsi"/>
                    <w:sz w:val="16"/>
                    <w:szCs w:val="16"/>
                  </w:rPr>
                  <w:t>Energy</w:t>
                </w:r>
              </w:p>
            </w:tc>
            <w:tc>
              <w:tcPr>
                <w:tcW w:w="602"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$129.86</w:t>
                </w:r>
              </w:p>
            </w:tc>
            <w:tc>
              <w:tcPr>
                <w:tcW w:w="526"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1.22</w:t>
                </w:r>
              </w:p>
            </w:tc>
            <w:tc>
              <w:tcPr>
                <w:tcW w:w="839" w:type="pct"/>
                <w:tcBorders>
                  <w:bottom w:val="nil"/>
                </w:tcBorders>
                <w:shd w:val="clear" w:color="auto" w:fill="DBE5F1"/>
                <w:vAlign w:val="bottom"/>
              </w:tcPr>
              <w:p w:rsidR="00D73F75" w:rsidRPr="00ED1D8C" w:rsidRDefault="00D73F75" w:rsidP="00ED1D8C">
                <w:pPr>
                  <w:spacing w:after="0"/>
                  <w:jc w:val="right"/>
                  <w:rPr>
                    <w:rFonts w:asciiTheme="minorHAnsi" w:hAnsiTheme="minorHAnsi" w:cstheme="minorHAnsi"/>
                    <w:sz w:val="16"/>
                    <w:szCs w:val="16"/>
                  </w:rPr>
                </w:pPr>
                <w:r w:rsidRPr="00ED1D8C">
                  <w:rPr>
                    <w:rFonts w:asciiTheme="minorHAnsi" w:hAnsiTheme="minorHAnsi" w:cstheme="minorHAnsi"/>
                    <w:sz w:val="16"/>
                    <w:szCs w:val="16"/>
                  </w:rPr>
                  <w:t>$158.43</w:t>
                </w:r>
              </w:p>
            </w:tc>
          </w:tr>
          <w:tr w:rsidR="00D73F75" w:rsidRPr="00301FE3" w:rsidTr="00ED1D8C">
            <w:trPr>
              <w:cnfStyle w:val="000000010000" w:firstRow="0" w:lastRow="0" w:firstColumn="0" w:lastColumn="0" w:oddVBand="0" w:evenVBand="0" w:oddHBand="0" w:evenHBand="1" w:firstRowFirstColumn="0" w:firstRowLastColumn="0" w:lastRowFirstColumn="0" w:lastRowLastColumn="0"/>
              <w:trHeight w:hRule="exact" w:val="475"/>
            </w:trPr>
            <w:tc>
              <w:tcPr>
                <w:tcW w:w="994" w:type="pct"/>
                <w:gridSpan w:val="2"/>
                <w:tcBorders>
                  <w:top w:val="nil"/>
                  <w:bottom w:val="single" w:sz="4" w:space="0" w:color="auto"/>
                </w:tcBorders>
                <w:shd w:val="clear" w:color="auto" w:fill="auto"/>
                <w:vAlign w:val="center"/>
              </w:tcPr>
              <w:p w:rsidR="00D73F75" w:rsidRPr="001C3F02" w:rsidRDefault="00D73F75" w:rsidP="00ED1D8C">
                <w:pPr>
                  <w:spacing w:after="0" w:line="240" w:lineRule="auto"/>
                  <w:jc w:val="center"/>
                  <w:rPr>
                    <w:rFonts w:cs="Arial"/>
                    <w:b/>
                    <w:sz w:val="20"/>
                    <w:szCs w:val="20"/>
                  </w:rPr>
                </w:pPr>
                <w:r w:rsidRPr="001C3F02">
                  <w:rPr>
                    <w:rFonts w:cs="Arial"/>
                    <w:b/>
                    <w:sz w:val="20"/>
                    <w:szCs w:val="20"/>
                  </w:rPr>
                  <w:t>Spot price</w:t>
                </w:r>
              </w:p>
            </w:tc>
            <w:tc>
              <w:tcPr>
                <w:tcW w:w="1502" w:type="pct"/>
                <w:gridSpan w:val="2"/>
                <w:tcBorders>
                  <w:top w:val="nil"/>
                  <w:bottom w:val="single" w:sz="4" w:space="0" w:color="auto"/>
                </w:tcBorders>
                <w:shd w:val="clear" w:color="auto" w:fill="auto"/>
                <w:vAlign w:val="center"/>
              </w:tcPr>
              <w:p w:rsidR="00D73F75" w:rsidRPr="001C3F02" w:rsidRDefault="00D73F75" w:rsidP="00ED1D8C">
                <w:pPr>
                  <w:spacing w:after="0" w:line="240" w:lineRule="auto"/>
                  <w:jc w:val="center"/>
                  <w:rPr>
                    <w:rFonts w:cs="Arial"/>
                    <w:b/>
                    <w:sz w:val="20"/>
                    <w:szCs w:val="20"/>
                  </w:rPr>
                </w:pPr>
                <w:r w:rsidRPr="001C3F02">
                  <w:rPr>
                    <w:rFonts w:cs="Arial"/>
                    <w:b/>
                    <w:sz w:val="20"/>
                    <w:szCs w:val="20"/>
                  </w:rPr>
                  <w:t>$</w:t>
                </w:r>
                <w:r>
                  <w:rPr>
                    <w:rFonts w:cs="Arial"/>
                    <w:b/>
                    <w:sz w:val="20"/>
                    <w:szCs w:val="20"/>
                  </w:rPr>
                  <w:t>9387</w:t>
                </w:r>
                <w:r w:rsidRPr="001C3F02">
                  <w:rPr>
                    <w:rFonts w:cs="Arial"/>
                    <w:b/>
                    <w:sz w:val="20"/>
                    <w:szCs w:val="20"/>
                  </w:rPr>
                  <w:t>/MWh</w:t>
                </w:r>
              </w:p>
            </w:tc>
            <w:tc>
              <w:tcPr>
                <w:tcW w:w="537" w:type="pct"/>
                <w:tcBorders>
                  <w:top w:val="nil"/>
                  <w:bottom w:val="single" w:sz="4" w:space="0" w:color="auto"/>
                </w:tcBorders>
                <w:shd w:val="clear" w:color="auto" w:fill="auto"/>
                <w:vAlign w:val="center"/>
              </w:tcPr>
              <w:p w:rsidR="00D73F75" w:rsidRPr="00301FE3" w:rsidRDefault="00D73F75" w:rsidP="00ED1D8C">
                <w:pPr>
                  <w:spacing w:after="0" w:line="240" w:lineRule="auto"/>
                  <w:jc w:val="center"/>
                  <w:rPr>
                    <w:rFonts w:cs="Arial"/>
                    <w:b/>
                    <w:sz w:val="20"/>
                    <w:szCs w:val="20"/>
                  </w:rPr>
                </w:pPr>
              </w:p>
            </w:tc>
            <w:tc>
              <w:tcPr>
                <w:tcW w:w="602" w:type="pct"/>
                <w:tcBorders>
                  <w:top w:val="nil"/>
                  <w:bottom w:val="single" w:sz="4" w:space="0" w:color="auto"/>
                </w:tcBorders>
                <w:shd w:val="clear" w:color="auto" w:fill="auto"/>
                <w:vAlign w:val="center"/>
              </w:tcPr>
              <w:p w:rsidR="00D73F75" w:rsidRPr="00301FE3" w:rsidRDefault="00D73F75" w:rsidP="00ED1D8C">
                <w:pPr>
                  <w:spacing w:after="0" w:line="240" w:lineRule="auto"/>
                  <w:jc w:val="center"/>
                  <w:rPr>
                    <w:rFonts w:cs="Arial"/>
                    <w:b/>
                    <w:sz w:val="20"/>
                    <w:szCs w:val="20"/>
                  </w:rPr>
                </w:pPr>
              </w:p>
            </w:tc>
            <w:tc>
              <w:tcPr>
                <w:tcW w:w="526" w:type="pct"/>
                <w:tcBorders>
                  <w:top w:val="nil"/>
                  <w:bottom w:val="single" w:sz="4" w:space="0" w:color="auto"/>
                </w:tcBorders>
                <w:shd w:val="clear" w:color="auto" w:fill="auto"/>
                <w:vAlign w:val="center"/>
              </w:tcPr>
              <w:p w:rsidR="00D73F75" w:rsidRPr="00301FE3" w:rsidRDefault="00D73F75" w:rsidP="00ED1D8C">
                <w:pPr>
                  <w:spacing w:after="0" w:line="240" w:lineRule="auto"/>
                  <w:jc w:val="center"/>
                  <w:rPr>
                    <w:rFonts w:cs="Arial"/>
                    <w:b/>
                    <w:sz w:val="20"/>
                    <w:szCs w:val="20"/>
                  </w:rPr>
                </w:pPr>
              </w:p>
            </w:tc>
            <w:tc>
              <w:tcPr>
                <w:tcW w:w="839" w:type="pct"/>
                <w:tcBorders>
                  <w:top w:val="nil"/>
                  <w:bottom w:val="single" w:sz="4" w:space="0" w:color="auto"/>
                </w:tcBorders>
                <w:shd w:val="clear" w:color="auto" w:fill="auto"/>
                <w:vAlign w:val="center"/>
              </w:tcPr>
              <w:p w:rsidR="00D73F75" w:rsidRPr="00301FE3" w:rsidRDefault="00D73F75" w:rsidP="00ED1D8C">
                <w:pPr>
                  <w:spacing w:after="0" w:line="240" w:lineRule="auto"/>
                  <w:jc w:val="center"/>
                  <w:rPr>
                    <w:rFonts w:cs="Arial"/>
                    <w:b/>
                    <w:sz w:val="20"/>
                    <w:szCs w:val="20"/>
                  </w:rPr>
                </w:pPr>
              </w:p>
            </w:tc>
          </w:tr>
        </w:tbl>
        <w:p w:rsidR="00D73F75" w:rsidRDefault="00D73F75" w:rsidP="00D73F75">
          <w:pPr>
            <w:pStyle w:val="Caption"/>
          </w:pPr>
          <w:r w:rsidRPr="00C95E26">
            <w:lastRenderedPageBreak/>
            <w:t xml:space="preserve">Table </w:t>
          </w:r>
          <w:fldSimple w:instr=" SEQ Table \* ARABIC ">
            <w:r w:rsidR="005B5767">
              <w:rPr>
                <w:noProof/>
              </w:rPr>
              <w:t>11</w:t>
            </w:r>
          </w:fldSimple>
          <w:r>
            <w:t>: Price setter for 7.30</w:t>
          </w:r>
          <w:r w:rsidRPr="00C95E26">
            <w:t xml:space="preserve"> pm trading interval</w:t>
          </w:r>
        </w:p>
        <w:tbl>
          <w:tblPr>
            <w:tblStyle w:val="AERsummarytable"/>
            <w:tblW w:w="5385" w:type="pct"/>
            <w:tblLayout w:type="fixed"/>
            <w:tblLook w:val="04A0" w:firstRow="1" w:lastRow="0" w:firstColumn="1" w:lastColumn="0" w:noHBand="0" w:noVBand="1"/>
          </w:tblPr>
          <w:tblGrid>
            <w:gridCol w:w="719"/>
            <w:gridCol w:w="1545"/>
            <w:gridCol w:w="1284"/>
            <w:gridCol w:w="1180"/>
            <w:gridCol w:w="1015"/>
            <w:gridCol w:w="1242"/>
            <w:gridCol w:w="1061"/>
            <w:gridCol w:w="1407"/>
          </w:tblGrid>
          <w:tr w:rsidR="00D73F75" w:rsidRPr="00693846" w:rsidTr="00693846">
            <w:trPr>
              <w:cnfStyle w:val="100000000000" w:firstRow="1" w:lastRow="0" w:firstColumn="0" w:lastColumn="0" w:oddVBand="0" w:evenVBand="0" w:oddHBand="0" w:evenHBand="0" w:firstRowFirstColumn="0" w:firstRowLastColumn="0" w:lastRowFirstColumn="0" w:lastRowLastColumn="0"/>
              <w:trHeight w:hRule="exact" w:val="1090"/>
              <w:tblHeader/>
            </w:trPr>
            <w:tc>
              <w:tcPr>
                <w:tcW w:w="381" w:type="pct"/>
                <w:tcBorders>
                  <w:bottom w:val="nil"/>
                </w:tcBorders>
              </w:tcPr>
              <w:p w:rsidR="00D73F75" w:rsidRPr="00693846" w:rsidRDefault="00D73F75" w:rsidP="00693846">
                <w:pPr>
                  <w:pStyle w:val="TableHeading"/>
                </w:pPr>
                <w:r w:rsidRPr="00693846">
                  <w:t>DI</w:t>
                </w:r>
              </w:p>
            </w:tc>
            <w:tc>
              <w:tcPr>
                <w:tcW w:w="817" w:type="pct"/>
                <w:tcBorders>
                  <w:bottom w:val="nil"/>
                </w:tcBorders>
              </w:tcPr>
              <w:p w:rsidR="00D73F75" w:rsidRPr="00693846" w:rsidRDefault="00D73F75" w:rsidP="00693846">
                <w:pPr>
                  <w:pStyle w:val="TableHeading"/>
                </w:pPr>
                <w:r w:rsidRPr="00693846">
                  <w:t>Dispatch Price ($/MWh)</w:t>
                </w:r>
              </w:p>
            </w:tc>
            <w:tc>
              <w:tcPr>
                <w:tcW w:w="679" w:type="pct"/>
                <w:tcBorders>
                  <w:bottom w:val="nil"/>
                </w:tcBorders>
              </w:tcPr>
              <w:p w:rsidR="00D73F75" w:rsidRPr="00693846" w:rsidRDefault="00D73F75" w:rsidP="00693846">
                <w:pPr>
                  <w:pStyle w:val="TableHeading"/>
                </w:pPr>
                <w:r w:rsidRPr="00693846">
                  <w:t>Participant</w:t>
                </w:r>
              </w:p>
            </w:tc>
            <w:tc>
              <w:tcPr>
                <w:tcW w:w="624" w:type="pct"/>
                <w:tcBorders>
                  <w:bottom w:val="nil"/>
                </w:tcBorders>
              </w:tcPr>
              <w:p w:rsidR="00D73F75" w:rsidRPr="00693846" w:rsidRDefault="00D73F75" w:rsidP="00693846">
                <w:pPr>
                  <w:pStyle w:val="TableHeading"/>
                </w:pPr>
                <w:r w:rsidRPr="00693846">
                  <w:t>Unit</w:t>
                </w:r>
              </w:p>
            </w:tc>
            <w:tc>
              <w:tcPr>
                <w:tcW w:w="537" w:type="pct"/>
                <w:tcBorders>
                  <w:bottom w:val="nil"/>
                </w:tcBorders>
              </w:tcPr>
              <w:p w:rsidR="00D73F75" w:rsidRPr="00693846" w:rsidRDefault="00D73F75" w:rsidP="00693846">
                <w:pPr>
                  <w:pStyle w:val="TableHeading"/>
                </w:pPr>
                <w:r w:rsidRPr="00693846">
                  <w:t>Service</w:t>
                </w:r>
              </w:p>
            </w:tc>
            <w:tc>
              <w:tcPr>
                <w:tcW w:w="657" w:type="pct"/>
                <w:tcBorders>
                  <w:bottom w:val="nil"/>
                </w:tcBorders>
              </w:tcPr>
              <w:p w:rsidR="00D73F75" w:rsidRPr="00693846" w:rsidRDefault="00D73F75" w:rsidP="00693846">
                <w:pPr>
                  <w:pStyle w:val="TableHeading"/>
                </w:pPr>
                <w:r w:rsidRPr="00693846">
                  <w:t>Offer price ($/MWh)</w:t>
                </w:r>
              </w:p>
            </w:tc>
            <w:tc>
              <w:tcPr>
                <w:tcW w:w="561" w:type="pct"/>
                <w:tcBorders>
                  <w:bottom w:val="nil"/>
                </w:tcBorders>
              </w:tcPr>
              <w:p w:rsidR="00D73F75" w:rsidRPr="00693846" w:rsidRDefault="00D73F75" w:rsidP="00693846">
                <w:pPr>
                  <w:pStyle w:val="TableHeading"/>
                </w:pPr>
                <w:r w:rsidRPr="00693846">
                  <w:t>Marginal change</w:t>
                </w:r>
              </w:p>
            </w:tc>
            <w:tc>
              <w:tcPr>
                <w:tcW w:w="744" w:type="pct"/>
                <w:tcBorders>
                  <w:bottom w:val="nil"/>
                </w:tcBorders>
              </w:tcPr>
              <w:p w:rsidR="00D73F75" w:rsidRPr="00693846" w:rsidRDefault="00D73F75" w:rsidP="00693846">
                <w:pPr>
                  <w:pStyle w:val="TableHeading"/>
                </w:pPr>
                <w:r w:rsidRPr="00693846">
                  <w:t>Contribution</w:t>
                </w:r>
              </w:p>
            </w:tc>
          </w:tr>
          <w:tr w:rsidR="008D2A7B" w:rsidTr="00693846">
            <w:trPr>
              <w:cnfStyle w:val="000000100000" w:firstRow="0" w:lastRow="0" w:firstColumn="0" w:lastColumn="0" w:oddVBand="0" w:evenVBand="0" w:oddHBand="1" w:evenHBand="0" w:firstRowFirstColumn="0" w:firstRowLastColumn="0" w:lastRowFirstColumn="0" w:lastRowLastColumn="0"/>
              <w:trHeight w:hRule="exact" w:val="340"/>
            </w:trPr>
            <w:tc>
              <w:tcPr>
                <w:tcW w:w="381" w:type="pct"/>
                <w:tcBorders>
                  <w:bottom w:val="nil"/>
                </w:tcBorders>
                <w:shd w:val="clear" w:color="auto" w:fill="auto"/>
                <w:vAlign w:val="bottom"/>
              </w:tcPr>
              <w:p w:rsidR="008D2A7B" w:rsidRDefault="008D2A7B" w:rsidP="00ED1D8C">
                <w:pPr>
                  <w:spacing w:after="0"/>
                  <w:jc w:val="right"/>
                  <w:rPr>
                    <w:rFonts w:cs="Arial"/>
                    <w:sz w:val="16"/>
                    <w:szCs w:val="16"/>
                  </w:rPr>
                </w:pPr>
                <w:r>
                  <w:rPr>
                    <w:rFonts w:cs="Arial"/>
                    <w:sz w:val="16"/>
                    <w:szCs w:val="16"/>
                  </w:rPr>
                  <w:t>19:05</w:t>
                </w:r>
              </w:p>
            </w:tc>
            <w:tc>
              <w:tcPr>
                <w:tcW w:w="817" w:type="pct"/>
                <w:tcBorders>
                  <w:bottom w:val="nil"/>
                </w:tcBorders>
                <w:shd w:val="clear" w:color="auto" w:fill="auto"/>
                <w:vAlign w:val="bottom"/>
              </w:tcPr>
              <w:p w:rsidR="008D2A7B" w:rsidRPr="00B755C4" w:rsidRDefault="008D2A7B" w:rsidP="00ED1D8C">
                <w:pPr>
                  <w:spacing w:after="0"/>
                  <w:jc w:val="right"/>
                  <w:rPr>
                    <w:rFonts w:cs="Arial"/>
                    <w:i/>
                    <w:sz w:val="16"/>
                    <w:szCs w:val="16"/>
                  </w:rPr>
                </w:pPr>
                <w:r w:rsidRPr="00B755C4">
                  <w:rPr>
                    <w:rFonts w:cs="Arial"/>
                    <w:i/>
                    <w:sz w:val="16"/>
                    <w:szCs w:val="16"/>
                  </w:rPr>
                  <w:t>$2</w:t>
                </w:r>
                <w:r>
                  <w:rPr>
                    <w:rFonts w:cs="Arial"/>
                    <w:i/>
                    <w:sz w:val="16"/>
                    <w:szCs w:val="16"/>
                  </w:rPr>
                  <w:t> </w:t>
                </w:r>
                <w:r w:rsidRPr="00B755C4">
                  <w:rPr>
                    <w:rFonts w:cs="Arial"/>
                    <w:i/>
                    <w:sz w:val="16"/>
                    <w:szCs w:val="16"/>
                  </w:rPr>
                  <w:t>100</w:t>
                </w:r>
                <w:r>
                  <w:rPr>
                    <w:rFonts w:cs="Arial"/>
                    <w:i/>
                    <w:sz w:val="16"/>
                    <w:szCs w:val="16"/>
                  </w:rPr>
                  <w:t> 000</w:t>
                </w:r>
              </w:p>
            </w:tc>
            <w:tc>
              <w:tcPr>
                <w:tcW w:w="1303" w:type="pct"/>
                <w:gridSpan w:val="2"/>
                <w:tcBorders>
                  <w:bottom w:val="nil"/>
                </w:tcBorders>
                <w:shd w:val="clear" w:color="auto" w:fill="auto"/>
                <w:vAlign w:val="bottom"/>
              </w:tcPr>
              <w:p w:rsidR="008D2A7B" w:rsidRDefault="008D2A7B" w:rsidP="008D2A7B">
                <w:pPr>
                  <w:spacing w:after="0"/>
                  <w:jc w:val="center"/>
                  <w:rPr>
                    <w:rFonts w:cs="Arial"/>
                    <w:sz w:val="16"/>
                    <w:szCs w:val="16"/>
                  </w:rPr>
                </w:pPr>
                <w:r>
                  <w:rPr>
                    <w:rFonts w:cs="Arial"/>
                    <w:sz w:val="16"/>
                    <w:szCs w:val="16"/>
                  </w:rPr>
                  <w:t>Demand supply balance</w:t>
                </w:r>
              </w:p>
            </w:tc>
            <w:tc>
              <w:tcPr>
                <w:tcW w:w="537" w:type="pct"/>
                <w:tcBorders>
                  <w:bottom w:val="nil"/>
                </w:tcBorders>
                <w:shd w:val="clear" w:color="auto" w:fill="auto"/>
                <w:vAlign w:val="bottom"/>
              </w:tcPr>
              <w:p w:rsidR="008D2A7B" w:rsidRDefault="008D2A7B" w:rsidP="00ED1D8C">
                <w:pPr>
                  <w:spacing w:after="0"/>
                  <w:rPr>
                    <w:rFonts w:cs="Arial"/>
                    <w:sz w:val="16"/>
                    <w:szCs w:val="16"/>
                  </w:rPr>
                </w:pPr>
              </w:p>
            </w:tc>
            <w:tc>
              <w:tcPr>
                <w:tcW w:w="657" w:type="pct"/>
                <w:tcBorders>
                  <w:bottom w:val="nil"/>
                </w:tcBorders>
                <w:shd w:val="clear" w:color="auto" w:fill="auto"/>
                <w:vAlign w:val="bottom"/>
              </w:tcPr>
              <w:p w:rsidR="008D2A7B" w:rsidRDefault="008D2A7B" w:rsidP="00ED1D8C">
                <w:pPr>
                  <w:spacing w:after="0"/>
                  <w:jc w:val="right"/>
                  <w:rPr>
                    <w:rFonts w:cs="Arial"/>
                    <w:sz w:val="16"/>
                    <w:szCs w:val="16"/>
                  </w:rPr>
                </w:pPr>
                <w:r>
                  <w:rPr>
                    <w:rFonts w:cs="Arial"/>
                    <w:sz w:val="16"/>
                    <w:szCs w:val="16"/>
                  </w:rPr>
                  <w:t>$2</w:t>
                </w:r>
                <w:r>
                  <w:rPr>
                    <w:rFonts w:cs="Arial"/>
                    <w:i/>
                    <w:sz w:val="16"/>
                    <w:szCs w:val="16"/>
                  </w:rPr>
                  <w:t> </w:t>
                </w:r>
                <w:r>
                  <w:rPr>
                    <w:rFonts w:cs="Arial"/>
                    <w:sz w:val="16"/>
                    <w:szCs w:val="16"/>
                  </w:rPr>
                  <w:t>100</w:t>
                </w:r>
                <w:r>
                  <w:rPr>
                    <w:rFonts w:cs="Arial"/>
                    <w:i/>
                    <w:sz w:val="16"/>
                    <w:szCs w:val="16"/>
                  </w:rPr>
                  <w:t> </w:t>
                </w:r>
                <w:r>
                  <w:rPr>
                    <w:rFonts w:cs="Arial"/>
                    <w:sz w:val="16"/>
                    <w:szCs w:val="16"/>
                  </w:rPr>
                  <w:t>000</w:t>
                </w:r>
              </w:p>
            </w:tc>
            <w:tc>
              <w:tcPr>
                <w:tcW w:w="561" w:type="pct"/>
                <w:tcBorders>
                  <w:bottom w:val="nil"/>
                </w:tcBorders>
                <w:shd w:val="clear" w:color="auto" w:fill="auto"/>
                <w:vAlign w:val="bottom"/>
              </w:tcPr>
              <w:p w:rsidR="008D2A7B" w:rsidRDefault="008D2A7B" w:rsidP="00ED1D8C">
                <w:pPr>
                  <w:spacing w:after="0"/>
                  <w:jc w:val="right"/>
                  <w:rPr>
                    <w:rFonts w:cs="Arial"/>
                    <w:sz w:val="16"/>
                    <w:szCs w:val="16"/>
                  </w:rPr>
                </w:pPr>
                <w:r>
                  <w:rPr>
                    <w:rFonts w:cs="Arial"/>
                    <w:sz w:val="16"/>
                    <w:szCs w:val="16"/>
                  </w:rPr>
                  <w:t>1.00</w:t>
                </w:r>
              </w:p>
            </w:tc>
            <w:tc>
              <w:tcPr>
                <w:tcW w:w="744" w:type="pct"/>
                <w:tcBorders>
                  <w:bottom w:val="nil"/>
                </w:tcBorders>
                <w:shd w:val="clear" w:color="auto" w:fill="auto"/>
                <w:vAlign w:val="bottom"/>
              </w:tcPr>
              <w:p w:rsidR="008D2A7B" w:rsidRDefault="008D2A7B" w:rsidP="00ED1D8C">
                <w:pPr>
                  <w:spacing w:after="0"/>
                  <w:jc w:val="right"/>
                  <w:rPr>
                    <w:rFonts w:cs="Arial"/>
                    <w:sz w:val="16"/>
                    <w:szCs w:val="16"/>
                  </w:rPr>
                </w:pPr>
                <w:r>
                  <w:rPr>
                    <w:rFonts w:cs="Arial"/>
                    <w:sz w:val="16"/>
                    <w:szCs w:val="16"/>
                  </w:rPr>
                  <w:t>$2</w:t>
                </w:r>
                <w:r>
                  <w:rPr>
                    <w:rFonts w:cs="Arial"/>
                    <w:i/>
                    <w:sz w:val="16"/>
                    <w:szCs w:val="16"/>
                  </w:rPr>
                  <w:t> </w:t>
                </w:r>
                <w:r>
                  <w:rPr>
                    <w:rFonts w:cs="Arial"/>
                    <w:sz w:val="16"/>
                    <w:szCs w:val="16"/>
                  </w:rPr>
                  <w:t>100</w:t>
                </w:r>
                <w:r>
                  <w:rPr>
                    <w:rFonts w:cs="Arial"/>
                    <w:i/>
                    <w:sz w:val="16"/>
                    <w:szCs w:val="16"/>
                  </w:rPr>
                  <w:t> </w:t>
                </w:r>
                <w:r>
                  <w:rPr>
                    <w:rFonts w:cs="Arial"/>
                    <w:sz w:val="16"/>
                    <w:szCs w:val="16"/>
                  </w:rPr>
                  <w:t>000</w:t>
                </w:r>
              </w:p>
            </w:tc>
          </w:tr>
          <w:tr w:rsidR="00D73F75" w:rsidTr="00693846">
            <w:trPr>
              <w:cnfStyle w:val="000000010000" w:firstRow="0" w:lastRow="0" w:firstColumn="0" w:lastColumn="0" w:oddVBand="0" w:evenVBand="0" w:oddHBand="0" w:evenHBand="1" w:firstRowFirstColumn="0" w:firstRowLastColumn="0" w:lastRowFirstColumn="0" w:lastRowLastColumn="0"/>
              <w:trHeight w:hRule="exact" w:val="340"/>
            </w:trPr>
            <w:tc>
              <w:tcPr>
                <w:tcW w:w="381" w:type="pct"/>
                <w:tcBorders>
                  <w:bottom w:val="nil"/>
                </w:tcBorders>
                <w:vAlign w:val="bottom"/>
              </w:tcPr>
              <w:p w:rsidR="00D73F75" w:rsidRDefault="00D73F75" w:rsidP="00ED1D8C">
                <w:pPr>
                  <w:spacing w:after="0"/>
                  <w:jc w:val="right"/>
                  <w:rPr>
                    <w:rFonts w:cs="Arial"/>
                    <w:sz w:val="16"/>
                    <w:szCs w:val="16"/>
                  </w:rPr>
                </w:pPr>
                <w:r>
                  <w:rPr>
                    <w:rFonts w:cs="Arial"/>
                    <w:sz w:val="16"/>
                    <w:szCs w:val="16"/>
                  </w:rPr>
                  <w:t>19:10</w:t>
                </w:r>
              </w:p>
            </w:tc>
            <w:tc>
              <w:tcPr>
                <w:tcW w:w="817"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999.99</w:t>
                </w:r>
              </w:p>
            </w:tc>
            <w:tc>
              <w:tcPr>
                <w:tcW w:w="679" w:type="pct"/>
                <w:tcBorders>
                  <w:bottom w:val="nil"/>
                </w:tcBorders>
                <w:vAlign w:val="bottom"/>
              </w:tcPr>
              <w:p w:rsidR="00D73F75" w:rsidRDefault="00D73F75" w:rsidP="00ED1D8C">
                <w:pPr>
                  <w:spacing w:after="0"/>
                  <w:rPr>
                    <w:rFonts w:cs="Arial"/>
                    <w:sz w:val="16"/>
                    <w:szCs w:val="16"/>
                  </w:rPr>
                </w:pPr>
                <w:r>
                  <w:rPr>
                    <w:rFonts w:cs="Arial"/>
                    <w:sz w:val="16"/>
                    <w:szCs w:val="16"/>
                  </w:rPr>
                  <w:t>Snowy Hydro</w:t>
                </w:r>
              </w:p>
            </w:tc>
            <w:tc>
              <w:tcPr>
                <w:tcW w:w="624" w:type="pct"/>
                <w:tcBorders>
                  <w:bottom w:val="nil"/>
                </w:tcBorders>
                <w:vAlign w:val="bottom"/>
              </w:tcPr>
              <w:p w:rsidR="00D73F75" w:rsidRDefault="00D73F75" w:rsidP="00ED1D8C">
                <w:pPr>
                  <w:spacing w:after="0"/>
                  <w:rPr>
                    <w:rFonts w:cs="Arial"/>
                    <w:sz w:val="16"/>
                    <w:szCs w:val="16"/>
                  </w:rPr>
                </w:pPr>
                <w:r>
                  <w:rPr>
                    <w:rFonts w:cs="Arial"/>
                    <w:sz w:val="16"/>
                    <w:szCs w:val="16"/>
                  </w:rPr>
                  <w:t>PTSTAN1</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57"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999.99</w:t>
                </w:r>
              </w:p>
            </w:tc>
            <w:tc>
              <w:tcPr>
                <w:tcW w:w="561" w:type="pct"/>
                <w:tcBorders>
                  <w:bottom w:val="nil"/>
                </w:tcBorders>
                <w:vAlign w:val="bottom"/>
              </w:tcPr>
              <w:p w:rsidR="00D73F75" w:rsidRDefault="00D73F75" w:rsidP="00ED1D8C">
                <w:pPr>
                  <w:spacing w:after="0"/>
                  <w:jc w:val="right"/>
                  <w:rPr>
                    <w:rFonts w:cs="Arial"/>
                    <w:sz w:val="16"/>
                    <w:szCs w:val="16"/>
                  </w:rPr>
                </w:pPr>
                <w:r>
                  <w:rPr>
                    <w:rFonts w:cs="Arial"/>
                    <w:sz w:val="16"/>
                    <w:szCs w:val="16"/>
                  </w:rPr>
                  <w:t>1.00</w:t>
                </w:r>
              </w:p>
            </w:tc>
            <w:tc>
              <w:tcPr>
                <w:tcW w:w="744"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999.99</w:t>
                </w:r>
              </w:p>
            </w:tc>
          </w:tr>
          <w:tr w:rsidR="00D73F75" w:rsidTr="00693846">
            <w:trPr>
              <w:cnfStyle w:val="000000100000" w:firstRow="0" w:lastRow="0" w:firstColumn="0" w:lastColumn="0" w:oddVBand="0" w:evenVBand="0" w:oddHBand="1" w:evenHBand="0" w:firstRowFirstColumn="0" w:firstRowLastColumn="0" w:lastRowFirstColumn="0" w:lastRowLastColumn="0"/>
              <w:trHeight w:hRule="exact" w:val="340"/>
            </w:trPr>
            <w:tc>
              <w:tcPr>
                <w:tcW w:w="381"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19:15</w:t>
                </w:r>
              </w:p>
            </w:tc>
            <w:tc>
              <w:tcPr>
                <w:tcW w:w="817"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679" w:type="pct"/>
                <w:tcBorders>
                  <w:bottom w:val="nil"/>
                </w:tcBorders>
                <w:shd w:val="clear" w:color="auto" w:fill="auto"/>
                <w:vAlign w:val="bottom"/>
              </w:tcPr>
              <w:p w:rsidR="00D73F75" w:rsidRDefault="005F574A" w:rsidP="00ED1D8C">
                <w:pPr>
                  <w:spacing w:after="0"/>
                  <w:rPr>
                    <w:rFonts w:cs="Arial"/>
                    <w:sz w:val="16"/>
                    <w:szCs w:val="16"/>
                  </w:rPr>
                </w:pPr>
                <w:r>
                  <w:rPr>
                    <w:rFonts w:cs="Arial"/>
                    <w:sz w:val="16"/>
                    <w:szCs w:val="16"/>
                  </w:rPr>
                  <w:t>Engie</w:t>
                </w:r>
              </w:p>
            </w:tc>
            <w:tc>
              <w:tcPr>
                <w:tcW w:w="624"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DRYCGT1</w:t>
                </w:r>
              </w:p>
            </w:tc>
            <w:tc>
              <w:tcPr>
                <w:tcW w:w="537"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Energy</w:t>
                </w:r>
              </w:p>
            </w:tc>
            <w:tc>
              <w:tcPr>
                <w:tcW w:w="657"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561"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1.00</w:t>
                </w:r>
              </w:p>
            </w:tc>
            <w:tc>
              <w:tcPr>
                <w:tcW w:w="744"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r>
          <w:tr w:rsidR="00D73F75" w:rsidTr="00693846">
            <w:trPr>
              <w:cnfStyle w:val="000000010000" w:firstRow="0" w:lastRow="0" w:firstColumn="0" w:lastColumn="0" w:oddVBand="0" w:evenVBand="0" w:oddHBand="0" w:evenHBand="1" w:firstRowFirstColumn="0" w:firstRowLastColumn="0" w:lastRowFirstColumn="0" w:lastRowLastColumn="0"/>
              <w:trHeight w:hRule="exact" w:val="340"/>
            </w:trPr>
            <w:tc>
              <w:tcPr>
                <w:tcW w:w="381" w:type="pct"/>
                <w:tcBorders>
                  <w:bottom w:val="nil"/>
                </w:tcBorders>
                <w:vAlign w:val="bottom"/>
              </w:tcPr>
              <w:p w:rsidR="00D73F75" w:rsidRDefault="00D73F75" w:rsidP="00ED1D8C">
                <w:pPr>
                  <w:spacing w:after="0"/>
                  <w:jc w:val="right"/>
                  <w:rPr>
                    <w:rFonts w:cs="Arial"/>
                    <w:sz w:val="16"/>
                    <w:szCs w:val="16"/>
                  </w:rPr>
                </w:pPr>
                <w:r>
                  <w:rPr>
                    <w:rFonts w:cs="Arial"/>
                    <w:sz w:val="16"/>
                    <w:szCs w:val="16"/>
                  </w:rPr>
                  <w:t>19:20</w:t>
                </w:r>
              </w:p>
            </w:tc>
            <w:tc>
              <w:tcPr>
                <w:tcW w:w="817"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679" w:type="pct"/>
                <w:tcBorders>
                  <w:bottom w:val="nil"/>
                </w:tcBorders>
                <w:vAlign w:val="bottom"/>
              </w:tcPr>
              <w:p w:rsidR="00D73F75" w:rsidRDefault="005F574A" w:rsidP="00ED1D8C">
                <w:pPr>
                  <w:spacing w:after="0"/>
                  <w:rPr>
                    <w:rFonts w:cs="Arial"/>
                    <w:sz w:val="16"/>
                    <w:szCs w:val="16"/>
                  </w:rPr>
                </w:pPr>
                <w:r>
                  <w:rPr>
                    <w:rFonts w:cs="Arial"/>
                    <w:sz w:val="16"/>
                    <w:szCs w:val="16"/>
                  </w:rPr>
                  <w:t>Engie</w:t>
                </w:r>
              </w:p>
            </w:tc>
            <w:tc>
              <w:tcPr>
                <w:tcW w:w="624" w:type="pct"/>
                <w:tcBorders>
                  <w:bottom w:val="nil"/>
                </w:tcBorders>
                <w:vAlign w:val="bottom"/>
              </w:tcPr>
              <w:p w:rsidR="00D73F75" w:rsidRDefault="00D73F75" w:rsidP="00ED1D8C">
                <w:pPr>
                  <w:spacing w:after="0"/>
                  <w:rPr>
                    <w:rFonts w:cs="Arial"/>
                    <w:sz w:val="16"/>
                    <w:szCs w:val="16"/>
                  </w:rPr>
                </w:pPr>
                <w:r>
                  <w:rPr>
                    <w:rFonts w:cs="Arial"/>
                    <w:sz w:val="16"/>
                    <w:szCs w:val="16"/>
                  </w:rPr>
                  <w:t>DRYCGT1</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57"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561" w:type="pct"/>
                <w:tcBorders>
                  <w:bottom w:val="nil"/>
                </w:tcBorders>
                <w:vAlign w:val="bottom"/>
              </w:tcPr>
              <w:p w:rsidR="00D73F75" w:rsidRDefault="00D73F75" w:rsidP="00ED1D8C">
                <w:pPr>
                  <w:spacing w:after="0"/>
                  <w:jc w:val="right"/>
                  <w:rPr>
                    <w:rFonts w:cs="Arial"/>
                    <w:sz w:val="16"/>
                    <w:szCs w:val="16"/>
                  </w:rPr>
                </w:pPr>
                <w:r>
                  <w:rPr>
                    <w:rFonts w:cs="Arial"/>
                    <w:sz w:val="16"/>
                    <w:szCs w:val="16"/>
                  </w:rPr>
                  <w:t>1.00</w:t>
                </w:r>
              </w:p>
            </w:tc>
            <w:tc>
              <w:tcPr>
                <w:tcW w:w="744"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r>
          <w:tr w:rsidR="00D73F75" w:rsidTr="00693846">
            <w:trPr>
              <w:cnfStyle w:val="000000100000" w:firstRow="0" w:lastRow="0" w:firstColumn="0" w:lastColumn="0" w:oddVBand="0" w:evenVBand="0" w:oddHBand="1" w:evenHBand="0" w:firstRowFirstColumn="0" w:firstRowLastColumn="0" w:lastRowFirstColumn="0" w:lastRowLastColumn="0"/>
              <w:trHeight w:hRule="exact" w:val="340"/>
            </w:trPr>
            <w:tc>
              <w:tcPr>
                <w:tcW w:w="381"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19:25</w:t>
                </w:r>
              </w:p>
            </w:tc>
            <w:tc>
              <w:tcPr>
                <w:tcW w:w="817"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679" w:type="pct"/>
                <w:tcBorders>
                  <w:bottom w:val="nil"/>
                </w:tcBorders>
                <w:shd w:val="clear" w:color="auto" w:fill="auto"/>
                <w:vAlign w:val="bottom"/>
              </w:tcPr>
              <w:p w:rsidR="00D73F75" w:rsidRDefault="005F574A" w:rsidP="00ED1D8C">
                <w:pPr>
                  <w:spacing w:after="0"/>
                  <w:rPr>
                    <w:rFonts w:cs="Arial"/>
                    <w:sz w:val="16"/>
                    <w:szCs w:val="16"/>
                  </w:rPr>
                </w:pPr>
                <w:r>
                  <w:rPr>
                    <w:rFonts w:cs="Arial"/>
                    <w:sz w:val="16"/>
                    <w:szCs w:val="16"/>
                  </w:rPr>
                  <w:t>Engie</w:t>
                </w:r>
              </w:p>
            </w:tc>
            <w:tc>
              <w:tcPr>
                <w:tcW w:w="624"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DRYCGT1</w:t>
                </w:r>
              </w:p>
            </w:tc>
            <w:tc>
              <w:tcPr>
                <w:tcW w:w="537" w:type="pct"/>
                <w:tcBorders>
                  <w:bottom w:val="nil"/>
                </w:tcBorders>
                <w:shd w:val="clear" w:color="auto" w:fill="auto"/>
                <w:vAlign w:val="bottom"/>
              </w:tcPr>
              <w:p w:rsidR="00D73F75" w:rsidRDefault="00D73F75" w:rsidP="00ED1D8C">
                <w:pPr>
                  <w:spacing w:after="0"/>
                  <w:rPr>
                    <w:rFonts w:cs="Arial"/>
                    <w:sz w:val="16"/>
                    <w:szCs w:val="16"/>
                  </w:rPr>
                </w:pPr>
                <w:r>
                  <w:rPr>
                    <w:rFonts w:cs="Arial"/>
                    <w:sz w:val="16"/>
                    <w:szCs w:val="16"/>
                  </w:rPr>
                  <w:t>Energy</w:t>
                </w:r>
              </w:p>
            </w:tc>
            <w:tc>
              <w:tcPr>
                <w:tcW w:w="657"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561"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1.00</w:t>
                </w:r>
              </w:p>
            </w:tc>
            <w:tc>
              <w:tcPr>
                <w:tcW w:w="744" w:type="pct"/>
                <w:tcBorders>
                  <w:bottom w:val="nil"/>
                </w:tcBorders>
                <w:shd w:val="clear" w:color="auto" w:fill="auto"/>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r>
          <w:tr w:rsidR="00D73F75" w:rsidRPr="00796046" w:rsidTr="00693846">
            <w:trPr>
              <w:cnfStyle w:val="000000010000" w:firstRow="0" w:lastRow="0" w:firstColumn="0" w:lastColumn="0" w:oddVBand="0" w:evenVBand="0" w:oddHBand="0" w:evenHBand="1" w:firstRowFirstColumn="0" w:firstRowLastColumn="0" w:lastRowFirstColumn="0" w:lastRowLastColumn="0"/>
              <w:trHeight w:hRule="exact" w:val="340"/>
            </w:trPr>
            <w:tc>
              <w:tcPr>
                <w:tcW w:w="381" w:type="pct"/>
                <w:tcBorders>
                  <w:bottom w:val="nil"/>
                </w:tcBorders>
                <w:vAlign w:val="bottom"/>
              </w:tcPr>
              <w:p w:rsidR="00D73F75" w:rsidRDefault="00D73F75" w:rsidP="00ED1D8C">
                <w:pPr>
                  <w:spacing w:after="0"/>
                  <w:jc w:val="right"/>
                  <w:rPr>
                    <w:rFonts w:cs="Arial"/>
                    <w:sz w:val="16"/>
                    <w:szCs w:val="16"/>
                  </w:rPr>
                </w:pPr>
                <w:r>
                  <w:rPr>
                    <w:rFonts w:cs="Arial"/>
                    <w:sz w:val="16"/>
                    <w:szCs w:val="16"/>
                  </w:rPr>
                  <w:t>19:30</w:t>
                </w:r>
              </w:p>
            </w:tc>
            <w:tc>
              <w:tcPr>
                <w:tcW w:w="817"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679" w:type="pct"/>
                <w:tcBorders>
                  <w:bottom w:val="nil"/>
                </w:tcBorders>
                <w:vAlign w:val="bottom"/>
              </w:tcPr>
              <w:p w:rsidR="00D73F75" w:rsidRDefault="005F574A" w:rsidP="00ED1D8C">
                <w:pPr>
                  <w:spacing w:after="0"/>
                  <w:rPr>
                    <w:rFonts w:cs="Arial"/>
                    <w:sz w:val="16"/>
                    <w:szCs w:val="16"/>
                  </w:rPr>
                </w:pPr>
                <w:r>
                  <w:rPr>
                    <w:rFonts w:cs="Arial"/>
                    <w:sz w:val="16"/>
                    <w:szCs w:val="16"/>
                  </w:rPr>
                  <w:t>Engie</w:t>
                </w:r>
              </w:p>
            </w:tc>
            <w:tc>
              <w:tcPr>
                <w:tcW w:w="624" w:type="pct"/>
                <w:tcBorders>
                  <w:bottom w:val="nil"/>
                </w:tcBorders>
                <w:vAlign w:val="bottom"/>
              </w:tcPr>
              <w:p w:rsidR="00D73F75" w:rsidRDefault="00D73F75" w:rsidP="00ED1D8C">
                <w:pPr>
                  <w:spacing w:after="0"/>
                  <w:rPr>
                    <w:rFonts w:cs="Arial"/>
                    <w:sz w:val="16"/>
                    <w:szCs w:val="16"/>
                  </w:rPr>
                </w:pPr>
                <w:r>
                  <w:rPr>
                    <w:rFonts w:cs="Arial"/>
                    <w:sz w:val="16"/>
                    <w:szCs w:val="16"/>
                  </w:rPr>
                  <w:t>DRYCGT1</w:t>
                </w:r>
              </w:p>
            </w:tc>
            <w:tc>
              <w:tcPr>
                <w:tcW w:w="537" w:type="pct"/>
                <w:tcBorders>
                  <w:bottom w:val="nil"/>
                </w:tcBorders>
                <w:vAlign w:val="bottom"/>
              </w:tcPr>
              <w:p w:rsidR="00D73F75" w:rsidRDefault="00D73F75" w:rsidP="00ED1D8C">
                <w:pPr>
                  <w:spacing w:after="0"/>
                  <w:rPr>
                    <w:rFonts w:cs="Arial"/>
                    <w:sz w:val="16"/>
                    <w:szCs w:val="16"/>
                  </w:rPr>
                </w:pPr>
                <w:r>
                  <w:rPr>
                    <w:rFonts w:cs="Arial"/>
                    <w:sz w:val="16"/>
                    <w:szCs w:val="16"/>
                  </w:rPr>
                  <w:t>Energy</w:t>
                </w:r>
              </w:p>
            </w:tc>
            <w:tc>
              <w:tcPr>
                <w:tcW w:w="657"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c>
              <w:tcPr>
                <w:tcW w:w="561" w:type="pct"/>
                <w:tcBorders>
                  <w:bottom w:val="nil"/>
                </w:tcBorders>
                <w:vAlign w:val="bottom"/>
              </w:tcPr>
              <w:p w:rsidR="00D73F75" w:rsidRDefault="00D73F75" w:rsidP="00ED1D8C">
                <w:pPr>
                  <w:spacing w:after="0"/>
                  <w:jc w:val="right"/>
                  <w:rPr>
                    <w:rFonts w:cs="Arial"/>
                    <w:sz w:val="16"/>
                    <w:szCs w:val="16"/>
                  </w:rPr>
                </w:pPr>
                <w:r>
                  <w:rPr>
                    <w:rFonts w:cs="Arial"/>
                    <w:sz w:val="16"/>
                    <w:szCs w:val="16"/>
                  </w:rPr>
                  <w:t>1.00</w:t>
                </w:r>
              </w:p>
            </w:tc>
            <w:tc>
              <w:tcPr>
                <w:tcW w:w="744" w:type="pct"/>
                <w:tcBorders>
                  <w:bottom w:val="nil"/>
                </w:tcBorders>
                <w:vAlign w:val="bottom"/>
              </w:tcPr>
              <w:p w:rsidR="00D73F75" w:rsidRDefault="00D73F75" w:rsidP="00ED1D8C">
                <w:pPr>
                  <w:spacing w:after="0"/>
                  <w:jc w:val="right"/>
                  <w:rPr>
                    <w:rFonts w:cs="Arial"/>
                    <w:sz w:val="16"/>
                    <w:szCs w:val="16"/>
                  </w:rPr>
                </w:pPr>
                <w:r>
                  <w:rPr>
                    <w:rFonts w:cs="Arial"/>
                    <w:sz w:val="16"/>
                    <w:szCs w:val="16"/>
                  </w:rPr>
                  <w:t>$13</w:t>
                </w:r>
                <w:r w:rsidR="00ED1D8C">
                  <w:rPr>
                    <w:rFonts w:cs="Arial"/>
                    <w:i/>
                    <w:sz w:val="16"/>
                    <w:szCs w:val="16"/>
                  </w:rPr>
                  <w:t> </w:t>
                </w:r>
                <w:r>
                  <w:rPr>
                    <w:rFonts w:cs="Arial"/>
                    <w:sz w:val="16"/>
                    <w:szCs w:val="16"/>
                  </w:rPr>
                  <w:t>100.02</w:t>
                </w:r>
              </w:p>
            </w:tc>
          </w:tr>
          <w:tr w:rsidR="00D73F75" w:rsidRPr="00796046" w:rsidTr="00693846">
            <w:trPr>
              <w:cnfStyle w:val="000000100000" w:firstRow="0" w:lastRow="0" w:firstColumn="0" w:lastColumn="0" w:oddVBand="0" w:evenVBand="0" w:oddHBand="1" w:evenHBand="0" w:firstRowFirstColumn="0" w:firstRowLastColumn="0" w:lastRowFirstColumn="0" w:lastRowLastColumn="0"/>
              <w:trHeight w:hRule="exact" w:val="529"/>
            </w:trPr>
            <w:tc>
              <w:tcPr>
                <w:tcW w:w="1198" w:type="pct"/>
                <w:gridSpan w:val="2"/>
                <w:tcBorders>
                  <w:top w:val="nil"/>
                </w:tcBorders>
                <w:vAlign w:val="center"/>
              </w:tcPr>
              <w:p w:rsidR="00D73F75" w:rsidRPr="001C3F02" w:rsidRDefault="00D73F75" w:rsidP="00C96D40">
                <w:pPr>
                  <w:spacing w:before="120"/>
                  <w:jc w:val="left"/>
                  <w:rPr>
                    <w:rFonts w:cs="Arial"/>
                    <w:b/>
                    <w:sz w:val="20"/>
                    <w:szCs w:val="20"/>
                  </w:rPr>
                </w:pPr>
                <w:r w:rsidRPr="001C3F02">
                  <w:rPr>
                    <w:rFonts w:cs="Arial"/>
                    <w:b/>
                    <w:sz w:val="20"/>
                    <w:szCs w:val="20"/>
                  </w:rPr>
                  <w:t>Spot price</w:t>
                </w:r>
              </w:p>
            </w:tc>
            <w:tc>
              <w:tcPr>
                <w:tcW w:w="1303" w:type="pct"/>
                <w:gridSpan w:val="2"/>
                <w:tcBorders>
                  <w:top w:val="nil"/>
                </w:tcBorders>
                <w:vAlign w:val="center"/>
              </w:tcPr>
              <w:p w:rsidR="00D73F75" w:rsidRPr="001C3F02" w:rsidRDefault="00D73F75" w:rsidP="00D73F75">
                <w:pPr>
                  <w:spacing w:before="120"/>
                  <w:jc w:val="left"/>
                  <w:rPr>
                    <w:rFonts w:cs="Arial"/>
                    <w:b/>
                    <w:sz w:val="20"/>
                    <w:szCs w:val="20"/>
                  </w:rPr>
                </w:pPr>
                <w:r w:rsidRPr="001C3F02">
                  <w:rPr>
                    <w:rFonts w:cs="Arial"/>
                    <w:b/>
                    <w:sz w:val="20"/>
                    <w:szCs w:val="20"/>
                  </w:rPr>
                  <w:t>$</w:t>
                </w:r>
                <w:r>
                  <w:rPr>
                    <w:rFonts w:cs="Arial"/>
                    <w:b/>
                    <w:sz w:val="20"/>
                    <w:szCs w:val="20"/>
                  </w:rPr>
                  <w:t>13 400</w:t>
                </w:r>
                <w:r w:rsidRPr="001C3F02">
                  <w:rPr>
                    <w:rFonts w:cs="Arial"/>
                    <w:b/>
                    <w:sz w:val="20"/>
                    <w:szCs w:val="20"/>
                  </w:rPr>
                  <w:t>/MWh</w:t>
                </w:r>
              </w:p>
            </w:tc>
            <w:tc>
              <w:tcPr>
                <w:tcW w:w="537" w:type="pct"/>
                <w:tcBorders>
                  <w:top w:val="nil"/>
                </w:tcBorders>
                <w:vAlign w:val="bottom"/>
              </w:tcPr>
              <w:p w:rsidR="00D73F75" w:rsidRDefault="00D73F75" w:rsidP="00C96D40">
                <w:pPr>
                  <w:rPr>
                    <w:rFonts w:cs="Arial"/>
                    <w:sz w:val="16"/>
                    <w:szCs w:val="16"/>
                  </w:rPr>
                </w:pPr>
              </w:p>
            </w:tc>
            <w:tc>
              <w:tcPr>
                <w:tcW w:w="657" w:type="pct"/>
                <w:tcBorders>
                  <w:top w:val="nil"/>
                </w:tcBorders>
                <w:vAlign w:val="bottom"/>
              </w:tcPr>
              <w:p w:rsidR="00D73F75" w:rsidRDefault="00D73F75" w:rsidP="00C96D40">
                <w:pPr>
                  <w:jc w:val="right"/>
                  <w:rPr>
                    <w:rFonts w:cs="Arial"/>
                    <w:sz w:val="16"/>
                    <w:szCs w:val="16"/>
                  </w:rPr>
                </w:pPr>
              </w:p>
            </w:tc>
            <w:tc>
              <w:tcPr>
                <w:tcW w:w="561" w:type="pct"/>
                <w:tcBorders>
                  <w:top w:val="nil"/>
                </w:tcBorders>
                <w:vAlign w:val="bottom"/>
              </w:tcPr>
              <w:p w:rsidR="00D73F75" w:rsidRDefault="00D73F75" w:rsidP="00C96D40">
                <w:pPr>
                  <w:jc w:val="right"/>
                  <w:rPr>
                    <w:rFonts w:cs="Arial"/>
                    <w:sz w:val="16"/>
                    <w:szCs w:val="16"/>
                  </w:rPr>
                </w:pPr>
              </w:p>
            </w:tc>
            <w:tc>
              <w:tcPr>
                <w:tcW w:w="744" w:type="pct"/>
                <w:tcBorders>
                  <w:top w:val="nil"/>
                </w:tcBorders>
                <w:vAlign w:val="bottom"/>
              </w:tcPr>
              <w:p w:rsidR="00D73F75" w:rsidRDefault="00D73F75" w:rsidP="00C96D40">
                <w:pPr>
                  <w:jc w:val="right"/>
                  <w:rPr>
                    <w:rFonts w:cs="Arial"/>
                    <w:sz w:val="16"/>
                    <w:szCs w:val="16"/>
                  </w:rPr>
                </w:pPr>
              </w:p>
            </w:tc>
          </w:tr>
        </w:tbl>
        <w:p w:rsidR="00C7068C" w:rsidRDefault="00B602E3" w:rsidP="00C7068C">
          <w:pPr>
            <w:pStyle w:val="Heading1notnumber"/>
          </w:pPr>
          <w:bookmarkStart w:id="36" w:name="_Toc480971275"/>
          <w:r>
            <w:lastRenderedPageBreak/>
            <w:t xml:space="preserve">Appendix </w:t>
          </w:r>
          <w:r w:rsidR="00C7068C">
            <w:t>C</w:t>
          </w:r>
          <w:r>
            <w:t>:</w:t>
          </w:r>
          <w:r w:rsidR="00024F79">
            <w:tab/>
          </w:r>
          <w:r w:rsidR="00C7068C">
            <w:t>Closing bids</w:t>
          </w:r>
          <w:bookmarkEnd w:id="36"/>
        </w:p>
        <w:p w:rsidR="00C7068C" w:rsidRPr="00C95E26" w:rsidRDefault="00C7068C" w:rsidP="00CC1DD3">
          <w:pPr>
            <w:pStyle w:val="AERBody"/>
          </w:pPr>
          <w:r w:rsidRPr="00C95E26">
            <w:t xml:space="preserve">Figures C1 </w:t>
          </w:r>
          <w:r w:rsidR="00FC5989">
            <w:t>and</w:t>
          </w:r>
          <w:r w:rsidRPr="00C95E26">
            <w:t xml:space="preserve"> C</w:t>
          </w:r>
          <w:r w:rsidR="00ED1D8C">
            <w:t>2</w:t>
          </w:r>
          <w:r w:rsidRPr="00C95E26">
            <w:t xml:space="preserve"> highlight the half hour closing bids for participants in </w:t>
          </w:r>
          <w:r w:rsidR="002D4D15">
            <w:t>South Australia</w:t>
          </w:r>
          <w:r w:rsidR="00A6015B" w:rsidRPr="00C95E26">
            <w:t xml:space="preserve"> </w:t>
          </w:r>
          <w:r w:rsidRPr="00C95E26">
            <w:t xml:space="preserve">with significant capacity priced at or above $5000/MWh during the periods in which the spot price exceeded $5000/MWh. They also show generation output and the spot price. </w:t>
          </w:r>
        </w:p>
        <w:p w:rsidR="00C7068C" w:rsidRDefault="00E55476" w:rsidP="00C7068C">
          <w:pPr>
            <w:pStyle w:val="Tabletitle"/>
          </w:pPr>
          <w:r>
            <w:t>Figure C</w:t>
          </w:r>
          <w:r w:rsidR="00901619">
            <w:t>1</w:t>
          </w:r>
          <w:r w:rsidR="00C7068C">
            <w:t xml:space="preserve"> - </w:t>
          </w:r>
          <w:r w:rsidR="002D4D15">
            <w:t>Engie</w:t>
          </w:r>
          <w:r w:rsidR="00C7068C">
            <w:t xml:space="preserve"> (</w:t>
          </w:r>
          <w:r w:rsidR="002D4D15">
            <w:t xml:space="preserve">Pelican Point, </w:t>
          </w:r>
          <w:r w:rsidR="00EB7397">
            <w:t>Mintaro, Dry Creek</w:t>
          </w:r>
          <w:r w:rsidR="000D2311">
            <w:t xml:space="preserve">, Port Lincoln, </w:t>
          </w:r>
          <w:proofErr w:type="gramStart"/>
          <w:r w:rsidR="000D2311">
            <w:t>Snuggery</w:t>
          </w:r>
          <w:proofErr w:type="gramEnd"/>
          <w:r w:rsidR="00C7068C">
            <w:t>) closing bid prices, dispatch and spot price</w:t>
          </w:r>
        </w:p>
        <w:p w:rsidR="00541F9F" w:rsidRDefault="002D4D15" w:rsidP="00C7068C">
          <w:r w:rsidRPr="002D4D15">
            <w:rPr>
              <w:noProof/>
              <w:lang w:eastAsia="en-AU"/>
            </w:rPr>
            <w:drawing>
              <wp:inline distT="0" distB="0" distL="0" distR="0" wp14:anchorId="1277F5B9" wp14:editId="1F1A678A">
                <wp:extent cx="5382895" cy="246555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465558"/>
                        </a:xfrm>
                        <a:prstGeom prst="rect">
                          <a:avLst/>
                        </a:prstGeom>
                        <a:noFill/>
                        <a:ln>
                          <a:noFill/>
                        </a:ln>
                      </pic:spPr>
                    </pic:pic>
                  </a:graphicData>
                </a:graphic>
              </wp:inline>
            </w:drawing>
          </w:r>
        </w:p>
        <w:p w:rsidR="00541F9F" w:rsidRDefault="00541F9F" w:rsidP="00541F9F">
          <w:pPr>
            <w:pStyle w:val="Tabletitle"/>
          </w:pPr>
          <w:r>
            <w:t xml:space="preserve">Figure C2 </w:t>
          </w:r>
          <w:r w:rsidR="00F514AF">
            <w:t>–</w:t>
          </w:r>
          <w:r>
            <w:t xml:space="preserve"> </w:t>
          </w:r>
          <w:r w:rsidR="002D4D15">
            <w:t>Origin</w:t>
          </w:r>
          <w:r w:rsidR="00F514AF">
            <w:t xml:space="preserve"> Energy (</w:t>
          </w:r>
          <w:r w:rsidR="000D2311">
            <w:t xml:space="preserve">Ladbroke Grove, Osborne, </w:t>
          </w:r>
          <w:proofErr w:type="gramStart"/>
          <w:r w:rsidR="000D2311">
            <w:t>Quarantine</w:t>
          </w:r>
          <w:proofErr w:type="gramEnd"/>
          <w:r>
            <w:t>) closing bid prices, dispatch and spot price</w:t>
          </w:r>
        </w:p>
        <w:p w:rsidR="00541F9F" w:rsidRDefault="00A91DC6" w:rsidP="00541F9F">
          <w:r w:rsidRPr="00A91DC6">
            <w:rPr>
              <w:noProof/>
              <w:lang w:eastAsia="en-AU"/>
            </w:rPr>
            <w:drawing>
              <wp:inline distT="0" distB="0" distL="0" distR="0" wp14:anchorId="5302EEDA" wp14:editId="3291F33E">
                <wp:extent cx="5382895" cy="2431568"/>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431568"/>
                        </a:xfrm>
                        <a:prstGeom prst="rect">
                          <a:avLst/>
                        </a:prstGeom>
                        <a:noFill/>
                        <a:ln>
                          <a:noFill/>
                        </a:ln>
                      </pic:spPr>
                    </pic:pic>
                  </a:graphicData>
                </a:graphic>
              </wp:inline>
            </w:drawing>
          </w:r>
        </w:p>
        <w:p w:rsidR="0086284F" w:rsidRPr="000D2311" w:rsidRDefault="00541F9F" w:rsidP="00ED1D8C">
          <w:pPr>
            <w:spacing w:line="240" w:lineRule="auto"/>
            <w:jc w:val="left"/>
          </w:pPr>
          <w:r>
            <w:br w:type="page"/>
          </w:r>
        </w:p>
      </w:sdtContent>
    </w:sdt>
    <w:p w:rsidR="0062620B" w:rsidRDefault="00024F79" w:rsidP="0062620B">
      <w:pPr>
        <w:pStyle w:val="Heading1notnumber"/>
      </w:pPr>
      <w:bookmarkStart w:id="37" w:name="_Toc474494487"/>
      <w:bookmarkStart w:id="38" w:name="_Toc480971276"/>
      <w:r>
        <w:lastRenderedPageBreak/>
        <w:t>Appendix D:</w:t>
      </w:r>
      <w:r>
        <w:tab/>
      </w:r>
      <w:r w:rsidR="0062620B">
        <w:t>Relevant Market Notices</w:t>
      </w:r>
      <w:bookmarkEnd w:id="37"/>
      <w:bookmarkEnd w:id="38"/>
    </w:p>
    <w:p w:rsidR="0062620B" w:rsidRDefault="0062620B" w:rsidP="00CC1DD3">
      <w:pPr>
        <w:pStyle w:val="AERBody"/>
        <w:rPr>
          <w:rStyle w:val="AERBodyChar"/>
        </w:rPr>
      </w:pPr>
      <w:r>
        <w:t xml:space="preserve">The following market notices notified the market of the regulation requirement for </w:t>
      </w:r>
      <w:r w:rsidRPr="00944A3E">
        <w:rPr>
          <w:rStyle w:val="AERBodyChar"/>
        </w:rPr>
        <w:t>South Australia.</w:t>
      </w:r>
    </w:p>
    <w:p w:rsidR="00FC5989" w:rsidRDefault="00FC5989" w:rsidP="0062620B">
      <w:pPr>
        <w:rPr>
          <w:rStyle w:val="AERBodyChar"/>
        </w:rPr>
      </w:pPr>
    </w:p>
    <w:tbl>
      <w:tblPr>
        <w:tblStyle w:val="AERsummarytable"/>
        <w:tblW w:w="0" w:type="auto"/>
        <w:tblLook w:val="04A0" w:firstRow="1" w:lastRow="0" w:firstColumn="1" w:lastColumn="0" w:noHBand="0" w:noVBand="1"/>
      </w:tblPr>
      <w:tblGrid>
        <w:gridCol w:w="2173"/>
        <w:gridCol w:w="2173"/>
        <w:gridCol w:w="2173"/>
        <w:gridCol w:w="2174"/>
      </w:tblGrid>
      <w:tr w:rsidR="007B40FD" w:rsidRPr="008C6B1B" w:rsidTr="00A879A4">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7B40FD" w:rsidRPr="008C6B1B" w:rsidRDefault="007B40FD" w:rsidP="00A879A4">
            <w:pPr>
              <w:pStyle w:val="TableHeading"/>
              <w:rPr>
                <w:b/>
              </w:rPr>
            </w:pPr>
            <w:r w:rsidRPr="008C6B1B">
              <w:rPr>
                <w:b/>
              </w:rPr>
              <w:t>Market Notice</w:t>
            </w:r>
          </w:p>
        </w:tc>
        <w:tc>
          <w:tcPr>
            <w:tcW w:w="2173" w:type="dxa"/>
          </w:tcPr>
          <w:p w:rsidR="007B40FD" w:rsidRPr="008C6B1B" w:rsidRDefault="007B40FD" w:rsidP="00A879A4">
            <w:pPr>
              <w:pStyle w:val="TableHeading"/>
              <w:rPr>
                <w:b/>
              </w:rPr>
            </w:pPr>
            <w:r w:rsidRPr="008C6B1B">
              <w:rPr>
                <w:b/>
              </w:rPr>
              <w:t>Type</w:t>
            </w:r>
          </w:p>
        </w:tc>
        <w:tc>
          <w:tcPr>
            <w:tcW w:w="2173" w:type="dxa"/>
          </w:tcPr>
          <w:p w:rsidR="007B40FD" w:rsidRPr="008C6B1B" w:rsidRDefault="007B40FD" w:rsidP="00A879A4">
            <w:pPr>
              <w:pStyle w:val="TableHeading"/>
              <w:rPr>
                <w:b/>
              </w:rPr>
            </w:pPr>
            <w:r w:rsidRPr="008C6B1B">
              <w:rPr>
                <w:b/>
              </w:rPr>
              <w:t>Date of issue</w:t>
            </w:r>
          </w:p>
        </w:tc>
        <w:tc>
          <w:tcPr>
            <w:tcW w:w="2174" w:type="dxa"/>
          </w:tcPr>
          <w:p w:rsidR="007B40FD" w:rsidRPr="008C6B1B" w:rsidRDefault="007B40FD" w:rsidP="00A879A4">
            <w:pPr>
              <w:pStyle w:val="TableHeading"/>
              <w:rPr>
                <w:b/>
              </w:rPr>
            </w:pPr>
            <w:r w:rsidRPr="008C6B1B">
              <w:rPr>
                <w:b/>
              </w:rPr>
              <w:t>Last Changed</w:t>
            </w:r>
          </w:p>
        </w:tc>
      </w:tr>
      <w:tr w:rsidR="007B40FD" w:rsidTr="00A879A4">
        <w:trPr>
          <w:cnfStyle w:val="000000100000" w:firstRow="0" w:lastRow="0" w:firstColumn="0" w:lastColumn="0" w:oddVBand="0" w:evenVBand="0" w:oddHBand="1" w:evenHBand="0" w:firstRowFirstColumn="0" w:firstRowLastColumn="0" w:lastRowFirstColumn="0" w:lastRowLastColumn="0"/>
          <w:trHeight w:val="246"/>
        </w:trPr>
        <w:tc>
          <w:tcPr>
            <w:tcW w:w="2173" w:type="dxa"/>
          </w:tcPr>
          <w:p w:rsidR="007B40FD" w:rsidRPr="00D53841" w:rsidRDefault="007B40FD" w:rsidP="00A879A4">
            <w:pPr>
              <w:pStyle w:val="tablebody"/>
              <w:rPr>
                <w:sz w:val="24"/>
                <w:szCs w:val="24"/>
              </w:rPr>
            </w:pPr>
            <w:r>
              <w:t>57276</w:t>
            </w:r>
          </w:p>
        </w:tc>
        <w:tc>
          <w:tcPr>
            <w:tcW w:w="2173" w:type="dxa"/>
          </w:tcPr>
          <w:p w:rsidR="007B40FD" w:rsidRDefault="007B40FD" w:rsidP="00A879A4">
            <w:pPr>
              <w:pStyle w:val="tablebody"/>
            </w:pPr>
            <w:r>
              <w:t>Reserve notice</w:t>
            </w:r>
          </w:p>
        </w:tc>
        <w:tc>
          <w:tcPr>
            <w:tcW w:w="2173" w:type="dxa"/>
          </w:tcPr>
          <w:p w:rsidR="007B40FD" w:rsidRPr="00D53841" w:rsidRDefault="007B40FD" w:rsidP="00A879A4">
            <w:pPr>
              <w:pStyle w:val="tablebody"/>
              <w:rPr>
                <w:sz w:val="24"/>
                <w:szCs w:val="24"/>
              </w:rPr>
            </w:pPr>
            <w:r>
              <w:t>8/02/2017 15:18</w:t>
            </w:r>
          </w:p>
        </w:tc>
        <w:tc>
          <w:tcPr>
            <w:tcW w:w="2174" w:type="dxa"/>
          </w:tcPr>
          <w:p w:rsidR="007B40FD" w:rsidRPr="00D53841" w:rsidRDefault="007B40FD" w:rsidP="00A879A4">
            <w:pPr>
              <w:pStyle w:val="tablebody"/>
              <w:rPr>
                <w:sz w:val="24"/>
                <w:szCs w:val="24"/>
              </w:rPr>
            </w:pPr>
            <w:r>
              <w:t>8/02/2017 15:18</w:t>
            </w:r>
          </w:p>
        </w:tc>
      </w:tr>
      <w:tr w:rsidR="007B40FD" w:rsidRPr="008E53EA" w:rsidTr="00A879A4">
        <w:trPr>
          <w:cnfStyle w:val="000000010000" w:firstRow="0" w:lastRow="0" w:firstColumn="0" w:lastColumn="0" w:oddVBand="0" w:evenVBand="0" w:oddHBand="0" w:evenHBand="1" w:firstRowFirstColumn="0" w:firstRowLastColumn="0" w:lastRowFirstColumn="0" w:lastRowLastColumn="0"/>
          <w:trHeight w:val="463"/>
        </w:trPr>
        <w:tc>
          <w:tcPr>
            <w:tcW w:w="8693" w:type="dxa"/>
            <w:gridSpan w:val="4"/>
            <w:shd w:val="clear" w:color="auto" w:fill="076A92" w:themeFill="text1"/>
          </w:tcPr>
          <w:p w:rsidR="007B40FD" w:rsidRPr="00C701C4" w:rsidRDefault="007B40FD" w:rsidP="00A879A4">
            <w:pPr>
              <w:pStyle w:val="TableHeading"/>
            </w:pPr>
            <w:r w:rsidRPr="00C701C4">
              <w:t>Reason</w:t>
            </w:r>
          </w:p>
        </w:tc>
      </w:tr>
      <w:tr w:rsidR="007B40FD" w:rsidTr="00A879A4">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7B40FD" w:rsidRDefault="007B40FD" w:rsidP="00A879A4">
            <w:pPr>
              <w:pStyle w:val="tablebody"/>
              <w:rPr>
                <w:rFonts w:cs="Arial"/>
                <w:szCs w:val="18"/>
              </w:rPr>
            </w:pPr>
            <w:r>
              <w:rPr>
                <w:rFonts w:cs="Arial"/>
                <w:szCs w:val="18"/>
              </w:rPr>
              <w:t xml:space="preserve">AEMO ELECTRICITY MARKET NOTICE </w:t>
            </w:r>
          </w:p>
          <w:p w:rsidR="007B40FD" w:rsidRDefault="007B40FD" w:rsidP="00A879A4">
            <w:pPr>
              <w:pStyle w:val="tablebody"/>
              <w:rPr>
                <w:rFonts w:cs="Arial"/>
                <w:szCs w:val="18"/>
              </w:rPr>
            </w:pPr>
            <w:r>
              <w:rPr>
                <w:rFonts w:cs="Arial"/>
                <w:szCs w:val="18"/>
              </w:rPr>
              <w:t xml:space="preserve">Forecast Lack Of Reserve Level 1 (LOR1) in the South Australia Region - PDPASA AEMO declares a Forecast LOR1 condition for the South Australia Region. </w:t>
            </w:r>
          </w:p>
          <w:p w:rsidR="007B40FD" w:rsidRDefault="007B40FD" w:rsidP="00A879A4">
            <w:pPr>
              <w:pStyle w:val="tablebody"/>
              <w:rPr>
                <w:rFonts w:cs="Arial"/>
                <w:szCs w:val="18"/>
              </w:rPr>
            </w:pPr>
            <w:r>
              <w:rPr>
                <w:rFonts w:cs="Arial"/>
                <w:szCs w:val="18"/>
              </w:rPr>
              <w:t xml:space="preserve">From 1630 hrs to 1900 hrs 8/2/17 </w:t>
            </w:r>
          </w:p>
          <w:p w:rsidR="007B40FD" w:rsidRDefault="007B40FD" w:rsidP="00A879A4">
            <w:pPr>
              <w:pStyle w:val="tablebody"/>
              <w:rPr>
                <w:rFonts w:cs="Arial"/>
                <w:szCs w:val="18"/>
              </w:rPr>
            </w:pPr>
            <w:r>
              <w:rPr>
                <w:rFonts w:cs="Arial"/>
                <w:szCs w:val="18"/>
              </w:rPr>
              <w:t xml:space="preserve">The contingency capacity reserve required is 400 MW </w:t>
            </w:r>
          </w:p>
          <w:p w:rsidR="007B40FD" w:rsidRDefault="007B40FD" w:rsidP="00A879A4">
            <w:pPr>
              <w:pStyle w:val="tablebody"/>
              <w:rPr>
                <w:rFonts w:cs="Arial"/>
                <w:szCs w:val="18"/>
              </w:rPr>
            </w:pPr>
            <w:r>
              <w:rPr>
                <w:rFonts w:cs="Arial"/>
                <w:szCs w:val="18"/>
              </w:rPr>
              <w:t xml:space="preserve">The minimum reserve available is 277 MW </w:t>
            </w:r>
          </w:p>
          <w:p w:rsidR="007B40FD" w:rsidRDefault="007B40FD" w:rsidP="00A879A4">
            <w:pPr>
              <w:pStyle w:val="tablebody"/>
            </w:pPr>
            <w:r>
              <w:rPr>
                <w:rFonts w:cs="Arial"/>
                <w:szCs w:val="18"/>
              </w:rPr>
              <w:t>Manager NEM Real Time Operations</w:t>
            </w:r>
          </w:p>
        </w:tc>
      </w:tr>
    </w:tbl>
    <w:p w:rsidR="0062620B" w:rsidRDefault="0062620B" w:rsidP="00944A3E">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62620B" w:rsidRPr="008C6B1B" w:rsidTr="006A740B">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62620B" w:rsidRPr="008C6B1B" w:rsidRDefault="0062620B" w:rsidP="008C6B1B">
            <w:pPr>
              <w:pStyle w:val="TableHeading"/>
              <w:rPr>
                <w:b/>
              </w:rPr>
            </w:pPr>
            <w:r w:rsidRPr="008C6B1B">
              <w:rPr>
                <w:b/>
              </w:rPr>
              <w:t>Market Notice</w:t>
            </w:r>
          </w:p>
        </w:tc>
        <w:tc>
          <w:tcPr>
            <w:tcW w:w="2173" w:type="dxa"/>
          </w:tcPr>
          <w:p w:rsidR="0062620B" w:rsidRPr="008C6B1B" w:rsidRDefault="0062620B" w:rsidP="008C6B1B">
            <w:pPr>
              <w:pStyle w:val="TableHeading"/>
              <w:rPr>
                <w:b/>
              </w:rPr>
            </w:pPr>
            <w:r w:rsidRPr="008C6B1B">
              <w:rPr>
                <w:b/>
              </w:rPr>
              <w:t>Type</w:t>
            </w:r>
          </w:p>
        </w:tc>
        <w:tc>
          <w:tcPr>
            <w:tcW w:w="2173" w:type="dxa"/>
          </w:tcPr>
          <w:p w:rsidR="0062620B" w:rsidRPr="008C6B1B" w:rsidRDefault="0062620B" w:rsidP="008C6B1B">
            <w:pPr>
              <w:pStyle w:val="TableHeading"/>
              <w:rPr>
                <w:b/>
              </w:rPr>
            </w:pPr>
            <w:r w:rsidRPr="008C6B1B">
              <w:rPr>
                <w:b/>
              </w:rPr>
              <w:t>Date of issue</w:t>
            </w:r>
          </w:p>
        </w:tc>
        <w:tc>
          <w:tcPr>
            <w:tcW w:w="2174" w:type="dxa"/>
          </w:tcPr>
          <w:p w:rsidR="0062620B" w:rsidRPr="008C6B1B" w:rsidRDefault="0062620B" w:rsidP="008C6B1B">
            <w:pPr>
              <w:pStyle w:val="TableHeading"/>
              <w:rPr>
                <w:b/>
              </w:rPr>
            </w:pPr>
            <w:r w:rsidRPr="008C6B1B">
              <w:rPr>
                <w:b/>
              </w:rPr>
              <w:t>Last Changed</w:t>
            </w:r>
          </w:p>
        </w:tc>
      </w:tr>
      <w:tr w:rsidR="0062620B" w:rsidTr="00D53841">
        <w:trPr>
          <w:cnfStyle w:val="000000100000" w:firstRow="0" w:lastRow="0" w:firstColumn="0" w:lastColumn="0" w:oddVBand="0" w:evenVBand="0" w:oddHBand="1" w:evenHBand="0" w:firstRowFirstColumn="0" w:firstRowLastColumn="0" w:lastRowFirstColumn="0" w:lastRowLastColumn="0"/>
          <w:trHeight w:val="246"/>
        </w:trPr>
        <w:tc>
          <w:tcPr>
            <w:tcW w:w="2173" w:type="dxa"/>
          </w:tcPr>
          <w:p w:rsidR="0062620B" w:rsidRPr="00D53841" w:rsidRDefault="00D53841" w:rsidP="008C6B1B">
            <w:pPr>
              <w:pStyle w:val="tablebody"/>
              <w:rPr>
                <w:sz w:val="24"/>
                <w:szCs w:val="24"/>
              </w:rPr>
            </w:pPr>
            <w:r>
              <w:t>57277</w:t>
            </w:r>
          </w:p>
        </w:tc>
        <w:tc>
          <w:tcPr>
            <w:tcW w:w="2173" w:type="dxa"/>
          </w:tcPr>
          <w:p w:rsidR="0062620B" w:rsidRDefault="00D53841" w:rsidP="008C6B1B">
            <w:pPr>
              <w:pStyle w:val="tablebody"/>
            </w:pPr>
            <w:r>
              <w:t>Reserve notice</w:t>
            </w:r>
          </w:p>
        </w:tc>
        <w:tc>
          <w:tcPr>
            <w:tcW w:w="2173" w:type="dxa"/>
          </w:tcPr>
          <w:p w:rsidR="0062620B" w:rsidRPr="00D53841" w:rsidRDefault="00D53841" w:rsidP="008C6B1B">
            <w:pPr>
              <w:pStyle w:val="tablebody"/>
              <w:rPr>
                <w:sz w:val="24"/>
                <w:szCs w:val="24"/>
              </w:rPr>
            </w:pPr>
            <w:r>
              <w:t>8/02/2017 16:13</w:t>
            </w:r>
          </w:p>
        </w:tc>
        <w:tc>
          <w:tcPr>
            <w:tcW w:w="2174" w:type="dxa"/>
          </w:tcPr>
          <w:p w:rsidR="0062620B" w:rsidRPr="00D53841" w:rsidRDefault="00D53841" w:rsidP="008C6B1B">
            <w:pPr>
              <w:pStyle w:val="tablebody"/>
              <w:rPr>
                <w:sz w:val="24"/>
                <w:szCs w:val="24"/>
              </w:rPr>
            </w:pPr>
            <w:r>
              <w:t>8/02/2017 16:13</w:t>
            </w:r>
          </w:p>
        </w:tc>
      </w:tr>
      <w:tr w:rsidR="0062620B" w:rsidRPr="008E53EA" w:rsidTr="00D53841">
        <w:trPr>
          <w:cnfStyle w:val="000000010000" w:firstRow="0" w:lastRow="0" w:firstColumn="0" w:lastColumn="0" w:oddVBand="0" w:evenVBand="0" w:oddHBand="0" w:evenHBand="1" w:firstRowFirstColumn="0" w:firstRowLastColumn="0" w:lastRowFirstColumn="0" w:lastRowLastColumn="0"/>
          <w:trHeight w:val="463"/>
        </w:trPr>
        <w:tc>
          <w:tcPr>
            <w:tcW w:w="8693" w:type="dxa"/>
            <w:gridSpan w:val="4"/>
            <w:shd w:val="clear" w:color="auto" w:fill="076A92" w:themeFill="text1"/>
          </w:tcPr>
          <w:p w:rsidR="0062620B" w:rsidRPr="00C701C4" w:rsidRDefault="0062620B" w:rsidP="008C6B1B">
            <w:pPr>
              <w:pStyle w:val="TableHeading"/>
            </w:pPr>
            <w:r w:rsidRPr="00C701C4">
              <w:t>Reason</w:t>
            </w:r>
          </w:p>
        </w:tc>
      </w:tr>
      <w:tr w:rsidR="0062620B" w:rsidTr="006A740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53841" w:rsidRPr="00D53841" w:rsidRDefault="00D53841" w:rsidP="008C6B1B">
            <w:pPr>
              <w:pStyle w:val="tablebody"/>
            </w:pPr>
            <w:r w:rsidRPr="00D53841">
              <w:t>AEMO ELECTRICITY MARKET NOTICE</w:t>
            </w:r>
          </w:p>
          <w:p w:rsidR="00D53841" w:rsidRPr="00D53841" w:rsidRDefault="00D53841" w:rsidP="008C6B1B">
            <w:pPr>
              <w:pStyle w:val="tablebody"/>
            </w:pPr>
            <w:r w:rsidRPr="00D53841">
              <w:t>Actual Lack Of Reserve Level 1 (LOR1) in the SA Region.</w:t>
            </w:r>
          </w:p>
          <w:p w:rsidR="00D53841" w:rsidRPr="00D53841" w:rsidRDefault="00D53841" w:rsidP="008C6B1B">
            <w:pPr>
              <w:pStyle w:val="tablebody"/>
            </w:pPr>
            <w:r w:rsidRPr="00D53841">
              <w:t>An Actual LOR1 condition has been declared for the SA Region.</w:t>
            </w:r>
          </w:p>
          <w:p w:rsidR="00D53841" w:rsidRPr="00D53841" w:rsidRDefault="00D53841" w:rsidP="008C6B1B">
            <w:pPr>
              <w:pStyle w:val="tablebody"/>
            </w:pPr>
            <w:r w:rsidRPr="00D53841">
              <w:t>From 1600 hrs to 1900 hrs 08/02/2017</w:t>
            </w:r>
          </w:p>
          <w:p w:rsidR="00D53841" w:rsidRPr="00D53841" w:rsidRDefault="00D53841" w:rsidP="008C6B1B">
            <w:pPr>
              <w:pStyle w:val="tablebody"/>
            </w:pPr>
            <w:r w:rsidRPr="00D53841">
              <w:t>The contingency capacity reserve required is 400 MW</w:t>
            </w:r>
          </w:p>
          <w:p w:rsidR="00D53841" w:rsidRPr="00D53841" w:rsidRDefault="00D53841" w:rsidP="008C6B1B">
            <w:pPr>
              <w:pStyle w:val="tablebody"/>
            </w:pPr>
            <w:r w:rsidRPr="00D53841">
              <w:t>The minimum reserve available is 236 MW</w:t>
            </w:r>
          </w:p>
          <w:p w:rsidR="00D53841" w:rsidRPr="00D53841" w:rsidRDefault="00D53841" w:rsidP="008C6B1B">
            <w:pPr>
              <w:pStyle w:val="tablebody"/>
            </w:pPr>
          </w:p>
          <w:p w:rsidR="0062620B" w:rsidRDefault="00D53841" w:rsidP="008C6B1B">
            <w:pPr>
              <w:pStyle w:val="tablebody"/>
            </w:pPr>
            <w:r w:rsidRPr="00D53841">
              <w:t>Manager NEM Real Time Operations</w:t>
            </w:r>
          </w:p>
        </w:tc>
      </w:tr>
    </w:tbl>
    <w:p w:rsidR="00734042" w:rsidRDefault="00734042" w:rsidP="00944A3E">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62620B" w:rsidRPr="008C6B1B" w:rsidTr="006A740B">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62620B" w:rsidRPr="008C6B1B" w:rsidRDefault="00734042" w:rsidP="008C6B1B">
            <w:pPr>
              <w:pStyle w:val="TableHeading"/>
              <w:rPr>
                <w:b/>
              </w:rPr>
            </w:pPr>
            <w:r>
              <w:br w:type="column"/>
            </w:r>
            <w:r w:rsidR="0062620B" w:rsidRPr="008C6B1B">
              <w:rPr>
                <w:b/>
              </w:rPr>
              <w:t>Market Notice</w:t>
            </w:r>
          </w:p>
        </w:tc>
        <w:tc>
          <w:tcPr>
            <w:tcW w:w="2173" w:type="dxa"/>
          </w:tcPr>
          <w:p w:rsidR="0062620B" w:rsidRPr="008C6B1B" w:rsidRDefault="0062620B" w:rsidP="008C6B1B">
            <w:pPr>
              <w:pStyle w:val="TableHeading"/>
              <w:rPr>
                <w:b/>
              </w:rPr>
            </w:pPr>
            <w:r w:rsidRPr="008C6B1B">
              <w:rPr>
                <w:b/>
              </w:rPr>
              <w:t>Type</w:t>
            </w:r>
          </w:p>
        </w:tc>
        <w:tc>
          <w:tcPr>
            <w:tcW w:w="2173" w:type="dxa"/>
          </w:tcPr>
          <w:p w:rsidR="0062620B" w:rsidRPr="008C6B1B" w:rsidRDefault="0062620B" w:rsidP="008C6B1B">
            <w:pPr>
              <w:pStyle w:val="TableHeading"/>
              <w:rPr>
                <w:b/>
              </w:rPr>
            </w:pPr>
            <w:r w:rsidRPr="008C6B1B">
              <w:rPr>
                <w:b/>
              </w:rPr>
              <w:t>Date of issue</w:t>
            </w:r>
          </w:p>
        </w:tc>
        <w:tc>
          <w:tcPr>
            <w:tcW w:w="2174" w:type="dxa"/>
          </w:tcPr>
          <w:p w:rsidR="0062620B" w:rsidRPr="008C6B1B" w:rsidRDefault="0062620B" w:rsidP="008C6B1B">
            <w:pPr>
              <w:pStyle w:val="TableHeading"/>
              <w:rPr>
                <w:b/>
              </w:rPr>
            </w:pPr>
            <w:r w:rsidRPr="008C6B1B">
              <w:rPr>
                <w:b/>
              </w:rPr>
              <w:t>Last Changed</w:t>
            </w:r>
          </w:p>
        </w:tc>
      </w:tr>
      <w:tr w:rsidR="0062620B" w:rsidTr="006A740B">
        <w:trPr>
          <w:cnfStyle w:val="000000100000" w:firstRow="0" w:lastRow="0" w:firstColumn="0" w:lastColumn="0" w:oddVBand="0" w:evenVBand="0" w:oddHBand="1" w:evenHBand="0" w:firstRowFirstColumn="0" w:firstRowLastColumn="0" w:lastRowFirstColumn="0" w:lastRowLastColumn="0"/>
        </w:trPr>
        <w:tc>
          <w:tcPr>
            <w:tcW w:w="2173" w:type="dxa"/>
          </w:tcPr>
          <w:p w:rsidR="0062620B" w:rsidRDefault="00D53841" w:rsidP="008C6B1B">
            <w:pPr>
              <w:pStyle w:val="tablebody"/>
            </w:pPr>
            <w:r>
              <w:t>57279</w:t>
            </w:r>
          </w:p>
        </w:tc>
        <w:tc>
          <w:tcPr>
            <w:tcW w:w="2173" w:type="dxa"/>
          </w:tcPr>
          <w:p w:rsidR="0062620B" w:rsidRDefault="00D53841" w:rsidP="008C6B1B">
            <w:pPr>
              <w:pStyle w:val="tablebody"/>
            </w:pPr>
            <w:r>
              <w:t>Reserve notice</w:t>
            </w:r>
          </w:p>
        </w:tc>
        <w:tc>
          <w:tcPr>
            <w:tcW w:w="2173" w:type="dxa"/>
          </w:tcPr>
          <w:p w:rsidR="0062620B" w:rsidRPr="00D53841" w:rsidRDefault="00D53841" w:rsidP="008C6B1B">
            <w:pPr>
              <w:pStyle w:val="tablebody"/>
              <w:rPr>
                <w:color w:val="000000"/>
                <w:sz w:val="24"/>
                <w:szCs w:val="24"/>
              </w:rPr>
            </w:pPr>
            <w:r>
              <w:rPr>
                <w:color w:val="000000"/>
              </w:rPr>
              <w:t>8/02/2017 17:13</w:t>
            </w:r>
          </w:p>
        </w:tc>
        <w:tc>
          <w:tcPr>
            <w:tcW w:w="2174" w:type="dxa"/>
          </w:tcPr>
          <w:p w:rsidR="0062620B" w:rsidRPr="00D53841" w:rsidRDefault="00D53841" w:rsidP="008C6B1B">
            <w:pPr>
              <w:pStyle w:val="tablebody"/>
              <w:rPr>
                <w:color w:val="000000"/>
                <w:sz w:val="24"/>
                <w:szCs w:val="24"/>
              </w:rPr>
            </w:pPr>
            <w:r>
              <w:rPr>
                <w:color w:val="000000"/>
              </w:rPr>
              <w:t>8/02/2017 17:13</w:t>
            </w:r>
          </w:p>
        </w:tc>
      </w:tr>
      <w:tr w:rsidR="0062620B" w:rsidRPr="00536EBE" w:rsidTr="006A740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62620B" w:rsidRPr="00536EBE" w:rsidRDefault="0062620B" w:rsidP="008C6B1B">
            <w:pPr>
              <w:pStyle w:val="TableHeading"/>
            </w:pPr>
            <w:r w:rsidRPr="00536EBE">
              <w:t>Reason</w:t>
            </w:r>
          </w:p>
        </w:tc>
      </w:tr>
      <w:tr w:rsidR="0062620B" w:rsidTr="006A740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53841" w:rsidRPr="00D53841" w:rsidRDefault="00D53841" w:rsidP="008C6B1B">
            <w:pPr>
              <w:pStyle w:val="tablebody"/>
            </w:pPr>
            <w:r w:rsidRPr="00D53841">
              <w:t>AEMO ELECTRICITY MARKET NOTICE</w:t>
            </w:r>
          </w:p>
          <w:p w:rsidR="00D53841" w:rsidRPr="00D53841" w:rsidRDefault="00D53841" w:rsidP="008C6B1B">
            <w:pPr>
              <w:pStyle w:val="tablebody"/>
            </w:pPr>
            <w:r w:rsidRPr="00D53841">
              <w:t xml:space="preserve">Actual Lack Of Reserve Level 2 (LOR2) in the South Australia Region </w:t>
            </w:r>
          </w:p>
          <w:p w:rsidR="00D53841" w:rsidRDefault="00D53841" w:rsidP="008C6B1B">
            <w:pPr>
              <w:pStyle w:val="tablebody"/>
            </w:pPr>
            <w:r w:rsidRPr="00D53841">
              <w:t xml:space="preserve">An Actual LOR2 condition has been declared for the South </w:t>
            </w:r>
            <w:r>
              <w:t>Australia region from 1700 hrs.</w:t>
            </w:r>
          </w:p>
          <w:p w:rsidR="00D53841" w:rsidRPr="00D53841" w:rsidRDefault="00D53841" w:rsidP="008C6B1B">
            <w:pPr>
              <w:pStyle w:val="tablebody"/>
            </w:pPr>
            <w:r w:rsidRPr="00D53841">
              <w:t>The Actual LOR2 condition is forecast to exist until 1900 hrs</w:t>
            </w:r>
          </w:p>
          <w:p w:rsidR="00D53841" w:rsidRPr="00D53841" w:rsidRDefault="00D53841" w:rsidP="008C6B1B">
            <w:pPr>
              <w:pStyle w:val="tablebody"/>
            </w:pPr>
            <w:r w:rsidRPr="00D53841">
              <w:t>The contingency capacity reserve required is 200MW</w:t>
            </w:r>
          </w:p>
          <w:p w:rsidR="00D53841" w:rsidRPr="00D53841" w:rsidRDefault="00D53841" w:rsidP="008C6B1B">
            <w:pPr>
              <w:pStyle w:val="tablebody"/>
            </w:pPr>
            <w:r w:rsidRPr="00D53841">
              <w:t>The minimum reserve available is 114 MW</w:t>
            </w:r>
          </w:p>
          <w:p w:rsidR="00D53841" w:rsidRPr="00D53841" w:rsidRDefault="00D53841" w:rsidP="008C6B1B">
            <w:pPr>
              <w:pStyle w:val="tablebody"/>
            </w:pPr>
            <w:r w:rsidRPr="00D53841">
              <w:t>AEMO is seeking a market response.</w:t>
            </w:r>
          </w:p>
          <w:p w:rsidR="00D53841" w:rsidRPr="00D53841" w:rsidRDefault="00D53841" w:rsidP="008C6B1B">
            <w:pPr>
              <w:pStyle w:val="tablebody"/>
            </w:pPr>
            <w:r w:rsidRPr="00D53841">
              <w:t xml:space="preserve">AEMO does not intend to intervene through </w:t>
            </w:r>
            <w:proofErr w:type="gramStart"/>
            <w:r w:rsidRPr="00D53841">
              <w:t>a</w:t>
            </w:r>
            <w:proofErr w:type="gramEnd"/>
            <w:r w:rsidRPr="00D53841">
              <w:t xml:space="preserve"> AEMO intervention event.</w:t>
            </w:r>
          </w:p>
          <w:p w:rsidR="00D53841" w:rsidRPr="00D53841" w:rsidRDefault="00D53841" w:rsidP="008C6B1B">
            <w:pPr>
              <w:pStyle w:val="tablebody"/>
              <w:rPr>
                <w:rFonts w:cs="Arial"/>
                <w:szCs w:val="18"/>
              </w:rPr>
            </w:pPr>
          </w:p>
          <w:p w:rsidR="0062620B" w:rsidRDefault="00D53841" w:rsidP="008C6B1B">
            <w:pPr>
              <w:pStyle w:val="tablebody"/>
            </w:pPr>
            <w:r w:rsidRPr="00D53841">
              <w:t>Manager NEM Real Time Operations</w:t>
            </w:r>
          </w:p>
        </w:tc>
      </w:tr>
    </w:tbl>
    <w:p w:rsidR="0062620B" w:rsidRDefault="0062620B" w:rsidP="00944A3E">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62620B" w:rsidTr="006A740B">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62620B" w:rsidRDefault="0062620B" w:rsidP="008C6B1B">
            <w:pPr>
              <w:pStyle w:val="TableHeading"/>
            </w:pPr>
            <w:r>
              <w:lastRenderedPageBreak/>
              <w:t>Market Notice</w:t>
            </w:r>
          </w:p>
        </w:tc>
        <w:tc>
          <w:tcPr>
            <w:tcW w:w="2173" w:type="dxa"/>
          </w:tcPr>
          <w:p w:rsidR="0062620B" w:rsidRDefault="0062620B" w:rsidP="008C6B1B">
            <w:pPr>
              <w:pStyle w:val="TableHeading"/>
            </w:pPr>
            <w:r>
              <w:t>Type</w:t>
            </w:r>
          </w:p>
        </w:tc>
        <w:tc>
          <w:tcPr>
            <w:tcW w:w="2173" w:type="dxa"/>
          </w:tcPr>
          <w:p w:rsidR="0062620B" w:rsidRDefault="0062620B" w:rsidP="008C6B1B">
            <w:pPr>
              <w:pStyle w:val="TableHeading"/>
            </w:pPr>
            <w:r>
              <w:t>Date of issue</w:t>
            </w:r>
          </w:p>
        </w:tc>
        <w:tc>
          <w:tcPr>
            <w:tcW w:w="2174" w:type="dxa"/>
          </w:tcPr>
          <w:p w:rsidR="0062620B" w:rsidRDefault="0062620B" w:rsidP="008C6B1B">
            <w:pPr>
              <w:pStyle w:val="TableHeading"/>
            </w:pPr>
            <w:r>
              <w:t>Last Changed</w:t>
            </w:r>
          </w:p>
        </w:tc>
      </w:tr>
      <w:tr w:rsidR="0062620B" w:rsidTr="006A740B">
        <w:trPr>
          <w:cnfStyle w:val="000000100000" w:firstRow="0" w:lastRow="0" w:firstColumn="0" w:lastColumn="0" w:oddVBand="0" w:evenVBand="0" w:oddHBand="1" w:evenHBand="0" w:firstRowFirstColumn="0" w:firstRowLastColumn="0" w:lastRowFirstColumn="0" w:lastRowLastColumn="0"/>
        </w:trPr>
        <w:tc>
          <w:tcPr>
            <w:tcW w:w="2173" w:type="dxa"/>
          </w:tcPr>
          <w:p w:rsidR="0062620B" w:rsidRPr="00D53841" w:rsidRDefault="00D53841" w:rsidP="008C6B1B">
            <w:pPr>
              <w:pStyle w:val="tablebody"/>
              <w:rPr>
                <w:sz w:val="24"/>
                <w:szCs w:val="24"/>
              </w:rPr>
            </w:pPr>
            <w:r>
              <w:t>57282</w:t>
            </w:r>
          </w:p>
        </w:tc>
        <w:tc>
          <w:tcPr>
            <w:tcW w:w="2173" w:type="dxa"/>
          </w:tcPr>
          <w:p w:rsidR="0062620B" w:rsidRDefault="0062620B" w:rsidP="008C6B1B">
            <w:pPr>
              <w:pStyle w:val="tablebody"/>
            </w:pPr>
            <w:r>
              <w:t>Reserve Notice</w:t>
            </w:r>
          </w:p>
        </w:tc>
        <w:tc>
          <w:tcPr>
            <w:tcW w:w="2173" w:type="dxa"/>
          </w:tcPr>
          <w:p w:rsidR="0062620B" w:rsidRPr="00D53841" w:rsidRDefault="00D53841" w:rsidP="008C6B1B">
            <w:pPr>
              <w:pStyle w:val="tablebody"/>
              <w:rPr>
                <w:sz w:val="24"/>
                <w:szCs w:val="24"/>
              </w:rPr>
            </w:pPr>
            <w:r>
              <w:t>8/02/2017 18:11</w:t>
            </w:r>
          </w:p>
        </w:tc>
        <w:tc>
          <w:tcPr>
            <w:tcW w:w="2174" w:type="dxa"/>
          </w:tcPr>
          <w:p w:rsidR="0062620B" w:rsidRPr="00D53841" w:rsidRDefault="00D53841" w:rsidP="008C6B1B">
            <w:pPr>
              <w:pStyle w:val="tablebody"/>
              <w:rPr>
                <w:sz w:val="24"/>
                <w:szCs w:val="24"/>
              </w:rPr>
            </w:pPr>
            <w:r>
              <w:t>8/02/2017 18:11</w:t>
            </w:r>
          </w:p>
        </w:tc>
      </w:tr>
      <w:tr w:rsidR="0062620B" w:rsidRPr="00536EBE" w:rsidTr="006A740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62620B" w:rsidRPr="00536EBE" w:rsidRDefault="0062620B" w:rsidP="008C6B1B">
            <w:pPr>
              <w:pStyle w:val="TableHeading"/>
            </w:pPr>
            <w:r w:rsidRPr="00536EBE">
              <w:t>Reason</w:t>
            </w:r>
          </w:p>
        </w:tc>
      </w:tr>
      <w:tr w:rsidR="0062620B" w:rsidRPr="008C6B1B" w:rsidTr="006A740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53841" w:rsidRPr="008C6B1B" w:rsidRDefault="00D53841" w:rsidP="008C6B1B">
            <w:pPr>
              <w:pStyle w:val="tablebody"/>
            </w:pPr>
            <w:r w:rsidRPr="008C6B1B">
              <w:t>AEMO ELECTRICITY MARKET NOTICE</w:t>
            </w:r>
          </w:p>
          <w:p w:rsidR="00D53841" w:rsidRPr="008C6B1B" w:rsidRDefault="00D53841" w:rsidP="008C6B1B">
            <w:pPr>
              <w:pStyle w:val="tablebody"/>
            </w:pPr>
            <w:r w:rsidRPr="008C6B1B">
              <w:t>Actual Lack Of Reserve Level 3 (LOR3) in the South Australia Region - Wednesday, 8 February 2017.</w:t>
            </w:r>
          </w:p>
          <w:p w:rsidR="00D53841" w:rsidRPr="008C6B1B" w:rsidRDefault="00D53841" w:rsidP="008C6B1B">
            <w:pPr>
              <w:pStyle w:val="tablebody"/>
            </w:pPr>
            <w:r w:rsidRPr="008C6B1B">
              <w:t>Under the NER Cl 4.8.4(d), AEMO considers that Customer load is actually being interrupted in order to maintain or restore the security of the power system in South Australia Region.</w:t>
            </w:r>
          </w:p>
          <w:p w:rsidR="00D53841" w:rsidRPr="008C6B1B" w:rsidRDefault="00D53841" w:rsidP="008C6B1B">
            <w:pPr>
              <w:pStyle w:val="tablebody"/>
            </w:pPr>
            <w:r w:rsidRPr="008C6B1B">
              <w:t>An Actual LOR3 condition has been declared for the South Australia region from 1803 hrs.</w:t>
            </w:r>
          </w:p>
          <w:p w:rsidR="00D53841" w:rsidRPr="008C6B1B" w:rsidRDefault="00D53841" w:rsidP="008C6B1B">
            <w:pPr>
              <w:pStyle w:val="tablebody"/>
            </w:pPr>
            <w:r w:rsidRPr="008C6B1B">
              <w:t xml:space="preserve">The Actual LOR3 condition is forecast to exist until 1930 hrs </w:t>
            </w:r>
          </w:p>
          <w:p w:rsidR="00D53841" w:rsidRPr="008C6B1B" w:rsidRDefault="00D53841" w:rsidP="008C6B1B">
            <w:pPr>
              <w:pStyle w:val="tablebody"/>
            </w:pPr>
            <w:r w:rsidRPr="008C6B1B">
              <w:t>The maximum load is being interrupted is 100 MW at 1803 hrs Wednesday, 8 February 2017</w:t>
            </w:r>
          </w:p>
          <w:p w:rsidR="00D53841" w:rsidRPr="008C6B1B" w:rsidRDefault="00D53841" w:rsidP="008C6B1B">
            <w:pPr>
              <w:pStyle w:val="tablebody"/>
            </w:pPr>
          </w:p>
          <w:p w:rsidR="0062620B" w:rsidRPr="008C6B1B" w:rsidRDefault="00D53841" w:rsidP="008C6B1B">
            <w:pPr>
              <w:pStyle w:val="tablebody"/>
            </w:pPr>
            <w:r w:rsidRPr="008C6B1B">
              <w:t>Manager NEM Real Time Operations</w:t>
            </w:r>
          </w:p>
        </w:tc>
      </w:tr>
    </w:tbl>
    <w:p w:rsidR="006D21D1" w:rsidRDefault="006D21D1" w:rsidP="00944A3E">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6D21D1" w:rsidTr="00506A76">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6D21D1" w:rsidRDefault="006D21D1" w:rsidP="008C6B1B">
            <w:pPr>
              <w:pStyle w:val="TableHeading"/>
            </w:pPr>
            <w:r>
              <w:t>Market Notice</w:t>
            </w:r>
          </w:p>
        </w:tc>
        <w:tc>
          <w:tcPr>
            <w:tcW w:w="2173" w:type="dxa"/>
          </w:tcPr>
          <w:p w:rsidR="006D21D1" w:rsidRDefault="006D21D1" w:rsidP="008C6B1B">
            <w:pPr>
              <w:pStyle w:val="TableHeading"/>
            </w:pPr>
            <w:r>
              <w:t>Type</w:t>
            </w:r>
          </w:p>
        </w:tc>
        <w:tc>
          <w:tcPr>
            <w:tcW w:w="2173" w:type="dxa"/>
          </w:tcPr>
          <w:p w:rsidR="006D21D1" w:rsidRDefault="006D21D1" w:rsidP="008C6B1B">
            <w:pPr>
              <w:pStyle w:val="TableHeading"/>
            </w:pPr>
            <w:r>
              <w:t>Date of issue</w:t>
            </w:r>
          </w:p>
        </w:tc>
        <w:tc>
          <w:tcPr>
            <w:tcW w:w="2174" w:type="dxa"/>
          </w:tcPr>
          <w:p w:rsidR="006D21D1" w:rsidRDefault="006D21D1" w:rsidP="008C6B1B">
            <w:pPr>
              <w:pStyle w:val="TableHeading"/>
            </w:pPr>
            <w:r>
              <w:t>Last Changed</w:t>
            </w:r>
          </w:p>
        </w:tc>
      </w:tr>
      <w:tr w:rsidR="006D21D1" w:rsidTr="00506A76">
        <w:trPr>
          <w:cnfStyle w:val="000000100000" w:firstRow="0" w:lastRow="0" w:firstColumn="0" w:lastColumn="0" w:oddVBand="0" w:evenVBand="0" w:oddHBand="1" w:evenHBand="0" w:firstRowFirstColumn="0" w:firstRowLastColumn="0" w:lastRowFirstColumn="0" w:lastRowLastColumn="0"/>
        </w:trPr>
        <w:tc>
          <w:tcPr>
            <w:tcW w:w="2173" w:type="dxa"/>
          </w:tcPr>
          <w:p w:rsidR="006D21D1" w:rsidRPr="00D53841" w:rsidRDefault="006D21D1" w:rsidP="008C6B1B">
            <w:pPr>
              <w:pStyle w:val="tablebody"/>
              <w:rPr>
                <w:sz w:val="24"/>
                <w:szCs w:val="24"/>
              </w:rPr>
            </w:pPr>
            <w:r>
              <w:t>57283</w:t>
            </w:r>
          </w:p>
        </w:tc>
        <w:tc>
          <w:tcPr>
            <w:tcW w:w="2173" w:type="dxa"/>
          </w:tcPr>
          <w:p w:rsidR="006D21D1" w:rsidRDefault="006D21D1" w:rsidP="008C6B1B">
            <w:pPr>
              <w:pStyle w:val="tablebody"/>
            </w:pPr>
            <w:r>
              <w:t>Market intervention</w:t>
            </w:r>
          </w:p>
        </w:tc>
        <w:tc>
          <w:tcPr>
            <w:tcW w:w="2173" w:type="dxa"/>
          </w:tcPr>
          <w:p w:rsidR="006D21D1" w:rsidRPr="00D53841" w:rsidRDefault="006D21D1" w:rsidP="008C6B1B">
            <w:pPr>
              <w:pStyle w:val="tablebody"/>
              <w:rPr>
                <w:sz w:val="24"/>
                <w:szCs w:val="24"/>
              </w:rPr>
            </w:pPr>
            <w:r>
              <w:t>8/02/2017 19:38</w:t>
            </w:r>
          </w:p>
        </w:tc>
        <w:tc>
          <w:tcPr>
            <w:tcW w:w="2174" w:type="dxa"/>
          </w:tcPr>
          <w:p w:rsidR="006D21D1" w:rsidRPr="00D53841" w:rsidRDefault="006D21D1" w:rsidP="008C6B1B">
            <w:pPr>
              <w:pStyle w:val="tablebody"/>
              <w:rPr>
                <w:sz w:val="24"/>
                <w:szCs w:val="24"/>
              </w:rPr>
            </w:pPr>
            <w:r>
              <w:t>8/02/2017 19:38</w:t>
            </w:r>
          </w:p>
        </w:tc>
      </w:tr>
      <w:tr w:rsidR="006D21D1" w:rsidRPr="00536EBE" w:rsidTr="00506A7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6D21D1" w:rsidRPr="00536EBE" w:rsidRDefault="006D21D1" w:rsidP="008C6B1B">
            <w:pPr>
              <w:pStyle w:val="TableHeading"/>
            </w:pPr>
            <w:r w:rsidRPr="00536EBE">
              <w:t>Reason</w:t>
            </w:r>
          </w:p>
        </w:tc>
      </w:tr>
      <w:tr w:rsidR="006D21D1" w:rsidTr="00506A7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6D21D1" w:rsidRPr="006D21D1" w:rsidRDefault="006D21D1" w:rsidP="00536EBE">
            <w:pPr>
              <w:pStyle w:val="tablebody"/>
            </w:pPr>
            <w:r w:rsidRPr="006D21D1">
              <w:t>AEMO ELECTRICITY PARTICIPANT NOTICE.</w:t>
            </w:r>
          </w:p>
          <w:p w:rsidR="006D21D1" w:rsidRPr="006D21D1" w:rsidRDefault="006D21D1" w:rsidP="00536EBE">
            <w:pPr>
              <w:pStyle w:val="tablebody"/>
            </w:pPr>
            <w:r w:rsidRPr="006D21D1">
              <w:t>Section 116 National Electricity Law direction  - ElectraNet</w:t>
            </w:r>
          </w:p>
          <w:p w:rsidR="006D21D1" w:rsidRPr="006D21D1" w:rsidRDefault="006D21D1" w:rsidP="00536EBE">
            <w:pPr>
              <w:pStyle w:val="tablebody"/>
            </w:pPr>
            <w:r w:rsidRPr="006D21D1">
              <w:t xml:space="preserve">In accordance with Section 116 National Electricity Law AEMO is issuing a direction to ElectraNet to take the following action. </w:t>
            </w:r>
          </w:p>
          <w:p w:rsidR="006D21D1" w:rsidRPr="006D21D1" w:rsidRDefault="006D21D1" w:rsidP="00536EBE">
            <w:pPr>
              <w:pStyle w:val="tablebody"/>
            </w:pPr>
            <w:r w:rsidRPr="006D21D1">
              <w:t>The Section 116 National El</w:t>
            </w:r>
            <w:r>
              <w:t>ectricity Law direction to shed</w:t>
            </w:r>
            <w:r w:rsidRPr="006D21D1">
              <w:t xml:space="preserve"> 100 MW load will be according to the priority load shedding schedule for the South Australia region.</w:t>
            </w:r>
          </w:p>
          <w:p w:rsidR="006D21D1" w:rsidRPr="006D21D1" w:rsidRDefault="006D21D1" w:rsidP="00536EBE">
            <w:pPr>
              <w:pStyle w:val="tablebody"/>
            </w:pPr>
            <w:r w:rsidRPr="006D21D1">
              <w:t xml:space="preserve">The Section 116 National Electricity Law direction is issued at 1803 hrs and is expected to stay in place until 1900 </w:t>
            </w:r>
            <w:r>
              <w:t xml:space="preserve">hrs </w:t>
            </w:r>
          </w:p>
          <w:p w:rsidR="006D21D1" w:rsidRDefault="006D21D1" w:rsidP="00536EBE">
            <w:pPr>
              <w:pStyle w:val="tablebody"/>
            </w:pPr>
            <w:r w:rsidRPr="006D21D1">
              <w:t>Manager NEM Real Time Operations</w:t>
            </w:r>
          </w:p>
        </w:tc>
      </w:tr>
    </w:tbl>
    <w:p w:rsidR="00FC5989" w:rsidRDefault="00FC5989" w:rsidP="00944A3E">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BF6870" w:rsidRPr="00536EBE" w:rsidTr="00506A76">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BF6870" w:rsidRPr="00536EBE" w:rsidRDefault="00BF6870" w:rsidP="008C6B1B">
            <w:pPr>
              <w:pStyle w:val="TableHeading"/>
            </w:pPr>
            <w:r w:rsidRPr="00536EBE">
              <w:t>Market Notice</w:t>
            </w:r>
          </w:p>
        </w:tc>
        <w:tc>
          <w:tcPr>
            <w:tcW w:w="2173" w:type="dxa"/>
          </w:tcPr>
          <w:p w:rsidR="00BF6870" w:rsidRPr="00536EBE" w:rsidRDefault="00BF6870" w:rsidP="008C6B1B">
            <w:pPr>
              <w:pStyle w:val="TableHeading"/>
            </w:pPr>
            <w:r w:rsidRPr="00536EBE">
              <w:t>Type</w:t>
            </w:r>
          </w:p>
        </w:tc>
        <w:tc>
          <w:tcPr>
            <w:tcW w:w="2173" w:type="dxa"/>
          </w:tcPr>
          <w:p w:rsidR="00BF6870" w:rsidRPr="00536EBE" w:rsidRDefault="00BF6870" w:rsidP="008C6B1B">
            <w:pPr>
              <w:pStyle w:val="TableHeading"/>
            </w:pPr>
            <w:r w:rsidRPr="00536EBE">
              <w:t>Date of issue</w:t>
            </w:r>
          </w:p>
        </w:tc>
        <w:tc>
          <w:tcPr>
            <w:tcW w:w="2174" w:type="dxa"/>
          </w:tcPr>
          <w:p w:rsidR="00BF6870" w:rsidRPr="00536EBE" w:rsidRDefault="00BF6870" w:rsidP="008C6B1B">
            <w:pPr>
              <w:pStyle w:val="TableHeading"/>
            </w:pPr>
            <w:r w:rsidRPr="00536EBE">
              <w:t>Last Changed</w:t>
            </w:r>
          </w:p>
        </w:tc>
      </w:tr>
      <w:tr w:rsidR="00BF6870" w:rsidTr="00506A76">
        <w:trPr>
          <w:cnfStyle w:val="000000100000" w:firstRow="0" w:lastRow="0" w:firstColumn="0" w:lastColumn="0" w:oddVBand="0" w:evenVBand="0" w:oddHBand="1" w:evenHBand="0" w:firstRowFirstColumn="0" w:firstRowLastColumn="0" w:lastRowFirstColumn="0" w:lastRowLastColumn="0"/>
        </w:trPr>
        <w:tc>
          <w:tcPr>
            <w:tcW w:w="2173" w:type="dxa"/>
          </w:tcPr>
          <w:p w:rsidR="00BF6870" w:rsidRPr="00D53841" w:rsidRDefault="00BF6870" w:rsidP="008C6B1B">
            <w:pPr>
              <w:pStyle w:val="tablebody"/>
              <w:rPr>
                <w:sz w:val="24"/>
                <w:szCs w:val="24"/>
              </w:rPr>
            </w:pPr>
            <w:r>
              <w:t>5728</w:t>
            </w:r>
            <w:r w:rsidR="005172D4">
              <w:t>4</w:t>
            </w:r>
          </w:p>
        </w:tc>
        <w:tc>
          <w:tcPr>
            <w:tcW w:w="2173" w:type="dxa"/>
          </w:tcPr>
          <w:p w:rsidR="00BF6870" w:rsidRDefault="00BF6870" w:rsidP="008C6B1B">
            <w:pPr>
              <w:pStyle w:val="tablebody"/>
            </w:pPr>
            <w:r>
              <w:t>Market intervention</w:t>
            </w:r>
          </w:p>
        </w:tc>
        <w:tc>
          <w:tcPr>
            <w:tcW w:w="2173" w:type="dxa"/>
          </w:tcPr>
          <w:p w:rsidR="00BF6870" w:rsidRPr="00D53841" w:rsidRDefault="00BF6870" w:rsidP="008C6B1B">
            <w:pPr>
              <w:pStyle w:val="tablebody"/>
              <w:rPr>
                <w:sz w:val="24"/>
                <w:szCs w:val="24"/>
              </w:rPr>
            </w:pPr>
            <w:r>
              <w:t>8/02/2017 19:38</w:t>
            </w:r>
          </w:p>
        </w:tc>
        <w:tc>
          <w:tcPr>
            <w:tcW w:w="2174" w:type="dxa"/>
          </w:tcPr>
          <w:p w:rsidR="00BF6870" w:rsidRPr="00D53841" w:rsidRDefault="00BF6870" w:rsidP="008C6B1B">
            <w:pPr>
              <w:pStyle w:val="tablebody"/>
              <w:rPr>
                <w:sz w:val="24"/>
                <w:szCs w:val="24"/>
              </w:rPr>
            </w:pPr>
            <w:r>
              <w:t>8/02/2017 19:38</w:t>
            </w:r>
          </w:p>
        </w:tc>
      </w:tr>
      <w:tr w:rsidR="00BF6870" w:rsidRPr="00536EBE" w:rsidTr="00506A7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BF6870" w:rsidRPr="00536EBE" w:rsidRDefault="00BF6870" w:rsidP="008C6B1B">
            <w:pPr>
              <w:pStyle w:val="TableHeading"/>
            </w:pPr>
            <w:r w:rsidRPr="00536EBE">
              <w:t>Reason</w:t>
            </w:r>
          </w:p>
        </w:tc>
      </w:tr>
      <w:tr w:rsidR="00BF6870" w:rsidTr="00506A7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BF6870" w:rsidRPr="00BF6870" w:rsidRDefault="00BF6870" w:rsidP="00536EBE">
            <w:pPr>
              <w:pStyle w:val="tablebody"/>
            </w:pPr>
            <w:r w:rsidRPr="00BF6870">
              <w:t>AEMO ELECTRICITY PARTICIPANT NOTICE.</w:t>
            </w:r>
          </w:p>
          <w:p w:rsidR="00BF6870" w:rsidRPr="00BF6870" w:rsidRDefault="00BF6870" w:rsidP="00536EBE">
            <w:pPr>
              <w:pStyle w:val="tablebody"/>
            </w:pPr>
          </w:p>
          <w:p w:rsidR="00BF6870" w:rsidRPr="00BF6870" w:rsidRDefault="00BF6870" w:rsidP="00536EBE">
            <w:pPr>
              <w:pStyle w:val="tablebody"/>
            </w:pPr>
            <w:r w:rsidRPr="00BF6870">
              <w:t>Section 116 National Electricity Law direction  - ElectraNet</w:t>
            </w:r>
          </w:p>
          <w:p w:rsidR="00BF6870" w:rsidRPr="00BF6870" w:rsidRDefault="00BF6870" w:rsidP="00536EBE">
            <w:pPr>
              <w:pStyle w:val="tablebody"/>
            </w:pPr>
            <w:r w:rsidRPr="00BF6870">
              <w:t>Refer to AEMO Participant notice 57283</w:t>
            </w:r>
          </w:p>
          <w:p w:rsidR="00BF6870" w:rsidRDefault="00BF6870" w:rsidP="00536EBE">
            <w:pPr>
              <w:pStyle w:val="tablebody"/>
            </w:pPr>
            <w:r w:rsidRPr="00BF6870">
              <w:t>In accordance with Section 116 National Electricity Law AEMO is issuing a direction to ElectraNet</w:t>
            </w:r>
            <w:r>
              <w:t xml:space="preserve"> to take the following action. </w:t>
            </w:r>
          </w:p>
          <w:p w:rsidR="00BF6870" w:rsidRPr="00BF6870" w:rsidRDefault="00BF6870" w:rsidP="00536EBE">
            <w:pPr>
              <w:pStyle w:val="tablebody"/>
            </w:pPr>
            <w:r w:rsidRPr="00BF6870">
              <w:t>The Section 116 National Electricity Law di</w:t>
            </w:r>
            <w:r>
              <w:t xml:space="preserve">rection is to restore all </w:t>
            </w:r>
            <w:proofErr w:type="gramStart"/>
            <w:r>
              <w:t>load</w:t>
            </w:r>
            <w:proofErr w:type="gramEnd"/>
            <w:r>
              <w:t xml:space="preserve"> </w:t>
            </w:r>
            <w:r w:rsidRPr="00BF6870">
              <w:t>according to the priority load shedding schedule for the South Australia region.</w:t>
            </w:r>
          </w:p>
          <w:p w:rsidR="00BF6870" w:rsidRDefault="00BF6870" w:rsidP="00536EBE">
            <w:pPr>
              <w:pStyle w:val="tablebody"/>
            </w:pPr>
            <w:r w:rsidRPr="00BF6870">
              <w:t>The Section 116 National Electricity Law di</w:t>
            </w:r>
            <w:r>
              <w:t xml:space="preserve">rection is issued at 1830 hrs. </w:t>
            </w:r>
          </w:p>
          <w:p w:rsidR="00BF6870" w:rsidRPr="00BF6870" w:rsidRDefault="00BF6870" w:rsidP="00536EBE">
            <w:pPr>
              <w:pStyle w:val="tablebody"/>
            </w:pPr>
          </w:p>
          <w:p w:rsidR="00BF6870" w:rsidRDefault="00BF6870" w:rsidP="00536EBE">
            <w:pPr>
              <w:pStyle w:val="tablebody"/>
            </w:pPr>
            <w:r w:rsidRPr="00BF6870">
              <w:t>Manager NEM Real Time Operations</w:t>
            </w:r>
          </w:p>
        </w:tc>
      </w:tr>
    </w:tbl>
    <w:p w:rsidR="007E6689" w:rsidRDefault="00D137F3" w:rsidP="007E6689">
      <w:pPr>
        <w:pStyle w:val="Heading1notnumber"/>
      </w:pPr>
      <w:bookmarkStart w:id="39" w:name="_Toc480971277"/>
      <w:r>
        <w:lastRenderedPageBreak/>
        <w:t>Appendix E</w:t>
      </w:r>
      <w:r w:rsidR="007E6689">
        <w:t>:</w:t>
      </w:r>
      <w:r w:rsidR="007E6689">
        <w:tab/>
        <w:t>Generation Capacity</w:t>
      </w:r>
      <w:bookmarkEnd w:id="39"/>
    </w:p>
    <w:p w:rsidR="007E6689" w:rsidRDefault="007E6689" w:rsidP="00CC1DD3">
      <w:pPr>
        <w:pStyle w:val="AERBody"/>
      </w:pPr>
      <w:r>
        <w:t xml:space="preserve">To operate a generator in the National Energy Market you must register with AEMO and provide </w:t>
      </w:r>
      <w:r w:rsidR="00FD51ED">
        <w:t xml:space="preserve">it </w:t>
      </w:r>
      <w:r>
        <w:t>with the generators registered capacity which is the nominal megawatt capacity. This represents the maximum continuous output from the generator.</w:t>
      </w:r>
    </w:p>
    <w:p w:rsidR="007E6689" w:rsidRDefault="007E6689" w:rsidP="00CC1DD3">
      <w:pPr>
        <w:pStyle w:val="AERBody"/>
      </w:pPr>
      <w:r>
        <w:t>Under the Rules generation must be classified as scheduled, semi-scheduled or non-scheduled. AEMO’s definitions of these are:</w:t>
      </w:r>
    </w:p>
    <w:p w:rsidR="007E6689" w:rsidRDefault="007E6689" w:rsidP="00CC1DD3">
      <w:pPr>
        <w:pStyle w:val="AERBody"/>
        <w:rPr>
          <w:lang w:eastAsia="en-AU"/>
        </w:rPr>
      </w:pPr>
      <w:r w:rsidRPr="00866811">
        <w:rPr>
          <w:b/>
          <w:bCs/>
          <w:lang w:eastAsia="en-AU"/>
        </w:rPr>
        <w:t>Scheduled generation</w:t>
      </w:r>
      <w:r w:rsidRPr="00866811">
        <w:rPr>
          <w:lang w:eastAsia="en-AU"/>
        </w:rPr>
        <w:t xml:space="preserve"> refers to any generating system with an aggregate nameplate capacity of 30</w:t>
      </w:r>
      <w:r>
        <w:rPr>
          <w:lang w:eastAsia="en-AU"/>
        </w:rPr>
        <w:t> </w:t>
      </w:r>
      <w:r w:rsidRPr="00866811">
        <w:rPr>
          <w:lang w:eastAsia="en-AU"/>
        </w:rPr>
        <w:t>MW or more, unless AEMO approves its classification as semi-scheduled or non-scheduled.</w:t>
      </w:r>
    </w:p>
    <w:p w:rsidR="007E6689" w:rsidRDefault="007E6689" w:rsidP="007E6689">
      <w:pPr>
        <w:pStyle w:val="AERBody"/>
        <w:rPr>
          <w:lang w:eastAsia="en-AU"/>
        </w:rPr>
      </w:pPr>
      <w:r w:rsidRPr="00866811">
        <w:rPr>
          <w:b/>
          <w:bCs/>
          <w:lang w:eastAsia="en-AU"/>
        </w:rPr>
        <w:t>Semi-scheduled generation</w:t>
      </w:r>
      <w:r w:rsidRPr="00866811">
        <w:rPr>
          <w:lang w:eastAsia="en-AU"/>
        </w:rPr>
        <w:t xml:space="preserve"> refers to any generating system with intermittent output (such as wind or run-of-river hydro) with an aggregate nameplate capacity of 30</w:t>
      </w:r>
      <w:r>
        <w:rPr>
          <w:lang w:eastAsia="en-AU"/>
        </w:rPr>
        <w:t> </w:t>
      </w:r>
      <w:r w:rsidRPr="00866811">
        <w:rPr>
          <w:lang w:eastAsia="en-AU"/>
        </w:rPr>
        <w:t>MW or more, unless AEMO approves its classification as scheduled or non-scheduled. A semi-scheduled classification gives AEMO the power to limit generation output that may exceed network capabilities, but reduces the participating generator’s requirement to provide information.</w:t>
      </w:r>
    </w:p>
    <w:p w:rsidR="007E6689" w:rsidRPr="00866811" w:rsidRDefault="007E6689" w:rsidP="007E6689">
      <w:pPr>
        <w:pStyle w:val="AERBody"/>
        <w:rPr>
          <w:lang w:eastAsia="en-AU"/>
        </w:rPr>
      </w:pPr>
      <w:r w:rsidRPr="00866811">
        <w:rPr>
          <w:b/>
          <w:bCs/>
          <w:lang w:eastAsia="en-AU"/>
        </w:rPr>
        <w:t>Non-scheduled generation</w:t>
      </w:r>
      <w:r w:rsidRPr="00866811">
        <w:rPr>
          <w:lang w:eastAsia="en-AU"/>
        </w:rPr>
        <w:t xml:space="preserve"> refers to generating systems with an aggregate nameplate capacity of less than 30 MW, unless AEMO approves its classification as scheduled or semi-scheduled.</w:t>
      </w:r>
    </w:p>
    <w:p w:rsidR="007E6689" w:rsidRDefault="007E6689" w:rsidP="007E6689">
      <w:pPr>
        <w:pStyle w:val="AERBody"/>
      </w:pPr>
      <w:r w:rsidRPr="00866811">
        <w:rPr>
          <w:lang w:eastAsia="en-AU"/>
        </w:rPr>
        <w:t>Generating systems greater than 30</w:t>
      </w:r>
      <w:r>
        <w:rPr>
          <w:lang w:eastAsia="en-AU"/>
        </w:rPr>
        <w:t> </w:t>
      </w:r>
      <w:r w:rsidRPr="00866811">
        <w:rPr>
          <w:lang w:eastAsia="en-AU"/>
        </w:rPr>
        <w:t>MW must be classified as non-scheduled if:</w:t>
      </w:r>
    </w:p>
    <w:p w:rsidR="007E6689" w:rsidRDefault="007E6689" w:rsidP="007E6689">
      <w:pPr>
        <w:pStyle w:val="Bulletpoint"/>
        <w:ind w:left="340" w:hanging="340"/>
      </w:pPr>
      <w:r w:rsidRPr="00866811">
        <w:rPr>
          <w:lang w:eastAsia="en-AU"/>
        </w:rPr>
        <w:t>the primary purpose of the generating unit is for local use and the aggregate sent-out generation rarely exceeds 30</w:t>
      </w:r>
      <w:r>
        <w:rPr>
          <w:lang w:eastAsia="en-AU"/>
        </w:rPr>
        <w:t> </w:t>
      </w:r>
      <w:r w:rsidRPr="00866811">
        <w:rPr>
          <w:lang w:eastAsia="en-AU"/>
        </w:rPr>
        <w:t>MW</w:t>
      </w:r>
    </w:p>
    <w:p w:rsidR="007E6689" w:rsidRDefault="007E6689" w:rsidP="007E6689">
      <w:pPr>
        <w:pStyle w:val="Bulletpoint"/>
        <w:ind w:left="340" w:hanging="340"/>
      </w:pPr>
      <w:r w:rsidRPr="00866811">
        <w:rPr>
          <w:lang w:eastAsia="en-AU"/>
        </w:rPr>
        <w:t>it is not practicable for the generating unit to participate in central dispatch</w:t>
      </w:r>
    </w:p>
    <w:p w:rsidR="007E6689" w:rsidRDefault="007E6689" w:rsidP="007E6689">
      <w:pPr>
        <w:pStyle w:val="AERBody"/>
        <w:rPr>
          <w:lang w:eastAsia="en-AU"/>
        </w:rPr>
      </w:pPr>
      <w:r w:rsidRPr="00866811">
        <w:rPr>
          <w:lang w:eastAsia="en-AU"/>
        </w:rPr>
        <w:t>A generating unit with a nameplate rating between 5</w:t>
      </w:r>
      <w:r>
        <w:rPr>
          <w:lang w:eastAsia="en-AU"/>
        </w:rPr>
        <w:t> </w:t>
      </w:r>
      <w:r w:rsidRPr="00866811">
        <w:rPr>
          <w:lang w:eastAsia="en-AU"/>
        </w:rPr>
        <w:t>MW and 30</w:t>
      </w:r>
      <w:r>
        <w:rPr>
          <w:lang w:eastAsia="en-AU"/>
        </w:rPr>
        <w:t> </w:t>
      </w:r>
      <w:r w:rsidRPr="00866811">
        <w:rPr>
          <w:lang w:eastAsia="en-AU"/>
        </w:rPr>
        <w:t>MW may also be exempted by AEMO if it exports less than 20</w:t>
      </w:r>
      <w:r>
        <w:rPr>
          <w:lang w:eastAsia="en-AU"/>
        </w:rPr>
        <w:t> </w:t>
      </w:r>
      <w:proofErr w:type="spellStart"/>
      <w:r w:rsidRPr="00866811">
        <w:rPr>
          <w:lang w:eastAsia="en-AU"/>
        </w:rPr>
        <w:t>GWh</w:t>
      </w:r>
      <w:proofErr w:type="spellEnd"/>
      <w:r w:rsidRPr="00866811">
        <w:rPr>
          <w:lang w:eastAsia="en-AU"/>
        </w:rPr>
        <w:t xml:space="preserve"> into the grid in a year or extenuating circumstances apply.</w:t>
      </w:r>
    </w:p>
    <w:p w:rsidR="007E6689" w:rsidRDefault="007E6689" w:rsidP="007E6689">
      <w:pPr>
        <w:pStyle w:val="AERBody"/>
      </w:pPr>
      <w:r>
        <w:rPr>
          <w:lang w:eastAsia="en-AU"/>
        </w:rPr>
        <w:t>In South Australia of the 4556 MW installed at the time, there was 2933 MW of scheduled, 1189 MW of semi-scheduled (all wind at this point in time) and 416 MW of non- scheduled</w:t>
      </w:r>
      <w:r w:rsidRPr="000B6C44">
        <w:rPr>
          <w:lang w:eastAsia="en-AU"/>
        </w:rPr>
        <w:t xml:space="preserve"> </w:t>
      </w:r>
      <w:r>
        <w:rPr>
          <w:lang w:eastAsia="en-AU"/>
        </w:rPr>
        <w:t>generation</w:t>
      </w:r>
    </w:p>
    <w:p w:rsidR="007E6689" w:rsidRPr="00627131" w:rsidRDefault="007E6689" w:rsidP="00944A3E">
      <w:pPr>
        <w:pStyle w:val="AERBody"/>
        <w:rPr>
          <w:b/>
        </w:rPr>
      </w:pPr>
      <w:r w:rsidRPr="00627131">
        <w:rPr>
          <w:b/>
        </w:rPr>
        <w:t>Changes in actual generator availability</w:t>
      </w:r>
    </w:p>
    <w:p w:rsidR="007E6689" w:rsidRDefault="007E6689" w:rsidP="00944A3E">
      <w:pPr>
        <w:pStyle w:val="AERBody"/>
      </w:pPr>
      <w:r>
        <w:t>The actual generator availability at any point in time can differ from its registered capacity for a number of reasons</w:t>
      </w:r>
      <w:r w:rsidR="00627131">
        <w:t xml:space="preserve"> including:</w:t>
      </w:r>
    </w:p>
    <w:p w:rsidR="00627131" w:rsidRDefault="00627131" w:rsidP="00627131">
      <w:pPr>
        <w:pStyle w:val="Bulletpoint"/>
      </w:pPr>
      <w:r>
        <w:t>Outages</w:t>
      </w:r>
    </w:p>
    <w:p w:rsidR="00627131" w:rsidRDefault="00627131" w:rsidP="00627131">
      <w:pPr>
        <w:pStyle w:val="Bulletpoint"/>
      </w:pPr>
      <w:r>
        <w:t>Reduction in thermal efficiency when temperatures increases</w:t>
      </w:r>
    </w:p>
    <w:p w:rsidR="00627131" w:rsidRDefault="00627131" w:rsidP="00CC1DD3">
      <w:pPr>
        <w:pStyle w:val="AERBody"/>
      </w:pPr>
      <w:r>
        <w:t>For thermal efficiency AEMO uses historical data to determine a reference temperature associated for a one in 10 year demand level. In South Australia that temperature level is 43 degrees. AEMO then ask generators to provide the capacity of their plant given that reference temperature, this is their summer rating, and is a more accurate level of the likely generation capacity available.</w:t>
      </w:r>
    </w:p>
    <w:p w:rsidR="007E6689" w:rsidRPr="001E054D" w:rsidRDefault="007E6689" w:rsidP="00944A3E">
      <w:pPr>
        <w:pStyle w:val="AERBody"/>
      </w:pPr>
    </w:p>
    <w:sectPr w:rsidR="007E6689" w:rsidRPr="001E054D" w:rsidSect="0091090E">
      <w:headerReference w:type="even" r:id="rId25"/>
      <w:headerReference w:type="default" r:id="rId26"/>
      <w:footerReference w:type="even" r:id="rId27"/>
      <w:footerReference w:type="default" r:id="rId28"/>
      <w:headerReference w:type="first" r:id="rId29"/>
      <w:footerReference w:type="first" r:id="rId30"/>
      <w:pgSz w:w="11906" w:h="16838" w:code="9"/>
      <w:pgMar w:top="1276" w:right="1644" w:bottom="1134" w:left="1701"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3D" w:rsidRDefault="00887F3D">
      <w:pPr>
        <w:spacing w:before="0" w:line="240" w:lineRule="auto"/>
      </w:pPr>
      <w:r>
        <w:separator/>
      </w:r>
    </w:p>
  </w:endnote>
  <w:endnote w:type="continuationSeparator" w:id="0">
    <w:p w:rsidR="00887F3D" w:rsidRDefault="00887F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Pr="007A4D1F" w:rsidRDefault="00887F3D"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AA25BA" w:rsidRPr="00AA25BA">
      <w:rPr>
        <w:rFonts w:eastAsia="Arial" w:cs="Times New Roman"/>
        <w:b/>
        <w:bCs/>
        <w:noProof/>
        <w:color w:val="076A92" w:themeColor="text1"/>
        <w:sz w:val="18"/>
        <w:lang w:val="en-US"/>
      </w:rPr>
      <w:t>Electricity</w:t>
    </w:r>
    <w:r w:rsidR="00AA25BA">
      <w:rPr>
        <w:rFonts w:eastAsia="Arial" w:cs="Times New Roman"/>
        <w:noProof/>
        <w:color w:val="076A92" w:themeColor="text1"/>
        <w:sz w:val="18"/>
      </w:rPr>
      <w:t xml:space="preserve"> </w:t>
    </w:r>
    <w:r w:rsidR="00AA25BA" w:rsidRPr="00AA25BA">
      <w:rPr>
        <w:rFonts w:eastAsia="Arial" w:cs="Times New Roman"/>
        <w:b/>
        <w:noProof/>
        <w:color w:val="076A92" w:themeColor="text1"/>
        <w:sz w:val="18"/>
      </w:rPr>
      <w:t>spot</w:t>
    </w:r>
    <w:r w:rsidR="00AA25BA">
      <w:rPr>
        <w:rFonts w:eastAsia="Arial" w:cs="Times New Roman"/>
        <w:noProof/>
        <w:color w:val="076A92" w:themeColor="text1"/>
        <w:sz w:val="18"/>
      </w:rPr>
      <w:t xml:space="preserve"> </w:t>
    </w:r>
    <w:r w:rsidR="00AA25BA" w:rsidRPr="00AA25BA">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AA25BA">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87F3D" w:rsidRDefault="00887F3D" w:rsidP="003610D1">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Pr="00A91A9E" w:rsidRDefault="00887F3D"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87F3D" w:rsidRDefault="00887F3D"/>
  <w:p w:rsidR="00887F3D" w:rsidRDefault="00887F3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5B5767" w:rsidP="003610D1">
    <w:pPr>
      <w:pStyle w:val="Footer"/>
      <w:tabs>
        <w:tab w:val="clear" w:pos="9026"/>
        <w:tab w:val="right" w:pos="8505"/>
      </w:tabs>
    </w:pPr>
    <w:fldSimple w:instr=" STYLEREF  &quot;Report Title&quot;  \* MERGEFORMAT ">
      <w:r w:rsidR="00AA25BA" w:rsidRPr="00AA25BA">
        <w:rPr>
          <w:b/>
          <w:bCs/>
          <w:noProof/>
          <w:lang w:val="en-US"/>
        </w:rPr>
        <w:t>Electricity spot prices above $5000/MWh</w:t>
      </w:r>
    </w:fldSimple>
    <w:r w:rsidR="00887F3D">
      <w:tab/>
    </w:r>
    <w:r w:rsidR="00887F3D">
      <w:tab/>
    </w:r>
    <w:r w:rsidR="00887F3D">
      <w:fldChar w:fldCharType="begin"/>
    </w:r>
    <w:r w:rsidR="00887F3D">
      <w:instrText xml:space="preserve"> PAGE   \* MERGEFORMAT </w:instrText>
    </w:r>
    <w:r w:rsidR="00887F3D">
      <w:fldChar w:fldCharType="separate"/>
    </w:r>
    <w:r w:rsidR="00AA25BA">
      <w:rPr>
        <w:noProof/>
      </w:rPr>
      <w:t>4</w:t>
    </w:r>
    <w:r w:rsidR="00887F3D">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5B5767" w:rsidP="003610D1">
    <w:pPr>
      <w:pStyle w:val="Footer"/>
      <w:tabs>
        <w:tab w:val="clear" w:pos="9026"/>
        <w:tab w:val="right" w:pos="8505"/>
      </w:tabs>
    </w:pPr>
    <w:fldSimple w:instr=" STYLEREF  &quot;Report Title&quot;  \* MERGEFORMAT ">
      <w:r>
        <w:rPr>
          <w:noProof/>
        </w:rPr>
        <w:t>Electricity spot prices above $5000/MWh</w:t>
      </w:r>
    </w:fldSimple>
    <w:r w:rsidR="00887F3D">
      <w:tab/>
    </w:r>
    <w:r w:rsidR="00887F3D">
      <w:tab/>
    </w:r>
    <w:r w:rsidR="00887F3D">
      <w:fldChar w:fldCharType="begin"/>
    </w:r>
    <w:r w:rsidR="00887F3D">
      <w:instrText xml:space="preserve"> PAGE   \* MERGEFORMAT </w:instrText>
    </w:r>
    <w:r w:rsidR="00887F3D">
      <w:fldChar w:fldCharType="separate"/>
    </w:r>
    <w:r w:rsidR="00887F3D">
      <w:rPr>
        <w:noProof/>
      </w:rPr>
      <w:t>1</w:t>
    </w:r>
    <w:r w:rsidR="00887F3D">
      <w:fldChar w:fldCharType="end"/>
    </w:r>
  </w:p>
  <w:p w:rsidR="00887F3D" w:rsidRDefault="00887F3D">
    <w:pPr>
      <w:pStyle w:val="Footer"/>
    </w:pPr>
  </w:p>
  <w:p w:rsidR="00887F3D" w:rsidRDefault="00887F3D"/>
  <w:p w:rsidR="00887F3D" w:rsidRDefault="00887F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3D" w:rsidRDefault="00887F3D">
      <w:pPr>
        <w:spacing w:before="0" w:line="240" w:lineRule="auto"/>
      </w:pPr>
      <w:r>
        <w:separator/>
      </w:r>
    </w:p>
  </w:footnote>
  <w:footnote w:type="continuationSeparator" w:id="0">
    <w:p w:rsidR="00887F3D" w:rsidRDefault="00887F3D">
      <w:pPr>
        <w:spacing w:before="0" w:line="240" w:lineRule="auto"/>
      </w:pPr>
      <w:r>
        <w:continuationSeparator/>
      </w:r>
    </w:p>
  </w:footnote>
  <w:footnote w:id="1">
    <w:p w:rsidR="00887F3D" w:rsidRDefault="00887F3D" w:rsidP="006E338B">
      <w:pPr>
        <w:pStyle w:val="FootnoteText"/>
      </w:pPr>
      <w:r>
        <w:rPr>
          <w:rStyle w:val="FootnoteReference"/>
        </w:rPr>
        <w:footnoteRef/>
      </w:r>
      <w:r>
        <w:t xml:space="preserve">  </w:t>
      </w:r>
      <w:r>
        <w:tab/>
        <w:t>AEMO notified the market of the direction to shedding load in a market notice. See Appendix D for a list of all Market Notices issued by AEMO that relate to this event.</w:t>
      </w:r>
    </w:p>
  </w:footnote>
  <w:footnote w:id="2">
    <w:p w:rsidR="00887F3D" w:rsidRDefault="00887F3D">
      <w:pPr>
        <w:pStyle w:val="FootnoteText"/>
      </w:pPr>
      <w:r>
        <w:rPr>
          <w:rStyle w:val="FootnoteReference"/>
        </w:rPr>
        <w:footnoteRef/>
      </w:r>
      <w:r>
        <w:t xml:space="preserve"> </w:t>
      </w:r>
      <w:hyperlink r:id="rId1" w:history="1">
        <w:r>
          <w:rPr>
            <w:rStyle w:val="Hyperlink"/>
            <w:sz w:val="16"/>
          </w:rPr>
          <w:t>System-Event-Report-South-Australia-8-February-2017.pdf</w:t>
        </w:r>
      </w:hyperlink>
    </w:p>
  </w:footnote>
  <w:footnote w:id="3">
    <w:p w:rsidR="00887F3D" w:rsidRDefault="00887F3D">
      <w:pPr>
        <w:pStyle w:val="FootnoteText"/>
      </w:pPr>
      <w:r>
        <w:rPr>
          <w:rStyle w:val="FootnoteReference"/>
        </w:rPr>
        <w:footnoteRef/>
      </w:r>
      <w:r>
        <w:t xml:space="preserve"> National Energy Rules clause 4.2.6 (b)</w:t>
      </w:r>
    </w:p>
  </w:footnote>
  <w:footnote w:id="4">
    <w:p w:rsidR="00887F3D" w:rsidRDefault="00887F3D" w:rsidP="007E6689">
      <w:pPr>
        <w:pStyle w:val="FootnoteText"/>
      </w:pPr>
      <w:r>
        <w:rPr>
          <w:rStyle w:val="FootnoteReference"/>
        </w:rPr>
        <w:footnoteRef/>
      </w:r>
      <w:r>
        <w:t xml:space="preserve"> </w:t>
      </w:r>
      <w:r>
        <w:tab/>
        <w:t xml:space="preserve">AEMO generator information page </w:t>
      </w:r>
      <w:hyperlink r:id="rId2" w:history="1">
        <w:r w:rsidRPr="00A075F3">
          <w:rPr>
            <w:rStyle w:val="Hyperlink"/>
            <w:sz w:val="16"/>
          </w:rPr>
          <w:t>http://www.aemo.com.au/Electricity/National-Electricity-Market-NEM/Planning-and-forecasting/Generation-information</w:t>
        </w:r>
      </w:hyperlink>
      <w:r>
        <w:t xml:space="preserve"> </w:t>
      </w:r>
    </w:p>
  </w:footnote>
  <w:footnote w:id="5">
    <w:p w:rsidR="00887F3D" w:rsidRDefault="00887F3D" w:rsidP="007E6689">
      <w:pPr>
        <w:pStyle w:val="FootnoteText"/>
      </w:pPr>
      <w:r>
        <w:rPr>
          <w:rStyle w:val="FootnoteReference"/>
        </w:rPr>
        <w:footnoteRef/>
      </w:r>
      <w:r>
        <w:t xml:space="preserve"> </w:t>
      </w:r>
      <w:r>
        <w:tab/>
      </w:r>
      <w:r w:rsidRPr="00FA7E37">
        <w:t>These figures are 9.4% of the installed capacity during summer, and 7.0% during winter, based on AEMO's analysis of historical wind output over summer 2011-12 to 2015-16, and winter 2011 - 2015.</w:t>
      </w:r>
    </w:p>
  </w:footnote>
  <w:footnote w:id="6">
    <w:p w:rsidR="00887F3D" w:rsidRDefault="00887F3D">
      <w:pPr>
        <w:pStyle w:val="FootnoteText"/>
      </w:pPr>
      <w:r>
        <w:rPr>
          <w:rStyle w:val="FootnoteReference"/>
        </w:rPr>
        <w:footnoteRef/>
      </w:r>
      <w:r>
        <w:t xml:space="preserve"> </w:t>
      </w:r>
      <w:hyperlink r:id="rId3" w:history="1">
        <w:r w:rsidRPr="009F1F9D">
          <w:rPr>
            <w:rStyle w:val="Hyperlink"/>
            <w:sz w:val="16"/>
          </w:rPr>
          <w:t>https://www.aemo.com.au/media/Files/Other/Registration%202014/Registration%20Final/PARTICIPANT_CATEGORIES_IN_THE_NEM_final.pdf</w:t>
        </w:r>
      </w:hyperlink>
      <w:r>
        <w:t xml:space="preserve"> </w:t>
      </w:r>
    </w:p>
  </w:footnote>
  <w:footnote w:id="7">
    <w:p w:rsidR="00887F3D" w:rsidRPr="00E3327C" w:rsidRDefault="00887F3D" w:rsidP="009C609C">
      <w:pPr>
        <w:pStyle w:val="FootnoteText"/>
        <w:rPr>
          <w:highlight w:val="yellow"/>
        </w:rPr>
      </w:pPr>
      <w:r w:rsidRPr="00AD4EF4">
        <w:rPr>
          <w:rStyle w:val="FootnoteReference"/>
        </w:rPr>
        <w:footnoteRef/>
      </w:r>
      <w:r w:rsidRPr="00AD4EF4">
        <w:t xml:space="preserve"> </w:t>
      </w:r>
      <w:r w:rsidRPr="00AD4EF4">
        <w:tab/>
        <w:t>The unit operated briefly in Q1 2015.</w:t>
      </w:r>
    </w:p>
  </w:footnote>
  <w:footnote w:id="8">
    <w:p w:rsidR="00887F3D" w:rsidRDefault="00887F3D" w:rsidP="00EF4EF4">
      <w:pPr>
        <w:pStyle w:val="FootnoteText"/>
      </w:pPr>
      <w:r>
        <w:rPr>
          <w:rStyle w:val="FootnoteReference"/>
        </w:rPr>
        <w:footnoteRef/>
      </w:r>
      <w:r>
        <w:t xml:space="preserve"> </w:t>
      </w:r>
      <w:r>
        <w:tab/>
        <w:t xml:space="preserve">Engie released a statement to the market saying “There is no commercial rationale to operate the second Pelican Point unit in the current market environment in SA for a small number of days across the year”.: </w:t>
      </w:r>
      <w:r w:rsidRPr="007A016C">
        <w:t>http://engie.com.au/media/UploadedDocuments/News/Pelican%20Point%20Second%20Unit%20-%20Media%20statement.pdf</w:t>
      </w:r>
    </w:p>
  </w:footnote>
  <w:footnote w:id="9">
    <w:p w:rsidR="00887F3D" w:rsidRDefault="00887F3D" w:rsidP="002837C6">
      <w:pPr>
        <w:pStyle w:val="FootnoteText"/>
      </w:pPr>
      <w:r>
        <w:rPr>
          <w:rStyle w:val="FootnoteReference"/>
        </w:rPr>
        <w:footnoteRef/>
      </w:r>
      <w:r>
        <w:t xml:space="preserve"> </w:t>
      </w:r>
      <w:r>
        <w:tab/>
        <w:t xml:space="preserve">These definitions have been simplified for the sake of readability. An interactive glossary of electricity market terms can be found on the AEMO website at: </w:t>
      </w:r>
      <w:r w:rsidRPr="004B612F">
        <w:t>https://www.aemo.com.au/Datasource/Archives/Archive1767#</w:t>
      </w:r>
    </w:p>
  </w:footnote>
  <w:footnote w:id="10">
    <w:p w:rsidR="00887F3D" w:rsidRDefault="00887F3D" w:rsidP="00287F85">
      <w:pPr>
        <w:pStyle w:val="FootnoteText"/>
      </w:pPr>
      <w:r>
        <w:rPr>
          <w:rStyle w:val="FootnoteReference"/>
        </w:rPr>
        <w:footnoteRef/>
      </w:r>
      <w:r>
        <w:t xml:space="preserve"> </w:t>
      </w:r>
      <w:r>
        <w:tab/>
      </w:r>
      <w:r>
        <w:rPr>
          <w:rFonts w:cs="Arial"/>
          <w:color w:val="000000"/>
          <w:szCs w:val="18"/>
        </w:rPr>
        <w:t>Only half of Pelican Point power station has been in service since April 2015 but the plant could be made fully available under special arrangements with AEMO given four hours prior notice.</w:t>
      </w:r>
    </w:p>
  </w:footnote>
  <w:footnote w:id="11">
    <w:p w:rsidR="00887F3D" w:rsidRDefault="00887F3D" w:rsidP="00BC3E4C">
      <w:pPr>
        <w:pStyle w:val="FootnoteText"/>
      </w:pPr>
      <w:r>
        <w:rPr>
          <w:rStyle w:val="FootnoteReference"/>
        </w:rPr>
        <w:footnoteRef/>
      </w:r>
      <w:r>
        <w:t xml:space="preserve"> </w:t>
      </w:r>
      <w:r>
        <w:tab/>
      </w:r>
      <w:hyperlink r:id="rId4" w:history="1">
        <w:r w:rsidRPr="00BC3E4C">
          <w:rPr>
            <w:rStyle w:val="Hyperlink"/>
            <w:sz w:val="18"/>
          </w:rPr>
          <w:t>http://www.sapowernetworks.com.au/centric/corporate/media_releases.jsp</w:t>
        </w:r>
      </w:hyperlink>
      <w:r w:rsidRPr="00BC3E4C">
        <w:rPr>
          <w:sz w:val="12"/>
        </w:rPr>
        <w:t xml:space="preserve"> </w:t>
      </w:r>
    </w:p>
  </w:footnote>
  <w:footnote w:id="12">
    <w:p w:rsidR="00887F3D" w:rsidRDefault="00887F3D" w:rsidP="00693846">
      <w:pPr>
        <w:pStyle w:val="FootnoteText"/>
      </w:pPr>
      <w:r>
        <w:rPr>
          <w:rStyle w:val="FootnoteReference"/>
        </w:rPr>
        <w:footnoteRef/>
      </w:r>
      <w:r>
        <w:t xml:space="preserve"> </w:t>
      </w:r>
      <w:r>
        <w:tab/>
        <w:t xml:space="preserve">Some of times and details have been have been gathered from the AEMO report on this event. </w:t>
      </w:r>
      <w:hyperlink r:id="rId5" w:history="1">
        <w:r w:rsidRPr="006B18BA">
          <w:rPr>
            <w:rStyle w:val="Hyperlink"/>
            <w:sz w:val="16"/>
          </w:rPr>
          <w:t>https://www.aemo.com.au/-/media/Files/Electricity/NEM/Market_Notices_and_Events/Power_System_Incident_Reports/2017/System-Event-Report-South-Australia-8-February-2017.pdf</w:t>
        </w:r>
      </w:hyperlink>
      <w:r>
        <w:t xml:space="preserve"> </w:t>
      </w:r>
    </w:p>
  </w:footnote>
  <w:footnote w:id="13">
    <w:p w:rsidR="00887F3D" w:rsidRPr="004D709E" w:rsidRDefault="00887F3D"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6" w:history="1">
        <w:r w:rsidRPr="002B2EAE">
          <w:rPr>
            <w:rStyle w:val="Hyperlink"/>
            <w:szCs w:val="16"/>
          </w:rPr>
          <w:t>www.aemo.com.au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3D" w:rsidRDefault="00887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F44A58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750FE3"/>
    <w:multiLevelType w:val="hybridMultilevel"/>
    <w:tmpl w:val="2FEA7C56"/>
    <w:lvl w:ilvl="0" w:tplc="7A662D76">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A57564E"/>
    <w:multiLevelType w:val="hybridMultilevel"/>
    <w:tmpl w:val="6BF0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1B6FD6"/>
    <w:multiLevelType w:val="hybridMultilevel"/>
    <w:tmpl w:val="85C4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6E35D63"/>
    <w:multiLevelType w:val="multilevel"/>
    <w:tmpl w:val="D944A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4EF4835"/>
    <w:multiLevelType w:val="hybridMultilevel"/>
    <w:tmpl w:val="C8E6A5D4"/>
    <w:lvl w:ilvl="0" w:tplc="7A662D7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D6B15CA"/>
    <w:multiLevelType w:val="hybridMultilevel"/>
    <w:tmpl w:val="4F806FE4"/>
    <w:lvl w:ilvl="0" w:tplc="7A662D76">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6FB66E99"/>
    <w:multiLevelType w:val="hybridMultilevel"/>
    <w:tmpl w:val="849491DC"/>
    <w:lvl w:ilvl="0" w:tplc="7A662D76">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3469B7"/>
    <w:multiLevelType w:val="hybridMultilevel"/>
    <w:tmpl w:val="A828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4"/>
  </w:num>
  <w:num w:numId="15">
    <w:abstractNumId w:val="18"/>
  </w:num>
  <w:num w:numId="16">
    <w:abstractNumId w:val="24"/>
  </w:num>
  <w:num w:numId="17">
    <w:abstractNumId w:val="13"/>
  </w:num>
  <w:num w:numId="18">
    <w:abstractNumId w:val="19"/>
  </w:num>
  <w:num w:numId="19">
    <w:abstractNumId w:val="25"/>
  </w:num>
  <w:num w:numId="20">
    <w:abstractNumId w:val="30"/>
  </w:num>
  <w:num w:numId="21">
    <w:abstractNumId w:val="26"/>
  </w:num>
  <w:num w:numId="22">
    <w:abstractNumId w:val="9"/>
  </w:num>
  <w:num w:numId="23">
    <w:abstractNumId w:val="16"/>
  </w:num>
  <w:num w:numId="24">
    <w:abstractNumId w:val="10"/>
  </w:num>
  <w:num w:numId="25">
    <w:abstractNumId w:val="17"/>
  </w:num>
  <w:num w:numId="26">
    <w:abstractNumId w:val="31"/>
  </w:num>
  <w:num w:numId="27">
    <w:abstractNumId w:val="29"/>
  </w:num>
  <w:num w:numId="28">
    <w:abstractNumId w:val="23"/>
  </w:num>
  <w:num w:numId="29">
    <w:abstractNumId w:val="11"/>
  </w:num>
  <w:num w:numId="30">
    <w:abstractNumId w:val="27"/>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0"/>
  </w:num>
  <w:num w:numId="3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70657">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Price above $5000MWh - 8 February 2017 (SA)_0.docx"/>
  </w:docVars>
  <w:rsids>
    <w:rsidRoot w:val="003610D1"/>
    <w:rsid w:val="00001C26"/>
    <w:rsid w:val="00003502"/>
    <w:rsid w:val="00010B1A"/>
    <w:rsid w:val="00011281"/>
    <w:rsid w:val="00011D86"/>
    <w:rsid w:val="00013352"/>
    <w:rsid w:val="000144B6"/>
    <w:rsid w:val="000146AC"/>
    <w:rsid w:val="00014960"/>
    <w:rsid w:val="00015377"/>
    <w:rsid w:val="00017BF7"/>
    <w:rsid w:val="00020169"/>
    <w:rsid w:val="00021644"/>
    <w:rsid w:val="000221E2"/>
    <w:rsid w:val="00024297"/>
    <w:rsid w:val="00024942"/>
    <w:rsid w:val="00024F79"/>
    <w:rsid w:val="00026C6F"/>
    <w:rsid w:val="00030AFD"/>
    <w:rsid w:val="00030F1C"/>
    <w:rsid w:val="00030F8E"/>
    <w:rsid w:val="00031792"/>
    <w:rsid w:val="00034F77"/>
    <w:rsid w:val="00041065"/>
    <w:rsid w:val="000415E5"/>
    <w:rsid w:val="0004283F"/>
    <w:rsid w:val="00043249"/>
    <w:rsid w:val="00043CDD"/>
    <w:rsid w:val="00043F8E"/>
    <w:rsid w:val="00044FAF"/>
    <w:rsid w:val="000456EC"/>
    <w:rsid w:val="00046C4A"/>
    <w:rsid w:val="0004772E"/>
    <w:rsid w:val="000508E0"/>
    <w:rsid w:val="0005162D"/>
    <w:rsid w:val="00051AA5"/>
    <w:rsid w:val="000545DD"/>
    <w:rsid w:val="00054FE3"/>
    <w:rsid w:val="000554BB"/>
    <w:rsid w:val="000570C9"/>
    <w:rsid w:val="00057762"/>
    <w:rsid w:val="00061A48"/>
    <w:rsid w:val="000635D7"/>
    <w:rsid w:val="00063640"/>
    <w:rsid w:val="0006397A"/>
    <w:rsid w:val="00065A0D"/>
    <w:rsid w:val="000708CF"/>
    <w:rsid w:val="000722EB"/>
    <w:rsid w:val="0007263E"/>
    <w:rsid w:val="00073ADF"/>
    <w:rsid w:val="00074360"/>
    <w:rsid w:val="00077AEA"/>
    <w:rsid w:val="000801EF"/>
    <w:rsid w:val="0008020A"/>
    <w:rsid w:val="00080437"/>
    <w:rsid w:val="00080502"/>
    <w:rsid w:val="00080C63"/>
    <w:rsid w:val="00083F0F"/>
    <w:rsid w:val="0008415A"/>
    <w:rsid w:val="000844CC"/>
    <w:rsid w:val="00084BF4"/>
    <w:rsid w:val="00090DE0"/>
    <w:rsid w:val="0009145E"/>
    <w:rsid w:val="00094459"/>
    <w:rsid w:val="000951D5"/>
    <w:rsid w:val="00095F66"/>
    <w:rsid w:val="00097C5E"/>
    <w:rsid w:val="00097D2B"/>
    <w:rsid w:val="000A1A2E"/>
    <w:rsid w:val="000A2B28"/>
    <w:rsid w:val="000A434F"/>
    <w:rsid w:val="000A57EE"/>
    <w:rsid w:val="000A5BD1"/>
    <w:rsid w:val="000A6D88"/>
    <w:rsid w:val="000B1671"/>
    <w:rsid w:val="000B2E41"/>
    <w:rsid w:val="000B47BA"/>
    <w:rsid w:val="000B47DF"/>
    <w:rsid w:val="000B4873"/>
    <w:rsid w:val="000B5690"/>
    <w:rsid w:val="000B622E"/>
    <w:rsid w:val="000B77AC"/>
    <w:rsid w:val="000B786D"/>
    <w:rsid w:val="000C0941"/>
    <w:rsid w:val="000C0E4B"/>
    <w:rsid w:val="000C3347"/>
    <w:rsid w:val="000C3866"/>
    <w:rsid w:val="000C4571"/>
    <w:rsid w:val="000C4EA7"/>
    <w:rsid w:val="000C55AE"/>
    <w:rsid w:val="000C65C5"/>
    <w:rsid w:val="000C6CDD"/>
    <w:rsid w:val="000D0554"/>
    <w:rsid w:val="000D107C"/>
    <w:rsid w:val="000D2311"/>
    <w:rsid w:val="000D40BE"/>
    <w:rsid w:val="000D557D"/>
    <w:rsid w:val="000D5810"/>
    <w:rsid w:val="000E0831"/>
    <w:rsid w:val="000E32A2"/>
    <w:rsid w:val="000E4FED"/>
    <w:rsid w:val="000F381E"/>
    <w:rsid w:val="000F3E7D"/>
    <w:rsid w:val="0010056F"/>
    <w:rsid w:val="0010063E"/>
    <w:rsid w:val="00101A55"/>
    <w:rsid w:val="00103088"/>
    <w:rsid w:val="00103D3D"/>
    <w:rsid w:val="00107AB8"/>
    <w:rsid w:val="00107F9F"/>
    <w:rsid w:val="00111148"/>
    <w:rsid w:val="0011174E"/>
    <w:rsid w:val="00111FF2"/>
    <w:rsid w:val="00112012"/>
    <w:rsid w:val="001136A6"/>
    <w:rsid w:val="001143C4"/>
    <w:rsid w:val="00114564"/>
    <w:rsid w:val="0011518C"/>
    <w:rsid w:val="0012146C"/>
    <w:rsid w:val="0012391B"/>
    <w:rsid w:val="001251A8"/>
    <w:rsid w:val="00127769"/>
    <w:rsid w:val="00127BB1"/>
    <w:rsid w:val="00132B65"/>
    <w:rsid w:val="00136AF6"/>
    <w:rsid w:val="0014002F"/>
    <w:rsid w:val="00141536"/>
    <w:rsid w:val="00141D53"/>
    <w:rsid w:val="001435CF"/>
    <w:rsid w:val="001440FF"/>
    <w:rsid w:val="00144712"/>
    <w:rsid w:val="00144763"/>
    <w:rsid w:val="00151CC0"/>
    <w:rsid w:val="0015373D"/>
    <w:rsid w:val="00153C13"/>
    <w:rsid w:val="00154C0B"/>
    <w:rsid w:val="001550D2"/>
    <w:rsid w:val="00155CFA"/>
    <w:rsid w:val="0015715D"/>
    <w:rsid w:val="001571AB"/>
    <w:rsid w:val="00157944"/>
    <w:rsid w:val="00157982"/>
    <w:rsid w:val="00157B32"/>
    <w:rsid w:val="00157F29"/>
    <w:rsid w:val="00161708"/>
    <w:rsid w:val="00162522"/>
    <w:rsid w:val="001640AB"/>
    <w:rsid w:val="0016468E"/>
    <w:rsid w:val="0016579C"/>
    <w:rsid w:val="00165EF5"/>
    <w:rsid w:val="001671C0"/>
    <w:rsid w:val="001700C5"/>
    <w:rsid w:val="001716FC"/>
    <w:rsid w:val="00171ED3"/>
    <w:rsid w:val="00174796"/>
    <w:rsid w:val="001800C5"/>
    <w:rsid w:val="001813A0"/>
    <w:rsid w:val="00181E92"/>
    <w:rsid w:val="001826F5"/>
    <w:rsid w:val="00183F9A"/>
    <w:rsid w:val="001844AB"/>
    <w:rsid w:val="00185629"/>
    <w:rsid w:val="0018615A"/>
    <w:rsid w:val="00190462"/>
    <w:rsid w:val="00194A0C"/>
    <w:rsid w:val="001A0959"/>
    <w:rsid w:val="001A0B32"/>
    <w:rsid w:val="001A1A24"/>
    <w:rsid w:val="001A2CD9"/>
    <w:rsid w:val="001A2D52"/>
    <w:rsid w:val="001A4A58"/>
    <w:rsid w:val="001A5038"/>
    <w:rsid w:val="001A7C03"/>
    <w:rsid w:val="001B0767"/>
    <w:rsid w:val="001B1888"/>
    <w:rsid w:val="001B21EA"/>
    <w:rsid w:val="001B2458"/>
    <w:rsid w:val="001B26A5"/>
    <w:rsid w:val="001B2BD5"/>
    <w:rsid w:val="001B311E"/>
    <w:rsid w:val="001B3158"/>
    <w:rsid w:val="001B3CFB"/>
    <w:rsid w:val="001B70FC"/>
    <w:rsid w:val="001C2CEA"/>
    <w:rsid w:val="001C3F02"/>
    <w:rsid w:val="001C5D8C"/>
    <w:rsid w:val="001C6D91"/>
    <w:rsid w:val="001D0926"/>
    <w:rsid w:val="001D1911"/>
    <w:rsid w:val="001D1F09"/>
    <w:rsid w:val="001D3356"/>
    <w:rsid w:val="001D45D5"/>
    <w:rsid w:val="001D4614"/>
    <w:rsid w:val="001D4960"/>
    <w:rsid w:val="001D514B"/>
    <w:rsid w:val="001D5AA8"/>
    <w:rsid w:val="001D672F"/>
    <w:rsid w:val="001D6DD0"/>
    <w:rsid w:val="001D6FA6"/>
    <w:rsid w:val="001D7F1E"/>
    <w:rsid w:val="001E08D2"/>
    <w:rsid w:val="001E0D97"/>
    <w:rsid w:val="001E1DEB"/>
    <w:rsid w:val="001E50C3"/>
    <w:rsid w:val="001E5BF5"/>
    <w:rsid w:val="001E6D30"/>
    <w:rsid w:val="001E78A6"/>
    <w:rsid w:val="001E78DB"/>
    <w:rsid w:val="001E7CD0"/>
    <w:rsid w:val="001E7E6E"/>
    <w:rsid w:val="001E7FB9"/>
    <w:rsid w:val="001F06DF"/>
    <w:rsid w:val="001F182A"/>
    <w:rsid w:val="001F1A14"/>
    <w:rsid w:val="001F30F1"/>
    <w:rsid w:val="001F3CF8"/>
    <w:rsid w:val="0020088C"/>
    <w:rsid w:val="00204DD1"/>
    <w:rsid w:val="00206817"/>
    <w:rsid w:val="00207458"/>
    <w:rsid w:val="00210466"/>
    <w:rsid w:val="002114E0"/>
    <w:rsid w:val="002114E4"/>
    <w:rsid w:val="00214217"/>
    <w:rsid w:val="00216189"/>
    <w:rsid w:val="00217A1D"/>
    <w:rsid w:val="00220318"/>
    <w:rsid w:val="00220449"/>
    <w:rsid w:val="002214D3"/>
    <w:rsid w:val="00221530"/>
    <w:rsid w:val="00222EC1"/>
    <w:rsid w:val="00224BC2"/>
    <w:rsid w:val="0022698D"/>
    <w:rsid w:val="00227B83"/>
    <w:rsid w:val="00230764"/>
    <w:rsid w:val="00231875"/>
    <w:rsid w:val="00233351"/>
    <w:rsid w:val="00233E5C"/>
    <w:rsid w:val="0023635E"/>
    <w:rsid w:val="00237E08"/>
    <w:rsid w:val="00245D67"/>
    <w:rsid w:val="002475E3"/>
    <w:rsid w:val="00247FC3"/>
    <w:rsid w:val="00250B68"/>
    <w:rsid w:val="00251131"/>
    <w:rsid w:val="00251BDD"/>
    <w:rsid w:val="00251D61"/>
    <w:rsid w:val="00252219"/>
    <w:rsid w:val="0025430A"/>
    <w:rsid w:val="00254B38"/>
    <w:rsid w:val="00254C28"/>
    <w:rsid w:val="00255EEF"/>
    <w:rsid w:val="00256806"/>
    <w:rsid w:val="0026078D"/>
    <w:rsid w:val="002614FF"/>
    <w:rsid w:val="002617FF"/>
    <w:rsid w:val="00261929"/>
    <w:rsid w:val="00261EE4"/>
    <w:rsid w:val="00261FD0"/>
    <w:rsid w:val="0026241D"/>
    <w:rsid w:val="00262F29"/>
    <w:rsid w:val="002635FC"/>
    <w:rsid w:val="00264398"/>
    <w:rsid w:val="002644DD"/>
    <w:rsid w:val="00265A61"/>
    <w:rsid w:val="002667D4"/>
    <w:rsid w:val="00271FC7"/>
    <w:rsid w:val="002743BE"/>
    <w:rsid w:val="0027556F"/>
    <w:rsid w:val="00276077"/>
    <w:rsid w:val="00277918"/>
    <w:rsid w:val="002808FD"/>
    <w:rsid w:val="0028094F"/>
    <w:rsid w:val="002812C2"/>
    <w:rsid w:val="002837C6"/>
    <w:rsid w:val="002839F2"/>
    <w:rsid w:val="00285DB1"/>
    <w:rsid w:val="00286C34"/>
    <w:rsid w:val="00287F85"/>
    <w:rsid w:val="0029161D"/>
    <w:rsid w:val="002931DC"/>
    <w:rsid w:val="00293A0A"/>
    <w:rsid w:val="0029452B"/>
    <w:rsid w:val="00297821"/>
    <w:rsid w:val="00297D01"/>
    <w:rsid w:val="002A1A98"/>
    <w:rsid w:val="002A3F6C"/>
    <w:rsid w:val="002A4C7E"/>
    <w:rsid w:val="002A5036"/>
    <w:rsid w:val="002A56AB"/>
    <w:rsid w:val="002A5CF9"/>
    <w:rsid w:val="002A6276"/>
    <w:rsid w:val="002A668F"/>
    <w:rsid w:val="002A68C4"/>
    <w:rsid w:val="002B33A8"/>
    <w:rsid w:val="002B4F2D"/>
    <w:rsid w:val="002B60A5"/>
    <w:rsid w:val="002B6A68"/>
    <w:rsid w:val="002B6EDD"/>
    <w:rsid w:val="002B701C"/>
    <w:rsid w:val="002C0CF2"/>
    <w:rsid w:val="002C141A"/>
    <w:rsid w:val="002C31F5"/>
    <w:rsid w:val="002C34D8"/>
    <w:rsid w:val="002C3DC9"/>
    <w:rsid w:val="002C4E7F"/>
    <w:rsid w:val="002D0F6E"/>
    <w:rsid w:val="002D1A8E"/>
    <w:rsid w:val="002D2BAB"/>
    <w:rsid w:val="002D478A"/>
    <w:rsid w:val="002D4D15"/>
    <w:rsid w:val="002D4EE4"/>
    <w:rsid w:val="002D5D79"/>
    <w:rsid w:val="002D7459"/>
    <w:rsid w:val="002D79D0"/>
    <w:rsid w:val="002D79DF"/>
    <w:rsid w:val="002E0AF3"/>
    <w:rsid w:val="002E417E"/>
    <w:rsid w:val="002E5340"/>
    <w:rsid w:val="002E5D53"/>
    <w:rsid w:val="002E6ABC"/>
    <w:rsid w:val="002E745E"/>
    <w:rsid w:val="002F025A"/>
    <w:rsid w:val="002F0BDA"/>
    <w:rsid w:val="002F48D5"/>
    <w:rsid w:val="002F59A8"/>
    <w:rsid w:val="002F5EE3"/>
    <w:rsid w:val="002F631A"/>
    <w:rsid w:val="00301FE3"/>
    <w:rsid w:val="00310156"/>
    <w:rsid w:val="00311066"/>
    <w:rsid w:val="003123E1"/>
    <w:rsid w:val="00313B2B"/>
    <w:rsid w:val="00315F5D"/>
    <w:rsid w:val="00316090"/>
    <w:rsid w:val="003168F1"/>
    <w:rsid w:val="00317024"/>
    <w:rsid w:val="00320FA0"/>
    <w:rsid w:val="003217EB"/>
    <w:rsid w:val="00321B8D"/>
    <w:rsid w:val="00321D5A"/>
    <w:rsid w:val="003250C8"/>
    <w:rsid w:val="00325126"/>
    <w:rsid w:val="003253CE"/>
    <w:rsid w:val="00327AFC"/>
    <w:rsid w:val="00332644"/>
    <w:rsid w:val="00334E23"/>
    <w:rsid w:val="003364FF"/>
    <w:rsid w:val="0033722A"/>
    <w:rsid w:val="00337F9E"/>
    <w:rsid w:val="00340E02"/>
    <w:rsid w:val="00342E21"/>
    <w:rsid w:val="00346649"/>
    <w:rsid w:val="003478E1"/>
    <w:rsid w:val="00350712"/>
    <w:rsid w:val="00352048"/>
    <w:rsid w:val="00353228"/>
    <w:rsid w:val="00353C34"/>
    <w:rsid w:val="003565E8"/>
    <w:rsid w:val="00356CC0"/>
    <w:rsid w:val="003610D1"/>
    <w:rsid w:val="00361814"/>
    <w:rsid w:val="00361D2A"/>
    <w:rsid w:val="00363DE1"/>
    <w:rsid w:val="00367987"/>
    <w:rsid w:val="003700B0"/>
    <w:rsid w:val="00370288"/>
    <w:rsid w:val="003704FC"/>
    <w:rsid w:val="0037052A"/>
    <w:rsid w:val="003712DE"/>
    <w:rsid w:val="00371A20"/>
    <w:rsid w:val="003745C3"/>
    <w:rsid w:val="00374AB0"/>
    <w:rsid w:val="00375371"/>
    <w:rsid w:val="00380718"/>
    <w:rsid w:val="00381976"/>
    <w:rsid w:val="0038203C"/>
    <w:rsid w:val="00382587"/>
    <w:rsid w:val="00382756"/>
    <w:rsid w:val="00384CA9"/>
    <w:rsid w:val="00386435"/>
    <w:rsid w:val="003874BC"/>
    <w:rsid w:val="00390214"/>
    <w:rsid w:val="00390216"/>
    <w:rsid w:val="00390B79"/>
    <w:rsid w:val="00392313"/>
    <w:rsid w:val="00392368"/>
    <w:rsid w:val="00396231"/>
    <w:rsid w:val="003977B1"/>
    <w:rsid w:val="003A14AA"/>
    <w:rsid w:val="003A3C41"/>
    <w:rsid w:val="003A4880"/>
    <w:rsid w:val="003A585C"/>
    <w:rsid w:val="003B071F"/>
    <w:rsid w:val="003B07C1"/>
    <w:rsid w:val="003B266D"/>
    <w:rsid w:val="003B37A3"/>
    <w:rsid w:val="003B6009"/>
    <w:rsid w:val="003B770F"/>
    <w:rsid w:val="003C3EF1"/>
    <w:rsid w:val="003C3FE0"/>
    <w:rsid w:val="003C4833"/>
    <w:rsid w:val="003C5515"/>
    <w:rsid w:val="003C5F95"/>
    <w:rsid w:val="003C6933"/>
    <w:rsid w:val="003C6DB6"/>
    <w:rsid w:val="003D23D0"/>
    <w:rsid w:val="003D45CD"/>
    <w:rsid w:val="003E0118"/>
    <w:rsid w:val="003E50F2"/>
    <w:rsid w:val="003E57C5"/>
    <w:rsid w:val="003E5F2A"/>
    <w:rsid w:val="003E6669"/>
    <w:rsid w:val="003E78F9"/>
    <w:rsid w:val="003F0065"/>
    <w:rsid w:val="003F0798"/>
    <w:rsid w:val="003F1D2D"/>
    <w:rsid w:val="003F3477"/>
    <w:rsid w:val="003F3507"/>
    <w:rsid w:val="003F4971"/>
    <w:rsid w:val="003F4FAD"/>
    <w:rsid w:val="003F50A0"/>
    <w:rsid w:val="003F64FD"/>
    <w:rsid w:val="003F73DF"/>
    <w:rsid w:val="004006AE"/>
    <w:rsid w:val="00400B40"/>
    <w:rsid w:val="0040128A"/>
    <w:rsid w:val="00403162"/>
    <w:rsid w:val="004075BD"/>
    <w:rsid w:val="0041043F"/>
    <w:rsid w:val="00411EE1"/>
    <w:rsid w:val="00412A20"/>
    <w:rsid w:val="00413568"/>
    <w:rsid w:val="0041380B"/>
    <w:rsid w:val="00414288"/>
    <w:rsid w:val="0041597D"/>
    <w:rsid w:val="00416B89"/>
    <w:rsid w:val="0041724F"/>
    <w:rsid w:val="004225A4"/>
    <w:rsid w:val="00422C0F"/>
    <w:rsid w:val="00424241"/>
    <w:rsid w:val="00425390"/>
    <w:rsid w:val="00426AEF"/>
    <w:rsid w:val="00426DFD"/>
    <w:rsid w:val="004300F1"/>
    <w:rsid w:val="00430FFC"/>
    <w:rsid w:val="00431198"/>
    <w:rsid w:val="00431500"/>
    <w:rsid w:val="004319F9"/>
    <w:rsid w:val="00432771"/>
    <w:rsid w:val="00432B7D"/>
    <w:rsid w:val="0043334B"/>
    <w:rsid w:val="00433E4E"/>
    <w:rsid w:val="0043592B"/>
    <w:rsid w:val="00441440"/>
    <w:rsid w:val="00443258"/>
    <w:rsid w:val="00443CA5"/>
    <w:rsid w:val="004442C5"/>
    <w:rsid w:val="00445B07"/>
    <w:rsid w:val="004515B8"/>
    <w:rsid w:val="00454D30"/>
    <w:rsid w:val="00454E23"/>
    <w:rsid w:val="0045509D"/>
    <w:rsid w:val="00455DA9"/>
    <w:rsid w:val="00460CA4"/>
    <w:rsid w:val="00462020"/>
    <w:rsid w:val="00464428"/>
    <w:rsid w:val="00466F56"/>
    <w:rsid w:val="0046706A"/>
    <w:rsid w:val="004670AD"/>
    <w:rsid w:val="004710D5"/>
    <w:rsid w:val="004716E4"/>
    <w:rsid w:val="00472DF7"/>
    <w:rsid w:val="0047303A"/>
    <w:rsid w:val="0047489B"/>
    <w:rsid w:val="00475F7C"/>
    <w:rsid w:val="0047639E"/>
    <w:rsid w:val="00476A93"/>
    <w:rsid w:val="0047726F"/>
    <w:rsid w:val="004775C7"/>
    <w:rsid w:val="0048005B"/>
    <w:rsid w:val="00480AF2"/>
    <w:rsid w:val="00480B9F"/>
    <w:rsid w:val="0048191E"/>
    <w:rsid w:val="00483BDC"/>
    <w:rsid w:val="00484E6C"/>
    <w:rsid w:val="00485A6F"/>
    <w:rsid w:val="00485C9C"/>
    <w:rsid w:val="004903D4"/>
    <w:rsid w:val="004907ED"/>
    <w:rsid w:val="00490CE3"/>
    <w:rsid w:val="0049123B"/>
    <w:rsid w:val="00491BED"/>
    <w:rsid w:val="00492856"/>
    <w:rsid w:val="00493FFD"/>
    <w:rsid w:val="004950DB"/>
    <w:rsid w:val="004954EE"/>
    <w:rsid w:val="00495595"/>
    <w:rsid w:val="004A0D3E"/>
    <w:rsid w:val="004A11EB"/>
    <w:rsid w:val="004A4E6F"/>
    <w:rsid w:val="004B0A01"/>
    <w:rsid w:val="004B0ACA"/>
    <w:rsid w:val="004B1C7A"/>
    <w:rsid w:val="004B2944"/>
    <w:rsid w:val="004B2EC6"/>
    <w:rsid w:val="004B42E9"/>
    <w:rsid w:val="004B4C9C"/>
    <w:rsid w:val="004B56EF"/>
    <w:rsid w:val="004B612F"/>
    <w:rsid w:val="004B7847"/>
    <w:rsid w:val="004C227E"/>
    <w:rsid w:val="004C2EF7"/>
    <w:rsid w:val="004C5A1E"/>
    <w:rsid w:val="004C61C9"/>
    <w:rsid w:val="004C6FFD"/>
    <w:rsid w:val="004C76E6"/>
    <w:rsid w:val="004D2432"/>
    <w:rsid w:val="004D2AB0"/>
    <w:rsid w:val="004D4102"/>
    <w:rsid w:val="004D438D"/>
    <w:rsid w:val="004D51D9"/>
    <w:rsid w:val="004D7255"/>
    <w:rsid w:val="004D7BFF"/>
    <w:rsid w:val="004E25D6"/>
    <w:rsid w:val="004E336C"/>
    <w:rsid w:val="004E49C3"/>
    <w:rsid w:val="004E5C29"/>
    <w:rsid w:val="004E5CA8"/>
    <w:rsid w:val="004E61F4"/>
    <w:rsid w:val="004E6763"/>
    <w:rsid w:val="004E729B"/>
    <w:rsid w:val="004E78C2"/>
    <w:rsid w:val="004F00AC"/>
    <w:rsid w:val="004F0977"/>
    <w:rsid w:val="004F0C40"/>
    <w:rsid w:val="004F3FAC"/>
    <w:rsid w:val="004F5FB9"/>
    <w:rsid w:val="004F6E06"/>
    <w:rsid w:val="004F7068"/>
    <w:rsid w:val="004F7989"/>
    <w:rsid w:val="005024F7"/>
    <w:rsid w:val="0050565B"/>
    <w:rsid w:val="00505844"/>
    <w:rsid w:val="00506027"/>
    <w:rsid w:val="005061C5"/>
    <w:rsid w:val="00506A76"/>
    <w:rsid w:val="005072C1"/>
    <w:rsid w:val="00507742"/>
    <w:rsid w:val="00510EE1"/>
    <w:rsid w:val="00511134"/>
    <w:rsid w:val="005116A4"/>
    <w:rsid w:val="00511B05"/>
    <w:rsid w:val="005122F2"/>
    <w:rsid w:val="005123BD"/>
    <w:rsid w:val="0051329A"/>
    <w:rsid w:val="005172D4"/>
    <w:rsid w:val="00517C7C"/>
    <w:rsid w:val="00521216"/>
    <w:rsid w:val="00522217"/>
    <w:rsid w:val="00523A47"/>
    <w:rsid w:val="0052525D"/>
    <w:rsid w:val="00525318"/>
    <w:rsid w:val="00525643"/>
    <w:rsid w:val="00526460"/>
    <w:rsid w:val="005311D3"/>
    <w:rsid w:val="00535260"/>
    <w:rsid w:val="005354FB"/>
    <w:rsid w:val="005366CC"/>
    <w:rsid w:val="00536EBE"/>
    <w:rsid w:val="00540195"/>
    <w:rsid w:val="0054172D"/>
    <w:rsid w:val="00541F9F"/>
    <w:rsid w:val="00542497"/>
    <w:rsid w:val="00543D9D"/>
    <w:rsid w:val="00545DEE"/>
    <w:rsid w:val="00550588"/>
    <w:rsid w:val="00552AEB"/>
    <w:rsid w:val="005530FC"/>
    <w:rsid w:val="005551D7"/>
    <w:rsid w:val="0055566B"/>
    <w:rsid w:val="00555A4D"/>
    <w:rsid w:val="005564E4"/>
    <w:rsid w:val="00556803"/>
    <w:rsid w:val="00561158"/>
    <w:rsid w:val="005616C9"/>
    <w:rsid w:val="00562CBF"/>
    <w:rsid w:val="00563950"/>
    <w:rsid w:val="00564052"/>
    <w:rsid w:val="00565294"/>
    <w:rsid w:val="005667C5"/>
    <w:rsid w:val="00571067"/>
    <w:rsid w:val="00573606"/>
    <w:rsid w:val="0057715F"/>
    <w:rsid w:val="005805F8"/>
    <w:rsid w:val="00581454"/>
    <w:rsid w:val="00584190"/>
    <w:rsid w:val="005860BC"/>
    <w:rsid w:val="0058799D"/>
    <w:rsid w:val="00587F7C"/>
    <w:rsid w:val="0059093A"/>
    <w:rsid w:val="00590D64"/>
    <w:rsid w:val="005916B4"/>
    <w:rsid w:val="005917E8"/>
    <w:rsid w:val="0059237F"/>
    <w:rsid w:val="00592C87"/>
    <w:rsid w:val="0059447B"/>
    <w:rsid w:val="00594C1B"/>
    <w:rsid w:val="00596A75"/>
    <w:rsid w:val="00596CD8"/>
    <w:rsid w:val="005A0009"/>
    <w:rsid w:val="005A09F9"/>
    <w:rsid w:val="005A0B32"/>
    <w:rsid w:val="005A55FF"/>
    <w:rsid w:val="005B0610"/>
    <w:rsid w:val="005B089A"/>
    <w:rsid w:val="005B115B"/>
    <w:rsid w:val="005B12BB"/>
    <w:rsid w:val="005B2273"/>
    <w:rsid w:val="005B2386"/>
    <w:rsid w:val="005B2572"/>
    <w:rsid w:val="005B5767"/>
    <w:rsid w:val="005B6B0F"/>
    <w:rsid w:val="005B7713"/>
    <w:rsid w:val="005C1074"/>
    <w:rsid w:val="005C10DA"/>
    <w:rsid w:val="005C167B"/>
    <w:rsid w:val="005C18F6"/>
    <w:rsid w:val="005C1B50"/>
    <w:rsid w:val="005C3629"/>
    <w:rsid w:val="005C378B"/>
    <w:rsid w:val="005C3E6D"/>
    <w:rsid w:val="005C3EC3"/>
    <w:rsid w:val="005C43B6"/>
    <w:rsid w:val="005C667F"/>
    <w:rsid w:val="005C6995"/>
    <w:rsid w:val="005C6E78"/>
    <w:rsid w:val="005C72EA"/>
    <w:rsid w:val="005C7380"/>
    <w:rsid w:val="005D1949"/>
    <w:rsid w:val="005D259F"/>
    <w:rsid w:val="005D5ED4"/>
    <w:rsid w:val="005D7F99"/>
    <w:rsid w:val="005E1120"/>
    <w:rsid w:val="005E147F"/>
    <w:rsid w:val="005E2E54"/>
    <w:rsid w:val="005E3645"/>
    <w:rsid w:val="005E385C"/>
    <w:rsid w:val="005E49B6"/>
    <w:rsid w:val="005F05B1"/>
    <w:rsid w:val="005F05DC"/>
    <w:rsid w:val="005F1653"/>
    <w:rsid w:val="005F32EC"/>
    <w:rsid w:val="005F52A5"/>
    <w:rsid w:val="005F574A"/>
    <w:rsid w:val="005F6137"/>
    <w:rsid w:val="005F7E52"/>
    <w:rsid w:val="00610438"/>
    <w:rsid w:val="00612500"/>
    <w:rsid w:val="006128CC"/>
    <w:rsid w:val="006141DE"/>
    <w:rsid w:val="006152C2"/>
    <w:rsid w:val="00616C07"/>
    <w:rsid w:val="0062293D"/>
    <w:rsid w:val="00623191"/>
    <w:rsid w:val="006249CA"/>
    <w:rsid w:val="00624E14"/>
    <w:rsid w:val="00625E5E"/>
    <w:rsid w:val="0062620B"/>
    <w:rsid w:val="006270C6"/>
    <w:rsid w:val="00627131"/>
    <w:rsid w:val="00627307"/>
    <w:rsid w:val="00627395"/>
    <w:rsid w:val="00631ECF"/>
    <w:rsid w:val="00631FA3"/>
    <w:rsid w:val="006329AC"/>
    <w:rsid w:val="00633BFF"/>
    <w:rsid w:val="00635B74"/>
    <w:rsid w:val="00636D00"/>
    <w:rsid w:val="00637D55"/>
    <w:rsid w:val="0064062D"/>
    <w:rsid w:val="00640669"/>
    <w:rsid w:val="006412A3"/>
    <w:rsid w:val="00643B62"/>
    <w:rsid w:val="00643C67"/>
    <w:rsid w:val="00644F28"/>
    <w:rsid w:val="00646207"/>
    <w:rsid w:val="00647162"/>
    <w:rsid w:val="006507C8"/>
    <w:rsid w:val="00651659"/>
    <w:rsid w:val="00652B9E"/>
    <w:rsid w:val="00653241"/>
    <w:rsid w:val="00655606"/>
    <w:rsid w:val="0065565A"/>
    <w:rsid w:val="0065738E"/>
    <w:rsid w:val="00660E8C"/>
    <w:rsid w:val="00661A17"/>
    <w:rsid w:val="00663313"/>
    <w:rsid w:val="00665553"/>
    <w:rsid w:val="0067052C"/>
    <w:rsid w:val="00671819"/>
    <w:rsid w:val="006756DD"/>
    <w:rsid w:val="0067585A"/>
    <w:rsid w:val="00675B9D"/>
    <w:rsid w:val="006869C4"/>
    <w:rsid w:val="00691E95"/>
    <w:rsid w:val="00692771"/>
    <w:rsid w:val="00692F57"/>
    <w:rsid w:val="00693846"/>
    <w:rsid w:val="0069574E"/>
    <w:rsid w:val="00695FA0"/>
    <w:rsid w:val="00696635"/>
    <w:rsid w:val="00696D7A"/>
    <w:rsid w:val="006978F9"/>
    <w:rsid w:val="006A2381"/>
    <w:rsid w:val="006A3414"/>
    <w:rsid w:val="006A37B5"/>
    <w:rsid w:val="006A4C8A"/>
    <w:rsid w:val="006A708F"/>
    <w:rsid w:val="006A740B"/>
    <w:rsid w:val="006A762F"/>
    <w:rsid w:val="006B0099"/>
    <w:rsid w:val="006B038C"/>
    <w:rsid w:val="006B06F4"/>
    <w:rsid w:val="006B0DDB"/>
    <w:rsid w:val="006B3970"/>
    <w:rsid w:val="006B44DE"/>
    <w:rsid w:val="006C1FFB"/>
    <w:rsid w:val="006C213E"/>
    <w:rsid w:val="006C4134"/>
    <w:rsid w:val="006C5BD8"/>
    <w:rsid w:val="006C6953"/>
    <w:rsid w:val="006D13F8"/>
    <w:rsid w:val="006D172A"/>
    <w:rsid w:val="006D1CE8"/>
    <w:rsid w:val="006D21D1"/>
    <w:rsid w:val="006D3BB7"/>
    <w:rsid w:val="006D40D1"/>
    <w:rsid w:val="006D45CA"/>
    <w:rsid w:val="006D5138"/>
    <w:rsid w:val="006D79CD"/>
    <w:rsid w:val="006D7C28"/>
    <w:rsid w:val="006E2593"/>
    <w:rsid w:val="006E2DE4"/>
    <w:rsid w:val="006E338B"/>
    <w:rsid w:val="006E3FF1"/>
    <w:rsid w:val="006E75A1"/>
    <w:rsid w:val="006E7E81"/>
    <w:rsid w:val="006F01F3"/>
    <w:rsid w:val="006F0224"/>
    <w:rsid w:val="006F02C0"/>
    <w:rsid w:val="006F02F6"/>
    <w:rsid w:val="006F2091"/>
    <w:rsid w:val="006F2861"/>
    <w:rsid w:val="006F2875"/>
    <w:rsid w:val="006F3333"/>
    <w:rsid w:val="006F5343"/>
    <w:rsid w:val="006F5B7B"/>
    <w:rsid w:val="006F6317"/>
    <w:rsid w:val="006F6901"/>
    <w:rsid w:val="006F7401"/>
    <w:rsid w:val="00700FDA"/>
    <w:rsid w:val="00703233"/>
    <w:rsid w:val="00711EDA"/>
    <w:rsid w:val="00712C6A"/>
    <w:rsid w:val="00712F26"/>
    <w:rsid w:val="00713DB6"/>
    <w:rsid w:val="007151A3"/>
    <w:rsid w:val="0071696F"/>
    <w:rsid w:val="00716EED"/>
    <w:rsid w:val="0071798C"/>
    <w:rsid w:val="0072235F"/>
    <w:rsid w:val="00723711"/>
    <w:rsid w:val="00723826"/>
    <w:rsid w:val="007267F2"/>
    <w:rsid w:val="007274AE"/>
    <w:rsid w:val="00730062"/>
    <w:rsid w:val="007307B0"/>
    <w:rsid w:val="0073081F"/>
    <w:rsid w:val="00730D87"/>
    <w:rsid w:val="00733258"/>
    <w:rsid w:val="00734042"/>
    <w:rsid w:val="007341F3"/>
    <w:rsid w:val="00735BB7"/>
    <w:rsid w:val="00740C0E"/>
    <w:rsid w:val="007433B5"/>
    <w:rsid w:val="00743932"/>
    <w:rsid w:val="00743AA7"/>
    <w:rsid w:val="00743EEF"/>
    <w:rsid w:val="007453A4"/>
    <w:rsid w:val="007462CD"/>
    <w:rsid w:val="00747800"/>
    <w:rsid w:val="007515C8"/>
    <w:rsid w:val="00751805"/>
    <w:rsid w:val="0075410E"/>
    <w:rsid w:val="00754EC9"/>
    <w:rsid w:val="0075758D"/>
    <w:rsid w:val="00757770"/>
    <w:rsid w:val="00761D3B"/>
    <w:rsid w:val="00761EE3"/>
    <w:rsid w:val="00764192"/>
    <w:rsid w:val="007651E9"/>
    <w:rsid w:val="00766641"/>
    <w:rsid w:val="00767DF1"/>
    <w:rsid w:val="00770005"/>
    <w:rsid w:val="0077094F"/>
    <w:rsid w:val="00775925"/>
    <w:rsid w:val="007762CF"/>
    <w:rsid w:val="00776DF6"/>
    <w:rsid w:val="00777DEE"/>
    <w:rsid w:val="00780B34"/>
    <w:rsid w:val="00782108"/>
    <w:rsid w:val="007821EC"/>
    <w:rsid w:val="00785159"/>
    <w:rsid w:val="00785225"/>
    <w:rsid w:val="007853D7"/>
    <w:rsid w:val="007862BB"/>
    <w:rsid w:val="007874CA"/>
    <w:rsid w:val="00790610"/>
    <w:rsid w:val="00790E5F"/>
    <w:rsid w:val="007917D5"/>
    <w:rsid w:val="00794D44"/>
    <w:rsid w:val="0079720C"/>
    <w:rsid w:val="007A016C"/>
    <w:rsid w:val="007A0814"/>
    <w:rsid w:val="007A210A"/>
    <w:rsid w:val="007A223D"/>
    <w:rsid w:val="007A23C8"/>
    <w:rsid w:val="007A3970"/>
    <w:rsid w:val="007A3A02"/>
    <w:rsid w:val="007A4650"/>
    <w:rsid w:val="007B0571"/>
    <w:rsid w:val="007B0D02"/>
    <w:rsid w:val="007B15E1"/>
    <w:rsid w:val="007B1D4F"/>
    <w:rsid w:val="007B249C"/>
    <w:rsid w:val="007B3733"/>
    <w:rsid w:val="007B40FD"/>
    <w:rsid w:val="007B4B3B"/>
    <w:rsid w:val="007B4D7A"/>
    <w:rsid w:val="007B5014"/>
    <w:rsid w:val="007B7398"/>
    <w:rsid w:val="007B7724"/>
    <w:rsid w:val="007C005E"/>
    <w:rsid w:val="007C1AFA"/>
    <w:rsid w:val="007C2AAF"/>
    <w:rsid w:val="007C2C5E"/>
    <w:rsid w:val="007C44C6"/>
    <w:rsid w:val="007C4AAD"/>
    <w:rsid w:val="007C51E1"/>
    <w:rsid w:val="007C5A34"/>
    <w:rsid w:val="007C66BE"/>
    <w:rsid w:val="007C7FCB"/>
    <w:rsid w:val="007D0C6E"/>
    <w:rsid w:val="007D260D"/>
    <w:rsid w:val="007D2D3A"/>
    <w:rsid w:val="007D304E"/>
    <w:rsid w:val="007D3914"/>
    <w:rsid w:val="007D56A7"/>
    <w:rsid w:val="007D5764"/>
    <w:rsid w:val="007D63D3"/>
    <w:rsid w:val="007D716B"/>
    <w:rsid w:val="007E09B7"/>
    <w:rsid w:val="007E1178"/>
    <w:rsid w:val="007E29C4"/>
    <w:rsid w:val="007E528F"/>
    <w:rsid w:val="007E5AC2"/>
    <w:rsid w:val="007E6689"/>
    <w:rsid w:val="007E7313"/>
    <w:rsid w:val="007E7E05"/>
    <w:rsid w:val="007F138F"/>
    <w:rsid w:val="007F4415"/>
    <w:rsid w:val="007F44FB"/>
    <w:rsid w:val="00800E60"/>
    <w:rsid w:val="00800EB6"/>
    <w:rsid w:val="00801C0A"/>
    <w:rsid w:val="0080240F"/>
    <w:rsid w:val="008036CC"/>
    <w:rsid w:val="008038DC"/>
    <w:rsid w:val="00803C11"/>
    <w:rsid w:val="00806027"/>
    <w:rsid w:val="00810A0D"/>
    <w:rsid w:val="0081293B"/>
    <w:rsid w:val="00814E82"/>
    <w:rsid w:val="00815A76"/>
    <w:rsid w:val="00817300"/>
    <w:rsid w:val="00817E84"/>
    <w:rsid w:val="00820444"/>
    <w:rsid w:val="008204FE"/>
    <w:rsid w:val="0082125A"/>
    <w:rsid w:val="008227F3"/>
    <w:rsid w:val="00822B1B"/>
    <w:rsid w:val="00823061"/>
    <w:rsid w:val="00825E69"/>
    <w:rsid w:val="00826297"/>
    <w:rsid w:val="00832689"/>
    <w:rsid w:val="0083461E"/>
    <w:rsid w:val="00840BCE"/>
    <w:rsid w:val="00843BA8"/>
    <w:rsid w:val="00850300"/>
    <w:rsid w:val="008511D1"/>
    <w:rsid w:val="00852168"/>
    <w:rsid w:val="0085304C"/>
    <w:rsid w:val="0085366B"/>
    <w:rsid w:val="00856F26"/>
    <w:rsid w:val="0085722F"/>
    <w:rsid w:val="008612F6"/>
    <w:rsid w:val="00861537"/>
    <w:rsid w:val="00862328"/>
    <w:rsid w:val="0086284F"/>
    <w:rsid w:val="0086628A"/>
    <w:rsid w:val="0086636C"/>
    <w:rsid w:val="008673AE"/>
    <w:rsid w:val="00872C3A"/>
    <w:rsid w:val="00873DA9"/>
    <w:rsid w:val="00874589"/>
    <w:rsid w:val="00874608"/>
    <w:rsid w:val="00874BA5"/>
    <w:rsid w:val="00874E50"/>
    <w:rsid w:val="00883113"/>
    <w:rsid w:val="008850C7"/>
    <w:rsid w:val="0088523D"/>
    <w:rsid w:val="00886B8A"/>
    <w:rsid w:val="00886DA5"/>
    <w:rsid w:val="00887F3D"/>
    <w:rsid w:val="00887F84"/>
    <w:rsid w:val="00891250"/>
    <w:rsid w:val="00892119"/>
    <w:rsid w:val="008923DC"/>
    <w:rsid w:val="008928BC"/>
    <w:rsid w:val="00892FEA"/>
    <w:rsid w:val="00893127"/>
    <w:rsid w:val="008931E4"/>
    <w:rsid w:val="00895102"/>
    <w:rsid w:val="00895669"/>
    <w:rsid w:val="0089624E"/>
    <w:rsid w:val="008965B0"/>
    <w:rsid w:val="00897760"/>
    <w:rsid w:val="008A2B2A"/>
    <w:rsid w:val="008A6BCB"/>
    <w:rsid w:val="008A7820"/>
    <w:rsid w:val="008B19D2"/>
    <w:rsid w:val="008B4C96"/>
    <w:rsid w:val="008B7CF1"/>
    <w:rsid w:val="008C0299"/>
    <w:rsid w:val="008C02C1"/>
    <w:rsid w:val="008C1DDD"/>
    <w:rsid w:val="008C3E60"/>
    <w:rsid w:val="008C4B8F"/>
    <w:rsid w:val="008C6B1B"/>
    <w:rsid w:val="008C7396"/>
    <w:rsid w:val="008D013F"/>
    <w:rsid w:val="008D0F8B"/>
    <w:rsid w:val="008D16C0"/>
    <w:rsid w:val="008D2A7B"/>
    <w:rsid w:val="008D35C7"/>
    <w:rsid w:val="008D569A"/>
    <w:rsid w:val="008E1B83"/>
    <w:rsid w:val="008E2334"/>
    <w:rsid w:val="008E263A"/>
    <w:rsid w:val="008E2AF7"/>
    <w:rsid w:val="008E55F3"/>
    <w:rsid w:val="008F0410"/>
    <w:rsid w:val="008F1D94"/>
    <w:rsid w:val="008F3083"/>
    <w:rsid w:val="008F3779"/>
    <w:rsid w:val="008F4AE1"/>
    <w:rsid w:val="008F56DA"/>
    <w:rsid w:val="009004B1"/>
    <w:rsid w:val="00901619"/>
    <w:rsid w:val="009058B9"/>
    <w:rsid w:val="00906E3D"/>
    <w:rsid w:val="0090736F"/>
    <w:rsid w:val="00907A32"/>
    <w:rsid w:val="009100EB"/>
    <w:rsid w:val="0091090E"/>
    <w:rsid w:val="00910933"/>
    <w:rsid w:val="00910BCB"/>
    <w:rsid w:val="00913476"/>
    <w:rsid w:val="00914728"/>
    <w:rsid w:val="009147B0"/>
    <w:rsid w:val="00915F95"/>
    <w:rsid w:val="00917AB4"/>
    <w:rsid w:val="009213C6"/>
    <w:rsid w:val="00921967"/>
    <w:rsid w:val="00922A0B"/>
    <w:rsid w:val="00923F8F"/>
    <w:rsid w:val="00926A01"/>
    <w:rsid w:val="0093078F"/>
    <w:rsid w:val="00931A04"/>
    <w:rsid w:val="00931F1C"/>
    <w:rsid w:val="00932172"/>
    <w:rsid w:val="00932DA9"/>
    <w:rsid w:val="00935382"/>
    <w:rsid w:val="00936A83"/>
    <w:rsid w:val="00936DE7"/>
    <w:rsid w:val="009378BD"/>
    <w:rsid w:val="00937BE5"/>
    <w:rsid w:val="00937D26"/>
    <w:rsid w:val="0094213A"/>
    <w:rsid w:val="0094217A"/>
    <w:rsid w:val="009435BD"/>
    <w:rsid w:val="00944A3E"/>
    <w:rsid w:val="00945A60"/>
    <w:rsid w:val="00947DA7"/>
    <w:rsid w:val="009510A1"/>
    <w:rsid w:val="00952817"/>
    <w:rsid w:val="00952C25"/>
    <w:rsid w:val="00954308"/>
    <w:rsid w:val="009566BC"/>
    <w:rsid w:val="00956C6D"/>
    <w:rsid w:val="00960C6B"/>
    <w:rsid w:val="00962BC5"/>
    <w:rsid w:val="00962DE8"/>
    <w:rsid w:val="00963243"/>
    <w:rsid w:val="00964E12"/>
    <w:rsid w:val="00965C10"/>
    <w:rsid w:val="00967916"/>
    <w:rsid w:val="00971442"/>
    <w:rsid w:val="00971493"/>
    <w:rsid w:val="0097340A"/>
    <w:rsid w:val="00975AFF"/>
    <w:rsid w:val="00981107"/>
    <w:rsid w:val="009820B7"/>
    <w:rsid w:val="00982439"/>
    <w:rsid w:val="00982C74"/>
    <w:rsid w:val="00986D84"/>
    <w:rsid w:val="009903BA"/>
    <w:rsid w:val="00990CD2"/>
    <w:rsid w:val="00991247"/>
    <w:rsid w:val="009919E4"/>
    <w:rsid w:val="0099350F"/>
    <w:rsid w:val="00993556"/>
    <w:rsid w:val="0099408E"/>
    <w:rsid w:val="009946E8"/>
    <w:rsid w:val="00996C4A"/>
    <w:rsid w:val="009A0DAA"/>
    <w:rsid w:val="009A0E05"/>
    <w:rsid w:val="009A3422"/>
    <w:rsid w:val="009A508A"/>
    <w:rsid w:val="009A50E4"/>
    <w:rsid w:val="009A50F5"/>
    <w:rsid w:val="009A542D"/>
    <w:rsid w:val="009A6124"/>
    <w:rsid w:val="009B028C"/>
    <w:rsid w:val="009B0D0D"/>
    <w:rsid w:val="009B1A39"/>
    <w:rsid w:val="009B1C6A"/>
    <w:rsid w:val="009B2617"/>
    <w:rsid w:val="009B4EFB"/>
    <w:rsid w:val="009B52FC"/>
    <w:rsid w:val="009B5488"/>
    <w:rsid w:val="009B5D0A"/>
    <w:rsid w:val="009B5D66"/>
    <w:rsid w:val="009B6A02"/>
    <w:rsid w:val="009B7798"/>
    <w:rsid w:val="009B77DD"/>
    <w:rsid w:val="009C00DF"/>
    <w:rsid w:val="009C06A3"/>
    <w:rsid w:val="009C0863"/>
    <w:rsid w:val="009C15C9"/>
    <w:rsid w:val="009C1667"/>
    <w:rsid w:val="009C48E4"/>
    <w:rsid w:val="009C609C"/>
    <w:rsid w:val="009C6724"/>
    <w:rsid w:val="009C6AAF"/>
    <w:rsid w:val="009D038F"/>
    <w:rsid w:val="009D04CC"/>
    <w:rsid w:val="009D3582"/>
    <w:rsid w:val="009D405D"/>
    <w:rsid w:val="009D44E3"/>
    <w:rsid w:val="009D59C9"/>
    <w:rsid w:val="009D6EA2"/>
    <w:rsid w:val="009D7D66"/>
    <w:rsid w:val="009E3C30"/>
    <w:rsid w:val="009E5E90"/>
    <w:rsid w:val="009E76FB"/>
    <w:rsid w:val="009E7D16"/>
    <w:rsid w:val="009F4088"/>
    <w:rsid w:val="009F671C"/>
    <w:rsid w:val="009F6786"/>
    <w:rsid w:val="009F702B"/>
    <w:rsid w:val="00A0037F"/>
    <w:rsid w:val="00A017A2"/>
    <w:rsid w:val="00A03107"/>
    <w:rsid w:val="00A033A8"/>
    <w:rsid w:val="00A03B45"/>
    <w:rsid w:val="00A04E1B"/>
    <w:rsid w:val="00A0708D"/>
    <w:rsid w:val="00A070CA"/>
    <w:rsid w:val="00A07471"/>
    <w:rsid w:val="00A078F7"/>
    <w:rsid w:val="00A10983"/>
    <w:rsid w:val="00A10C65"/>
    <w:rsid w:val="00A117C5"/>
    <w:rsid w:val="00A11DDF"/>
    <w:rsid w:val="00A12CAE"/>
    <w:rsid w:val="00A14EDE"/>
    <w:rsid w:val="00A171D1"/>
    <w:rsid w:val="00A20E88"/>
    <w:rsid w:val="00A211C4"/>
    <w:rsid w:val="00A24BDA"/>
    <w:rsid w:val="00A27A97"/>
    <w:rsid w:val="00A27FC5"/>
    <w:rsid w:val="00A314C1"/>
    <w:rsid w:val="00A35099"/>
    <w:rsid w:val="00A36187"/>
    <w:rsid w:val="00A375C9"/>
    <w:rsid w:val="00A40A69"/>
    <w:rsid w:val="00A41402"/>
    <w:rsid w:val="00A41536"/>
    <w:rsid w:val="00A43156"/>
    <w:rsid w:val="00A43C08"/>
    <w:rsid w:val="00A4496A"/>
    <w:rsid w:val="00A46989"/>
    <w:rsid w:val="00A47107"/>
    <w:rsid w:val="00A50591"/>
    <w:rsid w:val="00A514B2"/>
    <w:rsid w:val="00A52843"/>
    <w:rsid w:val="00A54CA7"/>
    <w:rsid w:val="00A55607"/>
    <w:rsid w:val="00A55DB3"/>
    <w:rsid w:val="00A55E57"/>
    <w:rsid w:val="00A6015B"/>
    <w:rsid w:val="00A61060"/>
    <w:rsid w:val="00A61686"/>
    <w:rsid w:val="00A61E01"/>
    <w:rsid w:val="00A62AFE"/>
    <w:rsid w:val="00A62D4D"/>
    <w:rsid w:val="00A6326C"/>
    <w:rsid w:val="00A640CA"/>
    <w:rsid w:val="00A66127"/>
    <w:rsid w:val="00A66B6C"/>
    <w:rsid w:val="00A700F7"/>
    <w:rsid w:val="00A70456"/>
    <w:rsid w:val="00A7077C"/>
    <w:rsid w:val="00A70BCC"/>
    <w:rsid w:val="00A716CE"/>
    <w:rsid w:val="00A72668"/>
    <w:rsid w:val="00A772B1"/>
    <w:rsid w:val="00A81DD7"/>
    <w:rsid w:val="00A82CE7"/>
    <w:rsid w:val="00A83218"/>
    <w:rsid w:val="00A86749"/>
    <w:rsid w:val="00A879A4"/>
    <w:rsid w:val="00A900CC"/>
    <w:rsid w:val="00A91DC6"/>
    <w:rsid w:val="00A91DFC"/>
    <w:rsid w:val="00A9421A"/>
    <w:rsid w:val="00A94439"/>
    <w:rsid w:val="00A9530C"/>
    <w:rsid w:val="00A9591D"/>
    <w:rsid w:val="00A976C7"/>
    <w:rsid w:val="00AA0CA9"/>
    <w:rsid w:val="00AA25BA"/>
    <w:rsid w:val="00AA34ED"/>
    <w:rsid w:val="00AA40BA"/>
    <w:rsid w:val="00AA42CC"/>
    <w:rsid w:val="00AA44B4"/>
    <w:rsid w:val="00AA743D"/>
    <w:rsid w:val="00AB0647"/>
    <w:rsid w:val="00AB07A4"/>
    <w:rsid w:val="00AB2D04"/>
    <w:rsid w:val="00AB32D7"/>
    <w:rsid w:val="00AB3B54"/>
    <w:rsid w:val="00AB494E"/>
    <w:rsid w:val="00AB58CB"/>
    <w:rsid w:val="00AB6A90"/>
    <w:rsid w:val="00AC02B7"/>
    <w:rsid w:val="00AC06B3"/>
    <w:rsid w:val="00AC4901"/>
    <w:rsid w:val="00AC51DA"/>
    <w:rsid w:val="00AC5E33"/>
    <w:rsid w:val="00AC6CE8"/>
    <w:rsid w:val="00AC726A"/>
    <w:rsid w:val="00AC7547"/>
    <w:rsid w:val="00AC76D1"/>
    <w:rsid w:val="00AD11C9"/>
    <w:rsid w:val="00AD285D"/>
    <w:rsid w:val="00AD3A94"/>
    <w:rsid w:val="00AD3DAC"/>
    <w:rsid w:val="00AD4EF4"/>
    <w:rsid w:val="00AD5E0B"/>
    <w:rsid w:val="00AD5EA1"/>
    <w:rsid w:val="00AD7592"/>
    <w:rsid w:val="00AD7CCC"/>
    <w:rsid w:val="00AE09CE"/>
    <w:rsid w:val="00AE114E"/>
    <w:rsid w:val="00AE1E9B"/>
    <w:rsid w:val="00AE2502"/>
    <w:rsid w:val="00AE3AF7"/>
    <w:rsid w:val="00AE4EFA"/>
    <w:rsid w:val="00AE641A"/>
    <w:rsid w:val="00AE6710"/>
    <w:rsid w:val="00AE7328"/>
    <w:rsid w:val="00AF09C5"/>
    <w:rsid w:val="00AF1263"/>
    <w:rsid w:val="00AF1730"/>
    <w:rsid w:val="00AF2FD5"/>
    <w:rsid w:val="00AF3C16"/>
    <w:rsid w:val="00AF4ADC"/>
    <w:rsid w:val="00AF6CE3"/>
    <w:rsid w:val="00AF6D70"/>
    <w:rsid w:val="00B01BFF"/>
    <w:rsid w:val="00B01FE1"/>
    <w:rsid w:val="00B03734"/>
    <w:rsid w:val="00B04C51"/>
    <w:rsid w:val="00B102FE"/>
    <w:rsid w:val="00B104F6"/>
    <w:rsid w:val="00B10EDC"/>
    <w:rsid w:val="00B11F76"/>
    <w:rsid w:val="00B1338C"/>
    <w:rsid w:val="00B1455E"/>
    <w:rsid w:val="00B148C0"/>
    <w:rsid w:val="00B154B5"/>
    <w:rsid w:val="00B15946"/>
    <w:rsid w:val="00B15F21"/>
    <w:rsid w:val="00B16D5B"/>
    <w:rsid w:val="00B17322"/>
    <w:rsid w:val="00B17971"/>
    <w:rsid w:val="00B2142A"/>
    <w:rsid w:val="00B21C95"/>
    <w:rsid w:val="00B21CC5"/>
    <w:rsid w:val="00B21F58"/>
    <w:rsid w:val="00B2325C"/>
    <w:rsid w:val="00B23EBC"/>
    <w:rsid w:val="00B25681"/>
    <w:rsid w:val="00B26225"/>
    <w:rsid w:val="00B26438"/>
    <w:rsid w:val="00B26FF1"/>
    <w:rsid w:val="00B312BE"/>
    <w:rsid w:val="00B319BB"/>
    <w:rsid w:val="00B31B1B"/>
    <w:rsid w:val="00B32BDF"/>
    <w:rsid w:val="00B35883"/>
    <w:rsid w:val="00B35AE4"/>
    <w:rsid w:val="00B37F64"/>
    <w:rsid w:val="00B40548"/>
    <w:rsid w:val="00B40C1B"/>
    <w:rsid w:val="00B42AC6"/>
    <w:rsid w:val="00B4384C"/>
    <w:rsid w:val="00B43AD8"/>
    <w:rsid w:val="00B43C84"/>
    <w:rsid w:val="00B44AD2"/>
    <w:rsid w:val="00B46D3C"/>
    <w:rsid w:val="00B470E9"/>
    <w:rsid w:val="00B472EC"/>
    <w:rsid w:val="00B47D8C"/>
    <w:rsid w:val="00B50EEE"/>
    <w:rsid w:val="00B52185"/>
    <w:rsid w:val="00B5320F"/>
    <w:rsid w:val="00B556BE"/>
    <w:rsid w:val="00B55843"/>
    <w:rsid w:val="00B55EA7"/>
    <w:rsid w:val="00B56D7B"/>
    <w:rsid w:val="00B57905"/>
    <w:rsid w:val="00B602E3"/>
    <w:rsid w:val="00B60F1C"/>
    <w:rsid w:val="00B62E6F"/>
    <w:rsid w:val="00B6302B"/>
    <w:rsid w:val="00B639BF"/>
    <w:rsid w:val="00B67430"/>
    <w:rsid w:val="00B70484"/>
    <w:rsid w:val="00B70ECC"/>
    <w:rsid w:val="00B70EE6"/>
    <w:rsid w:val="00B7117F"/>
    <w:rsid w:val="00B718C2"/>
    <w:rsid w:val="00B72364"/>
    <w:rsid w:val="00B72443"/>
    <w:rsid w:val="00B72613"/>
    <w:rsid w:val="00B72D11"/>
    <w:rsid w:val="00B72D5C"/>
    <w:rsid w:val="00B7358C"/>
    <w:rsid w:val="00B73766"/>
    <w:rsid w:val="00B74D57"/>
    <w:rsid w:val="00B754D4"/>
    <w:rsid w:val="00B755C4"/>
    <w:rsid w:val="00B76E1A"/>
    <w:rsid w:val="00B776C5"/>
    <w:rsid w:val="00B77FC4"/>
    <w:rsid w:val="00B80409"/>
    <w:rsid w:val="00B80E31"/>
    <w:rsid w:val="00B81425"/>
    <w:rsid w:val="00B825A6"/>
    <w:rsid w:val="00B8287F"/>
    <w:rsid w:val="00B82F0C"/>
    <w:rsid w:val="00B84090"/>
    <w:rsid w:val="00B861B8"/>
    <w:rsid w:val="00B8653C"/>
    <w:rsid w:val="00B8689A"/>
    <w:rsid w:val="00B9104B"/>
    <w:rsid w:val="00B915F5"/>
    <w:rsid w:val="00B93BB9"/>
    <w:rsid w:val="00B94971"/>
    <w:rsid w:val="00BA06AD"/>
    <w:rsid w:val="00BA0C91"/>
    <w:rsid w:val="00BA146D"/>
    <w:rsid w:val="00BA1C08"/>
    <w:rsid w:val="00BA2949"/>
    <w:rsid w:val="00BA741E"/>
    <w:rsid w:val="00BB3C3E"/>
    <w:rsid w:val="00BB54EA"/>
    <w:rsid w:val="00BB6777"/>
    <w:rsid w:val="00BC15D5"/>
    <w:rsid w:val="00BC28E1"/>
    <w:rsid w:val="00BC3E4C"/>
    <w:rsid w:val="00BC4C6E"/>
    <w:rsid w:val="00BC794B"/>
    <w:rsid w:val="00BD074C"/>
    <w:rsid w:val="00BD2640"/>
    <w:rsid w:val="00BD2868"/>
    <w:rsid w:val="00BD3822"/>
    <w:rsid w:val="00BD3D5C"/>
    <w:rsid w:val="00BD4EDE"/>
    <w:rsid w:val="00BD5733"/>
    <w:rsid w:val="00BD58B9"/>
    <w:rsid w:val="00BD593D"/>
    <w:rsid w:val="00BD7141"/>
    <w:rsid w:val="00BE0432"/>
    <w:rsid w:val="00BE09C6"/>
    <w:rsid w:val="00BE0CEF"/>
    <w:rsid w:val="00BE0D8B"/>
    <w:rsid w:val="00BE168A"/>
    <w:rsid w:val="00BE1812"/>
    <w:rsid w:val="00BE2547"/>
    <w:rsid w:val="00BE2C7E"/>
    <w:rsid w:val="00BE49AA"/>
    <w:rsid w:val="00BE5202"/>
    <w:rsid w:val="00BE5B26"/>
    <w:rsid w:val="00BF1521"/>
    <w:rsid w:val="00BF31FC"/>
    <w:rsid w:val="00BF435A"/>
    <w:rsid w:val="00BF51F4"/>
    <w:rsid w:val="00BF5A4B"/>
    <w:rsid w:val="00BF5AFB"/>
    <w:rsid w:val="00BF6870"/>
    <w:rsid w:val="00C0059B"/>
    <w:rsid w:val="00C0159F"/>
    <w:rsid w:val="00C028A3"/>
    <w:rsid w:val="00C035E2"/>
    <w:rsid w:val="00C03BAD"/>
    <w:rsid w:val="00C042A5"/>
    <w:rsid w:val="00C0445C"/>
    <w:rsid w:val="00C045E9"/>
    <w:rsid w:val="00C0477C"/>
    <w:rsid w:val="00C04FDF"/>
    <w:rsid w:val="00C058C4"/>
    <w:rsid w:val="00C07207"/>
    <w:rsid w:val="00C12551"/>
    <w:rsid w:val="00C15B58"/>
    <w:rsid w:val="00C16089"/>
    <w:rsid w:val="00C1612A"/>
    <w:rsid w:val="00C224F1"/>
    <w:rsid w:val="00C233E7"/>
    <w:rsid w:val="00C24285"/>
    <w:rsid w:val="00C24379"/>
    <w:rsid w:val="00C275C9"/>
    <w:rsid w:val="00C27A73"/>
    <w:rsid w:val="00C27CBF"/>
    <w:rsid w:val="00C301DC"/>
    <w:rsid w:val="00C30A3A"/>
    <w:rsid w:val="00C33788"/>
    <w:rsid w:val="00C35C67"/>
    <w:rsid w:val="00C36729"/>
    <w:rsid w:val="00C376CD"/>
    <w:rsid w:val="00C37850"/>
    <w:rsid w:val="00C41BD4"/>
    <w:rsid w:val="00C41C06"/>
    <w:rsid w:val="00C424C5"/>
    <w:rsid w:val="00C43C31"/>
    <w:rsid w:val="00C43E89"/>
    <w:rsid w:val="00C43E8A"/>
    <w:rsid w:val="00C47E86"/>
    <w:rsid w:val="00C50038"/>
    <w:rsid w:val="00C50D21"/>
    <w:rsid w:val="00C50FE2"/>
    <w:rsid w:val="00C5454A"/>
    <w:rsid w:val="00C56AD9"/>
    <w:rsid w:val="00C60F5A"/>
    <w:rsid w:val="00C667EC"/>
    <w:rsid w:val="00C66E57"/>
    <w:rsid w:val="00C67509"/>
    <w:rsid w:val="00C678DD"/>
    <w:rsid w:val="00C7068C"/>
    <w:rsid w:val="00C7072B"/>
    <w:rsid w:val="00C70A23"/>
    <w:rsid w:val="00C7327A"/>
    <w:rsid w:val="00C76A1C"/>
    <w:rsid w:val="00C80B21"/>
    <w:rsid w:val="00C81A50"/>
    <w:rsid w:val="00C82235"/>
    <w:rsid w:val="00C829D3"/>
    <w:rsid w:val="00C846E9"/>
    <w:rsid w:val="00C84B66"/>
    <w:rsid w:val="00C87557"/>
    <w:rsid w:val="00C91558"/>
    <w:rsid w:val="00C9343E"/>
    <w:rsid w:val="00C9379C"/>
    <w:rsid w:val="00C945B1"/>
    <w:rsid w:val="00C95114"/>
    <w:rsid w:val="00C959E3"/>
    <w:rsid w:val="00C95D8D"/>
    <w:rsid w:val="00C95E26"/>
    <w:rsid w:val="00C9602B"/>
    <w:rsid w:val="00C96BDD"/>
    <w:rsid w:val="00C96D40"/>
    <w:rsid w:val="00C97689"/>
    <w:rsid w:val="00CA1F1A"/>
    <w:rsid w:val="00CA2494"/>
    <w:rsid w:val="00CA2626"/>
    <w:rsid w:val="00CA467B"/>
    <w:rsid w:val="00CA53CE"/>
    <w:rsid w:val="00CB2BEB"/>
    <w:rsid w:val="00CB3382"/>
    <w:rsid w:val="00CB4C10"/>
    <w:rsid w:val="00CB6C41"/>
    <w:rsid w:val="00CC00E8"/>
    <w:rsid w:val="00CC0B95"/>
    <w:rsid w:val="00CC1CDC"/>
    <w:rsid w:val="00CC1DD3"/>
    <w:rsid w:val="00CC29E6"/>
    <w:rsid w:val="00CC3154"/>
    <w:rsid w:val="00CC429F"/>
    <w:rsid w:val="00CC42B0"/>
    <w:rsid w:val="00CC63CD"/>
    <w:rsid w:val="00CC65AF"/>
    <w:rsid w:val="00CC6CD8"/>
    <w:rsid w:val="00CC709A"/>
    <w:rsid w:val="00CC7EB2"/>
    <w:rsid w:val="00CD0E55"/>
    <w:rsid w:val="00CE197C"/>
    <w:rsid w:val="00CE29AB"/>
    <w:rsid w:val="00CE3937"/>
    <w:rsid w:val="00CE3B14"/>
    <w:rsid w:val="00CE3BF3"/>
    <w:rsid w:val="00CE4343"/>
    <w:rsid w:val="00CE44F5"/>
    <w:rsid w:val="00CE57A5"/>
    <w:rsid w:val="00CE5919"/>
    <w:rsid w:val="00CE5D54"/>
    <w:rsid w:val="00CE634A"/>
    <w:rsid w:val="00CF11B3"/>
    <w:rsid w:val="00CF1FCE"/>
    <w:rsid w:val="00CF2A2C"/>
    <w:rsid w:val="00CF2FAC"/>
    <w:rsid w:val="00CF34E2"/>
    <w:rsid w:val="00CF56CF"/>
    <w:rsid w:val="00CF69BC"/>
    <w:rsid w:val="00D00A4E"/>
    <w:rsid w:val="00D02B41"/>
    <w:rsid w:val="00D02FD5"/>
    <w:rsid w:val="00D03170"/>
    <w:rsid w:val="00D03239"/>
    <w:rsid w:val="00D0337B"/>
    <w:rsid w:val="00D057E0"/>
    <w:rsid w:val="00D10573"/>
    <w:rsid w:val="00D120CA"/>
    <w:rsid w:val="00D121DD"/>
    <w:rsid w:val="00D13518"/>
    <w:rsid w:val="00D137F3"/>
    <w:rsid w:val="00D140B2"/>
    <w:rsid w:val="00D15FBA"/>
    <w:rsid w:val="00D16D50"/>
    <w:rsid w:val="00D17B17"/>
    <w:rsid w:val="00D20EFE"/>
    <w:rsid w:val="00D229F3"/>
    <w:rsid w:val="00D2488F"/>
    <w:rsid w:val="00D26221"/>
    <w:rsid w:val="00D26736"/>
    <w:rsid w:val="00D30D89"/>
    <w:rsid w:val="00D31B41"/>
    <w:rsid w:val="00D33AA3"/>
    <w:rsid w:val="00D33F33"/>
    <w:rsid w:val="00D34940"/>
    <w:rsid w:val="00D34B45"/>
    <w:rsid w:val="00D34CBC"/>
    <w:rsid w:val="00D35A74"/>
    <w:rsid w:val="00D36009"/>
    <w:rsid w:val="00D3660B"/>
    <w:rsid w:val="00D369A2"/>
    <w:rsid w:val="00D36B10"/>
    <w:rsid w:val="00D376B6"/>
    <w:rsid w:val="00D401C9"/>
    <w:rsid w:val="00D404B2"/>
    <w:rsid w:val="00D4168E"/>
    <w:rsid w:val="00D4743E"/>
    <w:rsid w:val="00D47BB3"/>
    <w:rsid w:val="00D51880"/>
    <w:rsid w:val="00D53325"/>
    <w:rsid w:val="00D53841"/>
    <w:rsid w:val="00D543E1"/>
    <w:rsid w:val="00D5707F"/>
    <w:rsid w:val="00D57396"/>
    <w:rsid w:val="00D57BDF"/>
    <w:rsid w:val="00D6061A"/>
    <w:rsid w:val="00D6069F"/>
    <w:rsid w:val="00D6167C"/>
    <w:rsid w:val="00D61F00"/>
    <w:rsid w:val="00D62D3B"/>
    <w:rsid w:val="00D62F65"/>
    <w:rsid w:val="00D64AB7"/>
    <w:rsid w:val="00D66516"/>
    <w:rsid w:val="00D67C0C"/>
    <w:rsid w:val="00D73F75"/>
    <w:rsid w:val="00D75377"/>
    <w:rsid w:val="00D770AB"/>
    <w:rsid w:val="00D77932"/>
    <w:rsid w:val="00D8176C"/>
    <w:rsid w:val="00D82678"/>
    <w:rsid w:val="00D83055"/>
    <w:rsid w:val="00D87315"/>
    <w:rsid w:val="00D9173A"/>
    <w:rsid w:val="00D92E7C"/>
    <w:rsid w:val="00D9491D"/>
    <w:rsid w:val="00D97F02"/>
    <w:rsid w:val="00DA0766"/>
    <w:rsid w:val="00DA126B"/>
    <w:rsid w:val="00DA19F7"/>
    <w:rsid w:val="00DA6247"/>
    <w:rsid w:val="00DA7635"/>
    <w:rsid w:val="00DB2867"/>
    <w:rsid w:val="00DB297C"/>
    <w:rsid w:val="00DB4344"/>
    <w:rsid w:val="00DB48CF"/>
    <w:rsid w:val="00DB58D3"/>
    <w:rsid w:val="00DB6903"/>
    <w:rsid w:val="00DB7186"/>
    <w:rsid w:val="00DC0086"/>
    <w:rsid w:val="00DC0473"/>
    <w:rsid w:val="00DC2146"/>
    <w:rsid w:val="00DC3C55"/>
    <w:rsid w:val="00DC559D"/>
    <w:rsid w:val="00DC5C5D"/>
    <w:rsid w:val="00DC5D0F"/>
    <w:rsid w:val="00DC6A2F"/>
    <w:rsid w:val="00DC7558"/>
    <w:rsid w:val="00DD1440"/>
    <w:rsid w:val="00DD1C3C"/>
    <w:rsid w:val="00DD1C4D"/>
    <w:rsid w:val="00DD20E9"/>
    <w:rsid w:val="00DD2196"/>
    <w:rsid w:val="00DD312D"/>
    <w:rsid w:val="00DD3299"/>
    <w:rsid w:val="00DD3313"/>
    <w:rsid w:val="00DD3C12"/>
    <w:rsid w:val="00DD4DDE"/>
    <w:rsid w:val="00DD65AE"/>
    <w:rsid w:val="00DD7A70"/>
    <w:rsid w:val="00DE0317"/>
    <w:rsid w:val="00DE06CC"/>
    <w:rsid w:val="00DE06F4"/>
    <w:rsid w:val="00DE0FE9"/>
    <w:rsid w:val="00DE1BA0"/>
    <w:rsid w:val="00DE2A1D"/>
    <w:rsid w:val="00DE6540"/>
    <w:rsid w:val="00DE7ED9"/>
    <w:rsid w:val="00DF04DC"/>
    <w:rsid w:val="00DF05A0"/>
    <w:rsid w:val="00DF0EDB"/>
    <w:rsid w:val="00DF28B1"/>
    <w:rsid w:val="00DF34A7"/>
    <w:rsid w:val="00DF376E"/>
    <w:rsid w:val="00DF3B9F"/>
    <w:rsid w:val="00DF50B3"/>
    <w:rsid w:val="00DF5E1F"/>
    <w:rsid w:val="00DF7B53"/>
    <w:rsid w:val="00E0036B"/>
    <w:rsid w:val="00E019E6"/>
    <w:rsid w:val="00E01F18"/>
    <w:rsid w:val="00E0237B"/>
    <w:rsid w:val="00E05F1F"/>
    <w:rsid w:val="00E1091C"/>
    <w:rsid w:val="00E1103C"/>
    <w:rsid w:val="00E11398"/>
    <w:rsid w:val="00E1222B"/>
    <w:rsid w:val="00E1378E"/>
    <w:rsid w:val="00E13C7D"/>
    <w:rsid w:val="00E14DC8"/>
    <w:rsid w:val="00E150A1"/>
    <w:rsid w:val="00E2020C"/>
    <w:rsid w:val="00E21EE6"/>
    <w:rsid w:val="00E2254B"/>
    <w:rsid w:val="00E258EB"/>
    <w:rsid w:val="00E25B93"/>
    <w:rsid w:val="00E27780"/>
    <w:rsid w:val="00E33279"/>
    <w:rsid w:val="00E3327C"/>
    <w:rsid w:val="00E33F16"/>
    <w:rsid w:val="00E34012"/>
    <w:rsid w:val="00E34062"/>
    <w:rsid w:val="00E34093"/>
    <w:rsid w:val="00E34784"/>
    <w:rsid w:val="00E34BEA"/>
    <w:rsid w:val="00E3502B"/>
    <w:rsid w:val="00E35393"/>
    <w:rsid w:val="00E35826"/>
    <w:rsid w:val="00E36FC7"/>
    <w:rsid w:val="00E37F7B"/>
    <w:rsid w:val="00E42DF8"/>
    <w:rsid w:val="00E43C7D"/>
    <w:rsid w:val="00E4508C"/>
    <w:rsid w:val="00E46574"/>
    <w:rsid w:val="00E47F0D"/>
    <w:rsid w:val="00E51953"/>
    <w:rsid w:val="00E54160"/>
    <w:rsid w:val="00E544FA"/>
    <w:rsid w:val="00E54534"/>
    <w:rsid w:val="00E54660"/>
    <w:rsid w:val="00E5528A"/>
    <w:rsid w:val="00E55476"/>
    <w:rsid w:val="00E556F6"/>
    <w:rsid w:val="00E55D81"/>
    <w:rsid w:val="00E57FBE"/>
    <w:rsid w:val="00E64375"/>
    <w:rsid w:val="00E65BFD"/>
    <w:rsid w:val="00E66CD4"/>
    <w:rsid w:val="00E715BB"/>
    <w:rsid w:val="00E71860"/>
    <w:rsid w:val="00E72652"/>
    <w:rsid w:val="00E72B21"/>
    <w:rsid w:val="00E72E99"/>
    <w:rsid w:val="00E73F72"/>
    <w:rsid w:val="00E7681B"/>
    <w:rsid w:val="00E777CF"/>
    <w:rsid w:val="00E806CA"/>
    <w:rsid w:val="00E811A4"/>
    <w:rsid w:val="00E826B2"/>
    <w:rsid w:val="00E87021"/>
    <w:rsid w:val="00E872A9"/>
    <w:rsid w:val="00E91407"/>
    <w:rsid w:val="00E9283A"/>
    <w:rsid w:val="00E931C9"/>
    <w:rsid w:val="00E938A7"/>
    <w:rsid w:val="00E94AF7"/>
    <w:rsid w:val="00E95395"/>
    <w:rsid w:val="00E95AC1"/>
    <w:rsid w:val="00EA01D7"/>
    <w:rsid w:val="00EA0C2B"/>
    <w:rsid w:val="00EA2497"/>
    <w:rsid w:val="00EA2A70"/>
    <w:rsid w:val="00EA7EA1"/>
    <w:rsid w:val="00EB1336"/>
    <w:rsid w:val="00EB177D"/>
    <w:rsid w:val="00EB2A7A"/>
    <w:rsid w:val="00EB421C"/>
    <w:rsid w:val="00EB48DA"/>
    <w:rsid w:val="00EB498E"/>
    <w:rsid w:val="00EB55A1"/>
    <w:rsid w:val="00EB620E"/>
    <w:rsid w:val="00EB7397"/>
    <w:rsid w:val="00EC28B9"/>
    <w:rsid w:val="00EC4A12"/>
    <w:rsid w:val="00EC74D6"/>
    <w:rsid w:val="00ED0B14"/>
    <w:rsid w:val="00ED1616"/>
    <w:rsid w:val="00ED1D8C"/>
    <w:rsid w:val="00ED6CBD"/>
    <w:rsid w:val="00ED7EF4"/>
    <w:rsid w:val="00EE1A85"/>
    <w:rsid w:val="00EE3C5B"/>
    <w:rsid w:val="00EE4902"/>
    <w:rsid w:val="00EE60CF"/>
    <w:rsid w:val="00EF2F3A"/>
    <w:rsid w:val="00EF3683"/>
    <w:rsid w:val="00EF4EF4"/>
    <w:rsid w:val="00EF5A84"/>
    <w:rsid w:val="00EF601F"/>
    <w:rsid w:val="00EF60F8"/>
    <w:rsid w:val="00EF69C2"/>
    <w:rsid w:val="00EF77B1"/>
    <w:rsid w:val="00F02249"/>
    <w:rsid w:val="00F03524"/>
    <w:rsid w:val="00F035DD"/>
    <w:rsid w:val="00F05A67"/>
    <w:rsid w:val="00F06385"/>
    <w:rsid w:val="00F109C7"/>
    <w:rsid w:val="00F11DDE"/>
    <w:rsid w:val="00F12B6C"/>
    <w:rsid w:val="00F13663"/>
    <w:rsid w:val="00F14A68"/>
    <w:rsid w:val="00F169C2"/>
    <w:rsid w:val="00F2030E"/>
    <w:rsid w:val="00F215DE"/>
    <w:rsid w:val="00F23060"/>
    <w:rsid w:val="00F23835"/>
    <w:rsid w:val="00F266D1"/>
    <w:rsid w:val="00F3045A"/>
    <w:rsid w:val="00F32A28"/>
    <w:rsid w:val="00F34CC6"/>
    <w:rsid w:val="00F37732"/>
    <w:rsid w:val="00F40ABA"/>
    <w:rsid w:val="00F40DFA"/>
    <w:rsid w:val="00F449DD"/>
    <w:rsid w:val="00F468BE"/>
    <w:rsid w:val="00F46963"/>
    <w:rsid w:val="00F473BD"/>
    <w:rsid w:val="00F514AF"/>
    <w:rsid w:val="00F539E5"/>
    <w:rsid w:val="00F54A99"/>
    <w:rsid w:val="00F55CEF"/>
    <w:rsid w:val="00F56D9E"/>
    <w:rsid w:val="00F573E6"/>
    <w:rsid w:val="00F60022"/>
    <w:rsid w:val="00F6081B"/>
    <w:rsid w:val="00F60D7C"/>
    <w:rsid w:val="00F612D4"/>
    <w:rsid w:val="00F639C4"/>
    <w:rsid w:val="00F6401E"/>
    <w:rsid w:val="00F65507"/>
    <w:rsid w:val="00F65F59"/>
    <w:rsid w:val="00F67160"/>
    <w:rsid w:val="00F67CE1"/>
    <w:rsid w:val="00F708C8"/>
    <w:rsid w:val="00F7144B"/>
    <w:rsid w:val="00F754FF"/>
    <w:rsid w:val="00F758CE"/>
    <w:rsid w:val="00F75C5F"/>
    <w:rsid w:val="00F805D0"/>
    <w:rsid w:val="00F815D2"/>
    <w:rsid w:val="00F85A77"/>
    <w:rsid w:val="00F86B08"/>
    <w:rsid w:val="00F87A7C"/>
    <w:rsid w:val="00F87E27"/>
    <w:rsid w:val="00F92702"/>
    <w:rsid w:val="00F934CE"/>
    <w:rsid w:val="00F939BA"/>
    <w:rsid w:val="00F9762C"/>
    <w:rsid w:val="00F97A85"/>
    <w:rsid w:val="00F97BCE"/>
    <w:rsid w:val="00FA0A56"/>
    <w:rsid w:val="00FA1AF0"/>
    <w:rsid w:val="00FA1C2E"/>
    <w:rsid w:val="00FA2C62"/>
    <w:rsid w:val="00FA3D6A"/>
    <w:rsid w:val="00FA4449"/>
    <w:rsid w:val="00FA4A26"/>
    <w:rsid w:val="00FA6096"/>
    <w:rsid w:val="00FA79D1"/>
    <w:rsid w:val="00FA7CB9"/>
    <w:rsid w:val="00FB05D8"/>
    <w:rsid w:val="00FB5D75"/>
    <w:rsid w:val="00FC06D9"/>
    <w:rsid w:val="00FC0DF2"/>
    <w:rsid w:val="00FC0F8B"/>
    <w:rsid w:val="00FC1A2C"/>
    <w:rsid w:val="00FC26F5"/>
    <w:rsid w:val="00FC27E2"/>
    <w:rsid w:val="00FC3C98"/>
    <w:rsid w:val="00FC5989"/>
    <w:rsid w:val="00FC687D"/>
    <w:rsid w:val="00FC7A47"/>
    <w:rsid w:val="00FD1F7F"/>
    <w:rsid w:val="00FD281A"/>
    <w:rsid w:val="00FD331D"/>
    <w:rsid w:val="00FD4390"/>
    <w:rsid w:val="00FD51ED"/>
    <w:rsid w:val="00FD5F26"/>
    <w:rsid w:val="00FD63E0"/>
    <w:rsid w:val="00FD7A22"/>
    <w:rsid w:val="00FE00F1"/>
    <w:rsid w:val="00FE11A1"/>
    <w:rsid w:val="00FE1D72"/>
    <w:rsid w:val="00FE243C"/>
    <w:rsid w:val="00FE3214"/>
    <w:rsid w:val="00FE3312"/>
    <w:rsid w:val="00FE3442"/>
    <w:rsid w:val="00FE396E"/>
    <w:rsid w:val="00FE455B"/>
    <w:rsid w:val="00FE5583"/>
    <w:rsid w:val="00FE6075"/>
    <w:rsid w:val="00FE6F18"/>
    <w:rsid w:val="00FE7816"/>
    <w:rsid w:val="00FE7BD4"/>
    <w:rsid w:val="00FF0547"/>
    <w:rsid w:val="00FF1093"/>
    <w:rsid w:val="00FF1DAF"/>
    <w:rsid w:val="00FF2BBB"/>
    <w:rsid w:val="00FF3B8C"/>
    <w:rsid w:val="00FF4078"/>
    <w:rsid w:val="00FF5697"/>
    <w:rsid w:val="00FF5B00"/>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657">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E25B93"/>
    <w:pPr>
      <w:keepNext/>
      <w:numPr>
        <w:ilvl w:val="2"/>
        <w:numId w:val="24"/>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E25B93"/>
    <w:pPr>
      <w:keepNext/>
      <w:numPr>
        <w:ilvl w:val="3"/>
        <w:numId w:val="24"/>
      </w:numPr>
      <w:tabs>
        <w:tab w:val="left" w:pos="1021"/>
      </w:tabs>
      <w:spacing w:before="240"/>
      <w:ind w:left="862" w:hanging="862"/>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E25B9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E25B9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8C6B1B"/>
    <w:pPr>
      <w:keepNext/>
      <w:spacing w:before="120" w:after="120" w:line="240" w:lineRule="auto"/>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8C6B1B"/>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536EBE"/>
    <w:pPr>
      <w:spacing w:before="60" w:after="60" w:line="240" w:lineRule="auto"/>
    </w:pPr>
    <w:rPr>
      <w:sz w:val="18"/>
    </w:rPr>
  </w:style>
  <w:style w:type="paragraph" w:customStyle="1" w:styleId="tablebodycentered">
    <w:name w:val="table body centered"/>
    <w:basedOn w:val="tablebody"/>
    <w:link w:val="tablebodycenteredChar"/>
    <w:qFormat/>
    <w:rsid w:val="00536EBE"/>
    <w:pPr>
      <w:jc w:val="center"/>
    </w:pPr>
  </w:style>
  <w:style w:type="character" w:customStyle="1" w:styleId="tablebodyChar">
    <w:name w:val="table body Char"/>
    <w:basedOn w:val="DefaultParagraphFont"/>
    <w:link w:val="tablebody"/>
    <w:rsid w:val="00536EBE"/>
    <w:rPr>
      <w:rFonts w:ascii="Arial" w:hAnsi="Arial"/>
      <w:sz w:val="18"/>
    </w:rPr>
  </w:style>
  <w:style w:type="character" w:customStyle="1" w:styleId="tablebodycenteredChar">
    <w:name w:val="table body centered Char"/>
    <w:basedOn w:val="tablebodyChar"/>
    <w:link w:val="tablebodycentered"/>
    <w:rsid w:val="00536EBE"/>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536EBE"/>
    <w:pPr>
      <w:spacing w:before="120" w:after="120"/>
    </w:pPr>
  </w:style>
  <w:style w:type="character" w:customStyle="1" w:styleId="AERBodyChar">
    <w:name w:val="AER Body Char"/>
    <w:basedOn w:val="DefaultParagraphFont"/>
    <w:link w:val="AERBody"/>
    <w:rsid w:val="00536EBE"/>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displayonly">
    <w:name w:val="display_only"/>
    <w:basedOn w:val="DefaultParagraphFont"/>
    <w:rsid w:val="0062620B"/>
  </w:style>
  <w:style w:type="paragraph" w:customStyle="1" w:styleId="BodyText1">
    <w:name w:val="Body Text1"/>
    <w:basedOn w:val="Normal"/>
    <w:link w:val="bodytextChar"/>
    <w:qFormat/>
    <w:rsid w:val="00230764"/>
  </w:style>
  <w:style w:type="character" w:customStyle="1" w:styleId="bodytextChar">
    <w:name w:val="body text Char"/>
    <w:basedOn w:val="DefaultParagraphFont"/>
    <w:link w:val="BodyText1"/>
    <w:rsid w:val="00230764"/>
    <w:rPr>
      <w:rFonts w:ascii="Arial" w:hAnsi="Arial"/>
    </w:rPr>
  </w:style>
  <w:style w:type="paragraph" w:customStyle="1" w:styleId="Default">
    <w:name w:val="Default"/>
    <w:rsid w:val="00B5320F"/>
    <w:pPr>
      <w:autoSpaceDE w:val="0"/>
      <w:autoSpaceDN w:val="0"/>
      <w:adjustRightInd w:val="0"/>
      <w:spacing w:before="0"/>
    </w:pPr>
    <w:rPr>
      <w:rFonts w:ascii="Arial" w:hAnsi="Arial" w:cs="Arial"/>
      <w:color w:val="000000"/>
      <w:sz w:val="24"/>
      <w:szCs w:val="24"/>
    </w:rPr>
  </w:style>
  <w:style w:type="character" w:customStyle="1" w:styleId="AERbodyChar0">
    <w:name w:val="AER body Char"/>
    <w:basedOn w:val="DefaultParagraphFont"/>
    <w:link w:val="AERbody0"/>
    <w:locked/>
    <w:rsid w:val="00FC06D9"/>
    <w:rPr>
      <w:rFonts w:ascii="Arial" w:hAnsi="Arial" w:cs="Arial"/>
    </w:rPr>
  </w:style>
  <w:style w:type="paragraph" w:customStyle="1" w:styleId="AERbody0">
    <w:name w:val="AER body"/>
    <w:basedOn w:val="Normal"/>
    <w:link w:val="AERbodyChar0"/>
    <w:rsid w:val="00FC06D9"/>
    <w:rPr>
      <w:rFonts w:cs="Arial"/>
    </w:rPr>
  </w:style>
  <w:style w:type="paragraph" w:customStyle="1" w:styleId="Numbered1">
    <w:name w:val="Numbered 1"/>
    <w:basedOn w:val="Heading1"/>
    <w:next w:val="Normal"/>
    <w:qFormat/>
    <w:rsid w:val="007E6689"/>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7E6689"/>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7E6689"/>
    <w:pPr>
      <w:keepNext w:val="0"/>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7E6689"/>
    <w:pPr>
      <w:keepNext w:val="0"/>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7E6689"/>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7E6689"/>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7E6689"/>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7E6689"/>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7E6689"/>
    <w:pPr>
      <w:numPr>
        <w:ilvl w:val="0"/>
        <w:numId w:val="0"/>
      </w:numPr>
      <w:tabs>
        <w:tab w:val="clear" w:pos="1701"/>
        <w:tab w:val="left" w:pos="340"/>
        <w:tab w:val="left" w:pos="2381"/>
      </w:tabs>
      <w:spacing w:after="120"/>
      <w:ind w:left="2381" w:hanging="2381"/>
    </w:pPr>
    <w:rPr>
      <w:b/>
      <w:i w:val="0"/>
      <w:color w:val="076A92"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E25B93"/>
    <w:pPr>
      <w:keepNext/>
      <w:numPr>
        <w:ilvl w:val="2"/>
        <w:numId w:val="24"/>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E25B93"/>
    <w:pPr>
      <w:keepNext/>
      <w:numPr>
        <w:ilvl w:val="3"/>
        <w:numId w:val="24"/>
      </w:numPr>
      <w:tabs>
        <w:tab w:val="left" w:pos="1021"/>
      </w:tabs>
      <w:spacing w:before="240"/>
      <w:ind w:left="862" w:hanging="862"/>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E25B9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E25B9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8C6B1B"/>
    <w:pPr>
      <w:keepNext/>
      <w:spacing w:before="120" w:after="120" w:line="240" w:lineRule="auto"/>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8C6B1B"/>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536EBE"/>
    <w:pPr>
      <w:spacing w:before="60" w:after="60" w:line="240" w:lineRule="auto"/>
    </w:pPr>
    <w:rPr>
      <w:sz w:val="18"/>
    </w:rPr>
  </w:style>
  <w:style w:type="paragraph" w:customStyle="1" w:styleId="tablebodycentered">
    <w:name w:val="table body centered"/>
    <w:basedOn w:val="tablebody"/>
    <w:link w:val="tablebodycenteredChar"/>
    <w:qFormat/>
    <w:rsid w:val="00536EBE"/>
    <w:pPr>
      <w:jc w:val="center"/>
    </w:pPr>
  </w:style>
  <w:style w:type="character" w:customStyle="1" w:styleId="tablebodyChar">
    <w:name w:val="table body Char"/>
    <w:basedOn w:val="DefaultParagraphFont"/>
    <w:link w:val="tablebody"/>
    <w:rsid w:val="00536EBE"/>
    <w:rPr>
      <w:rFonts w:ascii="Arial" w:hAnsi="Arial"/>
      <w:sz w:val="18"/>
    </w:rPr>
  </w:style>
  <w:style w:type="character" w:customStyle="1" w:styleId="tablebodycenteredChar">
    <w:name w:val="table body centered Char"/>
    <w:basedOn w:val="tablebodyChar"/>
    <w:link w:val="tablebodycentered"/>
    <w:rsid w:val="00536EBE"/>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536EBE"/>
    <w:pPr>
      <w:spacing w:before="120" w:after="120"/>
    </w:pPr>
  </w:style>
  <w:style w:type="character" w:customStyle="1" w:styleId="AERBodyChar">
    <w:name w:val="AER Body Char"/>
    <w:basedOn w:val="DefaultParagraphFont"/>
    <w:link w:val="AERBody"/>
    <w:rsid w:val="00536EBE"/>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displayonly">
    <w:name w:val="display_only"/>
    <w:basedOn w:val="DefaultParagraphFont"/>
    <w:rsid w:val="0062620B"/>
  </w:style>
  <w:style w:type="paragraph" w:customStyle="1" w:styleId="BodyText1">
    <w:name w:val="Body Text1"/>
    <w:basedOn w:val="Normal"/>
    <w:link w:val="bodytextChar"/>
    <w:qFormat/>
    <w:rsid w:val="00230764"/>
  </w:style>
  <w:style w:type="character" w:customStyle="1" w:styleId="bodytextChar">
    <w:name w:val="body text Char"/>
    <w:basedOn w:val="DefaultParagraphFont"/>
    <w:link w:val="BodyText1"/>
    <w:rsid w:val="00230764"/>
    <w:rPr>
      <w:rFonts w:ascii="Arial" w:hAnsi="Arial"/>
    </w:rPr>
  </w:style>
  <w:style w:type="paragraph" w:customStyle="1" w:styleId="Default">
    <w:name w:val="Default"/>
    <w:rsid w:val="00B5320F"/>
    <w:pPr>
      <w:autoSpaceDE w:val="0"/>
      <w:autoSpaceDN w:val="0"/>
      <w:adjustRightInd w:val="0"/>
      <w:spacing w:before="0"/>
    </w:pPr>
    <w:rPr>
      <w:rFonts w:ascii="Arial" w:hAnsi="Arial" w:cs="Arial"/>
      <w:color w:val="000000"/>
      <w:sz w:val="24"/>
      <w:szCs w:val="24"/>
    </w:rPr>
  </w:style>
  <w:style w:type="character" w:customStyle="1" w:styleId="AERbodyChar0">
    <w:name w:val="AER body Char"/>
    <w:basedOn w:val="DefaultParagraphFont"/>
    <w:link w:val="AERbody0"/>
    <w:locked/>
    <w:rsid w:val="00FC06D9"/>
    <w:rPr>
      <w:rFonts w:ascii="Arial" w:hAnsi="Arial" w:cs="Arial"/>
    </w:rPr>
  </w:style>
  <w:style w:type="paragraph" w:customStyle="1" w:styleId="AERbody0">
    <w:name w:val="AER body"/>
    <w:basedOn w:val="Normal"/>
    <w:link w:val="AERbodyChar0"/>
    <w:rsid w:val="00FC06D9"/>
    <w:rPr>
      <w:rFonts w:cs="Arial"/>
    </w:rPr>
  </w:style>
  <w:style w:type="paragraph" w:customStyle="1" w:styleId="Numbered1">
    <w:name w:val="Numbered 1"/>
    <w:basedOn w:val="Heading1"/>
    <w:next w:val="Normal"/>
    <w:qFormat/>
    <w:rsid w:val="007E6689"/>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7E6689"/>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7E6689"/>
    <w:pPr>
      <w:keepNext w:val="0"/>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7E6689"/>
    <w:pPr>
      <w:keepNext w:val="0"/>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7E6689"/>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7E6689"/>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7E6689"/>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7E6689"/>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7E6689"/>
    <w:pPr>
      <w:numPr>
        <w:ilvl w:val="0"/>
        <w:numId w:val="0"/>
      </w:numPr>
      <w:tabs>
        <w:tab w:val="clear" w:pos="1701"/>
        <w:tab w:val="left" w:pos="340"/>
        <w:tab w:val="left" w:pos="2381"/>
      </w:tabs>
      <w:spacing w:after="120"/>
      <w:ind w:left="2381" w:hanging="2381"/>
    </w:pPr>
    <w:rPr>
      <w:b/>
      <w:i w:val="0"/>
      <w:color w:val="076A92"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803">
      <w:bodyDiv w:val="1"/>
      <w:marLeft w:val="0"/>
      <w:marRight w:val="0"/>
      <w:marTop w:val="0"/>
      <w:marBottom w:val="0"/>
      <w:divBdr>
        <w:top w:val="none" w:sz="0" w:space="0" w:color="auto"/>
        <w:left w:val="none" w:sz="0" w:space="0" w:color="auto"/>
        <w:bottom w:val="none" w:sz="0" w:space="0" w:color="auto"/>
        <w:right w:val="none" w:sz="0" w:space="0" w:color="auto"/>
      </w:divBdr>
    </w:div>
    <w:div w:id="52971997">
      <w:bodyDiv w:val="1"/>
      <w:marLeft w:val="0"/>
      <w:marRight w:val="0"/>
      <w:marTop w:val="0"/>
      <w:marBottom w:val="0"/>
      <w:divBdr>
        <w:top w:val="none" w:sz="0" w:space="0" w:color="auto"/>
        <w:left w:val="none" w:sz="0" w:space="0" w:color="auto"/>
        <w:bottom w:val="none" w:sz="0" w:space="0" w:color="auto"/>
        <w:right w:val="none" w:sz="0" w:space="0" w:color="auto"/>
      </w:divBdr>
    </w:div>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65155548">
      <w:bodyDiv w:val="1"/>
      <w:marLeft w:val="0"/>
      <w:marRight w:val="0"/>
      <w:marTop w:val="0"/>
      <w:marBottom w:val="0"/>
      <w:divBdr>
        <w:top w:val="none" w:sz="0" w:space="0" w:color="auto"/>
        <w:left w:val="none" w:sz="0" w:space="0" w:color="auto"/>
        <w:bottom w:val="none" w:sz="0" w:space="0" w:color="auto"/>
        <w:right w:val="none" w:sz="0" w:space="0" w:color="auto"/>
      </w:divBdr>
    </w:div>
    <w:div w:id="113333386">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41428393">
      <w:bodyDiv w:val="1"/>
      <w:marLeft w:val="0"/>
      <w:marRight w:val="0"/>
      <w:marTop w:val="0"/>
      <w:marBottom w:val="0"/>
      <w:divBdr>
        <w:top w:val="none" w:sz="0" w:space="0" w:color="auto"/>
        <w:left w:val="none" w:sz="0" w:space="0" w:color="auto"/>
        <w:bottom w:val="none" w:sz="0" w:space="0" w:color="auto"/>
        <w:right w:val="none" w:sz="0" w:space="0" w:color="auto"/>
      </w:divBdr>
    </w:div>
    <w:div w:id="265355318">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38197573">
      <w:bodyDiv w:val="1"/>
      <w:marLeft w:val="0"/>
      <w:marRight w:val="0"/>
      <w:marTop w:val="0"/>
      <w:marBottom w:val="0"/>
      <w:divBdr>
        <w:top w:val="none" w:sz="0" w:space="0" w:color="auto"/>
        <w:left w:val="none" w:sz="0" w:space="0" w:color="auto"/>
        <w:bottom w:val="none" w:sz="0" w:space="0" w:color="auto"/>
        <w:right w:val="none" w:sz="0" w:space="0" w:color="auto"/>
      </w:divBdr>
    </w:div>
    <w:div w:id="350574066">
      <w:bodyDiv w:val="1"/>
      <w:marLeft w:val="0"/>
      <w:marRight w:val="0"/>
      <w:marTop w:val="0"/>
      <w:marBottom w:val="0"/>
      <w:divBdr>
        <w:top w:val="none" w:sz="0" w:space="0" w:color="auto"/>
        <w:left w:val="none" w:sz="0" w:space="0" w:color="auto"/>
        <w:bottom w:val="none" w:sz="0" w:space="0" w:color="auto"/>
        <w:right w:val="none" w:sz="0" w:space="0" w:color="auto"/>
      </w:divBdr>
    </w:div>
    <w:div w:id="361437912">
      <w:bodyDiv w:val="1"/>
      <w:marLeft w:val="0"/>
      <w:marRight w:val="0"/>
      <w:marTop w:val="0"/>
      <w:marBottom w:val="0"/>
      <w:divBdr>
        <w:top w:val="none" w:sz="0" w:space="0" w:color="auto"/>
        <w:left w:val="none" w:sz="0" w:space="0" w:color="auto"/>
        <w:bottom w:val="none" w:sz="0" w:space="0" w:color="auto"/>
        <w:right w:val="none" w:sz="0" w:space="0" w:color="auto"/>
      </w:divBdr>
    </w:div>
    <w:div w:id="41008382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92601082">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49697">
      <w:bodyDiv w:val="1"/>
      <w:marLeft w:val="0"/>
      <w:marRight w:val="0"/>
      <w:marTop w:val="0"/>
      <w:marBottom w:val="0"/>
      <w:divBdr>
        <w:top w:val="none" w:sz="0" w:space="0" w:color="auto"/>
        <w:left w:val="none" w:sz="0" w:space="0" w:color="auto"/>
        <w:bottom w:val="none" w:sz="0" w:space="0" w:color="auto"/>
        <w:right w:val="none" w:sz="0" w:space="0" w:color="auto"/>
      </w:divBdr>
    </w:div>
    <w:div w:id="529802663">
      <w:bodyDiv w:val="1"/>
      <w:marLeft w:val="0"/>
      <w:marRight w:val="0"/>
      <w:marTop w:val="0"/>
      <w:marBottom w:val="0"/>
      <w:divBdr>
        <w:top w:val="none" w:sz="0" w:space="0" w:color="auto"/>
        <w:left w:val="none" w:sz="0" w:space="0" w:color="auto"/>
        <w:bottom w:val="none" w:sz="0" w:space="0" w:color="auto"/>
        <w:right w:val="none" w:sz="0" w:space="0" w:color="auto"/>
      </w:divBdr>
    </w:div>
    <w:div w:id="531500667">
      <w:bodyDiv w:val="1"/>
      <w:marLeft w:val="0"/>
      <w:marRight w:val="0"/>
      <w:marTop w:val="0"/>
      <w:marBottom w:val="0"/>
      <w:divBdr>
        <w:top w:val="none" w:sz="0" w:space="0" w:color="auto"/>
        <w:left w:val="none" w:sz="0" w:space="0" w:color="auto"/>
        <w:bottom w:val="none" w:sz="0" w:space="0" w:color="auto"/>
        <w:right w:val="none" w:sz="0" w:space="0" w:color="auto"/>
      </w:divBdr>
    </w:div>
    <w:div w:id="538786032">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594634890">
      <w:bodyDiv w:val="1"/>
      <w:marLeft w:val="0"/>
      <w:marRight w:val="0"/>
      <w:marTop w:val="0"/>
      <w:marBottom w:val="0"/>
      <w:divBdr>
        <w:top w:val="none" w:sz="0" w:space="0" w:color="auto"/>
        <w:left w:val="none" w:sz="0" w:space="0" w:color="auto"/>
        <w:bottom w:val="none" w:sz="0" w:space="0" w:color="auto"/>
        <w:right w:val="none" w:sz="0" w:space="0" w:color="auto"/>
      </w:divBdr>
    </w:div>
    <w:div w:id="601649385">
      <w:bodyDiv w:val="1"/>
      <w:marLeft w:val="0"/>
      <w:marRight w:val="0"/>
      <w:marTop w:val="0"/>
      <w:marBottom w:val="0"/>
      <w:divBdr>
        <w:top w:val="none" w:sz="0" w:space="0" w:color="auto"/>
        <w:left w:val="none" w:sz="0" w:space="0" w:color="auto"/>
        <w:bottom w:val="none" w:sz="0" w:space="0" w:color="auto"/>
        <w:right w:val="none" w:sz="0" w:space="0" w:color="auto"/>
      </w:divBdr>
    </w:div>
    <w:div w:id="637102566">
      <w:bodyDiv w:val="1"/>
      <w:marLeft w:val="0"/>
      <w:marRight w:val="0"/>
      <w:marTop w:val="0"/>
      <w:marBottom w:val="0"/>
      <w:divBdr>
        <w:top w:val="none" w:sz="0" w:space="0" w:color="auto"/>
        <w:left w:val="none" w:sz="0" w:space="0" w:color="auto"/>
        <w:bottom w:val="none" w:sz="0" w:space="0" w:color="auto"/>
        <w:right w:val="none" w:sz="0" w:space="0" w:color="auto"/>
      </w:divBdr>
    </w:div>
    <w:div w:id="684016287">
      <w:bodyDiv w:val="1"/>
      <w:marLeft w:val="0"/>
      <w:marRight w:val="0"/>
      <w:marTop w:val="0"/>
      <w:marBottom w:val="0"/>
      <w:divBdr>
        <w:top w:val="none" w:sz="0" w:space="0" w:color="auto"/>
        <w:left w:val="none" w:sz="0" w:space="0" w:color="auto"/>
        <w:bottom w:val="none" w:sz="0" w:space="0" w:color="auto"/>
        <w:right w:val="none" w:sz="0" w:space="0" w:color="auto"/>
      </w:divBdr>
    </w:div>
    <w:div w:id="691764260">
      <w:bodyDiv w:val="1"/>
      <w:marLeft w:val="0"/>
      <w:marRight w:val="0"/>
      <w:marTop w:val="0"/>
      <w:marBottom w:val="0"/>
      <w:divBdr>
        <w:top w:val="none" w:sz="0" w:space="0" w:color="auto"/>
        <w:left w:val="none" w:sz="0" w:space="0" w:color="auto"/>
        <w:bottom w:val="none" w:sz="0" w:space="0" w:color="auto"/>
        <w:right w:val="none" w:sz="0" w:space="0" w:color="auto"/>
      </w:divBdr>
    </w:div>
    <w:div w:id="728647369">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31532127">
      <w:bodyDiv w:val="1"/>
      <w:marLeft w:val="0"/>
      <w:marRight w:val="0"/>
      <w:marTop w:val="0"/>
      <w:marBottom w:val="0"/>
      <w:divBdr>
        <w:top w:val="none" w:sz="0" w:space="0" w:color="auto"/>
        <w:left w:val="none" w:sz="0" w:space="0" w:color="auto"/>
        <w:bottom w:val="none" w:sz="0" w:space="0" w:color="auto"/>
        <w:right w:val="none" w:sz="0" w:space="0" w:color="auto"/>
      </w:divBdr>
    </w:div>
    <w:div w:id="851721253">
      <w:bodyDiv w:val="1"/>
      <w:marLeft w:val="0"/>
      <w:marRight w:val="0"/>
      <w:marTop w:val="0"/>
      <w:marBottom w:val="0"/>
      <w:divBdr>
        <w:top w:val="none" w:sz="0" w:space="0" w:color="auto"/>
        <w:left w:val="none" w:sz="0" w:space="0" w:color="auto"/>
        <w:bottom w:val="none" w:sz="0" w:space="0" w:color="auto"/>
        <w:right w:val="none" w:sz="0" w:space="0" w:color="auto"/>
      </w:divBdr>
    </w:div>
    <w:div w:id="930314811">
      <w:bodyDiv w:val="1"/>
      <w:marLeft w:val="0"/>
      <w:marRight w:val="0"/>
      <w:marTop w:val="0"/>
      <w:marBottom w:val="0"/>
      <w:divBdr>
        <w:top w:val="none" w:sz="0" w:space="0" w:color="auto"/>
        <w:left w:val="none" w:sz="0" w:space="0" w:color="auto"/>
        <w:bottom w:val="none" w:sz="0" w:space="0" w:color="auto"/>
        <w:right w:val="none" w:sz="0" w:space="0" w:color="auto"/>
      </w:divBdr>
    </w:div>
    <w:div w:id="937055618">
      <w:bodyDiv w:val="1"/>
      <w:marLeft w:val="0"/>
      <w:marRight w:val="0"/>
      <w:marTop w:val="0"/>
      <w:marBottom w:val="0"/>
      <w:divBdr>
        <w:top w:val="none" w:sz="0" w:space="0" w:color="auto"/>
        <w:left w:val="none" w:sz="0" w:space="0" w:color="auto"/>
        <w:bottom w:val="none" w:sz="0" w:space="0" w:color="auto"/>
        <w:right w:val="none" w:sz="0" w:space="0" w:color="auto"/>
      </w:divBdr>
    </w:div>
    <w:div w:id="952399182">
      <w:bodyDiv w:val="1"/>
      <w:marLeft w:val="0"/>
      <w:marRight w:val="0"/>
      <w:marTop w:val="0"/>
      <w:marBottom w:val="0"/>
      <w:divBdr>
        <w:top w:val="none" w:sz="0" w:space="0" w:color="auto"/>
        <w:left w:val="none" w:sz="0" w:space="0" w:color="auto"/>
        <w:bottom w:val="none" w:sz="0" w:space="0" w:color="auto"/>
        <w:right w:val="none" w:sz="0" w:space="0" w:color="auto"/>
      </w:divBdr>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
    <w:div w:id="1008748713">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5537554">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78885">
      <w:bodyDiv w:val="1"/>
      <w:marLeft w:val="0"/>
      <w:marRight w:val="0"/>
      <w:marTop w:val="0"/>
      <w:marBottom w:val="0"/>
      <w:divBdr>
        <w:top w:val="none" w:sz="0" w:space="0" w:color="auto"/>
        <w:left w:val="none" w:sz="0" w:space="0" w:color="auto"/>
        <w:bottom w:val="none" w:sz="0" w:space="0" w:color="auto"/>
        <w:right w:val="none" w:sz="0" w:space="0" w:color="auto"/>
      </w:divBdr>
    </w:div>
    <w:div w:id="1202667593">
      <w:bodyDiv w:val="1"/>
      <w:marLeft w:val="0"/>
      <w:marRight w:val="0"/>
      <w:marTop w:val="0"/>
      <w:marBottom w:val="0"/>
      <w:divBdr>
        <w:top w:val="none" w:sz="0" w:space="0" w:color="auto"/>
        <w:left w:val="none" w:sz="0" w:space="0" w:color="auto"/>
        <w:bottom w:val="none" w:sz="0" w:space="0" w:color="auto"/>
        <w:right w:val="none" w:sz="0" w:space="0" w:color="auto"/>
      </w:divBdr>
    </w:div>
    <w:div w:id="1205874185">
      <w:bodyDiv w:val="1"/>
      <w:marLeft w:val="0"/>
      <w:marRight w:val="0"/>
      <w:marTop w:val="0"/>
      <w:marBottom w:val="0"/>
      <w:divBdr>
        <w:top w:val="none" w:sz="0" w:space="0" w:color="auto"/>
        <w:left w:val="none" w:sz="0" w:space="0" w:color="auto"/>
        <w:bottom w:val="none" w:sz="0" w:space="0" w:color="auto"/>
        <w:right w:val="none" w:sz="0" w:space="0" w:color="auto"/>
      </w:divBdr>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280868140">
      <w:bodyDiv w:val="1"/>
      <w:marLeft w:val="0"/>
      <w:marRight w:val="0"/>
      <w:marTop w:val="0"/>
      <w:marBottom w:val="0"/>
      <w:divBdr>
        <w:top w:val="none" w:sz="0" w:space="0" w:color="auto"/>
        <w:left w:val="none" w:sz="0" w:space="0" w:color="auto"/>
        <w:bottom w:val="none" w:sz="0" w:space="0" w:color="auto"/>
        <w:right w:val="none" w:sz="0" w:space="0" w:color="auto"/>
      </w:divBdr>
    </w:div>
    <w:div w:id="1303730585">
      <w:bodyDiv w:val="1"/>
      <w:marLeft w:val="0"/>
      <w:marRight w:val="0"/>
      <w:marTop w:val="0"/>
      <w:marBottom w:val="0"/>
      <w:divBdr>
        <w:top w:val="none" w:sz="0" w:space="0" w:color="auto"/>
        <w:left w:val="none" w:sz="0" w:space="0" w:color="auto"/>
        <w:bottom w:val="none" w:sz="0" w:space="0" w:color="auto"/>
        <w:right w:val="none" w:sz="0" w:space="0" w:color="auto"/>
      </w:divBdr>
    </w:div>
    <w:div w:id="1320502657">
      <w:bodyDiv w:val="1"/>
      <w:marLeft w:val="0"/>
      <w:marRight w:val="0"/>
      <w:marTop w:val="0"/>
      <w:marBottom w:val="0"/>
      <w:divBdr>
        <w:top w:val="none" w:sz="0" w:space="0" w:color="auto"/>
        <w:left w:val="none" w:sz="0" w:space="0" w:color="auto"/>
        <w:bottom w:val="none" w:sz="0" w:space="0" w:color="auto"/>
        <w:right w:val="none" w:sz="0" w:space="0" w:color="auto"/>
      </w:divBdr>
    </w:div>
    <w:div w:id="1385908457">
      <w:bodyDiv w:val="1"/>
      <w:marLeft w:val="0"/>
      <w:marRight w:val="0"/>
      <w:marTop w:val="0"/>
      <w:marBottom w:val="0"/>
      <w:divBdr>
        <w:top w:val="none" w:sz="0" w:space="0" w:color="auto"/>
        <w:left w:val="none" w:sz="0" w:space="0" w:color="auto"/>
        <w:bottom w:val="none" w:sz="0" w:space="0" w:color="auto"/>
        <w:right w:val="none" w:sz="0" w:space="0" w:color="auto"/>
      </w:divBdr>
    </w:div>
    <w:div w:id="1402289829">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7940055">
      <w:bodyDiv w:val="1"/>
      <w:marLeft w:val="0"/>
      <w:marRight w:val="0"/>
      <w:marTop w:val="0"/>
      <w:marBottom w:val="0"/>
      <w:divBdr>
        <w:top w:val="none" w:sz="0" w:space="0" w:color="auto"/>
        <w:left w:val="none" w:sz="0" w:space="0" w:color="auto"/>
        <w:bottom w:val="none" w:sz="0" w:space="0" w:color="auto"/>
        <w:right w:val="none" w:sz="0" w:space="0" w:color="auto"/>
      </w:divBdr>
    </w:div>
    <w:div w:id="1445029854">
      <w:bodyDiv w:val="1"/>
      <w:marLeft w:val="0"/>
      <w:marRight w:val="0"/>
      <w:marTop w:val="0"/>
      <w:marBottom w:val="0"/>
      <w:divBdr>
        <w:top w:val="none" w:sz="0" w:space="0" w:color="auto"/>
        <w:left w:val="none" w:sz="0" w:space="0" w:color="auto"/>
        <w:bottom w:val="none" w:sz="0" w:space="0" w:color="auto"/>
        <w:right w:val="none" w:sz="0" w:space="0" w:color="auto"/>
      </w:divBdr>
    </w:div>
    <w:div w:id="1446005041">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63575935">
      <w:bodyDiv w:val="1"/>
      <w:marLeft w:val="0"/>
      <w:marRight w:val="0"/>
      <w:marTop w:val="0"/>
      <w:marBottom w:val="0"/>
      <w:divBdr>
        <w:top w:val="none" w:sz="0" w:space="0" w:color="auto"/>
        <w:left w:val="none" w:sz="0" w:space="0" w:color="auto"/>
        <w:bottom w:val="none" w:sz="0" w:space="0" w:color="auto"/>
        <w:right w:val="none" w:sz="0" w:space="0" w:color="auto"/>
      </w:divBdr>
    </w:div>
    <w:div w:id="1508057105">
      <w:bodyDiv w:val="1"/>
      <w:marLeft w:val="0"/>
      <w:marRight w:val="0"/>
      <w:marTop w:val="0"/>
      <w:marBottom w:val="0"/>
      <w:divBdr>
        <w:top w:val="none" w:sz="0" w:space="0" w:color="auto"/>
        <w:left w:val="none" w:sz="0" w:space="0" w:color="auto"/>
        <w:bottom w:val="none" w:sz="0" w:space="0" w:color="auto"/>
        <w:right w:val="none" w:sz="0" w:space="0" w:color="auto"/>
      </w:divBdr>
    </w:div>
    <w:div w:id="1556892266">
      <w:bodyDiv w:val="1"/>
      <w:marLeft w:val="0"/>
      <w:marRight w:val="0"/>
      <w:marTop w:val="0"/>
      <w:marBottom w:val="0"/>
      <w:divBdr>
        <w:top w:val="none" w:sz="0" w:space="0" w:color="auto"/>
        <w:left w:val="none" w:sz="0" w:space="0" w:color="auto"/>
        <w:bottom w:val="none" w:sz="0" w:space="0" w:color="auto"/>
        <w:right w:val="none" w:sz="0" w:space="0" w:color="auto"/>
      </w:divBdr>
    </w:div>
    <w:div w:id="160268472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3169611">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73099720">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07756146">
      <w:bodyDiv w:val="1"/>
      <w:marLeft w:val="0"/>
      <w:marRight w:val="0"/>
      <w:marTop w:val="0"/>
      <w:marBottom w:val="0"/>
      <w:divBdr>
        <w:top w:val="none" w:sz="0" w:space="0" w:color="auto"/>
        <w:left w:val="none" w:sz="0" w:space="0" w:color="auto"/>
        <w:bottom w:val="none" w:sz="0" w:space="0" w:color="auto"/>
        <w:right w:val="none" w:sz="0" w:space="0" w:color="auto"/>
      </w:divBdr>
    </w:div>
    <w:div w:id="1711880128">
      <w:bodyDiv w:val="1"/>
      <w:marLeft w:val="0"/>
      <w:marRight w:val="0"/>
      <w:marTop w:val="0"/>
      <w:marBottom w:val="0"/>
      <w:divBdr>
        <w:top w:val="none" w:sz="0" w:space="0" w:color="auto"/>
        <w:left w:val="none" w:sz="0" w:space="0" w:color="auto"/>
        <w:bottom w:val="none" w:sz="0" w:space="0" w:color="auto"/>
        <w:right w:val="none" w:sz="0" w:space="0" w:color="auto"/>
      </w:divBdr>
    </w:div>
    <w:div w:id="1732923346">
      <w:bodyDiv w:val="1"/>
      <w:marLeft w:val="0"/>
      <w:marRight w:val="0"/>
      <w:marTop w:val="0"/>
      <w:marBottom w:val="0"/>
      <w:divBdr>
        <w:top w:val="none" w:sz="0" w:space="0" w:color="auto"/>
        <w:left w:val="none" w:sz="0" w:space="0" w:color="auto"/>
        <w:bottom w:val="none" w:sz="0" w:space="0" w:color="auto"/>
        <w:right w:val="none" w:sz="0" w:space="0" w:color="auto"/>
      </w:divBdr>
    </w:div>
    <w:div w:id="1743406664">
      <w:bodyDiv w:val="1"/>
      <w:marLeft w:val="0"/>
      <w:marRight w:val="0"/>
      <w:marTop w:val="0"/>
      <w:marBottom w:val="0"/>
      <w:divBdr>
        <w:top w:val="none" w:sz="0" w:space="0" w:color="auto"/>
        <w:left w:val="none" w:sz="0" w:space="0" w:color="auto"/>
        <w:bottom w:val="none" w:sz="0" w:space="0" w:color="auto"/>
        <w:right w:val="none" w:sz="0" w:space="0" w:color="auto"/>
      </w:divBdr>
    </w:div>
    <w:div w:id="1755466840">
      <w:bodyDiv w:val="1"/>
      <w:marLeft w:val="0"/>
      <w:marRight w:val="0"/>
      <w:marTop w:val="0"/>
      <w:marBottom w:val="0"/>
      <w:divBdr>
        <w:top w:val="none" w:sz="0" w:space="0" w:color="auto"/>
        <w:left w:val="none" w:sz="0" w:space="0" w:color="auto"/>
        <w:bottom w:val="none" w:sz="0" w:space="0" w:color="auto"/>
        <w:right w:val="none" w:sz="0" w:space="0" w:color="auto"/>
      </w:divBdr>
    </w:div>
    <w:div w:id="1770811646">
      <w:bodyDiv w:val="1"/>
      <w:marLeft w:val="0"/>
      <w:marRight w:val="0"/>
      <w:marTop w:val="0"/>
      <w:marBottom w:val="0"/>
      <w:divBdr>
        <w:top w:val="none" w:sz="0" w:space="0" w:color="auto"/>
        <w:left w:val="none" w:sz="0" w:space="0" w:color="auto"/>
        <w:bottom w:val="none" w:sz="0" w:space="0" w:color="auto"/>
        <w:right w:val="none" w:sz="0" w:space="0" w:color="auto"/>
      </w:divBdr>
      <w:divsChild>
        <w:div w:id="768233357">
          <w:marLeft w:val="0"/>
          <w:marRight w:val="0"/>
          <w:marTop w:val="0"/>
          <w:marBottom w:val="0"/>
          <w:divBdr>
            <w:top w:val="none" w:sz="0" w:space="0" w:color="auto"/>
            <w:left w:val="none" w:sz="0" w:space="0" w:color="auto"/>
            <w:bottom w:val="none" w:sz="0" w:space="0" w:color="auto"/>
            <w:right w:val="none" w:sz="0" w:space="0" w:color="auto"/>
          </w:divBdr>
          <w:divsChild>
            <w:div w:id="16859972">
              <w:marLeft w:val="0"/>
              <w:marRight w:val="0"/>
              <w:marTop w:val="0"/>
              <w:marBottom w:val="0"/>
              <w:divBdr>
                <w:top w:val="none" w:sz="0" w:space="0" w:color="auto"/>
                <w:left w:val="none" w:sz="0" w:space="0" w:color="auto"/>
                <w:bottom w:val="none" w:sz="0" w:space="0" w:color="auto"/>
                <w:right w:val="none" w:sz="0" w:space="0" w:color="auto"/>
              </w:divBdr>
              <w:divsChild>
                <w:div w:id="1029993597">
                  <w:marLeft w:val="0"/>
                  <w:marRight w:val="0"/>
                  <w:marTop w:val="0"/>
                  <w:marBottom w:val="0"/>
                  <w:divBdr>
                    <w:top w:val="none" w:sz="0" w:space="0" w:color="auto"/>
                    <w:left w:val="none" w:sz="0" w:space="0" w:color="auto"/>
                    <w:bottom w:val="none" w:sz="0" w:space="0" w:color="auto"/>
                    <w:right w:val="none" w:sz="0" w:space="0" w:color="auto"/>
                  </w:divBdr>
                  <w:divsChild>
                    <w:div w:id="1775173960">
                      <w:marLeft w:val="645"/>
                      <w:marRight w:val="645"/>
                      <w:marTop w:val="900"/>
                      <w:marBottom w:val="0"/>
                      <w:divBdr>
                        <w:top w:val="none" w:sz="0" w:space="0" w:color="auto"/>
                        <w:left w:val="none" w:sz="0" w:space="0" w:color="auto"/>
                        <w:bottom w:val="none" w:sz="0" w:space="0" w:color="auto"/>
                        <w:right w:val="none" w:sz="0" w:space="0" w:color="auto"/>
                      </w:divBdr>
                      <w:divsChild>
                        <w:div w:id="2118716683">
                          <w:marLeft w:val="0"/>
                          <w:marRight w:val="0"/>
                          <w:marTop w:val="0"/>
                          <w:marBottom w:val="0"/>
                          <w:divBdr>
                            <w:top w:val="none" w:sz="0" w:space="0" w:color="auto"/>
                            <w:left w:val="none" w:sz="0" w:space="0" w:color="auto"/>
                            <w:bottom w:val="none" w:sz="0" w:space="0" w:color="auto"/>
                            <w:right w:val="none" w:sz="0" w:space="0" w:color="auto"/>
                          </w:divBdr>
                          <w:divsChild>
                            <w:div w:id="1749770196">
                              <w:marLeft w:val="0"/>
                              <w:marRight w:val="0"/>
                              <w:marTop w:val="0"/>
                              <w:marBottom w:val="0"/>
                              <w:divBdr>
                                <w:top w:val="none" w:sz="0" w:space="0" w:color="auto"/>
                                <w:left w:val="none" w:sz="0" w:space="0" w:color="auto"/>
                                <w:bottom w:val="none" w:sz="0" w:space="0" w:color="auto"/>
                                <w:right w:val="none" w:sz="0" w:space="0" w:color="auto"/>
                              </w:divBdr>
                              <w:divsChild>
                                <w:div w:id="8632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8105">
      <w:bodyDiv w:val="1"/>
      <w:marLeft w:val="0"/>
      <w:marRight w:val="0"/>
      <w:marTop w:val="0"/>
      <w:marBottom w:val="0"/>
      <w:divBdr>
        <w:top w:val="none" w:sz="0" w:space="0" w:color="auto"/>
        <w:left w:val="none" w:sz="0" w:space="0" w:color="auto"/>
        <w:bottom w:val="none" w:sz="0" w:space="0" w:color="auto"/>
        <w:right w:val="none" w:sz="0" w:space="0" w:color="auto"/>
      </w:divBdr>
    </w:div>
    <w:div w:id="1817645537">
      <w:bodyDiv w:val="1"/>
      <w:marLeft w:val="0"/>
      <w:marRight w:val="0"/>
      <w:marTop w:val="0"/>
      <w:marBottom w:val="0"/>
      <w:divBdr>
        <w:top w:val="none" w:sz="0" w:space="0" w:color="auto"/>
        <w:left w:val="none" w:sz="0" w:space="0" w:color="auto"/>
        <w:bottom w:val="none" w:sz="0" w:space="0" w:color="auto"/>
        <w:right w:val="none" w:sz="0" w:space="0" w:color="auto"/>
      </w:divBdr>
    </w:div>
    <w:div w:id="1833912769">
      <w:bodyDiv w:val="1"/>
      <w:marLeft w:val="0"/>
      <w:marRight w:val="0"/>
      <w:marTop w:val="0"/>
      <w:marBottom w:val="0"/>
      <w:divBdr>
        <w:top w:val="none" w:sz="0" w:space="0" w:color="auto"/>
        <w:left w:val="none" w:sz="0" w:space="0" w:color="auto"/>
        <w:bottom w:val="none" w:sz="0" w:space="0" w:color="auto"/>
        <w:right w:val="none" w:sz="0" w:space="0" w:color="auto"/>
      </w:divBdr>
    </w:div>
    <w:div w:id="1835946742">
      <w:bodyDiv w:val="1"/>
      <w:marLeft w:val="0"/>
      <w:marRight w:val="0"/>
      <w:marTop w:val="0"/>
      <w:marBottom w:val="0"/>
      <w:divBdr>
        <w:top w:val="none" w:sz="0" w:space="0" w:color="auto"/>
        <w:left w:val="none" w:sz="0" w:space="0" w:color="auto"/>
        <w:bottom w:val="none" w:sz="0" w:space="0" w:color="auto"/>
        <w:right w:val="none" w:sz="0" w:space="0" w:color="auto"/>
      </w:divBdr>
    </w:div>
    <w:div w:id="1844129189">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1852794710">
      <w:bodyDiv w:val="1"/>
      <w:marLeft w:val="0"/>
      <w:marRight w:val="0"/>
      <w:marTop w:val="0"/>
      <w:marBottom w:val="0"/>
      <w:divBdr>
        <w:top w:val="none" w:sz="0" w:space="0" w:color="auto"/>
        <w:left w:val="none" w:sz="0" w:space="0" w:color="auto"/>
        <w:bottom w:val="none" w:sz="0" w:space="0" w:color="auto"/>
        <w:right w:val="none" w:sz="0" w:space="0" w:color="auto"/>
      </w:divBdr>
    </w:div>
    <w:div w:id="1866483768">
      <w:bodyDiv w:val="1"/>
      <w:marLeft w:val="0"/>
      <w:marRight w:val="0"/>
      <w:marTop w:val="0"/>
      <w:marBottom w:val="0"/>
      <w:divBdr>
        <w:top w:val="none" w:sz="0" w:space="0" w:color="auto"/>
        <w:left w:val="none" w:sz="0" w:space="0" w:color="auto"/>
        <w:bottom w:val="none" w:sz="0" w:space="0" w:color="auto"/>
        <w:right w:val="none" w:sz="0" w:space="0" w:color="auto"/>
      </w:divBdr>
    </w:div>
    <w:div w:id="1877542085">
      <w:bodyDiv w:val="1"/>
      <w:marLeft w:val="0"/>
      <w:marRight w:val="0"/>
      <w:marTop w:val="0"/>
      <w:marBottom w:val="0"/>
      <w:divBdr>
        <w:top w:val="none" w:sz="0" w:space="0" w:color="auto"/>
        <w:left w:val="none" w:sz="0" w:space="0" w:color="auto"/>
        <w:bottom w:val="none" w:sz="0" w:space="0" w:color="auto"/>
        <w:right w:val="none" w:sz="0" w:space="0" w:color="auto"/>
      </w:divBdr>
    </w:div>
    <w:div w:id="1890072350">
      <w:bodyDiv w:val="1"/>
      <w:marLeft w:val="0"/>
      <w:marRight w:val="0"/>
      <w:marTop w:val="0"/>
      <w:marBottom w:val="0"/>
      <w:divBdr>
        <w:top w:val="none" w:sz="0" w:space="0" w:color="auto"/>
        <w:left w:val="none" w:sz="0" w:space="0" w:color="auto"/>
        <w:bottom w:val="none" w:sz="0" w:space="0" w:color="auto"/>
        <w:right w:val="none" w:sz="0" w:space="0" w:color="auto"/>
      </w:divBdr>
    </w:div>
    <w:div w:id="1895698945">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41330952">
      <w:bodyDiv w:val="1"/>
      <w:marLeft w:val="0"/>
      <w:marRight w:val="0"/>
      <w:marTop w:val="0"/>
      <w:marBottom w:val="0"/>
      <w:divBdr>
        <w:top w:val="none" w:sz="0" w:space="0" w:color="auto"/>
        <w:left w:val="none" w:sz="0" w:space="0" w:color="auto"/>
        <w:bottom w:val="none" w:sz="0" w:space="0" w:color="auto"/>
        <w:right w:val="none" w:sz="0" w:space="0" w:color="auto"/>
      </w:divBdr>
    </w:div>
    <w:div w:id="1994676073">
      <w:bodyDiv w:val="1"/>
      <w:marLeft w:val="0"/>
      <w:marRight w:val="0"/>
      <w:marTop w:val="0"/>
      <w:marBottom w:val="0"/>
      <w:divBdr>
        <w:top w:val="none" w:sz="0" w:space="0" w:color="auto"/>
        <w:left w:val="none" w:sz="0" w:space="0" w:color="auto"/>
        <w:bottom w:val="none" w:sz="0" w:space="0" w:color="auto"/>
        <w:right w:val="none" w:sz="0" w:space="0" w:color="auto"/>
      </w:divBdr>
    </w:div>
    <w:div w:id="2008828283">
      <w:bodyDiv w:val="1"/>
      <w:marLeft w:val="0"/>
      <w:marRight w:val="0"/>
      <w:marTop w:val="0"/>
      <w:marBottom w:val="0"/>
      <w:divBdr>
        <w:top w:val="none" w:sz="0" w:space="0" w:color="auto"/>
        <w:left w:val="none" w:sz="0" w:space="0" w:color="auto"/>
        <w:bottom w:val="none" w:sz="0" w:space="0" w:color="auto"/>
        <w:right w:val="none" w:sz="0" w:space="0" w:color="auto"/>
      </w:divBdr>
    </w:div>
    <w:div w:id="2027176216">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1456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emo.com.au/media/Files/Other/Registration%202014/Registration%20Final/PARTICIPANT_CATEGORIES_IN_THE_NEM_final.pdf" TargetMode="External"/><Relationship Id="rId2" Type="http://schemas.openxmlformats.org/officeDocument/2006/relationships/hyperlink" Target="http://www.aemo.com.au/Electricity/National-Electricity-Market-NEM/Planning-and-forecasting/Generation-information" TargetMode="External"/><Relationship Id="rId1" Type="http://schemas.openxmlformats.org/officeDocument/2006/relationships/hyperlink" Target="https://www.aemo.com.au/-/media/Files/Electricity/NEM/Market_Notices_and_Events/Power_System_Incident_Reports/2017/System-Event-Report-South-Australia-8-February-2017.pdf" TargetMode="External"/><Relationship Id="rId6" Type="http://schemas.openxmlformats.org/officeDocument/2006/relationships/hyperlink" Target="http://www.aemo.com.au" TargetMode="External"/><Relationship Id="rId5" Type="http://schemas.openxmlformats.org/officeDocument/2006/relationships/hyperlink" Target="https://www.aemo.com.au/-/media/Files/Electricity/NEM/Market_Notices_and_Events/Power_System_Incident_Reports/2017/System-Event-Report-South-Australia-8-February-2017.pdf" TargetMode="External"/><Relationship Id="rId4" Type="http://schemas.openxmlformats.org/officeDocument/2006/relationships/hyperlink" Target="http://www.sapowernetworks.com.au/centric/corporate/media_releases.jsp"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49D8A-6862-4671-888F-5C4E0599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570D1499</Template>
  <TotalTime>0</TotalTime>
  <Pages>27</Pages>
  <Words>6604</Words>
  <Characters>37647</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2017-04-26T23:49:00Z</dcterms:created>
  <dcterms:modified xsi:type="dcterms:W3CDTF">2017-04-26T23:49:00Z</dcterms:modified>
</cp:coreProperties>
</file>