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C7068C" w:rsidRDefault="00D66516" w:rsidP="00C7068C">
          <w:r w:rsidRPr="00290C63">
            <w:rPr>
              <w:noProof/>
              <w:lang w:eastAsia="en-AU"/>
            </w:rPr>
            <w:drawing>
              <wp:anchor distT="0" distB="0" distL="114300" distR="114300" simplePos="0" relativeHeight="251674624" behindDoc="1" locked="0" layoutInCell="1" allowOverlap="1" wp14:anchorId="35863561" wp14:editId="78BAA13A">
                <wp:simplePos x="0" y="0"/>
                <wp:positionH relativeFrom="column">
                  <wp:posOffset>-1132044</wp:posOffset>
                </wp:positionH>
                <wp:positionV relativeFrom="paragraph">
                  <wp:posOffset>-908685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4A0D3E" w:rsidP="00C7068C">
              <w:pPr>
                <w:pStyle w:val="ReportSubtitle"/>
              </w:pPr>
              <w:r>
                <w:t>New South Wales</w:t>
              </w:r>
              <w:r w:rsidR="006F7401">
                <w:t>,</w:t>
              </w:r>
              <w:r w:rsidR="006F7401">
                <w:br/>
              </w:r>
              <w:r w:rsidR="002F631A">
                <w:t>18</w:t>
              </w:r>
              <w:r w:rsidR="00C7068C">
                <w:t xml:space="preserve"> </w:t>
              </w:r>
              <w:r w:rsidR="002F631A">
                <w:t>November 2016</w:t>
              </w:r>
            </w:p>
            <w:p w:rsidR="00C7068C" w:rsidRDefault="00C7068C" w:rsidP="00C7068C">
              <w:pPr>
                <w:pStyle w:val="ReportDate"/>
              </w:pPr>
            </w:p>
            <w:p w:rsidR="00C7068C" w:rsidRDefault="00C7068C" w:rsidP="00C7068C">
              <w:pPr>
                <w:pStyle w:val="ReportDate"/>
              </w:pPr>
            </w:p>
            <w:p w:rsidR="00C7068C" w:rsidRPr="00DB723B" w:rsidRDefault="0018474D" w:rsidP="00C7068C">
              <w:pPr>
                <w:pStyle w:val="ReportDate"/>
              </w:pPr>
              <w:r>
                <w:t>2</w:t>
              </w:r>
              <w:r w:rsidR="00175BBF">
                <w:t>1</w:t>
              </w:r>
              <w:r w:rsidR="00ED7EF4">
                <w:t xml:space="preserve"> </w:t>
              </w:r>
              <w:r w:rsidR="002F631A">
                <w:t xml:space="preserve">December </w:t>
              </w:r>
              <w:r w:rsidR="00C7068C" w:rsidRPr="00DB723B">
                <w:t>201</w:t>
              </w:r>
              <w:r w:rsidR="002F631A">
                <w:t>6</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A70BCC">
            <w:t>6</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r>
          <w:r w:rsidR="00464428">
            <w:t>CANBERRA</w:t>
          </w:r>
          <w:r>
            <w:t xml:space="preserve">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rsidR="00464428">
            <w:t>MELBOURNE</w:t>
          </w:r>
          <w:r>
            <w:t xml:space="preserve"> </w:t>
          </w:r>
          <w:r w:rsidR="00464428">
            <w:t xml:space="preserve"> VIC</w:t>
          </w:r>
          <w:proofErr w:type="gramEnd"/>
          <w:r w:rsidR="00464428">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0" w:history="1">
            <w:r w:rsidRPr="00D64888">
              <w:rPr>
                <w:rStyle w:val="Hyperlink"/>
              </w:rPr>
              <w:t>AERInquiry@aer.gov.au</w:t>
            </w:r>
          </w:hyperlink>
          <w:r>
            <w:rPr>
              <w:rStyle w:val="Hyperlink"/>
            </w:rPr>
            <w:br/>
          </w:r>
          <w:r w:rsidRPr="00CC65AF">
            <w:t xml:space="preserve">AER Reference: </w:t>
          </w:r>
          <w:r w:rsidR="00A04E1B">
            <w:t>61258</w:t>
          </w:r>
          <w:r w:rsidR="006329AC">
            <w:t>-</w:t>
          </w:r>
          <w:r w:rsidR="002743BE" w:rsidRPr="002743BE">
            <w:rPr>
              <w:rFonts w:cs="Arial"/>
              <w:szCs w:val="18"/>
            </w:rPr>
            <w:t>D1</w:t>
          </w:r>
          <w:r w:rsidR="00A04E1B">
            <w:rPr>
              <w:rFonts w:cs="Arial"/>
              <w:szCs w:val="18"/>
            </w:rPr>
            <w:t>6</w:t>
          </w:r>
          <w:r w:rsidR="002743BE" w:rsidRPr="002743BE">
            <w:rPr>
              <w:rFonts w:cs="Arial"/>
              <w:szCs w:val="18"/>
            </w:rPr>
            <w:t>/</w:t>
          </w:r>
          <w:r w:rsidR="007E29C4">
            <w:rPr>
              <w:rFonts w:cs="Arial"/>
              <w:szCs w:val="18"/>
            </w:rPr>
            <w:t>1</w:t>
          </w:r>
          <w:r w:rsidR="00175BBF">
            <w:rPr>
              <w:rFonts w:cs="Arial"/>
              <w:szCs w:val="18"/>
            </w:rPr>
            <w:t>70478</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D66516" w:rsidP="009B028C">
                <w:pPr>
                  <w:spacing w:before="0" w:after="200"/>
                </w:pPr>
                <w:r>
                  <w:t xml:space="preserve">version </w:t>
                </w:r>
                <w:r w:rsidR="0018474D">
                  <w:t xml:space="preserve">1 </w:t>
                </w:r>
                <w:r>
                  <w:t>for publication</w:t>
                </w:r>
              </w:p>
            </w:tc>
            <w:tc>
              <w:tcPr>
                <w:tcW w:w="2906" w:type="dxa"/>
              </w:tcPr>
              <w:p w:rsidR="00C7068C" w:rsidRDefault="0018474D" w:rsidP="00175BBF">
                <w:pPr>
                  <w:spacing w:before="0" w:after="200"/>
                </w:pPr>
                <w:r>
                  <w:t>2</w:t>
                </w:r>
                <w:r w:rsidR="00175BBF">
                  <w:t>1</w:t>
                </w:r>
                <w:r>
                  <w:t>/12/2016</w:t>
                </w:r>
              </w:p>
            </w:tc>
            <w:tc>
              <w:tcPr>
                <w:tcW w:w="2888" w:type="dxa"/>
              </w:tcPr>
              <w:p w:rsidR="00C7068C" w:rsidRDefault="0018474D" w:rsidP="00175BBF">
                <w:pPr>
                  <w:spacing w:before="0" w:after="200"/>
                </w:pPr>
                <w:r>
                  <w:t>2</w:t>
                </w:r>
                <w:r w:rsidR="00175BBF">
                  <w:t>2</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0C465E"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0075229" w:history="1">
            <w:r w:rsidR="000C465E" w:rsidRPr="002C6DCE">
              <w:rPr>
                <w:rStyle w:val="Hyperlink"/>
              </w:rPr>
              <w:t>1</w:t>
            </w:r>
            <w:r w:rsidR="000C465E">
              <w:rPr>
                <w:rFonts w:asciiTheme="minorHAnsi" w:eastAsiaTheme="minorEastAsia" w:hAnsiTheme="minorHAnsi"/>
                <w:b w:val="0"/>
                <w:color w:val="auto"/>
                <w:sz w:val="22"/>
                <w:lang w:val="en-AU" w:eastAsia="en-AU"/>
              </w:rPr>
              <w:tab/>
            </w:r>
            <w:r w:rsidR="000C465E" w:rsidRPr="002C6DCE">
              <w:rPr>
                <w:rStyle w:val="Hyperlink"/>
              </w:rPr>
              <w:t>Introduction</w:t>
            </w:r>
            <w:r w:rsidR="000C465E">
              <w:rPr>
                <w:webHidden/>
              </w:rPr>
              <w:tab/>
            </w:r>
            <w:r w:rsidR="000C465E">
              <w:rPr>
                <w:webHidden/>
              </w:rPr>
              <w:fldChar w:fldCharType="begin"/>
            </w:r>
            <w:r w:rsidR="000C465E">
              <w:rPr>
                <w:webHidden/>
              </w:rPr>
              <w:instrText xml:space="preserve"> PAGEREF _Toc470075229 \h </w:instrText>
            </w:r>
            <w:r w:rsidR="000C465E">
              <w:rPr>
                <w:webHidden/>
              </w:rPr>
            </w:r>
            <w:r w:rsidR="000C465E">
              <w:rPr>
                <w:webHidden/>
              </w:rPr>
              <w:fldChar w:fldCharType="separate"/>
            </w:r>
            <w:r w:rsidR="000C465E">
              <w:rPr>
                <w:webHidden/>
              </w:rPr>
              <w:t>4</w:t>
            </w:r>
            <w:r w:rsidR="000C465E">
              <w:rPr>
                <w:webHidden/>
              </w:rPr>
              <w:fldChar w:fldCharType="end"/>
            </w:r>
          </w:hyperlink>
        </w:p>
        <w:p w:rsidR="000C465E" w:rsidRDefault="00C7302A">
          <w:pPr>
            <w:pStyle w:val="TOC1"/>
            <w:rPr>
              <w:rFonts w:asciiTheme="minorHAnsi" w:eastAsiaTheme="minorEastAsia" w:hAnsiTheme="minorHAnsi"/>
              <w:b w:val="0"/>
              <w:color w:val="auto"/>
              <w:sz w:val="22"/>
              <w:lang w:val="en-AU" w:eastAsia="en-AU"/>
            </w:rPr>
          </w:pPr>
          <w:hyperlink w:anchor="_Toc470075230" w:history="1">
            <w:r w:rsidR="000C465E" w:rsidRPr="002C6DCE">
              <w:rPr>
                <w:rStyle w:val="Hyperlink"/>
              </w:rPr>
              <w:t>2</w:t>
            </w:r>
            <w:r w:rsidR="000C465E">
              <w:rPr>
                <w:rFonts w:asciiTheme="minorHAnsi" w:eastAsiaTheme="minorEastAsia" w:hAnsiTheme="minorHAnsi"/>
                <w:b w:val="0"/>
                <w:color w:val="auto"/>
                <w:sz w:val="22"/>
                <w:lang w:val="en-AU" w:eastAsia="en-AU"/>
              </w:rPr>
              <w:tab/>
            </w:r>
            <w:r w:rsidR="000C465E" w:rsidRPr="002C6DCE">
              <w:rPr>
                <w:rStyle w:val="Hyperlink"/>
              </w:rPr>
              <w:t>Summary</w:t>
            </w:r>
            <w:r w:rsidR="000C465E">
              <w:rPr>
                <w:webHidden/>
              </w:rPr>
              <w:tab/>
            </w:r>
            <w:r w:rsidR="000C465E">
              <w:rPr>
                <w:webHidden/>
              </w:rPr>
              <w:fldChar w:fldCharType="begin"/>
            </w:r>
            <w:r w:rsidR="000C465E">
              <w:rPr>
                <w:webHidden/>
              </w:rPr>
              <w:instrText xml:space="preserve"> PAGEREF _Toc470075230 \h </w:instrText>
            </w:r>
            <w:r w:rsidR="000C465E">
              <w:rPr>
                <w:webHidden/>
              </w:rPr>
            </w:r>
            <w:r w:rsidR="000C465E">
              <w:rPr>
                <w:webHidden/>
              </w:rPr>
              <w:fldChar w:fldCharType="separate"/>
            </w:r>
            <w:r w:rsidR="000C465E">
              <w:rPr>
                <w:webHidden/>
              </w:rPr>
              <w:t>5</w:t>
            </w:r>
            <w:r w:rsidR="000C465E">
              <w:rPr>
                <w:webHidden/>
              </w:rPr>
              <w:fldChar w:fldCharType="end"/>
            </w:r>
          </w:hyperlink>
        </w:p>
        <w:p w:rsidR="000C465E" w:rsidRDefault="00C7302A">
          <w:pPr>
            <w:pStyle w:val="TOC1"/>
            <w:rPr>
              <w:rFonts w:asciiTheme="minorHAnsi" w:eastAsiaTheme="minorEastAsia" w:hAnsiTheme="minorHAnsi"/>
              <w:b w:val="0"/>
              <w:color w:val="auto"/>
              <w:sz w:val="22"/>
              <w:lang w:val="en-AU" w:eastAsia="en-AU"/>
            </w:rPr>
          </w:pPr>
          <w:hyperlink w:anchor="_Toc470075231" w:history="1">
            <w:r w:rsidR="000C465E" w:rsidRPr="002C6DCE">
              <w:rPr>
                <w:rStyle w:val="Hyperlink"/>
              </w:rPr>
              <w:t>3</w:t>
            </w:r>
            <w:r w:rsidR="000C465E">
              <w:rPr>
                <w:rFonts w:asciiTheme="minorHAnsi" w:eastAsiaTheme="minorEastAsia" w:hAnsiTheme="minorHAnsi"/>
                <w:b w:val="0"/>
                <w:color w:val="auto"/>
                <w:sz w:val="22"/>
                <w:lang w:val="en-AU" w:eastAsia="en-AU"/>
              </w:rPr>
              <w:tab/>
            </w:r>
            <w:r w:rsidR="000C465E" w:rsidRPr="002C6DCE">
              <w:rPr>
                <w:rStyle w:val="Hyperlink"/>
              </w:rPr>
              <w:t>Analysis</w:t>
            </w:r>
            <w:r w:rsidR="000C465E">
              <w:rPr>
                <w:webHidden/>
              </w:rPr>
              <w:tab/>
            </w:r>
            <w:r w:rsidR="000C465E">
              <w:rPr>
                <w:webHidden/>
              </w:rPr>
              <w:fldChar w:fldCharType="begin"/>
            </w:r>
            <w:r w:rsidR="000C465E">
              <w:rPr>
                <w:webHidden/>
              </w:rPr>
              <w:instrText xml:space="preserve"> PAGEREF _Toc470075231 \h </w:instrText>
            </w:r>
            <w:r w:rsidR="000C465E">
              <w:rPr>
                <w:webHidden/>
              </w:rPr>
            </w:r>
            <w:r w:rsidR="000C465E">
              <w:rPr>
                <w:webHidden/>
              </w:rPr>
              <w:fldChar w:fldCharType="separate"/>
            </w:r>
            <w:r w:rsidR="000C465E">
              <w:rPr>
                <w:webHidden/>
              </w:rPr>
              <w:t>6</w:t>
            </w:r>
            <w:r w:rsidR="000C465E">
              <w:rPr>
                <w:webHidden/>
              </w:rPr>
              <w:fldChar w:fldCharType="end"/>
            </w:r>
          </w:hyperlink>
        </w:p>
        <w:p w:rsidR="000C465E" w:rsidRDefault="00C7302A">
          <w:pPr>
            <w:pStyle w:val="TOC2"/>
            <w:rPr>
              <w:rFonts w:asciiTheme="minorHAnsi" w:eastAsiaTheme="minorEastAsia" w:hAnsiTheme="minorHAnsi"/>
              <w:b w:val="0"/>
              <w:color w:val="auto"/>
              <w:sz w:val="22"/>
              <w:lang w:eastAsia="en-AU"/>
            </w:rPr>
          </w:pPr>
          <w:hyperlink w:anchor="_Toc470075232" w:history="1">
            <w:r w:rsidR="000C465E" w:rsidRPr="002C6DCE">
              <w:rPr>
                <w:rStyle w:val="Hyperlink"/>
              </w:rPr>
              <w:t>3.1</w:t>
            </w:r>
            <w:r w:rsidR="000C465E">
              <w:rPr>
                <w:rFonts w:asciiTheme="minorHAnsi" w:eastAsiaTheme="minorEastAsia" w:hAnsiTheme="minorHAnsi"/>
                <w:b w:val="0"/>
                <w:color w:val="auto"/>
                <w:sz w:val="22"/>
                <w:lang w:eastAsia="en-AU"/>
              </w:rPr>
              <w:tab/>
            </w:r>
            <w:r w:rsidR="000C465E" w:rsidRPr="002C6DCE">
              <w:rPr>
                <w:rStyle w:val="Hyperlink"/>
              </w:rPr>
              <w:t>Constraint, rebidding and network availability</w:t>
            </w:r>
            <w:r w:rsidR="000C465E">
              <w:rPr>
                <w:webHidden/>
              </w:rPr>
              <w:tab/>
            </w:r>
            <w:r w:rsidR="000C465E">
              <w:rPr>
                <w:webHidden/>
              </w:rPr>
              <w:fldChar w:fldCharType="begin"/>
            </w:r>
            <w:r w:rsidR="000C465E">
              <w:rPr>
                <w:webHidden/>
              </w:rPr>
              <w:instrText xml:space="preserve"> PAGEREF _Toc470075232 \h </w:instrText>
            </w:r>
            <w:r w:rsidR="000C465E">
              <w:rPr>
                <w:webHidden/>
              </w:rPr>
            </w:r>
            <w:r w:rsidR="000C465E">
              <w:rPr>
                <w:webHidden/>
              </w:rPr>
              <w:fldChar w:fldCharType="separate"/>
            </w:r>
            <w:r w:rsidR="000C465E">
              <w:rPr>
                <w:webHidden/>
              </w:rPr>
              <w:t>6</w:t>
            </w:r>
            <w:r w:rsidR="000C465E">
              <w:rPr>
                <w:webHidden/>
              </w:rPr>
              <w:fldChar w:fldCharType="end"/>
            </w:r>
          </w:hyperlink>
        </w:p>
        <w:p w:rsidR="000C465E" w:rsidRDefault="00C7302A">
          <w:pPr>
            <w:pStyle w:val="TOC3"/>
            <w:rPr>
              <w:rFonts w:asciiTheme="minorHAnsi" w:eastAsiaTheme="minorEastAsia" w:hAnsiTheme="minorHAnsi"/>
              <w:lang w:eastAsia="en-AU"/>
            </w:rPr>
          </w:pPr>
          <w:hyperlink w:anchor="_Toc470075233" w:history="1">
            <w:r w:rsidR="000C465E" w:rsidRPr="002C6DCE">
              <w:rPr>
                <w:rStyle w:val="Hyperlink"/>
              </w:rPr>
              <w:t>3.1.1</w:t>
            </w:r>
            <w:r w:rsidR="000C465E">
              <w:rPr>
                <w:rFonts w:asciiTheme="minorHAnsi" w:eastAsiaTheme="minorEastAsia" w:hAnsiTheme="minorHAnsi"/>
                <w:lang w:eastAsia="en-AU"/>
              </w:rPr>
              <w:tab/>
            </w:r>
            <w:r w:rsidR="000C465E" w:rsidRPr="002C6DCE">
              <w:rPr>
                <w:rStyle w:val="Hyperlink"/>
              </w:rPr>
              <w:t>Constraint</w:t>
            </w:r>
            <w:r w:rsidR="000C465E">
              <w:rPr>
                <w:webHidden/>
              </w:rPr>
              <w:tab/>
            </w:r>
            <w:r w:rsidR="000C465E">
              <w:rPr>
                <w:webHidden/>
              </w:rPr>
              <w:fldChar w:fldCharType="begin"/>
            </w:r>
            <w:r w:rsidR="000C465E">
              <w:rPr>
                <w:webHidden/>
              </w:rPr>
              <w:instrText xml:space="preserve"> PAGEREF _Toc470075233 \h </w:instrText>
            </w:r>
            <w:r w:rsidR="000C465E">
              <w:rPr>
                <w:webHidden/>
              </w:rPr>
            </w:r>
            <w:r w:rsidR="000C465E">
              <w:rPr>
                <w:webHidden/>
              </w:rPr>
              <w:fldChar w:fldCharType="separate"/>
            </w:r>
            <w:r w:rsidR="000C465E">
              <w:rPr>
                <w:webHidden/>
              </w:rPr>
              <w:t>6</w:t>
            </w:r>
            <w:r w:rsidR="000C465E">
              <w:rPr>
                <w:webHidden/>
              </w:rPr>
              <w:fldChar w:fldCharType="end"/>
            </w:r>
          </w:hyperlink>
        </w:p>
        <w:p w:rsidR="000C465E" w:rsidRDefault="00C7302A">
          <w:pPr>
            <w:pStyle w:val="TOC3"/>
            <w:rPr>
              <w:rFonts w:asciiTheme="minorHAnsi" w:eastAsiaTheme="minorEastAsia" w:hAnsiTheme="minorHAnsi"/>
              <w:lang w:eastAsia="en-AU"/>
            </w:rPr>
          </w:pPr>
          <w:hyperlink w:anchor="_Toc470075234" w:history="1">
            <w:r w:rsidR="000C465E" w:rsidRPr="002C6DCE">
              <w:rPr>
                <w:rStyle w:val="Hyperlink"/>
              </w:rPr>
              <w:t>3.1.2</w:t>
            </w:r>
            <w:r w:rsidR="000C465E">
              <w:rPr>
                <w:rFonts w:asciiTheme="minorHAnsi" w:eastAsiaTheme="minorEastAsia" w:hAnsiTheme="minorHAnsi"/>
                <w:lang w:eastAsia="en-AU"/>
              </w:rPr>
              <w:tab/>
            </w:r>
            <w:r w:rsidR="000C465E" w:rsidRPr="002C6DCE">
              <w:rPr>
                <w:rStyle w:val="Hyperlink"/>
              </w:rPr>
              <w:t>Rebidding</w:t>
            </w:r>
            <w:r w:rsidR="000C465E">
              <w:rPr>
                <w:webHidden/>
              </w:rPr>
              <w:tab/>
            </w:r>
            <w:r w:rsidR="000C465E">
              <w:rPr>
                <w:webHidden/>
              </w:rPr>
              <w:fldChar w:fldCharType="begin"/>
            </w:r>
            <w:r w:rsidR="000C465E">
              <w:rPr>
                <w:webHidden/>
              </w:rPr>
              <w:instrText xml:space="preserve"> PAGEREF _Toc470075234 \h </w:instrText>
            </w:r>
            <w:r w:rsidR="000C465E">
              <w:rPr>
                <w:webHidden/>
              </w:rPr>
            </w:r>
            <w:r w:rsidR="000C465E">
              <w:rPr>
                <w:webHidden/>
              </w:rPr>
              <w:fldChar w:fldCharType="separate"/>
            </w:r>
            <w:r w:rsidR="000C465E">
              <w:rPr>
                <w:webHidden/>
              </w:rPr>
              <w:t>9</w:t>
            </w:r>
            <w:r w:rsidR="000C465E">
              <w:rPr>
                <w:webHidden/>
              </w:rPr>
              <w:fldChar w:fldCharType="end"/>
            </w:r>
          </w:hyperlink>
        </w:p>
        <w:p w:rsidR="000C465E" w:rsidRDefault="00C7302A">
          <w:pPr>
            <w:pStyle w:val="TOC3"/>
            <w:rPr>
              <w:rFonts w:asciiTheme="minorHAnsi" w:eastAsiaTheme="minorEastAsia" w:hAnsiTheme="minorHAnsi"/>
              <w:lang w:eastAsia="en-AU"/>
            </w:rPr>
          </w:pPr>
          <w:hyperlink w:anchor="_Toc470075235" w:history="1">
            <w:r w:rsidR="000C465E" w:rsidRPr="002C6DCE">
              <w:rPr>
                <w:rStyle w:val="Hyperlink"/>
              </w:rPr>
              <w:t>3.1.3</w:t>
            </w:r>
            <w:r w:rsidR="000C465E">
              <w:rPr>
                <w:rFonts w:asciiTheme="minorHAnsi" w:eastAsiaTheme="minorEastAsia" w:hAnsiTheme="minorHAnsi"/>
                <w:lang w:eastAsia="en-AU"/>
              </w:rPr>
              <w:tab/>
            </w:r>
            <w:r w:rsidR="000C465E" w:rsidRPr="002C6DCE">
              <w:rPr>
                <w:rStyle w:val="Hyperlink"/>
              </w:rPr>
              <w:t>Network availability</w:t>
            </w:r>
            <w:r w:rsidR="000C465E">
              <w:rPr>
                <w:webHidden/>
              </w:rPr>
              <w:tab/>
            </w:r>
            <w:r w:rsidR="000C465E">
              <w:rPr>
                <w:webHidden/>
              </w:rPr>
              <w:fldChar w:fldCharType="begin"/>
            </w:r>
            <w:r w:rsidR="000C465E">
              <w:rPr>
                <w:webHidden/>
              </w:rPr>
              <w:instrText xml:space="preserve"> PAGEREF _Toc470075235 \h </w:instrText>
            </w:r>
            <w:r w:rsidR="000C465E">
              <w:rPr>
                <w:webHidden/>
              </w:rPr>
            </w:r>
            <w:r w:rsidR="000C465E">
              <w:rPr>
                <w:webHidden/>
              </w:rPr>
              <w:fldChar w:fldCharType="separate"/>
            </w:r>
            <w:r w:rsidR="000C465E">
              <w:rPr>
                <w:webHidden/>
              </w:rPr>
              <w:t>11</w:t>
            </w:r>
            <w:r w:rsidR="000C465E">
              <w:rPr>
                <w:webHidden/>
              </w:rPr>
              <w:fldChar w:fldCharType="end"/>
            </w:r>
          </w:hyperlink>
        </w:p>
        <w:p w:rsidR="000C465E" w:rsidRDefault="00C7302A">
          <w:pPr>
            <w:pStyle w:val="TOC1"/>
            <w:rPr>
              <w:rFonts w:asciiTheme="minorHAnsi" w:eastAsiaTheme="minorEastAsia" w:hAnsiTheme="minorHAnsi"/>
              <w:b w:val="0"/>
              <w:color w:val="auto"/>
              <w:sz w:val="22"/>
              <w:lang w:val="en-AU" w:eastAsia="en-AU"/>
            </w:rPr>
          </w:pPr>
          <w:hyperlink w:anchor="_Toc470075236" w:history="1">
            <w:r w:rsidR="000C465E" w:rsidRPr="002C6DCE">
              <w:rPr>
                <w:rStyle w:val="Hyperlink"/>
              </w:rPr>
              <w:t>Appendix A: Significant rebids</w:t>
            </w:r>
            <w:r w:rsidR="000C465E">
              <w:rPr>
                <w:webHidden/>
              </w:rPr>
              <w:tab/>
            </w:r>
            <w:r w:rsidR="000C465E">
              <w:rPr>
                <w:webHidden/>
              </w:rPr>
              <w:fldChar w:fldCharType="begin"/>
            </w:r>
            <w:r w:rsidR="000C465E">
              <w:rPr>
                <w:webHidden/>
              </w:rPr>
              <w:instrText xml:space="preserve"> PAGEREF _Toc470075236 \h </w:instrText>
            </w:r>
            <w:r w:rsidR="000C465E">
              <w:rPr>
                <w:webHidden/>
              </w:rPr>
            </w:r>
            <w:r w:rsidR="000C465E">
              <w:rPr>
                <w:webHidden/>
              </w:rPr>
              <w:fldChar w:fldCharType="separate"/>
            </w:r>
            <w:r w:rsidR="000C465E">
              <w:rPr>
                <w:webHidden/>
              </w:rPr>
              <w:t>13</w:t>
            </w:r>
            <w:r w:rsidR="000C465E">
              <w:rPr>
                <w:webHidden/>
              </w:rPr>
              <w:fldChar w:fldCharType="end"/>
            </w:r>
          </w:hyperlink>
        </w:p>
        <w:p w:rsidR="000C465E" w:rsidRDefault="00C7302A">
          <w:pPr>
            <w:pStyle w:val="TOC1"/>
            <w:rPr>
              <w:rFonts w:asciiTheme="minorHAnsi" w:eastAsiaTheme="minorEastAsia" w:hAnsiTheme="minorHAnsi"/>
              <w:b w:val="0"/>
              <w:color w:val="auto"/>
              <w:sz w:val="22"/>
              <w:lang w:val="en-AU" w:eastAsia="en-AU"/>
            </w:rPr>
          </w:pPr>
          <w:hyperlink w:anchor="_Toc470075237" w:history="1">
            <w:r w:rsidR="000C465E" w:rsidRPr="002C6DCE">
              <w:rPr>
                <w:rStyle w:val="Hyperlink"/>
              </w:rPr>
              <w:t>Appendix B: Price setter</w:t>
            </w:r>
            <w:r w:rsidR="000C465E">
              <w:rPr>
                <w:webHidden/>
              </w:rPr>
              <w:tab/>
            </w:r>
            <w:r w:rsidR="000C465E">
              <w:rPr>
                <w:webHidden/>
              </w:rPr>
              <w:fldChar w:fldCharType="begin"/>
            </w:r>
            <w:r w:rsidR="000C465E">
              <w:rPr>
                <w:webHidden/>
              </w:rPr>
              <w:instrText xml:space="preserve"> PAGEREF _Toc470075237 \h </w:instrText>
            </w:r>
            <w:r w:rsidR="000C465E">
              <w:rPr>
                <w:webHidden/>
              </w:rPr>
            </w:r>
            <w:r w:rsidR="000C465E">
              <w:rPr>
                <w:webHidden/>
              </w:rPr>
              <w:fldChar w:fldCharType="separate"/>
            </w:r>
            <w:r w:rsidR="000C465E">
              <w:rPr>
                <w:webHidden/>
              </w:rPr>
              <w:t>15</w:t>
            </w:r>
            <w:r w:rsidR="000C465E">
              <w:rPr>
                <w:webHidden/>
              </w:rPr>
              <w:fldChar w:fldCharType="end"/>
            </w:r>
          </w:hyperlink>
        </w:p>
        <w:p w:rsidR="000C465E" w:rsidRDefault="00C7302A">
          <w:pPr>
            <w:pStyle w:val="TOC1"/>
            <w:rPr>
              <w:rFonts w:asciiTheme="minorHAnsi" w:eastAsiaTheme="minorEastAsia" w:hAnsiTheme="minorHAnsi"/>
              <w:b w:val="0"/>
              <w:color w:val="auto"/>
              <w:sz w:val="22"/>
              <w:lang w:val="en-AU" w:eastAsia="en-AU"/>
            </w:rPr>
          </w:pPr>
          <w:hyperlink w:anchor="_Toc470075238" w:history="1">
            <w:r w:rsidR="000C465E" w:rsidRPr="002C6DCE">
              <w:rPr>
                <w:rStyle w:val="Hyperlink"/>
              </w:rPr>
              <w:t>Appendix C: Closing bids</w:t>
            </w:r>
            <w:r w:rsidR="000C465E">
              <w:rPr>
                <w:webHidden/>
              </w:rPr>
              <w:tab/>
            </w:r>
            <w:r w:rsidR="000C465E">
              <w:rPr>
                <w:webHidden/>
              </w:rPr>
              <w:fldChar w:fldCharType="begin"/>
            </w:r>
            <w:r w:rsidR="000C465E">
              <w:rPr>
                <w:webHidden/>
              </w:rPr>
              <w:instrText xml:space="preserve"> PAGEREF _Toc470075238 \h </w:instrText>
            </w:r>
            <w:r w:rsidR="000C465E">
              <w:rPr>
                <w:webHidden/>
              </w:rPr>
            </w:r>
            <w:r w:rsidR="000C465E">
              <w:rPr>
                <w:webHidden/>
              </w:rPr>
              <w:fldChar w:fldCharType="separate"/>
            </w:r>
            <w:r w:rsidR="000C465E">
              <w:rPr>
                <w:webHidden/>
              </w:rPr>
              <w:t>16</w:t>
            </w:r>
            <w:r w:rsidR="000C465E">
              <w:rPr>
                <w:webHidden/>
              </w:rPr>
              <w:fldChar w:fldCharType="end"/>
            </w:r>
          </w:hyperlink>
        </w:p>
        <w:p w:rsidR="000C465E" w:rsidRDefault="00C7302A">
          <w:pPr>
            <w:pStyle w:val="TOC1"/>
            <w:rPr>
              <w:rFonts w:asciiTheme="minorHAnsi" w:eastAsiaTheme="minorEastAsia" w:hAnsiTheme="minorHAnsi"/>
              <w:b w:val="0"/>
              <w:color w:val="auto"/>
              <w:sz w:val="22"/>
              <w:lang w:val="en-AU" w:eastAsia="en-AU"/>
            </w:rPr>
          </w:pPr>
          <w:hyperlink w:anchor="_Toc470075239" w:history="1">
            <w:r w:rsidR="000C465E" w:rsidRPr="002C6DCE">
              <w:rPr>
                <w:rStyle w:val="Hyperlink"/>
              </w:rPr>
              <w:t>Appendix D: Management of constraints</w:t>
            </w:r>
            <w:r w:rsidR="000C465E">
              <w:rPr>
                <w:webHidden/>
              </w:rPr>
              <w:tab/>
            </w:r>
            <w:r w:rsidR="000C465E">
              <w:rPr>
                <w:webHidden/>
              </w:rPr>
              <w:fldChar w:fldCharType="begin"/>
            </w:r>
            <w:r w:rsidR="000C465E">
              <w:rPr>
                <w:webHidden/>
              </w:rPr>
              <w:instrText xml:space="preserve"> PAGEREF _Toc470075239 \h </w:instrText>
            </w:r>
            <w:r w:rsidR="000C465E">
              <w:rPr>
                <w:webHidden/>
              </w:rPr>
            </w:r>
            <w:r w:rsidR="000C465E">
              <w:rPr>
                <w:webHidden/>
              </w:rPr>
              <w:fldChar w:fldCharType="separate"/>
            </w:r>
            <w:r w:rsidR="000C465E">
              <w:rPr>
                <w:webHidden/>
              </w:rPr>
              <w:t>19</w:t>
            </w:r>
            <w:r w:rsidR="000C465E">
              <w:rPr>
                <w:webHidden/>
              </w:rPr>
              <w:fldChar w:fldCharType="end"/>
            </w:r>
          </w:hyperlink>
        </w:p>
        <w:p w:rsidR="000C465E" w:rsidRDefault="00C7302A">
          <w:pPr>
            <w:pStyle w:val="TOC1"/>
            <w:rPr>
              <w:rFonts w:asciiTheme="minorHAnsi" w:eastAsiaTheme="minorEastAsia" w:hAnsiTheme="minorHAnsi"/>
              <w:b w:val="0"/>
              <w:color w:val="auto"/>
              <w:sz w:val="22"/>
              <w:lang w:val="en-AU" w:eastAsia="en-AU"/>
            </w:rPr>
          </w:pPr>
          <w:hyperlink w:anchor="_Toc470075240" w:history="1">
            <w:r w:rsidR="000C465E" w:rsidRPr="002C6DCE">
              <w:rPr>
                <w:rStyle w:val="Hyperlink"/>
              </w:rPr>
              <w:t>Appendix E: N&gt;&gt;N-NIL_01N constraint description</w:t>
            </w:r>
            <w:r w:rsidR="000C465E">
              <w:rPr>
                <w:webHidden/>
              </w:rPr>
              <w:tab/>
            </w:r>
            <w:r w:rsidR="000C465E">
              <w:rPr>
                <w:webHidden/>
              </w:rPr>
              <w:fldChar w:fldCharType="begin"/>
            </w:r>
            <w:r w:rsidR="000C465E">
              <w:rPr>
                <w:webHidden/>
              </w:rPr>
              <w:instrText xml:space="preserve"> PAGEREF _Toc470075240 \h </w:instrText>
            </w:r>
            <w:r w:rsidR="000C465E">
              <w:rPr>
                <w:webHidden/>
              </w:rPr>
            </w:r>
            <w:r w:rsidR="000C465E">
              <w:rPr>
                <w:webHidden/>
              </w:rPr>
              <w:fldChar w:fldCharType="separate"/>
            </w:r>
            <w:r w:rsidR="000C465E">
              <w:rPr>
                <w:webHidden/>
              </w:rPr>
              <w:t>22</w:t>
            </w:r>
            <w:r w:rsidR="000C465E">
              <w:rPr>
                <w:webHidden/>
              </w:rPr>
              <w:fldChar w:fldCharType="end"/>
            </w:r>
          </w:hyperlink>
        </w:p>
        <w:p w:rsidR="00C7068C" w:rsidRDefault="00C7068C" w:rsidP="00C7068C">
          <w:r>
            <w:fldChar w:fldCharType="end"/>
          </w:r>
          <w:bookmarkStart w:id="1" w:name="_Toc213047617"/>
        </w:p>
        <w:p w:rsidR="00C7068C" w:rsidRDefault="00C7068C" w:rsidP="00C7068C">
          <w:pPr>
            <w:sectPr w:rsidR="00C7068C" w:rsidSect="00581454">
              <w:footerReference w:type="default" r:id="rId11"/>
              <w:pgSz w:w="11906" w:h="16838" w:code="9"/>
              <w:pgMar w:top="1440" w:right="1700" w:bottom="1582" w:left="1729" w:header="720" w:footer="1009" w:gutter="0"/>
              <w:pgNumType w:fmt="lowerRoman"/>
              <w:cols w:space="720"/>
              <w:docGrid w:linePitch="326"/>
            </w:sectPr>
          </w:pPr>
        </w:p>
        <w:p w:rsidR="00C7068C" w:rsidRDefault="00C7068C" w:rsidP="00C7068C">
          <w:pPr>
            <w:pStyle w:val="Heading1"/>
          </w:pPr>
          <w:bookmarkStart w:id="2" w:name="_Toc470075229"/>
          <w:bookmarkEnd w:id="1"/>
          <w:r>
            <w:lastRenderedPageBreak/>
            <w:t>Introduction</w:t>
          </w:r>
          <w:bookmarkEnd w:id="2"/>
          <w:r>
            <w:t xml:space="preserve"> </w:t>
          </w:r>
        </w:p>
        <w:p w:rsidR="00C7068C" w:rsidRPr="00663CFC" w:rsidRDefault="00C7068C" w:rsidP="00A941F6">
          <w:pPr>
            <w:pStyle w:val="AERBody"/>
          </w:pPr>
          <w:r w:rsidRPr="00663CFC">
            <w:t>The AER is required to publish a report whenever the electricity spot price exceeds $5000/MWh.</w:t>
          </w:r>
          <w:r w:rsidRPr="00663CFC">
            <w:rPr>
              <w:rStyle w:val="FootnoteReference"/>
            </w:rPr>
            <w:footnoteReference w:id="1"/>
          </w:r>
          <w:r w:rsidRPr="00663CFC">
            <w:t xml:space="preserve"> The report: </w:t>
          </w:r>
        </w:p>
        <w:p w:rsidR="00C7068C" w:rsidRPr="00663CFC" w:rsidRDefault="00C7068C" w:rsidP="00C7068C">
          <w:pPr>
            <w:pStyle w:val="Bulletpoint"/>
          </w:pPr>
          <w:r w:rsidRPr="00663CFC">
            <w:t xml:space="preserve">describes the significant factors contributing to the spot price exceeding $5000/MWh, including withdrawal of generation capacity and network availability; </w:t>
          </w:r>
        </w:p>
        <w:p w:rsidR="00C7068C" w:rsidRPr="00663CFC" w:rsidRDefault="00C7068C" w:rsidP="00C7068C">
          <w:pPr>
            <w:pStyle w:val="Bulletpoint"/>
          </w:pPr>
          <w:r w:rsidRPr="00663CFC">
            <w:t xml:space="preserve">assesses whether rebidding contributed to the spot price exceeding $5000/MWh; </w:t>
          </w:r>
        </w:p>
        <w:p w:rsidR="00C7068C" w:rsidRPr="00663CFC" w:rsidRDefault="00C7068C" w:rsidP="00C7068C">
          <w:pPr>
            <w:pStyle w:val="Bulletpoint"/>
          </w:pPr>
          <w:r w:rsidRPr="00663CFC">
            <w:t>identifies the marginal scheduled generating units; and</w:t>
          </w:r>
        </w:p>
        <w:p w:rsidR="00C7068C" w:rsidRDefault="00C7068C" w:rsidP="00D31B41">
          <w:pPr>
            <w:pStyle w:val="Bulletpoint"/>
          </w:pPr>
          <w:r w:rsidRPr="00663CFC">
            <w:t xml:space="preserve">identifies all units with offers for the trading interval equal to or greater than $5000/MWh and compares these dispatch offers to relevant dispatch offers in previous trading intervals. </w:t>
          </w:r>
        </w:p>
        <w:p w:rsidR="00C7068C" w:rsidRDefault="00C7068C" w:rsidP="00C7068C">
          <w:pPr>
            <w:pStyle w:val="Heading1"/>
          </w:pPr>
          <w:bookmarkStart w:id="3" w:name="_Toc470075230"/>
          <w:r>
            <w:lastRenderedPageBreak/>
            <w:t>Summary</w:t>
          </w:r>
          <w:bookmarkEnd w:id="3"/>
          <w:r>
            <w:t xml:space="preserve"> </w:t>
          </w:r>
        </w:p>
        <w:p w:rsidR="000951D5" w:rsidRDefault="000951D5" w:rsidP="00A941F6">
          <w:pPr>
            <w:pStyle w:val="AERBody"/>
          </w:pPr>
          <w:r>
            <w:t xml:space="preserve">On 18 November 2016, the spot price in New South Wales reached $11 701/MWh for the 3.30 pm trading interval. Spot prices in the region had been around $50/MWh for much of the morning and then increased to around $190/MWh at 10 am, to around $300/MWh at 2.30 pm. The spot price reached $2942/MWh, $11 701/MWh, $3259/MWh and $588/MWh for the 3 pm, 3.30 pm, 4 pm and 4.30 pm trading intervals, respectively. </w:t>
          </w:r>
        </w:p>
        <w:p w:rsidR="000951D5" w:rsidRDefault="000951D5" w:rsidP="00A941F6">
          <w:pPr>
            <w:pStyle w:val="AERBody"/>
          </w:pPr>
          <w:r>
            <w:t>While spot prices for the 3 pm to 4 pm trading intervals were forecast to be around $300/MWh four and twelve hours ahead of dispatch, the spot price for the 4.30 pm trading interval, was forecast to be around $13 800/MWh.</w:t>
          </w:r>
        </w:p>
        <w:p w:rsidR="000951D5" w:rsidRDefault="000951D5" w:rsidP="00A941F6">
          <w:pPr>
            <w:pStyle w:val="AERBody"/>
          </w:pPr>
          <w:r>
            <w:t>Factors that contributed to high prices on the day included:</w:t>
          </w:r>
        </w:p>
        <w:p w:rsidR="0048137B" w:rsidRDefault="0048137B" w:rsidP="0048137B">
          <w:pPr>
            <w:pStyle w:val="AERBody"/>
          </w:pPr>
          <w:r>
            <w:t>System Normal Constraint</w:t>
          </w:r>
        </w:p>
        <w:p w:rsidR="0048137B" w:rsidRDefault="0048137B" w:rsidP="0048137B">
          <w:pPr>
            <w:pStyle w:val="Bulletpoint"/>
          </w:pPr>
          <w:r>
            <w:t xml:space="preserve">A network constraint that includes the Vic – NSW interconnector and a number of large generators in southern New South Wales, bound. The way the constraint operates means that an increase in generation in southern New South Wales results in a reduction of imports from Victoria. Hence, generators on the constraint act as effective gate keepers by limiting </w:t>
          </w:r>
          <w:r w:rsidR="00606019">
            <w:t xml:space="preserve">imports </w:t>
          </w:r>
          <w:r>
            <w:t>into New South Wales from Victoria.</w:t>
          </w:r>
        </w:p>
        <w:p w:rsidR="0048137B" w:rsidRDefault="0048137B" w:rsidP="0048137B">
          <w:pPr>
            <w:pStyle w:val="AERBody"/>
          </w:pPr>
          <w:r>
            <w:t>Rebidding</w:t>
          </w:r>
        </w:p>
        <w:p w:rsidR="0048137B" w:rsidRPr="000951D5" w:rsidRDefault="0048137B" w:rsidP="0048137B">
          <w:pPr>
            <w:pStyle w:val="Bulletpoint"/>
          </w:pPr>
          <w:r w:rsidRPr="000951D5">
            <w:t xml:space="preserve">Over a series of rebids Origin and Snowy Hydro progressively shifted a total of around 3000 MW of capacity </w:t>
          </w:r>
          <w:r>
            <w:t>for generators in southern New South Wales</w:t>
          </w:r>
          <w:r w:rsidRPr="000951D5">
            <w:t xml:space="preserve"> to the price floor</w:t>
          </w:r>
          <w:r>
            <w:t>, thereby increasing their output</w:t>
          </w:r>
          <w:r w:rsidRPr="000951D5">
            <w:t xml:space="preserve">. </w:t>
          </w:r>
          <w:r>
            <w:t>By 2.20 pm</w:t>
          </w:r>
          <w:r w:rsidRPr="000951D5">
            <w:t xml:space="preserve"> generation in southern New South Wales had increased to </w:t>
          </w:r>
          <w:r>
            <w:t>a level that</w:t>
          </w:r>
          <w:r w:rsidRPr="000951D5">
            <w:t xml:space="preserve"> </w:t>
          </w:r>
          <w:r>
            <w:t>caused</w:t>
          </w:r>
          <w:r w:rsidRPr="000951D5">
            <w:t xml:space="preserve"> the constraint to bind. </w:t>
          </w:r>
        </w:p>
        <w:p w:rsidR="009166A8" w:rsidRDefault="009166A8" w:rsidP="009166A8">
          <w:pPr>
            <w:pStyle w:val="Bulletpoint"/>
          </w:pPr>
          <w:r>
            <w:t xml:space="preserve">The supply curve in New South Wales was very steep with no capacity priced between $288/MWh and $13 600/MWh. </w:t>
          </w:r>
          <w:r w:rsidRPr="001F182A">
            <w:t xml:space="preserve">The </w:t>
          </w:r>
          <w:r w:rsidRPr="00A941F6">
            <w:t>rebidding</w:t>
          </w:r>
          <w:r w:rsidRPr="001F182A">
            <w:t xml:space="preserve"> of capacity </w:t>
          </w:r>
          <w:r>
            <w:t>exacerbated the distribution of prices and reduced the amount of mid-priced capacity.</w:t>
          </w:r>
        </w:p>
        <w:p w:rsidR="0048137B" w:rsidRDefault="0048137B" w:rsidP="0048137B">
          <w:pPr>
            <w:pStyle w:val="Bulletpoint"/>
          </w:pPr>
          <w:r>
            <w:t>Origin and Snowy Hydro also rebid their ramp down rates to the minimum allowable under the Rules which prolonged the period for which the constraint was binding.</w:t>
          </w:r>
        </w:p>
        <w:p w:rsidR="0048137B" w:rsidRDefault="0048137B" w:rsidP="0048137B">
          <w:pPr>
            <w:pStyle w:val="AERBody"/>
          </w:pPr>
          <w:r>
            <w:t>Network availability</w:t>
          </w:r>
        </w:p>
        <w:p w:rsidR="000951D5" w:rsidRPr="00231875" w:rsidRDefault="000951D5" w:rsidP="00A941F6">
          <w:pPr>
            <w:pStyle w:val="Bulletpoint"/>
          </w:pPr>
          <w:r w:rsidRPr="00231875">
            <w:t xml:space="preserve">The Terranora and Directlink interconnectors, which link New South Wales and Queensland, were </w:t>
          </w:r>
          <w:r w:rsidR="00231875">
            <w:t>flow</w:t>
          </w:r>
          <w:r w:rsidRPr="00231875">
            <w:t xml:space="preserve">ing </w:t>
          </w:r>
          <w:r w:rsidR="009166A8">
            <w:t>into</w:t>
          </w:r>
          <w:r w:rsidR="00231875">
            <w:t xml:space="preserve"> </w:t>
          </w:r>
          <w:r w:rsidRPr="00231875">
            <w:t xml:space="preserve">New South Wales at their forecast limits. </w:t>
          </w:r>
          <w:r w:rsidR="009166A8">
            <w:t>Consequently</w:t>
          </w:r>
          <w:r w:rsidR="00606019">
            <w:t>,</w:t>
          </w:r>
          <w:r w:rsidR="009166A8">
            <w:t xml:space="preserve"> additional </w:t>
          </w:r>
          <w:r w:rsidRPr="00231875">
            <w:t xml:space="preserve">low priced capacity from Queensland </w:t>
          </w:r>
          <w:r w:rsidR="009166A8">
            <w:t>was inaccessible</w:t>
          </w:r>
          <w:r w:rsidRPr="00231875">
            <w:t>.</w:t>
          </w:r>
        </w:p>
        <w:p w:rsidR="000951D5" w:rsidRDefault="009166A8" w:rsidP="00A941F6">
          <w:pPr>
            <w:pStyle w:val="Bulletpoint"/>
          </w:pPr>
          <w:r>
            <w:t>Due to the rebidding and the binding constraint, f</w:t>
          </w:r>
          <w:r w:rsidR="000951D5">
            <w:t xml:space="preserve">lows across the Vic – NSW interconnector went from 780 MW into New South Wales at 2.25 pm to 90 MW counter price into Victoria at 3 pm. </w:t>
          </w:r>
        </w:p>
        <w:p w:rsidR="000951D5" w:rsidRPr="00231875" w:rsidRDefault="000951D5" w:rsidP="0048137B">
          <w:pPr>
            <w:pStyle w:val="AERBody"/>
          </w:pPr>
          <w:r>
            <w:t xml:space="preserve">With flows counter price from New South Wales into Victoria, high priced </w:t>
          </w:r>
          <w:r w:rsidRPr="00231875">
            <w:t>capacity was dispatched to meet demand in New South Wales and the price exceeded $13 600/MWh for seven dispatch intervals from 2.40 pm to 3.30 pm, inclusive.</w:t>
          </w:r>
        </w:p>
        <w:p w:rsidR="00C7068C" w:rsidRDefault="00C7068C" w:rsidP="00C7068C">
          <w:pPr>
            <w:pStyle w:val="Heading1"/>
          </w:pPr>
          <w:bookmarkStart w:id="4" w:name="_Toc414272643"/>
          <w:bookmarkStart w:id="5" w:name="_Toc470075231"/>
          <w:bookmarkEnd w:id="4"/>
          <w:r>
            <w:lastRenderedPageBreak/>
            <w:t>Analysis</w:t>
          </w:r>
          <w:bookmarkEnd w:id="5"/>
        </w:p>
        <w:p w:rsidR="00914728" w:rsidRDefault="0038203C" w:rsidP="00A941F6">
          <w:pPr>
            <w:pStyle w:val="AERBody"/>
          </w:pPr>
          <w:r w:rsidRPr="004B4C9C">
            <w:fldChar w:fldCharType="begin"/>
          </w:r>
          <w:r w:rsidRPr="004B4C9C">
            <w:instrText xml:space="preserve"> REF _Ref435689174 \h </w:instrText>
          </w:r>
          <w:r w:rsidRPr="004B4C9C">
            <w:fldChar w:fldCharType="separate"/>
          </w:r>
          <w:r w:rsidR="00175BBF">
            <w:t xml:space="preserve">Table </w:t>
          </w:r>
          <w:r w:rsidR="00175BBF">
            <w:rPr>
              <w:noProof/>
            </w:rPr>
            <w:t>1</w:t>
          </w:r>
          <w:r w:rsidRPr="004B4C9C">
            <w:fldChar w:fldCharType="end"/>
          </w:r>
          <w:r w:rsidRPr="004B4C9C">
            <w:t xml:space="preserve"> </w:t>
          </w:r>
          <w:r w:rsidR="00BD7141" w:rsidRPr="004B4C9C">
            <w:t xml:space="preserve">shows </w:t>
          </w:r>
          <w:r w:rsidR="00F60022">
            <w:t xml:space="preserve">the </w:t>
          </w:r>
          <w:r w:rsidR="00C7068C" w:rsidRPr="004B4C9C">
            <w:t xml:space="preserve">actual and forecast spot price, demand and </w:t>
          </w:r>
          <w:r w:rsidR="008C7396">
            <w:t xml:space="preserve">generator </w:t>
          </w:r>
          <w:r w:rsidR="00C7068C" w:rsidRPr="004B4C9C">
            <w:t xml:space="preserve">availability for </w:t>
          </w:r>
          <w:r w:rsidR="00F60022">
            <w:t>the</w:t>
          </w:r>
          <w:r w:rsidR="00C7068C" w:rsidRPr="004B4C9C">
            <w:t xml:space="preserve"> high price</w:t>
          </w:r>
          <w:r w:rsidR="00FD281A" w:rsidRPr="004B4C9C">
            <w:t>d</w:t>
          </w:r>
          <w:r w:rsidR="00C7068C" w:rsidRPr="004B4C9C">
            <w:t xml:space="preserve"> trading interval</w:t>
          </w:r>
          <w:r w:rsidR="00BD7141" w:rsidRPr="004B4C9C">
            <w:t xml:space="preserve">. </w:t>
          </w:r>
          <w:r w:rsidR="0018474D">
            <w:t>Shown in bold, t</w:t>
          </w:r>
          <w:r w:rsidR="006412A3" w:rsidRPr="004B4C9C">
            <w:t xml:space="preserve">he spot price in </w:t>
          </w:r>
          <w:r w:rsidR="00931A04" w:rsidRPr="004B4C9C">
            <w:t>New</w:t>
          </w:r>
          <w:r w:rsidRPr="004B4C9C">
            <w:t> </w:t>
          </w:r>
          <w:r w:rsidR="00931A04" w:rsidRPr="004B4C9C">
            <w:t>South</w:t>
          </w:r>
          <w:r w:rsidRPr="004B4C9C">
            <w:t> </w:t>
          </w:r>
          <w:r w:rsidR="00931A04" w:rsidRPr="004B4C9C">
            <w:t>Wales</w:t>
          </w:r>
          <w:r w:rsidR="006412A3" w:rsidRPr="004B4C9C">
            <w:t xml:space="preserve"> exceeded $5000/MWh </w:t>
          </w:r>
          <w:r w:rsidR="00931A04" w:rsidRPr="004B4C9C">
            <w:t xml:space="preserve">for </w:t>
          </w:r>
          <w:r w:rsidR="006412A3" w:rsidRPr="004B4C9C">
            <w:t xml:space="preserve">the </w:t>
          </w:r>
          <w:r w:rsidR="004B4C9C" w:rsidRPr="004B4C9C">
            <w:t>3</w:t>
          </w:r>
          <w:r w:rsidR="00931A04" w:rsidRPr="004B4C9C">
            <w:t xml:space="preserve">.30 pm </w:t>
          </w:r>
          <w:r w:rsidR="006412A3" w:rsidRPr="004B4C9C">
            <w:t xml:space="preserve">trading </w:t>
          </w:r>
          <w:r w:rsidR="00FD4390" w:rsidRPr="004B4C9C">
            <w:t>interval</w:t>
          </w:r>
          <w:r w:rsidR="0018474D">
            <w:t>.</w:t>
          </w:r>
          <w:r w:rsidR="00FD4390">
            <w:t xml:space="preserve"> </w:t>
          </w:r>
          <w:r w:rsidR="0018474D">
            <w:t xml:space="preserve">Three </w:t>
          </w:r>
          <w:r w:rsidR="00914728">
            <w:t xml:space="preserve">other trading intervals </w:t>
          </w:r>
          <w:r w:rsidR="00FD4390">
            <w:t xml:space="preserve">around that event </w:t>
          </w:r>
          <w:r w:rsidR="00914728">
            <w:t xml:space="preserve">are included </w:t>
          </w:r>
          <w:r w:rsidR="00FD4390">
            <w:t xml:space="preserve">in this report </w:t>
          </w:r>
          <w:r w:rsidR="00914728">
            <w:t xml:space="preserve">as they </w:t>
          </w:r>
          <w:r w:rsidR="0018474D">
            <w:t xml:space="preserve">form part </w:t>
          </w:r>
          <w:r w:rsidR="00914728">
            <w:t>of the same event.</w:t>
          </w:r>
        </w:p>
        <w:p w:rsidR="005D5ED4" w:rsidRPr="00624E14" w:rsidRDefault="005D5ED4" w:rsidP="005D5ED4">
          <w:pPr>
            <w:pStyle w:val="Caption"/>
          </w:pPr>
          <w:bookmarkStart w:id="6" w:name="_Ref435689174"/>
          <w:r>
            <w:t xml:space="preserve">Table </w:t>
          </w:r>
          <w:r w:rsidR="00C7302A">
            <w:fldChar w:fldCharType="begin"/>
          </w:r>
          <w:r w:rsidR="00C7302A">
            <w:instrText xml:space="preserve"> SEQ Table \* ARABIC </w:instrText>
          </w:r>
          <w:r w:rsidR="00C7302A">
            <w:fldChar w:fldCharType="separate"/>
          </w:r>
          <w:r w:rsidR="00175BBF">
            <w:rPr>
              <w:noProof/>
            </w:rPr>
            <w:t>1</w:t>
          </w:r>
          <w:r w:rsidR="00C7302A">
            <w:rPr>
              <w:noProof/>
            </w:rPr>
            <w:fldChar w:fldCharType="end"/>
          </w:r>
          <w:bookmarkEnd w:id="6"/>
          <w:r>
            <w:t xml:space="preserve">: </w:t>
          </w:r>
          <w:r w:rsidRPr="005F7AB3">
            <w:t>Actual and forecast spot price, demand and available capacity</w:t>
          </w:r>
        </w:p>
        <w:tbl>
          <w:tblPr>
            <w:tblStyle w:val="AERsummarytable"/>
            <w:tblW w:w="8897" w:type="dxa"/>
            <w:tblLayout w:type="fixed"/>
            <w:tblLook w:val="04A0" w:firstRow="1" w:lastRow="0" w:firstColumn="1" w:lastColumn="0" w:noHBand="0" w:noVBand="1"/>
          </w:tblPr>
          <w:tblGrid>
            <w:gridCol w:w="892"/>
            <w:gridCol w:w="822"/>
            <w:gridCol w:w="898"/>
            <w:gridCol w:w="898"/>
            <w:gridCol w:w="898"/>
            <w:gridCol w:w="897"/>
            <w:gridCol w:w="898"/>
            <w:gridCol w:w="898"/>
            <w:gridCol w:w="898"/>
            <w:gridCol w:w="898"/>
          </w:tblGrid>
          <w:tr w:rsidR="005D5ED4" w:rsidRPr="00B6046A" w:rsidTr="004C2EF7">
            <w:trPr>
              <w:cnfStyle w:val="100000000000" w:firstRow="1" w:lastRow="0" w:firstColumn="0" w:lastColumn="0" w:oddVBand="0" w:evenVBand="0" w:oddHBand="0" w:evenHBand="0" w:firstRowFirstColumn="0" w:firstRowLastColumn="0" w:lastRowFirstColumn="0" w:lastRowLastColumn="0"/>
              <w:tblHeader/>
            </w:trPr>
            <w:tc>
              <w:tcPr>
                <w:tcW w:w="892" w:type="dxa"/>
                <w:vAlign w:val="center"/>
              </w:tcPr>
              <w:p w:rsidR="005D5ED4" w:rsidRPr="000C6CDD" w:rsidRDefault="005D5ED4" w:rsidP="00B148C0">
                <w:pPr>
                  <w:ind w:right="-108"/>
                  <w:rPr>
                    <w:szCs w:val="18"/>
                  </w:rPr>
                </w:pPr>
                <w:r>
                  <w:rPr>
                    <w:szCs w:val="18"/>
                  </w:rPr>
                  <w:t>Trading interval</w:t>
                </w:r>
              </w:p>
            </w:tc>
            <w:tc>
              <w:tcPr>
                <w:tcW w:w="2618" w:type="dxa"/>
                <w:gridSpan w:val="3"/>
              </w:tcPr>
              <w:p w:rsidR="005D5ED4" w:rsidRPr="000C6CDD" w:rsidRDefault="005D5ED4" w:rsidP="00B148C0">
                <w:pPr>
                  <w:jc w:val="center"/>
                  <w:rPr>
                    <w:szCs w:val="18"/>
                  </w:rPr>
                </w:pPr>
                <w:r>
                  <w:rPr>
                    <w:szCs w:val="18"/>
                  </w:rPr>
                  <w:t>Price ($/MWh)</w:t>
                </w:r>
              </w:p>
            </w:tc>
            <w:tc>
              <w:tcPr>
                <w:tcW w:w="2693" w:type="dxa"/>
                <w:gridSpan w:val="3"/>
              </w:tcPr>
              <w:p w:rsidR="005D5ED4" w:rsidRDefault="005D5ED4" w:rsidP="00B148C0">
                <w:pPr>
                  <w:jc w:val="center"/>
                  <w:rPr>
                    <w:szCs w:val="18"/>
                  </w:rPr>
                </w:pPr>
                <w:r>
                  <w:rPr>
                    <w:szCs w:val="18"/>
                  </w:rPr>
                  <w:t>Demand (MW)</w:t>
                </w:r>
              </w:p>
            </w:tc>
            <w:tc>
              <w:tcPr>
                <w:tcW w:w="2694" w:type="dxa"/>
                <w:gridSpan w:val="3"/>
              </w:tcPr>
              <w:p w:rsidR="005D5ED4" w:rsidRDefault="005D5ED4" w:rsidP="00B148C0">
                <w:pPr>
                  <w:jc w:val="center"/>
                  <w:rPr>
                    <w:szCs w:val="18"/>
                  </w:rPr>
                </w:pPr>
                <w:r>
                  <w:rPr>
                    <w:szCs w:val="18"/>
                  </w:rPr>
                  <w:t>Availability (MW)</w:t>
                </w:r>
              </w:p>
            </w:tc>
          </w:tr>
          <w:tr w:rsidR="005D5ED4" w:rsidRPr="000C6CDD" w:rsidTr="004C2EF7">
            <w:trPr>
              <w:cnfStyle w:val="100000000000" w:firstRow="1" w:lastRow="0" w:firstColumn="0" w:lastColumn="0" w:oddVBand="0" w:evenVBand="0" w:oddHBand="0" w:evenHBand="0" w:firstRowFirstColumn="0" w:firstRowLastColumn="0" w:lastRowFirstColumn="0" w:lastRowLastColumn="0"/>
              <w:tblHeader/>
            </w:trPr>
            <w:tc>
              <w:tcPr>
                <w:tcW w:w="892" w:type="dxa"/>
                <w:tcMar>
                  <w:left w:w="85" w:type="dxa"/>
                  <w:right w:w="85" w:type="dxa"/>
                </w:tcMar>
              </w:tcPr>
              <w:p w:rsidR="005D5ED4" w:rsidRPr="000C6CDD" w:rsidRDefault="005D5ED4" w:rsidP="00B148C0">
                <w:pPr>
                  <w:ind w:left="-31" w:right="-108" w:firstLine="10"/>
                  <w:rPr>
                    <w:szCs w:val="18"/>
                  </w:rPr>
                </w:pPr>
              </w:p>
            </w:tc>
            <w:tc>
              <w:tcPr>
                <w:tcW w:w="822" w:type="dxa"/>
                <w:tcMar>
                  <w:left w:w="85" w:type="dxa"/>
                  <w:right w:w="85" w:type="dxa"/>
                </w:tcMar>
              </w:tcPr>
              <w:p w:rsidR="005D5ED4" w:rsidRPr="000C6CDD" w:rsidRDefault="005D5ED4" w:rsidP="00B148C0">
                <w:pPr>
                  <w:jc w:val="center"/>
                  <w:rPr>
                    <w:szCs w:val="18"/>
                  </w:rPr>
                </w:pPr>
                <w:r w:rsidRPr="000C6CDD">
                  <w:rPr>
                    <w:szCs w:val="18"/>
                  </w:rPr>
                  <w:t>Actual</w:t>
                </w:r>
              </w:p>
            </w:tc>
            <w:tc>
              <w:tcPr>
                <w:tcW w:w="898" w:type="dxa"/>
                <w:tcMar>
                  <w:left w:w="85" w:type="dxa"/>
                  <w:right w:w="85" w:type="dxa"/>
                </w:tcMar>
              </w:tcPr>
              <w:p w:rsidR="005D5ED4" w:rsidRPr="000C6CDD" w:rsidRDefault="005D5ED4" w:rsidP="00B148C0">
                <w:pPr>
                  <w:ind w:left="-13" w:right="-14"/>
                  <w:jc w:val="center"/>
                  <w:rPr>
                    <w:szCs w:val="18"/>
                  </w:rPr>
                </w:pPr>
                <w:r w:rsidRPr="000C6CDD">
                  <w:rPr>
                    <w:szCs w:val="18"/>
                  </w:rPr>
                  <w:t>4 hr forecast</w:t>
                </w:r>
              </w:p>
            </w:tc>
            <w:tc>
              <w:tcPr>
                <w:tcW w:w="898" w:type="dxa"/>
                <w:tcMar>
                  <w:left w:w="85" w:type="dxa"/>
                  <w:right w:w="85" w:type="dxa"/>
                </w:tcMar>
              </w:tcPr>
              <w:p w:rsidR="005D5ED4" w:rsidRPr="000C6CDD" w:rsidRDefault="005D5ED4" w:rsidP="00B148C0">
                <w:pPr>
                  <w:ind w:left="-60"/>
                  <w:jc w:val="center"/>
                  <w:rPr>
                    <w:szCs w:val="18"/>
                  </w:rPr>
                </w:pPr>
                <w:r w:rsidRPr="000C6CDD">
                  <w:rPr>
                    <w:szCs w:val="18"/>
                  </w:rPr>
                  <w:t>12 hr forecast</w:t>
                </w:r>
              </w:p>
            </w:tc>
            <w:tc>
              <w:tcPr>
                <w:tcW w:w="898" w:type="dxa"/>
                <w:tcMar>
                  <w:left w:w="85" w:type="dxa"/>
                  <w:right w:w="85" w:type="dxa"/>
                </w:tcMar>
              </w:tcPr>
              <w:p w:rsidR="005D5ED4" w:rsidRPr="000C6CDD" w:rsidRDefault="005D5ED4" w:rsidP="00B148C0">
                <w:pPr>
                  <w:jc w:val="center"/>
                  <w:rPr>
                    <w:szCs w:val="18"/>
                  </w:rPr>
                </w:pPr>
                <w:r w:rsidRPr="000C6CDD">
                  <w:rPr>
                    <w:szCs w:val="18"/>
                  </w:rPr>
                  <w:t>Actual</w:t>
                </w:r>
              </w:p>
            </w:tc>
            <w:tc>
              <w:tcPr>
                <w:tcW w:w="897" w:type="dxa"/>
                <w:tcMar>
                  <w:left w:w="85" w:type="dxa"/>
                  <w:right w:w="85" w:type="dxa"/>
                </w:tcMar>
              </w:tcPr>
              <w:p w:rsidR="005D5ED4" w:rsidRPr="000C6CDD" w:rsidRDefault="005D5ED4" w:rsidP="00B148C0">
                <w:pPr>
                  <w:ind w:left="-26"/>
                  <w:jc w:val="center"/>
                  <w:rPr>
                    <w:szCs w:val="18"/>
                  </w:rPr>
                </w:pPr>
                <w:r w:rsidRPr="000C6CDD">
                  <w:rPr>
                    <w:szCs w:val="18"/>
                  </w:rPr>
                  <w:t>4 hr forecast</w:t>
                </w:r>
              </w:p>
            </w:tc>
            <w:tc>
              <w:tcPr>
                <w:tcW w:w="898" w:type="dxa"/>
                <w:tcMar>
                  <w:left w:w="85" w:type="dxa"/>
                  <w:right w:w="85" w:type="dxa"/>
                </w:tcMar>
              </w:tcPr>
              <w:p w:rsidR="005D5ED4" w:rsidRPr="000C6CDD" w:rsidRDefault="005D5ED4" w:rsidP="00B148C0">
                <w:pPr>
                  <w:ind w:right="-109"/>
                  <w:jc w:val="center"/>
                  <w:rPr>
                    <w:szCs w:val="18"/>
                  </w:rPr>
                </w:pPr>
                <w:r w:rsidRPr="000C6CDD">
                  <w:rPr>
                    <w:szCs w:val="18"/>
                  </w:rPr>
                  <w:t>12 hr forecast</w:t>
                </w:r>
              </w:p>
            </w:tc>
            <w:tc>
              <w:tcPr>
                <w:tcW w:w="898" w:type="dxa"/>
                <w:tcMar>
                  <w:left w:w="85" w:type="dxa"/>
                  <w:right w:w="85" w:type="dxa"/>
                </w:tcMar>
              </w:tcPr>
              <w:p w:rsidR="005D5ED4" w:rsidRDefault="005D5ED4" w:rsidP="00B148C0">
                <w:pPr>
                  <w:jc w:val="center"/>
                  <w:rPr>
                    <w:szCs w:val="18"/>
                  </w:rPr>
                </w:pPr>
                <w:r>
                  <w:rPr>
                    <w:szCs w:val="18"/>
                  </w:rPr>
                  <w:t>Actual</w:t>
                </w:r>
              </w:p>
            </w:tc>
            <w:tc>
              <w:tcPr>
                <w:tcW w:w="898" w:type="dxa"/>
                <w:tcMar>
                  <w:left w:w="85" w:type="dxa"/>
                  <w:right w:w="85" w:type="dxa"/>
                </w:tcMar>
              </w:tcPr>
              <w:p w:rsidR="005D5ED4" w:rsidRDefault="005D5ED4" w:rsidP="00B148C0">
                <w:pPr>
                  <w:jc w:val="center"/>
                  <w:rPr>
                    <w:szCs w:val="18"/>
                  </w:rPr>
                </w:pPr>
                <w:r>
                  <w:rPr>
                    <w:szCs w:val="18"/>
                  </w:rPr>
                  <w:t>4 hr forecast</w:t>
                </w:r>
              </w:p>
            </w:tc>
            <w:tc>
              <w:tcPr>
                <w:tcW w:w="898" w:type="dxa"/>
                <w:tcMar>
                  <w:left w:w="85" w:type="dxa"/>
                  <w:right w:w="85" w:type="dxa"/>
                </w:tcMar>
              </w:tcPr>
              <w:p w:rsidR="005D5ED4" w:rsidRDefault="005D5ED4" w:rsidP="00B148C0">
                <w:pPr>
                  <w:jc w:val="center"/>
                  <w:rPr>
                    <w:szCs w:val="18"/>
                  </w:rPr>
                </w:pPr>
                <w:r>
                  <w:rPr>
                    <w:szCs w:val="18"/>
                  </w:rPr>
                  <w:t>12 hr forecast</w:t>
                </w:r>
              </w:p>
            </w:tc>
          </w:tr>
          <w:tr w:rsidR="004C2EF7"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4C2EF7" w:rsidRDefault="004C2EF7" w:rsidP="004C2EF7">
                <w:pPr>
                  <w:pStyle w:val="tablebody"/>
                  <w:jc w:val="left"/>
                </w:pPr>
                <w:r>
                  <w:t>3</w:t>
                </w:r>
                <w:r w:rsidRPr="00CF34E2">
                  <w:t> pm</w:t>
                </w:r>
              </w:p>
            </w:tc>
            <w:tc>
              <w:tcPr>
                <w:tcW w:w="822" w:type="dxa"/>
                <w:vAlign w:val="center"/>
              </w:tcPr>
              <w:p w:rsidR="004C2EF7" w:rsidRDefault="004C2EF7" w:rsidP="004C2EF7">
                <w:pPr>
                  <w:pStyle w:val="tablebodycentered"/>
                </w:pPr>
                <w:r>
                  <w:t>2942</w:t>
                </w:r>
              </w:p>
            </w:tc>
            <w:tc>
              <w:tcPr>
                <w:tcW w:w="898" w:type="dxa"/>
                <w:vAlign w:val="center"/>
              </w:tcPr>
              <w:p w:rsidR="004C2EF7" w:rsidRDefault="004C2EF7" w:rsidP="004C2EF7">
                <w:pPr>
                  <w:pStyle w:val="tablebodycentered"/>
                </w:pPr>
                <w:r>
                  <w:t>300</w:t>
                </w:r>
              </w:p>
            </w:tc>
            <w:tc>
              <w:tcPr>
                <w:tcW w:w="898" w:type="dxa"/>
                <w:vAlign w:val="center"/>
              </w:tcPr>
              <w:p w:rsidR="004C2EF7" w:rsidRDefault="004C2EF7" w:rsidP="004C2EF7">
                <w:pPr>
                  <w:pStyle w:val="tablebodycentered"/>
                </w:pPr>
                <w:r>
                  <w:t>300</w:t>
                </w:r>
              </w:p>
            </w:tc>
            <w:tc>
              <w:tcPr>
                <w:tcW w:w="898" w:type="dxa"/>
                <w:vAlign w:val="center"/>
              </w:tcPr>
              <w:p w:rsidR="004C2EF7" w:rsidRDefault="004C2EF7" w:rsidP="004C2EF7">
                <w:pPr>
                  <w:pStyle w:val="tablebodycentered"/>
                </w:pPr>
                <w:r>
                  <w:t>10 075</w:t>
                </w:r>
              </w:p>
            </w:tc>
            <w:tc>
              <w:tcPr>
                <w:tcW w:w="897" w:type="dxa"/>
                <w:vAlign w:val="center"/>
              </w:tcPr>
              <w:p w:rsidR="004C2EF7" w:rsidRDefault="004C2EF7" w:rsidP="004C2EF7">
                <w:pPr>
                  <w:pStyle w:val="tablebodycentered"/>
                </w:pPr>
                <w:r>
                  <w:t>9956</w:t>
                </w:r>
              </w:p>
            </w:tc>
            <w:tc>
              <w:tcPr>
                <w:tcW w:w="898" w:type="dxa"/>
                <w:vAlign w:val="center"/>
              </w:tcPr>
              <w:p w:rsidR="004C2EF7" w:rsidRDefault="004C2EF7" w:rsidP="004C2EF7">
                <w:pPr>
                  <w:pStyle w:val="tablebodycentered"/>
                </w:pPr>
                <w:r>
                  <w:t>9707</w:t>
                </w:r>
              </w:p>
            </w:tc>
            <w:tc>
              <w:tcPr>
                <w:tcW w:w="898" w:type="dxa"/>
                <w:vAlign w:val="center"/>
              </w:tcPr>
              <w:p w:rsidR="004C2EF7" w:rsidRDefault="004C2EF7" w:rsidP="004C2EF7">
                <w:pPr>
                  <w:pStyle w:val="tablebodycentered"/>
                </w:pPr>
                <w:r>
                  <w:t>11 029</w:t>
                </w:r>
              </w:p>
            </w:tc>
            <w:tc>
              <w:tcPr>
                <w:tcW w:w="898" w:type="dxa"/>
                <w:vAlign w:val="center"/>
              </w:tcPr>
              <w:p w:rsidR="004C2EF7" w:rsidRDefault="004C2EF7" w:rsidP="004C2EF7">
                <w:pPr>
                  <w:pStyle w:val="tablebodycentered"/>
                </w:pPr>
                <w:r>
                  <w:t>10 939</w:t>
                </w:r>
              </w:p>
            </w:tc>
            <w:tc>
              <w:tcPr>
                <w:tcW w:w="898" w:type="dxa"/>
                <w:vAlign w:val="center"/>
              </w:tcPr>
              <w:p w:rsidR="004C2EF7" w:rsidRDefault="004C2EF7" w:rsidP="004C2EF7">
                <w:pPr>
                  <w:pStyle w:val="tablebodycentered"/>
                </w:pPr>
                <w:r>
                  <w:t>10 962</w:t>
                </w:r>
              </w:p>
            </w:tc>
          </w:tr>
          <w:tr w:rsidR="005D5ED4" w:rsidRPr="00DB297C" w:rsidTr="004C2EF7">
            <w:trPr>
              <w:cnfStyle w:val="000000010000" w:firstRow="0" w:lastRow="0" w:firstColumn="0" w:lastColumn="0" w:oddVBand="0" w:evenVBand="0" w:oddHBand="0" w:evenHBand="1" w:firstRowFirstColumn="0" w:firstRowLastColumn="0" w:lastRowFirstColumn="0" w:lastRowLastColumn="0"/>
            </w:trPr>
            <w:tc>
              <w:tcPr>
                <w:tcW w:w="892" w:type="dxa"/>
                <w:vAlign w:val="center"/>
              </w:tcPr>
              <w:p w:rsidR="005D5ED4" w:rsidRPr="004B2944" w:rsidRDefault="004B4C9C" w:rsidP="004C2EF7">
                <w:pPr>
                  <w:pStyle w:val="tablebody"/>
                  <w:jc w:val="left"/>
                  <w:rPr>
                    <w:b/>
                  </w:rPr>
                </w:pPr>
                <w:r w:rsidRPr="004B2944">
                  <w:rPr>
                    <w:b/>
                  </w:rPr>
                  <w:t>3</w:t>
                </w:r>
                <w:r w:rsidR="005D5ED4" w:rsidRPr="004B2944">
                  <w:rPr>
                    <w:b/>
                  </w:rPr>
                  <w:t>.30 pm</w:t>
                </w:r>
              </w:p>
            </w:tc>
            <w:tc>
              <w:tcPr>
                <w:tcW w:w="822" w:type="dxa"/>
                <w:vAlign w:val="center"/>
              </w:tcPr>
              <w:p w:rsidR="005D5ED4" w:rsidRPr="004B2944" w:rsidRDefault="004B4C9C" w:rsidP="004C2EF7">
                <w:pPr>
                  <w:pStyle w:val="tablebody"/>
                  <w:jc w:val="center"/>
                  <w:rPr>
                    <w:b/>
                  </w:rPr>
                </w:pPr>
                <w:r w:rsidRPr="004B2944">
                  <w:rPr>
                    <w:b/>
                  </w:rPr>
                  <w:t>11</w:t>
                </w:r>
                <w:r w:rsidR="005D5ED4" w:rsidRPr="004B2944">
                  <w:rPr>
                    <w:b/>
                  </w:rPr>
                  <w:t> </w:t>
                </w:r>
                <w:r w:rsidRPr="004B2944">
                  <w:rPr>
                    <w:b/>
                  </w:rPr>
                  <w:t>701</w:t>
                </w:r>
              </w:p>
            </w:tc>
            <w:tc>
              <w:tcPr>
                <w:tcW w:w="898" w:type="dxa"/>
                <w:vAlign w:val="center"/>
              </w:tcPr>
              <w:p w:rsidR="005D5ED4" w:rsidRPr="004B2944" w:rsidRDefault="005D5ED4" w:rsidP="004C2EF7">
                <w:pPr>
                  <w:pStyle w:val="tablebody"/>
                  <w:jc w:val="center"/>
                  <w:rPr>
                    <w:b/>
                  </w:rPr>
                </w:pPr>
                <w:r w:rsidRPr="004B2944">
                  <w:rPr>
                    <w:b/>
                  </w:rPr>
                  <w:t>3</w:t>
                </w:r>
                <w:r w:rsidR="004B4C9C" w:rsidRPr="004B2944">
                  <w:rPr>
                    <w:b/>
                  </w:rPr>
                  <w:t>00</w:t>
                </w:r>
              </w:p>
            </w:tc>
            <w:tc>
              <w:tcPr>
                <w:tcW w:w="898" w:type="dxa"/>
                <w:vAlign w:val="center"/>
              </w:tcPr>
              <w:p w:rsidR="005D5ED4" w:rsidRPr="004B2944" w:rsidRDefault="005D5ED4" w:rsidP="004C2EF7">
                <w:pPr>
                  <w:pStyle w:val="tablebody"/>
                  <w:jc w:val="center"/>
                  <w:rPr>
                    <w:b/>
                  </w:rPr>
                </w:pPr>
                <w:r w:rsidRPr="004B2944">
                  <w:rPr>
                    <w:b/>
                  </w:rPr>
                  <w:t>3</w:t>
                </w:r>
                <w:r w:rsidR="004B4C9C" w:rsidRPr="004B2944">
                  <w:rPr>
                    <w:b/>
                  </w:rPr>
                  <w:t>00</w:t>
                </w:r>
              </w:p>
            </w:tc>
            <w:tc>
              <w:tcPr>
                <w:tcW w:w="898" w:type="dxa"/>
                <w:vAlign w:val="center"/>
              </w:tcPr>
              <w:p w:rsidR="005D5ED4" w:rsidRPr="004B2944" w:rsidRDefault="004B4C9C" w:rsidP="004C2EF7">
                <w:pPr>
                  <w:pStyle w:val="tablebody"/>
                  <w:jc w:val="center"/>
                  <w:rPr>
                    <w:b/>
                  </w:rPr>
                </w:pPr>
                <w:r w:rsidRPr="004B2944">
                  <w:rPr>
                    <w:b/>
                  </w:rPr>
                  <w:t>10</w:t>
                </w:r>
                <w:r w:rsidR="00A10983" w:rsidRPr="004B2944">
                  <w:rPr>
                    <w:b/>
                  </w:rPr>
                  <w:t> </w:t>
                </w:r>
                <w:r w:rsidRPr="004B2944">
                  <w:rPr>
                    <w:b/>
                  </w:rPr>
                  <w:t>246</w:t>
                </w:r>
              </w:p>
            </w:tc>
            <w:tc>
              <w:tcPr>
                <w:tcW w:w="897" w:type="dxa"/>
                <w:vAlign w:val="center"/>
              </w:tcPr>
              <w:p w:rsidR="005D5ED4" w:rsidRPr="004B2944" w:rsidRDefault="004B4C9C" w:rsidP="004C2EF7">
                <w:pPr>
                  <w:pStyle w:val="tablebody"/>
                  <w:jc w:val="center"/>
                  <w:rPr>
                    <w:b/>
                  </w:rPr>
                </w:pPr>
                <w:r w:rsidRPr="004B2944">
                  <w:rPr>
                    <w:b/>
                  </w:rPr>
                  <w:t>10</w:t>
                </w:r>
                <w:r w:rsidR="00A10983" w:rsidRPr="004B2944">
                  <w:rPr>
                    <w:b/>
                  </w:rPr>
                  <w:t> </w:t>
                </w:r>
                <w:r w:rsidRPr="004B2944">
                  <w:rPr>
                    <w:b/>
                  </w:rPr>
                  <w:t>095</w:t>
                </w:r>
              </w:p>
            </w:tc>
            <w:tc>
              <w:tcPr>
                <w:tcW w:w="898" w:type="dxa"/>
                <w:vAlign w:val="center"/>
              </w:tcPr>
              <w:p w:rsidR="005D5ED4" w:rsidRPr="004B2944" w:rsidRDefault="00F2030E" w:rsidP="004C2EF7">
                <w:pPr>
                  <w:pStyle w:val="tablebody"/>
                  <w:jc w:val="center"/>
                  <w:rPr>
                    <w:b/>
                  </w:rPr>
                </w:pPr>
                <w:r w:rsidRPr="004B2944">
                  <w:rPr>
                    <w:b/>
                  </w:rPr>
                  <w:t>9558</w:t>
                </w:r>
              </w:p>
            </w:tc>
            <w:tc>
              <w:tcPr>
                <w:tcW w:w="898" w:type="dxa"/>
                <w:vAlign w:val="center"/>
              </w:tcPr>
              <w:p w:rsidR="005D5ED4" w:rsidRPr="004B2944" w:rsidRDefault="00F2030E" w:rsidP="004C2EF7">
                <w:pPr>
                  <w:pStyle w:val="tablebody"/>
                  <w:jc w:val="center"/>
                  <w:rPr>
                    <w:b/>
                  </w:rPr>
                </w:pPr>
                <w:r w:rsidRPr="004B2944">
                  <w:rPr>
                    <w:b/>
                  </w:rPr>
                  <w:t>11 999</w:t>
                </w:r>
              </w:p>
            </w:tc>
            <w:tc>
              <w:tcPr>
                <w:tcW w:w="898" w:type="dxa"/>
                <w:vAlign w:val="center"/>
              </w:tcPr>
              <w:p w:rsidR="005D5ED4" w:rsidRPr="004B2944" w:rsidRDefault="005D5ED4" w:rsidP="004C2EF7">
                <w:pPr>
                  <w:pStyle w:val="tablebody"/>
                  <w:jc w:val="center"/>
                  <w:rPr>
                    <w:b/>
                  </w:rPr>
                </w:pPr>
                <w:r w:rsidRPr="004B2944">
                  <w:rPr>
                    <w:b/>
                  </w:rPr>
                  <w:t>1</w:t>
                </w:r>
                <w:r w:rsidR="00F2030E" w:rsidRPr="004B2944">
                  <w:rPr>
                    <w:b/>
                  </w:rPr>
                  <w:t>0</w:t>
                </w:r>
                <w:r w:rsidRPr="004B2944">
                  <w:rPr>
                    <w:b/>
                  </w:rPr>
                  <w:t> 9</w:t>
                </w:r>
                <w:r w:rsidR="00F2030E" w:rsidRPr="004B2944">
                  <w:rPr>
                    <w:b/>
                  </w:rPr>
                  <w:t>76</w:t>
                </w:r>
              </w:p>
            </w:tc>
            <w:tc>
              <w:tcPr>
                <w:tcW w:w="898" w:type="dxa"/>
                <w:vAlign w:val="center"/>
              </w:tcPr>
              <w:p w:rsidR="005D5ED4" w:rsidRPr="004B2944" w:rsidRDefault="00F2030E" w:rsidP="004C2EF7">
                <w:pPr>
                  <w:pStyle w:val="tablebody"/>
                  <w:jc w:val="center"/>
                  <w:rPr>
                    <w:b/>
                  </w:rPr>
                </w:pPr>
                <w:r w:rsidRPr="004B2944">
                  <w:rPr>
                    <w:b/>
                  </w:rPr>
                  <w:t>10</w:t>
                </w:r>
                <w:r w:rsidR="005D5ED4" w:rsidRPr="004B2944">
                  <w:rPr>
                    <w:b/>
                  </w:rPr>
                  <w:t> </w:t>
                </w:r>
                <w:r w:rsidRPr="004B2944">
                  <w:rPr>
                    <w:b/>
                  </w:rPr>
                  <w:t>996</w:t>
                </w:r>
              </w:p>
            </w:tc>
          </w:tr>
          <w:tr w:rsidR="00A10983" w:rsidRPr="00DB297C" w:rsidTr="004C2EF7">
            <w:trPr>
              <w:cnfStyle w:val="000000100000" w:firstRow="0" w:lastRow="0" w:firstColumn="0" w:lastColumn="0" w:oddVBand="0" w:evenVBand="0" w:oddHBand="1" w:evenHBand="0" w:firstRowFirstColumn="0" w:firstRowLastColumn="0" w:lastRowFirstColumn="0" w:lastRowLastColumn="0"/>
            </w:trPr>
            <w:tc>
              <w:tcPr>
                <w:tcW w:w="892" w:type="dxa"/>
                <w:vAlign w:val="center"/>
              </w:tcPr>
              <w:p w:rsidR="00A10983" w:rsidRPr="00A10983" w:rsidRDefault="00A10983" w:rsidP="004C2EF7">
                <w:pPr>
                  <w:pStyle w:val="tablebody"/>
                  <w:jc w:val="left"/>
                </w:pPr>
                <w:r w:rsidRPr="00A10983">
                  <w:t>4</w:t>
                </w:r>
                <w:r w:rsidR="00A04E1B">
                  <w:t xml:space="preserve"> pm</w:t>
                </w:r>
              </w:p>
            </w:tc>
            <w:tc>
              <w:tcPr>
                <w:tcW w:w="822" w:type="dxa"/>
                <w:vAlign w:val="center"/>
              </w:tcPr>
              <w:p w:rsidR="00A10983" w:rsidRPr="00A10983" w:rsidRDefault="00A10983" w:rsidP="004C2EF7">
                <w:pPr>
                  <w:pStyle w:val="tablebody"/>
                  <w:jc w:val="center"/>
                </w:pPr>
                <w:r w:rsidRPr="00A10983">
                  <w:t>3259</w:t>
                </w:r>
              </w:p>
            </w:tc>
            <w:tc>
              <w:tcPr>
                <w:tcW w:w="898" w:type="dxa"/>
                <w:vAlign w:val="center"/>
              </w:tcPr>
              <w:p w:rsidR="00A10983" w:rsidRPr="00A10983" w:rsidRDefault="00A10983" w:rsidP="004C2EF7">
                <w:pPr>
                  <w:pStyle w:val="tablebody"/>
                  <w:jc w:val="center"/>
                </w:pPr>
                <w:r w:rsidRPr="00A10983">
                  <w:t>300</w:t>
                </w:r>
              </w:p>
            </w:tc>
            <w:tc>
              <w:tcPr>
                <w:tcW w:w="898" w:type="dxa"/>
                <w:vAlign w:val="center"/>
              </w:tcPr>
              <w:p w:rsidR="00A10983" w:rsidRPr="00A10983" w:rsidRDefault="00A10983" w:rsidP="004C2EF7">
                <w:pPr>
                  <w:pStyle w:val="tablebody"/>
                  <w:jc w:val="center"/>
                </w:pPr>
                <w:r w:rsidRPr="00A10983">
                  <w:t>300</w:t>
                </w:r>
              </w:p>
            </w:tc>
            <w:tc>
              <w:tcPr>
                <w:tcW w:w="898" w:type="dxa"/>
                <w:vAlign w:val="center"/>
              </w:tcPr>
              <w:p w:rsidR="00A10983" w:rsidRPr="00A10983" w:rsidRDefault="00A10983" w:rsidP="004C2EF7">
                <w:pPr>
                  <w:pStyle w:val="tablebody"/>
                  <w:jc w:val="center"/>
                </w:pPr>
                <w:r w:rsidRPr="00A10983">
                  <w:t>10</w:t>
                </w:r>
                <w:r>
                  <w:t> </w:t>
                </w:r>
                <w:r w:rsidRPr="00A10983">
                  <w:t>276</w:t>
                </w:r>
              </w:p>
            </w:tc>
            <w:tc>
              <w:tcPr>
                <w:tcW w:w="897" w:type="dxa"/>
                <w:vAlign w:val="center"/>
              </w:tcPr>
              <w:p w:rsidR="00A10983" w:rsidRPr="00A10983" w:rsidRDefault="00A10983" w:rsidP="004C2EF7">
                <w:pPr>
                  <w:pStyle w:val="tablebody"/>
                  <w:jc w:val="center"/>
                </w:pPr>
                <w:r w:rsidRPr="00A10983">
                  <w:t>10</w:t>
                </w:r>
                <w:r>
                  <w:t> </w:t>
                </w:r>
                <w:r w:rsidRPr="00A10983">
                  <w:t>233</w:t>
                </w:r>
              </w:p>
            </w:tc>
            <w:tc>
              <w:tcPr>
                <w:tcW w:w="898" w:type="dxa"/>
                <w:vAlign w:val="center"/>
              </w:tcPr>
              <w:p w:rsidR="00A10983" w:rsidRPr="00A10983" w:rsidRDefault="00A10983" w:rsidP="004C2EF7">
                <w:pPr>
                  <w:pStyle w:val="tablebody"/>
                  <w:jc w:val="center"/>
                </w:pPr>
                <w:r w:rsidRPr="00A10983">
                  <w:t>10</w:t>
                </w:r>
                <w:r>
                  <w:t> </w:t>
                </w:r>
                <w:r w:rsidRPr="00A10983">
                  <w:t>016</w:t>
                </w:r>
              </w:p>
            </w:tc>
            <w:tc>
              <w:tcPr>
                <w:tcW w:w="898" w:type="dxa"/>
                <w:vAlign w:val="center"/>
              </w:tcPr>
              <w:p w:rsidR="00A10983" w:rsidRPr="00A10983" w:rsidRDefault="00A10983" w:rsidP="004C2EF7">
                <w:pPr>
                  <w:pStyle w:val="tablebody"/>
                  <w:jc w:val="center"/>
                </w:pPr>
                <w:r w:rsidRPr="00A10983">
                  <w:t>10</w:t>
                </w:r>
                <w:r>
                  <w:t> </w:t>
                </w:r>
                <w:r w:rsidRPr="00A10983">
                  <w:t>938</w:t>
                </w:r>
              </w:p>
            </w:tc>
            <w:tc>
              <w:tcPr>
                <w:tcW w:w="898" w:type="dxa"/>
                <w:vAlign w:val="center"/>
              </w:tcPr>
              <w:p w:rsidR="00A10983" w:rsidRPr="00A10983" w:rsidRDefault="00A10983" w:rsidP="004C2EF7">
                <w:pPr>
                  <w:pStyle w:val="tablebody"/>
                  <w:jc w:val="center"/>
                </w:pPr>
                <w:r w:rsidRPr="00A10983">
                  <w:t>10</w:t>
                </w:r>
                <w:r>
                  <w:t> </w:t>
                </w:r>
                <w:r w:rsidRPr="00A10983">
                  <w:t>942</w:t>
                </w:r>
              </w:p>
            </w:tc>
            <w:tc>
              <w:tcPr>
                <w:tcW w:w="898" w:type="dxa"/>
                <w:vAlign w:val="center"/>
              </w:tcPr>
              <w:p w:rsidR="00A10983" w:rsidRPr="00A10983" w:rsidRDefault="00A10983" w:rsidP="004C2EF7">
                <w:pPr>
                  <w:pStyle w:val="tablebody"/>
                  <w:jc w:val="center"/>
                </w:pPr>
                <w:r w:rsidRPr="00A10983">
                  <w:t>10</w:t>
                </w:r>
                <w:r>
                  <w:t> </w:t>
                </w:r>
                <w:r w:rsidRPr="00A10983">
                  <w:t>966</w:t>
                </w:r>
              </w:p>
            </w:tc>
          </w:tr>
          <w:tr w:rsidR="00A10983" w:rsidRPr="00DB297C" w:rsidTr="004C2EF7">
            <w:trPr>
              <w:cnfStyle w:val="000000010000" w:firstRow="0" w:lastRow="0" w:firstColumn="0" w:lastColumn="0" w:oddVBand="0" w:evenVBand="0" w:oddHBand="0" w:evenHBand="1" w:firstRowFirstColumn="0" w:firstRowLastColumn="0" w:lastRowFirstColumn="0" w:lastRowLastColumn="0"/>
            </w:trPr>
            <w:tc>
              <w:tcPr>
                <w:tcW w:w="892" w:type="dxa"/>
                <w:vAlign w:val="center"/>
              </w:tcPr>
              <w:p w:rsidR="00A10983" w:rsidRPr="00A04E1B" w:rsidRDefault="00A10983" w:rsidP="004C2EF7">
                <w:pPr>
                  <w:pStyle w:val="tablebody"/>
                  <w:jc w:val="left"/>
                </w:pPr>
                <w:r w:rsidRPr="00A04E1B">
                  <w:t xml:space="preserve">4.30 </w:t>
                </w:r>
                <w:r w:rsidR="00A04E1B" w:rsidRPr="00A04E1B">
                  <w:t>pm</w:t>
                </w:r>
              </w:p>
            </w:tc>
            <w:tc>
              <w:tcPr>
                <w:tcW w:w="822" w:type="dxa"/>
                <w:vAlign w:val="center"/>
              </w:tcPr>
              <w:p w:rsidR="00A10983" w:rsidRPr="00A04E1B" w:rsidRDefault="00A10983" w:rsidP="004C2EF7">
                <w:pPr>
                  <w:pStyle w:val="tablebody"/>
                  <w:jc w:val="center"/>
                </w:pPr>
                <w:r w:rsidRPr="00A04E1B">
                  <w:t>588</w:t>
                </w:r>
              </w:p>
            </w:tc>
            <w:tc>
              <w:tcPr>
                <w:tcW w:w="898" w:type="dxa"/>
                <w:vAlign w:val="center"/>
              </w:tcPr>
              <w:p w:rsidR="00A10983" w:rsidRPr="00A04E1B" w:rsidRDefault="00A10983" w:rsidP="004C2EF7">
                <w:pPr>
                  <w:pStyle w:val="tablebody"/>
                  <w:jc w:val="center"/>
                </w:pPr>
                <w:r w:rsidRPr="00A04E1B">
                  <w:t>13</w:t>
                </w:r>
                <w:r w:rsidR="00A04E1B">
                  <w:t> </w:t>
                </w:r>
                <w:r w:rsidRPr="00A04E1B">
                  <w:t>800</w:t>
                </w:r>
              </w:p>
            </w:tc>
            <w:tc>
              <w:tcPr>
                <w:tcW w:w="898" w:type="dxa"/>
                <w:vAlign w:val="center"/>
              </w:tcPr>
              <w:p w:rsidR="00A10983" w:rsidRPr="00A04E1B" w:rsidRDefault="00A10983" w:rsidP="004C2EF7">
                <w:pPr>
                  <w:pStyle w:val="tablebody"/>
                  <w:jc w:val="center"/>
                </w:pPr>
                <w:r w:rsidRPr="00A04E1B">
                  <w:t>300</w:t>
                </w:r>
              </w:p>
            </w:tc>
            <w:tc>
              <w:tcPr>
                <w:tcW w:w="898" w:type="dxa"/>
                <w:vAlign w:val="center"/>
              </w:tcPr>
              <w:p w:rsidR="00A10983" w:rsidRPr="00A04E1B" w:rsidRDefault="00A10983" w:rsidP="004C2EF7">
                <w:pPr>
                  <w:pStyle w:val="tablebody"/>
                  <w:jc w:val="center"/>
                </w:pPr>
                <w:r w:rsidRPr="00A04E1B">
                  <w:t>10 236</w:t>
                </w:r>
              </w:p>
            </w:tc>
            <w:tc>
              <w:tcPr>
                <w:tcW w:w="897" w:type="dxa"/>
                <w:vAlign w:val="center"/>
              </w:tcPr>
              <w:p w:rsidR="00A10983" w:rsidRPr="00A04E1B" w:rsidRDefault="00A10983" w:rsidP="004C2EF7">
                <w:pPr>
                  <w:pStyle w:val="tablebody"/>
                  <w:jc w:val="center"/>
                </w:pPr>
                <w:r w:rsidRPr="00A04E1B">
                  <w:t>10 350</w:t>
                </w:r>
              </w:p>
            </w:tc>
            <w:tc>
              <w:tcPr>
                <w:tcW w:w="898" w:type="dxa"/>
                <w:vAlign w:val="center"/>
              </w:tcPr>
              <w:p w:rsidR="00A10983" w:rsidRPr="00A04E1B" w:rsidRDefault="00A10983" w:rsidP="004C2EF7">
                <w:pPr>
                  <w:pStyle w:val="tablebody"/>
                  <w:jc w:val="center"/>
                </w:pPr>
                <w:r w:rsidRPr="00A04E1B">
                  <w:t>10 041</w:t>
                </w:r>
              </w:p>
            </w:tc>
            <w:tc>
              <w:tcPr>
                <w:tcW w:w="898" w:type="dxa"/>
                <w:vAlign w:val="center"/>
              </w:tcPr>
              <w:p w:rsidR="00A10983" w:rsidRPr="00A04E1B" w:rsidRDefault="00A10983" w:rsidP="004C2EF7">
                <w:pPr>
                  <w:pStyle w:val="tablebody"/>
                  <w:jc w:val="center"/>
                </w:pPr>
                <w:r w:rsidRPr="00A04E1B">
                  <w:t>10 904</w:t>
                </w:r>
              </w:p>
            </w:tc>
            <w:tc>
              <w:tcPr>
                <w:tcW w:w="898" w:type="dxa"/>
                <w:vAlign w:val="center"/>
              </w:tcPr>
              <w:p w:rsidR="00A10983" w:rsidRPr="00A04E1B" w:rsidRDefault="00A10983" w:rsidP="004C2EF7">
                <w:pPr>
                  <w:pStyle w:val="tablebody"/>
                  <w:jc w:val="center"/>
                </w:pPr>
                <w:r w:rsidRPr="00A04E1B">
                  <w:t>10 932</w:t>
                </w:r>
              </w:p>
            </w:tc>
            <w:tc>
              <w:tcPr>
                <w:tcW w:w="898" w:type="dxa"/>
                <w:vAlign w:val="center"/>
              </w:tcPr>
              <w:p w:rsidR="00A10983" w:rsidRPr="00A04E1B" w:rsidRDefault="00A10983" w:rsidP="004C2EF7">
                <w:pPr>
                  <w:pStyle w:val="tablebody"/>
                  <w:jc w:val="center"/>
                </w:pPr>
                <w:r w:rsidRPr="00A04E1B">
                  <w:t>10 939</w:t>
                </w:r>
              </w:p>
            </w:tc>
          </w:tr>
        </w:tbl>
        <w:p w:rsidR="00F65507" w:rsidRDefault="004B2944" w:rsidP="006E2593">
          <w:pPr>
            <w:pStyle w:val="Heading2"/>
          </w:pPr>
          <w:bookmarkStart w:id="7" w:name="_Toc470075232"/>
          <w:bookmarkStart w:id="8" w:name="_Ref412802451"/>
          <w:bookmarkStart w:id="9" w:name="_Ref413789342"/>
          <w:r>
            <w:t>C</w:t>
          </w:r>
          <w:r w:rsidR="00DE0317">
            <w:t>onstraint, r</w:t>
          </w:r>
          <w:r w:rsidR="00F65507">
            <w:t xml:space="preserve">ebidding and </w:t>
          </w:r>
          <w:r>
            <w:t>n</w:t>
          </w:r>
          <w:r w:rsidR="00F65507">
            <w:t xml:space="preserve">etwork </w:t>
          </w:r>
          <w:r>
            <w:t>a</w:t>
          </w:r>
          <w:r w:rsidR="00A55DB3">
            <w:t>vailability</w:t>
          </w:r>
          <w:bookmarkEnd w:id="7"/>
        </w:p>
        <w:p w:rsidR="00535260" w:rsidRDefault="00535260" w:rsidP="000B5690">
          <w:pPr>
            <w:pStyle w:val="Heading3"/>
          </w:pPr>
          <w:bookmarkStart w:id="10" w:name="_Toc470075233"/>
          <w:r>
            <w:t>Constraint</w:t>
          </w:r>
          <w:bookmarkEnd w:id="10"/>
          <w:r>
            <w:t xml:space="preserve"> </w:t>
          </w:r>
        </w:p>
        <w:p w:rsidR="002766BD" w:rsidRDefault="0016579C" w:rsidP="00A941F6">
          <w:pPr>
            <w:pStyle w:val="AERBody"/>
          </w:pPr>
          <w:r>
            <w:t xml:space="preserve">In optimising economic generation dispatch and interconnector flows, the National Electricity Market Dispatch Engine (NEMDE) takes into account the maximum network capability that applies at the time. </w:t>
          </w:r>
          <w:r w:rsidR="00245F57">
            <w:t xml:space="preserve">Actual transmission </w:t>
          </w:r>
          <w:r>
            <w:t>network constraints are represented</w:t>
          </w:r>
          <w:r w:rsidR="00245F57">
            <w:t xml:space="preserve"> in NEMDE</w:t>
          </w:r>
          <w:r>
            <w:t xml:space="preserve"> as constraint equations that </w:t>
          </w:r>
          <w:r w:rsidR="00245F57">
            <w:t xml:space="preserve">mathematically </w:t>
          </w:r>
          <w:r>
            <w:t xml:space="preserve">describe the capability </w:t>
          </w:r>
          <w:r w:rsidR="00245F57">
            <w:t xml:space="preserve">and performance </w:t>
          </w:r>
          <w:r>
            <w:t xml:space="preserve">of </w:t>
          </w:r>
          <w:r w:rsidR="00245F57">
            <w:t xml:space="preserve">the </w:t>
          </w:r>
          <w:r>
            <w:t xml:space="preserve">network and include </w:t>
          </w:r>
          <w:r w:rsidR="00245F57">
            <w:t xml:space="preserve">terms with coefficients that represent </w:t>
          </w:r>
          <w:r>
            <w:t>generator and interconnector</w:t>
          </w:r>
          <w:r w:rsidR="00245F57">
            <w:t xml:space="preserve"> contributions</w:t>
          </w:r>
          <w:r>
            <w:t xml:space="preserve">. </w:t>
          </w:r>
          <w:r w:rsidR="002766BD">
            <w:t xml:space="preserve">Common to other mathematical equations, constraints contain a Left Hand Side (LHS) and a Right Hand Side (RHS) and are typically expressed </w:t>
          </w:r>
          <w:r w:rsidR="002766BD" w:rsidRPr="002766BD">
            <w:t xml:space="preserve">as LHS ≤ RHS or LHS ≥ RHS. </w:t>
          </w:r>
        </w:p>
        <w:p w:rsidR="00ED6E20" w:rsidRDefault="00E36FC7" w:rsidP="00A941F6">
          <w:pPr>
            <w:pStyle w:val="AERBody"/>
          </w:pPr>
          <w:r>
            <w:t xml:space="preserve">The RHS contains all of the </w:t>
          </w:r>
          <w:r w:rsidR="00245F57">
            <w:t xml:space="preserve">factors or inputs </w:t>
          </w:r>
          <w:r>
            <w:t xml:space="preserve">that cannot be varied by NEMDE. These inputs </w:t>
          </w:r>
          <w:r w:rsidR="00AC3454">
            <w:t xml:space="preserve">may </w:t>
          </w:r>
          <w:r>
            <w:t xml:space="preserve">include </w:t>
          </w:r>
          <w:r w:rsidR="00AC3454">
            <w:t xml:space="preserve">single values, constants or multiple terms such as </w:t>
          </w:r>
          <w:r>
            <w:t>demand</w:t>
          </w:r>
          <w:r w:rsidR="00AC3454">
            <w:t>,</w:t>
          </w:r>
          <w:r>
            <w:t xml:space="preserve"> </w:t>
          </w:r>
          <w:r w:rsidRPr="00B278A7">
            <w:t xml:space="preserve">the rating of the relevant </w:t>
          </w:r>
          <w:r>
            <w:t xml:space="preserve">transmission </w:t>
          </w:r>
          <w:r w:rsidRPr="00B278A7">
            <w:t>line</w:t>
          </w:r>
          <w:r>
            <w:t xml:space="preserve"> (i.e. how much energy the line can carry without damaging the line or causing unsafe conditions)</w:t>
          </w:r>
          <w:r w:rsidR="00AC3454">
            <w:t xml:space="preserve"> or generator status</w:t>
          </w:r>
          <w:r w:rsidRPr="00B278A7">
            <w:t>. The LHS contains all of the inputs that can be varied by NEMDE to deliver an outcome</w:t>
          </w:r>
          <w:r>
            <w:t xml:space="preserve"> that satisfies the requirement of the RHS.</w:t>
          </w:r>
          <w:r w:rsidRPr="00244A42">
            <w:t xml:space="preserve"> The</w:t>
          </w:r>
          <w:r>
            <w:t xml:space="preserve">se inputs </w:t>
          </w:r>
          <w:r w:rsidR="002766BD">
            <w:t xml:space="preserve">may </w:t>
          </w:r>
          <w:r>
            <w:t>include</w:t>
          </w:r>
          <w:r w:rsidRPr="00244A42">
            <w:t xml:space="preserve"> </w:t>
          </w:r>
          <w:r w:rsidR="002766BD">
            <w:t xml:space="preserve">factors such as </w:t>
          </w:r>
          <w:r w:rsidRPr="00244A42">
            <w:t xml:space="preserve">output </w:t>
          </w:r>
          <w:r>
            <w:t>from generators and</w:t>
          </w:r>
          <w:r w:rsidRPr="00244A42">
            <w:t xml:space="preserve"> flow </w:t>
          </w:r>
          <w:r>
            <w:t>on</w:t>
          </w:r>
          <w:r w:rsidRPr="00244A42">
            <w:t xml:space="preserve"> interconnectors.</w:t>
          </w:r>
          <w:r w:rsidR="007B4B3B">
            <w:t xml:space="preserve"> </w:t>
          </w:r>
        </w:p>
        <w:p w:rsidR="002766BD" w:rsidRDefault="002766BD" w:rsidP="002766BD">
          <w:pPr>
            <w:pStyle w:val="AERBody"/>
          </w:pPr>
          <w:r>
            <w:t>The magnitude of a coefficient on a term in either the LHS or RHS gives an indication of the significance of the generating unit or interconnector in the network limitation (the larger the coefficient the more significant the unit or interconnector).</w:t>
          </w:r>
          <w:r w:rsidRPr="00161708">
            <w:t xml:space="preserve"> A positive coefficient means that a </w:t>
          </w:r>
          <w:r>
            <w:t xml:space="preserve">generator </w:t>
          </w:r>
          <w:r w:rsidRPr="00161708">
            <w:t>or interconnector is</w:t>
          </w:r>
          <w:r>
            <w:t xml:space="preserve"> </w:t>
          </w:r>
          <w:r w:rsidRPr="00161708">
            <w:t>‘constrained-off’ if the constraint is binding, where a negative coefficient means a</w:t>
          </w:r>
          <w:r>
            <w:t xml:space="preserve"> </w:t>
          </w:r>
          <w:r w:rsidRPr="00161708">
            <w:t>generator</w:t>
          </w:r>
          <w:r>
            <w:t xml:space="preserve"> or interconnector</w:t>
          </w:r>
          <w:r w:rsidRPr="00161708">
            <w:t xml:space="preserve"> is ‘constrained-on’.</w:t>
          </w:r>
          <w:r>
            <w:t xml:space="preserve"> </w:t>
          </w:r>
        </w:p>
        <w:p w:rsidR="00E36FC7" w:rsidRDefault="00ED6E20" w:rsidP="00A941F6">
          <w:pPr>
            <w:pStyle w:val="AERBody"/>
          </w:pPr>
          <w:r>
            <w:lastRenderedPageBreak/>
            <w:t xml:space="preserve">Headroom in the constraint equation </w:t>
          </w:r>
          <w:r w:rsidR="002766BD">
            <w:t>i</w:t>
          </w:r>
          <w:r>
            <w:t xml:space="preserve">s the difference between the LHS and RHS prior to equality being reached while satisfying the required relationship. </w:t>
          </w:r>
          <w:r w:rsidR="007B4B3B">
            <w:t>See Appendix D for a detailed description of constraint management.</w:t>
          </w:r>
        </w:p>
        <w:p w:rsidR="00535260" w:rsidRPr="00563950" w:rsidRDefault="00AC3454" w:rsidP="00A941F6">
          <w:pPr>
            <w:pStyle w:val="AERBody"/>
          </w:pPr>
          <w:r>
            <w:t>At 2.20 pm the</w:t>
          </w:r>
          <w:r w:rsidR="0016579C" w:rsidRPr="0016579C">
            <w:t xml:space="preserve"> </w:t>
          </w:r>
          <w:r w:rsidR="0016579C" w:rsidRPr="005072C1">
            <w:t>system normal constraint</w:t>
          </w:r>
          <w:r>
            <w:t>,</w:t>
          </w:r>
          <w:r w:rsidR="0016579C" w:rsidRPr="005072C1">
            <w:t xml:space="preserve"> N&gt;&gt;N-NIL_01N</w:t>
          </w:r>
          <w:r>
            <w:t>,</w:t>
          </w:r>
          <w:r w:rsidR="0016579C">
            <w:t xml:space="preserve"> </w:t>
          </w:r>
          <w:r w:rsidR="0016579C" w:rsidRPr="00E36FC7">
            <w:t>bound</w:t>
          </w:r>
          <w:r w:rsidR="00D8789B">
            <w:t>.</w:t>
          </w:r>
          <w:r>
            <w:rPr>
              <w:rStyle w:val="FootnoteReference"/>
            </w:rPr>
            <w:footnoteReference w:id="2"/>
          </w:r>
          <w:r w:rsidR="00460BC8" w:rsidRPr="00460BC8">
            <w:rPr>
              <w:rStyle w:val="FootnoteReference"/>
            </w:rPr>
            <w:t>,</w:t>
          </w:r>
          <w:r w:rsidR="00460BC8">
            <w:rPr>
              <w:rStyle w:val="FootnoteReference"/>
            </w:rPr>
            <w:footnoteReference w:id="3"/>
          </w:r>
          <w:r w:rsidR="00E36FC7" w:rsidRPr="00E36FC7">
            <w:t xml:space="preserve"> System normal constraints reflect the normal network performance envelope.</w:t>
          </w:r>
          <w:r w:rsidR="0016579C">
            <w:t xml:space="preserve"> This constraint </w:t>
          </w:r>
          <w:r w:rsidR="00B556BE">
            <w:t xml:space="preserve">is designed to </w:t>
          </w:r>
          <w:r w:rsidR="0016579C">
            <w:t>avoid an overload on the 330kV line from Canberra to Yass on the loss of the Shoalhaven to Dapto line</w:t>
          </w:r>
          <w:r>
            <w:t xml:space="preserve"> and</w:t>
          </w:r>
          <w:r w:rsidR="00535260">
            <w:t xml:space="preserve"> </w:t>
          </w:r>
          <w:r w:rsidR="00460BC8">
            <w:t>limit</w:t>
          </w:r>
          <w:r>
            <w:t>s</w:t>
          </w:r>
          <w:r w:rsidR="00535260">
            <w:t xml:space="preserve"> generation west of the 330</w:t>
          </w:r>
          <w:r w:rsidR="00B556BE">
            <w:t> </w:t>
          </w:r>
          <w:r w:rsidR="00535260">
            <w:t>kV line along with imports from Vic</w:t>
          </w:r>
          <w:r w:rsidR="00F23060">
            <w:t>toria</w:t>
          </w:r>
          <w:r w:rsidR="00535260">
            <w:t xml:space="preserve"> into </w:t>
          </w:r>
          <w:r w:rsidR="0016579C">
            <w:t>New South Wales</w:t>
          </w:r>
          <w:r w:rsidR="00535260">
            <w:t>.</w:t>
          </w:r>
        </w:p>
        <w:p w:rsidR="00535260" w:rsidRDefault="00711EDA" w:rsidP="00A941F6">
          <w:pPr>
            <w:pStyle w:val="AERBody"/>
          </w:pPr>
          <w:r>
            <w:fldChar w:fldCharType="begin"/>
          </w:r>
          <w:r>
            <w:instrText xml:space="preserve"> REF _Ref469309331 \h </w:instrText>
          </w:r>
          <w:r w:rsidR="00A941F6">
            <w:instrText xml:space="preserve"> \* MERGEFORMAT </w:instrText>
          </w:r>
          <w:r>
            <w:fldChar w:fldCharType="separate"/>
          </w:r>
          <w:r w:rsidR="00175BBF">
            <w:t xml:space="preserve">Figure </w:t>
          </w:r>
          <w:r w:rsidR="00175BBF">
            <w:rPr>
              <w:noProof/>
            </w:rPr>
            <w:t>1</w:t>
          </w:r>
          <w:r>
            <w:fldChar w:fldCharType="end"/>
          </w:r>
          <w:r w:rsidR="00535260">
            <w:t xml:space="preserve"> </w:t>
          </w:r>
          <w:r>
            <w:t>shows</w:t>
          </w:r>
          <w:r w:rsidR="00535260">
            <w:t xml:space="preserve"> the </w:t>
          </w:r>
          <w:r>
            <w:t xml:space="preserve">affected </w:t>
          </w:r>
          <w:r w:rsidR="00535260">
            <w:t>network area</w:t>
          </w:r>
          <w:r>
            <w:t xml:space="preserve">, the </w:t>
          </w:r>
          <w:r w:rsidR="00AC3454">
            <w:t xml:space="preserve">green squares represent </w:t>
          </w:r>
          <w:r>
            <w:t xml:space="preserve">significant generators and their coefficients, </w:t>
          </w:r>
          <w:r w:rsidR="000F1AF3">
            <w:t>b</w:t>
          </w:r>
          <w:r w:rsidR="00AC3454">
            <w:t xml:space="preserve">lue dots show </w:t>
          </w:r>
          <w:r>
            <w:t>significant substations</w:t>
          </w:r>
          <w:r w:rsidR="004A0423">
            <w:t>,</w:t>
          </w:r>
          <w:r>
            <w:t xml:space="preserve"> </w:t>
          </w:r>
          <w:r w:rsidR="00AC3454">
            <w:t xml:space="preserve">transmission lines are shown in colours according to their voltage and </w:t>
          </w:r>
          <w:r w:rsidR="004A0423">
            <w:t xml:space="preserve">the </w:t>
          </w:r>
          <w:r w:rsidR="00AC3454">
            <w:t xml:space="preserve">dashed lines </w:t>
          </w:r>
          <w:r w:rsidR="004A0423">
            <w:t xml:space="preserve">highlight </w:t>
          </w:r>
          <w:r w:rsidR="00AC3454">
            <w:t xml:space="preserve">the </w:t>
          </w:r>
          <w:r w:rsidR="004A0423">
            <w:t xml:space="preserve">elements protected by the </w:t>
          </w:r>
          <w:r>
            <w:t>constraint</w:t>
          </w:r>
          <w:r w:rsidR="00535260">
            <w:t>.</w:t>
          </w:r>
          <w:r w:rsidR="007341F3">
            <w:t xml:space="preserve"> </w:t>
          </w:r>
        </w:p>
        <w:p w:rsidR="00535260" w:rsidRDefault="00535260" w:rsidP="00535260">
          <w:pPr>
            <w:pStyle w:val="Caption"/>
            <w:jc w:val="both"/>
          </w:pPr>
          <w:bookmarkStart w:id="11" w:name="_Ref469309331"/>
          <w:r>
            <w:t xml:space="preserve">Figure </w:t>
          </w:r>
          <w:r w:rsidR="00C7302A">
            <w:fldChar w:fldCharType="begin"/>
          </w:r>
          <w:r w:rsidR="00C7302A">
            <w:instrText xml:space="preserve"> SEQ Figure \* ARABIC </w:instrText>
          </w:r>
          <w:r w:rsidR="00C7302A">
            <w:fldChar w:fldCharType="separate"/>
          </w:r>
          <w:r w:rsidR="00175BBF">
            <w:rPr>
              <w:noProof/>
            </w:rPr>
            <w:t>1</w:t>
          </w:r>
          <w:r w:rsidR="00C7302A">
            <w:rPr>
              <w:noProof/>
            </w:rPr>
            <w:fldChar w:fldCharType="end"/>
          </w:r>
          <w:bookmarkEnd w:id="11"/>
          <w:r>
            <w:t>: Network diagram and constraint in effect</w:t>
          </w:r>
        </w:p>
        <w:p w:rsidR="00535260" w:rsidRPr="006F01F3" w:rsidRDefault="00CE6F9F" w:rsidP="00535260">
          <w:r w:rsidRPr="00CE6F9F">
            <w:rPr>
              <w:noProof/>
              <w:lang w:eastAsia="en-AU"/>
            </w:rPr>
            <w:drawing>
              <wp:inline distT="0" distB="0" distL="0" distR="0" wp14:anchorId="1A86FEF7" wp14:editId="47F006DF">
                <wp:extent cx="5383962" cy="3046021"/>
                <wp:effectExtent l="0" t="0" r="762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829"/>
                        <a:stretch/>
                      </pic:blipFill>
                      <pic:spPr bwMode="auto">
                        <a:xfrm>
                          <a:off x="0" y="0"/>
                          <a:ext cx="5382895" cy="3045417"/>
                        </a:xfrm>
                        <a:prstGeom prst="rect">
                          <a:avLst/>
                        </a:prstGeom>
                        <a:noFill/>
                        <a:ln>
                          <a:noFill/>
                        </a:ln>
                        <a:extLst>
                          <a:ext uri="{53640926-AAD7-44D8-BBD7-CCE9431645EC}">
                            <a14:shadowObscured xmlns:a14="http://schemas.microsoft.com/office/drawing/2010/main"/>
                          </a:ext>
                        </a:extLst>
                      </pic:spPr>
                    </pic:pic>
                  </a:graphicData>
                </a:graphic>
              </wp:inline>
            </w:drawing>
          </w:r>
        </w:p>
        <w:p w:rsidR="00C95D8D" w:rsidRPr="00F77422" w:rsidRDefault="00AA04F7" w:rsidP="00460BC8">
          <w:pPr>
            <w:pStyle w:val="AERBody"/>
          </w:pPr>
          <w:r w:rsidRPr="00F77422">
            <w:t>According to the formulation of the constraint, a</w:t>
          </w:r>
          <w:r w:rsidR="00535260" w:rsidRPr="00F77422">
            <w:t>s output from the generators</w:t>
          </w:r>
          <w:r w:rsidR="004A0423" w:rsidRPr="00F77422">
            <w:t xml:space="preserve"> increases</w:t>
          </w:r>
          <w:r w:rsidR="00535260" w:rsidRPr="00F77422">
            <w:t xml:space="preserve">, imports </w:t>
          </w:r>
          <w:r w:rsidRPr="00F77422">
            <w:t xml:space="preserve">into New South Wales </w:t>
          </w:r>
          <w:r w:rsidR="00535260" w:rsidRPr="00F77422">
            <w:t xml:space="preserve">on the Vic - NSW interconnector </w:t>
          </w:r>
          <w:r w:rsidRPr="00F77422">
            <w:t>are reduced</w:t>
          </w:r>
          <w:r w:rsidR="00535260" w:rsidRPr="00F77422">
            <w:t xml:space="preserve">. </w:t>
          </w:r>
          <w:r w:rsidRPr="00F77422">
            <w:t>That is</w:t>
          </w:r>
          <w:r w:rsidR="000C465E">
            <w:t>,</w:t>
          </w:r>
          <w:r w:rsidRPr="00F77422">
            <w:t xml:space="preserve"> the </w:t>
          </w:r>
          <w:r w:rsidR="00535260" w:rsidRPr="00F77422">
            <w:t>design of the cons</w:t>
          </w:r>
          <w:r w:rsidR="00C95D8D" w:rsidRPr="00F77422">
            <w:t xml:space="preserve">traint </w:t>
          </w:r>
          <w:r w:rsidRPr="00F77422">
            <w:t xml:space="preserve">is such that </w:t>
          </w:r>
          <w:r w:rsidR="00535260" w:rsidRPr="00F77422">
            <w:t>generation</w:t>
          </w:r>
          <w:r w:rsidR="00B556BE" w:rsidRPr="00F77422">
            <w:t xml:space="preserve"> at Tumut</w:t>
          </w:r>
          <w:r w:rsidR="00A47138" w:rsidRPr="00F77422">
            <w:t xml:space="preserve"> (1800 MW)</w:t>
          </w:r>
          <w:r w:rsidR="00B556BE" w:rsidRPr="00F77422">
            <w:t xml:space="preserve"> and Upper Tumut</w:t>
          </w:r>
          <w:r w:rsidR="00A47138" w:rsidRPr="00F77422">
            <w:t xml:space="preserve"> (616</w:t>
          </w:r>
          <w:r w:rsidR="000C465E">
            <w:t> </w:t>
          </w:r>
          <w:r w:rsidR="00A47138" w:rsidRPr="00F77422">
            <w:t>MW)</w:t>
          </w:r>
          <w:r w:rsidR="00535260" w:rsidRPr="00F77422">
            <w:t xml:space="preserve"> </w:t>
          </w:r>
          <w:r w:rsidR="00A47138" w:rsidRPr="00F77422">
            <w:t xml:space="preserve">and Uranquinty (640 MW) </w:t>
          </w:r>
          <w:r w:rsidR="00535260" w:rsidRPr="00F77422">
            <w:t xml:space="preserve">in New South Wales </w:t>
          </w:r>
          <w:r w:rsidR="00A941F6" w:rsidRPr="00F77422">
            <w:t xml:space="preserve">can </w:t>
          </w:r>
          <w:r w:rsidR="00A47138" w:rsidRPr="00F77422">
            <w:t xml:space="preserve">effectively govern </w:t>
          </w:r>
          <w:r w:rsidR="00535260" w:rsidRPr="00F77422">
            <w:t xml:space="preserve">the import limit </w:t>
          </w:r>
          <w:r w:rsidR="00460BC8" w:rsidRPr="00F77422">
            <w:t>on the Vic - NSW interconnector.</w:t>
          </w:r>
        </w:p>
        <w:p w:rsidR="005667C5" w:rsidRDefault="00A941F6" w:rsidP="00460BC8">
          <w:pPr>
            <w:pStyle w:val="AERBody"/>
          </w:pPr>
          <w:r w:rsidRPr="00F77422">
            <w:t>T</w:t>
          </w:r>
          <w:r w:rsidR="00157944" w:rsidRPr="00F77422">
            <w:t xml:space="preserve">o prevent </w:t>
          </w:r>
          <w:r w:rsidR="00F13663" w:rsidRPr="00F77422">
            <w:t xml:space="preserve">the </w:t>
          </w:r>
          <w:r w:rsidRPr="00F77422">
            <w:t xml:space="preserve">N&gt;&gt;N-NIL_01N </w:t>
          </w:r>
          <w:r w:rsidR="0041597D" w:rsidRPr="00F77422">
            <w:t>constraint</w:t>
          </w:r>
          <w:r w:rsidR="00157944" w:rsidRPr="00F77422">
            <w:t xml:space="preserve"> from binding</w:t>
          </w:r>
          <w:r w:rsidR="0041597D" w:rsidRPr="00F77422">
            <w:t>, t</w:t>
          </w:r>
          <w:r w:rsidR="0083461E" w:rsidRPr="00F77422">
            <w:t>he sum of generation</w:t>
          </w:r>
          <w:r w:rsidR="0041597D" w:rsidRPr="00F77422">
            <w:t xml:space="preserve"> and imports</w:t>
          </w:r>
          <w:r w:rsidR="0083461E" w:rsidRPr="00F77422">
            <w:t xml:space="preserve"> from the</w:t>
          </w:r>
          <w:r w:rsidRPr="00F77422">
            <w:t xml:space="preserve"> generators shown in </w:t>
          </w:r>
          <w:r w:rsidRPr="00F77422">
            <w:fldChar w:fldCharType="begin"/>
          </w:r>
          <w:r w:rsidRPr="00F77422">
            <w:instrText xml:space="preserve"> REF _Ref469309331 \h  \* MERGEFORMAT </w:instrText>
          </w:r>
          <w:r w:rsidRPr="00F77422">
            <w:fldChar w:fldCharType="separate"/>
          </w:r>
          <w:r w:rsidR="00175BBF">
            <w:t xml:space="preserve">Figure </w:t>
          </w:r>
          <w:r w:rsidR="00175BBF">
            <w:rPr>
              <w:noProof/>
            </w:rPr>
            <w:t>1</w:t>
          </w:r>
          <w:r w:rsidRPr="00F77422">
            <w:fldChar w:fldCharType="end"/>
          </w:r>
          <w:r w:rsidRPr="00F77422">
            <w:t xml:space="preserve">, </w:t>
          </w:r>
          <w:r w:rsidR="00157944" w:rsidRPr="00F77422">
            <w:t>around the time of the high prices</w:t>
          </w:r>
          <w:r w:rsidRPr="00F77422">
            <w:t>,</w:t>
          </w:r>
          <w:r w:rsidR="00157944" w:rsidRPr="00F77422">
            <w:t xml:space="preserve"> was to</w:t>
          </w:r>
          <w:r w:rsidR="0083461E" w:rsidRPr="00F77422">
            <w:t xml:space="preserve"> be less than </w:t>
          </w:r>
          <w:r w:rsidR="00157944" w:rsidRPr="00F77422">
            <w:t>around 2000 MW</w:t>
          </w:r>
          <w:r w:rsidR="0083461E" w:rsidRPr="00F77422">
            <w:t xml:space="preserve">. </w:t>
          </w:r>
        </w:p>
        <w:p w:rsidR="00906E3D" w:rsidRDefault="004A11EB" w:rsidP="00460BC8">
          <w:pPr>
            <w:pStyle w:val="AERBody"/>
          </w:pPr>
          <w:r>
            <w:rPr>
              <w:highlight w:val="yellow"/>
            </w:rPr>
            <w:fldChar w:fldCharType="begin"/>
          </w:r>
          <w:r>
            <w:instrText xml:space="preserve"> REF _Ref469323016 \h </w:instrText>
          </w:r>
          <w:r w:rsidR="00460BC8">
            <w:rPr>
              <w:highlight w:val="yellow"/>
            </w:rPr>
            <w:instrText xml:space="preserve"> \* MERGEFORMAT </w:instrText>
          </w:r>
          <w:r>
            <w:rPr>
              <w:highlight w:val="yellow"/>
            </w:rPr>
          </w:r>
          <w:r>
            <w:rPr>
              <w:highlight w:val="yellow"/>
            </w:rPr>
            <w:fldChar w:fldCharType="separate"/>
          </w:r>
          <w:r w:rsidR="00175BBF">
            <w:t xml:space="preserve">Figure </w:t>
          </w:r>
          <w:r w:rsidR="00175BBF">
            <w:rPr>
              <w:noProof/>
            </w:rPr>
            <w:t>2</w:t>
          </w:r>
          <w:r>
            <w:rPr>
              <w:highlight w:val="yellow"/>
            </w:rPr>
            <w:fldChar w:fldCharType="end"/>
          </w:r>
          <w:r>
            <w:t xml:space="preserve"> </w:t>
          </w:r>
          <w:r w:rsidR="00906E3D">
            <w:t xml:space="preserve">shows the output of the </w:t>
          </w:r>
          <w:r w:rsidR="00A47138">
            <w:t>southern New South Wales</w:t>
          </w:r>
          <w:r w:rsidR="00906E3D">
            <w:t xml:space="preserve"> </w:t>
          </w:r>
          <w:r w:rsidR="00A47138">
            <w:t xml:space="preserve">generators identified </w:t>
          </w:r>
          <w:r w:rsidR="00906E3D">
            <w:t>above and imports into New South Wales from Victoria.</w:t>
          </w:r>
        </w:p>
        <w:p w:rsidR="004A11EB" w:rsidRDefault="004A11EB" w:rsidP="004A11EB">
          <w:pPr>
            <w:pStyle w:val="Caption"/>
            <w:jc w:val="both"/>
          </w:pPr>
          <w:bookmarkStart w:id="12" w:name="_Ref469323016"/>
          <w:r>
            <w:lastRenderedPageBreak/>
            <w:t xml:space="preserve">Figure </w:t>
          </w:r>
          <w:r w:rsidR="00C7302A">
            <w:fldChar w:fldCharType="begin"/>
          </w:r>
          <w:r w:rsidR="00C7302A">
            <w:instrText xml:space="preserve"> SEQ Figure \* ARABIC </w:instrText>
          </w:r>
          <w:r w:rsidR="00C7302A">
            <w:fldChar w:fldCharType="separate"/>
          </w:r>
          <w:r w:rsidR="00175BBF">
            <w:rPr>
              <w:noProof/>
            </w:rPr>
            <w:t>2</w:t>
          </w:r>
          <w:r w:rsidR="00C7302A">
            <w:rPr>
              <w:noProof/>
            </w:rPr>
            <w:fldChar w:fldCharType="end"/>
          </w:r>
          <w:bookmarkEnd w:id="12"/>
          <w:r>
            <w:t xml:space="preserve">: </w:t>
          </w:r>
          <w:r w:rsidR="00C84B66">
            <w:t>G</w:t>
          </w:r>
          <w:r>
            <w:t>eneration</w:t>
          </w:r>
          <w:r w:rsidR="00C84B66">
            <w:t xml:space="preserve"> output and import</w:t>
          </w:r>
          <w:r w:rsidR="00157F29">
            <w:t>s</w:t>
          </w:r>
          <w:r w:rsidR="00C84B66">
            <w:t xml:space="preserve"> on the</w:t>
          </w:r>
          <w:r>
            <w:t xml:space="preserve"> Vic – NSW interconnector</w:t>
          </w:r>
        </w:p>
        <w:p w:rsidR="00906E3D" w:rsidRDefault="000C465E" w:rsidP="00535260">
          <w:r w:rsidRPr="000C465E">
            <w:rPr>
              <w:noProof/>
              <w:lang w:eastAsia="en-AU"/>
            </w:rPr>
            <w:drawing>
              <wp:inline distT="0" distB="0" distL="0" distR="0" wp14:anchorId="1D0CCE79" wp14:editId="0F59B70D">
                <wp:extent cx="5379410" cy="318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86"/>
                        <a:stretch/>
                      </pic:blipFill>
                      <pic:spPr bwMode="auto">
                        <a:xfrm>
                          <a:off x="0" y="0"/>
                          <a:ext cx="5382895" cy="3190591"/>
                        </a:xfrm>
                        <a:prstGeom prst="rect">
                          <a:avLst/>
                        </a:prstGeom>
                        <a:noFill/>
                        <a:ln>
                          <a:noFill/>
                        </a:ln>
                        <a:extLst>
                          <a:ext uri="{53640926-AAD7-44D8-BBD7-CCE9431645EC}">
                            <a14:shadowObscured xmlns:a14="http://schemas.microsoft.com/office/drawing/2010/main"/>
                          </a:ext>
                        </a:extLst>
                      </pic:spPr>
                    </pic:pic>
                  </a:graphicData>
                </a:graphic>
              </wp:inline>
            </w:drawing>
          </w:r>
        </w:p>
        <w:p w:rsidR="0086636C" w:rsidRDefault="004A11EB" w:rsidP="00460BC8">
          <w:pPr>
            <w:pStyle w:val="AERBody"/>
          </w:pPr>
          <w:r>
            <w:fldChar w:fldCharType="begin"/>
          </w:r>
          <w:r>
            <w:instrText xml:space="preserve"> REF _Ref469323016 \h </w:instrText>
          </w:r>
          <w:r w:rsidR="00460BC8">
            <w:instrText xml:space="preserve"> \* MERGEFORMAT </w:instrText>
          </w:r>
          <w:r>
            <w:fldChar w:fldCharType="separate"/>
          </w:r>
          <w:r w:rsidR="00175BBF">
            <w:t xml:space="preserve">Figure </w:t>
          </w:r>
          <w:r w:rsidR="00175BBF">
            <w:rPr>
              <w:noProof/>
            </w:rPr>
            <w:t>2</w:t>
          </w:r>
          <w:r>
            <w:fldChar w:fldCharType="end"/>
          </w:r>
          <w:r>
            <w:t xml:space="preserve"> </w:t>
          </w:r>
          <w:r w:rsidR="00906E3D">
            <w:t xml:space="preserve">highlights the relationship between the increase of generation and the decrease in imports. There was a significant reduction in imports at around 2.30 pm </w:t>
          </w:r>
          <w:r w:rsidR="00A941F6">
            <w:t xml:space="preserve">following the </w:t>
          </w:r>
          <w:r w:rsidR="00A47138">
            <w:t xml:space="preserve">Snowy Hydro </w:t>
          </w:r>
          <w:r w:rsidR="00A941F6">
            <w:t xml:space="preserve">rebid which resulted in an increase in </w:t>
          </w:r>
          <w:r w:rsidR="00906E3D">
            <w:t xml:space="preserve">Tumut’s output. This relationship is a direct consequence of the generators and interconnector being controllable variables </w:t>
          </w:r>
          <w:r w:rsidR="007B4B3B">
            <w:t xml:space="preserve">on the LHS of the </w:t>
          </w:r>
          <w:r w:rsidR="00906E3D">
            <w:t>constraint.</w:t>
          </w:r>
          <w:r w:rsidR="0086636C">
            <w:t xml:space="preserve"> </w:t>
          </w:r>
        </w:p>
        <w:p w:rsidR="00EF601F" w:rsidRDefault="00EF601F" w:rsidP="00460BC8">
          <w:pPr>
            <w:pStyle w:val="AERBody"/>
          </w:pPr>
          <w:r>
            <w:fldChar w:fldCharType="begin"/>
          </w:r>
          <w:r>
            <w:instrText xml:space="preserve"> REF _Ref469411347 \h </w:instrText>
          </w:r>
          <w:r w:rsidR="00460BC8">
            <w:instrText xml:space="preserve"> \* MERGEFORMAT </w:instrText>
          </w:r>
          <w:r>
            <w:fldChar w:fldCharType="separate"/>
          </w:r>
          <w:r w:rsidR="00175BBF">
            <w:t xml:space="preserve">Figure </w:t>
          </w:r>
          <w:r w:rsidR="00175BBF">
            <w:rPr>
              <w:noProof/>
            </w:rPr>
            <w:t>3</w:t>
          </w:r>
          <w:r>
            <w:fldChar w:fldCharType="end"/>
          </w:r>
          <w:r>
            <w:t xml:space="preserve"> shows the </w:t>
          </w:r>
          <w:r w:rsidR="00A47138">
            <w:t>RHS</w:t>
          </w:r>
          <w:r>
            <w:t xml:space="preserve"> </w:t>
          </w:r>
          <w:r w:rsidR="00A47138">
            <w:t xml:space="preserve">(green), </w:t>
          </w:r>
          <w:r>
            <w:t xml:space="preserve">the </w:t>
          </w:r>
          <w:r w:rsidR="00A47138">
            <w:t>LHS</w:t>
          </w:r>
          <w:r>
            <w:t xml:space="preserve"> (blue), the headroom (shaded) and the output of Tumut (red </w:t>
          </w:r>
          <w:r w:rsidR="004C227E">
            <w:t>block</w:t>
          </w:r>
          <w:r>
            <w:t>).</w:t>
          </w:r>
          <w:r w:rsidR="009B35C3">
            <w:rPr>
              <w:rStyle w:val="FootnoteReference"/>
            </w:rPr>
            <w:footnoteReference w:id="4"/>
          </w:r>
        </w:p>
        <w:p w:rsidR="00EF601F" w:rsidRDefault="00EF601F" w:rsidP="00EF601F">
          <w:pPr>
            <w:pStyle w:val="Caption"/>
            <w:jc w:val="both"/>
          </w:pPr>
          <w:bookmarkStart w:id="13" w:name="_Ref469411347"/>
          <w:r>
            <w:t xml:space="preserve">Figure </w:t>
          </w:r>
          <w:r w:rsidR="00C7302A">
            <w:fldChar w:fldCharType="begin"/>
          </w:r>
          <w:r w:rsidR="00C7302A">
            <w:instrText xml:space="preserve"> SEQ Figure \* ARABIC </w:instrText>
          </w:r>
          <w:r w:rsidR="00C7302A">
            <w:fldChar w:fldCharType="separate"/>
          </w:r>
          <w:r w:rsidR="00175BBF">
            <w:rPr>
              <w:noProof/>
            </w:rPr>
            <w:t>3</w:t>
          </w:r>
          <w:r w:rsidR="00C7302A">
            <w:rPr>
              <w:noProof/>
            </w:rPr>
            <w:fldChar w:fldCharType="end"/>
          </w:r>
          <w:bookmarkEnd w:id="13"/>
          <w:r>
            <w:t xml:space="preserve">: </w:t>
          </w:r>
          <w:r w:rsidRPr="005072C1">
            <w:t>N&gt;&gt;N-NIL_01N</w:t>
          </w:r>
          <w:r>
            <w:t xml:space="preserve"> constraint</w:t>
          </w:r>
          <w:r w:rsidR="00A47138">
            <w:t xml:space="preserve"> LHS and RHS</w:t>
          </w:r>
          <w:r>
            <w:t>, headroom and Tumut output.</w:t>
          </w:r>
        </w:p>
        <w:p w:rsidR="00EA2497" w:rsidRDefault="00EA2497" w:rsidP="00EF601F">
          <w:r w:rsidRPr="00EA2497">
            <w:rPr>
              <w:noProof/>
              <w:lang w:eastAsia="en-AU"/>
            </w:rPr>
            <w:drawing>
              <wp:inline distT="0" distB="0" distL="0" distR="0" wp14:anchorId="16813453" wp14:editId="75C11530">
                <wp:extent cx="5355771" cy="256507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578061"/>
                        </a:xfrm>
                        <a:prstGeom prst="rect">
                          <a:avLst/>
                        </a:prstGeom>
                        <a:noFill/>
                        <a:ln>
                          <a:noFill/>
                        </a:ln>
                      </pic:spPr>
                    </pic:pic>
                  </a:graphicData>
                </a:graphic>
              </wp:inline>
            </w:drawing>
          </w:r>
        </w:p>
        <w:p w:rsidR="007A4F15" w:rsidRDefault="00EF601F" w:rsidP="00460BC8">
          <w:pPr>
            <w:pStyle w:val="AERBody"/>
          </w:pPr>
          <w:r>
            <w:lastRenderedPageBreak/>
            <w:t>As the generat</w:t>
          </w:r>
          <w:r w:rsidR="007B4B3B">
            <w:t>ors</w:t>
          </w:r>
          <w:r>
            <w:t xml:space="preserve"> </w:t>
          </w:r>
          <w:r w:rsidR="007B4B3B">
            <w:t>on the LHS of</w:t>
          </w:r>
          <w:r>
            <w:t xml:space="preserve"> the constraint increased output, the </w:t>
          </w:r>
          <w:r w:rsidR="007B4B3B">
            <w:t xml:space="preserve">gap between the LHS and RHS (the </w:t>
          </w:r>
          <w:r>
            <w:t>headroom</w:t>
          </w:r>
          <w:r w:rsidR="007B4B3B">
            <w:t>)</w:t>
          </w:r>
          <w:r>
            <w:t xml:space="preserve"> </w:t>
          </w:r>
          <w:r w:rsidR="007B4B3B">
            <w:t>decreased</w:t>
          </w:r>
          <w:r>
            <w:t xml:space="preserve"> until the</w:t>
          </w:r>
          <w:r w:rsidR="007B4B3B">
            <w:t>y touched at</w:t>
          </w:r>
          <w:r>
            <w:t xml:space="preserve"> </w:t>
          </w:r>
          <w:r w:rsidR="007B4B3B">
            <w:t>2.20 pm</w:t>
          </w:r>
          <w:r w:rsidR="00E0237B">
            <w:t>,</w:t>
          </w:r>
          <w:r w:rsidR="007B4B3B">
            <w:t xml:space="preserve"> which means the constraint bound at that point</w:t>
          </w:r>
          <w:r>
            <w:t xml:space="preserve">. </w:t>
          </w:r>
        </w:p>
        <w:p w:rsidR="00EF601F" w:rsidRDefault="009B35C3" w:rsidP="00460BC8">
          <w:pPr>
            <w:pStyle w:val="AERBody"/>
          </w:pPr>
          <w:r w:rsidRPr="00F77422">
            <w:t xml:space="preserve">Comparing </w:t>
          </w:r>
          <w:r w:rsidRPr="00F77422">
            <w:fldChar w:fldCharType="begin"/>
          </w:r>
          <w:r w:rsidRPr="00F77422">
            <w:instrText xml:space="preserve"> REF _Ref469323016 \h  \* MERGEFORMAT </w:instrText>
          </w:r>
          <w:r w:rsidRPr="00F77422">
            <w:fldChar w:fldCharType="separate"/>
          </w:r>
          <w:r w:rsidR="00175BBF">
            <w:t xml:space="preserve">Figure </w:t>
          </w:r>
          <w:r w:rsidR="00175BBF">
            <w:rPr>
              <w:noProof/>
            </w:rPr>
            <w:t>2</w:t>
          </w:r>
          <w:r w:rsidRPr="00F77422">
            <w:fldChar w:fldCharType="end"/>
          </w:r>
          <w:r w:rsidRPr="00F77422">
            <w:t xml:space="preserve"> and </w:t>
          </w:r>
          <w:r w:rsidRPr="00F77422">
            <w:fldChar w:fldCharType="begin"/>
          </w:r>
          <w:r w:rsidRPr="00F77422">
            <w:instrText xml:space="preserve"> REF _Ref469411347 \h  \* MERGEFORMAT </w:instrText>
          </w:r>
          <w:r w:rsidRPr="00F77422">
            <w:fldChar w:fldCharType="separate"/>
          </w:r>
          <w:r w:rsidR="00175BBF">
            <w:t xml:space="preserve">Figure </w:t>
          </w:r>
          <w:r w:rsidR="00175BBF">
            <w:rPr>
              <w:noProof/>
            </w:rPr>
            <w:t>3</w:t>
          </w:r>
          <w:r w:rsidRPr="00F77422">
            <w:fldChar w:fldCharType="end"/>
          </w:r>
          <w:r w:rsidRPr="00F77422">
            <w:t xml:space="preserve"> </w:t>
          </w:r>
          <w:r w:rsidR="00EB520C" w:rsidRPr="00F77422">
            <w:t xml:space="preserve">shows that as </w:t>
          </w:r>
          <w:r w:rsidR="00F77422" w:rsidRPr="00F77422">
            <w:t>the output from Tumut increased and</w:t>
          </w:r>
          <w:r w:rsidR="00EB520C" w:rsidRPr="00F77422">
            <w:t xml:space="preserve"> </w:t>
          </w:r>
          <w:r w:rsidRPr="00F77422">
            <w:t>the headroom was zero</w:t>
          </w:r>
          <w:r w:rsidR="00F77422" w:rsidRPr="00F77422">
            <w:t>,</w:t>
          </w:r>
          <w:r w:rsidRPr="00F77422">
            <w:t xml:space="preserve"> the constraint was binding</w:t>
          </w:r>
          <w:r w:rsidR="00EB520C" w:rsidRPr="00F77422">
            <w:t xml:space="preserve"> and the flow on the interconnector dropped</w:t>
          </w:r>
          <w:r w:rsidRPr="00F77422">
            <w:t>. T</w:t>
          </w:r>
          <w:r w:rsidR="007A4F15" w:rsidRPr="00F77422">
            <w:t xml:space="preserve">o avoid violating the constraint </w:t>
          </w:r>
          <w:r w:rsidRPr="00F77422">
            <w:t xml:space="preserve">and given that the other interconnectors with Queensland were operating at their limits into New South Wales, </w:t>
          </w:r>
          <w:r w:rsidR="007A4F15" w:rsidRPr="00F77422">
            <w:t xml:space="preserve">NEMDE was forced to dispatch </w:t>
          </w:r>
          <w:r w:rsidRPr="00F77422">
            <w:t xml:space="preserve">other generation in New South Wales </w:t>
          </w:r>
          <w:r w:rsidR="007A4F15" w:rsidRPr="00F77422">
            <w:t>out of merit order</w:t>
          </w:r>
          <w:r w:rsidR="00EB520C" w:rsidRPr="00F77422">
            <w:t>.</w:t>
          </w:r>
        </w:p>
        <w:p w:rsidR="00692F57" w:rsidRPr="00C0477C" w:rsidRDefault="00692F57" w:rsidP="00692F57">
          <w:pPr>
            <w:pStyle w:val="Heading3"/>
          </w:pPr>
          <w:bookmarkStart w:id="14" w:name="_Ref414281105"/>
          <w:bookmarkStart w:id="15" w:name="_Toc470075234"/>
          <w:r w:rsidRPr="00C0477C">
            <w:t>Rebidding</w:t>
          </w:r>
          <w:bookmarkEnd w:id="14"/>
          <w:bookmarkEnd w:id="15"/>
        </w:p>
        <w:p w:rsidR="00692F57" w:rsidRDefault="00692F57" w:rsidP="00460BC8">
          <w:pPr>
            <w:pStyle w:val="AERBody"/>
          </w:pPr>
          <w:r w:rsidRPr="009C1667">
            <w:t xml:space="preserve">There was rebidding of capacity </w:t>
          </w:r>
          <w:r w:rsidR="007A4F15">
            <w:t xml:space="preserve">which affected dispatch and contributed to the high price outcomes </w:t>
          </w:r>
          <w:r w:rsidRPr="009C1667">
            <w:t>and</w:t>
          </w:r>
          <w:r>
            <w:t xml:space="preserve"> rebidding of </w:t>
          </w:r>
          <w:r w:rsidRPr="009C1667">
            <w:t xml:space="preserve">ramp rates to </w:t>
          </w:r>
          <w:r w:rsidR="007A4F15">
            <w:t xml:space="preserve">the </w:t>
          </w:r>
          <w:r w:rsidRPr="009C1667">
            <w:t xml:space="preserve">minimum </w:t>
          </w:r>
          <w:r w:rsidR="007A4F15">
            <w:t xml:space="preserve">values </w:t>
          </w:r>
          <w:r w:rsidR="004A11EB">
            <w:t>in accordance with clause 3.8.3A of the National Energy Rules</w:t>
          </w:r>
          <w:r w:rsidR="007A4F15">
            <w:t xml:space="preserve"> which prolonged the event</w:t>
          </w:r>
          <w:r w:rsidRPr="009C1667">
            <w:t xml:space="preserve">. </w:t>
          </w:r>
        </w:p>
        <w:p w:rsidR="005F05DC" w:rsidRDefault="005F05DC" w:rsidP="00460BC8">
          <w:pPr>
            <w:pStyle w:val="AERBody"/>
          </w:pPr>
          <w:r>
            <w:t>Within f</w:t>
          </w:r>
          <w:r w:rsidR="00964E12">
            <w:t xml:space="preserve">our </w:t>
          </w:r>
          <w:r w:rsidR="00692F57">
            <w:t xml:space="preserve">hours </w:t>
          </w:r>
          <w:r>
            <w:t>of</w:t>
          </w:r>
          <w:r w:rsidR="00692F57">
            <w:t xml:space="preserve"> the high price</w:t>
          </w:r>
          <w:r w:rsidR="00964E12">
            <w:t>s</w:t>
          </w:r>
          <w:r>
            <w:t>:</w:t>
          </w:r>
        </w:p>
        <w:p w:rsidR="005F05DC" w:rsidRDefault="00692F57" w:rsidP="00460BC8">
          <w:pPr>
            <w:pStyle w:val="Bulletpoint"/>
          </w:pPr>
          <w:r>
            <w:t xml:space="preserve">AGL </w:t>
          </w:r>
          <w:r w:rsidR="005F05DC">
            <w:t>re</w:t>
          </w:r>
          <w:r>
            <w:t xml:space="preserve">bid </w:t>
          </w:r>
          <w:r w:rsidR="005F05DC">
            <w:t xml:space="preserve">around </w:t>
          </w:r>
          <w:r>
            <w:t xml:space="preserve">470 MW of capacity </w:t>
          </w:r>
          <w:r w:rsidR="005F05DC">
            <w:t xml:space="preserve">at Bayswater </w:t>
          </w:r>
          <w:r>
            <w:t>to the price cap</w:t>
          </w:r>
        </w:p>
        <w:p w:rsidR="005F05DC" w:rsidRDefault="00692F57" w:rsidP="00460BC8">
          <w:pPr>
            <w:pStyle w:val="Bulletpoint"/>
          </w:pPr>
          <w:r>
            <w:t>Origin</w:t>
          </w:r>
          <w:r w:rsidR="005F05DC">
            <w:t xml:space="preserve"> rebid 466 MW of capacity at Uranquinty to the price floor</w:t>
          </w:r>
        </w:p>
        <w:p w:rsidR="00692F57" w:rsidRDefault="00692F57" w:rsidP="00460BC8">
          <w:pPr>
            <w:pStyle w:val="Bulletpoint"/>
          </w:pPr>
          <w:r>
            <w:t xml:space="preserve">Snowy Hydro rebid </w:t>
          </w:r>
          <w:r w:rsidR="005F05DC">
            <w:t>around 2500</w:t>
          </w:r>
          <w:r>
            <w:t xml:space="preserve"> MW </w:t>
          </w:r>
          <w:r w:rsidR="005F05DC">
            <w:t xml:space="preserve">of capacity at Tumut, Upper Tumut and Guthega </w:t>
          </w:r>
          <w:r>
            <w:t xml:space="preserve">to the </w:t>
          </w:r>
          <w:r w:rsidR="005F05DC">
            <w:t>price</w:t>
          </w:r>
          <w:r w:rsidR="00095F66">
            <w:t xml:space="preserve"> floor</w:t>
          </w:r>
        </w:p>
        <w:p w:rsidR="00157F29" w:rsidRDefault="00157F29" w:rsidP="00460BC8">
          <w:pPr>
            <w:pStyle w:val="AERBody"/>
          </w:pPr>
          <w:r>
            <w:fldChar w:fldCharType="begin"/>
          </w:r>
          <w:r>
            <w:instrText xml:space="preserve"> REF _Ref433793324 \h </w:instrText>
          </w:r>
          <w:r w:rsidR="00460BC8">
            <w:instrText xml:space="preserve"> \* MERGEFORMAT </w:instrText>
          </w:r>
          <w:r>
            <w:fldChar w:fldCharType="separate"/>
          </w:r>
          <w:r w:rsidR="00175BBF">
            <w:t xml:space="preserve">Figure </w:t>
          </w:r>
          <w:r w:rsidR="00175BBF">
            <w:rPr>
              <w:noProof/>
            </w:rPr>
            <w:t>4</w:t>
          </w:r>
          <w:r>
            <w:fldChar w:fldCharType="end"/>
          </w:r>
          <w:r>
            <w:t xml:space="preserve"> shows </w:t>
          </w:r>
          <w:r w:rsidR="00E0237B" w:rsidRPr="001A7A53">
            <w:t xml:space="preserve">closing bids for participants in </w:t>
          </w:r>
          <w:r w:rsidR="00E55D81">
            <w:t>New South Wales</w:t>
          </w:r>
          <w:r w:rsidR="00E0237B" w:rsidRPr="001A7A53">
            <w:t>, total regional generation</w:t>
          </w:r>
          <w:r w:rsidR="00E0237B">
            <w:t xml:space="preserve"> dispatched (orange)</w:t>
          </w:r>
          <w:r w:rsidR="00E0237B" w:rsidRPr="001A7A53">
            <w:t xml:space="preserve"> and the </w:t>
          </w:r>
          <w:r w:rsidR="00E0237B">
            <w:t xml:space="preserve">5 minute </w:t>
          </w:r>
          <w:r w:rsidR="00E0237B" w:rsidRPr="001A7A53">
            <w:t>dispatch price</w:t>
          </w:r>
          <w:r w:rsidR="00E0237B">
            <w:t xml:space="preserve"> (grey).</w:t>
          </w:r>
        </w:p>
        <w:p w:rsidR="00157F29" w:rsidRDefault="00157F29" w:rsidP="00157F29">
          <w:pPr>
            <w:pStyle w:val="Caption"/>
            <w:ind w:left="360"/>
          </w:pPr>
          <w:bookmarkStart w:id="16" w:name="_Ref433793324"/>
          <w:bookmarkStart w:id="17" w:name="_Ref433793316"/>
          <w:r>
            <w:t xml:space="preserve">Figure </w:t>
          </w:r>
          <w:r w:rsidR="00C7302A">
            <w:fldChar w:fldCharType="begin"/>
          </w:r>
          <w:r w:rsidR="00C7302A">
            <w:instrText xml:space="preserve"> SEQ Figure \* ARABIC </w:instrText>
          </w:r>
          <w:r w:rsidR="00C7302A">
            <w:fldChar w:fldCharType="separate"/>
          </w:r>
          <w:r w:rsidR="00175BBF">
            <w:rPr>
              <w:noProof/>
            </w:rPr>
            <w:t>4</w:t>
          </w:r>
          <w:r w:rsidR="00C7302A">
            <w:rPr>
              <w:noProof/>
            </w:rPr>
            <w:fldChar w:fldCharType="end"/>
          </w:r>
          <w:bookmarkEnd w:id="16"/>
          <w:r>
            <w:t xml:space="preserve">: </w:t>
          </w:r>
          <w:r>
            <w:rPr>
              <w:noProof/>
            </w:rPr>
            <w:t>Closing bids</w:t>
          </w:r>
          <w:bookmarkEnd w:id="17"/>
          <w:r>
            <w:rPr>
              <w:noProof/>
            </w:rPr>
            <w:t xml:space="preserve"> of New South Wales generators, output and spot price</w:t>
          </w:r>
        </w:p>
        <w:p w:rsidR="00157F29" w:rsidRDefault="00097DFA" w:rsidP="00157F29">
          <w:pPr>
            <w:ind w:left="360"/>
          </w:pPr>
          <w:r w:rsidRPr="00097DFA">
            <w:rPr>
              <w:noProof/>
              <w:lang w:eastAsia="en-AU"/>
            </w:rPr>
            <w:drawing>
              <wp:inline distT="0" distB="0" distL="0" distR="0" wp14:anchorId="56203688" wp14:editId="2CD8DFB1">
                <wp:extent cx="5382895" cy="2823941"/>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2823941"/>
                        </a:xfrm>
                        <a:prstGeom prst="rect">
                          <a:avLst/>
                        </a:prstGeom>
                        <a:noFill/>
                        <a:ln>
                          <a:noFill/>
                        </a:ln>
                      </pic:spPr>
                    </pic:pic>
                  </a:graphicData>
                </a:graphic>
              </wp:inline>
            </w:drawing>
          </w:r>
        </w:p>
        <w:p w:rsidR="00157F29" w:rsidRDefault="007A4F15" w:rsidP="00460BC8">
          <w:pPr>
            <w:pStyle w:val="AERBody"/>
          </w:pPr>
          <w:r>
            <w:fldChar w:fldCharType="begin"/>
          </w:r>
          <w:r>
            <w:instrText xml:space="preserve"> REF _Ref433793324 \h  \* MERGEFORMAT </w:instrText>
          </w:r>
          <w:r>
            <w:fldChar w:fldCharType="separate"/>
          </w:r>
          <w:r w:rsidR="00175BBF">
            <w:t xml:space="preserve">Figure </w:t>
          </w:r>
          <w:r w:rsidR="00175BBF">
            <w:rPr>
              <w:noProof/>
            </w:rPr>
            <w:t>4</w:t>
          </w:r>
          <w:r>
            <w:fldChar w:fldCharType="end"/>
          </w:r>
          <w:r>
            <w:t xml:space="preserve"> shows that there was almost no capacity priced between $50/MWh and $12 500/MWh. (light and dark green section almost disappear by 3.30 pm)</w:t>
          </w:r>
          <w:r w:rsidRPr="008C0299">
            <w:t xml:space="preserve">. </w:t>
          </w:r>
          <w:r>
            <w:t xml:space="preserve">This was caused by </w:t>
          </w:r>
          <w:r w:rsidR="00A16763">
            <w:t xml:space="preserve">a number of </w:t>
          </w:r>
          <w:r w:rsidR="00157F29" w:rsidRPr="008C0299">
            <w:t>rebids</w:t>
          </w:r>
          <w:r>
            <w:t>,</w:t>
          </w:r>
          <w:r w:rsidR="00157F29" w:rsidRPr="008C0299">
            <w:t xml:space="preserve"> made</w:t>
          </w:r>
          <w:r w:rsidR="00E0237B">
            <w:t xml:space="preserve"> between 11 am and 2.40 pm</w:t>
          </w:r>
          <w:r w:rsidR="00157F29" w:rsidRPr="008C0299">
            <w:t xml:space="preserve"> by Snowy Hydro and Origin</w:t>
          </w:r>
          <w:r>
            <w:t>,</w:t>
          </w:r>
          <w:r w:rsidR="00157F29" w:rsidRPr="008C0299">
            <w:t xml:space="preserve"> </w:t>
          </w:r>
          <w:r w:rsidR="00A16763">
            <w:t xml:space="preserve">which progressively shifted </w:t>
          </w:r>
          <w:r w:rsidR="00157F29" w:rsidRPr="008C0299">
            <w:t>almost 3000 MW of capacity</w:t>
          </w:r>
          <w:r w:rsidR="00157F29">
            <w:t xml:space="preserve"> from </w:t>
          </w:r>
          <w:r w:rsidR="00157F29" w:rsidRPr="008C0299">
            <w:t xml:space="preserve">high prices to </w:t>
          </w:r>
          <w:r w:rsidR="00157F29" w:rsidRPr="008C0299">
            <w:lastRenderedPageBreak/>
            <w:t>the price floor</w:t>
          </w:r>
          <w:r w:rsidR="00A16763">
            <w:t xml:space="preserve"> and a rebid by AGL which shifted </w:t>
          </w:r>
          <w:r w:rsidR="0086636C" w:rsidRPr="00C829D3">
            <w:t xml:space="preserve">470 MW of </w:t>
          </w:r>
          <w:r w:rsidR="00C829D3" w:rsidRPr="00C829D3">
            <w:t xml:space="preserve">capacity at </w:t>
          </w:r>
          <w:r w:rsidR="0086636C" w:rsidRPr="00C829D3">
            <w:t>Bayswater</w:t>
          </w:r>
          <w:r w:rsidR="0086636C">
            <w:t xml:space="preserve"> </w:t>
          </w:r>
          <w:r w:rsidR="00C829D3">
            <w:t xml:space="preserve">to the price cap. </w:t>
          </w:r>
        </w:p>
        <w:p w:rsidR="00095F66" w:rsidRDefault="00095F66" w:rsidP="00460BC8">
          <w:pPr>
            <w:pStyle w:val="AERBody"/>
          </w:pPr>
          <w:r>
            <w:t xml:space="preserve">The rebidding </w:t>
          </w:r>
          <w:r w:rsidR="00A16763">
            <w:t xml:space="preserve">of Snowy Hydro </w:t>
          </w:r>
          <w:r>
            <w:t xml:space="preserve">capacity to the price floor </w:t>
          </w:r>
          <w:r w:rsidR="00A16763">
            <w:t xml:space="preserve">increased the </w:t>
          </w:r>
          <w:r>
            <w:t>output of these units</w:t>
          </w:r>
          <w:r w:rsidR="00A16763">
            <w:t xml:space="preserve"> causing </w:t>
          </w:r>
          <w:r w:rsidR="000B622E">
            <w:t>the</w:t>
          </w:r>
          <w:r>
            <w:t xml:space="preserve"> system </w:t>
          </w:r>
          <w:r w:rsidRPr="00F539E5">
            <w:t xml:space="preserve">normal constraint </w:t>
          </w:r>
          <w:r w:rsidR="00A16763">
            <w:t>to bind</w:t>
          </w:r>
          <w:r w:rsidR="00F539E5">
            <w:t xml:space="preserve"> </w:t>
          </w:r>
          <w:r w:rsidR="00A16763">
            <w:t xml:space="preserve">resulting in </w:t>
          </w:r>
          <w:r>
            <w:t>a step change in interconnector flows.</w:t>
          </w:r>
          <w:r w:rsidR="000B622E">
            <w:t xml:space="preserve"> Once the constraint bound, the wind farms involved in the </w:t>
          </w:r>
          <w:r w:rsidR="000B622E" w:rsidRPr="00EB520C">
            <w:t>constraint were</w:t>
          </w:r>
          <w:r w:rsidRPr="00EB520C">
            <w:t xml:space="preserve"> </w:t>
          </w:r>
          <w:r w:rsidR="000B622E" w:rsidRPr="00EB520C">
            <w:t>issued a semi</w:t>
          </w:r>
          <w:r w:rsidR="006152C2" w:rsidRPr="00EB520C">
            <w:t>-</w:t>
          </w:r>
          <w:r w:rsidR="000B622E" w:rsidRPr="00EB520C">
            <w:t xml:space="preserve">scheduled </w:t>
          </w:r>
          <w:r w:rsidR="000B47DF" w:rsidRPr="00EB520C">
            <w:t xml:space="preserve">dispatch </w:t>
          </w:r>
          <w:r w:rsidR="000B622E" w:rsidRPr="00EB520C">
            <w:t>cap</w:t>
          </w:r>
          <w:r w:rsidR="00A16763" w:rsidRPr="00EB520C">
            <w:t xml:space="preserve"> and their output limited to </w:t>
          </w:r>
          <w:r w:rsidR="00EB520C" w:rsidRPr="00EB520C">
            <w:t xml:space="preserve">low levels </w:t>
          </w:r>
          <w:r w:rsidR="00A16763" w:rsidRPr="00EB520C">
            <w:t>despite their bids being below the dispatch price</w:t>
          </w:r>
          <w:r w:rsidR="00E0237B" w:rsidRPr="00EB520C">
            <w:t>.</w:t>
          </w:r>
          <w:r w:rsidR="000B47DF" w:rsidRPr="00EB520C">
            <w:rPr>
              <w:rStyle w:val="FootnoteReference"/>
            </w:rPr>
            <w:footnoteReference w:id="5"/>
          </w:r>
        </w:p>
        <w:p w:rsidR="00692F57" w:rsidRPr="00337F9E" w:rsidRDefault="00692F57" w:rsidP="00460BC8">
          <w:pPr>
            <w:pStyle w:val="AERBody"/>
          </w:pPr>
          <w:r>
            <w:t>Origin and Snowy Hydro also rebid the</w:t>
          </w:r>
          <w:r w:rsidR="00A16763">
            <w:t>ir</w:t>
          </w:r>
          <w:r>
            <w:t xml:space="preserve"> ramp </w:t>
          </w:r>
          <w:r w:rsidR="005F05DC">
            <w:t xml:space="preserve">down </w:t>
          </w:r>
          <w:r>
            <w:t>rates of their generators to the minimum allowable</w:t>
          </w:r>
          <w:r w:rsidR="00A16763">
            <w:t xml:space="preserve"> by the Rules</w:t>
          </w:r>
          <w:r>
            <w:t xml:space="preserve">. </w:t>
          </w:r>
          <w:r w:rsidR="00A16763">
            <w:t>This</w:t>
          </w:r>
          <w:r w:rsidR="006D095F">
            <w:t xml:space="preserve"> reduction</w:t>
          </w:r>
          <w:r w:rsidRPr="00BA1C08">
            <w:t xml:space="preserve"> </w:t>
          </w:r>
          <w:r w:rsidR="00A16763">
            <w:t>effectively slowed down the rate at which the output of these units could be reduced, delaying</w:t>
          </w:r>
          <w:r w:rsidRPr="00BA1C08">
            <w:t xml:space="preserve"> the </w:t>
          </w:r>
          <w:r w:rsidR="00A16763">
            <w:t xml:space="preserve">time to relieve the </w:t>
          </w:r>
          <w:r w:rsidRPr="00BA1C08">
            <w:t>constraint</w:t>
          </w:r>
          <w:r w:rsidR="00A16763">
            <w:t xml:space="preserve"> and allowing</w:t>
          </w:r>
          <w:r>
            <w:t xml:space="preserve"> imports from Victoria </w:t>
          </w:r>
          <w:r w:rsidR="00A16763">
            <w:t xml:space="preserve">to </w:t>
          </w:r>
          <w:r>
            <w:t>increase</w:t>
          </w:r>
          <w:r w:rsidRPr="00BA1C08">
            <w:t xml:space="preserve"> and prices reduce.</w:t>
          </w:r>
        </w:p>
        <w:p w:rsidR="00AC7547" w:rsidRPr="00D6593C" w:rsidRDefault="00CC00E8" w:rsidP="00460BC8">
          <w:pPr>
            <w:pStyle w:val="AERBody"/>
          </w:pPr>
          <w:r>
            <w:fldChar w:fldCharType="begin"/>
          </w:r>
          <w:r>
            <w:instrText xml:space="preserve"> REF _Ref434483272 \h </w:instrText>
          </w:r>
          <w:r w:rsidR="00460BC8">
            <w:instrText xml:space="preserve"> \* MERGEFORMAT </w:instrText>
          </w:r>
          <w:r>
            <w:fldChar w:fldCharType="separate"/>
          </w:r>
          <w:r w:rsidR="00175BBF">
            <w:t xml:space="preserve">Figure </w:t>
          </w:r>
          <w:r w:rsidR="00175BBF">
            <w:rPr>
              <w:noProof/>
            </w:rPr>
            <w:t>5</w:t>
          </w:r>
          <w:r>
            <w:fldChar w:fldCharType="end"/>
          </w:r>
          <w:r>
            <w:t xml:space="preserve"> </w:t>
          </w:r>
          <w:r w:rsidR="00AC7547" w:rsidRPr="00D6593C">
            <w:t xml:space="preserve">shows the cumulative ramp down rate in MW/min </w:t>
          </w:r>
          <w:r w:rsidR="00CF6E3F">
            <w:t xml:space="preserve">for </w:t>
          </w:r>
          <w:r w:rsidR="00AC7547" w:rsidRPr="00337F9E">
            <w:t>Tumut, Upper Tumut, Guthega and Uranquinty</w:t>
          </w:r>
          <w:r w:rsidR="00AC7547" w:rsidRPr="00D6593C">
            <w:t>.</w:t>
          </w:r>
          <w:r w:rsidR="00AC7547">
            <w:t xml:space="preserve"> </w:t>
          </w:r>
        </w:p>
        <w:p w:rsidR="00692F57" w:rsidRDefault="00692F57" w:rsidP="00692F57">
          <w:pPr>
            <w:pStyle w:val="Caption"/>
            <w:rPr>
              <w:noProof/>
            </w:rPr>
          </w:pPr>
          <w:bookmarkStart w:id="18" w:name="_Ref434483272"/>
          <w:r>
            <w:t xml:space="preserve">Figure </w:t>
          </w:r>
          <w:r w:rsidR="00C7302A">
            <w:fldChar w:fldCharType="begin"/>
          </w:r>
          <w:r w:rsidR="00C7302A">
            <w:instrText xml:space="preserve"> SEQ Figure \* ARABIC </w:instrText>
          </w:r>
          <w:r w:rsidR="00C7302A">
            <w:fldChar w:fldCharType="separate"/>
          </w:r>
          <w:r w:rsidR="00175BBF">
            <w:rPr>
              <w:noProof/>
            </w:rPr>
            <w:t>5</w:t>
          </w:r>
          <w:r w:rsidR="00C7302A">
            <w:rPr>
              <w:noProof/>
            </w:rPr>
            <w:fldChar w:fldCharType="end"/>
          </w:r>
          <w:bookmarkEnd w:id="18"/>
          <w:r>
            <w:t xml:space="preserve">: Cumulative </w:t>
          </w:r>
          <w:r>
            <w:rPr>
              <w:noProof/>
            </w:rPr>
            <w:t>ramp down rates for Tumut, Upper Tumut, Guthega</w:t>
          </w:r>
          <w:r w:rsidRPr="00FA2C62">
            <w:rPr>
              <w:noProof/>
            </w:rPr>
            <w:t xml:space="preserve"> </w:t>
          </w:r>
          <w:r>
            <w:rPr>
              <w:noProof/>
            </w:rPr>
            <w:t>and Uranquinty.</w:t>
          </w:r>
        </w:p>
        <w:p w:rsidR="00692F57" w:rsidRDefault="007267F2" w:rsidP="00692F57">
          <w:r w:rsidRPr="007267F2">
            <w:rPr>
              <w:noProof/>
              <w:lang w:eastAsia="en-AU"/>
            </w:rPr>
            <w:drawing>
              <wp:inline distT="0" distB="0" distL="0" distR="0" wp14:anchorId="1B92BE52" wp14:editId="679BFFD1">
                <wp:extent cx="5369357" cy="32918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300140"/>
                        </a:xfrm>
                        <a:prstGeom prst="rect">
                          <a:avLst/>
                        </a:prstGeom>
                        <a:noFill/>
                        <a:ln>
                          <a:noFill/>
                        </a:ln>
                      </pic:spPr>
                    </pic:pic>
                  </a:graphicData>
                </a:graphic>
              </wp:inline>
            </w:drawing>
          </w:r>
        </w:p>
        <w:p w:rsidR="00AC76D1" w:rsidRDefault="004A11EB" w:rsidP="00460BC8">
          <w:pPr>
            <w:pStyle w:val="AERBody"/>
          </w:pPr>
          <w:r>
            <w:t xml:space="preserve">The horizontal green bar </w:t>
          </w:r>
          <w:r w:rsidR="00A16763">
            <w:t xml:space="preserve">labelled </w:t>
          </w:r>
          <w:r w:rsidR="00A16763" w:rsidRPr="005072C1">
            <w:t>N&gt;&gt;N-NIL_01N</w:t>
          </w:r>
          <w:r w:rsidR="00A16763">
            <w:t xml:space="preserve"> </w:t>
          </w:r>
          <w:r w:rsidR="008A6BCB">
            <w:t xml:space="preserve">in </w:t>
          </w:r>
          <w:r w:rsidR="008A6BCB">
            <w:fldChar w:fldCharType="begin"/>
          </w:r>
          <w:r w:rsidR="008A6BCB">
            <w:instrText xml:space="preserve"> REF _Ref434483272 \h </w:instrText>
          </w:r>
          <w:r w:rsidR="008A6BCB">
            <w:fldChar w:fldCharType="separate"/>
          </w:r>
          <w:r w:rsidR="00175BBF">
            <w:t xml:space="preserve">Figure </w:t>
          </w:r>
          <w:r w:rsidR="00175BBF">
            <w:rPr>
              <w:noProof/>
            </w:rPr>
            <w:t>5</w:t>
          </w:r>
          <w:r w:rsidR="008A6BCB">
            <w:fldChar w:fldCharType="end"/>
          </w:r>
          <w:r w:rsidR="008A6BCB">
            <w:t xml:space="preserve"> </w:t>
          </w:r>
          <w:r>
            <w:t>shows the time when the system normal network constraint was binding</w:t>
          </w:r>
          <w:r w:rsidR="00906BE8">
            <w:t xml:space="preserve">. This </w:t>
          </w:r>
          <w:r>
            <w:t>highlight</w:t>
          </w:r>
          <w:r w:rsidR="00906BE8">
            <w:t xml:space="preserve">s </w:t>
          </w:r>
          <w:r>
            <w:t xml:space="preserve">that </w:t>
          </w:r>
          <w:r w:rsidR="00906BE8">
            <w:t xml:space="preserve">after the constraint bound, the </w:t>
          </w:r>
          <w:r w:rsidR="00F77422">
            <w:t xml:space="preserve">rebids which reduced the generator </w:t>
          </w:r>
          <w:r w:rsidR="00906BE8">
            <w:t xml:space="preserve">ramp rates </w:t>
          </w:r>
          <w:r w:rsidR="00F77422">
            <w:t xml:space="preserve">came into </w:t>
          </w:r>
          <w:r w:rsidR="00906BE8">
            <w:t>effect</w:t>
          </w:r>
          <w:r w:rsidR="00F77422">
            <w:t>.</w:t>
          </w:r>
          <w:r w:rsidR="00906BE8">
            <w:t xml:space="preserve"> </w:t>
          </w:r>
        </w:p>
        <w:p w:rsidR="004E729B" w:rsidRDefault="004E729B" w:rsidP="00460BC8">
          <w:pPr>
            <w:pStyle w:val="AERBody"/>
          </w:pPr>
          <w:r w:rsidRPr="008C0299">
            <w:t>The rebids considered to have been material to the event are listed in Appendix A.</w:t>
          </w:r>
        </w:p>
        <w:p w:rsidR="004E729B" w:rsidRPr="008C0299" w:rsidRDefault="004E729B" w:rsidP="00460BC8">
          <w:pPr>
            <w:pStyle w:val="AERBody"/>
          </w:pPr>
          <w:r w:rsidRPr="008C0299">
            <w:t>Appendix</w:t>
          </w:r>
          <w:r w:rsidR="00F77422">
            <w:t> </w:t>
          </w:r>
          <w:r w:rsidRPr="008C0299">
            <w:t xml:space="preserve">B details the generators involved in setting the price during the high-price periods, and how that price was determined by the market systems. </w:t>
          </w:r>
        </w:p>
        <w:p w:rsidR="004E729B" w:rsidRPr="008C0299" w:rsidRDefault="004E729B" w:rsidP="00460BC8">
          <w:pPr>
            <w:pStyle w:val="AERBody"/>
          </w:pPr>
          <w:r w:rsidRPr="008C0299">
            <w:t>The closing bids for all participants in New South Wales with capacity priced at or above $5000/MWh for the high-price periods are set out in Appendix</w:t>
          </w:r>
          <w:r w:rsidR="00F77422">
            <w:t> </w:t>
          </w:r>
          <w:r w:rsidRPr="008C0299">
            <w:t>C.</w:t>
          </w:r>
        </w:p>
        <w:p w:rsidR="006E2593" w:rsidRPr="00111FF2" w:rsidRDefault="006E2593" w:rsidP="00F65507">
          <w:pPr>
            <w:pStyle w:val="Heading3"/>
          </w:pPr>
          <w:bookmarkStart w:id="19" w:name="_Toc470075235"/>
          <w:r w:rsidRPr="00111FF2">
            <w:lastRenderedPageBreak/>
            <w:t xml:space="preserve">Network </w:t>
          </w:r>
          <w:r w:rsidR="000C465E">
            <w:t>a</w:t>
          </w:r>
          <w:r w:rsidRPr="00111FF2">
            <w:t>vailability</w:t>
          </w:r>
          <w:bookmarkEnd w:id="19"/>
        </w:p>
        <w:p w:rsidR="00914728" w:rsidRDefault="00CC0B95" w:rsidP="00460BC8">
          <w:pPr>
            <w:pStyle w:val="AERBody"/>
          </w:pPr>
          <w:r w:rsidRPr="009B4EFB">
            <w:t>This section</w:t>
          </w:r>
          <w:r w:rsidR="00030F8E" w:rsidRPr="009B4EFB">
            <w:t xml:space="preserve"> examines the change in network capability </w:t>
          </w:r>
          <w:r w:rsidRPr="009B4EFB">
            <w:t>and its contribution to price outcomes</w:t>
          </w:r>
          <w:r w:rsidR="00030F8E" w:rsidRPr="009B4EFB">
            <w:t>.</w:t>
          </w:r>
          <w:r w:rsidR="00030F8E" w:rsidRPr="009919E4">
            <w:t xml:space="preserve"> </w:t>
          </w:r>
          <w:r w:rsidR="006152C2">
            <w:t>The n</w:t>
          </w:r>
          <w:r w:rsidR="00914728" w:rsidRPr="009919E4">
            <w:t>et import limit into New South Wales was up to 634 MW lower than that forecast four hours ahead</w:t>
          </w:r>
          <w:r w:rsidR="00FD4390">
            <w:t>.</w:t>
          </w:r>
          <w:r w:rsidR="00914728">
            <w:t xml:space="preserve"> </w:t>
          </w:r>
          <w:r w:rsidR="005072C1" w:rsidRPr="00952C25">
            <w:t xml:space="preserve">There were network constraints which limited flows into New South Wales on each of the three interconnectors connecting the region to Victoria and </w:t>
          </w:r>
          <w:r w:rsidR="00FD4390" w:rsidRPr="00952C25">
            <w:t>Queensland</w:t>
          </w:r>
          <w:r w:rsidR="00FD4390">
            <w:t>. Fl</w:t>
          </w:r>
          <w:r w:rsidR="005072C1">
            <w:t xml:space="preserve">ows on the QNI and Terranora interconnectors were as </w:t>
          </w:r>
          <w:r w:rsidR="00636D00">
            <w:t>forecast;</w:t>
          </w:r>
          <w:r w:rsidR="00FD4390">
            <w:t xml:space="preserve"> </w:t>
          </w:r>
          <w:r w:rsidR="006152C2">
            <w:t xml:space="preserve">however there was a significant </w:t>
          </w:r>
          <w:r w:rsidR="00914728">
            <w:t xml:space="preserve">difference </w:t>
          </w:r>
          <w:r w:rsidR="00FD4390">
            <w:t xml:space="preserve">between </w:t>
          </w:r>
          <w:r w:rsidR="006152C2">
            <w:t>actual and</w:t>
          </w:r>
          <w:r w:rsidR="00FD4390">
            <w:t xml:space="preserve"> forecast </w:t>
          </w:r>
          <w:r w:rsidR="006152C2">
            <w:t xml:space="preserve">imports </w:t>
          </w:r>
          <w:r w:rsidR="00D87315">
            <w:t>on the</w:t>
          </w:r>
          <w:r w:rsidR="00914728">
            <w:t xml:space="preserve"> Vic-NSW</w:t>
          </w:r>
          <w:r w:rsidR="00D87315">
            <w:t xml:space="preserve"> interconnector</w:t>
          </w:r>
          <w:r w:rsidR="00914728">
            <w:t>.</w:t>
          </w:r>
        </w:p>
        <w:p w:rsidR="006E2593" w:rsidRPr="00D87315" w:rsidRDefault="00DF7B53" w:rsidP="00460BC8">
          <w:pPr>
            <w:pStyle w:val="AERBody"/>
          </w:pPr>
          <w:r w:rsidRPr="009919E4">
            <w:fldChar w:fldCharType="begin"/>
          </w:r>
          <w:r w:rsidRPr="009919E4">
            <w:instrText xml:space="preserve"> REF _Ref435689597 \h </w:instrText>
          </w:r>
          <w:r w:rsidR="009919E4">
            <w:instrText xml:space="preserve"> \* MERGEFORMAT </w:instrText>
          </w:r>
          <w:r w:rsidRPr="009919E4">
            <w:fldChar w:fldCharType="separate"/>
          </w:r>
          <w:r w:rsidR="00175BBF">
            <w:t>Table 2</w:t>
          </w:r>
          <w:r w:rsidRPr="009919E4">
            <w:fldChar w:fldCharType="end"/>
          </w:r>
          <w:r w:rsidR="006E2593" w:rsidRPr="009919E4">
            <w:t xml:space="preserve"> shows the</w:t>
          </w:r>
          <w:r w:rsidR="00FF6900" w:rsidRPr="009919E4">
            <w:t xml:space="preserve"> </w:t>
          </w:r>
          <w:r w:rsidR="00914728">
            <w:t xml:space="preserve">actual and forecast imports and import limit </w:t>
          </w:r>
          <w:r w:rsidR="00817E84">
            <w:t xml:space="preserve">into NSW </w:t>
          </w:r>
          <w:r w:rsidR="00914728">
            <w:t xml:space="preserve">on </w:t>
          </w:r>
          <w:r w:rsidR="00817E84">
            <w:t xml:space="preserve">the </w:t>
          </w:r>
          <w:r w:rsidR="00914728">
            <w:t>Vic-NSW interconnector</w:t>
          </w:r>
          <w:r w:rsidR="00FF6900" w:rsidRPr="009919E4">
            <w:t>.</w:t>
          </w:r>
          <w:r w:rsidR="006E2593" w:rsidRPr="002F631A">
            <w:rPr>
              <w:color w:val="FF0000"/>
            </w:rPr>
            <w:t xml:space="preserve"> </w:t>
          </w:r>
        </w:p>
        <w:p w:rsidR="006E2593" w:rsidRDefault="006E2593" w:rsidP="006E2593">
          <w:pPr>
            <w:pStyle w:val="Caption"/>
          </w:pPr>
          <w:bookmarkStart w:id="20" w:name="_Ref435689597"/>
          <w:r>
            <w:t xml:space="preserve">Table </w:t>
          </w:r>
          <w:r w:rsidR="00C7302A">
            <w:fldChar w:fldCharType="begin"/>
          </w:r>
          <w:r w:rsidR="00C7302A">
            <w:instrText xml:space="preserve"> SEQ Table \* ARABIC </w:instrText>
          </w:r>
          <w:r w:rsidR="00C7302A">
            <w:fldChar w:fldCharType="separate"/>
          </w:r>
          <w:r w:rsidR="00175BBF">
            <w:rPr>
              <w:noProof/>
            </w:rPr>
            <w:t>2</w:t>
          </w:r>
          <w:r w:rsidR="00C7302A">
            <w:rPr>
              <w:noProof/>
            </w:rPr>
            <w:fldChar w:fldCharType="end"/>
          </w:r>
          <w:bookmarkEnd w:id="20"/>
          <w:r>
            <w:t xml:space="preserve">: </w:t>
          </w:r>
          <w:r w:rsidRPr="00D9189B">
            <w:t>Actual and forecast network capability</w:t>
          </w:r>
          <w:r w:rsidR="000B786D">
            <w:t xml:space="preserve"> of Vic-NSW interconnector</w:t>
          </w:r>
        </w:p>
        <w:tbl>
          <w:tblPr>
            <w:tblStyle w:val="AERTable-Text1"/>
            <w:tblW w:w="4302" w:type="pct"/>
            <w:jc w:val="center"/>
            <w:tblLook w:val="04A0" w:firstRow="1" w:lastRow="0" w:firstColumn="1" w:lastColumn="0" w:noHBand="0" w:noVBand="1"/>
          </w:tblPr>
          <w:tblGrid>
            <w:gridCol w:w="940"/>
            <w:gridCol w:w="854"/>
            <w:gridCol w:w="1061"/>
            <w:gridCol w:w="978"/>
            <w:gridCol w:w="1120"/>
            <w:gridCol w:w="1262"/>
            <w:gridCol w:w="1264"/>
          </w:tblGrid>
          <w:tr w:rsidR="006E2593" w:rsidRPr="00652B7D" w:rsidTr="004C2EF7">
            <w:trPr>
              <w:cnfStyle w:val="100000000000" w:firstRow="1" w:lastRow="0" w:firstColumn="0" w:lastColumn="0" w:oddVBand="0" w:evenVBand="0" w:oddHBand="0" w:evenHBand="0" w:firstRowFirstColumn="0" w:firstRowLastColumn="0" w:lastRowFirstColumn="0" w:lastRowLastColumn="0"/>
              <w:trHeight w:val="546"/>
              <w:tblHeader/>
              <w:jc w:val="center"/>
            </w:trPr>
            <w:tc>
              <w:tcPr>
                <w:tcW w:w="628" w:type="pct"/>
              </w:tcPr>
              <w:p w:rsidR="006E2593" w:rsidRPr="00652B7D" w:rsidRDefault="006E2593" w:rsidP="00FF6900">
                <w:pPr>
                  <w:jc w:val="center"/>
                  <w:rPr>
                    <w:sz w:val="18"/>
                    <w:szCs w:val="18"/>
                  </w:rPr>
                </w:pPr>
                <w:r>
                  <w:rPr>
                    <w:sz w:val="18"/>
                    <w:szCs w:val="18"/>
                  </w:rPr>
                  <w:t>Trading interval</w:t>
                </w:r>
              </w:p>
            </w:tc>
            <w:tc>
              <w:tcPr>
                <w:tcW w:w="1934" w:type="pct"/>
                <w:gridSpan w:val="3"/>
              </w:tcPr>
              <w:p w:rsidR="006E2593" w:rsidRPr="00652B7D" w:rsidRDefault="006E2593" w:rsidP="00FF6900">
                <w:pPr>
                  <w:jc w:val="center"/>
                  <w:rPr>
                    <w:sz w:val="18"/>
                    <w:szCs w:val="18"/>
                  </w:rPr>
                </w:pPr>
                <w:r w:rsidRPr="00652B7D">
                  <w:rPr>
                    <w:sz w:val="18"/>
                    <w:szCs w:val="18"/>
                  </w:rPr>
                  <w:t>Imports (MW)</w:t>
                </w:r>
              </w:p>
            </w:tc>
            <w:tc>
              <w:tcPr>
                <w:tcW w:w="2437" w:type="pct"/>
                <w:gridSpan w:val="3"/>
              </w:tcPr>
              <w:p w:rsidR="006E2593" w:rsidRPr="00652B7D" w:rsidRDefault="006E2593" w:rsidP="00FF6900">
                <w:pPr>
                  <w:jc w:val="center"/>
                  <w:rPr>
                    <w:sz w:val="18"/>
                    <w:szCs w:val="18"/>
                  </w:rPr>
                </w:pPr>
                <w:r w:rsidRPr="00652B7D">
                  <w:rPr>
                    <w:sz w:val="18"/>
                    <w:szCs w:val="18"/>
                  </w:rPr>
                  <w:t>Import limit (MW)</w:t>
                </w:r>
              </w:p>
            </w:tc>
          </w:tr>
          <w:tr w:rsidR="006E2593" w:rsidRPr="00652B7D" w:rsidTr="004C2EF7">
            <w:trPr>
              <w:cnfStyle w:val="100000000000" w:firstRow="1" w:lastRow="0" w:firstColumn="0" w:lastColumn="0" w:oddVBand="0" w:evenVBand="0" w:oddHBand="0" w:evenHBand="0" w:firstRowFirstColumn="0" w:firstRowLastColumn="0" w:lastRowFirstColumn="0" w:lastRowLastColumn="0"/>
              <w:tblHeader/>
              <w:jc w:val="center"/>
            </w:trPr>
            <w:tc>
              <w:tcPr>
                <w:tcW w:w="628" w:type="pct"/>
              </w:tcPr>
              <w:p w:rsidR="006E2593" w:rsidRPr="00652B7D" w:rsidRDefault="006E2593" w:rsidP="00FF6900">
                <w:pPr>
                  <w:jc w:val="center"/>
                  <w:rPr>
                    <w:sz w:val="18"/>
                    <w:szCs w:val="18"/>
                  </w:rPr>
                </w:pPr>
              </w:p>
            </w:tc>
            <w:tc>
              <w:tcPr>
                <w:tcW w:w="571" w:type="pct"/>
              </w:tcPr>
              <w:p w:rsidR="006E2593" w:rsidRPr="00652B7D" w:rsidRDefault="006E2593" w:rsidP="00FF6900">
                <w:pPr>
                  <w:jc w:val="center"/>
                  <w:rPr>
                    <w:sz w:val="18"/>
                    <w:szCs w:val="18"/>
                  </w:rPr>
                </w:pPr>
                <w:r w:rsidRPr="00652B7D">
                  <w:rPr>
                    <w:sz w:val="18"/>
                    <w:szCs w:val="18"/>
                  </w:rPr>
                  <w:t>Actual</w:t>
                </w:r>
              </w:p>
            </w:tc>
            <w:tc>
              <w:tcPr>
                <w:tcW w:w="709" w:type="pct"/>
              </w:tcPr>
              <w:p w:rsidR="006E2593" w:rsidRPr="00652B7D" w:rsidRDefault="006E2593" w:rsidP="00FF6900">
                <w:pPr>
                  <w:jc w:val="center"/>
                  <w:rPr>
                    <w:sz w:val="18"/>
                    <w:szCs w:val="18"/>
                  </w:rPr>
                </w:pPr>
                <w:r w:rsidRPr="00652B7D">
                  <w:rPr>
                    <w:sz w:val="18"/>
                    <w:szCs w:val="18"/>
                  </w:rPr>
                  <w:t>4 hr forecast</w:t>
                </w:r>
              </w:p>
            </w:tc>
            <w:tc>
              <w:tcPr>
                <w:tcW w:w="654" w:type="pct"/>
              </w:tcPr>
              <w:p w:rsidR="006E2593" w:rsidRPr="00652B7D" w:rsidRDefault="006E2593" w:rsidP="00FF6900">
                <w:pPr>
                  <w:jc w:val="center"/>
                  <w:rPr>
                    <w:sz w:val="18"/>
                    <w:szCs w:val="18"/>
                  </w:rPr>
                </w:pPr>
                <w:r w:rsidRPr="00652B7D">
                  <w:rPr>
                    <w:sz w:val="18"/>
                    <w:szCs w:val="18"/>
                  </w:rPr>
                  <w:t>12 hr forecast</w:t>
                </w:r>
              </w:p>
            </w:tc>
            <w:tc>
              <w:tcPr>
                <w:tcW w:w="749" w:type="pct"/>
              </w:tcPr>
              <w:p w:rsidR="006E2593" w:rsidRPr="00652B7D" w:rsidRDefault="006E2593" w:rsidP="00FF6900">
                <w:pPr>
                  <w:jc w:val="center"/>
                  <w:rPr>
                    <w:sz w:val="18"/>
                    <w:szCs w:val="18"/>
                  </w:rPr>
                </w:pPr>
                <w:r w:rsidRPr="00652B7D">
                  <w:rPr>
                    <w:sz w:val="18"/>
                    <w:szCs w:val="18"/>
                  </w:rPr>
                  <w:t>Actual</w:t>
                </w:r>
              </w:p>
            </w:tc>
            <w:tc>
              <w:tcPr>
                <w:tcW w:w="844" w:type="pct"/>
              </w:tcPr>
              <w:p w:rsidR="006E2593" w:rsidRPr="00652B7D" w:rsidRDefault="006E2593" w:rsidP="00FF6900">
                <w:pPr>
                  <w:jc w:val="center"/>
                  <w:rPr>
                    <w:sz w:val="18"/>
                    <w:szCs w:val="18"/>
                  </w:rPr>
                </w:pPr>
                <w:r w:rsidRPr="00652B7D">
                  <w:rPr>
                    <w:sz w:val="18"/>
                    <w:szCs w:val="18"/>
                  </w:rPr>
                  <w:t>4 hr forecast</w:t>
                </w:r>
              </w:p>
            </w:tc>
            <w:tc>
              <w:tcPr>
                <w:tcW w:w="845" w:type="pct"/>
              </w:tcPr>
              <w:p w:rsidR="006E2593" w:rsidRPr="00652B7D" w:rsidRDefault="006E2593" w:rsidP="00FF6900">
                <w:pPr>
                  <w:jc w:val="center"/>
                  <w:rPr>
                    <w:sz w:val="18"/>
                    <w:szCs w:val="18"/>
                  </w:rPr>
                </w:pPr>
                <w:r w:rsidRPr="00652B7D">
                  <w:rPr>
                    <w:sz w:val="18"/>
                    <w:szCs w:val="18"/>
                  </w:rPr>
                  <w:t>12 hr forecast</w:t>
                </w:r>
              </w:p>
            </w:tc>
          </w:tr>
          <w:tr w:rsidR="000B786D" w:rsidRPr="003E380F"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0B786D" w:rsidRDefault="000B786D" w:rsidP="004C2EF7">
                <w:pPr>
                  <w:pStyle w:val="tablebodycentered"/>
                  <w:jc w:val="left"/>
                </w:pPr>
                <w:r>
                  <w:t>3 pm</w:t>
                </w:r>
              </w:p>
            </w:tc>
            <w:tc>
              <w:tcPr>
                <w:tcW w:w="571" w:type="pct"/>
                <w:vAlign w:val="center"/>
              </w:tcPr>
              <w:p w:rsidR="000B786D" w:rsidRDefault="000B786D">
                <w:pPr>
                  <w:jc w:val="center"/>
                  <w:rPr>
                    <w:rFonts w:cs="Arial"/>
                    <w:color w:val="000000"/>
                    <w:szCs w:val="18"/>
                  </w:rPr>
                </w:pPr>
                <w:r>
                  <w:rPr>
                    <w:rFonts w:cs="Arial"/>
                    <w:color w:val="000000"/>
                    <w:szCs w:val="18"/>
                  </w:rPr>
                  <w:t>21</w:t>
                </w:r>
              </w:p>
            </w:tc>
            <w:tc>
              <w:tcPr>
                <w:tcW w:w="709" w:type="pct"/>
                <w:vAlign w:val="center"/>
              </w:tcPr>
              <w:p w:rsidR="000B786D" w:rsidRDefault="000B786D">
                <w:pPr>
                  <w:jc w:val="center"/>
                  <w:rPr>
                    <w:rFonts w:cs="Arial"/>
                    <w:color w:val="000000"/>
                    <w:szCs w:val="18"/>
                  </w:rPr>
                </w:pPr>
                <w:r>
                  <w:rPr>
                    <w:rFonts w:cs="Arial"/>
                    <w:color w:val="000000"/>
                    <w:szCs w:val="18"/>
                  </w:rPr>
                  <w:t>771</w:t>
                </w:r>
              </w:p>
            </w:tc>
            <w:tc>
              <w:tcPr>
                <w:tcW w:w="654" w:type="pct"/>
                <w:vAlign w:val="center"/>
              </w:tcPr>
              <w:p w:rsidR="000B786D" w:rsidRDefault="000B786D">
                <w:pPr>
                  <w:jc w:val="center"/>
                  <w:rPr>
                    <w:rFonts w:cs="Arial"/>
                    <w:color w:val="000000"/>
                    <w:szCs w:val="18"/>
                  </w:rPr>
                </w:pPr>
                <w:r>
                  <w:rPr>
                    <w:rFonts w:cs="Arial"/>
                    <w:color w:val="000000"/>
                    <w:szCs w:val="18"/>
                  </w:rPr>
                  <w:t>767</w:t>
                </w:r>
              </w:p>
            </w:tc>
            <w:tc>
              <w:tcPr>
                <w:tcW w:w="749" w:type="pct"/>
                <w:vAlign w:val="center"/>
              </w:tcPr>
              <w:p w:rsidR="000B786D" w:rsidRDefault="000B786D">
                <w:pPr>
                  <w:jc w:val="center"/>
                  <w:rPr>
                    <w:rFonts w:cs="Arial"/>
                    <w:color w:val="000000"/>
                    <w:szCs w:val="18"/>
                  </w:rPr>
                </w:pPr>
                <w:r>
                  <w:rPr>
                    <w:rFonts w:cs="Arial"/>
                    <w:color w:val="000000"/>
                    <w:szCs w:val="18"/>
                  </w:rPr>
                  <w:t>21</w:t>
                </w:r>
              </w:p>
            </w:tc>
            <w:tc>
              <w:tcPr>
                <w:tcW w:w="844" w:type="pct"/>
                <w:vAlign w:val="center"/>
              </w:tcPr>
              <w:p w:rsidR="000B786D" w:rsidRDefault="000B786D">
                <w:pPr>
                  <w:jc w:val="center"/>
                  <w:rPr>
                    <w:rFonts w:cs="Arial"/>
                    <w:color w:val="000000"/>
                    <w:szCs w:val="18"/>
                  </w:rPr>
                </w:pPr>
                <w:r>
                  <w:rPr>
                    <w:rFonts w:cs="Arial"/>
                    <w:color w:val="000000"/>
                    <w:szCs w:val="18"/>
                  </w:rPr>
                  <w:t>771</w:t>
                </w:r>
              </w:p>
            </w:tc>
            <w:tc>
              <w:tcPr>
                <w:tcW w:w="845" w:type="pct"/>
                <w:vAlign w:val="center"/>
              </w:tcPr>
              <w:p w:rsidR="000B786D" w:rsidRDefault="000B786D">
                <w:pPr>
                  <w:jc w:val="center"/>
                  <w:rPr>
                    <w:rFonts w:cs="Arial"/>
                    <w:color w:val="000000"/>
                    <w:szCs w:val="18"/>
                  </w:rPr>
                </w:pPr>
                <w:r>
                  <w:rPr>
                    <w:rFonts w:cs="Arial"/>
                    <w:color w:val="000000"/>
                    <w:szCs w:val="18"/>
                  </w:rPr>
                  <w:t>767</w:t>
                </w:r>
              </w:p>
            </w:tc>
          </w:tr>
          <w:tr w:rsidR="000B786D" w:rsidRPr="003E380F" w:rsidTr="004C2EF7">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0B786D" w:rsidRPr="00B15F21" w:rsidRDefault="000B786D" w:rsidP="004C2EF7">
                <w:pPr>
                  <w:pStyle w:val="tablebodycentered"/>
                  <w:jc w:val="left"/>
                  <w:rPr>
                    <w:b/>
                  </w:rPr>
                </w:pPr>
                <w:r w:rsidRPr="00B15F21">
                  <w:rPr>
                    <w:b/>
                  </w:rPr>
                  <w:t>3.30 pm</w:t>
                </w:r>
              </w:p>
            </w:tc>
            <w:tc>
              <w:tcPr>
                <w:tcW w:w="571" w:type="pct"/>
                <w:vAlign w:val="center"/>
              </w:tcPr>
              <w:p w:rsidR="000B786D" w:rsidRPr="00B15F21" w:rsidRDefault="000B786D">
                <w:pPr>
                  <w:jc w:val="center"/>
                  <w:rPr>
                    <w:rFonts w:cs="Arial"/>
                    <w:b/>
                    <w:sz w:val="18"/>
                    <w:szCs w:val="18"/>
                  </w:rPr>
                </w:pPr>
                <w:r w:rsidRPr="00B15F21">
                  <w:rPr>
                    <w:rFonts w:cs="Arial"/>
                    <w:b/>
                    <w:sz w:val="18"/>
                    <w:szCs w:val="18"/>
                  </w:rPr>
                  <w:t>137</w:t>
                </w:r>
              </w:p>
            </w:tc>
            <w:tc>
              <w:tcPr>
                <w:tcW w:w="709" w:type="pct"/>
                <w:vAlign w:val="center"/>
              </w:tcPr>
              <w:p w:rsidR="000B786D" w:rsidRPr="00B15F21" w:rsidRDefault="000B786D">
                <w:pPr>
                  <w:jc w:val="center"/>
                  <w:rPr>
                    <w:rFonts w:cs="Arial"/>
                    <w:b/>
                    <w:sz w:val="18"/>
                    <w:szCs w:val="18"/>
                  </w:rPr>
                </w:pPr>
                <w:r w:rsidRPr="00B15F21">
                  <w:rPr>
                    <w:rFonts w:cs="Arial"/>
                    <w:b/>
                    <w:sz w:val="18"/>
                    <w:szCs w:val="18"/>
                  </w:rPr>
                  <w:t>776</w:t>
                </w:r>
              </w:p>
            </w:tc>
            <w:tc>
              <w:tcPr>
                <w:tcW w:w="654" w:type="pct"/>
                <w:vAlign w:val="center"/>
              </w:tcPr>
              <w:p w:rsidR="000B786D" w:rsidRPr="00B15F21" w:rsidRDefault="000B786D">
                <w:pPr>
                  <w:jc w:val="center"/>
                  <w:rPr>
                    <w:rFonts w:cs="Arial"/>
                    <w:b/>
                    <w:sz w:val="18"/>
                    <w:szCs w:val="18"/>
                  </w:rPr>
                </w:pPr>
                <w:r w:rsidRPr="00B15F21">
                  <w:rPr>
                    <w:rFonts w:cs="Arial"/>
                    <w:b/>
                    <w:sz w:val="18"/>
                    <w:szCs w:val="18"/>
                  </w:rPr>
                  <w:t>771</w:t>
                </w:r>
              </w:p>
            </w:tc>
            <w:tc>
              <w:tcPr>
                <w:tcW w:w="749" w:type="pct"/>
                <w:vAlign w:val="center"/>
              </w:tcPr>
              <w:p w:rsidR="000B786D" w:rsidRPr="00B15F21" w:rsidRDefault="000B786D">
                <w:pPr>
                  <w:jc w:val="center"/>
                  <w:rPr>
                    <w:rFonts w:cs="Arial"/>
                    <w:b/>
                    <w:sz w:val="18"/>
                    <w:szCs w:val="18"/>
                  </w:rPr>
                </w:pPr>
                <w:r w:rsidRPr="00B15F21">
                  <w:rPr>
                    <w:rFonts w:cs="Arial"/>
                    <w:b/>
                    <w:sz w:val="18"/>
                    <w:szCs w:val="18"/>
                  </w:rPr>
                  <w:t>137</w:t>
                </w:r>
              </w:p>
            </w:tc>
            <w:tc>
              <w:tcPr>
                <w:tcW w:w="844" w:type="pct"/>
                <w:vAlign w:val="center"/>
              </w:tcPr>
              <w:p w:rsidR="000B786D" w:rsidRPr="00B15F21" w:rsidRDefault="000B786D">
                <w:pPr>
                  <w:jc w:val="center"/>
                  <w:rPr>
                    <w:rFonts w:cs="Arial"/>
                    <w:b/>
                    <w:sz w:val="18"/>
                    <w:szCs w:val="18"/>
                  </w:rPr>
                </w:pPr>
                <w:r w:rsidRPr="00B15F21">
                  <w:rPr>
                    <w:rFonts w:cs="Arial"/>
                    <w:b/>
                    <w:sz w:val="18"/>
                    <w:szCs w:val="18"/>
                  </w:rPr>
                  <w:t>776</w:t>
                </w:r>
              </w:p>
            </w:tc>
            <w:tc>
              <w:tcPr>
                <w:tcW w:w="845" w:type="pct"/>
                <w:vAlign w:val="center"/>
              </w:tcPr>
              <w:p w:rsidR="000B786D" w:rsidRPr="00B15F21" w:rsidRDefault="000B786D">
                <w:pPr>
                  <w:jc w:val="center"/>
                  <w:rPr>
                    <w:rFonts w:cs="Arial"/>
                    <w:b/>
                    <w:sz w:val="18"/>
                    <w:szCs w:val="18"/>
                  </w:rPr>
                </w:pPr>
                <w:r w:rsidRPr="00B15F21">
                  <w:rPr>
                    <w:rFonts w:cs="Arial"/>
                    <w:b/>
                    <w:sz w:val="18"/>
                    <w:szCs w:val="18"/>
                  </w:rPr>
                  <w:t>771</w:t>
                </w:r>
              </w:p>
            </w:tc>
          </w:tr>
          <w:tr w:rsidR="000B786D" w:rsidRPr="003E380F" w:rsidTr="004C2EF7">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0B786D" w:rsidRDefault="000B786D" w:rsidP="004C2EF7">
                <w:pPr>
                  <w:pStyle w:val="tablebodycentered"/>
                  <w:jc w:val="left"/>
                </w:pPr>
                <w:r>
                  <w:t>4 pm</w:t>
                </w:r>
              </w:p>
            </w:tc>
            <w:tc>
              <w:tcPr>
                <w:tcW w:w="571" w:type="pct"/>
                <w:vAlign w:val="center"/>
              </w:tcPr>
              <w:p w:rsidR="000B786D" w:rsidRDefault="000B786D">
                <w:pPr>
                  <w:jc w:val="center"/>
                  <w:rPr>
                    <w:rFonts w:cs="Arial"/>
                    <w:color w:val="000000"/>
                    <w:szCs w:val="18"/>
                  </w:rPr>
                </w:pPr>
                <w:r>
                  <w:rPr>
                    <w:rFonts w:cs="Arial"/>
                    <w:color w:val="000000"/>
                    <w:szCs w:val="18"/>
                  </w:rPr>
                  <w:t>226</w:t>
                </w:r>
              </w:p>
            </w:tc>
            <w:tc>
              <w:tcPr>
                <w:tcW w:w="709" w:type="pct"/>
                <w:vAlign w:val="center"/>
              </w:tcPr>
              <w:p w:rsidR="000B786D" w:rsidRDefault="000B786D">
                <w:pPr>
                  <w:jc w:val="center"/>
                  <w:rPr>
                    <w:rFonts w:cs="Arial"/>
                    <w:color w:val="000000"/>
                    <w:szCs w:val="18"/>
                  </w:rPr>
                </w:pPr>
                <w:r>
                  <w:rPr>
                    <w:rFonts w:cs="Arial"/>
                    <w:color w:val="000000"/>
                    <w:szCs w:val="18"/>
                  </w:rPr>
                  <w:t>780</w:t>
                </w:r>
              </w:p>
            </w:tc>
            <w:tc>
              <w:tcPr>
                <w:tcW w:w="654" w:type="pct"/>
                <w:vAlign w:val="center"/>
              </w:tcPr>
              <w:p w:rsidR="000B786D" w:rsidRDefault="000B786D">
                <w:pPr>
                  <w:jc w:val="center"/>
                  <w:rPr>
                    <w:rFonts w:cs="Arial"/>
                    <w:color w:val="000000"/>
                    <w:szCs w:val="18"/>
                  </w:rPr>
                </w:pPr>
                <w:r>
                  <w:rPr>
                    <w:rFonts w:cs="Arial"/>
                    <w:color w:val="000000"/>
                    <w:szCs w:val="18"/>
                  </w:rPr>
                  <w:t>775</w:t>
                </w:r>
              </w:p>
            </w:tc>
            <w:tc>
              <w:tcPr>
                <w:tcW w:w="749" w:type="pct"/>
                <w:vAlign w:val="center"/>
              </w:tcPr>
              <w:p w:rsidR="000B786D" w:rsidRDefault="000B786D">
                <w:pPr>
                  <w:jc w:val="center"/>
                  <w:rPr>
                    <w:rFonts w:cs="Arial"/>
                    <w:color w:val="000000"/>
                    <w:szCs w:val="18"/>
                  </w:rPr>
                </w:pPr>
                <w:r>
                  <w:rPr>
                    <w:rFonts w:cs="Arial"/>
                    <w:color w:val="000000"/>
                    <w:szCs w:val="18"/>
                  </w:rPr>
                  <w:t>226</w:t>
                </w:r>
              </w:p>
            </w:tc>
            <w:tc>
              <w:tcPr>
                <w:tcW w:w="844" w:type="pct"/>
                <w:vAlign w:val="center"/>
              </w:tcPr>
              <w:p w:rsidR="000B786D" w:rsidRDefault="000B786D">
                <w:pPr>
                  <w:jc w:val="center"/>
                  <w:rPr>
                    <w:rFonts w:cs="Arial"/>
                    <w:color w:val="000000"/>
                    <w:szCs w:val="18"/>
                  </w:rPr>
                </w:pPr>
                <w:r>
                  <w:rPr>
                    <w:rFonts w:cs="Arial"/>
                    <w:color w:val="000000"/>
                    <w:szCs w:val="18"/>
                  </w:rPr>
                  <w:t>780</w:t>
                </w:r>
              </w:p>
            </w:tc>
            <w:tc>
              <w:tcPr>
                <w:tcW w:w="845" w:type="pct"/>
                <w:vAlign w:val="center"/>
              </w:tcPr>
              <w:p w:rsidR="000B786D" w:rsidRDefault="000B786D">
                <w:pPr>
                  <w:jc w:val="center"/>
                  <w:rPr>
                    <w:rFonts w:cs="Arial"/>
                    <w:color w:val="000000"/>
                    <w:szCs w:val="18"/>
                  </w:rPr>
                </w:pPr>
                <w:r>
                  <w:rPr>
                    <w:rFonts w:cs="Arial"/>
                    <w:color w:val="000000"/>
                    <w:szCs w:val="18"/>
                  </w:rPr>
                  <w:t>775</w:t>
                </w:r>
              </w:p>
            </w:tc>
          </w:tr>
          <w:tr w:rsidR="000B786D" w:rsidRPr="003E380F" w:rsidTr="004C2EF7">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0B786D" w:rsidRDefault="000B786D" w:rsidP="004C2EF7">
                <w:pPr>
                  <w:pStyle w:val="tablebodycentered"/>
                  <w:jc w:val="left"/>
                </w:pPr>
                <w:r>
                  <w:t>4.30 pm</w:t>
                </w:r>
              </w:p>
            </w:tc>
            <w:tc>
              <w:tcPr>
                <w:tcW w:w="571" w:type="pct"/>
                <w:vAlign w:val="center"/>
              </w:tcPr>
              <w:p w:rsidR="000B786D" w:rsidRDefault="000B786D">
                <w:pPr>
                  <w:jc w:val="center"/>
                  <w:rPr>
                    <w:rFonts w:cs="Arial"/>
                    <w:sz w:val="18"/>
                    <w:szCs w:val="18"/>
                  </w:rPr>
                </w:pPr>
                <w:r>
                  <w:rPr>
                    <w:rFonts w:cs="Arial"/>
                    <w:sz w:val="18"/>
                    <w:szCs w:val="18"/>
                  </w:rPr>
                  <w:t>113</w:t>
                </w:r>
              </w:p>
            </w:tc>
            <w:tc>
              <w:tcPr>
                <w:tcW w:w="709" w:type="pct"/>
                <w:vAlign w:val="center"/>
              </w:tcPr>
              <w:p w:rsidR="000B786D" w:rsidRDefault="000B786D">
                <w:pPr>
                  <w:jc w:val="center"/>
                  <w:rPr>
                    <w:rFonts w:cs="Arial"/>
                    <w:sz w:val="18"/>
                    <w:szCs w:val="18"/>
                  </w:rPr>
                </w:pPr>
                <w:r>
                  <w:rPr>
                    <w:rFonts w:cs="Arial"/>
                    <w:sz w:val="18"/>
                    <w:szCs w:val="18"/>
                  </w:rPr>
                  <w:t>661</w:t>
                </w:r>
              </w:p>
            </w:tc>
            <w:tc>
              <w:tcPr>
                <w:tcW w:w="654" w:type="pct"/>
                <w:vAlign w:val="center"/>
              </w:tcPr>
              <w:p w:rsidR="000B786D" w:rsidRDefault="000B786D">
                <w:pPr>
                  <w:jc w:val="center"/>
                  <w:rPr>
                    <w:rFonts w:cs="Arial"/>
                    <w:sz w:val="18"/>
                    <w:szCs w:val="18"/>
                  </w:rPr>
                </w:pPr>
                <w:r>
                  <w:rPr>
                    <w:rFonts w:cs="Arial"/>
                    <w:sz w:val="18"/>
                    <w:szCs w:val="18"/>
                  </w:rPr>
                  <w:t>1120</w:t>
                </w:r>
              </w:p>
            </w:tc>
            <w:tc>
              <w:tcPr>
                <w:tcW w:w="749" w:type="pct"/>
                <w:vAlign w:val="center"/>
              </w:tcPr>
              <w:p w:rsidR="000B786D" w:rsidRDefault="000B786D">
                <w:pPr>
                  <w:jc w:val="center"/>
                  <w:rPr>
                    <w:rFonts w:cs="Arial"/>
                    <w:sz w:val="18"/>
                    <w:szCs w:val="18"/>
                  </w:rPr>
                </w:pPr>
                <w:r>
                  <w:rPr>
                    <w:rFonts w:cs="Arial"/>
                    <w:sz w:val="18"/>
                    <w:szCs w:val="18"/>
                  </w:rPr>
                  <w:t>113</w:t>
                </w:r>
              </w:p>
            </w:tc>
            <w:tc>
              <w:tcPr>
                <w:tcW w:w="844" w:type="pct"/>
                <w:vAlign w:val="center"/>
              </w:tcPr>
              <w:p w:rsidR="000B786D" w:rsidRDefault="000B786D">
                <w:pPr>
                  <w:jc w:val="center"/>
                  <w:rPr>
                    <w:rFonts w:cs="Arial"/>
                    <w:sz w:val="18"/>
                    <w:szCs w:val="18"/>
                  </w:rPr>
                </w:pPr>
                <w:r>
                  <w:rPr>
                    <w:rFonts w:cs="Arial"/>
                    <w:sz w:val="18"/>
                    <w:szCs w:val="18"/>
                  </w:rPr>
                  <w:t>661</w:t>
                </w:r>
              </w:p>
            </w:tc>
            <w:tc>
              <w:tcPr>
                <w:tcW w:w="845" w:type="pct"/>
                <w:vAlign w:val="center"/>
              </w:tcPr>
              <w:p w:rsidR="000B786D" w:rsidRDefault="000B786D">
                <w:pPr>
                  <w:jc w:val="center"/>
                  <w:rPr>
                    <w:rFonts w:cs="Arial"/>
                    <w:sz w:val="18"/>
                    <w:szCs w:val="18"/>
                  </w:rPr>
                </w:pPr>
                <w:r>
                  <w:rPr>
                    <w:rFonts w:cs="Arial"/>
                    <w:sz w:val="18"/>
                    <w:szCs w:val="18"/>
                  </w:rPr>
                  <w:t>1120</w:t>
                </w:r>
              </w:p>
            </w:tc>
          </w:tr>
        </w:tbl>
        <w:p w:rsidR="00CF6E3F" w:rsidRDefault="00CF6E3F" w:rsidP="00460BC8">
          <w:pPr>
            <w:pStyle w:val="AERBody"/>
          </w:pPr>
          <w:bookmarkStart w:id="21" w:name="_Ref469323533"/>
        </w:p>
        <w:p w:rsidR="008A6BCB" w:rsidRDefault="004E729B" w:rsidP="00460BC8">
          <w:pPr>
            <w:pStyle w:val="AERBody"/>
          </w:pPr>
          <w:r>
            <w:fldChar w:fldCharType="begin"/>
          </w:r>
          <w:r>
            <w:instrText xml:space="preserve"> REF _Ref469323620 \h </w:instrText>
          </w:r>
          <w:r>
            <w:fldChar w:fldCharType="separate"/>
          </w:r>
          <w:r w:rsidR="00175BBF">
            <w:t xml:space="preserve">Figure </w:t>
          </w:r>
          <w:r w:rsidR="00175BBF">
            <w:rPr>
              <w:noProof/>
            </w:rPr>
            <w:t>6</w:t>
          </w:r>
          <w:r>
            <w:fldChar w:fldCharType="end"/>
          </w:r>
          <w:r>
            <w:t xml:space="preserve"> </w:t>
          </w:r>
          <w:r w:rsidRPr="00460BC8">
            <w:t>shows</w:t>
          </w:r>
          <w:r w:rsidRPr="00B2325C">
            <w:t xml:space="preserve"> the import</w:t>
          </w:r>
          <w:r>
            <w:t xml:space="preserve"> limit</w:t>
          </w:r>
          <w:r w:rsidRPr="00B2325C">
            <w:t xml:space="preserve">, </w:t>
          </w:r>
          <w:r w:rsidR="0026078D">
            <w:t>actual flows</w:t>
          </w:r>
          <w:r w:rsidRPr="00B2325C">
            <w:t xml:space="preserve"> and </w:t>
          </w:r>
          <w:r w:rsidR="0026078D">
            <w:t>dispatch price in New South Wales.</w:t>
          </w:r>
          <w:r w:rsidR="00DE0317">
            <w:t xml:space="preserve"> Actual imports and the imp</w:t>
          </w:r>
          <w:r w:rsidR="009E6762">
            <w:t>ort limit were 750 MW lower than</w:t>
          </w:r>
          <w:r w:rsidR="00DE0317">
            <w:t xml:space="preserve"> forecast four and twelve hours ahead. Actual imports into New South Wales were at the import limit for the four trading intervals discussed here. </w:t>
          </w:r>
        </w:p>
        <w:p w:rsidR="005061C5" w:rsidRDefault="005061C5" w:rsidP="005061C5">
          <w:pPr>
            <w:pStyle w:val="Caption"/>
          </w:pPr>
          <w:bookmarkStart w:id="22" w:name="_Ref469323620"/>
          <w:r>
            <w:lastRenderedPageBreak/>
            <w:t xml:space="preserve">Figure </w:t>
          </w:r>
          <w:r w:rsidR="00C7302A">
            <w:fldChar w:fldCharType="begin"/>
          </w:r>
          <w:r w:rsidR="00C7302A">
            <w:instrText xml:space="preserve"> SEQ Figure \* ARABIC </w:instrText>
          </w:r>
          <w:r w:rsidR="00C7302A">
            <w:fldChar w:fldCharType="separate"/>
          </w:r>
          <w:r w:rsidR="00175BBF">
            <w:rPr>
              <w:noProof/>
            </w:rPr>
            <w:t>6</w:t>
          </w:r>
          <w:r w:rsidR="00C7302A">
            <w:rPr>
              <w:noProof/>
            </w:rPr>
            <w:fldChar w:fldCharType="end"/>
          </w:r>
          <w:bookmarkEnd w:id="21"/>
          <w:bookmarkEnd w:id="22"/>
          <w:r>
            <w:t xml:space="preserve">: </w:t>
          </w:r>
          <w:r w:rsidR="0026078D">
            <w:t>Imports into New South Wales across</w:t>
          </w:r>
          <w:r w:rsidR="009E6762">
            <w:t xml:space="preserve"> the</w:t>
          </w:r>
          <w:r w:rsidR="0026078D">
            <w:t xml:space="preserve"> Vic-NSW </w:t>
          </w:r>
          <w:r w:rsidR="009E6762">
            <w:t xml:space="preserve">interconnector </w:t>
          </w:r>
          <w:r w:rsidR="0026078D">
            <w:t>and dispatch price</w:t>
          </w:r>
        </w:p>
        <w:p w:rsidR="00E0237B" w:rsidRPr="00A55DB3" w:rsidRDefault="0064062D" w:rsidP="00A55DB3">
          <w:r w:rsidRPr="0064062D">
            <w:rPr>
              <w:noProof/>
              <w:lang w:eastAsia="en-AU"/>
            </w:rPr>
            <w:drawing>
              <wp:inline distT="0" distB="0" distL="0" distR="0" wp14:anchorId="66B1DF52" wp14:editId="50D14A4B">
                <wp:extent cx="5383987" cy="3723437"/>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722682"/>
                        </a:xfrm>
                        <a:prstGeom prst="rect">
                          <a:avLst/>
                        </a:prstGeom>
                        <a:noFill/>
                        <a:ln>
                          <a:noFill/>
                        </a:ln>
                      </pic:spPr>
                    </pic:pic>
                  </a:graphicData>
                </a:graphic>
              </wp:inline>
            </w:drawing>
          </w:r>
        </w:p>
        <w:p w:rsidR="009C15C9" w:rsidRDefault="009C15C9" w:rsidP="00460BC8">
          <w:pPr>
            <w:pStyle w:val="AERBody"/>
          </w:pPr>
          <w:r>
            <w:t xml:space="preserve">The high prices occurred following a step change in the Vic-NSW interconnector. Vic-NSW went from importing around 780 MW at 2.25 pm to forcing </w:t>
          </w:r>
          <w:r w:rsidR="00F612D4">
            <w:t xml:space="preserve">90 MW of </w:t>
          </w:r>
          <w:r>
            <w:t>flow into Vict</w:t>
          </w:r>
          <w:r w:rsidR="00F612D4">
            <w:t xml:space="preserve">oria at 3 pm. Imports </w:t>
          </w:r>
          <w:r w:rsidR="009E6762">
            <w:t xml:space="preserve">across QNI and the Terranora interconnector were less than </w:t>
          </w:r>
          <w:r w:rsidR="00F612D4">
            <w:t>330 MW for the duration of the high prices.</w:t>
          </w:r>
        </w:p>
        <w:bookmarkEnd w:id="8"/>
        <w:bookmarkEnd w:id="9"/>
        <w:p w:rsidR="00C7068C" w:rsidRPr="006D5E16" w:rsidRDefault="00C7068C" w:rsidP="00C7068C">
          <w:pPr>
            <w:rPr>
              <w:rStyle w:val="Bold"/>
            </w:rPr>
          </w:pPr>
          <w:r w:rsidRPr="006D5E16">
            <w:rPr>
              <w:rStyle w:val="Bold"/>
            </w:rPr>
            <w:t>Australian Energy Regulator</w:t>
          </w:r>
        </w:p>
        <w:p w:rsidR="00C7068C" w:rsidRPr="00A640CA" w:rsidRDefault="004C2EF7" w:rsidP="00C7068C">
          <w:pPr>
            <w:rPr>
              <w:b/>
              <w:bCs/>
            </w:rPr>
          </w:pPr>
          <w:r>
            <w:rPr>
              <w:rStyle w:val="Bold"/>
            </w:rPr>
            <w:t>December</w:t>
          </w:r>
          <w:r w:rsidR="00712C6A" w:rsidRPr="006D5E16">
            <w:rPr>
              <w:rStyle w:val="Bold"/>
            </w:rPr>
            <w:t xml:space="preserve"> </w:t>
          </w:r>
          <w:r w:rsidR="00A640CA">
            <w:rPr>
              <w:rStyle w:val="Bold"/>
            </w:rPr>
            <w:t>201</w:t>
          </w:r>
          <w:r>
            <w:rPr>
              <w:rStyle w:val="Bold"/>
            </w:rPr>
            <w:t>6</w:t>
          </w:r>
        </w:p>
        <w:p w:rsidR="00C7068C" w:rsidRDefault="003250C8" w:rsidP="00C7068C">
          <w:pPr>
            <w:pStyle w:val="Heading1notnumber"/>
          </w:pPr>
          <w:bookmarkStart w:id="23" w:name="_Toc470075236"/>
          <w:r>
            <w:lastRenderedPageBreak/>
            <w:t xml:space="preserve">Appendix </w:t>
          </w:r>
          <w:r w:rsidR="00C7068C">
            <w:t>A</w:t>
          </w:r>
          <w:r w:rsidR="00B602E3">
            <w:t>:</w:t>
          </w:r>
          <w:r w:rsidR="000C465E">
            <w:t xml:space="preserve"> Significant r</w:t>
          </w:r>
          <w:r w:rsidR="00C7068C">
            <w:t>ebids</w:t>
          </w:r>
          <w:bookmarkEnd w:id="23"/>
        </w:p>
        <w:p w:rsidR="00C7068C" w:rsidRPr="001F30F1" w:rsidRDefault="00C7068C" w:rsidP="00460BC8">
          <w:pPr>
            <w:pStyle w:val="AERBody"/>
          </w:pPr>
          <w:r w:rsidRPr="001F30F1">
            <w:t>The rebidding tables highlight the relevant rebids submitted by generators that impacted on market outcomes during the time of high prices. It details the time the rebid was submitted and used by the dispatch process, the capacity involved</w:t>
          </w:r>
          <w:r w:rsidR="00CC65AF" w:rsidRPr="001F30F1">
            <w:t>,</w:t>
          </w:r>
          <w:r w:rsidRPr="001F30F1">
            <w:t xml:space="preserve"> the change in the price of the capacity was being offered</w:t>
          </w:r>
          <w:r w:rsidR="00CC65AF" w:rsidRPr="001F30F1">
            <w:t xml:space="preserve"> and</w:t>
          </w:r>
          <w:r w:rsidRPr="001F30F1">
            <w:t xml:space="preserve"> </w:t>
          </w:r>
          <w:r w:rsidR="00CC65AF" w:rsidRPr="001F30F1">
            <w:t>t</w:t>
          </w:r>
          <w:r w:rsidRPr="001F30F1">
            <w:t xml:space="preserve">he </w:t>
          </w:r>
          <w:r w:rsidR="00CC65AF" w:rsidRPr="001F30F1">
            <w:t>rebid reason</w:t>
          </w:r>
          <w:r w:rsidRPr="001F30F1">
            <w:t>.</w:t>
          </w:r>
        </w:p>
        <w:p w:rsidR="00C7068C" w:rsidRDefault="000B47DF" w:rsidP="000B47DF">
          <w:pPr>
            <w:pStyle w:val="Caption"/>
          </w:pPr>
          <w:r>
            <w:t xml:space="preserve">Table </w:t>
          </w:r>
          <w:r w:rsidR="00C7302A">
            <w:fldChar w:fldCharType="begin"/>
          </w:r>
          <w:r w:rsidR="00C7302A">
            <w:instrText xml:space="preserve"> SEQ Table \* ARABIC </w:instrText>
          </w:r>
          <w:r w:rsidR="00C7302A">
            <w:fldChar w:fldCharType="separate"/>
          </w:r>
          <w:r w:rsidR="00175BBF">
            <w:rPr>
              <w:noProof/>
            </w:rPr>
            <w:t>3</w:t>
          </w:r>
          <w:r w:rsidR="00C7302A">
            <w:rPr>
              <w:noProof/>
            </w:rPr>
            <w:fldChar w:fldCharType="end"/>
          </w:r>
          <w:r>
            <w:t xml:space="preserve">: </w:t>
          </w:r>
          <w:r w:rsidR="00C7068C">
            <w:t xml:space="preserve">Significant </w:t>
          </w:r>
          <w:r w:rsidR="0094217A">
            <w:t xml:space="preserve">energy </w:t>
          </w:r>
          <w:r w:rsidR="006F3333">
            <w:t xml:space="preserve">rebids </w:t>
          </w:r>
          <w:r w:rsidR="00C7068C">
            <w:t xml:space="preserve">for </w:t>
          </w:r>
          <w:r w:rsidR="001F30F1">
            <w:t>3</w:t>
          </w:r>
          <w:r w:rsidR="002F025A">
            <w:t>.30</w:t>
          </w:r>
          <w:r w:rsidR="00C7068C">
            <w:t> pm</w:t>
          </w:r>
          <w:r w:rsidR="00D2488F">
            <w:t xml:space="preserve"> </w:t>
          </w:r>
        </w:p>
        <w:tbl>
          <w:tblPr>
            <w:tblStyle w:val="AERsummarytable"/>
            <w:tblW w:w="8931" w:type="dxa"/>
            <w:tblInd w:w="-176" w:type="dxa"/>
            <w:tblLayout w:type="fixed"/>
            <w:tblLook w:val="04A0" w:firstRow="1" w:lastRow="0" w:firstColumn="1" w:lastColumn="0" w:noHBand="0" w:noVBand="1"/>
          </w:tblPr>
          <w:tblGrid>
            <w:gridCol w:w="993"/>
            <w:gridCol w:w="992"/>
            <w:gridCol w:w="1134"/>
            <w:gridCol w:w="1153"/>
            <w:gridCol w:w="992"/>
            <w:gridCol w:w="851"/>
            <w:gridCol w:w="850"/>
            <w:gridCol w:w="1966"/>
          </w:tblGrid>
          <w:tr w:rsidR="00DF28B1" w:rsidRPr="00FE396E" w:rsidTr="007A4F15">
            <w:trPr>
              <w:cnfStyle w:val="100000000000" w:firstRow="1" w:lastRow="0" w:firstColumn="0" w:lastColumn="0" w:oddVBand="0" w:evenVBand="0" w:oddHBand="0" w:evenHBand="0" w:firstRowFirstColumn="0" w:firstRowLastColumn="0" w:lastRowFirstColumn="0" w:lastRowLastColumn="0"/>
              <w:trHeight w:val="780"/>
              <w:tblHeader/>
            </w:trPr>
            <w:tc>
              <w:tcPr>
                <w:tcW w:w="993" w:type="dxa"/>
              </w:tcPr>
              <w:p w:rsidR="00DF28B1" w:rsidRDefault="00DF28B1" w:rsidP="00B80409">
                <w:pPr>
                  <w:jc w:val="center"/>
                  <w:textAlignment w:val="top"/>
                  <w:divId w:val="1297251709"/>
                  <w:rPr>
                    <w:sz w:val="2"/>
                    <w:szCs w:val="2"/>
                  </w:rPr>
                </w:pPr>
                <w:r>
                  <w:rPr>
                    <w:rStyle w:val="a531"/>
                  </w:rPr>
                  <w:t>Submit time</w:t>
                </w:r>
              </w:p>
            </w:tc>
            <w:tc>
              <w:tcPr>
                <w:tcW w:w="992" w:type="dxa"/>
              </w:tcPr>
              <w:p w:rsidR="00DF28B1" w:rsidRDefault="00DF28B1">
                <w:pPr>
                  <w:jc w:val="center"/>
                  <w:textAlignment w:val="top"/>
                  <w:rPr>
                    <w:rFonts w:cs="Arial"/>
                    <w:color w:val="FFFFFF"/>
                    <w:szCs w:val="18"/>
                  </w:rPr>
                </w:pPr>
                <w:r>
                  <w:rPr>
                    <w:rFonts w:cs="Arial"/>
                    <w:color w:val="FFFFFF"/>
                    <w:szCs w:val="18"/>
                  </w:rPr>
                  <w:t>Time effective</w:t>
                </w:r>
              </w:p>
            </w:tc>
            <w:tc>
              <w:tcPr>
                <w:tcW w:w="1134" w:type="dxa"/>
                <w:hideMark/>
              </w:tcPr>
              <w:p w:rsidR="00DF28B1" w:rsidRDefault="00DF28B1" w:rsidP="007A4F15">
                <w:pPr>
                  <w:ind w:left="-108" w:right="-108"/>
                  <w:jc w:val="center"/>
                  <w:textAlignment w:val="top"/>
                  <w:rPr>
                    <w:rFonts w:cs="Arial"/>
                    <w:color w:val="FFFFFF"/>
                    <w:szCs w:val="18"/>
                  </w:rPr>
                </w:pPr>
                <w:r>
                  <w:rPr>
                    <w:rFonts w:cs="Arial"/>
                    <w:color w:val="FFFFFF"/>
                    <w:szCs w:val="18"/>
                  </w:rPr>
                  <w:t>Participant</w:t>
                </w:r>
              </w:p>
            </w:tc>
            <w:tc>
              <w:tcPr>
                <w:tcW w:w="1153" w:type="dxa"/>
                <w:hideMark/>
              </w:tcPr>
              <w:p w:rsidR="00DF28B1" w:rsidRDefault="00DF28B1" w:rsidP="007A4F15">
                <w:pPr>
                  <w:ind w:left="-89" w:right="-66"/>
                  <w:jc w:val="center"/>
                  <w:textAlignment w:val="top"/>
                  <w:rPr>
                    <w:rFonts w:cs="Arial"/>
                    <w:color w:val="FFFFFF"/>
                    <w:szCs w:val="18"/>
                  </w:rPr>
                </w:pPr>
                <w:r>
                  <w:rPr>
                    <w:rFonts w:cs="Arial"/>
                    <w:color w:val="FFFFFF"/>
                    <w:szCs w:val="18"/>
                  </w:rPr>
                  <w:t>Station</w:t>
                </w:r>
              </w:p>
            </w:tc>
            <w:tc>
              <w:tcPr>
                <w:tcW w:w="992" w:type="dxa"/>
                <w:hideMark/>
              </w:tcPr>
              <w:p w:rsidR="00DF28B1" w:rsidRDefault="00DF28B1">
                <w:pPr>
                  <w:jc w:val="center"/>
                  <w:textAlignment w:val="top"/>
                  <w:divId w:val="1761215993"/>
                  <w:rPr>
                    <w:sz w:val="2"/>
                    <w:szCs w:val="2"/>
                  </w:rPr>
                </w:pPr>
                <w:r>
                  <w:rPr>
                    <w:rStyle w:val="a691"/>
                  </w:rPr>
                  <w:t>Capacity rebid</w:t>
                </w:r>
                <w:r>
                  <w:rPr>
                    <w:rFonts w:cs="Arial"/>
                    <w:color w:val="FFFFFF"/>
                    <w:szCs w:val="18"/>
                  </w:rPr>
                  <w:br/>
                </w:r>
                <w:r>
                  <w:rPr>
                    <w:rStyle w:val="a691"/>
                  </w:rPr>
                  <w:t>(MW)</w:t>
                </w:r>
              </w:p>
            </w:tc>
            <w:tc>
              <w:tcPr>
                <w:tcW w:w="851" w:type="dxa"/>
                <w:hideMark/>
              </w:tcPr>
              <w:p w:rsidR="00DF28B1" w:rsidRDefault="00DF28B1" w:rsidP="007A4F15">
                <w:pPr>
                  <w:ind w:left="-62" w:right="-58"/>
                  <w:jc w:val="center"/>
                  <w:textAlignment w:val="top"/>
                  <w:divId w:val="161817275"/>
                  <w:rPr>
                    <w:sz w:val="2"/>
                    <w:szCs w:val="2"/>
                  </w:rPr>
                </w:pPr>
                <w:r>
                  <w:rPr>
                    <w:rStyle w:val="a731"/>
                  </w:rPr>
                  <w:t>Price from</w:t>
                </w:r>
                <w:r>
                  <w:rPr>
                    <w:rFonts w:cs="Arial"/>
                    <w:color w:val="FFFFFF"/>
                    <w:szCs w:val="18"/>
                  </w:rPr>
                  <w:br/>
                </w:r>
                <w:r>
                  <w:rPr>
                    <w:rStyle w:val="a731"/>
                  </w:rPr>
                  <w:t>($/MWh)</w:t>
                </w:r>
              </w:p>
            </w:tc>
            <w:tc>
              <w:tcPr>
                <w:tcW w:w="850" w:type="dxa"/>
                <w:hideMark/>
              </w:tcPr>
              <w:p w:rsidR="00DF28B1" w:rsidRDefault="00DF28B1" w:rsidP="007A4F15">
                <w:pPr>
                  <w:ind w:left="-88" w:right="-90"/>
                  <w:jc w:val="center"/>
                  <w:textAlignment w:val="top"/>
                  <w:divId w:val="1395664897"/>
                  <w:rPr>
                    <w:sz w:val="2"/>
                    <w:szCs w:val="2"/>
                  </w:rPr>
                </w:pPr>
                <w:r>
                  <w:rPr>
                    <w:rStyle w:val="a771"/>
                  </w:rPr>
                  <w:t>Price to ($/MWh)</w:t>
                </w:r>
              </w:p>
            </w:tc>
            <w:tc>
              <w:tcPr>
                <w:tcW w:w="1966" w:type="dxa"/>
                <w:hideMark/>
              </w:tcPr>
              <w:p w:rsidR="00DF28B1" w:rsidRDefault="00DF28B1" w:rsidP="001E78A6">
                <w:pPr>
                  <w:jc w:val="left"/>
                  <w:textAlignment w:val="top"/>
                  <w:rPr>
                    <w:rFonts w:cs="Arial"/>
                    <w:color w:val="FFFFFF"/>
                    <w:szCs w:val="18"/>
                  </w:rPr>
                </w:pPr>
                <w:r>
                  <w:rPr>
                    <w:rFonts w:cs="Arial"/>
                    <w:color w:val="FFFFFF"/>
                    <w:szCs w:val="18"/>
                  </w:rPr>
                  <w:t>Rebid reason</w:t>
                </w:r>
              </w:p>
            </w:tc>
          </w:tr>
          <w:tr w:rsidR="00DF28B1" w:rsidRPr="00FE396E" w:rsidTr="007A4F15">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DF28B1" w:rsidRDefault="00DF28B1" w:rsidP="001E78A6">
                <w:pPr>
                  <w:pStyle w:val="tablebodycentered"/>
                </w:pPr>
                <w:r>
                  <w:t>10.56 am</w:t>
                </w:r>
              </w:p>
            </w:tc>
            <w:tc>
              <w:tcPr>
                <w:tcW w:w="992" w:type="dxa"/>
                <w:vAlign w:val="center"/>
              </w:tcPr>
              <w:p w:rsidR="00DF28B1" w:rsidRDefault="00DF28B1" w:rsidP="00DF28B1">
                <w:pPr>
                  <w:pStyle w:val="tablebodycentered"/>
                </w:pPr>
                <w:r>
                  <w:t>12.05 pm</w:t>
                </w:r>
              </w:p>
            </w:tc>
            <w:tc>
              <w:tcPr>
                <w:tcW w:w="1134" w:type="dxa"/>
                <w:vAlign w:val="center"/>
              </w:tcPr>
              <w:p w:rsidR="00DF28B1" w:rsidRDefault="00DF28B1" w:rsidP="007A4F15">
                <w:pPr>
                  <w:pStyle w:val="tablebodycentered"/>
                  <w:ind w:left="-108" w:right="-108"/>
                </w:pPr>
                <w:r>
                  <w:t>AGL</w:t>
                </w:r>
              </w:p>
            </w:tc>
            <w:tc>
              <w:tcPr>
                <w:tcW w:w="1153" w:type="dxa"/>
                <w:vAlign w:val="center"/>
              </w:tcPr>
              <w:p w:rsidR="00DF28B1" w:rsidRDefault="00DF28B1" w:rsidP="007A4F15">
                <w:pPr>
                  <w:pStyle w:val="tablebodycentered"/>
                  <w:ind w:left="-89" w:right="-66"/>
                </w:pPr>
                <w:r>
                  <w:t>Bayswater</w:t>
                </w:r>
              </w:p>
            </w:tc>
            <w:tc>
              <w:tcPr>
                <w:tcW w:w="992" w:type="dxa"/>
                <w:vAlign w:val="center"/>
              </w:tcPr>
              <w:p w:rsidR="00DF28B1" w:rsidRDefault="00DF28B1" w:rsidP="001E78A6">
                <w:pPr>
                  <w:pStyle w:val="tablebodycentered"/>
                </w:pPr>
                <w:r>
                  <w:t>370</w:t>
                </w:r>
              </w:p>
            </w:tc>
            <w:tc>
              <w:tcPr>
                <w:tcW w:w="851" w:type="dxa"/>
                <w:vAlign w:val="center"/>
              </w:tcPr>
              <w:p w:rsidR="00DF28B1" w:rsidRDefault="00DF28B1" w:rsidP="001E78A6">
                <w:pPr>
                  <w:pStyle w:val="tablebodycentered"/>
                </w:pPr>
                <w:r>
                  <w:t>&lt;70</w:t>
                </w:r>
              </w:p>
            </w:tc>
            <w:tc>
              <w:tcPr>
                <w:tcW w:w="850" w:type="dxa"/>
                <w:vAlign w:val="center"/>
              </w:tcPr>
              <w:p w:rsidR="00DF28B1" w:rsidRDefault="00DF28B1" w:rsidP="001E78A6">
                <w:pPr>
                  <w:pStyle w:val="tablebodycentered"/>
                </w:pPr>
                <w:r>
                  <w:t>14 000</w:t>
                </w:r>
              </w:p>
            </w:tc>
            <w:tc>
              <w:tcPr>
                <w:tcW w:w="1966" w:type="dxa"/>
                <w:vAlign w:val="center"/>
              </w:tcPr>
              <w:p w:rsidR="00DF28B1" w:rsidRDefault="00DF28B1" w:rsidP="001E78A6">
                <w:pPr>
                  <w:pStyle w:val="tablebodycentered"/>
                  <w:jc w:val="left"/>
                  <w:rPr>
                    <w:sz w:val="16"/>
                    <w:szCs w:val="16"/>
                  </w:rPr>
                </w:pPr>
                <w:r>
                  <w:rPr>
                    <w:rFonts w:cs="Arial"/>
                    <w:sz w:val="16"/>
                    <w:szCs w:val="16"/>
                  </w:rPr>
                  <w:t>1030~A~050 CHG IN AEMO PD~51 PD DEMAND INCREASE NSW +155-296MW 1300-1700</w:t>
                </w:r>
              </w:p>
            </w:tc>
          </w:tr>
          <w:tr w:rsidR="00DF28B1" w:rsidRPr="00FE396E" w:rsidTr="007A4F15">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DF28B1" w:rsidRDefault="00DF28B1" w:rsidP="005116A4">
                <w:pPr>
                  <w:pStyle w:val="tablebodycentered"/>
                </w:pPr>
                <w:r>
                  <w:t>11.04 am</w:t>
                </w:r>
              </w:p>
            </w:tc>
            <w:tc>
              <w:tcPr>
                <w:tcW w:w="992" w:type="dxa"/>
                <w:vAlign w:val="center"/>
              </w:tcPr>
              <w:p w:rsidR="00DF28B1" w:rsidRDefault="00DF28B1" w:rsidP="00DF28B1">
                <w:pPr>
                  <w:pStyle w:val="tablebodycentered"/>
                </w:pPr>
                <w:r>
                  <w:t>11.15 am</w:t>
                </w:r>
              </w:p>
            </w:tc>
            <w:tc>
              <w:tcPr>
                <w:tcW w:w="1134" w:type="dxa"/>
                <w:vAlign w:val="center"/>
              </w:tcPr>
              <w:p w:rsidR="00DF28B1" w:rsidRDefault="00DF28B1" w:rsidP="007A4F15">
                <w:pPr>
                  <w:pStyle w:val="tablebodycentered"/>
                  <w:ind w:left="-108" w:right="-108"/>
                </w:pPr>
                <w:r>
                  <w:t>Origin</w:t>
                </w:r>
              </w:p>
            </w:tc>
            <w:tc>
              <w:tcPr>
                <w:tcW w:w="1153" w:type="dxa"/>
                <w:vAlign w:val="center"/>
              </w:tcPr>
              <w:p w:rsidR="00DF28B1" w:rsidRDefault="00DF28B1" w:rsidP="007A4F15">
                <w:pPr>
                  <w:pStyle w:val="tablebodycentered"/>
                  <w:ind w:left="-89" w:right="-66"/>
                </w:pPr>
                <w:r>
                  <w:t>Uranquinty</w:t>
                </w:r>
              </w:p>
            </w:tc>
            <w:tc>
              <w:tcPr>
                <w:tcW w:w="992" w:type="dxa"/>
                <w:vAlign w:val="center"/>
              </w:tcPr>
              <w:p w:rsidR="00DF28B1" w:rsidRDefault="00DF28B1" w:rsidP="005116A4">
                <w:pPr>
                  <w:pStyle w:val="tablebodycentered"/>
                </w:pPr>
                <w:r>
                  <w:t>302</w:t>
                </w:r>
              </w:p>
            </w:tc>
            <w:tc>
              <w:tcPr>
                <w:tcW w:w="851" w:type="dxa"/>
                <w:vAlign w:val="center"/>
              </w:tcPr>
              <w:p w:rsidR="00DF28B1" w:rsidRDefault="00DF28B1" w:rsidP="005116A4">
                <w:pPr>
                  <w:pStyle w:val="tablebodycentered"/>
                </w:pPr>
                <w:r>
                  <w:t>61</w:t>
                </w:r>
              </w:p>
            </w:tc>
            <w:tc>
              <w:tcPr>
                <w:tcW w:w="850" w:type="dxa"/>
                <w:vAlign w:val="center"/>
              </w:tcPr>
              <w:p w:rsidR="00DF28B1" w:rsidRDefault="00DF28B1" w:rsidP="005116A4">
                <w:pPr>
                  <w:pStyle w:val="tablebodycentered"/>
                </w:pPr>
                <w:r>
                  <w:t>-1000</w:t>
                </w:r>
              </w:p>
            </w:tc>
            <w:tc>
              <w:tcPr>
                <w:tcW w:w="1966" w:type="dxa"/>
                <w:vAlign w:val="center"/>
              </w:tcPr>
              <w:p w:rsidR="00DF28B1" w:rsidRDefault="00DF28B1" w:rsidP="005116A4">
                <w:pPr>
                  <w:pStyle w:val="tablebodycentered"/>
                  <w:jc w:val="left"/>
                  <w:rPr>
                    <w:rFonts w:cs="Arial"/>
                    <w:sz w:val="16"/>
                    <w:szCs w:val="16"/>
                  </w:rPr>
                </w:pPr>
                <w:r>
                  <w:rPr>
                    <w:rFonts w:cs="Arial"/>
                    <w:sz w:val="16"/>
                    <w:szCs w:val="16"/>
                  </w:rPr>
                  <w:t>1055A CONSTRAINT MANAGEMENT - V&gt;&gt;N-NIL_HA 3MW/MIN ROC DN REQ SL</w:t>
                </w:r>
              </w:p>
            </w:tc>
          </w:tr>
          <w:tr w:rsidR="00DF28B1" w:rsidRPr="00FE396E" w:rsidTr="007A4F15">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DF28B1" w:rsidRDefault="00DF28B1" w:rsidP="005116A4">
                <w:pPr>
                  <w:pStyle w:val="tablebodycentered"/>
                </w:pPr>
                <w:r>
                  <w:t>12.14 am</w:t>
                </w:r>
              </w:p>
            </w:tc>
            <w:tc>
              <w:tcPr>
                <w:tcW w:w="992" w:type="dxa"/>
                <w:vAlign w:val="center"/>
              </w:tcPr>
              <w:p w:rsidR="00DF28B1" w:rsidRDefault="00DF28B1" w:rsidP="00DF28B1">
                <w:pPr>
                  <w:pStyle w:val="tablebodycentered"/>
                </w:pPr>
                <w:r>
                  <w:t>12.25 pm</w:t>
                </w:r>
              </w:p>
            </w:tc>
            <w:tc>
              <w:tcPr>
                <w:tcW w:w="1134" w:type="dxa"/>
                <w:vAlign w:val="center"/>
              </w:tcPr>
              <w:p w:rsidR="00DF28B1" w:rsidRDefault="00DF28B1" w:rsidP="007A4F15">
                <w:pPr>
                  <w:pStyle w:val="tablebodycentered"/>
                  <w:ind w:left="-108" w:right="-108"/>
                </w:pPr>
                <w:r>
                  <w:t>Origin</w:t>
                </w:r>
              </w:p>
            </w:tc>
            <w:tc>
              <w:tcPr>
                <w:tcW w:w="1153" w:type="dxa"/>
                <w:vAlign w:val="center"/>
              </w:tcPr>
              <w:p w:rsidR="00DF28B1" w:rsidRDefault="00DF28B1" w:rsidP="007A4F15">
                <w:pPr>
                  <w:pStyle w:val="tablebodycentered"/>
                  <w:ind w:left="-89" w:right="-66"/>
                </w:pPr>
                <w:r>
                  <w:t>Uranquinty</w:t>
                </w:r>
              </w:p>
            </w:tc>
            <w:tc>
              <w:tcPr>
                <w:tcW w:w="992" w:type="dxa"/>
                <w:vAlign w:val="center"/>
              </w:tcPr>
              <w:p w:rsidR="00DF28B1" w:rsidRDefault="00DF28B1" w:rsidP="005116A4">
                <w:pPr>
                  <w:pStyle w:val="tablebodycentered"/>
                </w:pPr>
                <w:r>
                  <w:t>44</w:t>
                </w:r>
              </w:p>
            </w:tc>
            <w:tc>
              <w:tcPr>
                <w:tcW w:w="851" w:type="dxa"/>
                <w:vAlign w:val="center"/>
              </w:tcPr>
              <w:p w:rsidR="00DF28B1" w:rsidRDefault="00DF28B1" w:rsidP="005116A4">
                <w:pPr>
                  <w:pStyle w:val="tablebodycentered"/>
                </w:pPr>
                <w:r>
                  <w:t>61</w:t>
                </w:r>
              </w:p>
            </w:tc>
            <w:tc>
              <w:tcPr>
                <w:tcW w:w="850" w:type="dxa"/>
                <w:vAlign w:val="center"/>
              </w:tcPr>
              <w:p w:rsidR="00DF28B1" w:rsidRDefault="00DF28B1" w:rsidP="005116A4">
                <w:pPr>
                  <w:pStyle w:val="tablebodycentered"/>
                </w:pPr>
                <w:r>
                  <w:t>-1000</w:t>
                </w:r>
              </w:p>
            </w:tc>
            <w:tc>
              <w:tcPr>
                <w:tcW w:w="1966" w:type="dxa"/>
                <w:vAlign w:val="center"/>
              </w:tcPr>
              <w:p w:rsidR="00DF28B1" w:rsidRDefault="00DF28B1" w:rsidP="005116A4">
                <w:pPr>
                  <w:pStyle w:val="tablebodycentered"/>
                  <w:jc w:val="left"/>
                  <w:rPr>
                    <w:rFonts w:cs="Arial"/>
                    <w:sz w:val="16"/>
                    <w:szCs w:val="16"/>
                  </w:rPr>
                </w:pPr>
                <w:r>
                  <w:rPr>
                    <w:rFonts w:cs="Arial"/>
                    <w:sz w:val="16"/>
                    <w:szCs w:val="16"/>
                  </w:rPr>
                  <w:t>1214P CHANGE IN AVAIL - PAG ENABLED SL</w:t>
                </w:r>
              </w:p>
            </w:tc>
          </w:tr>
          <w:tr w:rsidR="00DF28B1" w:rsidRPr="00FE396E" w:rsidTr="007A4F15">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DF28B1" w:rsidRDefault="00DF28B1" w:rsidP="005116A4">
                <w:pPr>
                  <w:pStyle w:val="tablebodycentered"/>
                </w:pPr>
                <w:r>
                  <w:t>12.16 pm</w:t>
                </w:r>
              </w:p>
            </w:tc>
            <w:tc>
              <w:tcPr>
                <w:tcW w:w="992" w:type="dxa"/>
                <w:vAlign w:val="center"/>
              </w:tcPr>
              <w:p w:rsidR="00DF28B1" w:rsidRDefault="00DF28B1" w:rsidP="00DF28B1">
                <w:pPr>
                  <w:pStyle w:val="tablebodycentered"/>
                </w:pPr>
                <w:r>
                  <w:t>12.25 pm</w:t>
                </w:r>
              </w:p>
            </w:tc>
            <w:tc>
              <w:tcPr>
                <w:tcW w:w="1134" w:type="dxa"/>
                <w:vAlign w:val="center"/>
              </w:tcPr>
              <w:p w:rsidR="00DF28B1" w:rsidRDefault="00DF28B1" w:rsidP="007A4F15">
                <w:pPr>
                  <w:pStyle w:val="tablebodycentered"/>
                  <w:ind w:left="-108" w:right="-108"/>
                </w:pPr>
                <w:r>
                  <w:t>AGL</w:t>
                </w:r>
              </w:p>
            </w:tc>
            <w:tc>
              <w:tcPr>
                <w:tcW w:w="1153" w:type="dxa"/>
                <w:vAlign w:val="center"/>
              </w:tcPr>
              <w:p w:rsidR="00DF28B1" w:rsidRDefault="00DF28B1" w:rsidP="007A4F15">
                <w:pPr>
                  <w:pStyle w:val="tablebodycentered"/>
                  <w:ind w:left="-89" w:right="-66"/>
                </w:pPr>
                <w:r>
                  <w:t>Bayswater</w:t>
                </w:r>
              </w:p>
            </w:tc>
            <w:tc>
              <w:tcPr>
                <w:tcW w:w="992" w:type="dxa"/>
                <w:vAlign w:val="center"/>
              </w:tcPr>
              <w:p w:rsidR="00DF28B1" w:rsidRDefault="00DF28B1" w:rsidP="005116A4">
                <w:pPr>
                  <w:pStyle w:val="tablebodycentered"/>
                </w:pPr>
                <w:r>
                  <w:t>100</w:t>
                </w:r>
              </w:p>
            </w:tc>
            <w:tc>
              <w:tcPr>
                <w:tcW w:w="851" w:type="dxa"/>
                <w:vAlign w:val="center"/>
              </w:tcPr>
              <w:p w:rsidR="00DF28B1" w:rsidRDefault="00DF28B1" w:rsidP="005116A4">
                <w:pPr>
                  <w:pStyle w:val="tablebodycentered"/>
                </w:pPr>
                <w:r>
                  <w:t>30</w:t>
                </w:r>
              </w:p>
            </w:tc>
            <w:tc>
              <w:tcPr>
                <w:tcW w:w="850" w:type="dxa"/>
                <w:vAlign w:val="center"/>
              </w:tcPr>
              <w:p w:rsidR="00DF28B1" w:rsidRDefault="00DF28B1" w:rsidP="005116A4">
                <w:pPr>
                  <w:pStyle w:val="tablebodycentered"/>
                </w:pPr>
                <w:r>
                  <w:t>14 000</w:t>
                </w:r>
              </w:p>
            </w:tc>
            <w:tc>
              <w:tcPr>
                <w:tcW w:w="1966" w:type="dxa"/>
                <w:vAlign w:val="center"/>
              </w:tcPr>
              <w:p w:rsidR="00DF28B1" w:rsidRDefault="00DF28B1" w:rsidP="005116A4">
                <w:pPr>
                  <w:pStyle w:val="tablebodycentered"/>
                  <w:jc w:val="left"/>
                  <w:rPr>
                    <w:sz w:val="16"/>
                    <w:szCs w:val="16"/>
                  </w:rPr>
                </w:pPr>
                <w:r>
                  <w:rPr>
                    <w:rFonts w:cs="Arial"/>
                    <w:sz w:val="16"/>
                    <w:szCs w:val="16"/>
                  </w:rPr>
                  <w:t>1200~A~050 CHG IN AEMO PD~51 PD DEMAND INCREASE NSW +69 TO 112MW 1300-1730.</w:t>
                </w:r>
              </w:p>
            </w:tc>
          </w:tr>
          <w:tr w:rsidR="00DF28B1" w:rsidRPr="00FE396E" w:rsidTr="007A4F15">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DF28B1" w:rsidRDefault="00DF28B1" w:rsidP="00424241">
                <w:pPr>
                  <w:pStyle w:val="tablebodycentered"/>
                </w:pPr>
                <w:r>
                  <w:t>12.25 pm</w:t>
                </w:r>
              </w:p>
            </w:tc>
            <w:tc>
              <w:tcPr>
                <w:tcW w:w="992" w:type="dxa"/>
                <w:vAlign w:val="center"/>
              </w:tcPr>
              <w:p w:rsidR="00DF28B1" w:rsidRDefault="00DF28B1" w:rsidP="00550588">
                <w:pPr>
                  <w:pStyle w:val="tablebodycentered"/>
                </w:pPr>
                <w:r>
                  <w:t>2.</w:t>
                </w:r>
                <w:r w:rsidR="00550588">
                  <w:t>35 </w:t>
                </w:r>
                <w:r>
                  <w:t>pm</w:t>
                </w:r>
              </w:p>
            </w:tc>
            <w:tc>
              <w:tcPr>
                <w:tcW w:w="1134" w:type="dxa"/>
                <w:vAlign w:val="center"/>
              </w:tcPr>
              <w:p w:rsidR="00DF28B1" w:rsidRDefault="00DF28B1" w:rsidP="007A4F15">
                <w:pPr>
                  <w:pStyle w:val="tablebodycentered"/>
                  <w:ind w:left="-108" w:right="-108"/>
                </w:pPr>
                <w:r>
                  <w:t>Snowy Hydro</w:t>
                </w:r>
              </w:p>
            </w:tc>
            <w:tc>
              <w:tcPr>
                <w:tcW w:w="1153" w:type="dxa"/>
                <w:vAlign w:val="center"/>
              </w:tcPr>
              <w:p w:rsidR="00DF28B1" w:rsidRDefault="00DF28B1" w:rsidP="007A4F15">
                <w:pPr>
                  <w:pStyle w:val="tablebodycentered"/>
                  <w:ind w:left="-89" w:right="-66"/>
                </w:pPr>
                <w:r>
                  <w:t>Tumut, Upper Tumut</w:t>
                </w:r>
              </w:p>
            </w:tc>
            <w:tc>
              <w:tcPr>
                <w:tcW w:w="992" w:type="dxa"/>
                <w:vAlign w:val="center"/>
              </w:tcPr>
              <w:p w:rsidR="00DF28B1" w:rsidRDefault="00DF28B1" w:rsidP="00B55EA7">
                <w:pPr>
                  <w:pStyle w:val="tablebodycentered"/>
                </w:pPr>
                <w:r>
                  <w:t>1879</w:t>
                </w:r>
              </w:p>
            </w:tc>
            <w:tc>
              <w:tcPr>
                <w:tcW w:w="851" w:type="dxa"/>
                <w:vAlign w:val="center"/>
              </w:tcPr>
              <w:p w:rsidR="00DF28B1" w:rsidRDefault="00DF28B1" w:rsidP="00B55EA7">
                <w:pPr>
                  <w:pStyle w:val="tablebodycentered"/>
                </w:pPr>
                <w:r>
                  <w:t>&gt;28</w:t>
                </w:r>
              </w:p>
            </w:tc>
            <w:tc>
              <w:tcPr>
                <w:tcW w:w="850" w:type="dxa"/>
                <w:vAlign w:val="center"/>
              </w:tcPr>
              <w:p w:rsidR="00DF28B1" w:rsidRDefault="00DF28B1" w:rsidP="001E78A6">
                <w:pPr>
                  <w:pStyle w:val="tablebodycentered"/>
                </w:pPr>
                <w:r>
                  <w:t>-1000</w:t>
                </w:r>
              </w:p>
            </w:tc>
            <w:tc>
              <w:tcPr>
                <w:tcW w:w="1966" w:type="dxa"/>
                <w:vAlign w:val="center"/>
              </w:tcPr>
              <w:p w:rsidR="00DF28B1" w:rsidRDefault="00DF28B1" w:rsidP="001E78A6">
                <w:pPr>
                  <w:pStyle w:val="tablebodycentered"/>
                  <w:jc w:val="left"/>
                </w:pPr>
                <w:r>
                  <w:rPr>
                    <w:sz w:val="16"/>
                    <w:szCs w:val="16"/>
                  </w:rPr>
                  <w:t>12:01:00 A NSW 30MIN PD PRICE $11,277.87 HIGHER THAN 30MIN PD 16:30@11:31 ($13,800.00)</w:t>
                </w:r>
              </w:p>
            </w:tc>
          </w:tr>
          <w:tr w:rsidR="00DF28B1" w:rsidRPr="00FE396E" w:rsidTr="007A4F15">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DF28B1" w:rsidRDefault="00DF28B1" w:rsidP="005116A4">
                <w:pPr>
                  <w:pStyle w:val="tablebodycentered"/>
                </w:pPr>
                <w:r>
                  <w:t>12.25 pm</w:t>
                </w:r>
              </w:p>
            </w:tc>
            <w:tc>
              <w:tcPr>
                <w:tcW w:w="992" w:type="dxa"/>
                <w:vAlign w:val="center"/>
              </w:tcPr>
              <w:p w:rsidR="00DF28B1" w:rsidRDefault="00DF28B1" w:rsidP="00550588">
                <w:pPr>
                  <w:pStyle w:val="tablebodycentered"/>
                </w:pPr>
                <w:r>
                  <w:t>2.</w:t>
                </w:r>
                <w:r w:rsidR="00550588">
                  <w:t>3</w:t>
                </w:r>
                <w:r>
                  <w:t>5 pm</w:t>
                </w:r>
              </w:p>
            </w:tc>
            <w:tc>
              <w:tcPr>
                <w:tcW w:w="1134" w:type="dxa"/>
                <w:vAlign w:val="center"/>
              </w:tcPr>
              <w:p w:rsidR="00DF28B1" w:rsidRDefault="00DF28B1" w:rsidP="007A4F15">
                <w:pPr>
                  <w:pStyle w:val="tablebodycentered"/>
                  <w:ind w:left="-108" w:right="-108"/>
                </w:pPr>
                <w:r>
                  <w:t>Snowy Hydro</w:t>
                </w:r>
              </w:p>
            </w:tc>
            <w:tc>
              <w:tcPr>
                <w:tcW w:w="1153" w:type="dxa"/>
                <w:vAlign w:val="center"/>
              </w:tcPr>
              <w:p w:rsidR="00DF28B1" w:rsidRDefault="00DF28B1" w:rsidP="007A4F15">
                <w:pPr>
                  <w:pStyle w:val="tablebodycentered"/>
                  <w:ind w:left="-89" w:right="-66"/>
                </w:pPr>
                <w:r>
                  <w:t>Guthega</w:t>
                </w:r>
              </w:p>
            </w:tc>
            <w:tc>
              <w:tcPr>
                <w:tcW w:w="992" w:type="dxa"/>
                <w:vAlign w:val="center"/>
              </w:tcPr>
              <w:p w:rsidR="00DF28B1" w:rsidRDefault="00DF28B1" w:rsidP="00460CA4">
                <w:pPr>
                  <w:pStyle w:val="tablebodycentered"/>
                </w:pPr>
                <w:r>
                  <w:t>6</w:t>
                </w:r>
                <w:r w:rsidR="00460CA4">
                  <w:t>7</w:t>
                </w:r>
              </w:p>
            </w:tc>
            <w:tc>
              <w:tcPr>
                <w:tcW w:w="851" w:type="dxa"/>
                <w:vAlign w:val="center"/>
              </w:tcPr>
              <w:p w:rsidR="00DF28B1" w:rsidRDefault="00DF28B1" w:rsidP="00B55EA7">
                <w:pPr>
                  <w:pStyle w:val="tablebodycentered"/>
                </w:pPr>
                <w:r>
                  <w:t>&gt;0</w:t>
                </w:r>
              </w:p>
            </w:tc>
            <w:tc>
              <w:tcPr>
                <w:tcW w:w="850" w:type="dxa"/>
                <w:vAlign w:val="center"/>
              </w:tcPr>
              <w:p w:rsidR="00DF28B1" w:rsidRDefault="00DF28B1" w:rsidP="005116A4">
                <w:pPr>
                  <w:pStyle w:val="tablebodycentered"/>
                </w:pPr>
                <w:r>
                  <w:t>-1000</w:t>
                </w:r>
              </w:p>
            </w:tc>
            <w:tc>
              <w:tcPr>
                <w:tcW w:w="1966" w:type="dxa"/>
                <w:vAlign w:val="center"/>
              </w:tcPr>
              <w:p w:rsidR="00DF28B1" w:rsidRDefault="00DF28B1" w:rsidP="005116A4">
                <w:pPr>
                  <w:pStyle w:val="tablebodycentered"/>
                  <w:jc w:val="left"/>
                </w:pPr>
                <w:r>
                  <w:rPr>
                    <w:sz w:val="16"/>
                    <w:szCs w:val="16"/>
                  </w:rPr>
                  <w:t>12:01:00 A NSW 30MIN PD PRICE $11,277.87 HIGHER THAN 30MIN PD 16:30@11:31 ($13,800.00)</w:t>
                </w:r>
              </w:p>
            </w:tc>
          </w:tr>
          <w:tr w:rsidR="00DF28B1" w:rsidRPr="00FE396E" w:rsidTr="007A4F15">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DF28B1" w:rsidRPr="00A47107" w:rsidRDefault="00DF28B1" w:rsidP="001E78A6">
                <w:pPr>
                  <w:pStyle w:val="tablebodycentered"/>
                </w:pPr>
                <w:r w:rsidRPr="00A47107">
                  <w:t>2 pm</w:t>
                </w:r>
              </w:p>
            </w:tc>
            <w:tc>
              <w:tcPr>
                <w:tcW w:w="992" w:type="dxa"/>
                <w:vAlign w:val="center"/>
              </w:tcPr>
              <w:p w:rsidR="00DF28B1" w:rsidRPr="00A47107" w:rsidRDefault="00DF28B1" w:rsidP="00DF28B1">
                <w:pPr>
                  <w:pStyle w:val="tablebodycentered"/>
                </w:pPr>
                <w:r>
                  <w:t>2.10 pm</w:t>
                </w:r>
              </w:p>
            </w:tc>
            <w:tc>
              <w:tcPr>
                <w:tcW w:w="1134" w:type="dxa"/>
                <w:vAlign w:val="center"/>
              </w:tcPr>
              <w:p w:rsidR="00DF28B1" w:rsidRPr="00A47107" w:rsidRDefault="00DF28B1" w:rsidP="007A4F15">
                <w:pPr>
                  <w:pStyle w:val="tablebodycentered"/>
                  <w:ind w:left="-108" w:right="-108"/>
                </w:pPr>
                <w:r w:rsidRPr="00A47107">
                  <w:t>Origin</w:t>
                </w:r>
              </w:p>
            </w:tc>
            <w:tc>
              <w:tcPr>
                <w:tcW w:w="1153" w:type="dxa"/>
                <w:vAlign w:val="center"/>
              </w:tcPr>
              <w:p w:rsidR="00DF28B1" w:rsidRPr="00A47107" w:rsidRDefault="00DF28B1" w:rsidP="007A4F15">
                <w:pPr>
                  <w:pStyle w:val="tablebodycentered"/>
                  <w:ind w:left="-89" w:right="-66"/>
                </w:pPr>
                <w:r w:rsidRPr="00A47107">
                  <w:t>Shoalhaven</w:t>
                </w:r>
              </w:p>
            </w:tc>
            <w:tc>
              <w:tcPr>
                <w:tcW w:w="992" w:type="dxa"/>
                <w:vAlign w:val="center"/>
              </w:tcPr>
              <w:p w:rsidR="00DF28B1" w:rsidRPr="00A47107" w:rsidRDefault="00DF28B1" w:rsidP="005116A4">
                <w:pPr>
                  <w:pStyle w:val="tablebodycentered"/>
                </w:pPr>
                <w:r w:rsidRPr="00A47107">
                  <w:t>120</w:t>
                </w:r>
              </w:p>
            </w:tc>
            <w:tc>
              <w:tcPr>
                <w:tcW w:w="851" w:type="dxa"/>
                <w:vAlign w:val="center"/>
              </w:tcPr>
              <w:p w:rsidR="00DF28B1" w:rsidRPr="00A47107" w:rsidRDefault="00DF28B1" w:rsidP="009378BD">
                <w:pPr>
                  <w:pStyle w:val="tablebodycentered"/>
                </w:pPr>
                <w:r w:rsidRPr="00A47107">
                  <w:t>14 000</w:t>
                </w:r>
              </w:p>
            </w:tc>
            <w:tc>
              <w:tcPr>
                <w:tcW w:w="850" w:type="dxa"/>
                <w:vAlign w:val="center"/>
              </w:tcPr>
              <w:p w:rsidR="00DF28B1" w:rsidRPr="00A47107" w:rsidRDefault="00DF28B1" w:rsidP="005116A4">
                <w:pPr>
                  <w:pStyle w:val="tablebodycentered"/>
                </w:pPr>
                <w:r w:rsidRPr="00A47107">
                  <w:t>-1000</w:t>
                </w:r>
              </w:p>
            </w:tc>
            <w:tc>
              <w:tcPr>
                <w:tcW w:w="1966" w:type="dxa"/>
                <w:vAlign w:val="center"/>
              </w:tcPr>
              <w:p w:rsidR="00DF28B1" w:rsidRDefault="00DF28B1" w:rsidP="001E78A6">
                <w:pPr>
                  <w:pStyle w:val="tablebodycentered"/>
                  <w:jc w:val="left"/>
                  <w:rPr>
                    <w:sz w:val="16"/>
                    <w:szCs w:val="16"/>
                  </w:rPr>
                </w:pPr>
                <w:r w:rsidRPr="00A47107">
                  <w:rPr>
                    <w:rFonts w:cs="Arial"/>
                    <w:sz w:val="16"/>
                    <w:szCs w:val="16"/>
                  </w:rPr>
                  <w:t>1400A CONSTRAINT MANAGEMENT - N^^Q_NIL_B1 SL</w:t>
                </w:r>
              </w:p>
            </w:tc>
          </w:tr>
          <w:tr w:rsidR="00DF28B1" w:rsidRPr="00FE396E" w:rsidTr="007A4F15">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DF28B1" w:rsidRDefault="00DF28B1" w:rsidP="006D172A">
                <w:pPr>
                  <w:pStyle w:val="tablebodycentered"/>
                </w:pPr>
                <w:r>
                  <w:t>2.23 pm</w:t>
                </w:r>
              </w:p>
            </w:tc>
            <w:tc>
              <w:tcPr>
                <w:tcW w:w="992" w:type="dxa"/>
                <w:vAlign w:val="center"/>
              </w:tcPr>
              <w:p w:rsidR="00DF28B1" w:rsidRDefault="00DF28B1" w:rsidP="00DF28B1">
                <w:pPr>
                  <w:pStyle w:val="tablebodycentered"/>
                </w:pPr>
                <w:r>
                  <w:t>2.30 pm</w:t>
                </w:r>
              </w:p>
            </w:tc>
            <w:tc>
              <w:tcPr>
                <w:tcW w:w="1134" w:type="dxa"/>
                <w:vAlign w:val="center"/>
              </w:tcPr>
              <w:p w:rsidR="00DF28B1" w:rsidRDefault="00DF28B1" w:rsidP="007A4F15">
                <w:pPr>
                  <w:pStyle w:val="tablebodycentered"/>
                  <w:ind w:left="-108" w:right="-108"/>
                </w:pPr>
                <w:r>
                  <w:t>Snowy Hydro</w:t>
                </w:r>
              </w:p>
            </w:tc>
            <w:tc>
              <w:tcPr>
                <w:tcW w:w="1153" w:type="dxa"/>
                <w:vAlign w:val="center"/>
              </w:tcPr>
              <w:p w:rsidR="00DF28B1" w:rsidRDefault="00DF28B1" w:rsidP="007A4F15">
                <w:pPr>
                  <w:pStyle w:val="tablebodycentered"/>
                  <w:ind w:left="-89" w:right="-66"/>
                </w:pPr>
                <w:r>
                  <w:t>Tumut, Upper Tumut</w:t>
                </w:r>
              </w:p>
            </w:tc>
            <w:tc>
              <w:tcPr>
                <w:tcW w:w="992" w:type="dxa"/>
                <w:vAlign w:val="center"/>
              </w:tcPr>
              <w:p w:rsidR="00DF28B1" w:rsidRDefault="00DF28B1" w:rsidP="001E78A6">
                <w:pPr>
                  <w:pStyle w:val="tablebodycentered"/>
                </w:pPr>
                <w:r>
                  <w:t>249</w:t>
                </w:r>
              </w:p>
            </w:tc>
            <w:tc>
              <w:tcPr>
                <w:tcW w:w="851" w:type="dxa"/>
                <w:vAlign w:val="center"/>
              </w:tcPr>
              <w:p w:rsidR="00DF28B1" w:rsidRDefault="00DF28B1" w:rsidP="001E78A6">
                <w:pPr>
                  <w:pStyle w:val="tablebodycentered"/>
                </w:pPr>
                <w:r>
                  <w:t>300</w:t>
                </w:r>
              </w:p>
            </w:tc>
            <w:tc>
              <w:tcPr>
                <w:tcW w:w="850" w:type="dxa"/>
                <w:vAlign w:val="center"/>
              </w:tcPr>
              <w:p w:rsidR="00DF28B1" w:rsidRDefault="00DF28B1" w:rsidP="001E78A6">
                <w:pPr>
                  <w:pStyle w:val="tablebodycentered"/>
                </w:pPr>
                <w:r>
                  <w:t>-1000</w:t>
                </w:r>
              </w:p>
            </w:tc>
            <w:tc>
              <w:tcPr>
                <w:tcW w:w="1966" w:type="dxa"/>
                <w:vAlign w:val="center"/>
              </w:tcPr>
              <w:p w:rsidR="00DF28B1" w:rsidRDefault="00DF28B1" w:rsidP="001E78A6">
                <w:pPr>
                  <w:pStyle w:val="tablebodycentered"/>
                  <w:jc w:val="left"/>
                  <w:rPr>
                    <w:sz w:val="16"/>
                    <w:szCs w:val="16"/>
                  </w:rPr>
                </w:pPr>
                <w:r>
                  <w:rPr>
                    <w:sz w:val="16"/>
                    <w:szCs w:val="16"/>
                  </w:rPr>
                  <w:t>14:20:04 A NSW 5MIN ACTUAL PRICE $366.73 HIGHER THAN 5MIN PD 14:25@14:16 ($654.73)</w:t>
                </w:r>
              </w:p>
            </w:tc>
          </w:tr>
          <w:tr w:rsidR="00DF28B1" w:rsidRPr="00FE396E" w:rsidTr="007A4F15">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DF28B1" w:rsidRDefault="00DF28B1" w:rsidP="006D172A">
                <w:pPr>
                  <w:pStyle w:val="tablebodycentered"/>
                </w:pPr>
                <w:r>
                  <w:lastRenderedPageBreak/>
                  <w:t>2.30 pm</w:t>
                </w:r>
              </w:p>
            </w:tc>
            <w:tc>
              <w:tcPr>
                <w:tcW w:w="992" w:type="dxa"/>
                <w:vAlign w:val="center"/>
              </w:tcPr>
              <w:p w:rsidR="00DF28B1" w:rsidRDefault="00DF28B1" w:rsidP="00DF28B1">
                <w:pPr>
                  <w:pStyle w:val="tablebodycentered"/>
                </w:pPr>
                <w:r>
                  <w:t>2.35 pm</w:t>
                </w:r>
              </w:p>
            </w:tc>
            <w:tc>
              <w:tcPr>
                <w:tcW w:w="1134" w:type="dxa"/>
                <w:vAlign w:val="center"/>
              </w:tcPr>
              <w:p w:rsidR="00DF28B1" w:rsidRDefault="00DF28B1" w:rsidP="007A4F15">
                <w:pPr>
                  <w:pStyle w:val="tablebodycentered"/>
                  <w:ind w:left="-108" w:right="-108"/>
                </w:pPr>
                <w:r>
                  <w:t>Snowy Hydro</w:t>
                </w:r>
              </w:p>
            </w:tc>
            <w:tc>
              <w:tcPr>
                <w:tcW w:w="1153" w:type="dxa"/>
                <w:vAlign w:val="center"/>
              </w:tcPr>
              <w:p w:rsidR="00DF28B1" w:rsidRDefault="00DF28B1" w:rsidP="007A4F15">
                <w:pPr>
                  <w:pStyle w:val="tablebodycentered"/>
                  <w:ind w:left="-89" w:right="-66"/>
                </w:pPr>
                <w:r>
                  <w:t>Tumut</w:t>
                </w:r>
              </w:p>
            </w:tc>
            <w:tc>
              <w:tcPr>
                <w:tcW w:w="992" w:type="dxa"/>
                <w:vAlign w:val="center"/>
              </w:tcPr>
              <w:p w:rsidR="00DF28B1" w:rsidRDefault="00DF28B1" w:rsidP="001E78A6">
                <w:pPr>
                  <w:pStyle w:val="tablebodycentered"/>
                </w:pPr>
                <w:r>
                  <w:t>100</w:t>
                </w:r>
              </w:p>
            </w:tc>
            <w:tc>
              <w:tcPr>
                <w:tcW w:w="851" w:type="dxa"/>
                <w:vAlign w:val="center"/>
              </w:tcPr>
              <w:p w:rsidR="00DF28B1" w:rsidRDefault="00DF28B1" w:rsidP="001E78A6">
                <w:pPr>
                  <w:pStyle w:val="tablebodycentered"/>
                </w:pPr>
                <w:r>
                  <w:t>450</w:t>
                </w:r>
              </w:p>
            </w:tc>
            <w:tc>
              <w:tcPr>
                <w:tcW w:w="850" w:type="dxa"/>
                <w:vAlign w:val="center"/>
              </w:tcPr>
              <w:p w:rsidR="00DF28B1" w:rsidRDefault="00DF28B1" w:rsidP="001E78A6">
                <w:pPr>
                  <w:pStyle w:val="tablebodycentered"/>
                </w:pPr>
                <w:r>
                  <w:t>-1000</w:t>
                </w:r>
              </w:p>
            </w:tc>
            <w:tc>
              <w:tcPr>
                <w:tcW w:w="1966" w:type="dxa"/>
                <w:vAlign w:val="center"/>
              </w:tcPr>
              <w:p w:rsidR="00DF28B1" w:rsidRDefault="00DF28B1" w:rsidP="001E78A6">
                <w:pPr>
                  <w:pStyle w:val="tablebodycentered"/>
                  <w:jc w:val="left"/>
                  <w:rPr>
                    <w:sz w:val="16"/>
                    <w:szCs w:val="16"/>
                  </w:rPr>
                </w:pPr>
                <w:r>
                  <w:rPr>
                    <w:sz w:val="16"/>
                    <w:szCs w:val="16"/>
                  </w:rPr>
                  <w:t>14:26:00 A NSW 5MIN PD PRICE $852.31 HIGHER THAN 30MIN PD 14:50@14:02 ($1,159.63)</w:t>
                </w:r>
              </w:p>
            </w:tc>
          </w:tr>
          <w:tr w:rsidR="00DF28B1" w:rsidRPr="00FE396E" w:rsidTr="007A4F15">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DF28B1" w:rsidRDefault="00DF28B1" w:rsidP="006D172A">
                <w:pPr>
                  <w:pStyle w:val="tablebodycentered"/>
                </w:pPr>
                <w:r>
                  <w:t>2.32 pm</w:t>
                </w:r>
              </w:p>
            </w:tc>
            <w:tc>
              <w:tcPr>
                <w:tcW w:w="992" w:type="dxa"/>
                <w:vAlign w:val="center"/>
              </w:tcPr>
              <w:p w:rsidR="00DF28B1" w:rsidRDefault="00DF28B1" w:rsidP="00DF28B1">
                <w:pPr>
                  <w:pStyle w:val="tablebodycentered"/>
                </w:pPr>
                <w:r>
                  <w:t>2.40 pm</w:t>
                </w:r>
              </w:p>
            </w:tc>
            <w:tc>
              <w:tcPr>
                <w:tcW w:w="1134" w:type="dxa"/>
                <w:vAlign w:val="center"/>
              </w:tcPr>
              <w:p w:rsidR="00DF28B1" w:rsidRDefault="00DF28B1" w:rsidP="007A4F15">
                <w:pPr>
                  <w:pStyle w:val="tablebodycentered"/>
                  <w:ind w:left="-108" w:right="-108"/>
                </w:pPr>
                <w:r>
                  <w:t>Snowy Hydro</w:t>
                </w:r>
              </w:p>
            </w:tc>
            <w:tc>
              <w:tcPr>
                <w:tcW w:w="1153" w:type="dxa"/>
                <w:vAlign w:val="center"/>
              </w:tcPr>
              <w:p w:rsidR="00DF28B1" w:rsidRDefault="00DF28B1" w:rsidP="007A4F15">
                <w:pPr>
                  <w:pStyle w:val="tablebodycentered"/>
                  <w:ind w:left="-89" w:right="-66"/>
                </w:pPr>
                <w:r>
                  <w:t>Tumut</w:t>
                </w:r>
              </w:p>
            </w:tc>
            <w:tc>
              <w:tcPr>
                <w:tcW w:w="992" w:type="dxa"/>
                <w:vAlign w:val="center"/>
              </w:tcPr>
              <w:p w:rsidR="00DF28B1" w:rsidRDefault="00DF28B1" w:rsidP="001E78A6">
                <w:pPr>
                  <w:pStyle w:val="tablebodycentered"/>
                </w:pPr>
                <w:r>
                  <w:t>197</w:t>
                </w:r>
              </w:p>
            </w:tc>
            <w:tc>
              <w:tcPr>
                <w:tcW w:w="851" w:type="dxa"/>
                <w:vAlign w:val="center"/>
              </w:tcPr>
              <w:p w:rsidR="00DF28B1" w:rsidRDefault="00DF28B1" w:rsidP="001E78A6">
                <w:pPr>
                  <w:pStyle w:val="tablebodycentered"/>
                </w:pPr>
                <w:r>
                  <w:t>≥300</w:t>
                </w:r>
              </w:p>
            </w:tc>
            <w:tc>
              <w:tcPr>
                <w:tcW w:w="850" w:type="dxa"/>
                <w:vAlign w:val="center"/>
              </w:tcPr>
              <w:p w:rsidR="00DF28B1" w:rsidRDefault="00DF28B1" w:rsidP="001E78A6">
                <w:pPr>
                  <w:pStyle w:val="tablebodycentered"/>
                </w:pPr>
                <w:r>
                  <w:t>-1000</w:t>
                </w:r>
              </w:p>
            </w:tc>
            <w:tc>
              <w:tcPr>
                <w:tcW w:w="1966" w:type="dxa"/>
                <w:vAlign w:val="center"/>
              </w:tcPr>
              <w:p w:rsidR="00DF28B1" w:rsidRDefault="00DF28B1" w:rsidP="001E78A6">
                <w:pPr>
                  <w:pStyle w:val="tablebodycentered"/>
                  <w:jc w:val="left"/>
                  <w:rPr>
                    <w:sz w:val="16"/>
                    <w:szCs w:val="16"/>
                  </w:rPr>
                </w:pPr>
                <w:r>
                  <w:rPr>
                    <w:sz w:val="16"/>
                    <w:szCs w:val="16"/>
                  </w:rPr>
                  <w:t>14:31:00 A NSW 5MIN PD PRICE $12,840.33 HIGHER THAN 5MIN PD 14:50@14:26 ($13,999.96)</w:t>
                </w:r>
              </w:p>
            </w:tc>
          </w:tr>
        </w:tbl>
        <w:p w:rsidR="005311D3" w:rsidRDefault="000B47DF" w:rsidP="000B47DF">
          <w:pPr>
            <w:pStyle w:val="Caption"/>
          </w:pPr>
          <w:r>
            <w:t xml:space="preserve">Table </w:t>
          </w:r>
          <w:r w:rsidR="00C7302A">
            <w:fldChar w:fldCharType="begin"/>
          </w:r>
          <w:r w:rsidR="00C7302A">
            <w:instrText xml:space="preserve"> SEQ Table \* ARABIC </w:instrText>
          </w:r>
          <w:r w:rsidR="00C7302A">
            <w:fldChar w:fldCharType="separate"/>
          </w:r>
          <w:r w:rsidR="00175BBF">
            <w:rPr>
              <w:noProof/>
            </w:rPr>
            <w:t>4</w:t>
          </w:r>
          <w:r w:rsidR="00C7302A">
            <w:rPr>
              <w:noProof/>
            </w:rPr>
            <w:fldChar w:fldCharType="end"/>
          </w:r>
          <w:r>
            <w:t xml:space="preserve">: </w:t>
          </w:r>
          <w:r w:rsidR="005311D3">
            <w:t xml:space="preserve">Significant ramp </w:t>
          </w:r>
          <w:r w:rsidR="006D172A">
            <w:t xml:space="preserve">down </w:t>
          </w:r>
          <w:r w:rsidR="005311D3">
            <w:t xml:space="preserve">rate rebids for </w:t>
          </w:r>
          <w:r w:rsidR="001F30F1">
            <w:t>3</w:t>
          </w:r>
          <w:r w:rsidR="005311D3">
            <w:t>.30 pm</w:t>
          </w:r>
          <w:r w:rsidR="00F85A77">
            <w:t xml:space="preserve"> </w:t>
          </w:r>
        </w:p>
        <w:tbl>
          <w:tblPr>
            <w:tblStyle w:val="AERsummarytable"/>
            <w:tblW w:w="8897" w:type="dxa"/>
            <w:tblLayout w:type="fixed"/>
            <w:tblLook w:val="04A0" w:firstRow="1" w:lastRow="0" w:firstColumn="1" w:lastColumn="0" w:noHBand="0" w:noVBand="1"/>
          </w:tblPr>
          <w:tblGrid>
            <w:gridCol w:w="990"/>
            <w:gridCol w:w="966"/>
            <w:gridCol w:w="1134"/>
            <w:gridCol w:w="1176"/>
            <w:gridCol w:w="1036"/>
            <w:gridCol w:w="1035"/>
            <w:gridCol w:w="1036"/>
            <w:gridCol w:w="1524"/>
          </w:tblGrid>
          <w:tr w:rsidR="00271FC7" w:rsidRPr="00FE396E" w:rsidTr="00F0486A">
            <w:trPr>
              <w:cnfStyle w:val="100000000000" w:firstRow="1" w:lastRow="0" w:firstColumn="0" w:lastColumn="0" w:oddVBand="0" w:evenVBand="0" w:oddHBand="0" w:evenHBand="0" w:firstRowFirstColumn="0" w:firstRowLastColumn="0" w:lastRowFirstColumn="0" w:lastRowLastColumn="0"/>
              <w:trHeight w:val="780"/>
              <w:tblHeader/>
            </w:trPr>
            <w:tc>
              <w:tcPr>
                <w:tcW w:w="990" w:type="dxa"/>
              </w:tcPr>
              <w:p w:rsidR="005311D3" w:rsidRDefault="005311D3" w:rsidP="00AB3B54">
                <w:pPr>
                  <w:jc w:val="center"/>
                  <w:textAlignment w:val="top"/>
                  <w:rPr>
                    <w:sz w:val="2"/>
                    <w:szCs w:val="2"/>
                  </w:rPr>
                </w:pPr>
                <w:r>
                  <w:rPr>
                    <w:rStyle w:val="a531"/>
                  </w:rPr>
                  <w:t>Submit time</w:t>
                </w:r>
              </w:p>
            </w:tc>
            <w:tc>
              <w:tcPr>
                <w:tcW w:w="966" w:type="dxa"/>
              </w:tcPr>
              <w:p w:rsidR="005311D3" w:rsidRDefault="005311D3" w:rsidP="00AB3B54">
                <w:pPr>
                  <w:jc w:val="center"/>
                  <w:textAlignment w:val="top"/>
                  <w:rPr>
                    <w:sz w:val="2"/>
                    <w:szCs w:val="2"/>
                  </w:rPr>
                </w:pPr>
                <w:r>
                  <w:rPr>
                    <w:rStyle w:val="a571"/>
                  </w:rPr>
                  <w:t>Time</w:t>
                </w:r>
                <w:r>
                  <w:rPr>
                    <w:rFonts w:cs="Arial"/>
                    <w:color w:val="FFFFFF"/>
                    <w:szCs w:val="18"/>
                  </w:rPr>
                  <w:br/>
                </w:r>
                <w:r>
                  <w:rPr>
                    <w:rStyle w:val="a571"/>
                  </w:rPr>
                  <w:t>effective</w:t>
                </w:r>
              </w:p>
            </w:tc>
            <w:tc>
              <w:tcPr>
                <w:tcW w:w="1134" w:type="dxa"/>
                <w:hideMark/>
              </w:tcPr>
              <w:p w:rsidR="005311D3" w:rsidRDefault="005311D3" w:rsidP="00F0486A">
                <w:pPr>
                  <w:ind w:left="-66" w:right="-80"/>
                  <w:jc w:val="center"/>
                  <w:textAlignment w:val="top"/>
                  <w:rPr>
                    <w:rFonts w:cs="Arial"/>
                    <w:color w:val="FFFFFF"/>
                    <w:szCs w:val="18"/>
                  </w:rPr>
                </w:pPr>
                <w:r>
                  <w:rPr>
                    <w:rFonts w:cs="Arial"/>
                    <w:color w:val="FFFFFF"/>
                    <w:szCs w:val="18"/>
                  </w:rPr>
                  <w:t>Participant</w:t>
                </w:r>
              </w:p>
            </w:tc>
            <w:tc>
              <w:tcPr>
                <w:tcW w:w="1176" w:type="dxa"/>
                <w:hideMark/>
              </w:tcPr>
              <w:p w:rsidR="005311D3" w:rsidRDefault="005311D3" w:rsidP="00AB3B54">
                <w:pPr>
                  <w:jc w:val="center"/>
                  <w:textAlignment w:val="top"/>
                  <w:rPr>
                    <w:rFonts w:cs="Arial"/>
                    <w:color w:val="FFFFFF"/>
                    <w:szCs w:val="18"/>
                  </w:rPr>
                </w:pPr>
                <w:r>
                  <w:rPr>
                    <w:rFonts w:cs="Arial"/>
                    <w:color w:val="FFFFFF"/>
                    <w:szCs w:val="18"/>
                  </w:rPr>
                  <w:t>Station</w:t>
                </w:r>
              </w:p>
            </w:tc>
            <w:tc>
              <w:tcPr>
                <w:tcW w:w="1036" w:type="dxa"/>
                <w:hideMark/>
              </w:tcPr>
              <w:p w:rsidR="005311D3" w:rsidRDefault="005311D3" w:rsidP="00AB3B54">
                <w:pPr>
                  <w:jc w:val="center"/>
                  <w:textAlignment w:val="top"/>
                  <w:rPr>
                    <w:sz w:val="2"/>
                    <w:szCs w:val="2"/>
                  </w:rPr>
                </w:pPr>
                <w:r>
                  <w:rPr>
                    <w:rStyle w:val="a691"/>
                  </w:rPr>
                  <w:t>Capacity rebid</w:t>
                </w:r>
                <w:r>
                  <w:rPr>
                    <w:rFonts w:cs="Arial"/>
                    <w:color w:val="FFFFFF"/>
                    <w:szCs w:val="18"/>
                  </w:rPr>
                  <w:br/>
                </w:r>
                <w:r w:rsidR="00AA34ED">
                  <w:rPr>
                    <w:rStyle w:val="a691"/>
                  </w:rPr>
                  <w:t>(MW/min)</w:t>
                </w:r>
              </w:p>
            </w:tc>
            <w:tc>
              <w:tcPr>
                <w:tcW w:w="1035" w:type="dxa"/>
                <w:hideMark/>
              </w:tcPr>
              <w:p w:rsidR="005311D3" w:rsidRDefault="005311D3" w:rsidP="005311D3">
                <w:pPr>
                  <w:jc w:val="center"/>
                  <w:textAlignment w:val="top"/>
                  <w:rPr>
                    <w:sz w:val="2"/>
                    <w:szCs w:val="2"/>
                  </w:rPr>
                </w:pPr>
                <w:r>
                  <w:rPr>
                    <w:rStyle w:val="a731"/>
                  </w:rPr>
                  <w:t xml:space="preserve">Ramp down rate from </w:t>
                </w:r>
                <w:r>
                  <w:rPr>
                    <w:rStyle w:val="a691"/>
                  </w:rPr>
                  <w:t>(MW/min</w:t>
                </w:r>
                <w:r>
                  <w:rPr>
                    <w:rStyle w:val="a731"/>
                  </w:rPr>
                  <w:t>)</w:t>
                </w:r>
              </w:p>
            </w:tc>
            <w:tc>
              <w:tcPr>
                <w:tcW w:w="1036" w:type="dxa"/>
                <w:hideMark/>
              </w:tcPr>
              <w:p w:rsidR="005311D3" w:rsidRDefault="005311D3" w:rsidP="00AB3B54">
                <w:pPr>
                  <w:jc w:val="center"/>
                  <w:textAlignment w:val="top"/>
                  <w:rPr>
                    <w:sz w:val="2"/>
                    <w:szCs w:val="2"/>
                  </w:rPr>
                </w:pPr>
                <w:r>
                  <w:rPr>
                    <w:rStyle w:val="a771"/>
                  </w:rPr>
                  <w:t>Ramp down rate to (</w:t>
                </w:r>
                <w:r>
                  <w:rPr>
                    <w:rStyle w:val="a691"/>
                  </w:rPr>
                  <w:t>MW/min</w:t>
                </w:r>
                <w:r>
                  <w:rPr>
                    <w:rStyle w:val="a771"/>
                  </w:rPr>
                  <w:t>)</w:t>
                </w:r>
              </w:p>
            </w:tc>
            <w:tc>
              <w:tcPr>
                <w:tcW w:w="1524" w:type="dxa"/>
                <w:hideMark/>
              </w:tcPr>
              <w:p w:rsidR="005311D3" w:rsidRDefault="005311D3" w:rsidP="00AB3B54">
                <w:pPr>
                  <w:jc w:val="center"/>
                  <w:textAlignment w:val="top"/>
                  <w:rPr>
                    <w:rFonts w:cs="Arial"/>
                    <w:color w:val="FFFFFF"/>
                    <w:szCs w:val="18"/>
                  </w:rPr>
                </w:pPr>
                <w:r>
                  <w:rPr>
                    <w:rFonts w:cs="Arial"/>
                    <w:color w:val="FFFFFF"/>
                    <w:szCs w:val="18"/>
                  </w:rPr>
                  <w:t>Rebid reason</w:t>
                </w:r>
              </w:p>
            </w:tc>
          </w:tr>
          <w:tr w:rsidR="00AA34ED" w:rsidRPr="00FE396E" w:rsidTr="00F0486A">
            <w:trPr>
              <w:cnfStyle w:val="000000100000" w:firstRow="0" w:lastRow="0" w:firstColumn="0" w:lastColumn="0" w:oddVBand="0" w:evenVBand="0" w:oddHBand="1" w:evenHBand="0" w:firstRowFirstColumn="0" w:firstRowLastColumn="0" w:lastRowFirstColumn="0" w:lastRowLastColumn="0"/>
              <w:trHeight w:val="606"/>
            </w:trPr>
            <w:tc>
              <w:tcPr>
                <w:tcW w:w="990" w:type="dxa"/>
                <w:vAlign w:val="center"/>
              </w:tcPr>
              <w:p w:rsidR="00AA34ED" w:rsidRDefault="00AA34ED" w:rsidP="00B55EA7">
                <w:pPr>
                  <w:jc w:val="center"/>
                  <w:textAlignment w:val="center"/>
                  <w:rPr>
                    <w:rFonts w:cs="Arial"/>
                    <w:color w:val="000000"/>
                    <w:szCs w:val="18"/>
                  </w:rPr>
                </w:pPr>
                <w:r>
                  <w:rPr>
                    <w:rFonts w:cs="Arial"/>
                    <w:color w:val="000000"/>
                    <w:szCs w:val="18"/>
                  </w:rPr>
                  <w:t>11.04 am</w:t>
                </w:r>
              </w:p>
            </w:tc>
            <w:tc>
              <w:tcPr>
                <w:tcW w:w="966" w:type="dxa"/>
                <w:vAlign w:val="center"/>
              </w:tcPr>
              <w:p w:rsidR="00AA34ED" w:rsidRPr="00DF28B1" w:rsidRDefault="00DF28B1" w:rsidP="001E78A6">
                <w:pPr>
                  <w:jc w:val="center"/>
                  <w:rPr>
                    <w:szCs w:val="18"/>
                  </w:rPr>
                </w:pPr>
                <w:r>
                  <w:rPr>
                    <w:szCs w:val="18"/>
                  </w:rPr>
                  <w:t>11.15 am</w:t>
                </w:r>
              </w:p>
            </w:tc>
            <w:tc>
              <w:tcPr>
                <w:tcW w:w="1134" w:type="dxa"/>
                <w:vAlign w:val="center"/>
              </w:tcPr>
              <w:p w:rsidR="00AA34ED" w:rsidRDefault="00AA34ED" w:rsidP="005116A4">
                <w:pPr>
                  <w:pStyle w:val="tablebodycentered"/>
                </w:pPr>
                <w:r>
                  <w:t>Origin</w:t>
                </w:r>
              </w:p>
            </w:tc>
            <w:tc>
              <w:tcPr>
                <w:tcW w:w="1176" w:type="dxa"/>
                <w:vAlign w:val="center"/>
              </w:tcPr>
              <w:p w:rsidR="00AA34ED" w:rsidRDefault="00AA34ED" w:rsidP="005116A4">
                <w:pPr>
                  <w:pStyle w:val="tablebodycentered"/>
                </w:pPr>
                <w:r>
                  <w:t>Uranquinty</w:t>
                </w:r>
              </w:p>
            </w:tc>
            <w:tc>
              <w:tcPr>
                <w:tcW w:w="1036" w:type="dxa"/>
                <w:vAlign w:val="center"/>
              </w:tcPr>
              <w:p w:rsidR="00AA34ED" w:rsidRDefault="00AA34ED" w:rsidP="005116A4">
                <w:pPr>
                  <w:pStyle w:val="tablebodycentered"/>
                </w:pPr>
                <w:r>
                  <w:t>8</w:t>
                </w:r>
              </w:p>
            </w:tc>
            <w:tc>
              <w:tcPr>
                <w:tcW w:w="1035" w:type="dxa"/>
                <w:vAlign w:val="center"/>
              </w:tcPr>
              <w:p w:rsidR="00AA34ED" w:rsidRDefault="00AA34ED" w:rsidP="005116A4">
                <w:pPr>
                  <w:pStyle w:val="tablebodycentered"/>
                </w:pPr>
                <w:r>
                  <w:t>11</w:t>
                </w:r>
              </w:p>
            </w:tc>
            <w:tc>
              <w:tcPr>
                <w:tcW w:w="1036" w:type="dxa"/>
                <w:vAlign w:val="center"/>
              </w:tcPr>
              <w:p w:rsidR="00AA34ED" w:rsidRDefault="00AA34ED" w:rsidP="005116A4">
                <w:pPr>
                  <w:pStyle w:val="tablebodycentered"/>
                </w:pPr>
                <w:r>
                  <w:t>3</w:t>
                </w:r>
              </w:p>
            </w:tc>
            <w:tc>
              <w:tcPr>
                <w:tcW w:w="1524" w:type="dxa"/>
                <w:vAlign w:val="center"/>
              </w:tcPr>
              <w:p w:rsidR="00AA34ED" w:rsidRDefault="00AA34ED" w:rsidP="005116A4">
                <w:pPr>
                  <w:pStyle w:val="tablebodycentered"/>
                  <w:jc w:val="left"/>
                  <w:rPr>
                    <w:rFonts w:cs="Arial"/>
                    <w:sz w:val="16"/>
                    <w:szCs w:val="16"/>
                  </w:rPr>
                </w:pPr>
                <w:r>
                  <w:rPr>
                    <w:rFonts w:cs="Arial"/>
                    <w:sz w:val="16"/>
                    <w:szCs w:val="16"/>
                  </w:rPr>
                  <w:t>1055A CONSTRAINT MANAGEMENT - V&gt;&gt;N-NIL_HA 3MW/MIN ROC DN REQ SL</w:t>
                </w:r>
              </w:p>
            </w:tc>
          </w:tr>
          <w:tr w:rsidR="00271FC7" w:rsidRPr="00FE396E" w:rsidTr="00F0486A">
            <w:trPr>
              <w:cnfStyle w:val="000000010000" w:firstRow="0" w:lastRow="0" w:firstColumn="0" w:lastColumn="0" w:oddVBand="0" w:evenVBand="0" w:oddHBand="0" w:evenHBand="1" w:firstRowFirstColumn="0" w:firstRowLastColumn="0" w:lastRowFirstColumn="0" w:lastRowLastColumn="0"/>
              <w:trHeight w:val="606"/>
            </w:trPr>
            <w:tc>
              <w:tcPr>
                <w:tcW w:w="990" w:type="dxa"/>
                <w:vAlign w:val="center"/>
              </w:tcPr>
              <w:p w:rsidR="001F30F1" w:rsidRDefault="001F30F1" w:rsidP="00B55EA7">
                <w:pPr>
                  <w:jc w:val="center"/>
                  <w:textAlignment w:val="center"/>
                  <w:rPr>
                    <w:rFonts w:cs="Arial"/>
                    <w:color w:val="000000"/>
                    <w:szCs w:val="18"/>
                  </w:rPr>
                </w:pPr>
                <w:r>
                  <w:rPr>
                    <w:rFonts w:cs="Arial"/>
                    <w:color w:val="000000"/>
                    <w:szCs w:val="18"/>
                  </w:rPr>
                  <w:t>12.</w:t>
                </w:r>
                <w:r w:rsidR="00B55EA7">
                  <w:rPr>
                    <w:rFonts w:cs="Arial"/>
                    <w:color w:val="000000"/>
                    <w:szCs w:val="18"/>
                  </w:rPr>
                  <w:t>25</w:t>
                </w:r>
                <w:r>
                  <w:rPr>
                    <w:rFonts w:cs="Arial"/>
                    <w:color w:val="000000"/>
                    <w:szCs w:val="18"/>
                  </w:rPr>
                  <w:t xml:space="preserve"> pm</w:t>
                </w:r>
              </w:p>
            </w:tc>
            <w:tc>
              <w:tcPr>
                <w:tcW w:w="966" w:type="dxa"/>
                <w:vAlign w:val="center"/>
              </w:tcPr>
              <w:p w:rsidR="001F30F1" w:rsidRPr="00DF28B1" w:rsidRDefault="00DF28B1" w:rsidP="001E78A6">
                <w:pPr>
                  <w:jc w:val="center"/>
                  <w:rPr>
                    <w:szCs w:val="18"/>
                  </w:rPr>
                </w:pPr>
                <w:r>
                  <w:rPr>
                    <w:szCs w:val="18"/>
                  </w:rPr>
                  <w:t>2.35 pm</w:t>
                </w:r>
              </w:p>
            </w:tc>
            <w:tc>
              <w:tcPr>
                <w:tcW w:w="1134" w:type="dxa"/>
                <w:vAlign w:val="center"/>
              </w:tcPr>
              <w:p w:rsidR="001F30F1" w:rsidRDefault="001F30F1" w:rsidP="00C058C4">
                <w:pPr>
                  <w:jc w:val="center"/>
                  <w:textAlignment w:val="center"/>
                  <w:rPr>
                    <w:rFonts w:cs="Arial"/>
                    <w:color w:val="000000"/>
                    <w:szCs w:val="18"/>
                  </w:rPr>
                </w:pPr>
                <w:r>
                  <w:rPr>
                    <w:rFonts w:cs="Arial"/>
                    <w:color w:val="000000"/>
                    <w:szCs w:val="18"/>
                  </w:rPr>
                  <w:t>Snowy Hydro</w:t>
                </w:r>
              </w:p>
            </w:tc>
            <w:tc>
              <w:tcPr>
                <w:tcW w:w="1176" w:type="dxa"/>
                <w:vAlign w:val="center"/>
              </w:tcPr>
              <w:p w:rsidR="001F30F1" w:rsidRDefault="001F30F1" w:rsidP="00FE3442">
                <w:pPr>
                  <w:textAlignment w:val="center"/>
                  <w:rPr>
                    <w:rFonts w:cs="Arial"/>
                    <w:color w:val="000000"/>
                    <w:szCs w:val="18"/>
                  </w:rPr>
                </w:pPr>
                <w:r>
                  <w:rPr>
                    <w:rFonts w:cs="Arial"/>
                    <w:color w:val="000000"/>
                    <w:szCs w:val="18"/>
                  </w:rPr>
                  <w:t>Tumut</w:t>
                </w:r>
              </w:p>
            </w:tc>
            <w:tc>
              <w:tcPr>
                <w:tcW w:w="1036" w:type="dxa"/>
                <w:vAlign w:val="center"/>
              </w:tcPr>
              <w:p w:rsidR="001F30F1" w:rsidRDefault="001F30F1" w:rsidP="001F30F1">
                <w:pPr>
                  <w:jc w:val="center"/>
                  <w:textAlignment w:val="center"/>
                  <w:rPr>
                    <w:rFonts w:cs="Arial"/>
                    <w:color w:val="000000"/>
                    <w:szCs w:val="18"/>
                  </w:rPr>
                </w:pPr>
                <w:r>
                  <w:rPr>
                    <w:rFonts w:cs="Arial"/>
                    <w:color w:val="000000"/>
                    <w:szCs w:val="18"/>
                  </w:rPr>
                  <w:t>32</w:t>
                </w:r>
              </w:p>
            </w:tc>
            <w:tc>
              <w:tcPr>
                <w:tcW w:w="1035" w:type="dxa"/>
                <w:vAlign w:val="center"/>
              </w:tcPr>
              <w:p w:rsidR="001F30F1" w:rsidRDefault="001F30F1" w:rsidP="001F30F1">
                <w:pPr>
                  <w:jc w:val="center"/>
                  <w:textAlignment w:val="center"/>
                  <w:rPr>
                    <w:rFonts w:cs="Arial"/>
                    <w:color w:val="000000"/>
                    <w:szCs w:val="18"/>
                  </w:rPr>
                </w:pPr>
                <w:r>
                  <w:rPr>
                    <w:rFonts w:cs="Arial"/>
                    <w:color w:val="000000"/>
                    <w:szCs w:val="18"/>
                  </w:rPr>
                  <w:t xml:space="preserve">50 </w:t>
                </w:r>
              </w:p>
            </w:tc>
            <w:tc>
              <w:tcPr>
                <w:tcW w:w="1036" w:type="dxa"/>
                <w:vAlign w:val="center"/>
              </w:tcPr>
              <w:p w:rsidR="001F30F1" w:rsidRDefault="001F30F1" w:rsidP="001F30F1">
                <w:pPr>
                  <w:jc w:val="center"/>
                  <w:textAlignment w:val="center"/>
                  <w:rPr>
                    <w:rFonts w:cs="Arial"/>
                    <w:color w:val="000000"/>
                    <w:szCs w:val="18"/>
                  </w:rPr>
                </w:pPr>
                <w:r>
                  <w:rPr>
                    <w:rFonts w:cs="Arial"/>
                    <w:color w:val="000000"/>
                    <w:szCs w:val="18"/>
                  </w:rPr>
                  <w:t>18</w:t>
                </w:r>
              </w:p>
            </w:tc>
            <w:tc>
              <w:tcPr>
                <w:tcW w:w="1524" w:type="dxa"/>
                <w:vAlign w:val="center"/>
              </w:tcPr>
              <w:p w:rsidR="001F30F1" w:rsidRDefault="001F30F1" w:rsidP="001F30F1">
                <w:pPr>
                  <w:textAlignment w:val="center"/>
                  <w:rPr>
                    <w:rFonts w:cs="Arial"/>
                    <w:color w:val="000000"/>
                    <w:szCs w:val="18"/>
                  </w:rPr>
                </w:pPr>
                <w:r>
                  <w:rPr>
                    <w:rFonts w:cs="Arial"/>
                    <w:sz w:val="16"/>
                    <w:szCs w:val="16"/>
                  </w:rPr>
                  <w:t>12:01:00 A NSW 30MIN PD PRICE $11,277.87 HIGHER THAN 30MIN PD 16:30@11:31 ($13,800.00)</w:t>
                </w:r>
              </w:p>
            </w:tc>
          </w:tr>
          <w:tr w:rsidR="00271FC7" w:rsidRPr="00FE396E" w:rsidTr="00F0486A">
            <w:trPr>
              <w:cnfStyle w:val="000000100000" w:firstRow="0" w:lastRow="0" w:firstColumn="0" w:lastColumn="0" w:oddVBand="0" w:evenVBand="0" w:oddHBand="1" w:evenHBand="0" w:firstRowFirstColumn="0" w:firstRowLastColumn="0" w:lastRowFirstColumn="0" w:lastRowLastColumn="0"/>
              <w:trHeight w:val="606"/>
            </w:trPr>
            <w:tc>
              <w:tcPr>
                <w:tcW w:w="990" w:type="dxa"/>
                <w:vAlign w:val="center"/>
              </w:tcPr>
              <w:p w:rsidR="00B55EA7" w:rsidRDefault="00B55EA7" w:rsidP="005116A4">
                <w:pPr>
                  <w:jc w:val="center"/>
                  <w:textAlignment w:val="center"/>
                  <w:rPr>
                    <w:rFonts w:cs="Arial"/>
                    <w:color w:val="000000"/>
                    <w:szCs w:val="18"/>
                  </w:rPr>
                </w:pPr>
                <w:r>
                  <w:rPr>
                    <w:rFonts w:cs="Arial"/>
                    <w:color w:val="000000"/>
                    <w:szCs w:val="18"/>
                  </w:rPr>
                  <w:t>12.25 pm</w:t>
                </w:r>
              </w:p>
            </w:tc>
            <w:tc>
              <w:tcPr>
                <w:tcW w:w="966" w:type="dxa"/>
                <w:vAlign w:val="center"/>
              </w:tcPr>
              <w:p w:rsidR="00B55EA7" w:rsidRPr="00DF28B1" w:rsidRDefault="00DF28B1" w:rsidP="00DF28B1">
                <w:pPr>
                  <w:jc w:val="center"/>
                  <w:rPr>
                    <w:szCs w:val="18"/>
                  </w:rPr>
                </w:pPr>
                <w:r>
                  <w:rPr>
                    <w:szCs w:val="18"/>
                  </w:rPr>
                  <w:t>2.35 pm</w:t>
                </w:r>
              </w:p>
            </w:tc>
            <w:tc>
              <w:tcPr>
                <w:tcW w:w="1134" w:type="dxa"/>
                <w:vAlign w:val="center"/>
              </w:tcPr>
              <w:p w:rsidR="00B55EA7" w:rsidRDefault="00B55EA7" w:rsidP="005116A4">
                <w:pPr>
                  <w:jc w:val="center"/>
                  <w:textAlignment w:val="center"/>
                  <w:rPr>
                    <w:rFonts w:cs="Arial"/>
                    <w:color w:val="000000"/>
                    <w:szCs w:val="18"/>
                  </w:rPr>
                </w:pPr>
                <w:r>
                  <w:rPr>
                    <w:rFonts w:cs="Arial"/>
                    <w:color w:val="000000"/>
                    <w:szCs w:val="18"/>
                  </w:rPr>
                  <w:t>Snowy Hydro</w:t>
                </w:r>
              </w:p>
            </w:tc>
            <w:tc>
              <w:tcPr>
                <w:tcW w:w="1176" w:type="dxa"/>
                <w:vAlign w:val="center"/>
              </w:tcPr>
              <w:p w:rsidR="00B55EA7" w:rsidRDefault="00B55EA7" w:rsidP="005116A4">
                <w:pPr>
                  <w:textAlignment w:val="center"/>
                  <w:rPr>
                    <w:rFonts w:cs="Arial"/>
                    <w:color w:val="000000"/>
                    <w:szCs w:val="18"/>
                  </w:rPr>
                </w:pPr>
                <w:r>
                  <w:rPr>
                    <w:rFonts w:cs="Arial"/>
                    <w:color w:val="000000"/>
                    <w:szCs w:val="18"/>
                  </w:rPr>
                  <w:t>Upper Tumut</w:t>
                </w:r>
              </w:p>
            </w:tc>
            <w:tc>
              <w:tcPr>
                <w:tcW w:w="1036" w:type="dxa"/>
                <w:vAlign w:val="center"/>
              </w:tcPr>
              <w:p w:rsidR="00B55EA7" w:rsidRDefault="00B55EA7" w:rsidP="005116A4">
                <w:pPr>
                  <w:jc w:val="center"/>
                  <w:textAlignment w:val="center"/>
                  <w:rPr>
                    <w:rFonts w:cs="Arial"/>
                    <w:color w:val="000000"/>
                    <w:szCs w:val="18"/>
                  </w:rPr>
                </w:pPr>
                <w:r>
                  <w:rPr>
                    <w:rFonts w:cs="Arial"/>
                    <w:color w:val="000000"/>
                    <w:szCs w:val="18"/>
                  </w:rPr>
                  <w:t>4</w:t>
                </w:r>
              </w:p>
            </w:tc>
            <w:tc>
              <w:tcPr>
                <w:tcW w:w="1035" w:type="dxa"/>
                <w:vAlign w:val="center"/>
              </w:tcPr>
              <w:p w:rsidR="00B55EA7" w:rsidRDefault="00B55EA7" w:rsidP="005116A4">
                <w:pPr>
                  <w:jc w:val="center"/>
                  <w:textAlignment w:val="center"/>
                  <w:rPr>
                    <w:rFonts w:cs="Arial"/>
                    <w:color w:val="000000"/>
                    <w:szCs w:val="18"/>
                  </w:rPr>
                </w:pPr>
                <w:r>
                  <w:rPr>
                    <w:rFonts w:cs="Arial"/>
                    <w:color w:val="000000"/>
                    <w:szCs w:val="18"/>
                  </w:rPr>
                  <w:t>20</w:t>
                </w:r>
              </w:p>
            </w:tc>
            <w:tc>
              <w:tcPr>
                <w:tcW w:w="1036" w:type="dxa"/>
                <w:vAlign w:val="center"/>
              </w:tcPr>
              <w:p w:rsidR="00B55EA7" w:rsidRDefault="00B55EA7" w:rsidP="005116A4">
                <w:pPr>
                  <w:jc w:val="center"/>
                  <w:textAlignment w:val="center"/>
                  <w:rPr>
                    <w:rFonts w:cs="Arial"/>
                    <w:color w:val="000000"/>
                    <w:szCs w:val="18"/>
                  </w:rPr>
                </w:pPr>
                <w:r>
                  <w:rPr>
                    <w:rFonts w:cs="Arial"/>
                    <w:color w:val="000000"/>
                    <w:szCs w:val="18"/>
                  </w:rPr>
                  <w:t>16</w:t>
                </w:r>
              </w:p>
            </w:tc>
            <w:tc>
              <w:tcPr>
                <w:tcW w:w="1524" w:type="dxa"/>
                <w:vAlign w:val="center"/>
              </w:tcPr>
              <w:p w:rsidR="00B55EA7" w:rsidRDefault="00B55EA7" w:rsidP="005116A4">
                <w:pPr>
                  <w:textAlignment w:val="center"/>
                  <w:rPr>
                    <w:rFonts w:cs="Arial"/>
                    <w:color w:val="000000"/>
                    <w:szCs w:val="18"/>
                  </w:rPr>
                </w:pPr>
                <w:r>
                  <w:rPr>
                    <w:rFonts w:cs="Arial"/>
                    <w:sz w:val="16"/>
                    <w:szCs w:val="16"/>
                  </w:rPr>
                  <w:t>12:01:00 A NSW 30MIN PD PRICE $11,277.87 HIGHER THAN 30MIN PD 16:30@11:31 ($13,800.00)</w:t>
                </w:r>
              </w:p>
            </w:tc>
          </w:tr>
          <w:tr w:rsidR="00271FC7" w:rsidRPr="00FE396E" w:rsidTr="00F0486A">
            <w:trPr>
              <w:cnfStyle w:val="000000010000" w:firstRow="0" w:lastRow="0" w:firstColumn="0" w:lastColumn="0" w:oddVBand="0" w:evenVBand="0" w:oddHBand="0" w:evenHBand="1" w:firstRowFirstColumn="0" w:firstRowLastColumn="0" w:lastRowFirstColumn="0" w:lastRowLastColumn="0"/>
              <w:trHeight w:val="606"/>
            </w:trPr>
            <w:tc>
              <w:tcPr>
                <w:tcW w:w="990" w:type="dxa"/>
                <w:vAlign w:val="center"/>
              </w:tcPr>
              <w:p w:rsidR="00B55EA7" w:rsidRDefault="00B55EA7" w:rsidP="005116A4">
                <w:pPr>
                  <w:jc w:val="center"/>
                  <w:textAlignment w:val="center"/>
                  <w:rPr>
                    <w:rFonts w:cs="Arial"/>
                    <w:color w:val="000000"/>
                    <w:szCs w:val="18"/>
                  </w:rPr>
                </w:pPr>
                <w:r>
                  <w:rPr>
                    <w:rFonts w:cs="Arial"/>
                    <w:color w:val="000000"/>
                    <w:szCs w:val="18"/>
                  </w:rPr>
                  <w:t>12.25 pm</w:t>
                </w:r>
              </w:p>
            </w:tc>
            <w:tc>
              <w:tcPr>
                <w:tcW w:w="966" w:type="dxa"/>
                <w:vAlign w:val="center"/>
              </w:tcPr>
              <w:p w:rsidR="00B55EA7" w:rsidRPr="00DF28B1" w:rsidRDefault="00DF28B1" w:rsidP="005116A4">
                <w:pPr>
                  <w:jc w:val="center"/>
                  <w:rPr>
                    <w:szCs w:val="18"/>
                  </w:rPr>
                </w:pPr>
                <w:r>
                  <w:rPr>
                    <w:szCs w:val="18"/>
                  </w:rPr>
                  <w:t>2.35 pm</w:t>
                </w:r>
              </w:p>
            </w:tc>
            <w:tc>
              <w:tcPr>
                <w:tcW w:w="1134" w:type="dxa"/>
                <w:vAlign w:val="center"/>
              </w:tcPr>
              <w:p w:rsidR="00B55EA7" w:rsidRDefault="00B55EA7" w:rsidP="005116A4">
                <w:pPr>
                  <w:jc w:val="center"/>
                  <w:textAlignment w:val="center"/>
                  <w:rPr>
                    <w:rFonts w:cs="Arial"/>
                    <w:color w:val="000000"/>
                    <w:szCs w:val="18"/>
                  </w:rPr>
                </w:pPr>
                <w:r>
                  <w:rPr>
                    <w:rFonts w:cs="Arial"/>
                    <w:color w:val="000000"/>
                    <w:szCs w:val="18"/>
                  </w:rPr>
                  <w:t>Snowy Hydro</w:t>
                </w:r>
              </w:p>
            </w:tc>
            <w:tc>
              <w:tcPr>
                <w:tcW w:w="1176" w:type="dxa"/>
                <w:vAlign w:val="center"/>
              </w:tcPr>
              <w:p w:rsidR="00B55EA7" w:rsidRDefault="00B55EA7" w:rsidP="005116A4">
                <w:pPr>
                  <w:textAlignment w:val="center"/>
                  <w:rPr>
                    <w:rFonts w:cs="Arial"/>
                    <w:color w:val="000000"/>
                    <w:szCs w:val="18"/>
                  </w:rPr>
                </w:pPr>
                <w:r>
                  <w:rPr>
                    <w:rFonts w:cs="Arial"/>
                    <w:color w:val="000000"/>
                    <w:szCs w:val="18"/>
                  </w:rPr>
                  <w:t>Guthega</w:t>
                </w:r>
              </w:p>
            </w:tc>
            <w:tc>
              <w:tcPr>
                <w:tcW w:w="1036" w:type="dxa"/>
                <w:vAlign w:val="center"/>
              </w:tcPr>
              <w:p w:rsidR="00B55EA7" w:rsidRDefault="00B55EA7" w:rsidP="005116A4">
                <w:pPr>
                  <w:jc w:val="center"/>
                  <w:textAlignment w:val="center"/>
                  <w:rPr>
                    <w:rFonts w:cs="Arial"/>
                    <w:color w:val="000000"/>
                    <w:szCs w:val="18"/>
                  </w:rPr>
                </w:pPr>
                <w:r>
                  <w:rPr>
                    <w:rFonts w:cs="Arial"/>
                    <w:color w:val="000000"/>
                    <w:szCs w:val="18"/>
                  </w:rPr>
                  <w:t>8</w:t>
                </w:r>
              </w:p>
            </w:tc>
            <w:tc>
              <w:tcPr>
                <w:tcW w:w="1035" w:type="dxa"/>
                <w:vAlign w:val="center"/>
              </w:tcPr>
              <w:p w:rsidR="00B55EA7" w:rsidRDefault="00B55EA7" w:rsidP="005116A4">
                <w:pPr>
                  <w:jc w:val="center"/>
                  <w:textAlignment w:val="center"/>
                  <w:rPr>
                    <w:rFonts w:cs="Arial"/>
                    <w:color w:val="000000"/>
                    <w:szCs w:val="18"/>
                  </w:rPr>
                </w:pPr>
                <w:r>
                  <w:rPr>
                    <w:rFonts w:cs="Arial"/>
                    <w:color w:val="000000"/>
                    <w:szCs w:val="18"/>
                  </w:rPr>
                  <w:t>10</w:t>
                </w:r>
              </w:p>
            </w:tc>
            <w:tc>
              <w:tcPr>
                <w:tcW w:w="1036" w:type="dxa"/>
                <w:vAlign w:val="center"/>
              </w:tcPr>
              <w:p w:rsidR="00B55EA7" w:rsidRDefault="00B55EA7" w:rsidP="005116A4">
                <w:pPr>
                  <w:jc w:val="center"/>
                  <w:textAlignment w:val="center"/>
                  <w:rPr>
                    <w:rFonts w:cs="Arial"/>
                    <w:color w:val="000000"/>
                    <w:szCs w:val="18"/>
                  </w:rPr>
                </w:pPr>
                <w:r>
                  <w:rPr>
                    <w:rFonts w:cs="Arial"/>
                    <w:color w:val="000000"/>
                    <w:szCs w:val="18"/>
                  </w:rPr>
                  <w:t>2</w:t>
                </w:r>
              </w:p>
            </w:tc>
            <w:tc>
              <w:tcPr>
                <w:tcW w:w="1524" w:type="dxa"/>
                <w:vAlign w:val="center"/>
              </w:tcPr>
              <w:p w:rsidR="00B55EA7" w:rsidRDefault="00B55EA7" w:rsidP="005116A4">
                <w:pPr>
                  <w:textAlignment w:val="center"/>
                  <w:rPr>
                    <w:rFonts w:cs="Arial"/>
                    <w:color w:val="000000"/>
                    <w:szCs w:val="18"/>
                  </w:rPr>
                </w:pPr>
                <w:r>
                  <w:rPr>
                    <w:rFonts w:cs="Arial"/>
                    <w:sz w:val="16"/>
                    <w:szCs w:val="16"/>
                  </w:rPr>
                  <w:t>12:01:00 A NSW 30MIN PD PRICE $11,277.87 HIGHER THAN 30MIN PD 16:30@11:31 ($13,800.00)</w:t>
                </w:r>
              </w:p>
            </w:tc>
          </w:tr>
          <w:tr w:rsidR="00AA34ED" w:rsidRPr="00FE396E" w:rsidTr="00F0486A">
            <w:trPr>
              <w:cnfStyle w:val="000000100000" w:firstRow="0" w:lastRow="0" w:firstColumn="0" w:lastColumn="0" w:oddVBand="0" w:evenVBand="0" w:oddHBand="1" w:evenHBand="0" w:firstRowFirstColumn="0" w:firstRowLastColumn="0" w:lastRowFirstColumn="0" w:lastRowLastColumn="0"/>
              <w:trHeight w:val="606"/>
            </w:trPr>
            <w:tc>
              <w:tcPr>
                <w:tcW w:w="990" w:type="dxa"/>
                <w:vAlign w:val="center"/>
              </w:tcPr>
              <w:p w:rsidR="00AA34ED" w:rsidRDefault="00271FC7" w:rsidP="005116A4">
                <w:pPr>
                  <w:jc w:val="center"/>
                  <w:textAlignment w:val="center"/>
                  <w:rPr>
                    <w:rFonts w:cs="Arial"/>
                    <w:color w:val="000000"/>
                    <w:szCs w:val="18"/>
                  </w:rPr>
                </w:pPr>
                <w:r>
                  <w:rPr>
                    <w:rFonts w:cs="Arial"/>
                    <w:color w:val="000000"/>
                    <w:szCs w:val="18"/>
                  </w:rPr>
                  <w:t>2.28 pm</w:t>
                </w:r>
              </w:p>
            </w:tc>
            <w:tc>
              <w:tcPr>
                <w:tcW w:w="966" w:type="dxa"/>
                <w:vAlign w:val="center"/>
              </w:tcPr>
              <w:p w:rsidR="00AA34ED" w:rsidRPr="00DF28B1" w:rsidRDefault="00DF28B1" w:rsidP="005116A4">
                <w:pPr>
                  <w:jc w:val="center"/>
                  <w:rPr>
                    <w:szCs w:val="18"/>
                  </w:rPr>
                </w:pPr>
                <w:r>
                  <w:rPr>
                    <w:szCs w:val="18"/>
                  </w:rPr>
                  <w:t>2.35 pm</w:t>
                </w:r>
              </w:p>
            </w:tc>
            <w:tc>
              <w:tcPr>
                <w:tcW w:w="1134" w:type="dxa"/>
                <w:vAlign w:val="center"/>
              </w:tcPr>
              <w:p w:rsidR="00AA34ED" w:rsidRDefault="00271FC7" w:rsidP="005116A4">
                <w:pPr>
                  <w:jc w:val="center"/>
                  <w:textAlignment w:val="center"/>
                  <w:rPr>
                    <w:rFonts w:cs="Arial"/>
                    <w:color w:val="000000"/>
                    <w:szCs w:val="18"/>
                  </w:rPr>
                </w:pPr>
                <w:r>
                  <w:rPr>
                    <w:rFonts w:cs="Arial"/>
                    <w:color w:val="000000"/>
                    <w:szCs w:val="18"/>
                  </w:rPr>
                  <w:t>Origin</w:t>
                </w:r>
              </w:p>
            </w:tc>
            <w:tc>
              <w:tcPr>
                <w:tcW w:w="1176" w:type="dxa"/>
                <w:vAlign w:val="center"/>
              </w:tcPr>
              <w:p w:rsidR="00AA34ED" w:rsidRDefault="00271FC7" w:rsidP="005116A4">
                <w:pPr>
                  <w:textAlignment w:val="center"/>
                  <w:rPr>
                    <w:rFonts w:cs="Arial"/>
                    <w:color w:val="000000"/>
                    <w:szCs w:val="18"/>
                  </w:rPr>
                </w:pPr>
                <w:r>
                  <w:rPr>
                    <w:rFonts w:cs="Arial"/>
                    <w:color w:val="000000"/>
                    <w:szCs w:val="18"/>
                  </w:rPr>
                  <w:t>Shoalhaven</w:t>
                </w:r>
              </w:p>
            </w:tc>
            <w:tc>
              <w:tcPr>
                <w:tcW w:w="1036" w:type="dxa"/>
                <w:vAlign w:val="center"/>
              </w:tcPr>
              <w:p w:rsidR="00AA34ED" w:rsidRDefault="00271FC7" w:rsidP="005116A4">
                <w:pPr>
                  <w:jc w:val="center"/>
                  <w:textAlignment w:val="center"/>
                  <w:rPr>
                    <w:rFonts w:cs="Arial"/>
                    <w:color w:val="000000"/>
                    <w:szCs w:val="18"/>
                  </w:rPr>
                </w:pPr>
                <w:r>
                  <w:rPr>
                    <w:rFonts w:cs="Arial"/>
                    <w:color w:val="000000"/>
                    <w:szCs w:val="18"/>
                  </w:rPr>
                  <w:t>4</w:t>
                </w:r>
              </w:p>
            </w:tc>
            <w:tc>
              <w:tcPr>
                <w:tcW w:w="1035" w:type="dxa"/>
                <w:vAlign w:val="center"/>
              </w:tcPr>
              <w:p w:rsidR="00AA34ED" w:rsidRDefault="00271FC7" w:rsidP="005116A4">
                <w:pPr>
                  <w:jc w:val="center"/>
                  <w:textAlignment w:val="center"/>
                  <w:rPr>
                    <w:rFonts w:cs="Arial"/>
                    <w:color w:val="000000"/>
                    <w:szCs w:val="18"/>
                  </w:rPr>
                </w:pPr>
                <w:r>
                  <w:rPr>
                    <w:rFonts w:cs="Arial"/>
                    <w:color w:val="000000"/>
                    <w:szCs w:val="18"/>
                  </w:rPr>
                  <w:t>10</w:t>
                </w:r>
              </w:p>
            </w:tc>
            <w:tc>
              <w:tcPr>
                <w:tcW w:w="1036" w:type="dxa"/>
                <w:vAlign w:val="center"/>
              </w:tcPr>
              <w:p w:rsidR="00AA34ED" w:rsidRDefault="00271FC7" w:rsidP="005116A4">
                <w:pPr>
                  <w:jc w:val="center"/>
                  <w:textAlignment w:val="center"/>
                  <w:rPr>
                    <w:rFonts w:cs="Arial"/>
                    <w:color w:val="000000"/>
                    <w:szCs w:val="18"/>
                  </w:rPr>
                </w:pPr>
                <w:r>
                  <w:rPr>
                    <w:rFonts w:cs="Arial"/>
                    <w:color w:val="000000"/>
                    <w:szCs w:val="18"/>
                  </w:rPr>
                  <w:t>6</w:t>
                </w:r>
              </w:p>
            </w:tc>
            <w:tc>
              <w:tcPr>
                <w:tcW w:w="1524" w:type="dxa"/>
                <w:vAlign w:val="center"/>
              </w:tcPr>
              <w:p w:rsidR="00AA34ED" w:rsidRDefault="00271FC7" w:rsidP="005116A4">
                <w:pPr>
                  <w:textAlignment w:val="center"/>
                  <w:rPr>
                    <w:rFonts w:cs="Arial"/>
                    <w:sz w:val="16"/>
                    <w:szCs w:val="16"/>
                  </w:rPr>
                </w:pPr>
                <w:r>
                  <w:rPr>
                    <w:rFonts w:cs="Arial"/>
                    <w:sz w:val="16"/>
                    <w:szCs w:val="16"/>
                  </w:rPr>
                  <w:t>1428P PLANT CONDITIONS - ROC ADJUSTED SL</w:t>
                </w:r>
              </w:p>
            </w:tc>
          </w:tr>
        </w:tbl>
        <w:p w:rsidR="00AB3B54" w:rsidRDefault="00AB3B54">
          <w:pPr>
            <w:spacing w:line="240" w:lineRule="auto"/>
            <w:jc w:val="left"/>
          </w:pPr>
          <w:r>
            <w:br w:type="page"/>
          </w:r>
        </w:p>
        <w:p w:rsidR="00C7068C" w:rsidRDefault="003250C8" w:rsidP="003250C8">
          <w:pPr>
            <w:pStyle w:val="Heading1notnumber"/>
          </w:pPr>
          <w:bookmarkStart w:id="24" w:name="_Toc470075237"/>
          <w:r>
            <w:lastRenderedPageBreak/>
            <w:t xml:space="preserve">Appendix </w:t>
          </w:r>
          <w:r w:rsidR="00C7068C">
            <w:t>B</w:t>
          </w:r>
          <w:r w:rsidR="00B602E3">
            <w:t>:</w:t>
          </w:r>
          <w:r w:rsidR="000C465E">
            <w:t xml:space="preserve"> </w:t>
          </w:r>
          <w:r w:rsidR="00C7068C">
            <w:t>Price setter</w:t>
          </w:r>
          <w:bookmarkEnd w:id="24"/>
        </w:p>
        <w:p w:rsidR="00C7068C" w:rsidRPr="001E78A6" w:rsidRDefault="00C7068C" w:rsidP="00460BC8">
          <w:pPr>
            <w:pStyle w:val="AERBody"/>
          </w:pPr>
          <w:r w:rsidRPr="001E78A6">
            <w:t>The following table identifies for the trading interval in which the spot price exceeded $5000/MWh, each five minute dispatch interval price and the generating units involved in setting the energy price. This information is published by AEMO.</w:t>
          </w:r>
          <w:r w:rsidRPr="001E78A6">
            <w:rPr>
              <w:rStyle w:val="FootnoteReference"/>
            </w:rPr>
            <w:footnoteReference w:id="6"/>
          </w:r>
          <w:r w:rsidRPr="001E78A6">
            <w:t xml:space="preserve"> The 30-minute spot price is the average of the six dispatch interval prices.</w:t>
          </w:r>
        </w:p>
        <w:p w:rsidR="00EC4A12" w:rsidRDefault="000B47DF" w:rsidP="000B47DF">
          <w:pPr>
            <w:pStyle w:val="Caption"/>
          </w:pPr>
          <w:r>
            <w:t xml:space="preserve">Table </w:t>
          </w:r>
          <w:r w:rsidR="00C7302A">
            <w:fldChar w:fldCharType="begin"/>
          </w:r>
          <w:r w:rsidR="00C7302A">
            <w:instrText xml:space="preserve"> SEQ Table \* ARABIC </w:instrText>
          </w:r>
          <w:r w:rsidR="00C7302A">
            <w:fldChar w:fldCharType="separate"/>
          </w:r>
          <w:r w:rsidR="00175BBF">
            <w:rPr>
              <w:noProof/>
            </w:rPr>
            <w:t>5</w:t>
          </w:r>
          <w:r w:rsidR="00C7302A">
            <w:rPr>
              <w:noProof/>
            </w:rPr>
            <w:fldChar w:fldCharType="end"/>
          </w:r>
          <w:r>
            <w:t xml:space="preserve">: Price setter for the </w:t>
          </w:r>
          <w:r w:rsidR="00CF1FCE">
            <w:t>3</w:t>
          </w:r>
          <w:r w:rsidR="00247FC3">
            <w:t>.30</w:t>
          </w:r>
          <w:r w:rsidR="00EC4A12">
            <w:t> pm</w:t>
          </w:r>
          <w:r>
            <w:t xml:space="preserve"> trading interval</w:t>
          </w:r>
        </w:p>
        <w:tbl>
          <w:tblPr>
            <w:tblStyle w:val="AERTable-Text"/>
            <w:tblW w:w="5385" w:type="pct"/>
            <w:tblInd w:w="-34" w:type="dxa"/>
            <w:tblLayout w:type="fixed"/>
            <w:tblLook w:val="04A0" w:firstRow="1" w:lastRow="0" w:firstColumn="1" w:lastColumn="0" w:noHBand="0" w:noVBand="1"/>
          </w:tblPr>
          <w:tblGrid>
            <w:gridCol w:w="712"/>
            <w:gridCol w:w="1150"/>
            <w:gridCol w:w="1496"/>
            <w:gridCol w:w="1316"/>
            <w:gridCol w:w="1005"/>
            <w:gridCol w:w="1127"/>
            <w:gridCol w:w="985"/>
            <w:gridCol w:w="1571"/>
          </w:tblGrid>
          <w:tr w:rsidR="000B47DF" w:rsidRPr="00DD0001" w:rsidTr="00A47107">
            <w:trPr>
              <w:cnfStyle w:val="100000000000" w:firstRow="1" w:lastRow="0" w:firstColumn="0" w:lastColumn="0" w:oddVBand="0" w:evenVBand="0" w:oddHBand="0" w:evenHBand="0" w:firstRowFirstColumn="0" w:firstRowLastColumn="0" w:lastRowFirstColumn="0" w:lastRowLastColumn="0"/>
              <w:trHeight w:hRule="exact" w:val="737"/>
            </w:trPr>
            <w:tc>
              <w:tcPr>
                <w:tcW w:w="380" w:type="pct"/>
              </w:tcPr>
              <w:p w:rsidR="00094459" w:rsidRPr="00A47107" w:rsidRDefault="00094459" w:rsidP="000B47DF">
                <w:pPr>
                  <w:pStyle w:val="TableHeading"/>
                  <w:keepNext/>
                  <w:rPr>
                    <w:b/>
                  </w:rPr>
                </w:pPr>
                <w:r w:rsidRPr="00A47107">
                  <w:rPr>
                    <w:b/>
                  </w:rPr>
                  <w:t>DI</w:t>
                </w:r>
              </w:p>
            </w:tc>
            <w:tc>
              <w:tcPr>
                <w:tcW w:w="614" w:type="pct"/>
              </w:tcPr>
              <w:p w:rsidR="00094459" w:rsidRPr="00A47107" w:rsidRDefault="00094459" w:rsidP="000B47DF">
                <w:pPr>
                  <w:pStyle w:val="TableHeading"/>
                  <w:keepNext/>
                  <w:rPr>
                    <w:b/>
                  </w:rPr>
                </w:pPr>
                <w:r w:rsidRPr="00A47107">
                  <w:rPr>
                    <w:b/>
                  </w:rPr>
                  <w:t>Dispatch Price ($/MWh)</w:t>
                </w:r>
              </w:p>
            </w:tc>
            <w:tc>
              <w:tcPr>
                <w:tcW w:w="799" w:type="pct"/>
              </w:tcPr>
              <w:p w:rsidR="00094459" w:rsidRPr="00A47107" w:rsidRDefault="00094459" w:rsidP="000B47DF">
                <w:pPr>
                  <w:pStyle w:val="TableHeading"/>
                  <w:keepNext/>
                  <w:rPr>
                    <w:b/>
                  </w:rPr>
                </w:pPr>
                <w:r w:rsidRPr="00A47107">
                  <w:rPr>
                    <w:b/>
                  </w:rPr>
                  <w:t>Participant</w:t>
                </w:r>
              </w:p>
            </w:tc>
            <w:tc>
              <w:tcPr>
                <w:tcW w:w="703" w:type="pct"/>
              </w:tcPr>
              <w:p w:rsidR="00094459" w:rsidRPr="00A47107" w:rsidRDefault="00094459" w:rsidP="000B47DF">
                <w:pPr>
                  <w:pStyle w:val="TableHeading"/>
                  <w:keepNext/>
                  <w:rPr>
                    <w:b/>
                  </w:rPr>
                </w:pPr>
                <w:r w:rsidRPr="00A47107">
                  <w:rPr>
                    <w:b/>
                  </w:rPr>
                  <w:t>Unit</w:t>
                </w:r>
              </w:p>
            </w:tc>
            <w:tc>
              <w:tcPr>
                <w:tcW w:w="537" w:type="pct"/>
              </w:tcPr>
              <w:p w:rsidR="00094459" w:rsidRPr="00A47107" w:rsidRDefault="00094459" w:rsidP="000B47DF">
                <w:pPr>
                  <w:pStyle w:val="TableHeading"/>
                  <w:keepNext/>
                  <w:rPr>
                    <w:b/>
                  </w:rPr>
                </w:pPr>
                <w:r w:rsidRPr="00A47107">
                  <w:rPr>
                    <w:b/>
                  </w:rPr>
                  <w:t>Service</w:t>
                </w:r>
              </w:p>
            </w:tc>
            <w:tc>
              <w:tcPr>
                <w:tcW w:w="602" w:type="pct"/>
              </w:tcPr>
              <w:p w:rsidR="00094459" w:rsidRPr="00A47107" w:rsidRDefault="00094459" w:rsidP="000B47DF">
                <w:pPr>
                  <w:pStyle w:val="TableHeading"/>
                  <w:keepNext/>
                  <w:rPr>
                    <w:b/>
                  </w:rPr>
                </w:pPr>
                <w:r w:rsidRPr="00A47107">
                  <w:rPr>
                    <w:b/>
                  </w:rPr>
                  <w:t>Offer price ($/MWh)</w:t>
                </w:r>
              </w:p>
            </w:tc>
            <w:tc>
              <w:tcPr>
                <w:tcW w:w="526" w:type="pct"/>
              </w:tcPr>
              <w:p w:rsidR="00094459" w:rsidRPr="00A47107" w:rsidRDefault="00094459" w:rsidP="00A47107">
                <w:pPr>
                  <w:pStyle w:val="TableHeading"/>
                  <w:keepNext/>
                  <w:ind w:left="-53" w:right="-60"/>
                  <w:rPr>
                    <w:b/>
                  </w:rPr>
                </w:pPr>
                <w:r w:rsidRPr="00A47107">
                  <w:rPr>
                    <w:b/>
                  </w:rPr>
                  <w:t>Margina</w:t>
                </w:r>
                <w:r w:rsidR="00A47107">
                  <w:rPr>
                    <w:b/>
                  </w:rPr>
                  <w:t>l</w:t>
                </w:r>
                <w:r w:rsidRPr="00A47107">
                  <w:rPr>
                    <w:b/>
                  </w:rPr>
                  <w:t xml:space="preserve"> change</w:t>
                </w:r>
              </w:p>
            </w:tc>
            <w:tc>
              <w:tcPr>
                <w:tcW w:w="840" w:type="pct"/>
              </w:tcPr>
              <w:p w:rsidR="00094459" w:rsidRPr="000B47DF" w:rsidRDefault="00094459" w:rsidP="000B47DF">
                <w:pPr>
                  <w:pStyle w:val="TableHeading"/>
                  <w:keepNext/>
                  <w:rPr>
                    <w:b/>
                  </w:rPr>
                </w:pPr>
                <w:r w:rsidRPr="00A47107">
                  <w:rPr>
                    <w:b/>
                  </w:rPr>
                  <w:t>Contribution</w:t>
                </w:r>
              </w:p>
            </w:tc>
          </w:tr>
          <w:tr w:rsidR="00636D00" w:rsidRPr="00796046" w:rsidTr="00A4710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Pr>
              <w:p w:rsidR="001E78A6" w:rsidRDefault="001E78A6" w:rsidP="00B01BFF">
                <w:pPr>
                  <w:pStyle w:val="tablebodycentered"/>
                </w:pPr>
                <w:r>
                  <w:t>15:05</w:t>
                </w:r>
              </w:p>
            </w:tc>
            <w:tc>
              <w:tcPr>
                <w:tcW w:w="614" w:type="pct"/>
              </w:tcPr>
              <w:p w:rsidR="001E78A6" w:rsidRDefault="001E78A6" w:rsidP="00B01BFF">
                <w:pPr>
                  <w:pStyle w:val="tablebodycentered"/>
                </w:pPr>
                <w:r>
                  <w:t>$13</w:t>
                </w:r>
                <w:r w:rsidR="00B01BFF">
                  <w:t> </w:t>
                </w:r>
                <w:r>
                  <w:t>800.00</w:t>
                </w:r>
              </w:p>
            </w:tc>
            <w:tc>
              <w:tcPr>
                <w:tcW w:w="799" w:type="pct"/>
              </w:tcPr>
              <w:p w:rsidR="001E78A6" w:rsidRDefault="001E78A6" w:rsidP="00B01BFF">
                <w:pPr>
                  <w:pStyle w:val="tablebodycentered"/>
                </w:pPr>
                <w:r>
                  <w:t>Delta Electricity</w:t>
                </w:r>
              </w:p>
            </w:tc>
            <w:tc>
              <w:tcPr>
                <w:tcW w:w="703" w:type="pct"/>
              </w:tcPr>
              <w:p w:rsidR="001E78A6" w:rsidRDefault="001E78A6" w:rsidP="00B01BFF">
                <w:pPr>
                  <w:pStyle w:val="tablebodycentered"/>
                </w:pPr>
                <w:r>
                  <w:t>VP5</w:t>
                </w:r>
              </w:p>
            </w:tc>
            <w:tc>
              <w:tcPr>
                <w:tcW w:w="537" w:type="pct"/>
              </w:tcPr>
              <w:p w:rsidR="001E78A6" w:rsidRDefault="001E78A6" w:rsidP="00B01BFF">
                <w:pPr>
                  <w:pStyle w:val="tablebodycentered"/>
                </w:pPr>
                <w:r>
                  <w:t>Energy</w:t>
                </w:r>
              </w:p>
            </w:tc>
            <w:tc>
              <w:tcPr>
                <w:tcW w:w="602" w:type="pct"/>
              </w:tcPr>
              <w:p w:rsidR="001E78A6" w:rsidRDefault="001E78A6" w:rsidP="00B01BFF">
                <w:pPr>
                  <w:pStyle w:val="tablebodycentered"/>
                </w:pPr>
                <w:r>
                  <w:t>$13</w:t>
                </w:r>
                <w:r w:rsidR="00B01BFF">
                  <w:t> </w:t>
                </w:r>
                <w:r>
                  <w:t>800.00</w:t>
                </w:r>
              </w:p>
            </w:tc>
            <w:tc>
              <w:tcPr>
                <w:tcW w:w="526" w:type="pct"/>
              </w:tcPr>
              <w:p w:rsidR="001E78A6" w:rsidRDefault="001E78A6" w:rsidP="00B01BFF">
                <w:pPr>
                  <w:pStyle w:val="tablebodycentered"/>
                </w:pPr>
                <w:r>
                  <w:t>0.50</w:t>
                </w:r>
              </w:p>
            </w:tc>
            <w:tc>
              <w:tcPr>
                <w:tcW w:w="840" w:type="pct"/>
              </w:tcPr>
              <w:p w:rsidR="001E78A6" w:rsidRDefault="001E78A6" w:rsidP="00B01BFF">
                <w:pPr>
                  <w:pStyle w:val="tablebodycentered"/>
                </w:pPr>
                <w:r>
                  <w:t>$6900.00</w:t>
                </w:r>
              </w:p>
            </w:tc>
          </w:tr>
          <w:tr w:rsidR="000B47DF" w:rsidRPr="00796046" w:rsidTr="00A4710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Delta Electricity</w:t>
                </w:r>
              </w:p>
            </w:tc>
            <w:tc>
              <w:tcPr>
                <w:tcW w:w="703" w:type="pct"/>
                <w:shd w:val="clear" w:color="auto" w:fill="auto"/>
              </w:tcPr>
              <w:p w:rsidR="001E78A6" w:rsidRDefault="001E78A6" w:rsidP="00B01BFF">
                <w:pPr>
                  <w:pStyle w:val="tablebodycentered"/>
                </w:pPr>
                <w:r>
                  <w:t>VP6</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$13</w:t>
                </w:r>
                <w:r w:rsidR="00B01BFF">
                  <w:t> </w:t>
                </w:r>
                <w:r>
                  <w:t>800.00</w:t>
                </w:r>
              </w:p>
            </w:tc>
            <w:tc>
              <w:tcPr>
                <w:tcW w:w="526" w:type="pct"/>
                <w:shd w:val="clear" w:color="auto" w:fill="auto"/>
              </w:tcPr>
              <w:p w:rsidR="001E78A6" w:rsidRDefault="001E78A6" w:rsidP="00B01BFF">
                <w:pPr>
                  <w:pStyle w:val="tablebodycentered"/>
                </w:pPr>
                <w:r>
                  <w:t>0.50</w:t>
                </w:r>
              </w:p>
            </w:tc>
            <w:tc>
              <w:tcPr>
                <w:tcW w:w="840" w:type="pct"/>
                <w:shd w:val="clear" w:color="auto" w:fill="auto"/>
              </w:tcPr>
              <w:p w:rsidR="001E78A6" w:rsidRDefault="001E78A6" w:rsidP="00B01BFF">
                <w:pPr>
                  <w:pStyle w:val="tablebodycentered"/>
                </w:pPr>
                <w:r>
                  <w:t>$6900.00</w:t>
                </w:r>
              </w:p>
            </w:tc>
          </w:tr>
          <w:tr w:rsidR="00636D00" w:rsidRPr="00796046" w:rsidTr="00A4710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shd w:val="clear" w:color="auto" w:fill="D4E2FF" w:themeFill="accent3" w:themeFillTint="1A"/>
              </w:tcPr>
              <w:p w:rsidR="001E78A6" w:rsidRDefault="001E78A6" w:rsidP="00B01BFF">
                <w:pPr>
                  <w:pStyle w:val="tablebodycentered"/>
                </w:pPr>
                <w:r>
                  <w:t>15:10</w:t>
                </w:r>
              </w:p>
            </w:tc>
            <w:tc>
              <w:tcPr>
                <w:tcW w:w="614" w:type="pct"/>
                <w:shd w:val="clear" w:color="auto" w:fill="D4E2FF" w:themeFill="accent3" w:themeFillTint="1A"/>
              </w:tcPr>
              <w:p w:rsidR="001E78A6" w:rsidRDefault="001E78A6" w:rsidP="00B01BFF">
                <w:pPr>
                  <w:pStyle w:val="tablebodycentered"/>
                </w:pPr>
                <w:r>
                  <w:t>$13</w:t>
                </w:r>
                <w:r w:rsidR="00B01BFF">
                  <w:t> </w:t>
                </w:r>
                <w:r>
                  <w:t>800.00</w:t>
                </w:r>
              </w:p>
            </w:tc>
            <w:tc>
              <w:tcPr>
                <w:tcW w:w="799" w:type="pct"/>
                <w:shd w:val="clear" w:color="auto" w:fill="D4E2FF" w:themeFill="accent3" w:themeFillTint="1A"/>
              </w:tcPr>
              <w:p w:rsidR="001E78A6" w:rsidRDefault="001E78A6" w:rsidP="00B01BFF">
                <w:pPr>
                  <w:pStyle w:val="tablebodycentered"/>
                </w:pPr>
                <w:r>
                  <w:t>Delta Electricity</w:t>
                </w:r>
              </w:p>
            </w:tc>
            <w:tc>
              <w:tcPr>
                <w:tcW w:w="703" w:type="pct"/>
                <w:shd w:val="clear" w:color="auto" w:fill="D4E2FF" w:themeFill="accent3" w:themeFillTint="1A"/>
              </w:tcPr>
              <w:p w:rsidR="001E78A6" w:rsidRDefault="001E78A6" w:rsidP="00B01BFF">
                <w:pPr>
                  <w:pStyle w:val="tablebodycentered"/>
                </w:pPr>
                <w:r>
                  <w:t>VP6</w:t>
                </w:r>
              </w:p>
            </w:tc>
            <w:tc>
              <w:tcPr>
                <w:tcW w:w="537" w:type="pct"/>
                <w:shd w:val="clear" w:color="auto" w:fill="D4E2FF" w:themeFill="accent3" w:themeFillTint="1A"/>
              </w:tcPr>
              <w:p w:rsidR="001E78A6" w:rsidRDefault="001E78A6" w:rsidP="00B01BFF">
                <w:pPr>
                  <w:pStyle w:val="tablebodycentered"/>
                </w:pPr>
                <w:r>
                  <w:t>Energy</w:t>
                </w:r>
              </w:p>
            </w:tc>
            <w:tc>
              <w:tcPr>
                <w:tcW w:w="602" w:type="pct"/>
                <w:shd w:val="clear" w:color="auto" w:fill="D4E2FF" w:themeFill="accent3" w:themeFillTint="1A"/>
              </w:tcPr>
              <w:p w:rsidR="001E78A6" w:rsidRDefault="001E78A6" w:rsidP="00B01BFF">
                <w:pPr>
                  <w:pStyle w:val="tablebodycentered"/>
                </w:pPr>
                <w:r>
                  <w:t>$13</w:t>
                </w:r>
                <w:r w:rsidR="00B01BFF">
                  <w:t> </w:t>
                </w:r>
                <w:r>
                  <w:t>800.00</w:t>
                </w:r>
              </w:p>
            </w:tc>
            <w:tc>
              <w:tcPr>
                <w:tcW w:w="526" w:type="pct"/>
                <w:shd w:val="clear" w:color="auto" w:fill="D4E2FF" w:themeFill="accent3" w:themeFillTint="1A"/>
              </w:tcPr>
              <w:p w:rsidR="001E78A6" w:rsidRDefault="001E78A6" w:rsidP="00B01BFF">
                <w:pPr>
                  <w:pStyle w:val="tablebodycentered"/>
                </w:pPr>
                <w:r>
                  <w:t>1.00</w:t>
                </w:r>
              </w:p>
            </w:tc>
            <w:tc>
              <w:tcPr>
                <w:tcW w:w="840" w:type="pct"/>
                <w:shd w:val="clear" w:color="auto" w:fill="D4E2FF" w:themeFill="accent3" w:themeFillTint="1A"/>
              </w:tcPr>
              <w:p w:rsidR="001E78A6" w:rsidRDefault="001E78A6" w:rsidP="00B01BFF">
                <w:pPr>
                  <w:pStyle w:val="tablebodycentered"/>
                </w:pPr>
                <w:r>
                  <w:t>$13</w:t>
                </w:r>
                <w:r w:rsidR="00B01BFF">
                  <w:t> </w:t>
                </w:r>
                <w:r>
                  <w:t>800.00</w:t>
                </w:r>
              </w:p>
            </w:tc>
          </w:tr>
          <w:tr w:rsidR="000B47DF" w:rsidRPr="00796046" w:rsidTr="00A4710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shd w:val="clear" w:color="auto" w:fill="auto"/>
              </w:tcPr>
              <w:p w:rsidR="001E78A6" w:rsidRDefault="001E78A6" w:rsidP="00B01BFF">
                <w:pPr>
                  <w:pStyle w:val="tablebodycentered"/>
                </w:pPr>
                <w:r>
                  <w:t>15:15</w:t>
                </w:r>
              </w:p>
            </w:tc>
            <w:tc>
              <w:tcPr>
                <w:tcW w:w="614" w:type="pct"/>
                <w:shd w:val="clear" w:color="auto" w:fill="auto"/>
              </w:tcPr>
              <w:p w:rsidR="001E78A6" w:rsidRDefault="001E78A6" w:rsidP="00B01BFF">
                <w:pPr>
                  <w:pStyle w:val="tablebodycentered"/>
                </w:pPr>
                <w:r>
                  <w:t>$1166.01</w:t>
                </w:r>
              </w:p>
            </w:tc>
            <w:tc>
              <w:tcPr>
                <w:tcW w:w="799" w:type="pct"/>
                <w:shd w:val="clear" w:color="auto" w:fill="auto"/>
              </w:tcPr>
              <w:p w:rsidR="001E78A6" w:rsidRDefault="001E78A6" w:rsidP="00B01BFF">
                <w:pPr>
                  <w:pStyle w:val="tablebodycentered"/>
                </w:pPr>
                <w:r>
                  <w:t>Engie</w:t>
                </w:r>
              </w:p>
            </w:tc>
            <w:tc>
              <w:tcPr>
                <w:tcW w:w="703" w:type="pct"/>
                <w:shd w:val="clear" w:color="auto" w:fill="auto"/>
              </w:tcPr>
              <w:p w:rsidR="001E78A6" w:rsidRDefault="001E78A6" w:rsidP="00B01BFF">
                <w:pPr>
                  <w:pStyle w:val="tablebodycentered"/>
                </w:pPr>
                <w:r>
                  <w:t>LOYYB1</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$10.50</w:t>
                </w:r>
              </w:p>
            </w:tc>
            <w:tc>
              <w:tcPr>
                <w:tcW w:w="526" w:type="pct"/>
                <w:shd w:val="clear" w:color="auto" w:fill="auto"/>
              </w:tcPr>
              <w:p w:rsidR="001E78A6" w:rsidRDefault="001E78A6" w:rsidP="00B01BFF">
                <w:pPr>
                  <w:pStyle w:val="tablebodycentered"/>
                </w:pPr>
                <w:r>
                  <w:t>1.09</w:t>
                </w:r>
              </w:p>
            </w:tc>
            <w:tc>
              <w:tcPr>
                <w:tcW w:w="840" w:type="pct"/>
                <w:shd w:val="clear" w:color="auto" w:fill="auto"/>
              </w:tcPr>
              <w:p w:rsidR="001E78A6" w:rsidRDefault="001E78A6" w:rsidP="00B01BFF">
                <w:pPr>
                  <w:pStyle w:val="tablebodycentered"/>
                </w:pPr>
                <w:r>
                  <w:t>$11.45</w:t>
                </w:r>
              </w:p>
            </w:tc>
          </w:tr>
          <w:tr w:rsidR="00636D00" w:rsidRPr="00247FC3" w:rsidTr="00A47107">
            <w:trPr>
              <w:cnfStyle w:val="000000100000" w:firstRow="0" w:lastRow="0" w:firstColumn="0" w:lastColumn="0" w:oddVBand="0" w:evenVBand="0" w:oddHBand="1" w:evenHBand="0" w:firstRowFirstColumn="0" w:firstRowLastColumn="0" w:lastRowFirstColumn="0" w:lastRowLastColumn="0"/>
              <w:trHeight w:hRule="exact" w:val="661"/>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Engie</w:t>
                </w:r>
              </w:p>
            </w:tc>
            <w:tc>
              <w:tcPr>
                <w:tcW w:w="703" w:type="pct"/>
                <w:shd w:val="clear" w:color="auto" w:fill="auto"/>
              </w:tcPr>
              <w:p w:rsidR="001E78A6" w:rsidRDefault="001E78A6" w:rsidP="00B01BFF">
                <w:pPr>
                  <w:pStyle w:val="tablebodycentered"/>
                </w:pPr>
                <w:r>
                  <w:t>LOYYB1</w:t>
                </w:r>
              </w:p>
            </w:tc>
            <w:tc>
              <w:tcPr>
                <w:tcW w:w="537" w:type="pct"/>
                <w:shd w:val="clear" w:color="auto" w:fill="auto"/>
              </w:tcPr>
              <w:p w:rsidR="001E78A6" w:rsidRDefault="001E78A6" w:rsidP="00B01BFF">
                <w:pPr>
                  <w:pStyle w:val="tablebodycentered"/>
                </w:pPr>
                <w:r>
                  <w:t>Lower 60 sec</w:t>
                </w:r>
              </w:p>
            </w:tc>
            <w:tc>
              <w:tcPr>
                <w:tcW w:w="602" w:type="pct"/>
                <w:shd w:val="clear" w:color="auto" w:fill="auto"/>
              </w:tcPr>
              <w:p w:rsidR="001E78A6" w:rsidRDefault="001E78A6" w:rsidP="00B01BFF">
                <w:pPr>
                  <w:pStyle w:val="tablebodycentered"/>
                </w:pPr>
                <w:r>
                  <w:t>$0.02</w:t>
                </w:r>
              </w:p>
            </w:tc>
            <w:tc>
              <w:tcPr>
                <w:tcW w:w="526" w:type="pct"/>
                <w:shd w:val="clear" w:color="auto" w:fill="auto"/>
              </w:tcPr>
              <w:p w:rsidR="001E78A6" w:rsidRDefault="001E78A6" w:rsidP="00B01BFF">
                <w:pPr>
                  <w:pStyle w:val="tablebodycentered"/>
                </w:pPr>
                <w:r>
                  <w:t>1.09</w:t>
                </w:r>
              </w:p>
            </w:tc>
            <w:tc>
              <w:tcPr>
                <w:tcW w:w="840" w:type="pct"/>
                <w:shd w:val="clear" w:color="auto" w:fill="auto"/>
              </w:tcPr>
              <w:p w:rsidR="001E78A6" w:rsidRDefault="001E78A6" w:rsidP="00B01BFF">
                <w:pPr>
                  <w:pStyle w:val="tablebodycentered"/>
                </w:pPr>
                <w:r>
                  <w:t>$0.02</w:t>
                </w:r>
              </w:p>
            </w:tc>
          </w:tr>
          <w:tr w:rsidR="000B47DF" w:rsidRPr="00247FC3" w:rsidTr="00A4710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Engie</w:t>
                </w:r>
              </w:p>
            </w:tc>
            <w:tc>
              <w:tcPr>
                <w:tcW w:w="703" w:type="pct"/>
                <w:shd w:val="clear" w:color="auto" w:fill="auto"/>
              </w:tcPr>
              <w:p w:rsidR="001E78A6" w:rsidRDefault="001E78A6" w:rsidP="00B01BFF">
                <w:pPr>
                  <w:pStyle w:val="tablebodycentered"/>
                </w:pPr>
                <w:r>
                  <w:t>LOYYB2</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$10.50</w:t>
                </w:r>
              </w:p>
            </w:tc>
            <w:tc>
              <w:tcPr>
                <w:tcW w:w="526" w:type="pct"/>
                <w:shd w:val="clear" w:color="auto" w:fill="auto"/>
              </w:tcPr>
              <w:p w:rsidR="001E78A6" w:rsidRDefault="001E78A6" w:rsidP="00B01BFF">
                <w:pPr>
                  <w:pStyle w:val="tablebodycentered"/>
                </w:pPr>
                <w:r>
                  <w:t>1.09</w:t>
                </w:r>
              </w:p>
            </w:tc>
            <w:tc>
              <w:tcPr>
                <w:tcW w:w="840" w:type="pct"/>
                <w:shd w:val="clear" w:color="auto" w:fill="auto"/>
              </w:tcPr>
              <w:p w:rsidR="001E78A6" w:rsidRDefault="001E78A6" w:rsidP="00B01BFF">
                <w:pPr>
                  <w:pStyle w:val="tablebodycentered"/>
                </w:pPr>
                <w:r>
                  <w:t>$11.45</w:t>
                </w:r>
              </w:p>
            </w:tc>
          </w:tr>
          <w:tr w:rsidR="00636D00" w:rsidRPr="00247FC3" w:rsidTr="00A47107">
            <w:trPr>
              <w:cnfStyle w:val="000000100000" w:firstRow="0" w:lastRow="0" w:firstColumn="0" w:lastColumn="0" w:oddVBand="0" w:evenVBand="0" w:oddHBand="1" w:evenHBand="0" w:firstRowFirstColumn="0" w:firstRowLastColumn="0" w:lastRowFirstColumn="0" w:lastRowLastColumn="0"/>
              <w:trHeight w:hRule="exact" w:val="647"/>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Engie</w:t>
                </w:r>
              </w:p>
            </w:tc>
            <w:tc>
              <w:tcPr>
                <w:tcW w:w="703" w:type="pct"/>
                <w:shd w:val="clear" w:color="auto" w:fill="auto"/>
              </w:tcPr>
              <w:p w:rsidR="001E78A6" w:rsidRDefault="001E78A6" w:rsidP="00B01BFF">
                <w:pPr>
                  <w:pStyle w:val="tablebodycentered"/>
                </w:pPr>
                <w:r>
                  <w:t>LOYYB2</w:t>
                </w:r>
              </w:p>
            </w:tc>
            <w:tc>
              <w:tcPr>
                <w:tcW w:w="537" w:type="pct"/>
                <w:shd w:val="clear" w:color="auto" w:fill="auto"/>
              </w:tcPr>
              <w:p w:rsidR="001E78A6" w:rsidRDefault="001E78A6" w:rsidP="00B01BFF">
                <w:pPr>
                  <w:pStyle w:val="tablebodycentered"/>
                </w:pPr>
                <w:r>
                  <w:t>Lower 60 sec</w:t>
                </w:r>
              </w:p>
            </w:tc>
            <w:tc>
              <w:tcPr>
                <w:tcW w:w="602" w:type="pct"/>
                <w:shd w:val="clear" w:color="auto" w:fill="auto"/>
              </w:tcPr>
              <w:p w:rsidR="001E78A6" w:rsidRDefault="001E78A6" w:rsidP="00B01BFF">
                <w:pPr>
                  <w:pStyle w:val="tablebodycentered"/>
                </w:pPr>
                <w:r>
                  <w:t>$0.02</w:t>
                </w:r>
              </w:p>
            </w:tc>
            <w:tc>
              <w:tcPr>
                <w:tcW w:w="526" w:type="pct"/>
                <w:shd w:val="clear" w:color="auto" w:fill="auto"/>
              </w:tcPr>
              <w:p w:rsidR="001E78A6" w:rsidRDefault="001E78A6" w:rsidP="00B01BFF">
                <w:pPr>
                  <w:pStyle w:val="tablebodycentered"/>
                </w:pPr>
                <w:r>
                  <w:t>-1.09</w:t>
                </w:r>
              </w:p>
            </w:tc>
            <w:tc>
              <w:tcPr>
                <w:tcW w:w="840" w:type="pct"/>
                <w:shd w:val="clear" w:color="auto" w:fill="auto"/>
              </w:tcPr>
              <w:p w:rsidR="001E78A6" w:rsidRDefault="001E78A6" w:rsidP="00B01BFF">
                <w:pPr>
                  <w:pStyle w:val="tablebodycentered"/>
                </w:pPr>
                <w:r>
                  <w:t>-$0.02</w:t>
                </w:r>
              </w:p>
            </w:tc>
          </w:tr>
          <w:tr w:rsidR="000B47DF" w:rsidRPr="00796046" w:rsidTr="00A47107">
            <w:trPr>
              <w:cnfStyle w:val="000000010000" w:firstRow="0" w:lastRow="0" w:firstColumn="0" w:lastColumn="0" w:oddVBand="0" w:evenVBand="0" w:oddHBand="0" w:evenHBand="1" w:firstRowFirstColumn="0" w:firstRowLastColumn="0" w:lastRowFirstColumn="0" w:lastRowLastColumn="0"/>
              <w:trHeight w:val="499"/>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Woodlawn</w:t>
                </w:r>
              </w:p>
            </w:tc>
            <w:tc>
              <w:tcPr>
                <w:tcW w:w="703" w:type="pct"/>
                <w:shd w:val="clear" w:color="auto" w:fill="auto"/>
              </w:tcPr>
              <w:p w:rsidR="001E78A6" w:rsidRDefault="001E78A6" w:rsidP="00B01BFF">
                <w:pPr>
                  <w:pStyle w:val="tablebodycentered"/>
                </w:pPr>
                <w:r>
                  <w:t>WOODLWN1</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-$1000.00</w:t>
                </w:r>
              </w:p>
            </w:tc>
            <w:tc>
              <w:tcPr>
                <w:tcW w:w="526" w:type="pct"/>
                <w:shd w:val="clear" w:color="auto" w:fill="auto"/>
              </w:tcPr>
              <w:p w:rsidR="001E78A6" w:rsidRDefault="001E78A6" w:rsidP="00B01BFF">
                <w:pPr>
                  <w:pStyle w:val="tablebodycentered"/>
                </w:pPr>
                <w:r>
                  <w:t>-1.14</w:t>
                </w:r>
              </w:p>
            </w:tc>
            <w:tc>
              <w:tcPr>
                <w:tcW w:w="840" w:type="pct"/>
                <w:shd w:val="clear" w:color="auto" w:fill="auto"/>
              </w:tcPr>
              <w:p w:rsidR="001E78A6" w:rsidRDefault="001E78A6" w:rsidP="00B01BFF">
                <w:pPr>
                  <w:pStyle w:val="tablebodycentered"/>
                </w:pPr>
                <w:r>
                  <w:t>$1140.00</w:t>
                </w:r>
              </w:p>
            </w:tc>
          </w:tr>
          <w:tr w:rsidR="000B47DF" w:rsidRPr="00247FC3" w:rsidTr="00A4710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shd w:val="clear" w:color="auto" w:fill="D4E2FF" w:themeFill="accent3" w:themeFillTint="1A"/>
              </w:tcPr>
              <w:p w:rsidR="001E78A6" w:rsidRDefault="001E78A6" w:rsidP="00B01BFF">
                <w:pPr>
                  <w:pStyle w:val="tablebodycentered"/>
                </w:pPr>
                <w:r>
                  <w:t>15:20</w:t>
                </w:r>
              </w:p>
            </w:tc>
            <w:tc>
              <w:tcPr>
                <w:tcW w:w="614" w:type="pct"/>
                <w:shd w:val="clear" w:color="auto" w:fill="D4E2FF" w:themeFill="accent3" w:themeFillTint="1A"/>
              </w:tcPr>
              <w:p w:rsidR="001E78A6" w:rsidRDefault="001E78A6" w:rsidP="00B01BFF">
                <w:pPr>
                  <w:pStyle w:val="tablebodycentered"/>
                </w:pPr>
                <w:r>
                  <w:t>$13</w:t>
                </w:r>
                <w:r w:rsidR="00B01BFF">
                  <w:t> </w:t>
                </w:r>
                <w:r>
                  <w:t>800.00</w:t>
                </w:r>
              </w:p>
            </w:tc>
            <w:tc>
              <w:tcPr>
                <w:tcW w:w="799" w:type="pct"/>
                <w:shd w:val="clear" w:color="auto" w:fill="D4E2FF" w:themeFill="accent3" w:themeFillTint="1A"/>
              </w:tcPr>
              <w:p w:rsidR="001E78A6" w:rsidRDefault="001E78A6" w:rsidP="00B01BFF">
                <w:pPr>
                  <w:pStyle w:val="tablebodycentered"/>
                </w:pPr>
                <w:r>
                  <w:t>Delta Electricity</w:t>
                </w:r>
              </w:p>
            </w:tc>
            <w:tc>
              <w:tcPr>
                <w:tcW w:w="703" w:type="pct"/>
                <w:shd w:val="clear" w:color="auto" w:fill="D4E2FF" w:themeFill="accent3" w:themeFillTint="1A"/>
              </w:tcPr>
              <w:p w:rsidR="001E78A6" w:rsidRDefault="001E78A6" w:rsidP="00B01BFF">
                <w:pPr>
                  <w:pStyle w:val="tablebodycentered"/>
                </w:pPr>
                <w:r>
                  <w:t>VP5</w:t>
                </w:r>
              </w:p>
            </w:tc>
            <w:tc>
              <w:tcPr>
                <w:tcW w:w="537" w:type="pct"/>
                <w:shd w:val="clear" w:color="auto" w:fill="D4E2FF" w:themeFill="accent3" w:themeFillTint="1A"/>
              </w:tcPr>
              <w:p w:rsidR="001E78A6" w:rsidRDefault="001E78A6" w:rsidP="00B01BFF">
                <w:pPr>
                  <w:pStyle w:val="tablebodycentered"/>
                </w:pPr>
                <w:r>
                  <w:t>Energy</w:t>
                </w:r>
              </w:p>
            </w:tc>
            <w:tc>
              <w:tcPr>
                <w:tcW w:w="602" w:type="pct"/>
                <w:shd w:val="clear" w:color="auto" w:fill="D4E2FF" w:themeFill="accent3" w:themeFillTint="1A"/>
              </w:tcPr>
              <w:p w:rsidR="001E78A6" w:rsidRDefault="001E78A6" w:rsidP="00B01BFF">
                <w:pPr>
                  <w:pStyle w:val="tablebodycentered"/>
                </w:pPr>
                <w:r>
                  <w:t>$13</w:t>
                </w:r>
                <w:r w:rsidR="00B01BFF">
                  <w:t> </w:t>
                </w:r>
                <w:r>
                  <w:t>800.00</w:t>
                </w:r>
              </w:p>
            </w:tc>
            <w:tc>
              <w:tcPr>
                <w:tcW w:w="526" w:type="pct"/>
                <w:shd w:val="clear" w:color="auto" w:fill="D4E2FF" w:themeFill="accent3" w:themeFillTint="1A"/>
              </w:tcPr>
              <w:p w:rsidR="001E78A6" w:rsidRDefault="001E78A6" w:rsidP="00B01BFF">
                <w:pPr>
                  <w:pStyle w:val="tablebodycentered"/>
                </w:pPr>
                <w:r>
                  <w:t>0.50</w:t>
                </w:r>
              </w:p>
            </w:tc>
            <w:tc>
              <w:tcPr>
                <w:tcW w:w="840" w:type="pct"/>
                <w:shd w:val="clear" w:color="auto" w:fill="D4E2FF" w:themeFill="accent3" w:themeFillTint="1A"/>
              </w:tcPr>
              <w:p w:rsidR="001E78A6" w:rsidRDefault="001E78A6" w:rsidP="00B01BFF">
                <w:pPr>
                  <w:pStyle w:val="tablebodycentered"/>
                </w:pPr>
                <w:r>
                  <w:t>$6900.00</w:t>
                </w:r>
              </w:p>
            </w:tc>
          </w:tr>
          <w:tr w:rsidR="00636D00" w:rsidRPr="00796046" w:rsidTr="00A4710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shd w:val="clear" w:color="auto" w:fill="D4E2FF" w:themeFill="accent3" w:themeFillTint="1A"/>
              </w:tcPr>
              <w:p w:rsidR="001E78A6" w:rsidRDefault="001E78A6" w:rsidP="00B01BFF">
                <w:pPr>
                  <w:pStyle w:val="tablebodycentered"/>
                </w:pPr>
              </w:p>
            </w:tc>
            <w:tc>
              <w:tcPr>
                <w:tcW w:w="614" w:type="pct"/>
                <w:shd w:val="clear" w:color="auto" w:fill="D4E2FF" w:themeFill="accent3" w:themeFillTint="1A"/>
              </w:tcPr>
              <w:p w:rsidR="001E78A6" w:rsidRDefault="001E78A6" w:rsidP="00B01BFF">
                <w:pPr>
                  <w:pStyle w:val="tablebodycentered"/>
                </w:pPr>
              </w:p>
            </w:tc>
            <w:tc>
              <w:tcPr>
                <w:tcW w:w="799" w:type="pct"/>
                <w:shd w:val="clear" w:color="auto" w:fill="D4E2FF" w:themeFill="accent3" w:themeFillTint="1A"/>
              </w:tcPr>
              <w:p w:rsidR="001E78A6" w:rsidRDefault="001E78A6" w:rsidP="00B01BFF">
                <w:pPr>
                  <w:pStyle w:val="tablebodycentered"/>
                </w:pPr>
                <w:r>
                  <w:t>Delta Electricity</w:t>
                </w:r>
              </w:p>
            </w:tc>
            <w:tc>
              <w:tcPr>
                <w:tcW w:w="703" w:type="pct"/>
                <w:shd w:val="clear" w:color="auto" w:fill="D4E2FF" w:themeFill="accent3" w:themeFillTint="1A"/>
              </w:tcPr>
              <w:p w:rsidR="001E78A6" w:rsidRDefault="001E78A6" w:rsidP="00B01BFF">
                <w:pPr>
                  <w:pStyle w:val="tablebodycentered"/>
                </w:pPr>
                <w:r>
                  <w:t>VP6</w:t>
                </w:r>
              </w:p>
            </w:tc>
            <w:tc>
              <w:tcPr>
                <w:tcW w:w="537" w:type="pct"/>
                <w:shd w:val="clear" w:color="auto" w:fill="D4E2FF" w:themeFill="accent3" w:themeFillTint="1A"/>
              </w:tcPr>
              <w:p w:rsidR="001E78A6" w:rsidRDefault="001E78A6" w:rsidP="00B01BFF">
                <w:pPr>
                  <w:pStyle w:val="tablebodycentered"/>
                </w:pPr>
                <w:r>
                  <w:t>Energy</w:t>
                </w:r>
              </w:p>
            </w:tc>
            <w:tc>
              <w:tcPr>
                <w:tcW w:w="602" w:type="pct"/>
                <w:shd w:val="clear" w:color="auto" w:fill="D4E2FF" w:themeFill="accent3" w:themeFillTint="1A"/>
              </w:tcPr>
              <w:p w:rsidR="001E78A6" w:rsidRDefault="001E78A6" w:rsidP="00B01BFF">
                <w:pPr>
                  <w:pStyle w:val="tablebodycentered"/>
                </w:pPr>
                <w:r>
                  <w:t>$13</w:t>
                </w:r>
                <w:r w:rsidR="00B01BFF">
                  <w:t> </w:t>
                </w:r>
                <w:r>
                  <w:t>800.00</w:t>
                </w:r>
              </w:p>
            </w:tc>
            <w:tc>
              <w:tcPr>
                <w:tcW w:w="526" w:type="pct"/>
                <w:shd w:val="clear" w:color="auto" w:fill="D4E2FF" w:themeFill="accent3" w:themeFillTint="1A"/>
              </w:tcPr>
              <w:p w:rsidR="001E78A6" w:rsidRDefault="001E78A6" w:rsidP="00B01BFF">
                <w:pPr>
                  <w:pStyle w:val="tablebodycentered"/>
                </w:pPr>
                <w:r>
                  <w:t>0.50</w:t>
                </w:r>
              </w:p>
            </w:tc>
            <w:tc>
              <w:tcPr>
                <w:tcW w:w="840" w:type="pct"/>
                <w:shd w:val="clear" w:color="auto" w:fill="D4E2FF" w:themeFill="accent3" w:themeFillTint="1A"/>
              </w:tcPr>
              <w:p w:rsidR="001E78A6" w:rsidRDefault="001E78A6" w:rsidP="00B01BFF">
                <w:pPr>
                  <w:pStyle w:val="tablebodycentered"/>
                </w:pPr>
                <w:r>
                  <w:t>$6900.00</w:t>
                </w:r>
              </w:p>
            </w:tc>
          </w:tr>
          <w:tr w:rsidR="000B47DF" w:rsidRPr="00796046" w:rsidTr="00A4710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tcPr>
              <w:p w:rsidR="001E78A6" w:rsidRDefault="001E78A6" w:rsidP="00B01BFF">
                <w:pPr>
                  <w:pStyle w:val="tablebodycentered"/>
                </w:pPr>
                <w:r>
                  <w:t>15:25</w:t>
                </w:r>
              </w:p>
            </w:tc>
            <w:tc>
              <w:tcPr>
                <w:tcW w:w="614" w:type="pct"/>
              </w:tcPr>
              <w:p w:rsidR="001E78A6" w:rsidRDefault="001E78A6" w:rsidP="00B01BFF">
                <w:pPr>
                  <w:pStyle w:val="tablebodycentered"/>
                </w:pPr>
                <w:r>
                  <w:t>$13</w:t>
                </w:r>
                <w:r w:rsidR="00B01BFF">
                  <w:t> </w:t>
                </w:r>
                <w:r>
                  <w:t>999.96</w:t>
                </w:r>
              </w:p>
            </w:tc>
            <w:tc>
              <w:tcPr>
                <w:tcW w:w="799" w:type="pct"/>
              </w:tcPr>
              <w:p w:rsidR="001E78A6" w:rsidRDefault="001E78A6" w:rsidP="00B01BFF">
                <w:pPr>
                  <w:pStyle w:val="tablebodycentered"/>
                </w:pPr>
                <w:r>
                  <w:t>AGL Energy</w:t>
                </w:r>
              </w:p>
            </w:tc>
            <w:tc>
              <w:tcPr>
                <w:tcW w:w="703" w:type="pct"/>
              </w:tcPr>
              <w:p w:rsidR="001E78A6" w:rsidRDefault="001E78A6" w:rsidP="00B01BFF">
                <w:pPr>
                  <w:pStyle w:val="tablebodycentered"/>
                </w:pPr>
                <w:r>
                  <w:t>BW01</w:t>
                </w:r>
              </w:p>
            </w:tc>
            <w:tc>
              <w:tcPr>
                <w:tcW w:w="537" w:type="pct"/>
              </w:tcPr>
              <w:p w:rsidR="001E78A6" w:rsidRDefault="001E78A6" w:rsidP="00B01BFF">
                <w:pPr>
                  <w:pStyle w:val="tablebodycentered"/>
                </w:pPr>
                <w:r>
                  <w:t>Energy</w:t>
                </w:r>
              </w:p>
            </w:tc>
            <w:tc>
              <w:tcPr>
                <w:tcW w:w="602" w:type="pct"/>
              </w:tcPr>
              <w:p w:rsidR="001E78A6" w:rsidRDefault="001E78A6" w:rsidP="00B01BFF">
                <w:pPr>
                  <w:pStyle w:val="tablebodycentered"/>
                </w:pPr>
                <w:r>
                  <w:t>$13</w:t>
                </w:r>
                <w:r w:rsidR="00B01BFF">
                  <w:t> </w:t>
                </w:r>
                <w:r>
                  <w:t>999.96</w:t>
                </w:r>
              </w:p>
            </w:tc>
            <w:tc>
              <w:tcPr>
                <w:tcW w:w="526" w:type="pct"/>
              </w:tcPr>
              <w:p w:rsidR="001E78A6" w:rsidRDefault="001E78A6" w:rsidP="00B01BFF">
                <w:pPr>
                  <w:pStyle w:val="tablebodycentered"/>
                </w:pPr>
                <w:r>
                  <w:t>0.15</w:t>
                </w:r>
              </w:p>
            </w:tc>
            <w:tc>
              <w:tcPr>
                <w:tcW w:w="840" w:type="pct"/>
              </w:tcPr>
              <w:p w:rsidR="001E78A6" w:rsidRDefault="001E78A6" w:rsidP="00B01BFF">
                <w:pPr>
                  <w:pStyle w:val="tablebodycentered"/>
                </w:pPr>
                <w:r>
                  <w:t>$2099.99</w:t>
                </w:r>
              </w:p>
            </w:tc>
          </w:tr>
          <w:tr w:rsidR="00636D00" w:rsidRPr="00796046" w:rsidTr="00A4710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AGL Energy</w:t>
                </w:r>
              </w:p>
            </w:tc>
            <w:tc>
              <w:tcPr>
                <w:tcW w:w="703" w:type="pct"/>
                <w:shd w:val="clear" w:color="auto" w:fill="auto"/>
              </w:tcPr>
              <w:p w:rsidR="001E78A6" w:rsidRDefault="001E78A6" w:rsidP="00B01BFF">
                <w:pPr>
                  <w:pStyle w:val="tablebodycentered"/>
                </w:pPr>
                <w:r>
                  <w:t>BW02</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$13</w:t>
                </w:r>
                <w:r w:rsidR="00B01BFF">
                  <w:t> </w:t>
                </w:r>
                <w:r>
                  <w:t>999.96</w:t>
                </w:r>
              </w:p>
            </w:tc>
            <w:tc>
              <w:tcPr>
                <w:tcW w:w="526" w:type="pct"/>
                <w:shd w:val="clear" w:color="auto" w:fill="auto"/>
              </w:tcPr>
              <w:p w:rsidR="001E78A6" w:rsidRDefault="001E78A6" w:rsidP="00B01BFF">
                <w:pPr>
                  <w:pStyle w:val="tablebodycentered"/>
                </w:pPr>
                <w:r>
                  <w:t>0.15</w:t>
                </w:r>
              </w:p>
            </w:tc>
            <w:tc>
              <w:tcPr>
                <w:tcW w:w="840" w:type="pct"/>
                <w:shd w:val="clear" w:color="auto" w:fill="auto"/>
              </w:tcPr>
              <w:p w:rsidR="001E78A6" w:rsidRDefault="001E78A6" w:rsidP="00B01BFF">
                <w:pPr>
                  <w:pStyle w:val="tablebodycentered"/>
                </w:pPr>
                <w:r>
                  <w:t>$2099.99</w:t>
                </w:r>
              </w:p>
            </w:tc>
          </w:tr>
          <w:tr w:rsidR="000B47DF" w:rsidRPr="00796046" w:rsidTr="00A4710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AGL Energy</w:t>
                </w:r>
              </w:p>
            </w:tc>
            <w:tc>
              <w:tcPr>
                <w:tcW w:w="703" w:type="pct"/>
                <w:shd w:val="clear" w:color="auto" w:fill="auto"/>
              </w:tcPr>
              <w:p w:rsidR="001E78A6" w:rsidRDefault="001E78A6" w:rsidP="00B01BFF">
                <w:pPr>
                  <w:pStyle w:val="tablebodycentered"/>
                </w:pPr>
                <w:r>
                  <w:t>BW03</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$13</w:t>
                </w:r>
                <w:r w:rsidR="00B01BFF">
                  <w:t> </w:t>
                </w:r>
                <w:r>
                  <w:t>999.96</w:t>
                </w:r>
              </w:p>
            </w:tc>
            <w:tc>
              <w:tcPr>
                <w:tcW w:w="526" w:type="pct"/>
                <w:shd w:val="clear" w:color="auto" w:fill="auto"/>
              </w:tcPr>
              <w:p w:rsidR="001E78A6" w:rsidRDefault="001E78A6" w:rsidP="00B01BFF">
                <w:pPr>
                  <w:pStyle w:val="tablebodycentered"/>
                </w:pPr>
                <w:r>
                  <w:t>0.17</w:t>
                </w:r>
              </w:p>
            </w:tc>
            <w:tc>
              <w:tcPr>
                <w:tcW w:w="840" w:type="pct"/>
                <w:shd w:val="clear" w:color="auto" w:fill="auto"/>
              </w:tcPr>
              <w:p w:rsidR="001E78A6" w:rsidRDefault="001E78A6" w:rsidP="00B01BFF">
                <w:pPr>
                  <w:pStyle w:val="tablebodycentered"/>
                </w:pPr>
                <w:r>
                  <w:t>$2379.99</w:t>
                </w:r>
              </w:p>
            </w:tc>
          </w:tr>
          <w:tr w:rsidR="00636D00" w:rsidRPr="00796046" w:rsidTr="00A4710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AGL Energy</w:t>
                </w:r>
              </w:p>
            </w:tc>
            <w:tc>
              <w:tcPr>
                <w:tcW w:w="703" w:type="pct"/>
                <w:shd w:val="clear" w:color="auto" w:fill="auto"/>
              </w:tcPr>
              <w:p w:rsidR="001E78A6" w:rsidRDefault="001E78A6" w:rsidP="00B01BFF">
                <w:pPr>
                  <w:pStyle w:val="tablebodycentered"/>
                </w:pPr>
                <w:r>
                  <w:t>BW04</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$13</w:t>
                </w:r>
                <w:r w:rsidR="00B01BFF">
                  <w:t> </w:t>
                </w:r>
                <w:r>
                  <w:t>999.96</w:t>
                </w:r>
              </w:p>
            </w:tc>
            <w:tc>
              <w:tcPr>
                <w:tcW w:w="526" w:type="pct"/>
                <w:shd w:val="clear" w:color="auto" w:fill="auto"/>
              </w:tcPr>
              <w:p w:rsidR="001E78A6" w:rsidRDefault="001E78A6" w:rsidP="00B01BFF">
                <w:pPr>
                  <w:pStyle w:val="tablebodycentered"/>
                </w:pPr>
                <w:r>
                  <w:t>0.15</w:t>
                </w:r>
              </w:p>
            </w:tc>
            <w:tc>
              <w:tcPr>
                <w:tcW w:w="840" w:type="pct"/>
                <w:shd w:val="clear" w:color="auto" w:fill="auto"/>
              </w:tcPr>
              <w:p w:rsidR="001E78A6" w:rsidRDefault="001E78A6" w:rsidP="00B01BFF">
                <w:pPr>
                  <w:pStyle w:val="tablebodycentered"/>
                </w:pPr>
                <w:r>
                  <w:t>$2099.99</w:t>
                </w:r>
              </w:p>
            </w:tc>
          </w:tr>
          <w:tr w:rsidR="000B47DF" w:rsidRPr="00796046" w:rsidTr="00A4710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AGL Energy</w:t>
                </w:r>
              </w:p>
            </w:tc>
            <w:tc>
              <w:tcPr>
                <w:tcW w:w="703" w:type="pct"/>
                <w:shd w:val="clear" w:color="auto" w:fill="auto"/>
              </w:tcPr>
              <w:p w:rsidR="001E78A6" w:rsidRDefault="001E78A6" w:rsidP="00B01BFF">
                <w:pPr>
                  <w:pStyle w:val="tablebodycentered"/>
                </w:pPr>
                <w:r>
                  <w:t>LD02</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$13</w:t>
                </w:r>
                <w:r w:rsidR="00B01BFF">
                  <w:t> </w:t>
                </w:r>
                <w:r>
                  <w:t>999.96</w:t>
                </w:r>
              </w:p>
            </w:tc>
            <w:tc>
              <w:tcPr>
                <w:tcW w:w="526" w:type="pct"/>
                <w:shd w:val="clear" w:color="auto" w:fill="auto"/>
              </w:tcPr>
              <w:p w:rsidR="001E78A6" w:rsidRDefault="001E78A6" w:rsidP="00B01BFF">
                <w:pPr>
                  <w:pStyle w:val="tablebodycentered"/>
                </w:pPr>
                <w:r>
                  <w:t>0.13</w:t>
                </w:r>
              </w:p>
            </w:tc>
            <w:tc>
              <w:tcPr>
                <w:tcW w:w="840" w:type="pct"/>
                <w:shd w:val="clear" w:color="auto" w:fill="auto"/>
              </w:tcPr>
              <w:p w:rsidR="001E78A6" w:rsidRDefault="001E78A6" w:rsidP="00B01BFF">
                <w:pPr>
                  <w:pStyle w:val="tablebodycentered"/>
                </w:pPr>
                <w:r>
                  <w:t>$1819.99</w:t>
                </w:r>
              </w:p>
            </w:tc>
          </w:tr>
          <w:tr w:rsidR="00636D00" w:rsidRPr="00796046" w:rsidTr="00A4710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AGL Energy</w:t>
                </w:r>
              </w:p>
            </w:tc>
            <w:tc>
              <w:tcPr>
                <w:tcW w:w="703" w:type="pct"/>
                <w:shd w:val="clear" w:color="auto" w:fill="auto"/>
              </w:tcPr>
              <w:p w:rsidR="001E78A6" w:rsidRDefault="001E78A6" w:rsidP="00B01BFF">
                <w:pPr>
                  <w:pStyle w:val="tablebodycentered"/>
                </w:pPr>
                <w:r>
                  <w:t>LD03</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$13</w:t>
                </w:r>
                <w:r w:rsidR="00B01BFF">
                  <w:t> </w:t>
                </w:r>
                <w:r>
                  <w:t>999.96</w:t>
                </w:r>
              </w:p>
            </w:tc>
            <w:tc>
              <w:tcPr>
                <w:tcW w:w="526" w:type="pct"/>
                <w:shd w:val="clear" w:color="auto" w:fill="auto"/>
              </w:tcPr>
              <w:p w:rsidR="001E78A6" w:rsidRDefault="001E78A6" w:rsidP="00B01BFF">
                <w:pPr>
                  <w:pStyle w:val="tablebodycentered"/>
                </w:pPr>
                <w:r>
                  <w:t>0.13</w:t>
                </w:r>
              </w:p>
            </w:tc>
            <w:tc>
              <w:tcPr>
                <w:tcW w:w="840" w:type="pct"/>
                <w:shd w:val="clear" w:color="auto" w:fill="auto"/>
              </w:tcPr>
              <w:p w:rsidR="001E78A6" w:rsidRDefault="001E78A6" w:rsidP="00B01BFF">
                <w:pPr>
                  <w:pStyle w:val="tablebodycentered"/>
                </w:pPr>
                <w:r>
                  <w:t>$1819.99</w:t>
                </w:r>
              </w:p>
            </w:tc>
          </w:tr>
          <w:tr w:rsidR="000B47DF" w:rsidRPr="00796046" w:rsidTr="00A47107">
            <w:trPr>
              <w:cnfStyle w:val="000000100000" w:firstRow="0" w:lastRow="0" w:firstColumn="0" w:lastColumn="0" w:oddVBand="0" w:evenVBand="0" w:oddHBand="1" w:evenHBand="0" w:firstRowFirstColumn="0" w:firstRowLastColumn="0" w:lastRowFirstColumn="0" w:lastRowLastColumn="0"/>
              <w:trHeight w:hRule="exact" w:val="340"/>
            </w:trPr>
            <w:tc>
              <w:tcPr>
                <w:tcW w:w="380" w:type="pct"/>
                <w:shd w:val="clear" w:color="auto" w:fill="auto"/>
              </w:tcPr>
              <w:p w:rsidR="001E78A6" w:rsidRDefault="001E78A6" w:rsidP="00B01BFF">
                <w:pPr>
                  <w:pStyle w:val="tablebodycentered"/>
                </w:pPr>
              </w:p>
            </w:tc>
            <w:tc>
              <w:tcPr>
                <w:tcW w:w="614" w:type="pct"/>
                <w:shd w:val="clear" w:color="auto" w:fill="auto"/>
              </w:tcPr>
              <w:p w:rsidR="001E78A6" w:rsidRDefault="001E78A6" w:rsidP="00B01BFF">
                <w:pPr>
                  <w:pStyle w:val="tablebodycentered"/>
                </w:pPr>
              </w:p>
            </w:tc>
            <w:tc>
              <w:tcPr>
                <w:tcW w:w="799" w:type="pct"/>
                <w:shd w:val="clear" w:color="auto" w:fill="auto"/>
              </w:tcPr>
              <w:p w:rsidR="001E78A6" w:rsidRDefault="001E78A6" w:rsidP="00B01BFF">
                <w:pPr>
                  <w:pStyle w:val="tablebodycentered"/>
                </w:pPr>
                <w:r>
                  <w:t>AGL Energy</w:t>
                </w:r>
              </w:p>
            </w:tc>
            <w:tc>
              <w:tcPr>
                <w:tcW w:w="703" w:type="pct"/>
                <w:shd w:val="clear" w:color="auto" w:fill="auto"/>
              </w:tcPr>
              <w:p w:rsidR="001E78A6" w:rsidRDefault="001E78A6" w:rsidP="00B01BFF">
                <w:pPr>
                  <w:pStyle w:val="tablebodycentered"/>
                </w:pPr>
                <w:r>
                  <w:t>LD04</w:t>
                </w:r>
              </w:p>
            </w:tc>
            <w:tc>
              <w:tcPr>
                <w:tcW w:w="537" w:type="pct"/>
                <w:shd w:val="clear" w:color="auto" w:fill="auto"/>
              </w:tcPr>
              <w:p w:rsidR="001E78A6" w:rsidRDefault="001E78A6" w:rsidP="00B01BFF">
                <w:pPr>
                  <w:pStyle w:val="tablebodycentered"/>
                </w:pPr>
                <w:r>
                  <w:t>Energy</w:t>
                </w:r>
              </w:p>
            </w:tc>
            <w:tc>
              <w:tcPr>
                <w:tcW w:w="602" w:type="pct"/>
                <w:shd w:val="clear" w:color="auto" w:fill="auto"/>
              </w:tcPr>
              <w:p w:rsidR="001E78A6" w:rsidRDefault="001E78A6" w:rsidP="00B01BFF">
                <w:pPr>
                  <w:pStyle w:val="tablebodycentered"/>
                </w:pPr>
                <w:r>
                  <w:t>$13</w:t>
                </w:r>
                <w:r w:rsidR="00B01BFF">
                  <w:t> </w:t>
                </w:r>
                <w:r>
                  <w:t>999.96</w:t>
                </w:r>
              </w:p>
            </w:tc>
            <w:tc>
              <w:tcPr>
                <w:tcW w:w="526" w:type="pct"/>
                <w:shd w:val="clear" w:color="auto" w:fill="auto"/>
              </w:tcPr>
              <w:p w:rsidR="001E78A6" w:rsidRDefault="001E78A6" w:rsidP="00B01BFF">
                <w:pPr>
                  <w:pStyle w:val="tablebodycentered"/>
                </w:pPr>
                <w:r>
                  <w:t>0.13</w:t>
                </w:r>
              </w:p>
            </w:tc>
            <w:tc>
              <w:tcPr>
                <w:tcW w:w="840" w:type="pct"/>
                <w:shd w:val="clear" w:color="auto" w:fill="auto"/>
              </w:tcPr>
              <w:p w:rsidR="001E78A6" w:rsidRDefault="001E78A6" w:rsidP="00B01BFF">
                <w:pPr>
                  <w:pStyle w:val="tablebodycentered"/>
                </w:pPr>
                <w:r>
                  <w:t>$1819.99</w:t>
                </w:r>
              </w:p>
            </w:tc>
          </w:tr>
          <w:tr w:rsidR="00636D00" w:rsidRPr="00796046" w:rsidTr="00A47107">
            <w:trPr>
              <w:cnfStyle w:val="000000010000" w:firstRow="0" w:lastRow="0" w:firstColumn="0" w:lastColumn="0" w:oddVBand="0" w:evenVBand="0" w:oddHBand="0" w:evenHBand="1" w:firstRowFirstColumn="0" w:firstRowLastColumn="0" w:lastRowFirstColumn="0" w:lastRowLastColumn="0"/>
              <w:trHeight w:hRule="exact" w:val="340"/>
            </w:trPr>
            <w:tc>
              <w:tcPr>
                <w:tcW w:w="380" w:type="pct"/>
              </w:tcPr>
              <w:p w:rsidR="001E78A6" w:rsidRDefault="001E78A6" w:rsidP="00B01BFF">
                <w:pPr>
                  <w:pStyle w:val="tablebodycentered"/>
                </w:pPr>
                <w:r>
                  <w:t>15:30</w:t>
                </w:r>
              </w:p>
            </w:tc>
            <w:tc>
              <w:tcPr>
                <w:tcW w:w="614" w:type="pct"/>
              </w:tcPr>
              <w:p w:rsidR="001E78A6" w:rsidRDefault="001E78A6" w:rsidP="00B01BFF">
                <w:pPr>
                  <w:pStyle w:val="tablebodycentered"/>
                </w:pPr>
                <w:r>
                  <w:t>$13</w:t>
                </w:r>
                <w:r w:rsidR="00B01BFF">
                  <w:t> </w:t>
                </w:r>
                <w:r>
                  <w:t>637.81</w:t>
                </w:r>
              </w:p>
            </w:tc>
            <w:tc>
              <w:tcPr>
                <w:tcW w:w="799" w:type="pct"/>
              </w:tcPr>
              <w:p w:rsidR="001E78A6" w:rsidRDefault="001E78A6" w:rsidP="00B01BFF">
                <w:pPr>
                  <w:pStyle w:val="tablebodycentered"/>
                </w:pPr>
                <w:proofErr w:type="spellStart"/>
                <w:r>
                  <w:t>EnergyAustralia</w:t>
                </w:r>
                <w:proofErr w:type="spellEnd"/>
              </w:p>
            </w:tc>
            <w:tc>
              <w:tcPr>
                <w:tcW w:w="703" w:type="pct"/>
              </w:tcPr>
              <w:p w:rsidR="001E78A6" w:rsidRDefault="001E78A6" w:rsidP="00B01BFF">
                <w:pPr>
                  <w:pStyle w:val="tablebodycentered"/>
                </w:pPr>
                <w:r>
                  <w:t>MP2</w:t>
                </w:r>
              </w:p>
            </w:tc>
            <w:tc>
              <w:tcPr>
                <w:tcW w:w="537" w:type="pct"/>
              </w:tcPr>
              <w:p w:rsidR="001E78A6" w:rsidRDefault="001E78A6" w:rsidP="00B01BFF">
                <w:pPr>
                  <w:pStyle w:val="tablebodycentered"/>
                </w:pPr>
                <w:r>
                  <w:t>Energy</w:t>
                </w:r>
              </w:p>
            </w:tc>
            <w:tc>
              <w:tcPr>
                <w:tcW w:w="602" w:type="pct"/>
              </w:tcPr>
              <w:p w:rsidR="001E78A6" w:rsidRDefault="001E78A6" w:rsidP="00B01BFF">
                <w:pPr>
                  <w:pStyle w:val="tablebodycentered"/>
                </w:pPr>
                <w:r>
                  <w:t>$13</w:t>
                </w:r>
                <w:r w:rsidR="00B01BFF">
                  <w:t> </w:t>
                </w:r>
                <w:r>
                  <w:t>637.81</w:t>
                </w:r>
              </w:p>
            </w:tc>
            <w:tc>
              <w:tcPr>
                <w:tcW w:w="526" w:type="pct"/>
              </w:tcPr>
              <w:p w:rsidR="001E78A6" w:rsidRDefault="001E78A6" w:rsidP="00B01BFF">
                <w:pPr>
                  <w:pStyle w:val="tablebodycentered"/>
                </w:pPr>
                <w:r>
                  <w:t>1.00</w:t>
                </w:r>
              </w:p>
            </w:tc>
            <w:tc>
              <w:tcPr>
                <w:tcW w:w="840" w:type="pct"/>
              </w:tcPr>
              <w:p w:rsidR="001E78A6" w:rsidRDefault="001E78A6" w:rsidP="00B01BFF">
                <w:pPr>
                  <w:pStyle w:val="tablebodycentered"/>
                </w:pPr>
                <w:r>
                  <w:t>$13</w:t>
                </w:r>
                <w:r w:rsidR="00B01BFF">
                  <w:t> </w:t>
                </w:r>
                <w:r>
                  <w:t>637.81</w:t>
                </w:r>
              </w:p>
            </w:tc>
          </w:tr>
          <w:tr w:rsidR="00636D00" w:rsidRPr="00796046" w:rsidTr="00A47107">
            <w:trPr>
              <w:cnfStyle w:val="000000100000" w:firstRow="0" w:lastRow="0" w:firstColumn="0" w:lastColumn="0" w:oddVBand="0" w:evenVBand="0" w:oddHBand="1" w:evenHBand="0" w:firstRowFirstColumn="0" w:firstRowLastColumn="0" w:lastRowFirstColumn="0" w:lastRowLastColumn="0"/>
              <w:trHeight w:hRule="exact" w:val="397"/>
            </w:trPr>
            <w:tc>
              <w:tcPr>
                <w:tcW w:w="994" w:type="pct"/>
                <w:gridSpan w:val="2"/>
              </w:tcPr>
              <w:p w:rsidR="00B01BFF" w:rsidRPr="00F6401E" w:rsidRDefault="00B01BFF" w:rsidP="00B718C2">
                <w:pPr>
                  <w:rPr>
                    <w:rFonts w:cs="Arial"/>
                    <w:b/>
                    <w:szCs w:val="18"/>
                  </w:rPr>
                </w:pPr>
                <w:r w:rsidRPr="00F6401E">
                  <w:rPr>
                    <w:rFonts w:cs="Arial"/>
                    <w:b/>
                    <w:szCs w:val="18"/>
                  </w:rPr>
                  <w:t>Spot Price</w:t>
                </w:r>
              </w:p>
            </w:tc>
            <w:tc>
              <w:tcPr>
                <w:tcW w:w="1502" w:type="pct"/>
                <w:gridSpan w:val="2"/>
              </w:tcPr>
              <w:p w:rsidR="00B01BFF" w:rsidRDefault="00B01BFF" w:rsidP="00CF1FCE">
                <w:pPr>
                  <w:rPr>
                    <w:rFonts w:cs="Arial"/>
                    <w:sz w:val="16"/>
                    <w:szCs w:val="16"/>
                  </w:rPr>
                </w:pPr>
                <w:r w:rsidRPr="00B72D11">
                  <w:rPr>
                    <w:rFonts w:cs="Arial"/>
                    <w:b/>
                    <w:szCs w:val="18"/>
                  </w:rPr>
                  <w:t>$</w:t>
                </w:r>
                <w:r>
                  <w:rPr>
                    <w:rFonts w:cs="Arial"/>
                    <w:b/>
                    <w:szCs w:val="18"/>
                  </w:rPr>
                  <w:t>1</w:t>
                </w:r>
                <w:r w:rsidR="00CF1FCE">
                  <w:rPr>
                    <w:rFonts w:cs="Arial"/>
                    <w:b/>
                    <w:szCs w:val="18"/>
                  </w:rPr>
                  <w:t>1</w:t>
                </w:r>
                <w:r>
                  <w:rPr>
                    <w:rFonts w:cs="Arial"/>
                    <w:b/>
                    <w:szCs w:val="18"/>
                  </w:rPr>
                  <w:t xml:space="preserve"> </w:t>
                </w:r>
                <w:r w:rsidR="00CF1FCE">
                  <w:rPr>
                    <w:rFonts w:cs="Arial"/>
                    <w:b/>
                    <w:szCs w:val="18"/>
                  </w:rPr>
                  <w:t>701</w:t>
                </w:r>
                <w:r w:rsidRPr="00B72D11">
                  <w:rPr>
                    <w:rFonts w:cs="Arial"/>
                    <w:b/>
                    <w:szCs w:val="18"/>
                  </w:rPr>
                  <w:t>/MWh</w:t>
                </w:r>
              </w:p>
            </w:tc>
            <w:tc>
              <w:tcPr>
                <w:tcW w:w="537" w:type="pct"/>
              </w:tcPr>
              <w:p w:rsidR="00B01BFF" w:rsidRDefault="00B01BFF">
                <w:pPr>
                  <w:rPr>
                    <w:rFonts w:cs="Arial"/>
                    <w:sz w:val="16"/>
                    <w:szCs w:val="16"/>
                  </w:rPr>
                </w:pPr>
              </w:p>
            </w:tc>
            <w:tc>
              <w:tcPr>
                <w:tcW w:w="602" w:type="pct"/>
              </w:tcPr>
              <w:p w:rsidR="00B01BFF" w:rsidRDefault="00B01BFF">
                <w:pPr>
                  <w:jc w:val="right"/>
                  <w:rPr>
                    <w:rFonts w:cs="Arial"/>
                    <w:sz w:val="16"/>
                    <w:szCs w:val="16"/>
                  </w:rPr>
                </w:pPr>
              </w:p>
            </w:tc>
            <w:tc>
              <w:tcPr>
                <w:tcW w:w="526" w:type="pct"/>
              </w:tcPr>
              <w:p w:rsidR="00B01BFF" w:rsidRDefault="00B01BFF">
                <w:pPr>
                  <w:jc w:val="right"/>
                  <w:rPr>
                    <w:rFonts w:cs="Arial"/>
                    <w:sz w:val="16"/>
                    <w:szCs w:val="16"/>
                  </w:rPr>
                </w:pPr>
              </w:p>
            </w:tc>
            <w:tc>
              <w:tcPr>
                <w:tcW w:w="840" w:type="pct"/>
              </w:tcPr>
              <w:p w:rsidR="00B01BFF" w:rsidRDefault="00B01BFF">
                <w:pPr>
                  <w:jc w:val="right"/>
                  <w:rPr>
                    <w:rFonts w:cs="Arial"/>
                    <w:sz w:val="16"/>
                    <w:szCs w:val="16"/>
                  </w:rPr>
                </w:pPr>
              </w:p>
            </w:tc>
          </w:tr>
        </w:tbl>
        <w:p w:rsidR="00C424C5" w:rsidRDefault="00C424C5" w:rsidP="00EC4A12">
          <w:pPr>
            <w:pStyle w:val="Tabletitle"/>
          </w:pPr>
        </w:p>
        <w:p w:rsidR="00C7068C" w:rsidRDefault="00B602E3" w:rsidP="00C7068C">
          <w:pPr>
            <w:pStyle w:val="Heading1notnumber"/>
          </w:pPr>
          <w:bookmarkStart w:id="25" w:name="_Toc470075238"/>
          <w:r>
            <w:lastRenderedPageBreak/>
            <w:t xml:space="preserve">Appendix </w:t>
          </w:r>
          <w:r w:rsidR="00C7068C">
            <w:t>C</w:t>
          </w:r>
          <w:r>
            <w:t>:</w:t>
          </w:r>
          <w:r w:rsidR="00C7068C">
            <w:t xml:space="preserve"> Closing bids</w:t>
          </w:r>
          <w:bookmarkEnd w:id="25"/>
          <w:r w:rsidR="00C7068C">
            <w:t xml:space="preserve"> </w:t>
          </w:r>
        </w:p>
        <w:p w:rsidR="00C7068C" w:rsidRPr="00541F9F" w:rsidRDefault="00C7068C" w:rsidP="00460BC8">
          <w:pPr>
            <w:pStyle w:val="AERBody"/>
          </w:pPr>
          <w:r w:rsidRPr="00541F9F">
            <w:t>Figures C1 to C</w:t>
          </w:r>
          <w:r w:rsidR="00541F9F" w:rsidRPr="00541F9F">
            <w:t>5</w:t>
          </w:r>
          <w:r w:rsidRPr="00541F9F">
            <w:t xml:space="preserve"> highlight the half hour closing bids for participants in </w:t>
          </w:r>
          <w:r w:rsidR="00A6015B" w:rsidRPr="00541F9F">
            <w:t xml:space="preserve">New South Wales </w:t>
          </w:r>
          <w:r w:rsidRPr="00541F9F">
            <w:t xml:space="preserve">with significant capacity priced at or above $5000/MWh during the periods in which the spot price exceeded $5000/MWh. They also show generation output and the spot price. </w:t>
          </w:r>
        </w:p>
        <w:p w:rsidR="00C7068C" w:rsidRDefault="00E55476" w:rsidP="00C7068C">
          <w:pPr>
            <w:pStyle w:val="Tabletitle"/>
          </w:pPr>
          <w:r>
            <w:t>Figure C</w:t>
          </w:r>
          <w:r w:rsidR="00901619">
            <w:t>1</w:t>
          </w:r>
          <w:r w:rsidR="00C7068C">
            <w:t xml:space="preserve"> - </w:t>
          </w:r>
          <w:r w:rsidR="001716FC">
            <w:t>AGL</w:t>
          </w:r>
          <w:r w:rsidR="00C7068C">
            <w:t xml:space="preserve"> (</w:t>
          </w:r>
          <w:r w:rsidR="001716FC">
            <w:t xml:space="preserve">Bayswater, Liddell, </w:t>
          </w:r>
          <w:proofErr w:type="gramStart"/>
          <w:r w:rsidR="001716FC">
            <w:t>Hunter</w:t>
          </w:r>
          <w:proofErr w:type="gramEnd"/>
          <w:r w:rsidR="001716FC">
            <w:t xml:space="preserve"> Valley</w:t>
          </w:r>
          <w:r w:rsidR="00C7068C">
            <w:t>) closing bid prices, dispatch and spot price</w:t>
          </w:r>
        </w:p>
        <w:p w:rsidR="00C7068C" w:rsidRDefault="00541F9F" w:rsidP="00C7068C">
          <w:r w:rsidRPr="00541F9F">
            <w:rPr>
              <w:noProof/>
              <w:lang w:eastAsia="en-AU"/>
            </w:rPr>
            <w:drawing>
              <wp:inline distT="0" distB="0" distL="0" distR="0" wp14:anchorId="3A3E089B" wp14:editId="78DCF0AE">
                <wp:extent cx="5382895" cy="228650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286504"/>
                        </a:xfrm>
                        <a:prstGeom prst="rect">
                          <a:avLst/>
                        </a:prstGeom>
                        <a:noFill/>
                        <a:ln>
                          <a:noFill/>
                        </a:ln>
                      </pic:spPr>
                    </pic:pic>
                  </a:graphicData>
                </a:graphic>
              </wp:inline>
            </w:drawing>
          </w:r>
        </w:p>
        <w:p w:rsidR="00541F9F" w:rsidRDefault="00541F9F" w:rsidP="00C7068C"/>
        <w:p w:rsidR="00541F9F" w:rsidRDefault="00541F9F" w:rsidP="00541F9F">
          <w:pPr>
            <w:pStyle w:val="Tabletitle"/>
          </w:pPr>
          <w:r>
            <w:t>Figure C2 - Delta (Vales Point) closing bid prices, dispatch and spot price</w:t>
          </w:r>
        </w:p>
        <w:p w:rsidR="00541F9F" w:rsidRDefault="00541F9F" w:rsidP="00541F9F">
          <w:r w:rsidRPr="00541F9F">
            <w:rPr>
              <w:noProof/>
              <w:lang w:eastAsia="en-AU"/>
            </w:rPr>
            <w:drawing>
              <wp:inline distT="0" distB="0" distL="0" distR="0" wp14:anchorId="0AD3C09B" wp14:editId="7890AC35">
                <wp:extent cx="5382895" cy="24275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2427589"/>
                        </a:xfrm>
                        <a:prstGeom prst="rect">
                          <a:avLst/>
                        </a:prstGeom>
                        <a:noFill/>
                        <a:ln>
                          <a:noFill/>
                        </a:ln>
                      </pic:spPr>
                    </pic:pic>
                  </a:graphicData>
                </a:graphic>
              </wp:inline>
            </w:drawing>
          </w:r>
        </w:p>
        <w:p w:rsidR="00541F9F" w:rsidRDefault="00541F9F">
          <w:pPr>
            <w:spacing w:line="240" w:lineRule="auto"/>
            <w:jc w:val="left"/>
          </w:pPr>
          <w:r>
            <w:br w:type="page"/>
          </w:r>
        </w:p>
        <w:p w:rsidR="00C7068C" w:rsidRDefault="00E55476" w:rsidP="00C7068C">
          <w:pPr>
            <w:pStyle w:val="Tabletitle"/>
          </w:pPr>
          <w:r>
            <w:lastRenderedPageBreak/>
            <w:t>Figure C</w:t>
          </w:r>
          <w:r w:rsidR="00541F9F">
            <w:t>3</w:t>
          </w:r>
          <w:r w:rsidR="00C7068C">
            <w:t xml:space="preserve"> </w:t>
          </w:r>
          <w:r w:rsidR="00CF6E3F">
            <w:t>–</w:t>
          </w:r>
          <w:r w:rsidR="00C7068C">
            <w:t xml:space="preserve"> </w:t>
          </w:r>
          <w:r w:rsidR="001716FC">
            <w:t>Energy</w:t>
          </w:r>
          <w:r w:rsidR="00CF6E3F">
            <w:t xml:space="preserve"> </w:t>
          </w:r>
          <w:r w:rsidR="001716FC">
            <w:t>Australia</w:t>
          </w:r>
          <w:r w:rsidR="00C7068C">
            <w:t xml:space="preserve"> (</w:t>
          </w:r>
          <w:r w:rsidR="001716FC">
            <w:t xml:space="preserve">Mt Piper, </w:t>
          </w:r>
          <w:proofErr w:type="spellStart"/>
          <w:r w:rsidR="001716FC">
            <w:t>Tallawarra</w:t>
          </w:r>
          <w:proofErr w:type="spellEnd"/>
          <w:r w:rsidR="00C7068C">
            <w:t>) closing bid prices, dispatch and spot price</w:t>
          </w:r>
        </w:p>
        <w:p w:rsidR="00C7068C" w:rsidRDefault="00541F9F" w:rsidP="00C7068C">
          <w:pPr>
            <w:pStyle w:val="Tabletitle"/>
          </w:pPr>
          <w:r w:rsidRPr="00541F9F">
            <w:rPr>
              <w:noProof/>
              <w:lang w:eastAsia="en-AU"/>
            </w:rPr>
            <w:drawing>
              <wp:inline distT="0" distB="0" distL="0" distR="0" wp14:anchorId="1D18C477" wp14:editId="5A35C16D">
                <wp:extent cx="5382895" cy="2421953"/>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421953"/>
                        </a:xfrm>
                        <a:prstGeom prst="rect">
                          <a:avLst/>
                        </a:prstGeom>
                        <a:noFill/>
                        <a:ln>
                          <a:noFill/>
                        </a:ln>
                      </pic:spPr>
                    </pic:pic>
                  </a:graphicData>
                </a:graphic>
              </wp:inline>
            </w:drawing>
          </w:r>
        </w:p>
        <w:p w:rsidR="00541F9F" w:rsidRDefault="00541F9F" w:rsidP="00C7068C">
          <w:pPr>
            <w:pStyle w:val="Tabletitle"/>
          </w:pPr>
        </w:p>
        <w:p w:rsidR="00C7068C" w:rsidRDefault="00E55476" w:rsidP="00C7068C">
          <w:pPr>
            <w:pStyle w:val="Tabletitle"/>
          </w:pPr>
          <w:r>
            <w:t>Figure C</w:t>
          </w:r>
          <w:r w:rsidR="00541F9F">
            <w:t>4</w:t>
          </w:r>
          <w:r w:rsidR="00C7068C">
            <w:t xml:space="preserve"> - </w:t>
          </w:r>
          <w:r w:rsidR="001716FC">
            <w:t>Origin</w:t>
          </w:r>
          <w:r w:rsidR="00C7068C">
            <w:t xml:space="preserve"> (</w:t>
          </w:r>
          <w:r w:rsidR="001716FC">
            <w:t xml:space="preserve">Eraring, Shoalhaven, </w:t>
          </w:r>
          <w:proofErr w:type="gramStart"/>
          <w:r w:rsidR="001716FC">
            <w:t>Uranquinty</w:t>
          </w:r>
          <w:proofErr w:type="gramEnd"/>
          <w:r w:rsidR="00C7068C">
            <w:t>) closing bid prices, dispatch and spot price</w:t>
          </w:r>
        </w:p>
        <w:p w:rsidR="00541F9F" w:rsidRDefault="00541F9F" w:rsidP="00C7068C">
          <w:pPr>
            <w:pStyle w:val="Tabletitle"/>
          </w:pPr>
          <w:r w:rsidRPr="00541F9F">
            <w:rPr>
              <w:noProof/>
              <w:lang w:eastAsia="en-AU"/>
            </w:rPr>
            <w:drawing>
              <wp:inline distT="0" distB="0" distL="0" distR="0" wp14:anchorId="642DFE2D" wp14:editId="537CFD6E">
                <wp:extent cx="5382895" cy="2419023"/>
                <wp:effectExtent l="0" t="0" r="825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419023"/>
                        </a:xfrm>
                        <a:prstGeom prst="rect">
                          <a:avLst/>
                        </a:prstGeom>
                        <a:noFill/>
                        <a:ln>
                          <a:noFill/>
                        </a:ln>
                      </pic:spPr>
                    </pic:pic>
                  </a:graphicData>
                </a:graphic>
              </wp:inline>
            </w:drawing>
          </w:r>
        </w:p>
        <w:p w:rsidR="00541F9F" w:rsidRDefault="00541F9F">
          <w:pPr>
            <w:spacing w:line="240" w:lineRule="auto"/>
            <w:jc w:val="left"/>
            <w:rPr>
              <w:b/>
              <w:color w:val="076A92" w:themeColor="text1"/>
              <w:sz w:val="24"/>
              <w:szCs w:val="20"/>
            </w:rPr>
          </w:pPr>
          <w:r>
            <w:br w:type="page"/>
          </w:r>
        </w:p>
        <w:p w:rsidR="00C7068C" w:rsidRDefault="00E55476" w:rsidP="00C7068C">
          <w:pPr>
            <w:pStyle w:val="Tabletitle"/>
          </w:pPr>
          <w:r>
            <w:lastRenderedPageBreak/>
            <w:t>Figure C</w:t>
          </w:r>
          <w:r w:rsidR="00541F9F">
            <w:t>5</w:t>
          </w:r>
          <w:r w:rsidR="00C7068C">
            <w:t xml:space="preserve"> </w:t>
          </w:r>
          <w:r w:rsidR="001716FC">
            <w:t>–</w:t>
          </w:r>
          <w:r w:rsidR="00C7068C">
            <w:t xml:space="preserve"> </w:t>
          </w:r>
          <w:r w:rsidR="001716FC">
            <w:t>Snowy Hydro</w:t>
          </w:r>
          <w:r w:rsidR="00C7068C">
            <w:t xml:space="preserve"> (</w:t>
          </w:r>
          <w:proofErr w:type="spellStart"/>
          <w:r w:rsidR="001716FC">
            <w:t>Colongra</w:t>
          </w:r>
          <w:proofErr w:type="spellEnd"/>
          <w:r w:rsidR="001716FC">
            <w:t xml:space="preserve">, Tumut, Upper Tumut, Guthega, </w:t>
          </w:r>
          <w:proofErr w:type="spellStart"/>
          <w:proofErr w:type="gramStart"/>
          <w:r w:rsidR="001716FC">
            <w:t>Blowering</w:t>
          </w:r>
          <w:proofErr w:type="spellEnd"/>
          <w:proofErr w:type="gramEnd"/>
          <w:r w:rsidR="00C7068C">
            <w:t>) closing bid prices, dispatch and spot price</w:t>
          </w:r>
        </w:p>
        <w:p w:rsidR="00C7068C" w:rsidRPr="003E380F" w:rsidRDefault="00541F9F" w:rsidP="00C7068C">
          <w:r w:rsidRPr="00541F9F">
            <w:rPr>
              <w:noProof/>
              <w:lang w:eastAsia="en-AU"/>
            </w:rPr>
            <w:drawing>
              <wp:inline distT="0" distB="0" distL="0" distR="0" wp14:anchorId="1024727F" wp14:editId="61491FEB">
                <wp:extent cx="5382895" cy="2419023"/>
                <wp:effectExtent l="0" t="0" r="825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419023"/>
                        </a:xfrm>
                        <a:prstGeom prst="rect">
                          <a:avLst/>
                        </a:prstGeom>
                        <a:noFill/>
                        <a:ln>
                          <a:noFill/>
                        </a:ln>
                      </pic:spPr>
                    </pic:pic>
                  </a:graphicData>
                </a:graphic>
              </wp:inline>
            </w:drawing>
          </w:r>
        </w:p>
      </w:sdtContent>
    </w:sdt>
    <w:p w:rsidR="0086284F" w:rsidRDefault="0086284F">
      <w:pPr>
        <w:spacing w:line="240" w:lineRule="auto"/>
        <w:jc w:val="left"/>
        <w:rPr>
          <w:b/>
          <w:color w:val="076A92" w:themeColor="text1"/>
          <w:sz w:val="24"/>
          <w:szCs w:val="20"/>
        </w:rPr>
      </w:pPr>
    </w:p>
    <w:p w:rsidR="008E263A" w:rsidRDefault="008E263A" w:rsidP="008E263A">
      <w:pPr>
        <w:pStyle w:val="Heading1notnumber"/>
      </w:pPr>
      <w:bookmarkStart w:id="26" w:name="_Toc470075239"/>
      <w:r>
        <w:lastRenderedPageBreak/>
        <w:t>Appendix D</w:t>
      </w:r>
      <w:r w:rsidR="000C465E">
        <w:t xml:space="preserve">: </w:t>
      </w:r>
      <w:r>
        <w:t>Management of constraints</w:t>
      </w:r>
      <w:bookmarkEnd w:id="26"/>
    </w:p>
    <w:p w:rsidR="00F96C5E" w:rsidRDefault="00F96C5E" w:rsidP="00460BC8">
      <w:pPr>
        <w:pStyle w:val="AERBody"/>
      </w:pPr>
      <w:r w:rsidRPr="00F96C5E">
        <w:t>Transmission networks transport electricity from generators to large customers and load centres served by distribution networks. Transmission networks also connect different regions, allowing for the interregional flow of electricity in the NEM.</w:t>
      </w:r>
      <w:r>
        <w:t xml:space="preserve">  Every generator and transmission line or other piece of equipment has design or operational limits which if exceeded may cause damage or complete failure of that equipment.  </w:t>
      </w:r>
    </w:p>
    <w:p w:rsidR="00F96C5E" w:rsidRDefault="00F96C5E" w:rsidP="00460BC8">
      <w:pPr>
        <w:pStyle w:val="AERBody"/>
      </w:pPr>
      <w:r w:rsidRPr="008E263A">
        <w:t>One of AEMO’s responsibilities</w:t>
      </w:r>
      <w:r>
        <w:t>,</w:t>
      </w:r>
      <w:r w:rsidRPr="008E263A">
        <w:t xml:space="preserve"> as the market and system operator</w:t>
      </w:r>
      <w:r>
        <w:t>,</w:t>
      </w:r>
      <w:r w:rsidRPr="008E263A">
        <w:t xml:space="preserve"> is to manage the network to ensure that transmission elements are not overloaded and system security is maintained. </w:t>
      </w:r>
    </w:p>
    <w:p w:rsidR="00F96C5E" w:rsidRDefault="00F96C5E" w:rsidP="00460BC8">
      <w:pPr>
        <w:pStyle w:val="AERBody"/>
      </w:pPr>
      <w:r w:rsidRPr="00F96C5E">
        <w:t>“Congestion” is what happens when there is a bottleneck somewhere on this network. That is,</w:t>
      </w:r>
      <w:r>
        <w:t xml:space="preserve"> c</w:t>
      </w:r>
      <w:r w:rsidR="00CF6E3F">
        <w:t>ongestion occurs when</w:t>
      </w:r>
      <w:r w:rsidRPr="00F96C5E">
        <w:t xml:space="preserve"> </w:t>
      </w:r>
      <w:r>
        <w:t xml:space="preserve">no more </w:t>
      </w:r>
      <w:r w:rsidRPr="00F96C5E">
        <w:t xml:space="preserve">electricity that can flow over a particular line or other transmission system element </w:t>
      </w:r>
      <w:r>
        <w:t>without causing damage or exceeding design or operational limitations</w:t>
      </w:r>
      <w:r w:rsidRPr="00F96C5E">
        <w:t xml:space="preserve">.  These limitations usually reflect the ratings of transmission equipment (generally referred to as ‘lines’ in this report). The ratings of transmission lines are not always constant and are affected </w:t>
      </w:r>
      <w:r w:rsidR="00273C25">
        <w:t xml:space="preserve">by ambient weather conditions. </w:t>
      </w:r>
    </w:p>
    <w:p w:rsidR="008E263A" w:rsidRPr="008E263A" w:rsidRDefault="008E263A" w:rsidP="008E263A">
      <w:pPr>
        <w:pStyle w:val="AERBody"/>
        <w:rPr>
          <w:b/>
        </w:rPr>
      </w:pPr>
      <w:r w:rsidRPr="008E263A">
        <w:rPr>
          <w:b/>
        </w:rPr>
        <w:t>Constraint equations</w:t>
      </w:r>
    </w:p>
    <w:p w:rsidR="00AA04F7" w:rsidRDefault="008E263A" w:rsidP="00460BC8">
      <w:pPr>
        <w:pStyle w:val="AERBody"/>
      </w:pPr>
      <w:r w:rsidRPr="008E263A">
        <w:t>To manage network flows AEMO utilises constraint equations</w:t>
      </w:r>
      <w:r w:rsidR="00F96C5E">
        <w:t>, which are mathematical representations of the performance of the network,</w:t>
      </w:r>
      <w:r w:rsidRPr="008E263A">
        <w:t xml:space="preserve"> in the NEM dispatch engine (NEMDE), which runs every five minutes. </w:t>
      </w:r>
    </w:p>
    <w:p w:rsidR="008E263A" w:rsidRPr="008E263A" w:rsidRDefault="008E263A" w:rsidP="00460BC8">
      <w:pPr>
        <w:pStyle w:val="AERBody"/>
      </w:pPr>
      <w:r w:rsidRPr="008E263A">
        <w:t xml:space="preserve">A constraint equation is used </w:t>
      </w:r>
      <w:r w:rsidR="00F96C5E" w:rsidRPr="008E263A">
        <w:t xml:space="preserve">to manage flows on specific transmission lines (and other equipment) for each five minute dispatch interval </w:t>
      </w:r>
      <w:r w:rsidR="00F96C5E">
        <w:t xml:space="preserve">as </w:t>
      </w:r>
      <w:r w:rsidRPr="008E263A">
        <w:t xml:space="preserve">determine </w:t>
      </w:r>
      <w:r w:rsidR="00F96C5E">
        <w:t xml:space="preserve">by NEMDE </w:t>
      </w:r>
      <w:r w:rsidR="00F96C5E" w:rsidRPr="008E263A">
        <w:t>based on their</w:t>
      </w:r>
      <w:r w:rsidR="00F96C5E">
        <w:t xml:space="preserve"> </w:t>
      </w:r>
      <w:r w:rsidRPr="008E263A">
        <w:t xml:space="preserve">dispatch </w:t>
      </w:r>
      <w:r w:rsidR="00F96C5E" w:rsidRPr="008E263A">
        <w:t>offers (or bids)</w:t>
      </w:r>
      <w:r w:rsidR="00F96C5E">
        <w:t xml:space="preserve"> </w:t>
      </w:r>
      <w:r w:rsidRPr="008E263A">
        <w:t>of generators</w:t>
      </w:r>
      <w:r w:rsidR="00817E84">
        <w:t xml:space="preserve"> (and scheduled loads)</w:t>
      </w:r>
      <w:r w:rsidRPr="008E263A">
        <w:t>.</w:t>
      </w:r>
      <w:r w:rsidR="00AA04F7" w:rsidRPr="00AA04F7">
        <w:t xml:space="preserve"> </w:t>
      </w:r>
      <w:r w:rsidR="00AA04F7" w:rsidRPr="008E263A">
        <w:t xml:space="preserve">Where transmission elements become congested, </w:t>
      </w:r>
      <w:r w:rsidR="00EE55E1">
        <w:t xml:space="preserve">(they can carry no more power) </w:t>
      </w:r>
      <w:r w:rsidR="00AA04F7" w:rsidRPr="008E263A">
        <w:t xml:space="preserve">they are referred to as </w:t>
      </w:r>
      <w:r w:rsidR="00273C25">
        <w:t>“</w:t>
      </w:r>
      <w:r w:rsidR="00AA04F7" w:rsidRPr="008E263A">
        <w:t>being constrained</w:t>
      </w:r>
      <w:r w:rsidR="00273C25">
        <w:t>”</w:t>
      </w:r>
      <w:r w:rsidR="00AA04F7" w:rsidRPr="008E263A">
        <w:t>.</w:t>
      </w:r>
    </w:p>
    <w:p w:rsidR="008E263A" w:rsidRPr="008E263A" w:rsidRDefault="008E263A" w:rsidP="00460BC8">
      <w:pPr>
        <w:pStyle w:val="AERBody"/>
      </w:pPr>
      <w:r w:rsidRPr="008E263A">
        <w:t xml:space="preserve">Each constraint equation consists of a Left Hand Side (LHS) and a Right Hand Side (RHS). The RHS signifies the outer point of an outcome, beyond which a </w:t>
      </w:r>
      <w:r w:rsidR="00817E84">
        <w:t>network element</w:t>
      </w:r>
      <w:r w:rsidR="00817E84" w:rsidRPr="008E263A">
        <w:t xml:space="preserve"> </w:t>
      </w:r>
      <w:r w:rsidRPr="008E263A">
        <w:t>could become overloaded in the event of the ‘credible contingency’ the constraint is designed to manage.</w:t>
      </w:r>
      <w:r w:rsidR="00B15F21">
        <w:rPr>
          <w:rStyle w:val="FootnoteReference"/>
        </w:rPr>
        <w:footnoteReference w:id="7"/>
      </w:r>
      <w:r w:rsidR="00B15F21">
        <w:t xml:space="preserve"> </w:t>
      </w:r>
      <w:r w:rsidRPr="008E263A">
        <w:t xml:space="preserve">A ‘credible contingency’ includes, for example, the loss of another line or a generator. The RHS contains all of the inputs that cannot be varied by NEMDE. These inputs include demand and the rating of the relevant transmission line (i.e. how much </w:t>
      </w:r>
      <w:r w:rsidR="00273C25">
        <w:t>p</w:t>
      </w:r>
      <w:r w:rsidR="00EE55E1">
        <w:t xml:space="preserve">ower – (MVA), or </w:t>
      </w:r>
      <w:r w:rsidR="00EE55E1" w:rsidRPr="00EE55E1">
        <w:t>current (Amps)</w:t>
      </w:r>
      <w:r w:rsidR="00EE55E1">
        <w:t xml:space="preserve">) </w:t>
      </w:r>
      <w:r w:rsidRPr="008E263A">
        <w:t xml:space="preserve">the line can carry without damaging the line or causing unsafe conditions). The LHS contains all of the inputs that can be varied by NEMDE to deliver an outcome that satisfies the requirement of the RHS. These inputs include output from generators and flow on interconnectors.  </w:t>
      </w:r>
    </w:p>
    <w:p w:rsidR="008E263A" w:rsidRPr="008E263A" w:rsidRDefault="008E263A" w:rsidP="008E263A">
      <w:pPr>
        <w:pStyle w:val="AERBody"/>
        <w:rPr>
          <w:b/>
        </w:rPr>
      </w:pPr>
      <w:r w:rsidRPr="008E263A">
        <w:rPr>
          <w:b/>
        </w:rPr>
        <w:t>How NEMDE deals with constraints</w:t>
      </w:r>
    </w:p>
    <w:p w:rsidR="008E263A" w:rsidRPr="008E263A" w:rsidRDefault="008E263A" w:rsidP="00460BC8">
      <w:pPr>
        <w:pStyle w:val="AERBody"/>
      </w:pPr>
      <w:r w:rsidRPr="008E263A">
        <w:t xml:space="preserve">Constraint equations are used in NEMDE together with generator </w:t>
      </w:r>
      <w:r w:rsidR="00A27FC5">
        <w:t>offers</w:t>
      </w:r>
      <w:r w:rsidR="00A27FC5" w:rsidRPr="008E263A">
        <w:t xml:space="preserve"> </w:t>
      </w:r>
      <w:r w:rsidRPr="008E263A">
        <w:t>to determine the optimal economic dispatch of generators to meet customer demand</w:t>
      </w:r>
      <w:r w:rsidR="00EE55E1">
        <w:t xml:space="preserve"> without exceeding the capabilities of the transmission network</w:t>
      </w:r>
      <w:r w:rsidRPr="008E263A">
        <w:t xml:space="preserve">. All else being equal, if the flow over a particular element of the transmission system is within the requirements of the RHS, then the relevant constraint equation does not affect NEMDE dispatching </w:t>
      </w:r>
      <w:r w:rsidRPr="008E263A">
        <w:lastRenderedPageBreak/>
        <w:t>generators in accordance with ‘merit order’ or ‘economic dispatch’ (by ‘merit order’ or ‘economic dispatch’ the AER means least-price offers of generation capacity are dispatched first). When the LHS of a particular constraint equation is equal to the RHS, the constraint is considered to be at its limit and is ‘binding’</w:t>
      </w:r>
      <w:r w:rsidR="00EE55E1">
        <w:t xml:space="preserve"> or constrained</w:t>
      </w:r>
      <w:r w:rsidRPr="008E263A">
        <w:t xml:space="preserve">. In this situation, NEMDE may need to </w:t>
      </w:r>
      <w:r w:rsidR="00EE55E1">
        <w:t xml:space="preserve">adjust </w:t>
      </w:r>
      <w:r w:rsidRPr="008E263A">
        <w:t xml:space="preserve">dispatch outcomes </w:t>
      </w:r>
      <w:r w:rsidR="00EE55E1">
        <w:t xml:space="preserve">from other sources </w:t>
      </w:r>
      <w:r w:rsidRPr="008E263A">
        <w:t xml:space="preserve">to satisfy the constraint in preference to economic dispatch.  </w:t>
      </w:r>
    </w:p>
    <w:p w:rsidR="008E263A" w:rsidRPr="008E263A" w:rsidRDefault="008E263A" w:rsidP="00460BC8">
      <w:pPr>
        <w:pStyle w:val="AERBody"/>
      </w:pPr>
      <w:r w:rsidRPr="008E263A">
        <w:t xml:space="preserve">NEMDE is designed to avoid or minimise violating a constraint equation. Violations occur on the rare occasion when the LHS is greater than the RHS; that is, the flow over the line could be greater than its rating if the relevant credible contingency occurs in </w:t>
      </w:r>
      <w:r w:rsidR="00B25681">
        <w:t>t</w:t>
      </w:r>
      <w:r w:rsidRPr="008E263A">
        <w:t>he next five minutes.</w:t>
      </w:r>
      <w:r w:rsidR="00B15F21">
        <w:rPr>
          <w:rStyle w:val="FootnoteReference"/>
        </w:rPr>
        <w:footnoteReference w:id="8"/>
      </w:r>
      <w:r w:rsidR="00B15F21">
        <w:t xml:space="preserve"> </w:t>
      </w:r>
      <w:r w:rsidRPr="008E263A">
        <w:t>A binding constraint equation affects dispatch until the constraint no longer binds.</w:t>
      </w:r>
      <w:r w:rsidR="00B25681">
        <w:rPr>
          <w:rStyle w:val="FootnoteReference"/>
        </w:rPr>
        <w:footnoteReference w:id="9"/>
      </w:r>
      <w:r w:rsidRPr="008E263A">
        <w:t xml:space="preserve"> </w:t>
      </w:r>
    </w:p>
    <w:p w:rsidR="008E263A" w:rsidRPr="008E263A" w:rsidRDefault="008E263A" w:rsidP="008E263A">
      <w:pPr>
        <w:pStyle w:val="AERbodytext"/>
        <w:rPr>
          <w:rFonts w:ascii="Arial" w:eastAsiaTheme="minorHAnsi" w:hAnsi="Arial" w:cstheme="minorBidi"/>
          <w:sz w:val="22"/>
          <w:szCs w:val="22"/>
        </w:rPr>
      </w:pPr>
      <w:r w:rsidRPr="008E263A">
        <w:rPr>
          <w:rFonts w:ascii="Arial" w:eastAsiaTheme="minorHAnsi" w:hAnsi="Arial" w:cstheme="minorBidi"/>
          <w:sz w:val="22"/>
          <w:szCs w:val="22"/>
        </w:rPr>
        <w:t xml:space="preserve">To control the flow over a bound line to avoid violating the constraint, NEMDE attempts to change the LHS inputs. For example, NEMDE may try to increase (out of merit order) the output of generators or interconnectors closer to a relevant load/demand centre (‘constrain on’ a generator or interconnector). By increasing generation closer to the load/demand, it can in effect reduce the congestion on the transmission system. Alternatively, NEMDE can reduce (out of merit order) the output of generators or interconnectors that are a source of the flow over the transmission line (‘constrain off’ a generator or interconnector). NEMDE may also adopt a combination of these actions, depending on the specific constraint equation that is binding. </w:t>
      </w:r>
    </w:p>
    <w:p w:rsidR="008E263A" w:rsidRPr="008E263A" w:rsidRDefault="008E263A" w:rsidP="00460BC8">
      <w:pPr>
        <w:pStyle w:val="AERBody"/>
      </w:pPr>
      <w:r w:rsidRPr="008E263A">
        <w:t xml:space="preserve">While the priority is system security and avoiding violations of constraints, NEMDE still attempts to find the least cost way of dispatching generation out of the options available. </w:t>
      </w:r>
      <w:r w:rsidRPr="00460BC8">
        <w:rPr>
          <w:rStyle w:val="AERBodyChar"/>
        </w:rPr>
        <w:t>Therefore if, for example, there are several generators that could be ‘constrained</w:t>
      </w:r>
      <w:r w:rsidRPr="008E263A">
        <w:t xml:space="preserve"> on’, it will choose the lowest cost combination taking into account the prices offered and the coefficients (see discussion of coefficients below). The ability of the system to change generator outputs and interconnector flows to manage network congestion is termed ‘fully co-optimised dispatch’.</w:t>
      </w:r>
    </w:p>
    <w:p w:rsidR="008E263A" w:rsidRPr="008E263A" w:rsidRDefault="008E263A" w:rsidP="00460BC8">
      <w:pPr>
        <w:pStyle w:val="AERBody"/>
      </w:pPr>
      <w:proofErr w:type="gramStart"/>
      <w:r w:rsidRPr="008E263A">
        <w:t>When NEMDE changes flows over an interconnector (by ‘constraining on’ or ‘constraining off’ an interconnector), NEMDE changes the output of generators in adjoining region(s).</w:t>
      </w:r>
      <w:proofErr w:type="gramEnd"/>
      <w:r w:rsidRPr="008E263A">
        <w:t xml:space="preserve"> This does not involve constraining particular </w:t>
      </w:r>
      <w:proofErr w:type="gramStart"/>
      <w:r w:rsidRPr="008E263A">
        <w:t>generators,</w:t>
      </w:r>
      <w:proofErr w:type="gramEnd"/>
      <w:r w:rsidRPr="008E263A">
        <w:t xml:space="preserve"> rather NEMDE reduces or increases the level of supply that is sourced from interstate generators. </w:t>
      </w:r>
    </w:p>
    <w:p w:rsidR="008E263A" w:rsidRPr="00E36FC7" w:rsidRDefault="008E263A" w:rsidP="00E36FC7">
      <w:pPr>
        <w:pStyle w:val="AERBody"/>
        <w:rPr>
          <w:b/>
        </w:rPr>
      </w:pPr>
      <w:r w:rsidRPr="00E36FC7">
        <w:rPr>
          <w:b/>
        </w:rPr>
        <w:t>Coefficients in constraint equations</w:t>
      </w:r>
    </w:p>
    <w:p w:rsidR="008E263A" w:rsidRDefault="008E263A" w:rsidP="00460BC8">
      <w:pPr>
        <w:pStyle w:val="AERBody"/>
      </w:pPr>
      <w:r>
        <w:t xml:space="preserve">As was noted earlier, the </w:t>
      </w:r>
      <w:r w:rsidRPr="00B278A7">
        <w:t xml:space="preserve">LHS </w:t>
      </w:r>
      <w:r>
        <w:t xml:space="preserve">of constraint equations </w:t>
      </w:r>
      <w:r w:rsidRPr="00B278A7">
        <w:t xml:space="preserve">contain all of the inputs that can be varied by NEMDE to </w:t>
      </w:r>
      <w:r>
        <w:t xml:space="preserve">avoid violating the constraint, such as </w:t>
      </w:r>
      <w:r w:rsidRPr="00244A42">
        <w:t xml:space="preserve">output </w:t>
      </w:r>
      <w:r>
        <w:t>from generators and</w:t>
      </w:r>
      <w:r w:rsidRPr="00244A42">
        <w:t xml:space="preserve"> flow </w:t>
      </w:r>
      <w:r>
        <w:t>on</w:t>
      </w:r>
      <w:r w:rsidRPr="00244A42">
        <w:t xml:space="preserve"> interconnectors.</w:t>
      </w:r>
      <w:r>
        <w:t xml:space="preserve"> Each generator or interconnector on the LHS has a coefficient, which reflects the impact it has on the constrained transmission line. In other words, the effect of a one megawatt (MW) change in the output of a particular generator (or flow on a particular interconnector) on flows over the constrained line is </w:t>
      </w:r>
      <w:r>
        <w:lastRenderedPageBreak/>
        <w:t xml:space="preserve">reflected in the </w:t>
      </w:r>
      <w:r w:rsidRPr="00795D34">
        <w:t>coefficient</w:t>
      </w:r>
      <w:r>
        <w:t xml:space="preserve"> assigned in the LHS. For example, if a one MW reduction in output of a generator decreases flow on the constrained line by one MW, the coefficient is </w:t>
      </w:r>
      <w:r w:rsidRPr="00795D34">
        <w:t>+1</w:t>
      </w:r>
      <w:r>
        <w:t>. A positive coefficient means that a generator may be ‘constrained-off’ when the constraint binds, while a negative coefficient means a generator is ‘constrained-on’. The further away a generator or interconnector is located from the constrained line, the greater the change in output required to achieve a one MW change in flow over the constrained line. This is reflected by a smaller coefficient.</w:t>
      </w:r>
    </w:p>
    <w:p w:rsidR="00460BC8" w:rsidRDefault="00460BC8" w:rsidP="00460BC8">
      <w:pPr>
        <w:pStyle w:val="Heading1notnumber"/>
        <w:jc w:val="left"/>
      </w:pPr>
      <w:bookmarkStart w:id="27" w:name="_Toc470075240"/>
      <w:r>
        <w:lastRenderedPageBreak/>
        <w:t xml:space="preserve">Appendix E: </w:t>
      </w:r>
      <w:r w:rsidRPr="005072C1">
        <w:t>N&gt;&gt;N-NIL_01N</w:t>
      </w:r>
      <w:r>
        <w:t xml:space="preserve"> constraint description</w:t>
      </w:r>
      <w:bookmarkEnd w:id="27"/>
    </w:p>
    <w:p w:rsidR="00460BC8" w:rsidRDefault="00F77422" w:rsidP="00F32A9E">
      <w:pPr>
        <w:pStyle w:val="AERBody"/>
      </w:pPr>
      <w:r>
        <w:t>The following is a list of the elements and their respective factors in the constraint formulation</w:t>
      </w:r>
      <w:r w:rsidRPr="00F77422">
        <w:t xml:space="preserve"> </w:t>
      </w:r>
      <w:r>
        <w:t xml:space="preserve">for the </w:t>
      </w:r>
      <w:r w:rsidRPr="005072C1">
        <w:t>N&gt;&gt;N-NIL_01N</w:t>
      </w:r>
      <w:r>
        <w:t xml:space="preserve"> constraint</w:t>
      </w:r>
      <w:r w:rsidRPr="00F77422">
        <w:t xml:space="preserve"> </w:t>
      </w:r>
      <w:r>
        <w:t>effective from 15/11/2016.</w:t>
      </w:r>
    </w:p>
    <w:tbl>
      <w:tblPr>
        <w:tblStyle w:val="AERTable-Text"/>
        <w:tblW w:w="6912" w:type="dxa"/>
        <w:tblLook w:val="04A0" w:firstRow="1" w:lastRow="0" w:firstColumn="1" w:lastColumn="0" w:noHBand="0" w:noVBand="1"/>
      </w:tblPr>
      <w:tblGrid>
        <w:gridCol w:w="2943"/>
        <w:gridCol w:w="3969"/>
      </w:tblGrid>
      <w:tr w:rsidR="00BA07F1" w:rsidRPr="00BA07F1" w:rsidTr="00BA07F1">
        <w:trPr>
          <w:cnfStyle w:val="100000000000" w:firstRow="1" w:lastRow="0" w:firstColumn="0" w:lastColumn="0" w:oddVBand="0" w:evenVBand="0" w:oddHBand="0" w:evenHBand="0" w:firstRowFirstColumn="0" w:firstRowLastColumn="0" w:lastRowFirstColumn="0" w:lastRowLastColumn="0"/>
          <w:trHeight w:val="403"/>
        </w:trPr>
        <w:tc>
          <w:tcPr>
            <w:tcW w:w="2943" w:type="dxa"/>
            <w:vAlign w:val="center"/>
            <w:hideMark/>
          </w:tcPr>
          <w:p w:rsidR="00BA07F1" w:rsidRPr="00BA07F1" w:rsidRDefault="00BA07F1" w:rsidP="00BA07F1">
            <w:pPr>
              <w:pStyle w:val="TableHeading"/>
              <w:rPr>
                <w:b/>
                <w:lang w:eastAsia="en-AU"/>
              </w:rPr>
            </w:pPr>
            <w:r>
              <w:rPr>
                <w:b/>
                <w:lang w:eastAsia="en-AU"/>
              </w:rPr>
              <w:t>Factor</w:t>
            </w:r>
          </w:p>
        </w:tc>
        <w:tc>
          <w:tcPr>
            <w:tcW w:w="3969" w:type="dxa"/>
          </w:tcPr>
          <w:p w:rsidR="00BA07F1" w:rsidRDefault="00BA07F1" w:rsidP="00BA07F1">
            <w:pPr>
              <w:pStyle w:val="TableHeading"/>
              <w:rPr>
                <w:b/>
                <w:lang w:eastAsia="en-AU"/>
              </w:rPr>
            </w:pPr>
            <w:r>
              <w:rPr>
                <w:b/>
                <w:lang w:eastAsia="en-AU"/>
              </w:rPr>
              <w:t>Element</w:t>
            </w:r>
          </w:p>
        </w:tc>
      </w:tr>
      <w:tr w:rsidR="00BA07F1" w:rsidRPr="00FB07A3" w:rsidTr="00BA07F1">
        <w:trPr>
          <w:cnfStyle w:val="000000100000" w:firstRow="0" w:lastRow="0" w:firstColumn="0" w:lastColumn="0" w:oddVBand="0" w:evenVBand="0" w:oddHBand="1" w:evenHBand="0" w:firstRowFirstColumn="0" w:firstRowLastColumn="0" w:lastRowFirstColumn="0" w:lastRowLastColumn="0"/>
          <w:trHeight w:val="403"/>
        </w:trPr>
        <w:tc>
          <w:tcPr>
            <w:tcW w:w="2943" w:type="dxa"/>
            <w:vAlign w:val="center"/>
            <w:hideMark/>
          </w:tcPr>
          <w:p w:rsidR="00BA07F1" w:rsidRDefault="00BA07F1">
            <w:pPr>
              <w:rPr>
                <w:rFonts w:cs="Arial"/>
                <w:color w:val="000000"/>
                <w:szCs w:val="18"/>
              </w:rPr>
            </w:pPr>
            <w:r>
              <w:rPr>
                <w:rFonts w:cs="Arial"/>
                <w:color w:val="000000"/>
                <w:szCs w:val="18"/>
              </w:rPr>
              <w:t>0.5263</w:t>
            </w:r>
          </w:p>
        </w:tc>
        <w:tc>
          <w:tcPr>
            <w:tcW w:w="3969" w:type="dxa"/>
            <w:vAlign w:val="bottom"/>
          </w:tcPr>
          <w:p w:rsidR="00BA07F1" w:rsidRDefault="00BA07F1">
            <w:pPr>
              <w:rPr>
                <w:rFonts w:ascii="Calibri" w:hAnsi="Calibri"/>
                <w:color w:val="000000"/>
                <w:sz w:val="22"/>
              </w:rPr>
            </w:pPr>
            <w:r>
              <w:rPr>
                <w:rFonts w:ascii="Calibri" w:hAnsi="Calibri"/>
                <w:color w:val="000000"/>
                <w:sz w:val="22"/>
              </w:rPr>
              <w:t xml:space="preserve"> VIC1-NSW1 Interconnector</w:t>
            </w:r>
          </w:p>
        </w:tc>
      </w:tr>
      <w:tr w:rsidR="00BA07F1" w:rsidRPr="00FB07A3" w:rsidTr="00BA07F1">
        <w:trPr>
          <w:cnfStyle w:val="000000010000" w:firstRow="0" w:lastRow="0" w:firstColumn="0" w:lastColumn="0" w:oddVBand="0" w:evenVBand="0" w:oddHBand="0" w:evenHBand="1" w:firstRowFirstColumn="0" w:firstRowLastColumn="0" w:lastRowFirstColumn="0" w:lastRowLastColumn="0"/>
          <w:trHeight w:val="403"/>
        </w:trPr>
        <w:tc>
          <w:tcPr>
            <w:tcW w:w="2943" w:type="dxa"/>
            <w:vAlign w:val="center"/>
            <w:hideMark/>
          </w:tcPr>
          <w:p w:rsidR="00BA07F1" w:rsidRDefault="00BA07F1">
            <w:pPr>
              <w:rPr>
                <w:rFonts w:cs="Arial"/>
                <w:color w:val="000000"/>
                <w:szCs w:val="20"/>
              </w:rPr>
            </w:pPr>
            <w:r>
              <w:rPr>
                <w:rFonts w:cs="Arial"/>
                <w:color w:val="000000"/>
                <w:szCs w:val="20"/>
              </w:rPr>
              <w:t>0.28</w:t>
            </w:r>
          </w:p>
        </w:tc>
        <w:tc>
          <w:tcPr>
            <w:tcW w:w="3969" w:type="dxa"/>
            <w:vAlign w:val="bottom"/>
          </w:tcPr>
          <w:p w:rsidR="00BA07F1" w:rsidRDefault="00BA07F1">
            <w:pPr>
              <w:rPr>
                <w:rFonts w:ascii="Calibri" w:hAnsi="Calibri"/>
                <w:color w:val="000000"/>
                <w:sz w:val="22"/>
              </w:rPr>
            </w:pPr>
            <w:r>
              <w:rPr>
                <w:rFonts w:ascii="Calibri" w:hAnsi="Calibri"/>
                <w:color w:val="000000"/>
                <w:sz w:val="22"/>
              </w:rPr>
              <w:t xml:space="preserve"> </w:t>
            </w:r>
            <w:proofErr w:type="spellStart"/>
            <w:r>
              <w:rPr>
                <w:rFonts w:ascii="Calibri" w:hAnsi="Calibri"/>
                <w:color w:val="000000"/>
                <w:sz w:val="22"/>
              </w:rPr>
              <w:t>Blowering</w:t>
            </w:r>
            <w:proofErr w:type="spellEnd"/>
            <w:r>
              <w:rPr>
                <w:rFonts w:ascii="Calibri" w:hAnsi="Calibri"/>
                <w:color w:val="000000"/>
                <w:sz w:val="22"/>
              </w:rPr>
              <w:t xml:space="preserve"> Generator MW</w:t>
            </w:r>
          </w:p>
        </w:tc>
      </w:tr>
      <w:tr w:rsidR="00BA07F1" w:rsidRPr="00FB07A3" w:rsidTr="00BA07F1">
        <w:trPr>
          <w:cnfStyle w:val="000000100000" w:firstRow="0" w:lastRow="0" w:firstColumn="0" w:lastColumn="0" w:oddVBand="0" w:evenVBand="0" w:oddHBand="1" w:evenHBand="0" w:firstRowFirstColumn="0" w:firstRowLastColumn="0" w:lastRowFirstColumn="0" w:lastRowLastColumn="0"/>
          <w:trHeight w:val="403"/>
        </w:trPr>
        <w:tc>
          <w:tcPr>
            <w:tcW w:w="2943" w:type="dxa"/>
            <w:vAlign w:val="center"/>
            <w:hideMark/>
          </w:tcPr>
          <w:p w:rsidR="00BA07F1" w:rsidRDefault="00BA07F1">
            <w:pPr>
              <w:rPr>
                <w:rFonts w:cs="Arial"/>
                <w:color w:val="000000"/>
                <w:szCs w:val="18"/>
              </w:rPr>
            </w:pPr>
            <w:r>
              <w:rPr>
                <w:rFonts w:cs="Arial"/>
                <w:color w:val="000000"/>
                <w:szCs w:val="18"/>
              </w:rPr>
              <w:t>1</w:t>
            </w:r>
          </w:p>
        </w:tc>
        <w:tc>
          <w:tcPr>
            <w:tcW w:w="3969" w:type="dxa"/>
            <w:vAlign w:val="bottom"/>
          </w:tcPr>
          <w:p w:rsidR="00BA07F1" w:rsidRDefault="00BA07F1" w:rsidP="00BA07F1">
            <w:pPr>
              <w:rPr>
                <w:rFonts w:ascii="Calibri" w:hAnsi="Calibri"/>
                <w:color w:val="000000"/>
                <w:sz w:val="22"/>
              </w:rPr>
            </w:pPr>
            <w:r>
              <w:rPr>
                <w:rFonts w:ascii="Calibri" w:hAnsi="Calibri"/>
                <w:color w:val="000000"/>
                <w:sz w:val="22"/>
              </w:rPr>
              <w:t xml:space="preserve"> </w:t>
            </w:r>
            <w:proofErr w:type="spellStart"/>
            <w:r>
              <w:rPr>
                <w:rFonts w:ascii="Calibri" w:hAnsi="Calibri"/>
                <w:color w:val="000000"/>
                <w:sz w:val="22"/>
              </w:rPr>
              <w:t>Boco</w:t>
            </w:r>
            <w:proofErr w:type="spellEnd"/>
            <w:r>
              <w:rPr>
                <w:rFonts w:ascii="Calibri" w:hAnsi="Calibri"/>
                <w:color w:val="000000"/>
                <w:sz w:val="22"/>
              </w:rPr>
              <w:t xml:space="preserve"> Rock Wind Farm Generator MW</w:t>
            </w:r>
          </w:p>
        </w:tc>
      </w:tr>
      <w:tr w:rsidR="00BA07F1" w:rsidRPr="00FB07A3" w:rsidTr="00BA07F1">
        <w:trPr>
          <w:cnfStyle w:val="000000010000" w:firstRow="0" w:lastRow="0" w:firstColumn="0" w:lastColumn="0" w:oddVBand="0" w:evenVBand="0" w:oddHBand="0" w:evenHBand="1" w:firstRowFirstColumn="0" w:firstRowLastColumn="0" w:lastRowFirstColumn="0" w:lastRowLastColumn="0"/>
          <w:trHeight w:val="403"/>
        </w:trPr>
        <w:tc>
          <w:tcPr>
            <w:tcW w:w="2943" w:type="dxa"/>
            <w:vAlign w:val="center"/>
            <w:hideMark/>
          </w:tcPr>
          <w:p w:rsidR="00BA07F1" w:rsidRDefault="00BA07F1">
            <w:pPr>
              <w:rPr>
                <w:rFonts w:cs="Arial"/>
                <w:color w:val="000000"/>
                <w:szCs w:val="20"/>
              </w:rPr>
            </w:pPr>
            <w:r>
              <w:rPr>
                <w:rFonts w:cs="Arial"/>
                <w:color w:val="000000"/>
                <w:szCs w:val="20"/>
              </w:rPr>
              <w:t>0.511</w:t>
            </w:r>
          </w:p>
        </w:tc>
        <w:tc>
          <w:tcPr>
            <w:tcW w:w="3969" w:type="dxa"/>
            <w:vAlign w:val="bottom"/>
          </w:tcPr>
          <w:p w:rsidR="00BA07F1" w:rsidRDefault="00BA07F1" w:rsidP="00BA07F1">
            <w:pPr>
              <w:rPr>
                <w:rFonts w:ascii="Calibri" w:hAnsi="Calibri"/>
                <w:color w:val="000000"/>
                <w:sz w:val="22"/>
              </w:rPr>
            </w:pPr>
            <w:r>
              <w:rPr>
                <w:rFonts w:ascii="Calibri" w:hAnsi="Calibri"/>
                <w:color w:val="000000"/>
                <w:sz w:val="22"/>
              </w:rPr>
              <w:t xml:space="preserve"> Broken Hill Generator MW</w:t>
            </w:r>
          </w:p>
        </w:tc>
      </w:tr>
      <w:tr w:rsidR="00BA07F1" w:rsidRPr="00FB07A3" w:rsidTr="00BA07F1">
        <w:trPr>
          <w:cnfStyle w:val="000000100000" w:firstRow="0" w:lastRow="0" w:firstColumn="0" w:lastColumn="0" w:oddVBand="0" w:evenVBand="0" w:oddHBand="1" w:evenHBand="0" w:firstRowFirstColumn="0" w:firstRowLastColumn="0" w:lastRowFirstColumn="0" w:lastRowLastColumn="0"/>
          <w:trHeight w:val="403"/>
        </w:trPr>
        <w:tc>
          <w:tcPr>
            <w:tcW w:w="2943" w:type="dxa"/>
            <w:vAlign w:val="center"/>
            <w:hideMark/>
          </w:tcPr>
          <w:p w:rsidR="00BA07F1" w:rsidRDefault="00BA07F1">
            <w:pPr>
              <w:rPr>
                <w:rFonts w:cs="Arial"/>
                <w:color w:val="000000"/>
                <w:szCs w:val="18"/>
              </w:rPr>
            </w:pPr>
            <w:r>
              <w:rPr>
                <w:rFonts w:cs="Arial"/>
                <w:color w:val="000000"/>
                <w:szCs w:val="18"/>
              </w:rPr>
              <w:t>0.1052</w:t>
            </w:r>
          </w:p>
        </w:tc>
        <w:tc>
          <w:tcPr>
            <w:tcW w:w="3969" w:type="dxa"/>
            <w:vAlign w:val="bottom"/>
          </w:tcPr>
          <w:p w:rsidR="00BA07F1" w:rsidRDefault="00BA07F1" w:rsidP="00BA07F1">
            <w:pPr>
              <w:rPr>
                <w:rFonts w:ascii="Calibri" w:hAnsi="Calibri"/>
                <w:color w:val="000000"/>
                <w:sz w:val="22"/>
              </w:rPr>
            </w:pPr>
            <w:r>
              <w:rPr>
                <w:rFonts w:ascii="Calibri" w:hAnsi="Calibri"/>
                <w:color w:val="000000"/>
                <w:sz w:val="22"/>
              </w:rPr>
              <w:t xml:space="preserve"> Gunning </w:t>
            </w:r>
            <w:r w:rsidR="00175BBF">
              <w:rPr>
                <w:rFonts w:ascii="Calibri" w:hAnsi="Calibri"/>
                <w:color w:val="000000"/>
                <w:sz w:val="22"/>
              </w:rPr>
              <w:t xml:space="preserve">Wind Farm </w:t>
            </w:r>
            <w:r w:rsidR="00F77422">
              <w:rPr>
                <w:rFonts w:ascii="Calibri" w:hAnsi="Calibri"/>
                <w:color w:val="000000"/>
                <w:sz w:val="22"/>
              </w:rPr>
              <w:t>Generator MW</w:t>
            </w:r>
          </w:p>
        </w:tc>
      </w:tr>
      <w:tr w:rsidR="00BA07F1" w:rsidRPr="00FB07A3" w:rsidTr="00BA07F1">
        <w:trPr>
          <w:cnfStyle w:val="000000010000" w:firstRow="0" w:lastRow="0" w:firstColumn="0" w:lastColumn="0" w:oddVBand="0" w:evenVBand="0" w:oddHBand="0" w:evenHBand="1" w:firstRowFirstColumn="0" w:firstRowLastColumn="0" w:lastRowFirstColumn="0" w:lastRowLastColumn="0"/>
          <w:trHeight w:val="403"/>
        </w:trPr>
        <w:tc>
          <w:tcPr>
            <w:tcW w:w="2943" w:type="dxa"/>
            <w:vAlign w:val="center"/>
            <w:hideMark/>
          </w:tcPr>
          <w:p w:rsidR="00BA07F1" w:rsidRDefault="00BA07F1">
            <w:pPr>
              <w:rPr>
                <w:rFonts w:cs="Arial"/>
                <w:color w:val="000000"/>
                <w:szCs w:val="20"/>
              </w:rPr>
            </w:pPr>
            <w:r>
              <w:rPr>
                <w:rFonts w:cs="Arial"/>
                <w:color w:val="000000"/>
                <w:szCs w:val="20"/>
              </w:rPr>
              <w:t>1</w:t>
            </w:r>
          </w:p>
        </w:tc>
        <w:tc>
          <w:tcPr>
            <w:tcW w:w="3969" w:type="dxa"/>
            <w:vAlign w:val="bottom"/>
          </w:tcPr>
          <w:p w:rsidR="00BA07F1" w:rsidRDefault="00BA07F1">
            <w:pPr>
              <w:rPr>
                <w:rFonts w:ascii="Calibri" w:hAnsi="Calibri"/>
                <w:color w:val="000000"/>
                <w:sz w:val="22"/>
              </w:rPr>
            </w:pPr>
            <w:r>
              <w:rPr>
                <w:rFonts w:ascii="Calibri" w:hAnsi="Calibri"/>
                <w:color w:val="000000"/>
                <w:sz w:val="22"/>
              </w:rPr>
              <w:t xml:space="preserve"> Guthega</w:t>
            </w:r>
            <w:r w:rsidR="00F77422">
              <w:rPr>
                <w:rFonts w:ascii="Calibri" w:hAnsi="Calibri"/>
                <w:color w:val="000000"/>
                <w:sz w:val="22"/>
              </w:rPr>
              <w:t xml:space="preserve"> Generator MW</w:t>
            </w:r>
            <w:r>
              <w:rPr>
                <w:rFonts w:ascii="Calibri" w:hAnsi="Calibri"/>
                <w:color w:val="000000"/>
                <w:sz w:val="22"/>
              </w:rPr>
              <w:t xml:space="preserve"> </w:t>
            </w:r>
          </w:p>
        </w:tc>
      </w:tr>
      <w:tr w:rsidR="00BA07F1" w:rsidRPr="00FB07A3" w:rsidTr="00BA07F1">
        <w:trPr>
          <w:cnfStyle w:val="000000100000" w:firstRow="0" w:lastRow="0" w:firstColumn="0" w:lastColumn="0" w:oddVBand="0" w:evenVBand="0" w:oddHBand="1" w:evenHBand="0" w:firstRowFirstColumn="0" w:firstRowLastColumn="0" w:lastRowFirstColumn="0" w:lastRowLastColumn="0"/>
          <w:trHeight w:val="403"/>
        </w:trPr>
        <w:tc>
          <w:tcPr>
            <w:tcW w:w="2943" w:type="dxa"/>
            <w:vAlign w:val="center"/>
            <w:hideMark/>
          </w:tcPr>
          <w:p w:rsidR="00BA07F1" w:rsidRDefault="00BA07F1">
            <w:pPr>
              <w:rPr>
                <w:rFonts w:cs="Arial"/>
                <w:color w:val="000000"/>
                <w:szCs w:val="18"/>
              </w:rPr>
            </w:pPr>
            <w:r>
              <w:rPr>
                <w:rFonts w:cs="Arial"/>
                <w:color w:val="000000"/>
                <w:szCs w:val="18"/>
              </w:rPr>
              <w:t>0.5007</w:t>
            </w:r>
          </w:p>
        </w:tc>
        <w:tc>
          <w:tcPr>
            <w:tcW w:w="3969" w:type="dxa"/>
            <w:vAlign w:val="bottom"/>
          </w:tcPr>
          <w:p w:rsidR="00BA07F1" w:rsidRDefault="00BA07F1">
            <w:pPr>
              <w:rPr>
                <w:rFonts w:ascii="Calibri" w:hAnsi="Calibri"/>
                <w:color w:val="000000"/>
                <w:sz w:val="22"/>
              </w:rPr>
            </w:pPr>
            <w:r>
              <w:rPr>
                <w:rFonts w:ascii="Calibri" w:hAnsi="Calibri"/>
                <w:color w:val="000000"/>
                <w:sz w:val="22"/>
              </w:rPr>
              <w:t xml:space="preserve"> Hume NSW</w:t>
            </w:r>
            <w:r w:rsidR="00F77422">
              <w:rPr>
                <w:rFonts w:ascii="Calibri" w:hAnsi="Calibri"/>
                <w:color w:val="000000"/>
                <w:sz w:val="22"/>
              </w:rPr>
              <w:t xml:space="preserve"> Generator MW</w:t>
            </w:r>
          </w:p>
        </w:tc>
      </w:tr>
      <w:tr w:rsidR="00BA07F1" w:rsidRPr="00FB07A3" w:rsidTr="00BA07F1">
        <w:trPr>
          <w:cnfStyle w:val="000000010000" w:firstRow="0" w:lastRow="0" w:firstColumn="0" w:lastColumn="0" w:oddVBand="0" w:evenVBand="0" w:oddHBand="0" w:evenHBand="1" w:firstRowFirstColumn="0" w:firstRowLastColumn="0" w:lastRowFirstColumn="0" w:lastRowLastColumn="0"/>
          <w:trHeight w:val="403"/>
        </w:trPr>
        <w:tc>
          <w:tcPr>
            <w:tcW w:w="2943" w:type="dxa"/>
            <w:vAlign w:val="center"/>
            <w:hideMark/>
          </w:tcPr>
          <w:p w:rsidR="00BA07F1" w:rsidRDefault="00BA07F1">
            <w:pPr>
              <w:rPr>
                <w:rFonts w:cs="Arial"/>
                <w:color w:val="000000"/>
                <w:szCs w:val="20"/>
              </w:rPr>
            </w:pPr>
            <w:r>
              <w:rPr>
                <w:rFonts w:cs="Arial"/>
                <w:color w:val="000000"/>
                <w:szCs w:val="20"/>
              </w:rPr>
              <w:t>1</w:t>
            </w:r>
          </w:p>
        </w:tc>
        <w:tc>
          <w:tcPr>
            <w:tcW w:w="3969" w:type="dxa"/>
            <w:vAlign w:val="bottom"/>
          </w:tcPr>
          <w:p w:rsidR="00BA07F1" w:rsidRDefault="00BA07F1" w:rsidP="00BA07F1">
            <w:pPr>
              <w:rPr>
                <w:rFonts w:ascii="Calibri" w:hAnsi="Calibri"/>
                <w:color w:val="000000"/>
                <w:sz w:val="22"/>
              </w:rPr>
            </w:pPr>
            <w:r>
              <w:rPr>
                <w:rFonts w:ascii="Calibri" w:hAnsi="Calibri"/>
                <w:color w:val="000000"/>
                <w:sz w:val="22"/>
              </w:rPr>
              <w:t xml:space="preserve"> Shoalhaven Generator MW</w:t>
            </w:r>
          </w:p>
        </w:tc>
      </w:tr>
      <w:tr w:rsidR="00BA07F1" w:rsidRPr="00FB07A3" w:rsidTr="00BA07F1">
        <w:trPr>
          <w:cnfStyle w:val="000000100000" w:firstRow="0" w:lastRow="0" w:firstColumn="0" w:lastColumn="0" w:oddVBand="0" w:evenVBand="0" w:oddHBand="1" w:evenHBand="0" w:firstRowFirstColumn="0" w:firstRowLastColumn="0" w:lastRowFirstColumn="0" w:lastRowLastColumn="0"/>
          <w:trHeight w:val="403"/>
        </w:trPr>
        <w:tc>
          <w:tcPr>
            <w:tcW w:w="2943" w:type="dxa"/>
            <w:vAlign w:val="center"/>
            <w:hideMark/>
          </w:tcPr>
          <w:p w:rsidR="00BA07F1" w:rsidRDefault="00BA07F1">
            <w:pPr>
              <w:rPr>
                <w:rFonts w:cs="Arial"/>
                <w:color w:val="000000"/>
                <w:szCs w:val="18"/>
              </w:rPr>
            </w:pPr>
            <w:r>
              <w:rPr>
                <w:rFonts w:cs="Arial"/>
                <w:color w:val="000000"/>
                <w:szCs w:val="18"/>
              </w:rPr>
              <w:t>-1</w:t>
            </w:r>
          </w:p>
        </w:tc>
        <w:tc>
          <w:tcPr>
            <w:tcW w:w="3969" w:type="dxa"/>
            <w:vAlign w:val="bottom"/>
          </w:tcPr>
          <w:p w:rsidR="00BA07F1" w:rsidRDefault="00BA07F1">
            <w:pPr>
              <w:rPr>
                <w:rFonts w:ascii="Calibri" w:hAnsi="Calibri"/>
                <w:color w:val="000000"/>
                <w:sz w:val="22"/>
              </w:rPr>
            </w:pPr>
            <w:r>
              <w:rPr>
                <w:rFonts w:ascii="Calibri" w:hAnsi="Calibri"/>
                <w:color w:val="000000"/>
                <w:sz w:val="22"/>
              </w:rPr>
              <w:t xml:space="preserve"> Shoalhaven </w:t>
            </w:r>
            <w:r w:rsidR="00175BBF">
              <w:rPr>
                <w:rFonts w:ascii="Calibri" w:hAnsi="Calibri"/>
                <w:color w:val="000000"/>
                <w:sz w:val="22"/>
              </w:rPr>
              <w:t>Pump</w:t>
            </w:r>
            <w:r>
              <w:rPr>
                <w:rFonts w:ascii="Calibri" w:hAnsi="Calibri"/>
                <w:color w:val="000000"/>
                <w:sz w:val="22"/>
              </w:rPr>
              <w:t xml:space="preserve"> MW</w:t>
            </w:r>
          </w:p>
        </w:tc>
      </w:tr>
      <w:tr w:rsidR="00BA07F1" w:rsidRPr="00FB07A3" w:rsidTr="00BA07F1">
        <w:trPr>
          <w:cnfStyle w:val="000000010000" w:firstRow="0" w:lastRow="0" w:firstColumn="0" w:lastColumn="0" w:oddVBand="0" w:evenVBand="0" w:oddHBand="0" w:evenHBand="1" w:firstRowFirstColumn="0" w:firstRowLastColumn="0" w:lastRowFirstColumn="0" w:lastRowLastColumn="0"/>
          <w:trHeight w:val="403"/>
        </w:trPr>
        <w:tc>
          <w:tcPr>
            <w:tcW w:w="2943" w:type="dxa"/>
            <w:vAlign w:val="center"/>
            <w:hideMark/>
          </w:tcPr>
          <w:p w:rsidR="00BA07F1" w:rsidRDefault="00BA07F1">
            <w:pPr>
              <w:rPr>
                <w:rFonts w:cs="Arial"/>
                <w:color w:val="000000"/>
                <w:szCs w:val="20"/>
              </w:rPr>
            </w:pPr>
            <w:r>
              <w:rPr>
                <w:rFonts w:cs="Arial"/>
                <w:color w:val="000000"/>
                <w:szCs w:val="20"/>
              </w:rPr>
              <w:t>-0.5421</w:t>
            </w:r>
          </w:p>
        </w:tc>
        <w:tc>
          <w:tcPr>
            <w:tcW w:w="3969" w:type="dxa"/>
            <w:vAlign w:val="bottom"/>
          </w:tcPr>
          <w:p w:rsidR="00BA07F1" w:rsidRDefault="00BA07F1">
            <w:pPr>
              <w:rPr>
                <w:rFonts w:ascii="Calibri" w:hAnsi="Calibri"/>
                <w:color w:val="000000"/>
                <w:sz w:val="22"/>
              </w:rPr>
            </w:pPr>
            <w:r>
              <w:rPr>
                <w:rFonts w:ascii="Calibri" w:hAnsi="Calibri"/>
                <w:color w:val="000000"/>
                <w:sz w:val="22"/>
              </w:rPr>
              <w:t xml:space="preserve"> Snowy </w:t>
            </w:r>
            <w:r w:rsidR="00175BBF">
              <w:rPr>
                <w:rFonts w:ascii="Calibri" w:hAnsi="Calibri"/>
                <w:color w:val="000000"/>
                <w:sz w:val="22"/>
              </w:rPr>
              <w:t>Pump</w:t>
            </w:r>
            <w:r>
              <w:rPr>
                <w:rFonts w:ascii="Calibri" w:hAnsi="Calibri"/>
                <w:color w:val="000000"/>
                <w:sz w:val="22"/>
              </w:rPr>
              <w:t xml:space="preserve"> MW</w:t>
            </w:r>
          </w:p>
        </w:tc>
      </w:tr>
      <w:tr w:rsidR="00BA07F1" w:rsidRPr="00FB07A3" w:rsidTr="00BA07F1">
        <w:trPr>
          <w:cnfStyle w:val="000000100000" w:firstRow="0" w:lastRow="0" w:firstColumn="0" w:lastColumn="0" w:oddVBand="0" w:evenVBand="0" w:oddHBand="1" w:evenHBand="0" w:firstRowFirstColumn="0" w:firstRowLastColumn="0" w:lastRowFirstColumn="0" w:lastRowLastColumn="0"/>
          <w:trHeight w:val="403"/>
        </w:trPr>
        <w:tc>
          <w:tcPr>
            <w:tcW w:w="2943" w:type="dxa"/>
            <w:vAlign w:val="center"/>
            <w:hideMark/>
          </w:tcPr>
          <w:p w:rsidR="00BA07F1" w:rsidRDefault="00BA07F1">
            <w:pPr>
              <w:rPr>
                <w:rFonts w:cs="Arial"/>
                <w:color w:val="000000"/>
                <w:szCs w:val="18"/>
              </w:rPr>
            </w:pPr>
            <w:r>
              <w:rPr>
                <w:rFonts w:cs="Arial"/>
                <w:color w:val="000000"/>
                <w:szCs w:val="18"/>
              </w:rPr>
              <w:t>0.5421</w:t>
            </w:r>
          </w:p>
        </w:tc>
        <w:tc>
          <w:tcPr>
            <w:tcW w:w="3969" w:type="dxa"/>
            <w:vAlign w:val="bottom"/>
          </w:tcPr>
          <w:p w:rsidR="00BA07F1" w:rsidRDefault="00BA07F1">
            <w:pPr>
              <w:rPr>
                <w:rFonts w:ascii="Calibri" w:hAnsi="Calibri"/>
                <w:color w:val="000000"/>
                <w:sz w:val="22"/>
              </w:rPr>
            </w:pPr>
            <w:r>
              <w:rPr>
                <w:rFonts w:ascii="Calibri" w:hAnsi="Calibri"/>
                <w:color w:val="000000"/>
                <w:sz w:val="22"/>
              </w:rPr>
              <w:t xml:space="preserve"> Tumut 3 Generator MW</w:t>
            </w:r>
          </w:p>
        </w:tc>
      </w:tr>
      <w:tr w:rsidR="00BA07F1" w:rsidRPr="00FB07A3" w:rsidTr="00BA07F1">
        <w:trPr>
          <w:cnfStyle w:val="000000010000" w:firstRow="0" w:lastRow="0" w:firstColumn="0" w:lastColumn="0" w:oddVBand="0" w:evenVBand="0" w:oddHBand="0" w:evenHBand="1" w:firstRowFirstColumn="0" w:firstRowLastColumn="0" w:lastRowFirstColumn="0" w:lastRowLastColumn="0"/>
          <w:trHeight w:val="403"/>
        </w:trPr>
        <w:tc>
          <w:tcPr>
            <w:tcW w:w="2943" w:type="dxa"/>
            <w:vAlign w:val="center"/>
            <w:hideMark/>
          </w:tcPr>
          <w:p w:rsidR="00BA07F1" w:rsidRDefault="00BA07F1">
            <w:pPr>
              <w:rPr>
                <w:rFonts w:cs="Arial"/>
                <w:color w:val="000000"/>
                <w:szCs w:val="20"/>
              </w:rPr>
            </w:pPr>
            <w:r>
              <w:rPr>
                <w:rFonts w:cs="Arial"/>
                <w:color w:val="000000"/>
                <w:szCs w:val="20"/>
              </w:rPr>
              <w:t>0.555</w:t>
            </w:r>
          </w:p>
        </w:tc>
        <w:tc>
          <w:tcPr>
            <w:tcW w:w="3969" w:type="dxa"/>
            <w:vAlign w:val="bottom"/>
          </w:tcPr>
          <w:p w:rsidR="00BA07F1" w:rsidRDefault="00BA07F1">
            <w:pPr>
              <w:rPr>
                <w:rFonts w:ascii="Calibri" w:hAnsi="Calibri"/>
                <w:color w:val="000000"/>
                <w:sz w:val="22"/>
              </w:rPr>
            </w:pPr>
            <w:r>
              <w:rPr>
                <w:rFonts w:ascii="Calibri" w:hAnsi="Calibri"/>
                <w:color w:val="000000"/>
                <w:sz w:val="22"/>
              </w:rPr>
              <w:t xml:space="preserve"> Upper Tumut Generator MW</w:t>
            </w:r>
          </w:p>
        </w:tc>
      </w:tr>
      <w:tr w:rsidR="00BA07F1" w:rsidRPr="00FB07A3" w:rsidTr="00BA07F1">
        <w:trPr>
          <w:cnfStyle w:val="000000100000" w:firstRow="0" w:lastRow="0" w:firstColumn="0" w:lastColumn="0" w:oddVBand="0" w:evenVBand="0" w:oddHBand="1" w:evenHBand="0" w:firstRowFirstColumn="0" w:firstRowLastColumn="0" w:lastRowFirstColumn="0" w:lastRowLastColumn="0"/>
          <w:trHeight w:val="403"/>
        </w:trPr>
        <w:tc>
          <w:tcPr>
            <w:tcW w:w="2943" w:type="dxa"/>
            <w:vAlign w:val="center"/>
            <w:hideMark/>
          </w:tcPr>
          <w:p w:rsidR="00BA07F1" w:rsidRDefault="00BA07F1">
            <w:pPr>
              <w:rPr>
                <w:rFonts w:cs="Arial"/>
                <w:color w:val="000000"/>
                <w:szCs w:val="18"/>
              </w:rPr>
            </w:pPr>
            <w:r>
              <w:rPr>
                <w:rFonts w:cs="Arial"/>
                <w:color w:val="000000"/>
                <w:szCs w:val="18"/>
              </w:rPr>
              <w:t>0.4509</w:t>
            </w:r>
          </w:p>
        </w:tc>
        <w:tc>
          <w:tcPr>
            <w:tcW w:w="3969" w:type="dxa"/>
            <w:vAlign w:val="bottom"/>
          </w:tcPr>
          <w:p w:rsidR="00BA07F1" w:rsidRDefault="00BA07F1">
            <w:pPr>
              <w:rPr>
                <w:rFonts w:ascii="Calibri" w:hAnsi="Calibri"/>
                <w:color w:val="000000"/>
                <w:sz w:val="22"/>
              </w:rPr>
            </w:pPr>
            <w:r>
              <w:rPr>
                <w:rFonts w:ascii="Calibri" w:hAnsi="Calibri"/>
                <w:color w:val="000000"/>
                <w:sz w:val="22"/>
              </w:rPr>
              <w:t xml:space="preserve"> </w:t>
            </w:r>
            <w:proofErr w:type="spellStart"/>
            <w:r>
              <w:rPr>
                <w:rFonts w:ascii="Calibri" w:hAnsi="Calibri"/>
                <w:color w:val="000000"/>
                <w:sz w:val="22"/>
              </w:rPr>
              <w:t>Uranqunity</w:t>
            </w:r>
            <w:proofErr w:type="spellEnd"/>
            <w:r>
              <w:rPr>
                <w:rFonts w:ascii="Calibri" w:hAnsi="Calibri"/>
                <w:color w:val="000000"/>
                <w:sz w:val="22"/>
              </w:rPr>
              <w:t xml:space="preserve"> Generator MW</w:t>
            </w:r>
          </w:p>
        </w:tc>
      </w:tr>
      <w:tr w:rsidR="00BA07F1" w:rsidRPr="00FB07A3" w:rsidTr="00BA07F1">
        <w:trPr>
          <w:cnfStyle w:val="000000010000" w:firstRow="0" w:lastRow="0" w:firstColumn="0" w:lastColumn="0" w:oddVBand="0" w:evenVBand="0" w:oddHBand="0" w:evenHBand="1" w:firstRowFirstColumn="0" w:firstRowLastColumn="0" w:lastRowFirstColumn="0" w:lastRowLastColumn="0"/>
          <w:trHeight w:val="403"/>
        </w:trPr>
        <w:tc>
          <w:tcPr>
            <w:tcW w:w="2943" w:type="dxa"/>
            <w:vAlign w:val="center"/>
            <w:hideMark/>
          </w:tcPr>
          <w:p w:rsidR="00BA07F1" w:rsidRDefault="00BA07F1">
            <w:pPr>
              <w:rPr>
                <w:rFonts w:cs="Arial"/>
                <w:color w:val="000000"/>
                <w:szCs w:val="20"/>
              </w:rPr>
            </w:pPr>
            <w:r>
              <w:rPr>
                <w:rFonts w:cs="Arial"/>
                <w:color w:val="000000"/>
                <w:szCs w:val="20"/>
              </w:rPr>
              <w:t>1</w:t>
            </w:r>
          </w:p>
        </w:tc>
        <w:tc>
          <w:tcPr>
            <w:tcW w:w="3969" w:type="dxa"/>
            <w:vAlign w:val="bottom"/>
          </w:tcPr>
          <w:p w:rsidR="00BA07F1" w:rsidRDefault="00BA07F1" w:rsidP="00BA07F1">
            <w:pPr>
              <w:rPr>
                <w:rFonts w:ascii="Calibri" w:hAnsi="Calibri"/>
                <w:color w:val="000000"/>
                <w:sz w:val="22"/>
              </w:rPr>
            </w:pPr>
            <w:r>
              <w:rPr>
                <w:rFonts w:ascii="Calibri" w:hAnsi="Calibri"/>
                <w:color w:val="000000"/>
                <w:sz w:val="22"/>
              </w:rPr>
              <w:t xml:space="preserve"> Woodlawn </w:t>
            </w:r>
            <w:r w:rsidR="00175BBF">
              <w:rPr>
                <w:rFonts w:ascii="Calibri" w:hAnsi="Calibri"/>
                <w:color w:val="000000"/>
                <w:sz w:val="22"/>
              </w:rPr>
              <w:t xml:space="preserve">Wind Farm </w:t>
            </w:r>
            <w:r>
              <w:rPr>
                <w:rFonts w:ascii="Calibri" w:hAnsi="Calibri"/>
                <w:color w:val="000000"/>
                <w:sz w:val="22"/>
              </w:rPr>
              <w:t>Generator MW</w:t>
            </w:r>
          </w:p>
        </w:tc>
      </w:tr>
    </w:tbl>
    <w:p w:rsidR="00FB07A3" w:rsidRDefault="00FB07A3" w:rsidP="00460BC8">
      <w:pPr>
        <w:pStyle w:val="AERbodytext"/>
      </w:pPr>
    </w:p>
    <w:sectPr w:rsidR="00FB07A3" w:rsidSect="00B76E1A">
      <w:footerReference w:type="even" r:id="rId23"/>
      <w:footerReference w:type="default" r:id="rId24"/>
      <w:footerReference w:type="first" r:id="rId25"/>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65E" w:rsidRDefault="000C465E">
      <w:pPr>
        <w:spacing w:before="0" w:line="240" w:lineRule="auto"/>
      </w:pPr>
      <w:r>
        <w:separator/>
      </w:r>
    </w:p>
  </w:endnote>
  <w:endnote w:type="continuationSeparator" w:id="0">
    <w:p w:rsidR="000C465E" w:rsidRDefault="000C46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5E" w:rsidRPr="007A4D1F" w:rsidRDefault="000C465E"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C7302A" w:rsidRPr="00C7302A">
      <w:rPr>
        <w:rFonts w:eastAsia="Arial" w:cs="Times New Roman"/>
        <w:b/>
        <w:bCs/>
        <w:noProof/>
        <w:color w:val="076A92" w:themeColor="text1"/>
        <w:sz w:val="18"/>
        <w:lang w:val="en-US"/>
      </w:rPr>
      <w:t>Electricity</w:t>
    </w:r>
    <w:r w:rsidR="00C7302A">
      <w:rPr>
        <w:rFonts w:eastAsia="Arial" w:cs="Times New Roman"/>
        <w:noProof/>
        <w:color w:val="076A92" w:themeColor="text1"/>
        <w:sz w:val="18"/>
      </w:rPr>
      <w:t xml:space="preserve"> </w:t>
    </w:r>
    <w:r w:rsidR="00C7302A" w:rsidRPr="00C7302A">
      <w:rPr>
        <w:rFonts w:eastAsia="Arial" w:cs="Times New Roman"/>
        <w:b/>
        <w:noProof/>
        <w:color w:val="076A92" w:themeColor="text1"/>
        <w:sz w:val="18"/>
      </w:rPr>
      <w:t>spot</w:t>
    </w:r>
    <w:r w:rsidR="00C7302A">
      <w:rPr>
        <w:rFonts w:eastAsia="Arial" w:cs="Times New Roman"/>
        <w:noProof/>
        <w:color w:val="076A92" w:themeColor="text1"/>
        <w:sz w:val="18"/>
      </w:rPr>
      <w:t xml:space="preserve"> </w:t>
    </w:r>
    <w:r w:rsidR="00C7302A" w:rsidRPr="00C7302A">
      <w:rPr>
        <w:rFonts w:eastAsia="Arial" w:cs="Times New Roman"/>
        <w:b/>
        <w:noProof/>
        <w:color w:val="076A92" w:themeColor="text1"/>
        <w:sz w:val="18"/>
      </w:rPr>
      <w:t>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C7302A">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0C465E" w:rsidRDefault="000C465E"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5E" w:rsidRPr="00A91A9E" w:rsidRDefault="000C465E"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C465E" w:rsidRDefault="000C465E"/>
  <w:p w:rsidR="000C465E" w:rsidRDefault="000C46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5E" w:rsidRDefault="00C7302A" w:rsidP="003610D1">
    <w:pPr>
      <w:pStyle w:val="Footer"/>
      <w:tabs>
        <w:tab w:val="clear" w:pos="9026"/>
        <w:tab w:val="right" w:pos="8505"/>
      </w:tabs>
    </w:pPr>
    <w:r>
      <w:fldChar w:fldCharType="begin"/>
    </w:r>
    <w:r>
      <w:instrText xml:space="preserve"> STYLEREF  "Report Title"  \* MERGEFORMAT </w:instrText>
    </w:r>
    <w:r>
      <w:fldChar w:fldCharType="separate"/>
    </w:r>
    <w:r w:rsidRPr="00C7302A">
      <w:rPr>
        <w:b/>
        <w:bCs/>
        <w:noProof/>
        <w:lang w:val="en-US"/>
      </w:rPr>
      <w:t>Electricity spot prices above $5000/MWh</w:t>
    </w:r>
    <w:r>
      <w:rPr>
        <w:b/>
        <w:bCs/>
        <w:noProof/>
        <w:lang w:val="en-US"/>
      </w:rPr>
      <w:fldChar w:fldCharType="end"/>
    </w:r>
    <w:r w:rsidR="000C465E">
      <w:tab/>
    </w:r>
    <w:r w:rsidR="000C465E">
      <w:tab/>
    </w:r>
    <w:r w:rsidR="000C465E">
      <w:fldChar w:fldCharType="begin"/>
    </w:r>
    <w:r w:rsidR="000C465E">
      <w:instrText xml:space="preserve"> PAGE   \* MERGEFORMAT </w:instrText>
    </w:r>
    <w:r w:rsidR="000C465E">
      <w:fldChar w:fldCharType="separate"/>
    </w:r>
    <w:r>
      <w:rPr>
        <w:noProof/>
      </w:rPr>
      <w:t>22</w:t>
    </w:r>
    <w:r w:rsidR="000C465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5E" w:rsidRDefault="00C7302A" w:rsidP="003610D1">
    <w:pPr>
      <w:pStyle w:val="Footer"/>
      <w:tabs>
        <w:tab w:val="clear" w:pos="9026"/>
        <w:tab w:val="right" w:pos="8505"/>
      </w:tabs>
    </w:pPr>
    <w:r>
      <w:fldChar w:fldCharType="begin"/>
    </w:r>
    <w:r>
      <w:instrText xml:space="preserve"> STYLEREF  "Report Title"  \* MERGEFORMAT </w:instrText>
    </w:r>
    <w:r>
      <w:fldChar w:fldCharType="separate"/>
    </w:r>
    <w:r w:rsidR="000C465E">
      <w:rPr>
        <w:noProof/>
      </w:rPr>
      <w:t>Electricity spot prices above $5000/MWh</w:t>
    </w:r>
    <w:r>
      <w:rPr>
        <w:noProof/>
      </w:rPr>
      <w:fldChar w:fldCharType="end"/>
    </w:r>
    <w:r w:rsidR="000C465E">
      <w:tab/>
    </w:r>
    <w:r w:rsidR="000C465E">
      <w:tab/>
    </w:r>
    <w:r w:rsidR="000C465E">
      <w:fldChar w:fldCharType="begin"/>
    </w:r>
    <w:r w:rsidR="000C465E">
      <w:instrText xml:space="preserve"> PAGE   \* MERGEFORMAT </w:instrText>
    </w:r>
    <w:r w:rsidR="000C465E">
      <w:fldChar w:fldCharType="separate"/>
    </w:r>
    <w:r w:rsidR="000C465E">
      <w:rPr>
        <w:noProof/>
      </w:rPr>
      <w:t>1</w:t>
    </w:r>
    <w:r w:rsidR="000C465E">
      <w:fldChar w:fldCharType="end"/>
    </w:r>
  </w:p>
  <w:p w:rsidR="000C465E" w:rsidRDefault="000C465E">
    <w:pPr>
      <w:pStyle w:val="Footer"/>
    </w:pPr>
  </w:p>
  <w:p w:rsidR="000C465E" w:rsidRDefault="000C465E"/>
  <w:p w:rsidR="000C465E" w:rsidRDefault="000C46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65E" w:rsidRDefault="000C465E">
      <w:pPr>
        <w:spacing w:before="0" w:line="240" w:lineRule="auto"/>
      </w:pPr>
      <w:r>
        <w:separator/>
      </w:r>
    </w:p>
  </w:footnote>
  <w:footnote w:type="continuationSeparator" w:id="0">
    <w:p w:rsidR="000C465E" w:rsidRDefault="000C465E">
      <w:pPr>
        <w:spacing w:before="0" w:line="240" w:lineRule="auto"/>
      </w:pPr>
      <w:r>
        <w:continuationSeparator/>
      </w:r>
    </w:p>
  </w:footnote>
  <w:footnote w:id="1">
    <w:p w:rsidR="000C465E" w:rsidRDefault="000C465E" w:rsidP="00C7068C">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0C465E" w:rsidRDefault="000C465E" w:rsidP="00AC3454">
      <w:pPr>
        <w:pStyle w:val="FootnoteText"/>
      </w:pPr>
      <w:r>
        <w:rPr>
          <w:rStyle w:val="FootnoteReference"/>
        </w:rPr>
        <w:footnoteRef/>
      </w:r>
      <w:r>
        <w:t xml:space="preserve"> </w:t>
      </w:r>
      <w:r>
        <w:tab/>
        <w:t>System normal constraints describe the configuration of the power system where all transmission elements are in service, or the network is operating in its normal network configuration.</w:t>
      </w:r>
    </w:p>
  </w:footnote>
  <w:footnote w:id="3">
    <w:p w:rsidR="000C465E" w:rsidRDefault="000C465E">
      <w:pPr>
        <w:pStyle w:val="FootnoteText"/>
      </w:pPr>
      <w:r>
        <w:rPr>
          <w:rStyle w:val="FootnoteReference"/>
        </w:rPr>
        <w:footnoteRef/>
      </w:r>
      <w:r>
        <w:t xml:space="preserve"> </w:t>
      </w:r>
      <w:r>
        <w:tab/>
        <w:t>A full description of this constraint is provided in Appendix E</w:t>
      </w:r>
    </w:p>
  </w:footnote>
  <w:footnote w:id="4">
    <w:p w:rsidR="000C465E" w:rsidRDefault="000C465E">
      <w:pPr>
        <w:pStyle w:val="FootnoteText"/>
      </w:pPr>
      <w:r>
        <w:rPr>
          <w:rStyle w:val="FootnoteReference"/>
        </w:rPr>
        <w:footnoteRef/>
      </w:r>
      <w:r>
        <w:t xml:space="preserve"> </w:t>
      </w:r>
      <w:r>
        <w:tab/>
        <w:t xml:space="preserve">We are using Tumut in </w:t>
      </w:r>
      <w:r>
        <w:fldChar w:fldCharType="begin"/>
      </w:r>
      <w:r>
        <w:instrText xml:space="preserve"> REF _Ref469411347 \h  \* MERGEFORMAT </w:instrText>
      </w:r>
      <w:r>
        <w:fldChar w:fldCharType="separate"/>
      </w:r>
      <w:r>
        <w:t>Figure 3</w:t>
      </w:r>
      <w:r>
        <w:fldChar w:fldCharType="end"/>
      </w:r>
      <w:r>
        <w:t xml:space="preserve"> to represent the impact of the increase in generation as its total change in output was the greatest of all the generators in the constraint. Tumut’s output increased from 0 MW at 11.35 am to 980 MW at 2.20 pm as a result of rebidding capacity to the price floor.</w:t>
      </w:r>
    </w:p>
  </w:footnote>
  <w:footnote w:id="5">
    <w:p w:rsidR="000C465E" w:rsidRDefault="000C465E">
      <w:pPr>
        <w:pStyle w:val="FootnoteText"/>
      </w:pPr>
      <w:r>
        <w:rPr>
          <w:rStyle w:val="FootnoteReference"/>
        </w:rPr>
        <w:footnoteRef/>
      </w:r>
      <w:r>
        <w:t xml:space="preserve"> </w:t>
      </w:r>
      <w:r>
        <w:tab/>
        <w:t>Semi-Scheduled generators can be issued a semi-dispatch cap by AEMO at times when an increase in output above that limit would violate secure network limits</w:t>
      </w:r>
    </w:p>
  </w:footnote>
  <w:footnote w:id="6">
    <w:p w:rsidR="000C465E" w:rsidRPr="004D709E" w:rsidRDefault="000C465E"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1" w:history="1">
        <w:r w:rsidRPr="002B2EAE">
          <w:rPr>
            <w:rStyle w:val="Hyperlink"/>
            <w:szCs w:val="16"/>
          </w:rPr>
          <w:t>www.aemo.com.au</w:t>
        </w:r>
      </w:hyperlink>
    </w:p>
  </w:footnote>
  <w:footnote w:id="7">
    <w:p w:rsidR="000C465E" w:rsidRDefault="000C465E">
      <w:pPr>
        <w:pStyle w:val="FootnoteText"/>
      </w:pPr>
      <w:r>
        <w:rPr>
          <w:rStyle w:val="FootnoteReference"/>
        </w:rPr>
        <w:footnoteRef/>
      </w:r>
      <w:r>
        <w:t xml:space="preserve"> If the constraint equation is not satisfied it is termed as ‘violated’.</w:t>
      </w:r>
    </w:p>
  </w:footnote>
  <w:footnote w:id="8">
    <w:p w:rsidR="000C465E" w:rsidRDefault="000C465E">
      <w:pPr>
        <w:pStyle w:val="FootnoteText"/>
      </w:pPr>
      <w:r>
        <w:rPr>
          <w:rStyle w:val="FootnoteReference"/>
        </w:rPr>
        <w:footnoteRef/>
      </w:r>
      <w:r>
        <w:t xml:space="preserve"> Constraint equations can be expressed as LHS ≤ RHS or LHS ≥ RHS. For the purposes of this report, the descriptions of constraint equations are limited to LHS ≤ RHS.</w:t>
      </w:r>
      <w:r w:rsidRPr="00B15F21">
        <w:t xml:space="preserve"> </w:t>
      </w:r>
      <w:r>
        <w:t>These are the most common types of constraint equations used to manage network limits.</w:t>
      </w:r>
    </w:p>
  </w:footnote>
  <w:footnote w:id="9">
    <w:p w:rsidR="000C465E" w:rsidRDefault="000C465E">
      <w:pPr>
        <w:pStyle w:val="FootnoteText"/>
      </w:pPr>
      <w:r>
        <w:rPr>
          <w:rStyle w:val="FootnoteReference"/>
        </w:rPr>
        <w:footnoteRef/>
      </w:r>
      <w:r>
        <w:t xml:space="preserve"> Constraint may stop binding due to for example</w:t>
      </w:r>
      <w:r w:rsidRPr="00EB3BDB">
        <w:t xml:space="preserve"> </w:t>
      </w:r>
      <w:r>
        <w:t xml:space="preserve">an increase in line rating (which can be influenced by </w:t>
      </w:r>
      <w:r w:rsidRPr="00EB3BDB">
        <w:t xml:space="preserve">ambient </w:t>
      </w:r>
      <w:r>
        <w:t xml:space="preserve">weather conditions) or </w:t>
      </w:r>
      <w:r w:rsidRPr="00EB3BDB">
        <w:t>changes</w:t>
      </w:r>
      <w:r>
        <w:t xml:space="preserve"> in generator offers.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3E933FA"/>
    <w:multiLevelType w:val="hybridMultilevel"/>
    <w:tmpl w:val="0F602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69FC4544"/>
    <w:multiLevelType w:val="hybridMultilevel"/>
    <w:tmpl w:val="0C94D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1"/>
  </w:num>
  <w:num w:numId="14">
    <w:abstractNumId w:val="14"/>
  </w:num>
  <w:num w:numId="15">
    <w:abstractNumId w:val="17"/>
  </w:num>
  <w:num w:numId="16">
    <w:abstractNumId w:val="23"/>
  </w:num>
  <w:num w:numId="17">
    <w:abstractNumId w:val="13"/>
  </w:num>
  <w:num w:numId="18">
    <w:abstractNumId w:val="19"/>
  </w:num>
  <w:num w:numId="19">
    <w:abstractNumId w:val="12"/>
  </w:num>
  <w:num w:numId="20">
    <w:abstractNumId w:val="24"/>
  </w:num>
  <w:num w:numId="21">
    <w:abstractNumId w:val="29"/>
  </w:num>
  <w:num w:numId="22">
    <w:abstractNumId w:val="18"/>
  </w:num>
  <w:num w:numId="23">
    <w:abstractNumId w:val="2"/>
    <w:lvlOverride w:ilvl="0">
      <w:startOverride w:val="1"/>
    </w:lvlOverride>
  </w:num>
  <w:num w:numId="24">
    <w:abstractNumId w:val="19"/>
    <w:lvlOverride w:ilvl="0">
      <w:startOverride w:val="1"/>
    </w:lvlOverride>
  </w:num>
  <w:num w:numId="25">
    <w:abstractNumId w:val="26"/>
  </w:num>
  <w:num w:numId="26">
    <w:abstractNumId w:val="22"/>
  </w:num>
  <w:num w:numId="27">
    <w:abstractNumId w:val="10"/>
  </w:num>
  <w:num w:numId="28">
    <w:abstractNumId w:val="16"/>
  </w:num>
  <w:num w:numId="29">
    <w:abstractNumId w:val="11"/>
  </w:num>
  <w:num w:numId="30">
    <w:abstractNumId w:val="25"/>
  </w:num>
  <w:num w:numId="31">
    <w:abstractNumId w:val="17"/>
  </w:num>
  <w:num w:numId="32">
    <w:abstractNumId w:val="14"/>
  </w:num>
  <w:num w:numId="33">
    <w:abstractNumId w:val="11"/>
  </w:num>
  <w:num w:numId="34">
    <w:abstractNumId w:val="11"/>
  </w:num>
  <w:num w:numId="35">
    <w:abstractNumId w:val="9"/>
  </w:num>
  <w:num w:numId="36">
    <w:abstractNumId w:val="11"/>
  </w:num>
  <w:num w:numId="37">
    <w:abstractNumId w:val="11"/>
  </w:num>
  <w:num w:numId="38">
    <w:abstractNumId w:val="30"/>
  </w:num>
  <w:num w:numId="39">
    <w:abstractNumId w:val="28"/>
  </w:num>
  <w:num w:numId="40">
    <w:abstractNumId w:val="20"/>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720"/>
  <w:characterSpacingControl w:val="doNotCompress"/>
  <w:hdrShapeDefaults>
    <o:shapedefaults v:ext="edit" spidmax="16385">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616\D16 170478  20161118 NSW $5000 V2.DOCX"/>
  </w:docVars>
  <w:rsids>
    <w:rsidRoot w:val="003610D1"/>
    <w:rsid w:val="00010B1A"/>
    <w:rsid w:val="00011D86"/>
    <w:rsid w:val="000146AC"/>
    <w:rsid w:val="00017BF7"/>
    <w:rsid w:val="00021644"/>
    <w:rsid w:val="000221E2"/>
    <w:rsid w:val="00024297"/>
    <w:rsid w:val="00030F8E"/>
    <w:rsid w:val="00034F77"/>
    <w:rsid w:val="00041065"/>
    <w:rsid w:val="00043249"/>
    <w:rsid w:val="00043CDD"/>
    <w:rsid w:val="00043F8E"/>
    <w:rsid w:val="000456EC"/>
    <w:rsid w:val="00046C4A"/>
    <w:rsid w:val="000508E0"/>
    <w:rsid w:val="0005162D"/>
    <w:rsid w:val="00051AA5"/>
    <w:rsid w:val="000545DD"/>
    <w:rsid w:val="000554BB"/>
    <w:rsid w:val="000570C9"/>
    <w:rsid w:val="00061A48"/>
    <w:rsid w:val="000635D7"/>
    <w:rsid w:val="000708CF"/>
    <w:rsid w:val="000722EB"/>
    <w:rsid w:val="0007263E"/>
    <w:rsid w:val="00074360"/>
    <w:rsid w:val="000801EF"/>
    <w:rsid w:val="00080C63"/>
    <w:rsid w:val="0008415A"/>
    <w:rsid w:val="000844CC"/>
    <w:rsid w:val="00090DE0"/>
    <w:rsid w:val="00094459"/>
    <w:rsid w:val="000951D5"/>
    <w:rsid w:val="00095F66"/>
    <w:rsid w:val="00097DFA"/>
    <w:rsid w:val="000A434F"/>
    <w:rsid w:val="000A57EE"/>
    <w:rsid w:val="000A5BD1"/>
    <w:rsid w:val="000B1671"/>
    <w:rsid w:val="000B2E41"/>
    <w:rsid w:val="000B47BA"/>
    <w:rsid w:val="000B47DF"/>
    <w:rsid w:val="000B5690"/>
    <w:rsid w:val="000B622E"/>
    <w:rsid w:val="000B786D"/>
    <w:rsid w:val="000C0941"/>
    <w:rsid w:val="000C0E4B"/>
    <w:rsid w:val="000C3347"/>
    <w:rsid w:val="000C465E"/>
    <w:rsid w:val="000C4EA7"/>
    <w:rsid w:val="000C55AE"/>
    <w:rsid w:val="000C6CDD"/>
    <w:rsid w:val="000D0554"/>
    <w:rsid w:val="000D107C"/>
    <w:rsid w:val="000D40BE"/>
    <w:rsid w:val="000D557D"/>
    <w:rsid w:val="000D5810"/>
    <w:rsid w:val="000E32A2"/>
    <w:rsid w:val="000F1AF3"/>
    <w:rsid w:val="00101A55"/>
    <w:rsid w:val="00103088"/>
    <w:rsid w:val="00103D3D"/>
    <w:rsid w:val="00111FF2"/>
    <w:rsid w:val="00112012"/>
    <w:rsid w:val="001143C4"/>
    <w:rsid w:val="00114564"/>
    <w:rsid w:val="0011518C"/>
    <w:rsid w:val="001251A8"/>
    <w:rsid w:val="00127769"/>
    <w:rsid w:val="00127BB1"/>
    <w:rsid w:val="00132B65"/>
    <w:rsid w:val="00136AF6"/>
    <w:rsid w:val="00141536"/>
    <w:rsid w:val="00141D53"/>
    <w:rsid w:val="001440FF"/>
    <w:rsid w:val="00144712"/>
    <w:rsid w:val="00144763"/>
    <w:rsid w:val="00151CC0"/>
    <w:rsid w:val="00155CFA"/>
    <w:rsid w:val="0015715D"/>
    <w:rsid w:val="001571AB"/>
    <w:rsid w:val="00157944"/>
    <w:rsid w:val="00157982"/>
    <w:rsid w:val="00157B32"/>
    <w:rsid w:val="00157F29"/>
    <w:rsid w:val="00161708"/>
    <w:rsid w:val="00162522"/>
    <w:rsid w:val="001640AB"/>
    <w:rsid w:val="0016468E"/>
    <w:rsid w:val="0016579C"/>
    <w:rsid w:val="00165EF5"/>
    <w:rsid w:val="001716FC"/>
    <w:rsid w:val="00174796"/>
    <w:rsid w:val="00175BBF"/>
    <w:rsid w:val="00181E92"/>
    <w:rsid w:val="001826F5"/>
    <w:rsid w:val="00183F9A"/>
    <w:rsid w:val="0018474D"/>
    <w:rsid w:val="00185629"/>
    <w:rsid w:val="0018615A"/>
    <w:rsid w:val="00194A0C"/>
    <w:rsid w:val="001A2CD9"/>
    <w:rsid w:val="001A5038"/>
    <w:rsid w:val="001B0767"/>
    <w:rsid w:val="001B21EA"/>
    <w:rsid w:val="001B26A5"/>
    <w:rsid w:val="001B2BD5"/>
    <w:rsid w:val="001B311E"/>
    <w:rsid w:val="001B3158"/>
    <w:rsid w:val="001B70FC"/>
    <w:rsid w:val="001C2CEA"/>
    <w:rsid w:val="001C5D8C"/>
    <w:rsid w:val="001C6D91"/>
    <w:rsid w:val="001D1F09"/>
    <w:rsid w:val="001D3356"/>
    <w:rsid w:val="001D4960"/>
    <w:rsid w:val="001D514B"/>
    <w:rsid w:val="001E0D97"/>
    <w:rsid w:val="001E1DEB"/>
    <w:rsid w:val="001E50C3"/>
    <w:rsid w:val="001E5BF5"/>
    <w:rsid w:val="001E6D30"/>
    <w:rsid w:val="001E78A6"/>
    <w:rsid w:val="001E78DB"/>
    <w:rsid w:val="001E7E6E"/>
    <w:rsid w:val="001F0BEF"/>
    <w:rsid w:val="001F182A"/>
    <w:rsid w:val="001F1A14"/>
    <w:rsid w:val="001F30F1"/>
    <w:rsid w:val="0020088C"/>
    <w:rsid w:val="00206817"/>
    <w:rsid w:val="002114E0"/>
    <w:rsid w:val="002114E4"/>
    <w:rsid w:val="00217A1D"/>
    <w:rsid w:val="00220318"/>
    <w:rsid w:val="002214D3"/>
    <w:rsid w:val="00221530"/>
    <w:rsid w:val="00222EC1"/>
    <w:rsid w:val="00231875"/>
    <w:rsid w:val="00233351"/>
    <w:rsid w:val="00237E08"/>
    <w:rsid w:val="00245D67"/>
    <w:rsid w:val="00245F57"/>
    <w:rsid w:val="002475E3"/>
    <w:rsid w:val="00247FC3"/>
    <w:rsid w:val="00251131"/>
    <w:rsid w:val="00251BDD"/>
    <w:rsid w:val="00251D61"/>
    <w:rsid w:val="00254B38"/>
    <w:rsid w:val="00255EEF"/>
    <w:rsid w:val="00256806"/>
    <w:rsid w:val="0026078D"/>
    <w:rsid w:val="002614FF"/>
    <w:rsid w:val="00261EE4"/>
    <w:rsid w:val="00261FD0"/>
    <w:rsid w:val="002635FC"/>
    <w:rsid w:val="00264398"/>
    <w:rsid w:val="00265A61"/>
    <w:rsid w:val="002667D4"/>
    <w:rsid w:val="00271FC7"/>
    <w:rsid w:val="00273C25"/>
    <w:rsid w:val="002743BE"/>
    <w:rsid w:val="0027556F"/>
    <w:rsid w:val="002766BD"/>
    <w:rsid w:val="00277918"/>
    <w:rsid w:val="002808FD"/>
    <w:rsid w:val="0028094F"/>
    <w:rsid w:val="002812C2"/>
    <w:rsid w:val="00285E18"/>
    <w:rsid w:val="00286C34"/>
    <w:rsid w:val="002931DC"/>
    <w:rsid w:val="00293A0A"/>
    <w:rsid w:val="0029452B"/>
    <w:rsid w:val="00297821"/>
    <w:rsid w:val="00297D01"/>
    <w:rsid w:val="002A56AB"/>
    <w:rsid w:val="002A5CF9"/>
    <w:rsid w:val="002A6276"/>
    <w:rsid w:val="002A68C4"/>
    <w:rsid w:val="002B33A8"/>
    <w:rsid w:val="002B4F2D"/>
    <w:rsid w:val="002B6A68"/>
    <w:rsid w:val="002B6EDD"/>
    <w:rsid w:val="002B701C"/>
    <w:rsid w:val="002C0CF2"/>
    <w:rsid w:val="002C34D8"/>
    <w:rsid w:val="002D0F6E"/>
    <w:rsid w:val="002D2BAB"/>
    <w:rsid w:val="002D4EE4"/>
    <w:rsid w:val="002D5D79"/>
    <w:rsid w:val="002D7459"/>
    <w:rsid w:val="002E0AF3"/>
    <w:rsid w:val="002E5340"/>
    <w:rsid w:val="002E6ABC"/>
    <w:rsid w:val="002F025A"/>
    <w:rsid w:val="002F48D5"/>
    <w:rsid w:val="002F59A8"/>
    <w:rsid w:val="002F5EE3"/>
    <w:rsid w:val="002F631A"/>
    <w:rsid w:val="00311066"/>
    <w:rsid w:val="00313B2B"/>
    <w:rsid w:val="003168F1"/>
    <w:rsid w:val="00321D5A"/>
    <w:rsid w:val="003250C8"/>
    <w:rsid w:val="00325126"/>
    <w:rsid w:val="003364FF"/>
    <w:rsid w:val="00337F9E"/>
    <w:rsid w:val="00340E02"/>
    <w:rsid w:val="00346649"/>
    <w:rsid w:val="00350712"/>
    <w:rsid w:val="00353228"/>
    <w:rsid w:val="00353C34"/>
    <w:rsid w:val="003565E8"/>
    <w:rsid w:val="00356CC0"/>
    <w:rsid w:val="003610D1"/>
    <w:rsid w:val="00361814"/>
    <w:rsid w:val="00361D2A"/>
    <w:rsid w:val="00370288"/>
    <w:rsid w:val="0037052A"/>
    <w:rsid w:val="003712DE"/>
    <w:rsid w:val="003745C3"/>
    <w:rsid w:val="00374AB0"/>
    <w:rsid w:val="00381976"/>
    <w:rsid w:val="0038203C"/>
    <w:rsid w:val="00382756"/>
    <w:rsid w:val="003874BC"/>
    <w:rsid w:val="00390216"/>
    <w:rsid w:val="00390B79"/>
    <w:rsid w:val="00392313"/>
    <w:rsid w:val="003A3C41"/>
    <w:rsid w:val="003A4880"/>
    <w:rsid w:val="003B071F"/>
    <w:rsid w:val="003B07C1"/>
    <w:rsid w:val="003B266D"/>
    <w:rsid w:val="003B37A3"/>
    <w:rsid w:val="003B6009"/>
    <w:rsid w:val="003B770F"/>
    <w:rsid w:val="003C4833"/>
    <w:rsid w:val="003C5515"/>
    <w:rsid w:val="003C5F95"/>
    <w:rsid w:val="003E57C5"/>
    <w:rsid w:val="003E5F2A"/>
    <w:rsid w:val="003E78F9"/>
    <w:rsid w:val="003F0065"/>
    <w:rsid w:val="003F3477"/>
    <w:rsid w:val="003F4971"/>
    <w:rsid w:val="003F50A0"/>
    <w:rsid w:val="003F64FD"/>
    <w:rsid w:val="0040128A"/>
    <w:rsid w:val="004075BD"/>
    <w:rsid w:val="00411EE1"/>
    <w:rsid w:val="00412A20"/>
    <w:rsid w:val="00413568"/>
    <w:rsid w:val="00414288"/>
    <w:rsid w:val="0041597D"/>
    <w:rsid w:val="00416B89"/>
    <w:rsid w:val="004225A4"/>
    <w:rsid w:val="00422C0F"/>
    <w:rsid w:val="00424241"/>
    <w:rsid w:val="00425390"/>
    <w:rsid w:val="00426AEF"/>
    <w:rsid w:val="004300F1"/>
    <w:rsid w:val="00430FFC"/>
    <w:rsid w:val="00431500"/>
    <w:rsid w:val="00432771"/>
    <w:rsid w:val="0043592B"/>
    <w:rsid w:val="004442C5"/>
    <w:rsid w:val="00445B07"/>
    <w:rsid w:val="00460BC8"/>
    <w:rsid w:val="00460CA4"/>
    <w:rsid w:val="00464428"/>
    <w:rsid w:val="0046706A"/>
    <w:rsid w:val="004710D5"/>
    <w:rsid w:val="00476A93"/>
    <w:rsid w:val="0048005B"/>
    <w:rsid w:val="00480B9F"/>
    <w:rsid w:val="0048137B"/>
    <w:rsid w:val="0048191E"/>
    <w:rsid w:val="00485C9C"/>
    <w:rsid w:val="0049123B"/>
    <w:rsid w:val="00492856"/>
    <w:rsid w:val="00493FFD"/>
    <w:rsid w:val="004954EE"/>
    <w:rsid w:val="004A0423"/>
    <w:rsid w:val="004A0D3E"/>
    <w:rsid w:val="004A11EB"/>
    <w:rsid w:val="004A4E6F"/>
    <w:rsid w:val="004B0A01"/>
    <w:rsid w:val="004B1C7A"/>
    <w:rsid w:val="004B2944"/>
    <w:rsid w:val="004B4C9C"/>
    <w:rsid w:val="004B56EF"/>
    <w:rsid w:val="004C227E"/>
    <w:rsid w:val="004C2EF7"/>
    <w:rsid w:val="004C5A1E"/>
    <w:rsid w:val="004C61C9"/>
    <w:rsid w:val="004C6FFD"/>
    <w:rsid w:val="004C76E6"/>
    <w:rsid w:val="004D2432"/>
    <w:rsid w:val="004D2AB0"/>
    <w:rsid w:val="004D4102"/>
    <w:rsid w:val="004D438D"/>
    <w:rsid w:val="004D51D9"/>
    <w:rsid w:val="004D7255"/>
    <w:rsid w:val="004D7BFF"/>
    <w:rsid w:val="004E336C"/>
    <w:rsid w:val="004E49C3"/>
    <w:rsid w:val="004E5C29"/>
    <w:rsid w:val="004E5CA8"/>
    <w:rsid w:val="004E729B"/>
    <w:rsid w:val="004E78C2"/>
    <w:rsid w:val="004F0977"/>
    <w:rsid w:val="004F5FB9"/>
    <w:rsid w:val="004F7989"/>
    <w:rsid w:val="00505844"/>
    <w:rsid w:val="005061C5"/>
    <w:rsid w:val="005072C1"/>
    <w:rsid w:val="005116A4"/>
    <w:rsid w:val="00511B05"/>
    <w:rsid w:val="00517C7C"/>
    <w:rsid w:val="00521216"/>
    <w:rsid w:val="00522217"/>
    <w:rsid w:val="00523A47"/>
    <w:rsid w:val="0052525D"/>
    <w:rsid w:val="00525318"/>
    <w:rsid w:val="005311D3"/>
    <w:rsid w:val="00535260"/>
    <w:rsid w:val="005366CC"/>
    <w:rsid w:val="0054172D"/>
    <w:rsid w:val="00541F9F"/>
    <w:rsid w:val="00542497"/>
    <w:rsid w:val="00543D9D"/>
    <w:rsid w:val="00545DEE"/>
    <w:rsid w:val="00550588"/>
    <w:rsid w:val="0055566B"/>
    <w:rsid w:val="00562CBF"/>
    <w:rsid w:val="00563950"/>
    <w:rsid w:val="00564052"/>
    <w:rsid w:val="00565294"/>
    <w:rsid w:val="005667C5"/>
    <w:rsid w:val="00571067"/>
    <w:rsid w:val="0057715F"/>
    <w:rsid w:val="00581454"/>
    <w:rsid w:val="005860BC"/>
    <w:rsid w:val="005916B4"/>
    <w:rsid w:val="005917E8"/>
    <w:rsid w:val="00594C1B"/>
    <w:rsid w:val="005A0009"/>
    <w:rsid w:val="005B115B"/>
    <w:rsid w:val="005B12BB"/>
    <w:rsid w:val="005B2572"/>
    <w:rsid w:val="005B6B0F"/>
    <w:rsid w:val="005B7713"/>
    <w:rsid w:val="005C1074"/>
    <w:rsid w:val="005C10DA"/>
    <w:rsid w:val="005C1403"/>
    <w:rsid w:val="005C167B"/>
    <w:rsid w:val="005C18F6"/>
    <w:rsid w:val="005C3E6D"/>
    <w:rsid w:val="005C3EC3"/>
    <w:rsid w:val="005D1949"/>
    <w:rsid w:val="005D259F"/>
    <w:rsid w:val="005D5ED4"/>
    <w:rsid w:val="005E385C"/>
    <w:rsid w:val="005E49B6"/>
    <w:rsid w:val="005F05B1"/>
    <w:rsid w:val="005F05DC"/>
    <w:rsid w:val="005F52A5"/>
    <w:rsid w:val="005F6137"/>
    <w:rsid w:val="00606019"/>
    <w:rsid w:val="00612500"/>
    <w:rsid w:val="006152C2"/>
    <w:rsid w:val="00616C07"/>
    <w:rsid w:val="006249CA"/>
    <w:rsid w:val="00624E14"/>
    <w:rsid w:val="00625E5E"/>
    <w:rsid w:val="00627307"/>
    <w:rsid w:val="00631FA3"/>
    <w:rsid w:val="006329AC"/>
    <w:rsid w:val="00633BFF"/>
    <w:rsid w:val="00636D00"/>
    <w:rsid w:val="00637D55"/>
    <w:rsid w:val="0064062D"/>
    <w:rsid w:val="006412A3"/>
    <w:rsid w:val="00643B62"/>
    <w:rsid w:val="00643C67"/>
    <w:rsid w:val="00646207"/>
    <w:rsid w:val="00651659"/>
    <w:rsid w:val="00663313"/>
    <w:rsid w:val="00665553"/>
    <w:rsid w:val="0067052C"/>
    <w:rsid w:val="006756DD"/>
    <w:rsid w:val="006869C4"/>
    <w:rsid w:val="00692771"/>
    <w:rsid w:val="00692F57"/>
    <w:rsid w:val="00695FA0"/>
    <w:rsid w:val="00696D7A"/>
    <w:rsid w:val="006978F9"/>
    <w:rsid w:val="006B0099"/>
    <w:rsid w:val="006B038C"/>
    <w:rsid w:val="006B0DDB"/>
    <w:rsid w:val="006B44DE"/>
    <w:rsid w:val="006C1FFB"/>
    <w:rsid w:val="006C213E"/>
    <w:rsid w:val="006D095F"/>
    <w:rsid w:val="006D172A"/>
    <w:rsid w:val="006D45CA"/>
    <w:rsid w:val="006D5138"/>
    <w:rsid w:val="006D79CD"/>
    <w:rsid w:val="006E2593"/>
    <w:rsid w:val="006E3FF1"/>
    <w:rsid w:val="006E7E81"/>
    <w:rsid w:val="006F01F3"/>
    <w:rsid w:val="006F0224"/>
    <w:rsid w:val="006F02C0"/>
    <w:rsid w:val="006F2091"/>
    <w:rsid w:val="006F2861"/>
    <w:rsid w:val="006F2875"/>
    <w:rsid w:val="006F3333"/>
    <w:rsid w:val="006F5343"/>
    <w:rsid w:val="006F6317"/>
    <w:rsid w:val="006F7401"/>
    <w:rsid w:val="00700FDA"/>
    <w:rsid w:val="00703233"/>
    <w:rsid w:val="00711EDA"/>
    <w:rsid w:val="00712C6A"/>
    <w:rsid w:val="00713DB6"/>
    <w:rsid w:val="007151A3"/>
    <w:rsid w:val="00716EED"/>
    <w:rsid w:val="0071798C"/>
    <w:rsid w:val="0072178A"/>
    <w:rsid w:val="007267F2"/>
    <w:rsid w:val="007307B0"/>
    <w:rsid w:val="0073081F"/>
    <w:rsid w:val="007341F3"/>
    <w:rsid w:val="00735BB7"/>
    <w:rsid w:val="00740C0E"/>
    <w:rsid w:val="00743AA7"/>
    <w:rsid w:val="007462CD"/>
    <w:rsid w:val="007515C8"/>
    <w:rsid w:val="00757770"/>
    <w:rsid w:val="00761D3B"/>
    <w:rsid w:val="00761EE3"/>
    <w:rsid w:val="007651E9"/>
    <w:rsid w:val="00770005"/>
    <w:rsid w:val="0077094F"/>
    <w:rsid w:val="00775925"/>
    <w:rsid w:val="007762CF"/>
    <w:rsid w:val="00776DF6"/>
    <w:rsid w:val="00777DEE"/>
    <w:rsid w:val="00782108"/>
    <w:rsid w:val="007821EC"/>
    <w:rsid w:val="007853D7"/>
    <w:rsid w:val="007862BB"/>
    <w:rsid w:val="007865CE"/>
    <w:rsid w:val="00794D44"/>
    <w:rsid w:val="007A0814"/>
    <w:rsid w:val="007A210A"/>
    <w:rsid w:val="007A223D"/>
    <w:rsid w:val="007A23C8"/>
    <w:rsid w:val="007A3970"/>
    <w:rsid w:val="007A4650"/>
    <w:rsid w:val="007A4F15"/>
    <w:rsid w:val="007B1D4F"/>
    <w:rsid w:val="007B4B3B"/>
    <w:rsid w:val="007B5014"/>
    <w:rsid w:val="007B7398"/>
    <w:rsid w:val="007B7724"/>
    <w:rsid w:val="007C005E"/>
    <w:rsid w:val="007C2AAF"/>
    <w:rsid w:val="007C4AAD"/>
    <w:rsid w:val="007C51E1"/>
    <w:rsid w:val="007C66BE"/>
    <w:rsid w:val="007C7FCB"/>
    <w:rsid w:val="007D0C6E"/>
    <w:rsid w:val="007D304E"/>
    <w:rsid w:val="007E29C4"/>
    <w:rsid w:val="007E7313"/>
    <w:rsid w:val="007E7E05"/>
    <w:rsid w:val="007F4415"/>
    <w:rsid w:val="007F44FB"/>
    <w:rsid w:val="00800E60"/>
    <w:rsid w:val="00801C0A"/>
    <w:rsid w:val="0080240F"/>
    <w:rsid w:val="00810A0D"/>
    <w:rsid w:val="00814E82"/>
    <w:rsid w:val="00817300"/>
    <w:rsid w:val="00817E84"/>
    <w:rsid w:val="00820444"/>
    <w:rsid w:val="008204FE"/>
    <w:rsid w:val="00822B1B"/>
    <w:rsid w:val="00826297"/>
    <w:rsid w:val="00832689"/>
    <w:rsid w:val="0083461E"/>
    <w:rsid w:val="00843BA8"/>
    <w:rsid w:val="00850300"/>
    <w:rsid w:val="00852168"/>
    <w:rsid w:val="00862328"/>
    <w:rsid w:val="0086284F"/>
    <w:rsid w:val="0086636C"/>
    <w:rsid w:val="00872C3A"/>
    <w:rsid w:val="00874608"/>
    <w:rsid w:val="00874BA5"/>
    <w:rsid w:val="00874E50"/>
    <w:rsid w:val="008850C7"/>
    <w:rsid w:val="0088523D"/>
    <w:rsid w:val="00886B8A"/>
    <w:rsid w:val="00892119"/>
    <w:rsid w:val="008928BC"/>
    <w:rsid w:val="00892FEA"/>
    <w:rsid w:val="00895102"/>
    <w:rsid w:val="00895669"/>
    <w:rsid w:val="008A2B2A"/>
    <w:rsid w:val="008A6BCB"/>
    <w:rsid w:val="008A7820"/>
    <w:rsid w:val="008B4C96"/>
    <w:rsid w:val="008B7CF1"/>
    <w:rsid w:val="008C0299"/>
    <w:rsid w:val="008C3E60"/>
    <w:rsid w:val="008C7396"/>
    <w:rsid w:val="008D0F8B"/>
    <w:rsid w:val="008D16C0"/>
    <w:rsid w:val="008D35C7"/>
    <w:rsid w:val="008D569A"/>
    <w:rsid w:val="008E263A"/>
    <w:rsid w:val="008F0410"/>
    <w:rsid w:val="008F3083"/>
    <w:rsid w:val="008F3779"/>
    <w:rsid w:val="008F4AE1"/>
    <w:rsid w:val="008F56DA"/>
    <w:rsid w:val="009004B1"/>
    <w:rsid w:val="00901619"/>
    <w:rsid w:val="00906BE8"/>
    <w:rsid w:val="00906E3D"/>
    <w:rsid w:val="0090736F"/>
    <w:rsid w:val="00907A32"/>
    <w:rsid w:val="009100EB"/>
    <w:rsid w:val="00913476"/>
    <w:rsid w:val="00914728"/>
    <w:rsid w:val="009147B0"/>
    <w:rsid w:val="00915F95"/>
    <w:rsid w:val="009166A8"/>
    <w:rsid w:val="009213C6"/>
    <w:rsid w:val="00921967"/>
    <w:rsid w:val="00922A0B"/>
    <w:rsid w:val="00931A04"/>
    <w:rsid w:val="00932DA9"/>
    <w:rsid w:val="00936DE7"/>
    <w:rsid w:val="009378BD"/>
    <w:rsid w:val="00937BE5"/>
    <w:rsid w:val="00937D26"/>
    <w:rsid w:val="0094213A"/>
    <w:rsid w:val="0094217A"/>
    <w:rsid w:val="00952C25"/>
    <w:rsid w:val="00960C6B"/>
    <w:rsid w:val="00962BC5"/>
    <w:rsid w:val="00962DE8"/>
    <w:rsid w:val="00963243"/>
    <w:rsid w:val="00964E12"/>
    <w:rsid w:val="00965C10"/>
    <w:rsid w:val="00971493"/>
    <w:rsid w:val="00975AFF"/>
    <w:rsid w:val="00981107"/>
    <w:rsid w:val="009903BA"/>
    <w:rsid w:val="00991247"/>
    <w:rsid w:val="009919E4"/>
    <w:rsid w:val="0099408E"/>
    <w:rsid w:val="009A0DAA"/>
    <w:rsid w:val="009A0E05"/>
    <w:rsid w:val="009A3422"/>
    <w:rsid w:val="009A6124"/>
    <w:rsid w:val="009B028C"/>
    <w:rsid w:val="009B2617"/>
    <w:rsid w:val="009B35C3"/>
    <w:rsid w:val="009B4EFB"/>
    <w:rsid w:val="009B5488"/>
    <w:rsid w:val="009B5D0A"/>
    <w:rsid w:val="009B5D66"/>
    <w:rsid w:val="009B7798"/>
    <w:rsid w:val="009B77DD"/>
    <w:rsid w:val="009C06A3"/>
    <w:rsid w:val="009C0863"/>
    <w:rsid w:val="009C15C9"/>
    <w:rsid w:val="009C1667"/>
    <w:rsid w:val="009C6724"/>
    <w:rsid w:val="009C6AAF"/>
    <w:rsid w:val="009D04CC"/>
    <w:rsid w:val="009D3582"/>
    <w:rsid w:val="009D44E3"/>
    <w:rsid w:val="009D59C9"/>
    <w:rsid w:val="009E5E90"/>
    <w:rsid w:val="009E6762"/>
    <w:rsid w:val="009E7D16"/>
    <w:rsid w:val="009F671C"/>
    <w:rsid w:val="009F6786"/>
    <w:rsid w:val="009F702B"/>
    <w:rsid w:val="00A00EC8"/>
    <w:rsid w:val="00A03107"/>
    <w:rsid w:val="00A033A8"/>
    <w:rsid w:val="00A03B45"/>
    <w:rsid w:val="00A04E1B"/>
    <w:rsid w:val="00A10983"/>
    <w:rsid w:val="00A10C65"/>
    <w:rsid w:val="00A117C5"/>
    <w:rsid w:val="00A11DDF"/>
    <w:rsid w:val="00A12CAE"/>
    <w:rsid w:val="00A14EDE"/>
    <w:rsid w:val="00A16763"/>
    <w:rsid w:val="00A171D1"/>
    <w:rsid w:val="00A27FC5"/>
    <w:rsid w:val="00A314C1"/>
    <w:rsid w:val="00A36187"/>
    <w:rsid w:val="00A375C9"/>
    <w:rsid w:val="00A41536"/>
    <w:rsid w:val="00A43156"/>
    <w:rsid w:val="00A46989"/>
    <w:rsid w:val="00A47107"/>
    <w:rsid w:val="00A47138"/>
    <w:rsid w:val="00A50591"/>
    <w:rsid w:val="00A514B2"/>
    <w:rsid w:val="00A55607"/>
    <w:rsid w:val="00A55DB3"/>
    <w:rsid w:val="00A55E57"/>
    <w:rsid w:val="00A6015B"/>
    <w:rsid w:val="00A61060"/>
    <w:rsid w:val="00A61686"/>
    <w:rsid w:val="00A61E01"/>
    <w:rsid w:val="00A62AFE"/>
    <w:rsid w:val="00A6326C"/>
    <w:rsid w:val="00A640CA"/>
    <w:rsid w:val="00A70456"/>
    <w:rsid w:val="00A7077C"/>
    <w:rsid w:val="00A70BCC"/>
    <w:rsid w:val="00A86749"/>
    <w:rsid w:val="00A941F6"/>
    <w:rsid w:val="00A9530C"/>
    <w:rsid w:val="00A9591D"/>
    <w:rsid w:val="00A976C7"/>
    <w:rsid w:val="00AA04F7"/>
    <w:rsid w:val="00AA34ED"/>
    <w:rsid w:val="00AA40BA"/>
    <w:rsid w:val="00AA44B4"/>
    <w:rsid w:val="00AB0647"/>
    <w:rsid w:val="00AB32D7"/>
    <w:rsid w:val="00AB3B54"/>
    <w:rsid w:val="00AB494E"/>
    <w:rsid w:val="00AB58CB"/>
    <w:rsid w:val="00AB6A90"/>
    <w:rsid w:val="00AC06B3"/>
    <w:rsid w:val="00AC3454"/>
    <w:rsid w:val="00AC4901"/>
    <w:rsid w:val="00AC7547"/>
    <w:rsid w:val="00AC76D1"/>
    <w:rsid w:val="00AD11C9"/>
    <w:rsid w:val="00AD285D"/>
    <w:rsid w:val="00AD3A94"/>
    <w:rsid w:val="00AD3DAC"/>
    <w:rsid w:val="00AD5E0B"/>
    <w:rsid w:val="00AD7592"/>
    <w:rsid w:val="00AD7CCC"/>
    <w:rsid w:val="00AE09CE"/>
    <w:rsid w:val="00AE1E9B"/>
    <w:rsid w:val="00AE2502"/>
    <w:rsid w:val="00AE641A"/>
    <w:rsid w:val="00AE6710"/>
    <w:rsid w:val="00AF09C5"/>
    <w:rsid w:val="00AF3C16"/>
    <w:rsid w:val="00AF6D70"/>
    <w:rsid w:val="00B01BFF"/>
    <w:rsid w:val="00B01FE1"/>
    <w:rsid w:val="00B04C51"/>
    <w:rsid w:val="00B10EDC"/>
    <w:rsid w:val="00B11F76"/>
    <w:rsid w:val="00B1338C"/>
    <w:rsid w:val="00B148C0"/>
    <w:rsid w:val="00B15946"/>
    <w:rsid w:val="00B15F21"/>
    <w:rsid w:val="00B21C95"/>
    <w:rsid w:val="00B21F58"/>
    <w:rsid w:val="00B2325C"/>
    <w:rsid w:val="00B23EBC"/>
    <w:rsid w:val="00B25681"/>
    <w:rsid w:val="00B26225"/>
    <w:rsid w:val="00B319BB"/>
    <w:rsid w:val="00B31B1B"/>
    <w:rsid w:val="00B35883"/>
    <w:rsid w:val="00B35AE4"/>
    <w:rsid w:val="00B37F64"/>
    <w:rsid w:val="00B40C1B"/>
    <w:rsid w:val="00B44AD2"/>
    <w:rsid w:val="00B46D3C"/>
    <w:rsid w:val="00B472EC"/>
    <w:rsid w:val="00B47D8C"/>
    <w:rsid w:val="00B50EEE"/>
    <w:rsid w:val="00B556BE"/>
    <w:rsid w:val="00B55EA7"/>
    <w:rsid w:val="00B57905"/>
    <w:rsid w:val="00B602E3"/>
    <w:rsid w:val="00B67430"/>
    <w:rsid w:val="00B70484"/>
    <w:rsid w:val="00B70ECC"/>
    <w:rsid w:val="00B718C2"/>
    <w:rsid w:val="00B72D11"/>
    <w:rsid w:val="00B72D5C"/>
    <w:rsid w:val="00B73766"/>
    <w:rsid w:val="00B76E1A"/>
    <w:rsid w:val="00B77FC4"/>
    <w:rsid w:val="00B80409"/>
    <w:rsid w:val="00B80E31"/>
    <w:rsid w:val="00B81425"/>
    <w:rsid w:val="00B825A6"/>
    <w:rsid w:val="00B8287F"/>
    <w:rsid w:val="00B82F0C"/>
    <w:rsid w:val="00B861B8"/>
    <w:rsid w:val="00B8689A"/>
    <w:rsid w:val="00B94971"/>
    <w:rsid w:val="00BA06AD"/>
    <w:rsid w:val="00BA07F1"/>
    <w:rsid w:val="00BA0C91"/>
    <w:rsid w:val="00BA1C08"/>
    <w:rsid w:val="00BA741E"/>
    <w:rsid w:val="00BB3C3E"/>
    <w:rsid w:val="00BB54EA"/>
    <w:rsid w:val="00BB6777"/>
    <w:rsid w:val="00BC15D5"/>
    <w:rsid w:val="00BC28E1"/>
    <w:rsid w:val="00BC4C6E"/>
    <w:rsid w:val="00BC794B"/>
    <w:rsid w:val="00BD3D5C"/>
    <w:rsid w:val="00BD4EDE"/>
    <w:rsid w:val="00BD58B9"/>
    <w:rsid w:val="00BD593D"/>
    <w:rsid w:val="00BD7141"/>
    <w:rsid w:val="00BE09C6"/>
    <w:rsid w:val="00BE0D8B"/>
    <w:rsid w:val="00BE168A"/>
    <w:rsid w:val="00BE49AA"/>
    <w:rsid w:val="00BE5B26"/>
    <w:rsid w:val="00BF51F4"/>
    <w:rsid w:val="00BF5A4B"/>
    <w:rsid w:val="00C0059B"/>
    <w:rsid w:val="00C0159F"/>
    <w:rsid w:val="00C045E9"/>
    <w:rsid w:val="00C0477C"/>
    <w:rsid w:val="00C04FDF"/>
    <w:rsid w:val="00C058C4"/>
    <w:rsid w:val="00C15B58"/>
    <w:rsid w:val="00C16089"/>
    <w:rsid w:val="00C24285"/>
    <w:rsid w:val="00C24379"/>
    <w:rsid w:val="00C27A73"/>
    <w:rsid w:val="00C27CBF"/>
    <w:rsid w:val="00C301DC"/>
    <w:rsid w:val="00C30A3A"/>
    <w:rsid w:val="00C33788"/>
    <w:rsid w:val="00C36729"/>
    <w:rsid w:val="00C376CD"/>
    <w:rsid w:val="00C424C5"/>
    <w:rsid w:val="00C47E86"/>
    <w:rsid w:val="00C50D21"/>
    <w:rsid w:val="00C50FE2"/>
    <w:rsid w:val="00C667EC"/>
    <w:rsid w:val="00C66E57"/>
    <w:rsid w:val="00C678DD"/>
    <w:rsid w:val="00C7068C"/>
    <w:rsid w:val="00C7072B"/>
    <w:rsid w:val="00C7302A"/>
    <w:rsid w:val="00C82235"/>
    <w:rsid w:val="00C829D3"/>
    <w:rsid w:val="00C84B66"/>
    <w:rsid w:val="00C87557"/>
    <w:rsid w:val="00C9343E"/>
    <w:rsid w:val="00C945B1"/>
    <w:rsid w:val="00C95114"/>
    <w:rsid w:val="00C95D8D"/>
    <w:rsid w:val="00CA2626"/>
    <w:rsid w:val="00CA467B"/>
    <w:rsid w:val="00CB2BEB"/>
    <w:rsid w:val="00CB4C10"/>
    <w:rsid w:val="00CB6C41"/>
    <w:rsid w:val="00CC00E8"/>
    <w:rsid w:val="00CC0B95"/>
    <w:rsid w:val="00CC29E6"/>
    <w:rsid w:val="00CC3154"/>
    <w:rsid w:val="00CC63CD"/>
    <w:rsid w:val="00CC65AF"/>
    <w:rsid w:val="00CC7EB2"/>
    <w:rsid w:val="00CE3937"/>
    <w:rsid w:val="00CE3BF3"/>
    <w:rsid w:val="00CE4343"/>
    <w:rsid w:val="00CE57A5"/>
    <w:rsid w:val="00CE5919"/>
    <w:rsid w:val="00CE634A"/>
    <w:rsid w:val="00CE6F9F"/>
    <w:rsid w:val="00CF1FCE"/>
    <w:rsid w:val="00CF2FAC"/>
    <w:rsid w:val="00CF34E2"/>
    <w:rsid w:val="00CF69BC"/>
    <w:rsid w:val="00CF6E3F"/>
    <w:rsid w:val="00D00A4E"/>
    <w:rsid w:val="00D02FD5"/>
    <w:rsid w:val="00D057E0"/>
    <w:rsid w:val="00D10573"/>
    <w:rsid w:val="00D20EFE"/>
    <w:rsid w:val="00D229F3"/>
    <w:rsid w:val="00D2488F"/>
    <w:rsid w:val="00D26A8A"/>
    <w:rsid w:val="00D30D89"/>
    <w:rsid w:val="00D31B41"/>
    <w:rsid w:val="00D33AA3"/>
    <w:rsid w:val="00D34940"/>
    <w:rsid w:val="00D34CBC"/>
    <w:rsid w:val="00D369A2"/>
    <w:rsid w:val="00D401C9"/>
    <w:rsid w:val="00D404B2"/>
    <w:rsid w:val="00D47BB3"/>
    <w:rsid w:val="00D5707F"/>
    <w:rsid w:val="00D57396"/>
    <w:rsid w:val="00D6069F"/>
    <w:rsid w:val="00D62F65"/>
    <w:rsid w:val="00D64AB7"/>
    <w:rsid w:val="00D66516"/>
    <w:rsid w:val="00D67C0C"/>
    <w:rsid w:val="00D770AB"/>
    <w:rsid w:val="00D8179D"/>
    <w:rsid w:val="00D82678"/>
    <w:rsid w:val="00D83055"/>
    <w:rsid w:val="00D87315"/>
    <w:rsid w:val="00D8789B"/>
    <w:rsid w:val="00D92E7C"/>
    <w:rsid w:val="00D9491D"/>
    <w:rsid w:val="00DA0766"/>
    <w:rsid w:val="00DA19F7"/>
    <w:rsid w:val="00DA7635"/>
    <w:rsid w:val="00DB297C"/>
    <w:rsid w:val="00DB4344"/>
    <w:rsid w:val="00DB48CF"/>
    <w:rsid w:val="00DB6903"/>
    <w:rsid w:val="00DB7186"/>
    <w:rsid w:val="00DC0086"/>
    <w:rsid w:val="00DC0473"/>
    <w:rsid w:val="00DC2146"/>
    <w:rsid w:val="00DC5D0F"/>
    <w:rsid w:val="00DC6A2F"/>
    <w:rsid w:val="00DD1440"/>
    <w:rsid w:val="00DD1C3C"/>
    <w:rsid w:val="00DD20E9"/>
    <w:rsid w:val="00DD3C12"/>
    <w:rsid w:val="00DD5AAF"/>
    <w:rsid w:val="00DD65AE"/>
    <w:rsid w:val="00DD7A70"/>
    <w:rsid w:val="00DE0317"/>
    <w:rsid w:val="00DE06CC"/>
    <w:rsid w:val="00DE6540"/>
    <w:rsid w:val="00DE7ED9"/>
    <w:rsid w:val="00DF05A0"/>
    <w:rsid w:val="00DF28B1"/>
    <w:rsid w:val="00DF50B3"/>
    <w:rsid w:val="00DF5E1F"/>
    <w:rsid w:val="00DF7B53"/>
    <w:rsid w:val="00E0036B"/>
    <w:rsid w:val="00E019E6"/>
    <w:rsid w:val="00E01F18"/>
    <w:rsid w:val="00E0237B"/>
    <w:rsid w:val="00E1222B"/>
    <w:rsid w:val="00E1378E"/>
    <w:rsid w:val="00E13C7D"/>
    <w:rsid w:val="00E150A1"/>
    <w:rsid w:val="00E21EE6"/>
    <w:rsid w:val="00E2254B"/>
    <w:rsid w:val="00E33279"/>
    <w:rsid w:val="00E34012"/>
    <w:rsid w:val="00E34093"/>
    <w:rsid w:val="00E34784"/>
    <w:rsid w:val="00E36FC7"/>
    <w:rsid w:val="00E42DF8"/>
    <w:rsid w:val="00E4508C"/>
    <w:rsid w:val="00E46574"/>
    <w:rsid w:val="00E54160"/>
    <w:rsid w:val="00E54534"/>
    <w:rsid w:val="00E5528A"/>
    <w:rsid w:val="00E55476"/>
    <w:rsid w:val="00E556F6"/>
    <w:rsid w:val="00E55D81"/>
    <w:rsid w:val="00E57FBE"/>
    <w:rsid w:val="00E64375"/>
    <w:rsid w:val="00E66CD4"/>
    <w:rsid w:val="00E715BB"/>
    <w:rsid w:val="00E72B21"/>
    <w:rsid w:val="00E72E99"/>
    <w:rsid w:val="00E73F72"/>
    <w:rsid w:val="00E777CF"/>
    <w:rsid w:val="00E811A4"/>
    <w:rsid w:val="00E826B2"/>
    <w:rsid w:val="00E91407"/>
    <w:rsid w:val="00E931C9"/>
    <w:rsid w:val="00E95AC1"/>
    <w:rsid w:val="00EA0C2B"/>
    <w:rsid w:val="00EA1A6B"/>
    <w:rsid w:val="00EA2497"/>
    <w:rsid w:val="00EA2A70"/>
    <w:rsid w:val="00EA50D6"/>
    <w:rsid w:val="00EA7EA1"/>
    <w:rsid w:val="00EB2A7A"/>
    <w:rsid w:val="00EB421C"/>
    <w:rsid w:val="00EB520C"/>
    <w:rsid w:val="00EB55A1"/>
    <w:rsid w:val="00EB620E"/>
    <w:rsid w:val="00EC4A12"/>
    <w:rsid w:val="00ED1616"/>
    <w:rsid w:val="00ED6CBD"/>
    <w:rsid w:val="00ED6E20"/>
    <w:rsid w:val="00ED7EF4"/>
    <w:rsid w:val="00EE1A85"/>
    <w:rsid w:val="00EE3C5B"/>
    <w:rsid w:val="00EE4902"/>
    <w:rsid w:val="00EE55E1"/>
    <w:rsid w:val="00EE60CF"/>
    <w:rsid w:val="00EF5A84"/>
    <w:rsid w:val="00EF601F"/>
    <w:rsid w:val="00F02249"/>
    <w:rsid w:val="00F0486A"/>
    <w:rsid w:val="00F11DDE"/>
    <w:rsid w:val="00F12B6C"/>
    <w:rsid w:val="00F13663"/>
    <w:rsid w:val="00F14A68"/>
    <w:rsid w:val="00F169C2"/>
    <w:rsid w:val="00F2030E"/>
    <w:rsid w:val="00F23060"/>
    <w:rsid w:val="00F23835"/>
    <w:rsid w:val="00F266D1"/>
    <w:rsid w:val="00F32A9E"/>
    <w:rsid w:val="00F37732"/>
    <w:rsid w:val="00F449DD"/>
    <w:rsid w:val="00F468BE"/>
    <w:rsid w:val="00F46963"/>
    <w:rsid w:val="00F539E5"/>
    <w:rsid w:val="00F60022"/>
    <w:rsid w:val="00F612D4"/>
    <w:rsid w:val="00F639C4"/>
    <w:rsid w:val="00F6401E"/>
    <w:rsid w:val="00F65507"/>
    <w:rsid w:val="00F65F59"/>
    <w:rsid w:val="00F67160"/>
    <w:rsid w:val="00F67CE1"/>
    <w:rsid w:val="00F7144B"/>
    <w:rsid w:val="00F754FF"/>
    <w:rsid w:val="00F758CE"/>
    <w:rsid w:val="00F77422"/>
    <w:rsid w:val="00F815D2"/>
    <w:rsid w:val="00F85A77"/>
    <w:rsid w:val="00F86B08"/>
    <w:rsid w:val="00F87A7C"/>
    <w:rsid w:val="00F92702"/>
    <w:rsid w:val="00F96C5E"/>
    <w:rsid w:val="00F97A85"/>
    <w:rsid w:val="00F97BCE"/>
    <w:rsid w:val="00FA2C62"/>
    <w:rsid w:val="00FA6096"/>
    <w:rsid w:val="00FA79D1"/>
    <w:rsid w:val="00FB07A3"/>
    <w:rsid w:val="00FC1638"/>
    <w:rsid w:val="00FC1A2C"/>
    <w:rsid w:val="00FC687D"/>
    <w:rsid w:val="00FD1F7F"/>
    <w:rsid w:val="00FD281A"/>
    <w:rsid w:val="00FD331D"/>
    <w:rsid w:val="00FD4390"/>
    <w:rsid w:val="00FD5F26"/>
    <w:rsid w:val="00FD63E0"/>
    <w:rsid w:val="00FE243C"/>
    <w:rsid w:val="00FE3312"/>
    <w:rsid w:val="00FE3442"/>
    <w:rsid w:val="00FE396E"/>
    <w:rsid w:val="00FE5583"/>
    <w:rsid w:val="00FE6075"/>
    <w:rsid w:val="00FE6F18"/>
    <w:rsid w:val="00FE7816"/>
    <w:rsid w:val="00FE7BD4"/>
    <w:rsid w:val="00FF1093"/>
    <w:rsid w:val="00FF2BBB"/>
    <w:rsid w:val="00FF5B00"/>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4718">
      <w:bodyDiv w:val="1"/>
      <w:marLeft w:val="0"/>
      <w:marRight w:val="0"/>
      <w:marTop w:val="0"/>
      <w:marBottom w:val="0"/>
      <w:divBdr>
        <w:top w:val="none" w:sz="0" w:space="0" w:color="auto"/>
        <w:left w:val="none" w:sz="0" w:space="0" w:color="auto"/>
        <w:bottom w:val="none" w:sz="0" w:space="0" w:color="auto"/>
        <w:right w:val="none" w:sz="0" w:space="0" w:color="auto"/>
      </w:divBdr>
    </w:div>
    <w:div w:id="82729546">
      <w:bodyDiv w:val="1"/>
      <w:marLeft w:val="0"/>
      <w:marRight w:val="0"/>
      <w:marTop w:val="0"/>
      <w:marBottom w:val="0"/>
      <w:divBdr>
        <w:top w:val="none" w:sz="0" w:space="0" w:color="auto"/>
        <w:left w:val="none" w:sz="0" w:space="0" w:color="auto"/>
        <w:bottom w:val="none" w:sz="0" w:space="0" w:color="auto"/>
        <w:right w:val="none" w:sz="0" w:space="0" w:color="auto"/>
      </w:divBdr>
    </w:div>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156118861">
      <w:bodyDiv w:val="1"/>
      <w:marLeft w:val="0"/>
      <w:marRight w:val="0"/>
      <w:marTop w:val="0"/>
      <w:marBottom w:val="0"/>
      <w:divBdr>
        <w:top w:val="none" w:sz="0" w:space="0" w:color="auto"/>
        <w:left w:val="none" w:sz="0" w:space="0" w:color="auto"/>
        <w:bottom w:val="none" w:sz="0" w:space="0" w:color="auto"/>
        <w:right w:val="none" w:sz="0" w:space="0" w:color="auto"/>
      </w:divBdr>
    </w:div>
    <w:div w:id="241109922">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215865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8285">
      <w:bodyDiv w:val="1"/>
      <w:marLeft w:val="0"/>
      <w:marRight w:val="0"/>
      <w:marTop w:val="0"/>
      <w:marBottom w:val="0"/>
      <w:divBdr>
        <w:top w:val="none" w:sz="0" w:space="0" w:color="auto"/>
        <w:left w:val="none" w:sz="0" w:space="0" w:color="auto"/>
        <w:bottom w:val="none" w:sz="0" w:space="0" w:color="auto"/>
        <w:right w:val="none" w:sz="0" w:space="0" w:color="auto"/>
      </w:divBdr>
    </w:div>
    <w:div w:id="1253271728">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509364194">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hyperlink" Target="mailto:AERInquiry@aer.gov.au" TargetMode="Externa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731D82D1</Template>
  <TotalTime>0</TotalTime>
  <Pages>22</Pages>
  <Words>4245</Words>
  <Characters>24203</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2016-12-20T23:48:00Z</dcterms:created>
  <dcterms:modified xsi:type="dcterms:W3CDTF">2016-12-20T23:48:00Z</dcterms:modified>
</cp:coreProperties>
</file>