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867" w:rsidRDefault="00521B35" w:rsidP="00842867">
      <w:r w:rsidRPr="00DB723B">
        <w:rPr>
          <w:noProof/>
          <w:lang w:eastAsia="en-AU"/>
        </w:rPr>
        <w:drawing>
          <wp:anchor distT="0" distB="0" distL="114300" distR="114300" simplePos="0" relativeHeight="251659264" behindDoc="1" locked="0" layoutInCell="1" allowOverlap="1" wp14:anchorId="2BA67510" wp14:editId="2BE5AD3F">
            <wp:simplePos x="0" y="0"/>
            <wp:positionH relativeFrom="column">
              <wp:posOffset>-1156970</wp:posOffset>
            </wp:positionH>
            <wp:positionV relativeFrom="paragraph">
              <wp:posOffset>-542290</wp:posOffset>
            </wp:positionV>
            <wp:extent cx="7572375" cy="107035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2375" cy="10703560"/>
                    </a:xfrm>
                    <a:prstGeom prst="rect">
                      <a:avLst/>
                    </a:prstGeom>
                    <a:noFill/>
                  </pic:spPr>
                </pic:pic>
              </a:graphicData>
            </a:graphic>
            <wp14:sizeRelH relativeFrom="page">
              <wp14:pctWidth>0</wp14:pctWidth>
            </wp14:sizeRelH>
            <wp14:sizeRelV relativeFrom="page">
              <wp14:pctHeight>0</wp14:pctHeight>
            </wp14:sizeRelV>
          </wp:anchor>
        </w:drawing>
      </w:r>
      <w:r w:rsidR="00842867">
        <w:t>s</w:t>
      </w:r>
    </w:p>
    <w:sdt>
      <w:sdtPr>
        <w:id w:val="1099676627"/>
        <w:docPartObj>
          <w:docPartGallery w:val="Cover Pages"/>
          <w:docPartUnique/>
        </w:docPartObj>
      </w:sdtPr>
      <w:sdtEndPr>
        <w:rPr>
          <w:rFonts w:eastAsiaTheme="majorEastAsia" w:cstheme="majorBidi"/>
          <w:b/>
          <w:noProof/>
          <w:sz w:val="16"/>
          <w:szCs w:val="16"/>
          <w:lang w:eastAsia="en-AU"/>
        </w:rPr>
      </w:sdtEndPr>
      <w:sdtContent>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Pr>
            <w:pStyle w:val="ReportTitle"/>
          </w:pPr>
        </w:p>
        <w:p w:rsidR="00842867" w:rsidRPr="00E022F1" w:rsidRDefault="00842867" w:rsidP="00842867">
          <w:pPr>
            <w:pStyle w:val="ReportTitle"/>
            <w:rPr>
              <w:sz w:val="56"/>
              <w:szCs w:val="56"/>
            </w:rPr>
          </w:pPr>
          <w:r w:rsidRPr="00E022F1">
            <w:rPr>
              <w:sz w:val="56"/>
              <w:szCs w:val="56"/>
            </w:rPr>
            <w:t>Quarterly Compliance Report</w:t>
          </w:r>
          <w:r w:rsidR="00E022F1">
            <w:rPr>
              <w:sz w:val="56"/>
              <w:szCs w:val="56"/>
            </w:rPr>
            <w:t>:</w:t>
          </w:r>
        </w:p>
        <w:p w:rsidR="00842867" w:rsidRPr="00E022F1" w:rsidRDefault="00842867" w:rsidP="00842867">
          <w:pPr>
            <w:pStyle w:val="ReportSubtitle"/>
            <w:rPr>
              <w:sz w:val="40"/>
              <w:szCs w:val="40"/>
            </w:rPr>
          </w:pPr>
          <w:r w:rsidRPr="00E022F1">
            <w:rPr>
              <w:sz w:val="40"/>
              <w:szCs w:val="40"/>
            </w:rPr>
            <w:t xml:space="preserve">National Electricity and Gas Laws </w:t>
          </w:r>
        </w:p>
        <w:p w:rsidR="00842867" w:rsidRPr="00DB723B" w:rsidRDefault="00842867" w:rsidP="00842867">
          <w:pPr>
            <w:pStyle w:val="ReportDate"/>
          </w:pPr>
          <w:r>
            <w:t xml:space="preserve">October - December </w:t>
          </w:r>
          <w:r w:rsidRPr="00DB723B">
            <w:t>201</w:t>
          </w:r>
          <w:r>
            <w:t>4</w:t>
          </w:r>
        </w:p>
        <w:p w:rsidR="00842867" w:rsidRPr="00DB723B" w:rsidRDefault="00842867" w:rsidP="00842867">
          <w:r w:rsidRPr="00DB723B">
            <w:br w:type="page"/>
          </w:r>
        </w:p>
        <w:p w:rsidR="00E022F1" w:rsidRPr="00E022F1" w:rsidRDefault="00D41BE1" w:rsidP="00E022F1">
          <w:pPr>
            <w:spacing w:line="240" w:lineRule="auto"/>
            <w:rPr>
              <w:rFonts w:eastAsiaTheme="majorEastAsia" w:cstheme="majorBidi"/>
              <w:b/>
              <w:noProof/>
              <w:sz w:val="16"/>
              <w:szCs w:val="16"/>
              <w:lang w:eastAsia="en-AU"/>
            </w:rPr>
          </w:pPr>
        </w:p>
      </w:sdtContent>
    </w:sdt>
    <w:p w:rsidR="00842867" w:rsidRDefault="00842867" w:rsidP="00E022F1">
      <w:pPr>
        <w:spacing w:line="240" w:lineRule="auto"/>
      </w:pPr>
      <w:r>
        <w:t xml:space="preserve">© </w:t>
      </w:r>
      <w:r w:rsidRPr="003974F8">
        <w:rPr>
          <w:b/>
        </w:rPr>
        <w:t>Commonwealth of Australia 2014</w:t>
      </w:r>
    </w:p>
    <w:p w:rsidR="00842867" w:rsidRDefault="00842867" w:rsidP="003974F8">
      <w:pPr>
        <w:pStyle w:val="Copyright"/>
        <w:jc w:val="both"/>
      </w:pPr>
      <w:r>
        <w:t>This work is copyright. In addition to any use permitted under the Copyright Act 1968, all material contained within this work is provided under a Creative Commons Attributions 3.0 Australia licence, with the exception of:</w:t>
      </w:r>
    </w:p>
    <w:p w:rsidR="00842867" w:rsidRDefault="00842867" w:rsidP="00521B35">
      <w:pPr>
        <w:pStyle w:val="StyleCopyrightBefore0pt"/>
        <w:numPr>
          <w:ilvl w:val="0"/>
          <w:numId w:val="22"/>
        </w:numPr>
      </w:pPr>
      <w:r>
        <w:t>the Commonwealth Coat of Arms</w:t>
      </w:r>
    </w:p>
    <w:p w:rsidR="00842867" w:rsidRDefault="00842867" w:rsidP="00521B35">
      <w:pPr>
        <w:pStyle w:val="StyleCopyrightBefore0pt"/>
        <w:numPr>
          <w:ilvl w:val="0"/>
          <w:numId w:val="22"/>
        </w:numPr>
      </w:pPr>
      <w:r>
        <w:t>the ACCC and AER logos</w:t>
      </w:r>
    </w:p>
    <w:p w:rsidR="00842867" w:rsidRPr="00B927D8" w:rsidRDefault="00842867" w:rsidP="00521B35">
      <w:pPr>
        <w:pStyle w:val="ListBullet"/>
        <w:numPr>
          <w:ilvl w:val="0"/>
          <w:numId w:val="22"/>
        </w:numPr>
        <w:jc w:val="both"/>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842867" w:rsidRDefault="00842867" w:rsidP="00842867">
      <w:pPr>
        <w:pStyle w:val="Copyrigh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4141, </w:t>
      </w:r>
      <w:r>
        <w:br/>
        <w:t xml:space="preserve">Canberra ACT 2601 </w:t>
      </w:r>
      <w:r>
        <w:br/>
        <w:t xml:space="preserve">or </w:t>
      </w:r>
      <w:hyperlink r:id="rId11" w:history="1">
        <w:r w:rsidR="002B7FDE" w:rsidRPr="00C5150D">
          <w:rPr>
            <w:rStyle w:val="Hyperlink"/>
            <w:sz w:val="20"/>
          </w:rPr>
          <w:t>publishing.unit@accc.gov.au</w:t>
        </w:r>
      </w:hyperlink>
      <w:r w:rsidR="002B7FDE">
        <w:t xml:space="preserve"> </w:t>
      </w:r>
      <w:r>
        <w:t>.</w:t>
      </w:r>
    </w:p>
    <w:p w:rsidR="00842867" w:rsidRDefault="00842867" w:rsidP="00842867">
      <w:pPr>
        <w:pStyle w:val="Copyright"/>
      </w:pPr>
      <w:r>
        <w:t>Inquiries about this publication should be addressed to:</w:t>
      </w:r>
    </w:p>
    <w:p w:rsidR="00842867" w:rsidRDefault="00842867" w:rsidP="00842867">
      <w:pPr>
        <w:pStyle w:val="Copyright"/>
      </w:pPr>
      <w:r>
        <w:t xml:space="preserve">Australian Energy </w:t>
      </w:r>
      <w:r w:rsidRPr="00F171E0">
        <w:t>Regulator</w:t>
      </w:r>
      <w:r>
        <w:br/>
        <w:t>GPO Box 520</w:t>
      </w:r>
      <w:r>
        <w:br/>
        <w:t>Melbourne  Vic  3001</w:t>
      </w:r>
    </w:p>
    <w:p w:rsidR="00842867" w:rsidRDefault="00842867" w:rsidP="00842867">
      <w:pPr>
        <w:pStyle w:val="Copyright"/>
      </w:pPr>
      <w:r>
        <w:t>Tel: (03) 9290 1444</w:t>
      </w:r>
      <w:r>
        <w:br/>
        <w:t>Fax: (03) 9290 1457</w:t>
      </w:r>
    </w:p>
    <w:p w:rsidR="00842867" w:rsidRPr="00951978" w:rsidRDefault="00842867" w:rsidP="00842867">
      <w:pPr>
        <w:pStyle w:val="Copyright"/>
        <w:rPr>
          <w:color w:val="0000FF"/>
          <w:sz w:val="22"/>
          <w:u w:val="single"/>
        </w:rPr>
      </w:pPr>
      <w:r>
        <w:t xml:space="preserve">Email: </w:t>
      </w:r>
      <w:hyperlink r:id="rId12" w:history="1">
        <w:r w:rsidRPr="00D64888">
          <w:rPr>
            <w:rStyle w:val="Hyperlink"/>
          </w:rPr>
          <w:t>AERInquiry@aer.gov.au</w:t>
        </w:r>
      </w:hyperlink>
      <w:r>
        <w:rPr>
          <w:rStyle w:val="Hyperlink"/>
        </w:rPr>
        <w:br/>
      </w:r>
      <w:r>
        <w:t>AER Reference: 56653 - D15/</w:t>
      </w:r>
      <w:r w:rsidR="00CD5D6B">
        <w:t>18776</w:t>
      </w:r>
    </w:p>
    <w:p w:rsidR="00842867" w:rsidRDefault="00842867" w:rsidP="00842867"/>
    <w:p w:rsidR="00842867" w:rsidRDefault="00842867" w:rsidP="00842867"/>
    <w:p w:rsidR="00842867" w:rsidRDefault="00842867">
      <w:pPr>
        <w:spacing w:line="240" w:lineRule="auto"/>
      </w:pPr>
      <w:r>
        <w:br w:type="page"/>
      </w:r>
    </w:p>
    <w:p w:rsidR="00842867" w:rsidRDefault="00842867" w:rsidP="00842867">
      <w:pPr>
        <w:pStyle w:val="TOCHeading"/>
      </w:pPr>
      <w:r>
        <w:lastRenderedPageBreak/>
        <w:t>Contents</w:t>
      </w:r>
    </w:p>
    <w:p w:rsidR="003D3089" w:rsidRDefault="00842867">
      <w:pPr>
        <w:pStyle w:val="TOC1"/>
        <w:rPr>
          <w:rFonts w:asciiTheme="minorHAnsi" w:eastAsiaTheme="minorEastAsia" w:hAnsiTheme="minorHAnsi"/>
          <w:b w:val="0"/>
          <w:color w:val="auto"/>
          <w:sz w:val="22"/>
          <w:lang w:val="en-AU" w:eastAsia="en-AU"/>
        </w:rPr>
      </w:pPr>
      <w:r>
        <w:fldChar w:fldCharType="begin"/>
      </w:r>
      <w:r>
        <w:instrText xml:space="preserve"> TOC \o "1-3" \h \z \u </w:instrText>
      </w:r>
      <w:r>
        <w:fldChar w:fldCharType="separate"/>
      </w:r>
      <w:hyperlink w:anchor="_Toc412808718" w:history="1">
        <w:r w:rsidR="003D3089" w:rsidRPr="00326F8A">
          <w:rPr>
            <w:rStyle w:val="Hyperlink"/>
          </w:rPr>
          <w:t>Executive summary</w:t>
        </w:r>
        <w:r w:rsidR="003D3089">
          <w:rPr>
            <w:webHidden/>
          </w:rPr>
          <w:tab/>
        </w:r>
        <w:r w:rsidR="003D3089">
          <w:rPr>
            <w:webHidden/>
          </w:rPr>
          <w:fldChar w:fldCharType="begin"/>
        </w:r>
        <w:r w:rsidR="003D3089">
          <w:rPr>
            <w:webHidden/>
          </w:rPr>
          <w:instrText xml:space="preserve"> PAGEREF _Toc412808718 \h </w:instrText>
        </w:r>
        <w:r w:rsidR="003D3089">
          <w:rPr>
            <w:webHidden/>
          </w:rPr>
        </w:r>
        <w:r w:rsidR="003D3089">
          <w:rPr>
            <w:webHidden/>
          </w:rPr>
          <w:fldChar w:fldCharType="separate"/>
        </w:r>
        <w:r w:rsidR="003D3089">
          <w:rPr>
            <w:webHidden/>
          </w:rPr>
          <w:t>1</w:t>
        </w:r>
        <w:r w:rsidR="003D3089">
          <w:rPr>
            <w:webHidden/>
          </w:rPr>
          <w:fldChar w:fldCharType="end"/>
        </w:r>
      </w:hyperlink>
    </w:p>
    <w:p w:rsidR="003D3089" w:rsidRDefault="00D41BE1">
      <w:pPr>
        <w:pStyle w:val="TOC1"/>
        <w:rPr>
          <w:rFonts w:asciiTheme="minorHAnsi" w:eastAsiaTheme="minorEastAsia" w:hAnsiTheme="minorHAnsi"/>
          <w:b w:val="0"/>
          <w:color w:val="auto"/>
          <w:sz w:val="22"/>
          <w:lang w:val="en-AU" w:eastAsia="en-AU"/>
        </w:rPr>
      </w:pPr>
      <w:hyperlink w:anchor="_Toc412808719" w:history="1">
        <w:r w:rsidR="003D3089" w:rsidRPr="00326F8A">
          <w:rPr>
            <w:rStyle w:val="Hyperlink"/>
          </w:rPr>
          <w:t>Background</w:t>
        </w:r>
        <w:r w:rsidR="003D3089">
          <w:rPr>
            <w:webHidden/>
          </w:rPr>
          <w:tab/>
        </w:r>
        <w:r w:rsidR="003D3089">
          <w:rPr>
            <w:webHidden/>
          </w:rPr>
          <w:fldChar w:fldCharType="begin"/>
        </w:r>
        <w:r w:rsidR="003D3089">
          <w:rPr>
            <w:webHidden/>
          </w:rPr>
          <w:instrText xml:space="preserve"> PAGEREF _Toc412808719 \h </w:instrText>
        </w:r>
        <w:r w:rsidR="003D3089">
          <w:rPr>
            <w:webHidden/>
          </w:rPr>
        </w:r>
        <w:r w:rsidR="003D3089">
          <w:rPr>
            <w:webHidden/>
          </w:rPr>
          <w:fldChar w:fldCharType="separate"/>
        </w:r>
        <w:r w:rsidR="003D3089">
          <w:rPr>
            <w:webHidden/>
          </w:rPr>
          <w:t>3</w:t>
        </w:r>
        <w:r w:rsidR="003D3089">
          <w:rPr>
            <w:webHidden/>
          </w:rPr>
          <w:fldChar w:fldCharType="end"/>
        </w:r>
      </w:hyperlink>
    </w:p>
    <w:p w:rsidR="003D3089" w:rsidRDefault="00D41BE1">
      <w:pPr>
        <w:pStyle w:val="TOC1"/>
        <w:rPr>
          <w:rFonts w:asciiTheme="minorHAnsi" w:eastAsiaTheme="minorEastAsia" w:hAnsiTheme="minorHAnsi"/>
          <w:b w:val="0"/>
          <w:color w:val="auto"/>
          <w:sz w:val="22"/>
          <w:lang w:val="en-AU" w:eastAsia="en-AU"/>
        </w:rPr>
      </w:pPr>
      <w:hyperlink w:anchor="_Toc412808720" w:history="1">
        <w:r w:rsidR="003D3089" w:rsidRPr="00326F8A">
          <w:rPr>
            <w:rStyle w:val="Hyperlink"/>
          </w:rPr>
          <w:t>1</w:t>
        </w:r>
        <w:r w:rsidR="003D3089">
          <w:rPr>
            <w:rFonts w:asciiTheme="minorHAnsi" w:eastAsiaTheme="minorEastAsia" w:hAnsiTheme="minorHAnsi"/>
            <w:b w:val="0"/>
            <w:color w:val="auto"/>
            <w:sz w:val="22"/>
            <w:lang w:val="en-AU" w:eastAsia="en-AU"/>
          </w:rPr>
          <w:tab/>
        </w:r>
        <w:r w:rsidR="003D3089" w:rsidRPr="00326F8A">
          <w:rPr>
            <w:rStyle w:val="Hyperlink"/>
          </w:rPr>
          <w:t>Gas</w:t>
        </w:r>
        <w:r w:rsidR="003D3089">
          <w:rPr>
            <w:webHidden/>
          </w:rPr>
          <w:tab/>
        </w:r>
        <w:r w:rsidR="003D3089">
          <w:rPr>
            <w:webHidden/>
          </w:rPr>
          <w:fldChar w:fldCharType="begin"/>
        </w:r>
        <w:r w:rsidR="003D3089">
          <w:rPr>
            <w:webHidden/>
          </w:rPr>
          <w:instrText xml:space="preserve"> PAGEREF _Toc412808720 \h </w:instrText>
        </w:r>
        <w:r w:rsidR="003D3089">
          <w:rPr>
            <w:webHidden/>
          </w:rPr>
        </w:r>
        <w:r w:rsidR="003D3089">
          <w:rPr>
            <w:webHidden/>
          </w:rPr>
          <w:fldChar w:fldCharType="separate"/>
        </w:r>
        <w:r w:rsidR="003D3089">
          <w:rPr>
            <w:webHidden/>
          </w:rPr>
          <w:t>4</w:t>
        </w:r>
        <w:r w:rsidR="003D3089">
          <w:rPr>
            <w:webHidden/>
          </w:rPr>
          <w:fldChar w:fldCharType="end"/>
        </w:r>
      </w:hyperlink>
    </w:p>
    <w:p w:rsidR="003D3089" w:rsidRDefault="00D41BE1">
      <w:pPr>
        <w:pStyle w:val="TOC2"/>
        <w:rPr>
          <w:rFonts w:asciiTheme="minorHAnsi" w:eastAsiaTheme="minorEastAsia" w:hAnsiTheme="minorHAnsi"/>
          <w:b w:val="0"/>
          <w:color w:val="auto"/>
          <w:sz w:val="22"/>
          <w:lang w:eastAsia="en-AU"/>
        </w:rPr>
      </w:pPr>
      <w:hyperlink w:anchor="_Toc412808721" w:history="1">
        <w:r w:rsidR="003D3089" w:rsidRPr="00326F8A">
          <w:rPr>
            <w:rStyle w:val="Hyperlink"/>
          </w:rPr>
          <w:t>1.1</w:t>
        </w:r>
        <w:r w:rsidR="003D3089">
          <w:rPr>
            <w:rFonts w:asciiTheme="minorHAnsi" w:eastAsiaTheme="minorEastAsia" w:hAnsiTheme="minorHAnsi"/>
            <w:b w:val="0"/>
            <w:color w:val="auto"/>
            <w:sz w:val="22"/>
            <w:lang w:eastAsia="en-AU"/>
          </w:rPr>
          <w:tab/>
        </w:r>
        <w:r w:rsidR="003D3089" w:rsidRPr="00326F8A">
          <w:rPr>
            <w:rStyle w:val="Hyperlink"/>
          </w:rPr>
          <w:t>Gas Supply Hub</w:t>
        </w:r>
        <w:r w:rsidR="003D3089">
          <w:rPr>
            <w:webHidden/>
          </w:rPr>
          <w:tab/>
        </w:r>
        <w:r w:rsidR="003D3089">
          <w:rPr>
            <w:webHidden/>
          </w:rPr>
          <w:fldChar w:fldCharType="begin"/>
        </w:r>
        <w:r w:rsidR="003D3089">
          <w:rPr>
            <w:webHidden/>
          </w:rPr>
          <w:instrText xml:space="preserve"> PAGEREF _Toc412808721 \h </w:instrText>
        </w:r>
        <w:r w:rsidR="003D3089">
          <w:rPr>
            <w:webHidden/>
          </w:rPr>
        </w:r>
        <w:r w:rsidR="003D3089">
          <w:rPr>
            <w:webHidden/>
          </w:rPr>
          <w:fldChar w:fldCharType="separate"/>
        </w:r>
        <w:r w:rsidR="003D3089">
          <w:rPr>
            <w:webHidden/>
          </w:rPr>
          <w:t>4</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22" w:history="1">
        <w:r w:rsidR="003D3089" w:rsidRPr="00326F8A">
          <w:rPr>
            <w:rStyle w:val="Hyperlink"/>
          </w:rPr>
          <w:t>1.1.1</w:t>
        </w:r>
        <w:r w:rsidR="003D3089">
          <w:rPr>
            <w:rFonts w:asciiTheme="minorHAnsi" w:eastAsiaTheme="minorEastAsia" w:hAnsiTheme="minorHAnsi"/>
            <w:lang w:eastAsia="en-AU"/>
          </w:rPr>
          <w:tab/>
        </w:r>
        <w:r w:rsidR="003D3089" w:rsidRPr="00326F8A">
          <w:rPr>
            <w:rStyle w:val="Hyperlink"/>
          </w:rPr>
          <w:t>Trading at the Gas Supply Hub</w:t>
        </w:r>
        <w:r w:rsidR="003D3089">
          <w:rPr>
            <w:webHidden/>
          </w:rPr>
          <w:tab/>
        </w:r>
        <w:r w:rsidR="003D3089">
          <w:rPr>
            <w:webHidden/>
          </w:rPr>
          <w:fldChar w:fldCharType="begin"/>
        </w:r>
        <w:r w:rsidR="003D3089">
          <w:rPr>
            <w:webHidden/>
          </w:rPr>
          <w:instrText xml:space="preserve"> PAGEREF _Toc412808722 \h </w:instrText>
        </w:r>
        <w:r w:rsidR="003D3089">
          <w:rPr>
            <w:webHidden/>
          </w:rPr>
        </w:r>
        <w:r w:rsidR="003D3089">
          <w:rPr>
            <w:webHidden/>
          </w:rPr>
          <w:fldChar w:fldCharType="separate"/>
        </w:r>
        <w:r w:rsidR="003D3089">
          <w:rPr>
            <w:webHidden/>
          </w:rPr>
          <w:t>4</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23" w:history="1">
        <w:r w:rsidR="003D3089" w:rsidRPr="00326F8A">
          <w:rPr>
            <w:rStyle w:val="Hyperlink"/>
            <w:rFonts w:eastAsia="Times New Roman"/>
          </w:rPr>
          <w:t>1.1.2</w:t>
        </w:r>
        <w:r w:rsidR="003D3089">
          <w:rPr>
            <w:rFonts w:asciiTheme="minorHAnsi" w:eastAsiaTheme="minorEastAsia" w:hAnsiTheme="minorHAnsi"/>
            <w:lang w:eastAsia="en-AU"/>
          </w:rPr>
          <w:tab/>
        </w:r>
        <w:r w:rsidR="003D3089" w:rsidRPr="00326F8A">
          <w:rPr>
            <w:rStyle w:val="Hyperlink"/>
            <w:rFonts w:eastAsia="Times New Roman"/>
          </w:rPr>
          <w:t>AEMO errors</w:t>
        </w:r>
        <w:r w:rsidR="003D3089">
          <w:rPr>
            <w:webHidden/>
          </w:rPr>
          <w:tab/>
        </w:r>
        <w:r w:rsidR="003D3089">
          <w:rPr>
            <w:webHidden/>
          </w:rPr>
          <w:fldChar w:fldCharType="begin"/>
        </w:r>
        <w:r w:rsidR="003D3089">
          <w:rPr>
            <w:webHidden/>
          </w:rPr>
          <w:instrText xml:space="preserve"> PAGEREF _Toc412808723 \h </w:instrText>
        </w:r>
        <w:r w:rsidR="003D3089">
          <w:rPr>
            <w:webHidden/>
          </w:rPr>
        </w:r>
        <w:r w:rsidR="003D3089">
          <w:rPr>
            <w:webHidden/>
          </w:rPr>
          <w:fldChar w:fldCharType="separate"/>
        </w:r>
        <w:r w:rsidR="003D3089">
          <w:rPr>
            <w:webHidden/>
          </w:rPr>
          <w:t>5</w:t>
        </w:r>
        <w:r w:rsidR="003D3089">
          <w:rPr>
            <w:webHidden/>
          </w:rPr>
          <w:fldChar w:fldCharType="end"/>
        </w:r>
      </w:hyperlink>
    </w:p>
    <w:p w:rsidR="003D3089" w:rsidRDefault="00D41BE1">
      <w:pPr>
        <w:pStyle w:val="TOC2"/>
        <w:rPr>
          <w:rFonts w:asciiTheme="minorHAnsi" w:eastAsiaTheme="minorEastAsia" w:hAnsiTheme="minorHAnsi"/>
          <w:b w:val="0"/>
          <w:color w:val="auto"/>
          <w:sz w:val="22"/>
          <w:lang w:eastAsia="en-AU"/>
        </w:rPr>
      </w:pPr>
      <w:hyperlink w:anchor="_Toc412808724" w:history="1">
        <w:r w:rsidR="003D3089" w:rsidRPr="00326F8A">
          <w:rPr>
            <w:rStyle w:val="Hyperlink"/>
          </w:rPr>
          <w:t>1.2</w:t>
        </w:r>
        <w:r w:rsidR="003D3089">
          <w:rPr>
            <w:rFonts w:asciiTheme="minorHAnsi" w:eastAsiaTheme="minorEastAsia" w:hAnsiTheme="minorHAnsi"/>
            <w:b w:val="0"/>
            <w:color w:val="auto"/>
            <w:sz w:val="22"/>
            <w:lang w:eastAsia="en-AU"/>
          </w:rPr>
          <w:tab/>
        </w:r>
        <w:r w:rsidR="003D3089" w:rsidRPr="00326F8A">
          <w:rPr>
            <w:rStyle w:val="Hyperlink"/>
          </w:rPr>
          <w:t>Short Term Trading Market</w:t>
        </w:r>
        <w:r w:rsidR="003D3089">
          <w:rPr>
            <w:webHidden/>
          </w:rPr>
          <w:tab/>
        </w:r>
        <w:r w:rsidR="003D3089">
          <w:rPr>
            <w:webHidden/>
          </w:rPr>
          <w:fldChar w:fldCharType="begin"/>
        </w:r>
        <w:r w:rsidR="003D3089">
          <w:rPr>
            <w:webHidden/>
          </w:rPr>
          <w:instrText xml:space="preserve"> PAGEREF _Toc412808724 \h </w:instrText>
        </w:r>
        <w:r w:rsidR="003D3089">
          <w:rPr>
            <w:webHidden/>
          </w:rPr>
        </w:r>
        <w:r w:rsidR="003D3089">
          <w:rPr>
            <w:webHidden/>
          </w:rPr>
          <w:fldChar w:fldCharType="separate"/>
        </w:r>
        <w:r w:rsidR="003D3089">
          <w:rPr>
            <w:webHidden/>
          </w:rPr>
          <w:t>6</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25" w:history="1">
        <w:r w:rsidR="003D3089" w:rsidRPr="00326F8A">
          <w:rPr>
            <w:rStyle w:val="Hyperlink"/>
          </w:rPr>
          <w:t>1.2.1</w:t>
        </w:r>
        <w:r w:rsidR="003D3089">
          <w:rPr>
            <w:rFonts w:asciiTheme="minorHAnsi" w:eastAsiaTheme="minorEastAsia" w:hAnsiTheme="minorHAnsi"/>
            <w:lang w:eastAsia="en-AU"/>
          </w:rPr>
          <w:tab/>
        </w:r>
        <w:r w:rsidR="003D3089" w:rsidRPr="00326F8A">
          <w:rPr>
            <w:rStyle w:val="Hyperlink"/>
          </w:rPr>
          <w:t>Capacity and allocation data quality</w:t>
        </w:r>
        <w:r w:rsidR="003D3089">
          <w:rPr>
            <w:webHidden/>
          </w:rPr>
          <w:tab/>
        </w:r>
        <w:r w:rsidR="003D3089">
          <w:rPr>
            <w:webHidden/>
          </w:rPr>
          <w:fldChar w:fldCharType="begin"/>
        </w:r>
        <w:r w:rsidR="003D3089">
          <w:rPr>
            <w:webHidden/>
          </w:rPr>
          <w:instrText xml:space="preserve"> PAGEREF _Toc412808725 \h </w:instrText>
        </w:r>
        <w:r w:rsidR="003D3089">
          <w:rPr>
            <w:webHidden/>
          </w:rPr>
        </w:r>
        <w:r w:rsidR="003D3089">
          <w:rPr>
            <w:webHidden/>
          </w:rPr>
          <w:fldChar w:fldCharType="separate"/>
        </w:r>
        <w:r w:rsidR="003D3089">
          <w:rPr>
            <w:webHidden/>
          </w:rPr>
          <w:t>6</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26" w:history="1">
        <w:r w:rsidR="003D3089" w:rsidRPr="00326F8A">
          <w:rPr>
            <w:rStyle w:val="Hyperlink"/>
          </w:rPr>
          <w:t>1.2.2</w:t>
        </w:r>
        <w:r w:rsidR="003D3089">
          <w:rPr>
            <w:rFonts w:asciiTheme="minorHAnsi" w:eastAsiaTheme="minorEastAsia" w:hAnsiTheme="minorHAnsi"/>
            <w:lang w:eastAsia="en-AU"/>
          </w:rPr>
          <w:tab/>
        </w:r>
        <w:r w:rsidR="003D3089" w:rsidRPr="00326F8A">
          <w:rPr>
            <w:rStyle w:val="Hyperlink"/>
          </w:rPr>
          <w:t>STTM demand forecasting update</w:t>
        </w:r>
        <w:r w:rsidR="003D3089">
          <w:rPr>
            <w:webHidden/>
          </w:rPr>
          <w:tab/>
        </w:r>
        <w:r w:rsidR="003D3089">
          <w:rPr>
            <w:webHidden/>
          </w:rPr>
          <w:fldChar w:fldCharType="begin"/>
        </w:r>
        <w:r w:rsidR="003D3089">
          <w:rPr>
            <w:webHidden/>
          </w:rPr>
          <w:instrText xml:space="preserve"> PAGEREF _Toc412808726 \h </w:instrText>
        </w:r>
        <w:r w:rsidR="003D3089">
          <w:rPr>
            <w:webHidden/>
          </w:rPr>
        </w:r>
        <w:r w:rsidR="003D3089">
          <w:rPr>
            <w:webHidden/>
          </w:rPr>
          <w:fldChar w:fldCharType="separate"/>
        </w:r>
        <w:r w:rsidR="003D3089">
          <w:rPr>
            <w:webHidden/>
          </w:rPr>
          <w:t>7</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27" w:history="1">
        <w:r w:rsidR="003D3089" w:rsidRPr="00326F8A">
          <w:rPr>
            <w:rStyle w:val="Hyperlink"/>
          </w:rPr>
          <w:t>1.2.3</w:t>
        </w:r>
        <w:r w:rsidR="003D3089">
          <w:rPr>
            <w:rFonts w:asciiTheme="minorHAnsi" w:eastAsiaTheme="minorEastAsia" w:hAnsiTheme="minorHAnsi"/>
            <w:lang w:eastAsia="en-AU"/>
          </w:rPr>
          <w:tab/>
        </w:r>
        <w:r w:rsidR="003D3089" w:rsidRPr="00326F8A">
          <w:rPr>
            <w:rStyle w:val="Hyperlink"/>
          </w:rPr>
          <w:t>Jemena EGP— late capacity data</w:t>
        </w:r>
        <w:r w:rsidR="003D3089">
          <w:rPr>
            <w:webHidden/>
          </w:rPr>
          <w:tab/>
        </w:r>
        <w:r w:rsidR="003D3089">
          <w:rPr>
            <w:webHidden/>
          </w:rPr>
          <w:fldChar w:fldCharType="begin"/>
        </w:r>
        <w:r w:rsidR="003D3089">
          <w:rPr>
            <w:webHidden/>
          </w:rPr>
          <w:instrText xml:space="preserve"> PAGEREF _Toc412808727 \h </w:instrText>
        </w:r>
        <w:r w:rsidR="003D3089">
          <w:rPr>
            <w:webHidden/>
          </w:rPr>
        </w:r>
        <w:r w:rsidR="003D3089">
          <w:rPr>
            <w:webHidden/>
          </w:rPr>
          <w:fldChar w:fldCharType="separate"/>
        </w:r>
        <w:r w:rsidR="003D3089">
          <w:rPr>
            <w:webHidden/>
          </w:rPr>
          <w:t>8</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28" w:history="1">
        <w:r w:rsidR="003D3089" w:rsidRPr="00326F8A">
          <w:rPr>
            <w:rStyle w:val="Hyperlink"/>
          </w:rPr>
          <w:t>1.2.4</w:t>
        </w:r>
        <w:r w:rsidR="003D3089">
          <w:rPr>
            <w:rFonts w:asciiTheme="minorHAnsi" w:eastAsiaTheme="minorEastAsia" w:hAnsiTheme="minorHAnsi"/>
            <w:lang w:eastAsia="en-AU"/>
          </w:rPr>
          <w:tab/>
        </w:r>
        <w:r w:rsidR="003D3089" w:rsidRPr="00326F8A">
          <w:rPr>
            <w:rStyle w:val="Hyperlink"/>
          </w:rPr>
          <w:t>Significant price variation report</w:t>
        </w:r>
        <w:r w:rsidR="003D3089">
          <w:rPr>
            <w:webHidden/>
          </w:rPr>
          <w:tab/>
        </w:r>
        <w:r w:rsidR="003D3089">
          <w:rPr>
            <w:webHidden/>
          </w:rPr>
          <w:fldChar w:fldCharType="begin"/>
        </w:r>
        <w:r w:rsidR="003D3089">
          <w:rPr>
            <w:webHidden/>
          </w:rPr>
          <w:instrText xml:space="preserve"> PAGEREF _Toc412808728 \h </w:instrText>
        </w:r>
        <w:r w:rsidR="003D3089">
          <w:rPr>
            <w:webHidden/>
          </w:rPr>
        </w:r>
        <w:r w:rsidR="003D3089">
          <w:rPr>
            <w:webHidden/>
          </w:rPr>
          <w:fldChar w:fldCharType="separate"/>
        </w:r>
        <w:r w:rsidR="003D3089">
          <w:rPr>
            <w:webHidden/>
          </w:rPr>
          <w:t>9</w:t>
        </w:r>
        <w:r w:rsidR="003D3089">
          <w:rPr>
            <w:webHidden/>
          </w:rPr>
          <w:fldChar w:fldCharType="end"/>
        </w:r>
      </w:hyperlink>
    </w:p>
    <w:p w:rsidR="003D3089" w:rsidRDefault="00D41BE1">
      <w:pPr>
        <w:pStyle w:val="TOC2"/>
        <w:rPr>
          <w:rFonts w:asciiTheme="minorHAnsi" w:eastAsiaTheme="minorEastAsia" w:hAnsiTheme="minorHAnsi"/>
          <w:b w:val="0"/>
          <w:color w:val="auto"/>
          <w:sz w:val="22"/>
          <w:lang w:eastAsia="en-AU"/>
        </w:rPr>
      </w:pPr>
      <w:hyperlink w:anchor="_Toc412808729" w:history="1">
        <w:r w:rsidR="003D3089" w:rsidRPr="00326F8A">
          <w:rPr>
            <w:rStyle w:val="Hyperlink"/>
          </w:rPr>
          <w:t>1.3</w:t>
        </w:r>
        <w:r w:rsidR="003D3089">
          <w:rPr>
            <w:rFonts w:asciiTheme="minorHAnsi" w:eastAsiaTheme="minorEastAsia" w:hAnsiTheme="minorHAnsi"/>
            <w:b w:val="0"/>
            <w:color w:val="auto"/>
            <w:sz w:val="22"/>
            <w:lang w:eastAsia="en-AU"/>
          </w:rPr>
          <w:tab/>
        </w:r>
        <w:r w:rsidR="003D3089" w:rsidRPr="00326F8A">
          <w:rPr>
            <w:rStyle w:val="Hyperlink"/>
          </w:rPr>
          <w:t>Victorian Gas Market</w:t>
        </w:r>
        <w:r w:rsidR="003D3089">
          <w:rPr>
            <w:webHidden/>
          </w:rPr>
          <w:tab/>
        </w:r>
        <w:r w:rsidR="003D3089">
          <w:rPr>
            <w:webHidden/>
          </w:rPr>
          <w:fldChar w:fldCharType="begin"/>
        </w:r>
        <w:r w:rsidR="003D3089">
          <w:rPr>
            <w:webHidden/>
          </w:rPr>
          <w:instrText xml:space="preserve"> PAGEREF _Toc412808729 \h </w:instrText>
        </w:r>
        <w:r w:rsidR="003D3089">
          <w:rPr>
            <w:webHidden/>
          </w:rPr>
        </w:r>
        <w:r w:rsidR="003D3089">
          <w:rPr>
            <w:webHidden/>
          </w:rPr>
          <w:fldChar w:fldCharType="separate"/>
        </w:r>
        <w:r w:rsidR="003D3089">
          <w:rPr>
            <w:webHidden/>
          </w:rPr>
          <w:t>9</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30" w:history="1">
        <w:r w:rsidR="003D3089" w:rsidRPr="00326F8A">
          <w:rPr>
            <w:rStyle w:val="Hyperlink"/>
          </w:rPr>
          <w:t>1.3.1</w:t>
        </w:r>
        <w:r w:rsidR="003D3089">
          <w:rPr>
            <w:rFonts w:asciiTheme="minorHAnsi" w:eastAsiaTheme="minorEastAsia" w:hAnsiTheme="minorHAnsi"/>
            <w:lang w:eastAsia="en-AU"/>
          </w:rPr>
          <w:tab/>
        </w:r>
        <w:r w:rsidR="003D3089" w:rsidRPr="00326F8A">
          <w:rPr>
            <w:rStyle w:val="Hyperlink"/>
          </w:rPr>
          <w:t>Origin bidding error</w:t>
        </w:r>
        <w:r w:rsidR="003D3089">
          <w:rPr>
            <w:webHidden/>
          </w:rPr>
          <w:tab/>
        </w:r>
        <w:r w:rsidR="003D3089">
          <w:rPr>
            <w:webHidden/>
          </w:rPr>
          <w:fldChar w:fldCharType="begin"/>
        </w:r>
        <w:r w:rsidR="003D3089">
          <w:rPr>
            <w:webHidden/>
          </w:rPr>
          <w:instrText xml:space="preserve"> PAGEREF _Toc412808730 \h </w:instrText>
        </w:r>
        <w:r w:rsidR="003D3089">
          <w:rPr>
            <w:webHidden/>
          </w:rPr>
        </w:r>
        <w:r w:rsidR="003D3089">
          <w:rPr>
            <w:webHidden/>
          </w:rPr>
          <w:fldChar w:fldCharType="separate"/>
        </w:r>
        <w:r w:rsidR="003D3089">
          <w:rPr>
            <w:webHidden/>
          </w:rPr>
          <w:t>9</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31" w:history="1">
        <w:r w:rsidR="003D3089" w:rsidRPr="00326F8A">
          <w:rPr>
            <w:rStyle w:val="Hyperlink"/>
          </w:rPr>
          <w:t>1.3.2</w:t>
        </w:r>
        <w:r w:rsidR="003D3089">
          <w:rPr>
            <w:rFonts w:asciiTheme="minorHAnsi" w:eastAsiaTheme="minorEastAsia" w:hAnsiTheme="minorHAnsi"/>
            <w:lang w:eastAsia="en-AU"/>
          </w:rPr>
          <w:tab/>
        </w:r>
        <w:r w:rsidR="003D3089" w:rsidRPr="00326F8A">
          <w:rPr>
            <w:rStyle w:val="Hyperlink"/>
          </w:rPr>
          <w:t>AEMO pricing schedule non compliance</w:t>
        </w:r>
        <w:r w:rsidR="003D3089">
          <w:rPr>
            <w:webHidden/>
          </w:rPr>
          <w:tab/>
        </w:r>
        <w:r w:rsidR="003D3089">
          <w:rPr>
            <w:webHidden/>
          </w:rPr>
          <w:fldChar w:fldCharType="begin"/>
        </w:r>
        <w:r w:rsidR="003D3089">
          <w:rPr>
            <w:webHidden/>
          </w:rPr>
          <w:instrText xml:space="preserve"> PAGEREF _Toc412808731 \h </w:instrText>
        </w:r>
        <w:r w:rsidR="003D3089">
          <w:rPr>
            <w:webHidden/>
          </w:rPr>
        </w:r>
        <w:r w:rsidR="003D3089">
          <w:rPr>
            <w:webHidden/>
          </w:rPr>
          <w:fldChar w:fldCharType="separate"/>
        </w:r>
        <w:r w:rsidR="003D3089">
          <w:rPr>
            <w:webHidden/>
          </w:rPr>
          <w:t>9</w:t>
        </w:r>
        <w:r w:rsidR="003D3089">
          <w:rPr>
            <w:webHidden/>
          </w:rPr>
          <w:fldChar w:fldCharType="end"/>
        </w:r>
      </w:hyperlink>
    </w:p>
    <w:p w:rsidR="003D3089" w:rsidRDefault="00D41BE1">
      <w:pPr>
        <w:pStyle w:val="TOC2"/>
        <w:rPr>
          <w:rFonts w:asciiTheme="minorHAnsi" w:eastAsiaTheme="minorEastAsia" w:hAnsiTheme="minorHAnsi"/>
          <w:b w:val="0"/>
          <w:color w:val="auto"/>
          <w:sz w:val="22"/>
          <w:lang w:eastAsia="en-AU"/>
        </w:rPr>
      </w:pPr>
      <w:hyperlink w:anchor="_Toc412808732" w:history="1">
        <w:r w:rsidR="003D3089" w:rsidRPr="00326F8A">
          <w:rPr>
            <w:rStyle w:val="Hyperlink"/>
          </w:rPr>
          <w:t>1.4</w:t>
        </w:r>
        <w:r w:rsidR="003D3089">
          <w:rPr>
            <w:rFonts w:asciiTheme="minorHAnsi" w:eastAsiaTheme="minorEastAsia" w:hAnsiTheme="minorHAnsi"/>
            <w:b w:val="0"/>
            <w:color w:val="auto"/>
            <w:sz w:val="22"/>
            <w:lang w:eastAsia="en-AU"/>
          </w:rPr>
          <w:tab/>
        </w:r>
        <w:r w:rsidR="003D3089" w:rsidRPr="00326F8A">
          <w:rPr>
            <w:rStyle w:val="Hyperlink"/>
          </w:rPr>
          <w:t>Natural Gas Services Bulletin Board</w:t>
        </w:r>
        <w:r w:rsidR="003D3089">
          <w:rPr>
            <w:webHidden/>
          </w:rPr>
          <w:tab/>
        </w:r>
        <w:r w:rsidR="003D3089">
          <w:rPr>
            <w:webHidden/>
          </w:rPr>
          <w:fldChar w:fldCharType="begin"/>
        </w:r>
        <w:r w:rsidR="003D3089">
          <w:rPr>
            <w:webHidden/>
          </w:rPr>
          <w:instrText xml:space="preserve"> PAGEREF _Toc412808732 \h </w:instrText>
        </w:r>
        <w:r w:rsidR="003D3089">
          <w:rPr>
            <w:webHidden/>
          </w:rPr>
        </w:r>
        <w:r w:rsidR="003D3089">
          <w:rPr>
            <w:webHidden/>
          </w:rPr>
          <w:fldChar w:fldCharType="separate"/>
        </w:r>
        <w:r w:rsidR="003D3089">
          <w:rPr>
            <w:webHidden/>
          </w:rPr>
          <w:t>10</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33" w:history="1">
        <w:r w:rsidR="003D3089" w:rsidRPr="00326F8A">
          <w:rPr>
            <w:rStyle w:val="Hyperlink"/>
          </w:rPr>
          <w:t>1.4.1</w:t>
        </w:r>
        <w:r w:rsidR="003D3089">
          <w:rPr>
            <w:rFonts w:asciiTheme="minorHAnsi" w:eastAsiaTheme="minorEastAsia" w:hAnsiTheme="minorHAnsi"/>
            <w:lang w:eastAsia="en-AU"/>
          </w:rPr>
          <w:tab/>
        </w:r>
        <w:r w:rsidR="003D3089" w:rsidRPr="00326F8A">
          <w:rPr>
            <w:rStyle w:val="Hyperlink"/>
          </w:rPr>
          <w:t>Targeted compliance review - capacity outlook data</w:t>
        </w:r>
        <w:r w:rsidR="003D3089">
          <w:rPr>
            <w:webHidden/>
          </w:rPr>
          <w:tab/>
        </w:r>
        <w:r w:rsidR="003D3089">
          <w:rPr>
            <w:webHidden/>
          </w:rPr>
          <w:fldChar w:fldCharType="begin"/>
        </w:r>
        <w:r w:rsidR="003D3089">
          <w:rPr>
            <w:webHidden/>
          </w:rPr>
          <w:instrText xml:space="preserve"> PAGEREF _Toc412808733 \h </w:instrText>
        </w:r>
        <w:r w:rsidR="003D3089">
          <w:rPr>
            <w:webHidden/>
          </w:rPr>
        </w:r>
        <w:r w:rsidR="003D3089">
          <w:rPr>
            <w:webHidden/>
          </w:rPr>
          <w:fldChar w:fldCharType="separate"/>
        </w:r>
        <w:r w:rsidR="003D3089">
          <w:rPr>
            <w:webHidden/>
          </w:rPr>
          <w:t>10</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34" w:history="1">
        <w:r w:rsidR="003D3089" w:rsidRPr="00326F8A">
          <w:rPr>
            <w:rStyle w:val="Hyperlink"/>
          </w:rPr>
          <w:t>1.4.2</w:t>
        </w:r>
        <w:r w:rsidR="003D3089">
          <w:rPr>
            <w:rFonts w:asciiTheme="minorHAnsi" w:eastAsiaTheme="minorEastAsia" w:hAnsiTheme="minorHAnsi"/>
            <w:lang w:eastAsia="en-AU"/>
          </w:rPr>
          <w:tab/>
        </w:r>
        <w:r w:rsidR="003D3089" w:rsidRPr="00326F8A">
          <w:rPr>
            <w:rStyle w:val="Hyperlink"/>
          </w:rPr>
          <w:t>Redevelopment of Bulletin Board</w:t>
        </w:r>
        <w:r w:rsidR="003D3089">
          <w:rPr>
            <w:webHidden/>
          </w:rPr>
          <w:tab/>
        </w:r>
        <w:r w:rsidR="003D3089">
          <w:rPr>
            <w:webHidden/>
          </w:rPr>
          <w:fldChar w:fldCharType="begin"/>
        </w:r>
        <w:r w:rsidR="003D3089">
          <w:rPr>
            <w:webHidden/>
          </w:rPr>
          <w:instrText xml:space="preserve"> PAGEREF _Toc412808734 \h </w:instrText>
        </w:r>
        <w:r w:rsidR="003D3089">
          <w:rPr>
            <w:webHidden/>
          </w:rPr>
        </w:r>
        <w:r w:rsidR="003D3089">
          <w:rPr>
            <w:webHidden/>
          </w:rPr>
          <w:fldChar w:fldCharType="separate"/>
        </w:r>
        <w:r w:rsidR="003D3089">
          <w:rPr>
            <w:webHidden/>
          </w:rPr>
          <w:t>11</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35" w:history="1">
        <w:r w:rsidR="003D3089" w:rsidRPr="00326F8A">
          <w:rPr>
            <w:rStyle w:val="Hyperlink"/>
          </w:rPr>
          <w:t>1.4.3</w:t>
        </w:r>
        <w:r w:rsidR="003D3089">
          <w:rPr>
            <w:rFonts w:asciiTheme="minorHAnsi" w:eastAsiaTheme="minorEastAsia" w:hAnsiTheme="minorHAnsi"/>
            <w:lang w:eastAsia="en-AU"/>
          </w:rPr>
          <w:tab/>
        </w:r>
        <w:r w:rsidR="003D3089" w:rsidRPr="00326F8A">
          <w:rPr>
            <w:rStyle w:val="Hyperlink"/>
          </w:rPr>
          <w:t>Monitoring of Bulletin Board in 2015</w:t>
        </w:r>
        <w:r w:rsidR="003D3089">
          <w:rPr>
            <w:webHidden/>
          </w:rPr>
          <w:tab/>
        </w:r>
        <w:r w:rsidR="003D3089">
          <w:rPr>
            <w:webHidden/>
          </w:rPr>
          <w:fldChar w:fldCharType="begin"/>
        </w:r>
        <w:r w:rsidR="003D3089">
          <w:rPr>
            <w:webHidden/>
          </w:rPr>
          <w:instrText xml:space="preserve"> PAGEREF _Toc412808735 \h </w:instrText>
        </w:r>
        <w:r w:rsidR="003D3089">
          <w:rPr>
            <w:webHidden/>
          </w:rPr>
        </w:r>
        <w:r w:rsidR="003D3089">
          <w:rPr>
            <w:webHidden/>
          </w:rPr>
          <w:fldChar w:fldCharType="separate"/>
        </w:r>
        <w:r w:rsidR="003D3089">
          <w:rPr>
            <w:webHidden/>
          </w:rPr>
          <w:t>11</w:t>
        </w:r>
        <w:r w:rsidR="003D3089">
          <w:rPr>
            <w:webHidden/>
          </w:rPr>
          <w:fldChar w:fldCharType="end"/>
        </w:r>
      </w:hyperlink>
    </w:p>
    <w:p w:rsidR="003D3089" w:rsidRDefault="00D41BE1">
      <w:pPr>
        <w:pStyle w:val="TOC1"/>
        <w:rPr>
          <w:rFonts w:asciiTheme="minorHAnsi" w:eastAsiaTheme="minorEastAsia" w:hAnsiTheme="minorHAnsi"/>
          <w:b w:val="0"/>
          <w:color w:val="auto"/>
          <w:sz w:val="22"/>
          <w:lang w:val="en-AU" w:eastAsia="en-AU"/>
        </w:rPr>
      </w:pPr>
      <w:hyperlink w:anchor="_Toc412808736" w:history="1">
        <w:r w:rsidR="003D3089" w:rsidRPr="00326F8A">
          <w:rPr>
            <w:rStyle w:val="Hyperlink"/>
          </w:rPr>
          <w:t>2</w:t>
        </w:r>
        <w:r w:rsidR="003D3089">
          <w:rPr>
            <w:rFonts w:asciiTheme="minorHAnsi" w:eastAsiaTheme="minorEastAsia" w:hAnsiTheme="minorHAnsi"/>
            <w:b w:val="0"/>
            <w:color w:val="auto"/>
            <w:sz w:val="22"/>
            <w:lang w:val="en-AU" w:eastAsia="en-AU"/>
          </w:rPr>
          <w:tab/>
        </w:r>
        <w:r w:rsidR="003D3089" w:rsidRPr="00326F8A">
          <w:rPr>
            <w:rStyle w:val="Hyperlink"/>
          </w:rPr>
          <w:t>Electricity</w:t>
        </w:r>
        <w:r w:rsidR="003D3089">
          <w:rPr>
            <w:webHidden/>
          </w:rPr>
          <w:tab/>
        </w:r>
        <w:r w:rsidR="003D3089">
          <w:rPr>
            <w:webHidden/>
          </w:rPr>
          <w:fldChar w:fldCharType="begin"/>
        </w:r>
        <w:r w:rsidR="003D3089">
          <w:rPr>
            <w:webHidden/>
          </w:rPr>
          <w:instrText xml:space="preserve"> PAGEREF _Toc412808736 \h </w:instrText>
        </w:r>
        <w:r w:rsidR="003D3089">
          <w:rPr>
            <w:webHidden/>
          </w:rPr>
        </w:r>
        <w:r w:rsidR="003D3089">
          <w:rPr>
            <w:webHidden/>
          </w:rPr>
          <w:fldChar w:fldCharType="separate"/>
        </w:r>
        <w:r w:rsidR="003D3089">
          <w:rPr>
            <w:webHidden/>
          </w:rPr>
          <w:t>12</w:t>
        </w:r>
        <w:r w:rsidR="003D3089">
          <w:rPr>
            <w:webHidden/>
          </w:rPr>
          <w:fldChar w:fldCharType="end"/>
        </w:r>
      </w:hyperlink>
    </w:p>
    <w:p w:rsidR="003D3089" w:rsidRDefault="00D41BE1">
      <w:pPr>
        <w:pStyle w:val="TOC2"/>
        <w:rPr>
          <w:rFonts w:asciiTheme="minorHAnsi" w:eastAsiaTheme="minorEastAsia" w:hAnsiTheme="minorHAnsi"/>
          <w:b w:val="0"/>
          <w:color w:val="auto"/>
          <w:sz w:val="22"/>
          <w:lang w:eastAsia="en-AU"/>
        </w:rPr>
      </w:pPr>
      <w:hyperlink w:anchor="_Toc412808737" w:history="1">
        <w:r w:rsidR="003D3089" w:rsidRPr="00326F8A">
          <w:rPr>
            <w:rStyle w:val="Hyperlink"/>
            <w:rFonts w:eastAsia="Times New Roman"/>
          </w:rPr>
          <w:t>2.1</w:t>
        </w:r>
        <w:r w:rsidR="003D3089">
          <w:rPr>
            <w:rFonts w:asciiTheme="minorHAnsi" w:eastAsiaTheme="minorEastAsia" w:hAnsiTheme="minorHAnsi"/>
            <w:b w:val="0"/>
            <w:color w:val="auto"/>
            <w:sz w:val="22"/>
            <w:lang w:eastAsia="en-AU"/>
          </w:rPr>
          <w:tab/>
        </w:r>
        <w:r w:rsidR="003D3089" w:rsidRPr="00326F8A">
          <w:rPr>
            <w:rStyle w:val="Hyperlink"/>
            <w:rFonts w:eastAsia="Times New Roman"/>
          </w:rPr>
          <w:t>Outcome of Snowy Hydro action</w:t>
        </w:r>
        <w:r w:rsidR="003D3089">
          <w:rPr>
            <w:webHidden/>
          </w:rPr>
          <w:tab/>
        </w:r>
        <w:r w:rsidR="003D3089">
          <w:rPr>
            <w:webHidden/>
          </w:rPr>
          <w:fldChar w:fldCharType="begin"/>
        </w:r>
        <w:r w:rsidR="003D3089">
          <w:rPr>
            <w:webHidden/>
          </w:rPr>
          <w:instrText xml:space="preserve"> PAGEREF _Toc412808737 \h </w:instrText>
        </w:r>
        <w:r w:rsidR="003D3089">
          <w:rPr>
            <w:webHidden/>
          </w:rPr>
        </w:r>
        <w:r w:rsidR="003D3089">
          <w:rPr>
            <w:webHidden/>
          </w:rPr>
          <w:fldChar w:fldCharType="separate"/>
        </w:r>
        <w:r w:rsidR="003D3089">
          <w:rPr>
            <w:webHidden/>
          </w:rPr>
          <w:t>12</w:t>
        </w:r>
        <w:r w:rsidR="003D3089">
          <w:rPr>
            <w:webHidden/>
          </w:rPr>
          <w:fldChar w:fldCharType="end"/>
        </w:r>
      </w:hyperlink>
    </w:p>
    <w:p w:rsidR="003D3089" w:rsidRDefault="00D41BE1">
      <w:pPr>
        <w:pStyle w:val="TOC2"/>
        <w:rPr>
          <w:rFonts w:asciiTheme="minorHAnsi" w:eastAsiaTheme="minorEastAsia" w:hAnsiTheme="minorHAnsi"/>
          <w:b w:val="0"/>
          <w:color w:val="auto"/>
          <w:sz w:val="22"/>
          <w:lang w:eastAsia="en-AU"/>
        </w:rPr>
      </w:pPr>
      <w:hyperlink w:anchor="_Toc412808738" w:history="1">
        <w:r w:rsidR="003D3089" w:rsidRPr="00326F8A">
          <w:rPr>
            <w:rStyle w:val="Hyperlink"/>
          </w:rPr>
          <w:t>2.2</w:t>
        </w:r>
        <w:r w:rsidR="003D3089">
          <w:rPr>
            <w:rFonts w:asciiTheme="minorHAnsi" w:eastAsiaTheme="minorEastAsia" w:hAnsiTheme="minorHAnsi"/>
            <w:b w:val="0"/>
            <w:color w:val="auto"/>
            <w:sz w:val="22"/>
            <w:lang w:eastAsia="en-AU"/>
          </w:rPr>
          <w:tab/>
        </w:r>
        <w:r w:rsidR="003D3089" w:rsidRPr="00326F8A">
          <w:rPr>
            <w:rStyle w:val="Hyperlink"/>
          </w:rPr>
          <w:t>Rebidding</w:t>
        </w:r>
        <w:r w:rsidR="003D3089">
          <w:rPr>
            <w:webHidden/>
          </w:rPr>
          <w:tab/>
        </w:r>
        <w:r w:rsidR="003D3089">
          <w:rPr>
            <w:webHidden/>
          </w:rPr>
          <w:fldChar w:fldCharType="begin"/>
        </w:r>
        <w:r w:rsidR="003D3089">
          <w:rPr>
            <w:webHidden/>
          </w:rPr>
          <w:instrText xml:space="preserve"> PAGEREF _Toc412808738 \h </w:instrText>
        </w:r>
        <w:r w:rsidR="003D3089">
          <w:rPr>
            <w:webHidden/>
          </w:rPr>
        </w:r>
        <w:r w:rsidR="003D3089">
          <w:rPr>
            <w:webHidden/>
          </w:rPr>
          <w:fldChar w:fldCharType="separate"/>
        </w:r>
        <w:r w:rsidR="003D3089">
          <w:rPr>
            <w:webHidden/>
          </w:rPr>
          <w:t>12</w:t>
        </w:r>
        <w:r w:rsidR="003D3089">
          <w:rPr>
            <w:webHidden/>
          </w:rPr>
          <w:fldChar w:fldCharType="end"/>
        </w:r>
      </w:hyperlink>
    </w:p>
    <w:p w:rsidR="003D3089" w:rsidRDefault="00D41BE1">
      <w:pPr>
        <w:pStyle w:val="TOC2"/>
        <w:rPr>
          <w:rFonts w:asciiTheme="minorHAnsi" w:eastAsiaTheme="minorEastAsia" w:hAnsiTheme="minorHAnsi"/>
          <w:b w:val="0"/>
          <w:color w:val="auto"/>
          <w:sz w:val="22"/>
          <w:lang w:eastAsia="en-AU"/>
        </w:rPr>
      </w:pPr>
      <w:hyperlink w:anchor="_Toc412808739" w:history="1">
        <w:r w:rsidR="003D3089" w:rsidRPr="00326F8A">
          <w:rPr>
            <w:rStyle w:val="Hyperlink"/>
          </w:rPr>
          <w:t>2.3</w:t>
        </w:r>
        <w:r w:rsidR="003D3089">
          <w:rPr>
            <w:rFonts w:asciiTheme="minorHAnsi" w:eastAsiaTheme="minorEastAsia" w:hAnsiTheme="minorHAnsi"/>
            <w:b w:val="0"/>
            <w:color w:val="auto"/>
            <w:sz w:val="22"/>
            <w:lang w:eastAsia="en-AU"/>
          </w:rPr>
          <w:tab/>
        </w:r>
        <w:r w:rsidR="003D3089" w:rsidRPr="00326F8A">
          <w:rPr>
            <w:rStyle w:val="Hyperlink"/>
          </w:rPr>
          <w:t>Jurisdictional derogations</w:t>
        </w:r>
        <w:r w:rsidR="003D3089">
          <w:rPr>
            <w:webHidden/>
          </w:rPr>
          <w:tab/>
        </w:r>
        <w:r w:rsidR="003D3089">
          <w:rPr>
            <w:webHidden/>
          </w:rPr>
          <w:fldChar w:fldCharType="begin"/>
        </w:r>
        <w:r w:rsidR="003D3089">
          <w:rPr>
            <w:webHidden/>
          </w:rPr>
          <w:instrText xml:space="preserve"> PAGEREF _Toc412808739 \h </w:instrText>
        </w:r>
        <w:r w:rsidR="003D3089">
          <w:rPr>
            <w:webHidden/>
          </w:rPr>
        </w:r>
        <w:r w:rsidR="003D3089">
          <w:rPr>
            <w:webHidden/>
          </w:rPr>
          <w:fldChar w:fldCharType="separate"/>
        </w:r>
        <w:r w:rsidR="003D3089">
          <w:rPr>
            <w:webHidden/>
          </w:rPr>
          <w:t>14</w:t>
        </w:r>
        <w:r w:rsidR="003D3089">
          <w:rPr>
            <w:webHidden/>
          </w:rPr>
          <w:fldChar w:fldCharType="end"/>
        </w:r>
      </w:hyperlink>
    </w:p>
    <w:p w:rsidR="003D3089" w:rsidRDefault="00D41BE1">
      <w:pPr>
        <w:pStyle w:val="TOC3"/>
        <w:rPr>
          <w:rFonts w:asciiTheme="minorHAnsi" w:eastAsiaTheme="minorEastAsia" w:hAnsiTheme="minorHAnsi"/>
          <w:lang w:eastAsia="en-AU"/>
        </w:rPr>
      </w:pPr>
      <w:hyperlink w:anchor="_Toc412808740" w:history="1">
        <w:r w:rsidR="003D3089" w:rsidRPr="00326F8A">
          <w:rPr>
            <w:rStyle w:val="Hyperlink"/>
          </w:rPr>
          <w:t>2.3.1</w:t>
        </w:r>
        <w:r w:rsidR="003D3089">
          <w:rPr>
            <w:rFonts w:asciiTheme="minorHAnsi" w:eastAsiaTheme="minorEastAsia" w:hAnsiTheme="minorHAnsi"/>
            <w:lang w:eastAsia="en-AU"/>
          </w:rPr>
          <w:tab/>
        </w:r>
        <w:r w:rsidR="003D3089" w:rsidRPr="00326F8A">
          <w:rPr>
            <w:rStyle w:val="Hyperlink"/>
          </w:rPr>
          <w:t>Targeted compliance review – AGL Macquarie</w:t>
        </w:r>
        <w:r w:rsidR="003D3089">
          <w:rPr>
            <w:webHidden/>
          </w:rPr>
          <w:tab/>
        </w:r>
        <w:r w:rsidR="003D3089">
          <w:rPr>
            <w:webHidden/>
          </w:rPr>
          <w:fldChar w:fldCharType="begin"/>
        </w:r>
        <w:r w:rsidR="003D3089">
          <w:rPr>
            <w:webHidden/>
          </w:rPr>
          <w:instrText xml:space="preserve"> PAGEREF _Toc412808740 \h </w:instrText>
        </w:r>
        <w:r w:rsidR="003D3089">
          <w:rPr>
            <w:webHidden/>
          </w:rPr>
        </w:r>
        <w:r w:rsidR="003D3089">
          <w:rPr>
            <w:webHidden/>
          </w:rPr>
          <w:fldChar w:fldCharType="separate"/>
        </w:r>
        <w:r w:rsidR="003D3089">
          <w:rPr>
            <w:webHidden/>
          </w:rPr>
          <w:t>14</w:t>
        </w:r>
        <w:r w:rsidR="003D3089">
          <w:rPr>
            <w:webHidden/>
          </w:rPr>
          <w:fldChar w:fldCharType="end"/>
        </w:r>
      </w:hyperlink>
    </w:p>
    <w:p w:rsidR="003D3089" w:rsidRDefault="00D41BE1">
      <w:pPr>
        <w:pStyle w:val="TOC1"/>
        <w:rPr>
          <w:rFonts w:asciiTheme="minorHAnsi" w:eastAsiaTheme="minorEastAsia" w:hAnsiTheme="minorHAnsi"/>
          <w:b w:val="0"/>
          <w:color w:val="auto"/>
          <w:sz w:val="22"/>
          <w:lang w:val="en-AU" w:eastAsia="en-AU"/>
        </w:rPr>
      </w:pPr>
      <w:hyperlink w:anchor="_Toc412808741" w:history="1">
        <w:r w:rsidR="003D3089" w:rsidRPr="00326F8A">
          <w:rPr>
            <w:rStyle w:val="Hyperlink"/>
          </w:rPr>
          <w:t>Appendix A: Shortened forms</w:t>
        </w:r>
        <w:r w:rsidR="003D3089">
          <w:rPr>
            <w:webHidden/>
          </w:rPr>
          <w:tab/>
        </w:r>
        <w:r w:rsidR="003D3089">
          <w:rPr>
            <w:webHidden/>
          </w:rPr>
          <w:fldChar w:fldCharType="begin"/>
        </w:r>
        <w:r w:rsidR="003D3089">
          <w:rPr>
            <w:webHidden/>
          </w:rPr>
          <w:instrText xml:space="preserve"> PAGEREF _Toc412808741 \h </w:instrText>
        </w:r>
        <w:r w:rsidR="003D3089">
          <w:rPr>
            <w:webHidden/>
          </w:rPr>
        </w:r>
        <w:r w:rsidR="003D3089">
          <w:rPr>
            <w:webHidden/>
          </w:rPr>
          <w:fldChar w:fldCharType="separate"/>
        </w:r>
        <w:r w:rsidR="003D3089">
          <w:rPr>
            <w:webHidden/>
          </w:rPr>
          <w:t>16</w:t>
        </w:r>
        <w:r w:rsidR="003D3089">
          <w:rPr>
            <w:webHidden/>
          </w:rPr>
          <w:fldChar w:fldCharType="end"/>
        </w:r>
      </w:hyperlink>
    </w:p>
    <w:p w:rsidR="00842867" w:rsidRDefault="00842867" w:rsidP="00842867">
      <w:r>
        <w:fldChar w:fldCharType="end"/>
      </w:r>
      <w:bookmarkStart w:id="0" w:name="_Toc213047617"/>
    </w:p>
    <w:p w:rsidR="00842867" w:rsidRDefault="00842867" w:rsidP="00842867">
      <w:pPr>
        <w:sectPr w:rsidR="00842867" w:rsidSect="00842867">
          <w:footerReference w:type="default" r:id="rId13"/>
          <w:pgSz w:w="11906" w:h="16838" w:code="9"/>
          <w:pgMar w:top="1440" w:right="1700" w:bottom="1582" w:left="1729" w:header="720" w:footer="1009" w:gutter="0"/>
          <w:pgNumType w:fmt="lowerRoman"/>
          <w:cols w:space="720"/>
          <w:docGrid w:linePitch="326"/>
        </w:sectPr>
      </w:pPr>
    </w:p>
    <w:p w:rsidR="00842867" w:rsidRDefault="00842867" w:rsidP="00842867">
      <w:pPr>
        <w:pStyle w:val="Heading1"/>
        <w:numPr>
          <w:ilvl w:val="0"/>
          <w:numId w:val="0"/>
        </w:numPr>
      </w:pPr>
      <w:bookmarkStart w:id="1" w:name="_Toc412808718"/>
      <w:r w:rsidRPr="00A45631">
        <w:lastRenderedPageBreak/>
        <w:t>Executive summary</w:t>
      </w:r>
      <w:bookmarkEnd w:id="1"/>
    </w:p>
    <w:p w:rsidR="001B6913" w:rsidRPr="00392BCB" w:rsidRDefault="001B6913" w:rsidP="001B6913">
      <w:pPr>
        <w:jc w:val="both"/>
      </w:pPr>
      <w:r w:rsidRPr="00392BCB">
        <w:t>The purpose of the Quarterly Compliance Report (</w:t>
      </w:r>
      <w:r w:rsidRPr="00392BCB">
        <w:rPr>
          <w:b/>
        </w:rPr>
        <w:t>QCR</w:t>
      </w:r>
      <w:r w:rsidRPr="00392BCB">
        <w:t>) is to outline the Australian Energy Regulator’s (</w:t>
      </w:r>
      <w:r w:rsidRPr="00392BCB">
        <w:rPr>
          <w:b/>
        </w:rPr>
        <w:t>AER</w:t>
      </w:r>
      <w:r w:rsidRPr="00392BCB">
        <w:t>) compliance monitoring and enforcement activity under the National Electricity Law (</w:t>
      </w:r>
      <w:r w:rsidRPr="00392BCB">
        <w:rPr>
          <w:b/>
        </w:rPr>
        <w:t>Electricity Law</w:t>
      </w:r>
      <w:r w:rsidRPr="00392BCB">
        <w:t>) and the National Gas Law (</w:t>
      </w:r>
      <w:r w:rsidRPr="00392BCB">
        <w:rPr>
          <w:b/>
        </w:rPr>
        <w:t>Gas Law</w:t>
      </w:r>
      <w:r w:rsidRPr="00392BCB">
        <w:t>)–including the rules and regulations which sit under those laws. This QCR covers the period 1 October to 31</w:t>
      </w:r>
      <w:r>
        <w:t> </w:t>
      </w:r>
      <w:r w:rsidRPr="00392BCB">
        <w:t>December 2014 (</w:t>
      </w:r>
      <w:r w:rsidRPr="00392BCB">
        <w:rPr>
          <w:b/>
        </w:rPr>
        <w:t>the December 2014 quarter</w:t>
      </w:r>
      <w:r w:rsidRPr="00392BCB">
        <w:t>).</w:t>
      </w:r>
    </w:p>
    <w:p w:rsidR="003B3E73" w:rsidRPr="003B3E73" w:rsidRDefault="003B3E73" w:rsidP="003B3E73">
      <w:pPr>
        <w:rPr>
          <w:b/>
          <w:i/>
        </w:rPr>
      </w:pPr>
      <w:r w:rsidRPr="003B3E73">
        <w:rPr>
          <w:b/>
          <w:i/>
        </w:rPr>
        <w:t>Gas</w:t>
      </w:r>
    </w:p>
    <w:p w:rsidR="001B6913" w:rsidRPr="00D72DC7" w:rsidRDefault="00306BF2" w:rsidP="001B6913">
      <w:pPr>
        <w:jc w:val="both"/>
      </w:pPr>
      <w:r w:rsidRPr="00306BF2">
        <w:t xml:space="preserve">This quarter gas production in the Roma region </w:t>
      </w:r>
      <w:r w:rsidR="00585E66">
        <w:t xml:space="preserve">reported </w:t>
      </w:r>
      <w:r w:rsidRPr="00306BF2">
        <w:t xml:space="preserve">on the </w:t>
      </w:r>
      <w:r w:rsidR="00887B92" w:rsidRPr="00887B92">
        <w:t xml:space="preserve">National Gas Market </w:t>
      </w:r>
      <w:r w:rsidRPr="00306BF2">
        <w:t>Bulletin Board (</w:t>
      </w:r>
      <w:r w:rsidRPr="001D0C57">
        <w:rPr>
          <w:b/>
        </w:rPr>
        <w:t>B</w:t>
      </w:r>
      <w:r w:rsidR="00157A89">
        <w:rPr>
          <w:b/>
        </w:rPr>
        <w:t xml:space="preserve">ulletin </w:t>
      </w:r>
      <w:r w:rsidRPr="001D0C57">
        <w:rPr>
          <w:b/>
        </w:rPr>
        <w:t>B</w:t>
      </w:r>
      <w:r w:rsidR="00157A89">
        <w:rPr>
          <w:b/>
        </w:rPr>
        <w:t>oard</w:t>
      </w:r>
      <w:r w:rsidRPr="00306BF2">
        <w:t xml:space="preserve">) increased quickly to exceed 1 </w:t>
      </w:r>
      <w:r w:rsidR="00C5150D">
        <w:t>p</w:t>
      </w:r>
      <w:r w:rsidR="00C5150D" w:rsidRPr="00306BF2">
        <w:t xml:space="preserve">etajoule </w:t>
      </w:r>
      <w:r w:rsidRPr="00306BF2">
        <w:t>per day</w:t>
      </w:r>
      <w:r>
        <w:t>,</w:t>
      </w:r>
      <w:r w:rsidRPr="00306BF2">
        <w:t xml:space="preserve"> </w:t>
      </w:r>
      <w:r w:rsidR="004178CB" w:rsidRPr="004178CB">
        <w:t>in preparation for the first LNG shipment from Gladstone in early January</w:t>
      </w:r>
      <w:r w:rsidR="004178CB">
        <w:t xml:space="preserve">. </w:t>
      </w:r>
      <w:r w:rsidR="001B6913" w:rsidRPr="00D72DC7">
        <w:t>As a result t</w:t>
      </w:r>
      <w:r w:rsidR="001B6913" w:rsidRPr="00392BCB">
        <w:t xml:space="preserve">he </w:t>
      </w:r>
      <w:r w:rsidR="00157A89">
        <w:t>Bulletin Board</w:t>
      </w:r>
      <w:r w:rsidR="001B6913" w:rsidRPr="00392BCB">
        <w:t xml:space="preserve"> is becoming a critical tool for informing market participants </w:t>
      </w:r>
      <w:r w:rsidR="001B6913" w:rsidRPr="00D72DC7">
        <w:t>about</w:t>
      </w:r>
      <w:r w:rsidR="001B6913" w:rsidRPr="00392BCB">
        <w:t xml:space="preserve"> the east coast gas supply-demand outlook. During the December quarter, </w:t>
      </w:r>
      <w:r w:rsidR="00C5150D">
        <w:t>the Australian Energy Market Operator (</w:t>
      </w:r>
      <w:r w:rsidR="001B6913" w:rsidRPr="001D0C57">
        <w:rPr>
          <w:b/>
        </w:rPr>
        <w:t>AEMO</w:t>
      </w:r>
      <w:r w:rsidR="00C5150D">
        <w:t>)</w:t>
      </w:r>
      <w:r w:rsidR="001B6913" w:rsidRPr="00D72DC7">
        <w:t xml:space="preserve"> launched its revamped Bulletin Board website. As part of this we worked with AEMO to ensure the website displays production data for recently </w:t>
      </w:r>
      <w:r w:rsidR="001B6913" w:rsidRPr="00392BCB">
        <w:t xml:space="preserve">registered Queensland </w:t>
      </w:r>
      <w:r w:rsidR="00C5150D">
        <w:t>Liquefied Natural Gas (</w:t>
      </w:r>
      <w:r w:rsidR="001B6913" w:rsidRPr="001D0C57">
        <w:rPr>
          <w:b/>
        </w:rPr>
        <w:t>LNG</w:t>
      </w:r>
      <w:r w:rsidR="00C5150D">
        <w:t>)</w:t>
      </w:r>
      <w:r w:rsidR="001B6913" w:rsidRPr="00392BCB">
        <w:t xml:space="preserve"> train production facilities. </w:t>
      </w:r>
    </w:p>
    <w:p w:rsidR="00306BF2" w:rsidRDefault="00306BF2" w:rsidP="001B6913">
      <w:pPr>
        <w:jc w:val="both"/>
      </w:pPr>
      <w:r w:rsidRPr="00306BF2">
        <w:t xml:space="preserve">East coast gas production data </w:t>
      </w:r>
      <w:r>
        <w:t xml:space="preserve">is </w:t>
      </w:r>
      <w:r w:rsidRPr="00306BF2">
        <w:t>now dominated by LNG production at Roma</w:t>
      </w:r>
      <w:r>
        <w:t>. I</w:t>
      </w:r>
      <w:r w:rsidRPr="00306BF2">
        <w:t>ndustry participants</w:t>
      </w:r>
      <w:r>
        <w:t xml:space="preserve"> </w:t>
      </w:r>
      <w:r w:rsidRPr="00306BF2">
        <w:t>are endeavouring to understand the domestic east coast gas supply-demand outlook as LNG exports ramp up. During this quarter we engaged with LNG producers and AEMO on B</w:t>
      </w:r>
      <w:r w:rsidR="00157A89">
        <w:t xml:space="preserve">ulletin </w:t>
      </w:r>
      <w:r w:rsidRPr="00306BF2">
        <w:t>B</w:t>
      </w:r>
      <w:r w:rsidR="00157A89">
        <w:t>oard</w:t>
      </w:r>
      <w:r w:rsidRPr="00306BF2">
        <w:t xml:space="preserve"> data quality issues and </w:t>
      </w:r>
      <w:r>
        <w:t>will</w:t>
      </w:r>
      <w:r w:rsidRPr="00306BF2">
        <w:t xml:space="preserve"> continue that engagement </w:t>
      </w:r>
      <w:r w:rsidR="00585E66">
        <w:t>throughout</w:t>
      </w:r>
      <w:r w:rsidR="00585E66" w:rsidRPr="00306BF2">
        <w:t xml:space="preserve"> </w:t>
      </w:r>
      <w:r w:rsidRPr="00306BF2">
        <w:t xml:space="preserve">2015. </w:t>
      </w:r>
      <w:r w:rsidR="004178CB" w:rsidRPr="004178CB">
        <w:t>Timely, accurate and complete information on the Bulletin Board will be a priority for the AER in the coming year.</w:t>
      </w:r>
    </w:p>
    <w:p w:rsidR="001B6913" w:rsidRPr="00392BCB" w:rsidRDefault="001B6913" w:rsidP="001B6913">
      <w:pPr>
        <w:jc w:val="both"/>
      </w:pPr>
      <w:r w:rsidRPr="00D72DC7">
        <w:t>W</w:t>
      </w:r>
      <w:r w:rsidRPr="00392BCB">
        <w:t xml:space="preserve">e continued to develop our compliance monitoring framework </w:t>
      </w:r>
      <w:r w:rsidRPr="00D72DC7">
        <w:t>for</w:t>
      </w:r>
      <w:r w:rsidRPr="00392BCB">
        <w:t xml:space="preserve"> the </w:t>
      </w:r>
      <w:r w:rsidR="00C5150D">
        <w:t>Wallumbilla Gas Supply Hub (</w:t>
      </w:r>
      <w:r w:rsidRPr="001D0C57">
        <w:rPr>
          <w:b/>
        </w:rPr>
        <w:t>GSH</w:t>
      </w:r>
      <w:r w:rsidR="00C5150D">
        <w:t>)</w:t>
      </w:r>
      <w:r w:rsidRPr="00D72DC7">
        <w:t xml:space="preserve"> and </w:t>
      </w:r>
      <w:r w:rsidRPr="00392BCB">
        <w:t>publish</w:t>
      </w:r>
      <w:r w:rsidRPr="00D72DC7">
        <w:t>ed</w:t>
      </w:r>
      <w:r w:rsidRPr="00392BCB">
        <w:t xml:space="preserve"> GSH information in the industry statistics section on our </w:t>
      </w:r>
      <w:r w:rsidRPr="00B2417D">
        <w:t xml:space="preserve">website (section </w:t>
      </w:r>
      <w:r w:rsidR="00B2417D" w:rsidRPr="00B2417D">
        <w:t>1.1.1</w:t>
      </w:r>
      <w:r w:rsidRPr="00B2417D">
        <w:t xml:space="preserve">) for the first time. In the first quarter of 2015 our monitoring framework </w:t>
      </w:r>
      <w:r w:rsidR="00E0218F">
        <w:t xml:space="preserve">will continue to evolve </w:t>
      </w:r>
      <w:r w:rsidRPr="00B2417D">
        <w:t>to account for new developments in the market including an AEMO end of day benchmark price and new futures products for the GSH to be introduced by the Australian Stock Exchange (</w:t>
      </w:r>
      <w:r w:rsidRPr="00B2417D">
        <w:rPr>
          <w:b/>
        </w:rPr>
        <w:t>ASX</w:t>
      </w:r>
      <w:r w:rsidRPr="00B2417D">
        <w:t xml:space="preserve">) (section </w:t>
      </w:r>
      <w:r w:rsidR="00B2417D" w:rsidRPr="00B2417D">
        <w:t>1.1.1</w:t>
      </w:r>
      <w:r w:rsidRPr="00B2417D">
        <w:t>).</w:t>
      </w:r>
      <w:r w:rsidRPr="00392BCB">
        <w:t xml:space="preserve"> </w:t>
      </w:r>
    </w:p>
    <w:p w:rsidR="001B6913" w:rsidRPr="00D72DC7" w:rsidRDefault="001B6913" w:rsidP="001B6913">
      <w:pPr>
        <w:jc w:val="both"/>
      </w:pPr>
      <w:r w:rsidRPr="00D72DC7">
        <w:t xml:space="preserve">This quarter we formally concluded our </w:t>
      </w:r>
      <w:r w:rsidR="00C5150D">
        <w:t>Short Term Trading Market (</w:t>
      </w:r>
      <w:r w:rsidRPr="001D0C57">
        <w:rPr>
          <w:b/>
        </w:rPr>
        <w:t>STTM</w:t>
      </w:r>
      <w:r w:rsidR="00C5150D">
        <w:t>)</w:t>
      </w:r>
      <w:r w:rsidRPr="00D72DC7">
        <w:t xml:space="preserve"> demand forecasting special compliance project. </w:t>
      </w:r>
      <w:r w:rsidR="00E0218F">
        <w:t xml:space="preserve">While we are satisfied that </w:t>
      </w:r>
      <w:r w:rsidRPr="00D72DC7">
        <w:t xml:space="preserve">demand forecasting </w:t>
      </w:r>
      <w:r w:rsidR="00E0218F">
        <w:t xml:space="preserve">accuracy </w:t>
      </w:r>
      <w:r w:rsidRPr="00D72DC7">
        <w:t xml:space="preserve">in the STTM has </w:t>
      </w:r>
      <w:r w:rsidR="00E0218F">
        <w:t xml:space="preserve">significantly </w:t>
      </w:r>
      <w:r w:rsidRPr="00D72DC7">
        <w:t>improve</w:t>
      </w:r>
      <w:r w:rsidR="003B3E73">
        <w:t>d</w:t>
      </w:r>
      <w:r w:rsidRPr="00D72DC7">
        <w:t xml:space="preserve">, we will continue to monitor participants’ compliance </w:t>
      </w:r>
      <w:r w:rsidR="00E0218F">
        <w:t>alon</w:t>
      </w:r>
      <w:r w:rsidR="004178CB">
        <w:t>g</w:t>
      </w:r>
      <w:r w:rsidR="00E0218F">
        <w:t xml:space="preserve"> with </w:t>
      </w:r>
      <w:r w:rsidR="00E0218F" w:rsidRPr="00D72DC7">
        <w:t xml:space="preserve">capacity and allocation data </w:t>
      </w:r>
      <w:r w:rsidR="00E0218F">
        <w:t xml:space="preserve">provided by pipeline operators </w:t>
      </w:r>
      <w:r w:rsidRPr="00D72DC7">
        <w:t xml:space="preserve">as part of our ongoing monitoring activities. </w:t>
      </w:r>
    </w:p>
    <w:p w:rsidR="001B6913" w:rsidRPr="00392BCB" w:rsidRDefault="00E0218F" w:rsidP="001B6913">
      <w:pPr>
        <w:jc w:val="both"/>
      </w:pPr>
      <w:r>
        <w:t xml:space="preserve">Our focus for </w:t>
      </w:r>
      <w:r w:rsidR="001B6913" w:rsidRPr="00D72DC7">
        <w:t xml:space="preserve">2015 will </w:t>
      </w:r>
      <w:r>
        <w:t xml:space="preserve">turn to </w:t>
      </w:r>
      <w:r w:rsidR="001B6913" w:rsidRPr="00D72DC7">
        <w:t xml:space="preserve">demand forecasting </w:t>
      </w:r>
      <w:r>
        <w:t xml:space="preserve">accuracy </w:t>
      </w:r>
      <w:r w:rsidR="001B6913" w:rsidRPr="00D72DC7">
        <w:t xml:space="preserve">in the </w:t>
      </w:r>
      <w:r w:rsidR="00C5150D">
        <w:t>Declared Wholesale Gas Market (</w:t>
      </w:r>
      <w:r w:rsidR="001B6913" w:rsidRPr="001D0C57">
        <w:rPr>
          <w:b/>
        </w:rPr>
        <w:t>Victorian Gas Market</w:t>
      </w:r>
      <w:r w:rsidR="00C5150D">
        <w:t>)</w:t>
      </w:r>
      <w:r w:rsidR="001B6913" w:rsidRPr="00D72DC7">
        <w:t xml:space="preserve">. </w:t>
      </w:r>
    </w:p>
    <w:p w:rsidR="003B3E73" w:rsidRPr="003B3E73" w:rsidRDefault="003B3E73" w:rsidP="001B6913">
      <w:pPr>
        <w:jc w:val="both"/>
        <w:rPr>
          <w:b/>
          <w:i/>
        </w:rPr>
      </w:pPr>
      <w:r w:rsidRPr="003B3E73">
        <w:rPr>
          <w:b/>
          <w:i/>
        </w:rPr>
        <w:t>Electricity</w:t>
      </w:r>
    </w:p>
    <w:p w:rsidR="001B6913" w:rsidRPr="00B2417D" w:rsidRDefault="0042067D" w:rsidP="001B6913">
      <w:pPr>
        <w:jc w:val="both"/>
      </w:pPr>
      <w:r>
        <w:t>After a very detailed investigation, t</w:t>
      </w:r>
      <w:r w:rsidR="001B6913" w:rsidRPr="00D72DC7">
        <w:t xml:space="preserve">his </w:t>
      </w:r>
      <w:r w:rsidR="001B6913" w:rsidRPr="003B3E73">
        <w:t>QCR</w:t>
      </w:r>
      <w:r w:rsidR="001B6913" w:rsidRPr="00D72DC7">
        <w:t xml:space="preserve"> also flags the outcome of our enforcement action against Snowy Hydro</w:t>
      </w:r>
      <w:r>
        <w:t>, a generator in the National Electricity Market</w:t>
      </w:r>
      <w:r w:rsidR="003B3E73">
        <w:t xml:space="preserve"> (</w:t>
      </w:r>
      <w:r w:rsidR="003B3E73" w:rsidRPr="003B3E73">
        <w:rPr>
          <w:b/>
        </w:rPr>
        <w:t>NEM</w:t>
      </w:r>
      <w:r w:rsidR="003B3E73">
        <w:t>)</w:t>
      </w:r>
      <w:r w:rsidR="001B6913" w:rsidRPr="00D72DC7">
        <w:t xml:space="preserve">. On 12 February 2015 the Federal Court of Australia declared by consent that Snowy Hydro had </w:t>
      </w:r>
      <w:r w:rsidR="001B6913" w:rsidRPr="00D72DC7">
        <w:lastRenderedPageBreak/>
        <w:t xml:space="preserve">breached the rules in relation to following dispatch instructions on nine occasions in 2012 and 2013 (see section </w:t>
      </w:r>
      <w:r w:rsidR="00B2417D" w:rsidRPr="00B2417D">
        <w:t>2.1</w:t>
      </w:r>
      <w:r w:rsidR="001B6913" w:rsidRPr="00B2417D">
        <w:t>).</w:t>
      </w:r>
    </w:p>
    <w:p w:rsidR="00842867" w:rsidRPr="00E84452" w:rsidRDefault="001B6913" w:rsidP="003974F8">
      <w:pPr>
        <w:jc w:val="both"/>
      </w:pPr>
      <w:r w:rsidRPr="00B2417D">
        <w:t xml:space="preserve">Given the unique nature of Chapter 9 derogations under the </w:t>
      </w:r>
      <w:r w:rsidR="00C5150D" w:rsidRPr="00B2417D">
        <w:t>National Electricity Rules (</w:t>
      </w:r>
      <w:r w:rsidRPr="00B2417D">
        <w:rPr>
          <w:b/>
        </w:rPr>
        <w:t>Electricity Rules</w:t>
      </w:r>
      <w:r w:rsidR="00C5150D" w:rsidRPr="00B2417D">
        <w:t>)</w:t>
      </w:r>
      <w:r w:rsidRPr="00B2417D">
        <w:t xml:space="preserve">, this quarter we undertook a targeted compliance review of AGL Macquarie in light of AGL’s September 2014 purchase of Macquarie Generation’s assets (section </w:t>
      </w:r>
      <w:r w:rsidR="00B2417D" w:rsidRPr="00B2417D">
        <w:t>2.4</w:t>
      </w:r>
      <w:r w:rsidRPr="00B2417D">
        <w:t>).</w:t>
      </w:r>
    </w:p>
    <w:p w:rsidR="00842867" w:rsidRDefault="00842867" w:rsidP="00842867">
      <w:pPr>
        <w:pStyle w:val="Heading1"/>
        <w:numPr>
          <w:ilvl w:val="0"/>
          <w:numId w:val="0"/>
        </w:numPr>
      </w:pPr>
      <w:bookmarkStart w:id="2" w:name="_Toc412808719"/>
      <w:r w:rsidRPr="00A45631">
        <w:lastRenderedPageBreak/>
        <w:t>Background</w:t>
      </w:r>
      <w:bookmarkEnd w:id="2"/>
    </w:p>
    <w:p w:rsidR="00842867" w:rsidRDefault="00842867" w:rsidP="003974F8">
      <w:pPr>
        <w:jc w:val="both"/>
      </w:pPr>
      <w:r w:rsidRPr="00A45631">
        <w:t>The AER is responsible for monitoring compliance and enforcement under legislation and rules governing Australia’s wholesale energy markets, including those applying to Network Service Providers. Section 15 of the Electricity Law and section 27 of the Gas Law set out our functions and powers, which include:</w:t>
      </w:r>
    </w:p>
    <w:p w:rsidR="003974F8" w:rsidRDefault="003974F8" w:rsidP="00521B35">
      <w:pPr>
        <w:pStyle w:val="ListParagraph"/>
        <w:numPr>
          <w:ilvl w:val="0"/>
          <w:numId w:val="25"/>
        </w:numPr>
        <w:jc w:val="both"/>
      </w:pPr>
      <w:r w:rsidRPr="00A45631">
        <w:t>monitoring compliance by energy industry participants</w:t>
      </w:r>
      <w:r>
        <w:rPr>
          <w:rStyle w:val="FootnoteReference"/>
        </w:rPr>
        <w:footnoteReference w:id="1"/>
      </w:r>
      <w:r w:rsidRPr="00A45631">
        <w:t xml:space="preserve"> and other persons</w:t>
      </w:r>
      <w:r w:rsidR="003B3E73">
        <w:t>.</w:t>
      </w:r>
    </w:p>
    <w:p w:rsidR="003974F8" w:rsidRPr="00A45631" w:rsidRDefault="003974F8" w:rsidP="00521B35">
      <w:pPr>
        <w:pStyle w:val="ListParagraph"/>
        <w:numPr>
          <w:ilvl w:val="0"/>
          <w:numId w:val="25"/>
        </w:numPr>
        <w:jc w:val="both"/>
      </w:pPr>
      <w:r>
        <w:t>i</w:t>
      </w:r>
      <w:r w:rsidRPr="00A45631">
        <w:t>nvestigating breaches, or possible breaches, of provisions of the legislative instruments under our jurisdiction.</w:t>
      </w:r>
    </w:p>
    <w:p w:rsidR="00842867" w:rsidRPr="00A45631" w:rsidRDefault="00842867" w:rsidP="003974F8">
      <w:pPr>
        <w:jc w:val="both"/>
      </w:pPr>
      <w:r w:rsidRPr="00A45631">
        <w:t>Consistent with our statement of approach</w:t>
      </w:r>
      <w:r w:rsidR="000410DE">
        <w:rPr>
          <w:rStyle w:val="FootnoteReference"/>
        </w:rPr>
        <w:footnoteReference w:id="2"/>
      </w:r>
      <w:r w:rsidR="00EF72CD">
        <w:t>,</w:t>
      </w:r>
      <w:r w:rsidRPr="00A45631">
        <w:t xml:space="preserve"> we aim to promote high levels of compliance, and seek to build a culture of compliance in the energy industry. A culture of compliance will:</w:t>
      </w:r>
    </w:p>
    <w:p w:rsidR="00842867" w:rsidRPr="00A45631" w:rsidRDefault="00842867" w:rsidP="00521B35">
      <w:pPr>
        <w:pStyle w:val="ListParagraph"/>
        <w:numPr>
          <w:ilvl w:val="0"/>
          <w:numId w:val="25"/>
        </w:numPr>
        <w:jc w:val="both"/>
      </w:pPr>
      <w:r w:rsidRPr="00A45631">
        <w:t>reduce the risk of industry participants breaching their regulatory obligations</w:t>
      </w:r>
      <w:r w:rsidR="003B3E73">
        <w:t>.</w:t>
      </w:r>
    </w:p>
    <w:p w:rsidR="00842867" w:rsidRPr="00A45631" w:rsidRDefault="00842867" w:rsidP="00521B35">
      <w:pPr>
        <w:pStyle w:val="ListParagraph"/>
        <w:numPr>
          <w:ilvl w:val="0"/>
          <w:numId w:val="25"/>
        </w:numPr>
        <w:jc w:val="both"/>
      </w:pPr>
      <w:r w:rsidRPr="00A45631">
        <w:t>assist in ensuring industry participants can engage confidently in efficient energy markets.</w:t>
      </w:r>
    </w:p>
    <w:p w:rsidR="00842867" w:rsidRPr="00A45631" w:rsidRDefault="00842867" w:rsidP="00521B35">
      <w:pPr>
        <w:pStyle w:val="ListParagraph"/>
        <w:numPr>
          <w:ilvl w:val="0"/>
          <w:numId w:val="25"/>
        </w:numPr>
        <w:jc w:val="both"/>
      </w:pPr>
      <w:r w:rsidRPr="00A45631">
        <w:t>As part of this process, we undertake a continuous compliance risk assessment of the Electricity and Gas Rules to identify appropriate focus areas and monitoring/compliance mechanisms. These mechanisms include our strategic compliance projects, audits, reporting requirements, market monitoring, and targeted compliance reviews.</w:t>
      </w:r>
    </w:p>
    <w:p w:rsidR="00842867" w:rsidRPr="00A45631" w:rsidRDefault="00842867" w:rsidP="003974F8">
      <w:pPr>
        <w:jc w:val="both"/>
      </w:pPr>
      <w:r w:rsidRPr="00A45631">
        <w:t>In selecting the areas for review, we adopt the following principles:</w:t>
      </w:r>
    </w:p>
    <w:p w:rsidR="00842867" w:rsidRPr="00A45631" w:rsidRDefault="00842867" w:rsidP="00521B35">
      <w:pPr>
        <w:pStyle w:val="ListParagraph"/>
        <w:numPr>
          <w:ilvl w:val="0"/>
          <w:numId w:val="25"/>
        </w:numPr>
        <w:jc w:val="both"/>
      </w:pPr>
      <w:r w:rsidRPr="00A45631">
        <w:t>consideration of risk (the greater the risk, the higher the priority)</w:t>
      </w:r>
      <w:r w:rsidR="003B3E73">
        <w:t>.</w:t>
      </w:r>
    </w:p>
    <w:p w:rsidR="00842867" w:rsidRPr="00A45631" w:rsidRDefault="00842867" w:rsidP="00521B35">
      <w:pPr>
        <w:pStyle w:val="ListParagraph"/>
        <w:numPr>
          <w:ilvl w:val="0"/>
          <w:numId w:val="25"/>
        </w:numPr>
        <w:jc w:val="both"/>
      </w:pPr>
      <w:r w:rsidRPr="00A45631">
        <w:t>a commitment to ensuring that both systemic issues and those with the potential for isolated but significant impact are addressed.</w:t>
      </w:r>
    </w:p>
    <w:p w:rsidR="00842867" w:rsidRPr="00A45631" w:rsidRDefault="00842867" w:rsidP="003974F8">
      <w:pPr>
        <w:jc w:val="both"/>
      </w:pPr>
      <w:r w:rsidRPr="00A45631">
        <w:t>In carrying out our monitoring functions, we aim for:</w:t>
      </w:r>
    </w:p>
    <w:p w:rsidR="00842867" w:rsidRPr="00A45631" w:rsidRDefault="00842867" w:rsidP="00521B35">
      <w:pPr>
        <w:pStyle w:val="ListParagraph"/>
        <w:numPr>
          <w:ilvl w:val="0"/>
          <w:numId w:val="25"/>
        </w:numPr>
        <w:jc w:val="both"/>
      </w:pPr>
      <w:r w:rsidRPr="00A45631">
        <w:t>cost effectiveness for energy industry participants and the AER</w:t>
      </w:r>
      <w:r w:rsidR="003B3E73">
        <w:t>.</w:t>
      </w:r>
    </w:p>
    <w:p w:rsidR="00842867" w:rsidRPr="00A45631" w:rsidRDefault="00842867" w:rsidP="00521B35">
      <w:pPr>
        <w:pStyle w:val="ListParagraph"/>
        <w:numPr>
          <w:ilvl w:val="0"/>
          <w:numId w:val="25"/>
        </w:numPr>
        <w:jc w:val="both"/>
      </w:pPr>
      <w:r w:rsidRPr="00A45631">
        <w:t>transparency (subject to confidentiality requirements).</w:t>
      </w:r>
    </w:p>
    <w:p w:rsidR="00842867" w:rsidRDefault="00842867" w:rsidP="003974F8">
      <w:pPr>
        <w:jc w:val="both"/>
      </w:pPr>
      <w:r w:rsidRPr="00A45631">
        <w:t>While most obligations under the Electricity and Gas Rules do not require registered participants to establish specific compliance programs, we take into account a participant’s compliance framework when determining our response to potential breaches. In assessing compliance culture, we consider whether compliance programs and processes are effectively applied, up-to-date and tested regularly.</w:t>
      </w:r>
    </w:p>
    <w:p w:rsidR="00842867" w:rsidRPr="00765147" w:rsidRDefault="00842867" w:rsidP="00842867">
      <w:pPr>
        <w:pStyle w:val="Heading1"/>
      </w:pPr>
      <w:bookmarkStart w:id="3" w:name="_Toc412808720"/>
      <w:bookmarkEnd w:id="0"/>
      <w:r w:rsidRPr="00765147">
        <w:lastRenderedPageBreak/>
        <w:t>Gas</w:t>
      </w:r>
      <w:bookmarkEnd w:id="3"/>
    </w:p>
    <w:p w:rsidR="003974F8" w:rsidRPr="00765147" w:rsidRDefault="003974F8" w:rsidP="003974F8">
      <w:pPr>
        <w:jc w:val="both"/>
      </w:pPr>
      <w:r w:rsidRPr="00765147">
        <w:t xml:space="preserve">We are responsible for monitoring, investigating and enforcing compliance with the Gas Law and Rules, including but not limited to, the STTM, the Victorian gas market, the </w:t>
      </w:r>
      <w:r w:rsidRPr="001D0C57">
        <w:t>GSH</w:t>
      </w:r>
      <w:r w:rsidRPr="00765147">
        <w:t xml:space="preserve"> and the B</w:t>
      </w:r>
      <w:r w:rsidR="00CC6507">
        <w:t>ulletin Board</w:t>
      </w:r>
      <w:r w:rsidRPr="00765147">
        <w:t>.</w:t>
      </w:r>
    </w:p>
    <w:p w:rsidR="00842867" w:rsidRPr="00765147" w:rsidRDefault="003974F8" w:rsidP="00C950E5">
      <w:pPr>
        <w:jc w:val="both"/>
      </w:pPr>
      <w:r w:rsidRPr="00765147">
        <w:t>This part of the report provides an update on investigations, compliance matters and projects in the gas markets.</w:t>
      </w:r>
    </w:p>
    <w:p w:rsidR="003E374E" w:rsidRPr="00443911" w:rsidRDefault="003E374E" w:rsidP="002B7FDE">
      <w:pPr>
        <w:pStyle w:val="Heading2"/>
        <w:ind w:left="680" w:hanging="680"/>
      </w:pPr>
      <w:bookmarkStart w:id="4" w:name="_Toc412808721"/>
      <w:r w:rsidRPr="00920E5E">
        <w:t xml:space="preserve">Gas </w:t>
      </w:r>
      <w:r w:rsidRPr="00443911">
        <w:t>Supply Hub</w:t>
      </w:r>
      <w:bookmarkEnd w:id="4"/>
    </w:p>
    <w:p w:rsidR="00842867" w:rsidRPr="00AD2F41" w:rsidRDefault="00F168F2" w:rsidP="002B7FDE">
      <w:pPr>
        <w:pStyle w:val="Heading3"/>
      </w:pPr>
      <w:bookmarkStart w:id="5" w:name="_Toc412808722"/>
      <w:bookmarkStart w:id="6" w:name="_Toc213047619"/>
      <w:r w:rsidRPr="00443911">
        <w:t xml:space="preserve">Trading at the </w:t>
      </w:r>
      <w:r w:rsidR="00C950E5" w:rsidRPr="00443911">
        <w:t>Gas Supply Hub</w:t>
      </w:r>
      <w:bookmarkEnd w:id="5"/>
    </w:p>
    <w:p w:rsidR="00F34267" w:rsidRDefault="00920E5E" w:rsidP="00920E5E">
      <w:pPr>
        <w:jc w:val="both"/>
      </w:pPr>
      <w:r>
        <w:t>Under Part 22 of the Gas Rules, the AER is responsible for monitoring GSH members’ compliance with obligations specified in the Gas Rules for the gas trading exchange. This includes market conduct rules.</w:t>
      </w:r>
      <w:r w:rsidR="00805D72">
        <w:rPr>
          <w:rStyle w:val="FootnoteReference"/>
        </w:rPr>
        <w:footnoteReference w:id="3"/>
      </w:r>
      <w:r>
        <w:t xml:space="preserve"> </w:t>
      </w:r>
    </w:p>
    <w:p w:rsidR="00F34267" w:rsidRDefault="00F34267" w:rsidP="00920E5E">
      <w:pPr>
        <w:jc w:val="both"/>
      </w:pPr>
      <w:r>
        <w:t xml:space="preserve">The market conduct rules require GSH members to trade on the basis of gas they intend to physically deliver or receive. They also prohibit activities which are fraudulent, dishonest or in bad faith as well as activities designed to manipulate prices. </w:t>
      </w:r>
    </w:p>
    <w:p w:rsidR="005100F5" w:rsidRDefault="00920E5E" w:rsidP="00920E5E">
      <w:pPr>
        <w:jc w:val="both"/>
      </w:pPr>
      <w:r>
        <w:t>We are continuing to refine our GSH compliance monitoring framework, and this quarter we published GSH information in the industry statistics section on our website for the first time.</w:t>
      </w:r>
      <w:r w:rsidR="00EA3723" w:rsidRPr="00EA3723">
        <w:rPr>
          <w:highlight w:val="yellow"/>
        </w:rPr>
        <w:t xml:space="preserve"> </w:t>
      </w:r>
      <w:r w:rsidR="006B04A7">
        <w:t xml:space="preserve"> </w:t>
      </w:r>
      <w:r w:rsidR="00CC6507">
        <w:t>A focus for the coming year will be</w:t>
      </w:r>
      <w:r w:rsidR="00EA3723" w:rsidRPr="00406CC6">
        <w:t xml:space="preserve"> to </w:t>
      </w:r>
      <w:r w:rsidR="00CC6507">
        <w:t>adapt</w:t>
      </w:r>
      <w:r w:rsidR="00CC6507" w:rsidRPr="00406CC6">
        <w:t xml:space="preserve"> </w:t>
      </w:r>
      <w:r w:rsidR="00EA3723" w:rsidRPr="00406CC6">
        <w:t xml:space="preserve">our monitoring framework to account for new developments in the market including an AEMO end of day benchmark price and new </w:t>
      </w:r>
      <w:r w:rsidR="00406CC6">
        <w:t xml:space="preserve">GSH </w:t>
      </w:r>
      <w:r w:rsidR="00EA3723" w:rsidRPr="00406CC6">
        <w:t>futures product</w:t>
      </w:r>
      <w:r w:rsidR="00406CC6">
        <w:t>s to begin trading on the ASX in the first half of 2015.</w:t>
      </w:r>
      <w:r w:rsidR="00EA3723" w:rsidRPr="00406CC6">
        <w:t xml:space="preserve"> </w:t>
      </w:r>
    </w:p>
    <w:p w:rsidR="005100F5" w:rsidRDefault="005100F5" w:rsidP="005100F5">
      <w:pPr>
        <w:jc w:val="both"/>
      </w:pPr>
      <w:r>
        <w:t>Both futures will be</w:t>
      </w:r>
      <w:r w:rsidR="00805D72">
        <w:t>:</w:t>
      </w:r>
    </w:p>
    <w:p w:rsidR="005100F5" w:rsidRDefault="005100F5" w:rsidP="00521B35">
      <w:pPr>
        <w:pStyle w:val="ListParagraph"/>
        <w:numPr>
          <w:ilvl w:val="0"/>
          <w:numId w:val="28"/>
        </w:numPr>
        <w:tabs>
          <w:tab w:val="clear" w:pos="340"/>
        </w:tabs>
        <w:jc w:val="both"/>
      </w:pPr>
      <w:r>
        <w:t>based on the day ahead product, with a monthly and a quarterly future being offered, and</w:t>
      </w:r>
    </w:p>
    <w:p w:rsidR="005100F5" w:rsidRDefault="005100F5" w:rsidP="00521B35">
      <w:pPr>
        <w:pStyle w:val="ListParagraph"/>
        <w:numPr>
          <w:ilvl w:val="0"/>
          <w:numId w:val="28"/>
        </w:numPr>
        <w:tabs>
          <w:tab w:val="clear" w:pos="340"/>
        </w:tabs>
        <w:jc w:val="both"/>
      </w:pPr>
      <w:r>
        <w:t xml:space="preserve">for 100 GJ per day for the contract period. </w:t>
      </w:r>
    </w:p>
    <w:p w:rsidR="005100F5" w:rsidRDefault="005100F5" w:rsidP="005100F5">
      <w:pPr>
        <w:jc w:val="both"/>
      </w:pPr>
      <w:r>
        <w:t>We understand the ASX will offer an exchange for physical service where futures contracts can be exchanged for physical gas.</w:t>
      </w:r>
    </w:p>
    <w:p w:rsidR="005100F5" w:rsidRDefault="005100F5" w:rsidP="005100F5">
      <w:pPr>
        <w:jc w:val="both"/>
      </w:pPr>
      <w:r w:rsidRPr="002B7FDE">
        <w:t xml:space="preserve">Given the AER’s role in monitoring </w:t>
      </w:r>
      <w:r>
        <w:t>compliance with the market conduct rules governing activities in the GSH</w:t>
      </w:r>
      <w:r w:rsidRPr="002B7FDE">
        <w:t xml:space="preserve">, </w:t>
      </w:r>
      <w:r>
        <w:t xml:space="preserve">we are liaising with the ASX, AEMO and the Australian Securities and Investments Commission </w:t>
      </w:r>
      <w:r w:rsidR="00F351B9">
        <w:t>(</w:t>
      </w:r>
      <w:r w:rsidR="00F351B9" w:rsidRPr="001D0C57">
        <w:rPr>
          <w:b/>
        </w:rPr>
        <w:t>ASIC</w:t>
      </w:r>
      <w:r w:rsidR="00F351B9">
        <w:t xml:space="preserve">) </w:t>
      </w:r>
      <w:r>
        <w:t>to discuss our respective roles in this new market.</w:t>
      </w:r>
    </w:p>
    <w:p w:rsidR="00406CC6" w:rsidRDefault="00920E5E" w:rsidP="00920E5E">
      <w:pPr>
        <w:jc w:val="both"/>
      </w:pPr>
      <w:r>
        <w:t xml:space="preserve">Figure 1.1 shows volume traded and trade day volume weighted average prices at the GSH since market start. The figure shows that prices across the products increased from late October through to the end of December. The lowest price for the quarter was $0.18/GJ, for a day ahead 1 TJ trade on 27 October (the lowest price yet recorded in the GSH), and the highest price was $3.50/GJ, for a day ahead 3 TJ trade on 26 December. </w:t>
      </w:r>
    </w:p>
    <w:p w:rsidR="00920E5E" w:rsidRDefault="00920E5E" w:rsidP="00920E5E">
      <w:pPr>
        <w:jc w:val="both"/>
      </w:pPr>
      <w:r>
        <w:lastRenderedPageBreak/>
        <w:t xml:space="preserve">The recent increase in prices reflects the transition from ramp-up gas being available to the domestic markets to gas being made available for export. </w:t>
      </w:r>
      <w:r w:rsidR="00EE201A">
        <w:t xml:space="preserve">The first export LNG left Gladstone </w:t>
      </w:r>
      <w:r w:rsidR="00B270F5">
        <w:t xml:space="preserve">in early </w:t>
      </w:r>
      <w:r w:rsidR="00EE201A">
        <w:t>January.</w:t>
      </w:r>
    </w:p>
    <w:p w:rsidR="00920E5E" w:rsidRDefault="00920E5E" w:rsidP="00920E5E">
      <w:pPr>
        <w:jc w:val="both"/>
      </w:pPr>
      <w:r>
        <w:t xml:space="preserve">Continuing the trend since </w:t>
      </w:r>
      <w:r w:rsidR="00B270F5">
        <w:t>t</w:t>
      </w:r>
      <w:r w:rsidR="006B04A7">
        <w:t>rading</w:t>
      </w:r>
      <w:r>
        <w:t xml:space="preserve"> </w:t>
      </w:r>
      <w:r w:rsidR="00B270F5">
        <w:t>began in March</w:t>
      </w:r>
      <w:r>
        <w:t xml:space="preserve">, </w:t>
      </w:r>
      <w:r w:rsidR="00421B00">
        <w:t xml:space="preserve">trades occurred </w:t>
      </w:r>
      <w:r>
        <w:t xml:space="preserve">most weeks of the December quarter. Most of the volume traded for the quarter occurred in early to mid-December. </w:t>
      </w:r>
      <w:r w:rsidR="005955DF">
        <w:t>D</w:t>
      </w:r>
      <w:r>
        <w:t xml:space="preserve">espite the number of trades being higher than for the September quarter, the volume traded was lower this quarter by more than 122 TJ. Also of note, the number of trades on the South West Queensland Pipeline </w:t>
      </w:r>
      <w:r w:rsidR="00F351B9">
        <w:t>(</w:t>
      </w:r>
      <w:r w:rsidR="00F351B9" w:rsidRPr="001D0C57">
        <w:rPr>
          <w:b/>
        </w:rPr>
        <w:t>SWQP</w:t>
      </w:r>
      <w:r w:rsidR="00F351B9">
        <w:t xml:space="preserve">) </w:t>
      </w:r>
      <w:r>
        <w:t>was significantly higher than for the previous quarter, with 65 products traded totalling 500 TJ.</w:t>
      </w:r>
      <w:r w:rsidR="00447220">
        <w:t xml:space="preserve"> This compares to 273.5</w:t>
      </w:r>
      <w:r w:rsidR="000E5561">
        <w:t> </w:t>
      </w:r>
      <w:r w:rsidR="00447220">
        <w:t xml:space="preserve">TJ traded on the Roma Brisbane Pipeline </w:t>
      </w:r>
      <w:r w:rsidR="003B3E73">
        <w:t>(</w:t>
      </w:r>
      <w:r w:rsidR="003B3E73" w:rsidRPr="003B3E73">
        <w:rPr>
          <w:b/>
        </w:rPr>
        <w:t>RBP</w:t>
      </w:r>
      <w:r w:rsidR="003B3E73">
        <w:t xml:space="preserve">) </w:t>
      </w:r>
      <w:r w:rsidR="00447220">
        <w:t xml:space="preserve">this quarter and </w:t>
      </w:r>
      <w:r w:rsidR="000E5561">
        <w:t>0 </w:t>
      </w:r>
      <w:r w:rsidR="00447220">
        <w:t>TJ on the Queensland Gas Pipeline</w:t>
      </w:r>
      <w:r w:rsidR="00F351B9">
        <w:t xml:space="preserve"> (</w:t>
      </w:r>
      <w:r w:rsidR="00F351B9" w:rsidRPr="001D0C57">
        <w:rPr>
          <w:b/>
        </w:rPr>
        <w:t>QGP</w:t>
      </w:r>
      <w:r w:rsidR="00F351B9">
        <w:t>)</w:t>
      </w:r>
      <w:r w:rsidR="000E5561">
        <w:t>,</w:t>
      </w:r>
      <w:r w:rsidR="00447220">
        <w:t xml:space="preserve"> where there have</w:t>
      </w:r>
      <w:r w:rsidR="000E5561">
        <w:t>n’t</w:t>
      </w:r>
      <w:r w:rsidR="00447220">
        <w:t xml:space="preserve"> </w:t>
      </w:r>
      <w:r w:rsidR="000E5561">
        <w:t xml:space="preserve">been any </w:t>
      </w:r>
      <w:r w:rsidR="00447220">
        <w:t>trades since market start.</w:t>
      </w:r>
    </w:p>
    <w:p w:rsidR="00E36CA8" w:rsidRDefault="00E36CA8" w:rsidP="00421B00">
      <w:pPr>
        <w:pStyle w:val="Caption"/>
        <w:keepNext/>
      </w:pPr>
      <w:r>
        <w:t xml:space="preserve">Figure </w:t>
      </w:r>
      <w:r w:rsidR="00D41BE1">
        <w:fldChar w:fldCharType="begin"/>
      </w:r>
      <w:r w:rsidR="00D41BE1">
        <w:instrText xml:space="preserve"> STYLEREF 1 \s </w:instrText>
      </w:r>
      <w:r w:rsidR="00D41BE1">
        <w:fldChar w:fldCharType="separate"/>
      </w:r>
      <w:r w:rsidR="001D0C57">
        <w:rPr>
          <w:noProof/>
        </w:rPr>
        <w:t>1</w:t>
      </w:r>
      <w:r w:rsidR="00D41BE1">
        <w:rPr>
          <w:noProof/>
        </w:rPr>
        <w:fldChar w:fldCharType="end"/>
      </w:r>
      <w:r>
        <w:t>.</w:t>
      </w:r>
      <w:fldSimple w:instr=" SEQ Figure \* ARABIC \s 1 ">
        <w:r w:rsidR="001D0C57">
          <w:rPr>
            <w:noProof/>
          </w:rPr>
          <w:t>1</w:t>
        </w:r>
      </w:fldSimple>
      <w:r w:rsidR="00BC0A8B">
        <w:t>:</w:t>
      </w:r>
      <w:r>
        <w:t xml:space="preserve"> </w:t>
      </w:r>
      <w:r w:rsidRPr="00026600">
        <w:t xml:space="preserve">Volume traded and trade day volume weighted average prices since </w:t>
      </w:r>
      <w:r w:rsidRPr="00CD5D6B">
        <w:t>market start</w:t>
      </w:r>
      <w:r w:rsidRPr="001D0C57">
        <w:rPr>
          <w:rStyle w:val="FootnoteReference"/>
        </w:rPr>
        <w:footnoteReference w:id="4"/>
      </w:r>
    </w:p>
    <w:p w:rsidR="00842867" w:rsidRPr="001D0C57" w:rsidRDefault="00845DB5" w:rsidP="002B7FDE">
      <w:pPr>
        <w:pStyle w:val="Tabletext"/>
        <w:rPr>
          <w:highlight w:val="yellow"/>
        </w:rPr>
      </w:pPr>
      <w:r w:rsidRPr="00845DB5">
        <w:rPr>
          <w:noProof/>
          <w:lang w:eastAsia="en-AU"/>
        </w:rPr>
        <w:drawing>
          <wp:inline distT="0" distB="0" distL="0" distR="0" wp14:anchorId="2C917620" wp14:editId="636D7FDE">
            <wp:extent cx="5731510" cy="40670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67008"/>
                    </a:xfrm>
                    <a:prstGeom prst="rect">
                      <a:avLst/>
                    </a:prstGeom>
                    <a:noFill/>
                    <a:ln>
                      <a:noFill/>
                    </a:ln>
                  </pic:spPr>
                </pic:pic>
              </a:graphicData>
            </a:graphic>
          </wp:inline>
        </w:drawing>
      </w:r>
    </w:p>
    <w:p w:rsidR="00443911" w:rsidRDefault="00443911" w:rsidP="00C14EC6">
      <w:pPr>
        <w:pStyle w:val="Heading3"/>
        <w:numPr>
          <w:ilvl w:val="2"/>
          <w:numId w:val="30"/>
        </w:numPr>
        <w:tabs>
          <w:tab w:val="clear" w:pos="1021"/>
        </w:tabs>
        <w:rPr>
          <w:rFonts w:eastAsia="Times New Roman"/>
        </w:rPr>
      </w:pPr>
      <w:bookmarkStart w:id="7" w:name="_Toc412808723"/>
      <w:r>
        <w:rPr>
          <w:rFonts w:eastAsia="Times New Roman"/>
        </w:rPr>
        <w:t>AEMO errors</w:t>
      </w:r>
      <w:bookmarkEnd w:id="7"/>
    </w:p>
    <w:p w:rsidR="00443911" w:rsidRDefault="00976E47" w:rsidP="00443911">
      <w:pPr>
        <w:jc w:val="both"/>
      </w:pPr>
      <w:r>
        <w:t xml:space="preserve">During the quarter, AEMO reported </w:t>
      </w:r>
      <w:r w:rsidR="005100F5">
        <w:t xml:space="preserve">two </w:t>
      </w:r>
      <w:r w:rsidR="006B04A7">
        <w:t xml:space="preserve">IT issues affecting </w:t>
      </w:r>
      <w:r>
        <w:t>the market:</w:t>
      </w:r>
    </w:p>
    <w:p w:rsidR="00E10600" w:rsidRDefault="00E10600" w:rsidP="00521B35">
      <w:pPr>
        <w:pStyle w:val="ListParagraph"/>
        <w:numPr>
          <w:ilvl w:val="0"/>
          <w:numId w:val="31"/>
        </w:numPr>
        <w:jc w:val="both"/>
      </w:pPr>
      <w:r>
        <w:t xml:space="preserve">On 26 December a system fault with daily and day ahead products with an end date beyond 31 December 2014 was detected at the Wallumbilla Hub. AEMO notified the </w:t>
      </w:r>
      <w:r>
        <w:lastRenderedPageBreak/>
        <w:t xml:space="preserve">market of the fault on the same day and no trades were affected. The problem was rectified after the end of the trading day. </w:t>
      </w:r>
    </w:p>
    <w:p w:rsidR="00E10600" w:rsidRDefault="00E10600" w:rsidP="00521B35">
      <w:pPr>
        <w:pStyle w:val="ListParagraph"/>
        <w:numPr>
          <w:ilvl w:val="0"/>
          <w:numId w:val="31"/>
        </w:numPr>
        <w:jc w:val="both"/>
      </w:pPr>
      <w:r>
        <w:t xml:space="preserve">On 9 January a participant entered a bid to purchase gas. However the participant did not receive confirmation of the trade report within 15 minutes of it being lodged, meaning that the trade </w:t>
      </w:r>
      <w:r w:rsidR="005100F5">
        <w:t>became</w:t>
      </w:r>
      <w:r>
        <w:t xml:space="preserve"> void. According to AEMO’s investigation into the matter, the problem was caused by human error. The participant had not been flagged as a trading participant after having changed its status from viewing participant to trading participant on 22 December. </w:t>
      </w:r>
    </w:p>
    <w:p w:rsidR="00443911" w:rsidRDefault="00443911" w:rsidP="00443911">
      <w:pPr>
        <w:jc w:val="both"/>
      </w:pPr>
      <w:r>
        <w:t xml:space="preserve">AEMO </w:t>
      </w:r>
      <w:r w:rsidR="00EC4393">
        <w:t xml:space="preserve">advised at a February meeting of the Gas Supply Hub Reference Group </w:t>
      </w:r>
      <w:r w:rsidR="00F351B9">
        <w:t>(</w:t>
      </w:r>
      <w:r w:rsidR="00F351B9" w:rsidRPr="001D0C57">
        <w:rPr>
          <w:b/>
        </w:rPr>
        <w:t>GSHRG</w:t>
      </w:r>
      <w:r w:rsidR="00F351B9">
        <w:t xml:space="preserve">) </w:t>
      </w:r>
      <w:r w:rsidR="00EC4393">
        <w:t>that it had</w:t>
      </w:r>
      <w:r w:rsidR="00447220">
        <w:t xml:space="preserve"> revised</w:t>
      </w:r>
      <w:r w:rsidR="00EC4393">
        <w:t xml:space="preserve"> </w:t>
      </w:r>
      <w:r>
        <w:t xml:space="preserve">procedures </w:t>
      </w:r>
      <w:r w:rsidR="00447220">
        <w:t xml:space="preserve">and processes </w:t>
      </w:r>
      <w:r>
        <w:t>to try to prevent similar faults occurring again.</w:t>
      </w:r>
    </w:p>
    <w:p w:rsidR="00842867" w:rsidRPr="00AF4C79" w:rsidRDefault="00842867" w:rsidP="002B7FDE">
      <w:pPr>
        <w:pStyle w:val="Heading2"/>
        <w:ind w:left="680" w:hanging="680"/>
      </w:pPr>
      <w:bookmarkStart w:id="8" w:name="_Toc412808724"/>
      <w:bookmarkEnd w:id="6"/>
      <w:r w:rsidRPr="00AF4C79">
        <w:t>Short Term Trading Market</w:t>
      </w:r>
      <w:bookmarkEnd w:id="8"/>
    </w:p>
    <w:p w:rsidR="004F0A75" w:rsidRPr="00875C67" w:rsidRDefault="00B52AB5" w:rsidP="00B52AB5">
      <w:pPr>
        <w:jc w:val="both"/>
        <w:rPr>
          <w:highlight w:val="yellow"/>
        </w:rPr>
      </w:pPr>
      <w:r w:rsidRPr="00B52AB5">
        <w:t>Part 20 of the Gas Rules sets out participants’ responsibilities for trading in the STTM. The STTM has trading hubs in Adelaide, Sydney and Brisbane. The Gas Rules govern how wholesale gas is traded and include requirements for pipeline operators to submit pipeline capacity and allocation (gas flow) data.</w:t>
      </w:r>
    </w:p>
    <w:p w:rsidR="00842867" w:rsidRPr="00CC527D" w:rsidRDefault="00842867" w:rsidP="00875C67">
      <w:pPr>
        <w:pStyle w:val="Heading3"/>
        <w:keepNext/>
        <w:ind w:left="1021" w:hanging="1021"/>
      </w:pPr>
      <w:bookmarkStart w:id="9" w:name="_Toc412808725"/>
      <w:r w:rsidRPr="00CC527D">
        <w:t>Capacity and allocation data quality</w:t>
      </w:r>
      <w:bookmarkEnd w:id="9"/>
    </w:p>
    <w:p w:rsidR="00BE1359" w:rsidRDefault="00BE1359" w:rsidP="00BE1359">
      <w:pPr>
        <w:jc w:val="both"/>
      </w:pPr>
      <w:r w:rsidRPr="00110EA5">
        <w:t>In the December 2010 quarter, we established a special project with the aim of reducing the amount of missing, late or erroneous data by participants in the STTM.</w:t>
      </w:r>
      <w:r w:rsidRPr="00110EA5">
        <w:rPr>
          <w:rStyle w:val="FootnoteReference"/>
        </w:rPr>
        <w:footnoteReference w:id="5"/>
      </w:r>
      <w:r w:rsidRPr="00110EA5">
        <w:t xml:space="preserve"> Such data failures cause harm through inefficient pricing which leads to adverse market outcomes.</w:t>
      </w:r>
    </w:p>
    <w:p w:rsidR="00BE1359" w:rsidRDefault="00BE1359" w:rsidP="00BE1359">
      <w:pPr>
        <w:jc w:val="both"/>
      </w:pPr>
      <w:r>
        <w:t xml:space="preserve">Concerned by </w:t>
      </w:r>
      <w:r w:rsidRPr="00110EA5">
        <w:t>continuing</w:t>
      </w:r>
      <w:r>
        <w:t xml:space="preserve"> data failures by STTM facility operators, in </w:t>
      </w:r>
      <w:r w:rsidRPr="00EF45D7">
        <w:t>December 2011</w:t>
      </w:r>
      <w:r>
        <w:t xml:space="preserve"> we published a compliance bulletin</w:t>
      </w:r>
      <w:r w:rsidR="009C5205">
        <w:t xml:space="preserve"> </w:t>
      </w:r>
      <w:r>
        <w:t>to identify the key information and data requirements placed on facility operators and outline the AER’s approach to ensuring compliance with these arrangements.</w:t>
      </w:r>
      <w:r w:rsidR="009C5205">
        <w:rPr>
          <w:rStyle w:val="FootnoteReference"/>
        </w:rPr>
        <w:footnoteReference w:id="6"/>
      </w:r>
      <w:r w:rsidR="009C5205">
        <w:t xml:space="preserve"> </w:t>
      </w:r>
    </w:p>
    <w:p w:rsidR="00BE1359" w:rsidRDefault="00BE1359" w:rsidP="00BE1359">
      <w:pPr>
        <w:jc w:val="both"/>
      </w:pPr>
      <w:r>
        <w:t xml:space="preserve">The special project was closed in the December 2012 </w:t>
      </w:r>
      <w:r w:rsidR="00CC527D">
        <w:t xml:space="preserve">quarter </w:t>
      </w:r>
      <w:r>
        <w:t xml:space="preserve">and absorbed into our business-as-usual monitoring activities. We have continued to report on facility operators’ performance in </w:t>
      </w:r>
      <w:r w:rsidR="004317C3">
        <w:t>subsequent</w:t>
      </w:r>
      <w:r w:rsidR="004178CB">
        <w:t xml:space="preserve"> </w:t>
      </w:r>
      <w:r>
        <w:t xml:space="preserve">QCRs. </w:t>
      </w:r>
    </w:p>
    <w:p w:rsidR="00BE1359" w:rsidRPr="00EC6B12" w:rsidRDefault="00BE1359" w:rsidP="00BE1359">
      <w:pPr>
        <w:jc w:val="both"/>
      </w:pPr>
      <w:r>
        <w:t>Figure 1.4</w:t>
      </w:r>
      <w:r w:rsidRPr="00EC6B12">
        <w:t xml:space="preserve"> </w:t>
      </w:r>
      <w:r>
        <w:t xml:space="preserve">shows data failures since the beginning of the </w:t>
      </w:r>
      <w:r w:rsidRPr="00EC6B12">
        <w:t>STTM</w:t>
      </w:r>
      <w:r w:rsidR="00DC15A5">
        <w:t xml:space="preserve"> </w:t>
      </w:r>
      <w:r w:rsidR="000E5561">
        <w:t>across</w:t>
      </w:r>
      <w:r w:rsidR="00DC15A5">
        <w:t xml:space="preserve"> all hubs</w:t>
      </w:r>
      <w:r w:rsidRPr="00EC6B12">
        <w:t xml:space="preserve">. </w:t>
      </w:r>
      <w:r>
        <w:t>Given that quarterly data error</w:t>
      </w:r>
      <w:r w:rsidR="00CC527D">
        <w:t xml:space="preserve"> frequency</w:t>
      </w:r>
      <w:r>
        <w:t xml:space="preserve"> has </w:t>
      </w:r>
      <w:r w:rsidR="0048014E">
        <w:t xml:space="preserve">remained </w:t>
      </w:r>
      <w:r>
        <w:t xml:space="preserve">low for more than a year, we have decided to report on </w:t>
      </w:r>
      <w:r w:rsidR="00F73072">
        <w:t>this</w:t>
      </w:r>
      <w:r w:rsidR="00CC527D">
        <w:t xml:space="preserve"> issue</w:t>
      </w:r>
      <w:r>
        <w:t xml:space="preserve"> in future QCRs on an as needs basis only. We will, however, continue to monitor capacity and allocation data quality, given its importance in facilitating efficient market outcomes. </w:t>
      </w:r>
    </w:p>
    <w:p w:rsidR="00E36CA8" w:rsidRDefault="00E36CA8" w:rsidP="00444180">
      <w:pPr>
        <w:pStyle w:val="Caption"/>
        <w:keepNext/>
      </w:pPr>
      <w:r>
        <w:lastRenderedPageBreak/>
        <w:t xml:space="preserve">Figure </w:t>
      </w:r>
      <w:r w:rsidR="00D41BE1">
        <w:fldChar w:fldCharType="begin"/>
      </w:r>
      <w:r w:rsidR="00D41BE1">
        <w:instrText xml:space="preserve"> STYLEREF 1 \s </w:instrText>
      </w:r>
      <w:r w:rsidR="00D41BE1">
        <w:fldChar w:fldCharType="separate"/>
      </w:r>
      <w:r w:rsidR="001D0C57">
        <w:rPr>
          <w:noProof/>
        </w:rPr>
        <w:t>1</w:t>
      </w:r>
      <w:r w:rsidR="00D41BE1">
        <w:rPr>
          <w:noProof/>
        </w:rPr>
        <w:fldChar w:fldCharType="end"/>
      </w:r>
      <w:r>
        <w:t>.</w:t>
      </w:r>
      <w:fldSimple w:instr=" SEQ Figure \* ARABIC \s 1 ">
        <w:r w:rsidR="001D0C57">
          <w:rPr>
            <w:noProof/>
          </w:rPr>
          <w:t>2</w:t>
        </w:r>
      </w:fldSimple>
      <w:r w:rsidR="00BC0A8B">
        <w:t>:</w:t>
      </w:r>
      <w:r w:rsidR="001B5A58">
        <w:t xml:space="preserve"> </w:t>
      </w:r>
      <w:r w:rsidRPr="00276CC2">
        <w:t>Data failures since STTM commencement</w:t>
      </w:r>
    </w:p>
    <w:p w:rsidR="00842867" w:rsidRPr="00CC527D" w:rsidRDefault="00CC527D" w:rsidP="00CC527D">
      <w:pPr>
        <w:spacing w:before="0" w:line="240" w:lineRule="auto"/>
      </w:pPr>
      <w:r w:rsidRPr="00CC527D">
        <w:rPr>
          <w:noProof/>
          <w:lang w:eastAsia="en-AU"/>
        </w:rPr>
        <w:drawing>
          <wp:inline distT="0" distB="0" distL="0" distR="0" wp14:anchorId="7ACF441B" wp14:editId="7C74C58D">
            <wp:extent cx="5730240" cy="2278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2278380"/>
                    </a:xfrm>
                    <a:prstGeom prst="rect">
                      <a:avLst/>
                    </a:prstGeom>
                    <a:noFill/>
                  </pic:spPr>
                </pic:pic>
              </a:graphicData>
            </a:graphic>
          </wp:inline>
        </w:drawing>
      </w:r>
    </w:p>
    <w:p w:rsidR="00842867" w:rsidRPr="00CC527D" w:rsidRDefault="00842867" w:rsidP="00444180">
      <w:pPr>
        <w:pStyle w:val="Source"/>
      </w:pPr>
      <w:r w:rsidRPr="00CC527D">
        <w:t xml:space="preserve">*September </w:t>
      </w:r>
      <w:r w:rsidRPr="006A0179">
        <w:t>2010</w:t>
      </w:r>
      <w:r w:rsidRPr="00CC527D">
        <w:t xml:space="preserve"> has been grouped with the December 2010 quarter. Therefore, this data point represents four months.</w:t>
      </w:r>
    </w:p>
    <w:p w:rsidR="00842867" w:rsidRPr="00444180" w:rsidRDefault="00842867" w:rsidP="00AE569F">
      <w:pPr>
        <w:pStyle w:val="Heading3"/>
        <w:keepNext/>
        <w:ind w:left="1021" w:hanging="1021"/>
      </w:pPr>
      <w:bookmarkStart w:id="10" w:name="_Toc394479583"/>
      <w:bookmarkStart w:id="11" w:name="_Toc412808726"/>
      <w:r w:rsidRPr="00444180">
        <w:t>STTM demand forecasting update</w:t>
      </w:r>
      <w:bookmarkEnd w:id="10"/>
      <w:bookmarkEnd w:id="11"/>
      <w:r w:rsidRPr="00444180">
        <w:t xml:space="preserve"> </w:t>
      </w:r>
    </w:p>
    <w:p w:rsidR="00444180" w:rsidRDefault="00444180" w:rsidP="00444180">
      <w:pPr>
        <w:jc w:val="both"/>
      </w:pPr>
      <w:r>
        <w:t>Rule 410 (1) requires a participant who expect</w:t>
      </w:r>
      <w:r w:rsidR="00CB1A83">
        <w:t>s</w:t>
      </w:r>
      <w:r>
        <w:t xml:space="preserve"> to withdraw gas from a hub to submit, in good faith, ex ante bids or price taker bids (and any revisions to those bids) </w:t>
      </w:r>
      <w:r w:rsidR="00CB1A83">
        <w:t>that</w:t>
      </w:r>
      <w:r>
        <w:t xml:space="preserve"> reflect its best estimate of the quantity it expects to withdraw on that gas day. These bids in effect reflect each participant’s demand forecast. </w:t>
      </w:r>
    </w:p>
    <w:p w:rsidR="00444180" w:rsidRDefault="00444180" w:rsidP="00444180">
      <w:pPr>
        <w:jc w:val="both"/>
      </w:pPr>
      <w:r>
        <w:t>Poor demand forecasting leads to inefficiencies w</w:t>
      </w:r>
      <w:r w:rsidR="00A23228">
        <w:t>ith</w:t>
      </w:r>
      <w:r>
        <w:t xml:space="preserve"> ex ante prices </w:t>
      </w:r>
      <w:r w:rsidR="00A23228">
        <w:t xml:space="preserve">being </w:t>
      </w:r>
      <w:r>
        <w:t>set on the basis of a higher or lower quantity of gas than is required. It can also lead to high M</w:t>
      </w:r>
      <w:r w:rsidR="00DC15A5">
        <w:t xml:space="preserve">arket </w:t>
      </w:r>
      <w:r>
        <w:t>O</w:t>
      </w:r>
      <w:r w:rsidR="00DC15A5">
        <w:t xml:space="preserve">perator </w:t>
      </w:r>
      <w:r>
        <w:t>S</w:t>
      </w:r>
      <w:r w:rsidR="00DC15A5">
        <w:t xml:space="preserve">ervice </w:t>
      </w:r>
      <w:r w:rsidR="00DC15A5">
        <w:rPr>
          <w:b/>
        </w:rPr>
        <w:t>(MOS)</w:t>
      </w:r>
      <w:r w:rsidR="00DC15A5">
        <w:t xml:space="preserve"> </w:t>
      </w:r>
      <w:r>
        <w:t>payments</w:t>
      </w:r>
      <w:r w:rsidR="00E542F0">
        <w:t>,</w:t>
      </w:r>
      <w:r w:rsidR="00DC15A5">
        <w:t xml:space="preserve"> </w:t>
      </w:r>
      <w:r w:rsidR="0091348D">
        <w:t xml:space="preserve">if </w:t>
      </w:r>
      <w:r w:rsidR="00DC15A5">
        <w:t xml:space="preserve">gas is </w:t>
      </w:r>
      <w:r w:rsidR="00E542F0">
        <w:t xml:space="preserve">under or over </w:t>
      </w:r>
      <w:r w:rsidR="00DC15A5">
        <w:t>delivered</w:t>
      </w:r>
      <w:r w:rsidR="00A23228">
        <w:t>.</w:t>
      </w:r>
      <w:r w:rsidR="00DC15A5">
        <w:t xml:space="preserve"> </w:t>
      </w:r>
    </w:p>
    <w:p w:rsidR="00444180" w:rsidRDefault="00444180" w:rsidP="00444180">
      <w:pPr>
        <w:jc w:val="both"/>
      </w:pPr>
      <w:r>
        <w:t xml:space="preserve">In 2012, we </w:t>
      </w:r>
      <w:r w:rsidR="004317C3">
        <w:t xml:space="preserve">conducted </w:t>
      </w:r>
      <w:r>
        <w:t xml:space="preserve">a special compliance project to address ongoing inaccurate demand forecasting. Throughout 2013 and 2014 we used metrics to help identify patterns in demand forecasting errors in each hub and contacted those participants with persistent large forecast errors. </w:t>
      </w:r>
    </w:p>
    <w:p w:rsidR="00842867" w:rsidRPr="00444180" w:rsidRDefault="00444180" w:rsidP="002B7FDE">
      <w:pPr>
        <w:jc w:val="both"/>
      </w:pPr>
      <w:r>
        <w:t xml:space="preserve">In the June quarter 2014 QCR we observed that, in general, there had been a </w:t>
      </w:r>
      <w:r w:rsidR="004317C3">
        <w:t>significant improvement in the accuracy of demand forecasts with reductions in</w:t>
      </w:r>
      <w:r>
        <w:t xml:space="preserve"> forecasting bias and magnitude of errors in each STTM hub.</w:t>
      </w:r>
      <w:r>
        <w:rPr>
          <w:rStyle w:val="FootnoteReference"/>
        </w:rPr>
        <w:footnoteReference w:id="7"/>
      </w:r>
      <w:r>
        <w:t xml:space="preserve"> However, we also noted that there had been a long term bias towards over forecasting in the Sydney hub. We engaged with Sydney hub participants over the second half of 2014 to try to address the issue.</w:t>
      </w:r>
    </w:p>
    <w:p w:rsidR="00842867" w:rsidRPr="00444180" w:rsidRDefault="00842867" w:rsidP="00842867">
      <w:pPr>
        <w:rPr>
          <w:rStyle w:val="Strong"/>
        </w:rPr>
      </w:pPr>
      <w:r w:rsidRPr="00444180">
        <w:rPr>
          <w:rStyle w:val="Strong"/>
        </w:rPr>
        <w:t>Sydney STTM</w:t>
      </w:r>
    </w:p>
    <w:p w:rsidR="00444180" w:rsidRDefault="00444180" w:rsidP="00444180">
      <w:pPr>
        <w:jc w:val="both"/>
      </w:pPr>
      <w:r>
        <w:t>Following the first quarter of 2014</w:t>
      </w:r>
      <w:r w:rsidR="005F450A">
        <w:t>,</w:t>
      </w:r>
      <w:r>
        <w:t xml:space="preserve"> a number of months </w:t>
      </w:r>
      <w:r w:rsidR="00761DFC">
        <w:t>saw</w:t>
      </w:r>
      <w:r>
        <w:t xml:space="preserve"> more days</w:t>
      </w:r>
      <w:r w:rsidR="00761DFC">
        <w:t xml:space="preserve"> with</w:t>
      </w:r>
      <w:r>
        <w:t xml:space="preserve"> under-forecast </w:t>
      </w:r>
      <w:r w:rsidR="00761DFC">
        <w:t xml:space="preserve">demand </w:t>
      </w:r>
      <w:r>
        <w:t xml:space="preserve">resulting in the 12 month rolling average of the proportion of days over-forecast falling to around 50 per cent. </w:t>
      </w:r>
      <w:r w:rsidR="003B3E73">
        <w:t>Since May t</w:t>
      </w:r>
      <w:r>
        <w:t xml:space="preserve">here has also been a reduction in the magnitude of </w:t>
      </w:r>
      <w:r w:rsidR="00761DFC">
        <w:t>over-</w:t>
      </w:r>
      <w:r>
        <w:t xml:space="preserve">forecast errors (see figure </w:t>
      </w:r>
      <w:r w:rsidR="00320CF3">
        <w:t>1.3</w:t>
      </w:r>
      <w:r>
        <w:t>).</w:t>
      </w:r>
      <w:r w:rsidR="00157A89">
        <w:t xml:space="preserve"> As a result of our persistence in seeking to improve demand forecasting in the Sydney hub, </w:t>
      </w:r>
      <w:r w:rsidR="00157A89" w:rsidRPr="00157A89">
        <w:t>the bias to over-forecast and the magnitude of the error seem to be reducing</w:t>
      </w:r>
      <w:r w:rsidR="00157A89">
        <w:t>.</w:t>
      </w:r>
    </w:p>
    <w:p w:rsidR="00C4236C" w:rsidRDefault="00C4236C" w:rsidP="00444180">
      <w:pPr>
        <w:jc w:val="both"/>
      </w:pPr>
    </w:p>
    <w:p w:rsidR="00E36CA8" w:rsidRDefault="00E36CA8" w:rsidP="00444180">
      <w:pPr>
        <w:pStyle w:val="Caption"/>
        <w:keepNext/>
      </w:pPr>
      <w:r>
        <w:t xml:space="preserve">Figure </w:t>
      </w:r>
      <w:r w:rsidR="00D41BE1">
        <w:fldChar w:fldCharType="begin"/>
      </w:r>
      <w:r w:rsidR="00D41BE1">
        <w:instrText xml:space="preserve"> STYLEREF 1 \s </w:instrText>
      </w:r>
      <w:r w:rsidR="00D41BE1">
        <w:fldChar w:fldCharType="separate"/>
      </w:r>
      <w:r w:rsidR="001D0C57">
        <w:rPr>
          <w:noProof/>
        </w:rPr>
        <w:t>1</w:t>
      </w:r>
      <w:r w:rsidR="00D41BE1">
        <w:rPr>
          <w:noProof/>
        </w:rPr>
        <w:fldChar w:fldCharType="end"/>
      </w:r>
      <w:r>
        <w:t>.</w:t>
      </w:r>
      <w:fldSimple w:instr=" SEQ Figure \* ARABIC \s 1 ">
        <w:r w:rsidR="001D0C57">
          <w:rPr>
            <w:noProof/>
          </w:rPr>
          <w:t>3</w:t>
        </w:r>
      </w:fldSimple>
      <w:r w:rsidR="00BC0A8B">
        <w:t>:</w:t>
      </w:r>
      <w:r>
        <w:t xml:space="preserve"> </w:t>
      </w:r>
      <w:r w:rsidRPr="00D23C9C">
        <w:t>Days over forecast each month and actual error magnitudes</w:t>
      </w:r>
    </w:p>
    <w:p w:rsidR="00842867" w:rsidRPr="00444180" w:rsidRDefault="00842867" w:rsidP="00842867">
      <w:r w:rsidRPr="00444180">
        <w:rPr>
          <w:noProof/>
          <w:lang w:eastAsia="en-AU"/>
        </w:rPr>
        <w:drawing>
          <wp:inline distT="0" distB="0" distL="0" distR="0" wp14:anchorId="26CBBB45" wp14:editId="70DC0215">
            <wp:extent cx="5727700" cy="1770380"/>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1770380"/>
                    </a:xfrm>
                    <a:prstGeom prst="rect">
                      <a:avLst/>
                    </a:prstGeom>
                    <a:noFill/>
                    <a:ln>
                      <a:noFill/>
                    </a:ln>
                  </pic:spPr>
                </pic:pic>
              </a:graphicData>
            </a:graphic>
          </wp:inline>
        </w:drawing>
      </w:r>
    </w:p>
    <w:p w:rsidR="00444180" w:rsidRDefault="00444180" w:rsidP="00444180">
      <w:pPr>
        <w:jc w:val="both"/>
      </w:pPr>
      <w:r>
        <w:t xml:space="preserve">Overall demand forecast errors (under or over) have </w:t>
      </w:r>
      <w:r w:rsidR="003B3E73">
        <w:t>reduced</w:t>
      </w:r>
      <w:r w:rsidR="00761DFC">
        <w:t>;</w:t>
      </w:r>
      <w:r>
        <w:t xml:space="preserve"> mean errors remain below 3 per cent of hub demand</w:t>
      </w:r>
      <w:r w:rsidR="00761DFC">
        <w:t>, with</w:t>
      </w:r>
      <w:r>
        <w:t xml:space="preserve"> a reduction in demand forecast errors over 20 TJ (see figure 1.3). Two thirds of the daily forecasting errors remained below 6 TJ over the last quarter, with no errors above 16 TJ and the majority of errors below 2 per cent of total demand. </w:t>
      </w:r>
    </w:p>
    <w:p w:rsidR="00E36CA8" w:rsidRDefault="00E36CA8" w:rsidP="00444180">
      <w:pPr>
        <w:pStyle w:val="Caption"/>
        <w:keepNext/>
      </w:pPr>
      <w:r>
        <w:t xml:space="preserve">Figure </w:t>
      </w:r>
      <w:r w:rsidR="00D41BE1">
        <w:fldChar w:fldCharType="begin"/>
      </w:r>
      <w:r w:rsidR="00D41BE1">
        <w:instrText xml:space="preserve"> STYLEREF 1 \s </w:instrText>
      </w:r>
      <w:r w:rsidR="00D41BE1">
        <w:fldChar w:fldCharType="separate"/>
      </w:r>
      <w:r w:rsidR="001D0C57">
        <w:rPr>
          <w:noProof/>
        </w:rPr>
        <w:t>1</w:t>
      </w:r>
      <w:r w:rsidR="00D41BE1">
        <w:rPr>
          <w:noProof/>
        </w:rPr>
        <w:fldChar w:fldCharType="end"/>
      </w:r>
      <w:r>
        <w:t>.</w:t>
      </w:r>
      <w:fldSimple w:instr=" SEQ Figure \* ARABIC \s 1 ">
        <w:r w:rsidR="001D0C57">
          <w:rPr>
            <w:noProof/>
          </w:rPr>
          <w:t>4</w:t>
        </w:r>
      </w:fldSimple>
      <w:r w:rsidR="00BC0A8B">
        <w:t>:</w:t>
      </w:r>
      <w:r>
        <w:t xml:space="preserve"> </w:t>
      </w:r>
      <w:r w:rsidRPr="000364C1">
        <w:t xml:space="preserve">Error as a proportion of total load and actual error volumes </w:t>
      </w:r>
    </w:p>
    <w:p w:rsidR="00842867" w:rsidRPr="00CA03F9" w:rsidRDefault="00842867" w:rsidP="00842867">
      <w:r w:rsidRPr="005866DD">
        <w:rPr>
          <w:noProof/>
          <w:lang w:eastAsia="en-AU"/>
        </w:rPr>
        <w:drawing>
          <wp:inline distT="0" distB="0" distL="0" distR="0" wp14:anchorId="4348CC6D" wp14:editId="5AD7418B">
            <wp:extent cx="5727700" cy="180403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1804035"/>
                    </a:xfrm>
                    <a:prstGeom prst="rect">
                      <a:avLst/>
                    </a:prstGeom>
                    <a:noFill/>
                    <a:ln>
                      <a:noFill/>
                    </a:ln>
                  </pic:spPr>
                </pic:pic>
              </a:graphicData>
            </a:graphic>
          </wp:inline>
        </w:drawing>
      </w:r>
      <w:r w:rsidR="002C509B" w:rsidRPr="00CA03F9">
        <w:rPr>
          <w:rStyle w:val="SourceChar"/>
        </w:rPr>
        <w:t xml:space="preserve">Note:  error = actual </w:t>
      </w:r>
      <w:r w:rsidR="00CA03F9">
        <w:rPr>
          <w:rStyle w:val="SourceChar"/>
        </w:rPr>
        <w:t>–</w:t>
      </w:r>
      <w:r w:rsidR="002C509B" w:rsidRPr="00CA03F9">
        <w:rPr>
          <w:rStyle w:val="SourceChar"/>
        </w:rPr>
        <w:t xml:space="preserve"> forecast</w:t>
      </w:r>
      <w:r w:rsidR="00CA03F9">
        <w:rPr>
          <w:rStyle w:val="SourceChar"/>
        </w:rPr>
        <w:t>.</w:t>
      </w:r>
    </w:p>
    <w:p w:rsidR="00842867" w:rsidRPr="00444180" w:rsidRDefault="00842867" w:rsidP="00842867">
      <w:pPr>
        <w:rPr>
          <w:rStyle w:val="Strong"/>
        </w:rPr>
      </w:pPr>
      <w:r w:rsidRPr="00444180">
        <w:rPr>
          <w:rStyle w:val="Strong"/>
        </w:rPr>
        <w:t xml:space="preserve">Conclusions </w:t>
      </w:r>
    </w:p>
    <w:p w:rsidR="00444180" w:rsidRDefault="00444180" w:rsidP="00444180">
      <w:pPr>
        <w:jc w:val="both"/>
      </w:pPr>
      <w:r>
        <w:t xml:space="preserve">Improvements in demand forecasting by individual participants has led to an overall improvement at the </w:t>
      </w:r>
      <w:r w:rsidR="0091348D">
        <w:t xml:space="preserve">Sydney </w:t>
      </w:r>
      <w:r>
        <w:t xml:space="preserve">hub. This brings this special compliance project to an end. We will continue to report on forecast accuracy in STTM </w:t>
      </w:r>
      <w:r w:rsidR="00EA3723">
        <w:t xml:space="preserve">hubs </w:t>
      </w:r>
      <w:r>
        <w:t xml:space="preserve">in our weekly monitoring reports and from time to time in QCRs. </w:t>
      </w:r>
    </w:p>
    <w:p w:rsidR="00444180" w:rsidRDefault="00444180" w:rsidP="00444180">
      <w:pPr>
        <w:jc w:val="both"/>
      </w:pPr>
      <w:r>
        <w:t>Over the coming year</w:t>
      </w:r>
      <w:r w:rsidR="00C4236C">
        <w:t xml:space="preserve"> our focus will shift to</w:t>
      </w:r>
      <w:r>
        <w:t xml:space="preserve"> demand forecasting accuracy in the Victorian Gas Market</w:t>
      </w:r>
      <w:r w:rsidR="00C4236C">
        <w:t xml:space="preserve"> to ensure participants are complying with the requirements of the Rules</w:t>
      </w:r>
      <w:r>
        <w:t xml:space="preserve">. </w:t>
      </w:r>
    </w:p>
    <w:p w:rsidR="00842867" w:rsidRPr="00DE21ED" w:rsidRDefault="00842867" w:rsidP="00AE569F">
      <w:pPr>
        <w:pStyle w:val="Heading3"/>
        <w:keepNext/>
        <w:ind w:left="1021" w:hanging="1021"/>
      </w:pPr>
      <w:bookmarkStart w:id="12" w:name="_Toc385507274"/>
      <w:bookmarkStart w:id="13" w:name="_Toc412808727"/>
      <w:r w:rsidRPr="00DE21ED">
        <w:t>Jemena EGP— late capacity data</w:t>
      </w:r>
      <w:bookmarkEnd w:id="12"/>
      <w:bookmarkEnd w:id="13"/>
    </w:p>
    <w:p w:rsidR="00982C15" w:rsidRDefault="00982C15" w:rsidP="00982C15">
      <w:pPr>
        <w:jc w:val="both"/>
      </w:pPr>
      <w:r w:rsidRPr="00110EA5">
        <w:t>The provision of inaccurate Pipeline Allocation Daily (</w:t>
      </w:r>
      <w:r w:rsidRPr="001D0C57">
        <w:rPr>
          <w:b/>
        </w:rPr>
        <w:t>PAD</w:t>
      </w:r>
      <w:r w:rsidRPr="00110EA5">
        <w:t>) and MOS Stack Daily (</w:t>
      </w:r>
      <w:r w:rsidRPr="001D0C57">
        <w:rPr>
          <w:b/>
        </w:rPr>
        <w:t>MSD</w:t>
      </w:r>
      <w:r w:rsidRPr="00110EA5">
        <w:t>) data can cause default allocations to apply. Ex-post price outcomes can be affected when actual allocations depart from default allocations, potentially distorting price signals and affecting market participants.</w:t>
      </w:r>
    </w:p>
    <w:p w:rsidR="0091348D" w:rsidRDefault="00982C15" w:rsidP="00982C15">
      <w:pPr>
        <w:jc w:val="both"/>
      </w:pPr>
      <w:r>
        <w:lastRenderedPageBreak/>
        <w:t>O</w:t>
      </w:r>
      <w:r w:rsidRPr="00846AF3">
        <w:t>n 15</w:t>
      </w:r>
      <w:r>
        <w:t> </w:t>
      </w:r>
      <w:r w:rsidRPr="00846AF3">
        <w:t>October</w:t>
      </w:r>
      <w:r>
        <w:t> </w:t>
      </w:r>
      <w:r w:rsidRPr="00846AF3">
        <w:t>2014</w:t>
      </w:r>
      <w:r>
        <w:t xml:space="preserve">, </w:t>
      </w:r>
      <w:r w:rsidRPr="00846AF3">
        <w:t>Jemena</w:t>
      </w:r>
      <w:r>
        <w:t xml:space="preserve"> resubmitted </w:t>
      </w:r>
      <w:r w:rsidRPr="00846AF3">
        <w:t>PAD and MSD files to AEMO for the E</w:t>
      </w:r>
      <w:r w:rsidR="0091348D">
        <w:t xml:space="preserve">astern </w:t>
      </w:r>
      <w:r w:rsidRPr="00846AF3">
        <w:t>G</w:t>
      </w:r>
      <w:r w:rsidR="0091348D">
        <w:t xml:space="preserve">as </w:t>
      </w:r>
      <w:r w:rsidRPr="00846AF3">
        <w:t>P</w:t>
      </w:r>
      <w:r w:rsidR="0091348D">
        <w:t>ipeline</w:t>
      </w:r>
      <w:r w:rsidR="00F351B9">
        <w:t xml:space="preserve"> (</w:t>
      </w:r>
      <w:r w:rsidR="00F351B9" w:rsidRPr="001D0C57">
        <w:rPr>
          <w:b/>
        </w:rPr>
        <w:t>EGP</w:t>
      </w:r>
      <w:r w:rsidR="00F351B9">
        <w:t>)</w:t>
      </w:r>
      <w:r w:rsidRPr="00846AF3">
        <w:t xml:space="preserve">, </w:t>
      </w:r>
      <w:r>
        <w:t>after discovering</w:t>
      </w:r>
      <w:r w:rsidR="0091348D">
        <w:t xml:space="preserve"> a</w:t>
      </w:r>
      <w:r>
        <w:t xml:space="preserve"> data error</w:t>
      </w:r>
      <w:r w:rsidR="0091348D">
        <w:t>. It did so close to the cut off time of 11</w:t>
      </w:r>
      <w:r w:rsidR="00A23228">
        <w:t> </w:t>
      </w:r>
      <w:r w:rsidR="0091348D">
        <w:t>am</w:t>
      </w:r>
      <w:r w:rsidR="000B150D">
        <w:rPr>
          <w:rStyle w:val="FootnoteReference"/>
        </w:rPr>
        <w:footnoteReference w:id="8"/>
      </w:r>
      <w:r>
        <w:t xml:space="preserve">. AEMO’s systems </w:t>
      </w:r>
      <w:r w:rsidR="000F286B">
        <w:t xml:space="preserve">approved the PAD file at 10:59:06 but </w:t>
      </w:r>
      <w:r>
        <w:t>rejected the MSD file</w:t>
      </w:r>
      <w:r w:rsidR="0091348D">
        <w:t xml:space="preserve"> </w:t>
      </w:r>
      <w:r w:rsidR="000F286B">
        <w:t xml:space="preserve">at 11:00:30. This meant that </w:t>
      </w:r>
      <w:r w:rsidR="00A23228">
        <w:t xml:space="preserve">Jemena did not have allocation data </w:t>
      </w:r>
      <w:r w:rsidR="000F286B">
        <w:t xml:space="preserve">in AEMO’s systems </w:t>
      </w:r>
      <w:r w:rsidR="00A23228">
        <w:t>by</w:t>
      </w:r>
      <w:r w:rsidR="000F286B">
        <w:t xml:space="preserve"> cut-off time.</w:t>
      </w:r>
    </w:p>
    <w:p w:rsidR="0091348D" w:rsidRDefault="00982C15" w:rsidP="00982C15">
      <w:pPr>
        <w:jc w:val="both"/>
      </w:pPr>
      <w:r>
        <w:t>Jemena has since changed its internal processes</w:t>
      </w:r>
      <w:r w:rsidR="000F286B">
        <w:t xml:space="preserve"> to create a larger buffer before cut-off times when submitting data.</w:t>
      </w:r>
      <w:r w:rsidR="001B6913">
        <w:t xml:space="preserve"> </w:t>
      </w:r>
      <w:r w:rsidR="000B150D">
        <w:t>A</w:t>
      </w:r>
      <w:r>
        <w:t xml:space="preserve">ll participants </w:t>
      </w:r>
      <w:r w:rsidR="000B150D">
        <w:t xml:space="preserve">should be aware of these requirements and </w:t>
      </w:r>
      <w:r w:rsidR="000F286B">
        <w:t>allow sufficient time for data to be delivered electronically.</w:t>
      </w:r>
    </w:p>
    <w:p w:rsidR="00842867" w:rsidRPr="00910ACE" w:rsidRDefault="00842867" w:rsidP="00AE569F">
      <w:pPr>
        <w:pStyle w:val="Heading3"/>
        <w:keepNext/>
        <w:ind w:left="1021" w:hanging="1021"/>
      </w:pPr>
      <w:bookmarkStart w:id="14" w:name="_Toc412808728"/>
      <w:r w:rsidRPr="00910ACE">
        <w:t>Significant price variation report</w:t>
      </w:r>
      <w:bookmarkEnd w:id="14"/>
    </w:p>
    <w:p w:rsidR="00DE21ED" w:rsidRDefault="00DE21ED" w:rsidP="00DE21ED">
      <w:pPr>
        <w:jc w:val="both"/>
      </w:pPr>
      <w:r>
        <w:t>A number of significant price variation thresholds were triggered on the 17 October gas day in Brisbane. In accordance with the requirements under rule 498(1)(b) of the Gas Rules and our Significant Price Variation (</w:t>
      </w:r>
      <w:r w:rsidRPr="001B6913">
        <w:rPr>
          <w:b/>
        </w:rPr>
        <w:t>SPV</w:t>
      </w:r>
      <w:r>
        <w:t xml:space="preserve">) guidelines, we published </w:t>
      </w:r>
      <w:r w:rsidR="000B150D">
        <w:t xml:space="preserve">a </w:t>
      </w:r>
      <w:r>
        <w:t>report</w:t>
      </w:r>
      <w:r>
        <w:rPr>
          <w:szCs w:val="24"/>
        </w:rPr>
        <w:t xml:space="preserve"> </w:t>
      </w:r>
      <w:r>
        <w:t>into the events.</w:t>
      </w:r>
      <w:r>
        <w:rPr>
          <w:rStyle w:val="FootnoteReference"/>
        </w:rPr>
        <w:footnoteReference w:id="9"/>
      </w:r>
    </w:p>
    <w:p w:rsidR="00DE21ED" w:rsidRDefault="00DE21ED" w:rsidP="00DE21ED">
      <w:pPr>
        <w:jc w:val="both"/>
      </w:pPr>
      <w:r>
        <w:t xml:space="preserve">Our report concluded the significant price variations occurred in response to a high provisional market price (driven by capacity constraints invoked for the planned maintenance of the Dalby compressor station), and a steep supply curve. </w:t>
      </w:r>
    </w:p>
    <w:p w:rsidR="00842867" w:rsidRDefault="00842867" w:rsidP="00AE569F">
      <w:pPr>
        <w:pStyle w:val="Heading2"/>
        <w:ind w:left="680" w:hanging="680"/>
      </w:pPr>
      <w:bookmarkStart w:id="15" w:name="_Toc412808729"/>
      <w:r w:rsidRPr="00910ACE">
        <w:t>Victorian Gas Market</w:t>
      </w:r>
      <w:bookmarkEnd w:id="15"/>
      <w:r w:rsidRPr="00910ACE">
        <w:t xml:space="preserve"> </w:t>
      </w:r>
    </w:p>
    <w:p w:rsidR="000F286B" w:rsidRPr="000E5561" w:rsidRDefault="000F286B" w:rsidP="000E5561">
      <w:pPr>
        <w:jc w:val="both"/>
        <w:rPr>
          <w:highlight w:val="yellow"/>
        </w:rPr>
      </w:pPr>
      <w:r>
        <w:t>Part 19</w:t>
      </w:r>
      <w:r w:rsidRPr="00B52AB5">
        <w:t xml:space="preserve"> of the Gas Rules sets out participants’ responsibilities for trading in the</w:t>
      </w:r>
      <w:r>
        <w:t xml:space="preserve"> Victorian gas market</w:t>
      </w:r>
      <w:r w:rsidRPr="00B52AB5">
        <w:t xml:space="preserve">. </w:t>
      </w:r>
    </w:p>
    <w:p w:rsidR="00842867" w:rsidRPr="00DE21ED" w:rsidRDefault="00842867" w:rsidP="00AE569F">
      <w:pPr>
        <w:pStyle w:val="Heading3"/>
        <w:keepNext/>
        <w:ind w:left="1021" w:hanging="1021"/>
      </w:pPr>
      <w:bookmarkStart w:id="16" w:name="_Toc412808730"/>
      <w:r w:rsidRPr="00DE21ED">
        <w:t>Origin bidding error</w:t>
      </w:r>
      <w:bookmarkEnd w:id="16"/>
    </w:p>
    <w:p w:rsidR="00DE21ED" w:rsidRDefault="00DE21ED" w:rsidP="00DE21ED">
      <w:pPr>
        <w:jc w:val="both"/>
      </w:pPr>
      <w:r>
        <w:t>In the September quarter,</w:t>
      </w:r>
      <w:r>
        <w:rPr>
          <w:rStyle w:val="FootnoteReference"/>
        </w:rPr>
        <w:footnoteReference w:id="10"/>
      </w:r>
      <w:r>
        <w:t xml:space="preserve"> we reported on Origin Energy’s (</w:t>
      </w:r>
      <w:r w:rsidRPr="001B6913">
        <w:rPr>
          <w:b/>
        </w:rPr>
        <w:t>Origin</w:t>
      </w:r>
      <w:r>
        <w:t xml:space="preserve">) operator bidding error in the Victorian Gas Market on 19 September. Origin </w:t>
      </w:r>
      <w:r w:rsidR="00992D66">
        <w:t xml:space="preserve">self-reported the issue and </w:t>
      </w:r>
      <w:r>
        <w:t xml:space="preserve">has since undertaken a significant review of its bidding practices in the Victorian Gas Market, including its systems, processes and </w:t>
      </w:r>
      <w:r w:rsidR="00992D66">
        <w:t xml:space="preserve">the procedure </w:t>
      </w:r>
      <w:r>
        <w:t>for authorising traders in the Victorian Gas Market</w:t>
      </w:r>
      <w:r w:rsidR="00992D66">
        <w:t xml:space="preserve"> to minimise the potential for the error to reoccur</w:t>
      </w:r>
      <w:r>
        <w:t xml:space="preserve">. </w:t>
      </w:r>
    </w:p>
    <w:p w:rsidR="00842867" w:rsidRPr="00563362" w:rsidRDefault="00842867" w:rsidP="00AE569F">
      <w:pPr>
        <w:pStyle w:val="Heading3"/>
        <w:keepNext/>
        <w:ind w:left="1021" w:hanging="1021"/>
      </w:pPr>
      <w:bookmarkStart w:id="17" w:name="_Toc412808731"/>
      <w:r w:rsidRPr="00DE21ED">
        <w:t>AEMO pricing schedule non compliance</w:t>
      </w:r>
      <w:bookmarkEnd w:id="17"/>
    </w:p>
    <w:p w:rsidR="00910ACE" w:rsidRPr="00910ACE" w:rsidRDefault="00910ACE" w:rsidP="00910ACE">
      <w:pPr>
        <w:jc w:val="both"/>
      </w:pPr>
      <w:r w:rsidRPr="00910ACE">
        <w:t xml:space="preserve">In the September quarter QCR, we reported that AEMO had advised of a failure to publish the Victorian gas market pricing schedule in accordance with rule 221(4) of the </w:t>
      </w:r>
      <w:r>
        <w:t>G</w:t>
      </w:r>
      <w:r w:rsidRPr="00910ACE">
        <w:t xml:space="preserve">as </w:t>
      </w:r>
      <w:r>
        <w:t>R</w:t>
      </w:r>
      <w:r w:rsidRPr="00910ACE">
        <w:t>ules. The problem arose when AEMO incorrectly applied the constraints of the declared transmission system to the pricing schedule. AEMO did not discover the problem during its annual market audit process</w:t>
      </w:r>
      <w:r w:rsidR="00992D66">
        <w:t>,</w:t>
      </w:r>
      <w:r w:rsidRPr="00910ACE">
        <w:t xml:space="preserve"> </w:t>
      </w:r>
      <w:r w:rsidR="00992D66">
        <w:t>required by</w:t>
      </w:r>
      <w:r w:rsidR="00992D66" w:rsidRPr="00910ACE">
        <w:t xml:space="preserve"> </w:t>
      </w:r>
      <w:r w:rsidRPr="00910ACE">
        <w:t xml:space="preserve">rule 322 of the Gas Rules. </w:t>
      </w:r>
      <w:r>
        <w:t xml:space="preserve">In response to our </w:t>
      </w:r>
      <w:r w:rsidR="00992D66">
        <w:t>inquiries</w:t>
      </w:r>
      <w:r>
        <w:t xml:space="preserve">, AEMO has taken a number of </w:t>
      </w:r>
      <w:r w:rsidR="00AE4593">
        <w:t xml:space="preserve">remedial </w:t>
      </w:r>
      <w:r>
        <w:t>steps.</w:t>
      </w:r>
    </w:p>
    <w:p w:rsidR="00910ACE" w:rsidRPr="00910ACE" w:rsidRDefault="00910ACE" w:rsidP="00910ACE">
      <w:pPr>
        <w:jc w:val="both"/>
      </w:pPr>
      <w:r w:rsidRPr="00910ACE">
        <w:t>AEMO provided a forward plan to industry about this at the Gas Wholesale Consultative Forum (</w:t>
      </w:r>
      <w:r w:rsidRPr="00910ACE">
        <w:rPr>
          <w:rStyle w:val="Bold"/>
        </w:rPr>
        <w:t>GWCF</w:t>
      </w:r>
      <w:r w:rsidRPr="00910ACE">
        <w:t>) in December</w:t>
      </w:r>
      <w:r w:rsidR="00EC4393">
        <w:t xml:space="preserve">. At the February 2015 GWCF </w:t>
      </w:r>
      <w:r w:rsidRPr="00910ACE">
        <w:t xml:space="preserve">AEMO </w:t>
      </w:r>
      <w:r w:rsidR="000E5561" w:rsidRPr="00910ACE">
        <w:t xml:space="preserve">sought participants’ feedback </w:t>
      </w:r>
      <w:r w:rsidR="000E5561">
        <w:t>on</w:t>
      </w:r>
      <w:r w:rsidR="000E5561" w:rsidRPr="00910ACE">
        <w:t xml:space="preserve"> </w:t>
      </w:r>
      <w:r w:rsidRPr="00910ACE">
        <w:t>draft amend</w:t>
      </w:r>
      <w:r w:rsidR="00992D66">
        <w:t xml:space="preserve">ments to its </w:t>
      </w:r>
      <w:r w:rsidRPr="00910ACE">
        <w:t xml:space="preserve">Gas Scheduling Procedures </w:t>
      </w:r>
      <w:r w:rsidR="00F351B9">
        <w:t>(</w:t>
      </w:r>
      <w:r w:rsidR="00F351B9" w:rsidRPr="001D0C57">
        <w:rPr>
          <w:b/>
        </w:rPr>
        <w:t>GSP</w:t>
      </w:r>
      <w:r w:rsidR="00F351B9">
        <w:t xml:space="preserve">) </w:t>
      </w:r>
      <w:r w:rsidRPr="00910ACE">
        <w:t xml:space="preserve">to </w:t>
      </w:r>
      <w:r w:rsidR="000E5561">
        <w:t>address</w:t>
      </w:r>
      <w:r w:rsidR="000E5561" w:rsidRPr="00910ACE">
        <w:t xml:space="preserve"> </w:t>
      </w:r>
      <w:r w:rsidRPr="00910ACE">
        <w:t>pricing schedule non-compliance</w:t>
      </w:r>
      <w:r w:rsidR="000E5561">
        <w:t>.</w:t>
      </w:r>
    </w:p>
    <w:p w:rsidR="00910ACE" w:rsidRPr="004178CB" w:rsidRDefault="00910ACE" w:rsidP="00910ACE">
      <w:pPr>
        <w:jc w:val="both"/>
        <w:rPr>
          <w:rStyle w:val="Bold"/>
          <w:b w:val="0"/>
        </w:rPr>
      </w:pPr>
      <w:r w:rsidRPr="00910ACE">
        <w:lastRenderedPageBreak/>
        <w:t xml:space="preserve">AEMO will </w:t>
      </w:r>
      <w:r>
        <w:t xml:space="preserve">also </w:t>
      </w:r>
      <w:r w:rsidRPr="00910ACE">
        <w:t xml:space="preserve">seek recommendations from its auditors on its review and change-control processes and manuals to ensure the operating practices remain consistent with the </w:t>
      </w:r>
      <w:r>
        <w:t>Gas Rules</w:t>
      </w:r>
      <w:r w:rsidRPr="00910ACE">
        <w:t>. Recommendations following this process are expected in April</w:t>
      </w:r>
      <w:r w:rsidR="00992D66">
        <w:t xml:space="preserve"> 2015</w:t>
      </w:r>
      <w:r w:rsidRPr="00910ACE">
        <w:t>. AEMO has also implemented an additional stage of change review for operational documents</w:t>
      </w:r>
      <w:r>
        <w:t xml:space="preserve"> which</w:t>
      </w:r>
      <w:r w:rsidRPr="00910ACE">
        <w:t xml:space="preserve"> focuses on the market impacts of proposed changes, and their alignment with current market design. </w:t>
      </w:r>
    </w:p>
    <w:p w:rsidR="00842867" w:rsidRPr="00997C78" w:rsidRDefault="00842867" w:rsidP="00AE569F">
      <w:pPr>
        <w:pStyle w:val="Heading2"/>
        <w:ind w:left="680" w:hanging="680"/>
      </w:pPr>
      <w:bookmarkStart w:id="18" w:name="_Toc403477269"/>
      <w:bookmarkStart w:id="19" w:name="_Toc412808732"/>
      <w:r w:rsidRPr="00997C78">
        <w:t>Natural Gas Services Bulletin Board</w:t>
      </w:r>
      <w:bookmarkEnd w:id="18"/>
      <w:bookmarkEnd w:id="19"/>
    </w:p>
    <w:p w:rsidR="00842867" w:rsidRPr="00997C78" w:rsidRDefault="00842867" w:rsidP="002B7FDE">
      <w:pPr>
        <w:jc w:val="both"/>
      </w:pPr>
      <w:r w:rsidRPr="00997C78">
        <w:t xml:space="preserve">Part 18 of the Gas Rules sets out participants’ responsibilities regarding the </w:t>
      </w:r>
      <w:r w:rsidR="001D0C57">
        <w:t>B</w:t>
      </w:r>
      <w:r w:rsidR="00992D66">
        <w:t xml:space="preserve">ulletin </w:t>
      </w:r>
      <w:r w:rsidRPr="00997C78">
        <w:t>B</w:t>
      </w:r>
      <w:r w:rsidR="00992D66">
        <w:t>oard</w:t>
      </w:r>
      <w:r w:rsidRPr="00997C78">
        <w:t>. These obligations aim to facilitate greater transparency in gas production and gas pipeline flows to assist gas trading. The obligations also require participants to identify and report any potential conditions where curtailment of gas use might be necessary.</w:t>
      </w:r>
      <w:r w:rsidR="002625AD" w:rsidRPr="002625AD">
        <w:t xml:space="preserve"> </w:t>
      </w:r>
    </w:p>
    <w:p w:rsidR="00842867" w:rsidRPr="00667387" w:rsidRDefault="00842867" w:rsidP="00AE569F">
      <w:pPr>
        <w:pStyle w:val="Heading3"/>
        <w:keepNext/>
        <w:ind w:left="1021" w:hanging="1021"/>
      </w:pPr>
      <w:bookmarkStart w:id="20" w:name="_Toc412808733"/>
      <w:r w:rsidRPr="00943683">
        <w:t>Targeted compliance review - capacity outlook data</w:t>
      </w:r>
      <w:bookmarkEnd w:id="20"/>
    </w:p>
    <w:p w:rsidR="00943683" w:rsidRDefault="00943683" w:rsidP="00943683">
      <w:pPr>
        <w:jc w:val="both"/>
      </w:pPr>
      <w:r>
        <w:t xml:space="preserve">Targeted compliance reviews form an important part of our monitoring program. The reviews explore participants’ compliance practices and aim to improve stakeholder understanding of obligations. The AER will generally choose the obligation on the basis of its risk assessment of the Gas Rules, whereby obligations are identified as having a medium to high risk and impact will be selected for review. We also take into account previous industry performance with respect to the obligation. </w:t>
      </w:r>
    </w:p>
    <w:p w:rsidR="00943683" w:rsidRDefault="00943683" w:rsidP="00943683">
      <w:pPr>
        <w:jc w:val="both"/>
      </w:pPr>
      <w:r>
        <w:t xml:space="preserve">This quarter we targeted the following obligations on facility operators: </w:t>
      </w:r>
    </w:p>
    <w:p w:rsidR="00943683" w:rsidRDefault="00943683" w:rsidP="00521B35">
      <w:pPr>
        <w:pStyle w:val="Bulletpoint"/>
        <w:numPr>
          <w:ilvl w:val="0"/>
          <w:numId w:val="29"/>
        </w:numPr>
        <w:tabs>
          <w:tab w:val="clear" w:pos="340"/>
        </w:tabs>
        <w:ind w:left="357" w:hanging="357"/>
        <w:jc w:val="both"/>
      </w:pPr>
      <w:r>
        <w:t>Rule 165, which requires a production facility operator to provide to AEMO, in respect of each gas day for B</w:t>
      </w:r>
      <w:r w:rsidR="00C10904">
        <w:t xml:space="preserve">ulletin </w:t>
      </w:r>
      <w:r>
        <w:t>B</w:t>
      </w:r>
      <w:r w:rsidR="00C10904">
        <w:t>oard</w:t>
      </w:r>
      <w:r>
        <w:t xml:space="preserve"> production facility that it operates, the daily production capacity outlook for that B</w:t>
      </w:r>
      <w:r w:rsidR="00C10904">
        <w:t xml:space="preserve">ulletin </w:t>
      </w:r>
      <w:r>
        <w:t>B</w:t>
      </w:r>
      <w:r w:rsidR="00C10904">
        <w:t>oard</w:t>
      </w:r>
      <w:r>
        <w:t xml:space="preserve"> production facility for </w:t>
      </w:r>
      <w:r w:rsidR="00EC4393">
        <w:t>a seven day period into the future</w:t>
      </w:r>
      <w:r w:rsidR="003B3E73">
        <w:t>.</w:t>
      </w:r>
      <w:r w:rsidR="00EC4393">
        <w:rPr>
          <w:rStyle w:val="FootnoteReference"/>
        </w:rPr>
        <w:footnoteReference w:id="11"/>
      </w:r>
      <w:r>
        <w:t xml:space="preserve"> </w:t>
      </w:r>
    </w:p>
    <w:p w:rsidR="00943683" w:rsidRDefault="00943683" w:rsidP="00521B35">
      <w:pPr>
        <w:pStyle w:val="Bulletpoint"/>
        <w:numPr>
          <w:ilvl w:val="0"/>
          <w:numId w:val="29"/>
        </w:numPr>
        <w:tabs>
          <w:tab w:val="clear" w:pos="340"/>
        </w:tabs>
        <w:ind w:left="357" w:hanging="357"/>
        <w:jc w:val="both"/>
      </w:pPr>
      <w:r>
        <w:t>Clause 5.4 of the B</w:t>
      </w:r>
      <w:r w:rsidR="00C10904">
        <w:t xml:space="preserve">ulletin </w:t>
      </w:r>
      <w:r w:rsidR="00157A89">
        <w:t xml:space="preserve">Board </w:t>
      </w:r>
      <w:r>
        <w:t xml:space="preserve">Procedures, which sets out the information and timing requirements which must be met in order to comply with clauses 165 and 171. </w:t>
      </w:r>
    </w:p>
    <w:p w:rsidR="00943683" w:rsidRDefault="00943683" w:rsidP="00943683">
      <w:pPr>
        <w:jc w:val="both"/>
      </w:pPr>
      <w:r>
        <w:t>We wrote to Queensland Gas Company (</w:t>
      </w:r>
      <w:r w:rsidRPr="00D87659">
        <w:rPr>
          <w:b/>
        </w:rPr>
        <w:t>QGC</w:t>
      </w:r>
      <w:r>
        <w:t>) to understand how they comply with</w:t>
      </w:r>
      <w:r w:rsidR="00EC4393">
        <w:t xml:space="preserve"> rule </w:t>
      </w:r>
      <w:r>
        <w:t xml:space="preserve">165. We targeted QGC because actual flows exceeded their capacity outlooks for Bellevue and Berwyndale South Production facilities on several occasions in November 2014. In particular, we sought details of the systems and procedures they have in place to comply with Bulletin Board information requirements, including quality assurance processes to ensure an accurate three day capacity outlook. </w:t>
      </w:r>
    </w:p>
    <w:p w:rsidR="00943683" w:rsidRDefault="00943683" w:rsidP="00943683">
      <w:pPr>
        <w:jc w:val="both"/>
      </w:pPr>
      <w:r>
        <w:t xml:space="preserve">QGC explained that its actual real time flows have become more variable for Bellevue and Berwyndale South Production facilities in the lead-up to the commissioning of the Curtis Island QGLNG plant. QGC noted that it has taken </w:t>
      </w:r>
      <w:r w:rsidR="003D6762">
        <w:t xml:space="preserve">further </w:t>
      </w:r>
      <w:r>
        <w:t>measures to ensure compliance with B</w:t>
      </w:r>
      <w:r w:rsidR="00C10904">
        <w:t xml:space="preserve">ulletin </w:t>
      </w:r>
      <w:r>
        <w:t>B</w:t>
      </w:r>
      <w:r w:rsidR="00C10904">
        <w:t>oard</w:t>
      </w:r>
      <w:r>
        <w:t xml:space="preserve"> obligations, including:</w:t>
      </w:r>
    </w:p>
    <w:p w:rsidR="00943683" w:rsidRDefault="00943683" w:rsidP="00521B35">
      <w:pPr>
        <w:pStyle w:val="Bulletpoint"/>
        <w:numPr>
          <w:ilvl w:val="0"/>
          <w:numId w:val="29"/>
        </w:numPr>
        <w:tabs>
          <w:tab w:val="clear" w:pos="340"/>
        </w:tabs>
        <w:ind w:left="357" w:hanging="357"/>
        <w:jc w:val="both"/>
      </w:pPr>
      <w:r>
        <w:t>reviewing its B</w:t>
      </w:r>
      <w:r w:rsidR="00C10904">
        <w:t xml:space="preserve">ulletin </w:t>
      </w:r>
      <w:r>
        <w:t>B</w:t>
      </w:r>
      <w:r w:rsidR="00C10904">
        <w:t>oard</w:t>
      </w:r>
      <w:r>
        <w:t xml:space="preserve"> data between October 2014 and January 2015 for compliance.</w:t>
      </w:r>
    </w:p>
    <w:p w:rsidR="00943683" w:rsidRDefault="00943683" w:rsidP="00521B35">
      <w:pPr>
        <w:pStyle w:val="Bulletpoint"/>
        <w:numPr>
          <w:ilvl w:val="0"/>
          <w:numId w:val="29"/>
        </w:numPr>
        <w:tabs>
          <w:tab w:val="clear" w:pos="340"/>
        </w:tabs>
        <w:ind w:left="357" w:hanging="357"/>
        <w:jc w:val="both"/>
      </w:pPr>
      <w:r>
        <w:t xml:space="preserve">reviewing its internal procedures and systems to ensure it is consistent with the new seven day outlook requirement. </w:t>
      </w:r>
    </w:p>
    <w:p w:rsidR="00943683" w:rsidRDefault="00943683" w:rsidP="00521B35">
      <w:pPr>
        <w:pStyle w:val="Bulletpoint"/>
        <w:numPr>
          <w:ilvl w:val="0"/>
          <w:numId w:val="29"/>
        </w:numPr>
        <w:tabs>
          <w:tab w:val="clear" w:pos="340"/>
        </w:tabs>
        <w:ind w:left="357" w:hanging="357"/>
        <w:jc w:val="both"/>
      </w:pPr>
      <w:r>
        <w:lastRenderedPageBreak/>
        <w:t>updating its B</w:t>
      </w:r>
      <w:r w:rsidR="00C10904">
        <w:t xml:space="preserve">ulletin </w:t>
      </w:r>
      <w:r>
        <w:t>B</w:t>
      </w:r>
      <w:r w:rsidR="00C10904">
        <w:t>oard</w:t>
      </w:r>
      <w:r>
        <w:t xml:space="preserve"> quality assurance process, to include electronic notifications confirming successful transmission of data to AEMO, and a weekly compliance check by the Regulatory Manager. </w:t>
      </w:r>
    </w:p>
    <w:p w:rsidR="00842435" w:rsidRDefault="00943683" w:rsidP="00521B35">
      <w:pPr>
        <w:pStyle w:val="Bulletpoint"/>
        <w:numPr>
          <w:ilvl w:val="0"/>
          <w:numId w:val="29"/>
        </w:numPr>
        <w:tabs>
          <w:tab w:val="clear" w:pos="340"/>
        </w:tabs>
        <w:ind w:left="357" w:hanging="357"/>
        <w:jc w:val="both"/>
      </w:pPr>
      <w:r>
        <w:t xml:space="preserve">reporting material flow deviations and the VO Supply and Optimisation to the Production Report Manager. </w:t>
      </w:r>
    </w:p>
    <w:p w:rsidR="00842435" w:rsidRDefault="00842435" w:rsidP="00842435">
      <w:pPr>
        <w:jc w:val="both"/>
      </w:pPr>
      <w:r>
        <w:t xml:space="preserve">In </w:t>
      </w:r>
      <w:r w:rsidR="000E2D61">
        <w:t>reviewing</w:t>
      </w:r>
      <w:r>
        <w:t xml:space="preserve"> QGC</w:t>
      </w:r>
      <w:r w:rsidR="008E3D10">
        <w:t>’</w:t>
      </w:r>
      <w:r>
        <w:t xml:space="preserve">s response we identified </w:t>
      </w:r>
      <w:r w:rsidR="0047520D">
        <w:t>the</w:t>
      </w:r>
      <w:r>
        <w:t xml:space="preserve"> need to clarify what CSG operators should report as their capacity outlook. </w:t>
      </w:r>
      <w:r w:rsidR="0047520D">
        <w:t xml:space="preserve">The </w:t>
      </w:r>
      <w:r>
        <w:t xml:space="preserve">CSG production process </w:t>
      </w:r>
      <w:r w:rsidR="0047520D">
        <w:t>involves</w:t>
      </w:r>
      <w:r w:rsidR="001429FF">
        <w:t xml:space="preserve"> </w:t>
      </w:r>
      <w:r>
        <w:t xml:space="preserve">gas </w:t>
      </w:r>
      <w:r w:rsidR="0047520D">
        <w:t xml:space="preserve">from hundreds of </w:t>
      </w:r>
      <w:r>
        <w:t xml:space="preserve">wells </w:t>
      </w:r>
      <w:r w:rsidR="0047520D">
        <w:t xml:space="preserve">being </w:t>
      </w:r>
      <w:r>
        <w:t xml:space="preserve">fed into field compressor stations, </w:t>
      </w:r>
      <w:r w:rsidR="0047520D">
        <w:t xml:space="preserve">which is </w:t>
      </w:r>
      <w:r>
        <w:t>then processed in a central processing plant. QGC's current approach is to reflect the capability of field compressor stations and central processing plants as opposed to likely well performance in its capacity outlook.</w:t>
      </w:r>
    </w:p>
    <w:p w:rsidR="00842435" w:rsidRDefault="001429FF" w:rsidP="00842435">
      <w:pPr>
        <w:jc w:val="both"/>
      </w:pPr>
      <w:r>
        <w:t>T</w:t>
      </w:r>
      <w:r w:rsidR="00842435">
        <w:t>he B</w:t>
      </w:r>
      <w:r w:rsidR="004178CB">
        <w:t xml:space="preserve">ulletin </w:t>
      </w:r>
      <w:r w:rsidR="00842435">
        <w:t>B</w:t>
      </w:r>
      <w:r w:rsidR="004178CB">
        <w:t>oard</w:t>
      </w:r>
      <w:r w:rsidR="00842435">
        <w:t xml:space="preserve"> procedures</w:t>
      </w:r>
      <w:r w:rsidR="00842435" w:rsidRPr="00B6778F">
        <w:t xml:space="preserve"> </w:t>
      </w:r>
      <w:r w:rsidR="00842435">
        <w:t xml:space="preserve">require </w:t>
      </w:r>
      <w:r w:rsidRPr="00B6778F">
        <w:t>B</w:t>
      </w:r>
      <w:r w:rsidR="004178CB">
        <w:t xml:space="preserve">ulletin </w:t>
      </w:r>
      <w:r w:rsidRPr="00B6778F">
        <w:t>B</w:t>
      </w:r>
      <w:r w:rsidR="004178CB">
        <w:t>oard</w:t>
      </w:r>
      <w:r w:rsidRPr="00B6778F">
        <w:t xml:space="preserve"> production facilit</w:t>
      </w:r>
      <w:r>
        <w:t>y</w:t>
      </w:r>
      <w:r w:rsidRPr="00B6778F">
        <w:t xml:space="preserve"> </w:t>
      </w:r>
      <w:r w:rsidR="00842435">
        <w:t>o</w:t>
      </w:r>
      <w:r w:rsidR="00842435" w:rsidRPr="00B6778F">
        <w:t xml:space="preserve">perators </w:t>
      </w:r>
      <w:r>
        <w:t>to</w:t>
      </w:r>
      <w:r w:rsidRPr="00B6778F">
        <w:t xml:space="preserve"> </w:t>
      </w:r>
      <w:r w:rsidR="00842435" w:rsidRPr="00B6778F">
        <w:t>take account of short term trends in gas field performance</w:t>
      </w:r>
      <w:r>
        <w:t xml:space="preserve"> (which are</w:t>
      </w:r>
      <w:r w:rsidR="00842435" w:rsidRPr="00B6778F">
        <w:t xml:space="preserve"> constraining or will constrain overall production capability</w:t>
      </w:r>
      <w:r>
        <w:t>),</w:t>
      </w:r>
      <w:r w:rsidR="00842435" w:rsidRPr="00B6778F">
        <w:t xml:space="preserve"> </w:t>
      </w:r>
      <w:r>
        <w:t>in</w:t>
      </w:r>
      <w:r w:rsidRPr="00B6778F">
        <w:t xml:space="preserve"> </w:t>
      </w:r>
      <w:r w:rsidR="00842435" w:rsidRPr="00B6778F">
        <w:t>the</w:t>
      </w:r>
      <w:r>
        <w:t>ir</w:t>
      </w:r>
      <w:r w:rsidR="00842435" w:rsidRPr="00B6778F">
        <w:t xml:space="preserve"> 7-day outlook.</w:t>
      </w:r>
    </w:p>
    <w:p w:rsidR="00842435" w:rsidRDefault="004434E2" w:rsidP="00842435">
      <w:pPr>
        <w:jc w:val="both"/>
      </w:pPr>
      <w:r>
        <w:t>The</w:t>
      </w:r>
      <w:r w:rsidR="001429FF">
        <w:t xml:space="preserve"> </w:t>
      </w:r>
      <w:r w:rsidR="00842435">
        <w:t>B</w:t>
      </w:r>
      <w:r w:rsidR="004178CB">
        <w:t xml:space="preserve">ulletin </w:t>
      </w:r>
      <w:r w:rsidR="00842435">
        <w:t>B</w:t>
      </w:r>
      <w:r w:rsidR="004178CB">
        <w:t>oard</w:t>
      </w:r>
      <w:r w:rsidR="00842435">
        <w:t xml:space="preserve"> data </w:t>
      </w:r>
      <w:r w:rsidR="000E2D61">
        <w:t xml:space="preserve">suggests </w:t>
      </w:r>
      <w:r w:rsidR="00842435">
        <w:t xml:space="preserve">that CSG operators in Queensland </w:t>
      </w:r>
      <w:r>
        <w:t xml:space="preserve">are taking different approaches to reporting </w:t>
      </w:r>
      <w:r w:rsidR="00842435">
        <w:t xml:space="preserve">likely well performance </w:t>
      </w:r>
      <w:r>
        <w:t xml:space="preserve">and production capacity </w:t>
      </w:r>
      <w:r w:rsidR="00842435">
        <w:t xml:space="preserve">into account. </w:t>
      </w:r>
      <w:r w:rsidR="000E2D61">
        <w:t>W</w:t>
      </w:r>
      <w:r w:rsidR="00842435">
        <w:t xml:space="preserve">e </w:t>
      </w:r>
      <w:r>
        <w:t xml:space="preserve">are currently reviewing the arrangements </w:t>
      </w:r>
      <w:r w:rsidR="00842435">
        <w:t xml:space="preserve">to ensure that capacity data is reported </w:t>
      </w:r>
      <w:r w:rsidR="001429FF">
        <w:t xml:space="preserve">in </w:t>
      </w:r>
      <w:r w:rsidR="00842435">
        <w:t xml:space="preserve">a consistent </w:t>
      </w:r>
      <w:r w:rsidR="001429FF">
        <w:t xml:space="preserve">fashion by all participants </w:t>
      </w:r>
      <w:r w:rsidR="00842435">
        <w:t>and in accordance with the Gas Rules and Bulletin Board procedures.</w:t>
      </w:r>
    </w:p>
    <w:p w:rsidR="00842867" w:rsidRPr="00667387" w:rsidRDefault="00842867" w:rsidP="00AE569F">
      <w:pPr>
        <w:pStyle w:val="Heading3"/>
        <w:keepNext/>
        <w:ind w:left="1021" w:hanging="1021"/>
      </w:pPr>
      <w:bookmarkStart w:id="21" w:name="_Toc412808734"/>
      <w:r w:rsidRPr="00667387">
        <w:t>Redevelopment of Bulletin Board</w:t>
      </w:r>
      <w:bookmarkEnd w:id="21"/>
      <w:r w:rsidRPr="00667387">
        <w:t xml:space="preserve"> </w:t>
      </w:r>
    </w:p>
    <w:p w:rsidR="00563362" w:rsidRDefault="00563362" w:rsidP="00563362">
      <w:pPr>
        <w:jc w:val="both"/>
      </w:pPr>
      <w:r w:rsidRPr="00563362">
        <w:t>Last year AEMO made a commitment to the AER to improve the completeness of data available on its B</w:t>
      </w:r>
      <w:r w:rsidR="00C10904">
        <w:t xml:space="preserve">ulletin </w:t>
      </w:r>
      <w:r w:rsidRPr="00563362">
        <w:t>B</w:t>
      </w:r>
      <w:r w:rsidR="00C10904">
        <w:t>oard</w:t>
      </w:r>
      <w:r w:rsidRPr="00563362">
        <w:t xml:space="preserve"> website as part of its broader </w:t>
      </w:r>
      <w:r w:rsidR="004434E2">
        <w:t xml:space="preserve">Bulletin Board </w:t>
      </w:r>
      <w:r w:rsidRPr="00563362">
        <w:t>redevelopment</w:t>
      </w:r>
      <w:r w:rsidR="004434E2">
        <w:t xml:space="preserve"> plan.</w:t>
      </w:r>
      <w:r w:rsidRPr="00563362">
        <w:t xml:space="preserve"> (completed in December 2014). The website now shows data for recently registered Queensland LNG train production facilities including Condabri, Reedy Creek, Ruby Jo and Bellevue. Initially some participants experienced problems uploading data onto the redeveloped Bulletin Board, which resulted in data being submitting after the deadline. While we recognise there can be an increased likelihood of errors occurring when system changes are implemented, we encourage participants to take necessary steps to reduce the possibility of errors occurring under such circumstances. </w:t>
      </w:r>
    </w:p>
    <w:p w:rsidR="00842867" w:rsidRPr="00563362" w:rsidRDefault="00842867" w:rsidP="00AE569F">
      <w:pPr>
        <w:pStyle w:val="Heading3"/>
        <w:keepNext/>
        <w:ind w:left="1021" w:hanging="1021"/>
      </w:pPr>
      <w:bookmarkStart w:id="22" w:name="_Toc412808735"/>
      <w:r w:rsidRPr="00563362">
        <w:t>Monitoring of Bulletin Board in 2015</w:t>
      </w:r>
      <w:bookmarkEnd w:id="22"/>
    </w:p>
    <w:p w:rsidR="00563362" w:rsidRDefault="00563362" w:rsidP="00563362">
      <w:pPr>
        <w:jc w:val="both"/>
      </w:pPr>
      <w:r>
        <w:t>With the development of LNG trains in Queensland and the need for greater transparency regarding gas production and flows, ensuring participants are providing accurate, complete and timely information to the B</w:t>
      </w:r>
      <w:r w:rsidR="00C10904">
        <w:t xml:space="preserve">ulletin </w:t>
      </w:r>
      <w:r>
        <w:t>B</w:t>
      </w:r>
      <w:r w:rsidR="00C10904">
        <w:t>oard</w:t>
      </w:r>
      <w:r>
        <w:t xml:space="preserve"> will become a focus of our work program in 2015. </w:t>
      </w:r>
    </w:p>
    <w:p w:rsidR="00842867" w:rsidRPr="00E11178" w:rsidRDefault="00563362" w:rsidP="001D0C57">
      <w:pPr>
        <w:jc w:val="both"/>
      </w:pPr>
      <w:r>
        <w:t xml:space="preserve">We will continue to expand our work program as </w:t>
      </w:r>
      <w:r w:rsidR="00A64640">
        <w:t xml:space="preserve">needed </w:t>
      </w:r>
      <w:r>
        <w:t xml:space="preserve">to include any additional </w:t>
      </w:r>
      <w:r w:rsidR="001978F9">
        <w:t xml:space="preserve">obligations </w:t>
      </w:r>
      <w:r>
        <w:t>relating to the Bulletin Board, including changes to reporting requirements arising out of the Council of Australian Governments’ Energy Council and AEMO’s consultation on Bulletin Board zones.</w:t>
      </w:r>
    </w:p>
    <w:p w:rsidR="00842867" w:rsidRDefault="00842867" w:rsidP="00842867">
      <w:pPr>
        <w:pStyle w:val="Heading1"/>
      </w:pPr>
      <w:bookmarkStart w:id="23" w:name="_Toc412808736"/>
      <w:r>
        <w:lastRenderedPageBreak/>
        <w:t>Electricity</w:t>
      </w:r>
      <w:bookmarkEnd w:id="23"/>
      <w:r>
        <w:t xml:space="preserve"> </w:t>
      </w:r>
    </w:p>
    <w:p w:rsidR="00842867" w:rsidRPr="00405B4F" w:rsidRDefault="00842867" w:rsidP="002B7FDE">
      <w:pPr>
        <w:jc w:val="both"/>
      </w:pPr>
      <w:r>
        <w:t>We are</w:t>
      </w:r>
      <w:r w:rsidRPr="00405B4F">
        <w:t xml:space="preserve"> responsible for monitoring, investigating and enforcing compliance under the Electricity Law and Rules.</w:t>
      </w:r>
      <w:r>
        <w:t xml:space="preserve"> </w:t>
      </w:r>
      <w:r w:rsidRPr="00405B4F">
        <w:t>This part of the report provides an update on investigations</w:t>
      </w:r>
      <w:r>
        <w:t>,</w:t>
      </w:r>
      <w:r w:rsidRPr="00405B4F">
        <w:t xml:space="preserve"> compliance matters </w:t>
      </w:r>
      <w:r>
        <w:t xml:space="preserve">and projects </w:t>
      </w:r>
      <w:r w:rsidRPr="00405B4F">
        <w:t xml:space="preserve">in the </w:t>
      </w:r>
      <w:r>
        <w:t xml:space="preserve">electricity </w:t>
      </w:r>
      <w:r w:rsidRPr="00405B4F">
        <w:t>market.</w:t>
      </w:r>
      <w:r>
        <w:t xml:space="preserve"> </w:t>
      </w:r>
    </w:p>
    <w:p w:rsidR="003B3B83" w:rsidRDefault="003B3B83" w:rsidP="003B3B83">
      <w:pPr>
        <w:pStyle w:val="Heading2"/>
        <w:rPr>
          <w:rFonts w:eastAsia="Times New Roman"/>
        </w:rPr>
      </w:pPr>
      <w:bookmarkStart w:id="24" w:name="_Toc412808737"/>
      <w:bookmarkStart w:id="25" w:name="_Toc403477275"/>
      <w:r>
        <w:rPr>
          <w:rFonts w:eastAsia="Times New Roman"/>
        </w:rPr>
        <w:t>Outcome of Snowy Hydro action</w:t>
      </w:r>
      <w:bookmarkEnd w:id="24"/>
    </w:p>
    <w:p w:rsidR="003B3B83" w:rsidRDefault="003B3B83" w:rsidP="001D0C57">
      <w:pPr>
        <w:jc w:val="both"/>
        <w:rPr>
          <w:sz w:val="20"/>
          <w:szCs w:val="20"/>
        </w:rPr>
      </w:pPr>
      <w:r>
        <w:t xml:space="preserve">On 3 July 2014, the AER instituted proceedings against Snowy Hydro for alleged breaches </w:t>
      </w:r>
      <w:r w:rsidR="00673A41">
        <w:t xml:space="preserve">ok clause </w:t>
      </w:r>
      <w:r>
        <w:t>4.9.8(a) of the Electricity Rules. The AER alleged that Snowy Hydro failed to follow dispatch instructions issued by AEMO on nine occasions in 2012 and 2013. On 12 February 2015 the Federal Court of Australia declared by consent that Snowy Hydro had breached clause 4.9.8(a) on these occasions. On each occasion, Snowy Hydro generated more power than the dispatch instruction required.</w:t>
      </w:r>
    </w:p>
    <w:p w:rsidR="003B3B83" w:rsidRDefault="003B3B83" w:rsidP="001B6913">
      <w:pPr>
        <w:jc w:val="both"/>
      </w:pPr>
      <w:r>
        <w:t>The Court ordered that Snowy Hydro pay total penalties of $</w:t>
      </w:r>
      <w:r w:rsidR="00C51733">
        <w:t>400 </w:t>
      </w:r>
      <w:r>
        <w:t>000. These are the first court ordered penalties for a breach of the Electricity Rules.</w:t>
      </w:r>
    </w:p>
    <w:p w:rsidR="003B3B83" w:rsidRDefault="003B3B83" w:rsidP="001B6913">
      <w:pPr>
        <w:jc w:val="both"/>
      </w:pPr>
      <w:r>
        <w:t>In his judgment Justice Beach stated that “Compliance with dispatch instructions is necessary to ensure the power system remains secure. AEMO relies upon compliance with dispatch instructions to ensure it can effectively perform its functions as both power system operator and market operator for the NEM</w:t>
      </w:r>
      <w:r w:rsidR="00B9397A">
        <w:t>”.</w:t>
      </w:r>
    </w:p>
    <w:p w:rsidR="003B3B83" w:rsidRDefault="003B3B83" w:rsidP="001D0C57">
      <w:pPr>
        <w:jc w:val="both"/>
      </w:pPr>
      <w:r>
        <w:t xml:space="preserve">The Court also ordered that Snowy Hydro appoint an independent compliance expert to review the accuracy of Snowy Hydro’s internal documents relating to the compliance with dispatch instructions. </w:t>
      </w:r>
    </w:p>
    <w:p w:rsidR="003B3B83" w:rsidRPr="001B6913" w:rsidRDefault="003B3B83" w:rsidP="001B6913">
      <w:pPr>
        <w:jc w:val="both"/>
      </w:pPr>
      <w:r>
        <w:t>In conjunction with these orders, Snowy Hydro also provided a</w:t>
      </w:r>
      <w:r w:rsidR="005742DE">
        <w:t xml:space="preserve"> Court </w:t>
      </w:r>
      <w:r>
        <w:t>enforceable undertaking to the AER regarding the operation of generators under certain conditions. The undertaking is the first enforceable undertaking accepted by the AER under the provisions of the National Electricity Law.</w:t>
      </w:r>
      <w:r w:rsidRPr="001B6913">
        <w:t> </w:t>
      </w:r>
    </w:p>
    <w:p w:rsidR="006C7AFC" w:rsidRDefault="006C7AFC" w:rsidP="00673A41">
      <w:pPr>
        <w:jc w:val="both"/>
      </w:pPr>
      <w:r w:rsidRPr="001B6913">
        <w:t>More information about this matter</w:t>
      </w:r>
      <w:r w:rsidR="00235A06">
        <w:t xml:space="preserve"> and the AER’s approach to the requirements of clause 4.9.8 of the Electricity Rules</w:t>
      </w:r>
      <w:r w:rsidRPr="001B6913">
        <w:t xml:space="preserve"> will be provided in the </w:t>
      </w:r>
      <w:r w:rsidR="00235A06">
        <w:t>future</w:t>
      </w:r>
      <w:r w:rsidR="00235A06" w:rsidRPr="001B6913">
        <w:t xml:space="preserve"> </w:t>
      </w:r>
      <w:r w:rsidRPr="001B6913">
        <w:t>QCR</w:t>
      </w:r>
      <w:r w:rsidR="00235A06">
        <w:t>s</w:t>
      </w:r>
      <w:r w:rsidRPr="001B6913">
        <w:t>.</w:t>
      </w:r>
    </w:p>
    <w:p w:rsidR="00842867" w:rsidRPr="00640696" w:rsidRDefault="00842867" w:rsidP="00842867">
      <w:pPr>
        <w:pStyle w:val="Heading2"/>
      </w:pPr>
      <w:bookmarkStart w:id="26" w:name="_Toc412808738"/>
      <w:r w:rsidRPr="005F3BE7">
        <w:t>Rebidding</w:t>
      </w:r>
      <w:bookmarkEnd w:id="25"/>
      <w:bookmarkEnd w:id="26"/>
      <w:r w:rsidRPr="005F3BE7">
        <w:t xml:space="preserve"> </w:t>
      </w:r>
    </w:p>
    <w:p w:rsidR="00842867" w:rsidRPr="00405B4F" w:rsidRDefault="00842867" w:rsidP="002B7FDE">
      <w:pPr>
        <w:jc w:val="both"/>
      </w:pPr>
      <w:r w:rsidRPr="00405B4F">
        <w:t xml:space="preserve">Scheduled generators and market participants operating in the </w:t>
      </w:r>
      <w:r w:rsidRPr="00302DE6">
        <w:t>NEM</w:t>
      </w:r>
      <w:r w:rsidRPr="00405B4F">
        <w:t xml:space="preserve"> submit offers and bids for each half hour trading interval. The offers and bids include available capacity for up to 10 price bands, and can be varied through rebidding.</w:t>
      </w:r>
      <w:r>
        <w:rPr>
          <w:rStyle w:val="FootnoteReference"/>
        </w:rPr>
        <w:footnoteReference w:id="12"/>
      </w:r>
    </w:p>
    <w:p w:rsidR="00842867" w:rsidRDefault="00034E89" w:rsidP="002B7FDE">
      <w:pPr>
        <w:jc w:val="both"/>
      </w:pPr>
      <w:r>
        <w:t>According to the “three stage process”</w:t>
      </w:r>
      <w:r w:rsidRPr="00405B4F">
        <w:t xml:space="preserve"> </w:t>
      </w:r>
      <w:r w:rsidR="001C0A14">
        <w:t>introduced</w:t>
      </w:r>
      <w:r w:rsidR="001C0A14" w:rsidRPr="00405B4F">
        <w:t xml:space="preserve"> </w:t>
      </w:r>
      <w:r>
        <w:t>in late 2010</w:t>
      </w:r>
      <w:r w:rsidR="00555198">
        <w:t>,</w:t>
      </w:r>
      <w:r>
        <w:rPr>
          <w:rStyle w:val="FootnoteReference"/>
        </w:rPr>
        <w:footnoteReference w:id="13"/>
      </w:r>
      <w:r>
        <w:t xml:space="preserve"> we will consider issuing an infringement notice if we issue three </w:t>
      </w:r>
      <w:r w:rsidR="008D3D47">
        <w:t>notifications</w:t>
      </w:r>
      <w:r>
        <w:t xml:space="preserve"> </w:t>
      </w:r>
      <w:r w:rsidR="008D3D47">
        <w:t xml:space="preserve">within a six month period </w:t>
      </w:r>
      <w:r>
        <w:t xml:space="preserve">to generators </w:t>
      </w:r>
      <w:r>
        <w:lastRenderedPageBreak/>
        <w:t xml:space="preserve">who submit </w:t>
      </w:r>
      <w:r w:rsidRPr="00405B4F">
        <w:t>offer, bid and/or rebid information that do</w:t>
      </w:r>
      <w:r w:rsidR="008D3D47">
        <w:t>es</w:t>
      </w:r>
      <w:r w:rsidRPr="00405B4F">
        <w:t xml:space="preserve"> not meet the requirements of the Electricity Rules</w:t>
      </w:r>
      <w:r w:rsidR="008D3D47">
        <w:t>. The</w:t>
      </w:r>
      <w:r w:rsidR="00842867" w:rsidRPr="00405B4F">
        <w:t xml:space="preserve"> warning count </w:t>
      </w:r>
      <w:r w:rsidR="008D3D47">
        <w:t xml:space="preserve">for a participant </w:t>
      </w:r>
      <w:r w:rsidR="00842867">
        <w:t xml:space="preserve">is set </w:t>
      </w:r>
      <w:r w:rsidR="00842867" w:rsidRPr="00405B4F">
        <w:t>to zero</w:t>
      </w:r>
      <w:r w:rsidR="00842867">
        <w:t xml:space="preserve"> after six months</w:t>
      </w:r>
      <w:r w:rsidR="008D3D47">
        <w:t xml:space="preserve"> of the first warning being issued.</w:t>
      </w:r>
      <w:r w:rsidR="00842867" w:rsidRPr="00405B4F">
        <w:t xml:space="preserve"> </w:t>
      </w:r>
    </w:p>
    <w:p w:rsidR="00661DD6" w:rsidRDefault="00AC6734" w:rsidP="002B7FDE">
      <w:pPr>
        <w:jc w:val="both"/>
      </w:pPr>
      <w:r>
        <w:t>T</w:t>
      </w:r>
      <w:r w:rsidRPr="00405B4F">
        <w:t xml:space="preserve">he number of rebids </w:t>
      </w:r>
      <w:r>
        <w:t xml:space="preserve">automatically triggered (indicated by the blue area in figure </w:t>
      </w:r>
      <w:r w:rsidR="00AE569F">
        <w:t>2</w:t>
      </w:r>
      <w:r>
        <w:t xml:space="preserve">.1) as requiring initial examination </w:t>
      </w:r>
      <w:r w:rsidRPr="00405B4F">
        <w:t>has fallen markedly</w:t>
      </w:r>
      <w:r w:rsidRPr="0077514B">
        <w:t xml:space="preserve"> </w:t>
      </w:r>
      <w:r w:rsidRPr="00405B4F">
        <w:t>since 201</w:t>
      </w:r>
      <w:r>
        <w:t xml:space="preserve">1, as shown in figure </w:t>
      </w:r>
      <w:r w:rsidR="00AE569F">
        <w:t>2</w:t>
      </w:r>
      <w:r>
        <w:t>.1</w:t>
      </w:r>
      <w:r w:rsidRPr="00405B4F">
        <w:t>.</w:t>
      </w:r>
      <w:r>
        <w:t xml:space="preserve"> The significant increase from August to November </w:t>
      </w:r>
      <w:r w:rsidR="00661DD6">
        <w:t xml:space="preserve">occurred because one participant’s automated bidding system submitted rebids without including a time adduced (as required under rule </w:t>
      </w:r>
      <w:r w:rsidR="00AE569F">
        <w:t>3.8.22</w:t>
      </w:r>
      <w:r w:rsidR="00661DD6">
        <w:t xml:space="preserve">). The participant adjusted their systems to account for this error after we brought it to their attention, and since then the number of auto triggered rebids has returned to previous levels. </w:t>
      </w:r>
    </w:p>
    <w:p w:rsidR="0069623A" w:rsidRDefault="0069623A" w:rsidP="001D0C57">
      <w:pPr>
        <w:pStyle w:val="Caption"/>
        <w:keepNext/>
        <w:jc w:val="both"/>
      </w:pPr>
      <w:r>
        <w:t xml:space="preserve">Figure </w:t>
      </w:r>
      <w:r w:rsidR="00D41BE1">
        <w:fldChar w:fldCharType="begin"/>
      </w:r>
      <w:r w:rsidR="00D41BE1">
        <w:instrText xml:space="preserve"> STYLEREF 1 \s </w:instrText>
      </w:r>
      <w:r w:rsidR="00D41BE1">
        <w:fldChar w:fldCharType="separate"/>
      </w:r>
      <w:r w:rsidR="001D0C57">
        <w:rPr>
          <w:noProof/>
        </w:rPr>
        <w:t>2</w:t>
      </w:r>
      <w:r w:rsidR="00D41BE1">
        <w:rPr>
          <w:noProof/>
        </w:rPr>
        <w:fldChar w:fldCharType="end"/>
      </w:r>
      <w:r w:rsidR="00E36CA8">
        <w:t>.</w:t>
      </w:r>
      <w:fldSimple w:instr=" SEQ Figure \* ARABIC \s 1 ">
        <w:r w:rsidR="001D0C57">
          <w:rPr>
            <w:noProof/>
          </w:rPr>
          <w:t>1</w:t>
        </w:r>
      </w:fldSimple>
      <w:r w:rsidR="00BC0A8B">
        <w:t>:</w:t>
      </w:r>
      <w:r>
        <w:t xml:space="preserve"> </w:t>
      </w:r>
      <w:r w:rsidRPr="00B15103">
        <w:t>Rebids auto-triggered and reviewed per week</w:t>
      </w:r>
    </w:p>
    <w:p w:rsidR="0069623A" w:rsidRDefault="00842867" w:rsidP="001D0C57">
      <w:pPr>
        <w:keepNext/>
        <w:jc w:val="both"/>
      </w:pPr>
      <w:r w:rsidRPr="00640696">
        <w:rPr>
          <w:noProof/>
          <w:lang w:eastAsia="en-AU"/>
        </w:rPr>
        <w:drawing>
          <wp:inline distT="0" distB="0" distL="0" distR="0" wp14:anchorId="0EFA6A6F" wp14:editId="37D1DE3F">
            <wp:extent cx="5731510" cy="2701037"/>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701037"/>
                    </a:xfrm>
                    <a:prstGeom prst="rect">
                      <a:avLst/>
                    </a:prstGeom>
                    <a:noFill/>
                    <a:ln>
                      <a:noFill/>
                    </a:ln>
                  </pic:spPr>
                </pic:pic>
              </a:graphicData>
            </a:graphic>
          </wp:inline>
        </w:drawing>
      </w:r>
    </w:p>
    <w:p w:rsidR="00842867" w:rsidRDefault="00394684" w:rsidP="002B7FDE">
      <w:pPr>
        <w:jc w:val="both"/>
      </w:pPr>
      <w:r w:rsidRPr="00B2417D">
        <w:t xml:space="preserve">Figure </w:t>
      </w:r>
      <w:r w:rsidR="00AE569F" w:rsidRPr="00B2417D">
        <w:t>2.2</w:t>
      </w:r>
      <w:r w:rsidRPr="00B2417D">
        <w:t xml:space="preserve"> </w:t>
      </w:r>
      <w:r w:rsidR="00842867" w:rsidRPr="00B2417D">
        <w:t xml:space="preserve">shows </w:t>
      </w:r>
      <w:r w:rsidR="008823A8" w:rsidRPr="00B2417D">
        <w:t>the number of rebids that would have been automatically triggered from</w:t>
      </w:r>
      <w:r w:rsidR="008823A8">
        <w:t xml:space="preserve"> August to November if the above rebids had contained a time adduced. </w:t>
      </w:r>
    </w:p>
    <w:p w:rsidR="0069623A" w:rsidRDefault="0069623A" w:rsidP="001D0C57">
      <w:pPr>
        <w:pStyle w:val="Caption"/>
        <w:keepNext/>
        <w:jc w:val="both"/>
      </w:pPr>
      <w:r>
        <w:lastRenderedPageBreak/>
        <w:t xml:space="preserve">Figure </w:t>
      </w:r>
      <w:r w:rsidR="00D41BE1">
        <w:fldChar w:fldCharType="begin"/>
      </w:r>
      <w:r w:rsidR="00D41BE1">
        <w:instrText xml:space="preserve"> STYLEREF 1 \s </w:instrText>
      </w:r>
      <w:r w:rsidR="00D41BE1">
        <w:fldChar w:fldCharType="separate"/>
      </w:r>
      <w:r w:rsidR="001D0C57">
        <w:rPr>
          <w:noProof/>
        </w:rPr>
        <w:t>2</w:t>
      </w:r>
      <w:r w:rsidR="00D41BE1">
        <w:rPr>
          <w:noProof/>
        </w:rPr>
        <w:fldChar w:fldCharType="end"/>
      </w:r>
      <w:r w:rsidR="00E36CA8">
        <w:t>.</w:t>
      </w:r>
      <w:fldSimple w:instr=" SEQ Figure \* ARABIC \s 1 ">
        <w:r w:rsidR="001D0C57">
          <w:rPr>
            <w:noProof/>
          </w:rPr>
          <w:t>2</w:t>
        </w:r>
      </w:fldSimple>
      <w:r w:rsidR="00BC0A8B">
        <w:t>:</w:t>
      </w:r>
      <w:r w:rsidR="00C37F34">
        <w:t xml:space="preserve"> </w:t>
      </w:r>
      <w:r w:rsidRPr="001D1858">
        <w:t>Rebids auto-triggered and reviewed per week (adjusted)</w:t>
      </w:r>
    </w:p>
    <w:p w:rsidR="000C78E9" w:rsidRDefault="00842867" w:rsidP="002B7FDE">
      <w:pPr>
        <w:jc w:val="both"/>
      </w:pPr>
      <w:r w:rsidRPr="00640696">
        <w:rPr>
          <w:noProof/>
          <w:lang w:eastAsia="en-AU"/>
        </w:rPr>
        <w:drawing>
          <wp:inline distT="0" distB="0" distL="0" distR="0" wp14:anchorId="0947DA07" wp14:editId="2483E86E">
            <wp:extent cx="5731510" cy="264956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649561"/>
                    </a:xfrm>
                    <a:prstGeom prst="rect">
                      <a:avLst/>
                    </a:prstGeom>
                    <a:noFill/>
                    <a:ln>
                      <a:noFill/>
                    </a:ln>
                  </pic:spPr>
                </pic:pic>
              </a:graphicData>
            </a:graphic>
          </wp:inline>
        </w:drawing>
      </w:r>
      <w:r>
        <w:t>There were two warnings issued d</w:t>
      </w:r>
      <w:r w:rsidRPr="00950C37">
        <w:t xml:space="preserve">uring the </w:t>
      </w:r>
      <w:r>
        <w:t>December</w:t>
      </w:r>
      <w:r w:rsidRPr="00950C37">
        <w:t xml:space="preserve"> quarter</w:t>
      </w:r>
      <w:r w:rsidR="000C78E9">
        <w:t>:</w:t>
      </w:r>
    </w:p>
    <w:p w:rsidR="004F0A75" w:rsidRDefault="00842867" w:rsidP="00521B35">
      <w:pPr>
        <w:pStyle w:val="ListParagraph"/>
        <w:numPr>
          <w:ilvl w:val="0"/>
          <w:numId w:val="26"/>
        </w:numPr>
        <w:jc w:val="both"/>
      </w:pPr>
      <w:r>
        <w:t xml:space="preserve">an initial warning </w:t>
      </w:r>
      <w:r w:rsidR="004F0A75">
        <w:t>for</w:t>
      </w:r>
      <w:r>
        <w:t xml:space="preserve"> a </w:t>
      </w:r>
      <w:r w:rsidR="004F0A75">
        <w:t>ramp rate reduced to below the allowed minimum of 3MW/mi</w:t>
      </w:r>
      <w:r w:rsidR="00774D6A">
        <w:t xml:space="preserve">nute without </w:t>
      </w:r>
      <w:r w:rsidR="00837FD9">
        <w:t>providing a</w:t>
      </w:r>
      <w:r w:rsidR="00774D6A">
        <w:t xml:space="preserve"> technical reason, and</w:t>
      </w:r>
    </w:p>
    <w:p w:rsidR="004F0A75" w:rsidRDefault="004F0A75" w:rsidP="00521B35">
      <w:pPr>
        <w:pStyle w:val="ListParagraph"/>
        <w:numPr>
          <w:ilvl w:val="0"/>
          <w:numId w:val="26"/>
        </w:numPr>
        <w:jc w:val="both"/>
      </w:pPr>
      <w:r>
        <w:t xml:space="preserve">a </w:t>
      </w:r>
      <w:r w:rsidR="00842867">
        <w:t xml:space="preserve">second warning </w:t>
      </w:r>
      <w:r>
        <w:t xml:space="preserve">for an </w:t>
      </w:r>
      <w:r w:rsidR="00842867">
        <w:t xml:space="preserve">inflexible </w:t>
      </w:r>
      <w:r>
        <w:t xml:space="preserve">bid </w:t>
      </w:r>
      <w:r w:rsidR="00842867">
        <w:t xml:space="preserve">without providing a technical reason. </w:t>
      </w:r>
    </w:p>
    <w:p w:rsidR="00774D6A" w:rsidRDefault="004F0A75" w:rsidP="002B7FDE">
      <w:pPr>
        <w:jc w:val="both"/>
      </w:pPr>
      <w:r>
        <w:t>In addition</w:t>
      </w:r>
      <w:r w:rsidR="00774D6A">
        <w:t xml:space="preserve"> :</w:t>
      </w:r>
    </w:p>
    <w:p w:rsidR="00774D6A" w:rsidRDefault="00774D6A" w:rsidP="00521B35">
      <w:pPr>
        <w:pStyle w:val="ListParagraph"/>
        <w:numPr>
          <w:ilvl w:val="0"/>
          <w:numId w:val="27"/>
        </w:numPr>
        <w:jc w:val="both"/>
      </w:pPr>
      <w:r>
        <w:t>e</w:t>
      </w:r>
      <w:r w:rsidR="004F0A75">
        <w:t xml:space="preserve">ight </w:t>
      </w:r>
      <w:r w:rsidR="005100F5">
        <w:t xml:space="preserve">participants </w:t>
      </w:r>
      <w:r>
        <w:t>self-reported errors in their rebids, and</w:t>
      </w:r>
    </w:p>
    <w:p w:rsidR="00842867" w:rsidRPr="00640696" w:rsidRDefault="00774D6A" w:rsidP="00521B35">
      <w:pPr>
        <w:pStyle w:val="ListParagraph"/>
        <w:numPr>
          <w:ilvl w:val="0"/>
          <w:numId w:val="27"/>
        </w:numPr>
        <w:jc w:val="both"/>
      </w:pPr>
      <w:r>
        <w:t>two participants had their warning counts reset to zero.</w:t>
      </w:r>
      <w:r w:rsidR="00842867">
        <w:t xml:space="preserve"> </w:t>
      </w:r>
    </w:p>
    <w:p w:rsidR="00842867" w:rsidRPr="00640696" w:rsidRDefault="00842867" w:rsidP="002B7FDE">
      <w:pPr>
        <w:pStyle w:val="Heading2"/>
        <w:keepNext/>
        <w:ind w:left="578" w:hanging="578"/>
      </w:pPr>
      <w:bookmarkStart w:id="27" w:name="_Toc412808739"/>
      <w:r w:rsidRPr="00640696">
        <w:t>Jurisdictional derogations</w:t>
      </w:r>
      <w:bookmarkEnd w:id="27"/>
    </w:p>
    <w:p w:rsidR="00842867" w:rsidRPr="00640696" w:rsidRDefault="00842867" w:rsidP="002B7FDE">
      <w:pPr>
        <w:jc w:val="both"/>
      </w:pPr>
      <w:r w:rsidRPr="00640696">
        <w:t xml:space="preserve">Chapter 9 derogations exempt Victorian smelter traders, New South Wales power traders and Queensland nominated generators (for the purposes of exempted generator agreements) from complying with the Electricity Rules to the extent there exists: </w:t>
      </w:r>
    </w:p>
    <w:p w:rsidR="00842867" w:rsidRPr="00640696" w:rsidRDefault="00842867" w:rsidP="00521B35">
      <w:pPr>
        <w:pStyle w:val="ListParagraph"/>
        <w:numPr>
          <w:ilvl w:val="0"/>
          <w:numId w:val="27"/>
        </w:numPr>
        <w:jc w:val="both"/>
      </w:pPr>
      <w:r w:rsidRPr="00640696">
        <w:t>any inconsistency between the Rules and a contractual requirement under the relevant agreement between the government and other entities</w:t>
      </w:r>
      <w:r w:rsidR="004C3FD8">
        <w:t>,</w:t>
      </w:r>
    </w:p>
    <w:p w:rsidR="00842867" w:rsidRPr="00640696" w:rsidRDefault="00842867" w:rsidP="00521B35">
      <w:pPr>
        <w:pStyle w:val="ListParagraph"/>
        <w:numPr>
          <w:ilvl w:val="0"/>
          <w:numId w:val="27"/>
        </w:numPr>
        <w:jc w:val="both"/>
      </w:pPr>
      <w:r w:rsidRPr="00640696">
        <w:t xml:space="preserve">any other specified exemption in the jurisdictional derogations. </w:t>
      </w:r>
    </w:p>
    <w:p w:rsidR="0009432B" w:rsidRDefault="003D7E9C" w:rsidP="002B7FDE">
      <w:pPr>
        <w:jc w:val="both"/>
      </w:pPr>
      <w:r>
        <w:t>R</w:t>
      </w:r>
      <w:r w:rsidR="00842867" w:rsidRPr="00640696">
        <w:t>elevant participants must noti</w:t>
      </w:r>
      <w:r>
        <w:t>fy</w:t>
      </w:r>
      <w:r w:rsidR="00842867" w:rsidRPr="00640696">
        <w:t xml:space="preserve"> </w:t>
      </w:r>
      <w:r>
        <w:t xml:space="preserve">the AER at </w:t>
      </w:r>
      <w:hyperlink r:id="rId20" w:history="1">
        <w:r w:rsidRPr="0077705C">
          <w:rPr>
            <w:rStyle w:val="Hyperlink"/>
          </w:rPr>
          <w:t>AERinquiry@aer.gov.au</w:t>
        </w:r>
      </w:hyperlink>
      <w:r>
        <w:t xml:space="preserve"> </w:t>
      </w:r>
      <w:r w:rsidR="00842867" w:rsidRPr="00640696">
        <w:t xml:space="preserve">of any act or omission which partly or wholly constitutes non-compliance with the Electricity Rules. </w:t>
      </w:r>
    </w:p>
    <w:p w:rsidR="003D7E9C" w:rsidRDefault="0009432B" w:rsidP="002B7FDE">
      <w:pPr>
        <w:jc w:val="both"/>
      </w:pPr>
      <w:r w:rsidRPr="00640696">
        <w:t>No non-compliance</w:t>
      </w:r>
      <w:r>
        <w:t>s</w:t>
      </w:r>
      <w:r w:rsidRPr="00640696">
        <w:t xml:space="preserve"> were reported this quarter.</w:t>
      </w:r>
    </w:p>
    <w:p w:rsidR="00842867" w:rsidRPr="00640696" w:rsidRDefault="00842867" w:rsidP="00673A41">
      <w:pPr>
        <w:pStyle w:val="Heading3"/>
      </w:pPr>
      <w:bookmarkStart w:id="28" w:name="_Toc412808740"/>
      <w:r w:rsidRPr="00640696">
        <w:t>Targeted compliance review – AGL Macquarie</w:t>
      </w:r>
      <w:bookmarkEnd w:id="28"/>
    </w:p>
    <w:p w:rsidR="00AB3110" w:rsidRDefault="00AB3110" w:rsidP="002B7FDE">
      <w:pPr>
        <w:jc w:val="both"/>
      </w:pPr>
      <w:r>
        <w:t>This quarter we undertook a targeted compliance review</w:t>
      </w:r>
      <w:r w:rsidRPr="00640696">
        <w:t xml:space="preserve"> </w:t>
      </w:r>
      <w:r>
        <w:t xml:space="preserve">of </w:t>
      </w:r>
      <w:r w:rsidRPr="00640696">
        <w:t>AGL</w:t>
      </w:r>
      <w:r>
        <w:t xml:space="preserve"> Macquarie.</w:t>
      </w:r>
    </w:p>
    <w:p w:rsidR="00716F9A" w:rsidRDefault="00716F9A" w:rsidP="002B7FDE">
      <w:pPr>
        <w:jc w:val="both"/>
      </w:pPr>
      <w:r>
        <w:t>I</w:t>
      </w:r>
      <w:r w:rsidRPr="00640696">
        <w:t>n September</w:t>
      </w:r>
      <w:r>
        <w:t> </w:t>
      </w:r>
      <w:r w:rsidRPr="00640696">
        <w:t xml:space="preserve">2014 </w:t>
      </w:r>
      <w:r>
        <w:t xml:space="preserve">AGL purchased Macquarie Generation’s assets. </w:t>
      </w:r>
      <w:r w:rsidRPr="00640696">
        <w:t xml:space="preserve">As part of the sale process, the power supply agreement with the Tomago aluminium smelter was vested in </w:t>
      </w:r>
      <w:r w:rsidRPr="00640696">
        <w:lastRenderedPageBreak/>
        <w:t>AGL Macquarie</w:t>
      </w:r>
      <w:r>
        <w:t xml:space="preserve">, and </w:t>
      </w:r>
      <w:r w:rsidRPr="00640696">
        <w:t>AGL Macquarie was nominated as the Power Trader for the purposes of the Chapter 9 derogation.</w:t>
      </w:r>
      <w:r w:rsidR="00AB3110">
        <w:t xml:space="preserve"> AGL Macquarie now has obligations </w:t>
      </w:r>
      <w:r w:rsidR="00AB3110" w:rsidRPr="00640696">
        <w:t>under clause 9.12.3</w:t>
      </w:r>
      <w:r w:rsidR="00AB3110">
        <w:t>.</w:t>
      </w:r>
      <w:r w:rsidR="00573270">
        <w:t xml:space="preserve"> </w:t>
      </w:r>
    </w:p>
    <w:p w:rsidR="00716F9A" w:rsidRDefault="00716F9A" w:rsidP="002B7FDE">
      <w:pPr>
        <w:jc w:val="both"/>
      </w:pPr>
      <w:r>
        <w:t>T</w:t>
      </w:r>
      <w:r w:rsidRPr="00640696">
        <w:t xml:space="preserve">he AER considers it important </w:t>
      </w:r>
      <w:r w:rsidR="00AB3110">
        <w:t>that</w:t>
      </w:r>
      <w:r w:rsidRPr="00640696">
        <w:t xml:space="preserve"> participants are </w:t>
      </w:r>
      <w:r>
        <w:t xml:space="preserve">made </w:t>
      </w:r>
      <w:r w:rsidRPr="00640696">
        <w:t xml:space="preserve">aware of </w:t>
      </w:r>
      <w:r w:rsidR="00AB3110">
        <w:t xml:space="preserve">their </w:t>
      </w:r>
      <w:r w:rsidRPr="00640696">
        <w:t xml:space="preserve">obligations </w:t>
      </w:r>
      <w:r w:rsidR="00AB3110">
        <w:t xml:space="preserve">under </w:t>
      </w:r>
      <w:r w:rsidR="00AB3110" w:rsidRPr="00640696">
        <w:t>chapter 9 derogations</w:t>
      </w:r>
      <w:r w:rsidR="00AB3110">
        <w:t>, g</w:t>
      </w:r>
      <w:r w:rsidRPr="00640696">
        <w:t>iven the</w:t>
      </w:r>
      <w:r w:rsidR="00AB3110">
        <w:t>ir</w:t>
      </w:r>
      <w:r w:rsidRPr="00640696">
        <w:t xml:space="preserve"> unique </w:t>
      </w:r>
      <w:r>
        <w:t>nature</w:t>
      </w:r>
      <w:r w:rsidR="00AB3110">
        <w:t>.</w:t>
      </w:r>
      <w:r w:rsidRPr="00640696">
        <w:t xml:space="preserve"> </w:t>
      </w:r>
      <w:r w:rsidR="00573270">
        <w:t>To this end, t</w:t>
      </w:r>
      <w:r w:rsidR="004C4098">
        <w:t xml:space="preserve">his quarter </w:t>
      </w:r>
      <w:r w:rsidR="00D81236">
        <w:t xml:space="preserve">we inquired how </w:t>
      </w:r>
      <w:r w:rsidR="004C4098">
        <w:t xml:space="preserve">AGL </w:t>
      </w:r>
      <w:r w:rsidRPr="00640696">
        <w:t xml:space="preserve">intends to </w:t>
      </w:r>
      <w:r w:rsidR="004C4098">
        <w:t>comply w</w:t>
      </w:r>
      <w:r w:rsidRPr="00640696">
        <w:t xml:space="preserve">ith </w:t>
      </w:r>
      <w:r w:rsidR="00D81236">
        <w:t>these</w:t>
      </w:r>
      <w:r w:rsidR="004C4098">
        <w:t xml:space="preserve"> </w:t>
      </w:r>
      <w:r w:rsidRPr="00640696">
        <w:t xml:space="preserve">obligations. </w:t>
      </w:r>
      <w:r w:rsidR="00573270">
        <w:t xml:space="preserve">In response </w:t>
      </w:r>
      <w:r w:rsidRPr="00640696">
        <w:t xml:space="preserve">AGL </w:t>
      </w:r>
      <w:r w:rsidR="00573270">
        <w:t>advised</w:t>
      </w:r>
      <w:r w:rsidRPr="00640696">
        <w:t xml:space="preserve"> </w:t>
      </w:r>
      <w:r w:rsidR="004C4098">
        <w:t xml:space="preserve">that </w:t>
      </w:r>
      <w:r w:rsidRPr="00640696">
        <w:t xml:space="preserve">it has risk management systems </w:t>
      </w:r>
      <w:r w:rsidR="00573270">
        <w:t xml:space="preserve">in place </w:t>
      </w:r>
      <w:r w:rsidRPr="00640696">
        <w:t>to monitor and detect non-compliance</w:t>
      </w:r>
      <w:r w:rsidR="00573270">
        <w:t xml:space="preserve">, including with </w:t>
      </w:r>
      <w:r w:rsidR="004C4098">
        <w:t>its new obligations.</w:t>
      </w:r>
      <w:r w:rsidR="00573270">
        <w:t xml:space="preserve"> We are satisfied, therefore, that AGL is aware of its obligations under the derogation. </w:t>
      </w:r>
    </w:p>
    <w:p w:rsidR="00842867" w:rsidRDefault="00CD5D6B" w:rsidP="00F531CF">
      <w:pPr>
        <w:pStyle w:val="Heading1"/>
        <w:numPr>
          <w:ilvl w:val="0"/>
          <w:numId w:val="0"/>
        </w:numPr>
      </w:pPr>
      <w:bookmarkStart w:id="29" w:name="_Toc412808741"/>
      <w:r>
        <w:lastRenderedPageBreak/>
        <w:t>Appendix A: Shortened forms</w:t>
      </w:r>
      <w:bookmarkEnd w:id="29"/>
    </w:p>
    <w:tbl>
      <w:tblPr>
        <w:tblStyle w:val="AERTable-Text"/>
        <w:tblW w:w="9180" w:type="dxa"/>
        <w:tblLook w:val="04A0" w:firstRow="1" w:lastRow="0" w:firstColumn="1" w:lastColumn="0" w:noHBand="0" w:noVBand="1"/>
      </w:tblPr>
      <w:tblGrid>
        <w:gridCol w:w="2518"/>
        <w:gridCol w:w="6662"/>
      </w:tblGrid>
      <w:tr w:rsidR="00842867" w:rsidRPr="009A7BFC" w:rsidTr="00842867">
        <w:trPr>
          <w:cnfStyle w:val="100000000000" w:firstRow="1" w:lastRow="0" w:firstColumn="0" w:lastColumn="0" w:oddVBand="0" w:evenVBand="0" w:oddHBand="0" w:evenHBand="0" w:firstRowFirstColumn="0" w:firstRowLastColumn="0" w:lastRowFirstColumn="0" w:lastRowLastColumn="0"/>
          <w:trHeight w:val="227"/>
        </w:trPr>
        <w:tc>
          <w:tcPr>
            <w:tcW w:w="2518" w:type="dxa"/>
          </w:tcPr>
          <w:p w:rsidR="00842867" w:rsidRPr="00AC02E1" w:rsidRDefault="00842867" w:rsidP="00842867">
            <w:r w:rsidRPr="00AC02E1">
              <w:t>Shortened form</w:t>
            </w:r>
          </w:p>
        </w:tc>
        <w:tc>
          <w:tcPr>
            <w:tcW w:w="6662" w:type="dxa"/>
          </w:tcPr>
          <w:p w:rsidR="00842867" w:rsidRPr="00AC02E1" w:rsidRDefault="00842867" w:rsidP="00842867">
            <w:r w:rsidRPr="00AC02E1">
              <w:t>Full title</w:t>
            </w:r>
          </w:p>
        </w:tc>
      </w:tr>
      <w:tr w:rsidR="00842867" w:rsidRPr="00BA1378" w:rsidTr="00842867">
        <w:trPr>
          <w:trHeight w:val="227"/>
        </w:trPr>
        <w:tc>
          <w:tcPr>
            <w:tcW w:w="2518" w:type="dxa"/>
          </w:tcPr>
          <w:p w:rsidR="00842867" w:rsidRPr="00AC02E1" w:rsidRDefault="00842867" w:rsidP="00842867">
            <w:r w:rsidRPr="00AC02E1">
              <w:t xml:space="preserve">ACCC </w:t>
            </w:r>
          </w:p>
        </w:tc>
        <w:tc>
          <w:tcPr>
            <w:tcW w:w="6662" w:type="dxa"/>
          </w:tcPr>
          <w:p w:rsidR="00842867" w:rsidRPr="00AC02E1" w:rsidRDefault="00E022F1" w:rsidP="00842867">
            <w:r w:rsidRPr="00E022F1">
              <w:rPr>
                <w:sz w:val="22"/>
              </w:rPr>
              <w:t>Australian Competition &amp; Consumer Commission</w:t>
            </w:r>
            <w:r w:rsidR="00842867" w:rsidRPr="00AC02E1">
              <w:t xml:space="preserve"> </w:t>
            </w:r>
          </w:p>
        </w:tc>
      </w:tr>
      <w:tr w:rsidR="00842867" w:rsidRPr="00BA1378"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842867" w:rsidRPr="00AC02E1" w:rsidRDefault="00842867" w:rsidP="00842867">
            <w:r w:rsidRPr="00AC02E1">
              <w:t>AEMO</w:t>
            </w:r>
          </w:p>
        </w:tc>
        <w:tc>
          <w:tcPr>
            <w:tcW w:w="6662" w:type="dxa"/>
          </w:tcPr>
          <w:p w:rsidR="00842867" w:rsidRPr="00AC02E1" w:rsidRDefault="00E022F1" w:rsidP="00842867">
            <w:r w:rsidRPr="00E022F1">
              <w:rPr>
                <w:sz w:val="22"/>
              </w:rPr>
              <w:t>Australian Energy Market Operator</w:t>
            </w:r>
          </w:p>
        </w:tc>
      </w:tr>
      <w:tr w:rsidR="00842867" w:rsidRPr="00BA1378" w:rsidTr="00842867">
        <w:trPr>
          <w:trHeight w:val="227"/>
        </w:trPr>
        <w:tc>
          <w:tcPr>
            <w:tcW w:w="2518" w:type="dxa"/>
          </w:tcPr>
          <w:p w:rsidR="00842867" w:rsidRPr="00AC02E1" w:rsidRDefault="00842867" w:rsidP="00842867">
            <w:r w:rsidRPr="00AC02E1">
              <w:t xml:space="preserve">AER </w:t>
            </w:r>
          </w:p>
        </w:tc>
        <w:tc>
          <w:tcPr>
            <w:tcW w:w="6662" w:type="dxa"/>
          </w:tcPr>
          <w:p w:rsidR="00842867" w:rsidRPr="00AC02E1" w:rsidRDefault="00E022F1" w:rsidP="00842867">
            <w:r w:rsidRPr="00E022F1">
              <w:rPr>
                <w:sz w:val="22"/>
              </w:rPr>
              <w:t>Australian Energy Regulator</w:t>
            </w:r>
          </w:p>
        </w:tc>
      </w:tr>
      <w:tr w:rsidR="00F531CF" w:rsidRPr="00BA1378"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F531CF" w:rsidRPr="00AC02E1" w:rsidRDefault="00F531CF" w:rsidP="00842867">
            <w:r>
              <w:t>ASIC</w:t>
            </w:r>
          </w:p>
        </w:tc>
        <w:tc>
          <w:tcPr>
            <w:tcW w:w="6662" w:type="dxa"/>
          </w:tcPr>
          <w:p w:rsidR="00F531CF" w:rsidRDefault="00F531CF" w:rsidP="00F62272">
            <w:r>
              <w:t xml:space="preserve">Australian </w:t>
            </w:r>
            <w:r w:rsidR="00F62272">
              <w:t xml:space="preserve">Securities and </w:t>
            </w:r>
            <w:r>
              <w:t>Investment Commission</w:t>
            </w:r>
          </w:p>
        </w:tc>
      </w:tr>
      <w:tr w:rsidR="00F531CF" w:rsidRPr="00BA1378" w:rsidTr="00842867">
        <w:trPr>
          <w:trHeight w:val="227"/>
        </w:trPr>
        <w:tc>
          <w:tcPr>
            <w:tcW w:w="2518" w:type="dxa"/>
          </w:tcPr>
          <w:p w:rsidR="00F531CF" w:rsidRDefault="00F531CF" w:rsidP="00842867">
            <w:r>
              <w:t>ASX</w:t>
            </w:r>
          </w:p>
        </w:tc>
        <w:tc>
          <w:tcPr>
            <w:tcW w:w="6662" w:type="dxa"/>
          </w:tcPr>
          <w:p w:rsidR="00F531CF" w:rsidRDefault="00F62272" w:rsidP="00842867">
            <w:r>
              <w:t>Australian Stock Exchange</w:t>
            </w:r>
          </w:p>
        </w:tc>
      </w:tr>
      <w:tr w:rsidR="00842867" w:rsidRPr="00BA1378"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842867" w:rsidRPr="00AC02E1" w:rsidRDefault="00842867" w:rsidP="00C10904">
            <w:r w:rsidRPr="00AC02E1">
              <w:t>Bulletin Board</w:t>
            </w:r>
            <w:r w:rsidRPr="00AC02E1" w:rsidDel="00660D97">
              <w:t xml:space="preserve"> </w:t>
            </w:r>
          </w:p>
        </w:tc>
        <w:tc>
          <w:tcPr>
            <w:tcW w:w="6662" w:type="dxa"/>
          </w:tcPr>
          <w:p w:rsidR="00842867" w:rsidRPr="00AC02E1" w:rsidRDefault="00842867" w:rsidP="001E0549">
            <w:r w:rsidRPr="00AC02E1">
              <w:t>Natural Gas Service Bulletin Board</w:t>
            </w:r>
          </w:p>
        </w:tc>
      </w:tr>
      <w:tr w:rsidR="00F62272" w:rsidRPr="00170D31" w:rsidTr="00842867">
        <w:trPr>
          <w:trHeight w:val="227"/>
        </w:trPr>
        <w:tc>
          <w:tcPr>
            <w:tcW w:w="2518" w:type="dxa"/>
          </w:tcPr>
          <w:p w:rsidR="00F62272" w:rsidRPr="00AC02E1" w:rsidRDefault="00F62272" w:rsidP="00842867">
            <w:r>
              <w:t>DWGM</w:t>
            </w:r>
          </w:p>
        </w:tc>
        <w:tc>
          <w:tcPr>
            <w:tcW w:w="6662" w:type="dxa"/>
          </w:tcPr>
          <w:p w:rsidR="00F62272" w:rsidRPr="00AC02E1" w:rsidRDefault="00F62272" w:rsidP="00842867">
            <w:r>
              <w:t>Declared Wholesale Gas Market (Victorian Gas Market)</w:t>
            </w:r>
          </w:p>
        </w:tc>
      </w:tr>
      <w:tr w:rsidR="00F62272"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F62272" w:rsidRDefault="00F62272" w:rsidP="00842867">
            <w:r>
              <w:t>EGP</w:t>
            </w:r>
          </w:p>
        </w:tc>
        <w:tc>
          <w:tcPr>
            <w:tcW w:w="6662" w:type="dxa"/>
          </w:tcPr>
          <w:p w:rsidR="00F62272" w:rsidRDefault="00F62272" w:rsidP="00842867">
            <w:r>
              <w:t>Eastern Gas Pipeline</w:t>
            </w:r>
          </w:p>
        </w:tc>
      </w:tr>
      <w:tr w:rsidR="001E0549" w:rsidRPr="00170D31" w:rsidTr="00842867">
        <w:trPr>
          <w:trHeight w:val="227"/>
        </w:trPr>
        <w:tc>
          <w:tcPr>
            <w:tcW w:w="2518" w:type="dxa"/>
          </w:tcPr>
          <w:p w:rsidR="001E0549" w:rsidRDefault="001E0549" w:rsidP="00842867">
            <w:r>
              <w:t>EFP</w:t>
            </w:r>
          </w:p>
        </w:tc>
        <w:tc>
          <w:tcPr>
            <w:tcW w:w="6662" w:type="dxa"/>
          </w:tcPr>
          <w:p w:rsidR="001E0549" w:rsidRDefault="001E0549" w:rsidP="00842867">
            <w:r>
              <w:t>Exchange for Physical</w:t>
            </w:r>
          </w:p>
        </w:tc>
      </w:tr>
      <w:tr w:rsidR="00842867"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842867" w:rsidRPr="00AC02E1" w:rsidRDefault="00842867" w:rsidP="00842867">
            <w:r w:rsidRPr="00AC02E1">
              <w:t xml:space="preserve">Electricity Law </w:t>
            </w:r>
          </w:p>
        </w:tc>
        <w:tc>
          <w:tcPr>
            <w:tcW w:w="6662" w:type="dxa"/>
          </w:tcPr>
          <w:p w:rsidR="00842867" w:rsidRPr="00AC02E1" w:rsidRDefault="00842867" w:rsidP="00842867">
            <w:r w:rsidRPr="00AC02E1">
              <w:t>National Electricity Law (Schedule to the National Electricity Act)</w:t>
            </w:r>
          </w:p>
        </w:tc>
      </w:tr>
      <w:tr w:rsidR="00842867" w:rsidRPr="00170D31" w:rsidTr="00842867">
        <w:trPr>
          <w:trHeight w:val="227"/>
        </w:trPr>
        <w:tc>
          <w:tcPr>
            <w:tcW w:w="2518" w:type="dxa"/>
          </w:tcPr>
          <w:p w:rsidR="00842867" w:rsidRPr="00AC02E1" w:rsidRDefault="00842867" w:rsidP="00842867">
            <w:r w:rsidRPr="00AC02E1">
              <w:t xml:space="preserve">Electricity Rules </w:t>
            </w:r>
          </w:p>
        </w:tc>
        <w:tc>
          <w:tcPr>
            <w:tcW w:w="6662" w:type="dxa"/>
          </w:tcPr>
          <w:p w:rsidR="00842867" w:rsidRPr="00AC02E1" w:rsidRDefault="00842867" w:rsidP="00842867">
            <w:r w:rsidRPr="00AC02E1">
              <w:t xml:space="preserve">The </w:t>
            </w:r>
            <w:r w:rsidR="00E022F1" w:rsidRPr="00E022F1">
              <w:rPr>
                <w:sz w:val="22"/>
              </w:rPr>
              <w:t>National Electricity Rules</w:t>
            </w:r>
            <w:r w:rsidRPr="00AC02E1">
              <w:t xml:space="preserve"> made under Part 7 of the Electricity Law </w:t>
            </w:r>
          </w:p>
        </w:tc>
      </w:tr>
      <w:tr w:rsidR="00842867"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842867" w:rsidRPr="00AC02E1" w:rsidRDefault="00842867" w:rsidP="00842867">
            <w:r w:rsidRPr="00AC02E1">
              <w:t xml:space="preserve">Gas Law </w:t>
            </w:r>
          </w:p>
        </w:tc>
        <w:tc>
          <w:tcPr>
            <w:tcW w:w="6662" w:type="dxa"/>
          </w:tcPr>
          <w:p w:rsidR="00842867" w:rsidRPr="00AC02E1" w:rsidRDefault="00842867" w:rsidP="00842867">
            <w:r w:rsidRPr="00AC02E1">
              <w:t>National Gas Law (Schedule to the National Gas Act)</w:t>
            </w:r>
          </w:p>
        </w:tc>
      </w:tr>
      <w:tr w:rsidR="00842867" w:rsidRPr="00170D31" w:rsidTr="00842867">
        <w:trPr>
          <w:trHeight w:val="227"/>
        </w:trPr>
        <w:tc>
          <w:tcPr>
            <w:tcW w:w="2518" w:type="dxa"/>
          </w:tcPr>
          <w:p w:rsidR="00842867" w:rsidRPr="00AC02E1" w:rsidRDefault="00842867" w:rsidP="00842867">
            <w:r w:rsidRPr="00AC02E1">
              <w:t>Gas Regulations</w:t>
            </w:r>
          </w:p>
        </w:tc>
        <w:tc>
          <w:tcPr>
            <w:tcW w:w="6662" w:type="dxa"/>
          </w:tcPr>
          <w:p w:rsidR="00842867" w:rsidRPr="00AC02E1" w:rsidRDefault="00842867" w:rsidP="00842867">
            <w:r w:rsidRPr="00AC02E1">
              <w:t xml:space="preserve">The </w:t>
            </w:r>
            <w:r w:rsidR="00E022F1" w:rsidRPr="00E022F1">
              <w:rPr>
                <w:sz w:val="22"/>
              </w:rPr>
              <w:t>National Gas (South Australia) Regulations</w:t>
            </w:r>
            <w:r w:rsidRPr="00AC02E1">
              <w:t xml:space="preserve"> made under the National Gas Act</w:t>
            </w:r>
          </w:p>
        </w:tc>
      </w:tr>
      <w:tr w:rsidR="00842867"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842867" w:rsidRPr="00AC02E1" w:rsidRDefault="00842867" w:rsidP="00842867">
            <w:r w:rsidRPr="00AC02E1">
              <w:t xml:space="preserve">Gas Rules </w:t>
            </w:r>
          </w:p>
        </w:tc>
        <w:tc>
          <w:tcPr>
            <w:tcW w:w="6662" w:type="dxa"/>
          </w:tcPr>
          <w:p w:rsidR="00842867" w:rsidRPr="00AC02E1" w:rsidRDefault="00842867" w:rsidP="00842867">
            <w:r w:rsidRPr="00AC02E1">
              <w:t xml:space="preserve">The </w:t>
            </w:r>
            <w:r w:rsidR="00E022F1" w:rsidRPr="00E022F1">
              <w:rPr>
                <w:sz w:val="22"/>
              </w:rPr>
              <w:t>National Gas Rules</w:t>
            </w:r>
            <w:r w:rsidRPr="00AC02E1">
              <w:t xml:space="preserve"> made under Part 9 of the Gas Law</w:t>
            </w:r>
          </w:p>
        </w:tc>
      </w:tr>
      <w:tr w:rsidR="00F351B9" w:rsidRPr="00170D31" w:rsidTr="00E0218F">
        <w:trPr>
          <w:trHeight w:val="227"/>
        </w:trPr>
        <w:tc>
          <w:tcPr>
            <w:tcW w:w="2518" w:type="dxa"/>
          </w:tcPr>
          <w:p w:rsidR="00F351B9" w:rsidRPr="00AC02E1" w:rsidRDefault="00F351B9" w:rsidP="00E0218F">
            <w:r w:rsidRPr="00AC02E1">
              <w:t>GJ</w:t>
            </w:r>
          </w:p>
        </w:tc>
        <w:tc>
          <w:tcPr>
            <w:tcW w:w="6662" w:type="dxa"/>
          </w:tcPr>
          <w:p w:rsidR="00F351B9" w:rsidRPr="00AC02E1" w:rsidRDefault="00F351B9" w:rsidP="00E0218F">
            <w:r w:rsidRPr="00AC02E1">
              <w:t>Gigajoule</w:t>
            </w:r>
          </w:p>
        </w:tc>
      </w:tr>
      <w:tr w:rsidR="00842867"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842867" w:rsidRPr="00AC02E1" w:rsidRDefault="00842867" w:rsidP="00842867">
            <w:r w:rsidRPr="00AC02E1">
              <w:t>GSH</w:t>
            </w:r>
          </w:p>
        </w:tc>
        <w:tc>
          <w:tcPr>
            <w:tcW w:w="6662" w:type="dxa"/>
          </w:tcPr>
          <w:p w:rsidR="00842867" w:rsidRPr="00AC02E1" w:rsidRDefault="00842867" w:rsidP="00842867">
            <w:r w:rsidRPr="00AC02E1">
              <w:t>Gas Supply Hub</w:t>
            </w:r>
          </w:p>
        </w:tc>
      </w:tr>
      <w:tr w:rsidR="00F351B9" w:rsidRPr="00170D31" w:rsidTr="00842867">
        <w:trPr>
          <w:trHeight w:val="227"/>
        </w:trPr>
        <w:tc>
          <w:tcPr>
            <w:tcW w:w="2518" w:type="dxa"/>
          </w:tcPr>
          <w:p w:rsidR="00F351B9" w:rsidRPr="00F351B9" w:rsidRDefault="00F351B9" w:rsidP="00F351B9">
            <w:r w:rsidRPr="001D0C57">
              <w:t>GSHRG</w:t>
            </w:r>
          </w:p>
        </w:tc>
        <w:tc>
          <w:tcPr>
            <w:tcW w:w="6662" w:type="dxa"/>
          </w:tcPr>
          <w:p w:rsidR="00F351B9" w:rsidRPr="00AC02E1" w:rsidRDefault="00F351B9" w:rsidP="00842867">
            <w:r>
              <w:t>Gas Supply Hub Reference Group</w:t>
            </w:r>
          </w:p>
        </w:tc>
      </w:tr>
      <w:tr w:rsidR="001E0549"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1E0549" w:rsidRPr="00AC02E1" w:rsidRDefault="001E0549" w:rsidP="00842867">
            <w:r>
              <w:t>GSP</w:t>
            </w:r>
          </w:p>
        </w:tc>
        <w:tc>
          <w:tcPr>
            <w:tcW w:w="6662" w:type="dxa"/>
          </w:tcPr>
          <w:p w:rsidR="001E0549" w:rsidRPr="00AC02E1" w:rsidRDefault="001E0549" w:rsidP="00842867">
            <w:r>
              <w:t>Gas Scheduling Procedures</w:t>
            </w:r>
          </w:p>
        </w:tc>
      </w:tr>
      <w:tr w:rsidR="00F62272" w:rsidRPr="00170D31" w:rsidTr="00842867">
        <w:trPr>
          <w:trHeight w:val="227"/>
        </w:trPr>
        <w:tc>
          <w:tcPr>
            <w:tcW w:w="2518" w:type="dxa"/>
          </w:tcPr>
          <w:p w:rsidR="00F62272" w:rsidRPr="00AC02E1" w:rsidRDefault="00F62272" w:rsidP="00842867">
            <w:r>
              <w:t>GWCF</w:t>
            </w:r>
          </w:p>
        </w:tc>
        <w:tc>
          <w:tcPr>
            <w:tcW w:w="6662" w:type="dxa"/>
          </w:tcPr>
          <w:p w:rsidR="00F62272" w:rsidRPr="00AC02E1" w:rsidRDefault="00F62272" w:rsidP="00842867">
            <w:r>
              <w:t>Gas Wholesale Consultative Forum</w:t>
            </w:r>
          </w:p>
        </w:tc>
      </w:tr>
      <w:tr w:rsidR="00F62272"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F62272" w:rsidRDefault="00F62272" w:rsidP="00842867">
            <w:r>
              <w:t>LNG</w:t>
            </w:r>
          </w:p>
        </w:tc>
        <w:tc>
          <w:tcPr>
            <w:tcW w:w="6662" w:type="dxa"/>
          </w:tcPr>
          <w:p w:rsidR="00F62272" w:rsidRDefault="00F62272" w:rsidP="00842867">
            <w:r>
              <w:t>Liquefied Natural Gas</w:t>
            </w:r>
          </w:p>
        </w:tc>
      </w:tr>
      <w:tr w:rsidR="00842867" w:rsidRPr="00170D31" w:rsidTr="00842867">
        <w:trPr>
          <w:trHeight w:val="227"/>
        </w:trPr>
        <w:tc>
          <w:tcPr>
            <w:tcW w:w="2518" w:type="dxa"/>
          </w:tcPr>
          <w:p w:rsidR="00842867" w:rsidRPr="00AC02E1" w:rsidRDefault="00842867" w:rsidP="00842867">
            <w:r w:rsidRPr="00AC02E1">
              <w:t>MAP</w:t>
            </w:r>
          </w:p>
        </w:tc>
        <w:tc>
          <w:tcPr>
            <w:tcW w:w="6662" w:type="dxa"/>
          </w:tcPr>
          <w:p w:rsidR="00842867" w:rsidRPr="00AC02E1" w:rsidRDefault="00842867" w:rsidP="00842867">
            <w:r w:rsidRPr="00AC02E1">
              <w:t>Moomba to Adelaide pipeline</w:t>
            </w:r>
          </w:p>
        </w:tc>
      </w:tr>
      <w:tr w:rsidR="00842867"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842867" w:rsidRPr="00AC02E1" w:rsidRDefault="00842867" w:rsidP="00842867">
            <w:r w:rsidRPr="00AC02E1">
              <w:t>MOS</w:t>
            </w:r>
          </w:p>
        </w:tc>
        <w:tc>
          <w:tcPr>
            <w:tcW w:w="6662" w:type="dxa"/>
          </w:tcPr>
          <w:p w:rsidR="00842867" w:rsidRPr="00AC02E1" w:rsidRDefault="00842867" w:rsidP="00842867">
            <w:r w:rsidRPr="00AC02E1">
              <w:t>Market Operator Service</w:t>
            </w:r>
          </w:p>
        </w:tc>
      </w:tr>
      <w:tr w:rsidR="00F62272" w:rsidRPr="00170D31" w:rsidTr="00842867">
        <w:trPr>
          <w:trHeight w:val="227"/>
        </w:trPr>
        <w:tc>
          <w:tcPr>
            <w:tcW w:w="2518" w:type="dxa"/>
          </w:tcPr>
          <w:p w:rsidR="00F62272" w:rsidRPr="00AC02E1" w:rsidRDefault="00F62272" w:rsidP="00842867">
            <w:r>
              <w:t>MSD</w:t>
            </w:r>
          </w:p>
        </w:tc>
        <w:tc>
          <w:tcPr>
            <w:tcW w:w="6662" w:type="dxa"/>
          </w:tcPr>
          <w:p w:rsidR="00F62272" w:rsidRPr="00AC02E1" w:rsidRDefault="00F62272" w:rsidP="00842867">
            <w:r>
              <w:t>MOS Stack Daily</w:t>
            </w:r>
          </w:p>
        </w:tc>
      </w:tr>
      <w:tr w:rsidR="00842867"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842867" w:rsidRPr="00AC02E1" w:rsidRDefault="00842867" w:rsidP="00842867">
            <w:r w:rsidRPr="00AC02E1">
              <w:lastRenderedPageBreak/>
              <w:t xml:space="preserve">MW </w:t>
            </w:r>
          </w:p>
        </w:tc>
        <w:tc>
          <w:tcPr>
            <w:tcW w:w="6662" w:type="dxa"/>
          </w:tcPr>
          <w:p w:rsidR="00842867" w:rsidRPr="00AC02E1" w:rsidRDefault="00842867" w:rsidP="00842867">
            <w:r w:rsidRPr="00AC02E1">
              <w:t>Megawatt</w:t>
            </w:r>
          </w:p>
        </w:tc>
      </w:tr>
      <w:tr w:rsidR="00842867" w:rsidRPr="00170D31" w:rsidTr="00842867">
        <w:trPr>
          <w:trHeight w:val="227"/>
        </w:trPr>
        <w:tc>
          <w:tcPr>
            <w:tcW w:w="2518" w:type="dxa"/>
          </w:tcPr>
          <w:p w:rsidR="00842867" w:rsidRPr="00AC02E1" w:rsidRDefault="00842867" w:rsidP="00842867">
            <w:r w:rsidRPr="00AC02E1">
              <w:t xml:space="preserve">MWh </w:t>
            </w:r>
          </w:p>
        </w:tc>
        <w:tc>
          <w:tcPr>
            <w:tcW w:w="6662" w:type="dxa"/>
          </w:tcPr>
          <w:p w:rsidR="00842867" w:rsidRPr="00AC02E1" w:rsidRDefault="00842867" w:rsidP="00842867">
            <w:r w:rsidRPr="00AC02E1">
              <w:t>Megawatt hour</w:t>
            </w:r>
          </w:p>
        </w:tc>
      </w:tr>
      <w:tr w:rsidR="00842867"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842867" w:rsidRPr="00AC02E1" w:rsidRDefault="00842867" w:rsidP="00842867">
            <w:r w:rsidRPr="00AC02E1">
              <w:t xml:space="preserve">National Electricity Act </w:t>
            </w:r>
          </w:p>
        </w:tc>
        <w:tc>
          <w:tcPr>
            <w:tcW w:w="6662" w:type="dxa"/>
          </w:tcPr>
          <w:p w:rsidR="00842867" w:rsidRPr="00AC02E1" w:rsidRDefault="00E022F1" w:rsidP="00842867">
            <w:r w:rsidRPr="00E022F1">
              <w:rPr>
                <w:sz w:val="22"/>
              </w:rPr>
              <w:t>National Electricity (South Australia) Act 1996 (South Australia)</w:t>
            </w:r>
          </w:p>
        </w:tc>
      </w:tr>
      <w:tr w:rsidR="00842867" w:rsidRPr="00170D31" w:rsidTr="00842867">
        <w:trPr>
          <w:trHeight w:val="227"/>
        </w:trPr>
        <w:tc>
          <w:tcPr>
            <w:tcW w:w="2518" w:type="dxa"/>
          </w:tcPr>
          <w:p w:rsidR="00842867" w:rsidRPr="00AC02E1" w:rsidRDefault="00842867" w:rsidP="00842867">
            <w:r w:rsidRPr="00AC02E1">
              <w:t xml:space="preserve">National Gas Act </w:t>
            </w:r>
          </w:p>
        </w:tc>
        <w:tc>
          <w:tcPr>
            <w:tcW w:w="6662" w:type="dxa"/>
          </w:tcPr>
          <w:p w:rsidR="00842867" w:rsidRPr="00AC02E1" w:rsidRDefault="00E022F1" w:rsidP="00842867">
            <w:r w:rsidRPr="00E022F1">
              <w:rPr>
                <w:sz w:val="22"/>
              </w:rPr>
              <w:t>National Gas (South Australia) Act 2008 (South Australia)</w:t>
            </w:r>
          </w:p>
        </w:tc>
      </w:tr>
      <w:tr w:rsidR="00842867"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842867" w:rsidRPr="00AC02E1" w:rsidRDefault="00842867" w:rsidP="00842867">
            <w:r w:rsidRPr="00AC02E1">
              <w:t xml:space="preserve">NEM </w:t>
            </w:r>
          </w:p>
        </w:tc>
        <w:tc>
          <w:tcPr>
            <w:tcW w:w="6662" w:type="dxa"/>
          </w:tcPr>
          <w:p w:rsidR="00842867" w:rsidRPr="00AC02E1" w:rsidRDefault="00842867" w:rsidP="00842867">
            <w:r w:rsidRPr="00AC02E1">
              <w:t>National Electricity Market</w:t>
            </w:r>
          </w:p>
        </w:tc>
      </w:tr>
      <w:tr w:rsidR="00F62272" w:rsidRPr="00170D31" w:rsidTr="00842867">
        <w:trPr>
          <w:trHeight w:val="227"/>
        </w:trPr>
        <w:tc>
          <w:tcPr>
            <w:tcW w:w="2518" w:type="dxa"/>
          </w:tcPr>
          <w:p w:rsidR="00F62272" w:rsidRPr="00AC02E1" w:rsidRDefault="00F62272" w:rsidP="00842867">
            <w:r>
              <w:t>PAD</w:t>
            </w:r>
          </w:p>
        </w:tc>
        <w:tc>
          <w:tcPr>
            <w:tcW w:w="6662" w:type="dxa"/>
          </w:tcPr>
          <w:p w:rsidR="00F62272" w:rsidRPr="00AC02E1" w:rsidRDefault="00F62272" w:rsidP="00842867">
            <w:r>
              <w:t>Pipeline Allocation Daily</w:t>
            </w:r>
          </w:p>
        </w:tc>
      </w:tr>
      <w:tr w:rsidR="00F62272"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F62272" w:rsidRPr="00AC02E1" w:rsidRDefault="00F62272" w:rsidP="00842867">
            <w:r w:rsidRPr="00AC02E1">
              <w:t>QCR</w:t>
            </w:r>
          </w:p>
        </w:tc>
        <w:tc>
          <w:tcPr>
            <w:tcW w:w="6662" w:type="dxa"/>
          </w:tcPr>
          <w:p w:rsidR="00F62272" w:rsidRPr="00AC02E1" w:rsidRDefault="00F62272" w:rsidP="00842867">
            <w:r w:rsidRPr="00AC02E1">
              <w:t>The AER’s quarterly compliance report</w:t>
            </w:r>
          </w:p>
        </w:tc>
      </w:tr>
      <w:tr w:rsidR="00F62272" w:rsidRPr="00170D31" w:rsidTr="00842867">
        <w:trPr>
          <w:trHeight w:val="227"/>
        </w:trPr>
        <w:tc>
          <w:tcPr>
            <w:tcW w:w="2518" w:type="dxa"/>
          </w:tcPr>
          <w:p w:rsidR="00F62272" w:rsidRPr="00AC02E1" w:rsidRDefault="00F62272" w:rsidP="00842867">
            <w:r w:rsidRPr="00AC02E1">
              <w:t>QGP</w:t>
            </w:r>
          </w:p>
        </w:tc>
        <w:tc>
          <w:tcPr>
            <w:tcW w:w="6662" w:type="dxa"/>
          </w:tcPr>
          <w:p w:rsidR="00F62272" w:rsidRPr="00AC02E1" w:rsidRDefault="00F62272" w:rsidP="00842867">
            <w:r w:rsidRPr="00AC02E1">
              <w:t>Queensland Gas Pipeline</w:t>
            </w:r>
          </w:p>
        </w:tc>
      </w:tr>
      <w:tr w:rsidR="00F62272"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F62272" w:rsidRPr="00AC02E1" w:rsidRDefault="00F62272" w:rsidP="00842867">
            <w:r w:rsidRPr="00AC02E1">
              <w:t>RBP</w:t>
            </w:r>
          </w:p>
        </w:tc>
        <w:tc>
          <w:tcPr>
            <w:tcW w:w="6662" w:type="dxa"/>
          </w:tcPr>
          <w:p w:rsidR="00F62272" w:rsidRPr="00AC02E1" w:rsidRDefault="00F62272" w:rsidP="00842867">
            <w:r w:rsidRPr="00AC02E1">
              <w:t>Roma-to-Brisbane Pipeline</w:t>
            </w:r>
          </w:p>
        </w:tc>
      </w:tr>
      <w:tr w:rsidR="00F62272" w:rsidRPr="00170D31" w:rsidTr="00842867">
        <w:trPr>
          <w:trHeight w:val="227"/>
        </w:trPr>
        <w:tc>
          <w:tcPr>
            <w:tcW w:w="2518" w:type="dxa"/>
          </w:tcPr>
          <w:p w:rsidR="00F62272" w:rsidRPr="00AC02E1" w:rsidRDefault="00F62272" w:rsidP="00842867">
            <w:r w:rsidRPr="00AC02E1">
              <w:t>SPV</w:t>
            </w:r>
          </w:p>
        </w:tc>
        <w:tc>
          <w:tcPr>
            <w:tcW w:w="6662" w:type="dxa"/>
          </w:tcPr>
          <w:p w:rsidR="00F62272" w:rsidRPr="00AC02E1" w:rsidRDefault="00F62272" w:rsidP="00842867">
            <w:r w:rsidRPr="00AC02E1">
              <w:t>Significant Price Variation</w:t>
            </w:r>
          </w:p>
        </w:tc>
      </w:tr>
      <w:tr w:rsidR="00F62272"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F62272" w:rsidRPr="00AC02E1" w:rsidRDefault="00F62272" w:rsidP="00842867">
            <w:r w:rsidRPr="00AC02E1">
              <w:t>STTM</w:t>
            </w:r>
          </w:p>
        </w:tc>
        <w:tc>
          <w:tcPr>
            <w:tcW w:w="6662" w:type="dxa"/>
          </w:tcPr>
          <w:p w:rsidR="00F62272" w:rsidRPr="00AC02E1" w:rsidRDefault="00F62272" w:rsidP="00842867">
            <w:r w:rsidRPr="00AC02E1">
              <w:t>Short Term Trading Market</w:t>
            </w:r>
          </w:p>
        </w:tc>
      </w:tr>
      <w:tr w:rsidR="00F62272" w:rsidRPr="00170D31" w:rsidTr="00842867">
        <w:trPr>
          <w:trHeight w:val="227"/>
        </w:trPr>
        <w:tc>
          <w:tcPr>
            <w:tcW w:w="2518" w:type="dxa"/>
          </w:tcPr>
          <w:p w:rsidR="00F62272" w:rsidRPr="00AC02E1" w:rsidRDefault="00F62272" w:rsidP="00842867">
            <w:r w:rsidRPr="00AC02E1">
              <w:t>SWQP</w:t>
            </w:r>
          </w:p>
        </w:tc>
        <w:tc>
          <w:tcPr>
            <w:tcW w:w="6662" w:type="dxa"/>
          </w:tcPr>
          <w:p w:rsidR="00F62272" w:rsidRPr="00AC02E1" w:rsidRDefault="00F62272" w:rsidP="00842867">
            <w:r w:rsidRPr="00AC02E1">
              <w:t>South West Queensland Pipeline</w:t>
            </w:r>
          </w:p>
        </w:tc>
      </w:tr>
      <w:tr w:rsidR="00F62272" w:rsidRPr="00170D31" w:rsidTr="00842867">
        <w:trPr>
          <w:cnfStyle w:val="000000010000" w:firstRow="0" w:lastRow="0" w:firstColumn="0" w:lastColumn="0" w:oddVBand="0" w:evenVBand="0" w:oddHBand="0" w:evenHBand="1" w:firstRowFirstColumn="0" w:firstRowLastColumn="0" w:lastRowFirstColumn="0" w:lastRowLastColumn="0"/>
          <w:trHeight w:val="227"/>
        </w:trPr>
        <w:tc>
          <w:tcPr>
            <w:tcW w:w="2518" w:type="dxa"/>
          </w:tcPr>
          <w:p w:rsidR="00F62272" w:rsidRPr="00AC02E1" w:rsidRDefault="00F62272" w:rsidP="00842867">
            <w:r w:rsidRPr="00AC02E1">
              <w:t>TJ</w:t>
            </w:r>
          </w:p>
        </w:tc>
        <w:tc>
          <w:tcPr>
            <w:tcW w:w="6662" w:type="dxa"/>
          </w:tcPr>
          <w:p w:rsidR="00F62272" w:rsidRPr="00AC02E1" w:rsidRDefault="00F62272" w:rsidP="00842867">
            <w:r w:rsidRPr="00AC02E1">
              <w:t>Terajoules</w:t>
            </w:r>
          </w:p>
        </w:tc>
      </w:tr>
    </w:tbl>
    <w:p w:rsidR="00842867" w:rsidRDefault="00842867" w:rsidP="00842867">
      <w:bookmarkStart w:id="30" w:name="_GoBack"/>
      <w:bookmarkEnd w:id="30"/>
    </w:p>
    <w:p w:rsidR="00842867" w:rsidRDefault="00842867" w:rsidP="00842867"/>
    <w:sectPr w:rsidR="00842867" w:rsidSect="00842867">
      <w:footerReference w:type="even" r:id="rId21"/>
      <w:footerReference w:type="default" r:id="rId22"/>
      <w:footerReference w:type="first" r:id="rId23"/>
      <w:pgSz w:w="11906" w:h="16838"/>
      <w:pgMar w:top="1440" w:right="1440" w:bottom="1440" w:left="1440" w:header="708" w:footer="8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270" w:rsidRDefault="00573270">
      <w:pPr>
        <w:spacing w:before="0" w:line="240" w:lineRule="auto"/>
      </w:pPr>
      <w:r>
        <w:separator/>
      </w:r>
    </w:p>
  </w:endnote>
  <w:endnote w:type="continuationSeparator" w:id="0">
    <w:p w:rsidR="00573270" w:rsidRDefault="0057327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70" w:rsidRPr="007A4D1F" w:rsidRDefault="00573270" w:rsidP="00842867">
    <w:pPr>
      <w:tabs>
        <w:tab w:val="left" w:pos="1623"/>
        <w:tab w:val="center" w:pos="4513"/>
        <w:tab w:val="right" w:pos="9026"/>
      </w:tabs>
      <w:spacing w:after="120"/>
      <w:rPr>
        <w:rFonts w:eastAsia="Arial" w:cs="Times New Roman"/>
        <w:color w:val="076A92" w:themeColor="text1"/>
        <w:sz w:val="18"/>
      </w:rPr>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sidR="00192D68">
      <w:rPr>
        <w:rFonts w:eastAsia="Arial" w:cs="Times New Roman"/>
        <w:color w:val="076A92" w:themeColor="text1"/>
        <w:sz w:val="18"/>
      </w:rPr>
      <w:fldChar w:fldCharType="separate"/>
    </w:r>
    <w:r w:rsidR="00192D68">
      <w:rPr>
        <w:rFonts w:eastAsia="Arial" w:cs="Times New Roman"/>
        <w:noProof/>
        <w:color w:val="076A92" w:themeColor="text1"/>
        <w:sz w:val="18"/>
      </w:rPr>
      <w:t>Quarterly Compliance Report:</w:t>
    </w:r>
    <w:r>
      <w:rPr>
        <w:rFonts w:eastAsia="Arial" w:cs="Times New Roman"/>
        <w:color w:val="076A92" w:themeColor="text1"/>
        <w:sz w:val="18"/>
      </w:rPr>
      <w:fldChar w:fldCharType="end"/>
    </w:r>
    <w:r>
      <w:rPr>
        <w:rFonts w:eastAsia="Arial" w:cs="Times New Roman"/>
        <w:color w:val="076A92" w:themeColor="text1"/>
        <w:sz w:val="18"/>
      </w:rPr>
      <w:t xml:space="preserve"> December 2014</w:t>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192D68">
      <w:rPr>
        <w:rFonts w:eastAsia="Arial" w:cs="Times New Roman"/>
        <w:noProof/>
        <w:color w:val="076A92" w:themeColor="text1"/>
        <w:sz w:val="18"/>
      </w:rPr>
      <w:t>iii</w:t>
    </w:r>
    <w:r w:rsidRPr="007A4D1F">
      <w:rPr>
        <w:rFonts w:eastAsia="Arial" w:cs="Times New Roman"/>
        <w:noProof/>
        <w:color w:val="076A92" w:themeColor="text1"/>
        <w:sz w:val="18"/>
      </w:rPr>
      <w:fldChar w:fldCharType="end"/>
    </w:r>
    <w:r w:rsidRPr="007A4D1F">
      <w:rPr>
        <w:rFonts w:eastAsia="Arial" w:cs="Times New Roman"/>
        <w:color w:val="076A92" w:themeColor="text1"/>
        <w:sz w:val="18"/>
      </w:rPr>
      <w:tab/>
    </w:r>
  </w:p>
  <w:p w:rsidR="00573270" w:rsidRDefault="00573270" w:rsidP="00842867">
    <w:pPr>
      <w:pStyle w:val="Footer"/>
      <w:tabs>
        <w:tab w:val="clear" w:pos="4513"/>
        <w:tab w:val="clear" w:pos="9026"/>
        <w:tab w:val="left" w:pos="85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70" w:rsidRPr="00A91A9E" w:rsidRDefault="00573270" w:rsidP="00842867">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73270" w:rsidRDefault="00573270"/>
  <w:p w:rsidR="00573270" w:rsidRDefault="0057327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70" w:rsidRDefault="00D41BE1" w:rsidP="00842867">
    <w:pPr>
      <w:pStyle w:val="Footer"/>
      <w:tabs>
        <w:tab w:val="clear" w:pos="9026"/>
        <w:tab w:val="right" w:pos="8505"/>
      </w:tabs>
    </w:pPr>
    <w:r>
      <w:fldChar w:fldCharType="begin"/>
    </w:r>
    <w:r>
      <w:instrText xml:space="preserve"> STYLEREF  "Report Title"  \* MERGEFORMAT </w:instrText>
    </w:r>
    <w:r>
      <w:fldChar w:fldCharType="separate"/>
    </w:r>
    <w:r>
      <w:rPr>
        <w:noProof/>
      </w:rPr>
      <w:t>Quarterly Compliance Report:</w:t>
    </w:r>
    <w:r>
      <w:rPr>
        <w:noProof/>
      </w:rPr>
      <w:fldChar w:fldCharType="end"/>
    </w:r>
    <w:r w:rsidR="00573270">
      <w:t xml:space="preserve"> December 2014</w:t>
    </w:r>
    <w:r w:rsidR="00573270">
      <w:tab/>
    </w:r>
    <w:r w:rsidR="00573270">
      <w:tab/>
    </w:r>
    <w:r w:rsidR="00573270">
      <w:fldChar w:fldCharType="begin"/>
    </w:r>
    <w:r w:rsidR="00573270">
      <w:instrText xml:space="preserve"> PAGE   \* MERGEFORMAT </w:instrText>
    </w:r>
    <w:r w:rsidR="00573270">
      <w:fldChar w:fldCharType="separate"/>
    </w:r>
    <w:r>
      <w:rPr>
        <w:noProof/>
      </w:rPr>
      <w:t>17</w:t>
    </w:r>
    <w:r w:rsidR="00573270">
      <w:rPr>
        <w:noProof/>
      </w:rPr>
      <w:fldChar w:fldCharType="end"/>
    </w:r>
  </w:p>
  <w:p w:rsidR="00573270" w:rsidRDefault="00573270"/>
  <w:p w:rsidR="00573270" w:rsidRDefault="0057327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70" w:rsidRDefault="00D41BE1" w:rsidP="00842867">
    <w:pPr>
      <w:pStyle w:val="Footer"/>
      <w:tabs>
        <w:tab w:val="clear" w:pos="9026"/>
        <w:tab w:val="right" w:pos="8505"/>
      </w:tabs>
    </w:pPr>
    <w:r>
      <w:fldChar w:fldCharType="begin"/>
    </w:r>
    <w:r>
      <w:instrText xml:space="preserve"> STYLEREF  "Report Title"  \* MERGEFORMAT </w:instrText>
    </w:r>
    <w:r>
      <w:fldChar w:fldCharType="separate"/>
    </w:r>
    <w:r w:rsidR="00192D68">
      <w:rPr>
        <w:noProof/>
      </w:rPr>
      <w:t>Quarterly Compliance Report:</w:t>
    </w:r>
    <w:r>
      <w:rPr>
        <w:noProof/>
      </w:rPr>
      <w:fldChar w:fldCharType="end"/>
    </w:r>
    <w:r w:rsidR="00573270">
      <w:rPr>
        <w:noProof/>
      </w:rPr>
      <w:t xml:space="preserve"> December 2014</w:t>
    </w:r>
    <w:r w:rsidR="00573270">
      <w:tab/>
    </w:r>
    <w:r w:rsidR="00573270">
      <w:tab/>
    </w:r>
    <w:r w:rsidR="00573270">
      <w:fldChar w:fldCharType="begin"/>
    </w:r>
    <w:r w:rsidR="00573270">
      <w:instrText xml:space="preserve"> PAGE   \* MERGEFORMAT </w:instrText>
    </w:r>
    <w:r w:rsidR="00573270">
      <w:fldChar w:fldCharType="separate"/>
    </w:r>
    <w:r w:rsidR="00192D68">
      <w:rPr>
        <w:noProof/>
      </w:rPr>
      <w:t>1</w:t>
    </w:r>
    <w:r w:rsidR="00573270">
      <w:fldChar w:fldCharType="end"/>
    </w:r>
  </w:p>
  <w:p w:rsidR="00573270" w:rsidRDefault="00573270">
    <w:pPr>
      <w:pStyle w:val="Footer"/>
    </w:pPr>
  </w:p>
  <w:p w:rsidR="00573270" w:rsidRDefault="00573270"/>
  <w:p w:rsidR="00573270" w:rsidRDefault="005732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270" w:rsidRDefault="00573270">
      <w:pPr>
        <w:spacing w:before="0" w:line="240" w:lineRule="auto"/>
      </w:pPr>
      <w:r>
        <w:separator/>
      </w:r>
    </w:p>
  </w:footnote>
  <w:footnote w:type="continuationSeparator" w:id="0">
    <w:p w:rsidR="00573270" w:rsidRDefault="00573270">
      <w:pPr>
        <w:spacing w:before="0" w:line="240" w:lineRule="auto"/>
      </w:pPr>
      <w:r>
        <w:continuationSeparator/>
      </w:r>
    </w:p>
  </w:footnote>
  <w:footnote w:id="1">
    <w:p w:rsidR="00573270" w:rsidRDefault="00573270" w:rsidP="00F531CF">
      <w:pPr>
        <w:pStyle w:val="FootnoteText"/>
        <w:jc w:val="both"/>
      </w:pPr>
      <w:r>
        <w:rPr>
          <w:rStyle w:val="FootnoteReference"/>
        </w:rPr>
        <w:footnoteRef/>
      </w:r>
      <w:r>
        <w:t xml:space="preserve"> </w:t>
      </w:r>
      <w:r w:rsidRPr="000410DE">
        <w:t>Entities registered by AEMO under Chapter 2 of the Electricity Rules or in accordance with Part 15A of the Gas Rules.</w:t>
      </w:r>
    </w:p>
  </w:footnote>
  <w:footnote w:id="2">
    <w:p w:rsidR="00573270" w:rsidRDefault="00573270" w:rsidP="003D3089">
      <w:pPr>
        <w:pStyle w:val="FootnoteText"/>
        <w:ind w:left="0" w:firstLine="0"/>
        <w:jc w:val="both"/>
      </w:pPr>
      <w:r>
        <w:rPr>
          <w:rStyle w:val="FootnoteReference"/>
        </w:rPr>
        <w:footnoteRef/>
      </w:r>
      <w:r>
        <w:t xml:space="preserve"> The Statement of Approach can be found </w:t>
      </w:r>
      <w:hyperlink r:id="rId1" w:history="1">
        <w:r w:rsidRPr="000410DE">
          <w:rPr>
            <w:rStyle w:val="Hyperlink"/>
            <w:sz w:val="16"/>
          </w:rPr>
          <w:t>here</w:t>
        </w:r>
      </w:hyperlink>
      <w:r>
        <w:t xml:space="preserve">. </w:t>
      </w:r>
      <w:r w:rsidRPr="000410DE">
        <w:t>In April 2014, the AER released a combined Enforcement and Compliance Statement of Approach covering our functions under the Gas Law, Electricity Law and National Energy Retail Law. The document reflects the consistent approach taken by the AER to enforcing the energy laws across all markets.</w:t>
      </w:r>
    </w:p>
  </w:footnote>
  <w:footnote w:id="3">
    <w:p w:rsidR="00573270" w:rsidRDefault="00573270">
      <w:pPr>
        <w:pStyle w:val="FootnoteText"/>
      </w:pPr>
      <w:r>
        <w:rPr>
          <w:rStyle w:val="FootnoteReference"/>
        </w:rPr>
        <w:footnoteRef/>
      </w:r>
      <w:r>
        <w:t xml:space="preserve"> Rule 545 of the National Gas Rules.</w:t>
      </w:r>
    </w:p>
  </w:footnote>
  <w:footnote w:id="4">
    <w:p w:rsidR="00573270" w:rsidRDefault="00573270" w:rsidP="001D0C57">
      <w:pPr>
        <w:pStyle w:val="FootnoteText"/>
        <w:ind w:left="0" w:firstLine="0"/>
      </w:pPr>
      <w:r>
        <w:rPr>
          <w:rStyle w:val="FootnoteReference"/>
        </w:rPr>
        <w:footnoteRef/>
      </w:r>
      <w:r>
        <w:t xml:space="preserve"> The volume weighted average (VWA) price is the average of all products traded on a trade day. The VWA price for each separate pipeline uses the price for products traded on that pipeline, volume weighted by the pipeline’s traded quantity.</w:t>
      </w:r>
    </w:p>
  </w:footnote>
  <w:footnote w:id="5">
    <w:p w:rsidR="00573270" w:rsidRDefault="00573270" w:rsidP="00BE1359">
      <w:pPr>
        <w:pStyle w:val="FootnoteText"/>
      </w:pPr>
      <w:r>
        <w:rPr>
          <w:rStyle w:val="FootnoteReference"/>
        </w:rPr>
        <w:footnoteRef/>
      </w:r>
      <w:r>
        <w:t xml:space="preserve"> This was announced in the December Quarter 2010 QCR.</w:t>
      </w:r>
    </w:p>
  </w:footnote>
  <w:footnote w:id="6">
    <w:p w:rsidR="00573270" w:rsidRDefault="00573270" w:rsidP="009C5205">
      <w:pPr>
        <w:pStyle w:val="FootnoteText"/>
      </w:pPr>
      <w:r>
        <w:rPr>
          <w:rStyle w:val="FootnoteReference"/>
        </w:rPr>
        <w:footnoteRef/>
      </w:r>
      <w:r>
        <w:t xml:space="preserve"> </w:t>
      </w:r>
      <w:r w:rsidRPr="00875C67">
        <w:t xml:space="preserve">The Compliance Bulletin can be found </w:t>
      </w:r>
      <w:hyperlink r:id="rId2" w:history="1">
        <w:r w:rsidRPr="00CA03F9">
          <w:rPr>
            <w:rStyle w:val="Hyperlink"/>
            <w:sz w:val="16"/>
          </w:rPr>
          <w:t>here</w:t>
        </w:r>
      </w:hyperlink>
      <w:r>
        <w:t xml:space="preserve">. </w:t>
      </w:r>
    </w:p>
  </w:footnote>
  <w:footnote w:id="7">
    <w:p w:rsidR="00573270" w:rsidRDefault="00573270">
      <w:pPr>
        <w:pStyle w:val="FootnoteText"/>
      </w:pPr>
      <w:r w:rsidRPr="00CD5D6B">
        <w:rPr>
          <w:rStyle w:val="FootnoteReference"/>
        </w:rPr>
        <w:footnoteRef/>
      </w:r>
      <w:r w:rsidRPr="00CD5D6B">
        <w:t xml:space="preserve"> </w:t>
      </w:r>
      <w:hyperlink r:id="rId3" w:history="1">
        <w:r w:rsidRPr="001D0C57">
          <w:rPr>
            <w:rStyle w:val="Hyperlink"/>
            <w:sz w:val="16"/>
          </w:rPr>
          <w:t>QCR 2 2014, can be found here</w:t>
        </w:r>
      </w:hyperlink>
      <w:r w:rsidRPr="00CD5D6B">
        <w:t>.</w:t>
      </w:r>
      <w:r>
        <w:t xml:space="preserve"> </w:t>
      </w:r>
    </w:p>
  </w:footnote>
  <w:footnote w:id="8">
    <w:p w:rsidR="00573270" w:rsidRDefault="00573270">
      <w:pPr>
        <w:pStyle w:val="FootnoteText"/>
      </w:pPr>
      <w:r>
        <w:rPr>
          <w:rStyle w:val="FootnoteReference"/>
        </w:rPr>
        <w:footnoteRef/>
      </w:r>
      <w:r>
        <w:t xml:space="preserve"> Rule 420(2) of the Gas Rules</w:t>
      </w:r>
    </w:p>
  </w:footnote>
  <w:footnote w:id="9">
    <w:p w:rsidR="00573270" w:rsidRDefault="00573270" w:rsidP="00DE21ED">
      <w:pPr>
        <w:pStyle w:val="FootnoteText"/>
      </w:pPr>
      <w:r>
        <w:rPr>
          <w:rStyle w:val="FootnoteReference"/>
        </w:rPr>
        <w:footnoteRef/>
      </w:r>
      <w:r>
        <w:t xml:space="preserve"> The report can be found </w:t>
      </w:r>
      <w:hyperlink r:id="rId4" w:history="1">
        <w:r w:rsidRPr="000410DE">
          <w:rPr>
            <w:rStyle w:val="Hyperlink"/>
            <w:sz w:val="16"/>
          </w:rPr>
          <w:t>here</w:t>
        </w:r>
      </w:hyperlink>
      <w:r>
        <w:t>.</w:t>
      </w:r>
    </w:p>
  </w:footnote>
  <w:footnote w:id="10">
    <w:p w:rsidR="00573270" w:rsidRDefault="00573270">
      <w:pPr>
        <w:pStyle w:val="FootnoteText"/>
      </w:pPr>
      <w:r>
        <w:rPr>
          <w:rStyle w:val="FootnoteReference"/>
        </w:rPr>
        <w:footnoteRef/>
      </w:r>
      <w:r>
        <w:t xml:space="preserve"> The September </w:t>
      </w:r>
      <w:r w:rsidRPr="00CD5D6B">
        <w:t xml:space="preserve">quarter </w:t>
      </w:r>
      <w:r w:rsidRPr="00F531CF">
        <w:t xml:space="preserve">QCR can be found </w:t>
      </w:r>
      <w:hyperlink r:id="rId5" w:history="1">
        <w:r w:rsidRPr="00F531CF">
          <w:rPr>
            <w:rStyle w:val="Hyperlink"/>
            <w:sz w:val="16"/>
          </w:rPr>
          <w:t>here</w:t>
        </w:r>
      </w:hyperlink>
      <w:r w:rsidRPr="00F531CF">
        <w:t>.</w:t>
      </w:r>
    </w:p>
  </w:footnote>
  <w:footnote w:id="11">
    <w:p w:rsidR="00573270" w:rsidRDefault="00573270">
      <w:pPr>
        <w:pStyle w:val="FootnoteText"/>
      </w:pPr>
      <w:r>
        <w:rPr>
          <w:rStyle w:val="FootnoteReference"/>
        </w:rPr>
        <w:footnoteRef/>
      </w:r>
      <w:r>
        <w:t xml:space="preserve"> The requirement changed from a 3 day outlook to a seven day outlook in January 2015.</w:t>
      </w:r>
    </w:p>
  </w:footnote>
  <w:footnote w:id="12">
    <w:p w:rsidR="00573270" w:rsidRDefault="00573270" w:rsidP="002B7FDE">
      <w:pPr>
        <w:pStyle w:val="FootnoteText"/>
        <w:jc w:val="both"/>
      </w:pPr>
      <w:r>
        <w:rPr>
          <w:rStyle w:val="FootnoteReference"/>
        </w:rPr>
        <w:footnoteRef/>
      </w:r>
      <w:r>
        <w:t xml:space="preserve"> </w:t>
      </w:r>
      <w:r>
        <w:tab/>
      </w:r>
      <w:r w:rsidRPr="00962E95">
        <w:t>Market participants must provide to AEMO, at the same time as a rebid is made, a brief, verifiable and specific reason for the rebid, plus the time at which the reason for the rebid occurred. Equivalent requirements apply where AEMO is advised, under clause 3.8.19 of the Electricity Rules, that a unit, service or load is inflexible. Clause 3.8.22A of the Electricity Rules requires that dispatch offers, dispatch bids and rebids are made in ‘good faith’.</w:t>
      </w:r>
    </w:p>
  </w:footnote>
  <w:footnote w:id="13">
    <w:p w:rsidR="00573270" w:rsidRDefault="00573270" w:rsidP="002B7FDE">
      <w:pPr>
        <w:pStyle w:val="FootnoteText"/>
        <w:jc w:val="both"/>
      </w:pPr>
      <w:r>
        <w:rPr>
          <w:rStyle w:val="FootnoteReference"/>
        </w:rPr>
        <w:footnoteRef/>
      </w:r>
      <w:r>
        <w:t xml:space="preserve"> </w:t>
      </w:r>
      <w:r>
        <w:tab/>
      </w:r>
      <w:r w:rsidRPr="00962E95">
        <w:t xml:space="preserve">In June 2012, we published an updated </w:t>
      </w:r>
      <w:hyperlink r:id="rId6" w:history="1">
        <w:r w:rsidRPr="001D0C57">
          <w:rPr>
            <w:rStyle w:val="Hyperlink"/>
            <w:sz w:val="16"/>
            <w:szCs w:val="16"/>
          </w:rPr>
          <w:t>Compliance Bulletin No. 3</w:t>
        </w:r>
      </w:hyperlink>
      <w:r w:rsidRPr="00CC527D">
        <w:rPr>
          <w:rStyle w:val="Hyperlink"/>
          <w:sz w:val="16"/>
          <w:szCs w:val="16"/>
        </w:rPr>
        <w:t xml:space="preserve"> </w:t>
      </w:r>
      <w:r w:rsidRPr="002B7FDE">
        <w:rPr>
          <w:szCs w:val="16"/>
        </w:rPr>
        <w:t>to</w:t>
      </w:r>
      <w:r w:rsidRPr="00962E95">
        <w:t xml:space="preserve"> make it clear that, for the purposes of administering the three stage process and issuing warnings, we will rely on the cumulative count of non-compliant bids for all generating units under the same portfolio. In other words, where a parent company employs a common trading team for the bidding of multiple generating units in its portfolio, irrespective of whether these generators are different registered participants, we will count any non-compliant bids by that trading team together.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C82731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026C3A"/>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E894E58"/>
    <w:multiLevelType w:val="hybridMultilevel"/>
    <w:tmpl w:val="74EAAD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D25569F"/>
    <w:multiLevelType w:val="hybridMultilevel"/>
    <w:tmpl w:val="BFF47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361745DC"/>
    <w:multiLevelType w:val="hybridMultilevel"/>
    <w:tmpl w:val="96B2B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60571AE"/>
    <w:multiLevelType w:val="hybridMultilevel"/>
    <w:tmpl w:val="F7C84A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5EF0463"/>
    <w:multiLevelType w:val="multilevel"/>
    <w:tmpl w:val="DB468D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6">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7">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B193EB8"/>
    <w:multiLevelType w:val="hybridMultilevel"/>
    <w:tmpl w:val="9F24A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C8302FB"/>
    <w:multiLevelType w:val="multilevel"/>
    <w:tmpl w:val="1922B500"/>
    <w:lvl w:ilvl="0">
      <w:start w:val="1"/>
      <w:numFmt w:val="decimal"/>
      <w:lvlText w:val="%1"/>
      <w:lvlJc w:val="left"/>
      <w:pPr>
        <w:ind w:left="645" w:hanging="645"/>
      </w:pPr>
    </w:lvl>
    <w:lvl w:ilvl="1">
      <w:start w:val="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0">
    <w:nsid w:val="7E2819EC"/>
    <w:multiLevelType w:val="multilevel"/>
    <w:tmpl w:val="1250F310"/>
    <w:lvl w:ilvl="0">
      <w:start w:val="1"/>
      <w:numFmt w:val="bullet"/>
      <w:pStyle w:val="Bulletpoint"/>
      <w:lvlText w:val=""/>
      <w:lvlJc w:val="left"/>
      <w:pPr>
        <w:ind w:left="1380" w:hanging="360"/>
      </w:pPr>
      <w:rPr>
        <w:rFonts w:ascii="Symbol" w:hAnsi="Symbol" w:hint="default"/>
      </w:rPr>
    </w:lvl>
    <w:lvl w:ilvl="1">
      <w:start w:val="1"/>
      <w:numFmt w:val="decimal"/>
      <w:lvlText w:val="%1.%2."/>
      <w:lvlJc w:val="left"/>
      <w:pPr>
        <w:ind w:left="1812" w:hanging="432"/>
      </w:pPr>
      <w:rPr>
        <w:rFonts w:hint="default"/>
      </w:rPr>
    </w:lvl>
    <w:lvl w:ilvl="2">
      <w:start w:val="1"/>
      <w:numFmt w:val="decimal"/>
      <w:lvlText w:val="%1.%2.%3."/>
      <w:lvlJc w:val="left"/>
      <w:pPr>
        <w:ind w:left="2244" w:hanging="504"/>
      </w:pPr>
      <w:rPr>
        <w:rFonts w:hint="default"/>
      </w:rPr>
    </w:lvl>
    <w:lvl w:ilvl="3">
      <w:start w:val="1"/>
      <w:numFmt w:val="decimal"/>
      <w:lvlText w:val="%1.%2.%3.%4."/>
      <w:lvlJc w:val="left"/>
      <w:pPr>
        <w:ind w:left="2748" w:hanging="648"/>
      </w:pPr>
      <w:rPr>
        <w:rFonts w:hint="default"/>
      </w:rPr>
    </w:lvl>
    <w:lvl w:ilvl="4">
      <w:start w:val="1"/>
      <w:numFmt w:val="decimal"/>
      <w:lvlText w:val="%1.%2.%3.%4.%5."/>
      <w:lvlJc w:val="left"/>
      <w:pPr>
        <w:ind w:left="3252" w:hanging="792"/>
      </w:pPr>
      <w:rPr>
        <w:rFonts w:hint="default"/>
      </w:rPr>
    </w:lvl>
    <w:lvl w:ilvl="5">
      <w:start w:val="1"/>
      <w:numFmt w:val="decimal"/>
      <w:lvlText w:val="%1.%2.%3.%4.%5.%6."/>
      <w:lvlJc w:val="left"/>
      <w:pPr>
        <w:ind w:left="3756" w:hanging="936"/>
      </w:pPr>
      <w:rPr>
        <w:rFonts w:hint="default"/>
      </w:rPr>
    </w:lvl>
    <w:lvl w:ilvl="6">
      <w:start w:val="1"/>
      <w:numFmt w:val="decimal"/>
      <w:lvlText w:val="%1.%2.%3.%4.%5.%6.%7."/>
      <w:lvlJc w:val="left"/>
      <w:pPr>
        <w:ind w:left="4260" w:hanging="1080"/>
      </w:pPr>
      <w:rPr>
        <w:rFonts w:hint="default"/>
      </w:rPr>
    </w:lvl>
    <w:lvl w:ilvl="7">
      <w:start w:val="1"/>
      <w:numFmt w:val="decimal"/>
      <w:lvlText w:val="%1.%2.%3.%4.%5.%6.%7.%8."/>
      <w:lvlJc w:val="left"/>
      <w:pPr>
        <w:ind w:left="4764" w:hanging="1224"/>
      </w:pPr>
      <w:rPr>
        <w:rFonts w:hint="default"/>
      </w:rPr>
    </w:lvl>
    <w:lvl w:ilvl="8">
      <w:start w:val="1"/>
      <w:numFmt w:val="decimal"/>
      <w:lvlText w:val="%1.%2.%3.%4.%5.%6.%7.%8.%9."/>
      <w:lvlJc w:val="left"/>
      <w:pPr>
        <w:ind w:left="5340" w:hanging="1440"/>
      </w:pPr>
      <w:rPr>
        <w:rFonts w:hint="default"/>
      </w:rPr>
    </w:lvl>
  </w:abstractNum>
  <w:num w:numId="1">
    <w:abstractNumId w:val="14"/>
  </w:num>
  <w:num w:numId="2">
    <w:abstractNumId w:val="30"/>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20"/>
  </w:num>
  <w:num w:numId="14">
    <w:abstractNumId w:val="12"/>
  </w:num>
  <w:num w:numId="15">
    <w:abstractNumId w:val="16"/>
  </w:num>
  <w:num w:numId="16">
    <w:abstractNumId w:val="22"/>
  </w:num>
  <w:num w:numId="17">
    <w:abstractNumId w:val="11"/>
  </w:num>
  <w:num w:numId="18">
    <w:abstractNumId w:val="18"/>
  </w:num>
  <w:num w:numId="19">
    <w:abstractNumId w:val="23"/>
  </w:num>
  <w:num w:numId="20">
    <w:abstractNumId w:val="27"/>
  </w:num>
  <w:num w:numId="21">
    <w:abstractNumId w:val="25"/>
  </w:num>
  <w:num w:numId="22">
    <w:abstractNumId w:val="9"/>
  </w:num>
  <w:num w:numId="23">
    <w:abstractNumId w:val="15"/>
  </w:num>
  <w:num w:numId="24">
    <w:abstractNumId w:val="10"/>
  </w:num>
  <w:num w:numId="25">
    <w:abstractNumId w:val="19"/>
  </w:num>
  <w:num w:numId="26">
    <w:abstractNumId w:val="28"/>
  </w:num>
  <w:num w:numId="27">
    <w:abstractNumId w:val="17"/>
  </w:num>
  <w:num w:numId="28">
    <w:abstractNumId w:val="21"/>
  </w:num>
  <w:num w:numId="2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4"/>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docVars>
    <w:docVar w:name="currentname" w:val="H:\trimdata\TRIM\TEMP\HPTRIM.7952\D15 18776  201502   QCR Q4 Oct to Dec 2014 MASTER.DOCX"/>
  </w:docVars>
  <w:rsids>
    <w:rsidRoot w:val="003974F8"/>
    <w:rsid w:val="00034E89"/>
    <w:rsid w:val="000410DE"/>
    <w:rsid w:val="00072507"/>
    <w:rsid w:val="0009432B"/>
    <w:rsid w:val="000A4D0C"/>
    <w:rsid w:val="000B150D"/>
    <w:rsid w:val="000C228E"/>
    <w:rsid w:val="000C78E9"/>
    <w:rsid w:val="000E2D61"/>
    <w:rsid w:val="000E5561"/>
    <w:rsid w:val="000F286B"/>
    <w:rsid w:val="00122B76"/>
    <w:rsid w:val="001429FF"/>
    <w:rsid w:val="00157A89"/>
    <w:rsid w:val="00192D68"/>
    <w:rsid w:val="001978F9"/>
    <w:rsid w:val="001A6922"/>
    <w:rsid w:val="001A7ECA"/>
    <w:rsid w:val="001B5A58"/>
    <w:rsid w:val="001B6913"/>
    <w:rsid w:val="001C0A14"/>
    <w:rsid w:val="001D0C57"/>
    <w:rsid w:val="001E0549"/>
    <w:rsid w:val="001F017A"/>
    <w:rsid w:val="00212AAD"/>
    <w:rsid w:val="00230C9E"/>
    <w:rsid w:val="00235A06"/>
    <w:rsid w:val="002625AD"/>
    <w:rsid w:val="002B7FDE"/>
    <w:rsid w:val="002C1A16"/>
    <w:rsid w:val="002C509B"/>
    <w:rsid w:val="00306BF2"/>
    <w:rsid w:val="00320CF3"/>
    <w:rsid w:val="00334562"/>
    <w:rsid w:val="00335993"/>
    <w:rsid w:val="00393F27"/>
    <w:rsid w:val="00394684"/>
    <w:rsid w:val="003974F8"/>
    <w:rsid w:val="003B3B83"/>
    <w:rsid w:val="003B3E73"/>
    <w:rsid w:val="003B5EAA"/>
    <w:rsid w:val="003C18D4"/>
    <w:rsid w:val="003D0A07"/>
    <w:rsid w:val="003D3089"/>
    <w:rsid w:val="003D6762"/>
    <w:rsid w:val="003D7E9C"/>
    <w:rsid w:val="003E374E"/>
    <w:rsid w:val="003F54A1"/>
    <w:rsid w:val="004033A3"/>
    <w:rsid w:val="00406CC6"/>
    <w:rsid w:val="004126B7"/>
    <w:rsid w:val="004178CB"/>
    <w:rsid w:val="0042067D"/>
    <w:rsid w:val="00421B00"/>
    <w:rsid w:val="004317C3"/>
    <w:rsid w:val="004434E2"/>
    <w:rsid w:val="00443911"/>
    <w:rsid w:val="00444180"/>
    <w:rsid w:val="00447220"/>
    <w:rsid w:val="0047520D"/>
    <w:rsid w:val="00476A6E"/>
    <w:rsid w:val="0048014E"/>
    <w:rsid w:val="004A1FF4"/>
    <w:rsid w:val="004C3FD8"/>
    <w:rsid w:val="004C4098"/>
    <w:rsid w:val="004D0619"/>
    <w:rsid w:val="004F0A75"/>
    <w:rsid w:val="005100F5"/>
    <w:rsid w:val="00521B35"/>
    <w:rsid w:val="00543C29"/>
    <w:rsid w:val="005478FC"/>
    <w:rsid w:val="00555198"/>
    <w:rsid w:val="0056287B"/>
    <w:rsid w:val="00563362"/>
    <w:rsid w:val="00565193"/>
    <w:rsid w:val="00573270"/>
    <w:rsid w:val="005742DE"/>
    <w:rsid w:val="00585E66"/>
    <w:rsid w:val="005866DD"/>
    <w:rsid w:val="005955DF"/>
    <w:rsid w:val="005C08CC"/>
    <w:rsid w:val="005D37AF"/>
    <w:rsid w:val="005F450A"/>
    <w:rsid w:val="005F6216"/>
    <w:rsid w:val="0061469D"/>
    <w:rsid w:val="0061606A"/>
    <w:rsid w:val="00642C0D"/>
    <w:rsid w:val="00655C45"/>
    <w:rsid w:val="00661DD6"/>
    <w:rsid w:val="00667387"/>
    <w:rsid w:val="00673A41"/>
    <w:rsid w:val="0069623A"/>
    <w:rsid w:val="006A0179"/>
    <w:rsid w:val="006A7F4E"/>
    <w:rsid w:val="006B04A7"/>
    <w:rsid w:val="006B49B7"/>
    <w:rsid w:val="006C7AFC"/>
    <w:rsid w:val="006E25CF"/>
    <w:rsid w:val="006F4A56"/>
    <w:rsid w:val="00716F9A"/>
    <w:rsid w:val="0076006E"/>
    <w:rsid w:val="00761DFC"/>
    <w:rsid w:val="00765147"/>
    <w:rsid w:val="00774D6A"/>
    <w:rsid w:val="0079309A"/>
    <w:rsid w:val="007B3D4E"/>
    <w:rsid w:val="007B5D3B"/>
    <w:rsid w:val="007E5D47"/>
    <w:rsid w:val="00800E9F"/>
    <w:rsid w:val="00805D72"/>
    <w:rsid w:val="00815D89"/>
    <w:rsid w:val="00817603"/>
    <w:rsid w:val="00837FD9"/>
    <w:rsid w:val="00842435"/>
    <w:rsid w:val="00842867"/>
    <w:rsid w:val="008455E8"/>
    <w:rsid w:val="00845DB5"/>
    <w:rsid w:val="00875C67"/>
    <w:rsid w:val="008823A8"/>
    <w:rsid w:val="00882F9D"/>
    <w:rsid w:val="00887B92"/>
    <w:rsid w:val="008A6799"/>
    <w:rsid w:val="008D3D47"/>
    <w:rsid w:val="008E3D10"/>
    <w:rsid w:val="008F4E30"/>
    <w:rsid w:val="00910ACE"/>
    <w:rsid w:val="0091348D"/>
    <w:rsid w:val="00920E5E"/>
    <w:rsid w:val="00922D32"/>
    <w:rsid w:val="00943683"/>
    <w:rsid w:val="0095458E"/>
    <w:rsid w:val="00976E47"/>
    <w:rsid w:val="00982C15"/>
    <w:rsid w:val="00992D66"/>
    <w:rsid w:val="00997C78"/>
    <w:rsid w:val="009C51E6"/>
    <w:rsid w:val="009C5205"/>
    <w:rsid w:val="009D2A4C"/>
    <w:rsid w:val="009E22C6"/>
    <w:rsid w:val="00A02BA6"/>
    <w:rsid w:val="00A23228"/>
    <w:rsid w:val="00A2562F"/>
    <w:rsid w:val="00A501F7"/>
    <w:rsid w:val="00A64640"/>
    <w:rsid w:val="00A86772"/>
    <w:rsid w:val="00AB3110"/>
    <w:rsid w:val="00AB6577"/>
    <w:rsid w:val="00AC6734"/>
    <w:rsid w:val="00AD2F41"/>
    <w:rsid w:val="00AE4593"/>
    <w:rsid w:val="00AE569F"/>
    <w:rsid w:val="00AF4C79"/>
    <w:rsid w:val="00AF59E9"/>
    <w:rsid w:val="00B2417D"/>
    <w:rsid w:val="00B26C5B"/>
    <w:rsid w:val="00B270F5"/>
    <w:rsid w:val="00B52AB5"/>
    <w:rsid w:val="00B56A2E"/>
    <w:rsid w:val="00B66BF2"/>
    <w:rsid w:val="00B9397A"/>
    <w:rsid w:val="00BC0A8B"/>
    <w:rsid w:val="00BC7E9F"/>
    <w:rsid w:val="00BD0EF2"/>
    <w:rsid w:val="00BE1359"/>
    <w:rsid w:val="00C10904"/>
    <w:rsid w:val="00C14EC6"/>
    <w:rsid w:val="00C37F34"/>
    <w:rsid w:val="00C40311"/>
    <w:rsid w:val="00C40C88"/>
    <w:rsid w:val="00C4236C"/>
    <w:rsid w:val="00C50026"/>
    <w:rsid w:val="00C5150D"/>
    <w:rsid w:val="00C51733"/>
    <w:rsid w:val="00C77A0B"/>
    <w:rsid w:val="00C950E5"/>
    <w:rsid w:val="00CA03F9"/>
    <w:rsid w:val="00CB1A83"/>
    <w:rsid w:val="00CB3680"/>
    <w:rsid w:val="00CC527D"/>
    <w:rsid w:val="00CC6507"/>
    <w:rsid w:val="00CD5D6B"/>
    <w:rsid w:val="00D14C68"/>
    <w:rsid w:val="00D2233A"/>
    <w:rsid w:val="00D41BE1"/>
    <w:rsid w:val="00D57254"/>
    <w:rsid w:val="00D81236"/>
    <w:rsid w:val="00D87659"/>
    <w:rsid w:val="00DB67E3"/>
    <w:rsid w:val="00DC091A"/>
    <w:rsid w:val="00DC15A5"/>
    <w:rsid w:val="00DE21ED"/>
    <w:rsid w:val="00E0218F"/>
    <w:rsid w:val="00E022F1"/>
    <w:rsid w:val="00E10600"/>
    <w:rsid w:val="00E36CA8"/>
    <w:rsid w:val="00E542F0"/>
    <w:rsid w:val="00E5459F"/>
    <w:rsid w:val="00E83FB2"/>
    <w:rsid w:val="00EA3723"/>
    <w:rsid w:val="00EB6D10"/>
    <w:rsid w:val="00EC4393"/>
    <w:rsid w:val="00EE201A"/>
    <w:rsid w:val="00EE4CBD"/>
    <w:rsid w:val="00EF72CD"/>
    <w:rsid w:val="00F168F2"/>
    <w:rsid w:val="00F32720"/>
    <w:rsid w:val="00F34267"/>
    <w:rsid w:val="00F351B9"/>
    <w:rsid w:val="00F44A96"/>
    <w:rsid w:val="00F531CF"/>
    <w:rsid w:val="00F62272"/>
    <w:rsid w:val="00F73072"/>
    <w:rsid w:val="00F81C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ind w:left="680" w:hanging="68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4"/>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CommentText">
    <w:name w:val="annotation text"/>
    <w:basedOn w:val="Normal"/>
    <w:link w:val="CommentTextChar"/>
    <w:uiPriority w:val="99"/>
    <w:semiHidden/>
    <w:unhideWhenUsed/>
    <w:rsid w:val="00EC6B12"/>
    <w:pPr>
      <w:spacing w:line="240" w:lineRule="auto"/>
    </w:pPr>
    <w:rPr>
      <w:sz w:val="20"/>
      <w:szCs w:val="20"/>
    </w:rPr>
  </w:style>
  <w:style w:type="character" w:customStyle="1" w:styleId="CommentTextChar">
    <w:name w:val="Comment Text Char"/>
    <w:basedOn w:val="DefaultParagraphFont"/>
    <w:link w:val="CommentText"/>
    <w:uiPriority w:val="99"/>
    <w:semiHidden/>
    <w:rsid w:val="00EC6B1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C6B12"/>
    <w:rPr>
      <w:b/>
      <w:bCs/>
    </w:rPr>
  </w:style>
  <w:style w:type="character" w:customStyle="1" w:styleId="CommentSubjectChar">
    <w:name w:val="Comment Subject Char"/>
    <w:basedOn w:val="CommentTextChar"/>
    <w:link w:val="CommentSubject"/>
    <w:uiPriority w:val="99"/>
    <w:semiHidden/>
    <w:rsid w:val="00EC6B12"/>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AlphanumericList"/>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21644">
      <w:bodyDiv w:val="1"/>
      <w:marLeft w:val="0"/>
      <w:marRight w:val="0"/>
      <w:marTop w:val="0"/>
      <w:marBottom w:val="0"/>
      <w:divBdr>
        <w:top w:val="none" w:sz="0" w:space="0" w:color="auto"/>
        <w:left w:val="none" w:sz="0" w:space="0" w:color="auto"/>
        <w:bottom w:val="none" w:sz="0" w:space="0" w:color="auto"/>
        <w:right w:val="none" w:sz="0" w:space="0" w:color="auto"/>
      </w:divBdr>
    </w:div>
    <w:div w:id="364988706">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606350204">
      <w:bodyDiv w:val="1"/>
      <w:marLeft w:val="0"/>
      <w:marRight w:val="0"/>
      <w:marTop w:val="0"/>
      <w:marBottom w:val="0"/>
      <w:divBdr>
        <w:top w:val="none" w:sz="0" w:space="0" w:color="auto"/>
        <w:left w:val="none" w:sz="0" w:space="0" w:color="auto"/>
        <w:bottom w:val="none" w:sz="0" w:space="0" w:color="auto"/>
        <w:right w:val="none" w:sz="0" w:space="0" w:color="auto"/>
      </w:divBdr>
    </w:div>
    <w:div w:id="655960067">
      <w:bodyDiv w:val="1"/>
      <w:marLeft w:val="0"/>
      <w:marRight w:val="0"/>
      <w:marTop w:val="0"/>
      <w:marBottom w:val="0"/>
      <w:divBdr>
        <w:top w:val="none" w:sz="0" w:space="0" w:color="auto"/>
        <w:left w:val="none" w:sz="0" w:space="0" w:color="auto"/>
        <w:bottom w:val="none" w:sz="0" w:space="0" w:color="auto"/>
        <w:right w:val="none" w:sz="0" w:space="0" w:color="auto"/>
      </w:divBdr>
    </w:div>
    <w:div w:id="833572396">
      <w:bodyDiv w:val="1"/>
      <w:marLeft w:val="0"/>
      <w:marRight w:val="0"/>
      <w:marTop w:val="0"/>
      <w:marBottom w:val="0"/>
      <w:divBdr>
        <w:top w:val="none" w:sz="0" w:space="0" w:color="auto"/>
        <w:left w:val="none" w:sz="0" w:space="0" w:color="auto"/>
        <w:bottom w:val="none" w:sz="0" w:space="0" w:color="auto"/>
        <w:right w:val="none" w:sz="0" w:space="0" w:color="auto"/>
      </w:divBdr>
    </w:div>
    <w:div w:id="95343644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54887357">
      <w:bodyDiv w:val="1"/>
      <w:marLeft w:val="0"/>
      <w:marRight w:val="0"/>
      <w:marTop w:val="0"/>
      <w:marBottom w:val="0"/>
      <w:divBdr>
        <w:top w:val="none" w:sz="0" w:space="0" w:color="auto"/>
        <w:left w:val="none" w:sz="0" w:space="0" w:color="auto"/>
        <w:bottom w:val="none" w:sz="0" w:space="0" w:color="auto"/>
        <w:right w:val="none" w:sz="0" w:space="0" w:color="auto"/>
      </w:divBdr>
    </w:div>
    <w:div w:id="1092891426">
      <w:bodyDiv w:val="1"/>
      <w:marLeft w:val="0"/>
      <w:marRight w:val="0"/>
      <w:marTop w:val="0"/>
      <w:marBottom w:val="0"/>
      <w:divBdr>
        <w:top w:val="none" w:sz="0" w:space="0" w:color="auto"/>
        <w:left w:val="none" w:sz="0" w:space="0" w:color="auto"/>
        <w:bottom w:val="none" w:sz="0" w:space="0" w:color="auto"/>
        <w:right w:val="none" w:sz="0" w:space="0" w:color="auto"/>
      </w:divBdr>
    </w:div>
    <w:div w:id="1129782646">
      <w:bodyDiv w:val="1"/>
      <w:marLeft w:val="0"/>
      <w:marRight w:val="0"/>
      <w:marTop w:val="0"/>
      <w:marBottom w:val="0"/>
      <w:divBdr>
        <w:top w:val="none" w:sz="0" w:space="0" w:color="auto"/>
        <w:left w:val="none" w:sz="0" w:space="0" w:color="auto"/>
        <w:bottom w:val="none" w:sz="0" w:space="0" w:color="auto"/>
        <w:right w:val="none" w:sz="0" w:space="0" w:color="auto"/>
      </w:divBdr>
    </w:div>
    <w:div w:id="1169636874">
      <w:bodyDiv w:val="1"/>
      <w:marLeft w:val="0"/>
      <w:marRight w:val="0"/>
      <w:marTop w:val="0"/>
      <w:marBottom w:val="0"/>
      <w:divBdr>
        <w:top w:val="none" w:sz="0" w:space="0" w:color="auto"/>
        <w:left w:val="none" w:sz="0" w:space="0" w:color="auto"/>
        <w:bottom w:val="none" w:sz="0" w:space="0" w:color="auto"/>
        <w:right w:val="none" w:sz="0" w:space="0" w:color="auto"/>
      </w:divBdr>
    </w:div>
    <w:div w:id="1387145625">
      <w:bodyDiv w:val="1"/>
      <w:marLeft w:val="0"/>
      <w:marRight w:val="0"/>
      <w:marTop w:val="0"/>
      <w:marBottom w:val="0"/>
      <w:divBdr>
        <w:top w:val="none" w:sz="0" w:space="0" w:color="auto"/>
        <w:left w:val="none" w:sz="0" w:space="0" w:color="auto"/>
        <w:bottom w:val="none" w:sz="0" w:space="0" w:color="auto"/>
        <w:right w:val="none" w:sz="0" w:space="0" w:color="auto"/>
      </w:divBdr>
    </w:div>
    <w:div w:id="1403025611">
      <w:bodyDiv w:val="1"/>
      <w:marLeft w:val="0"/>
      <w:marRight w:val="0"/>
      <w:marTop w:val="0"/>
      <w:marBottom w:val="0"/>
      <w:divBdr>
        <w:top w:val="none" w:sz="0" w:space="0" w:color="auto"/>
        <w:left w:val="none" w:sz="0" w:space="0" w:color="auto"/>
        <w:bottom w:val="none" w:sz="0" w:space="0" w:color="auto"/>
        <w:right w:val="none" w:sz="0" w:space="0" w:color="auto"/>
      </w:divBdr>
    </w:div>
    <w:div w:id="1725980783">
      <w:bodyDiv w:val="1"/>
      <w:marLeft w:val="0"/>
      <w:marRight w:val="0"/>
      <w:marTop w:val="0"/>
      <w:marBottom w:val="0"/>
      <w:divBdr>
        <w:top w:val="none" w:sz="0" w:space="0" w:color="auto"/>
        <w:left w:val="none" w:sz="0" w:space="0" w:color="auto"/>
        <w:bottom w:val="none" w:sz="0" w:space="0" w:color="auto"/>
        <w:right w:val="none" w:sz="0" w:space="0" w:color="auto"/>
      </w:divBdr>
    </w:div>
    <w:div w:id="1736539452">
      <w:bodyDiv w:val="1"/>
      <w:marLeft w:val="0"/>
      <w:marRight w:val="0"/>
      <w:marTop w:val="0"/>
      <w:marBottom w:val="0"/>
      <w:divBdr>
        <w:top w:val="none" w:sz="0" w:space="0" w:color="auto"/>
        <w:left w:val="none" w:sz="0" w:space="0" w:color="auto"/>
        <w:bottom w:val="none" w:sz="0" w:space="0" w:color="auto"/>
        <w:right w:val="none" w:sz="0" w:space="0" w:color="auto"/>
      </w:divBdr>
    </w:div>
    <w:div w:id="2053462053">
      <w:bodyDiv w:val="1"/>
      <w:marLeft w:val="0"/>
      <w:marRight w:val="0"/>
      <w:marTop w:val="0"/>
      <w:marBottom w:val="0"/>
      <w:divBdr>
        <w:top w:val="none" w:sz="0" w:space="0" w:color="auto"/>
        <w:left w:val="none" w:sz="0" w:space="0" w:color="auto"/>
        <w:bottom w:val="none" w:sz="0" w:space="0" w:color="auto"/>
        <w:right w:val="none" w:sz="0" w:space="0" w:color="auto"/>
      </w:divBdr>
    </w:div>
    <w:div w:id="207647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AERInquiry@aer.gov.au"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mailto:AERinquiry@aer.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ublishing.unit@accc.gov.au"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aer.gov.au/node/26789" TargetMode="External"/><Relationship Id="rId2" Type="http://schemas.openxmlformats.org/officeDocument/2006/relationships/hyperlink" Target="http://www.aer.gov.au/node/2391" TargetMode="External"/><Relationship Id="rId1" Type="http://schemas.openxmlformats.org/officeDocument/2006/relationships/hyperlink" Target="http://www.aer.gov.au/node/5876" TargetMode="External"/><Relationship Id="rId6" Type="http://schemas.openxmlformats.org/officeDocument/2006/relationships/hyperlink" Target="http://www.aer.gov.au/node/15433" TargetMode="External"/><Relationship Id="rId5" Type="http://schemas.openxmlformats.org/officeDocument/2006/relationships/hyperlink" Target="http://www.aer.gov.au/node/28332" TargetMode="External"/><Relationship Id="rId4" Type="http://schemas.openxmlformats.org/officeDocument/2006/relationships/hyperlink" Target="http://www.aer.gov.au/node/29059"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2F4154-D899-4EE0-854C-3856FFBA3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9639A1BB</Template>
  <TotalTime>0</TotalTime>
  <Pages>20</Pages>
  <Words>4982</Words>
  <Characters>28401</Characters>
  <Application>Microsoft Office Word</Application>
  <DocSecurity>0</DocSecurity>
  <Lines>236</Lines>
  <Paragraphs>66</Paragraphs>
  <ScaleCrop>false</ScaleCrop>
  <Company/>
  <LinksUpToDate>false</LinksUpToDate>
  <CharactersWithSpaces>33317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2015-02-27T03:52:00Z</dcterms:created>
  <dcterms:modified xsi:type="dcterms:W3CDTF">2015-02-27T03:52:00Z</dcterms:modified>
</cp:coreProperties>
</file>