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B66" w:rsidRPr="00C67F8C" w:rsidRDefault="000F3217" w:rsidP="00341B66">
      <w:pPr>
        <w:pStyle w:val="Heading1"/>
      </w:pPr>
      <w:r>
        <w:pict>
          <v:shapetype id="_x0000_t202" coordsize="21600,21600" o:spt="202" path="m,l,21600r21600,l21600,xe">
            <v:stroke joinstyle="miter"/>
            <v:path gradientshapeok="t" o:connecttype="rect"/>
          </v:shapetype>
          <v:shape id="_x0000_s1026" type="#_x0000_t202" style="position:absolute;margin-left:0;margin-top:14.25pt;width:240pt;height:91.1pt;z-index:251657728" filled="f" stroked="f">
            <v:textbox style="mso-next-textbox:#_x0000_s1026">
              <w:txbxContent>
                <w:p w:rsidR="0042646B" w:rsidRDefault="0042646B" w:rsidP="00341B66">
                  <w:pPr>
                    <w:rPr>
                      <w:rFonts w:ascii="Arial" w:hAnsi="Arial" w:cs="Arial"/>
                      <w:b/>
                      <w:i/>
                      <w:sz w:val="28"/>
                      <w:szCs w:val="28"/>
                      <w:lang w:eastAsia="en-US"/>
                    </w:rPr>
                  </w:pPr>
                  <w:r>
                    <w:rPr>
                      <w:rFonts w:ascii="Arial" w:hAnsi="Arial" w:cs="Arial"/>
                      <w:b/>
                      <w:i/>
                      <w:sz w:val="28"/>
                      <w:szCs w:val="28"/>
                      <w:lang w:eastAsia="en-US"/>
                    </w:rPr>
                    <w:t xml:space="preserve">August 2012 </w:t>
                  </w:r>
                </w:p>
                <w:p w:rsidR="0042646B" w:rsidRDefault="0042646B" w:rsidP="00341B66">
                  <w:pPr>
                    <w:rPr>
                      <w:rFonts w:ascii="Arial" w:hAnsi="Arial" w:cs="Arial"/>
                      <w:b/>
                      <w:i/>
                      <w:sz w:val="28"/>
                      <w:szCs w:val="28"/>
                      <w:lang w:eastAsia="en-US"/>
                    </w:rPr>
                  </w:pPr>
                  <w:r>
                    <w:rPr>
                      <w:rFonts w:ascii="Arial" w:hAnsi="Arial" w:cs="Arial"/>
                      <w:b/>
                      <w:i/>
                      <w:sz w:val="28"/>
                      <w:szCs w:val="28"/>
                      <w:lang w:eastAsia="en-US"/>
                    </w:rPr>
                    <w:t>Gas Market Events</w:t>
                  </w:r>
                </w:p>
                <w:p w:rsidR="0042646B" w:rsidRPr="00BA3545" w:rsidRDefault="0042646B" w:rsidP="00341B66">
                  <w:pPr>
                    <w:rPr>
                      <w:rFonts w:ascii="Arial" w:hAnsi="Arial" w:cs="Arial"/>
                      <w:b/>
                      <w:i/>
                      <w:sz w:val="28"/>
                      <w:szCs w:val="28"/>
                      <w:lang w:eastAsia="en-US"/>
                    </w:rPr>
                  </w:pPr>
                  <w:r>
                    <w:rPr>
                      <w:rFonts w:ascii="Arial" w:hAnsi="Arial" w:cs="Arial"/>
                      <w:b/>
                      <w:i/>
                      <w:sz w:val="28"/>
                      <w:szCs w:val="28"/>
                      <w:lang w:eastAsia="en-US"/>
                    </w:rPr>
                    <w:t>REPORT</w:t>
                  </w:r>
                </w:p>
                <w:p w:rsidR="0042646B" w:rsidRPr="000E177D" w:rsidRDefault="0042646B" w:rsidP="00341B66">
                  <w:pPr>
                    <w:rPr>
                      <w:lang w:eastAsia="en-US"/>
                    </w:rPr>
                  </w:pP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AER_Head1a" style="width:450.4pt;height:97.95pt;visibility:visible">
            <v:imagedata r:id="rId8" o:title="AER_Head1a" cropbottom="5513f"/>
          </v:shape>
        </w:pict>
      </w:r>
    </w:p>
    <w:p w:rsidR="00DD486B" w:rsidRDefault="00341B66">
      <w:pPr>
        <w:pStyle w:val="Heading3"/>
      </w:pPr>
      <w:r w:rsidRPr="00341B66">
        <w:t>Introduction</w:t>
      </w:r>
    </w:p>
    <w:p w:rsidR="007C5586" w:rsidRDefault="007C5586" w:rsidP="007C5586">
      <w:pPr>
        <w:pStyle w:val="Default"/>
        <w:jc w:val="both"/>
        <w:rPr>
          <w:sz w:val="23"/>
          <w:szCs w:val="23"/>
        </w:rPr>
      </w:pPr>
      <w:r>
        <w:rPr>
          <w:sz w:val="23"/>
          <w:szCs w:val="23"/>
        </w:rPr>
        <w:t>This report is published as part of the AER’s overall monitoring function to provide details on the high August 2012 prices in the V</w:t>
      </w:r>
      <w:r w:rsidR="0016742A">
        <w:rPr>
          <w:sz w:val="23"/>
          <w:szCs w:val="23"/>
        </w:rPr>
        <w:t xml:space="preserve">ictorian </w:t>
      </w:r>
      <w:r>
        <w:rPr>
          <w:sz w:val="23"/>
          <w:szCs w:val="23"/>
        </w:rPr>
        <w:t>G</w:t>
      </w:r>
      <w:r w:rsidR="0016742A">
        <w:rPr>
          <w:sz w:val="23"/>
          <w:szCs w:val="23"/>
        </w:rPr>
        <w:t xml:space="preserve">as </w:t>
      </w:r>
      <w:r>
        <w:rPr>
          <w:sz w:val="23"/>
          <w:szCs w:val="23"/>
        </w:rPr>
        <w:t>M</w:t>
      </w:r>
      <w:r w:rsidR="0016742A">
        <w:rPr>
          <w:sz w:val="23"/>
          <w:szCs w:val="23"/>
        </w:rPr>
        <w:t>arket (VGM)</w:t>
      </w:r>
      <w:r>
        <w:rPr>
          <w:sz w:val="23"/>
          <w:szCs w:val="23"/>
        </w:rPr>
        <w:t xml:space="preserve"> and in the Adelaide, Brisbane and Sydney STTM hubs. This report contains a summary of key price drivers and compliments the analysis already provided in the August 2012 AER gas weekly reports.</w:t>
      </w:r>
      <w:r>
        <w:rPr>
          <w:rStyle w:val="FootnoteReference"/>
          <w:sz w:val="23"/>
          <w:szCs w:val="23"/>
        </w:rPr>
        <w:footnoteReference w:id="1"/>
      </w:r>
    </w:p>
    <w:p w:rsidR="007C5586" w:rsidRDefault="007C5586" w:rsidP="007C5586">
      <w:pPr>
        <w:pStyle w:val="Default"/>
        <w:jc w:val="both"/>
        <w:rPr>
          <w:sz w:val="16"/>
          <w:szCs w:val="16"/>
        </w:rPr>
      </w:pPr>
    </w:p>
    <w:p w:rsidR="00DF71B2" w:rsidRDefault="006048AE">
      <w:pPr>
        <w:pStyle w:val="Default"/>
        <w:jc w:val="both"/>
        <w:rPr>
          <w:sz w:val="23"/>
          <w:szCs w:val="23"/>
        </w:rPr>
      </w:pPr>
      <w:r>
        <w:rPr>
          <w:sz w:val="23"/>
          <w:szCs w:val="23"/>
        </w:rPr>
        <w:t>Under the National Gas Rules (Gas Rules), the AER is required to identify and publish reports on significant price variations (SPV) in the Victorian Declared Wholesale Gas Market (VGM) and in the Short Term Trading Market (STTM).</w:t>
      </w:r>
      <w:r w:rsidR="006E6AA7">
        <w:rPr>
          <w:rStyle w:val="FootnoteReference"/>
          <w:sz w:val="23"/>
          <w:szCs w:val="23"/>
        </w:rPr>
        <w:footnoteReference w:id="2"/>
      </w:r>
      <w:r>
        <w:rPr>
          <w:sz w:val="16"/>
          <w:szCs w:val="16"/>
        </w:rPr>
        <w:t xml:space="preserve"> </w:t>
      </w:r>
      <w:r>
        <w:rPr>
          <w:sz w:val="23"/>
          <w:szCs w:val="23"/>
        </w:rPr>
        <w:t>For the VGM, the AER has already published significant price variation reporting triggers.</w:t>
      </w:r>
      <w:r w:rsidR="006E6AA7">
        <w:rPr>
          <w:rStyle w:val="FootnoteReference"/>
          <w:sz w:val="23"/>
          <w:szCs w:val="23"/>
        </w:rPr>
        <w:footnoteReference w:id="3"/>
      </w:r>
      <w:r>
        <w:rPr>
          <w:sz w:val="16"/>
          <w:szCs w:val="16"/>
        </w:rPr>
        <w:t xml:space="preserve"> </w:t>
      </w:r>
      <w:r>
        <w:rPr>
          <w:sz w:val="23"/>
          <w:szCs w:val="23"/>
        </w:rPr>
        <w:t xml:space="preserve">For the STTM hubs, the AER will soon commence consultation on triggers. </w:t>
      </w:r>
    </w:p>
    <w:p w:rsidR="00DF71B2" w:rsidRDefault="00DF71B2">
      <w:pPr>
        <w:pStyle w:val="Default"/>
        <w:jc w:val="both"/>
        <w:rPr>
          <w:sz w:val="23"/>
          <w:szCs w:val="23"/>
        </w:rPr>
      </w:pPr>
    </w:p>
    <w:p w:rsidR="0016742A" w:rsidRDefault="006048AE">
      <w:pPr>
        <w:pStyle w:val="Default"/>
        <w:jc w:val="both"/>
        <w:rPr>
          <w:sz w:val="23"/>
          <w:szCs w:val="23"/>
        </w:rPr>
      </w:pPr>
      <w:r>
        <w:rPr>
          <w:sz w:val="23"/>
          <w:szCs w:val="23"/>
        </w:rPr>
        <w:t xml:space="preserve">Prices and payments in this report are not published under Gas Rules’ SPV requirements. </w:t>
      </w:r>
      <w:r w:rsidR="0016742A">
        <w:rPr>
          <w:sz w:val="23"/>
          <w:szCs w:val="23"/>
        </w:rPr>
        <w:t xml:space="preserve">  Instead the report is published as part of the AER’s general monitoring role.</w:t>
      </w:r>
    </w:p>
    <w:p w:rsidR="00DF71B2" w:rsidRDefault="00DF71B2">
      <w:pPr>
        <w:pStyle w:val="Default"/>
        <w:jc w:val="both"/>
        <w:rPr>
          <w:sz w:val="16"/>
          <w:szCs w:val="16"/>
        </w:rPr>
      </w:pPr>
    </w:p>
    <w:p w:rsidR="00DF71B2" w:rsidRPr="006605DD" w:rsidRDefault="006048AE">
      <w:pPr>
        <w:pStyle w:val="Default"/>
        <w:jc w:val="both"/>
        <w:rPr>
          <w:sz w:val="23"/>
          <w:szCs w:val="23"/>
        </w:rPr>
      </w:pPr>
      <w:r>
        <w:rPr>
          <w:sz w:val="23"/>
          <w:szCs w:val="23"/>
        </w:rPr>
        <w:t xml:space="preserve">As a result of the analysis undertaken in this report, the AER will be making further enquiries into participant demand forecasts, offers and bids. Any compliance issues </w:t>
      </w:r>
      <w:r w:rsidR="0016742A">
        <w:rPr>
          <w:sz w:val="23"/>
          <w:szCs w:val="23"/>
        </w:rPr>
        <w:t xml:space="preserve">identified </w:t>
      </w:r>
      <w:r>
        <w:rPr>
          <w:sz w:val="23"/>
          <w:szCs w:val="23"/>
        </w:rPr>
        <w:t>will be reported in the AER’s Quarterly Compliance Report</w:t>
      </w:r>
      <w:r w:rsidR="006E6AA7">
        <w:rPr>
          <w:sz w:val="16"/>
          <w:szCs w:val="16"/>
        </w:rPr>
        <w:t>.</w:t>
      </w:r>
      <w:r w:rsidR="000111D7" w:rsidRPr="000111D7">
        <w:rPr>
          <w:rStyle w:val="FootnoteReference"/>
          <w:sz w:val="23"/>
          <w:szCs w:val="23"/>
        </w:rPr>
        <w:footnoteReference w:id="4"/>
      </w:r>
      <w:r w:rsidR="000111D7" w:rsidRPr="000111D7">
        <w:rPr>
          <w:rStyle w:val="FootnoteReference"/>
          <w:sz w:val="23"/>
          <w:szCs w:val="23"/>
        </w:rPr>
        <w:t xml:space="preserve"> </w:t>
      </w:r>
    </w:p>
    <w:p w:rsidR="006605DD" w:rsidRPr="006605DD" w:rsidRDefault="006605DD">
      <w:pPr>
        <w:pStyle w:val="Default"/>
        <w:jc w:val="both"/>
        <w:rPr>
          <w:sz w:val="23"/>
          <w:szCs w:val="23"/>
        </w:rPr>
      </w:pPr>
    </w:p>
    <w:p w:rsidR="006605DD" w:rsidRPr="006605DD" w:rsidRDefault="004A34AC">
      <w:pPr>
        <w:pStyle w:val="Default"/>
        <w:jc w:val="both"/>
        <w:rPr>
          <w:sz w:val="23"/>
          <w:szCs w:val="23"/>
        </w:rPr>
      </w:pPr>
      <w:r>
        <w:rPr>
          <w:sz w:val="23"/>
          <w:szCs w:val="23"/>
        </w:rPr>
        <w:t>T</w:t>
      </w:r>
      <w:r w:rsidR="006605DD">
        <w:rPr>
          <w:sz w:val="23"/>
          <w:szCs w:val="23"/>
        </w:rPr>
        <w:t>he AER has published similar reports for the months of June and July 2012</w:t>
      </w:r>
      <w:r>
        <w:rPr>
          <w:sz w:val="23"/>
          <w:szCs w:val="23"/>
        </w:rPr>
        <w:t>.</w:t>
      </w:r>
      <w:r w:rsidDel="004A34AC">
        <w:rPr>
          <w:sz w:val="23"/>
          <w:szCs w:val="23"/>
        </w:rPr>
        <w:t xml:space="preserve"> </w:t>
      </w:r>
    </w:p>
    <w:p w:rsidR="00341B66" w:rsidRDefault="00341B66" w:rsidP="00341B66">
      <w:pPr>
        <w:pStyle w:val="Heading3"/>
      </w:pPr>
      <w:r>
        <w:t>Summary</w:t>
      </w:r>
    </w:p>
    <w:p w:rsidR="006F4F1D" w:rsidRDefault="008F03AB" w:rsidP="006F4F1D">
      <w:pPr>
        <w:pStyle w:val="AERbodytext"/>
      </w:pPr>
      <w:r>
        <w:t>This report provides an overview of the month of August in the Sydney, Brisbane, and Adelaide STTM</w:t>
      </w:r>
      <w:r w:rsidR="00AC4DB7">
        <w:t xml:space="preserve"> hub</w:t>
      </w:r>
      <w:r>
        <w:t xml:space="preserve">s and the Victorian Declared Wholesale Gas Market (VGM). </w:t>
      </w:r>
      <w:r w:rsidR="006F4F1D" w:rsidRPr="00ED029A">
        <w:t xml:space="preserve">In all markets </w:t>
      </w:r>
      <w:r w:rsidR="006F4F1D">
        <w:t>(</w:t>
      </w:r>
      <w:r w:rsidR="006F4F1D" w:rsidRPr="00ED029A">
        <w:t>except for Sydney</w:t>
      </w:r>
      <w:r w:rsidR="006F4F1D">
        <w:t>)</w:t>
      </w:r>
      <w:r w:rsidR="006F4F1D" w:rsidRPr="00ED029A">
        <w:t xml:space="preserve"> </w:t>
      </w:r>
      <w:r w:rsidR="006F4F1D">
        <w:t xml:space="preserve">the </w:t>
      </w:r>
      <w:r w:rsidR="006F4F1D" w:rsidRPr="00ED029A">
        <w:t xml:space="preserve">rolling </w:t>
      </w:r>
      <w:r w:rsidR="006F4F1D">
        <w:t xml:space="preserve">30 day average </w:t>
      </w:r>
      <w:r w:rsidR="006F4F1D" w:rsidRPr="00ED029A">
        <w:t>price</w:t>
      </w:r>
      <w:r w:rsidR="006F4F1D">
        <w:t xml:space="preserve"> </w:t>
      </w:r>
      <w:r w:rsidR="00C714B5">
        <w:t xml:space="preserve">by the end of </w:t>
      </w:r>
      <w:r w:rsidR="006F4F1D">
        <w:t>August</w:t>
      </w:r>
      <w:r w:rsidR="006F4F1D" w:rsidRPr="00ED029A">
        <w:t xml:space="preserve"> </w:t>
      </w:r>
      <w:r w:rsidR="006F4F1D">
        <w:t xml:space="preserve">was </w:t>
      </w:r>
      <w:r w:rsidR="006F4F1D" w:rsidRPr="00ED029A">
        <w:t>lower</w:t>
      </w:r>
      <w:r w:rsidR="00C714B5">
        <w:t xml:space="preserve"> than it was at the end of July as instances of high prices declined.</w:t>
      </w:r>
      <w:r w:rsidR="006F4F1D">
        <w:t xml:space="preserve"> </w:t>
      </w:r>
    </w:p>
    <w:p w:rsidR="002C0499" w:rsidRDefault="000330B9" w:rsidP="00CA782A">
      <w:pPr>
        <w:pStyle w:val="AERbodytext"/>
      </w:pPr>
      <w:r>
        <w:t>In</w:t>
      </w:r>
      <w:r w:rsidR="00DD486B">
        <w:t xml:space="preserve"> August, t</w:t>
      </w:r>
      <w:r w:rsidR="008F03AB">
        <w:t>he</w:t>
      </w:r>
      <w:r w:rsidR="00AC4DB7">
        <w:t xml:space="preserve"> highest</w:t>
      </w:r>
      <w:r w:rsidR="008F03AB">
        <w:t xml:space="preserve"> </w:t>
      </w:r>
      <w:r w:rsidR="00601317">
        <w:t xml:space="preserve">gas </w:t>
      </w:r>
      <w:r w:rsidR="008F03AB">
        <w:t>price</w:t>
      </w:r>
      <w:r w:rsidR="00AC4DB7">
        <w:t>s were</w:t>
      </w:r>
      <w:r w:rsidR="008F03AB">
        <w:t xml:space="preserve"> in Sydney</w:t>
      </w:r>
      <w:r w:rsidR="00DC5BB1">
        <w:t xml:space="preserve"> </w:t>
      </w:r>
      <w:r w:rsidR="00A92E6B">
        <w:t xml:space="preserve">where </w:t>
      </w:r>
      <w:r w:rsidR="00AC4DB7">
        <w:t>the average ex post</w:t>
      </w:r>
      <w:r>
        <w:t xml:space="preserve"> price was $8.25/GJ</w:t>
      </w:r>
      <w:r w:rsidR="00A92E6B">
        <w:t xml:space="preserve">, </w:t>
      </w:r>
      <w:r>
        <w:t>over</w:t>
      </w:r>
      <w:r w:rsidR="008F03AB">
        <w:t xml:space="preserve"> 21 per cent higher than the average ex ante price</w:t>
      </w:r>
      <w:r w:rsidR="00DD486B">
        <w:t xml:space="preserve"> </w:t>
      </w:r>
      <w:r w:rsidR="00601317">
        <w:t>of</w:t>
      </w:r>
      <w:r w:rsidR="008F03AB">
        <w:t xml:space="preserve"> $6.79/GJ. </w:t>
      </w:r>
      <w:r w:rsidR="00CF4F46">
        <w:t xml:space="preserve">In Sydney, demand was under-forecast on 25 of </w:t>
      </w:r>
      <w:r w:rsidR="00A92E6B">
        <w:t xml:space="preserve">the </w:t>
      </w:r>
      <w:r w:rsidR="00CF4F46">
        <w:t xml:space="preserve">31 days. </w:t>
      </w:r>
      <w:r w:rsidR="008F03AB">
        <w:t xml:space="preserve">This </w:t>
      </w:r>
      <w:r w:rsidR="00CF4F46">
        <w:t xml:space="preserve">report </w:t>
      </w:r>
      <w:r w:rsidR="008F03AB">
        <w:t>analys</w:t>
      </w:r>
      <w:r w:rsidR="00CF4F46">
        <w:t xml:space="preserve">es </w:t>
      </w:r>
      <w:r w:rsidR="008F03AB">
        <w:t xml:space="preserve">6 days in Sydney where </w:t>
      </w:r>
      <w:r w:rsidR="00ED029A">
        <w:t xml:space="preserve">the ex post </w:t>
      </w:r>
      <w:r w:rsidR="008F03AB">
        <w:t xml:space="preserve">price </w:t>
      </w:r>
      <w:r w:rsidR="00CF4F46">
        <w:t>was greater than $10/GJ</w:t>
      </w:r>
      <w:r w:rsidR="00A92E6B">
        <w:t>.</w:t>
      </w:r>
      <w:r w:rsidR="003150BF">
        <w:t xml:space="preserve"> </w:t>
      </w:r>
      <w:r w:rsidR="004A34AC">
        <w:t>On</w:t>
      </w:r>
      <w:r w:rsidR="00CF4F46">
        <w:t xml:space="preserve"> </w:t>
      </w:r>
      <w:r w:rsidR="00DC5BB1">
        <w:t>4</w:t>
      </w:r>
      <w:r w:rsidR="00CF4F46">
        <w:t xml:space="preserve"> </w:t>
      </w:r>
      <w:r w:rsidR="0016742A">
        <w:t xml:space="preserve">of the </w:t>
      </w:r>
      <w:r w:rsidR="00DC5BB1">
        <w:t>days analysed</w:t>
      </w:r>
      <w:r w:rsidR="00A92E6B">
        <w:t xml:space="preserve">, </w:t>
      </w:r>
      <w:r w:rsidR="004A34AC">
        <w:t xml:space="preserve">the ex post price was </w:t>
      </w:r>
      <w:r w:rsidR="00DC5BB1">
        <w:t xml:space="preserve">over $5/GJ higher </w:t>
      </w:r>
      <w:r w:rsidR="004A34AC">
        <w:t xml:space="preserve">than the ex ante </w:t>
      </w:r>
      <w:r w:rsidR="0042646B">
        <w:t xml:space="preserve">price. </w:t>
      </w:r>
    </w:p>
    <w:p w:rsidR="006F4F1D" w:rsidRDefault="006F4F1D">
      <w:pPr>
        <w:pStyle w:val="AERbodytext"/>
      </w:pPr>
      <w:r>
        <w:t>As for June and July</w:t>
      </w:r>
      <w:r w:rsidR="004A34AC">
        <w:t>,</w:t>
      </w:r>
      <w:r>
        <w:t xml:space="preserve"> o</w:t>
      </w:r>
      <w:r w:rsidR="00ED029A" w:rsidRPr="00ED029A">
        <w:t xml:space="preserve">n a year to </w:t>
      </w:r>
      <w:r w:rsidR="00ED029A">
        <w:t xml:space="preserve">year </w:t>
      </w:r>
      <w:r w:rsidR="00ED029A" w:rsidRPr="00ED029A">
        <w:t>basis</w:t>
      </w:r>
      <w:r>
        <w:t xml:space="preserve">, </w:t>
      </w:r>
      <w:r w:rsidR="004C28AD" w:rsidRPr="004C28AD">
        <w:t>a</w:t>
      </w:r>
      <w:r w:rsidR="00771F69" w:rsidRPr="00ED029A">
        <w:t>verage prices for August 2012 were significantly higher than for August 2011 in all markets</w:t>
      </w:r>
      <w:r w:rsidR="004A34AC">
        <w:t>.</w:t>
      </w:r>
      <w:r>
        <w:rPr>
          <w:rStyle w:val="FootnoteReference"/>
        </w:rPr>
        <w:footnoteReference w:id="5"/>
      </w:r>
      <w:r w:rsidR="00771F69" w:rsidRPr="00ED029A">
        <w:t xml:space="preserve"> Compared to August 2011, the average ex ante price in August 2012 was:</w:t>
      </w:r>
    </w:p>
    <w:p w:rsidR="003150BF" w:rsidRPr="00ED029A" w:rsidRDefault="004C28AD" w:rsidP="003150BF">
      <w:pPr>
        <w:numPr>
          <w:ilvl w:val="0"/>
          <w:numId w:val="3"/>
        </w:numPr>
        <w:spacing w:after="120"/>
        <w:jc w:val="both"/>
      </w:pPr>
      <w:r w:rsidRPr="004C28AD">
        <w:t>98</w:t>
      </w:r>
      <w:r w:rsidR="00771F69" w:rsidRPr="00ED029A">
        <w:t xml:space="preserve"> per cent higher in Sydney </w:t>
      </w:r>
    </w:p>
    <w:p w:rsidR="003150BF" w:rsidRPr="00ED029A" w:rsidRDefault="004C28AD" w:rsidP="003150BF">
      <w:pPr>
        <w:numPr>
          <w:ilvl w:val="0"/>
          <w:numId w:val="3"/>
        </w:numPr>
        <w:spacing w:after="120"/>
        <w:jc w:val="both"/>
      </w:pPr>
      <w:r w:rsidRPr="004C28AD">
        <w:lastRenderedPageBreak/>
        <w:t>60</w:t>
      </w:r>
      <w:r w:rsidR="00771F69" w:rsidRPr="00ED029A">
        <w:t xml:space="preserve"> per cent higher in Adelaide</w:t>
      </w:r>
    </w:p>
    <w:p w:rsidR="003150BF" w:rsidRPr="00ED029A" w:rsidRDefault="004C28AD" w:rsidP="003150BF">
      <w:pPr>
        <w:numPr>
          <w:ilvl w:val="0"/>
          <w:numId w:val="3"/>
        </w:numPr>
        <w:spacing w:after="120"/>
        <w:jc w:val="both"/>
      </w:pPr>
      <w:r w:rsidRPr="004C28AD">
        <w:t>42</w:t>
      </w:r>
      <w:r w:rsidR="00771F69" w:rsidRPr="00ED029A">
        <w:t xml:space="preserve"> per cent higher in the VGM.</w:t>
      </w:r>
    </w:p>
    <w:p w:rsidR="003150BF" w:rsidRPr="00ED029A" w:rsidRDefault="0016742A" w:rsidP="003150BF">
      <w:pPr>
        <w:spacing w:after="120"/>
        <w:jc w:val="both"/>
      </w:pPr>
      <w:r>
        <w:t>C</w:t>
      </w:r>
      <w:r w:rsidR="00771F69" w:rsidRPr="00ED029A">
        <w:t>ompared to August 201</w:t>
      </w:r>
      <w:r w:rsidR="00ED029A">
        <w:t>1</w:t>
      </w:r>
      <w:r w:rsidR="00771F69" w:rsidRPr="00ED029A">
        <w:t>, there was a reduction in the volume of gas offered in key price setting bands:</w:t>
      </w:r>
    </w:p>
    <w:p w:rsidR="003150BF" w:rsidRPr="00ED029A" w:rsidRDefault="00466DC2" w:rsidP="003150BF">
      <w:pPr>
        <w:numPr>
          <w:ilvl w:val="0"/>
          <w:numId w:val="3"/>
        </w:numPr>
        <w:spacing w:after="120"/>
        <w:jc w:val="both"/>
      </w:pPr>
      <w:r>
        <w:t>in Sydney</w:t>
      </w:r>
      <w:r w:rsidR="006F4F1D">
        <w:t xml:space="preserve"> </w:t>
      </w:r>
      <w:r>
        <w:t>the average volume of gas offered below $6/GJ was</w:t>
      </w:r>
      <w:r w:rsidR="004C28AD" w:rsidRPr="004C28AD">
        <w:t xml:space="preserve"> 11</w:t>
      </w:r>
      <w:r w:rsidR="00771F69" w:rsidRPr="00ED029A">
        <w:t xml:space="preserve"> per cent lower.</w:t>
      </w:r>
    </w:p>
    <w:p w:rsidR="003150BF" w:rsidRPr="00ED029A" w:rsidRDefault="00771F69" w:rsidP="003150BF">
      <w:pPr>
        <w:numPr>
          <w:ilvl w:val="0"/>
          <w:numId w:val="3"/>
        </w:numPr>
        <w:spacing w:after="120"/>
        <w:jc w:val="both"/>
      </w:pPr>
      <w:r w:rsidRPr="00ED029A">
        <w:t>in Adelaide</w:t>
      </w:r>
      <w:r w:rsidR="0016742A" w:rsidDel="0016742A">
        <w:t xml:space="preserve"> </w:t>
      </w:r>
      <w:r w:rsidRPr="00ED029A">
        <w:t xml:space="preserve">the average volume of gas offered below $6/GJ was </w:t>
      </w:r>
      <w:r w:rsidR="004C28AD" w:rsidRPr="004C28AD">
        <w:t>17</w:t>
      </w:r>
      <w:r w:rsidRPr="00ED029A">
        <w:t xml:space="preserve"> per cent lower.</w:t>
      </w:r>
    </w:p>
    <w:p w:rsidR="003150BF" w:rsidRPr="00ED029A" w:rsidRDefault="00771F69" w:rsidP="003150BF">
      <w:pPr>
        <w:numPr>
          <w:ilvl w:val="0"/>
          <w:numId w:val="3"/>
        </w:numPr>
        <w:spacing w:after="120"/>
        <w:jc w:val="both"/>
      </w:pPr>
      <w:r w:rsidRPr="00ED029A">
        <w:t>in the VGM</w:t>
      </w:r>
      <w:r w:rsidR="006F4F1D">
        <w:t xml:space="preserve"> </w:t>
      </w:r>
      <w:r w:rsidRPr="00ED029A">
        <w:t>the average volume of gas offered below $4/GJ was</w:t>
      </w:r>
      <w:r w:rsidR="006F4F1D">
        <w:t xml:space="preserve"> </w:t>
      </w:r>
      <w:r w:rsidR="004C28AD" w:rsidRPr="004C28AD">
        <w:t>0.5</w:t>
      </w:r>
      <w:r w:rsidRPr="00ED029A">
        <w:t xml:space="preserve"> per cent lower. </w:t>
      </w:r>
    </w:p>
    <w:p w:rsidR="006F4F1D" w:rsidRDefault="00E147A2" w:rsidP="006F4F1D">
      <w:pPr>
        <w:pStyle w:val="Default"/>
        <w:spacing w:before="120" w:after="120"/>
      </w:pPr>
      <w:r>
        <w:br/>
      </w:r>
      <w:r w:rsidR="0016742A">
        <w:t>While demand was higher in August 2012 compared to August 2011, the lower volumes of gas being offered at lower prices was a significant factor in contributing to the high August 2012 prices.</w:t>
      </w:r>
    </w:p>
    <w:p w:rsidR="003150BF" w:rsidRDefault="003150BF" w:rsidP="00CA782A">
      <w:pPr>
        <w:pStyle w:val="AERbodytext"/>
      </w:pPr>
    </w:p>
    <w:p w:rsidR="005655FD" w:rsidRPr="00E40FD5" w:rsidRDefault="00E40FD5" w:rsidP="00355100">
      <w:pPr>
        <w:pStyle w:val="Heading3"/>
      </w:pPr>
      <w:r>
        <w:br w:type="page"/>
      </w:r>
      <w:r w:rsidR="00341B66" w:rsidRPr="00E40FD5">
        <w:lastRenderedPageBreak/>
        <w:t>Part 1</w:t>
      </w:r>
      <w:r w:rsidR="00341B66" w:rsidRPr="00E40FD5">
        <w:tab/>
      </w:r>
      <w:r w:rsidR="002837C6" w:rsidRPr="00E40FD5">
        <w:t>O</w:t>
      </w:r>
      <w:r w:rsidR="00341B66" w:rsidRPr="00E40FD5">
        <w:t xml:space="preserve">utcomes </w:t>
      </w:r>
      <w:r w:rsidR="002837C6" w:rsidRPr="00E40FD5">
        <w:t xml:space="preserve">for the month of </w:t>
      </w:r>
      <w:r w:rsidR="00347780">
        <w:t>August</w:t>
      </w:r>
    </w:p>
    <w:p w:rsidR="002837C6" w:rsidRPr="002837C6" w:rsidRDefault="002837C6" w:rsidP="002837C6">
      <w:pPr>
        <w:pStyle w:val="Heading3"/>
      </w:pPr>
      <w:r w:rsidRPr="002837C6">
        <w:t xml:space="preserve">Sydney hub prices </w:t>
      </w:r>
    </w:p>
    <w:p w:rsidR="00DF71B2" w:rsidRDefault="002837C6">
      <w:pPr>
        <w:pStyle w:val="AERbodytext"/>
        <w:jc w:val="both"/>
      </w:pPr>
      <w:r>
        <w:t xml:space="preserve">Figure </w:t>
      </w:r>
      <w:r w:rsidR="00CD7339">
        <w:t>1</w:t>
      </w:r>
      <w:r w:rsidR="00DF71B2">
        <w:t xml:space="preserve"> </w:t>
      </w:r>
      <w:r w:rsidRPr="002837C6">
        <w:t>shows daily ex</w:t>
      </w:r>
      <w:r>
        <w:t xml:space="preserve"> ante prices and demand for </w:t>
      </w:r>
      <w:r w:rsidR="00282C42">
        <w:t xml:space="preserve">June, July </w:t>
      </w:r>
      <w:r w:rsidR="005461D6">
        <w:t xml:space="preserve">and </w:t>
      </w:r>
      <w:r w:rsidR="00282C42">
        <w:t>August</w:t>
      </w:r>
      <w:r w:rsidRPr="002837C6">
        <w:t xml:space="preserve"> 2012 along with the rolling 30 day average price. </w:t>
      </w:r>
    </w:p>
    <w:p w:rsidR="002837C6" w:rsidRPr="00094DB8" w:rsidRDefault="00094DB8" w:rsidP="002837C6">
      <w:pPr>
        <w:pStyle w:val="Heading3"/>
        <w:rPr>
          <w:bCs w:val="0"/>
          <w:sz w:val="24"/>
          <w:szCs w:val="24"/>
        </w:rPr>
      </w:pPr>
      <w:r w:rsidRPr="00094DB8">
        <w:rPr>
          <w:sz w:val="20"/>
          <w:szCs w:val="20"/>
          <w:lang w:eastAsia="en-US"/>
        </w:rPr>
        <w:t xml:space="preserve">Figure </w:t>
      </w:r>
      <w:r w:rsidR="00CD7339">
        <w:rPr>
          <w:sz w:val="20"/>
          <w:szCs w:val="20"/>
          <w:lang w:eastAsia="en-US"/>
        </w:rPr>
        <w:t>1</w:t>
      </w:r>
      <w:r w:rsidRPr="00094DB8">
        <w:rPr>
          <w:sz w:val="20"/>
          <w:szCs w:val="20"/>
          <w:lang w:eastAsia="en-US"/>
        </w:rPr>
        <w:t xml:space="preserve">: </w:t>
      </w:r>
      <w:r w:rsidR="00093FFA" w:rsidRPr="00094DB8">
        <w:rPr>
          <w:sz w:val="20"/>
          <w:szCs w:val="20"/>
          <w:lang w:eastAsia="en-US"/>
        </w:rPr>
        <w:t xml:space="preserve">Sydney </w:t>
      </w:r>
      <w:r w:rsidR="00093FFA">
        <w:rPr>
          <w:sz w:val="20"/>
          <w:szCs w:val="20"/>
          <w:lang w:eastAsia="en-US"/>
        </w:rPr>
        <w:t xml:space="preserve">ex ante </w:t>
      </w:r>
      <w:r w:rsidRPr="00094DB8">
        <w:rPr>
          <w:sz w:val="20"/>
          <w:szCs w:val="20"/>
          <w:lang w:eastAsia="en-US"/>
        </w:rPr>
        <w:t xml:space="preserve">prices and </w:t>
      </w:r>
      <w:r w:rsidR="00093FFA">
        <w:rPr>
          <w:sz w:val="20"/>
          <w:szCs w:val="20"/>
          <w:lang w:eastAsia="en-US"/>
        </w:rPr>
        <w:t xml:space="preserve">demand, </w:t>
      </w:r>
      <w:r w:rsidR="00282C42">
        <w:rPr>
          <w:sz w:val="20"/>
          <w:szCs w:val="20"/>
          <w:lang w:eastAsia="en-US"/>
        </w:rPr>
        <w:t>winter</w:t>
      </w:r>
      <w:r w:rsidR="00093FFA">
        <w:rPr>
          <w:sz w:val="20"/>
          <w:szCs w:val="20"/>
          <w:lang w:eastAsia="en-US"/>
        </w:rPr>
        <w:t xml:space="preserve"> 2012</w:t>
      </w:r>
    </w:p>
    <w:p w:rsidR="00134D16" w:rsidRDefault="007E4F35" w:rsidP="0060145C">
      <w:pPr>
        <w:pStyle w:val="Heading3"/>
        <w:jc w:val="both"/>
        <w:rPr>
          <w:rFonts w:ascii="Times New Roman" w:hAnsi="Times New Roman" w:cs="Times New Roman"/>
          <w:b w:val="0"/>
          <w:bCs w:val="0"/>
          <w:sz w:val="24"/>
          <w:szCs w:val="24"/>
        </w:rPr>
      </w:pPr>
      <w:r w:rsidRPr="000F3217">
        <w:rPr>
          <w:szCs w:val="24"/>
        </w:rPr>
        <w:pict>
          <v:shape id="_x0000_i1026" type="#_x0000_t75" style="width:451.25pt;height:185pt">
            <v:imagedata r:id="rId9" o:title=""/>
          </v:shape>
        </w:pict>
      </w:r>
      <w:r w:rsidR="00F8695F" w:rsidRPr="00F8695F" w:rsidDel="00936E6A">
        <w:rPr>
          <w:szCs w:val="24"/>
        </w:rPr>
        <w:t xml:space="preserve"> </w:t>
      </w:r>
    </w:p>
    <w:p w:rsidR="00EB0A92" w:rsidRDefault="002837C6">
      <w:pPr>
        <w:pStyle w:val="AERbodytext"/>
        <w:jc w:val="both"/>
      </w:pPr>
      <w:r w:rsidRPr="002837C6">
        <w:t xml:space="preserve">The rolling average </w:t>
      </w:r>
      <w:r w:rsidR="005461D6">
        <w:t xml:space="preserve">ex ante </w:t>
      </w:r>
      <w:r w:rsidRPr="002837C6">
        <w:t xml:space="preserve">price started </w:t>
      </w:r>
      <w:r w:rsidR="002753C7">
        <w:t>August</w:t>
      </w:r>
      <w:r>
        <w:t xml:space="preserve"> at around $6</w:t>
      </w:r>
      <w:r w:rsidR="00270BB5">
        <w:t>.</w:t>
      </w:r>
      <w:r w:rsidR="002753C7">
        <w:t>8</w:t>
      </w:r>
      <w:r w:rsidR="00270BB5">
        <w:t>0</w:t>
      </w:r>
      <w:r>
        <w:t>/GJ</w:t>
      </w:r>
      <w:r w:rsidR="00134D16">
        <w:t xml:space="preserve"> and settled around the same level by the</w:t>
      </w:r>
      <w:r w:rsidRPr="002837C6">
        <w:t xml:space="preserve"> end of the month</w:t>
      </w:r>
      <w:r w:rsidR="00270BB5">
        <w:t xml:space="preserve"> ($6.</w:t>
      </w:r>
      <w:r w:rsidR="002753C7">
        <w:t>75</w:t>
      </w:r>
      <w:r w:rsidR="00270BB5">
        <w:t>/GJ)</w:t>
      </w:r>
      <w:r w:rsidRPr="002837C6">
        <w:t>.</w:t>
      </w:r>
    </w:p>
    <w:p w:rsidR="00A728C9" w:rsidRDefault="00A728C9" w:rsidP="008D0FA9">
      <w:pPr>
        <w:keepNext/>
        <w:jc w:val="both"/>
        <w:rPr>
          <w:sz w:val="23"/>
          <w:szCs w:val="23"/>
        </w:rPr>
      </w:pPr>
      <w:r w:rsidRPr="00D46015">
        <w:rPr>
          <w:lang w:eastAsia="en-US"/>
        </w:rPr>
        <w:t xml:space="preserve">Figures </w:t>
      </w:r>
      <w:r w:rsidR="00CD7339" w:rsidRPr="00D46015">
        <w:rPr>
          <w:lang w:eastAsia="en-US"/>
        </w:rPr>
        <w:t>3</w:t>
      </w:r>
      <w:r w:rsidRPr="00D46015">
        <w:rPr>
          <w:lang w:eastAsia="en-US"/>
        </w:rPr>
        <w:t xml:space="preserve"> and </w:t>
      </w:r>
      <w:r w:rsidR="00CD7339" w:rsidRPr="00D46015">
        <w:rPr>
          <w:lang w:eastAsia="en-US"/>
        </w:rPr>
        <w:t>4</w:t>
      </w:r>
      <w:r w:rsidRPr="00D46015">
        <w:rPr>
          <w:lang w:eastAsia="en-US"/>
        </w:rPr>
        <w:t xml:space="preserve"> compare key prices and quantities in the Sydney hub for </w:t>
      </w:r>
      <w:r w:rsidR="002B468C" w:rsidRPr="00D46015">
        <w:rPr>
          <w:lang w:eastAsia="en-US"/>
        </w:rPr>
        <w:t>August </w:t>
      </w:r>
      <w:r w:rsidRPr="00D46015">
        <w:rPr>
          <w:lang w:eastAsia="en-US"/>
        </w:rPr>
        <w:t xml:space="preserve">2012 </w:t>
      </w:r>
      <w:r w:rsidR="0040567A" w:rsidRPr="00D46015">
        <w:rPr>
          <w:lang w:eastAsia="en-US"/>
        </w:rPr>
        <w:t>with</w:t>
      </w:r>
      <w:r w:rsidRPr="00D46015">
        <w:rPr>
          <w:lang w:eastAsia="en-US"/>
        </w:rPr>
        <w:t xml:space="preserve"> </w:t>
      </w:r>
      <w:r w:rsidR="002B468C" w:rsidRPr="00D46015">
        <w:rPr>
          <w:lang w:eastAsia="en-US"/>
        </w:rPr>
        <w:t>August </w:t>
      </w:r>
      <w:r w:rsidRPr="00D46015">
        <w:rPr>
          <w:lang w:eastAsia="en-US"/>
        </w:rPr>
        <w:t xml:space="preserve">2011. As shown in Figure </w:t>
      </w:r>
      <w:r w:rsidR="00CD7339" w:rsidRPr="00D46015">
        <w:rPr>
          <w:lang w:eastAsia="en-US"/>
        </w:rPr>
        <w:t>3</w:t>
      </w:r>
      <w:r w:rsidRPr="00D46015">
        <w:rPr>
          <w:lang w:eastAsia="en-US"/>
        </w:rPr>
        <w:t xml:space="preserve"> (and graphically in figure </w:t>
      </w:r>
      <w:r w:rsidR="00CD7339" w:rsidRPr="00D46015">
        <w:rPr>
          <w:lang w:eastAsia="en-US"/>
        </w:rPr>
        <w:t>4</w:t>
      </w:r>
      <w:r w:rsidRPr="00D46015">
        <w:rPr>
          <w:lang w:eastAsia="en-US"/>
        </w:rPr>
        <w:t>), the volume of offers at or below $6/GJ</w:t>
      </w:r>
      <w:r>
        <w:rPr>
          <w:rStyle w:val="FootnoteReference"/>
          <w:sz w:val="23"/>
          <w:szCs w:val="23"/>
        </w:rPr>
        <w:footnoteReference w:id="6"/>
      </w:r>
      <w:r w:rsidR="00ED4D55">
        <w:rPr>
          <w:sz w:val="23"/>
          <w:szCs w:val="23"/>
        </w:rPr>
        <w:t xml:space="preserve"> </w:t>
      </w:r>
      <w:r w:rsidR="00ED4D55" w:rsidRPr="00D46015">
        <w:rPr>
          <w:lang w:eastAsia="en-US"/>
        </w:rPr>
        <w:t>fell</w:t>
      </w:r>
      <w:r w:rsidRPr="00D46015">
        <w:rPr>
          <w:lang w:eastAsia="en-US"/>
        </w:rPr>
        <w:t xml:space="preserve"> by </w:t>
      </w:r>
      <w:r w:rsidR="002B468C" w:rsidRPr="00D46015">
        <w:rPr>
          <w:lang w:eastAsia="en-US"/>
        </w:rPr>
        <w:t xml:space="preserve">12 </w:t>
      </w:r>
      <w:r w:rsidRPr="00D46015">
        <w:rPr>
          <w:lang w:eastAsia="en-US"/>
        </w:rPr>
        <w:t xml:space="preserve">per cent from </w:t>
      </w:r>
      <w:r w:rsidR="002B468C" w:rsidRPr="00D46015">
        <w:rPr>
          <w:lang w:eastAsia="en-US"/>
        </w:rPr>
        <w:t xml:space="preserve">August </w:t>
      </w:r>
      <w:r w:rsidRPr="00D46015">
        <w:rPr>
          <w:lang w:eastAsia="en-US"/>
        </w:rPr>
        <w:t xml:space="preserve">2011 to </w:t>
      </w:r>
      <w:r w:rsidR="002B468C" w:rsidRPr="00D46015">
        <w:rPr>
          <w:lang w:eastAsia="en-US"/>
        </w:rPr>
        <w:t xml:space="preserve">August </w:t>
      </w:r>
      <w:r w:rsidRPr="00D46015">
        <w:rPr>
          <w:lang w:eastAsia="en-US"/>
        </w:rPr>
        <w:t>2012.</w:t>
      </w:r>
    </w:p>
    <w:p w:rsidR="00A728C9" w:rsidRDefault="00A728C9" w:rsidP="00802371">
      <w:pPr>
        <w:keepNext/>
        <w:jc w:val="both"/>
        <w:rPr>
          <w:rFonts w:ascii="Arial" w:hAnsi="Arial" w:cs="Arial"/>
          <w:b/>
          <w:sz w:val="20"/>
          <w:szCs w:val="20"/>
          <w:lang w:eastAsia="en-US"/>
        </w:rPr>
      </w:pPr>
    </w:p>
    <w:p w:rsidR="00802371" w:rsidRPr="00486CB1" w:rsidRDefault="00802371" w:rsidP="00802371">
      <w:pPr>
        <w:keepNext/>
        <w:jc w:val="both"/>
        <w:rPr>
          <w:rFonts w:ascii="Arial" w:hAnsi="Arial" w:cs="Arial"/>
          <w:b/>
          <w:sz w:val="20"/>
          <w:szCs w:val="20"/>
          <w:lang w:eastAsia="en-US"/>
        </w:rPr>
      </w:pPr>
      <w:r w:rsidRPr="00486CB1">
        <w:rPr>
          <w:rFonts w:ascii="Arial" w:hAnsi="Arial" w:cs="Arial"/>
          <w:b/>
          <w:sz w:val="20"/>
          <w:szCs w:val="20"/>
          <w:lang w:eastAsia="en-US"/>
        </w:rPr>
        <w:t xml:space="preserve">Figure </w:t>
      </w:r>
      <w:r w:rsidR="00CD7339">
        <w:rPr>
          <w:rFonts w:ascii="Arial" w:hAnsi="Arial" w:cs="Arial"/>
          <w:b/>
          <w:sz w:val="20"/>
          <w:szCs w:val="20"/>
          <w:lang w:eastAsia="en-US"/>
        </w:rPr>
        <w:t>3</w:t>
      </w:r>
      <w:r w:rsidR="00093FFA">
        <w:rPr>
          <w:rFonts w:ascii="Arial" w:hAnsi="Arial" w:cs="Arial"/>
          <w:b/>
          <w:sz w:val="20"/>
          <w:szCs w:val="20"/>
          <w:lang w:eastAsia="en-US"/>
        </w:rPr>
        <w:t>:</w:t>
      </w:r>
      <w:r w:rsidR="00BE55B3">
        <w:rPr>
          <w:rFonts w:ascii="Arial" w:hAnsi="Arial" w:cs="Arial"/>
          <w:b/>
          <w:sz w:val="20"/>
          <w:szCs w:val="20"/>
          <w:lang w:eastAsia="en-US"/>
        </w:rPr>
        <w:t xml:space="preserve"> Sydney a</w:t>
      </w:r>
      <w:r w:rsidRPr="00486CB1">
        <w:rPr>
          <w:rFonts w:ascii="Arial" w:hAnsi="Arial" w:cs="Arial"/>
          <w:b/>
          <w:sz w:val="20"/>
          <w:szCs w:val="20"/>
          <w:lang w:eastAsia="en-US"/>
        </w:rPr>
        <w:t xml:space="preserve">verage </w:t>
      </w:r>
      <w:r>
        <w:rPr>
          <w:rFonts w:ascii="Arial" w:hAnsi="Arial" w:cs="Arial"/>
          <w:b/>
          <w:sz w:val="20"/>
          <w:szCs w:val="20"/>
          <w:lang w:eastAsia="en-US"/>
        </w:rPr>
        <w:t xml:space="preserve">daily </w:t>
      </w:r>
      <w:r w:rsidRPr="00486CB1">
        <w:rPr>
          <w:rFonts w:ascii="Arial" w:hAnsi="Arial" w:cs="Arial"/>
          <w:b/>
          <w:sz w:val="20"/>
          <w:szCs w:val="20"/>
          <w:lang w:eastAsia="en-US"/>
        </w:rPr>
        <w:t>key prices and inputs</w:t>
      </w:r>
      <w:r w:rsidR="00093FFA">
        <w:rPr>
          <w:rFonts w:ascii="Arial" w:hAnsi="Arial" w:cs="Arial"/>
          <w:b/>
          <w:sz w:val="20"/>
          <w:szCs w:val="20"/>
          <w:lang w:eastAsia="en-US"/>
        </w:rPr>
        <w:t xml:space="preserve">: </w:t>
      </w:r>
      <w:r w:rsidR="008F03AB">
        <w:rPr>
          <w:rFonts w:ascii="Arial" w:hAnsi="Arial" w:cs="Arial"/>
          <w:b/>
          <w:sz w:val="20"/>
          <w:szCs w:val="20"/>
          <w:lang w:eastAsia="en-US"/>
        </w:rPr>
        <w:t xml:space="preserve">August </w:t>
      </w:r>
      <w:r w:rsidR="00093FFA">
        <w:rPr>
          <w:rFonts w:ascii="Arial" w:hAnsi="Arial" w:cs="Arial"/>
          <w:b/>
          <w:sz w:val="20"/>
          <w:szCs w:val="20"/>
          <w:lang w:eastAsia="en-US"/>
        </w:rPr>
        <w:t xml:space="preserve">2011 vs. </w:t>
      </w:r>
      <w:r w:rsidR="008F03AB">
        <w:rPr>
          <w:rFonts w:ascii="Arial" w:hAnsi="Arial" w:cs="Arial"/>
          <w:b/>
          <w:sz w:val="20"/>
          <w:szCs w:val="20"/>
          <w:lang w:eastAsia="en-US"/>
        </w:rPr>
        <w:t>August</w:t>
      </w:r>
      <w:r w:rsidR="00093FFA">
        <w:rPr>
          <w:rFonts w:ascii="Arial" w:hAnsi="Arial" w:cs="Arial"/>
          <w:b/>
          <w:sz w:val="20"/>
          <w:szCs w:val="20"/>
          <w:lang w:eastAsia="en-US"/>
        </w:rPr>
        <w:t xml:space="preserve"> 2012</w:t>
      </w:r>
    </w:p>
    <w:tbl>
      <w:tblPr>
        <w:tblW w:w="9335" w:type="dxa"/>
        <w:tblBorders>
          <w:top w:val="single" w:sz="12" w:space="0" w:color="000000"/>
          <w:bottom w:val="single" w:sz="12" w:space="0" w:color="000000"/>
          <w:insideH w:val="single" w:sz="6" w:space="0" w:color="000000"/>
        </w:tblBorders>
        <w:tblLayout w:type="fixed"/>
        <w:tblLook w:val="04A0"/>
      </w:tblPr>
      <w:tblGrid>
        <w:gridCol w:w="1242"/>
        <w:gridCol w:w="1701"/>
        <w:gridCol w:w="1536"/>
        <w:gridCol w:w="1618"/>
        <w:gridCol w:w="1619"/>
        <w:gridCol w:w="1619"/>
      </w:tblGrid>
      <w:tr w:rsidR="00996539" w:rsidRPr="00802371" w:rsidTr="00E43750">
        <w:trPr>
          <w:trHeight w:val="300"/>
        </w:trPr>
        <w:tc>
          <w:tcPr>
            <w:tcW w:w="1242" w:type="dxa"/>
            <w:shd w:val="clear" w:color="auto" w:fill="auto"/>
            <w:noWrap/>
            <w:hideMark/>
          </w:tcPr>
          <w:p w:rsidR="00996539" w:rsidRPr="00AC4DB7" w:rsidRDefault="00996539" w:rsidP="00802371">
            <w:pPr>
              <w:jc w:val="center"/>
              <w:rPr>
                <w:rFonts w:ascii="Calibri" w:hAnsi="Calibri" w:cs="Arial"/>
                <w:b/>
                <w:bCs/>
                <w:color w:val="000000"/>
                <w:sz w:val="20"/>
                <w:szCs w:val="20"/>
              </w:rPr>
            </w:pPr>
          </w:p>
        </w:tc>
        <w:tc>
          <w:tcPr>
            <w:tcW w:w="1701" w:type="dxa"/>
          </w:tcPr>
          <w:p w:rsidR="00282C42" w:rsidRPr="00E43750" w:rsidRDefault="004C28AD" w:rsidP="00E43750">
            <w:pPr>
              <w:ind w:right="-250"/>
              <w:rPr>
                <w:rFonts w:asciiTheme="minorHAnsi" w:hAnsiTheme="minorHAnsi" w:cs="Arial"/>
                <w:b/>
                <w:color w:val="000000"/>
                <w:sz w:val="20"/>
                <w:szCs w:val="20"/>
              </w:rPr>
            </w:pPr>
            <w:r w:rsidRPr="00E43750">
              <w:rPr>
                <w:rFonts w:asciiTheme="minorHAnsi" w:hAnsiTheme="minorHAnsi" w:cs="Arial"/>
                <w:b/>
                <w:color w:val="000000"/>
                <w:sz w:val="20"/>
                <w:szCs w:val="20"/>
              </w:rPr>
              <w:t>Offers at or below $6/GJ</w:t>
            </w:r>
            <w:r w:rsidR="00E43750">
              <w:rPr>
                <w:rFonts w:asciiTheme="minorHAnsi" w:hAnsiTheme="minorHAnsi" w:cs="Arial"/>
                <w:b/>
                <w:color w:val="000000"/>
                <w:sz w:val="20"/>
                <w:szCs w:val="20"/>
              </w:rPr>
              <w:t xml:space="preserve"> </w:t>
            </w:r>
            <w:r w:rsidRPr="00E43750">
              <w:rPr>
                <w:rFonts w:asciiTheme="minorHAnsi" w:hAnsiTheme="minorHAnsi" w:cs="Arial"/>
                <w:b/>
                <w:color w:val="000000"/>
                <w:sz w:val="20"/>
                <w:szCs w:val="20"/>
              </w:rPr>
              <w:t>(TJ)</w:t>
            </w:r>
          </w:p>
        </w:tc>
        <w:tc>
          <w:tcPr>
            <w:tcW w:w="1536" w:type="dxa"/>
            <w:shd w:val="clear" w:color="auto" w:fill="auto"/>
            <w:noWrap/>
            <w:hideMark/>
          </w:tcPr>
          <w:p w:rsidR="00282C42" w:rsidRPr="00E43750" w:rsidRDefault="004C28AD" w:rsidP="00E43750">
            <w:pPr>
              <w:ind w:right="-250"/>
              <w:rPr>
                <w:rFonts w:asciiTheme="minorHAnsi" w:hAnsiTheme="minorHAnsi" w:cs="Arial"/>
                <w:b/>
                <w:color w:val="000000"/>
                <w:sz w:val="20"/>
                <w:szCs w:val="20"/>
              </w:rPr>
            </w:pPr>
            <w:r w:rsidRPr="00E43750">
              <w:rPr>
                <w:rFonts w:asciiTheme="minorHAnsi" w:hAnsiTheme="minorHAnsi" w:cs="Arial"/>
                <w:b/>
                <w:color w:val="000000"/>
                <w:sz w:val="20"/>
                <w:szCs w:val="20"/>
              </w:rPr>
              <w:t>Ex ante</w:t>
            </w:r>
            <w:r w:rsidR="00E43750">
              <w:rPr>
                <w:rFonts w:asciiTheme="minorHAnsi" w:hAnsiTheme="minorHAnsi" w:cs="Arial"/>
                <w:b/>
                <w:color w:val="000000"/>
                <w:sz w:val="20"/>
                <w:szCs w:val="20"/>
              </w:rPr>
              <w:t xml:space="preserve"> V</w:t>
            </w:r>
            <w:r w:rsidRPr="00E43750">
              <w:rPr>
                <w:rFonts w:asciiTheme="minorHAnsi" w:hAnsiTheme="minorHAnsi" w:cs="Arial"/>
                <w:b/>
                <w:color w:val="000000"/>
                <w:sz w:val="20"/>
                <w:szCs w:val="20"/>
              </w:rPr>
              <w:t>olume</w:t>
            </w:r>
            <w:r w:rsidR="00E43750">
              <w:rPr>
                <w:rFonts w:asciiTheme="minorHAnsi" w:hAnsiTheme="minorHAnsi" w:cs="Arial"/>
                <w:b/>
                <w:color w:val="000000"/>
                <w:sz w:val="20"/>
                <w:szCs w:val="20"/>
              </w:rPr>
              <w:t xml:space="preserve"> </w:t>
            </w:r>
            <w:r w:rsidRPr="00E43750">
              <w:rPr>
                <w:rFonts w:asciiTheme="minorHAnsi" w:hAnsiTheme="minorHAnsi" w:cs="Arial"/>
                <w:b/>
                <w:color w:val="000000"/>
                <w:sz w:val="20"/>
                <w:szCs w:val="20"/>
              </w:rPr>
              <w:t>(TJ)</w:t>
            </w:r>
          </w:p>
        </w:tc>
        <w:tc>
          <w:tcPr>
            <w:tcW w:w="1618" w:type="dxa"/>
            <w:shd w:val="clear" w:color="auto" w:fill="auto"/>
            <w:noWrap/>
            <w:hideMark/>
          </w:tcPr>
          <w:p w:rsidR="00282C42" w:rsidRPr="00E43750" w:rsidRDefault="00AE54DD" w:rsidP="00E43750">
            <w:pPr>
              <w:rPr>
                <w:rFonts w:asciiTheme="minorHAnsi" w:hAnsiTheme="minorHAnsi" w:cs="Arial"/>
                <w:b/>
                <w:color w:val="000000"/>
                <w:sz w:val="20"/>
                <w:szCs w:val="20"/>
              </w:rPr>
            </w:pPr>
            <w:r w:rsidRPr="00E43750">
              <w:rPr>
                <w:rFonts w:asciiTheme="minorHAnsi" w:hAnsiTheme="minorHAnsi" w:cs="Arial"/>
                <w:b/>
                <w:color w:val="000000"/>
                <w:sz w:val="20"/>
                <w:szCs w:val="20"/>
              </w:rPr>
              <w:t>Ex ante</w:t>
            </w:r>
            <w:r w:rsidR="00E43750">
              <w:rPr>
                <w:rFonts w:asciiTheme="minorHAnsi" w:hAnsiTheme="minorHAnsi" w:cs="Arial"/>
                <w:b/>
                <w:color w:val="000000"/>
                <w:sz w:val="20"/>
                <w:szCs w:val="20"/>
              </w:rPr>
              <w:t xml:space="preserve"> </w:t>
            </w:r>
            <w:r w:rsidRPr="00E43750">
              <w:rPr>
                <w:rFonts w:asciiTheme="minorHAnsi" w:hAnsiTheme="minorHAnsi" w:cs="Arial"/>
                <w:b/>
                <w:color w:val="000000"/>
                <w:sz w:val="20"/>
                <w:szCs w:val="20"/>
              </w:rPr>
              <w:t>price($</w:t>
            </w:r>
            <w:r w:rsidR="00996539" w:rsidRPr="00E43750">
              <w:rPr>
                <w:rFonts w:asciiTheme="minorHAnsi" w:hAnsiTheme="minorHAnsi" w:cs="Arial"/>
                <w:b/>
                <w:color w:val="000000"/>
                <w:sz w:val="20"/>
                <w:szCs w:val="20"/>
              </w:rPr>
              <w:t>/GJ</w:t>
            </w:r>
            <w:r w:rsidRPr="00E43750">
              <w:rPr>
                <w:rFonts w:asciiTheme="minorHAnsi" w:hAnsiTheme="minorHAnsi" w:cs="Arial"/>
                <w:b/>
                <w:color w:val="000000"/>
                <w:sz w:val="20"/>
                <w:szCs w:val="20"/>
              </w:rPr>
              <w:t>)</w:t>
            </w:r>
          </w:p>
        </w:tc>
        <w:tc>
          <w:tcPr>
            <w:tcW w:w="1619" w:type="dxa"/>
            <w:shd w:val="clear" w:color="auto" w:fill="auto"/>
            <w:noWrap/>
            <w:hideMark/>
          </w:tcPr>
          <w:p w:rsidR="00282C42" w:rsidRPr="00E43750" w:rsidRDefault="00996539" w:rsidP="00E43750">
            <w:pPr>
              <w:rPr>
                <w:rFonts w:asciiTheme="minorHAnsi" w:hAnsiTheme="minorHAnsi" w:cs="Arial"/>
                <w:b/>
                <w:color w:val="000000"/>
                <w:sz w:val="20"/>
                <w:szCs w:val="20"/>
              </w:rPr>
            </w:pPr>
            <w:r w:rsidRPr="00E43750">
              <w:rPr>
                <w:rFonts w:asciiTheme="minorHAnsi" w:hAnsiTheme="minorHAnsi" w:cs="Arial"/>
                <w:b/>
                <w:color w:val="000000"/>
                <w:sz w:val="20"/>
                <w:szCs w:val="20"/>
              </w:rPr>
              <w:t>Absolute</w:t>
            </w:r>
            <w:r w:rsidR="00E43750">
              <w:rPr>
                <w:rFonts w:asciiTheme="minorHAnsi" w:hAnsiTheme="minorHAnsi" w:cs="Arial"/>
                <w:b/>
                <w:color w:val="000000"/>
                <w:sz w:val="20"/>
                <w:szCs w:val="20"/>
              </w:rPr>
              <w:t xml:space="preserve"> </w:t>
            </w:r>
            <w:r w:rsidRPr="00E43750">
              <w:rPr>
                <w:rFonts w:asciiTheme="minorHAnsi" w:hAnsiTheme="minorHAnsi" w:cs="Arial"/>
                <w:b/>
                <w:color w:val="000000"/>
                <w:sz w:val="20"/>
                <w:szCs w:val="20"/>
              </w:rPr>
              <w:t>i</w:t>
            </w:r>
            <w:r w:rsidR="00AE54DD" w:rsidRPr="00E43750">
              <w:rPr>
                <w:rFonts w:asciiTheme="minorHAnsi" w:hAnsiTheme="minorHAnsi" w:cs="Arial"/>
                <w:b/>
                <w:color w:val="000000"/>
                <w:sz w:val="20"/>
                <w:szCs w:val="20"/>
              </w:rPr>
              <w:t>mbalance</w:t>
            </w:r>
            <w:r w:rsidR="00E43750">
              <w:rPr>
                <w:rFonts w:asciiTheme="minorHAnsi" w:hAnsiTheme="minorHAnsi" w:cs="Arial"/>
                <w:b/>
                <w:color w:val="000000"/>
                <w:sz w:val="20"/>
                <w:szCs w:val="20"/>
              </w:rPr>
              <w:t xml:space="preserve"> </w:t>
            </w:r>
            <w:r w:rsidRPr="00E43750">
              <w:rPr>
                <w:rFonts w:asciiTheme="minorHAnsi" w:hAnsiTheme="minorHAnsi" w:cs="Arial"/>
                <w:b/>
                <w:color w:val="000000"/>
                <w:sz w:val="20"/>
                <w:szCs w:val="20"/>
              </w:rPr>
              <w:t>volume</w:t>
            </w:r>
            <w:r w:rsidR="00E43750">
              <w:rPr>
                <w:rFonts w:asciiTheme="minorHAnsi" w:hAnsiTheme="minorHAnsi" w:cs="Arial"/>
                <w:b/>
                <w:color w:val="000000"/>
                <w:sz w:val="20"/>
                <w:szCs w:val="20"/>
              </w:rPr>
              <w:t xml:space="preserve"> </w:t>
            </w:r>
            <w:r w:rsidR="00AE54DD" w:rsidRPr="00E43750">
              <w:rPr>
                <w:rFonts w:asciiTheme="minorHAnsi" w:hAnsiTheme="minorHAnsi" w:cs="Arial"/>
                <w:b/>
                <w:color w:val="000000"/>
                <w:sz w:val="20"/>
                <w:szCs w:val="20"/>
              </w:rPr>
              <w:t>(TJ)</w:t>
            </w:r>
          </w:p>
        </w:tc>
        <w:tc>
          <w:tcPr>
            <w:tcW w:w="1619" w:type="dxa"/>
            <w:shd w:val="clear" w:color="auto" w:fill="auto"/>
          </w:tcPr>
          <w:p w:rsidR="00282C42" w:rsidRPr="00E43750" w:rsidRDefault="00AE54DD" w:rsidP="00E43750">
            <w:pPr>
              <w:rPr>
                <w:rFonts w:asciiTheme="minorHAnsi" w:hAnsiTheme="minorHAnsi" w:cs="Arial"/>
                <w:b/>
                <w:i/>
                <w:color w:val="000000"/>
                <w:sz w:val="20"/>
                <w:szCs w:val="20"/>
              </w:rPr>
            </w:pPr>
            <w:r w:rsidRPr="00E43750">
              <w:rPr>
                <w:rFonts w:asciiTheme="minorHAnsi" w:hAnsiTheme="minorHAnsi" w:cs="Arial"/>
                <w:b/>
                <w:color w:val="000000"/>
                <w:sz w:val="20"/>
                <w:szCs w:val="20"/>
              </w:rPr>
              <w:t>Ex post price</w:t>
            </w:r>
            <w:r w:rsidR="00E43750">
              <w:rPr>
                <w:rFonts w:asciiTheme="minorHAnsi" w:hAnsiTheme="minorHAnsi" w:cs="Arial"/>
                <w:b/>
                <w:color w:val="000000"/>
                <w:sz w:val="20"/>
                <w:szCs w:val="20"/>
              </w:rPr>
              <w:t xml:space="preserve"> </w:t>
            </w:r>
            <w:r w:rsidRPr="00E43750">
              <w:rPr>
                <w:rFonts w:asciiTheme="minorHAnsi" w:hAnsiTheme="minorHAnsi" w:cs="Arial"/>
                <w:b/>
                <w:color w:val="000000"/>
                <w:sz w:val="20"/>
                <w:szCs w:val="20"/>
              </w:rPr>
              <w:t>($/GJ)*</w:t>
            </w:r>
          </w:p>
        </w:tc>
      </w:tr>
      <w:tr w:rsidR="002B468C" w:rsidRPr="00802371" w:rsidTr="00E43750">
        <w:trPr>
          <w:trHeight w:val="300"/>
        </w:trPr>
        <w:tc>
          <w:tcPr>
            <w:tcW w:w="1242" w:type="dxa"/>
            <w:shd w:val="clear" w:color="auto" w:fill="auto"/>
            <w:noWrap/>
            <w:vAlign w:val="center"/>
            <w:hideMark/>
          </w:tcPr>
          <w:p w:rsidR="002B468C" w:rsidRPr="00E43750" w:rsidRDefault="004C28AD" w:rsidP="002B468C">
            <w:pPr>
              <w:jc w:val="center"/>
              <w:rPr>
                <w:rFonts w:asciiTheme="minorHAnsi" w:hAnsiTheme="minorHAnsi" w:cs="Arial"/>
                <w:b/>
                <w:color w:val="000000"/>
                <w:sz w:val="20"/>
                <w:szCs w:val="20"/>
              </w:rPr>
            </w:pPr>
            <w:r w:rsidRPr="00E43750">
              <w:rPr>
                <w:rFonts w:asciiTheme="minorHAnsi" w:hAnsiTheme="minorHAnsi" w:cs="Arial"/>
                <w:b/>
                <w:sz w:val="20"/>
                <w:szCs w:val="20"/>
              </w:rPr>
              <w:t>Aug 2011</w:t>
            </w:r>
          </w:p>
        </w:tc>
        <w:tc>
          <w:tcPr>
            <w:tcW w:w="1701" w:type="dxa"/>
            <w:vAlign w:val="center"/>
          </w:tcPr>
          <w:p w:rsidR="002B468C" w:rsidRPr="00E43750" w:rsidRDefault="002B468C" w:rsidP="00E43750">
            <w:pPr>
              <w:rPr>
                <w:rFonts w:asciiTheme="minorHAnsi" w:hAnsiTheme="minorHAnsi" w:cs="Arial"/>
                <w:color w:val="000000"/>
                <w:sz w:val="20"/>
                <w:szCs w:val="20"/>
              </w:rPr>
            </w:pPr>
            <w:r w:rsidRPr="00E43750">
              <w:rPr>
                <w:rFonts w:asciiTheme="minorHAnsi" w:hAnsiTheme="minorHAnsi" w:cs="Arial"/>
                <w:sz w:val="20"/>
                <w:szCs w:val="20"/>
              </w:rPr>
              <w:t>319</w:t>
            </w:r>
          </w:p>
        </w:tc>
        <w:tc>
          <w:tcPr>
            <w:tcW w:w="1536" w:type="dxa"/>
            <w:shd w:val="clear" w:color="auto" w:fill="auto"/>
            <w:noWrap/>
            <w:vAlign w:val="center"/>
            <w:hideMark/>
          </w:tcPr>
          <w:p w:rsidR="002B468C" w:rsidRPr="00E43750" w:rsidRDefault="002B468C" w:rsidP="00E43750">
            <w:pPr>
              <w:rPr>
                <w:rFonts w:asciiTheme="minorHAnsi" w:hAnsiTheme="minorHAnsi" w:cs="Arial"/>
                <w:color w:val="000000"/>
                <w:sz w:val="20"/>
                <w:szCs w:val="20"/>
              </w:rPr>
            </w:pPr>
            <w:r w:rsidRPr="00E43750">
              <w:rPr>
                <w:rFonts w:asciiTheme="minorHAnsi" w:hAnsiTheme="minorHAnsi" w:cs="Arial"/>
                <w:sz w:val="20"/>
                <w:szCs w:val="20"/>
              </w:rPr>
              <w:t>270</w:t>
            </w:r>
          </w:p>
        </w:tc>
        <w:tc>
          <w:tcPr>
            <w:tcW w:w="1618" w:type="dxa"/>
            <w:shd w:val="clear" w:color="auto" w:fill="auto"/>
            <w:noWrap/>
            <w:vAlign w:val="center"/>
            <w:hideMark/>
          </w:tcPr>
          <w:p w:rsidR="002B468C" w:rsidRPr="00E43750" w:rsidRDefault="002B468C" w:rsidP="00E43750">
            <w:pPr>
              <w:rPr>
                <w:rFonts w:asciiTheme="minorHAnsi" w:hAnsiTheme="minorHAnsi" w:cs="Arial"/>
                <w:color w:val="000000"/>
                <w:sz w:val="20"/>
                <w:szCs w:val="20"/>
              </w:rPr>
            </w:pPr>
            <w:r w:rsidRPr="00E43750">
              <w:rPr>
                <w:rFonts w:asciiTheme="minorHAnsi" w:hAnsiTheme="minorHAnsi" w:cs="Arial"/>
                <w:sz w:val="20"/>
                <w:szCs w:val="20"/>
              </w:rPr>
              <w:t>3.43</w:t>
            </w:r>
          </w:p>
        </w:tc>
        <w:tc>
          <w:tcPr>
            <w:tcW w:w="1619" w:type="dxa"/>
            <w:shd w:val="clear" w:color="auto" w:fill="auto"/>
            <w:noWrap/>
            <w:vAlign w:val="center"/>
            <w:hideMark/>
          </w:tcPr>
          <w:p w:rsidR="002753C7" w:rsidRPr="00E43750" w:rsidRDefault="002B468C" w:rsidP="00E43750">
            <w:pPr>
              <w:rPr>
                <w:rFonts w:asciiTheme="minorHAnsi" w:hAnsiTheme="minorHAnsi" w:cs="Arial"/>
                <w:color w:val="000000"/>
                <w:sz w:val="20"/>
                <w:szCs w:val="20"/>
              </w:rPr>
            </w:pPr>
            <w:r w:rsidRPr="00E43750">
              <w:rPr>
                <w:rFonts w:asciiTheme="minorHAnsi" w:hAnsiTheme="minorHAnsi" w:cs="Arial"/>
                <w:sz w:val="20"/>
                <w:szCs w:val="20"/>
              </w:rPr>
              <w:t>10.2</w:t>
            </w:r>
          </w:p>
        </w:tc>
        <w:tc>
          <w:tcPr>
            <w:tcW w:w="1619" w:type="dxa"/>
            <w:shd w:val="clear" w:color="auto" w:fill="auto"/>
            <w:vAlign w:val="center"/>
          </w:tcPr>
          <w:p w:rsidR="002753C7" w:rsidRPr="00E43750" w:rsidRDefault="002B468C" w:rsidP="00E43750">
            <w:pPr>
              <w:rPr>
                <w:rFonts w:asciiTheme="minorHAnsi" w:hAnsiTheme="minorHAnsi" w:cs="Arial"/>
                <w:color w:val="000000"/>
                <w:sz w:val="20"/>
                <w:szCs w:val="20"/>
              </w:rPr>
            </w:pPr>
            <w:r w:rsidRPr="00E43750">
              <w:rPr>
                <w:rFonts w:asciiTheme="minorHAnsi" w:hAnsiTheme="minorHAnsi" w:cs="Arial"/>
                <w:sz w:val="20"/>
                <w:szCs w:val="20"/>
              </w:rPr>
              <w:t>2.86</w:t>
            </w:r>
          </w:p>
        </w:tc>
      </w:tr>
      <w:tr w:rsidR="002B468C" w:rsidRPr="00802371" w:rsidTr="00E43750">
        <w:trPr>
          <w:trHeight w:val="300"/>
        </w:trPr>
        <w:tc>
          <w:tcPr>
            <w:tcW w:w="1242" w:type="dxa"/>
            <w:shd w:val="clear" w:color="auto" w:fill="auto"/>
            <w:noWrap/>
            <w:vAlign w:val="center"/>
            <w:hideMark/>
          </w:tcPr>
          <w:p w:rsidR="002B468C" w:rsidRPr="00E43750" w:rsidRDefault="004C28AD" w:rsidP="002B468C">
            <w:pPr>
              <w:jc w:val="center"/>
              <w:rPr>
                <w:rFonts w:asciiTheme="minorHAnsi" w:hAnsiTheme="minorHAnsi" w:cs="Arial"/>
                <w:b/>
                <w:color w:val="000000"/>
                <w:sz w:val="20"/>
                <w:szCs w:val="20"/>
              </w:rPr>
            </w:pPr>
            <w:r w:rsidRPr="00E43750">
              <w:rPr>
                <w:rFonts w:asciiTheme="minorHAnsi" w:hAnsiTheme="minorHAnsi" w:cs="Arial"/>
                <w:b/>
                <w:sz w:val="20"/>
                <w:szCs w:val="20"/>
              </w:rPr>
              <w:t>Aug 2012</w:t>
            </w:r>
          </w:p>
        </w:tc>
        <w:tc>
          <w:tcPr>
            <w:tcW w:w="1701" w:type="dxa"/>
            <w:vAlign w:val="center"/>
          </w:tcPr>
          <w:p w:rsidR="002B468C" w:rsidRPr="00E43750" w:rsidRDefault="002B468C" w:rsidP="00E43750">
            <w:pPr>
              <w:rPr>
                <w:rFonts w:asciiTheme="minorHAnsi" w:hAnsiTheme="minorHAnsi" w:cs="Arial"/>
                <w:color w:val="000000"/>
                <w:sz w:val="20"/>
                <w:szCs w:val="20"/>
              </w:rPr>
            </w:pPr>
            <w:r w:rsidRPr="00E43750">
              <w:rPr>
                <w:rFonts w:asciiTheme="minorHAnsi" w:hAnsiTheme="minorHAnsi" w:cs="Arial"/>
                <w:sz w:val="20"/>
                <w:szCs w:val="20"/>
              </w:rPr>
              <w:t>282</w:t>
            </w:r>
          </w:p>
        </w:tc>
        <w:tc>
          <w:tcPr>
            <w:tcW w:w="1536" w:type="dxa"/>
            <w:shd w:val="clear" w:color="auto" w:fill="auto"/>
            <w:noWrap/>
            <w:vAlign w:val="center"/>
            <w:hideMark/>
          </w:tcPr>
          <w:p w:rsidR="002B468C" w:rsidRPr="00E43750" w:rsidRDefault="002B468C" w:rsidP="00E43750">
            <w:pPr>
              <w:rPr>
                <w:rFonts w:asciiTheme="minorHAnsi" w:hAnsiTheme="minorHAnsi" w:cs="Arial"/>
                <w:color w:val="000000"/>
                <w:sz w:val="20"/>
                <w:szCs w:val="20"/>
              </w:rPr>
            </w:pPr>
            <w:r w:rsidRPr="00E43750">
              <w:rPr>
                <w:rFonts w:asciiTheme="minorHAnsi" w:hAnsiTheme="minorHAnsi" w:cs="Arial"/>
                <w:sz w:val="20"/>
                <w:szCs w:val="20"/>
              </w:rPr>
              <w:t>291</w:t>
            </w:r>
          </w:p>
        </w:tc>
        <w:tc>
          <w:tcPr>
            <w:tcW w:w="1618" w:type="dxa"/>
            <w:shd w:val="clear" w:color="auto" w:fill="auto"/>
            <w:noWrap/>
            <w:vAlign w:val="center"/>
            <w:hideMark/>
          </w:tcPr>
          <w:p w:rsidR="002B468C" w:rsidRPr="00E43750" w:rsidRDefault="002B468C" w:rsidP="00E43750">
            <w:pPr>
              <w:rPr>
                <w:rFonts w:asciiTheme="minorHAnsi" w:hAnsiTheme="minorHAnsi" w:cs="Arial"/>
                <w:color w:val="000000"/>
                <w:sz w:val="20"/>
                <w:szCs w:val="20"/>
              </w:rPr>
            </w:pPr>
            <w:r w:rsidRPr="00E43750">
              <w:rPr>
                <w:rFonts w:asciiTheme="minorHAnsi" w:hAnsiTheme="minorHAnsi" w:cs="Arial"/>
                <w:sz w:val="20"/>
                <w:szCs w:val="20"/>
              </w:rPr>
              <w:t>6.79</w:t>
            </w:r>
          </w:p>
        </w:tc>
        <w:tc>
          <w:tcPr>
            <w:tcW w:w="1619" w:type="dxa"/>
            <w:shd w:val="clear" w:color="auto" w:fill="auto"/>
            <w:noWrap/>
            <w:vAlign w:val="center"/>
            <w:hideMark/>
          </w:tcPr>
          <w:p w:rsidR="002753C7" w:rsidRPr="00E43750" w:rsidRDefault="002B468C" w:rsidP="00E43750">
            <w:pPr>
              <w:rPr>
                <w:rFonts w:asciiTheme="minorHAnsi" w:hAnsiTheme="minorHAnsi" w:cs="Arial"/>
                <w:color w:val="000000"/>
                <w:sz w:val="20"/>
                <w:szCs w:val="20"/>
              </w:rPr>
            </w:pPr>
            <w:r w:rsidRPr="00E43750">
              <w:rPr>
                <w:rFonts w:asciiTheme="minorHAnsi" w:hAnsiTheme="minorHAnsi" w:cs="Arial"/>
                <w:sz w:val="20"/>
                <w:szCs w:val="20"/>
              </w:rPr>
              <w:t>9.0</w:t>
            </w:r>
          </w:p>
        </w:tc>
        <w:tc>
          <w:tcPr>
            <w:tcW w:w="1619" w:type="dxa"/>
            <w:shd w:val="clear" w:color="auto" w:fill="auto"/>
            <w:vAlign w:val="center"/>
          </w:tcPr>
          <w:p w:rsidR="002753C7" w:rsidRPr="00E43750" w:rsidRDefault="002B468C" w:rsidP="00E43750">
            <w:pPr>
              <w:rPr>
                <w:rFonts w:asciiTheme="minorHAnsi" w:hAnsiTheme="minorHAnsi" w:cs="Arial"/>
                <w:color w:val="000000"/>
                <w:sz w:val="20"/>
                <w:szCs w:val="20"/>
              </w:rPr>
            </w:pPr>
            <w:r w:rsidRPr="00E43750">
              <w:rPr>
                <w:rFonts w:asciiTheme="minorHAnsi" w:hAnsiTheme="minorHAnsi" w:cs="Arial"/>
                <w:sz w:val="20"/>
                <w:szCs w:val="20"/>
              </w:rPr>
              <w:t>8.25</w:t>
            </w:r>
          </w:p>
        </w:tc>
      </w:tr>
    </w:tbl>
    <w:p w:rsidR="009C19AF" w:rsidRDefault="009C19AF" w:rsidP="009C19AF">
      <w:pPr>
        <w:keepNext/>
        <w:jc w:val="both"/>
        <w:rPr>
          <w:rFonts w:ascii="Arial" w:hAnsi="Arial" w:cs="Arial"/>
          <w:b/>
          <w:sz w:val="20"/>
          <w:szCs w:val="20"/>
          <w:lang w:eastAsia="en-US"/>
        </w:rPr>
      </w:pPr>
    </w:p>
    <w:p w:rsidR="009C19AF" w:rsidRPr="00486CB1" w:rsidRDefault="009C19AF" w:rsidP="009C19AF">
      <w:pPr>
        <w:keepNext/>
        <w:jc w:val="both"/>
        <w:rPr>
          <w:rFonts w:ascii="Arial" w:hAnsi="Arial" w:cs="Arial"/>
          <w:b/>
          <w:sz w:val="20"/>
          <w:szCs w:val="20"/>
          <w:lang w:eastAsia="en-US"/>
        </w:rPr>
      </w:pPr>
      <w:r w:rsidRPr="00486CB1">
        <w:rPr>
          <w:rFonts w:ascii="Arial" w:hAnsi="Arial" w:cs="Arial"/>
          <w:b/>
          <w:sz w:val="20"/>
          <w:szCs w:val="20"/>
          <w:lang w:eastAsia="en-US"/>
        </w:rPr>
        <w:t xml:space="preserve">Figure </w:t>
      </w:r>
      <w:r>
        <w:rPr>
          <w:rFonts w:ascii="Arial" w:hAnsi="Arial" w:cs="Arial"/>
          <w:b/>
          <w:sz w:val="20"/>
          <w:szCs w:val="20"/>
          <w:lang w:eastAsia="en-US"/>
        </w:rPr>
        <w:t>4: Sydney ex ante offers ($/GJ) and scheduled quantities (TJ): Aug 2011 vs. Aug 2012</w:t>
      </w:r>
    </w:p>
    <w:p w:rsidR="009C19AF" w:rsidRPr="00802371" w:rsidRDefault="007E4F35" w:rsidP="009C19AF">
      <w:pPr>
        <w:rPr>
          <w:rFonts w:ascii="Calibri" w:hAnsi="Calibri"/>
          <w:sz w:val="20"/>
          <w:szCs w:val="20"/>
        </w:rPr>
      </w:pPr>
      <w:r w:rsidRPr="000F3217">
        <w:rPr>
          <w:szCs w:val="20"/>
        </w:rPr>
        <w:pict>
          <v:shape id="_x0000_i1027" type="#_x0000_t75" style="width:451.25pt;height:179.15pt">
            <v:imagedata r:id="rId10" o:title=""/>
          </v:shape>
        </w:pict>
      </w:r>
    </w:p>
    <w:p w:rsidR="009C19AF" w:rsidRDefault="009C19AF" w:rsidP="009C19AF">
      <w:pPr>
        <w:pStyle w:val="Default"/>
        <w:rPr>
          <w:sz w:val="23"/>
          <w:szCs w:val="23"/>
        </w:rPr>
      </w:pPr>
    </w:p>
    <w:p w:rsidR="009C19AF" w:rsidRDefault="0028478C">
      <w:pPr>
        <w:pStyle w:val="AERbodytext"/>
      </w:pPr>
      <w:r>
        <w:rPr>
          <w:sz w:val="23"/>
          <w:szCs w:val="23"/>
        </w:rPr>
        <w:t>The reduction in offers priced under $6/GJ (in comparison to the same period in 2011) combined with increased demand resulted in prices in August 2012 being 98 per cent higher than in August 2011.</w:t>
      </w:r>
    </w:p>
    <w:p w:rsidR="006F4F1D" w:rsidRDefault="005102E5">
      <w:pPr>
        <w:pStyle w:val="AERbodytext"/>
      </w:pPr>
      <w:r>
        <w:t xml:space="preserve">Figure </w:t>
      </w:r>
      <w:r w:rsidR="009C19AF">
        <w:t>5</w:t>
      </w:r>
      <w:r>
        <w:t xml:space="preserve"> below illustrates the ex ante and ex post prices in the Sydney STTM hub for the month of August 2012. It also shows the hub imbalance quantity</w:t>
      </w:r>
      <w:r w:rsidR="009C19AF">
        <w:t xml:space="preserve">—positive </w:t>
      </w:r>
      <w:r w:rsidR="00CF4F46">
        <w:t>where demand was under-forecast and</w:t>
      </w:r>
      <w:r w:rsidR="009C19AF">
        <w:t xml:space="preserve"> negative</w:t>
      </w:r>
      <w:r w:rsidR="00CF4F46">
        <w:t xml:space="preserve"> where </w:t>
      </w:r>
      <w:r w:rsidR="009C19AF">
        <w:t>demand was over forecast</w:t>
      </w:r>
      <w:r w:rsidR="00CF4F46">
        <w:t>.</w:t>
      </w:r>
      <w:r>
        <w:t xml:space="preserve"> </w:t>
      </w:r>
    </w:p>
    <w:p w:rsidR="00173ACF" w:rsidRDefault="005102E5">
      <w:pPr>
        <w:keepNext/>
        <w:jc w:val="both"/>
        <w:rPr>
          <w:rFonts w:ascii="Arial" w:hAnsi="Arial" w:cs="Arial"/>
          <w:b/>
          <w:sz w:val="20"/>
          <w:szCs w:val="20"/>
          <w:lang w:eastAsia="en-US"/>
        </w:rPr>
      </w:pPr>
      <w:r w:rsidRPr="00486CB1">
        <w:rPr>
          <w:rFonts w:ascii="Arial" w:hAnsi="Arial" w:cs="Arial"/>
          <w:b/>
          <w:sz w:val="20"/>
          <w:szCs w:val="20"/>
          <w:lang w:eastAsia="en-US"/>
        </w:rPr>
        <w:t xml:space="preserve">Figure </w:t>
      </w:r>
      <w:r w:rsidR="009C19AF">
        <w:rPr>
          <w:rFonts w:ascii="Arial" w:hAnsi="Arial" w:cs="Arial"/>
          <w:b/>
          <w:sz w:val="20"/>
          <w:szCs w:val="20"/>
          <w:lang w:eastAsia="en-US"/>
        </w:rPr>
        <w:t>5</w:t>
      </w:r>
      <w:r>
        <w:rPr>
          <w:rFonts w:ascii="Arial" w:hAnsi="Arial" w:cs="Arial"/>
          <w:b/>
          <w:sz w:val="20"/>
          <w:szCs w:val="20"/>
          <w:lang w:eastAsia="en-US"/>
        </w:rPr>
        <w:t>: Sydney ex ante and ex post prices ($/GJ) and imbalance quantity (TJ) – August 2012</w:t>
      </w:r>
    </w:p>
    <w:p w:rsidR="006855A1" w:rsidRDefault="007E4F35" w:rsidP="00802371">
      <w:pPr>
        <w:rPr>
          <w:szCs w:val="20"/>
        </w:rPr>
      </w:pPr>
      <w:r w:rsidRPr="000F3217">
        <w:rPr>
          <w:szCs w:val="20"/>
        </w:rPr>
        <w:pict>
          <v:shape id="_x0000_i1028" type="#_x0000_t75" style="width:452.1pt;height:188.35pt">
            <v:imagedata r:id="rId11" o:title=""/>
          </v:shape>
        </w:pict>
      </w:r>
    </w:p>
    <w:p w:rsidR="006855A1" w:rsidRDefault="006855A1" w:rsidP="00802371">
      <w:pPr>
        <w:rPr>
          <w:szCs w:val="20"/>
        </w:rPr>
      </w:pPr>
    </w:p>
    <w:p w:rsidR="00ED4D55" w:rsidRDefault="009C19AF" w:rsidP="00802371">
      <w:pPr>
        <w:rPr>
          <w:szCs w:val="20"/>
        </w:rPr>
      </w:pPr>
      <w:r>
        <w:t xml:space="preserve">On </w:t>
      </w:r>
      <w:r w:rsidR="00CF4F46">
        <w:t xml:space="preserve">25 of 31 </w:t>
      </w:r>
      <w:r>
        <w:t xml:space="preserve">days there was a positive imbalance. The days of highest positive imbalances resulted in the largest differences between ex ante and ex post prices. However, even for days of small positive imbalances such as 13 August (see section 2) there was a large difference between the ex ante and ex post price. </w:t>
      </w:r>
      <w:r w:rsidR="00AC4DB7">
        <w:rPr>
          <w:szCs w:val="20"/>
        </w:rPr>
        <w:t>Conversely</w:t>
      </w:r>
      <w:r>
        <w:rPr>
          <w:szCs w:val="20"/>
        </w:rPr>
        <w:t xml:space="preserve">, </w:t>
      </w:r>
      <w:r w:rsidR="00AC4DB7">
        <w:rPr>
          <w:szCs w:val="20"/>
        </w:rPr>
        <w:t xml:space="preserve">on the few days </w:t>
      </w:r>
      <w:r w:rsidR="0028478C">
        <w:rPr>
          <w:szCs w:val="20"/>
        </w:rPr>
        <w:t>where there were</w:t>
      </w:r>
      <w:r>
        <w:rPr>
          <w:szCs w:val="20"/>
        </w:rPr>
        <w:t xml:space="preserve"> negative imbalances, there was no</w:t>
      </w:r>
      <w:r w:rsidR="00D46015">
        <w:rPr>
          <w:szCs w:val="20"/>
        </w:rPr>
        <w:t xml:space="preserve"> (or little)</w:t>
      </w:r>
      <w:r>
        <w:rPr>
          <w:szCs w:val="20"/>
        </w:rPr>
        <w:t xml:space="preserve"> difference between the ex ante and ex post price.</w:t>
      </w:r>
    </w:p>
    <w:p w:rsidR="002837C6" w:rsidRPr="00BB22AB" w:rsidRDefault="002837C6" w:rsidP="002837C6">
      <w:pPr>
        <w:pStyle w:val="Heading3"/>
      </w:pPr>
      <w:r w:rsidRPr="00BB22AB">
        <w:t xml:space="preserve">Adelaide hub prices </w:t>
      </w:r>
    </w:p>
    <w:p w:rsidR="00C1456E" w:rsidRDefault="00C1456E" w:rsidP="00C1456E">
      <w:pPr>
        <w:pStyle w:val="AERbodytext"/>
        <w:jc w:val="both"/>
      </w:pPr>
      <w:r>
        <w:t xml:space="preserve">Figure </w:t>
      </w:r>
      <w:r w:rsidR="009C19AF">
        <w:t>6</w:t>
      </w:r>
      <w:r>
        <w:t xml:space="preserve"> </w:t>
      </w:r>
      <w:r w:rsidRPr="002837C6">
        <w:t>shows daily ex</w:t>
      </w:r>
      <w:r>
        <w:t xml:space="preserve"> ante prices and demand for June, July and August</w:t>
      </w:r>
      <w:r w:rsidRPr="002837C6">
        <w:t xml:space="preserve"> 2012 along with the rolling 30 day average price. </w:t>
      </w:r>
    </w:p>
    <w:p w:rsidR="00282C42" w:rsidRDefault="002837C6">
      <w:r>
        <w:rPr>
          <w:rFonts w:ascii="Arial" w:hAnsi="Arial" w:cs="Arial"/>
          <w:b/>
          <w:sz w:val="20"/>
          <w:szCs w:val="20"/>
          <w:lang w:eastAsia="en-US"/>
        </w:rPr>
        <w:t xml:space="preserve">Figure </w:t>
      </w:r>
      <w:r w:rsidR="009C19AF">
        <w:rPr>
          <w:rFonts w:ascii="Arial" w:hAnsi="Arial" w:cs="Arial"/>
          <w:b/>
          <w:sz w:val="20"/>
          <w:szCs w:val="20"/>
          <w:lang w:eastAsia="en-US"/>
        </w:rPr>
        <w:t>6</w:t>
      </w:r>
      <w:r w:rsidR="0060145C">
        <w:rPr>
          <w:rFonts w:ascii="Arial" w:hAnsi="Arial" w:cs="Arial"/>
          <w:b/>
          <w:sz w:val="20"/>
          <w:szCs w:val="20"/>
          <w:lang w:eastAsia="en-US"/>
        </w:rPr>
        <w:t>:</w:t>
      </w:r>
      <w:r>
        <w:rPr>
          <w:rFonts w:ascii="Arial" w:hAnsi="Arial" w:cs="Arial"/>
          <w:b/>
          <w:sz w:val="20"/>
          <w:szCs w:val="20"/>
          <w:lang w:eastAsia="en-US"/>
        </w:rPr>
        <w:t xml:space="preserve"> </w:t>
      </w:r>
      <w:r w:rsidR="00094DB8">
        <w:rPr>
          <w:rFonts w:ascii="Arial" w:hAnsi="Arial" w:cs="Arial"/>
          <w:b/>
          <w:sz w:val="20"/>
          <w:szCs w:val="20"/>
          <w:lang w:eastAsia="en-US"/>
        </w:rPr>
        <w:t>Adelaide</w:t>
      </w:r>
      <w:r w:rsidR="00094DB8" w:rsidRPr="00D620E4">
        <w:rPr>
          <w:rFonts w:ascii="Arial" w:hAnsi="Arial" w:cs="Arial"/>
          <w:b/>
          <w:sz w:val="20"/>
          <w:szCs w:val="20"/>
          <w:lang w:eastAsia="en-US"/>
        </w:rPr>
        <w:t xml:space="preserve"> </w:t>
      </w:r>
      <w:r w:rsidR="0099356F">
        <w:rPr>
          <w:rFonts w:ascii="Arial" w:hAnsi="Arial" w:cs="Arial"/>
          <w:b/>
          <w:sz w:val="20"/>
          <w:szCs w:val="20"/>
          <w:lang w:eastAsia="en-US"/>
        </w:rPr>
        <w:t xml:space="preserve">ex ante prices and demand, </w:t>
      </w:r>
      <w:r w:rsidR="00C1456E">
        <w:rPr>
          <w:rFonts w:ascii="Arial" w:hAnsi="Arial" w:cs="Arial"/>
          <w:b/>
          <w:sz w:val="20"/>
          <w:szCs w:val="20"/>
          <w:lang w:eastAsia="en-US"/>
        </w:rPr>
        <w:t>winter</w:t>
      </w:r>
      <w:r w:rsidR="0099356F">
        <w:rPr>
          <w:rFonts w:ascii="Arial" w:hAnsi="Arial" w:cs="Arial"/>
          <w:b/>
          <w:sz w:val="20"/>
          <w:szCs w:val="20"/>
          <w:lang w:eastAsia="en-US"/>
        </w:rPr>
        <w:t xml:space="preserve"> 2012 </w:t>
      </w:r>
      <w:r w:rsidR="007E4F35">
        <w:pict>
          <v:shape id="_x0000_i1029" type="#_x0000_t75" style="width:450.4pt;height:184.2pt">
            <v:imagedata r:id="rId12" o:title=""/>
          </v:shape>
        </w:pict>
      </w:r>
    </w:p>
    <w:p w:rsidR="00DF71B2" w:rsidRDefault="00936E6A">
      <w:pPr>
        <w:pStyle w:val="AERbodytext"/>
        <w:jc w:val="both"/>
      </w:pPr>
      <w:r w:rsidRPr="002837C6">
        <w:t xml:space="preserve">The rolling average </w:t>
      </w:r>
      <w:r>
        <w:t xml:space="preserve">ex ante </w:t>
      </w:r>
      <w:r w:rsidRPr="002837C6">
        <w:t xml:space="preserve">price started </w:t>
      </w:r>
      <w:r w:rsidR="002753C7">
        <w:t>August</w:t>
      </w:r>
      <w:r>
        <w:t xml:space="preserve"> at around $</w:t>
      </w:r>
      <w:r w:rsidR="002753C7">
        <w:t>6.70</w:t>
      </w:r>
      <w:r>
        <w:t xml:space="preserve">/GJ and settled </w:t>
      </w:r>
      <w:r w:rsidR="00815F43">
        <w:t>just below $6.</w:t>
      </w:r>
      <w:r w:rsidR="002753C7">
        <w:t>15</w:t>
      </w:r>
      <w:r w:rsidR="00815F43">
        <w:t xml:space="preserve">/GJ </w:t>
      </w:r>
      <w:r>
        <w:t>by the</w:t>
      </w:r>
      <w:r w:rsidRPr="002837C6">
        <w:t xml:space="preserve"> end of the month.</w:t>
      </w:r>
    </w:p>
    <w:p w:rsidR="007D6E5F" w:rsidRDefault="007D6E5F" w:rsidP="008D0FA9">
      <w:pPr>
        <w:keepNext/>
        <w:jc w:val="both"/>
        <w:rPr>
          <w:sz w:val="23"/>
          <w:szCs w:val="23"/>
        </w:rPr>
      </w:pPr>
      <w:r>
        <w:rPr>
          <w:sz w:val="23"/>
          <w:szCs w:val="23"/>
        </w:rPr>
        <w:t xml:space="preserve">Figures </w:t>
      </w:r>
      <w:r w:rsidR="00CD7339">
        <w:rPr>
          <w:sz w:val="23"/>
          <w:szCs w:val="23"/>
        </w:rPr>
        <w:t>7</w:t>
      </w:r>
      <w:r>
        <w:rPr>
          <w:sz w:val="23"/>
          <w:szCs w:val="23"/>
        </w:rPr>
        <w:t xml:space="preserve"> and </w:t>
      </w:r>
      <w:r w:rsidR="00CD7339">
        <w:rPr>
          <w:sz w:val="23"/>
          <w:szCs w:val="23"/>
        </w:rPr>
        <w:t>8</w:t>
      </w:r>
      <w:r>
        <w:rPr>
          <w:sz w:val="23"/>
          <w:szCs w:val="23"/>
        </w:rPr>
        <w:t xml:space="preserve"> compare key prices and quantities in the Adelaide hub for </w:t>
      </w:r>
      <w:r w:rsidR="00C1456E">
        <w:rPr>
          <w:sz w:val="23"/>
          <w:szCs w:val="23"/>
        </w:rPr>
        <w:t>August </w:t>
      </w:r>
      <w:r>
        <w:rPr>
          <w:sz w:val="23"/>
          <w:szCs w:val="23"/>
        </w:rPr>
        <w:t xml:space="preserve">2012 to </w:t>
      </w:r>
      <w:r w:rsidR="00C1456E">
        <w:rPr>
          <w:sz w:val="23"/>
          <w:szCs w:val="23"/>
        </w:rPr>
        <w:t>August </w:t>
      </w:r>
      <w:r>
        <w:rPr>
          <w:sz w:val="23"/>
          <w:szCs w:val="23"/>
        </w:rPr>
        <w:t xml:space="preserve">2011. As shown in Figure </w:t>
      </w:r>
      <w:r w:rsidR="00CD7339">
        <w:rPr>
          <w:sz w:val="23"/>
          <w:szCs w:val="23"/>
        </w:rPr>
        <w:t>7</w:t>
      </w:r>
      <w:r>
        <w:rPr>
          <w:sz w:val="23"/>
          <w:szCs w:val="23"/>
        </w:rPr>
        <w:t xml:space="preserve"> (and graphically in figure </w:t>
      </w:r>
      <w:r w:rsidR="00CD7339">
        <w:rPr>
          <w:sz w:val="23"/>
          <w:szCs w:val="23"/>
        </w:rPr>
        <w:t>8</w:t>
      </w:r>
      <w:r>
        <w:rPr>
          <w:sz w:val="23"/>
          <w:szCs w:val="23"/>
        </w:rPr>
        <w:t>), the volume of offers at or below $6/GJ</w:t>
      </w:r>
      <w:r>
        <w:rPr>
          <w:rStyle w:val="FootnoteReference"/>
          <w:sz w:val="23"/>
          <w:szCs w:val="23"/>
        </w:rPr>
        <w:footnoteReference w:id="7"/>
      </w:r>
      <w:r>
        <w:rPr>
          <w:sz w:val="16"/>
          <w:szCs w:val="16"/>
        </w:rPr>
        <w:t xml:space="preserve"> </w:t>
      </w:r>
      <w:r>
        <w:rPr>
          <w:sz w:val="23"/>
          <w:szCs w:val="23"/>
        </w:rPr>
        <w:t xml:space="preserve">fell by </w:t>
      </w:r>
      <w:r w:rsidR="00C1456E">
        <w:rPr>
          <w:sz w:val="23"/>
          <w:szCs w:val="23"/>
        </w:rPr>
        <w:t xml:space="preserve">17 </w:t>
      </w:r>
      <w:r>
        <w:rPr>
          <w:sz w:val="23"/>
          <w:szCs w:val="23"/>
        </w:rPr>
        <w:t xml:space="preserve">per cent from </w:t>
      </w:r>
      <w:r w:rsidR="00C1456E">
        <w:rPr>
          <w:sz w:val="23"/>
          <w:szCs w:val="23"/>
        </w:rPr>
        <w:t xml:space="preserve">August </w:t>
      </w:r>
      <w:r>
        <w:rPr>
          <w:sz w:val="23"/>
          <w:szCs w:val="23"/>
        </w:rPr>
        <w:t xml:space="preserve">2011 to </w:t>
      </w:r>
      <w:r w:rsidR="00C1456E">
        <w:rPr>
          <w:sz w:val="23"/>
          <w:szCs w:val="23"/>
        </w:rPr>
        <w:t xml:space="preserve">August </w:t>
      </w:r>
      <w:r>
        <w:rPr>
          <w:sz w:val="23"/>
          <w:szCs w:val="23"/>
        </w:rPr>
        <w:t>2012.</w:t>
      </w:r>
    </w:p>
    <w:p w:rsidR="007D6E5F" w:rsidRDefault="007D6E5F" w:rsidP="00BE55B3">
      <w:pPr>
        <w:keepNext/>
        <w:jc w:val="both"/>
        <w:rPr>
          <w:rFonts w:ascii="Arial" w:hAnsi="Arial" w:cs="Arial"/>
          <w:b/>
          <w:sz w:val="20"/>
          <w:szCs w:val="20"/>
          <w:lang w:eastAsia="en-US"/>
        </w:rPr>
      </w:pPr>
    </w:p>
    <w:p w:rsidR="00BE55B3" w:rsidRPr="00486CB1" w:rsidRDefault="00BE55B3" w:rsidP="00BE55B3">
      <w:pPr>
        <w:keepNext/>
        <w:jc w:val="both"/>
        <w:rPr>
          <w:rFonts w:ascii="Arial" w:hAnsi="Arial" w:cs="Arial"/>
          <w:b/>
          <w:sz w:val="20"/>
          <w:szCs w:val="20"/>
          <w:lang w:eastAsia="en-US"/>
        </w:rPr>
      </w:pPr>
      <w:r w:rsidRPr="00486CB1">
        <w:rPr>
          <w:rFonts w:ascii="Arial" w:hAnsi="Arial" w:cs="Arial"/>
          <w:b/>
          <w:sz w:val="20"/>
          <w:szCs w:val="20"/>
          <w:lang w:eastAsia="en-US"/>
        </w:rPr>
        <w:t xml:space="preserve">Figure </w:t>
      </w:r>
      <w:r w:rsidR="00CD7339">
        <w:rPr>
          <w:rFonts w:ascii="Arial" w:hAnsi="Arial" w:cs="Arial"/>
          <w:b/>
          <w:sz w:val="20"/>
          <w:szCs w:val="20"/>
          <w:lang w:eastAsia="en-US"/>
        </w:rPr>
        <w:t>7</w:t>
      </w:r>
      <w:r w:rsidR="00996539">
        <w:rPr>
          <w:rFonts w:ascii="Arial" w:hAnsi="Arial" w:cs="Arial"/>
          <w:b/>
          <w:sz w:val="20"/>
          <w:szCs w:val="20"/>
          <w:lang w:eastAsia="en-US"/>
        </w:rPr>
        <w:t>: Adelaide a</w:t>
      </w:r>
      <w:r w:rsidR="00996539" w:rsidRPr="00486CB1">
        <w:rPr>
          <w:rFonts w:ascii="Arial" w:hAnsi="Arial" w:cs="Arial"/>
          <w:b/>
          <w:sz w:val="20"/>
          <w:szCs w:val="20"/>
          <w:lang w:eastAsia="en-US"/>
        </w:rPr>
        <w:t xml:space="preserve">verage </w:t>
      </w:r>
      <w:r w:rsidR="00996539">
        <w:rPr>
          <w:rFonts w:ascii="Arial" w:hAnsi="Arial" w:cs="Arial"/>
          <w:b/>
          <w:sz w:val="20"/>
          <w:szCs w:val="20"/>
          <w:lang w:eastAsia="en-US"/>
        </w:rPr>
        <w:t xml:space="preserve">daily </w:t>
      </w:r>
      <w:r w:rsidR="00996539" w:rsidRPr="00486CB1">
        <w:rPr>
          <w:rFonts w:ascii="Arial" w:hAnsi="Arial" w:cs="Arial"/>
          <w:b/>
          <w:sz w:val="20"/>
          <w:szCs w:val="20"/>
          <w:lang w:eastAsia="en-US"/>
        </w:rPr>
        <w:t>key prices and inputs</w:t>
      </w:r>
      <w:r w:rsidR="00996539">
        <w:rPr>
          <w:rFonts w:ascii="Arial" w:hAnsi="Arial" w:cs="Arial"/>
          <w:b/>
          <w:sz w:val="20"/>
          <w:szCs w:val="20"/>
          <w:lang w:eastAsia="en-US"/>
        </w:rPr>
        <w:t>: July 2011 vs. July 2012</w:t>
      </w:r>
    </w:p>
    <w:tbl>
      <w:tblPr>
        <w:tblW w:w="9336" w:type="dxa"/>
        <w:tblBorders>
          <w:top w:val="single" w:sz="12" w:space="0" w:color="000000"/>
          <w:bottom w:val="single" w:sz="12" w:space="0" w:color="000000"/>
          <w:insideH w:val="single" w:sz="6" w:space="0" w:color="000000"/>
        </w:tblBorders>
        <w:tblLayout w:type="fixed"/>
        <w:tblLook w:val="04A0"/>
      </w:tblPr>
      <w:tblGrid>
        <w:gridCol w:w="1526"/>
        <w:gridCol w:w="1701"/>
        <w:gridCol w:w="1423"/>
        <w:gridCol w:w="1562"/>
        <w:gridCol w:w="1562"/>
        <w:gridCol w:w="1562"/>
      </w:tblGrid>
      <w:tr w:rsidR="00E43750" w:rsidRPr="00802371" w:rsidTr="00E43750">
        <w:trPr>
          <w:trHeight w:val="300"/>
        </w:trPr>
        <w:tc>
          <w:tcPr>
            <w:tcW w:w="1526" w:type="dxa"/>
            <w:shd w:val="clear" w:color="auto" w:fill="auto"/>
            <w:noWrap/>
            <w:hideMark/>
          </w:tcPr>
          <w:p w:rsidR="00E43750" w:rsidRPr="00E43750" w:rsidRDefault="00E43750" w:rsidP="00BE55B3">
            <w:pPr>
              <w:spacing w:after="240"/>
              <w:jc w:val="center"/>
              <w:rPr>
                <w:rFonts w:asciiTheme="minorHAnsi" w:hAnsiTheme="minorHAnsi" w:cs="Arial"/>
                <w:b/>
                <w:bCs/>
                <w:color w:val="000000"/>
                <w:sz w:val="20"/>
                <w:szCs w:val="20"/>
              </w:rPr>
            </w:pPr>
          </w:p>
        </w:tc>
        <w:tc>
          <w:tcPr>
            <w:tcW w:w="1701" w:type="dxa"/>
            <w:shd w:val="clear" w:color="auto" w:fill="auto"/>
            <w:noWrap/>
            <w:hideMark/>
          </w:tcPr>
          <w:p w:rsidR="00E43750" w:rsidRPr="00E43750" w:rsidRDefault="00E43750" w:rsidP="00E43750">
            <w:pPr>
              <w:ind w:right="-250"/>
              <w:rPr>
                <w:rFonts w:asciiTheme="minorHAnsi" w:hAnsiTheme="minorHAnsi" w:cs="Arial"/>
                <w:b/>
                <w:color w:val="000000"/>
                <w:sz w:val="20"/>
                <w:szCs w:val="20"/>
              </w:rPr>
            </w:pPr>
            <w:r w:rsidRPr="00E43750">
              <w:rPr>
                <w:rFonts w:asciiTheme="minorHAnsi" w:hAnsiTheme="minorHAnsi" w:cs="Arial"/>
                <w:b/>
                <w:color w:val="000000"/>
                <w:sz w:val="20"/>
                <w:szCs w:val="20"/>
              </w:rPr>
              <w:t>Offers at or below</w:t>
            </w:r>
            <w:r>
              <w:rPr>
                <w:rFonts w:asciiTheme="minorHAnsi" w:hAnsiTheme="minorHAnsi" w:cs="Arial"/>
                <w:b/>
                <w:color w:val="000000"/>
                <w:sz w:val="20"/>
                <w:szCs w:val="20"/>
              </w:rPr>
              <w:t xml:space="preserve"> </w:t>
            </w:r>
            <w:r w:rsidRPr="00E43750">
              <w:rPr>
                <w:rFonts w:asciiTheme="minorHAnsi" w:hAnsiTheme="minorHAnsi" w:cs="Arial"/>
                <w:b/>
                <w:color w:val="000000"/>
                <w:sz w:val="20"/>
                <w:szCs w:val="20"/>
              </w:rPr>
              <w:t>$6/GJ (TJ)</w:t>
            </w:r>
          </w:p>
        </w:tc>
        <w:tc>
          <w:tcPr>
            <w:tcW w:w="1423" w:type="dxa"/>
            <w:shd w:val="clear" w:color="auto" w:fill="auto"/>
          </w:tcPr>
          <w:p w:rsidR="00E43750" w:rsidRPr="00E43750" w:rsidRDefault="00E43750" w:rsidP="00E43750">
            <w:pPr>
              <w:rPr>
                <w:rFonts w:asciiTheme="minorHAnsi" w:hAnsiTheme="minorHAnsi" w:cs="Arial"/>
                <w:b/>
                <w:color w:val="000000"/>
                <w:sz w:val="20"/>
                <w:szCs w:val="20"/>
              </w:rPr>
            </w:pPr>
            <w:r w:rsidRPr="00E43750">
              <w:rPr>
                <w:rFonts w:asciiTheme="minorHAnsi" w:hAnsiTheme="minorHAnsi" w:cs="Arial"/>
                <w:b/>
                <w:color w:val="000000"/>
                <w:sz w:val="20"/>
                <w:szCs w:val="20"/>
              </w:rPr>
              <w:t>Ex</w:t>
            </w:r>
            <w:r>
              <w:rPr>
                <w:rFonts w:asciiTheme="minorHAnsi" w:hAnsiTheme="minorHAnsi" w:cs="Arial"/>
                <w:b/>
                <w:color w:val="000000"/>
                <w:sz w:val="20"/>
                <w:szCs w:val="20"/>
              </w:rPr>
              <w:t xml:space="preserve"> </w:t>
            </w:r>
            <w:r w:rsidRPr="00E43750">
              <w:rPr>
                <w:rFonts w:asciiTheme="minorHAnsi" w:hAnsiTheme="minorHAnsi" w:cs="Arial"/>
                <w:b/>
                <w:color w:val="000000"/>
                <w:sz w:val="20"/>
                <w:szCs w:val="20"/>
              </w:rPr>
              <w:t>ante</w:t>
            </w:r>
            <w:r>
              <w:rPr>
                <w:rFonts w:asciiTheme="minorHAnsi" w:hAnsiTheme="minorHAnsi" w:cs="Arial"/>
                <w:b/>
                <w:color w:val="000000"/>
                <w:sz w:val="20"/>
                <w:szCs w:val="20"/>
              </w:rPr>
              <w:t xml:space="preserve"> v</w:t>
            </w:r>
            <w:r w:rsidRPr="00E43750">
              <w:rPr>
                <w:rFonts w:asciiTheme="minorHAnsi" w:hAnsiTheme="minorHAnsi" w:cs="Arial"/>
                <w:b/>
                <w:color w:val="000000"/>
                <w:sz w:val="20"/>
                <w:szCs w:val="20"/>
              </w:rPr>
              <w:t>olume</w:t>
            </w:r>
            <w:r>
              <w:rPr>
                <w:rFonts w:asciiTheme="minorHAnsi" w:hAnsiTheme="minorHAnsi" w:cs="Arial"/>
                <w:b/>
                <w:color w:val="000000"/>
                <w:sz w:val="20"/>
                <w:szCs w:val="20"/>
              </w:rPr>
              <w:t xml:space="preserve"> </w:t>
            </w:r>
            <w:r w:rsidRPr="00E43750">
              <w:rPr>
                <w:rFonts w:asciiTheme="minorHAnsi" w:hAnsiTheme="minorHAnsi" w:cs="Arial"/>
                <w:b/>
                <w:color w:val="000000"/>
                <w:sz w:val="20"/>
                <w:szCs w:val="20"/>
              </w:rPr>
              <w:t>(TJ)</w:t>
            </w:r>
          </w:p>
        </w:tc>
        <w:tc>
          <w:tcPr>
            <w:tcW w:w="1562" w:type="dxa"/>
            <w:shd w:val="clear" w:color="auto" w:fill="auto"/>
            <w:noWrap/>
            <w:hideMark/>
          </w:tcPr>
          <w:p w:rsidR="00E43750" w:rsidRPr="00E43750" w:rsidRDefault="00E43750" w:rsidP="00E43750">
            <w:pPr>
              <w:rPr>
                <w:rFonts w:asciiTheme="minorHAnsi" w:hAnsiTheme="minorHAnsi" w:cs="Arial"/>
                <w:b/>
                <w:color w:val="000000"/>
                <w:sz w:val="20"/>
                <w:szCs w:val="20"/>
              </w:rPr>
            </w:pPr>
            <w:r w:rsidRPr="00E43750">
              <w:rPr>
                <w:rFonts w:asciiTheme="minorHAnsi" w:hAnsiTheme="minorHAnsi" w:cs="Arial"/>
                <w:b/>
                <w:color w:val="000000"/>
                <w:sz w:val="20"/>
                <w:szCs w:val="20"/>
              </w:rPr>
              <w:t>Ex ante</w:t>
            </w:r>
            <w:r>
              <w:rPr>
                <w:rFonts w:asciiTheme="minorHAnsi" w:hAnsiTheme="minorHAnsi" w:cs="Arial"/>
                <w:b/>
                <w:color w:val="000000"/>
                <w:sz w:val="20"/>
                <w:szCs w:val="20"/>
              </w:rPr>
              <w:t xml:space="preserve"> </w:t>
            </w:r>
            <w:r w:rsidRPr="00E43750">
              <w:rPr>
                <w:rFonts w:asciiTheme="minorHAnsi" w:hAnsiTheme="minorHAnsi" w:cs="Arial"/>
                <w:b/>
                <w:color w:val="000000"/>
                <w:sz w:val="20"/>
                <w:szCs w:val="20"/>
              </w:rPr>
              <w:t>price</w:t>
            </w:r>
            <w:r>
              <w:rPr>
                <w:rFonts w:asciiTheme="minorHAnsi" w:hAnsiTheme="minorHAnsi" w:cs="Arial"/>
                <w:b/>
                <w:color w:val="000000"/>
                <w:sz w:val="20"/>
                <w:szCs w:val="20"/>
              </w:rPr>
              <w:t xml:space="preserve"> </w:t>
            </w:r>
            <w:r w:rsidRPr="00E43750">
              <w:rPr>
                <w:rFonts w:asciiTheme="minorHAnsi" w:hAnsiTheme="minorHAnsi" w:cs="Arial"/>
                <w:b/>
                <w:color w:val="000000"/>
                <w:sz w:val="20"/>
                <w:szCs w:val="20"/>
              </w:rPr>
              <w:t>($/GJ)</w:t>
            </w:r>
          </w:p>
        </w:tc>
        <w:tc>
          <w:tcPr>
            <w:tcW w:w="1562" w:type="dxa"/>
            <w:shd w:val="clear" w:color="auto" w:fill="auto"/>
            <w:noWrap/>
            <w:hideMark/>
          </w:tcPr>
          <w:p w:rsidR="00E43750" w:rsidRPr="00E43750" w:rsidRDefault="00E43750" w:rsidP="00E43750">
            <w:pPr>
              <w:rPr>
                <w:rFonts w:asciiTheme="minorHAnsi" w:hAnsiTheme="minorHAnsi" w:cs="Arial"/>
                <w:b/>
                <w:color w:val="000000"/>
                <w:sz w:val="20"/>
                <w:szCs w:val="20"/>
              </w:rPr>
            </w:pPr>
            <w:r w:rsidRPr="00E43750">
              <w:rPr>
                <w:rFonts w:asciiTheme="minorHAnsi" w:hAnsiTheme="minorHAnsi" w:cs="Arial"/>
                <w:b/>
                <w:color w:val="000000"/>
                <w:sz w:val="20"/>
                <w:szCs w:val="20"/>
              </w:rPr>
              <w:t>Absolute imbalance volume (TJ)</w:t>
            </w:r>
          </w:p>
        </w:tc>
        <w:tc>
          <w:tcPr>
            <w:tcW w:w="1562" w:type="dxa"/>
            <w:shd w:val="clear" w:color="auto" w:fill="auto"/>
          </w:tcPr>
          <w:p w:rsidR="00E43750" w:rsidRPr="00E43750" w:rsidRDefault="00E43750" w:rsidP="00E43750">
            <w:pPr>
              <w:rPr>
                <w:rFonts w:asciiTheme="minorHAnsi" w:hAnsiTheme="minorHAnsi" w:cs="Arial"/>
                <w:b/>
                <w:i/>
                <w:color w:val="000000"/>
                <w:sz w:val="20"/>
                <w:szCs w:val="20"/>
              </w:rPr>
            </w:pPr>
            <w:r w:rsidRPr="00E43750">
              <w:rPr>
                <w:rFonts w:asciiTheme="minorHAnsi" w:hAnsiTheme="minorHAnsi" w:cs="Arial"/>
                <w:b/>
                <w:color w:val="000000"/>
                <w:sz w:val="20"/>
                <w:szCs w:val="20"/>
              </w:rPr>
              <w:t>Ex post price</w:t>
            </w:r>
            <w:r>
              <w:rPr>
                <w:rFonts w:asciiTheme="minorHAnsi" w:hAnsiTheme="minorHAnsi" w:cs="Arial"/>
                <w:b/>
                <w:color w:val="000000"/>
                <w:sz w:val="20"/>
                <w:szCs w:val="20"/>
              </w:rPr>
              <w:t xml:space="preserve"> </w:t>
            </w:r>
            <w:r w:rsidRPr="00E43750">
              <w:rPr>
                <w:rFonts w:asciiTheme="minorHAnsi" w:hAnsiTheme="minorHAnsi" w:cs="Arial"/>
                <w:b/>
                <w:color w:val="000000"/>
                <w:sz w:val="20"/>
                <w:szCs w:val="20"/>
              </w:rPr>
              <w:t>($/GJ)*</w:t>
            </w:r>
          </w:p>
        </w:tc>
      </w:tr>
      <w:tr w:rsidR="002B468C" w:rsidRPr="00802371" w:rsidTr="00E43750">
        <w:trPr>
          <w:trHeight w:val="300"/>
        </w:trPr>
        <w:tc>
          <w:tcPr>
            <w:tcW w:w="1526" w:type="dxa"/>
            <w:shd w:val="clear" w:color="auto" w:fill="auto"/>
            <w:noWrap/>
            <w:vAlign w:val="center"/>
            <w:hideMark/>
          </w:tcPr>
          <w:p w:rsidR="002B468C" w:rsidRPr="00E43750" w:rsidRDefault="002B468C" w:rsidP="002B468C">
            <w:pPr>
              <w:jc w:val="center"/>
              <w:rPr>
                <w:rFonts w:asciiTheme="minorHAnsi" w:hAnsiTheme="minorHAnsi" w:cs="Arial"/>
                <w:b/>
                <w:color w:val="000000"/>
                <w:sz w:val="20"/>
                <w:szCs w:val="20"/>
              </w:rPr>
            </w:pPr>
            <w:r w:rsidRPr="00E43750">
              <w:rPr>
                <w:rFonts w:asciiTheme="minorHAnsi" w:hAnsiTheme="minorHAnsi" w:cs="Arial"/>
                <w:b/>
                <w:bCs/>
                <w:color w:val="000000"/>
                <w:sz w:val="20"/>
                <w:szCs w:val="20"/>
              </w:rPr>
              <w:t>Aug</w:t>
            </w:r>
            <w:r w:rsidR="00BB2B8B" w:rsidRPr="00E43750">
              <w:rPr>
                <w:rFonts w:asciiTheme="minorHAnsi" w:hAnsiTheme="minorHAnsi" w:cs="Arial"/>
                <w:b/>
                <w:bCs/>
                <w:color w:val="000000"/>
                <w:sz w:val="20"/>
                <w:szCs w:val="20"/>
              </w:rPr>
              <w:t>ust</w:t>
            </w:r>
            <w:r w:rsidRPr="00E43750">
              <w:rPr>
                <w:rFonts w:asciiTheme="minorHAnsi" w:hAnsiTheme="minorHAnsi" w:cs="Arial"/>
                <w:b/>
                <w:bCs/>
                <w:color w:val="000000"/>
                <w:sz w:val="20"/>
                <w:szCs w:val="20"/>
              </w:rPr>
              <w:t xml:space="preserve"> 2011</w:t>
            </w:r>
          </w:p>
        </w:tc>
        <w:tc>
          <w:tcPr>
            <w:tcW w:w="1701" w:type="dxa"/>
            <w:shd w:val="clear" w:color="auto" w:fill="auto"/>
            <w:noWrap/>
            <w:vAlign w:val="center"/>
            <w:hideMark/>
          </w:tcPr>
          <w:p w:rsidR="002B468C" w:rsidRPr="00E43750" w:rsidRDefault="002B468C" w:rsidP="00E43750">
            <w:pPr>
              <w:rPr>
                <w:rFonts w:asciiTheme="minorHAnsi" w:hAnsiTheme="minorHAnsi" w:cs="Arial"/>
                <w:color w:val="000000"/>
                <w:sz w:val="20"/>
                <w:szCs w:val="20"/>
              </w:rPr>
            </w:pPr>
            <w:r w:rsidRPr="00E43750">
              <w:rPr>
                <w:rFonts w:asciiTheme="minorHAnsi" w:hAnsiTheme="minorHAnsi" w:cs="Arial"/>
                <w:color w:val="000000"/>
                <w:sz w:val="20"/>
                <w:szCs w:val="20"/>
              </w:rPr>
              <w:t>117</w:t>
            </w:r>
          </w:p>
        </w:tc>
        <w:tc>
          <w:tcPr>
            <w:tcW w:w="1423" w:type="dxa"/>
            <w:shd w:val="clear" w:color="auto" w:fill="auto"/>
            <w:vAlign w:val="center"/>
          </w:tcPr>
          <w:p w:rsidR="002B468C" w:rsidRPr="00E43750" w:rsidRDefault="002B468C" w:rsidP="00E43750">
            <w:pPr>
              <w:rPr>
                <w:rFonts w:asciiTheme="minorHAnsi" w:hAnsiTheme="minorHAnsi" w:cs="Arial"/>
                <w:color w:val="000000"/>
                <w:sz w:val="20"/>
                <w:szCs w:val="20"/>
              </w:rPr>
            </w:pPr>
            <w:r w:rsidRPr="00E43750">
              <w:rPr>
                <w:rFonts w:asciiTheme="minorHAnsi" w:hAnsiTheme="minorHAnsi" w:cs="Arial"/>
                <w:color w:val="000000"/>
                <w:sz w:val="20"/>
                <w:szCs w:val="20"/>
              </w:rPr>
              <w:t>81</w:t>
            </w:r>
          </w:p>
        </w:tc>
        <w:tc>
          <w:tcPr>
            <w:tcW w:w="1562" w:type="dxa"/>
            <w:shd w:val="clear" w:color="auto" w:fill="auto"/>
            <w:noWrap/>
            <w:vAlign w:val="center"/>
            <w:hideMark/>
          </w:tcPr>
          <w:p w:rsidR="002B468C" w:rsidRPr="00E43750" w:rsidRDefault="002B468C" w:rsidP="00E43750">
            <w:pPr>
              <w:rPr>
                <w:rFonts w:asciiTheme="minorHAnsi" w:hAnsiTheme="minorHAnsi" w:cs="Arial"/>
                <w:color w:val="000000"/>
                <w:sz w:val="20"/>
                <w:szCs w:val="20"/>
              </w:rPr>
            </w:pPr>
            <w:r w:rsidRPr="00E43750">
              <w:rPr>
                <w:rFonts w:asciiTheme="minorHAnsi" w:hAnsiTheme="minorHAnsi" w:cs="Arial"/>
                <w:color w:val="000000"/>
                <w:sz w:val="20"/>
                <w:szCs w:val="20"/>
              </w:rPr>
              <w:t>3.83</w:t>
            </w:r>
          </w:p>
        </w:tc>
        <w:tc>
          <w:tcPr>
            <w:tcW w:w="1562" w:type="dxa"/>
            <w:shd w:val="clear" w:color="auto" w:fill="auto"/>
            <w:noWrap/>
            <w:vAlign w:val="center"/>
            <w:hideMark/>
          </w:tcPr>
          <w:p w:rsidR="002B468C" w:rsidRPr="00E43750" w:rsidRDefault="002B468C" w:rsidP="00E43750">
            <w:pPr>
              <w:rPr>
                <w:rFonts w:asciiTheme="minorHAnsi" w:hAnsiTheme="minorHAnsi" w:cs="Arial"/>
                <w:color w:val="000000"/>
                <w:sz w:val="20"/>
                <w:szCs w:val="20"/>
              </w:rPr>
            </w:pPr>
            <w:r w:rsidRPr="00E43750">
              <w:rPr>
                <w:rFonts w:asciiTheme="minorHAnsi" w:hAnsiTheme="minorHAnsi" w:cs="Arial"/>
                <w:color w:val="000000"/>
                <w:sz w:val="20"/>
                <w:szCs w:val="20"/>
              </w:rPr>
              <w:t>3.0</w:t>
            </w:r>
          </w:p>
        </w:tc>
        <w:tc>
          <w:tcPr>
            <w:tcW w:w="1562" w:type="dxa"/>
            <w:shd w:val="clear" w:color="auto" w:fill="auto"/>
            <w:vAlign w:val="center"/>
          </w:tcPr>
          <w:p w:rsidR="002B468C" w:rsidRPr="00E43750" w:rsidRDefault="002B468C" w:rsidP="00E43750">
            <w:pPr>
              <w:rPr>
                <w:rFonts w:asciiTheme="minorHAnsi" w:hAnsiTheme="minorHAnsi" w:cs="Arial"/>
                <w:color w:val="000000"/>
                <w:sz w:val="20"/>
                <w:szCs w:val="20"/>
              </w:rPr>
            </w:pPr>
            <w:r w:rsidRPr="00E43750">
              <w:rPr>
                <w:rFonts w:asciiTheme="minorHAnsi" w:hAnsiTheme="minorHAnsi" w:cs="Arial"/>
                <w:color w:val="000000"/>
                <w:sz w:val="20"/>
                <w:szCs w:val="20"/>
              </w:rPr>
              <w:t>3.83</w:t>
            </w:r>
          </w:p>
        </w:tc>
      </w:tr>
      <w:tr w:rsidR="002B468C" w:rsidRPr="00802371" w:rsidTr="00E43750">
        <w:trPr>
          <w:trHeight w:val="300"/>
        </w:trPr>
        <w:tc>
          <w:tcPr>
            <w:tcW w:w="1526" w:type="dxa"/>
            <w:shd w:val="clear" w:color="auto" w:fill="auto"/>
            <w:noWrap/>
            <w:vAlign w:val="center"/>
            <w:hideMark/>
          </w:tcPr>
          <w:p w:rsidR="002B468C" w:rsidRPr="00E43750" w:rsidRDefault="002B468C" w:rsidP="002B468C">
            <w:pPr>
              <w:jc w:val="center"/>
              <w:rPr>
                <w:rFonts w:asciiTheme="minorHAnsi" w:hAnsiTheme="minorHAnsi" w:cs="Arial"/>
                <w:b/>
                <w:color w:val="000000"/>
                <w:sz w:val="20"/>
                <w:szCs w:val="20"/>
              </w:rPr>
            </w:pPr>
            <w:r w:rsidRPr="00E43750">
              <w:rPr>
                <w:rFonts w:asciiTheme="minorHAnsi" w:hAnsiTheme="minorHAnsi" w:cs="Arial"/>
                <w:b/>
                <w:bCs/>
                <w:color w:val="000000"/>
                <w:sz w:val="20"/>
                <w:szCs w:val="20"/>
              </w:rPr>
              <w:t>Aug</w:t>
            </w:r>
            <w:r w:rsidR="00BB2B8B" w:rsidRPr="00E43750">
              <w:rPr>
                <w:rFonts w:asciiTheme="minorHAnsi" w:hAnsiTheme="minorHAnsi" w:cs="Arial"/>
                <w:b/>
                <w:bCs/>
                <w:color w:val="000000"/>
                <w:sz w:val="20"/>
                <w:szCs w:val="20"/>
              </w:rPr>
              <w:t>ust</w:t>
            </w:r>
            <w:r w:rsidRPr="00E43750">
              <w:rPr>
                <w:rFonts w:asciiTheme="minorHAnsi" w:hAnsiTheme="minorHAnsi" w:cs="Arial"/>
                <w:b/>
                <w:bCs/>
                <w:color w:val="000000"/>
                <w:sz w:val="20"/>
                <w:szCs w:val="20"/>
              </w:rPr>
              <w:t xml:space="preserve"> 2012</w:t>
            </w:r>
          </w:p>
        </w:tc>
        <w:tc>
          <w:tcPr>
            <w:tcW w:w="1701" w:type="dxa"/>
            <w:shd w:val="clear" w:color="auto" w:fill="auto"/>
            <w:noWrap/>
            <w:vAlign w:val="center"/>
            <w:hideMark/>
          </w:tcPr>
          <w:p w:rsidR="002B468C" w:rsidRPr="00E43750" w:rsidRDefault="002B468C" w:rsidP="00E43750">
            <w:pPr>
              <w:rPr>
                <w:rFonts w:asciiTheme="minorHAnsi" w:hAnsiTheme="minorHAnsi" w:cs="Arial"/>
                <w:color w:val="000000"/>
                <w:sz w:val="20"/>
                <w:szCs w:val="20"/>
              </w:rPr>
            </w:pPr>
            <w:r w:rsidRPr="00E43750">
              <w:rPr>
                <w:rFonts w:asciiTheme="minorHAnsi" w:hAnsiTheme="minorHAnsi" w:cs="Arial"/>
                <w:color w:val="000000"/>
                <w:sz w:val="20"/>
                <w:szCs w:val="20"/>
              </w:rPr>
              <w:t>97</w:t>
            </w:r>
          </w:p>
        </w:tc>
        <w:tc>
          <w:tcPr>
            <w:tcW w:w="1423" w:type="dxa"/>
            <w:shd w:val="clear" w:color="auto" w:fill="auto"/>
            <w:vAlign w:val="center"/>
          </w:tcPr>
          <w:p w:rsidR="002B468C" w:rsidRPr="00E43750" w:rsidRDefault="002B468C" w:rsidP="00E43750">
            <w:pPr>
              <w:rPr>
                <w:rFonts w:asciiTheme="minorHAnsi" w:hAnsiTheme="minorHAnsi" w:cs="Arial"/>
                <w:color w:val="000000"/>
                <w:sz w:val="20"/>
                <w:szCs w:val="20"/>
              </w:rPr>
            </w:pPr>
            <w:r w:rsidRPr="00E43750">
              <w:rPr>
                <w:rFonts w:asciiTheme="minorHAnsi" w:hAnsiTheme="minorHAnsi" w:cs="Arial"/>
                <w:color w:val="000000"/>
                <w:sz w:val="20"/>
                <w:szCs w:val="20"/>
              </w:rPr>
              <w:t>92</w:t>
            </w:r>
          </w:p>
        </w:tc>
        <w:tc>
          <w:tcPr>
            <w:tcW w:w="1562" w:type="dxa"/>
            <w:shd w:val="clear" w:color="auto" w:fill="auto"/>
            <w:noWrap/>
            <w:vAlign w:val="center"/>
            <w:hideMark/>
          </w:tcPr>
          <w:p w:rsidR="002B468C" w:rsidRPr="00E43750" w:rsidRDefault="002B468C" w:rsidP="00E43750">
            <w:pPr>
              <w:rPr>
                <w:rFonts w:asciiTheme="minorHAnsi" w:hAnsiTheme="minorHAnsi" w:cs="Arial"/>
                <w:color w:val="000000"/>
                <w:sz w:val="20"/>
                <w:szCs w:val="20"/>
              </w:rPr>
            </w:pPr>
            <w:r w:rsidRPr="00E43750">
              <w:rPr>
                <w:rFonts w:asciiTheme="minorHAnsi" w:hAnsiTheme="minorHAnsi" w:cs="Arial"/>
                <w:color w:val="000000"/>
                <w:sz w:val="20"/>
                <w:szCs w:val="20"/>
              </w:rPr>
              <w:t>6.12</w:t>
            </w:r>
          </w:p>
        </w:tc>
        <w:tc>
          <w:tcPr>
            <w:tcW w:w="1562" w:type="dxa"/>
            <w:shd w:val="clear" w:color="auto" w:fill="auto"/>
            <w:noWrap/>
            <w:vAlign w:val="center"/>
            <w:hideMark/>
          </w:tcPr>
          <w:p w:rsidR="002B468C" w:rsidRPr="00E43750" w:rsidRDefault="002B468C" w:rsidP="00E43750">
            <w:pPr>
              <w:rPr>
                <w:rFonts w:asciiTheme="minorHAnsi" w:hAnsiTheme="minorHAnsi" w:cs="Arial"/>
                <w:color w:val="000000"/>
                <w:sz w:val="20"/>
                <w:szCs w:val="20"/>
              </w:rPr>
            </w:pPr>
            <w:r w:rsidRPr="00E43750">
              <w:rPr>
                <w:rFonts w:asciiTheme="minorHAnsi" w:hAnsiTheme="minorHAnsi" w:cs="Arial"/>
                <w:color w:val="000000"/>
                <w:sz w:val="20"/>
                <w:szCs w:val="20"/>
              </w:rPr>
              <w:t>3.6</w:t>
            </w:r>
          </w:p>
        </w:tc>
        <w:tc>
          <w:tcPr>
            <w:tcW w:w="1562" w:type="dxa"/>
            <w:shd w:val="clear" w:color="auto" w:fill="auto"/>
            <w:vAlign w:val="center"/>
          </w:tcPr>
          <w:p w:rsidR="002B468C" w:rsidRPr="00E43750" w:rsidRDefault="002B468C" w:rsidP="00E43750">
            <w:pPr>
              <w:rPr>
                <w:rFonts w:asciiTheme="minorHAnsi" w:hAnsiTheme="minorHAnsi" w:cs="Arial"/>
                <w:color w:val="000000"/>
                <w:sz w:val="20"/>
                <w:szCs w:val="20"/>
              </w:rPr>
            </w:pPr>
            <w:r w:rsidRPr="00E43750">
              <w:rPr>
                <w:rFonts w:asciiTheme="minorHAnsi" w:hAnsiTheme="minorHAnsi" w:cs="Arial"/>
                <w:color w:val="000000"/>
                <w:sz w:val="20"/>
                <w:szCs w:val="20"/>
              </w:rPr>
              <w:t>6.10</w:t>
            </w:r>
          </w:p>
        </w:tc>
      </w:tr>
    </w:tbl>
    <w:p w:rsidR="00BE55B3" w:rsidRDefault="00BE55B3" w:rsidP="00BE55B3">
      <w:pPr>
        <w:rPr>
          <w:rFonts w:ascii="Calibri" w:hAnsi="Calibri"/>
          <w:sz w:val="20"/>
          <w:szCs w:val="20"/>
        </w:rPr>
      </w:pPr>
    </w:p>
    <w:p w:rsidR="00815F43" w:rsidRPr="00486CB1" w:rsidRDefault="00815F43" w:rsidP="00815F43">
      <w:pPr>
        <w:keepNext/>
        <w:jc w:val="both"/>
        <w:rPr>
          <w:rFonts w:ascii="Arial" w:hAnsi="Arial" w:cs="Arial"/>
          <w:b/>
          <w:sz w:val="20"/>
          <w:szCs w:val="20"/>
          <w:lang w:eastAsia="en-US"/>
        </w:rPr>
      </w:pPr>
      <w:r w:rsidRPr="00486CB1">
        <w:rPr>
          <w:rFonts w:ascii="Arial" w:hAnsi="Arial" w:cs="Arial"/>
          <w:b/>
          <w:sz w:val="20"/>
          <w:szCs w:val="20"/>
          <w:lang w:eastAsia="en-US"/>
        </w:rPr>
        <w:t xml:space="preserve">Figure </w:t>
      </w:r>
      <w:r w:rsidR="00CD7339">
        <w:rPr>
          <w:rFonts w:ascii="Arial" w:hAnsi="Arial" w:cs="Arial"/>
          <w:b/>
          <w:sz w:val="20"/>
          <w:szCs w:val="20"/>
          <w:lang w:eastAsia="en-US"/>
        </w:rPr>
        <w:t>8</w:t>
      </w:r>
      <w:r w:rsidR="00996539">
        <w:rPr>
          <w:rFonts w:ascii="Arial" w:hAnsi="Arial" w:cs="Arial"/>
          <w:b/>
          <w:sz w:val="20"/>
          <w:szCs w:val="20"/>
          <w:lang w:eastAsia="en-US"/>
        </w:rPr>
        <w:t xml:space="preserve">: </w:t>
      </w:r>
      <w:r w:rsidR="00690106">
        <w:rPr>
          <w:rFonts w:ascii="Arial" w:hAnsi="Arial" w:cs="Arial"/>
          <w:b/>
          <w:sz w:val="20"/>
          <w:szCs w:val="20"/>
          <w:lang w:eastAsia="en-US"/>
        </w:rPr>
        <w:t xml:space="preserve">Adelaide ex ante offers ($/GJ) and scheduled quantities (TJ): </w:t>
      </w:r>
      <w:r w:rsidR="00C1456E">
        <w:rPr>
          <w:rFonts w:ascii="Arial" w:hAnsi="Arial" w:cs="Arial"/>
          <w:b/>
          <w:sz w:val="20"/>
          <w:szCs w:val="20"/>
          <w:lang w:eastAsia="en-US"/>
        </w:rPr>
        <w:t xml:space="preserve">Aug </w:t>
      </w:r>
      <w:r w:rsidR="00690106">
        <w:rPr>
          <w:rFonts w:ascii="Arial" w:hAnsi="Arial" w:cs="Arial"/>
          <w:b/>
          <w:sz w:val="20"/>
          <w:szCs w:val="20"/>
          <w:lang w:eastAsia="en-US"/>
        </w:rPr>
        <w:t xml:space="preserve">2011 vs. </w:t>
      </w:r>
      <w:r w:rsidR="00C1456E">
        <w:rPr>
          <w:rFonts w:ascii="Arial" w:hAnsi="Arial" w:cs="Arial"/>
          <w:b/>
          <w:sz w:val="20"/>
          <w:szCs w:val="20"/>
          <w:lang w:eastAsia="en-US"/>
        </w:rPr>
        <w:t xml:space="preserve">Aug </w:t>
      </w:r>
      <w:r w:rsidR="00690106">
        <w:rPr>
          <w:rFonts w:ascii="Arial" w:hAnsi="Arial" w:cs="Arial"/>
          <w:b/>
          <w:sz w:val="20"/>
          <w:szCs w:val="20"/>
          <w:lang w:eastAsia="en-US"/>
        </w:rPr>
        <w:t>2012</w:t>
      </w:r>
    </w:p>
    <w:p w:rsidR="009D669F" w:rsidRDefault="007E4F35" w:rsidP="0053717C">
      <w:r>
        <w:pict>
          <v:shape id="_x0000_i1030" type="#_x0000_t75" style="width:451.25pt;height:179.15pt">
            <v:imagedata r:id="rId13" o:title=""/>
          </v:shape>
        </w:pict>
      </w:r>
    </w:p>
    <w:p w:rsidR="00DF71B2" w:rsidRDefault="00DF71B2">
      <w:pPr>
        <w:pStyle w:val="Default"/>
        <w:jc w:val="both"/>
        <w:rPr>
          <w:sz w:val="23"/>
          <w:szCs w:val="23"/>
        </w:rPr>
      </w:pPr>
    </w:p>
    <w:p w:rsidR="006F4F1D" w:rsidRDefault="008217D4">
      <w:pPr>
        <w:pStyle w:val="AERbodytext"/>
      </w:pPr>
      <w:r>
        <w:t>The reduction in offers priced under $6/GJ (in comparison to the same period in 2011) combined with increased demand resulted in prices in August 2012 being 60 per cent higher than in August 2011.</w:t>
      </w:r>
    </w:p>
    <w:p w:rsidR="00DF71B2" w:rsidRDefault="009F5CF2">
      <w:pPr>
        <w:pStyle w:val="Heading3"/>
        <w:jc w:val="both"/>
      </w:pPr>
      <w:r>
        <w:t>Brisbane hub</w:t>
      </w:r>
      <w:r w:rsidR="00ED4D55">
        <w:t xml:space="preserve"> prices</w:t>
      </w:r>
    </w:p>
    <w:p w:rsidR="00DF71B2" w:rsidRDefault="00C1456E">
      <w:pPr>
        <w:pStyle w:val="AERbodytext"/>
        <w:jc w:val="both"/>
      </w:pPr>
      <w:r>
        <w:t xml:space="preserve">Figure 9 </w:t>
      </w:r>
      <w:r w:rsidRPr="002837C6">
        <w:t>shows daily ex</w:t>
      </w:r>
      <w:r>
        <w:t xml:space="preserve"> ante prices and demand for June, July and August</w:t>
      </w:r>
      <w:r w:rsidRPr="002837C6">
        <w:t xml:space="preserve"> 2012 along with the rolling 30 day average price.</w:t>
      </w:r>
      <w:r w:rsidR="009F5CF2" w:rsidRPr="002837C6">
        <w:t xml:space="preserve"> </w:t>
      </w:r>
    </w:p>
    <w:p w:rsidR="00C443F1" w:rsidRDefault="009F5CF2" w:rsidP="009F5CF2">
      <w:r>
        <w:rPr>
          <w:rFonts w:ascii="Arial" w:hAnsi="Arial" w:cs="Arial"/>
          <w:b/>
          <w:sz w:val="20"/>
          <w:szCs w:val="20"/>
          <w:lang w:eastAsia="en-US"/>
        </w:rPr>
        <w:t xml:space="preserve">Figure </w:t>
      </w:r>
      <w:r w:rsidR="00CD7339">
        <w:rPr>
          <w:rFonts w:ascii="Arial" w:hAnsi="Arial" w:cs="Arial"/>
          <w:b/>
          <w:sz w:val="20"/>
          <w:szCs w:val="20"/>
          <w:lang w:eastAsia="en-US"/>
        </w:rPr>
        <w:t>9</w:t>
      </w:r>
      <w:r w:rsidR="00690106">
        <w:rPr>
          <w:rFonts w:ascii="Arial" w:hAnsi="Arial" w:cs="Arial"/>
          <w:b/>
          <w:sz w:val="20"/>
          <w:szCs w:val="20"/>
          <w:lang w:eastAsia="en-US"/>
        </w:rPr>
        <w:t>: Brisbane</w:t>
      </w:r>
      <w:r w:rsidR="00690106" w:rsidRPr="00D620E4">
        <w:rPr>
          <w:rFonts w:ascii="Arial" w:hAnsi="Arial" w:cs="Arial"/>
          <w:b/>
          <w:sz w:val="20"/>
          <w:szCs w:val="20"/>
          <w:lang w:eastAsia="en-US"/>
        </w:rPr>
        <w:t xml:space="preserve"> </w:t>
      </w:r>
      <w:r w:rsidR="00690106">
        <w:rPr>
          <w:rFonts w:ascii="Arial" w:hAnsi="Arial" w:cs="Arial"/>
          <w:b/>
          <w:sz w:val="20"/>
          <w:szCs w:val="20"/>
          <w:lang w:eastAsia="en-US"/>
        </w:rPr>
        <w:t xml:space="preserve">ex ante prices and demand for, </w:t>
      </w:r>
      <w:r w:rsidR="00C1456E">
        <w:rPr>
          <w:rFonts w:ascii="Arial" w:hAnsi="Arial" w:cs="Arial"/>
          <w:b/>
          <w:sz w:val="20"/>
          <w:szCs w:val="20"/>
          <w:lang w:eastAsia="en-US"/>
        </w:rPr>
        <w:t>winter</w:t>
      </w:r>
      <w:r w:rsidR="00690106">
        <w:rPr>
          <w:rFonts w:ascii="Arial" w:hAnsi="Arial" w:cs="Arial"/>
          <w:b/>
          <w:sz w:val="20"/>
          <w:szCs w:val="20"/>
          <w:lang w:eastAsia="en-US"/>
        </w:rPr>
        <w:t xml:space="preserve"> 2012 </w:t>
      </w:r>
      <w:r w:rsidR="007E4F35">
        <w:pict>
          <v:shape id="_x0000_i1031" type="#_x0000_t75" style="width:451.25pt;height:183.35pt">
            <v:imagedata r:id="rId14" o:title=""/>
          </v:shape>
        </w:pict>
      </w:r>
    </w:p>
    <w:p w:rsidR="00046311" w:rsidRDefault="00894E78" w:rsidP="00046311">
      <w:pPr>
        <w:pStyle w:val="AERbodytext"/>
        <w:jc w:val="both"/>
      </w:pPr>
      <w:r w:rsidRPr="002837C6">
        <w:t xml:space="preserve">The rolling average </w:t>
      </w:r>
      <w:r>
        <w:t xml:space="preserve">ex ante </w:t>
      </w:r>
      <w:r w:rsidRPr="002837C6">
        <w:t xml:space="preserve">price started </w:t>
      </w:r>
      <w:r w:rsidR="002753C7">
        <w:t>August</w:t>
      </w:r>
      <w:r>
        <w:t xml:space="preserve"> </w:t>
      </w:r>
      <w:r w:rsidR="002753C7">
        <w:t>above</w:t>
      </w:r>
      <w:r>
        <w:t xml:space="preserve"> $</w:t>
      </w:r>
      <w:r w:rsidR="002753C7">
        <w:t>5</w:t>
      </w:r>
      <w:r>
        <w:t>.</w:t>
      </w:r>
      <w:r w:rsidR="002753C7">
        <w:t>8</w:t>
      </w:r>
      <w:r>
        <w:t xml:space="preserve">0/GJ and settled </w:t>
      </w:r>
      <w:r w:rsidR="002753C7">
        <w:t xml:space="preserve">just below </w:t>
      </w:r>
      <w:r>
        <w:t>$5.</w:t>
      </w:r>
      <w:r w:rsidR="002753C7">
        <w:t>45</w:t>
      </w:r>
      <w:r>
        <w:t>/GJ by the</w:t>
      </w:r>
      <w:r w:rsidRPr="002837C6">
        <w:t xml:space="preserve"> end of the month</w:t>
      </w:r>
      <w:r w:rsidR="00C81763">
        <w:t>.</w:t>
      </w:r>
    </w:p>
    <w:p w:rsidR="0048638A" w:rsidRPr="009276A0" w:rsidRDefault="002F2725" w:rsidP="00046311">
      <w:pPr>
        <w:pStyle w:val="AERbodytext"/>
        <w:jc w:val="both"/>
      </w:pPr>
      <w:r>
        <w:t xml:space="preserve">Brisbane gas prices in August were fairly volatile, as shown in figure 9. The AER assessed the </w:t>
      </w:r>
      <w:r w:rsidR="00724E95">
        <w:t xml:space="preserve">gas offers on the gas days which resulted in the highest and lowest prices. This analysis </w:t>
      </w:r>
      <w:r w:rsidR="007F6960">
        <w:t xml:space="preserve">indicates </w:t>
      </w:r>
      <w:r w:rsidR="0031652B">
        <w:t>there is often a lack of gas offers around</w:t>
      </w:r>
      <w:r w:rsidR="007F6960">
        <w:t xml:space="preserve"> the</w:t>
      </w:r>
      <w:r w:rsidR="0031652B">
        <w:t xml:space="preserve"> $4.50–6.50/GJ price range. This causes the sharp jumps in ex ante prices illustrated in figure 9 above. </w:t>
      </w:r>
    </w:p>
    <w:p w:rsidR="002837C6" w:rsidRPr="002837C6" w:rsidRDefault="00597913" w:rsidP="00597913">
      <w:pPr>
        <w:pStyle w:val="Heading3"/>
      </w:pPr>
      <w:r>
        <w:t>Victorian market prices</w:t>
      </w:r>
    </w:p>
    <w:p w:rsidR="00DF71B2" w:rsidRDefault="00D25E17">
      <w:pPr>
        <w:pStyle w:val="AERbodytext"/>
        <w:jc w:val="both"/>
      </w:pPr>
      <w:r w:rsidRPr="00811ACE">
        <w:t xml:space="preserve">Figure </w:t>
      </w:r>
      <w:r w:rsidR="00CD7339">
        <w:t>11</w:t>
      </w:r>
      <w:r w:rsidR="00CD7339" w:rsidRPr="00811ACE">
        <w:t xml:space="preserve"> </w:t>
      </w:r>
      <w:r w:rsidRPr="00811ACE">
        <w:t>shows weighted price, rolling average daily price, minimum and maximum daily schedule prices and demand</w:t>
      </w:r>
      <w:r w:rsidR="0016742A">
        <w:t xml:space="preserve"> for the VGM.</w:t>
      </w:r>
    </w:p>
    <w:p w:rsidR="00D25E17" w:rsidRPr="0060145C" w:rsidRDefault="00D25E17" w:rsidP="0080404A">
      <w:pPr>
        <w:keepNext/>
        <w:rPr>
          <w:rFonts w:ascii="Arial" w:hAnsi="Arial" w:cs="Arial"/>
          <w:sz w:val="20"/>
          <w:szCs w:val="20"/>
        </w:rPr>
      </w:pPr>
      <w:r w:rsidRPr="0060145C">
        <w:rPr>
          <w:rFonts w:ascii="Arial" w:hAnsi="Arial" w:cs="Arial"/>
          <w:b/>
          <w:sz w:val="20"/>
          <w:szCs w:val="20"/>
        </w:rPr>
        <w:t xml:space="preserve">Figure </w:t>
      </w:r>
      <w:r w:rsidR="00CD7339">
        <w:rPr>
          <w:rFonts w:ascii="Arial" w:hAnsi="Arial" w:cs="Arial"/>
          <w:b/>
          <w:sz w:val="20"/>
          <w:szCs w:val="20"/>
        </w:rPr>
        <w:t>11</w:t>
      </w:r>
      <w:r w:rsidRPr="0060145C">
        <w:rPr>
          <w:rFonts w:ascii="Arial" w:hAnsi="Arial" w:cs="Arial"/>
          <w:b/>
          <w:sz w:val="20"/>
          <w:szCs w:val="20"/>
        </w:rPr>
        <w:t>: Prices and demand in the Victorian market</w:t>
      </w:r>
      <w:r w:rsidR="00690106">
        <w:rPr>
          <w:rFonts w:ascii="Arial" w:hAnsi="Arial" w:cs="Arial"/>
          <w:b/>
          <w:sz w:val="20"/>
          <w:szCs w:val="20"/>
        </w:rPr>
        <w:t>,</w:t>
      </w:r>
      <w:r w:rsidRPr="0060145C">
        <w:rPr>
          <w:rFonts w:ascii="Arial" w:hAnsi="Arial" w:cs="Arial"/>
          <w:b/>
          <w:sz w:val="20"/>
          <w:szCs w:val="20"/>
        </w:rPr>
        <w:t xml:space="preserve"> </w:t>
      </w:r>
      <w:r w:rsidR="00BA1B1E">
        <w:rPr>
          <w:rFonts w:ascii="Arial" w:hAnsi="Arial" w:cs="Arial"/>
          <w:b/>
          <w:sz w:val="20"/>
          <w:szCs w:val="20"/>
        </w:rPr>
        <w:t>August</w:t>
      </w:r>
      <w:r w:rsidR="00BA1B1E" w:rsidRPr="0060145C">
        <w:rPr>
          <w:rFonts w:ascii="Arial" w:hAnsi="Arial" w:cs="Arial"/>
          <w:b/>
          <w:sz w:val="20"/>
          <w:szCs w:val="20"/>
        </w:rPr>
        <w:t xml:space="preserve"> </w:t>
      </w:r>
      <w:r w:rsidRPr="0060145C">
        <w:rPr>
          <w:rFonts w:ascii="Arial" w:hAnsi="Arial" w:cs="Arial"/>
          <w:b/>
          <w:sz w:val="20"/>
          <w:szCs w:val="20"/>
        </w:rPr>
        <w:t>2012</w:t>
      </w:r>
    </w:p>
    <w:p w:rsidR="00DF71B2" w:rsidRDefault="007E4F35" w:rsidP="008217D4">
      <w:pPr>
        <w:jc w:val="both"/>
      </w:pPr>
      <w:r>
        <w:pict>
          <v:shape id="_x0000_i1032" type="#_x0000_t75" style="width:452.1pt;height:191.7pt">
            <v:imagedata r:id="rId15" o:title=""/>
          </v:shape>
        </w:pict>
      </w:r>
      <w:r w:rsidR="00F8695F" w:rsidRPr="00F8695F" w:rsidDel="00CD01B7">
        <w:t xml:space="preserve"> </w:t>
      </w:r>
    </w:p>
    <w:p w:rsidR="0042646B" w:rsidRDefault="00D25E17">
      <w:pPr>
        <w:pStyle w:val="AERbodytext"/>
        <w:jc w:val="both"/>
      </w:pPr>
      <w:r w:rsidRPr="0062300C">
        <w:t xml:space="preserve">Figures </w:t>
      </w:r>
      <w:r w:rsidR="00CD7339">
        <w:t>12</w:t>
      </w:r>
      <w:r w:rsidR="00CD7339" w:rsidRPr="0062300C">
        <w:t xml:space="preserve"> </w:t>
      </w:r>
      <w:r w:rsidRPr="0062300C">
        <w:t xml:space="preserve">and </w:t>
      </w:r>
      <w:r w:rsidR="00CD7339">
        <w:t>13</w:t>
      </w:r>
      <w:r w:rsidR="00CD7339" w:rsidRPr="0062300C">
        <w:t xml:space="preserve"> </w:t>
      </w:r>
      <w:r w:rsidRPr="0062300C">
        <w:t xml:space="preserve">compare key prices and quantities in the VGM for </w:t>
      </w:r>
      <w:r w:rsidR="00BA1B1E">
        <w:t>August</w:t>
      </w:r>
      <w:r w:rsidR="00BA1B1E" w:rsidRPr="0062300C">
        <w:t xml:space="preserve"> </w:t>
      </w:r>
      <w:r w:rsidRPr="0062300C">
        <w:t xml:space="preserve">2012 to </w:t>
      </w:r>
      <w:r w:rsidR="00BA1B1E">
        <w:t>August</w:t>
      </w:r>
      <w:r w:rsidR="00BA1B1E" w:rsidRPr="0062300C">
        <w:t xml:space="preserve"> </w:t>
      </w:r>
      <w:r w:rsidRPr="0062300C">
        <w:t xml:space="preserve">2011. As shown in figure </w:t>
      </w:r>
      <w:r w:rsidR="00CD7339">
        <w:t>12</w:t>
      </w:r>
      <w:r w:rsidR="00CD7339" w:rsidRPr="0062300C">
        <w:t xml:space="preserve"> </w:t>
      </w:r>
      <w:r w:rsidRPr="0062300C">
        <w:t xml:space="preserve">(and graphically in figure </w:t>
      </w:r>
      <w:r w:rsidR="00CD7339">
        <w:t>13</w:t>
      </w:r>
      <w:r w:rsidRPr="0062300C">
        <w:t>), the volume of offers at or below $</w:t>
      </w:r>
      <w:r w:rsidR="008217D4">
        <w:t>4</w:t>
      </w:r>
      <w:r w:rsidRPr="0062300C">
        <w:t xml:space="preserve">/GJ at 6 am </w:t>
      </w:r>
      <w:r w:rsidR="008217D4">
        <w:t>did not change significantly</w:t>
      </w:r>
      <w:r w:rsidRPr="0062300C">
        <w:t xml:space="preserve"> from </w:t>
      </w:r>
      <w:r w:rsidR="00BA1B1E">
        <w:t>August</w:t>
      </w:r>
      <w:r w:rsidR="00BA1B1E" w:rsidRPr="0062300C">
        <w:t xml:space="preserve"> </w:t>
      </w:r>
      <w:r w:rsidRPr="0062300C">
        <w:t xml:space="preserve">2011 to </w:t>
      </w:r>
      <w:r w:rsidR="00BA1B1E">
        <w:t>August</w:t>
      </w:r>
      <w:r w:rsidR="00BA1B1E" w:rsidRPr="0062300C">
        <w:t xml:space="preserve"> </w:t>
      </w:r>
      <w:r w:rsidRPr="0062300C">
        <w:t>2012.</w:t>
      </w:r>
    </w:p>
    <w:p w:rsidR="00D25E17" w:rsidRPr="00A774AC" w:rsidRDefault="00D25E17" w:rsidP="00D25E17">
      <w:pPr>
        <w:widowControl w:val="0"/>
        <w:spacing w:before="240"/>
        <w:jc w:val="both"/>
        <w:rPr>
          <w:rFonts w:ascii="Arial" w:hAnsi="Arial" w:cs="Arial"/>
          <w:b/>
          <w:sz w:val="20"/>
          <w:szCs w:val="20"/>
        </w:rPr>
      </w:pPr>
      <w:r w:rsidRPr="00F146B3">
        <w:rPr>
          <w:rFonts w:ascii="Arial" w:hAnsi="Arial" w:cs="Arial"/>
          <w:b/>
          <w:sz w:val="20"/>
          <w:szCs w:val="20"/>
        </w:rPr>
        <w:t>Figu</w:t>
      </w:r>
      <w:r w:rsidRPr="00A774AC">
        <w:rPr>
          <w:rFonts w:ascii="Arial" w:hAnsi="Arial" w:cs="Arial"/>
          <w:b/>
          <w:sz w:val="20"/>
          <w:szCs w:val="20"/>
        </w:rPr>
        <w:t xml:space="preserve">re </w:t>
      </w:r>
      <w:r w:rsidR="00CD7339">
        <w:rPr>
          <w:rFonts w:ascii="Arial" w:hAnsi="Arial" w:cs="Arial"/>
          <w:b/>
          <w:sz w:val="20"/>
          <w:szCs w:val="20"/>
        </w:rPr>
        <w:t>12</w:t>
      </w:r>
      <w:r w:rsidRPr="00A774AC">
        <w:rPr>
          <w:rFonts w:ascii="Arial" w:hAnsi="Arial" w:cs="Arial"/>
          <w:b/>
          <w:sz w:val="20"/>
          <w:szCs w:val="20"/>
        </w:rPr>
        <w:t>: Average daily key prices and inputs</w:t>
      </w:r>
    </w:p>
    <w:tbl>
      <w:tblPr>
        <w:tblW w:w="4895" w:type="pct"/>
        <w:tblBorders>
          <w:top w:val="single" w:sz="12" w:space="0" w:color="000000"/>
          <w:bottom w:val="single" w:sz="12" w:space="0" w:color="000000"/>
          <w:insideH w:val="single" w:sz="6" w:space="0" w:color="000000"/>
        </w:tblBorders>
        <w:tblLayout w:type="fixed"/>
        <w:tblLook w:val="04A0"/>
      </w:tblPr>
      <w:tblGrid>
        <w:gridCol w:w="1669"/>
        <w:gridCol w:w="1849"/>
        <w:gridCol w:w="1701"/>
        <w:gridCol w:w="1419"/>
        <w:gridCol w:w="2410"/>
      </w:tblGrid>
      <w:tr w:rsidR="00754EDA" w:rsidRPr="00A774AC" w:rsidTr="00BB2B8B">
        <w:trPr>
          <w:trHeight w:val="300"/>
        </w:trPr>
        <w:tc>
          <w:tcPr>
            <w:tcW w:w="922" w:type="pct"/>
            <w:shd w:val="clear" w:color="auto" w:fill="auto"/>
            <w:noWrap/>
            <w:hideMark/>
          </w:tcPr>
          <w:p w:rsidR="00D25E17" w:rsidRPr="00E43750" w:rsidRDefault="00D25E17" w:rsidP="001E1CB5">
            <w:pPr>
              <w:widowControl w:val="0"/>
              <w:rPr>
                <w:rFonts w:asciiTheme="minorHAnsi" w:hAnsiTheme="minorHAnsi" w:cs="Arial"/>
                <w:b/>
                <w:bCs/>
                <w:color w:val="000000"/>
                <w:sz w:val="20"/>
                <w:szCs w:val="20"/>
              </w:rPr>
            </w:pPr>
          </w:p>
        </w:tc>
        <w:tc>
          <w:tcPr>
            <w:tcW w:w="1022" w:type="pct"/>
          </w:tcPr>
          <w:p w:rsidR="00D25E17" w:rsidRPr="00E43750" w:rsidRDefault="00D25E17" w:rsidP="00E43750">
            <w:pPr>
              <w:widowControl w:val="0"/>
              <w:rPr>
                <w:rFonts w:asciiTheme="minorHAnsi" w:hAnsiTheme="minorHAnsi" w:cs="Arial"/>
                <w:b/>
                <w:bCs/>
                <w:color w:val="000000"/>
                <w:sz w:val="20"/>
                <w:szCs w:val="20"/>
              </w:rPr>
            </w:pPr>
            <w:r w:rsidRPr="00E43750">
              <w:rPr>
                <w:rFonts w:asciiTheme="minorHAnsi" w:hAnsiTheme="minorHAnsi" w:cs="Arial"/>
                <w:b/>
                <w:bCs/>
                <w:color w:val="000000"/>
                <w:sz w:val="20"/>
                <w:szCs w:val="20"/>
              </w:rPr>
              <w:t>6 am Injection bids</w:t>
            </w:r>
            <w:r w:rsidR="00E43750">
              <w:rPr>
                <w:rFonts w:asciiTheme="minorHAnsi" w:hAnsiTheme="minorHAnsi" w:cs="Arial"/>
                <w:b/>
                <w:bCs/>
                <w:color w:val="000000"/>
                <w:sz w:val="20"/>
                <w:szCs w:val="20"/>
              </w:rPr>
              <w:t xml:space="preserve"> </w:t>
            </w:r>
            <w:r w:rsidRPr="00E43750">
              <w:rPr>
                <w:rFonts w:asciiTheme="minorHAnsi" w:hAnsiTheme="minorHAnsi" w:cs="Arial"/>
                <w:b/>
                <w:bCs/>
                <w:color w:val="000000"/>
                <w:sz w:val="20"/>
                <w:szCs w:val="20"/>
              </w:rPr>
              <w:t>at or below $</w:t>
            </w:r>
            <w:r w:rsidR="00D96130" w:rsidRPr="00E43750">
              <w:rPr>
                <w:rFonts w:asciiTheme="minorHAnsi" w:hAnsiTheme="minorHAnsi" w:cs="Arial"/>
                <w:b/>
                <w:bCs/>
                <w:color w:val="000000"/>
                <w:sz w:val="20"/>
                <w:szCs w:val="20"/>
              </w:rPr>
              <w:t>4</w:t>
            </w:r>
            <w:r w:rsidRPr="00E43750">
              <w:rPr>
                <w:rFonts w:asciiTheme="minorHAnsi" w:hAnsiTheme="minorHAnsi" w:cs="Arial"/>
                <w:b/>
                <w:bCs/>
                <w:color w:val="000000"/>
                <w:sz w:val="20"/>
                <w:szCs w:val="20"/>
              </w:rPr>
              <w:t>/GJ</w:t>
            </w:r>
            <w:r w:rsidR="00E43750">
              <w:rPr>
                <w:rFonts w:asciiTheme="minorHAnsi" w:hAnsiTheme="minorHAnsi" w:cs="Arial"/>
                <w:b/>
                <w:bCs/>
                <w:color w:val="000000"/>
                <w:sz w:val="20"/>
                <w:szCs w:val="20"/>
              </w:rPr>
              <w:t xml:space="preserve"> </w:t>
            </w:r>
            <w:r w:rsidRPr="00E43750">
              <w:rPr>
                <w:rFonts w:asciiTheme="minorHAnsi" w:hAnsiTheme="minorHAnsi" w:cs="Arial"/>
                <w:b/>
                <w:bCs/>
                <w:color w:val="000000"/>
                <w:sz w:val="20"/>
                <w:szCs w:val="20"/>
              </w:rPr>
              <w:t>(TJ)</w:t>
            </w:r>
          </w:p>
        </w:tc>
        <w:tc>
          <w:tcPr>
            <w:tcW w:w="940" w:type="pct"/>
            <w:shd w:val="clear" w:color="auto" w:fill="auto"/>
            <w:noWrap/>
            <w:hideMark/>
          </w:tcPr>
          <w:p w:rsidR="00D25E17" w:rsidRPr="00E43750" w:rsidRDefault="00D25E17" w:rsidP="00E43750">
            <w:pPr>
              <w:widowControl w:val="0"/>
              <w:rPr>
                <w:rFonts w:asciiTheme="minorHAnsi" w:hAnsiTheme="minorHAnsi" w:cs="Arial"/>
                <w:b/>
                <w:bCs/>
                <w:color w:val="000000"/>
                <w:sz w:val="20"/>
                <w:szCs w:val="20"/>
              </w:rPr>
            </w:pPr>
            <w:r w:rsidRPr="00E43750">
              <w:rPr>
                <w:rFonts w:asciiTheme="minorHAnsi" w:hAnsiTheme="minorHAnsi" w:cs="Arial"/>
                <w:b/>
                <w:bCs/>
                <w:color w:val="000000"/>
                <w:sz w:val="20"/>
                <w:szCs w:val="20"/>
              </w:rPr>
              <w:t>6 am demand</w:t>
            </w:r>
            <w:r w:rsidR="00E43750">
              <w:rPr>
                <w:rFonts w:asciiTheme="minorHAnsi" w:hAnsiTheme="minorHAnsi" w:cs="Arial"/>
                <w:b/>
                <w:bCs/>
                <w:color w:val="000000"/>
                <w:sz w:val="20"/>
                <w:szCs w:val="20"/>
              </w:rPr>
              <w:t xml:space="preserve"> </w:t>
            </w:r>
            <w:r w:rsidRPr="00E43750">
              <w:rPr>
                <w:rFonts w:asciiTheme="minorHAnsi" w:hAnsiTheme="minorHAnsi" w:cs="Arial"/>
                <w:b/>
                <w:bCs/>
                <w:color w:val="000000"/>
                <w:sz w:val="20"/>
                <w:szCs w:val="20"/>
              </w:rPr>
              <w:t>(TJ)</w:t>
            </w:r>
          </w:p>
        </w:tc>
        <w:tc>
          <w:tcPr>
            <w:tcW w:w="784" w:type="pct"/>
            <w:shd w:val="clear" w:color="auto" w:fill="auto"/>
            <w:noWrap/>
            <w:hideMark/>
          </w:tcPr>
          <w:p w:rsidR="00D25E17" w:rsidRPr="00E43750" w:rsidRDefault="00D25E17" w:rsidP="00E43750">
            <w:pPr>
              <w:widowControl w:val="0"/>
              <w:rPr>
                <w:rFonts w:asciiTheme="minorHAnsi" w:hAnsiTheme="minorHAnsi" w:cs="Arial"/>
                <w:b/>
                <w:bCs/>
                <w:color w:val="000000"/>
                <w:sz w:val="20"/>
                <w:szCs w:val="20"/>
              </w:rPr>
            </w:pPr>
            <w:r w:rsidRPr="00E43750">
              <w:rPr>
                <w:rFonts w:asciiTheme="minorHAnsi" w:hAnsiTheme="minorHAnsi" w:cs="Arial"/>
                <w:b/>
                <w:bCs/>
                <w:color w:val="000000"/>
                <w:sz w:val="20"/>
                <w:szCs w:val="20"/>
              </w:rPr>
              <w:t>Weighted</w:t>
            </w:r>
            <w:r w:rsidR="00E43750">
              <w:rPr>
                <w:rFonts w:asciiTheme="minorHAnsi" w:hAnsiTheme="minorHAnsi" w:cs="Arial"/>
                <w:b/>
                <w:bCs/>
                <w:color w:val="000000"/>
                <w:sz w:val="20"/>
                <w:szCs w:val="20"/>
              </w:rPr>
              <w:t xml:space="preserve"> </w:t>
            </w:r>
            <w:r w:rsidRPr="00E43750">
              <w:rPr>
                <w:rFonts w:asciiTheme="minorHAnsi" w:hAnsiTheme="minorHAnsi" w:cs="Arial"/>
                <w:b/>
                <w:bCs/>
                <w:color w:val="000000"/>
                <w:sz w:val="20"/>
                <w:szCs w:val="20"/>
              </w:rPr>
              <w:t xml:space="preserve">daily </w:t>
            </w:r>
            <w:r w:rsidR="00E43750">
              <w:rPr>
                <w:rFonts w:asciiTheme="minorHAnsi" w:hAnsiTheme="minorHAnsi" w:cs="Arial"/>
                <w:b/>
                <w:bCs/>
                <w:color w:val="000000"/>
                <w:sz w:val="20"/>
                <w:szCs w:val="20"/>
              </w:rPr>
              <w:t>p</w:t>
            </w:r>
            <w:r w:rsidRPr="00E43750">
              <w:rPr>
                <w:rFonts w:asciiTheme="minorHAnsi" w:hAnsiTheme="minorHAnsi" w:cs="Arial"/>
                <w:b/>
                <w:bCs/>
                <w:color w:val="000000"/>
                <w:sz w:val="20"/>
                <w:szCs w:val="20"/>
              </w:rPr>
              <w:t>rice</w:t>
            </w:r>
            <w:r w:rsidR="00E43750">
              <w:rPr>
                <w:rFonts w:asciiTheme="minorHAnsi" w:hAnsiTheme="minorHAnsi" w:cs="Arial"/>
                <w:b/>
                <w:bCs/>
                <w:color w:val="000000"/>
                <w:sz w:val="20"/>
                <w:szCs w:val="20"/>
              </w:rPr>
              <w:t xml:space="preserve"> </w:t>
            </w:r>
            <w:r w:rsidRPr="00E43750">
              <w:rPr>
                <w:rFonts w:asciiTheme="minorHAnsi" w:hAnsiTheme="minorHAnsi" w:cs="Arial"/>
                <w:b/>
                <w:bCs/>
                <w:color w:val="000000"/>
                <w:sz w:val="20"/>
                <w:szCs w:val="20"/>
              </w:rPr>
              <w:t>($/GJ)</w:t>
            </w:r>
          </w:p>
        </w:tc>
        <w:tc>
          <w:tcPr>
            <w:tcW w:w="1333" w:type="pct"/>
            <w:shd w:val="clear" w:color="auto" w:fill="auto"/>
            <w:noWrap/>
            <w:hideMark/>
          </w:tcPr>
          <w:p w:rsidR="00D25E17" w:rsidRPr="00E43750" w:rsidRDefault="00E43750" w:rsidP="00E43750">
            <w:pPr>
              <w:widowControl w:val="0"/>
              <w:rPr>
                <w:rFonts w:asciiTheme="minorHAnsi" w:hAnsiTheme="minorHAnsi" w:cs="Arial"/>
                <w:b/>
                <w:bCs/>
                <w:color w:val="000000"/>
                <w:sz w:val="20"/>
                <w:szCs w:val="20"/>
              </w:rPr>
            </w:pPr>
            <w:r>
              <w:rPr>
                <w:rFonts w:asciiTheme="minorHAnsi" w:hAnsiTheme="minorHAnsi" w:cs="Arial"/>
                <w:b/>
                <w:bCs/>
                <w:color w:val="000000"/>
                <w:sz w:val="20"/>
                <w:szCs w:val="20"/>
              </w:rPr>
              <w:t>A</w:t>
            </w:r>
            <w:r w:rsidR="00D25E17" w:rsidRPr="00E43750">
              <w:rPr>
                <w:rFonts w:asciiTheme="minorHAnsi" w:hAnsiTheme="minorHAnsi" w:cs="Arial"/>
                <w:b/>
                <w:bCs/>
                <w:color w:val="000000"/>
                <w:sz w:val="20"/>
                <w:szCs w:val="20"/>
              </w:rPr>
              <w:t>verage difference of min and max schedule price on day</w:t>
            </w:r>
          </w:p>
          <w:p w:rsidR="00D25E17" w:rsidRPr="00E43750" w:rsidRDefault="00D25E17" w:rsidP="001E1CB5">
            <w:pPr>
              <w:widowControl w:val="0"/>
              <w:jc w:val="center"/>
              <w:rPr>
                <w:rFonts w:asciiTheme="minorHAnsi" w:hAnsiTheme="minorHAnsi" w:cs="Arial"/>
                <w:b/>
                <w:bCs/>
                <w:color w:val="000000"/>
                <w:sz w:val="20"/>
                <w:szCs w:val="20"/>
              </w:rPr>
            </w:pPr>
            <w:r w:rsidRPr="00E43750">
              <w:rPr>
                <w:rFonts w:asciiTheme="minorHAnsi" w:hAnsiTheme="minorHAnsi" w:cs="Arial"/>
                <w:b/>
                <w:bCs/>
                <w:color w:val="000000"/>
                <w:sz w:val="20"/>
                <w:szCs w:val="20"/>
              </w:rPr>
              <w:t>($/GJ)</w:t>
            </w:r>
          </w:p>
        </w:tc>
      </w:tr>
      <w:tr w:rsidR="004D01B1" w:rsidRPr="00A774AC" w:rsidTr="00BB2B8B">
        <w:trPr>
          <w:trHeight w:val="300"/>
        </w:trPr>
        <w:tc>
          <w:tcPr>
            <w:tcW w:w="922" w:type="pct"/>
            <w:shd w:val="clear" w:color="auto" w:fill="auto"/>
            <w:noWrap/>
            <w:hideMark/>
          </w:tcPr>
          <w:p w:rsidR="004D01B1" w:rsidRPr="00E43750" w:rsidRDefault="004D01B1" w:rsidP="001E1CB5">
            <w:pPr>
              <w:widowControl w:val="0"/>
              <w:rPr>
                <w:rFonts w:asciiTheme="minorHAnsi" w:hAnsiTheme="minorHAnsi" w:cs="Arial"/>
                <w:b/>
                <w:color w:val="000000"/>
                <w:sz w:val="20"/>
                <w:szCs w:val="20"/>
              </w:rPr>
            </w:pPr>
            <w:r w:rsidRPr="00E43750">
              <w:rPr>
                <w:rFonts w:asciiTheme="minorHAnsi" w:hAnsiTheme="minorHAnsi" w:cs="Arial"/>
                <w:b/>
                <w:color w:val="000000"/>
                <w:sz w:val="20"/>
                <w:szCs w:val="20"/>
              </w:rPr>
              <w:t>Aug</w:t>
            </w:r>
            <w:r w:rsidR="00BB2B8B" w:rsidRPr="00E43750">
              <w:rPr>
                <w:rFonts w:asciiTheme="minorHAnsi" w:hAnsiTheme="minorHAnsi" w:cs="Arial"/>
                <w:b/>
                <w:color w:val="000000"/>
                <w:sz w:val="20"/>
                <w:szCs w:val="20"/>
              </w:rPr>
              <w:t>ust</w:t>
            </w:r>
            <w:r w:rsidRPr="00E43750">
              <w:rPr>
                <w:rFonts w:asciiTheme="minorHAnsi" w:hAnsiTheme="minorHAnsi" w:cs="Arial"/>
                <w:b/>
                <w:color w:val="000000"/>
                <w:sz w:val="20"/>
                <w:szCs w:val="20"/>
              </w:rPr>
              <w:t xml:space="preserve"> 2011</w:t>
            </w:r>
          </w:p>
        </w:tc>
        <w:tc>
          <w:tcPr>
            <w:tcW w:w="1022" w:type="pct"/>
          </w:tcPr>
          <w:p w:rsidR="004D01B1" w:rsidRPr="00E43750" w:rsidRDefault="00D96130" w:rsidP="00E43750">
            <w:pPr>
              <w:widowControl w:val="0"/>
              <w:rPr>
                <w:rFonts w:asciiTheme="minorHAnsi" w:hAnsiTheme="minorHAnsi" w:cs="Arial"/>
                <w:sz w:val="20"/>
                <w:szCs w:val="20"/>
              </w:rPr>
            </w:pPr>
            <w:r w:rsidRPr="00E43750">
              <w:rPr>
                <w:rFonts w:asciiTheme="minorHAnsi" w:hAnsiTheme="minorHAnsi" w:cs="Arial"/>
                <w:color w:val="000000"/>
                <w:sz w:val="20"/>
                <w:szCs w:val="20"/>
              </w:rPr>
              <w:t>911</w:t>
            </w:r>
          </w:p>
        </w:tc>
        <w:tc>
          <w:tcPr>
            <w:tcW w:w="940" w:type="pct"/>
            <w:shd w:val="clear" w:color="auto" w:fill="auto"/>
            <w:noWrap/>
            <w:hideMark/>
          </w:tcPr>
          <w:p w:rsidR="004D01B1" w:rsidRPr="00E43750" w:rsidRDefault="004D01B1" w:rsidP="00E43750">
            <w:pPr>
              <w:widowControl w:val="0"/>
              <w:rPr>
                <w:rFonts w:asciiTheme="minorHAnsi" w:hAnsiTheme="minorHAnsi" w:cs="Arial"/>
                <w:sz w:val="20"/>
                <w:szCs w:val="20"/>
              </w:rPr>
            </w:pPr>
            <w:r w:rsidRPr="00E43750">
              <w:rPr>
                <w:rFonts w:asciiTheme="minorHAnsi" w:hAnsiTheme="minorHAnsi" w:cs="Arial"/>
                <w:color w:val="000000"/>
                <w:sz w:val="20"/>
                <w:szCs w:val="20"/>
              </w:rPr>
              <w:t>796</w:t>
            </w:r>
          </w:p>
        </w:tc>
        <w:tc>
          <w:tcPr>
            <w:tcW w:w="784" w:type="pct"/>
            <w:shd w:val="clear" w:color="auto" w:fill="auto"/>
            <w:noWrap/>
            <w:hideMark/>
          </w:tcPr>
          <w:p w:rsidR="004D01B1" w:rsidRPr="00E43750" w:rsidRDefault="004D01B1" w:rsidP="00E43750">
            <w:pPr>
              <w:widowControl w:val="0"/>
              <w:rPr>
                <w:rFonts w:asciiTheme="minorHAnsi" w:hAnsiTheme="minorHAnsi" w:cs="Arial"/>
                <w:sz w:val="20"/>
                <w:szCs w:val="20"/>
              </w:rPr>
            </w:pPr>
            <w:r w:rsidRPr="00E43750">
              <w:rPr>
                <w:rFonts w:asciiTheme="minorHAnsi" w:hAnsiTheme="minorHAnsi" w:cs="Arial"/>
                <w:color w:val="000000"/>
                <w:sz w:val="20"/>
                <w:szCs w:val="20"/>
              </w:rPr>
              <w:t xml:space="preserve">3.39 </w:t>
            </w:r>
          </w:p>
        </w:tc>
        <w:tc>
          <w:tcPr>
            <w:tcW w:w="1333" w:type="pct"/>
            <w:shd w:val="clear" w:color="auto" w:fill="auto"/>
            <w:noWrap/>
            <w:hideMark/>
          </w:tcPr>
          <w:p w:rsidR="004D01B1" w:rsidRPr="00E43750" w:rsidRDefault="004D01B1" w:rsidP="00E43750">
            <w:pPr>
              <w:widowControl w:val="0"/>
              <w:rPr>
                <w:rFonts w:asciiTheme="minorHAnsi" w:hAnsiTheme="minorHAnsi" w:cs="Arial"/>
                <w:sz w:val="20"/>
                <w:szCs w:val="20"/>
              </w:rPr>
            </w:pPr>
            <w:r w:rsidRPr="00E43750">
              <w:rPr>
                <w:rFonts w:asciiTheme="minorHAnsi" w:hAnsiTheme="minorHAnsi" w:cs="Arial"/>
                <w:color w:val="000000"/>
                <w:sz w:val="20"/>
                <w:szCs w:val="20"/>
              </w:rPr>
              <w:t>1.23</w:t>
            </w:r>
          </w:p>
        </w:tc>
      </w:tr>
      <w:tr w:rsidR="004D01B1" w:rsidRPr="007D3FEE" w:rsidTr="00BB2B8B">
        <w:trPr>
          <w:trHeight w:val="300"/>
        </w:trPr>
        <w:tc>
          <w:tcPr>
            <w:tcW w:w="922" w:type="pct"/>
            <w:shd w:val="clear" w:color="auto" w:fill="auto"/>
            <w:noWrap/>
            <w:hideMark/>
          </w:tcPr>
          <w:p w:rsidR="004D01B1" w:rsidRPr="00E43750" w:rsidRDefault="004D01B1" w:rsidP="001E1CB5">
            <w:pPr>
              <w:widowControl w:val="0"/>
              <w:rPr>
                <w:rFonts w:asciiTheme="minorHAnsi" w:hAnsiTheme="minorHAnsi" w:cs="Arial"/>
                <w:b/>
                <w:color w:val="000000"/>
                <w:sz w:val="20"/>
                <w:szCs w:val="20"/>
              </w:rPr>
            </w:pPr>
            <w:r w:rsidRPr="00E43750">
              <w:rPr>
                <w:rFonts w:asciiTheme="minorHAnsi" w:hAnsiTheme="minorHAnsi" w:cs="Arial"/>
                <w:b/>
                <w:color w:val="000000"/>
                <w:sz w:val="20"/>
                <w:szCs w:val="20"/>
              </w:rPr>
              <w:t>Aug</w:t>
            </w:r>
            <w:r w:rsidR="00BB2B8B" w:rsidRPr="00E43750">
              <w:rPr>
                <w:rFonts w:asciiTheme="minorHAnsi" w:hAnsiTheme="minorHAnsi" w:cs="Arial"/>
                <w:b/>
                <w:color w:val="000000"/>
                <w:sz w:val="20"/>
                <w:szCs w:val="20"/>
              </w:rPr>
              <w:t>ust</w:t>
            </w:r>
            <w:r w:rsidRPr="00E43750">
              <w:rPr>
                <w:rFonts w:asciiTheme="minorHAnsi" w:hAnsiTheme="minorHAnsi" w:cs="Arial"/>
                <w:b/>
                <w:color w:val="000000"/>
                <w:sz w:val="20"/>
                <w:szCs w:val="20"/>
              </w:rPr>
              <w:t xml:space="preserve"> 2012</w:t>
            </w:r>
          </w:p>
        </w:tc>
        <w:tc>
          <w:tcPr>
            <w:tcW w:w="1022" w:type="pct"/>
          </w:tcPr>
          <w:p w:rsidR="004D01B1" w:rsidRPr="00E43750" w:rsidRDefault="004D01B1" w:rsidP="00E43750">
            <w:pPr>
              <w:widowControl w:val="0"/>
              <w:rPr>
                <w:rFonts w:asciiTheme="minorHAnsi" w:hAnsiTheme="minorHAnsi" w:cs="Arial"/>
                <w:sz w:val="20"/>
                <w:szCs w:val="20"/>
              </w:rPr>
            </w:pPr>
            <w:r w:rsidRPr="00E43750">
              <w:rPr>
                <w:rFonts w:asciiTheme="minorHAnsi" w:hAnsiTheme="minorHAnsi" w:cs="Arial"/>
                <w:color w:val="000000"/>
                <w:sz w:val="20"/>
                <w:szCs w:val="20"/>
              </w:rPr>
              <w:t>9</w:t>
            </w:r>
            <w:r w:rsidR="00D96130" w:rsidRPr="00E43750">
              <w:rPr>
                <w:rFonts w:asciiTheme="minorHAnsi" w:hAnsiTheme="minorHAnsi" w:cs="Arial"/>
                <w:color w:val="000000"/>
                <w:sz w:val="20"/>
                <w:szCs w:val="20"/>
              </w:rPr>
              <w:t>0</w:t>
            </w:r>
            <w:r w:rsidR="008217D4" w:rsidRPr="00E43750">
              <w:rPr>
                <w:rFonts w:asciiTheme="minorHAnsi" w:hAnsiTheme="minorHAnsi" w:cs="Arial"/>
                <w:color w:val="000000"/>
                <w:sz w:val="20"/>
                <w:szCs w:val="20"/>
              </w:rPr>
              <w:t>7</w:t>
            </w:r>
          </w:p>
        </w:tc>
        <w:tc>
          <w:tcPr>
            <w:tcW w:w="940" w:type="pct"/>
            <w:shd w:val="clear" w:color="auto" w:fill="auto"/>
            <w:noWrap/>
            <w:hideMark/>
          </w:tcPr>
          <w:p w:rsidR="004D01B1" w:rsidRPr="00E43750" w:rsidRDefault="004D01B1" w:rsidP="00E43750">
            <w:pPr>
              <w:widowControl w:val="0"/>
              <w:rPr>
                <w:rFonts w:asciiTheme="minorHAnsi" w:hAnsiTheme="minorHAnsi" w:cs="Arial"/>
                <w:sz w:val="20"/>
                <w:szCs w:val="20"/>
              </w:rPr>
            </w:pPr>
            <w:r w:rsidRPr="00E43750">
              <w:rPr>
                <w:rFonts w:asciiTheme="minorHAnsi" w:hAnsiTheme="minorHAnsi" w:cs="Arial"/>
                <w:color w:val="000000"/>
                <w:sz w:val="20"/>
                <w:szCs w:val="20"/>
              </w:rPr>
              <w:t>880</w:t>
            </w:r>
          </w:p>
        </w:tc>
        <w:tc>
          <w:tcPr>
            <w:tcW w:w="784" w:type="pct"/>
            <w:shd w:val="clear" w:color="auto" w:fill="auto"/>
            <w:noWrap/>
            <w:hideMark/>
          </w:tcPr>
          <w:p w:rsidR="004D01B1" w:rsidRPr="00E43750" w:rsidRDefault="004D01B1" w:rsidP="00E43750">
            <w:pPr>
              <w:widowControl w:val="0"/>
              <w:rPr>
                <w:rFonts w:asciiTheme="minorHAnsi" w:hAnsiTheme="minorHAnsi" w:cs="Arial"/>
                <w:sz w:val="20"/>
                <w:szCs w:val="20"/>
              </w:rPr>
            </w:pPr>
            <w:r w:rsidRPr="00E43750">
              <w:rPr>
                <w:rFonts w:asciiTheme="minorHAnsi" w:hAnsiTheme="minorHAnsi" w:cs="Arial"/>
                <w:color w:val="000000"/>
                <w:sz w:val="20"/>
                <w:szCs w:val="20"/>
              </w:rPr>
              <w:t xml:space="preserve">4.81 </w:t>
            </w:r>
          </w:p>
        </w:tc>
        <w:tc>
          <w:tcPr>
            <w:tcW w:w="1333" w:type="pct"/>
            <w:shd w:val="clear" w:color="auto" w:fill="auto"/>
            <w:noWrap/>
            <w:hideMark/>
          </w:tcPr>
          <w:p w:rsidR="004D01B1" w:rsidRPr="00E43750" w:rsidRDefault="004D01B1" w:rsidP="00E43750">
            <w:pPr>
              <w:widowControl w:val="0"/>
              <w:rPr>
                <w:rFonts w:asciiTheme="minorHAnsi" w:hAnsiTheme="minorHAnsi" w:cs="Arial"/>
                <w:sz w:val="20"/>
                <w:szCs w:val="20"/>
              </w:rPr>
            </w:pPr>
            <w:r w:rsidRPr="00E43750">
              <w:rPr>
                <w:rFonts w:asciiTheme="minorHAnsi" w:hAnsiTheme="minorHAnsi" w:cs="Arial"/>
                <w:color w:val="000000"/>
                <w:sz w:val="20"/>
                <w:szCs w:val="20"/>
              </w:rPr>
              <w:t>1.53</w:t>
            </w:r>
          </w:p>
        </w:tc>
      </w:tr>
    </w:tbl>
    <w:p w:rsidR="00173ACF" w:rsidRDefault="00173ACF">
      <w:pPr>
        <w:pStyle w:val="AERbodytext"/>
      </w:pPr>
    </w:p>
    <w:p w:rsidR="00282C42" w:rsidRDefault="00D25E17">
      <w:pPr>
        <w:keepNext/>
        <w:widowControl w:val="0"/>
        <w:spacing w:before="240"/>
        <w:jc w:val="both"/>
        <w:rPr>
          <w:rFonts w:ascii="Arial" w:hAnsi="Arial" w:cs="Arial"/>
          <w:b/>
          <w:sz w:val="20"/>
          <w:szCs w:val="20"/>
        </w:rPr>
      </w:pPr>
      <w:r w:rsidRPr="00343E05">
        <w:rPr>
          <w:rFonts w:ascii="Arial" w:hAnsi="Arial" w:cs="Arial"/>
          <w:b/>
          <w:sz w:val="20"/>
          <w:szCs w:val="20"/>
        </w:rPr>
        <w:t xml:space="preserve">Figure </w:t>
      </w:r>
      <w:r w:rsidR="00CD7339">
        <w:rPr>
          <w:rFonts w:ascii="Arial" w:hAnsi="Arial" w:cs="Arial"/>
          <w:b/>
          <w:sz w:val="20"/>
          <w:szCs w:val="20"/>
        </w:rPr>
        <w:t>13</w:t>
      </w:r>
      <w:r w:rsidRPr="00343E05">
        <w:rPr>
          <w:rFonts w:ascii="Arial" w:hAnsi="Arial" w:cs="Arial"/>
          <w:b/>
          <w:sz w:val="20"/>
          <w:szCs w:val="20"/>
        </w:rPr>
        <w:t>:</w:t>
      </w:r>
      <w:r>
        <w:rPr>
          <w:rFonts w:ascii="Arial" w:hAnsi="Arial" w:cs="Arial"/>
          <w:b/>
          <w:sz w:val="20"/>
          <w:szCs w:val="20"/>
        </w:rPr>
        <w:t xml:space="preserve"> 6 am i</w:t>
      </w:r>
      <w:r w:rsidRPr="00343E05">
        <w:rPr>
          <w:rFonts w:ascii="Arial" w:hAnsi="Arial" w:cs="Arial"/>
          <w:b/>
          <w:sz w:val="20"/>
          <w:szCs w:val="20"/>
        </w:rPr>
        <w:t xml:space="preserve">njection bids </w:t>
      </w:r>
      <w:r>
        <w:rPr>
          <w:rFonts w:ascii="Arial" w:hAnsi="Arial" w:cs="Arial"/>
          <w:b/>
          <w:sz w:val="20"/>
          <w:szCs w:val="20"/>
        </w:rPr>
        <w:t>($/GJ) and</w:t>
      </w:r>
      <w:r w:rsidRPr="00343E05">
        <w:rPr>
          <w:rFonts w:ascii="Arial" w:hAnsi="Arial" w:cs="Arial"/>
          <w:b/>
          <w:sz w:val="20"/>
          <w:szCs w:val="20"/>
        </w:rPr>
        <w:t xml:space="preserve"> minimum, maximum, and average scheduled quantities</w:t>
      </w:r>
      <w:r>
        <w:rPr>
          <w:rFonts w:ascii="Arial" w:hAnsi="Arial" w:cs="Arial"/>
          <w:b/>
          <w:sz w:val="20"/>
          <w:szCs w:val="20"/>
        </w:rPr>
        <w:t xml:space="preserve"> (TJ)</w:t>
      </w:r>
    </w:p>
    <w:p w:rsidR="00D25E17" w:rsidRPr="00811ACE" w:rsidRDefault="007E4F35" w:rsidP="0062300C">
      <w:pPr>
        <w:pStyle w:val="AERbodytext"/>
      </w:pPr>
      <w:r>
        <w:pict>
          <v:shape id="_x0000_i1033" type="#_x0000_t75" style="width:450.4pt;height:222.7pt">
            <v:imagedata r:id="rId16" o:title=""/>
          </v:shape>
        </w:pict>
      </w:r>
    </w:p>
    <w:p w:rsidR="003E37B1" w:rsidRDefault="00F24E9F" w:rsidP="003E37B1">
      <w:pPr>
        <w:pStyle w:val="Heading3"/>
        <w:jc w:val="both"/>
        <w:rPr>
          <w:rFonts w:ascii="Times New Roman" w:hAnsi="Times New Roman" w:cs="Times New Roman"/>
          <w:b w:val="0"/>
          <w:bCs w:val="0"/>
          <w:sz w:val="23"/>
          <w:szCs w:val="23"/>
        </w:rPr>
      </w:pPr>
      <w:r>
        <w:rPr>
          <w:rFonts w:ascii="Times New Roman" w:hAnsi="Times New Roman" w:cs="Times New Roman"/>
          <w:b w:val="0"/>
          <w:bCs w:val="0"/>
          <w:sz w:val="23"/>
          <w:szCs w:val="23"/>
        </w:rPr>
        <w:t>W</w:t>
      </w:r>
      <w:r w:rsidR="003E37B1" w:rsidRPr="009C19AF">
        <w:rPr>
          <w:rFonts w:ascii="Times New Roman" w:hAnsi="Times New Roman" w:cs="Times New Roman"/>
          <w:b w:val="0"/>
          <w:bCs w:val="0"/>
          <w:sz w:val="23"/>
          <w:szCs w:val="23"/>
        </w:rPr>
        <w:t>ith</w:t>
      </w:r>
      <w:r w:rsidR="003E37B1">
        <w:rPr>
          <w:rFonts w:ascii="Times New Roman" w:hAnsi="Times New Roman" w:cs="Times New Roman"/>
          <w:b w:val="0"/>
          <w:bCs w:val="0"/>
          <w:sz w:val="23"/>
          <w:szCs w:val="23"/>
        </w:rPr>
        <w:t xml:space="preserve"> increased</w:t>
      </w:r>
      <w:r w:rsidR="003E37B1" w:rsidRPr="009C19AF">
        <w:rPr>
          <w:rFonts w:ascii="Times New Roman" w:hAnsi="Times New Roman" w:cs="Times New Roman"/>
          <w:b w:val="0"/>
          <w:bCs w:val="0"/>
          <w:sz w:val="23"/>
          <w:szCs w:val="23"/>
        </w:rPr>
        <w:t xml:space="preserve"> </w:t>
      </w:r>
      <w:r w:rsidR="003E37B1">
        <w:rPr>
          <w:rFonts w:ascii="Times New Roman" w:hAnsi="Times New Roman" w:cs="Times New Roman"/>
          <w:b w:val="0"/>
          <w:bCs w:val="0"/>
          <w:sz w:val="23"/>
          <w:szCs w:val="23"/>
        </w:rPr>
        <w:t xml:space="preserve">demand, </w:t>
      </w:r>
      <w:r w:rsidR="003E37B1" w:rsidRPr="009C19AF">
        <w:rPr>
          <w:rFonts w:ascii="Times New Roman" w:hAnsi="Times New Roman" w:cs="Times New Roman"/>
          <w:b w:val="0"/>
          <w:bCs w:val="0"/>
          <w:sz w:val="23"/>
          <w:szCs w:val="23"/>
        </w:rPr>
        <w:t>prices in August 2012 were</w:t>
      </w:r>
      <w:r w:rsidR="003E37B1">
        <w:rPr>
          <w:rFonts w:ascii="Times New Roman" w:hAnsi="Times New Roman" w:cs="Times New Roman"/>
          <w:b w:val="0"/>
          <w:bCs w:val="0"/>
          <w:sz w:val="23"/>
          <w:szCs w:val="23"/>
        </w:rPr>
        <w:t xml:space="preserve"> 42 %</w:t>
      </w:r>
      <w:r w:rsidR="003E37B1" w:rsidRPr="009C19AF">
        <w:rPr>
          <w:rFonts w:ascii="Times New Roman" w:hAnsi="Times New Roman" w:cs="Times New Roman"/>
          <w:b w:val="0"/>
          <w:bCs w:val="0"/>
          <w:sz w:val="23"/>
          <w:szCs w:val="23"/>
        </w:rPr>
        <w:t xml:space="preserve"> higher than in August 2011.</w:t>
      </w:r>
      <w:r>
        <w:rPr>
          <w:rFonts w:ascii="Times New Roman" w:hAnsi="Times New Roman" w:cs="Times New Roman"/>
          <w:b w:val="0"/>
          <w:bCs w:val="0"/>
          <w:sz w:val="23"/>
          <w:szCs w:val="23"/>
        </w:rPr>
        <w:t xml:space="preserve"> </w:t>
      </w:r>
    </w:p>
    <w:p w:rsidR="00D25E17" w:rsidRDefault="00D25E17" w:rsidP="00C81F5A">
      <w:pPr>
        <w:pStyle w:val="AERbodytext"/>
      </w:pPr>
    </w:p>
    <w:p w:rsidR="00341B66" w:rsidRDefault="009D669F" w:rsidP="00341B66">
      <w:pPr>
        <w:pStyle w:val="Heading3"/>
      </w:pPr>
      <w:r>
        <w:br w:type="page"/>
      </w:r>
      <w:r w:rsidR="00341B66">
        <w:t>Part 2</w:t>
      </w:r>
      <w:r w:rsidR="00341B66" w:rsidRPr="00994DEF">
        <w:tab/>
      </w:r>
      <w:r w:rsidR="00341B66">
        <w:t>Daily outcomes</w:t>
      </w:r>
    </w:p>
    <w:p w:rsidR="004E6EEA" w:rsidRPr="00C35839" w:rsidRDefault="004E6EEA" w:rsidP="004E6EEA">
      <w:pPr>
        <w:pStyle w:val="Heading3"/>
      </w:pPr>
      <w:r>
        <w:t>Sydney hub</w:t>
      </w:r>
    </w:p>
    <w:p w:rsidR="004E6EEA" w:rsidRPr="00563605" w:rsidRDefault="004E6EEA" w:rsidP="004E6EEA">
      <w:pPr>
        <w:pStyle w:val="Heading4"/>
      </w:pPr>
      <w:r>
        <w:t>2 August</w:t>
      </w:r>
    </w:p>
    <w:p w:rsidR="004E6EEA" w:rsidRPr="0062300C" w:rsidRDefault="004E6EEA" w:rsidP="004E6EEA"/>
    <w:p w:rsidR="004E6EEA" w:rsidRPr="0062300C" w:rsidRDefault="00977067" w:rsidP="004E6EEA">
      <w:pPr>
        <w:pStyle w:val="AERbodytext"/>
      </w:pPr>
      <w:r>
        <w:t xml:space="preserve">The high </w:t>
      </w:r>
      <w:r w:rsidR="00606C92">
        <w:t xml:space="preserve">ex ante and ex post </w:t>
      </w:r>
      <w:r>
        <w:t>prices</w:t>
      </w:r>
      <w:r w:rsidR="0016742A">
        <w:t xml:space="preserve"> on 2 August (see figure S1 below)</w:t>
      </w:r>
      <w:r w:rsidR="00606C92">
        <w:t xml:space="preserve"> </w:t>
      </w:r>
      <w:r>
        <w:t xml:space="preserve">were influenced by a </w:t>
      </w:r>
      <w:r w:rsidR="00D46015">
        <w:t xml:space="preserve">shift in </w:t>
      </w:r>
      <w:r>
        <w:t>gas offers</w:t>
      </w:r>
      <w:r w:rsidR="00D46015">
        <w:t xml:space="preserve"> into higher price bands</w:t>
      </w:r>
      <w:r>
        <w:t>, coupled with demand being slightly higher than forecast.</w:t>
      </w:r>
    </w:p>
    <w:p w:rsidR="004E6EEA" w:rsidRPr="00D620E4" w:rsidRDefault="004E6EEA" w:rsidP="004E6EEA">
      <w:pPr>
        <w:jc w:val="both"/>
        <w:rPr>
          <w:rFonts w:ascii="Arial" w:hAnsi="Arial" w:cs="Arial"/>
          <w:b/>
          <w:sz w:val="20"/>
          <w:szCs w:val="20"/>
          <w:lang w:eastAsia="en-US"/>
        </w:rPr>
      </w:pPr>
      <w:r>
        <w:rPr>
          <w:rFonts w:ascii="Arial" w:hAnsi="Arial" w:cs="Arial"/>
          <w:b/>
          <w:sz w:val="20"/>
          <w:szCs w:val="20"/>
          <w:lang w:eastAsia="en-US"/>
        </w:rPr>
        <w:t xml:space="preserve">Figure </w:t>
      </w:r>
      <w:r w:rsidR="00606C92">
        <w:rPr>
          <w:rFonts w:ascii="Arial" w:hAnsi="Arial" w:cs="Arial"/>
          <w:b/>
          <w:sz w:val="20"/>
          <w:szCs w:val="20"/>
          <w:lang w:eastAsia="en-US"/>
        </w:rPr>
        <w:t>S1</w:t>
      </w:r>
      <w:r>
        <w:rPr>
          <w:rFonts w:ascii="Arial" w:hAnsi="Arial" w:cs="Arial"/>
          <w:b/>
          <w:sz w:val="20"/>
          <w:szCs w:val="20"/>
          <w:lang w:eastAsia="en-US"/>
        </w:rPr>
        <w:t>: 2 August</w:t>
      </w:r>
      <w:r w:rsidRPr="00D620E4">
        <w:rPr>
          <w:rFonts w:ascii="Arial" w:hAnsi="Arial" w:cs="Arial"/>
          <w:b/>
          <w:sz w:val="20"/>
          <w:szCs w:val="20"/>
          <w:lang w:eastAsia="en-US"/>
        </w:rPr>
        <w:t xml:space="preserve"> provisional, ex ante and ex post prices and quantities</w:t>
      </w:r>
    </w:p>
    <w:tbl>
      <w:tblPr>
        <w:tblW w:w="5000" w:type="pct"/>
        <w:tblBorders>
          <w:top w:val="single" w:sz="12" w:space="0" w:color="000000"/>
          <w:bottom w:val="single" w:sz="12" w:space="0" w:color="000000"/>
          <w:insideH w:val="single" w:sz="6" w:space="0" w:color="000000"/>
        </w:tblBorders>
        <w:tblLook w:val="04A0"/>
      </w:tblPr>
      <w:tblGrid>
        <w:gridCol w:w="1760"/>
        <w:gridCol w:w="1871"/>
        <w:gridCol w:w="1871"/>
        <w:gridCol w:w="1871"/>
        <w:gridCol w:w="1869"/>
      </w:tblGrid>
      <w:tr w:rsidR="004E6EEA" w:rsidRPr="00E626C7" w:rsidTr="00474D9C">
        <w:trPr>
          <w:trHeight w:val="300"/>
        </w:trPr>
        <w:tc>
          <w:tcPr>
            <w:tcW w:w="952" w:type="pct"/>
            <w:shd w:val="clear" w:color="auto" w:fill="auto"/>
            <w:noWrap/>
            <w:hideMark/>
          </w:tcPr>
          <w:p w:rsidR="004E6EEA" w:rsidRPr="00E626C7" w:rsidRDefault="004E6EEA" w:rsidP="00474D9C">
            <w:pPr>
              <w:rPr>
                <w:rFonts w:ascii="Calibri" w:hAnsi="Calibri"/>
                <w:sz w:val="20"/>
                <w:szCs w:val="20"/>
              </w:rPr>
            </w:pPr>
          </w:p>
        </w:tc>
        <w:tc>
          <w:tcPr>
            <w:tcW w:w="1012" w:type="pct"/>
            <w:shd w:val="clear" w:color="auto" w:fill="auto"/>
            <w:noWrap/>
            <w:vAlign w:val="center"/>
            <w:hideMark/>
          </w:tcPr>
          <w:p w:rsidR="004E6EEA" w:rsidRPr="00E626C7" w:rsidRDefault="004E6EEA" w:rsidP="00474D9C">
            <w:pPr>
              <w:rPr>
                <w:rFonts w:ascii="Calibri" w:hAnsi="Calibri"/>
                <w:b/>
                <w:sz w:val="20"/>
                <w:szCs w:val="20"/>
              </w:rPr>
            </w:pPr>
            <w:r w:rsidRPr="00E626C7">
              <w:rPr>
                <w:rFonts w:ascii="Calibri" w:hAnsi="Calibri"/>
                <w:b/>
                <w:sz w:val="20"/>
                <w:szCs w:val="20"/>
              </w:rPr>
              <w:t>D-3</w:t>
            </w:r>
          </w:p>
        </w:tc>
        <w:tc>
          <w:tcPr>
            <w:tcW w:w="1012" w:type="pct"/>
            <w:shd w:val="clear" w:color="auto" w:fill="auto"/>
            <w:noWrap/>
            <w:vAlign w:val="center"/>
            <w:hideMark/>
          </w:tcPr>
          <w:p w:rsidR="004E6EEA" w:rsidRPr="00E626C7" w:rsidRDefault="004E6EEA" w:rsidP="00474D9C">
            <w:pPr>
              <w:rPr>
                <w:rFonts w:ascii="Calibri" w:hAnsi="Calibri"/>
                <w:b/>
                <w:sz w:val="20"/>
                <w:szCs w:val="20"/>
              </w:rPr>
            </w:pPr>
            <w:r w:rsidRPr="00E626C7">
              <w:rPr>
                <w:rFonts w:ascii="Calibri" w:hAnsi="Calibri"/>
                <w:b/>
                <w:sz w:val="20"/>
                <w:szCs w:val="20"/>
              </w:rPr>
              <w:t>D-2</w:t>
            </w:r>
          </w:p>
        </w:tc>
        <w:tc>
          <w:tcPr>
            <w:tcW w:w="1012" w:type="pct"/>
            <w:shd w:val="clear" w:color="auto" w:fill="auto"/>
            <w:noWrap/>
            <w:vAlign w:val="center"/>
            <w:hideMark/>
          </w:tcPr>
          <w:p w:rsidR="004E6EEA" w:rsidRPr="00E626C7" w:rsidRDefault="004E6EEA" w:rsidP="00474D9C">
            <w:pPr>
              <w:rPr>
                <w:rFonts w:ascii="Calibri" w:hAnsi="Calibri"/>
                <w:b/>
                <w:sz w:val="20"/>
                <w:szCs w:val="20"/>
              </w:rPr>
            </w:pPr>
            <w:r w:rsidRPr="00E626C7">
              <w:rPr>
                <w:rFonts w:ascii="Calibri" w:hAnsi="Calibri"/>
                <w:b/>
                <w:sz w:val="20"/>
                <w:szCs w:val="20"/>
              </w:rPr>
              <w:t>Ex ante</w:t>
            </w:r>
          </w:p>
        </w:tc>
        <w:tc>
          <w:tcPr>
            <w:tcW w:w="1011" w:type="pct"/>
            <w:shd w:val="clear" w:color="auto" w:fill="auto"/>
            <w:noWrap/>
            <w:vAlign w:val="center"/>
            <w:hideMark/>
          </w:tcPr>
          <w:p w:rsidR="004E6EEA" w:rsidRPr="00E626C7" w:rsidRDefault="004E6EEA" w:rsidP="00474D9C">
            <w:pPr>
              <w:rPr>
                <w:rFonts w:ascii="Calibri" w:hAnsi="Calibri"/>
                <w:b/>
                <w:sz w:val="20"/>
                <w:szCs w:val="20"/>
              </w:rPr>
            </w:pPr>
            <w:r w:rsidRPr="00E626C7">
              <w:rPr>
                <w:rFonts w:ascii="Calibri" w:hAnsi="Calibri"/>
                <w:b/>
                <w:sz w:val="20"/>
                <w:szCs w:val="20"/>
              </w:rPr>
              <w:t>Ex post</w:t>
            </w:r>
          </w:p>
        </w:tc>
      </w:tr>
      <w:tr w:rsidR="004E6EEA" w:rsidRPr="00E626C7" w:rsidTr="00474D9C">
        <w:trPr>
          <w:trHeight w:val="50"/>
        </w:trPr>
        <w:tc>
          <w:tcPr>
            <w:tcW w:w="952" w:type="pct"/>
            <w:shd w:val="clear" w:color="auto" w:fill="auto"/>
            <w:noWrap/>
            <w:hideMark/>
          </w:tcPr>
          <w:p w:rsidR="004E6EEA" w:rsidRPr="00E626C7" w:rsidRDefault="004E6EEA" w:rsidP="00474D9C">
            <w:pPr>
              <w:rPr>
                <w:rFonts w:ascii="Calibri" w:hAnsi="Calibri"/>
                <w:b/>
                <w:sz w:val="20"/>
                <w:szCs w:val="20"/>
              </w:rPr>
            </w:pPr>
            <w:r w:rsidRPr="00E626C7">
              <w:rPr>
                <w:rFonts w:ascii="Calibri" w:hAnsi="Calibri"/>
                <w:b/>
                <w:sz w:val="20"/>
                <w:szCs w:val="20"/>
              </w:rPr>
              <w:t>Price ($/GJ)</w:t>
            </w:r>
          </w:p>
        </w:tc>
        <w:tc>
          <w:tcPr>
            <w:tcW w:w="1012" w:type="pct"/>
            <w:shd w:val="clear" w:color="auto" w:fill="auto"/>
            <w:noWrap/>
            <w:hideMark/>
          </w:tcPr>
          <w:p w:rsidR="004E6EEA" w:rsidRPr="00E626C7" w:rsidRDefault="004E6EEA" w:rsidP="00474D9C">
            <w:pPr>
              <w:rPr>
                <w:rFonts w:ascii="Calibri" w:hAnsi="Calibri"/>
                <w:sz w:val="20"/>
                <w:szCs w:val="20"/>
              </w:rPr>
            </w:pPr>
            <w:r>
              <w:rPr>
                <w:rFonts w:ascii="Calibri" w:hAnsi="Calibri"/>
                <w:sz w:val="20"/>
                <w:szCs w:val="20"/>
              </w:rPr>
              <w:t>6.02</w:t>
            </w:r>
          </w:p>
        </w:tc>
        <w:tc>
          <w:tcPr>
            <w:tcW w:w="1012" w:type="pct"/>
            <w:shd w:val="clear" w:color="auto" w:fill="auto"/>
            <w:noWrap/>
            <w:hideMark/>
          </w:tcPr>
          <w:p w:rsidR="004E6EEA" w:rsidRPr="00E626C7" w:rsidRDefault="004E6EEA" w:rsidP="00474D9C">
            <w:pPr>
              <w:rPr>
                <w:rFonts w:ascii="Calibri" w:hAnsi="Calibri"/>
                <w:sz w:val="20"/>
                <w:szCs w:val="20"/>
              </w:rPr>
            </w:pPr>
            <w:r>
              <w:rPr>
                <w:rFonts w:ascii="Calibri" w:hAnsi="Calibri"/>
                <w:sz w:val="20"/>
                <w:szCs w:val="20"/>
              </w:rPr>
              <w:t>6.01</w:t>
            </w:r>
          </w:p>
        </w:tc>
        <w:tc>
          <w:tcPr>
            <w:tcW w:w="1012" w:type="pct"/>
            <w:shd w:val="clear" w:color="auto" w:fill="auto"/>
            <w:noWrap/>
            <w:hideMark/>
          </w:tcPr>
          <w:p w:rsidR="004E6EEA" w:rsidRPr="00E626C7" w:rsidRDefault="004E6EEA" w:rsidP="00474D9C">
            <w:pPr>
              <w:rPr>
                <w:rFonts w:ascii="Calibri" w:hAnsi="Calibri"/>
                <w:sz w:val="20"/>
                <w:szCs w:val="20"/>
              </w:rPr>
            </w:pPr>
            <w:r>
              <w:rPr>
                <w:rFonts w:ascii="Calibri" w:hAnsi="Calibri"/>
                <w:sz w:val="20"/>
                <w:szCs w:val="20"/>
              </w:rPr>
              <w:t>12.90</w:t>
            </w:r>
          </w:p>
        </w:tc>
        <w:tc>
          <w:tcPr>
            <w:tcW w:w="1011" w:type="pct"/>
            <w:shd w:val="clear" w:color="auto" w:fill="auto"/>
            <w:noWrap/>
            <w:hideMark/>
          </w:tcPr>
          <w:p w:rsidR="004E6EEA" w:rsidRPr="00E626C7" w:rsidRDefault="004E6EEA" w:rsidP="00474D9C">
            <w:pPr>
              <w:rPr>
                <w:rFonts w:ascii="Calibri" w:hAnsi="Calibri"/>
                <w:sz w:val="20"/>
                <w:szCs w:val="20"/>
              </w:rPr>
            </w:pPr>
            <w:r>
              <w:rPr>
                <w:rFonts w:ascii="Calibri" w:hAnsi="Calibri"/>
                <w:sz w:val="20"/>
                <w:szCs w:val="20"/>
              </w:rPr>
              <w:t>13.68</w:t>
            </w:r>
          </w:p>
        </w:tc>
      </w:tr>
      <w:tr w:rsidR="004E6EEA" w:rsidRPr="00E626C7" w:rsidTr="00474D9C">
        <w:trPr>
          <w:trHeight w:val="300"/>
        </w:trPr>
        <w:tc>
          <w:tcPr>
            <w:tcW w:w="952" w:type="pct"/>
            <w:shd w:val="clear" w:color="auto" w:fill="auto"/>
            <w:noWrap/>
            <w:hideMark/>
          </w:tcPr>
          <w:p w:rsidR="004E6EEA" w:rsidRPr="00E626C7" w:rsidRDefault="004E6EEA" w:rsidP="00474D9C">
            <w:pPr>
              <w:rPr>
                <w:rFonts w:ascii="Calibri" w:hAnsi="Calibri"/>
                <w:b/>
                <w:sz w:val="20"/>
                <w:szCs w:val="20"/>
              </w:rPr>
            </w:pPr>
            <w:r w:rsidRPr="00E626C7">
              <w:rPr>
                <w:rFonts w:ascii="Calibri" w:hAnsi="Calibri"/>
                <w:b/>
                <w:sz w:val="20"/>
                <w:szCs w:val="20"/>
              </w:rPr>
              <w:t>Quantity (TJ)</w:t>
            </w:r>
          </w:p>
        </w:tc>
        <w:tc>
          <w:tcPr>
            <w:tcW w:w="1012" w:type="pct"/>
            <w:shd w:val="clear" w:color="auto" w:fill="auto"/>
            <w:noWrap/>
            <w:hideMark/>
          </w:tcPr>
          <w:p w:rsidR="004E6EEA" w:rsidRPr="00E626C7" w:rsidRDefault="004E6EEA" w:rsidP="00474D9C">
            <w:pPr>
              <w:rPr>
                <w:rFonts w:ascii="Calibri" w:hAnsi="Calibri"/>
                <w:sz w:val="20"/>
                <w:szCs w:val="20"/>
              </w:rPr>
            </w:pPr>
            <w:r>
              <w:rPr>
                <w:rFonts w:ascii="Calibri" w:hAnsi="Calibri"/>
                <w:sz w:val="20"/>
                <w:szCs w:val="20"/>
              </w:rPr>
              <w:t>313.7</w:t>
            </w:r>
          </w:p>
        </w:tc>
        <w:tc>
          <w:tcPr>
            <w:tcW w:w="1012" w:type="pct"/>
            <w:shd w:val="clear" w:color="auto" w:fill="auto"/>
            <w:noWrap/>
            <w:hideMark/>
          </w:tcPr>
          <w:p w:rsidR="004E6EEA" w:rsidRPr="00E626C7" w:rsidRDefault="004E6EEA" w:rsidP="00474D9C">
            <w:pPr>
              <w:rPr>
                <w:rFonts w:ascii="Calibri" w:hAnsi="Calibri"/>
                <w:sz w:val="20"/>
                <w:szCs w:val="20"/>
              </w:rPr>
            </w:pPr>
            <w:r>
              <w:rPr>
                <w:rFonts w:ascii="Calibri" w:hAnsi="Calibri"/>
                <w:sz w:val="20"/>
                <w:szCs w:val="20"/>
              </w:rPr>
              <w:t>324.2</w:t>
            </w:r>
          </w:p>
        </w:tc>
        <w:tc>
          <w:tcPr>
            <w:tcW w:w="1012" w:type="pct"/>
            <w:shd w:val="clear" w:color="auto" w:fill="auto"/>
            <w:noWrap/>
            <w:hideMark/>
          </w:tcPr>
          <w:p w:rsidR="004E6EEA" w:rsidRPr="00E626C7" w:rsidRDefault="004E6EEA" w:rsidP="00474D9C">
            <w:pPr>
              <w:rPr>
                <w:rFonts w:ascii="Calibri" w:hAnsi="Calibri"/>
                <w:sz w:val="20"/>
                <w:szCs w:val="20"/>
              </w:rPr>
            </w:pPr>
            <w:r>
              <w:rPr>
                <w:rFonts w:ascii="Calibri" w:hAnsi="Calibri"/>
                <w:sz w:val="20"/>
                <w:szCs w:val="20"/>
              </w:rPr>
              <w:t>331.4</w:t>
            </w:r>
          </w:p>
        </w:tc>
        <w:tc>
          <w:tcPr>
            <w:tcW w:w="1011" w:type="pct"/>
            <w:shd w:val="clear" w:color="auto" w:fill="auto"/>
            <w:noWrap/>
            <w:hideMark/>
          </w:tcPr>
          <w:p w:rsidR="004E6EEA" w:rsidRPr="00E626C7" w:rsidRDefault="004E6EEA" w:rsidP="00474D9C">
            <w:pPr>
              <w:rPr>
                <w:rFonts w:ascii="Calibri" w:hAnsi="Calibri"/>
                <w:sz w:val="20"/>
                <w:szCs w:val="20"/>
              </w:rPr>
            </w:pPr>
            <w:r>
              <w:rPr>
                <w:rFonts w:ascii="Calibri" w:hAnsi="Calibri"/>
                <w:sz w:val="20"/>
                <w:szCs w:val="20"/>
              </w:rPr>
              <w:t>+2.67 (S)</w:t>
            </w:r>
          </w:p>
        </w:tc>
      </w:tr>
    </w:tbl>
    <w:p w:rsidR="00474D9C" w:rsidRDefault="004E6EEA" w:rsidP="004E6EEA">
      <w:pPr>
        <w:pStyle w:val="AERbodytext"/>
      </w:pPr>
      <w:r w:rsidRPr="0062300C">
        <w:br/>
        <w:t xml:space="preserve">Throughout this report, the accuracy of individual participants’ demand forecasts is measured by comparing the quantities of their ex ante price taker bids to their share of actual hub demand. </w:t>
      </w:r>
    </w:p>
    <w:p w:rsidR="00B516CE" w:rsidRDefault="004E6EEA" w:rsidP="004E6EEA">
      <w:pPr>
        <w:pStyle w:val="AERbodytext"/>
      </w:pPr>
      <w:r w:rsidRPr="0062300C">
        <w:t>On this gas day,</w:t>
      </w:r>
      <w:r w:rsidR="00ED2AF0">
        <w:t xml:space="preserve"> all three of the major participants</w:t>
      </w:r>
      <w:r w:rsidR="002666A2">
        <w:rPr>
          <w:rStyle w:val="FootnoteReference"/>
        </w:rPr>
        <w:footnoteReference w:id="8"/>
      </w:r>
      <w:r w:rsidR="00ED2AF0">
        <w:t xml:space="preserve"> forecast their demand fairly accurately</w:t>
      </w:r>
      <w:r w:rsidR="00CF45B1">
        <w:t xml:space="preserve"> relative to other high price days</w:t>
      </w:r>
      <w:r w:rsidRPr="0062300C">
        <w:t>.</w:t>
      </w:r>
      <w:r w:rsidR="00D46015">
        <w:rPr>
          <w:rStyle w:val="FootnoteReference"/>
        </w:rPr>
        <w:footnoteReference w:id="9"/>
      </w:r>
      <w:r w:rsidR="00CF45B1">
        <w:t xml:space="preserve"> </w:t>
      </w:r>
      <w:r w:rsidR="00F359A1">
        <w:t>Rather than demand forecasting inaccuracy, it was c</w:t>
      </w:r>
      <w:r w:rsidR="00816F38">
        <w:t>hanges to gas offers</w:t>
      </w:r>
      <w:r w:rsidR="002666A2">
        <w:t xml:space="preserve"> for </w:t>
      </w:r>
      <w:r w:rsidR="00816F38">
        <w:t xml:space="preserve">the ex ante </w:t>
      </w:r>
      <w:r w:rsidR="00F359A1">
        <w:t xml:space="preserve">scheduled that largely caused </w:t>
      </w:r>
      <w:r w:rsidR="00816F38">
        <w:t xml:space="preserve">high ex ante </w:t>
      </w:r>
      <w:r w:rsidR="002666A2">
        <w:t xml:space="preserve">price </w:t>
      </w:r>
      <w:r w:rsidR="00977067">
        <w:t>a</w:t>
      </w:r>
      <w:r w:rsidR="002666A2">
        <w:t xml:space="preserve">s </w:t>
      </w:r>
      <w:r w:rsidR="00977067">
        <w:t xml:space="preserve">illustrated in figure </w:t>
      </w:r>
      <w:r w:rsidR="003E37B1">
        <w:t>S</w:t>
      </w:r>
      <w:r w:rsidR="008671B5">
        <w:t>2</w:t>
      </w:r>
      <w:r w:rsidR="00977067">
        <w:t xml:space="preserve"> below.</w:t>
      </w:r>
    </w:p>
    <w:p w:rsidR="0042646B" w:rsidRDefault="002666A2">
      <w:pPr>
        <w:pStyle w:val="AERbodytext"/>
        <w:keepNext/>
        <w:rPr>
          <w:rFonts w:ascii="Arial" w:hAnsi="Arial" w:cs="Arial"/>
          <w:b/>
          <w:sz w:val="20"/>
          <w:szCs w:val="20"/>
        </w:rPr>
      </w:pPr>
      <w:r>
        <w:rPr>
          <w:rFonts w:ascii="Arial" w:hAnsi="Arial" w:cs="Arial"/>
          <w:b/>
          <w:sz w:val="20"/>
          <w:szCs w:val="20"/>
        </w:rPr>
        <w:t xml:space="preserve">Figure </w:t>
      </w:r>
      <w:r w:rsidR="003E37B1">
        <w:rPr>
          <w:rFonts w:ascii="Arial" w:hAnsi="Arial" w:cs="Arial"/>
          <w:b/>
          <w:sz w:val="20"/>
          <w:szCs w:val="20"/>
        </w:rPr>
        <w:t>S</w:t>
      </w:r>
      <w:r w:rsidR="008671B5">
        <w:rPr>
          <w:rFonts w:ascii="Arial" w:hAnsi="Arial" w:cs="Arial"/>
          <w:b/>
          <w:sz w:val="20"/>
          <w:szCs w:val="20"/>
        </w:rPr>
        <w:t>2</w:t>
      </w:r>
      <w:r>
        <w:rPr>
          <w:rFonts w:ascii="Arial" w:hAnsi="Arial" w:cs="Arial"/>
          <w:b/>
          <w:sz w:val="20"/>
          <w:szCs w:val="20"/>
        </w:rPr>
        <w:t xml:space="preserve">: 2 August provisional and </w:t>
      </w:r>
      <w:r w:rsidRPr="00D620E4">
        <w:rPr>
          <w:rFonts w:ascii="Arial" w:hAnsi="Arial" w:cs="Arial"/>
          <w:b/>
          <w:sz w:val="20"/>
          <w:szCs w:val="20"/>
        </w:rPr>
        <w:t>ex ante</w:t>
      </w:r>
      <w:r>
        <w:rPr>
          <w:rFonts w:ascii="Arial" w:hAnsi="Arial" w:cs="Arial"/>
          <w:b/>
          <w:sz w:val="20"/>
          <w:szCs w:val="20"/>
        </w:rPr>
        <w:t xml:space="preserve"> schedule offers</w:t>
      </w:r>
    </w:p>
    <w:p w:rsidR="002666A2" w:rsidRDefault="007E4F35" w:rsidP="002666A2">
      <w:pPr>
        <w:pStyle w:val="AERbodytext"/>
      </w:pPr>
      <w:r>
        <w:pict>
          <v:shape id="_x0000_i1034" type="#_x0000_t75" style="width:451.25pt;height:195.9pt">
            <v:imagedata r:id="rId17" o:title=""/>
          </v:shape>
        </w:pict>
      </w:r>
    </w:p>
    <w:p w:rsidR="00606C92" w:rsidRDefault="00C302B4" w:rsidP="004E6EEA">
      <w:pPr>
        <w:pStyle w:val="AERbodytext"/>
      </w:pPr>
      <w:r>
        <w:t>There was a reduction in l</w:t>
      </w:r>
      <w:r w:rsidR="00816F38">
        <w:t>ower priced gas offers</w:t>
      </w:r>
      <w:r w:rsidR="00606C92">
        <w:t>:</w:t>
      </w:r>
    </w:p>
    <w:p w:rsidR="00606C92" w:rsidRDefault="00816F38" w:rsidP="00606C92">
      <w:pPr>
        <w:pStyle w:val="AERbodytext"/>
        <w:numPr>
          <w:ilvl w:val="0"/>
          <w:numId w:val="5"/>
        </w:numPr>
      </w:pPr>
      <w:r>
        <w:t>Gas offers between 0.50/GJ and $1/GJ dropped by around 10 TJ</w:t>
      </w:r>
      <w:r w:rsidR="00D16094">
        <w:t xml:space="preserve"> as</w:t>
      </w:r>
      <w:r>
        <w:t xml:space="preserve"> </w:t>
      </w:r>
      <w:r w:rsidR="00606C92">
        <w:t xml:space="preserve">TRUenergy removed its 9 TJ offer priced between 0.50/GJ and $1/GJ. </w:t>
      </w:r>
    </w:p>
    <w:p w:rsidR="00C302B4" w:rsidRDefault="00816F38" w:rsidP="00606C92">
      <w:pPr>
        <w:pStyle w:val="AERbodytext"/>
        <w:numPr>
          <w:ilvl w:val="0"/>
          <w:numId w:val="5"/>
        </w:numPr>
      </w:pPr>
      <w:r>
        <w:t>Gas offers between $2/GJ and $6/GJ declined by around 45 TJ</w:t>
      </w:r>
      <w:r w:rsidR="00D16094">
        <w:t xml:space="preserve"> as</w:t>
      </w:r>
      <w:r w:rsidR="00606C92">
        <w:t xml:space="preserve"> </w:t>
      </w:r>
      <w:r w:rsidR="00C302B4">
        <w:t xml:space="preserve">AGL’s 40 TJ offer priced between $4/GJ and $6/GJ was cut by 30 TJ. </w:t>
      </w:r>
    </w:p>
    <w:p w:rsidR="00606C92" w:rsidRDefault="00816F38" w:rsidP="004E6EEA">
      <w:pPr>
        <w:pStyle w:val="AERbodytext"/>
      </w:pPr>
      <w:r>
        <w:t>Higher priced gas offers increased</w:t>
      </w:r>
      <w:r w:rsidR="00606C92">
        <w:t>:</w:t>
      </w:r>
    </w:p>
    <w:p w:rsidR="00606C92" w:rsidRDefault="00816F38" w:rsidP="00D16094">
      <w:pPr>
        <w:pStyle w:val="AERbodytext"/>
        <w:numPr>
          <w:ilvl w:val="0"/>
          <w:numId w:val="6"/>
        </w:numPr>
      </w:pPr>
      <w:r>
        <w:t>Gas offers between $6/GJ and $8/GJ increased by around 16 TJ</w:t>
      </w:r>
      <w:r w:rsidR="00D16094">
        <w:t xml:space="preserve"> as AGL increased its 6 TJ offer priced between $6/GJ and $8/GJ to 21 TJ.</w:t>
      </w:r>
    </w:p>
    <w:p w:rsidR="00C302B4" w:rsidRDefault="00816F38" w:rsidP="00606C92">
      <w:pPr>
        <w:pStyle w:val="AERbodytext"/>
        <w:numPr>
          <w:ilvl w:val="0"/>
          <w:numId w:val="6"/>
        </w:numPr>
      </w:pPr>
      <w:r>
        <w:t>Gas offers between $10/GJ and $40/GJ increased by13 TJ</w:t>
      </w:r>
      <w:r w:rsidR="00D16094">
        <w:t xml:space="preserve"> as</w:t>
      </w:r>
      <w:r w:rsidR="00D16094" w:rsidDel="00D16094">
        <w:t xml:space="preserve"> </w:t>
      </w:r>
      <w:r w:rsidR="00C302B4">
        <w:t xml:space="preserve">Origin and </w:t>
      </w:r>
      <w:r w:rsidR="00803D09">
        <w:t>TRUenergy</w:t>
      </w:r>
      <w:r w:rsidR="00C302B4">
        <w:t xml:space="preserve"> offered 6 TJ and 3 TJ respectively in th</w:t>
      </w:r>
      <w:r w:rsidR="00D16094">
        <w:t>is</w:t>
      </w:r>
      <w:r w:rsidR="00C302B4">
        <w:t xml:space="preserve"> price range </w:t>
      </w:r>
      <w:r w:rsidR="00D16094">
        <w:t xml:space="preserve">(they had no </w:t>
      </w:r>
      <w:r w:rsidR="00C302B4">
        <w:t xml:space="preserve">offers </w:t>
      </w:r>
      <w:r w:rsidR="00D16094">
        <w:t xml:space="preserve">in this range </w:t>
      </w:r>
      <w:r w:rsidR="00C302B4">
        <w:t>for the D-2 schedule</w:t>
      </w:r>
      <w:r w:rsidR="00D16094">
        <w:t>)</w:t>
      </w:r>
      <w:r w:rsidR="00C302B4">
        <w:t xml:space="preserve">. AGL </w:t>
      </w:r>
      <w:r w:rsidR="00D16094">
        <w:t xml:space="preserve">also </w:t>
      </w:r>
      <w:r w:rsidR="00C302B4">
        <w:t>increased its offer from 3 to 7 TJ</w:t>
      </w:r>
      <w:r w:rsidR="00D16094">
        <w:t>.</w:t>
      </w:r>
    </w:p>
    <w:p w:rsidR="00816F38" w:rsidRDefault="00816F38" w:rsidP="004E6EEA">
      <w:pPr>
        <w:pStyle w:val="AERbodytext"/>
      </w:pPr>
      <w:r>
        <w:t>These changes to gas offers, coupled with slightly increas</w:t>
      </w:r>
      <w:r w:rsidR="002666A2">
        <w:t>ed</w:t>
      </w:r>
      <w:r>
        <w:t xml:space="preserve"> demand,</w:t>
      </w:r>
      <w:r w:rsidR="00C87794">
        <w:t xml:space="preserve"> </w:t>
      </w:r>
      <w:r w:rsidR="002666A2">
        <w:t xml:space="preserve">caused the higher ex ante price of $12.90/GJ. The ex post price was slightly higher </w:t>
      </w:r>
      <w:r w:rsidR="00606C92">
        <w:t xml:space="preserve">still </w:t>
      </w:r>
      <w:r w:rsidR="002666A2">
        <w:t>as the market was short 2.67 TJ.</w:t>
      </w:r>
    </w:p>
    <w:p w:rsidR="004E6EEA" w:rsidRPr="00563605" w:rsidRDefault="004E6EEA" w:rsidP="004E6EEA">
      <w:pPr>
        <w:pStyle w:val="Heading4"/>
      </w:pPr>
      <w:r>
        <w:t>3 August</w:t>
      </w:r>
    </w:p>
    <w:p w:rsidR="004E6EEA" w:rsidRPr="0062300C" w:rsidRDefault="004E6EEA" w:rsidP="004E6EEA"/>
    <w:p w:rsidR="004E6EEA" w:rsidRPr="0062300C" w:rsidRDefault="00297CA0" w:rsidP="004E6EEA">
      <w:pPr>
        <w:pStyle w:val="AERbodytext"/>
      </w:pPr>
      <w:r>
        <w:t xml:space="preserve">The </w:t>
      </w:r>
      <w:r w:rsidR="00880DA7">
        <w:t xml:space="preserve">high ex post price </w:t>
      </w:r>
      <w:r w:rsidR="00D46015">
        <w:t xml:space="preserve">shown </w:t>
      </w:r>
      <w:r w:rsidR="00F359A1">
        <w:t xml:space="preserve">on 3 August (see </w:t>
      </w:r>
      <w:r w:rsidR="008671B5">
        <w:t>figure S3</w:t>
      </w:r>
      <w:r w:rsidR="00606C92">
        <w:t xml:space="preserve"> </w:t>
      </w:r>
      <w:r w:rsidR="00F359A1">
        <w:t xml:space="preserve">below) </w:t>
      </w:r>
      <w:r w:rsidR="00880DA7">
        <w:t>was caused by the three major participants under forecasting their demand</w:t>
      </w:r>
      <w:r w:rsidR="00606C92">
        <w:t xml:space="preserve"> an</w:t>
      </w:r>
      <w:r w:rsidR="008671B5">
        <w:t>d, as shown in figure S4 and S5</w:t>
      </w:r>
      <w:r w:rsidR="00606C92">
        <w:t xml:space="preserve"> below, a scarcity of gas volumes priced above $6 and below $40/GJ.</w:t>
      </w:r>
    </w:p>
    <w:p w:rsidR="004E6EEA" w:rsidRPr="00D620E4" w:rsidRDefault="004E6EEA" w:rsidP="004E6EEA">
      <w:pPr>
        <w:jc w:val="both"/>
        <w:rPr>
          <w:rFonts w:ascii="Arial" w:hAnsi="Arial" w:cs="Arial"/>
          <w:b/>
          <w:sz w:val="20"/>
          <w:szCs w:val="20"/>
          <w:lang w:eastAsia="en-US"/>
        </w:rPr>
      </w:pPr>
      <w:r>
        <w:rPr>
          <w:rFonts w:ascii="Arial" w:hAnsi="Arial" w:cs="Arial"/>
          <w:b/>
          <w:sz w:val="20"/>
          <w:szCs w:val="20"/>
          <w:lang w:eastAsia="en-US"/>
        </w:rPr>
        <w:t xml:space="preserve">Figure </w:t>
      </w:r>
      <w:r w:rsidR="008671B5">
        <w:rPr>
          <w:rFonts w:ascii="Arial" w:hAnsi="Arial" w:cs="Arial"/>
          <w:b/>
          <w:sz w:val="20"/>
          <w:szCs w:val="20"/>
          <w:lang w:eastAsia="en-US"/>
        </w:rPr>
        <w:t>S3</w:t>
      </w:r>
      <w:r>
        <w:rPr>
          <w:rFonts w:ascii="Arial" w:hAnsi="Arial" w:cs="Arial"/>
          <w:b/>
          <w:sz w:val="20"/>
          <w:szCs w:val="20"/>
          <w:lang w:eastAsia="en-US"/>
        </w:rPr>
        <w:t>: 3 August</w:t>
      </w:r>
      <w:r w:rsidRPr="00D620E4">
        <w:rPr>
          <w:rFonts w:ascii="Arial" w:hAnsi="Arial" w:cs="Arial"/>
          <w:b/>
          <w:sz w:val="20"/>
          <w:szCs w:val="20"/>
          <w:lang w:eastAsia="en-US"/>
        </w:rPr>
        <w:t xml:space="preserve"> provisional, ex ante and ex post prices and quantities</w:t>
      </w:r>
    </w:p>
    <w:tbl>
      <w:tblPr>
        <w:tblW w:w="5000" w:type="pct"/>
        <w:tblBorders>
          <w:top w:val="single" w:sz="12" w:space="0" w:color="000000"/>
          <w:bottom w:val="single" w:sz="12" w:space="0" w:color="000000"/>
          <w:insideH w:val="single" w:sz="6" w:space="0" w:color="000000"/>
        </w:tblBorders>
        <w:tblLook w:val="04A0"/>
      </w:tblPr>
      <w:tblGrid>
        <w:gridCol w:w="1760"/>
        <w:gridCol w:w="1871"/>
        <w:gridCol w:w="1871"/>
        <w:gridCol w:w="1871"/>
        <w:gridCol w:w="1869"/>
      </w:tblGrid>
      <w:tr w:rsidR="004E6EEA" w:rsidRPr="00E626C7" w:rsidTr="00474D9C">
        <w:trPr>
          <w:trHeight w:val="300"/>
        </w:trPr>
        <w:tc>
          <w:tcPr>
            <w:tcW w:w="952" w:type="pct"/>
            <w:shd w:val="clear" w:color="auto" w:fill="auto"/>
            <w:noWrap/>
            <w:hideMark/>
          </w:tcPr>
          <w:p w:rsidR="004E6EEA" w:rsidRPr="00E626C7" w:rsidRDefault="004E6EEA" w:rsidP="00474D9C">
            <w:pPr>
              <w:rPr>
                <w:rFonts w:ascii="Calibri" w:hAnsi="Calibri"/>
                <w:sz w:val="20"/>
                <w:szCs w:val="20"/>
              </w:rPr>
            </w:pPr>
          </w:p>
        </w:tc>
        <w:tc>
          <w:tcPr>
            <w:tcW w:w="1012" w:type="pct"/>
            <w:shd w:val="clear" w:color="auto" w:fill="auto"/>
            <w:noWrap/>
            <w:vAlign w:val="center"/>
            <w:hideMark/>
          </w:tcPr>
          <w:p w:rsidR="004E6EEA" w:rsidRPr="00E626C7" w:rsidRDefault="004E6EEA" w:rsidP="00474D9C">
            <w:pPr>
              <w:rPr>
                <w:rFonts w:ascii="Calibri" w:hAnsi="Calibri"/>
                <w:b/>
                <w:sz w:val="20"/>
                <w:szCs w:val="20"/>
              </w:rPr>
            </w:pPr>
            <w:r w:rsidRPr="00E626C7">
              <w:rPr>
                <w:rFonts w:ascii="Calibri" w:hAnsi="Calibri"/>
                <w:b/>
                <w:sz w:val="20"/>
                <w:szCs w:val="20"/>
              </w:rPr>
              <w:t>D-3</w:t>
            </w:r>
          </w:p>
        </w:tc>
        <w:tc>
          <w:tcPr>
            <w:tcW w:w="1012" w:type="pct"/>
            <w:shd w:val="clear" w:color="auto" w:fill="auto"/>
            <w:noWrap/>
            <w:vAlign w:val="center"/>
            <w:hideMark/>
          </w:tcPr>
          <w:p w:rsidR="004E6EEA" w:rsidRPr="00E626C7" w:rsidRDefault="004E6EEA" w:rsidP="00474D9C">
            <w:pPr>
              <w:rPr>
                <w:rFonts w:ascii="Calibri" w:hAnsi="Calibri"/>
                <w:b/>
                <w:sz w:val="20"/>
                <w:szCs w:val="20"/>
              </w:rPr>
            </w:pPr>
            <w:r w:rsidRPr="00E626C7">
              <w:rPr>
                <w:rFonts w:ascii="Calibri" w:hAnsi="Calibri"/>
                <w:b/>
                <w:sz w:val="20"/>
                <w:szCs w:val="20"/>
              </w:rPr>
              <w:t>D-2</w:t>
            </w:r>
          </w:p>
        </w:tc>
        <w:tc>
          <w:tcPr>
            <w:tcW w:w="1012" w:type="pct"/>
            <w:shd w:val="clear" w:color="auto" w:fill="auto"/>
            <w:noWrap/>
            <w:vAlign w:val="center"/>
            <w:hideMark/>
          </w:tcPr>
          <w:p w:rsidR="004E6EEA" w:rsidRPr="00E626C7" w:rsidRDefault="004E6EEA" w:rsidP="00474D9C">
            <w:pPr>
              <w:rPr>
                <w:rFonts w:ascii="Calibri" w:hAnsi="Calibri"/>
                <w:b/>
                <w:sz w:val="20"/>
                <w:szCs w:val="20"/>
              </w:rPr>
            </w:pPr>
            <w:r w:rsidRPr="00E626C7">
              <w:rPr>
                <w:rFonts w:ascii="Calibri" w:hAnsi="Calibri"/>
                <w:b/>
                <w:sz w:val="20"/>
                <w:szCs w:val="20"/>
              </w:rPr>
              <w:t>Ex ante</w:t>
            </w:r>
          </w:p>
        </w:tc>
        <w:tc>
          <w:tcPr>
            <w:tcW w:w="1011" w:type="pct"/>
            <w:shd w:val="clear" w:color="auto" w:fill="auto"/>
            <w:noWrap/>
            <w:vAlign w:val="center"/>
            <w:hideMark/>
          </w:tcPr>
          <w:p w:rsidR="004E6EEA" w:rsidRPr="00E626C7" w:rsidRDefault="004E6EEA" w:rsidP="00474D9C">
            <w:pPr>
              <w:rPr>
                <w:rFonts w:ascii="Calibri" w:hAnsi="Calibri"/>
                <w:b/>
                <w:sz w:val="20"/>
                <w:szCs w:val="20"/>
              </w:rPr>
            </w:pPr>
            <w:r w:rsidRPr="00E626C7">
              <w:rPr>
                <w:rFonts w:ascii="Calibri" w:hAnsi="Calibri"/>
                <w:b/>
                <w:sz w:val="20"/>
                <w:szCs w:val="20"/>
              </w:rPr>
              <w:t>Ex post</w:t>
            </w:r>
          </w:p>
        </w:tc>
      </w:tr>
      <w:tr w:rsidR="004E6EEA" w:rsidRPr="00E626C7" w:rsidTr="00474D9C">
        <w:trPr>
          <w:trHeight w:val="50"/>
        </w:trPr>
        <w:tc>
          <w:tcPr>
            <w:tcW w:w="952" w:type="pct"/>
            <w:shd w:val="clear" w:color="auto" w:fill="auto"/>
            <w:noWrap/>
            <w:hideMark/>
          </w:tcPr>
          <w:p w:rsidR="004E6EEA" w:rsidRPr="00E626C7" w:rsidRDefault="004E6EEA" w:rsidP="00474D9C">
            <w:pPr>
              <w:rPr>
                <w:rFonts w:ascii="Calibri" w:hAnsi="Calibri"/>
                <w:b/>
                <w:sz w:val="20"/>
                <w:szCs w:val="20"/>
              </w:rPr>
            </w:pPr>
            <w:r w:rsidRPr="00E626C7">
              <w:rPr>
                <w:rFonts w:ascii="Calibri" w:hAnsi="Calibri"/>
                <w:b/>
                <w:sz w:val="20"/>
                <w:szCs w:val="20"/>
              </w:rPr>
              <w:t>Price ($/GJ)</w:t>
            </w:r>
          </w:p>
        </w:tc>
        <w:tc>
          <w:tcPr>
            <w:tcW w:w="1012" w:type="pct"/>
            <w:shd w:val="clear" w:color="auto" w:fill="auto"/>
            <w:noWrap/>
            <w:hideMark/>
          </w:tcPr>
          <w:p w:rsidR="004E6EEA" w:rsidRPr="00E626C7" w:rsidRDefault="004E6EEA" w:rsidP="00474D9C">
            <w:pPr>
              <w:rPr>
                <w:rFonts w:ascii="Calibri" w:hAnsi="Calibri"/>
                <w:sz w:val="20"/>
                <w:szCs w:val="20"/>
              </w:rPr>
            </w:pPr>
            <w:r>
              <w:rPr>
                <w:rFonts w:ascii="Calibri" w:hAnsi="Calibri"/>
                <w:sz w:val="20"/>
                <w:szCs w:val="20"/>
              </w:rPr>
              <w:t>6.02</w:t>
            </w:r>
          </w:p>
        </w:tc>
        <w:tc>
          <w:tcPr>
            <w:tcW w:w="1012" w:type="pct"/>
            <w:shd w:val="clear" w:color="auto" w:fill="auto"/>
            <w:noWrap/>
            <w:hideMark/>
          </w:tcPr>
          <w:p w:rsidR="004E6EEA" w:rsidRPr="00E626C7" w:rsidRDefault="004E6EEA" w:rsidP="00474D9C">
            <w:pPr>
              <w:rPr>
                <w:rFonts w:ascii="Calibri" w:hAnsi="Calibri"/>
                <w:sz w:val="20"/>
                <w:szCs w:val="20"/>
              </w:rPr>
            </w:pPr>
            <w:r>
              <w:rPr>
                <w:rFonts w:ascii="Calibri" w:hAnsi="Calibri"/>
                <w:sz w:val="20"/>
                <w:szCs w:val="20"/>
              </w:rPr>
              <w:t>6.02</w:t>
            </w:r>
          </w:p>
        </w:tc>
        <w:tc>
          <w:tcPr>
            <w:tcW w:w="1012" w:type="pct"/>
            <w:shd w:val="clear" w:color="auto" w:fill="auto"/>
            <w:noWrap/>
            <w:hideMark/>
          </w:tcPr>
          <w:p w:rsidR="004E6EEA" w:rsidRPr="00E626C7" w:rsidRDefault="004E6EEA" w:rsidP="00474D9C">
            <w:pPr>
              <w:rPr>
                <w:rFonts w:ascii="Calibri" w:hAnsi="Calibri"/>
                <w:sz w:val="20"/>
                <w:szCs w:val="20"/>
              </w:rPr>
            </w:pPr>
            <w:r>
              <w:rPr>
                <w:rFonts w:ascii="Calibri" w:hAnsi="Calibri"/>
                <w:sz w:val="20"/>
                <w:szCs w:val="20"/>
              </w:rPr>
              <w:t>6.05</w:t>
            </w:r>
          </w:p>
        </w:tc>
        <w:tc>
          <w:tcPr>
            <w:tcW w:w="1011" w:type="pct"/>
            <w:shd w:val="clear" w:color="auto" w:fill="auto"/>
            <w:noWrap/>
            <w:hideMark/>
          </w:tcPr>
          <w:p w:rsidR="004E6EEA" w:rsidRPr="00E626C7" w:rsidRDefault="004E6EEA" w:rsidP="00474D9C">
            <w:pPr>
              <w:rPr>
                <w:rFonts w:ascii="Calibri" w:hAnsi="Calibri"/>
                <w:sz w:val="20"/>
                <w:szCs w:val="20"/>
              </w:rPr>
            </w:pPr>
            <w:r>
              <w:rPr>
                <w:rFonts w:ascii="Calibri" w:hAnsi="Calibri"/>
                <w:sz w:val="20"/>
                <w:szCs w:val="20"/>
              </w:rPr>
              <w:t>13.00</w:t>
            </w:r>
          </w:p>
        </w:tc>
      </w:tr>
      <w:tr w:rsidR="004E6EEA" w:rsidRPr="00E626C7" w:rsidTr="00474D9C">
        <w:trPr>
          <w:trHeight w:val="300"/>
        </w:trPr>
        <w:tc>
          <w:tcPr>
            <w:tcW w:w="952" w:type="pct"/>
            <w:shd w:val="clear" w:color="auto" w:fill="auto"/>
            <w:noWrap/>
            <w:hideMark/>
          </w:tcPr>
          <w:p w:rsidR="004E6EEA" w:rsidRPr="00E626C7" w:rsidRDefault="004E6EEA" w:rsidP="00474D9C">
            <w:pPr>
              <w:rPr>
                <w:rFonts w:ascii="Calibri" w:hAnsi="Calibri"/>
                <w:b/>
                <w:sz w:val="20"/>
                <w:szCs w:val="20"/>
              </w:rPr>
            </w:pPr>
            <w:r w:rsidRPr="00E626C7">
              <w:rPr>
                <w:rFonts w:ascii="Calibri" w:hAnsi="Calibri"/>
                <w:b/>
                <w:sz w:val="20"/>
                <w:szCs w:val="20"/>
              </w:rPr>
              <w:t>Quantity (TJ)</w:t>
            </w:r>
          </w:p>
        </w:tc>
        <w:tc>
          <w:tcPr>
            <w:tcW w:w="1012" w:type="pct"/>
            <w:shd w:val="clear" w:color="auto" w:fill="auto"/>
            <w:noWrap/>
            <w:hideMark/>
          </w:tcPr>
          <w:p w:rsidR="004E6EEA" w:rsidRPr="00E626C7" w:rsidRDefault="004E6EEA" w:rsidP="00474D9C">
            <w:pPr>
              <w:rPr>
                <w:rFonts w:ascii="Calibri" w:hAnsi="Calibri"/>
                <w:sz w:val="20"/>
                <w:szCs w:val="20"/>
              </w:rPr>
            </w:pPr>
            <w:r>
              <w:rPr>
                <w:rFonts w:ascii="Calibri" w:hAnsi="Calibri"/>
                <w:sz w:val="20"/>
                <w:szCs w:val="20"/>
              </w:rPr>
              <w:t>304</w:t>
            </w:r>
          </w:p>
        </w:tc>
        <w:tc>
          <w:tcPr>
            <w:tcW w:w="1012" w:type="pct"/>
            <w:shd w:val="clear" w:color="auto" w:fill="auto"/>
            <w:noWrap/>
            <w:hideMark/>
          </w:tcPr>
          <w:p w:rsidR="004E6EEA" w:rsidRPr="00E626C7" w:rsidRDefault="004E6EEA" w:rsidP="00474D9C">
            <w:pPr>
              <w:rPr>
                <w:rFonts w:ascii="Calibri" w:hAnsi="Calibri"/>
                <w:sz w:val="20"/>
                <w:szCs w:val="20"/>
              </w:rPr>
            </w:pPr>
            <w:r>
              <w:rPr>
                <w:rFonts w:ascii="Calibri" w:hAnsi="Calibri"/>
                <w:sz w:val="20"/>
                <w:szCs w:val="20"/>
              </w:rPr>
              <w:t>305.7</w:t>
            </w:r>
          </w:p>
        </w:tc>
        <w:tc>
          <w:tcPr>
            <w:tcW w:w="1012" w:type="pct"/>
            <w:shd w:val="clear" w:color="auto" w:fill="auto"/>
            <w:noWrap/>
            <w:hideMark/>
          </w:tcPr>
          <w:p w:rsidR="004E6EEA" w:rsidRPr="00E626C7" w:rsidRDefault="004E6EEA" w:rsidP="00474D9C">
            <w:pPr>
              <w:rPr>
                <w:rFonts w:ascii="Calibri" w:hAnsi="Calibri"/>
                <w:sz w:val="20"/>
                <w:szCs w:val="20"/>
              </w:rPr>
            </w:pPr>
            <w:r>
              <w:rPr>
                <w:rFonts w:ascii="Calibri" w:hAnsi="Calibri"/>
                <w:sz w:val="20"/>
                <w:szCs w:val="20"/>
              </w:rPr>
              <w:t>304.6</w:t>
            </w:r>
          </w:p>
        </w:tc>
        <w:tc>
          <w:tcPr>
            <w:tcW w:w="1011" w:type="pct"/>
            <w:shd w:val="clear" w:color="auto" w:fill="auto"/>
            <w:noWrap/>
            <w:hideMark/>
          </w:tcPr>
          <w:p w:rsidR="004E6EEA" w:rsidRPr="00E626C7" w:rsidRDefault="004E6EEA" w:rsidP="00474D9C">
            <w:pPr>
              <w:rPr>
                <w:rFonts w:ascii="Calibri" w:hAnsi="Calibri"/>
                <w:sz w:val="20"/>
                <w:szCs w:val="20"/>
              </w:rPr>
            </w:pPr>
            <w:r>
              <w:rPr>
                <w:rFonts w:ascii="Calibri" w:hAnsi="Calibri"/>
                <w:sz w:val="20"/>
                <w:szCs w:val="20"/>
              </w:rPr>
              <w:t>+15.98 (S)</w:t>
            </w:r>
          </w:p>
        </w:tc>
      </w:tr>
    </w:tbl>
    <w:p w:rsidR="004E6EEA" w:rsidRDefault="004E6EEA" w:rsidP="004E6EEA">
      <w:pPr>
        <w:pStyle w:val="AERbodytext"/>
      </w:pPr>
      <w:r w:rsidRPr="0062300C">
        <w:br/>
      </w:r>
      <w:r w:rsidR="004723DE">
        <w:t xml:space="preserve">The three major participants each under forecast demand by around 5 per cent. </w:t>
      </w:r>
      <w:r w:rsidR="00562D97">
        <w:t>Two of the three participants submitted demand forecasts that were fairly consistent throughout the provisional and ex ante schedules. The other participant’s demand forecasts for the provisional schedules w</w:t>
      </w:r>
      <w:r w:rsidR="00B16639">
        <w:t>ere</w:t>
      </w:r>
      <w:r w:rsidR="00562D97">
        <w:t xml:space="preserve"> significantly more accurate than its ex ante demand forecast. In fact, </w:t>
      </w:r>
      <w:r w:rsidR="00D6709F">
        <w:t>because it under forecast its demand in the ex ante schedule by</w:t>
      </w:r>
      <w:r w:rsidR="00562D97">
        <w:t xml:space="preserve"> nearly 10 TJ, it was largely responsible for the 15.98 TJ imbalance on the day which </w:t>
      </w:r>
      <w:r w:rsidR="00D6709F">
        <w:t xml:space="preserve">then </w:t>
      </w:r>
      <w:r w:rsidR="00562D97">
        <w:t>caused the large ex post price of $13/GJ.</w:t>
      </w:r>
      <w:r w:rsidR="0007560F">
        <w:t xml:space="preserve"> </w:t>
      </w:r>
    </w:p>
    <w:p w:rsidR="00343530" w:rsidRDefault="0007560F" w:rsidP="004E6EEA">
      <w:pPr>
        <w:pStyle w:val="AERbodytext"/>
      </w:pPr>
      <w:r>
        <w:t xml:space="preserve">There were some changes to the gas offers throughout the provisional schedules and the ex ante </w:t>
      </w:r>
      <w:r w:rsidR="00673055">
        <w:t>schedule</w:t>
      </w:r>
      <w:r w:rsidR="00D16094">
        <w:t xml:space="preserve"> as shown in figure S4</w:t>
      </w:r>
      <w:r>
        <w:t xml:space="preserve"> </w:t>
      </w:r>
      <w:r w:rsidR="001C4A01">
        <w:t xml:space="preserve">however their influence on </w:t>
      </w:r>
      <w:r w:rsidR="00D16094">
        <w:t xml:space="preserve">the ex ante </w:t>
      </w:r>
      <w:r w:rsidR="001C4A01">
        <w:t xml:space="preserve">prices was </w:t>
      </w:r>
      <w:r w:rsidR="00E06F4A">
        <w:t>minimal</w:t>
      </w:r>
      <w:r>
        <w:t xml:space="preserve">. </w:t>
      </w:r>
    </w:p>
    <w:p w:rsidR="0042646B" w:rsidRDefault="000C4A3C">
      <w:pPr>
        <w:pStyle w:val="AERbodytext"/>
        <w:keepNext/>
        <w:rPr>
          <w:rFonts w:ascii="Arial" w:hAnsi="Arial" w:cs="Arial"/>
          <w:b/>
          <w:sz w:val="20"/>
          <w:szCs w:val="20"/>
        </w:rPr>
      </w:pPr>
      <w:r>
        <w:rPr>
          <w:rFonts w:ascii="Arial" w:hAnsi="Arial" w:cs="Arial"/>
          <w:b/>
          <w:sz w:val="20"/>
          <w:szCs w:val="20"/>
        </w:rPr>
        <w:t xml:space="preserve">Figure </w:t>
      </w:r>
      <w:r w:rsidR="008671B5">
        <w:rPr>
          <w:rFonts w:ascii="Arial" w:hAnsi="Arial" w:cs="Arial"/>
          <w:b/>
          <w:sz w:val="20"/>
          <w:szCs w:val="20"/>
        </w:rPr>
        <w:t>S4</w:t>
      </w:r>
      <w:r>
        <w:rPr>
          <w:rFonts w:ascii="Arial" w:hAnsi="Arial" w:cs="Arial"/>
          <w:b/>
          <w:sz w:val="20"/>
          <w:szCs w:val="20"/>
        </w:rPr>
        <w:t>: 3</w:t>
      </w:r>
      <w:r w:rsidR="00343530">
        <w:rPr>
          <w:rFonts w:ascii="Arial" w:hAnsi="Arial" w:cs="Arial"/>
          <w:b/>
          <w:sz w:val="20"/>
          <w:szCs w:val="20"/>
        </w:rPr>
        <w:t xml:space="preserve"> August provisional and </w:t>
      </w:r>
      <w:r w:rsidR="00343530" w:rsidRPr="00D620E4">
        <w:rPr>
          <w:rFonts w:ascii="Arial" w:hAnsi="Arial" w:cs="Arial"/>
          <w:b/>
          <w:sz w:val="20"/>
          <w:szCs w:val="20"/>
        </w:rPr>
        <w:t>ex ante</w:t>
      </w:r>
      <w:r w:rsidR="00343530">
        <w:rPr>
          <w:rFonts w:ascii="Arial" w:hAnsi="Arial" w:cs="Arial"/>
          <w:b/>
          <w:sz w:val="20"/>
          <w:szCs w:val="20"/>
        </w:rPr>
        <w:t xml:space="preserve"> schedule offers</w:t>
      </w:r>
    </w:p>
    <w:p w:rsidR="00562D97" w:rsidRDefault="007E4F35" w:rsidP="004E6EEA">
      <w:pPr>
        <w:pStyle w:val="AERbodytext"/>
      </w:pPr>
      <w:r>
        <w:pict>
          <v:shape id="_x0000_i1035" type="#_x0000_t75" style="width:451.25pt;height:195.9pt">
            <v:imagedata r:id="rId18" o:title=""/>
          </v:shape>
        </w:pict>
      </w:r>
    </w:p>
    <w:p w:rsidR="00103F81" w:rsidRPr="00D16094" w:rsidRDefault="00D16094" w:rsidP="00D16094">
      <w:pPr>
        <w:pStyle w:val="AERbodytext"/>
      </w:pPr>
      <w:r w:rsidRPr="00771F69">
        <w:t xml:space="preserve">Figure S5 </w:t>
      </w:r>
      <w:r>
        <w:t xml:space="preserve">below </w:t>
      </w:r>
      <w:r w:rsidRPr="00771F69">
        <w:t xml:space="preserve">shows the supply curve </w:t>
      </w:r>
      <w:r>
        <w:t>for the Sydney hub on the 3 August gas day and illustrates why the ex post price was much higher than the ex ante price.</w:t>
      </w:r>
    </w:p>
    <w:p w:rsidR="00152809" w:rsidRDefault="00152809">
      <w:pPr>
        <w:rPr>
          <w:lang w:eastAsia="en-US"/>
        </w:rPr>
      </w:pPr>
    </w:p>
    <w:p w:rsidR="0042646B" w:rsidRDefault="008A3CD0">
      <w:pPr>
        <w:pStyle w:val="AERbodytext"/>
        <w:keepNext/>
        <w:rPr>
          <w:rFonts w:ascii="Arial" w:hAnsi="Arial" w:cs="Arial"/>
          <w:b/>
          <w:sz w:val="20"/>
          <w:szCs w:val="20"/>
        </w:rPr>
      </w:pPr>
      <w:r>
        <w:rPr>
          <w:rFonts w:ascii="Arial" w:hAnsi="Arial" w:cs="Arial"/>
          <w:b/>
          <w:sz w:val="20"/>
          <w:szCs w:val="20"/>
        </w:rPr>
        <w:t>Figure S5: Offer curve for the Sydney hub from ex ante market schedule, 3 August 2012</w:t>
      </w:r>
    </w:p>
    <w:p w:rsidR="004E7C2E" w:rsidRDefault="007E4F35" w:rsidP="004E7C2E">
      <w:pPr>
        <w:rPr>
          <w:lang w:eastAsia="en-US"/>
        </w:rPr>
      </w:pPr>
      <w:r>
        <w:pict>
          <v:shape id="_x0000_i1036" type="#_x0000_t75" style="width:412.75pt;height:272.1pt">
            <v:imagedata r:id="rId19" o:title=""/>
          </v:shape>
        </w:pict>
      </w:r>
    </w:p>
    <w:p w:rsidR="00152809" w:rsidRDefault="008A3CD0">
      <w:pPr>
        <w:pStyle w:val="AERbodytext"/>
      </w:pPr>
      <w:r>
        <w:t xml:space="preserve">Around 310 TJ of gas was offered at or below around $6/GJ. This explains why the ex ante price—which was calculated based on </w:t>
      </w:r>
      <w:r w:rsidR="00D16094">
        <w:t xml:space="preserve">a scheduled quantity of </w:t>
      </w:r>
      <w:r>
        <w:t>304.6 TJ of gas—was $6.0</w:t>
      </w:r>
      <w:r w:rsidR="00F82233">
        <w:t xml:space="preserve">5/GJ. However, figure S5 shows that the prices of gas offers increase significantly once the total quantity of gas goes beyond this level. In other words, while the first 310 TJ of gas is offered at or below $6/GJ, the next 20 TJ of gas </w:t>
      </w:r>
      <w:r w:rsidR="00D16094">
        <w:t xml:space="preserve">was priced between $6/GJ and </w:t>
      </w:r>
      <w:r w:rsidR="00ED4D55">
        <w:t xml:space="preserve">nearly $49/GJ. </w:t>
      </w:r>
      <w:r w:rsidR="00F82233">
        <w:t>This explains why the ex post price—which was calculated based on 320.58 TJ</w:t>
      </w:r>
      <w:r w:rsidR="00D16094">
        <w:t xml:space="preserve">, with an </w:t>
      </w:r>
      <w:r w:rsidR="00F82233">
        <w:t>imbalance</w:t>
      </w:r>
      <w:r w:rsidR="00D16094">
        <w:t xml:space="preserve"> of 1</w:t>
      </w:r>
      <w:r w:rsidR="00537FD0">
        <w:t>6</w:t>
      </w:r>
      <w:r w:rsidR="00D16094">
        <w:t xml:space="preserve"> TJ (shown in the figure) in the hub on the day</w:t>
      </w:r>
      <w:r w:rsidR="00F82233">
        <w:t xml:space="preserve">—reached $13/GJ. </w:t>
      </w:r>
    </w:p>
    <w:p w:rsidR="00606C92" w:rsidRDefault="00606C92" w:rsidP="004E6EEA">
      <w:pPr>
        <w:pStyle w:val="Heading4"/>
      </w:pPr>
    </w:p>
    <w:p w:rsidR="000E50DA" w:rsidRPr="000E50DA" w:rsidRDefault="000E50DA" w:rsidP="000E50DA"/>
    <w:p w:rsidR="004E6EEA" w:rsidRPr="00563605" w:rsidRDefault="004E6EEA" w:rsidP="004E6EEA">
      <w:pPr>
        <w:pStyle w:val="Heading4"/>
      </w:pPr>
      <w:r>
        <w:t>10 August</w:t>
      </w:r>
    </w:p>
    <w:p w:rsidR="004E6EEA" w:rsidRDefault="004E6EEA" w:rsidP="004E6EEA"/>
    <w:p w:rsidR="00B16639" w:rsidRDefault="00B16639" w:rsidP="004E6EEA">
      <w:r>
        <w:t xml:space="preserve">The higher ex ante price </w:t>
      </w:r>
      <w:r w:rsidR="00F359A1">
        <w:t xml:space="preserve">on 10 August (see </w:t>
      </w:r>
      <w:r w:rsidR="008671B5">
        <w:t>figure S6</w:t>
      </w:r>
      <w:r w:rsidR="00F359A1">
        <w:t xml:space="preserve"> below)</w:t>
      </w:r>
      <w:r w:rsidR="008671B5">
        <w:t>,</w:t>
      </w:r>
      <w:r w:rsidR="00F359A1">
        <w:t xml:space="preserve"> which was higher</w:t>
      </w:r>
      <w:r w:rsidR="008671B5">
        <w:t xml:space="preserve"> than forecast in provisional schedules, </w:t>
      </w:r>
      <w:r>
        <w:t>was caused by a reduction in low priced gas offers. The significant imbalance of 19 TJ, caused by under forecasting of demand, pushed the ex post price higher.</w:t>
      </w:r>
      <w:r w:rsidR="008671B5">
        <w:t xml:space="preserve"> </w:t>
      </w:r>
      <w:r w:rsidR="00A92E6B">
        <w:t xml:space="preserve">This was the highest price </w:t>
      </w:r>
      <w:r w:rsidR="00F359A1">
        <w:t>for August</w:t>
      </w:r>
      <w:r w:rsidR="00A92E6B">
        <w:t>.</w:t>
      </w:r>
    </w:p>
    <w:p w:rsidR="00B16639" w:rsidRPr="0062300C" w:rsidRDefault="00B16639" w:rsidP="004E6EEA"/>
    <w:p w:rsidR="004E6EEA" w:rsidRPr="00D620E4" w:rsidRDefault="004E6EEA" w:rsidP="004E6EEA">
      <w:pPr>
        <w:jc w:val="both"/>
        <w:rPr>
          <w:rFonts w:ascii="Arial" w:hAnsi="Arial" w:cs="Arial"/>
          <w:b/>
          <w:sz w:val="20"/>
          <w:szCs w:val="20"/>
          <w:lang w:eastAsia="en-US"/>
        </w:rPr>
      </w:pPr>
      <w:r>
        <w:rPr>
          <w:rFonts w:ascii="Arial" w:hAnsi="Arial" w:cs="Arial"/>
          <w:b/>
          <w:sz w:val="20"/>
          <w:szCs w:val="20"/>
          <w:lang w:eastAsia="en-US"/>
        </w:rPr>
        <w:t xml:space="preserve">Figure </w:t>
      </w:r>
      <w:r w:rsidR="008671B5">
        <w:rPr>
          <w:rFonts w:ascii="Arial" w:hAnsi="Arial" w:cs="Arial"/>
          <w:b/>
          <w:sz w:val="20"/>
          <w:szCs w:val="20"/>
          <w:lang w:eastAsia="en-US"/>
        </w:rPr>
        <w:t>S6</w:t>
      </w:r>
      <w:r>
        <w:rPr>
          <w:rFonts w:ascii="Arial" w:hAnsi="Arial" w:cs="Arial"/>
          <w:b/>
          <w:sz w:val="20"/>
          <w:szCs w:val="20"/>
          <w:lang w:eastAsia="en-US"/>
        </w:rPr>
        <w:t>: 10 August</w:t>
      </w:r>
      <w:r w:rsidRPr="00D620E4">
        <w:rPr>
          <w:rFonts w:ascii="Arial" w:hAnsi="Arial" w:cs="Arial"/>
          <w:b/>
          <w:sz w:val="20"/>
          <w:szCs w:val="20"/>
          <w:lang w:eastAsia="en-US"/>
        </w:rPr>
        <w:t xml:space="preserve"> provisional, ex ante and ex post prices and quantities</w:t>
      </w:r>
    </w:p>
    <w:tbl>
      <w:tblPr>
        <w:tblW w:w="5000" w:type="pct"/>
        <w:tblBorders>
          <w:top w:val="single" w:sz="12" w:space="0" w:color="000000"/>
          <w:bottom w:val="single" w:sz="12" w:space="0" w:color="000000"/>
          <w:insideH w:val="single" w:sz="6" w:space="0" w:color="000000"/>
        </w:tblBorders>
        <w:tblLook w:val="04A0"/>
      </w:tblPr>
      <w:tblGrid>
        <w:gridCol w:w="1760"/>
        <w:gridCol w:w="1871"/>
        <w:gridCol w:w="1871"/>
        <w:gridCol w:w="1871"/>
        <w:gridCol w:w="1869"/>
      </w:tblGrid>
      <w:tr w:rsidR="004E6EEA" w:rsidRPr="00E626C7" w:rsidTr="00474D9C">
        <w:trPr>
          <w:trHeight w:val="300"/>
        </w:trPr>
        <w:tc>
          <w:tcPr>
            <w:tcW w:w="952" w:type="pct"/>
            <w:shd w:val="clear" w:color="auto" w:fill="auto"/>
            <w:noWrap/>
            <w:hideMark/>
          </w:tcPr>
          <w:p w:rsidR="004E6EEA" w:rsidRPr="00E626C7" w:rsidRDefault="004E6EEA" w:rsidP="00474D9C">
            <w:pPr>
              <w:rPr>
                <w:rFonts w:ascii="Calibri" w:hAnsi="Calibri"/>
                <w:sz w:val="20"/>
                <w:szCs w:val="20"/>
              </w:rPr>
            </w:pPr>
          </w:p>
        </w:tc>
        <w:tc>
          <w:tcPr>
            <w:tcW w:w="1012" w:type="pct"/>
            <w:shd w:val="clear" w:color="auto" w:fill="auto"/>
            <w:noWrap/>
            <w:vAlign w:val="center"/>
            <w:hideMark/>
          </w:tcPr>
          <w:p w:rsidR="004E6EEA" w:rsidRPr="00E626C7" w:rsidRDefault="004E6EEA" w:rsidP="00474D9C">
            <w:pPr>
              <w:rPr>
                <w:rFonts w:ascii="Calibri" w:hAnsi="Calibri"/>
                <w:b/>
                <w:sz w:val="20"/>
                <w:szCs w:val="20"/>
              </w:rPr>
            </w:pPr>
            <w:r w:rsidRPr="00E626C7">
              <w:rPr>
                <w:rFonts w:ascii="Calibri" w:hAnsi="Calibri"/>
                <w:b/>
                <w:sz w:val="20"/>
                <w:szCs w:val="20"/>
              </w:rPr>
              <w:t>D-3</w:t>
            </w:r>
          </w:p>
        </w:tc>
        <w:tc>
          <w:tcPr>
            <w:tcW w:w="1012" w:type="pct"/>
            <w:shd w:val="clear" w:color="auto" w:fill="auto"/>
            <w:noWrap/>
            <w:vAlign w:val="center"/>
            <w:hideMark/>
          </w:tcPr>
          <w:p w:rsidR="004E6EEA" w:rsidRPr="00E626C7" w:rsidRDefault="004E6EEA" w:rsidP="00474D9C">
            <w:pPr>
              <w:rPr>
                <w:rFonts w:ascii="Calibri" w:hAnsi="Calibri"/>
                <w:b/>
                <w:sz w:val="20"/>
                <w:szCs w:val="20"/>
              </w:rPr>
            </w:pPr>
            <w:r w:rsidRPr="00E626C7">
              <w:rPr>
                <w:rFonts w:ascii="Calibri" w:hAnsi="Calibri"/>
                <w:b/>
                <w:sz w:val="20"/>
                <w:szCs w:val="20"/>
              </w:rPr>
              <w:t>D-2</w:t>
            </w:r>
          </w:p>
        </w:tc>
        <w:tc>
          <w:tcPr>
            <w:tcW w:w="1012" w:type="pct"/>
            <w:shd w:val="clear" w:color="auto" w:fill="auto"/>
            <w:noWrap/>
            <w:vAlign w:val="center"/>
            <w:hideMark/>
          </w:tcPr>
          <w:p w:rsidR="004E6EEA" w:rsidRPr="00E626C7" w:rsidRDefault="004E6EEA" w:rsidP="00474D9C">
            <w:pPr>
              <w:rPr>
                <w:rFonts w:ascii="Calibri" w:hAnsi="Calibri"/>
                <w:b/>
                <w:sz w:val="20"/>
                <w:szCs w:val="20"/>
              </w:rPr>
            </w:pPr>
            <w:r w:rsidRPr="00E626C7">
              <w:rPr>
                <w:rFonts w:ascii="Calibri" w:hAnsi="Calibri"/>
                <w:b/>
                <w:sz w:val="20"/>
                <w:szCs w:val="20"/>
              </w:rPr>
              <w:t>Ex ante</w:t>
            </w:r>
          </w:p>
        </w:tc>
        <w:tc>
          <w:tcPr>
            <w:tcW w:w="1011" w:type="pct"/>
            <w:shd w:val="clear" w:color="auto" w:fill="auto"/>
            <w:noWrap/>
            <w:vAlign w:val="center"/>
            <w:hideMark/>
          </w:tcPr>
          <w:p w:rsidR="004E6EEA" w:rsidRPr="00E626C7" w:rsidRDefault="004E6EEA" w:rsidP="00474D9C">
            <w:pPr>
              <w:rPr>
                <w:rFonts w:ascii="Calibri" w:hAnsi="Calibri"/>
                <w:b/>
                <w:sz w:val="20"/>
                <w:szCs w:val="20"/>
              </w:rPr>
            </w:pPr>
            <w:r w:rsidRPr="00E626C7">
              <w:rPr>
                <w:rFonts w:ascii="Calibri" w:hAnsi="Calibri"/>
                <w:b/>
                <w:sz w:val="20"/>
                <w:szCs w:val="20"/>
              </w:rPr>
              <w:t>Ex post</w:t>
            </w:r>
          </w:p>
        </w:tc>
      </w:tr>
      <w:tr w:rsidR="004E6EEA" w:rsidRPr="00E626C7" w:rsidTr="00474D9C">
        <w:trPr>
          <w:trHeight w:val="50"/>
        </w:trPr>
        <w:tc>
          <w:tcPr>
            <w:tcW w:w="952" w:type="pct"/>
            <w:shd w:val="clear" w:color="auto" w:fill="auto"/>
            <w:noWrap/>
            <w:hideMark/>
          </w:tcPr>
          <w:p w:rsidR="004E6EEA" w:rsidRPr="00E626C7" w:rsidRDefault="004E6EEA" w:rsidP="00474D9C">
            <w:pPr>
              <w:rPr>
                <w:rFonts w:ascii="Calibri" w:hAnsi="Calibri"/>
                <w:b/>
                <w:sz w:val="20"/>
                <w:szCs w:val="20"/>
              </w:rPr>
            </w:pPr>
            <w:r w:rsidRPr="00E626C7">
              <w:rPr>
                <w:rFonts w:ascii="Calibri" w:hAnsi="Calibri"/>
                <w:b/>
                <w:sz w:val="20"/>
                <w:szCs w:val="20"/>
              </w:rPr>
              <w:t>Price ($/GJ)</w:t>
            </w:r>
          </w:p>
        </w:tc>
        <w:tc>
          <w:tcPr>
            <w:tcW w:w="1012" w:type="pct"/>
            <w:shd w:val="clear" w:color="auto" w:fill="auto"/>
            <w:noWrap/>
            <w:hideMark/>
          </w:tcPr>
          <w:p w:rsidR="004E6EEA" w:rsidRPr="00E626C7" w:rsidRDefault="004E6EEA" w:rsidP="00474D9C">
            <w:pPr>
              <w:rPr>
                <w:rFonts w:ascii="Calibri" w:hAnsi="Calibri"/>
                <w:sz w:val="20"/>
                <w:szCs w:val="20"/>
              </w:rPr>
            </w:pPr>
            <w:r>
              <w:rPr>
                <w:rFonts w:ascii="Calibri" w:hAnsi="Calibri"/>
                <w:sz w:val="20"/>
                <w:szCs w:val="20"/>
              </w:rPr>
              <w:t>5.98</w:t>
            </w:r>
          </w:p>
        </w:tc>
        <w:tc>
          <w:tcPr>
            <w:tcW w:w="1012" w:type="pct"/>
            <w:shd w:val="clear" w:color="auto" w:fill="auto"/>
            <w:noWrap/>
            <w:hideMark/>
          </w:tcPr>
          <w:p w:rsidR="004E6EEA" w:rsidRPr="00E626C7" w:rsidRDefault="004E6EEA" w:rsidP="00474D9C">
            <w:pPr>
              <w:rPr>
                <w:rFonts w:ascii="Calibri" w:hAnsi="Calibri"/>
                <w:sz w:val="20"/>
                <w:szCs w:val="20"/>
              </w:rPr>
            </w:pPr>
            <w:r>
              <w:rPr>
                <w:rFonts w:ascii="Calibri" w:hAnsi="Calibri"/>
                <w:sz w:val="20"/>
                <w:szCs w:val="20"/>
              </w:rPr>
              <w:t>6.05</w:t>
            </w:r>
          </w:p>
        </w:tc>
        <w:tc>
          <w:tcPr>
            <w:tcW w:w="1012" w:type="pct"/>
            <w:shd w:val="clear" w:color="auto" w:fill="auto"/>
            <w:noWrap/>
            <w:hideMark/>
          </w:tcPr>
          <w:p w:rsidR="004E6EEA" w:rsidRPr="00E626C7" w:rsidRDefault="004E6EEA" w:rsidP="00474D9C">
            <w:pPr>
              <w:rPr>
                <w:rFonts w:ascii="Calibri" w:hAnsi="Calibri"/>
                <w:sz w:val="20"/>
                <w:szCs w:val="20"/>
              </w:rPr>
            </w:pPr>
            <w:r>
              <w:rPr>
                <w:rFonts w:ascii="Calibri" w:hAnsi="Calibri"/>
                <w:sz w:val="20"/>
                <w:szCs w:val="20"/>
              </w:rPr>
              <w:t>8.40</w:t>
            </w:r>
          </w:p>
        </w:tc>
        <w:tc>
          <w:tcPr>
            <w:tcW w:w="1011" w:type="pct"/>
            <w:shd w:val="clear" w:color="auto" w:fill="auto"/>
            <w:noWrap/>
            <w:hideMark/>
          </w:tcPr>
          <w:p w:rsidR="004E6EEA" w:rsidRPr="00E626C7" w:rsidRDefault="004E6EEA" w:rsidP="00474D9C">
            <w:pPr>
              <w:rPr>
                <w:rFonts w:ascii="Calibri" w:hAnsi="Calibri"/>
                <w:sz w:val="20"/>
                <w:szCs w:val="20"/>
              </w:rPr>
            </w:pPr>
            <w:r>
              <w:rPr>
                <w:rFonts w:ascii="Calibri" w:hAnsi="Calibri"/>
                <w:sz w:val="20"/>
                <w:szCs w:val="20"/>
              </w:rPr>
              <w:t>15.68</w:t>
            </w:r>
          </w:p>
        </w:tc>
      </w:tr>
      <w:tr w:rsidR="004E6EEA" w:rsidRPr="00E626C7" w:rsidTr="00474D9C">
        <w:trPr>
          <w:trHeight w:val="300"/>
        </w:trPr>
        <w:tc>
          <w:tcPr>
            <w:tcW w:w="952" w:type="pct"/>
            <w:shd w:val="clear" w:color="auto" w:fill="auto"/>
            <w:noWrap/>
            <w:hideMark/>
          </w:tcPr>
          <w:p w:rsidR="004E6EEA" w:rsidRPr="00E626C7" w:rsidRDefault="004E6EEA" w:rsidP="00474D9C">
            <w:pPr>
              <w:rPr>
                <w:rFonts w:ascii="Calibri" w:hAnsi="Calibri"/>
                <w:b/>
                <w:sz w:val="20"/>
                <w:szCs w:val="20"/>
              </w:rPr>
            </w:pPr>
            <w:r w:rsidRPr="00E626C7">
              <w:rPr>
                <w:rFonts w:ascii="Calibri" w:hAnsi="Calibri"/>
                <w:b/>
                <w:sz w:val="20"/>
                <w:szCs w:val="20"/>
              </w:rPr>
              <w:t>Quantity (TJ)</w:t>
            </w:r>
          </w:p>
        </w:tc>
        <w:tc>
          <w:tcPr>
            <w:tcW w:w="1012" w:type="pct"/>
            <w:shd w:val="clear" w:color="auto" w:fill="auto"/>
            <w:noWrap/>
            <w:hideMark/>
          </w:tcPr>
          <w:p w:rsidR="004E6EEA" w:rsidRPr="00E626C7" w:rsidRDefault="004E6EEA" w:rsidP="00474D9C">
            <w:pPr>
              <w:rPr>
                <w:rFonts w:ascii="Calibri" w:hAnsi="Calibri"/>
                <w:sz w:val="20"/>
                <w:szCs w:val="20"/>
              </w:rPr>
            </w:pPr>
            <w:r>
              <w:rPr>
                <w:rFonts w:ascii="Calibri" w:hAnsi="Calibri"/>
                <w:sz w:val="20"/>
                <w:szCs w:val="20"/>
              </w:rPr>
              <w:t>306.2</w:t>
            </w:r>
          </w:p>
        </w:tc>
        <w:tc>
          <w:tcPr>
            <w:tcW w:w="1012" w:type="pct"/>
            <w:shd w:val="clear" w:color="auto" w:fill="auto"/>
            <w:noWrap/>
            <w:hideMark/>
          </w:tcPr>
          <w:p w:rsidR="004E6EEA" w:rsidRPr="00E626C7" w:rsidRDefault="004E6EEA" w:rsidP="00474D9C">
            <w:pPr>
              <w:rPr>
                <w:rFonts w:ascii="Calibri" w:hAnsi="Calibri"/>
                <w:sz w:val="20"/>
                <w:szCs w:val="20"/>
              </w:rPr>
            </w:pPr>
            <w:r>
              <w:rPr>
                <w:rFonts w:ascii="Calibri" w:hAnsi="Calibri"/>
                <w:sz w:val="20"/>
                <w:szCs w:val="20"/>
              </w:rPr>
              <w:t>319.3</w:t>
            </w:r>
          </w:p>
        </w:tc>
        <w:tc>
          <w:tcPr>
            <w:tcW w:w="1012" w:type="pct"/>
            <w:shd w:val="clear" w:color="auto" w:fill="auto"/>
            <w:noWrap/>
            <w:hideMark/>
          </w:tcPr>
          <w:p w:rsidR="004E6EEA" w:rsidRPr="00E626C7" w:rsidRDefault="004E6EEA" w:rsidP="00474D9C">
            <w:pPr>
              <w:rPr>
                <w:rFonts w:ascii="Calibri" w:hAnsi="Calibri"/>
                <w:sz w:val="20"/>
                <w:szCs w:val="20"/>
              </w:rPr>
            </w:pPr>
            <w:r>
              <w:rPr>
                <w:rFonts w:ascii="Calibri" w:hAnsi="Calibri"/>
                <w:sz w:val="20"/>
                <w:szCs w:val="20"/>
              </w:rPr>
              <w:t>313.7</w:t>
            </w:r>
          </w:p>
        </w:tc>
        <w:tc>
          <w:tcPr>
            <w:tcW w:w="1011" w:type="pct"/>
            <w:shd w:val="clear" w:color="auto" w:fill="auto"/>
            <w:noWrap/>
            <w:hideMark/>
          </w:tcPr>
          <w:p w:rsidR="004E6EEA" w:rsidRPr="00E626C7" w:rsidRDefault="004E6EEA" w:rsidP="00474D9C">
            <w:pPr>
              <w:rPr>
                <w:rFonts w:ascii="Calibri" w:hAnsi="Calibri"/>
                <w:sz w:val="20"/>
                <w:szCs w:val="20"/>
              </w:rPr>
            </w:pPr>
            <w:r>
              <w:rPr>
                <w:rFonts w:ascii="Calibri" w:hAnsi="Calibri"/>
                <w:sz w:val="20"/>
                <w:szCs w:val="20"/>
              </w:rPr>
              <w:t>+19.13 (S)</w:t>
            </w:r>
          </w:p>
        </w:tc>
      </w:tr>
    </w:tbl>
    <w:p w:rsidR="004E6EEA" w:rsidRDefault="001C4A01" w:rsidP="004E6EEA">
      <w:pPr>
        <w:pStyle w:val="AERbodytext"/>
      </w:pPr>
      <w:r>
        <w:br/>
      </w:r>
      <w:r w:rsidR="001F38A6">
        <w:t xml:space="preserve">Forecasting throughout the provisional and ex ante schedules was fairly consistent. </w:t>
      </w:r>
      <w:r>
        <w:t xml:space="preserve">All three of the major participants under forecast their demand on the gas day by around 5–7 per cent. </w:t>
      </w:r>
    </w:p>
    <w:p w:rsidR="001F38A6" w:rsidRDefault="00D16094" w:rsidP="000C4A3C">
      <w:pPr>
        <w:pStyle w:val="AERbodytext"/>
        <w:rPr>
          <w:rFonts w:ascii="Arial" w:hAnsi="Arial" w:cs="Arial"/>
          <w:b/>
          <w:sz w:val="20"/>
          <w:szCs w:val="20"/>
        </w:rPr>
      </w:pPr>
      <w:r>
        <w:t>As shown in figure S7</w:t>
      </w:r>
      <w:r w:rsidR="00F359A1">
        <w:t>,</w:t>
      </w:r>
      <w:r>
        <w:t xml:space="preserve"> Trading Participants changed their gas offers in the ex ante schedule which influenced the higher ex ante and ex post price. </w:t>
      </w:r>
    </w:p>
    <w:p w:rsidR="0042646B" w:rsidRDefault="000C4A3C">
      <w:pPr>
        <w:pStyle w:val="AERbodytext"/>
        <w:keepNext/>
        <w:rPr>
          <w:rFonts w:ascii="Arial" w:hAnsi="Arial" w:cs="Arial"/>
          <w:b/>
          <w:sz w:val="20"/>
          <w:szCs w:val="20"/>
        </w:rPr>
      </w:pPr>
      <w:r>
        <w:rPr>
          <w:rFonts w:ascii="Arial" w:hAnsi="Arial" w:cs="Arial"/>
          <w:b/>
          <w:sz w:val="20"/>
          <w:szCs w:val="20"/>
        </w:rPr>
        <w:t xml:space="preserve">Figure </w:t>
      </w:r>
      <w:r w:rsidR="008671B5">
        <w:rPr>
          <w:rFonts w:ascii="Arial" w:hAnsi="Arial" w:cs="Arial"/>
          <w:b/>
          <w:sz w:val="20"/>
          <w:szCs w:val="20"/>
        </w:rPr>
        <w:t>S7</w:t>
      </w:r>
      <w:r>
        <w:rPr>
          <w:rFonts w:ascii="Arial" w:hAnsi="Arial" w:cs="Arial"/>
          <w:b/>
          <w:sz w:val="20"/>
          <w:szCs w:val="20"/>
        </w:rPr>
        <w:t xml:space="preserve">: 10 August provisional and </w:t>
      </w:r>
      <w:r w:rsidRPr="00D620E4">
        <w:rPr>
          <w:rFonts w:ascii="Arial" w:hAnsi="Arial" w:cs="Arial"/>
          <w:b/>
          <w:sz w:val="20"/>
          <w:szCs w:val="20"/>
        </w:rPr>
        <w:t>ex ante</w:t>
      </w:r>
      <w:r>
        <w:rPr>
          <w:rFonts w:ascii="Arial" w:hAnsi="Arial" w:cs="Arial"/>
          <w:b/>
          <w:sz w:val="20"/>
          <w:szCs w:val="20"/>
        </w:rPr>
        <w:t xml:space="preserve"> schedule offers</w:t>
      </w:r>
    </w:p>
    <w:p w:rsidR="001C4A01" w:rsidRDefault="007E4F35" w:rsidP="004E6EEA">
      <w:pPr>
        <w:pStyle w:val="AERbodytext"/>
      </w:pPr>
      <w:r>
        <w:pict>
          <v:shape id="_x0000_i1037" type="#_x0000_t75" style="width:451.25pt;height:195.9pt">
            <v:imagedata r:id="rId20" o:title=""/>
          </v:shape>
        </w:pict>
      </w:r>
    </w:p>
    <w:p w:rsidR="00880DA7" w:rsidRDefault="001F733C" w:rsidP="004E6EEA">
      <w:pPr>
        <w:pStyle w:val="AERbodytext"/>
      </w:pPr>
      <w:r>
        <w:t>A strong influence</w:t>
      </w:r>
      <w:r w:rsidR="00F359A1">
        <w:t xml:space="preserve"> on </w:t>
      </w:r>
      <w:r w:rsidR="00DF3B5A">
        <w:t>the higher ex ante and ex post prices was a reduction in l</w:t>
      </w:r>
      <w:r w:rsidR="00880DA7">
        <w:t xml:space="preserve">ower priced gas offers. There was a </w:t>
      </w:r>
      <w:r w:rsidR="00DF3B5A">
        <w:t>decline in</w:t>
      </w:r>
      <w:r w:rsidR="00880DA7">
        <w:t xml:space="preserve"> $0/GJ gas offers, which fell around 8TJ. Gas offers priced between $0.50/GJ and $1/GJ </w:t>
      </w:r>
      <w:r w:rsidR="00DF3B5A">
        <w:t>fell</w:t>
      </w:r>
      <w:r w:rsidR="00880DA7">
        <w:t xml:space="preserve"> around 6 TJ. Significantly, gas priced between $4/GJ and $6/GJ </w:t>
      </w:r>
      <w:r w:rsidR="00DF3B5A">
        <w:t>dropped</w:t>
      </w:r>
      <w:r w:rsidR="00880DA7">
        <w:t xml:space="preserve"> 16 TJ.</w:t>
      </w:r>
    </w:p>
    <w:p w:rsidR="00880DA7" w:rsidRDefault="00880DA7" w:rsidP="004E6EEA">
      <w:pPr>
        <w:pStyle w:val="AERbodytext"/>
      </w:pPr>
      <w:r>
        <w:t xml:space="preserve">AGL and </w:t>
      </w:r>
      <w:r w:rsidR="00803D09">
        <w:t>TRUenergy</w:t>
      </w:r>
      <w:r>
        <w:t xml:space="preserve"> lowered their gas offers in the $4</w:t>
      </w:r>
      <w:r w:rsidR="001F733C">
        <w:t>/GJ</w:t>
      </w:r>
      <w:r>
        <w:t xml:space="preserve">–6/GJ range by 10 TJ and </w:t>
      </w:r>
      <w:r w:rsidR="00103F81">
        <w:t>6TJ respectively.</w:t>
      </w:r>
    </w:p>
    <w:p w:rsidR="004E6EEA" w:rsidRPr="00563605" w:rsidRDefault="004E6EEA" w:rsidP="004E6EEA">
      <w:pPr>
        <w:pStyle w:val="Heading4"/>
      </w:pPr>
      <w:r>
        <w:t>12 August</w:t>
      </w:r>
    </w:p>
    <w:p w:rsidR="004E6EEA" w:rsidRPr="0062300C" w:rsidRDefault="004E6EEA" w:rsidP="004E6EEA"/>
    <w:p w:rsidR="004E6EEA" w:rsidRDefault="00F359A1" w:rsidP="004E6EEA">
      <w:pPr>
        <w:pStyle w:val="AERbodytext"/>
      </w:pPr>
      <w:r>
        <w:t>For August 2012, t</w:t>
      </w:r>
      <w:r w:rsidR="00743D64">
        <w:t xml:space="preserve">here was some rebidding of gas in the ex ante schedule, which resulted in a reduction of $0/GJ priced gas. This rebidding resulted in the </w:t>
      </w:r>
      <w:r w:rsidR="008217D4">
        <w:t xml:space="preserve">higher </w:t>
      </w:r>
      <w:r w:rsidR="00743D64">
        <w:t>ex ante price</w:t>
      </w:r>
      <w:r w:rsidR="008671B5">
        <w:t xml:space="preserve"> shown in figure S8</w:t>
      </w:r>
      <w:r>
        <w:t xml:space="preserve"> below</w:t>
      </w:r>
      <w:r w:rsidR="00743D64">
        <w:t xml:space="preserve">. </w:t>
      </w:r>
      <w:r w:rsidR="00A92E6B">
        <w:t>T</w:t>
      </w:r>
      <w:r w:rsidR="00743D64">
        <w:t>he ex post price was pushed up further due to the 7.84 TJ imbalance</w:t>
      </w:r>
      <w:r w:rsidR="001F38A6">
        <w:t xml:space="preserve"> and because </w:t>
      </w:r>
      <w:r>
        <w:t xml:space="preserve">only </w:t>
      </w:r>
      <w:r w:rsidR="001F38A6">
        <w:t>small volumes of gas were offered in between $6 and $10/GJ</w:t>
      </w:r>
      <w:r w:rsidR="00743D64">
        <w:t>.</w:t>
      </w:r>
    </w:p>
    <w:p w:rsidR="000E50DA" w:rsidRDefault="000E50DA" w:rsidP="004E6EEA">
      <w:pPr>
        <w:pStyle w:val="AERbodytext"/>
      </w:pPr>
    </w:p>
    <w:p w:rsidR="000E50DA" w:rsidRPr="0062300C" w:rsidRDefault="000E50DA" w:rsidP="004E6EEA">
      <w:pPr>
        <w:pStyle w:val="AERbodytext"/>
      </w:pPr>
    </w:p>
    <w:p w:rsidR="004E6EEA" w:rsidRPr="00D620E4" w:rsidRDefault="004E6EEA" w:rsidP="004E6EEA">
      <w:pPr>
        <w:jc w:val="both"/>
        <w:rPr>
          <w:rFonts w:ascii="Arial" w:hAnsi="Arial" w:cs="Arial"/>
          <w:b/>
          <w:sz w:val="20"/>
          <w:szCs w:val="20"/>
          <w:lang w:eastAsia="en-US"/>
        </w:rPr>
      </w:pPr>
      <w:r>
        <w:rPr>
          <w:rFonts w:ascii="Arial" w:hAnsi="Arial" w:cs="Arial"/>
          <w:b/>
          <w:sz w:val="20"/>
          <w:szCs w:val="20"/>
          <w:lang w:eastAsia="en-US"/>
        </w:rPr>
        <w:t xml:space="preserve">Figure </w:t>
      </w:r>
      <w:r w:rsidR="008671B5">
        <w:rPr>
          <w:rFonts w:ascii="Arial" w:hAnsi="Arial" w:cs="Arial"/>
          <w:b/>
          <w:sz w:val="20"/>
          <w:szCs w:val="20"/>
          <w:lang w:eastAsia="en-US"/>
        </w:rPr>
        <w:t>S8</w:t>
      </w:r>
      <w:r>
        <w:rPr>
          <w:rFonts w:ascii="Arial" w:hAnsi="Arial" w:cs="Arial"/>
          <w:b/>
          <w:sz w:val="20"/>
          <w:szCs w:val="20"/>
          <w:lang w:eastAsia="en-US"/>
        </w:rPr>
        <w:t>: 12 August</w:t>
      </w:r>
      <w:r w:rsidRPr="00D620E4">
        <w:rPr>
          <w:rFonts w:ascii="Arial" w:hAnsi="Arial" w:cs="Arial"/>
          <w:b/>
          <w:sz w:val="20"/>
          <w:szCs w:val="20"/>
          <w:lang w:eastAsia="en-US"/>
        </w:rPr>
        <w:t xml:space="preserve"> provisional, ex ante and ex post prices and quantities</w:t>
      </w:r>
    </w:p>
    <w:tbl>
      <w:tblPr>
        <w:tblW w:w="5000" w:type="pct"/>
        <w:tblBorders>
          <w:top w:val="single" w:sz="12" w:space="0" w:color="000000"/>
          <w:bottom w:val="single" w:sz="12" w:space="0" w:color="000000"/>
          <w:insideH w:val="single" w:sz="6" w:space="0" w:color="000000"/>
        </w:tblBorders>
        <w:tblLook w:val="04A0"/>
      </w:tblPr>
      <w:tblGrid>
        <w:gridCol w:w="1760"/>
        <w:gridCol w:w="1871"/>
        <w:gridCol w:w="1871"/>
        <w:gridCol w:w="1871"/>
        <w:gridCol w:w="1869"/>
      </w:tblGrid>
      <w:tr w:rsidR="004E6EEA" w:rsidRPr="00E626C7" w:rsidTr="00474D9C">
        <w:trPr>
          <w:trHeight w:val="300"/>
        </w:trPr>
        <w:tc>
          <w:tcPr>
            <w:tcW w:w="952" w:type="pct"/>
            <w:shd w:val="clear" w:color="auto" w:fill="auto"/>
            <w:noWrap/>
            <w:hideMark/>
          </w:tcPr>
          <w:p w:rsidR="004E6EEA" w:rsidRPr="00E626C7" w:rsidRDefault="004E6EEA" w:rsidP="00474D9C">
            <w:pPr>
              <w:rPr>
                <w:rFonts w:ascii="Calibri" w:hAnsi="Calibri"/>
                <w:sz w:val="20"/>
                <w:szCs w:val="20"/>
              </w:rPr>
            </w:pPr>
          </w:p>
        </w:tc>
        <w:tc>
          <w:tcPr>
            <w:tcW w:w="1012" w:type="pct"/>
            <w:shd w:val="clear" w:color="auto" w:fill="auto"/>
            <w:noWrap/>
            <w:vAlign w:val="center"/>
            <w:hideMark/>
          </w:tcPr>
          <w:p w:rsidR="004E6EEA" w:rsidRPr="00E626C7" w:rsidRDefault="004E6EEA" w:rsidP="00474D9C">
            <w:pPr>
              <w:rPr>
                <w:rFonts w:ascii="Calibri" w:hAnsi="Calibri"/>
                <w:b/>
                <w:sz w:val="20"/>
                <w:szCs w:val="20"/>
              </w:rPr>
            </w:pPr>
            <w:r w:rsidRPr="00E626C7">
              <w:rPr>
                <w:rFonts w:ascii="Calibri" w:hAnsi="Calibri"/>
                <w:b/>
                <w:sz w:val="20"/>
                <w:szCs w:val="20"/>
              </w:rPr>
              <w:t>D-3</w:t>
            </w:r>
          </w:p>
        </w:tc>
        <w:tc>
          <w:tcPr>
            <w:tcW w:w="1012" w:type="pct"/>
            <w:shd w:val="clear" w:color="auto" w:fill="auto"/>
            <w:noWrap/>
            <w:vAlign w:val="center"/>
            <w:hideMark/>
          </w:tcPr>
          <w:p w:rsidR="004E6EEA" w:rsidRPr="00E626C7" w:rsidRDefault="004E6EEA" w:rsidP="00474D9C">
            <w:pPr>
              <w:rPr>
                <w:rFonts w:ascii="Calibri" w:hAnsi="Calibri"/>
                <w:b/>
                <w:sz w:val="20"/>
                <w:szCs w:val="20"/>
              </w:rPr>
            </w:pPr>
            <w:r w:rsidRPr="00E626C7">
              <w:rPr>
                <w:rFonts w:ascii="Calibri" w:hAnsi="Calibri"/>
                <w:b/>
                <w:sz w:val="20"/>
                <w:szCs w:val="20"/>
              </w:rPr>
              <w:t>D-2</w:t>
            </w:r>
          </w:p>
        </w:tc>
        <w:tc>
          <w:tcPr>
            <w:tcW w:w="1012" w:type="pct"/>
            <w:shd w:val="clear" w:color="auto" w:fill="auto"/>
            <w:noWrap/>
            <w:vAlign w:val="center"/>
            <w:hideMark/>
          </w:tcPr>
          <w:p w:rsidR="004E6EEA" w:rsidRPr="00E626C7" w:rsidRDefault="004E6EEA" w:rsidP="00474D9C">
            <w:pPr>
              <w:rPr>
                <w:rFonts w:ascii="Calibri" w:hAnsi="Calibri"/>
                <w:b/>
                <w:sz w:val="20"/>
                <w:szCs w:val="20"/>
              </w:rPr>
            </w:pPr>
            <w:r w:rsidRPr="00E626C7">
              <w:rPr>
                <w:rFonts w:ascii="Calibri" w:hAnsi="Calibri"/>
                <w:b/>
                <w:sz w:val="20"/>
                <w:szCs w:val="20"/>
              </w:rPr>
              <w:t>Ex ante</w:t>
            </w:r>
          </w:p>
        </w:tc>
        <w:tc>
          <w:tcPr>
            <w:tcW w:w="1011" w:type="pct"/>
            <w:shd w:val="clear" w:color="auto" w:fill="auto"/>
            <w:noWrap/>
            <w:vAlign w:val="center"/>
            <w:hideMark/>
          </w:tcPr>
          <w:p w:rsidR="004E6EEA" w:rsidRPr="00E626C7" w:rsidRDefault="004E6EEA" w:rsidP="00474D9C">
            <w:pPr>
              <w:rPr>
                <w:rFonts w:ascii="Calibri" w:hAnsi="Calibri"/>
                <w:b/>
                <w:sz w:val="20"/>
                <w:szCs w:val="20"/>
              </w:rPr>
            </w:pPr>
            <w:r w:rsidRPr="00E626C7">
              <w:rPr>
                <w:rFonts w:ascii="Calibri" w:hAnsi="Calibri"/>
                <w:b/>
                <w:sz w:val="20"/>
                <w:szCs w:val="20"/>
              </w:rPr>
              <w:t>Ex post</w:t>
            </w:r>
          </w:p>
        </w:tc>
      </w:tr>
      <w:tr w:rsidR="004E6EEA" w:rsidRPr="00E626C7" w:rsidTr="00474D9C">
        <w:trPr>
          <w:trHeight w:val="50"/>
        </w:trPr>
        <w:tc>
          <w:tcPr>
            <w:tcW w:w="952" w:type="pct"/>
            <w:shd w:val="clear" w:color="auto" w:fill="auto"/>
            <w:noWrap/>
            <w:hideMark/>
          </w:tcPr>
          <w:p w:rsidR="004E6EEA" w:rsidRPr="00E626C7" w:rsidRDefault="004E6EEA" w:rsidP="00474D9C">
            <w:pPr>
              <w:rPr>
                <w:rFonts w:ascii="Calibri" w:hAnsi="Calibri"/>
                <w:b/>
                <w:sz w:val="20"/>
                <w:szCs w:val="20"/>
              </w:rPr>
            </w:pPr>
            <w:r w:rsidRPr="00E626C7">
              <w:rPr>
                <w:rFonts w:ascii="Calibri" w:hAnsi="Calibri"/>
                <w:b/>
                <w:sz w:val="20"/>
                <w:szCs w:val="20"/>
              </w:rPr>
              <w:t>Price ($/GJ)</w:t>
            </w:r>
          </w:p>
        </w:tc>
        <w:tc>
          <w:tcPr>
            <w:tcW w:w="1012" w:type="pct"/>
            <w:shd w:val="clear" w:color="auto" w:fill="auto"/>
            <w:noWrap/>
            <w:hideMark/>
          </w:tcPr>
          <w:p w:rsidR="004E6EEA" w:rsidRPr="00E626C7" w:rsidRDefault="004E6EEA" w:rsidP="00474D9C">
            <w:pPr>
              <w:rPr>
                <w:rFonts w:ascii="Calibri" w:hAnsi="Calibri"/>
                <w:sz w:val="20"/>
                <w:szCs w:val="20"/>
              </w:rPr>
            </w:pPr>
            <w:r>
              <w:rPr>
                <w:rFonts w:ascii="Calibri" w:hAnsi="Calibri"/>
                <w:sz w:val="20"/>
                <w:szCs w:val="20"/>
              </w:rPr>
              <w:t>6.05</w:t>
            </w:r>
          </w:p>
        </w:tc>
        <w:tc>
          <w:tcPr>
            <w:tcW w:w="1012" w:type="pct"/>
            <w:shd w:val="clear" w:color="auto" w:fill="auto"/>
            <w:noWrap/>
            <w:hideMark/>
          </w:tcPr>
          <w:p w:rsidR="004E6EEA" w:rsidRPr="00E626C7" w:rsidRDefault="004E6EEA" w:rsidP="00474D9C">
            <w:pPr>
              <w:rPr>
                <w:rFonts w:ascii="Calibri" w:hAnsi="Calibri"/>
                <w:sz w:val="20"/>
                <w:szCs w:val="20"/>
              </w:rPr>
            </w:pPr>
            <w:r>
              <w:rPr>
                <w:rFonts w:ascii="Calibri" w:hAnsi="Calibri"/>
                <w:sz w:val="20"/>
                <w:szCs w:val="20"/>
              </w:rPr>
              <w:t>5.90</w:t>
            </w:r>
          </w:p>
        </w:tc>
        <w:tc>
          <w:tcPr>
            <w:tcW w:w="1012" w:type="pct"/>
            <w:shd w:val="clear" w:color="auto" w:fill="auto"/>
            <w:noWrap/>
            <w:hideMark/>
          </w:tcPr>
          <w:p w:rsidR="004E6EEA" w:rsidRPr="00E626C7" w:rsidRDefault="004E6EEA" w:rsidP="00474D9C">
            <w:pPr>
              <w:rPr>
                <w:rFonts w:ascii="Calibri" w:hAnsi="Calibri"/>
                <w:sz w:val="20"/>
                <w:szCs w:val="20"/>
              </w:rPr>
            </w:pPr>
            <w:r>
              <w:rPr>
                <w:rFonts w:ascii="Calibri" w:hAnsi="Calibri"/>
                <w:sz w:val="20"/>
                <w:szCs w:val="20"/>
              </w:rPr>
              <w:t>8.20</w:t>
            </w:r>
          </w:p>
        </w:tc>
        <w:tc>
          <w:tcPr>
            <w:tcW w:w="1011" w:type="pct"/>
            <w:shd w:val="clear" w:color="auto" w:fill="auto"/>
            <w:noWrap/>
            <w:hideMark/>
          </w:tcPr>
          <w:p w:rsidR="004E6EEA" w:rsidRPr="00E626C7" w:rsidRDefault="004E6EEA" w:rsidP="00474D9C">
            <w:pPr>
              <w:rPr>
                <w:rFonts w:ascii="Calibri" w:hAnsi="Calibri"/>
                <w:sz w:val="20"/>
                <w:szCs w:val="20"/>
              </w:rPr>
            </w:pPr>
            <w:r>
              <w:rPr>
                <w:rFonts w:ascii="Calibri" w:hAnsi="Calibri"/>
                <w:sz w:val="20"/>
                <w:szCs w:val="20"/>
              </w:rPr>
              <w:t>12.98</w:t>
            </w:r>
          </w:p>
        </w:tc>
      </w:tr>
      <w:tr w:rsidR="004E6EEA" w:rsidRPr="00E626C7" w:rsidTr="00474D9C">
        <w:trPr>
          <w:trHeight w:val="300"/>
        </w:trPr>
        <w:tc>
          <w:tcPr>
            <w:tcW w:w="952" w:type="pct"/>
            <w:shd w:val="clear" w:color="auto" w:fill="auto"/>
            <w:noWrap/>
            <w:hideMark/>
          </w:tcPr>
          <w:p w:rsidR="004E6EEA" w:rsidRPr="00E626C7" w:rsidRDefault="004E6EEA" w:rsidP="00474D9C">
            <w:pPr>
              <w:rPr>
                <w:rFonts w:ascii="Calibri" w:hAnsi="Calibri"/>
                <w:b/>
                <w:sz w:val="20"/>
                <w:szCs w:val="20"/>
              </w:rPr>
            </w:pPr>
            <w:r w:rsidRPr="00E626C7">
              <w:rPr>
                <w:rFonts w:ascii="Calibri" w:hAnsi="Calibri"/>
                <w:b/>
                <w:sz w:val="20"/>
                <w:szCs w:val="20"/>
              </w:rPr>
              <w:t>Quantity (TJ)</w:t>
            </w:r>
          </w:p>
        </w:tc>
        <w:tc>
          <w:tcPr>
            <w:tcW w:w="1012" w:type="pct"/>
            <w:shd w:val="clear" w:color="auto" w:fill="auto"/>
            <w:noWrap/>
            <w:hideMark/>
          </w:tcPr>
          <w:p w:rsidR="004E6EEA" w:rsidRPr="00E626C7" w:rsidRDefault="004E6EEA" w:rsidP="00474D9C">
            <w:pPr>
              <w:rPr>
                <w:rFonts w:ascii="Calibri" w:hAnsi="Calibri"/>
                <w:sz w:val="20"/>
                <w:szCs w:val="20"/>
              </w:rPr>
            </w:pPr>
            <w:r>
              <w:rPr>
                <w:rFonts w:ascii="Calibri" w:hAnsi="Calibri"/>
                <w:sz w:val="20"/>
                <w:szCs w:val="20"/>
              </w:rPr>
              <w:t>278.3</w:t>
            </w:r>
          </w:p>
        </w:tc>
        <w:tc>
          <w:tcPr>
            <w:tcW w:w="1012" w:type="pct"/>
            <w:shd w:val="clear" w:color="auto" w:fill="auto"/>
            <w:noWrap/>
            <w:hideMark/>
          </w:tcPr>
          <w:p w:rsidR="004E6EEA" w:rsidRPr="00E626C7" w:rsidRDefault="004E6EEA" w:rsidP="00474D9C">
            <w:pPr>
              <w:rPr>
                <w:rFonts w:ascii="Calibri" w:hAnsi="Calibri"/>
                <w:sz w:val="20"/>
                <w:szCs w:val="20"/>
              </w:rPr>
            </w:pPr>
            <w:r>
              <w:rPr>
                <w:rFonts w:ascii="Calibri" w:hAnsi="Calibri"/>
                <w:sz w:val="20"/>
                <w:szCs w:val="20"/>
              </w:rPr>
              <w:t>278.4</w:t>
            </w:r>
          </w:p>
        </w:tc>
        <w:tc>
          <w:tcPr>
            <w:tcW w:w="1012" w:type="pct"/>
            <w:shd w:val="clear" w:color="auto" w:fill="auto"/>
            <w:noWrap/>
            <w:hideMark/>
          </w:tcPr>
          <w:p w:rsidR="004E6EEA" w:rsidRPr="00E626C7" w:rsidRDefault="004E6EEA" w:rsidP="00474D9C">
            <w:pPr>
              <w:rPr>
                <w:rFonts w:ascii="Calibri" w:hAnsi="Calibri"/>
                <w:sz w:val="20"/>
                <w:szCs w:val="20"/>
              </w:rPr>
            </w:pPr>
            <w:r>
              <w:rPr>
                <w:rFonts w:ascii="Calibri" w:hAnsi="Calibri"/>
                <w:sz w:val="20"/>
                <w:szCs w:val="20"/>
              </w:rPr>
              <w:t>279.2</w:t>
            </w:r>
          </w:p>
        </w:tc>
        <w:tc>
          <w:tcPr>
            <w:tcW w:w="1011" w:type="pct"/>
            <w:shd w:val="clear" w:color="auto" w:fill="auto"/>
            <w:noWrap/>
            <w:hideMark/>
          </w:tcPr>
          <w:p w:rsidR="004E6EEA" w:rsidRPr="00E626C7" w:rsidRDefault="004E6EEA" w:rsidP="00474D9C">
            <w:pPr>
              <w:rPr>
                <w:rFonts w:ascii="Calibri" w:hAnsi="Calibri"/>
                <w:sz w:val="20"/>
                <w:szCs w:val="20"/>
              </w:rPr>
            </w:pPr>
            <w:r>
              <w:rPr>
                <w:rFonts w:ascii="Calibri" w:hAnsi="Calibri"/>
                <w:sz w:val="20"/>
                <w:szCs w:val="20"/>
              </w:rPr>
              <w:t>+7.84 (S)</w:t>
            </w:r>
          </w:p>
        </w:tc>
      </w:tr>
    </w:tbl>
    <w:p w:rsidR="004E6EEA" w:rsidRDefault="00D90287" w:rsidP="004E6EEA">
      <w:pPr>
        <w:pStyle w:val="AERbodytext"/>
      </w:pPr>
      <w:r>
        <w:br/>
        <w:t>The three major participants forecast their demand accurately for this gas day</w:t>
      </w:r>
      <w:r w:rsidR="00CF45B1">
        <w:t xml:space="preserve"> relative to the other high price days</w:t>
      </w:r>
      <w:r>
        <w:t>.</w:t>
      </w:r>
      <w:r w:rsidR="00740638">
        <w:t xml:space="preserve"> Demand forecasts were consistent throughout the provisional and ex ante schedule</w:t>
      </w:r>
      <w:r w:rsidR="00F15A9C">
        <w:t>s</w:t>
      </w:r>
      <w:r w:rsidR="00740638">
        <w:t xml:space="preserve">. </w:t>
      </w:r>
    </w:p>
    <w:p w:rsidR="00A92E6B" w:rsidRDefault="00A92E6B" w:rsidP="00A92E6B">
      <w:pPr>
        <w:pStyle w:val="AERbodytext"/>
      </w:pPr>
      <w:r>
        <w:t>As shown in figure S9</w:t>
      </w:r>
      <w:r w:rsidR="00F359A1">
        <w:t xml:space="preserve"> below</w:t>
      </w:r>
      <w:r>
        <w:t xml:space="preserve">, Trading Participants changed their gas offers for the ex ante schedule. The changes were the main driver behind the high ex ante price. </w:t>
      </w:r>
    </w:p>
    <w:p w:rsidR="0042646B" w:rsidRDefault="00A513CB">
      <w:pPr>
        <w:pStyle w:val="AERbodytext"/>
        <w:keepNext/>
        <w:rPr>
          <w:rFonts w:ascii="Arial" w:hAnsi="Arial" w:cs="Arial"/>
          <w:b/>
          <w:sz w:val="20"/>
          <w:szCs w:val="20"/>
        </w:rPr>
      </w:pPr>
      <w:r>
        <w:rPr>
          <w:rFonts w:ascii="Arial" w:hAnsi="Arial" w:cs="Arial"/>
          <w:b/>
          <w:sz w:val="20"/>
          <w:szCs w:val="20"/>
        </w:rPr>
        <w:t xml:space="preserve">Figure </w:t>
      </w:r>
      <w:r w:rsidR="00C02CDF">
        <w:rPr>
          <w:rFonts w:ascii="Arial" w:hAnsi="Arial" w:cs="Arial"/>
          <w:b/>
          <w:sz w:val="20"/>
          <w:szCs w:val="20"/>
        </w:rPr>
        <w:t>S9</w:t>
      </w:r>
      <w:r>
        <w:rPr>
          <w:rFonts w:ascii="Arial" w:hAnsi="Arial" w:cs="Arial"/>
          <w:b/>
          <w:sz w:val="20"/>
          <w:szCs w:val="20"/>
        </w:rPr>
        <w:t xml:space="preserve">: 12 August provisional and </w:t>
      </w:r>
      <w:r w:rsidRPr="00D620E4">
        <w:rPr>
          <w:rFonts w:ascii="Arial" w:hAnsi="Arial" w:cs="Arial"/>
          <w:b/>
          <w:sz w:val="20"/>
          <w:szCs w:val="20"/>
        </w:rPr>
        <w:t>ex ante</w:t>
      </w:r>
      <w:r>
        <w:rPr>
          <w:rFonts w:ascii="Arial" w:hAnsi="Arial" w:cs="Arial"/>
          <w:b/>
          <w:sz w:val="20"/>
          <w:szCs w:val="20"/>
        </w:rPr>
        <w:t xml:space="preserve"> schedule offers</w:t>
      </w:r>
    </w:p>
    <w:p w:rsidR="00740638" w:rsidRDefault="007E4F35" w:rsidP="004E6EEA">
      <w:pPr>
        <w:pStyle w:val="AERbodytext"/>
      </w:pPr>
      <w:r>
        <w:pict>
          <v:shape id="_x0000_i1038" type="#_x0000_t75" style="width:451.25pt;height:195.9pt">
            <v:imagedata r:id="rId21" o:title=""/>
          </v:shape>
        </w:pict>
      </w:r>
    </w:p>
    <w:p w:rsidR="00A513CB" w:rsidRDefault="00A513CB" w:rsidP="004E6EEA">
      <w:pPr>
        <w:pStyle w:val="AERbodytext"/>
      </w:pPr>
      <w:r>
        <w:t>The most significant change to gas offers was a 16 TJ decline in $0/GJ priced gas</w:t>
      </w:r>
      <w:r w:rsidR="00CF45B1">
        <w:t xml:space="preserve"> by AGL</w:t>
      </w:r>
      <w:r>
        <w:t xml:space="preserve">. </w:t>
      </w:r>
      <w:r w:rsidR="00CF45B1">
        <w:t xml:space="preserve">At the same time AGL also increased its gas offers priced between $10–40/GJ </w:t>
      </w:r>
      <w:r w:rsidR="001F38A6">
        <w:t xml:space="preserve">by </w:t>
      </w:r>
      <w:r w:rsidR="00CF45B1">
        <w:t>13</w:t>
      </w:r>
      <w:r w:rsidR="001F38A6">
        <w:t xml:space="preserve"> TJ.</w:t>
      </w:r>
    </w:p>
    <w:p w:rsidR="004E6EEA" w:rsidRPr="00563605" w:rsidRDefault="004E6EEA" w:rsidP="004E6EEA">
      <w:pPr>
        <w:pStyle w:val="Heading4"/>
      </w:pPr>
      <w:r>
        <w:t>13 August</w:t>
      </w:r>
    </w:p>
    <w:p w:rsidR="004E6EEA" w:rsidRPr="0062300C" w:rsidRDefault="004E6EEA" w:rsidP="004E6EEA"/>
    <w:p w:rsidR="0033445F" w:rsidRPr="0062300C" w:rsidRDefault="0033445F" w:rsidP="004E6EEA">
      <w:pPr>
        <w:pStyle w:val="AERbodytext"/>
      </w:pPr>
      <w:r>
        <w:t>Th</w:t>
      </w:r>
      <w:r w:rsidR="00F359A1">
        <w:t>e 13 August</w:t>
      </w:r>
      <w:r>
        <w:t xml:space="preserve"> gas day was similar to the 12 August gas day. Again, demand forecasts were fairly accurate. </w:t>
      </w:r>
      <w:r w:rsidR="00A92E6B">
        <w:t>As shown in figure S10, t</w:t>
      </w:r>
      <w:r>
        <w:t xml:space="preserve">he ex post price </w:t>
      </w:r>
      <w:r w:rsidR="001F38A6">
        <w:t xml:space="preserve">was </w:t>
      </w:r>
      <w:r w:rsidR="00152809">
        <w:t xml:space="preserve">$11.98/GJ </w:t>
      </w:r>
      <w:r w:rsidR="001F38A6">
        <w:t xml:space="preserve">compared to the $6.05/GJ </w:t>
      </w:r>
      <w:r w:rsidR="00152809">
        <w:t>ex ante price</w:t>
      </w:r>
      <w:r w:rsidR="00A92E6B">
        <w:t xml:space="preserve">. </w:t>
      </w:r>
      <w:r w:rsidR="001F38A6">
        <w:t xml:space="preserve"> </w:t>
      </w:r>
      <w:r w:rsidR="00A92E6B">
        <w:t>T</w:t>
      </w:r>
      <w:r>
        <w:t>he</w:t>
      </w:r>
      <w:r w:rsidR="001F38A6">
        <w:t xml:space="preserve">re was a </w:t>
      </w:r>
      <w:r>
        <w:t>9.69 TJ imbalance</w:t>
      </w:r>
      <w:r w:rsidR="00152809">
        <w:t xml:space="preserve"> </w:t>
      </w:r>
      <w:r w:rsidR="001F38A6">
        <w:t>and limited volumes of gas were offered in between $6 and $10/GJ for the ex ante schedule</w:t>
      </w:r>
      <w:r w:rsidR="00A92E6B">
        <w:t xml:space="preserve"> resulting in the </w:t>
      </w:r>
      <w:r w:rsidR="00F359A1">
        <w:t xml:space="preserve">difference between the </w:t>
      </w:r>
      <w:r w:rsidR="00A92E6B">
        <w:t>ex ante</w:t>
      </w:r>
      <w:r w:rsidR="00F359A1">
        <w:t xml:space="preserve"> and</w:t>
      </w:r>
      <w:r w:rsidR="00A92E6B">
        <w:t xml:space="preserve"> ex post price</w:t>
      </w:r>
      <w:r w:rsidR="001F38A6">
        <w:t>.</w:t>
      </w:r>
    </w:p>
    <w:p w:rsidR="004E6EEA" w:rsidRPr="00D620E4" w:rsidRDefault="004E6EEA" w:rsidP="004E6EEA">
      <w:pPr>
        <w:jc w:val="both"/>
        <w:rPr>
          <w:rFonts w:ascii="Arial" w:hAnsi="Arial" w:cs="Arial"/>
          <w:b/>
          <w:sz w:val="20"/>
          <w:szCs w:val="20"/>
          <w:lang w:eastAsia="en-US"/>
        </w:rPr>
      </w:pPr>
      <w:r>
        <w:rPr>
          <w:rFonts w:ascii="Arial" w:hAnsi="Arial" w:cs="Arial"/>
          <w:b/>
          <w:sz w:val="20"/>
          <w:szCs w:val="20"/>
          <w:lang w:eastAsia="en-US"/>
        </w:rPr>
        <w:t xml:space="preserve">Figure </w:t>
      </w:r>
      <w:r w:rsidR="00C02CDF">
        <w:rPr>
          <w:rFonts w:ascii="Arial" w:hAnsi="Arial" w:cs="Arial"/>
          <w:b/>
          <w:sz w:val="20"/>
          <w:szCs w:val="20"/>
          <w:lang w:eastAsia="en-US"/>
        </w:rPr>
        <w:t>S10</w:t>
      </w:r>
      <w:r>
        <w:rPr>
          <w:rFonts w:ascii="Arial" w:hAnsi="Arial" w:cs="Arial"/>
          <w:b/>
          <w:sz w:val="20"/>
          <w:szCs w:val="20"/>
          <w:lang w:eastAsia="en-US"/>
        </w:rPr>
        <w:t>: 13 August</w:t>
      </w:r>
      <w:r w:rsidRPr="00D620E4">
        <w:rPr>
          <w:rFonts w:ascii="Arial" w:hAnsi="Arial" w:cs="Arial"/>
          <w:b/>
          <w:sz w:val="20"/>
          <w:szCs w:val="20"/>
          <w:lang w:eastAsia="en-US"/>
        </w:rPr>
        <w:t xml:space="preserve"> provisional, ex ante and ex post prices and quantities</w:t>
      </w:r>
    </w:p>
    <w:tbl>
      <w:tblPr>
        <w:tblW w:w="5000" w:type="pct"/>
        <w:tblBorders>
          <w:top w:val="single" w:sz="12" w:space="0" w:color="000000"/>
          <w:bottom w:val="single" w:sz="12" w:space="0" w:color="000000"/>
          <w:insideH w:val="single" w:sz="6" w:space="0" w:color="000000"/>
        </w:tblBorders>
        <w:tblLook w:val="04A0"/>
      </w:tblPr>
      <w:tblGrid>
        <w:gridCol w:w="1760"/>
        <w:gridCol w:w="1871"/>
        <w:gridCol w:w="1871"/>
        <w:gridCol w:w="1871"/>
        <w:gridCol w:w="1869"/>
      </w:tblGrid>
      <w:tr w:rsidR="004E6EEA" w:rsidRPr="00E626C7" w:rsidTr="00474D9C">
        <w:trPr>
          <w:trHeight w:val="300"/>
        </w:trPr>
        <w:tc>
          <w:tcPr>
            <w:tcW w:w="952" w:type="pct"/>
            <w:shd w:val="clear" w:color="auto" w:fill="auto"/>
            <w:noWrap/>
            <w:hideMark/>
          </w:tcPr>
          <w:p w:rsidR="004E6EEA" w:rsidRPr="00E626C7" w:rsidRDefault="004E6EEA" w:rsidP="00474D9C">
            <w:pPr>
              <w:rPr>
                <w:rFonts w:ascii="Calibri" w:hAnsi="Calibri"/>
                <w:sz w:val="20"/>
                <w:szCs w:val="20"/>
              </w:rPr>
            </w:pPr>
          </w:p>
        </w:tc>
        <w:tc>
          <w:tcPr>
            <w:tcW w:w="1012" w:type="pct"/>
            <w:shd w:val="clear" w:color="auto" w:fill="auto"/>
            <w:noWrap/>
            <w:vAlign w:val="center"/>
            <w:hideMark/>
          </w:tcPr>
          <w:p w:rsidR="004E6EEA" w:rsidRPr="00E626C7" w:rsidRDefault="004E6EEA" w:rsidP="00474D9C">
            <w:pPr>
              <w:rPr>
                <w:rFonts w:ascii="Calibri" w:hAnsi="Calibri"/>
                <w:b/>
                <w:sz w:val="20"/>
                <w:szCs w:val="20"/>
              </w:rPr>
            </w:pPr>
            <w:r w:rsidRPr="00E626C7">
              <w:rPr>
                <w:rFonts w:ascii="Calibri" w:hAnsi="Calibri"/>
                <w:b/>
                <w:sz w:val="20"/>
                <w:szCs w:val="20"/>
              </w:rPr>
              <w:t>D-3</w:t>
            </w:r>
          </w:p>
        </w:tc>
        <w:tc>
          <w:tcPr>
            <w:tcW w:w="1012" w:type="pct"/>
            <w:shd w:val="clear" w:color="auto" w:fill="auto"/>
            <w:noWrap/>
            <w:vAlign w:val="center"/>
            <w:hideMark/>
          </w:tcPr>
          <w:p w:rsidR="004E6EEA" w:rsidRPr="00E626C7" w:rsidRDefault="004E6EEA" w:rsidP="00474D9C">
            <w:pPr>
              <w:rPr>
                <w:rFonts w:ascii="Calibri" w:hAnsi="Calibri"/>
                <w:b/>
                <w:sz w:val="20"/>
                <w:szCs w:val="20"/>
              </w:rPr>
            </w:pPr>
            <w:r w:rsidRPr="00E626C7">
              <w:rPr>
                <w:rFonts w:ascii="Calibri" w:hAnsi="Calibri"/>
                <w:b/>
                <w:sz w:val="20"/>
                <w:szCs w:val="20"/>
              </w:rPr>
              <w:t>D-2</w:t>
            </w:r>
          </w:p>
        </w:tc>
        <w:tc>
          <w:tcPr>
            <w:tcW w:w="1012" w:type="pct"/>
            <w:shd w:val="clear" w:color="auto" w:fill="auto"/>
            <w:noWrap/>
            <w:vAlign w:val="center"/>
            <w:hideMark/>
          </w:tcPr>
          <w:p w:rsidR="004E6EEA" w:rsidRPr="00E626C7" w:rsidRDefault="004E6EEA" w:rsidP="00474D9C">
            <w:pPr>
              <w:rPr>
                <w:rFonts w:ascii="Calibri" w:hAnsi="Calibri"/>
                <w:b/>
                <w:sz w:val="20"/>
                <w:szCs w:val="20"/>
              </w:rPr>
            </w:pPr>
            <w:r w:rsidRPr="00E626C7">
              <w:rPr>
                <w:rFonts w:ascii="Calibri" w:hAnsi="Calibri"/>
                <w:b/>
                <w:sz w:val="20"/>
                <w:szCs w:val="20"/>
              </w:rPr>
              <w:t>Ex ante</w:t>
            </w:r>
          </w:p>
        </w:tc>
        <w:tc>
          <w:tcPr>
            <w:tcW w:w="1011" w:type="pct"/>
            <w:shd w:val="clear" w:color="auto" w:fill="auto"/>
            <w:noWrap/>
            <w:vAlign w:val="center"/>
            <w:hideMark/>
          </w:tcPr>
          <w:p w:rsidR="004E6EEA" w:rsidRPr="00E626C7" w:rsidRDefault="004E6EEA" w:rsidP="00474D9C">
            <w:pPr>
              <w:rPr>
                <w:rFonts w:ascii="Calibri" w:hAnsi="Calibri"/>
                <w:b/>
                <w:sz w:val="20"/>
                <w:szCs w:val="20"/>
              </w:rPr>
            </w:pPr>
            <w:r w:rsidRPr="00E626C7">
              <w:rPr>
                <w:rFonts w:ascii="Calibri" w:hAnsi="Calibri"/>
                <w:b/>
                <w:sz w:val="20"/>
                <w:szCs w:val="20"/>
              </w:rPr>
              <w:t>Ex post</w:t>
            </w:r>
          </w:p>
        </w:tc>
      </w:tr>
      <w:tr w:rsidR="004E6EEA" w:rsidRPr="00E626C7" w:rsidTr="00474D9C">
        <w:trPr>
          <w:trHeight w:val="50"/>
        </w:trPr>
        <w:tc>
          <w:tcPr>
            <w:tcW w:w="952" w:type="pct"/>
            <w:shd w:val="clear" w:color="auto" w:fill="auto"/>
            <w:noWrap/>
            <w:hideMark/>
          </w:tcPr>
          <w:p w:rsidR="004E6EEA" w:rsidRPr="00E626C7" w:rsidRDefault="004E6EEA" w:rsidP="00474D9C">
            <w:pPr>
              <w:rPr>
                <w:rFonts w:ascii="Calibri" w:hAnsi="Calibri"/>
                <w:b/>
                <w:sz w:val="20"/>
                <w:szCs w:val="20"/>
              </w:rPr>
            </w:pPr>
            <w:r w:rsidRPr="00E626C7">
              <w:rPr>
                <w:rFonts w:ascii="Calibri" w:hAnsi="Calibri"/>
                <w:b/>
                <w:sz w:val="20"/>
                <w:szCs w:val="20"/>
              </w:rPr>
              <w:t>Price ($/GJ)</w:t>
            </w:r>
          </w:p>
        </w:tc>
        <w:tc>
          <w:tcPr>
            <w:tcW w:w="1012" w:type="pct"/>
            <w:shd w:val="clear" w:color="auto" w:fill="auto"/>
            <w:noWrap/>
            <w:hideMark/>
          </w:tcPr>
          <w:p w:rsidR="004E6EEA" w:rsidRPr="00E626C7" w:rsidRDefault="004E6EEA" w:rsidP="00474D9C">
            <w:pPr>
              <w:rPr>
                <w:rFonts w:ascii="Calibri" w:hAnsi="Calibri"/>
                <w:sz w:val="20"/>
                <w:szCs w:val="20"/>
              </w:rPr>
            </w:pPr>
            <w:r>
              <w:rPr>
                <w:rFonts w:ascii="Calibri" w:hAnsi="Calibri"/>
                <w:sz w:val="20"/>
                <w:szCs w:val="20"/>
              </w:rPr>
              <w:t>6.05</w:t>
            </w:r>
          </w:p>
        </w:tc>
        <w:tc>
          <w:tcPr>
            <w:tcW w:w="1012" w:type="pct"/>
            <w:shd w:val="clear" w:color="auto" w:fill="auto"/>
            <w:noWrap/>
            <w:hideMark/>
          </w:tcPr>
          <w:p w:rsidR="004E6EEA" w:rsidRPr="00E626C7" w:rsidRDefault="004E6EEA" w:rsidP="00474D9C">
            <w:pPr>
              <w:rPr>
                <w:rFonts w:ascii="Calibri" w:hAnsi="Calibri"/>
                <w:sz w:val="20"/>
                <w:szCs w:val="20"/>
              </w:rPr>
            </w:pPr>
            <w:r>
              <w:rPr>
                <w:rFonts w:ascii="Calibri" w:hAnsi="Calibri"/>
                <w:sz w:val="20"/>
                <w:szCs w:val="20"/>
              </w:rPr>
              <w:t>6.05</w:t>
            </w:r>
          </w:p>
        </w:tc>
        <w:tc>
          <w:tcPr>
            <w:tcW w:w="1012" w:type="pct"/>
            <w:shd w:val="clear" w:color="auto" w:fill="auto"/>
            <w:noWrap/>
            <w:hideMark/>
          </w:tcPr>
          <w:p w:rsidR="004E6EEA" w:rsidRPr="00E626C7" w:rsidRDefault="004E6EEA" w:rsidP="00474D9C">
            <w:pPr>
              <w:rPr>
                <w:rFonts w:ascii="Calibri" w:hAnsi="Calibri"/>
                <w:sz w:val="20"/>
                <w:szCs w:val="20"/>
              </w:rPr>
            </w:pPr>
            <w:r>
              <w:rPr>
                <w:rFonts w:ascii="Calibri" w:hAnsi="Calibri"/>
                <w:sz w:val="20"/>
                <w:szCs w:val="20"/>
              </w:rPr>
              <w:t>6.05</w:t>
            </w:r>
          </w:p>
        </w:tc>
        <w:tc>
          <w:tcPr>
            <w:tcW w:w="1011" w:type="pct"/>
            <w:shd w:val="clear" w:color="auto" w:fill="auto"/>
            <w:noWrap/>
            <w:hideMark/>
          </w:tcPr>
          <w:p w:rsidR="004E6EEA" w:rsidRPr="00E626C7" w:rsidRDefault="004E6EEA" w:rsidP="00474D9C">
            <w:pPr>
              <w:rPr>
                <w:rFonts w:ascii="Calibri" w:hAnsi="Calibri"/>
                <w:sz w:val="20"/>
                <w:szCs w:val="20"/>
              </w:rPr>
            </w:pPr>
            <w:r>
              <w:rPr>
                <w:rFonts w:ascii="Calibri" w:hAnsi="Calibri"/>
                <w:sz w:val="20"/>
                <w:szCs w:val="20"/>
              </w:rPr>
              <w:t>11.98</w:t>
            </w:r>
          </w:p>
        </w:tc>
      </w:tr>
      <w:tr w:rsidR="004E6EEA" w:rsidRPr="00E626C7" w:rsidTr="00474D9C">
        <w:trPr>
          <w:trHeight w:val="300"/>
        </w:trPr>
        <w:tc>
          <w:tcPr>
            <w:tcW w:w="952" w:type="pct"/>
            <w:shd w:val="clear" w:color="auto" w:fill="auto"/>
            <w:noWrap/>
            <w:hideMark/>
          </w:tcPr>
          <w:p w:rsidR="004E6EEA" w:rsidRPr="00E626C7" w:rsidRDefault="004E6EEA" w:rsidP="00474D9C">
            <w:pPr>
              <w:rPr>
                <w:rFonts w:ascii="Calibri" w:hAnsi="Calibri"/>
                <w:b/>
                <w:sz w:val="20"/>
                <w:szCs w:val="20"/>
              </w:rPr>
            </w:pPr>
            <w:r w:rsidRPr="00E626C7">
              <w:rPr>
                <w:rFonts w:ascii="Calibri" w:hAnsi="Calibri"/>
                <w:b/>
                <w:sz w:val="20"/>
                <w:szCs w:val="20"/>
              </w:rPr>
              <w:t>Quantity (TJ)</w:t>
            </w:r>
          </w:p>
        </w:tc>
        <w:tc>
          <w:tcPr>
            <w:tcW w:w="1012" w:type="pct"/>
            <w:shd w:val="clear" w:color="auto" w:fill="auto"/>
            <w:noWrap/>
            <w:hideMark/>
          </w:tcPr>
          <w:p w:rsidR="004E6EEA" w:rsidRPr="00E626C7" w:rsidRDefault="004E6EEA" w:rsidP="00474D9C">
            <w:pPr>
              <w:rPr>
                <w:rFonts w:ascii="Calibri" w:hAnsi="Calibri"/>
                <w:sz w:val="20"/>
                <w:szCs w:val="20"/>
              </w:rPr>
            </w:pPr>
            <w:r>
              <w:rPr>
                <w:rFonts w:ascii="Calibri" w:hAnsi="Calibri"/>
                <w:sz w:val="20"/>
                <w:szCs w:val="20"/>
              </w:rPr>
              <w:t>302.5</w:t>
            </w:r>
          </w:p>
        </w:tc>
        <w:tc>
          <w:tcPr>
            <w:tcW w:w="1012" w:type="pct"/>
            <w:shd w:val="clear" w:color="auto" w:fill="auto"/>
            <w:noWrap/>
            <w:hideMark/>
          </w:tcPr>
          <w:p w:rsidR="004E6EEA" w:rsidRPr="00E626C7" w:rsidRDefault="004E6EEA" w:rsidP="00474D9C">
            <w:pPr>
              <w:rPr>
                <w:rFonts w:ascii="Calibri" w:hAnsi="Calibri"/>
                <w:sz w:val="20"/>
                <w:szCs w:val="20"/>
              </w:rPr>
            </w:pPr>
            <w:r>
              <w:rPr>
                <w:rFonts w:ascii="Calibri" w:hAnsi="Calibri"/>
                <w:sz w:val="20"/>
                <w:szCs w:val="20"/>
              </w:rPr>
              <w:t>305.2</w:t>
            </w:r>
          </w:p>
        </w:tc>
        <w:tc>
          <w:tcPr>
            <w:tcW w:w="1012" w:type="pct"/>
            <w:shd w:val="clear" w:color="auto" w:fill="auto"/>
            <w:noWrap/>
            <w:hideMark/>
          </w:tcPr>
          <w:p w:rsidR="004E6EEA" w:rsidRPr="00E626C7" w:rsidRDefault="004E6EEA" w:rsidP="00474D9C">
            <w:pPr>
              <w:rPr>
                <w:rFonts w:ascii="Calibri" w:hAnsi="Calibri"/>
                <w:sz w:val="20"/>
                <w:szCs w:val="20"/>
              </w:rPr>
            </w:pPr>
            <w:r>
              <w:rPr>
                <w:rFonts w:ascii="Calibri" w:hAnsi="Calibri"/>
                <w:sz w:val="20"/>
                <w:szCs w:val="20"/>
              </w:rPr>
              <w:t>298.5</w:t>
            </w:r>
          </w:p>
        </w:tc>
        <w:tc>
          <w:tcPr>
            <w:tcW w:w="1011" w:type="pct"/>
            <w:shd w:val="clear" w:color="auto" w:fill="auto"/>
            <w:noWrap/>
            <w:hideMark/>
          </w:tcPr>
          <w:p w:rsidR="004E6EEA" w:rsidRPr="00E626C7" w:rsidRDefault="004E6EEA" w:rsidP="00474D9C">
            <w:pPr>
              <w:rPr>
                <w:rFonts w:ascii="Calibri" w:hAnsi="Calibri"/>
                <w:sz w:val="20"/>
                <w:szCs w:val="20"/>
              </w:rPr>
            </w:pPr>
            <w:r>
              <w:rPr>
                <w:rFonts w:ascii="Calibri" w:hAnsi="Calibri"/>
                <w:sz w:val="20"/>
                <w:szCs w:val="20"/>
              </w:rPr>
              <w:t>+9.69 (S)</w:t>
            </w:r>
          </w:p>
        </w:tc>
      </w:tr>
    </w:tbl>
    <w:p w:rsidR="009F55FC" w:rsidRDefault="004E6EEA" w:rsidP="009F55FC">
      <w:pPr>
        <w:pStyle w:val="AERbodytext"/>
      </w:pPr>
      <w:r w:rsidRPr="0062300C">
        <w:br/>
      </w:r>
      <w:r w:rsidR="00F15A9C">
        <w:t xml:space="preserve">The three major participants forecast their demand </w:t>
      </w:r>
      <w:r w:rsidR="00F359A1">
        <w:t xml:space="preserve">fairly </w:t>
      </w:r>
      <w:r w:rsidR="00F15A9C">
        <w:t xml:space="preserve">accurately for this gas day. One participant over forecast by 4 per cent, and the other two participants under forecast by 5 and 3 per cent respectively. Demand forecasts were </w:t>
      </w:r>
      <w:r w:rsidR="009F55FC">
        <w:t xml:space="preserve">fairly </w:t>
      </w:r>
      <w:r w:rsidR="00F15A9C">
        <w:t>consistent throughout the provisional and ex ante schedules</w:t>
      </w:r>
    </w:p>
    <w:p w:rsidR="00A92E6B" w:rsidRDefault="00A92E6B" w:rsidP="009F55FC">
      <w:pPr>
        <w:pStyle w:val="AERbodytext"/>
        <w:rPr>
          <w:rFonts w:ascii="Arial" w:hAnsi="Arial" w:cs="Arial"/>
          <w:b/>
          <w:sz w:val="20"/>
          <w:szCs w:val="20"/>
        </w:rPr>
      </w:pPr>
      <w:r>
        <w:t>As shown in figure S11 below, Trading Participants changed their gas offers for the ex ante schedule.</w:t>
      </w:r>
    </w:p>
    <w:p w:rsidR="0042646B" w:rsidRDefault="009F55FC">
      <w:pPr>
        <w:pStyle w:val="AERbodytext"/>
        <w:keepNext/>
        <w:rPr>
          <w:rFonts w:ascii="Arial" w:hAnsi="Arial" w:cs="Arial"/>
          <w:b/>
          <w:sz w:val="20"/>
          <w:szCs w:val="20"/>
        </w:rPr>
      </w:pPr>
      <w:r>
        <w:rPr>
          <w:rFonts w:ascii="Arial" w:hAnsi="Arial" w:cs="Arial"/>
          <w:b/>
          <w:sz w:val="20"/>
          <w:szCs w:val="20"/>
        </w:rPr>
        <w:t xml:space="preserve">Figure </w:t>
      </w:r>
      <w:r w:rsidR="00C02CDF">
        <w:rPr>
          <w:rFonts w:ascii="Arial" w:hAnsi="Arial" w:cs="Arial"/>
          <w:b/>
          <w:sz w:val="20"/>
          <w:szCs w:val="20"/>
        </w:rPr>
        <w:t>S11</w:t>
      </w:r>
      <w:r>
        <w:rPr>
          <w:rFonts w:ascii="Arial" w:hAnsi="Arial" w:cs="Arial"/>
          <w:b/>
          <w:sz w:val="20"/>
          <w:szCs w:val="20"/>
        </w:rPr>
        <w:t xml:space="preserve">: 13 August provisional and </w:t>
      </w:r>
      <w:r w:rsidRPr="00D620E4">
        <w:rPr>
          <w:rFonts w:ascii="Arial" w:hAnsi="Arial" w:cs="Arial"/>
          <w:b/>
          <w:sz w:val="20"/>
          <w:szCs w:val="20"/>
        </w:rPr>
        <w:t>ex ante</w:t>
      </w:r>
      <w:r>
        <w:rPr>
          <w:rFonts w:ascii="Arial" w:hAnsi="Arial" w:cs="Arial"/>
          <w:b/>
          <w:sz w:val="20"/>
          <w:szCs w:val="20"/>
        </w:rPr>
        <w:t xml:space="preserve"> schedule offers</w:t>
      </w:r>
    </w:p>
    <w:p w:rsidR="004E6EEA" w:rsidRDefault="007E4F35" w:rsidP="004E6EEA">
      <w:pPr>
        <w:pStyle w:val="AERbodytext"/>
      </w:pPr>
      <w:r>
        <w:pict>
          <v:shape id="_x0000_i1039" type="#_x0000_t75" style="width:451.25pt;height:195.9pt">
            <v:imagedata r:id="rId22" o:title=""/>
          </v:shape>
        </w:pict>
      </w:r>
    </w:p>
    <w:p w:rsidR="009F55FC" w:rsidRDefault="00473E27" w:rsidP="004E6EEA">
      <w:pPr>
        <w:pStyle w:val="AERbodytext"/>
      </w:pPr>
      <w:r>
        <w:t xml:space="preserve">The most significant change to gas offers was an 18 TJ </w:t>
      </w:r>
      <w:r w:rsidR="00CE540A">
        <w:t xml:space="preserve">reduction </w:t>
      </w:r>
      <w:r>
        <w:t>in $0/GJ priced gas</w:t>
      </w:r>
      <w:r w:rsidR="00CE540A">
        <w:t xml:space="preserve"> caused by a rebid by AGL</w:t>
      </w:r>
      <w:r>
        <w:t>. AGL</w:t>
      </w:r>
      <w:r w:rsidR="00CE540A">
        <w:t xml:space="preserve"> </w:t>
      </w:r>
      <w:r>
        <w:t>reduced its D-2 offer from 193 TJ to 175</w:t>
      </w:r>
      <w:r w:rsidR="00CE540A">
        <w:t xml:space="preserve"> TJ. At the same time, AGL rebid 13 TJ of extra gas offers in the $100–300/GJ price band, although this had no effect on the price.</w:t>
      </w:r>
    </w:p>
    <w:p w:rsidR="004E6EEA" w:rsidRPr="00563605" w:rsidRDefault="004E6EEA" w:rsidP="004E6EEA">
      <w:pPr>
        <w:pStyle w:val="Heading4"/>
      </w:pPr>
      <w:r>
        <w:t>14 August</w:t>
      </w:r>
    </w:p>
    <w:p w:rsidR="004E6EEA" w:rsidRPr="0062300C" w:rsidRDefault="004E6EEA" w:rsidP="004E6EEA"/>
    <w:p w:rsidR="00E43750" w:rsidRPr="0062300C" w:rsidRDefault="00F359A1" w:rsidP="004E6EEA">
      <w:pPr>
        <w:pStyle w:val="AERbodytext"/>
      </w:pPr>
      <w:r>
        <w:t xml:space="preserve">For August 14 (see </w:t>
      </w:r>
      <w:r w:rsidR="00A92E6B">
        <w:t>figure S12</w:t>
      </w:r>
      <w:r>
        <w:t xml:space="preserve"> below)</w:t>
      </w:r>
      <w:r w:rsidR="00A92E6B">
        <w:t>, t</w:t>
      </w:r>
      <w:r w:rsidR="00897120">
        <w:t xml:space="preserve">he gas price </w:t>
      </w:r>
      <w:r>
        <w:t xml:space="preserve">was </w:t>
      </w:r>
      <w:r w:rsidR="00897120">
        <w:t xml:space="preserve">at $6.05/GJ for the provisional and ex ante schedules. </w:t>
      </w:r>
      <w:r w:rsidR="00152809">
        <w:t>The three major participants under forecast demand</w:t>
      </w:r>
      <w:r w:rsidR="00152809" w:rsidDel="00152809">
        <w:t xml:space="preserve"> </w:t>
      </w:r>
      <w:r w:rsidR="00152809">
        <w:t xml:space="preserve">resulting in a 25.64 TJ imbalance and </w:t>
      </w:r>
      <w:r w:rsidR="00A92E6B">
        <w:t xml:space="preserve">there was </w:t>
      </w:r>
      <w:r w:rsidR="00152809">
        <w:t xml:space="preserve">a </w:t>
      </w:r>
      <w:r w:rsidR="00A92E6B">
        <w:t xml:space="preserve">resultant </w:t>
      </w:r>
      <w:r w:rsidR="00152809">
        <w:t xml:space="preserve">$13.60/GJ </w:t>
      </w:r>
      <w:r w:rsidR="00897120">
        <w:t>ex post price</w:t>
      </w:r>
      <w:r w:rsidR="00D43DD2">
        <w:t>.</w:t>
      </w:r>
      <w:r w:rsidR="00152809">
        <w:t xml:space="preserve"> </w:t>
      </w:r>
      <w:r w:rsidR="0057385F">
        <w:t>This</w:t>
      </w:r>
      <w:r w:rsidR="00A92E6B">
        <w:t xml:space="preserve"> </w:t>
      </w:r>
      <w:r w:rsidR="0057385F">
        <w:t>was the highest imbalance of the month for Sydne</w:t>
      </w:r>
      <w:r>
        <w:t>y.</w:t>
      </w:r>
    </w:p>
    <w:p w:rsidR="004E6EEA" w:rsidRPr="00D620E4" w:rsidRDefault="004E6EEA" w:rsidP="004E6EEA">
      <w:pPr>
        <w:jc w:val="both"/>
        <w:rPr>
          <w:rFonts w:ascii="Arial" w:hAnsi="Arial" w:cs="Arial"/>
          <w:b/>
          <w:sz w:val="20"/>
          <w:szCs w:val="20"/>
          <w:lang w:eastAsia="en-US"/>
        </w:rPr>
      </w:pPr>
      <w:r>
        <w:rPr>
          <w:rFonts w:ascii="Arial" w:hAnsi="Arial" w:cs="Arial"/>
          <w:b/>
          <w:sz w:val="20"/>
          <w:szCs w:val="20"/>
          <w:lang w:eastAsia="en-US"/>
        </w:rPr>
        <w:t xml:space="preserve">Figure </w:t>
      </w:r>
      <w:r w:rsidR="00C02CDF">
        <w:rPr>
          <w:rFonts w:ascii="Arial" w:hAnsi="Arial" w:cs="Arial"/>
          <w:b/>
          <w:sz w:val="20"/>
          <w:szCs w:val="20"/>
          <w:lang w:eastAsia="en-US"/>
        </w:rPr>
        <w:t>S12</w:t>
      </w:r>
      <w:r>
        <w:rPr>
          <w:rFonts w:ascii="Arial" w:hAnsi="Arial" w:cs="Arial"/>
          <w:b/>
          <w:sz w:val="20"/>
          <w:szCs w:val="20"/>
          <w:lang w:eastAsia="en-US"/>
        </w:rPr>
        <w:t>: 14 August</w:t>
      </w:r>
      <w:r w:rsidRPr="00D620E4">
        <w:rPr>
          <w:rFonts w:ascii="Arial" w:hAnsi="Arial" w:cs="Arial"/>
          <w:b/>
          <w:sz w:val="20"/>
          <w:szCs w:val="20"/>
          <w:lang w:eastAsia="en-US"/>
        </w:rPr>
        <w:t xml:space="preserve"> provisional, ex ante and ex post prices and quantities</w:t>
      </w:r>
    </w:p>
    <w:tbl>
      <w:tblPr>
        <w:tblW w:w="5000" w:type="pct"/>
        <w:tblBorders>
          <w:top w:val="single" w:sz="12" w:space="0" w:color="000000"/>
          <w:bottom w:val="single" w:sz="12" w:space="0" w:color="000000"/>
          <w:insideH w:val="single" w:sz="6" w:space="0" w:color="000000"/>
        </w:tblBorders>
        <w:tblLook w:val="04A0"/>
      </w:tblPr>
      <w:tblGrid>
        <w:gridCol w:w="1760"/>
        <w:gridCol w:w="1871"/>
        <w:gridCol w:w="1871"/>
        <w:gridCol w:w="1871"/>
        <w:gridCol w:w="1869"/>
      </w:tblGrid>
      <w:tr w:rsidR="004E6EEA" w:rsidRPr="00E626C7" w:rsidTr="00474D9C">
        <w:trPr>
          <w:trHeight w:val="300"/>
        </w:trPr>
        <w:tc>
          <w:tcPr>
            <w:tcW w:w="952" w:type="pct"/>
            <w:shd w:val="clear" w:color="auto" w:fill="auto"/>
            <w:noWrap/>
            <w:hideMark/>
          </w:tcPr>
          <w:p w:rsidR="004E6EEA" w:rsidRPr="00E626C7" w:rsidRDefault="004E6EEA" w:rsidP="00474D9C">
            <w:pPr>
              <w:rPr>
                <w:rFonts w:ascii="Calibri" w:hAnsi="Calibri"/>
                <w:sz w:val="20"/>
                <w:szCs w:val="20"/>
              </w:rPr>
            </w:pPr>
          </w:p>
        </w:tc>
        <w:tc>
          <w:tcPr>
            <w:tcW w:w="1012" w:type="pct"/>
            <w:shd w:val="clear" w:color="auto" w:fill="auto"/>
            <w:noWrap/>
            <w:vAlign w:val="center"/>
            <w:hideMark/>
          </w:tcPr>
          <w:p w:rsidR="004E6EEA" w:rsidRPr="00E626C7" w:rsidRDefault="004E6EEA" w:rsidP="00474D9C">
            <w:pPr>
              <w:rPr>
                <w:rFonts w:ascii="Calibri" w:hAnsi="Calibri"/>
                <w:b/>
                <w:sz w:val="20"/>
                <w:szCs w:val="20"/>
              </w:rPr>
            </w:pPr>
            <w:r w:rsidRPr="00E626C7">
              <w:rPr>
                <w:rFonts w:ascii="Calibri" w:hAnsi="Calibri"/>
                <w:b/>
                <w:sz w:val="20"/>
                <w:szCs w:val="20"/>
              </w:rPr>
              <w:t>D-3</w:t>
            </w:r>
          </w:p>
        </w:tc>
        <w:tc>
          <w:tcPr>
            <w:tcW w:w="1012" w:type="pct"/>
            <w:shd w:val="clear" w:color="auto" w:fill="auto"/>
            <w:noWrap/>
            <w:vAlign w:val="center"/>
            <w:hideMark/>
          </w:tcPr>
          <w:p w:rsidR="004E6EEA" w:rsidRPr="00E626C7" w:rsidRDefault="004E6EEA" w:rsidP="00474D9C">
            <w:pPr>
              <w:rPr>
                <w:rFonts w:ascii="Calibri" w:hAnsi="Calibri"/>
                <w:b/>
                <w:sz w:val="20"/>
                <w:szCs w:val="20"/>
              </w:rPr>
            </w:pPr>
            <w:r w:rsidRPr="00E626C7">
              <w:rPr>
                <w:rFonts w:ascii="Calibri" w:hAnsi="Calibri"/>
                <w:b/>
                <w:sz w:val="20"/>
                <w:szCs w:val="20"/>
              </w:rPr>
              <w:t>D-2</w:t>
            </w:r>
          </w:p>
        </w:tc>
        <w:tc>
          <w:tcPr>
            <w:tcW w:w="1012" w:type="pct"/>
            <w:shd w:val="clear" w:color="auto" w:fill="auto"/>
            <w:noWrap/>
            <w:vAlign w:val="center"/>
            <w:hideMark/>
          </w:tcPr>
          <w:p w:rsidR="004E6EEA" w:rsidRPr="00E626C7" w:rsidRDefault="004E6EEA" w:rsidP="00474D9C">
            <w:pPr>
              <w:rPr>
                <w:rFonts w:ascii="Calibri" w:hAnsi="Calibri"/>
                <w:b/>
                <w:sz w:val="20"/>
                <w:szCs w:val="20"/>
              </w:rPr>
            </w:pPr>
            <w:r w:rsidRPr="00E626C7">
              <w:rPr>
                <w:rFonts w:ascii="Calibri" w:hAnsi="Calibri"/>
                <w:b/>
                <w:sz w:val="20"/>
                <w:szCs w:val="20"/>
              </w:rPr>
              <w:t>Ex ante</w:t>
            </w:r>
          </w:p>
        </w:tc>
        <w:tc>
          <w:tcPr>
            <w:tcW w:w="1011" w:type="pct"/>
            <w:shd w:val="clear" w:color="auto" w:fill="auto"/>
            <w:noWrap/>
            <w:vAlign w:val="center"/>
            <w:hideMark/>
          </w:tcPr>
          <w:p w:rsidR="004E6EEA" w:rsidRPr="00E626C7" w:rsidRDefault="004E6EEA" w:rsidP="00474D9C">
            <w:pPr>
              <w:rPr>
                <w:rFonts w:ascii="Calibri" w:hAnsi="Calibri"/>
                <w:b/>
                <w:sz w:val="20"/>
                <w:szCs w:val="20"/>
              </w:rPr>
            </w:pPr>
            <w:r w:rsidRPr="00E626C7">
              <w:rPr>
                <w:rFonts w:ascii="Calibri" w:hAnsi="Calibri"/>
                <w:b/>
                <w:sz w:val="20"/>
                <w:szCs w:val="20"/>
              </w:rPr>
              <w:t>Ex post</w:t>
            </w:r>
          </w:p>
        </w:tc>
      </w:tr>
      <w:tr w:rsidR="004E6EEA" w:rsidRPr="00E626C7" w:rsidTr="00474D9C">
        <w:trPr>
          <w:trHeight w:val="50"/>
        </w:trPr>
        <w:tc>
          <w:tcPr>
            <w:tcW w:w="952" w:type="pct"/>
            <w:shd w:val="clear" w:color="auto" w:fill="auto"/>
            <w:noWrap/>
            <w:hideMark/>
          </w:tcPr>
          <w:p w:rsidR="004E6EEA" w:rsidRPr="00E626C7" w:rsidRDefault="004E6EEA" w:rsidP="00474D9C">
            <w:pPr>
              <w:rPr>
                <w:rFonts w:ascii="Calibri" w:hAnsi="Calibri"/>
                <w:b/>
                <w:sz w:val="20"/>
                <w:szCs w:val="20"/>
              </w:rPr>
            </w:pPr>
            <w:r w:rsidRPr="00E626C7">
              <w:rPr>
                <w:rFonts w:ascii="Calibri" w:hAnsi="Calibri"/>
                <w:b/>
                <w:sz w:val="20"/>
                <w:szCs w:val="20"/>
              </w:rPr>
              <w:t>Price ($/GJ)</w:t>
            </w:r>
          </w:p>
        </w:tc>
        <w:tc>
          <w:tcPr>
            <w:tcW w:w="1012" w:type="pct"/>
            <w:shd w:val="clear" w:color="auto" w:fill="auto"/>
            <w:noWrap/>
            <w:hideMark/>
          </w:tcPr>
          <w:p w:rsidR="004E6EEA" w:rsidRPr="00E626C7" w:rsidRDefault="004E6EEA" w:rsidP="00474D9C">
            <w:pPr>
              <w:rPr>
                <w:rFonts w:ascii="Calibri" w:hAnsi="Calibri"/>
                <w:sz w:val="20"/>
                <w:szCs w:val="20"/>
              </w:rPr>
            </w:pPr>
            <w:r>
              <w:rPr>
                <w:rFonts w:ascii="Calibri" w:hAnsi="Calibri"/>
                <w:sz w:val="20"/>
                <w:szCs w:val="20"/>
              </w:rPr>
              <w:t>6.05</w:t>
            </w:r>
          </w:p>
        </w:tc>
        <w:tc>
          <w:tcPr>
            <w:tcW w:w="1012" w:type="pct"/>
            <w:shd w:val="clear" w:color="auto" w:fill="auto"/>
            <w:noWrap/>
            <w:hideMark/>
          </w:tcPr>
          <w:p w:rsidR="004E6EEA" w:rsidRPr="00E626C7" w:rsidRDefault="004E6EEA" w:rsidP="00474D9C">
            <w:pPr>
              <w:rPr>
                <w:rFonts w:ascii="Calibri" w:hAnsi="Calibri"/>
                <w:sz w:val="20"/>
                <w:szCs w:val="20"/>
              </w:rPr>
            </w:pPr>
            <w:r>
              <w:rPr>
                <w:rFonts w:ascii="Calibri" w:hAnsi="Calibri"/>
                <w:sz w:val="20"/>
                <w:szCs w:val="20"/>
              </w:rPr>
              <w:t>6.05</w:t>
            </w:r>
          </w:p>
        </w:tc>
        <w:tc>
          <w:tcPr>
            <w:tcW w:w="1012" w:type="pct"/>
            <w:shd w:val="clear" w:color="auto" w:fill="auto"/>
            <w:noWrap/>
            <w:hideMark/>
          </w:tcPr>
          <w:p w:rsidR="004E6EEA" w:rsidRPr="00E626C7" w:rsidRDefault="004E6EEA" w:rsidP="00474D9C">
            <w:pPr>
              <w:rPr>
                <w:rFonts w:ascii="Calibri" w:hAnsi="Calibri"/>
                <w:sz w:val="20"/>
                <w:szCs w:val="20"/>
              </w:rPr>
            </w:pPr>
            <w:r>
              <w:rPr>
                <w:rFonts w:ascii="Calibri" w:hAnsi="Calibri"/>
                <w:sz w:val="20"/>
                <w:szCs w:val="20"/>
              </w:rPr>
              <w:t>6.05</w:t>
            </w:r>
          </w:p>
        </w:tc>
        <w:tc>
          <w:tcPr>
            <w:tcW w:w="1011" w:type="pct"/>
            <w:shd w:val="clear" w:color="auto" w:fill="auto"/>
            <w:noWrap/>
            <w:hideMark/>
          </w:tcPr>
          <w:p w:rsidR="004E6EEA" w:rsidRPr="00E626C7" w:rsidRDefault="004E6EEA" w:rsidP="00474D9C">
            <w:pPr>
              <w:rPr>
                <w:rFonts w:ascii="Calibri" w:hAnsi="Calibri"/>
                <w:sz w:val="20"/>
                <w:szCs w:val="20"/>
              </w:rPr>
            </w:pPr>
            <w:r>
              <w:rPr>
                <w:rFonts w:ascii="Calibri" w:hAnsi="Calibri"/>
                <w:sz w:val="20"/>
                <w:szCs w:val="20"/>
              </w:rPr>
              <w:t>13.60</w:t>
            </w:r>
          </w:p>
        </w:tc>
      </w:tr>
      <w:tr w:rsidR="004E6EEA" w:rsidRPr="00E626C7" w:rsidTr="00474D9C">
        <w:trPr>
          <w:trHeight w:val="300"/>
        </w:trPr>
        <w:tc>
          <w:tcPr>
            <w:tcW w:w="952" w:type="pct"/>
            <w:shd w:val="clear" w:color="auto" w:fill="auto"/>
            <w:noWrap/>
            <w:hideMark/>
          </w:tcPr>
          <w:p w:rsidR="004E6EEA" w:rsidRPr="00E626C7" w:rsidRDefault="004E6EEA" w:rsidP="00474D9C">
            <w:pPr>
              <w:rPr>
                <w:rFonts w:ascii="Calibri" w:hAnsi="Calibri"/>
                <w:b/>
                <w:sz w:val="20"/>
                <w:szCs w:val="20"/>
              </w:rPr>
            </w:pPr>
            <w:r w:rsidRPr="00E626C7">
              <w:rPr>
                <w:rFonts w:ascii="Calibri" w:hAnsi="Calibri"/>
                <w:b/>
                <w:sz w:val="20"/>
                <w:szCs w:val="20"/>
              </w:rPr>
              <w:t>Quantity (TJ)</w:t>
            </w:r>
          </w:p>
        </w:tc>
        <w:tc>
          <w:tcPr>
            <w:tcW w:w="1012" w:type="pct"/>
            <w:shd w:val="clear" w:color="auto" w:fill="auto"/>
            <w:noWrap/>
            <w:hideMark/>
          </w:tcPr>
          <w:p w:rsidR="004E6EEA" w:rsidRPr="00E626C7" w:rsidRDefault="004E6EEA" w:rsidP="00474D9C">
            <w:pPr>
              <w:rPr>
                <w:rFonts w:ascii="Calibri" w:hAnsi="Calibri"/>
                <w:sz w:val="20"/>
                <w:szCs w:val="20"/>
              </w:rPr>
            </w:pPr>
            <w:r>
              <w:rPr>
                <w:rFonts w:ascii="Calibri" w:hAnsi="Calibri"/>
                <w:sz w:val="20"/>
                <w:szCs w:val="20"/>
              </w:rPr>
              <w:t>301.7</w:t>
            </w:r>
          </w:p>
        </w:tc>
        <w:tc>
          <w:tcPr>
            <w:tcW w:w="1012" w:type="pct"/>
            <w:shd w:val="clear" w:color="auto" w:fill="auto"/>
            <w:noWrap/>
            <w:hideMark/>
          </w:tcPr>
          <w:p w:rsidR="004E6EEA" w:rsidRPr="00E626C7" w:rsidRDefault="004E6EEA" w:rsidP="00474D9C">
            <w:pPr>
              <w:rPr>
                <w:rFonts w:ascii="Calibri" w:hAnsi="Calibri"/>
                <w:sz w:val="20"/>
                <w:szCs w:val="20"/>
              </w:rPr>
            </w:pPr>
            <w:r>
              <w:rPr>
                <w:rFonts w:ascii="Calibri" w:hAnsi="Calibri"/>
                <w:sz w:val="20"/>
                <w:szCs w:val="20"/>
              </w:rPr>
              <w:t>305.1</w:t>
            </w:r>
          </w:p>
        </w:tc>
        <w:tc>
          <w:tcPr>
            <w:tcW w:w="1012" w:type="pct"/>
            <w:shd w:val="clear" w:color="auto" w:fill="auto"/>
            <w:noWrap/>
            <w:hideMark/>
          </w:tcPr>
          <w:p w:rsidR="004E6EEA" w:rsidRPr="00E626C7" w:rsidRDefault="004E6EEA" w:rsidP="00474D9C">
            <w:pPr>
              <w:rPr>
                <w:rFonts w:ascii="Calibri" w:hAnsi="Calibri"/>
                <w:sz w:val="20"/>
                <w:szCs w:val="20"/>
              </w:rPr>
            </w:pPr>
            <w:r>
              <w:rPr>
                <w:rFonts w:ascii="Calibri" w:hAnsi="Calibri"/>
                <w:sz w:val="20"/>
                <w:szCs w:val="20"/>
              </w:rPr>
              <w:t>296.7</w:t>
            </w:r>
          </w:p>
        </w:tc>
        <w:tc>
          <w:tcPr>
            <w:tcW w:w="1011" w:type="pct"/>
            <w:shd w:val="clear" w:color="auto" w:fill="auto"/>
            <w:noWrap/>
            <w:hideMark/>
          </w:tcPr>
          <w:p w:rsidR="004E6EEA" w:rsidRPr="00E626C7" w:rsidRDefault="004E6EEA" w:rsidP="00474D9C">
            <w:pPr>
              <w:rPr>
                <w:rFonts w:ascii="Calibri" w:hAnsi="Calibri"/>
                <w:sz w:val="20"/>
                <w:szCs w:val="20"/>
              </w:rPr>
            </w:pPr>
            <w:r>
              <w:rPr>
                <w:rFonts w:ascii="Calibri" w:hAnsi="Calibri"/>
                <w:sz w:val="20"/>
                <w:szCs w:val="20"/>
              </w:rPr>
              <w:t>+25.64 (S)</w:t>
            </w:r>
          </w:p>
        </w:tc>
      </w:tr>
    </w:tbl>
    <w:p w:rsidR="00A92E6B" w:rsidRDefault="004E6EEA" w:rsidP="00FC6DBB">
      <w:pPr>
        <w:pStyle w:val="AERbodytext"/>
      </w:pPr>
      <w:r w:rsidRPr="0062300C">
        <w:br/>
      </w:r>
      <w:r w:rsidR="00A92E6B">
        <w:t xml:space="preserve">Demand forecasts were fairly consistent throughout the provisional and ex ante schedules. </w:t>
      </w:r>
      <w:r w:rsidR="00FC6DBB">
        <w:t>All three of the major participants under forecast their demand; by 3, 7, and 9 per cent respectively.</w:t>
      </w:r>
    </w:p>
    <w:p w:rsidR="00A92E6B" w:rsidRDefault="00A92E6B" w:rsidP="00FC6DBB">
      <w:pPr>
        <w:pStyle w:val="AERbodytext"/>
      </w:pPr>
      <w:r>
        <w:t>As shown in figure S13, Trading Participants changed their gas offers significantly for the ex ante schedule.</w:t>
      </w:r>
    </w:p>
    <w:p w:rsidR="0042646B" w:rsidRDefault="00897120">
      <w:pPr>
        <w:pStyle w:val="AERbodytext"/>
        <w:keepNext/>
        <w:rPr>
          <w:rFonts w:ascii="Arial" w:hAnsi="Arial" w:cs="Arial"/>
          <w:b/>
          <w:sz w:val="20"/>
          <w:szCs w:val="20"/>
        </w:rPr>
      </w:pPr>
      <w:r>
        <w:rPr>
          <w:rFonts w:ascii="Arial" w:hAnsi="Arial" w:cs="Arial"/>
          <w:b/>
          <w:sz w:val="20"/>
          <w:szCs w:val="20"/>
        </w:rPr>
        <w:t xml:space="preserve">Figure </w:t>
      </w:r>
      <w:r w:rsidR="00C02CDF">
        <w:rPr>
          <w:rFonts w:ascii="Arial" w:hAnsi="Arial" w:cs="Arial"/>
          <w:b/>
          <w:sz w:val="20"/>
          <w:szCs w:val="20"/>
        </w:rPr>
        <w:t>S13</w:t>
      </w:r>
      <w:r>
        <w:rPr>
          <w:rFonts w:ascii="Arial" w:hAnsi="Arial" w:cs="Arial"/>
          <w:b/>
          <w:sz w:val="20"/>
          <w:szCs w:val="20"/>
        </w:rPr>
        <w:t xml:space="preserve">: 14 August provisional and </w:t>
      </w:r>
      <w:r w:rsidRPr="00D620E4">
        <w:rPr>
          <w:rFonts w:ascii="Arial" w:hAnsi="Arial" w:cs="Arial"/>
          <w:b/>
          <w:sz w:val="20"/>
          <w:szCs w:val="20"/>
        </w:rPr>
        <w:t>ex ante</w:t>
      </w:r>
      <w:r>
        <w:rPr>
          <w:rFonts w:ascii="Arial" w:hAnsi="Arial" w:cs="Arial"/>
          <w:b/>
          <w:sz w:val="20"/>
          <w:szCs w:val="20"/>
        </w:rPr>
        <w:t xml:space="preserve"> schedule offers</w:t>
      </w:r>
    </w:p>
    <w:p w:rsidR="00FC6DBB" w:rsidRDefault="007E4F35" w:rsidP="004E6EEA">
      <w:pPr>
        <w:pStyle w:val="AERbodytext"/>
      </w:pPr>
      <w:r>
        <w:pict>
          <v:shape id="_x0000_i1040" type="#_x0000_t75" style="width:451.25pt;height:195.9pt">
            <v:imagedata r:id="rId23" o:title=""/>
          </v:shape>
        </w:pict>
      </w:r>
    </w:p>
    <w:p w:rsidR="00FC6DBB" w:rsidRDefault="00897120" w:rsidP="004E6EEA">
      <w:pPr>
        <w:pStyle w:val="AERbodytext"/>
      </w:pPr>
      <w:r>
        <w:t>However, as most of the changes occurred by shifting gas offers from $0/GJ to around $1/GJ</w:t>
      </w:r>
      <w:r>
        <w:softHyphen/>
        <w:t xml:space="preserve">–$1.50/GJ, the changes had no impact on the ex ante price. </w:t>
      </w:r>
    </w:p>
    <w:p w:rsidR="00D25E17" w:rsidRPr="00D25E17" w:rsidRDefault="00D25E17" w:rsidP="003E25EF">
      <w:pPr>
        <w:rPr>
          <w:sz w:val="26"/>
        </w:rPr>
      </w:pPr>
    </w:p>
    <w:sectPr w:rsidR="00D25E17" w:rsidRPr="00D25E17" w:rsidSect="00341B66">
      <w:footerReference w:type="default" r:id="rId24"/>
      <w:pgSz w:w="11906" w:h="16838"/>
      <w:pgMar w:top="851"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46B" w:rsidRDefault="0042646B" w:rsidP="002B6B7B">
      <w:r>
        <w:separator/>
      </w:r>
    </w:p>
  </w:endnote>
  <w:endnote w:type="continuationSeparator" w:id="0">
    <w:p w:rsidR="0042646B" w:rsidRDefault="0042646B" w:rsidP="002B6B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46B" w:rsidRDefault="000F3217">
    <w:pPr>
      <w:pStyle w:val="Footer"/>
      <w:jc w:val="center"/>
    </w:pPr>
    <w:fldSimple w:instr=" PAGE   \* MERGEFORMAT ">
      <w:r w:rsidR="00086310">
        <w:rPr>
          <w:noProof/>
        </w:rPr>
        <w:t>14</w:t>
      </w:r>
    </w:fldSimple>
  </w:p>
  <w:p w:rsidR="0042646B" w:rsidRDefault="004264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46B" w:rsidRDefault="0042646B" w:rsidP="002B6B7B">
      <w:r>
        <w:separator/>
      </w:r>
    </w:p>
  </w:footnote>
  <w:footnote w:type="continuationSeparator" w:id="0">
    <w:p w:rsidR="0042646B" w:rsidRDefault="0042646B" w:rsidP="002B6B7B">
      <w:r>
        <w:continuationSeparator/>
      </w:r>
    </w:p>
  </w:footnote>
  <w:footnote w:id="1">
    <w:p w:rsidR="0042646B" w:rsidRDefault="0042646B" w:rsidP="007C5586">
      <w:pPr>
        <w:pStyle w:val="Default"/>
      </w:pPr>
      <w:r>
        <w:rPr>
          <w:rStyle w:val="FootnoteReference"/>
        </w:rPr>
        <w:footnoteRef/>
      </w:r>
      <w:r>
        <w:t xml:space="preserve"> </w:t>
      </w:r>
      <w:r>
        <w:rPr>
          <w:sz w:val="20"/>
          <w:szCs w:val="20"/>
        </w:rPr>
        <w:t xml:space="preserve">www.aer.gov.au/node/451 </w:t>
      </w:r>
      <w:r>
        <w:t xml:space="preserve"> </w:t>
      </w:r>
    </w:p>
  </w:footnote>
  <w:footnote w:id="2">
    <w:p w:rsidR="0042646B" w:rsidRDefault="0042646B" w:rsidP="006E6AA7">
      <w:pPr>
        <w:pStyle w:val="FootnoteText"/>
      </w:pPr>
      <w:r>
        <w:rPr>
          <w:rStyle w:val="FootnoteReference"/>
        </w:rPr>
        <w:footnoteRef/>
      </w:r>
      <w:r>
        <w:t xml:space="preserve"> </w:t>
      </w:r>
      <w:r w:rsidRPr="006E6AA7">
        <w:t xml:space="preserve"> </w:t>
      </w:r>
      <w:r>
        <w:t>R</w:t>
      </w:r>
      <w:r w:rsidRPr="006E6AA7">
        <w:t xml:space="preserve">ule 355 and rule 498 of the National Gas Rules.  </w:t>
      </w:r>
    </w:p>
  </w:footnote>
  <w:footnote w:id="3">
    <w:p w:rsidR="0042646B" w:rsidRDefault="0042646B" w:rsidP="006E6AA7">
      <w:pPr>
        <w:pStyle w:val="Default"/>
      </w:pPr>
      <w:r>
        <w:rPr>
          <w:rStyle w:val="FootnoteReference"/>
        </w:rPr>
        <w:footnoteRef/>
      </w:r>
      <w:r>
        <w:t xml:space="preserve"> </w:t>
      </w:r>
      <w:r>
        <w:rPr>
          <w:sz w:val="20"/>
          <w:szCs w:val="20"/>
        </w:rPr>
        <w:t xml:space="preserve">www.aer.gov.au/node/453. </w:t>
      </w:r>
      <w:r>
        <w:t xml:space="preserve"> </w:t>
      </w:r>
    </w:p>
  </w:footnote>
  <w:footnote w:id="4">
    <w:p w:rsidR="0042646B" w:rsidRDefault="0042646B" w:rsidP="006E6AA7">
      <w:pPr>
        <w:pStyle w:val="Default"/>
      </w:pPr>
      <w:r>
        <w:rPr>
          <w:rStyle w:val="FootnoteReference"/>
        </w:rPr>
        <w:footnoteRef/>
      </w:r>
      <w:r>
        <w:t xml:space="preserve"> </w:t>
      </w:r>
      <w:r>
        <w:rPr>
          <w:sz w:val="20"/>
          <w:szCs w:val="20"/>
        </w:rPr>
        <w:t xml:space="preserve">www.aer.gov.au/node/454 </w:t>
      </w:r>
      <w:r>
        <w:t xml:space="preserve"> </w:t>
      </w:r>
    </w:p>
  </w:footnote>
  <w:footnote w:id="5">
    <w:p w:rsidR="0042646B" w:rsidRDefault="0042646B">
      <w:pPr>
        <w:pStyle w:val="FootnoteText"/>
      </w:pPr>
      <w:r>
        <w:rPr>
          <w:rStyle w:val="FootnoteReference"/>
        </w:rPr>
        <w:footnoteRef/>
      </w:r>
      <w:r>
        <w:t xml:space="preserve"> There is no August 2011 comparison for the Brisbane STTM as it commenced in December 2011.</w:t>
      </w:r>
    </w:p>
  </w:footnote>
  <w:footnote w:id="6">
    <w:p w:rsidR="0042646B" w:rsidRDefault="0042646B">
      <w:pPr>
        <w:pStyle w:val="FootnoteText"/>
      </w:pPr>
      <w:r>
        <w:rPr>
          <w:rStyle w:val="FootnoteReference"/>
        </w:rPr>
        <w:footnoteRef/>
      </w:r>
      <w:r>
        <w:t xml:space="preserve"> This offer price band was chosen as it is the closest to the August average ex ante price of $6.79/GJ.  </w:t>
      </w:r>
    </w:p>
  </w:footnote>
  <w:footnote w:id="7">
    <w:p w:rsidR="0042646B" w:rsidRDefault="0042646B" w:rsidP="007D6E5F">
      <w:pPr>
        <w:pStyle w:val="FootnoteText"/>
      </w:pPr>
      <w:r>
        <w:rPr>
          <w:rStyle w:val="FootnoteReference"/>
        </w:rPr>
        <w:footnoteRef/>
      </w:r>
      <w:r>
        <w:t xml:space="preserve"> This offer price band was chosen as it is the closest to the August average ex ante price of $6.12/GJ.  </w:t>
      </w:r>
    </w:p>
  </w:footnote>
  <w:footnote w:id="8">
    <w:p w:rsidR="0042646B" w:rsidRDefault="0042646B">
      <w:pPr>
        <w:pStyle w:val="FootnoteText"/>
      </w:pPr>
      <w:r>
        <w:rPr>
          <w:rStyle w:val="FootnoteReference"/>
        </w:rPr>
        <w:footnoteRef/>
      </w:r>
      <w:r>
        <w:t xml:space="preserve"> </w:t>
      </w:r>
      <w:r w:rsidRPr="002666A2">
        <w:t xml:space="preserve"> </w:t>
      </w:r>
      <w:r>
        <w:t>Major participants in the Sydney hub whose demand regularly exceeds 10% of forecast demand in the hub are AGL, Origin and TRUenergy.</w:t>
      </w:r>
    </w:p>
  </w:footnote>
  <w:footnote w:id="9">
    <w:p w:rsidR="0042646B" w:rsidRPr="001D4793" w:rsidRDefault="0042646B" w:rsidP="00D46015">
      <w:pPr>
        <w:pStyle w:val="AERbodytext"/>
      </w:pPr>
      <w:r>
        <w:rPr>
          <w:rStyle w:val="FootnoteReference"/>
        </w:rPr>
        <w:footnoteRef/>
      </w:r>
      <w:r>
        <w:t xml:space="preserve"> </w:t>
      </w:r>
      <w:r w:rsidRPr="00D46015">
        <w:rPr>
          <w:sz w:val="20"/>
          <w:szCs w:val="20"/>
          <w:lang w:eastAsia="en-AU"/>
        </w:rPr>
        <w:t>The increase in the quantity scheduled from the D-2 to the ex ante schedule was largely a result of a 15 TJ backhaul bid on the Eastern Gas Pipeline (EGP) being scheduled.</w:t>
      </w:r>
    </w:p>
    <w:p w:rsidR="0042646B" w:rsidRDefault="0042646B">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2C7BC0"/>
    <w:multiLevelType w:val="hybridMultilevel"/>
    <w:tmpl w:val="75886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97263D4"/>
    <w:multiLevelType w:val="hybridMultilevel"/>
    <w:tmpl w:val="F53A3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7A52A2D"/>
    <w:multiLevelType w:val="hybridMultilevel"/>
    <w:tmpl w:val="744AACC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
    <w:nsid w:val="5B6F6ED7"/>
    <w:multiLevelType w:val="hybridMultilevel"/>
    <w:tmpl w:val="F4E8032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C112F9A"/>
    <w:multiLevelType w:val="hybridMultilevel"/>
    <w:tmpl w:val="E5C0B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3DC41E8"/>
    <w:multiLevelType w:val="hybridMultilevel"/>
    <w:tmpl w:val="C9B2346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proofState w:spelling="clean" w:grammar="clean"/>
  <w:trackRevision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41B66"/>
    <w:rsid w:val="0000656D"/>
    <w:rsid w:val="00007C91"/>
    <w:rsid w:val="00010699"/>
    <w:rsid w:val="000111D7"/>
    <w:rsid w:val="000143F7"/>
    <w:rsid w:val="00014DDC"/>
    <w:rsid w:val="00014EA2"/>
    <w:rsid w:val="0001543E"/>
    <w:rsid w:val="00016A09"/>
    <w:rsid w:val="00021377"/>
    <w:rsid w:val="0002239D"/>
    <w:rsid w:val="00022B54"/>
    <w:rsid w:val="00026B8F"/>
    <w:rsid w:val="0002746A"/>
    <w:rsid w:val="00030CBC"/>
    <w:rsid w:val="00031CDB"/>
    <w:rsid w:val="000330B9"/>
    <w:rsid w:val="000334D3"/>
    <w:rsid w:val="00040070"/>
    <w:rsid w:val="000432D9"/>
    <w:rsid w:val="000446D6"/>
    <w:rsid w:val="00044E0A"/>
    <w:rsid w:val="00045171"/>
    <w:rsid w:val="00045FBA"/>
    <w:rsid w:val="00046311"/>
    <w:rsid w:val="00052080"/>
    <w:rsid w:val="00053668"/>
    <w:rsid w:val="000536BD"/>
    <w:rsid w:val="00054958"/>
    <w:rsid w:val="0005643F"/>
    <w:rsid w:val="00057E64"/>
    <w:rsid w:val="000607C3"/>
    <w:rsid w:val="00060B2A"/>
    <w:rsid w:val="00061C7D"/>
    <w:rsid w:val="00065AC9"/>
    <w:rsid w:val="00066717"/>
    <w:rsid w:val="000668D1"/>
    <w:rsid w:val="00067679"/>
    <w:rsid w:val="00067D0C"/>
    <w:rsid w:val="00073343"/>
    <w:rsid w:val="0007418D"/>
    <w:rsid w:val="0007560F"/>
    <w:rsid w:val="00076ADC"/>
    <w:rsid w:val="0008218C"/>
    <w:rsid w:val="000822D6"/>
    <w:rsid w:val="00086310"/>
    <w:rsid w:val="0008793F"/>
    <w:rsid w:val="00091B60"/>
    <w:rsid w:val="0009392B"/>
    <w:rsid w:val="00093FFA"/>
    <w:rsid w:val="000948F2"/>
    <w:rsid w:val="00094DB8"/>
    <w:rsid w:val="00095EB1"/>
    <w:rsid w:val="00096B57"/>
    <w:rsid w:val="00097145"/>
    <w:rsid w:val="000B5968"/>
    <w:rsid w:val="000C4A3C"/>
    <w:rsid w:val="000C6A1D"/>
    <w:rsid w:val="000D24D2"/>
    <w:rsid w:val="000D5EE3"/>
    <w:rsid w:val="000E1652"/>
    <w:rsid w:val="000E3776"/>
    <w:rsid w:val="000E50DA"/>
    <w:rsid w:val="000E602E"/>
    <w:rsid w:val="000E73FB"/>
    <w:rsid w:val="000E7437"/>
    <w:rsid w:val="000F3217"/>
    <w:rsid w:val="000F72E4"/>
    <w:rsid w:val="000F7D41"/>
    <w:rsid w:val="0010007C"/>
    <w:rsid w:val="00103192"/>
    <w:rsid w:val="00103F81"/>
    <w:rsid w:val="00106C85"/>
    <w:rsid w:val="001079FC"/>
    <w:rsid w:val="001117E1"/>
    <w:rsid w:val="001124AD"/>
    <w:rsid w:val="00113684"/>
    <w:rsid w:val="00127CA7"/>
    <w:rsid w:val="00130990"/>
    <w:rsid w:val="00132F58"/>
    <w:rsid w:val="00134D16"/>
    <w:rsid w:val="00140072"/>
    <w:rsid w:val="001463BF"/>
    <w:rsid w:val="00150EAF"/>
    <w:rsid w:val="001515AD"/>
    <w:rsid w:val="00152809"/>
    <w:rsid w:val="00152E2D"/>
    <w:rsid w:val="001648BC"/>
    <w:rsid w:val="001655BC"/>
    <w:rsid w:val="0016742A"/>
    <w:rsid w:val="00173ACF"/>
    <w:rsid w:val="00174B3F"/>
    <w:rsid w:val="00174BF7"/>
    <w:rsid w:val="001769F7"/>
    <w:rsid w:val="00182410"/>
    <w:rsid w:val="00182674"/>
    <w:rsid w:val="001849F1"/>
    <w:rsid w:val="00186A83"/>
    <w:rsid w:val="0018740B"/>
    <w:rsid w:val="0019032C"/>
    <w:rsid w:val="00193ED9"/>
    <w:rsid w:val="0019418C"/>
    <w:rsid w:val="00195A82"/>
    <w:rsid w:val="001A053A"/>
    <w:rsid w:val="001A119B"/>
    <w:rsid w:val="001A22E3"/>
    <w:rsid w:val="001A43BA"/>
    <w:rsid w:val="001A4434"/>
    <w:rsid w:val="001A56B8"/>
    <w:rsid w:val="001A72B7"/>
    <w:rsid w:val="001B1E46"/>
    <w:rsid w:val="001B24C9"/>
    <w:rsid w:val="001B4037"/>
    <w:rsid w:val="001B6089"/>
    <w:rsid w:val="001B6D11"/>
    <w:rsid w:val="001C1827"/>
    <w:rsid w:val="001C39BE"/>
    <w:rsid w:val="001C427C"/>
    <w:rsid w:val="001C4A01"/>
    <w:rsid w:val="001C4FC4"/>
    <w:rsid w:val="001D2B2B"/>
    <w:rsid w:val="001D4146"/>
    <w:rsid w:val="001D4793"/>
    <w:rsid w:val="001D5184"/>
    <w:rsid w:val="001D6558"/>
    <w:rsid w:val="001E0624"/>
    <w:rsid w:val="001E0D77"/>
    <w:rsid w:val="001E1CB5"/>
    <w:rsid w:val="001E7ACD"/>
    <w:rsid w:val="001F02B1"/>
    <w:rsid w:val="001F03A2"/>
    <w:rsid w:val="001F23FA"/>
    <w:rsid w:val="001F38A6"/>
    <w:rsid w:val="001F733C"/>
    <w:rsid w:val="00200EF9"/>
    <w:rsid w:val="00204105"/>
    <w:rsid w:val="0020768C"/>
    <w:rsid w:val="00207A83"/>
    <w:rsid w:val="00221D30"/>
    <w:rsid w:val="00223D9B"/>
    <w:rsid w:val="00224FD8"/>
    <w:rsid w:val="002307DA"/>
    <w:rsid w:val="00230CAC"/>
    <w:rsid w:val="00235B82"/>
    <w:rsid w:val="00235E56"/>
    <w:rsid w:val="00236EB7"/>
    <w:rsid w:val="002405A6"/>
    <w:rsid w:val="00242F15"/>
    <w:rsid w:val="00253662"/>
    <w:rsid w:val="002543A1"/>
    <w:rsid w:val="002666A2"/>
    <w:rsid w:val="00270BB5"/>
    <w:rsid w:val="00273053"/>
    <w:rsid w:val="002753C7"/>
    <w:rsid w:val="0027560E"/>
    <w:rsid w:val="0027602B"/>
    <w:rsid w:val="00282C42"/>
    <w:rsid w:val="002837C6"/>
    <w:rsid w:val="0028478C"/>
    <w:rsid w:val="00286B46"/>
    <w:rsid w:val="002920A7"/>
    <w:rsid w:val="0029272E"/>
    <w:rsid w:val="002927B1"/>
    <w:rsid w:val="0029542E"/>
    <w:rsid w:val="00297CA0"/>
    <w:rsid w:val="002A0C44"/>
    <w:rsid w:val="002A3348"/>
    <w:rsid w:val="002A3591"/>
    <w:rsid w:val="002A3C6A"/>
    <w:rsid w:val="002A4546"/>
    <w:rsid w:val="002A5955"/>
    <w:rsid w:val="002B0F3A"/>
    <w:rsid w:val="002B21A8"/>
    <w:rsid w:val="002B2BF0"/>
    <w:rsid w:val="002B468C"/>
    <w:rsid w:val="002B6B7B"/>
    <w:rsid w:val="002B79B0"/>
    <w:rsid w:val="002B7E8F"/>
    <w:rsid w:val="002C0499"/>
    <w:rsid w:val="002C2A86"/>
    <w:rsid w:val="002C320C"/>
    <w:rsid w:val="002C754C"/>
    <w:rsid w:val="002D2210"/>
    <w:rsid w:val="002D33F5"/>
    <w:rsid w:val="002D5E10"/>
    <w:rsid w:val="002D628F"/>
    <w:rsid w:val="002E0365"/>
    <w:rsid w:val="002E0EFE"/>
    <w:rsid w:val="002E276F"/>
    <w:rsid w:val="002E3F4B"/>
    <w:rsid w:val="002E4056"/>
    <w:rsid w:val="002E4557"/>
    <w:rsid w:val="002E5001"/>
    <w:rsid w:val="002E6519"/>
    <w:rsid w:val="002E6FBA"/>
    <w:rsid w:val="002E7D44"/>
    <w:rsid w:val="002F2725"/>
    <w:rsid w:val="002F3798"/>
    <w:rsid w:val="002F778E"/>
    <w:rsid w:val="00302136"/>
    <w:rsid w:val="00304D41"/>
    <w:rsid w:val="00307312"/>
    <w:rsid w:val="00310228"/>
    <w:rsid w:val="00311F8D"/>
    <w:rsid w:val="00312A7C"/>
    <w:rsid w:val="003132D0"/>
    <w:rsid w:val="003150BF"/>
    <w:rsid w:val="00316311"/>
    <w:rsid w:val="0031652B"/>
    <w:rsid w:val="0031783C"/>
    <w:rsid w:val="00317864"/>
    <w:rsid w:val="00320BDB"/>
    <w:rsid w:val="00325311"/>
    <w:rsid w:val="00326300"/>
    <w:rsid w:val="0033303B"/>
    <w:rsid w:val="003330B6"/>
    <w:rsid w:val="0033445F"/>
    <w:rsid w:val="00334488"/>
    <w:rsid w:val="00334DC6"/>
    <w:rsid w:val="00335A34"/>
    <w:rsid w:val="00341433"/>
    <w:rsid w:val="003414FD"/>
    <w:rsid w:val="00341B66"/>
    <w:rsid w:val="00343530"/>
    <w:rsid w:val="00343750"/>
    <w:rsid w:val="00344571"/>
    <w:rsid w:val="0034529F"/>
    <w:rsid w:val="00346466"/>
    <w:rsid w:val="00347780"/>
    <w:rsid w:val="00350D65"/>
    <w:rsid w:val="00354ED8"/>
    <w:rsid w:val="00354F77"/>
    <w:rsid w:val="00355100"/>
    <w:rsid w:val="00360534"/>
    <w:rsid w:val="00361722"/>
    <w:rsid w:val="0036309A"/>
    <w:rsid w:val="00363A69"/>
    <w:rsid w:val="0036697E"/>
    <w:rsid w:val="00367933"/>
    <w:rsid w:val="0037078F"/>
    <w:rsid w:val="0037265D"/>
    <w:rsid w:val="003738F1"/>
    <w:rsid w:val="003802D3"/>
    <w:rsid w:val="00381033"/>
    <w:rsid w:val="00382CFE"/>
    <w:rsid w:val="0038699B"/>
    <w:rsid w:val="00390D51"/>
    <w:rsid w:val="003925BF"/>
    <w:rsid w:val="00393E7C"/>
    <w:rsid w:val="003A009F"/>
    <w:rsid w:val="003A10B7"/>
    <w:rsid w:val="003A3F29"/>
    <w:rsid w:val="003A57AA"/>
    <w:rsid w:val="003A6BD2"/>
    <w:rsid w:val="003A7EDF"/>
    <w:rsid w:val="003B4D6E"/>
    <w:rsid w:val="003B5C71"/>
    <w:rsid w:val="003C494C"/>
    <w:rsid w:val="003C6E91"/>
    <w:rsid w:val="003C7DF4"/>
    <w:rsid w:val="003D2B7A"/>
    <w:rsid w:val="003D6850"/>
    <w:rsid w:val="003D6D35"/>
    <w:rsid w:val="003E1882"/>
    <w:rsid w:val="003E25EF"/>
    <w:rsid w:val="003E33AC"/>
    <w:rsid w:val="003E37B1"/>
    <w:rsid w:val="003E4A04"/>
    <w:rsid w:val="003E53AC"/>
    <w:rsid w:val="003E5DC8"/>
    <w:rsid w:val="003E76C2"/>
    <w:rsid w:val="003E798A"/>
    <w:rsid w:val="003F23A4"/>
    <w:rsid w:val="003F2AB1"/>
    <w:rsid w:val="003F7A7D"/>
    <w:rsid w:val="0040567A"/>
    <w:rsid w:val="0040763F"/>
    <w:rsid w:val="0041026C"/>
    <w:rsid w:val="00412458"/>
    <w:rsid w:val="00412E7A"/>
    <w:rsid w:val="00413DEF"/>
    <w:rsid w:val="0042646B"/>
    <w:rsid w:val="0042682B"/>
    <w:rsid w:val="00431F92"/>
    <w:rsid w:val="004325FB"/>
    <w:rsid w:val="00433637"/>
    <w:rsid w:val="00435925"/>
    <w:rsid w:val="00440D0F"/>
    <w:rsid w:val="00442683"/>
    <w:rsid w:val="00442FD0"/>
    <w:rsid w:val="004432D0"/>
    <w:rsid w:val="00444404"/>
    <w:rsid w:val="00452570"/>
    <w:rsid w:val="0046116D"/>
    <w:rsid w:val="004611ED"/>
    <w:rsid w:val="00463023"/>
    <w:rsid w:val="00463184"/>
    <w:rsid w:val="00463344"/>
    <w:rsid w:val="00464840"/>
    <w:rsid w:val="00466DC2"/>
    <w:rsid w:val="00467571"/>
    <w:rsid w:val="004723DE"/>
    <w:rsid w:val="004726CE"/>
    <w:rsid w:val="00473E27"/>
    <w:rsid w:val="00474D9C"/>
    <w:rsid w:val="004765BD"/>
    <w:rsid w:val="00477E0D"/>
    <w:rsid w:val="004810B6"/>
    <w:rsid w:val="00481390"/>
    <w:rsid w:val="004821EC"/>
    <w:rsid w:val="00482C58"/>
    <w:rsid w:val="0048407F"/>
    <w:rsid w:val="0048638A"/>
    <w:rsid w:val="00490AC1"/>
    <w:rsid w:val="00492F83"/>
    <w:rsid w:val="0049522A"/>
    <w:rsid w:val="004A34AC"/>
    <w:rsid w:val="004A3DE7"/>
    <w:rsid w:val="004A6960"/>
    <w:rsid w:val="004B1123"/>
    <w:rsid w:val="004B2029"/>
    <w:rsid w:val="004C0D2A"/>
    <w:rsid w:val="004C28AD"/>
    <w:rsid w:val="004C4854"/>
    <w:rsid w:val="004D01B1"/>
    <w:rsid w:val="004D784C"/>
    <w:rsid w:val="004E3DF3"/>
    <w:rsid w:val="004E5859"/>
    <w:rsid w:val="004E64A4"/>
    <w:rsid w:val="004E6EEA"/>
    <w:rsid w:val="004E7C2E"/>
    <w:rsid w:val="004F0B8A"/>
    <w:rsid w:val="004F3021"/>
    <w:rsid w:val="004F31A2"/>
    <w:rsid w:val="004F57F7"/>
    <w:rsid w:val="004F6659"/>
    <w:rsid w:val="004F7C4E"/>
    <w:rsid w:val="005004BA"/>
    <w:rsid w:val="0050431E"/>
    <w:rsid w:val="005076DB"/>
    <w:rsid w:val="005079AC"/>
    <w:rsid w:val="005102E5"/>
    <w:rsid w:val="00511EE9"/>
    <w:rsid w:val="00512DEA"/>
    <w:rsid w:val="0051599E"/>
    <w:rsid w:val="00516867"/>
    <w:rsid w:val="005243BA"/>
    <w:rsid w:val="00524486"/>
    <w:rsid w:val="00527D07"/>
    <w:rsid w:val="00527DF9"/>
    <w:rsid w:val="00530B17"/>
    <w:rsid w:val="0053224A"/>
    <w:rsid w:val="00533561"/>
    <w:rsid w:val="00533B6D"/>
    <w:rsid w:val="00533C7C"/>
    <w:rsid w:val="00536503"/>
    <w:rsid w:val="00536B32"/>
    <w:rsid w:val="0053717C"/>
    <w:rsid w:val="00537FD0"/>
    <w:rsid w:val="005418D9"/>
    <w:rsid w:val="005461D6"/>
    <w:rsid w:val="00551EE9"/>
    <w:rsid w:val="00552AAF"/>
    <w:rsid w:val="00553678"/>
    <w:rsid w:val="005557B7"/>
    <w:rsid w:val="00560B99"/>
    <w:rsid w:val="00562D97"/>
    <w:rsid w:val="005648BD"/>
    <w:rsid w:val="005655FD"/>
    <w:rsid w:val="005723EE"/>
    <w:rsid w:val="0057385F"/>
    <w:rsid w:val="00574B5A"/>
    <w:rsid w:val="00575093"/>
    <w:rsid w:val="00576D33"/>
    <w:rsid w:val="00576E38"/>
    <w:rsid w:val="005771D8"/>
    <w:rsid w:val="00585B9E"/>
    <w:rsid w:val="00586E6C"/>
    <w:rsid w:val="00590221"/>
    <w:rsid w:val="005922B8"/>
    <w:rsid w:val="005941FC"/>
    <w:rsid w:val="005964F5"/>
    <w:rsid w:val="00597913"/>
    <w:rsid w:val="005A09AD"/>
    <w:rsid w:val="005A51DF"/>
    <w:rsid w:val="005A53FF"/>
    <w:rsid w:val="005B039E"/>
    <w:rsid w:val="005B1092"/>
    <w:rsid w:val="005B2FC9"/>
    <w:rsid w:val="005B400F"/>
    <w:rsid w:val="005B42E5"/>
    <w:rsid w:val="005C34B4"/>
    <w:rsid w:val="005C4288"/>
    <w:rsid w:val="005C5006"/>
    <w:rsid w:val="005C6453"/>
    <w:rsid w:val="005C71E8"/>
    <w:rsid w:val="005D0971"/>
    <w:rsid w:val="005D16DF"/>
    <w:rsid w:val="005D1F28"/>
    <w:rsid w:val="005D2CF8"/>
    <w:rsid w:val="005D7723"/>
    <w:rsid w:val="005E3802"/>
    <w:rsid w:val="005E699A"/>
    <w:rsid w:val="005E6B57"/>
    <w:rsid w:val="005F3F5E"/>
    <w:rsid w:val="005F55FC"/>
    <w:rsid w:val="005F6618"/>
    <w:rsid w:val="00601317"/>
    <w:rsid w:val="0060145C"/>
    <w:rsid w:val="00603789"/>
    <w:rsid w:val="0060441A"/>
    <w:rsid w:val="006048AE"/>
    <w:rsid w:val="006064C1"/>
    <w:rsid w:val="00606C92"/>
    <w:rsid w:val="0060775F"/>
    <w:rsid w:val="00611E77"/>
    <w:rsid w:val="006155F6"/>
    <w:rsid w:val="00615B35"/>
    <w:rsid w:val="00621800"/>
    <w:rsid w:val="00622E23"/>
    <w:rsid w:val="0062300C"/>
    <w:rsid w:val="006237C7"/>
    <w:rsid w:val="00624B26"/>
    <w:rsid w:val="0063258F"/>
    <w:rsid w:val="006354D5"/>
    <w:rsid w:val="006418C8"/>
    <w:rsid w:val="00641DC6"/>
    <w:rsid w:val="006455C6"/>
    <w:rsid w:val="00646E99"/>
    <w:rsid w:val="0064775E"/>
    <w:rsid w:val="00650808"/>
    <w:rsid w:val="00652072"/>
    <w:rsid w:val="00652383"/>
    <w:rsid w:val="00653D68"/>
    <w:rsid w:val="00654F62"/>
    <w:rsid w:val="00656DBB"/>
    <w:rsid w:val="006605DD"/>
    <w:rsid w:val="00662F9B"/>
    <w:rsid w:val="00664533"/>
    <w:rsid w:val="00670EF4"/>
    <w:rsid w:val="00673055"/>
    <w:rsid w:val="0067647A"/>
    <w:rsid w:val="0068168B"/>
    <w:rsid w:val="0068273F"/>
    <w:rsid w:val="006855A1"/>
    <w:rsid w:val="00690106"/>
    <w:rsid w:val="006902B6"/>
    <w:rsid w:val="00691618"/>
    <w:rsid w:val="00694168"/>
    <w:rsid w:val="00695974"/>
    <w:rsid w:val="00696620"/>
    <w:rsid w:val="006A0E1D"/>
    <w:rsid w:val="006A5932"/>
    <w:rsid w:val="006A711A"/>
    <w:rsid w:val="006A7805"/>
    <w:rsid w:val="006B78D2"/>
    <w:rsid w:val="006C1B56"/>
    <w:rsid w:val="006C26F2"/>
    <w:rsid w:val="006C420C"/>
    <w:rsid w:val="006C5270"/>
    <w:rsid w:val="006C5BB2"/>
    <w:rsid w:val="006C6181"/>
    <w:rsid w:val="006C6B9A"/>
    <w:rsid w:val="006C77FE"/>
    <w:rsid w:val="006D0A81"/>
    <w:rsid w:val="006D0B63"/>
    <w:rsid w:val="006D0DAD"/>
    <w:rsid w:val="006D3B2E"/>
    <w:rsid w:val="006D425E"/>
    <w:rsid w:val="006D6C06"/>
    <w:rsid w:val="006E0512"/>
    <w:rsid w:val="006E0F43"/>
    <w:rsid w:val="006E42E2"/>
    <w:rsid w:val="006E6AA7"/>
    <w:rsid w:val="006F0F3B"/>
    <w:rsid w:val="006F192E"/>
    <w:rsid w:val="006F1CF9"/>
    <w:rsid w:val="006F2349"/>
    <w:rsid w:val="006F3841"/>
    <w:rsid w:val="006F3B9F"/>
    <w:rsid w:val="006F3F9E"/>
    <w:rsid w:val="006F4F1D"/>
    <w:rsid w:val="007027AC"/>
    <w:rsid w:val="00702AA9"/>
    <w:rsid w:val="00702F1B"/>
    <w:rsid w:val="007114D2"/>
    <w:rsid w:val="007129C6"/>
    <w:rsid w:val="00713B3B"/>
    <w:rsid w:val="00722B6B"/>
    <w:rsid w:val="00722BB9"/>
    <w:rsid w:val="00724E95"/>
    <w:rsid w:val="00725584"/>
    <w:rsid w:val="007318A6"/>
    <w:rsid w:val="00740638"/>
    <w:rsid w:val="00743D64"/>
    <w:rsid w:val="00746274"/>
    <w:rsid w:val="00747AE6"/>
    <w:rsid w:val="00747B79"/>
    <w:rsid w:val="00751677"/>
    <w:rsid w:val="00751A98"/>
    <w:rsid w:val="00751B6E"/>
    <w:rsid w:val="00753303"/>
    <w:rsid w:val="0075491E"/>
    <w:rsid w:val="00754EDA"/>
    <w:rsid w:val="00754F45"/>
    <w:rsid w:val="007615C9"/>
    <w:rsid w:val="007619D9"/>
    <w:rsid w:val="00762B68"/>
    <w:rsid w:val="0076535A"/>
    <w:rsid w:val="0076784F"/>
    <w:rsid w:val="007700A5"/>
    <w:rsid w:val="00771F69"/>
    <w:rsid w:val="00772CF2"/>
    <w:rsid w:val="00774DFD"/>
    <w:rsid w:val="00775A7B"/>
    <w:rsid w:val="00777CE1"/>
    <w:rsid w:val="0078074F"/>
    <w:rsid w:val="007819D9"/>
    <w:rsid w:val="00783DC9"/>
    <w:rsid w:val="00784AB2"/>
    <w:rsid w:val="007853AA"/>
    <w:rsid w:val="007964FD"/>
    <w:rsid w:val="00797D68"/>
    <w:rsid w:val="007A3616"/>
    <w:rsid w:val="007A36E6"/>
    <w:rsid w:val="007A4EFB"/>
    <w:rsid w:val="007A6DEA"/>
    <w:rsid w:val="007B1842"/>
    <w:rsid w:val="007B44E0"/>
    <w:rsid w:val="007B6BED"/>
    <w:rsid w:val="007B78D6"/>
    <w:rsid w:val="007C19F0"/>
    <w:rsid w:val="007C31BC"/>
    <w:rsid w:val="007C38B1"/>
    <w:rsid w:val="007C5586"/>
    <w:rsid w:val="007C5D1E"/>
    <w:rsid w:val="007C5EC6"/>
    <w:rsid w:val="007C7794"/>
    <w:rsid w:val="007D16C8"/>
    <w:rsid w:val="007D1F3A"/>
    <w:rsid w:val="007D3C85"/>
    <w:rsid w:val="007D4A3F"/>
    <w:rsid w:val="007D517C"/>
    <w:rsid w:val="007D6E5F"/>
    <w:rsid w:val="007D6FC2"/>
    <w:rsid w:val="007E4F35"/>
    <w:rsid w:val="007F04DB"/>
    <w:rsid w:val="007F4107"/>
    <w:rsid w:val="007F4B42"/>
    <w:rsid w:val="007F6960"/>
    <w:rsid w:val="007F75B2"/>
    <w:rsid w:val="007F7F59"/>
    <w:rsid w:val="00800F28"/>
    <w:rsid w:val="00802371"/>
    <w:rsid w:val="0080275B"/>
    <w:rsid w:val="00803D09"/>
    <w:rsid w:val="0080404A"/>
    <w:rsid w:val="0080423C"/>
    <w:rsid w:val="00810A50"/>
    <w:rsid w:val="0081169F"/>
    <w:rsid w:val="00813E65"/>
    <w:rsid w:val="00815F43"/>
    <w:rsid w:val="00816F38"/>
    <w:rsid w:val="008217D4"/>
    <w:rsid w:val="0082415A"/>
    <w:rsid w:val="008304FB"/>
    <w:rsid w:val="00836777"/>
    <w:rsid w:val="00841609"/>
    <w:rsid w:val="0084188A"/>
    <w:rsid w:val="00845ABD"/>
    <w:rsid w:val="00847331"/>
    <w:rsid w:val="008537A2"/>
    <w:rsid w:val="008565DB"/>
    <w:rsid w:val="00857F2A"/>
    <w:rsid w:val="00860835"/>
    <w:rsid w:val="008627D8"/>
    <w:rsid w:val="0086509C"/>
    <w:rsid w:val="0086712F"/>
    <w:rsid w:val="008671B5"/>
    <w:rsid w:val="00867BD9"/>
    <w:rsid w:val="00873CF1"/>
    <w:rsid w:val="00873D8C"/>
    <w:rsid w:val="00880DA7"/>
    <w:rsid w:val="0088206F"/>
    <w:rsid w:val="00882562"/>
    <w:rsid w:val="00883CA4"/>
    <w:rsid w:val="00883E84"/>
    <w:rsid w:val="00885687"/>
    <w:rsid w:val="008917A2"/>
    <w:rsid w:val="008949A5"/>
    <w:rsid w:val="00894E78"/>
    <w:rsid w:val="0089576E"/>
    <w:rsid w:val="008969D7"/>
    <w:rsid w:val="00897120"/>
    <w:rsid w:val="008A18CE"/>
    <w:rsid w:val="008A3388"/>
    <w:rsid w:val="008A3573"/>
    <w:rsid w:val="008A3CD0"/>
    <w:rsid w:val="008A78F6"/>
    <w:rsid w:val="008B34AE"/>
    <w:rsid w:val="008B4435"/>
    <w:rsid w:val="008B5211"/>
    <w:rsid w:val="008B5389"/>
    <w:rsid w:val="008B6321"/>
    <w:rsid w:val="008C0EEE"/>
    <w:rsid w:val="008C147E"/>
    <w:rsid w:val="008C4124"/>
    <w:rsid w:val="008C7FE5"/>
    <w:rsid w:val="008D0FA9"/>
    <w:rsid w:val="008D4E7F"/>
    <w:rsid w:val="008D6764"/>
    <w:rsid w:val="008E0602"/>
    <w:rsid w:val="008E235B"/>
    <w:rsid w:val="008E6D2F"/>
    <w:rsid w:val="008F03AB"/>
    <w:rsid w:val="008F4635"/>
    <w:rsid w:val="008F5C9D"/>
    <w:rsid w:val="0090501E"/>
    <w:rsid w:val="009050FB"/>
    <w:rsid w:val="00905251"/>
    <w:rsid w:val="00907210"/>
    <w:rsid w:val="00907AA2"/>
    <w:rsid w:val="00913CD6"/>
    <w:rsid w:val="0091418E"/>
    <w:rsid w:val="009147E4"/>
    <w:rsid w:val="00920F3A"/>
    <w:rsid w:val="00921C64"/>
    <w:rsid w:val="0092604B"/>
    <w:rsid w:val="009276A0"/>
    <w:rsid w:val="009300CC"/>
    <w:rsid w:val="00931357"/>
    <w:rsid w:val="00932B1A"/>
    <w:rsid w:val="00936B65"/>
    <w:rsid w:val="00936E6A"/>
    <w:rsid w:val="00937C3F"/>
    <w:rsid w:val="0094297E"/>
    <w:rsid w:val="00943B53"/>
    <w:rsid w:val="00950429"/>
    <w:rsid w:val="00950560"/>
    <w:rsid w:val="00950984"/>
    <w:rsid w:val="009546DB"/>
    <w:rsid w:val="009565CB"/>
    <w:rsid w:val="00965B15"/>
    <w:rsid w:val="00970B25"/>
    <w:rsid w:val="00972384"/>
    <w:rsid w:val="00977067"/>
    <w:rsid w:val="009772B9"/>
    <w:rsid w:val="00977392"/>
    <w:rsid w:val="0098004A"/>
    <w:rsid w:val="00981505"/>
    <w:rsid w:val="00982221"/>
    <w:rsid w:val="0098371B"/>
    <w:rsid w:val="00991B34"/>
    <w:rsid w:val="0099356F"/>
    <w:rsid w:val="00996539"/>
    <w:rsid w:val="00997255"/>
    <w:rsid w:val="00997DA5"/>
    <w:rsid w:val="009A170D"/>
    <w:rsid w:val="009A1B3D"/>
    <w:rsid w:val="009A2A2B"/>
    <w:rsid w:val="009A4456"/>
    <w:rsid w:val="009B10E9"/>
    <w:rsid w:val="009B36D0"/>
    <w:rsid w:val="009C19AF"/>
    <w:rsid w:val="009C1BF4"/>
    <w:rsid w:val="009C1F5E"/>
    <w:rsid w:val="009C2F86"/>
    <w:rsid w:val="009C79EA"/>
    <w:rsid w:val="009D0DA6"/>
    <w:rsid w:val="009D39DD"/>
    <w:rsid w:val="009D46B1"/>
    <w:rsid w:val="009D669F"/>
    <w:rsid w:val="009D7ACD"/>
    <w:rsid w:val="009E1592"/>
    <w:rsid w:val="009E3419"/>
    <w:rsid w:val="009E5E5F"/>
    <w:rsid w:val="009E5EF3"/>
    <w:rsid w:val="009F1BD5"/>
    <w:rsid w:val="009F55FC"/>
    <w:rsid w:val="009F5CF2"/>
    <w:rsid w:val="009F798F"/>
    <w:rsid w:val="00A00B85"/>
    <w:rsid w:val="00A05E3D"/>
    <w:rsid w:val="00A117A7"/>
    <w:rsid w:val="00A23F9F"/>
    <w:rsid w:val="00A2693F"/>
    <w:rsid w:val="00A3080A"/>
    <w:rsid w:val="00A311F4"/>
    <w:rsid w:val="00A322ED"/>
    <w:rsid w:val="00A336FA"/>
    <w:rsid w:val="00A3375A"/>
    <w:rsid w:val="00A365DD"/>
    <w:rsid w:val="00A431DD"/>
    <w:rsid w:val="00A43BB4"/>
    <w:rsid w:val="00A43F5D"/>
    <w:rsid w:val="00A46861"/>
    <w:rsid w:val="00A4706F"/>
    <w:rsid w:val="00A513CB"/>
    <w:rsid w:val="00A57B56"/>
    <w:rsid w:val="00A605DE"/>
    <w:rsid w:val="00A610FE"/>
    <w:rsid w:val="00A624AC"/>
    <w:rsid w:val="00A63D7B"/>
    <w:rsid w:val="00A6702D"/>
    <w:rsid w:val="00A71E0B"/>
    <w:rsid w:val="00A72390"/>
    <w:rsid w:val="00A728C9"/>
    <w:rsid w:val="00A75533"/>
    <w:rsid w:val="00A81426"/>
    <w:rsid w:val="00A843B2"/>
    <w:rsid w:val="00A85198"/>
    <w:rsid w:val="00A85BDF"/>
    <w:rsid w:val="00A9199C"/>
    <w:rsid w:val="00A92E6B"/>
    <w:rsid w:val="00A93D2D"/>
    <w:rsid w:val="00A95AE4"/>
    <w:rsid w:val="00A96939"/>
    <w:rsid w:val="00AA03A5"/>
    <w:rsid w:val="00AA08A3"/>
    <w:rsid w:val="00AA1F9C"/>
    <w:rsid w:val="00AA478C"/>
    <w:rsid w:val="00AA5C03"/>
    <w:rsid w:val="00AB01BD"/>
    <w:rsid w:val="00AB34A0"/>
    <w:rsid w:val="00AB5498"/>
    <w:rsid w:val="00AB66CF"/>
    <w:rsid w:val="00AB74A7"/>
    <w:rsid w:val="00AB7967"/>
    <w:rsid w:val="00AC0D2B"/>
    <w:rsid w:val="00AC20E7"/>
    <w:rsid w:val="00AC32B1"/>
    <w:rsid w:val="00AC43C1"/>
    <w:rsid w:val="00AC4BCD"/>
    <w:rsid w:val="00AC4DB7"/>
    <w:rsid w:val="00AC5673"/>
    <w:rsid w:val="00AC5BC7"/>
    <w:rsid w:val="00AD2FF2"/>
    <w:rsid w:val="00AD4ECF"/>
    <w:rsid w:val="00AD7872"/>
    <w:rsid w:val="00AE28F5"/>
    <w:rsid w:val="00AE2F50"/>
    <w:rsid w:val="00AE54DD"/>
    <w:rsid w:val="00AE5FAB"/>
    <w:rsid w:val="00AE6220"/>
    <w:rsid w:val="00AF1B8D"/>
    <w:rsid w:val="00AF36A2"/>
    <w:rsid w:val="00AF62E5"/>
    <w:rsid w:val="00AF7D01"/>
    <w:rsid w:val="00B016A3"/>
    <w:rsid w:val="00B14F9A"/>
    <w:rsid w:val="00B16639"/>
    <w:rsid w:val="00B2128E"/>
    <w:rsid w:val="00B2194F"/>
    <w:rsid w:val="00B245C0"/>
    <w:rsid w:val="00B24B5C"/>
    <w:rsid w:val="00B25AEB"/>
    <w:rsid w:val="00B26E5F"/>
    <w:rsid w:val="00B32680"/>
    <w:rsid w:val="00B34CC5"/>
    <w:rsid w:val="00B40524"/>
    <w:rsid w:val="00B40E1D"/>
    <w:rsid w:val="00B4162D"/>
    <w:rsid w:val="00B42D42"/>
    <w:rsid w:val="00B47D84"/>
    <w:rsid w:val="00B516CE"/>
    <w:rsid w:val="00B51C96"/>
    <w:rsid w:val="00B51EDF"/>
    <w:rsid w:val="00B54205"/>
    <w:rsid w:val="00B551C6"/>
    <w:rsid w:val="00B557DD"/>
    <w:rsid w:val="00B57CC8"/>
    <w:rsid w:val="00B620E8"/>
    <w:rsid w:val="00B669D9"/>
    <w:rsid w:val="00B70BF4"/>
    <w:rsid w:val="00B70C74"/>
    <w:rsid w:val="00B72700"/>
    <w:rsid w:val="00B739A7"/>
    <w:rsid w:val="00B83432"/>
    <w:rsid w:val="00B84BF0"/>
    <w:rsid w:val="00B84DEC"/>
    <w:rsid w:val="00B855BC"/>
    <w:rsid w:val="00B937DB"/>
    <w:rsid w:val="00B97C8B"/>
    <w:rsid w:val="00BA1B1E"/>
    <w:rsid w:val="00BA30C8"/>
    <w:rsid w:val="00BA5555"/>
    <w:rsid w:val="00BA6039"/>
    <w:rsid w:val="00BA632D"/>
    <w:rsid w:val="00BA7CAE"/>
    <w:rsid w:val="00BB1256"/>
    <w:rsid w:val="00BB22AB"/>
    <w:rsid w:val="00BB2B8B"/>
    <w:rsid w:val="00BB6DA2"/>
    <w:rsid w:val="00BC34A8"/>
    <w:rsid w:val="00BC7028"/>
    <w:rsid w:val="00BD31F8"/>
    <w:rsid w:val="00BD7505"/>
    <w:rsid w:val="00BE1658"/>
    <w:rsid w:val="00BE46EE"/>
    <w:rsid w:val="00BE55B3"/>
    <w:rsid w:val="00BE59F7"/>
    <w:rsid w:val="00BF03D1"/>
    <w:rsid w:val="00BF2623"/>
    <w:rsid w:val="00BF3518"/>
    <w:rsid w:val="00C00E12"/>
    <w:rsid w:val="00C02CDF"/>
    <w:rsid w:val="00C030CB"/>
    <w:rsid w:val="00C11D18"/>
    <w:rsid w:val="00C1274B"/>
    <w:rsid w:val="00C132AE"/>
    <w:rsid w:val="00C1456E"/>
    <w:rsid w:val="00C23D6C"/>
    <w:rsid w:val="00C25F8C"/>
    <w:rsid w:val="00C26AD1"/>
    <w:rsid w:val="00C27231"/>
    <w:rsid w:val="00C30123"/>
    <w:rsid w:val="00C302B4"/>
    <w:rsid w:val="00C30DFE"/>
    <w:rsid w:val="00C31F2C"/>
    <w:rsid w:val="00C3408D"/>
    <w:rsid w:val="00C35839"/>
    <w:rsid w:val="00C37895"/>
    <w:rsid w:val="00C37F7C"/>
    <w:rsid w:val="00C4251A"/>
    <w:rsid w:val="00C443F1"/>
    <w:rsid w:val="00C46AC8"/>
    <w:rsid w:val="00C46B5F"/>
    <w:rsid w:val="00C46BD5"/>
    <w:rsid w:val="00C55CD7"/>
    <w:rsid w:val="00C574D1"/>
    <w:rsid w:val="00C6211C"/>
    <w:rsid w:val="00C62A19"/>
    <w:rsid w:val="00C62D93"/>
    <w:rsid w:val="00C63347"/>
    <w:rsid w:val="00C638B4"/>
    <w:rsid w:val="00C65BA4"/>
    <w:rsid w:val="00C67333"/>
    <w:rsid w:val="00C714B5"/>
    <w:rsid w:val="00C728D5"/>
    <w:rsid w:val="00C729B2"/>
    <w:rsid w:val="00C74DF9"/>
    <w:rsid w:val="00C7661D"/>
    <w:rsid w:val="00C76B64"/>
    <w:rsid w:val="00C8098D"/>
    <w:rsid w:val="00C81763"/>
    <w:rsid w:val="00C81F5A"/>
    <w:rsid w:val="00C84E69"/>
    <w:rsid w:val="00C858C5"/>
    <w:rsid w:val="00C8693A"/>
    <w:rsid w:val="00C87794"/>
    <w:rsid w:val="00C935B7"/>
    <w:rsid w:val="00C9700F"/>
    <w:rsid w:val="00CA2F18"/>
    <w:rsid w:val="00CA43C3"/>
    <w:rsid w:val="00CA74BB"/>
    <w:rsid w:val="00CA7756"/>
    <w:rsid w:val="00CA782A"/>
    <w:rsid w:val="00CB2489"/>
    <w:rsid w:val="00CB34CA"/>
    <w:rsid w:val="00CB48D3"/>
    <w:rsid w:val="00CB557E"/>
    <w:rsid w:val="00CB6EE0"/>
    <w:rsid w:val="00CB7A44"/>
    <w:rsid w:val="00CC3C25"/>
    <w:rsid w:val="00CC4898"/>
    <w:rsid w:val="00CC61AB"/>
    <w:rsid w:val="00CC6FBF"/>
    <w:rsid w:val="00CD01B7"/>
    <w:rsid w:val="00CD09D4"/>
    <w:rsid w:val="00CD0ADB"/>
    <w:rsid w:val="00CD7339"/>
    <w:rsid w:val="00CE3934"/>
    <w:rsid w:val="00CE3D03"/>
    <w:rsid w:val="00CE47AE"/>
    <w:rsid w:val="00CE540A"/>
    <w:rsid w:val="00CE7C88"/>
    <w:rsid w:val="00CF0169"/>
    <w:rsid w:val="00CF26FB"/>
    <w:rsid w:val="00CF2939"/>
    <w:rsid w:val="00CF458C"/>
    <w:rsid w:val="00CF45B1"/>
    <w:rsid w:val="00CF4F46"/>
    <w:rsid w:val="00CF65C0"/>
    <w:rsid w:val="00D02EC8"/>
    <w:rsid w:val="00D03631"/>
    <w:rsid w:val="00D03CBE"/>
    <w:rsid w:val="00D04579"/>
    <w:rsid w:val="00D07ADF"/>
    <w:rsid w:val="00D16094"/>
    <w:rsid w:val="00D17780"/>
    <w:rsid w:val="00D2072E"/>
    <w:rsid w:val="00D25E17"/>
    <w:rsid w:val="00D27A84"/>
    <w:rsid w:val="00D27D8B"/>
    <w:rsid w:val="00D30EB1"/>
    <w:rsid w:val="00D33D32"/>
    <w:rsid w:val="00D36A57"/>
    <w:rsid w:val="00D37EAC"/>
    <w:rsid w:val="00D43DD2"/>
    <w:rsid w:val="00D45B95"/>
    <w:rsid w:val="00D46015"/>
    <w:rsid w:val="00D612C8"/>
    <w:rsid w:val="00D61421"/>
    <w:rsid w:val="00D649E8"/>
    <w:rsid w:val="00D652B6"/>
    <w:rsid w:val="00D6709F"/>
    <w:rsid w:val="00D72A24"/>
    <w:rsid w:val="00D763D3"/>
    <w:rsid w:val="00D7683F"/>
    <w:rsid w:val="00D770D8"/>
    <w:rsid w:val="00D80747"/>
    <w:rsid w:val="00D86FAE"/>
    <w:rsid w:val="00D872B7"/>
    <w:rsid w:val="00D90287"/>
    <w:rsid w:val="00D92324"/>
    <w:rsid w:val="00D96130"/>
    <w:rsid w:val="00D97ACB"/>
    <w:rsid w:val="00D97BC5"/>
    <w:rsid w:val="00DA20E1"/>
    <w:rsid w:val="00DA50A3"/>
    <w:rsid w:val="00DA5B5D"/>
    <w:rsid w:val="00DA70F7"/>
    <w:rsid w:val="00DB0A56"/>
    <w:rsid w:val="00DB1201"/>
    <w:rsid w:val="00DB1D0A"/>
    <w:rsid w:val="00DB2093"/>
    <w:rsid w:val="00DB25E8"/>
    <w:rsid w:val="00DB3567"/>
    <w:rsid w:val="00DB7A87"/>
    <w:rsid w:val="00DC02F5"/>
    <w:rsid w:val="00DC138D"/>
    <w:rsid w:val="00DC268E"/>
    <w:rsid w:val="00DC38B9"/>
    <w:rsid w:val="00DC55AA"/>
    <w:rsid w:val="00DC5BB1"/>
    <w:rsid w:val="00DD3535"/>
    <w:rsid w:val="00DD486B"/>
    <w:rsid w:val="00DD58FE"/>
    <w:rsid w:val="00DD6A98"/>
    <w:rsid w:val="00DD6F1C"/>
    <w:rsid w:val="00DE0853"/>
    <w:rsid w:val="00DE3817"/>
    <w:rsid w:val="00DE69A2"/>
    <w:rsid w:val="00DF1827"/>
    <w:rsid w:val="00DF3053"/>
    <w:rsid w:val="00DF3B5A"/>
    <w:rsid w:val="00DF71B2"/>
    <w:rsid w:val="00E005F6"/>
    <w:rsid w:val="00E01144"/>
    <w:rsid w:val="00E01C82"/>
    <w:rsid w:val="00E021E0"/>
    <w:rsid w:val="00E05D24"/>
    <w:rsid w:val="00E06F4A"/>
    <w:rsid w:val="00E107E3"/>
    <w:rsid w:val="00E1120F"/>
    <w:rsid w:val="00E147A2"/>
    <w:rsid w:val="00E1697C"/>
    <w:rsid w:val="00E212C7"/>
    <w:rsid w:val="00E21DBC"/>
    <w:rsid w:val="00E21FE3"/>
    <w:rsid w:val="00E239D8"/>
    <w:rsid w:val="00E24390"/>
    <w:rsid w:val="00E24F51"/>
    <w:rsid w:val="00E2724C"/>
    <w:rsid w:val="00E27BDA"/>
    <w:rsid w:val="00E31D45"/>
    <w:rsid w:val="00E33027"/>
    <w:rsid w:val="00E3618B"/>
    <w:rsid w:val="00E3629D"/>
    <w:rsid w:val="00E37FD6"/>
    <w:rsid w:val="00E40BE8"/>
    <w:rsid w:val="00E40FD5"/>
    <w:rsid w:val="00E41354"/>
    <w:rsid w:val="00E41FF5"/>
    <w:rsid w:val="00E42A55"/>
    <w:rsid w:val="00E43750"/>
    <w:rsid w:val="00E450E9"/>
    <w:rsid w:val="00E4561F"/>
    <w:rsid w:val="00E46A6B"/>
    <w:rsid w:val="00E51536"/>
    <w:rsid w:val="00E53656"/>
    <w:rsid w:val="00E57192"/>
    <w:rsid w:val="00E57500"/>
    <w:rsid w:val="00E620A7"/>
    <w:rsid w:val="00E626C7"/>
    <w:rsid w:val="00E66E65"/>
    <w:rsid w:val="00E71E24"/>
    <w:rsid w:val="00E72864"/>
    <w:rsid w:val="00E7665A"/>
    <w:rsid w:val="00E805F6"/>
    <w:rsid w:val="00E80ACD"/>
    <w:rsid w:val="00E80DF8"/>
    <w:rsid w:val="00E83355"/>
    <w:rsid w:val="00E84127"/>
    <w:rsid w:val="00E843CB"/>
    <w:rsid w:val="00E9077F"/>
    <w:rsid w:val="00E919C1"/>
    <w:rsid w:val="00E919CE"/>
    <w:rsid w:val="00E93458"/>
    <w:rsid w:val="00E941FE"/>
    <w:rsid w:val="00E95BA7"/>
    <w:rsid w:val="00EA0A31"/>
    <w:rsid w:val="00EA20ED"/>
    <w:rsid w:val="00EA249C"/>
    <w:rsid w:val="00EA2E38"/>
    <w:rsid w:val="00EA3213"/>
    <w:rsid w:val="00EA39D3"/>
    <w:rsid w:val="00EA60DA"/>
    <w:rsid w:val="00EB0A92"/>
    <w:rsid w:val="00EB121E"/>
    <w:rsid w:val="00EB1224"/>
    <w:rsid w:val="00EB6329"/>
    <w:rsid w:val="00EC62F6"/>
    <w:rsid w:val="00ED029A"/>
    <w:rsid w:val="00ED06B8"/>
    <w:rsid w:val="00ED09B0"/>
    <w:rsid w:val="00ED2AF0"/>
    <w:rsid w:val="00ED3F23"/>
    <w:rsid w:val="00ED4D55"/>
    <w:rsid w:val="00ED5223"/>
    <w:rsid w:val="00ED5D9F"/>
    <w:rsid w:val="00EE3592"/>
    <w:rsid w:val="00EE6D53"/>
    <w:rsid w:val="00EF1724"/>
    <w:rsid w:val="00EF38F3"/>
    <w:rsid w:val="00EF7E28"/>
    <w:rsid w:val="00EF7FAD"/>
    <w:rsid w:val="00F009E5"/>
    <w:rsid w:val="00F02448"/>
    <w:rsid w:val="00F02555"/>
    <w:rsid w:val="00F04105"/>
    <w:rsid w:val="00F05C92"/>
    <w:rsid w:val="00F05EAC"/>
    <w:rsid w:val="00F065DF"/>
    <w:rsid w:val="00F113D1"/>
    <w:rsid w:val="00F13830"/>
    <w:rsid w:val="00F15A9C"/>
    <w:rsid w:val="00F16C68"/>
    <w:rsid w:val="00F17E76"/>
    <w:rsid w:val="00F215B6"/>
    <w:rsid w:val="00F22041"/>
    <w:rsid w:val="00F23D30"/>
    <w:rsid w:val="00F24E9F"/>
    <w:rsid w:val="00F2620D"/>
    <w:rsid w:val="00F27ABC"/>
    <w:rsid w:val="00F27D1C"/>
    <w:rsid w:val="00F3262B"/>
    <w:rsid w:val="00F34DC2"/>
    <w:rsid w:val="00F359A1"/>
    <w:rsid w:val="00F36AC6"/>
    <w:rsid w:val="00F37005"/>
    <w:rsid w:val="00F37AF1"/>
    <w:rsid w:val="00F4200F"/>
    <w:rsid w:val="00F42199"/>
    <w:rsid w:val="00F422DA"/>
    <w:rsid w:val="00F45C8D"/>
    <w:rsid w:val="00F467ED"/>
    <w:rsid w:val="00F47772"/>
    <w:rsid w:val="00F533A9"/>
    <w:rsid w:val="00F53BBF"/>
    <w:rsid w:val="00F57A2A"/>
    <w:rsid w:val="00F6173B"/>
    <w:rsid w:val="00F6177D"/>
    <w:rsid w:val="00F61B13"/>
    <w:rsid w:val="00F61CAD"/>
    <w:rsid w:val="00F6235E"/>
    <w:rsid w:val="00F63665"/>
    <w:rsid w:val="00F66608"/>
    <w:rsid w:val="00F67FF6"/>
    <w:rsid w:val="00F70079"/>
    <w:rsid w:val="00F73379"/>
    <w:rsid w:val="00F73700"/>
    <w:rsid w:val="00F7617C"/>
    <w:rsid w:val="00F776E2"/>
    <w:rsid w:val="00F80BB1"/>
    <w:rsid w:val="00F82233"/>
    <w:rsid w:val="00F83DBB"/>
    <w:rsid w:val="00F8695F"/>
    <w:rsid w:val="00F87DB9"/>
    <w:rsid w:val="00F91B28"/>
    <w:rsid w:val="00F93A8B"/>
    <w:rsid w:val="00FA376B"/>
    <w:rsid w:val="00FA7FB5"/>
    <w:rsid w:val="00FB0500"/>
    <w:rsid w:val="00FB2E48"/>
    <w:rsid w:val="00FB30A4"/>
    <w:rsid w:val="00FC151E"/>
    <w:rsid w:val="00FC1FF0"/>
    <w:rsid w:val="00FC4411"/>
    <w:rsid w:val="00FC6CDA"/>
    <w:rsid w:val="00FC6DBB"/>
    <w:rsid w:val="00FD0D54"/>
    <w:rsid w:val="00FD3FA5"/>
    <w:rsid w:val="00FD5FCA"/>
    <w:rsid w:val="00FE009B"/>
    <w:rsid w:val="00FE2814"/>
    <w:rsid w:val="00FE2CF1"/>
    <w:rsid w:val="00FE3104"/>
    <w:rsid w:val="00FE3A36"/>
    <w:rsid w:val="00FE603F"/>
    <w:rsid w:val="00FE64C3"/>
    <w:rsid w:val="00FE64D5"/>
    <w:rsid w:val="00FE71D2"/>
    <w:rsid w:val="00FF1271"/>
    <w:rsid w:val="00FF24AB"/>
    <w:rsid w:val="00FF2889"/>
    <w:rsid w:val="00FF2B8B"/>
    <w:rsid w:val="00FF3161"/>
    <w:rsid w:val="00FF6BE2"/>
    <w:rsid w:val="00FF74DF"/>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List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F3F5E"/>
    <w:rPr>
      <w:rFonts w:ascii="Times New Roman" w:eastAsia="Times New Roman" w:hAnsi="Times New Roman"/>
      <w:sz w:val="24"/>
      <w:szCs w:val="24"/>
    </w:rPr>
  </w:style>
  <w:style w:type="paragraph" w:styleId="Heading1">
    <w:name w:val="heading 1"/>
    <w:basedOn w:val="Normal"/>
    <w:next w:val="Normal"/>
    <w:link w:val="Heading1Char"/>
    <w:qFormat/>
    <w:rsid w:val="00341B66"/>
    <w:pPr>
      <w:keepNext/>
      <w:spacing w:before="240" w:after="120"/>
      <w:outlineLvl w:val="0"/>
    </w:pPr>
    <w:rPr>
      <w:rFonts w:ascii="Arial" w:hAnsi="Arial" w:cs="Arial"/>
      <w:b/>
      <w:bCs/>
      <w:i/>
      <w:kern w:val="32"/>
      <w:sz w:val="28"/>
      <w:szCs w:val="32"/>
    </w:rPr>
  </w:style>
  <w:style w:type="paragraph" w:styleId="Heading3">
    <w:name w:val="heading 3"/>
    <w:basedOn w:val="Normal"/>
    <w:next w:val="Normal"/>
    <w:link w:val="Heading3Char"/>
    <w:qFormat/>
    <w:rsid w:val="00341B66"/>
    <w:pPr>
      <w:keepNext/>
      <w:widowControl w:val="0"/>
      <w:spacing w:before="240" w:after="12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341B66"/>
    <w:pPr>
      <w:outlineLvl w:val="3"/>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B66"/>
    <w:rPr>
      <w:rFonts w:ascii="Arial" w:eastAsia="Times New Roman" w:hAnsi="Arial" w:cs="Arial"/>
      <w:b/>
      <w:bCs/>
      <w:i/>
      <w:kern w:val="32"/>
      <w:sz w:val="28"/>
      <w:szCs w:val="32"/>
      <w:lang w:eastAsia="en-AU"/>
    </w:rPr>
  </w:style>
  <w:style w:type="character" w:customStyle="1" w:styleId="Heading3Char">
    <w:name w:val="Heading 3 Char"/>
    <w:basedOn w:val="DefaultParagraphFont"/>
    <w:link w:val="Heading3"/>
    <w:rsid w:val="00341B66"/>
    <w:rPr>
      <w:rFonts w:ascii="Arial" w:eastAsia="Times New Roman" w:hAnsi="Arial" w:cs="Arial"/>
      <w:b/>
      <w:bCs/>
      <w:sz w:val="26"/>
      <w:szCs w:val="26"/>
      <w:lang w:eastAsia="en-AU"/>
    </w:rPr>
  </w:style>
  <w:style w:type="paragraph" w:styleId="BalloonText">
    <w:name w:val="Balloon Text"/>
    <w:basedOn w:val="Normal"/>
    <w:link w:val="BalloonTextChar"/>
    <w:uiPriority w:val="99"/>
    <w:semiHidden/>
    <w:unhideWhenUsed/>
    <w:rsid w:val="00341B66"/>
    <w:rPr>
      <w:rFonts w:ascii="Tahoma" w:hAnsi="Tahoma" w:cs="Tahoma"/>
      <w:sz w:val="16"/>
      <w:szCs w:val="16"/>
    </w:rPr>
  </w:style>
  <w:style w:type="character" w:customStyle="1" w:styleId="BalloonTextChar">
    <w:name w:val="Balloon Text Char"/>
    <w:basedOn w:val="DefaultParagraphFont"/>
    <w:link w:val="BalloonText"/>
    <w:uiPriority w:val="99"/>
    <w:semiHidden/>
    <w:rsid w:val="00341B66"/>
    <w:rPr>
      <w:rFonts w:ascii="Tahoma" w:eastAsia="Times New Roman" w:hAnsi="Tahoma" w:cs="Tahoma"/>
      <w:sz w:val="16"/>
      <w:szCs w:val="16"/>
      <w:lang w:eastAsia="en-AU"/>
    </w:rPr>
  </w:style>
  <w:style w:type="character" w:customStyle="1" w:styleId="Heading4Char">
    <w:name w:val="Heading 4 Char"/>
    <w:basedOn w:val="DefaultParagraphFont"/>
    <w:link w:val="Heading4"/>
    <w:uiPriority w:val="9"/>
    <w:rsid w:val="00341B66"/>
    <w:rPr>
      <w:rFonts w:ascii="Arial" w:eastAsia="Times New Roman" w:hAnsi="Arial" w:cs="Arial"/>
      <w:b/>
      <w:sz w:val="24"/>
      <w:szCs w:val="24"/>
      <w:lang w:eastAsia="en-AU"/>
    </w:rPr>
  </w:style>
  <w:style w:type="table" w:styleId="TableList3">
    <w:name w:val="Table List 3"/>
    <w:basedOn w:val="TableNormal"/>
    <w:rsid w:val="00E626C7"/>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Header">
    <w:name w:val="header"/>
    <w:basedOn w:val="Normal"/>
    <w:link w:val="HeaderChar"/>
    <w:uiPriority w:val="99"/>
    <w:semiHidden/>
    <w:unhideWhenUsed/>
    <w:rsid w:val="002B6B7B"/>
    <w:pPr>
      <w:tabs>
        <w:tab w:val="center" w:pos="4513"/>
        <w:tab w:val="right" w:pos="9026"/>
      </w:tabs>
    </w:pPr>
  </w:style>
  <w:style w:type="character" w:customStyle="1" w:styleId="HeaderChar">
    <w:name w:val="Header Char"/>
    <w:basedOn w:val="DefaultParagraphFont"/>
    <w:link w:val="Header"/>
    <w:uiPriority w:val="99"/>
    <w:semiHidden/>
    <w:rsid w:val="002B6B7B"/>
    <w:rPr>
      <w:rFonts w:ascii="Times New Roman" w:eastAsia="Times New Roman" w:hAnsi="Times New Roman"/>
      <w:sz w:val="24"/>
      <w:szCs w:val="24"/>
    </w:rPr>
  </w:style>
  <w:style w:type="paragraph" w:styleId="Footer">
    <w:name w:val="footer"/>
    <w:basedOn w:val="Normal"/>
    <w:link w:val="FooterChar"/>
    <w:uiPriority w:val="99"/>
    <w:unhideWhenUsed/>
    <w:rsid w:val="002B6B7B"/>
    <w:pPr>
      <w:tabs>
        <w:tab w:val="center" w:pos="4513"/>
        <w:tab w:val="right" w:pos="9026"/>
      </w:tabs>
    </w:pPr>
  </w:style>
  <w:style w:type="character" w:customStyle="1" w:styleId="FooterChar">
    <w:name w:val="Footer Char"/>
    <w:basedOn w:val="DefaultParagraphFont"/>
    <w:link w:val="Footer"/>
    <w:uiPriority w:val="99"/>
    <w:rsid w:val="002B6B7B"/>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997DA5"/>
    <w:rPr>
      <w:sz w:val="16"/>
      <w:szCs w:val="16"/>
    </w:rPr>
  </w:style>
  <w:style w:type="paragraph" w:styleId="CommentText">
    <w:name w:val="annotation text"/>
    <w:basedOn w:val="Normal"/>
    <w:link w:val="CommentTextChar"/>
    <w:uiPriority w:val="99"/>
    <w:semiHidden/>
    <w:unhideWhenUsed/>
    <w:rsid w:val="00997DA5"/>
    <w:rPr>
      <w:sz w:val="20"/>
      <w:szCs w:val="20"/>
    </w:rPr>
  </w:style>
  <w:style w:type="character" w:customStyle="1" w:styleId="CommentTextChar">
    <w:name w:val="Comment Text Char"/>
    <w:basedOn w:val="DefaultParagraphFont"/>
    <w:link w:val="CommentText"/>
    <w:uiPriority w:val="99"/>
    <w:semiHidden/>
    <w:rsid w:val="00997DA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97DA5"/>
    <w:rPr>
      <w:b/>
      <w:bCs/>
    </w:rPr>
  </w:style>
  <w:style w:type="character" w:customStyle="1" w:styleId="CommentSubjectChar">
    <w:name w:val="Comment Subject Char"/>
    <w:basedOn w:val="CommentTextChar"/>
    <w:link w:val="CommentSubject"/>
    <w:uiPriority w:val="99"/>
    <w:semiHidden/>
    <w:rsid w:val="00997DA5"/>
    <w:rPr>
      <w:b/>
      <w:bCs/>
    </w:rPr>
  </w:style>
  <w:style w:type="paragraph" w:styleId="FootnoteText">
    <w:name w:val="footnote text"/>
    <w:basedOn w:val="Normal"/>
    <w:link w:val="FootnoteTextChar"/>
    <w:semiHidden/>
    <w:rsid w:val="00D25E17"/>
    <w:rPr>
      <w:sz w:val="20"/>
      <w:szCs w:val="20"/>
    </w:rPr>
  </w:style>
  <w:style w:type="character" w:customStyle="1" w:styleId="FootnoteTextChar">
    <w:name w:val="Footnote Text Char"/>
    <w:basedOn w:val="DefaultParagraphFont"/>
    <w:link w:val="FootnoteText"/>
    <w:semiHidden/>
    <w:rsid w:val="00D25E17"/>
    <w:rPr>
      <w:rFonts w:ascii="Times New Roman" w:eastAsia="Times New Roman" w:hAnsi="Times New Roman"/>
    </w:rPr>
  </w:style>
  <w:style w:type="character" w:styleId="FootnoteReference">
    <w:name w:val="footnote reference"/>
    <w:basedOn w:val="DefaultParagraphFont"/>
    <w:semiHidden/>
    <w:rsid w:val="00D25E17"/>
    <w:rPr>
      <w:vertAlign w:val="superscript"/>
    </w:rPr>
  </w:style>
  <w:style w:type="paragraph" w:customStyle="1" w:styleId="AERbodytext">
    <w:name w:val="AER body text"/>
    <w:rsid w:val="00D25E17"/>
    <w:pPr>
      <w:spacing w:after="240"/>
    </w:pPr>
    <w:rPr>
      <w:rFonts w:ascii="Times New Roman" w:eastAsia="Times New Roman" w:hAnsi="Times New Roman"/>
      <w:sz w:val="24"/>
      <w:szCs w:val="24"/>
      <w:lang w:eastAsia="en-US"/>
    </w:rPr>
  </w:style>
  <w:style w:type="paragraph" w:styleId="NoSpacing">
    <w:name w:val="No Spacing"/>
    <w:uiPriority w:val="1"/>
    <w:qFormat/>
    <w:rsid w:val="00C81F5A"/>
    <w:rPr>
      <w:rFonts w:ascii="Times New Roman" w:eastAsia="Times New Roman" w:hAnsi="Times New Roman"/>
      <w:sz w:val="24"/>
      <w:szCs w:val="24"/>
    </w:rPr>
  </w:style>
  <w:style w:type="paragraph" w:styleId="Revision">
    <w:name w:val="Revision"/>
    <w:hidden/>
    <w:uiPriority w:val="99"/>
    <w:semiHidden/>
    <w:rsid w:val="00802371"/>
    <w:rPr>
      <w:rFonts w:ascii="Times New Roman" w:eastAsia="Times New Roman" w:hAnsi="Times New Roman"/>
      <w:sz w:val="24"/>
      <w:szCs w:val="24"/>
    </w:rPr>
  </w:style>
  <w:style w:type="paragraph" w:styleId="DocumentMap">
    <w:name w:val="Document Map"/>
    <w:basedOn w:val="Normal"/>
    <w:link w:val="DocumentMapChar"/>
    <w:uiPriority w:val="99"/>
    <w:semiHidden/>
    <w:unhideWhenUsed/>
    <w:rsid w:val="00D7683F"/>
    <w:rPr>
      <w:rFonts w:ascii="Tahoma" w:hAnsi="Tahoma" w:cs="Tahoma"/>
      <w:sz w:val="16"/>
      <w:szCs w:val="16"/>
    </w:rPr>
  </w:style>
  <w:style w:type="character" w:customStyle="1" w:styleId="DocumentMapChar">
    <w:name w:val="Document Map Char"/>
    <w:basedOn w:val="DefaultParagraphFont"/>
    <w:link w:val="DocumentMap"/>
    <w:uiPriority w:val="99"/>
    <w:semiHidden/>
    <w:rsid w:val="00D7683F"/>
    <w:rPr>
      <w:rFonts w:ascii="Tahoma" w:eastAsia="Times New Roman" w:hAnsi="Tahoma" w:cs="Tahoma"/>
      <w:sz w:val="16"/>
      <w:szCs w:val="16"/>
    </w:rPr>
  </w:style>
  <w:style w:type="paragraph" w:customStyle="1" w:styleId="Default">
    <w:name w:val="Default"/>
    <w:rsid w:val="00A728C9"/>
    <w:pPr>
      <w:autoSpaceDE w:val="0"/>
      <w:autoSpaceDN w:val="0"/>
      <w:adjustRightInd w:val="0"/>
    </w:pPr>
    <w:rPr>
      <w:rFonts w:ascii="Times New Roman" w:hAnsi="Times New Roman"/>
      <w:color w:val="000000"/>
      <w:sz w:val="24"/>
      <w:szCs w:val="24"/>
    </w:rPr>
  </w:style>
  <w:style w:type="table" w:styleId="TableGrid">
    <w:name w:val="Table Grid"/>
    <w:basedOn w:val="TableNormal"/>
    <w:rsid w:val="00C26AD1"/>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562D97"/>
    <w:rPr>
      <w:sz w:val="20"/>
      <w:szCs w:val="20"/>
    </w:rPr>
  </w:style>
  <w:style w:type="character" w:customStyle="1" w:styleId="EndnoteTextChar">
    <w:name w:val="Endnote Text Char"/>
    <w:basedOn w:val="DefaultParagraphFont"/>
    <w:link w:val="EndnoteText"/>
    <w:uiPriority w:val="99"/>
    <w:semiHidden/>
    <w:rsid w:val="00562D97"/>
    <w:rPr>
      <w:rFonts w:ascii="Times New Roman" w:eastAsia="Times New Roman" w:hAnsi="Times New Roman"/>
    </w:rPr>
  </w:style>
  <w:style w:type="character" w:styleId="EndnoteReference">
    <w:name w:val="endnote reference"/>
    <w:basedOn w:val="DefaultParagraphFont"/>
    <w:uiPriority w:val="99"/>
    <w:semiHidden/>
    <w:unhideWhenUsed/>
    <w:rsid w:val="00562D97"/>
    <w:rPr>
      <w:vertAlign w:val="superscript"/>
    </w:rPr>
  </w:style>
  <w:style w:type="character" w:styleId="Hyperlink">
    <w:name w:val="Hyperlink"/>
    <w:basedOn w:val="DefaultParagraphFont"/>
    <w:uiPriority w:val="99"/>
    <w:unhideWhenUsed/>
    <w:rsid w:val="006605D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44457892">
      <w:bodyDiv w:val="1"/>
      <w:marLeft w:val="0"/>
      <w:marRight w:val="0"/>
      <w:marTop w:val="0"/>
      <w:marBottom w:val="0"/>
      <w:divBdr>
        <w:top w:val="none" w:sz="0" w:space="0" w:color="auto"/>
        <w:left w:val="none" w:sz="0" w:space="0" w:color="auto"/>
        <w:bottom w:val="none" w:sz="0" w:space="0" w:color="auto"/>
        <w:right w:val="none" w:sz="0" w:space="0" w:color="auto"/>
      </w:divBdr>
    </w:div>
    <w:div w:id="529606757">
      <w:bodyDiv w:val="1"/>
      <w:marLeft w:val="0"/>
      <w:marRight w:val="0"/>
      <w:marTop w:val="0"/>
      <w:marBottom w:val="0"/>
      <w:divBdr>
        <w:top w:val="none" w:sz="0" w:space="0" w:color="auto"/>
        <w:left w:val="none" w:sz="0" w:space="0" w:color="auto"/>
        <w:bottom w:val="none" w:sz="0" w:space="0" w:color="auto"/>
        <w:right w:val="none" w:sz="0" w:space="0" w:color="auto"/>
      </w:divBdr>
    </w:div>
    <w:div w:id="864711036">
      <w:bodyDiv w:val="1"/>
      <w:marLeft w:val="0"/>
      <w:marRight w:val="0"/>
      <w:marTop w:val="0"/>
      <w:marBottom w:val="0"/>
      <w:divBdr>
        <w:top w:val="none" w:sz="0" w:space="0" w:color="auto"/>
        <w:left w:val="none" w:sz="0" w:space="0" w:color="auto"/>
        <w:bottom w:val="none" w:sz="0" w:space="0" w:color="auto"/>
        <w:right w:val="none" w:sz="0" w:space="0" w:color="auto"/>
      </w:divBdr>
    </w:div>
    <w:div w:id="951517901">
      <w:bodyDiv w:val="1"/>
      <w:marLeft w:val="0"/>
      <w:marRight w:val="0"/>
      <w:marTop w:val="0"/>
      <w:marBottom w:val="0"/>
      <w:divBdr>
        <w:top w:val="none" w:sz="0" w:space="0" w:color="auto"/>
        <w:left w:val="none" w:sz="0" w:space="0" w:color="auto"/>
        <w:bottom w:val="none" w:sz="0" w:space="0" w:color="auto"/>
        <w:right w:val="none" w:sz="0" w:space="0" w:color="auto"/>
      </w:divBdr>
    </w:div>
    <w:div w:id="193528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6BB9FB-4D90-4AB6-8039-C5A976B1C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2443</Words>
  <Characters>13926</Characters>
  <Application>Microsoft Office Word</Application>
  <DocSecurity>0</DocSecurity>
  <Lines>116</Lines>
  <Paragraphs>32</Paragraphs>
  <ScaleCrop>false</ScaleCrop>
  <Company/>
  <LinksUpToDate>false</LinksUpToDate>
  <CharactersWithSpaces>16337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2012-11-07T05:25:00Z</dcterms:created>
  <dcterms:modified xsi:type="dcterms:W3CDTF">2012-11-07T05:26:00Z</dcterms:modified>
</cp:coreProperties>
</file>