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6E4A2A" w:rsidP="00842867">
      <w:r w:rsidRPr="00290C63">
        <w:rPr>
          <w:noProof/>
          <w:lang w:eastAsia="en-AU"/>
        </w:rPr>
        <w:drawing>
          <wp:anchor distT="0" distB="0" distL="114300" distR="114300" simplePos="0" relativeHeight="251661312" behindDoc="1" locked="0" layoutInCell="1" allowOverlap="1" wp14:anchorId="6E74FC48" wp14:editId="18FF4DF8">
            <wp:simplePos x="0" y="0"/>
            <wp:positionH relativeFrom="column">
              <wp:posOffset>-1164590</wp:posOffset>
            </wp:positionH>
            <wp:positionV relativeFrom="paragraph">
              <wp:posOffset>-981075</wp:posOffset>
            </wp:positionV>
            <wp:extent cx="7796935" cy="109251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1061" cy="10930957"/>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3644F7" w:rsidP="00842867">
          <w:pPr>
            <w:pStyle w:val="ReportDate"/>
          </w:pPr>
          <w:r>
            <w:t xml:space="preserve">1 </w:t>
          </w:r>
          <w:r w:rsidR="00F86B6F">
            <w:t>April</w:t>
          </w:r>
          <w:r w:rsidR="00842867">
            <w:t xml:space="preserve"> </w:t>
          </w:r>
          <w:r>
            <w:t>–</w:t>
          </w:r>
          <w:r w:rsidR="00842867">
            <w:t xml:space="preserve"> </w:t>
          </w:r>
          <w:r w:rsidR="00F86B6F">
            <w:t>30 June</w:t>
          </w:r>
          <w:r w:rsidR="00842867">
            <w:t xml:space="preserve"> </w:t>
          </w:r>
          <w:r w:rsidR="00842867" w:rsidRPr="00DB723B">
            <w:t>201</w:t>
          </w:r>
          <w:r w:rsidR="00BE7FF9">
            <w:t>7</w:t>
          </w:r>
        </w:p>
        <w:p w:rsidR="00842867" w:rsidRPr="00DB723B" w:rsidRDefault="00842867" w:rsidP="00842867">
          <w:r w:rsidRPr="00DB723B">
            <w:br w:type="page"/>
          </w:r>
        </w:p>
        <w:p w:rsidR="00E022F1" w:rsidRPr="00E022F1" w:rsidRDefault="00CF26EA"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A3798F">
        <w:rPr>
          <w:b/>
        </w:rPr>
        <w:t>201</w:t>
      </w:r>
      <w:r w:rsidR="008A4E14">
        <w:rPr>
          <w:b/>
        </w:rPr>
        <w:t>7</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rsidR="003F4633">
        <w:br/>
        <w:t>GPO Box 520</w:t>
      </w:r>
      <w:r w:rsidR="003F4633">
        <w:br/>
        <w:t>Melbourne Vic</w:t>
      </w:r>
      <w:r>
        <w:t xml:space="preserve"> 3001</w:t>
      </w:r>
    </w:p>
    <w:p w:rsidR="00842867" w:rsidRDefault="00842867" w:rsidP="00842867">
      <w:pPr>
        <w:pStyle w:val="Copyright"/>
      </w:pPr>
      <w:r>
        <w:t>Tel: (03) 9290 1444</w:t>
      </w:r>
      <w:r>
        <w:br/>
        <w:t>Fax: (03) 9290 1457</w:t>
      </w:r>
    </w:p>
    <w:p w:rsidR="00842867" w:rsidRPr="008A6AE8" w:rsidRDefault="00842867" w:rsidP="008A6AE8">
      <w:pPr>
        <w:pStyle w:val="Copyright"/>
        <w:rPr>
          <w:sz w:val="22"/>
          <w:u w:val="single"/>
        </w:rPr>
      </w:pPr>
      <w:r>
        <w:t xml:space="preserve">Email: </w:t>
      </w:r>
      <w:hyperlink r:id="rId10" w:history="1">
        <w:r w:rsidR="006044D9">
          <w:rPr>
            <w:rStyle w:val="Hyperlink"/>
          </w:rPr>
          <w:t>AERinquiry@aer.gov.au</w:t>
        </w:r>
      </w:hyperlink>
      <w:r>
        <w:rPr>
          <w:rStyle w:val="Hyperlink"/>
        </w:rPr>
        <w:br/>
      </w:r>
      <w:r w:rsidR="002C298C" w:rsidRPr="002C298C">
        <w:t xml:space="preserve">AER Reference: </w:t>
      </w:r>
      <w:r w:rsidR="00265ACC">
        <w:t>62663-</w:t>
      </w:r>
      <w:r w:rsidRPr="002C298C">
        <w:t>D1</w:t>
      </w:r>
      <w:r w:rsidR="008A4E14" w:rsidRPr="002C298C">
        <w:t>7</w:t>
      </w:r>
      <w:r w:rsidRPr="002C298C">
        <w:t>/</w:t>
      </w:r>
      <w:r w:rsidR="00550F8D">
        <w:t>118964</w:t>
      </w:r>
    </w:p>
    <w:p w:rsidR="00842867" w:rsidRDefault="00842867">
      <w:pPr>
        <w:spacing w:line="240" w:lineRule="auto"/>
      </w:pPr>
      <w:r>
        <w:br w:type="page"/>
      </w:r>
    </w:p>
    <w:p w:rsidR="00842867" w:rsidRDefault="00842867" w:rsidP="00842867">
      <w:pPr>
        <w:pStyle w:val="TOCHeading"/>
      </w:pPr>
      <w:r>
        <w:lastRenderedPageBreak/>
        <w:t>Contents</w:t>
      </w:r>
    </w:p>
    <w:p w:rsidR="00A56DFE"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90738261" w:history="1">
        <w:r w:rsidR="00B8710A">
          <w:rPr>
            <w:rStyle w:val="Hyperlink"/>
          </w:rPr>
          <w:t>Executive S</w:t>
        </w:r>
        <w:r w:rsidR="00A56DFE" w:rsidRPr="001E6F62">
          <w:rPr>
            <w:rStyle w:val="Hyperlink"/>
          </w:rPr>
          <w:t>ummary</w:t>
        </w:r>
        <w:r w:rsidR="00A56DFE">
          <w:rPr>
            <w:webHidden/>
          </w:rPr>
          <w:tab/>
        </w:r>
        <w:r w:rsidR="00A56DFE">
          <w:rPr>
            <w:webHidden/>
          </w:rPr>
          <w:fldChar w:fldCharType="begin"/>
        </w:r>
        <w:r w:rsidR="00A56DFE">
          <w:rPr>
            <w:webHidden/>
          </w:rPr>
          <w:instrText xml:space="preserve"> PAGEREF _Toc490738261 \h </w:instrText>
        </w:r>
        <w:r w:rsidR="00A56DFE">
          <w:rPr>
            <w:webHidden/>
          </w:rPr>
        </w:r>
        <w:r w:rsidR="00A56DFE">
          <w:rPr>
            <w:webHidden/>
          </w:rPr>
          <w:fldChar w:fldCharType="separate"/>
        </w:r>
        <w:r w:rsidR="00264C25">
          <w:rPr>
            <w:webHidden/>
          </w:rPr>
          <w:t>1</w:t>
        </w:r>
        <w:r w:rsidR="00A56DFE">
          <w:rPr>
            <w:webHidden/>
          </w:rPr>
          <w:fldChar w:fldCharType="end"/>
        </w:r>
      </w:hyperlink>
    </w:p>
    <w:p w:rsidR="00A56DFE" w:rsidRDefault="00CF26EA">
      <w:pPr>
        <w:pStyle w:val="TOC1"/>
        <w:rPr>
          <w:rFonts w:asciiTheme="minorHAnsi" w:eastAsiaTheme="minorEastAsia" w:hAnsiTheme="minorHAnsi"/>
          <w:b w:val="0"/>
          <w:color w:val="auto"/>
          <w:sz w:val="22"/>
          <w:lang w:val="en-AU" w:eastAsia="en-AU"/>
        </w:rPr>
      </w:pPr>
      <w:hyperlink w:anchor="_Toc490738262" w:history="1">
        <w:r w:rsidR="00A56DFE" w:rsidRPr="001E6F62">
          <w:rPr>
            <w:rStyle w:val="Hyperlink"/>
          </w:rPr>
          <w:t>Background</w:t>
        </w:r>
        <w:r w:rsidR="00A56DFE">
          <w:rPr>
            <w:webHidden/>
          </w:rPr>
          <w:tab/>
        </w:r>
        <w:r w:rsidR="00A56DFE">
          <w:rPr>
            <w:webHidden/>
          </w:rPr>
          <w:fldChar w:fldCharType="begin"/>
        </w:r>
        <w:r w:rsidR="00A56DFE">
          <w:rPr>
            <w:webHidden/>
          </w:rPr>
          <w:instrText xml:space="preserve"> PAGEREF _Toc490738262 \h </w:instrText>
        </w:r>
        <w:r w:rsidR="00A56DFE">
          <w:rPr>
            <w:webHidden/>
          </w:rPr>
        </w:r>
        <w:r w:rsidR="00A56DFE">
          <w:rPr>
            <w:webHidden/>
          </w:rPr>
          <w:fldChar w:fldCharType="separate"/>
        </w:r>
        <w:r w:rsidR="00264C25">
          <w:rPr>
            <w:webHidden/>
          </w:rPr>
          <w:t>4</w:t>
        </w:r>
        <w:r w:rsidR="00A56DFE">
          <w:rPr>
            <w:webHidden/>
          </w:rPr>
          <w:fldChar w:fldCharType="end"/>
        </w:r>
      </w:hyperlink>
    </w:p>
    <w:p w:rsidR="00A56DFE" w:rsidRDefault="00CF26EA">
      <w:pPr>
        <w:pStyle w:val="TOC1"/>
        <w:rPr>
          <w:rFonts w:asciiTheme="minorHAnsi" w:eastAsiaTheme="minorEastAsia" w:hAnsiTheme="minorHAnsi"/>
          <w:b w:val="0"/>
          <w:color w:val="auto"/>
          <w:sz w:val="22"/>
          <w:lang w:val="en-AU" w:eastAsia="en-AU"/>
        </w:rPr>
      </w:pPr>
      <w:hyperlink w:anchor="_Toc490738263" w:history="1">
        <w:r w:rsidR="00A56DFE" w:rsidRPr="001E6F62">
          <w:rPr>
            <w:rStyle w:val="Hyperlink"/>
          </w:rPr>
          <w:t>1</w:t>
        </w:r>
        <w:r w:rsidR="00A56DFE">
          <w:rPr>
            <w:rFonts w:asciiTheme="minorHAnsi" w:eastAsiaTheme="minorEastAsia" w:hAnsiTheme="minorHAnsi"/>
            <w:b w:val="0"/>
            <w:color w:val="auto"/>
            <w:sz w:val="22"/>
            <w:lang w:val="en-AU" w:eastAsia="en-AU"/>
          </w:rPr>
          <w:tab/>
        </w:r>
        <w:r w:rsidR="00A56DFE" w:rsidRPr="001E6F62">
          <w:rPr>
            <w:rStyle w:val="Hyperlink"/>
          </w:rPr>
          <w:t>Gas</w:t>
        </w:r>
        <w:r w:rsidR="00A56DFE">
          <w:rPr>
            <w:webHidden/>
          </w:rPr>
          <w:tab/>
        </w:r>
        <w:r w:rsidR="00A56DFE">
          <w:rPr>
            <w:webHidden/>
          </w:rPr>
          <w:fldChar w:fldCharType="begin"/>
        </w:r>
        <w:r w:rsidR="00A56DFE">
          <w:rPr>
            <w:webHidden/>
          </w:rPr>
          <w:instrText xml:space="preserve"> PAGEREF _Toc490738263 \h </w:instrText>
        </w:r>
        <w:r w:rsidR="00A56DFE">
          <w:rPr>
            <w:webHidden/>
          </w:rPr>
        </w:r>
        <w:r w:rsidR="00A56DFE">
          <w:rPr>
            <w:webHidden/>
          </w:rPr>
          <w:fldChar w:fldCharType="separate"/>
        </w:r>
        <w:r w:rsidR="00264C25">
          <w:rPr>
            <w:webHidden/>
          </w:rPr>
          <w:t>6</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64" w:history="1">
        <w:r w:rsidR="00A56DFE" w:rsidRPr="001E6F62">
          <w:rPr>
            <w:rStyle w:val="Hyperlink"/>
          </w:rPr>
          <w:t>1.1</w:t>
        </w:r>
        <w:r w:rsidR="00A56DFE">
          <w:rPr>
            <w:rFonts w:asciiTheme="minorHAnsi" w:eastAsiaTheme="minorEastAsia" w:hAnsiTheme="minorHAnsi"/>
            <w:b w:val="0"/>
            <w:color w:val="auto"/>
            <w:sz w:val="22"/>
            <w:lang w:eastAsia="en-AU"/>
          </w:rPr>
          <w:tab/>
        </w:r>
        <w:r w:rsidR="00A56DFE" w:rsidRPr="001E6F62">
          <w:rPr>
            <w:rStyle w:val="Hyperlink"/>
          </w:rPr>
          <w:t>Natural Gas Services Bulletin Board</w:t>
        </w:r>
        <w:r w:rsidR="00A56DFE">
          <w:rPr>
            <w:webHidden/>
          </w:rPr>
          <w:tab/>
        </w:r>
        <w:r w:rsidR="00A56DFE">
          <w:rPr>
            <w:webHidden/>
          </w:rPr>
          <w:fldChar w:fldCharType="begin"/>
        </w:r>
        <w:r w:rsidR="00A56DFE">
          <w:rPr>
            <w:webHidden/>
          </w:rPr>
          <w:instrText xml:space="preserve"> PAGEREF _Toc490738264 \h </w:instrText>
        </w:r>
        <w:r w:rsidR="00A56DFE">
          <w:rPr>
            <w:webHidden/>
          </w:rPr>
        </w:r>
        <w:r w:rsidR="00A56DFE">
          <w:rPr>
            <w:webHidden/>
          </w:rPr>
          <w:fldChar w:fldCharType="separate"/>
        </w:r>
        <w:r w:rsidR="00264C25">
          <w:rPr>
            <w:webHidden/>
          </w:rPr>
          <w:t>6</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65" w:history="1">
        <w:r w:rsidR="00A56DFE" w:rsidRPr="001E6F62">
          <w:rPr>
            <w:rStyle w:val="Hyperlink"/>
          </w:rPr>
          <w:t>1.1.1</w:t>
        </w:r>
        <w:r w:rsidR="00A56DFE">
          <w:rPr>
            <w:rFonts w:asciiTheme="minorHAnsi" w:eastAsiaTheme="minorEastAsia" w:hAnsiTheme="minorHAnsi"/>
            <w:lang w:eastAsia="en-AU"/>
          </w:rPr>
          <w:tab/>
        </w:r>
        <w:r w:rsidR="00A56DFE" w:rsidRPr="001E6F62">
          <w:rPr>
            <w:rStyle w:val="Hyperlink"/>
          </w:rPr>
          <w:t>Compliance</w:t>
        </w:r>
        <w:r w:rsidR="00A56DFE">
          <w:rPr>
            <w:webHidden/>
          </w:rPr>
          <w:tab/>
        </w:r>
        <w:r w:rsidR="00A56DFE">
          <w:rPr>
            <w:webHidden/>
          </w:rPr>
          <w:fldChar w:fldCharType="begin"/>
        </w:r>
        <w:r w:rsidR="00A56DFE">
          <w:rPr>
            <w:webHidden/>
          </w:rPr>
          <w:instrText xml:space="preserve"> PAGEREF _Toc490738265 \h </w:instrText>
        </w:r>
        <w:r w:rsidR="00A56DFE">
          <w:rPr>
            <w:webHidden/>
          </w:rPr>
        </w:r>
        <w:r w:rsidR="00A56DFE">
          <w:rPr>
            <w:webHidden/>
          </w:rPr>
          <w:fldChar w:fldCharType="separate"/>
        </w:r>
        <w:r w:rsidR="00264C25">
          <w:rPr>
            <w:webHidden/>
          </w:rPr>
          <w:t>6</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66" w:history="1">
        <w:r w:rsidR="00A56DFE" w:rsidRPr="001E6F62">
          <w:rPr>
            <w:rStyle w:val="Hyperlink"/>
          </w:rPr>
          <w:t>1.1.2</w:t>
        </w:r>
        <w:r w:rsidR="00A56DFE">
          <w:rPr>
            <w:rFonts w:asciiTheme="minorHAnsi" w:eastAsiaTheme="minorEastAsia" w:hAnsiTheme="minorHAnsi"/>
            <w:lang w:eastAsia="en-AU"/>
          </w:rPr>
          <w:tab/>
        </w:r>
        <w:r w:rsidR="00155394">
          <w:rPr>
            <w:rStyle w:val="Hyperlink"/>
          </w:rPr>
          <w:t>Current reporting a</w:t>
        </w:r>
        <w:r w:rsidR="00A56DFE" w:rsidRPr="001E6F62">
          <w:rPr>
            <w:rStyle w:val="Hyperlink"/>
          </w:rPr>
          <w:t>rrangements</w:t>
        </w:r>
        <w:r w:rsidR="00A56DFE">
          <w:rPr>
            <w:webHidden/>
          </w:rPr>
          <w:tab/>
        </w:r>
        <w:r w:rsidR="00A56DFE">
          <w:rPr>
            <w:webHidden/>
          </w:rPr>
          <w:fldChar w:fldCharType="begin"/>
        </w:r>
        <w:r w:rsidR="00A56DFE">
          <w:rPr>
            <w:webHidden/>
          </w:rPr>
          <w:instrText xml:space="preserve"> PAGEREF _Toc490738266 \h </w:instrText>
        </w:r>
        <w:r w:rsidR="00A56DFE">
          <w:rPr>
            <w:webHidden/>
          </w:rPr>
        </w:r>
        <w:r w:rsidR="00A56DFE">
          <w:rPr>
            <w:webHidden/>
          </w:rPr>
          <w:fldChar w:fldCharType="separate"/>
        </w:r>
        <w:r w:rsidR="00264C25">
          <w:rPr>
            <w:webHidden/>
          </w:rPr>
          <w:t>6</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67" w:history="1">
        <w:r w:rsidR="00A56DFE" w:rsidRPr="001E6F62">
          <w:rPr>
            <w:rStyle w:val="Hyperlink"/>
          </w:rPr>
          <w:t>1.1.3</w:t>
        </w:r>
        <w:r w:rsidR="00A56DFE">
          <w:rPr>
            <w:rFonts w:asciiTheme="minorHAnsi" w:eastAsiaTheme="minorEastAsia" w:hAnsiTheme="minorHAnsi"/>
            <w:lang w:eastAsia="en-AU"/>
          </w:rPr>
          <w:tab/>
        </w:r>
        <w:r w:rsidR="00155394">
          <w:rPr>
            <w:rStyle w:val="Hyperlink"/>
          </w:rPr>
          <w:t>Secondary pipeline capacity trading and publishing of o</w:t>
        </w:r>
        <w:r w:rsidR="00A56DFE" w:rsidRPr="001E6F62">
          <w:rPr>
            <w:rStyle w:val="Hyperlink"/>
          </w:rPr>
          <w:t>ffers</w:t>
        </w:r>
        <w:r w:rsidR="00A56DFE">
          <w:rPr>
            <w:webHidden/>
          </w:rPr>
          <w:tab/>
        </w:r>
        <w:r w:rsidR="00A56DFE">
          <w:rPr>
            <w:webHidden/>
          </w:rPr>
          <w:fldChar w:fldCharType="begin"/>
        </w:r>
        <w:r w:rsidR="00A56DFE">
          <w:rPr>
            <w:webHidden/>
          </w:rPr>
          <w:instrText xml:space="preserve"> PAGEREF _Toc490738267 \h </w:instrText>
        </w:r>
        <w:r w:rsidR="00A56DFE">
          <w:rPr>
            <w:webHidden/>
          </w:rPr>
        </w:r>
        <w:r w:rsidR="00A56DFE">
          <w:rPr>
            <w:webHidden/>
          </w:rPr>
          <w:fldChar w:fldCharType="separate"/>
        </w:r>
        <w:r w:rsidR="00264C25">
          <w:rPr>
            <w:webHidden/>
          </w:rPr>
          <w:t>7</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68" w:history="1">
        <w:r w:rsidR="00A56DFE" w:rsidRPr="001E6F62">
          <w:rPr>
            <w:rStyle w:val="Hyperlink"/>
          </w:rPr>
          <w:t>1.1.4</w:t>
        </w:r>
        <w:r w:rsidR="00A56DFE">
          <w:rPr>
            <w:rFonts w:asciiTheme="minorHAnsi" w:eastAsiaTheme="minorEastAsia" w:hAnsiTheme="minorHAnsi"/>
            <w:lang w:eastAsia="en-AU"/>
          </w:rPr>
          <w:tab/>
        </w:r>
        <w:r w:rsidR="00155394">
          <w:rPr>
            <w:rStyle w:val="Hyperlink"/>
          </w:rPr>
          <w:t>Bulletin Board r</w:t>
        </w:r>
        <w:r w:rsidR="00A56DFE" w:rsidRPr="001E6F62">
          <w:rPr>
            <w:rStyle w:val="Hyperlink"/>
          </w:rPr>
          <w:t>eform</w:t>
        </w:r>
        <w:r w:rsidR="00A56DFE">
          <w:rPr>
            <w:webHidden/>
          </w:rPr>
          <w:tab/>
        </w:r>
        <w:r w:rsidR="00A56DFE">
          <w:rPr>
            <w:webHidden/>
          </w:rPr>
          <w:fldChar w:fldCharType="begin"/>
        </w:r>
        <w:r w:rsidR="00A56DFE">
          <w:rPr>
            <w:webHidden/>
          </w:rPr>
          <w:instrText xml:space="preserve"> PAGEREF _Toc490738268 \h </w:instrText>
        </w:r>
        <w:r w:rsidR="00A56DFE">
          <w:rPr>
            <w:webHidden/>
          </w:rPr>
        </w:r>
        <w:r w:rsidR="00A56DFE">
          <w:rPr>
            <w:webHidden/>
          </w:rPr>
          <w:fldChar w:fldCharType="separate"/>
        </w:r>
        <w:r w:rsidR="00264C25">
          <w:rPr>
            <w:webHidden/>
          </w:rPr>
          <w:t>8</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69" w:history="1">
        <w:r w:rsidR="00A56DFE" w:rsidRPr="001E6F62">
          <w:rPr>
            <w:rStyle w:val="Hyperlink"/>
            <w:rFonts w:cs="Arial"/>
          </w:rPr>
          <w:t>1.2</w:t>
        </w:r>
        <w:r w:rsidR="00A56DFE">
          <w:rPr>
            <w:rFonts w:asciiTheme="minorHAnsi" w:eastAsiaTheme="minorEastAsia" w:hAnsiTheme="minorHAnsi"/>
            <w:b w:val="0"/>
            <w:color w:val="auto"/>
            <w:sz w:val="22"/>
            <w:lang w:eastAsia="en-AU"/>
          </w:rPr>
          <w:tab/>
        </w:r>
        <w:r w:rsidR="00A56DFE" w:rsidRPr="001E6F62">
          <w:rPr>
            <w:rStyle w:val="Hyperlink"/>
            <w:rFonts w:cs="Arial"/>
          </w:rPr>
          <w:t>Short Term Trading Market</w:t>
        </w:r>
        <w:r w:rsidR="00A56DFE">
          <w:rPr>
            <w:webHidden/>
          </w:rPr>
          <w:tab/>
        </w:r>
        <w:r w:rsidR="00A56DFE">
          <w:rPr>
            <w:webHidden/>
          </w:rPr>
          <w:fldChar w:fldCharType="begin"/>
        </w:r>
        <w:r w:rsidR="00A56DFE">
          <w:rPr>
            <w:webHidden/>
          </w:rPr>
          <w:instrText xml:space="preserve"> PAGEREF _Toc490738269 \h </w:instrText>
        </w:r>
        <w:r w:rsidR="00A56DFE">
          <w:rPr>
            <w:webHidden/>
          </w:rPr>
        </w:r>
        <w:r w:rsidR="00A56DFE">
          <w:rPr>
            <w:webHidden/>
          </w:rPr>
          <w:fldChar w:fldCharType="separate"/>
        </w:r>
        <w:r w:rsidR="00264C25">
          <w:rPr>
            <w:webHidden/>
          </w:rPr>
          <w:t>9</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0" w:history="1">
        <w:r w:rsidR="00A56DFE" w:rsidRPr="001E6F62">
          <w:rPr>
            <w:rStyle w:val="Hyperlink"/>
          </w:rPr>
          <w:t>1.2.1</w:t>
        </w:r>
        <w:r w:rsidR="00A56DFE">
          <w:rPr>
            <w:rFonts w:asciiTheme="minorHAnsi" w:eastAsiaTheme="minorEastAsia" w:hAnsiTheme="minorHAnsi"/>
            <w:lang w:eastAsia="en-AU"/>
          </w:rPr>
          <w:tab/>
        </w:r>
        <w:r w:rsidR="00155394">
          <w:rPr>
            <w:rStyle w:val="Hyperlink"/>
          </w:rPr>
          <w:t>Sydney demand forecasting e</w:t>
        </w:r>
        <w:r w:rsidR="00A56DFE" w:rsidRPr="001E6F62">
          <w:rPr>
            <w:rStyle w:val="Hyperlink"/>
          </w:rPr>
          <w:t>rrors</w:t>
        </w:r>
        <w:r w:rsidR="00A56DFE">
          <w:rPr>
            <w:webHidden/>
          </w:rPr>
          <w:tab/>
        </w:r>
        <w:r w:rsidR="00A56DFE">
          <w:rPr>
            <w:webHidden/>
          </w:rPr>
          <w:fldChar w:fldCharType="begin"/>
        </w:r>
        <w:r w:rsidR="00A56DFE">
          <w:rPr>
            <w:webHidden/>
          </w:rPr>
          <w:instrText xml:space="preserve"> PAGEREF _Toc490738270 \h </w:instrText>
        </w:r>
        <w:r w:rsidR="00A56DFE">
          <w:rPr>
            <w:webHidden/>
          </w:rPr>
        </w:r>
        <w:r w:rsidR="00A56DFE">
          <w:rPr>
            <w:webHidden/>
          </w:rPr>
          <w:fldChar w:fldCharType="separate"/>
        </w:r>
        <w:r w:rsidR="00264C25">
          <w:rPr>
            <w:webHidden/>
          </w:rPr>
          <w:t>9</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1" w:history="1">
        <w:r w:rsidR="00A56DFE" w:rsidRPr="001E6F62">
          <w:rPr>
            <w:rStyle w:val="Hyperlink"/>
          </w:rPr>
          <w:t>1.2.2</w:t>
        </w:r>
        <w:r w:rsidR="00A56DFE">
          <w:rPr>
            <w:rFonts w:asciiTheme="minorHAnsi" w:eastAsiaTheme="minorEastAsia" w:hAnsiTheme="minorHAnsi"/>
            <w:lang w:eastAsia="en-AU"/>
          </w:rPr>
          <w:tab/>
        </w:r>
        <w:r w:rsidR="00155394">
          <w:rPr>
            <w:rStyle w:val="Hyperlink"/>
          </w:rPr>
          <w:t>Pipeline capacity a</w:t>
        </w:r>
        <w:r w:rsidR="00A56DFE" w:rsidRPr="001E6F62">
          <w:rPr>
            <w:rStyle w:val="Hyperlink"/>
          </w:rPr>
          <w:t>vailability</w:t>
        </w:r>
        <w:r w:rsidR="00A56DFE">
          <w:rPr>
            <w:webHidden/>
          </w:rPr>
          <w:tab/>
        </w:r>
        <w:r w:rsidR="00A56DFE">
          <w:rPr>
            <w:webHidden/>
          </w:rPr>
          <w:fldChar w:fldCharType="begin"/>
        </w:r>
        <w:r w:rsidR="00A56DFE">
          <w:rPr>
            <w:webHidden/>
          </w:rPr>
          <w:instrText xml:space="preserve"> PAGEREF _Toc490738271 \h </w:instrText>
        </w:r>
        <w:r w:rsidR="00A56DFE">
          <w:rPr>
            <w:webHidden/>
          </w:rPr>
        </w:r>
        <w:r w:rsidR="00A56DFE">
          <w:rPr>
            <w:webHidden/>
          </w:rPr>
          <w:fldChar w:fldCharType="separate"/>
        </w:r>
        <w:r w:rsidR="00264C25">
          <w:rPr>
            <w:webHidden/>
          </w:rPr>
          <w:t>11</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72" w:history="1">
        <w:r w:rsidR="00A56DFE" w:rsidRPr="001E6F62">
          <w:rPr>
            <w:rStyle w:val="Hyperlink"/>
          </w:rPr>
          <w:t>1.3</w:t>
        </w:r>
        <w:r w:rsidR="00A56DFE">
          <w:rPr>
            <w:rFonts w:asciiTheme="minorHAnsi" w:eastAsiaTheme="minorEastAsia" w:hAnsiTheme="minorHAnsi"/>
            <w:b w:val="0"/>
            <w:color w:val="auto"/>
            <w:sz w:val="22"/>
            <w:lang w:eastAsia="en-AU"/>
          </w:rPr>
          <w:tab/>
        </w:r>
        <w:r w:rsidR="00A56DFE" w:rsidRPr="001E6F62">
          <w:rPr>
            <w:rStyle w:val="Hyperlink"/>
          </w:rPr>
          <w:t>Victorian Gas Market</w:t>
        </w:r>
        <w:r w:rsidR="00A56DFE">
          <w:rPr>
            <w:webHidden/>
          </w:rPr>
          <w:tab/>
        </w:r>
        <w:r w:rsidR="00A56DFE">
          <w:rPr>
            <w:webHidden/>
          </w:rPr>
          <w:fldChar w:fldCharType="begin"/>
        </w:r>
        <w:r w:rsidR="00A56DFE">
          <w:rPr>
            <w:webHidden/>
          </w:rPr>
          <w:instrText xml:space="preserve"> PAGEREF _Toc490738272 \h </w:instrText>
        </w:r>
        <w:r w:rsidR="00A56DFE">
          <w:rPr>
            <w:webHidden/>
          </w:rPr>
        </w:r>
        <w:r w:rsidR="00A56DFE">
          <w:rPr>
            <w:webHidden/>
          </w:rPr>
          <w:fldChar w:fldCharType="separate"/>
        </w:r>
        <w:r w:rsidR="00264C25">
          <w:rPr>
            <w:webHidden/>
          </w:rPr>
          <w:t>12</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3" w:history="1">
        <w:r w:rsidR="00A56DFE" w:rsidRPr="001E6F62">
          <w:rPr>
            <w:rStyle w:val="Hyperlink"/>
            <w:rFonts w:asciiTheme="majorHAnsi" w:eastAsia="Calibri" w:hAnsiTheme="majorHAnsi" w:cstheme="majorHAnsi"/>
          </w:rPr>
          <w:t>1.3.1</w:t>
        </w:r>
        <w:r w:rsidR="00A56DFE">
          <w:rPr>
            <w:rFonts w:asciiTheme="minorHAnsi" w:eastAsiaTheme="minorEastAsia" w:hAnsiTheme="minorHAnsi"/>
            <w:lang w:eastAsia="en-AU"/>
          </w:rPr>
          <w:tab/>
        </w:r>
        <w:r w:rsidR="00155394">
          <w:rPr>
            <w:rStyle w:val="Hyperlink"/>
            <w:rFonts w:asciiTheme="majorHAnsi" w:eastAsia="Calibri" w:hAnsiTheme="majorHAnsi" w:cstheme="majorHAnsi"/>
          </w:rPr>
          <w:t>Targeted compliance review – Longford i</w:t>
        </w:r>
        <w:r w:rsidR="00A56DFE" w:rsidRPr="001E6F62">
          <w:rPr>
            <w:rStyle w:val="Hyperlink"/>
            <w:rFonts w:asciiTheme="majorHAnsi" w:eastAsia="Calibri" w:hAnsiTheme="majorHAnsi" w:cstheme="majorHAnsi"/>
          </w:rPr>
          <w:t>njections</w:t>
        </w:r>
        <w:r w:rsidR="00A56DFE">
          <w:rPr>
            <w:webHidden/>
          </w:rPr>
          <w:tab/>
        </w:r>
        <w:r w:rsidR="00A56DFE">
          <w:rPr>
            <w:webHidden/>
          </w:rPr>
          <w:fldChar w:fldCharType="begin"/>
        </w:r>
        <w:r w:rsidR="00A56DFE">
          <w:rPr>
            <w:webHidden/>
          </w:rPr>
          <w:instrText xml:space="preserve"> PAGEREF _Toc490738273 \h </w:instrText>
        </w:r>
        <w:r w:rsidR="00A56DFE">
          <w:rPr>
            <w:webHidden/>
          </w:rPr>
        </w:r>
        <w:r w:rsidR="00A56DFE">
          <w:rPr>
            <w:webHidden/>
          </w:rPr>
          <w:fldChar w:fldCharType="separate"/>
        </w:r>
        <w:r w:rsidR="00264C25">
          <w:rPr>
            <w:webHidden/>
          </w:rPr>
          <w:t>12</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4" w:history="1">
        <w:r w:rsidR="00A56DFE" w:rsidRPr="001E6F62">
          <w:rPr>
            <w:rStyle w:val="Hyperlink"/>
            <w:rFonts w:eastAsia="Calibri"/>
          </w:rPr>
          <w:t>1.3.2</w:t>
        </w:r>
        <w:r w:rsidR="00A56DFE">
          <w:rPr>
            <w:rFonts w:asciiTheme="minorHAnsi" w:eastAsiaTheme="minorEastAsia" w:hAnsiTheme="minorHAnsi"/>
            <w:lang w:eastAsia="en-AU"/>
          </w:rPr>
          <w:tab/>
        </w:r>
        <w:r w:rsidR="00155394">
          <w:rPr>
            <w:rStyle w:val="Hyperlink"/>
            <w:rFonts w:eastAsia="Calibri"/>
          </w:rPr>
          <w:t>Demand f</w:t>
        </w:r>
        <w:r w:rsidR="00A56DFE" w:rsidRPr="001E6F62">
          <w:rPr>
            <w:rStyle w:val="Hyperlink"/>
            <w:rFonts w:eastAsia="Calibri"/>
          </w:rPr>
          <w:t>orecasting in Victoria</w:t>
        </w:r>
        <w:r w:rsidR="00A56DFE">
          <w:rPr>
            <w:webHidden/>
          </w:rPr>
          <w:tab/>
        </w:r>
        <w:r w:rsidR="00A56DFE">
          <w:rPr>
            <w:webHidden/>
          </w:rPr>
          <w:fldChar w:fldCharType="begin"/>
        </w:r>
        <w:r w:rsidR="00A56DFE">
          <w:rPr>
            <w:webHidden/>
          </w:rPr>
          <w:instrText xml:space="preserve"> PAGEREF _Toc490738274 \h </w:instrText>
        </w:r>
        <w:r w:rsidR="00A56DFE">
          <w:rPr>
            <w:webHidden/>
          </w:rPr>
        </w:r>
        <w:r w:rsidR="00A56DFE">
          <w:rPr>
            <w:webHidden/>
          </w:rPr>
          <w:fldChar w:fldCharType="separate"/>
        </w:r>
        <w:r w:rsidR="00264C25">
          <w:rPr>
            <w:webHidden/>
          </w:rPr>
          <w:t>13</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75" w:history="1">
        <w:r w:rsidR="00A56DFE" w:rsidRPr="001E6F62">
          <w:rPr>
            <w:rStyle w:val="Hyperlink"/>
          </w:rPr>
          <w:t>1.4</w:t>
        </w:r>
        <w:r w:rsidR="00A56DFE">
          <w:rPr>
            <w:rFonts w:asciiTheme="minorHAnsi" w:eastAsiaTheme="minorEastAsia" w:hAnsiTheme="minorHAnsi"/>
            <w:b w:val="0"/>
            <w:color w:val="auto"/>
            <w:sz w:val="22"/>
            <w:lang w:eastAsia="en-AU"/>
          </w:rPr>
          <w:tab/>
        </w:r>
        <w:r w:rsidR="00A56DFE" w:rsidRPr="001E6F62">
          <w:rPr>
            <w:rStyle w:val="Hyperlink"/>
          </w:rPr>
          <w:t>Gas Supply Hub</w:t>
        </w:r>
        <w:r w:rsidR="00A56DFE">
          <w:rPr>
            <w:webHidden/>
          </w:rPr>
          <w:tab/>
        </w:r>
        <w:r w:rsidR="00A56DFE">
          <w:rPr>
            <w:webHidden/>
          </w:rPr>
          <w:fldChar w:fldCharType="begin"/>
        </w:r>
        <w:r w:rsidR="00A56DFE">
          <w:rPr>
            <w:webHidden/>
          </w:rPr>
          <w:instrText xml:space="preserve"> PAGEREF _Toc490738275 \h </w:instrText>
        </w:r>
        <w:r w:rsidR="00A56DFE">
          <w:rPr>
            <w:webHidden/>
          </w:rPr>
        </w:r>
        <w:r w:rsidR="00A56DFE">
          <w:rPr>
            <w:webHidden/>
          </w:rPr>
          <w:fldChar w:fldCharType="separate"/>
        </w:r>
        <w:r w:rsidR="00264C25">
          <w:rPr>
            <w:webHidden/>
          </w:rPr>
          <w:t>13</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6" w:history="1">
        <w:r w:rsidR="00A56DFE" w:rsidRPr="001E6F62">
          <w:rPr>
            <w:rStyle w:val="Hyperlink"/>
            <w:rFonts w:eastAsia="Calibri"/>
          </w:rPr>
          <w:t>1.4.1</w:t>
        </w:r>
        <w:r w:rsidR="00A56DFE">
          <w:rPr>
            <w:rFonts w:asciiTheme="minorHAnsi" w:eastAsiaTheme="minorEastAsia" w:hAnsiTheme="minorHAnsi"/>
            <w:lang w:eastAsia="en-AU"/>
          </w:rPr>
          <w:tab/>
        </w:r>
        <w:r w:rsidR="00155394">
          <w:rPr>
            <w:rStyle w:val="Hyperlink"/>
            <w:rFonts w:eastAsia="Calibri"/>
          </w:rPr>
          <w:t>Wallumbilla single market p</w:t>
        </w:r>
        <w:r w:rsidR="00A56DFE" w:rsidRPr="001E6F62">
          <w:rPr>
            <w:rStyle w:val="Hyperlink"/>
            <w:rFonts w:eastAsia="Calibri"/>
          </w:rPr>
          <w:t>roduct (optional hub services)</w:t>
        </w:r>
        <w:r w:rsidR="00A56DFE">
          <w:rPr>
            <w:webHidden/>
          </w:rPr>
          <w:tab/>
        </w:r>
        <w:r w:rsidR="00A56DFE">
          <w:rPr>
            <w:webHidden/>
          </w:rPr>
          <w:fldChar w:fldCharType="begin"/>
        </w:r>
        <w:r w:rsidR="00A56DFE">
          <w:rPr>
            <w:webHidden/>
          </w:rPr>
          <w:instrText xml:space="preserve"> PAGEREF _Toc490738276 \h </w:instrText>
        </w:r>
        <w:r w:rsidR="00A56DFE">
          <w:rPr>
            <w:webHidden/>
          </w:rPr>
        </w:r>
        <w:r w:rsidR="00A56DFE">
          <w:rPr>
            <w:webHidden/>
          </w:rPr>
          <w:fldChar w:fldCharType="separate"/>
        </w:r>
        <w:r w:rsidR="00264C25">
          <w:rPr>
            <w:webHidden/>
          </w:rPr>
          <w:t>13</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77" w:history="1">
        <w:r w:rsidR="00A56DFE" w:rsidRPr="001E6F62">
          <w:rPr>
            <w:rStyle w:val="Hyperlink"/>
          </w:rPr>
          <w:t>1.4.2</w:t>
        </w:r>
        <w:r w:rsidR="00A56DFE">
          <w:rPr>
            <w:rFonts w:asciiTheme="minorHAnsi" w:eastAsiaTheme="minorEastAsia" w:hAnsiTheme="minorHAnsi"/>
            <w:lang w:eastAsia="en-AU"/>
          </w:rPr>
          <w:tab/>
        </w:r>
        <w:r w:rsidR="00A56DFE" w:rsidRPr="001E6F62">
          <w:rPr>
            <w:rStyle w:val="Hyperlink"/>
          </w:rPr>
          <w:t>The Moomba Hub</w:t>
        </w:r>
        <w:r w:rsidR="00A56DFE">
          <w:rPr>
            <w:webHidden/>
          </w:rPr>
          <w:tab/>
        </w:r>
        <w:r w:rsidR="00A56DFE">
          <w:rPr>
            <w:webHidden/>
          </w:rPr>
          <w:fldChar w:fldCharType="begin"/>
        </w:r>
        <w:r w:rsidR="00A56DFE">
          <w:rPr>
            <w:webHidden/>
          </w:rPr>
          <w:instrText xml:space="preserve"> PAGEREF _Toc490738277 \h </w:instrText>
        </w:r>
        <w:r w:rsidR="00A56DFE">
          <w:rPr>
            <w:webHidden/>
          </w:rPr>
        </w:r>
        <w:r w:rsidR="00A56DFE">
          <w:rPr>
            <w:webHidden/>
          </w:rPr>
          <w:fldChar w:fldCharType="separate"/>
        </w:r>
        <w:r w:rsidR="00264C25">
          <w:rPr>
            <w:webHidden/>
          </w:rPr>
          <w:t>13</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78" w:history="1">
        <w:r w:rsidR="00A56DFE" w:rsidRPr="001E6F62">
          <w:rPr>
            <w:rStyle w:val="Hyperlink"/>
          </w:rPr>
          <w:t>1.5</w:t>
        </w:r>
        <w:r w:rsidR="00A56DFE">
          <w:rPr>
            <w:rFonts w:asciiTheme="minorHAnsi" w:eastAsiaTheme="minorEastAsia" w:hAnsiTheme="minorHAnsi"/>
            <w:b w:val="0"/>
            <w:color w:val="auto"/>
            <w:sz w:val="22"/>
            <w:lang w:eastAsia="en-AU"/>
          </w:rPr>
          <w:tab/>
        </w:r>
        <w:r w:rsidR="00A56DFE" w:rsidRPr="001E6F62">
          <w:rPr>
            <w:rStyle w:val="Hyperlink"/>
          </w:rPr>
          <w:t>Retail Market Procedures</w:t>
        </w:r>
        <w:r w:rsidR="00A56DFE">
          <w:rPr>
            <w:webHidden/>
          </w:rPr>
          <w:tab/>
        </w:r>
        <w:r w:rsidR="00A56DFE">
          <w:rPr>
            <w:webHidden/>
          </w:rPr>
          <w:fldChar w:fldCharType="begin"/>
        </w:r>
        <w:r w:rsidR="00A56DFE">
          <w:rPr>
            <w:webHidden/>
          </w:rPr>
          <w:instrText xml:space="preserve"> PAGEREF _Toc490738278 \h </w:instrText>
        </w:r>
        <w:r w:rsidR="00A56DFE">
          <w:rPr>
            <w:webHidden/>
          </w:rPr>
        </w:r>
        <w:r w:rsidR="00A56DFE">
          <w:rPr>
            <w:webHidden/>
          </w:rPr>
          <w:fldChar w:fldCharType="separate"/>
        </w:r>
        <w:r w:rsidR="00264C25">
          <w:rPr>
            <w:webHidden/>
          </w:rPr>
          <w:t>14</w:t>
        </w:r>
        <w:r w:rsidR="00A56DFE">
          <w:rPr>
            <w:webHidden/>
          </w:rPr>
          <w:fldChar w:fldCharType="end"/>
        </w:r>
      </w:hyperlink>
    </w:p>
    <w:p w:rsidR="00A56DFE" w:rsidRDefault="00CF26EA" w:rsidP="000A1C7A">
      <w:pPr>
        <w:pStyle w:val="TOC3"/>
        <w:ind w:left="1751" w:hanging="900"/>
        <w:rPr>
          <w:rFonts w:asciiTheme="minorHAnsi" w:eastAsiaTheme="minorEastAsia" w:hAnsiTheme="minorHAnsi"/>
          <w:lang w:eastAsia="en-AU"/>
        </w:rPr>
      </w:pPr>
      <w:hyperlink w:anchor="_Toc490738279" w:history="1">
        <w:r w:rsidR="00A56DFE" w:rsidRPr="001E6F62">
          <w:rPr>
            <w:rStyle w:val="Hyperlink"/>
          </w:rPr>
          <w:t>1.5.1</w:t>
        </w:r>
        <w:r w:rsidR="00A56DFE">
          <w:rPr>
            <w:rFonts w:asciiTheme="minorHAnsi" w:eastAsiaTheme="minorEastAsia" w:hAnsiTheme="minorHAnsi"/>
            <w:lang w:eastAsia="en-AU"/>
          </w:rPr>
          <w:tab/>
        </w:r>
        <w:r w:rsidR="000A1C7A">
          <w:rPr>
            <w:rFonts w:asciiTheme="minorHAnsi" w:eastAsiaTheme="minorEastAsia" w:hAnsiTheme="minorHAnsi"/>
            <w:lang w:eastAsia="en-AU"/>
          </w:rPr>
          <w:tab/>
        </w:r>
        <w:r w:rsidR="00A56DFE" w:rsidRPr="001E6F62">
          <w:rPr>
            <w:rStyle w:val="Hyperlink"/>
          </w:rPr>
          <w:t>Jemena Gas Networks – provision of meter data services in NSW and ACT</w:t>
        </w:r>
        <w:r w:rsidR="00A56DFE">
          <w:rPr>
            <w:webHidden/>
          </w:rPr>
          <w:tab/>
        </w:r>
        <w:r w:rsidR="00A56DFE">
          <w:rPr>
            <w:webHidden/>
          </w:rPr>
          <w:fldChar w:fldCharType="begin"/>
        </w:r>
        <w:r w:rsidR="00A56DFE">
          <w:rPr>
            <w:webHidden/>
          </w:rPr>
          <w:instrText xml:space="preserve"> PAGEREF _Toc490738279 \h </w:instrText>
        </w:r>
        <w:r w:rsidR="00A56DFE">
          <w:rPr>
            <w:webHidden/>
          </w:rPr>
        </w:r>
        <w:r w:rsidR="00A56DFE">
          <w:rPr>
            <w:webHidden/>
          </w:rPr>
          <w:fldChar w:fldCharType="separate"/>
        </w:r>
        <w:r w:rsidR="00264C25">
          <w:rPr>
            <w:webHidden/>
          </w:rPr>
          <w:t>15</w:t>
        </w:r>
        <w:r w:rsidR="00A56DFE">
          <w:rPr>
            <w:webHidden/>
          </w:rPr>
          <w:fldChar w:fldCharType="end"/>
        </w:r>
      </w:hyperlink>
    </w:p>
    <w:p w:rsidR="00A56DFE" w:rsidRDefault="00CF26EA">
      <w:pPr>
        <w:pStyle w:val="TOC1"/>
        <w:rPr>
          <w:rFonts w:asciiTheme="minorHAnsi" w:eastAsiaTheme="minorEastAsia" w:hAnsiTheme="minorHAnsi"/>
          <w:b w:val="0"/>
          <w:color w:val="auto"/>
          <w:sz w:val="22"/>
          <w:lang w:val="en-AU" w:eastAsia="en-AU"/>
        </w:rPr>
      </w:pPr>
      <w:hyperlink w:anchor="_Toc490738280" w:history="1">
        <w:r w:rsidR="00A56DFE" w:rsidRPr="001E6F62">
          <w:rPr>
            <w:rStyle w:val="Hyperlink"/>
          </w:rPr>
          <w:t>2</w:t>
        </w:r>
        <w:r w:rsidR="00A56DFE">
          <w:rPr>
            <w:rFonts w:asciiTheme="minorHAnsi" w:eastAsiaTheme="minorEastAsia" w:hAnsiTheme="minorHAnsi"/>
            <w:b w:val="0"/>
            <w:color w:val="auto"/>
            <w:sz w:val="22"/>
            <w:lang w:val="en-AU" w:eastAsia="en-AU"/>
          </w:rPr>
          <w:tab/>
        </w:r>
        <w:r w:rsidR="00A56DFE" w:rsidRPr="001E6F62">
          <w:rPr>
            <w:rStyle w:val="Hyperlink"/>
          </w:rPr>
          <w:t>Electricity</w:t>
        </w:r>
        <w:r w:rsidR="00A56DFE">
          <w:rPr>
            <w:webHidden/>
          </w:rPr>
          <w:tab/>
        </w:r>
        <w:r w:rsidR="00A56DFE">
          <w:rPr>
            <w:webHidden/>
          </w:rPr>
          <w:fldChar w:fldCharType="begin"/>
        </w:r>
        <w:r w:rsidR="00A56DFE">
          <w:rPr>
            <w:webHidden/>
          </w:rPr>
          <w:instrText xml:space="preserve"> PAGEREF _Toc490738280 \h </w:instrText>
        </w:r>
        <w:r w:rsidR="00A56DFE">
          <w:rPr>
            <w:webHidden/>
          </w:rPr>
        </w:r>
        <w:r w:rsidR="00A56DFE">
          <w:rPr>
            <w:webHidden/>
          </w:rPr>
          <w:fldChar w:fldCharType="separate"/>
        </w:r>
        <w:r w:rsidR="00264C25">
          <w:rPr>
            <w:webHidden/>
          </w:rPr>
          <w:t>19</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81" w:history="1">
        <w:r w:rsidR="00A56DFE" w:rsidRPr="001E6F62">
          <w:rPr>
            <w:rStyle w:val="Hyperlink"/>
          </w:rPr>
          <w:t>2.1</w:t>
        </w:r>
        <w:r w:rsidR="00A56DFE">
          <w:rPr>
            <w:rFonts w:asciiTheme="minorHAnsi" w:eastAsiaTheme="minorEastAsia" w:hAnsiTheme="minorHAnsi"/>
            <w:b w:val="0"/>
            <w:color w:val="auto"/>
            <w:sz w:val="22"/>
            <w:lang w:eastAsia="en-AU"/>
          </w:rPr>
          <w:tab/>
        </w:r>
        <w:r w:rsidR="00A56DFE" w:rsidRPr="001E6F62">
          <w:rPr>
            <w:rStyle w:val="Hyperlink"/>
          </w:rPr>
          <w:t>Rebidding</w:t>
        </w:r>
        <w:r w:rsidR="00A56DFE">
          <w:rPr>
            <w:webHidden/>
          </w:rPr>
          <w:tab/>
        </w:r>
        <w:r w:rsidR="00A56DFE">
          <w:rPr>
            <w:webHidden/>
          </w:rPr>
          <w:fldChar w:fldCharType="begin"/>
        </w:r>
        <w:r w:rsidR="00A56DFE">
          <w:rPr>
            <w:webHidden/>
          </w:rPr>
          <w:instrText xml:space="preserve"> PAGEREF _Toc490738281 \h </w:instrText>
        </w:r>
        <w:r w:rsidR="00A56DFE">
          <w:rPr>
            <w:webHidden/>
          </w:rPr>
        </w:r>
        <w:r w:rsidR="00A56DFE">
          <w:rPr>
            <w:webHidden/>
          </w:rPr>
          <w:fldChar w:fldCharType="separate"/>
        </w:r>
        <w:r w:rsidR="00264C25">
          <w:rPr>
            <w:webHidden/>
          </w:rPr>
          <w:t>19</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82" w:history="1">
        <w:r w:rsidR="00A56DFE" w:rsidRPr="001E6F62">
          <w:rPr>
            <w:rStyle w:val="Hyperlink"/>
          </w:rPr>
          <w:t>2.1.1</w:t>
        </w:r>
        <w:r w:rsidR="00A56DFE">
          <w:rPr>
            <w:rFonts w:asciiTheme="minorHAnsi" w:eastAsiaTheme="minorEastAsia" w:hAnsiTheme="minorHAnsi"/>
            <w:lang w:eastAsia="en-AU"/>
          </w:rPr>
          <w:tab/>
        </w:r>
        <w:r w:rsidR="00A56DFE" w:rsidRPr="001E6F62">
          <w:rPr>
            <w:rStyle w:val="Hyperlink"/>
          </w:rPr>
          <w:t>Market time</w:t>
        </w:r>
        <w:r w:rsidR="00A56DFE">
          <w:rPr>
            <w:webHidden/>
          </w:rPr>
          <w:tab/>
        </w:r>
        <w:r w:rsidR="00A56DFE">
          <w:rPr>
            <w:webHidden/>
          </w:rPr>
          <w:fldChar w:fldCharType="begin"/>
        </w:r>
        <w:r w:rsidR="00A56DFE">
          <w:rPr>
            <w:webHidden/>
          </w:rPr>
          <w:instrText xml:space="preserve"> PAGEREF _Toc490738282 \h </w:instrText>
        </w:r>
        <w:r w:rsidR="00A56DFE">
          <w:rPr>
            <w:webHidden/>
          </w:rPr>
        </w:r>
        <w:r w:rsidR="00A56DFE">
          <w:rPr>
            <w:webHidden/>
          </w:rPr>
          <w:fldChar w:fldCharType="separate"/>
        </w:r>
        <w:r w:rsidR="00264C25">
          <w:rPr>
            <w:webHidden/>
          </w:rPr>
          <w:t>20</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83" w:history="1">
        <w:r w:rsidR="00A56DFE" w:rsidRPr="001E6F62">
          <w:rPr>
            <w:rStyle w:val="Hyperlink"/>
          </w:rPr>
          <w:t>2.2</w:t>
        </w:r>
        <w:r w:rsidR="00A56DFE">
          <w:rPr>
            <w:rFonts w:asciiTheme="minorHAnsi" w:eastAsiaTheme="minorEastAsia" w:hAnsiTheme="minorHAnsi"/>
            <w:b w:val="0"/>
            <w:color w:val="auto"/>
            <w:sz w:val="22"/>
            <w:lang w:eastAsia="en-AU"/>
          </w:rPr>
          <w:tab/>
        </w:r>
        <w:r w:rsidR="00A56DFE" w:rsidRPr="001E6F62">
          <w:rPr>
            <w:rStyle w:val="Hyperlink"/>
          </w:rPr>
          <w:t>High Price Events</w:t>
        </w:r>
        <w:r w:rsidR="00A56DFE">
          <w:rPr>
            <w:webHidden/>
          </w:rPr>
          <w:tab/>
        </w:r>
        <w:r w:rsidR="00A56DFE">
          <w:rPr>
            <w:webHidden/>
          </w:rPr>
          <w:fldChar w:fldCharType="begin"/>
        </w:r>
        <w:r w:rsidR="00A56DFE">
          <w:rPr>
            <w:webHidden/>
          </w:rPr>
          <w:instrText xml:space="preserve"> PAGEREF _Toc490738283 \h </w:instrText>
        </w:r>
        <w:r w:rsidR="00A56DFE">
          <w:rPr>
            <w:webHidden/>
          </w:rPr>
        </w:r>
        <w:r w:rsidR="00A56DFE">
          <w:rPr>
            <w:webHidden/>
          </w:rPr>
          <w:fldChar w:fldCharType="separate"/>
        </w:r>
        <w:r w:rsidR="00264C25">
          <w:rPr>
            <w:webHidden/>
          </w:rPr>
          <w:t>21</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84" w:history="1">
        <w:r w:rsidR="00A56DFE" w:rsidRPr="001E6F62">
          <w:rPr>
            <w:rStyle w:val="Hyperlink"/>
          </w:rPr>
          <w:t>2.2.1</w:t>
        </w:r>
        <w:r w:rsidR="00A56DFE">
          <w:rPr>
            <w:rFonts w:asciiTheme="minorHAnsi" w:eastAsiaTheme="minorEastAsia" w:hAnsiTheme="minorHAnsi"/>
            <w:lang w:eastAsia="en-AU"/>
          </w:rPr>
          <w:tab/>
        </w:r>
        <w:r w:rsidR="00A56DFE" w:rsidRPr="001E6F62">
          <w:rPr>
            <w:rStyle w:val="Hyperlink"/>
          </w:rPr>
          <w:t>Reports published since 1 April 2017</w:t>
        </w:r>
        <w:r w:rsidR="00A56DFE">
          <w:rPr>
            <w:webHidden/>
          </w:rPr>
          <w:tab/>
        </w:r>
        <w:r w:rsidR="00A56DFE">
          <w:rPr>
            <w:webHidden/>
          </w:rPr>
          <w:fldChar w:fldCharType="begin"/>
        </w:r>
        <w:r w:rsidR="00A56DFE">
          <w:rPr>
            <w:webHidden/>
          </w:rPr>
          <w:instrText xml:space="preserve"> PAGEREF _Toc490738284 \h </w:instrText>
        </w:r>
        <w:r w:rsidR="00A56DFE">
          <w:rPr>
            <w:webHidden/>
          </w:rPr>
        </w:r>
        <w:r w:rsidR="00A56DFE">
          <w:rPr>
            <w:webHidden/>
          </w:rPr>
          <w:fldChar w:fldCharType="separate"/>
        </w:r>
        <w:r w:rsidR="00264C25">
          <w:rPr>
            <w:webHidden/>
          </w:rPr>
          <w:t>21</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85" w:history="1">
        <w:r w:rsidR="00A56DFE" w:rsidRPr="001E6F62">
          <w:rPr>
            <w:rStyle w:val="Hyperlink"/>
          </w:rPr>
          <w:t>2.2.2</w:t>
        </w:r>
        <w:r w:rsidR="00A56DFE">
          <w:rPr>
            <w:rFonts w:asciiTheme="minorHAnsi" w:eastAsiaTheme="minorEastAsia" w:hAnsiTheme="minorHAnsi"/>
            <w:lang w:eastAsia="en-AU"/>
          </w:rPr>
          <w:tab/>
        </w:r>
        <w:r w:rsidR="00A56DFE" w:rsidRPr="001E6F62">
          <w:rPr>
            <w:rStyle w:val="Hyperlink"/>
          </w:rPr>
          <w:t>Reports pending</w:t>
        </w:r>
        <w:r w:rsidR="00A56DFE">
          <w:rPr>
            <w:webHidden/>
          </w:rPr>
          <w:tab/>
        </w:r>
        <w:r w:rsidR="00A56DFE">
          <w:rPr>
            <w:webHidden/>
          </w:rPr>
          <w:fldChar w:fldCharType="begin"/>
        </w:r>
        <w:r w:rsidR="00A56DFE">
          <w:rPr>
            <w:webHidden/>
          </w:rPr>
          <w:instrText xml:space="preserve"> PAGEREF _Toc490738285 \h </w:instrText>
        </w:r>
        <w:r w:rsidR="00A56DFE">
          <w:rPr>
            <w:webHidden/>
          </w:rPr>
        </w:r>
        <w:r w:rsidR="00A56DFE">
          <w:rPr>
            <w:webHidden/>
          </w:rPr>
          <w:fldChar w:fldCharType="separate"/>
        </w:r>
        <w:r w:rsidR="00264C25">
          <w:rPr>
            <w:webHidden/>
          </w:rPr>
          <w:t>21</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86" w:history="1">
        <w:r w:rsidR="00A56DFE" w:rsidRPr="001E6F62">
          <w:rPr>
            <w:rStyle w:val="Hyperlink"/>
          </w:rPr>
          <w:t>2.3</w:t>
        </w:r>
        <w:r w:rsidR="00A56DFE">
          <w:rPr>
            <w:rFonts w:asciiTheme="minorHAnsi" w:eastAsiaTheme="minorEastAsia" w:hAnsiTheme="minorHAnsi"/>
            <w:b w:val="0"/>
            <w:color w:val="auto"/>
            <w:sz w:val="22"/>
            <w:lang w:eastAsia="en-AU"/>
          </w:rPr>
          <w:tab/>
        </w:r>
        <w:r w:rsidR="00A56DFE" w:rsidRPr="001E6F62">
          <w:rPr>
            <w:rStyle w:val="Hyperlink"/>
          </w:rPr>
          <w:t>FCAS Causer Pays Issues</w:t>
        </w:r>
        <w:r w:rsidR="00A56DFE">
          <w:rPr>
            <w:webHidden/>
          </w:rPr>
          <w:tab/>
        </w:r>
        <w:r w:rsidR="00A56DFE">
          <w:rPr>
            <w:webHidden/>
          </w:rPr>
          <w:fldChar w:fldCharType="begin"/>
        </w:r>
        <w:r w:rsidR="00A56DFE">
          <w:rPr>
            <w:webHidden/>
          </w:rPr>
          <w:instrText xml:space="preserve"> PAGEREF _Toc490738286 \h </w:instrText>
        </w:r>
        <w:r w:rsidR="00A56DFE">
          <w:rPr>
            <w:webHidden/>
          </w:rPr>
        </w:r>
        <w:r w:rsidR="00A56DFE">
          <w:rPr>
            <w:webHidden/>
          </w:rPr>
          <w:fldChar w:fldCharType="separate"/>
        </w:r>
        <w:r w:rsidR="00264C25">
          <w:rPr>
            <w:webHidden/>
          </w:rPr>
          <w:t>22</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87" w:history="1">
        <w:r w:rsidR="00A56DFE" w:rsidRPr="001E6F62">
          <w:rPr>
            <w:rStyle w:val="Hyperlink"/>
          </w:rPr>
          <w:t>2.3.1</w:t>
        </w:r>
        <w:r w:rsidR="00A56DFE">
          <w:rPr>
            <w:rFonts w:asciiTheme="minorHAnsi" w:eastAsiaTheme="minorEastAsia" w:hAnsiTheme="minorHAnsi"/>
            <w:lang w:eastAsia="en-AU"/>
          </w:rPr>
          <w:tab/>
        </w:r>
        <w:r w:rsidR="00A56DFE" w:rsidRPr="001E6F62">
          <w:rPr>
            <w:rStyle w:val="Hyperlink"/>
            <w:iCs/>
          </w:rPr>
          <w:t>Previous FCAS Causer Pays issues</w:t>
        </w:r>
        <w:r w:rsidR="00A56DFE">
          <w:rPr>
            <w:webHidden/>
          </w:rPr>
          <w:tab/>
        </w:r>
        <w:r w:rsidR="00A56DFE">
          <w:rPr>
            <w:webHidden/>
          </w:rPr>
          <w:fldChar w:fldCharType="begin"/>
        </w:r>
        <w:r w:rsidR="00A56DFE">
          <w:rPr>
            <w:webHidden/>
          </w:rPr>
          <w:instrText xml:space="preserve"> PAGEREF _Toc490738287 \h </w:instrText>
        </w:r>
        <w:r w:rsidR="00A56DFE">
          <w:rPr>
            <w:webHidden/>
          </w:rPr>
        </w:r>
        <w:r w:rsidR="00A56DFE">
          <w:rPr>
            <w:webHidden/>
          </w:rPr>
          <w:fldChar w:fldCharType="separate"/>
        </w:r>
        <w:r w:rsidR="00264C25">
          <w:rPr>
            <w:webHidden/>
          </w:rPr>
          <w:t>22</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88" w:history="1">
        <w:r w:rsidR="00A56DFE" w:rsidRPr="001E6F62">
          <w:rPr>
            <w:rStyle w:val="Hyperlink"/>
          </w:rPr>
          <w:t>2.3.2</w:t>
        </w:r>
        <w:r w:rsidR="00A56DFE">
          <w:rPr>
            <w:rFonts w:asciiTheme="minorHAnsi" w:eastAsiaTheme="minorEastAsia" w:hAnsiTheme="minorHAnsi"/>
            <w:lang w:eastAsia="en-AU"/>
          </w:rPr>
          <w:tab/>
        </w:r>
        <w:r w:rsidR="00A56DFE" w:rsidRPr="001E6F62">
          <w:rPr>
            <w:rStyle w:val="Hyperlink"/>
            <w:iCs/>
          </w:rPr>
          <w:t>AEMO improvements</w:t>
        </w:r>
        <w:r w:rsidR="00A56DFE">
          <w:rPr>
            <w:webHidden/>
          </w:rPr>
          <w:tab/>
        </w:r>
        <w:r w:rsidR="00A56DFE">
          <w:rPr>
            <w:webHidden/>
          </w:rPr>
          <w:fldChar w:fldCharType="begin"/>
        </w:r>
        <w:r w:rsidR="00A56DFE">
          <w:rPr>
            <w:webHidden/>
          </w:rPr>
          <w:instrText xml:space="preserve"> PAGEREF _Toc490738288 \h </w:instrText>
        </w:r>
        <w:r w:rsidR="00A56DFE">
          <w:rPr>
            <w:webHidden/>
          </w:rPr>
        </w:r>
        <w:r w:rsidR="00A56DFE">
          <w:rPr>
            <w:webHidden/>
          </w:rPr>
          <w:fldChar w:fldCharType="separate"/>
        </w:r>
        <w:r w:rsidR="00264C25">
          <w:rPr>
            <w:webHidden/>
          </w:rPr>
          <w:t>23</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89" w:history="1">
        <w:r w:rsidR="00A56DFE" w:rsidRPr="001E6F62">
          <w:rPr>
            <w:rStyle w:val="Hyperlink"/>
          </w:rPr>
          <w:t>2.4</w:t>
        </w:r>
        <w:r w:rsidR="00A56DFE">
          <w:rPr>
            <w:rFonts w:asciiTheme="minorHAnsi" w:eastAsiaTheme="minorEastAsia" w:hAnsiTheme="minorHAnsi"/>
            <w:b w:val="0"/>
            <w:color w:val="auto"/>
            <w:sz w:val="22"/>
            <w:lang w:eastAsia="en-AU"/>
          </w:rPr>
          <w:tab/>
        </w:r>
        <w:r w:rsidR="00A56DFE" w:rsidRPr="001E6F62">
          <w:rPr>
            <w:rStyle w:val="Hyperlink"/>
          </w:rPr>
          <w:t>Compliance with Chapter 7 of the Electricity Rules</w:t>
        </w:r>
        <w:r w:rsidR="00A56DFE">
          <w:rPr>
            <w:webHidden/>
          </w:rPr>
          <w:tab/>
        </w:r>
        <w:r w:rsidR="00A56DFE">
          <w:rPr>
            <w:webHidden/>
          </w:rPr>
          <w:fldChar w:fldCharType="begin"/>
        </w:r>
        <w:r w:rsidR="00A56DFE">
          <w:rPr>
            <w:webHidden/>
          </w:rPr>
          <w:instrText xml:space="preserve"> PAGEREF _Toc490738289 \h </w:instrText>
        </w:r>
        <w:r w:rsidR="00A56DFE">
          <w:rPr>
            <w:webHidden/>
          </w:rPr>
        </w:r>
        <w:r w:rsidR="00A56DFE">
          <w:rPr>
            <w:webHidden/>
          </w:rPr>
          <w:fldChar w:fldCharType="separate"/>
        </w:r>
        <w:r w:rsidR="00264C25">
          <w:rPr>
            <w:webHidden/>
          </w:rPr>
          <w:t>24</w:t>
        </w:r>
        <w:r w:rsidR="00A56DFE">
          <w:rPr>
            <w:webHidden/>
          </w:rPr>
          <w:fldChar w:fldCharType="end"/>
        </w:r>
      </w:hyperlink>
    </w:p>
    <w:p w:rsidR="00A56DFE" w:rsidRDefault="00CF26EA" w:rsidP="000A1C7A">
      <w:pPr>
        <w:pStyle w:val="TOC3"/>
        <w:ind w:left="1751" w:hanging="900"/>
        <w:rPr>
          <w:rFonts w:asciiTheme="minorHAnsi" w:eastAsiaTheme="minorEastAsia" w:hAnsiTheme="minorHAnsi"/>
          <w:lang w:eastAsia="en-AU"/>
        </w:rPr>
      </w:pPr>
      <w:hyperlink w:anchor="_Toc490738290" w:history="1">
        <w:r w:rsidR="00A56DFE" w:rsidRPr="001E6F62">
          <w:rPr>
            <w:rStyle w:val="Hyperlink"/>
          </w:rPr>
          <w:t>2.4.1</w:t>
        </w:r>
        <w:r w:rsidR="00A56DFE">
          <w:rPr>
            <w:rFonts w:asciiTheme="minorHAnsi" w:eastAsiaTheme="minorEastAsia" w:hAnsiTheme="minorHAnsi"/>
            <w:lang w:eastAsia="en-AU"/>
          </w:rPr>
          <w:tab/>
        </w:r>
        <w:r w:rsidR="000A1C7A">
          <w:rPr>
            <w:rFonts w:asciiTheme="minorHAnsi" w:eastAsiaTheme="minorEastAsia" w:hAnsiTheme="minorHAnsi"/>
            <w:lang w:eastAsia="en-AU"/>
          </w:rPr>
          <w:tab/>
        </w:r>
        <w:r w:rsidR="00A56DFE" w:rsidRPr="001E6F62">
          <w:rPr>
            <w:rStyle w:val="Hyperlink"/>
          </w:rPr>
          <w:t>Focus on compliance with Chapter 7 and relevant Chapter 11 obligations</w:t>
        </w:r>
        <w:r w:rsidR="000A1C7A">
          <w:rPr>
            <w:rStyle w:val="Hyperlink"/>
          </w:rPr>
          <w:t xml:space="preserve"> – </w:t>
        </w:r>
        <w:r w:rsidR="00A56DFE" w:rsidRPr="001E6F62">
          <w:rPr>
            <w:rStyle w:val="Hyperlink"/>
          </w:rPr>
          <w:t>lead up to the introduction of metering contestability</w:t>
        </w:r>
        <w:r w:rsidR="00A56DFE">
          <w:rPr>
            <w:webHidden/>
          </w:rPr>
          <w:tab/>
        </w:r>
        <w:r w:rsidR="00A56DFE">
          <w:rPr>
            <w:webHidden/>
          </w:rPr>
          <w:fldChar w:fldCharType="begin"/>
        </w:r>
        <w:r w:rsidR="00A56DFE">
          <w:rPr>
            <w:webHidden/>
          </w:rPr>
          <w:instrText xml:space="preserve"> PAGEREF _Toc490738290 \h </w:instrText>
        </w:r>
        <w:r w:rsidR="00A56DFE">
          <w:rPr>
            <w:webHidden/>
          </w:rPr>
        </w:r>
        <w:r w:rsidR="00A56DFE">
          <w:rPr>
            <w:webHidden/>
          </w:rPr>
          <w:fldChar w:fldCharType="separate"/>
        </w:r>
        <w:r w:rsidR="00264C25">
          <w:rPr>
            <w:webHidden/>
          </w:rPr>
          <w:t>24</w:t>
        </w:r>
        <w:r w:rsidR="00A56DFE">
          <w:rPr>
            <w:webHidden/>
          </w:rPr>
          <w:fldChar w:fldCharType="end"/>
        </w:r>
      </w:hyperlink>
    </w:p>
    <w:p w:rsidR="00A56DFE" w:rsidRDefault="00CF26EA" w:rsidP="000A1C7A">
      <w:pPr>
        <w:pStyle w:val="TOC3"/>
        <w:ind w:left="1751" w:hanging="900"/>
        <w:rPr>
          <w:rFonts w:asciiTheme="minorHAnsi" w:eastAsiaTheme="minorEastAsia" w:hAnsiTheme="minorHAnsi"/>
          <w:lang w:eastAsia="en-AU"/>
        </w:rPr>
      </w:pPr>
      <w:hyperlink w:anchor="_Toc490738291" w:history="1">
        <w:r w:rsidR="00A56DFE" w:rsidRPr="001E6F62">
          <w:rPr>
            <w:rStyle w:val="Hyperlink"/>
          </w:rPr>
          <w:t>2.4.2</w:t>
        </w:r>
        <w:r w:rsidR="00A56DFE">
          <w:rPr>
            <w:rFonts w:asciiTheme="minorHAnsi" w:eastAsiaTheme="minorEastAsia" w:hAnsiTheme="minorHAnsi"/>
            <w:lang w:eastAsia="en-AU"/>
          </w:rPr>
          <w:tab/>
        </w:r>
        <w:r w:rsidR="000A1C7A">
          <w:rPr>
            <w:rFonts w:asciiTheme="minorHAnsi" w:eastAsiaTheme="minorEastAsia" w:hAnsiTheme="minorHAnsi"/>
            <w:lang w:eastAsia="en-AU"/>
          </w:rPr>
          <w:tab/>
        </w:r>
        <w:r w:rsidR="00A56DFE" w:rsidRPr="001E6F62">
          <w:rPr>
            <w:rStyle w:val="Hyperlink"/>
          </w:rPr>
          <w:t>Responsible person’s compliance with metering obligations under Chapter 7 and Chapter 11 of the National Electricity Rules</w:t>
        </w:r>
        <w:r w:rsidR="00A56DFE">
          <w:rPr>
            <w:webHidden/>
          </w:rPr>
          <w:tab/>
        </w:r>
        <w:r w:rsidR="00A56DFE">
          <w:rPr>
            <w:webHidden/>
          </w:rPr>
          <w:fldChar w:fldCharType="begin"/>
        </w:r>
        <w:r w:rsidR="00A56DFE">
          <w:rPr>
            <w:webHidden/>
          </w:rPr>
          <w:instrText xml:space="preserve"> PAGEREF _Toc490738291 \h </w:instrText>
        </w:r>
        <w:r w:rsidR="00A56DFE">
          <w:rPr>
            <w:webHidden/>
          </w:rPr>
        </w:r>
        <w:r w:rsidR="00A56DFE">
          <w:rPr>
            <w:webHidden/>
          </w:rPr>
          <w:fldChar w:fldCharType="separate"/>
        </w:r>
        <w:r w:rsidR="00264C25">
          <w:rPr>
            <w:webHidden/>
          </w:rPr>
          <w:t>25</w:t>
        </w:r>
        <w:r w:rsidR="00A56DFE">
          <w:rPr>
            <w:webHidden/>
          </w:rPr>
          <w:fldChar w:fldCharType="end"/>
        </w:r>
      </w:hyperlink>
    </w:p>
    <w:p w:rsidR="00A56DFE" w:rsidRDefault="00CF26EA" w:rsidP="000A1C7A">
      <w:pPr>
        <w:pStyle w:val="TOC2"/>
        <w:ind w:left="851" w:hanging="426"/>
        <w:rPr>
          <w:rFonts w:asciiTheme="minorHAnsi" w:eastAsiaTheme="minorEastAsia" w:hAnsiTheme="minorHAnsi"/>
          <w:b w:val="0"/>
          <w:color w:val="auto"/>
          <w:sz w:val="22"/>
          <w:lang w:eastAsia="en-AU"/>
        </w:rPr>
      </w:pPr>
      <w:hyperlink w:anchor="_Toc490738292" w:history="1">
        <w:r w:rsidR="00A56DFE" w:rsidRPr="001E6F62">
          <w:rPr>
            <w:rStyle w:val="Hyperlink"/>
          </w:rPr>
          <w:t>2.5</w:t>
        </w:r>
        <w:r w:rsidR="00A56DFE">
          <w:rPr>
            <w:rFonts w:asciiTheme="minorHAnsi" w:eastAsiaTheme="minorEastAsia" w:hAnsiTheme="minorHAnsi"/>
            <w:b w:val="0"/>
            <w:color w:val="auto"/>
            <w:sz w:val="22"/>
            <w:lang w:eastAsia="en-AU"/>
          </w:rPr>
          <w:tab/>
        </w:r>
        <w:r w:rsidR="00A56DFE" w:rsidRPr="001E6F62">
          <w:rPr>
            <w:rStyle w:val="Hyperlink"/>
          </w:rPr>
          <w:t>The Embedded Network Rule Change – Embedded Network Managers</w:t>
        </w:r>
        <w:r w:rsidR="00A56DFE">
          <w:rPr>
            <w:webHidden/>
          </w:rPr>
          <w:tab/>
        </w:r>
        <w:r w:rsidR="00A56DFE">
          <w:rPr>
            <w:webHidden/>
          </w:rPr>
          <w:fldChar w:fldCharType="begin"/>
        </w:r>
        <w:r w:rsidR="00A56DFE">
          <w:rPr>
            <w:webHidden/>
          </w:rPr>
          <w:instrText xml:space="preserve"> PAGEREF _Toc490738292 \h </w:instrText>
        </w:r>
        <w:r w:rsidR="00A56DFE">
          <w:rPr>
            <w:webHidden/>
          </w:rPr>
        </w:r>
        <w:r w:rsidR="00A56DFE">
          <w:rPr>
            <w:webHidden/>
          </w:rPr>
          <w:fldChar w:fldCharType="separate"/>
        </w:r>
        <w:r w:rsidR="00264C25">
          <w:rPr>
            <w:webHidden/>
          </w:rPr>
          <w:t>25</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93" w:history="1">
        <w:r w:rsidR="00A56DFE" w:rsidRPr="001E6F62">
          <w:rPr>
            <w:rStyle w:val="Hyperlink"/>
          </w:rPr>
          <w:t>2.5.1</w:t>
        </w:r>
        <w:r w:rsidR="00A56DFE">
          <w:rPr>
            <w:rFonts w:asciiTheme="minorHAnsi" w:eastAsiaTheme="minorEastAsia" w:hAnsiTheme="minorHAnsi"/>
            <w:lang w:eastAsia="en-AU"/>
          </w:rPr>
          <w:tab/>
        </w:r>
        <w:r w:rsidR="00A56DFE" w:rsidRPr="001E6F62">
          <w:rPr>
            <w:rStyle w:val="Hyperlink"/>
          </w:rPr>
          <w:t>Role of the Embedded Network Manager</w:t>
        </w:r>
        <w:r w:rsidR="00A56DFE">
          <w:rPr>
            <w:webHidden/>
          </w:rPr>
          <w:tab/>
        </w:r>
        <w:r w:rsidR="00A56DFE">
          <w:rPr>
            <w:webHidden/>
          </w:rPr>
          <w:fldChar w:fldCharType="begin"/>
        </w:r>
        <w:r w:rsidR="00A56DFE">
          <w:rPr>
            <w:webHidden/>
          </w:rPr>
          <w:instrText xml:space="preserve"> PAGEREF _Toc490738293 \h </w:instrText>
        </w:r>
        <w:r w:rsidR="00A56DFE">
          <w:rPr>
            <w:webHidden/>
          </w:rPr>
        </w:r>
        <w:r w:rsidR="00A56DFE">
          <w:rPr>
            <w:webHidden/>
          </w:rPr>
          <w:fldChar w:fldCharType="separate"/>
        </w:r>
        <w:r w:rsidR="00264C25">
          <w:rPr>
            <w:webHidden/>
          </w:rPr>
          <w:t>25</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94" w:history="1">
        <w:r w:rsidR="00A56DFE" w:rsidRPr="001E6F62">
          <w:rPr>
            <w:rStyle w:val="Hyperlink"/>
          </w:rPr>
          <w:t>2.5.2</w:t>
        </w:r>
        <w:r w:rsidR="00A56DFE">
          <w:rPr>
            <w:rFonts w:asciiTheme="minorHAnsi" w:eastAsiaTheme="minorEastAsia" w:hAnsiTheme="minorHAnsi"/>
            <w:lang w:eastAsia="en-AU"/>
          </w:rPr>
          <w:tab/>
        </w:r>
        <w:r w:rsidR="00A56DFE" w:rsidRPr="001E6F62">
          <w:rPr>
            <w:rStyle w:val="Hyperlink"/>
          </w:rPr>
          <w:t>Who requires an Embedded Network Manager</w:t>
        </w:r>
        <w:r w:rsidR="00A56DFE">
          <w:rPr>
            <w:webHidden/>
          </w:rPr>
          <w:tab/>
        </w:r>
        <w:r w:rsidR="00A56DFE">
          <w:rPr>
            <w:webHidden/>
          </w:rPr>
          <w:fldChar w:fldCharType="begin"/>
        </w:r>
        <w:r w:rsidR="00A56DFE">
          <w:rPr>
            <w:webHidden/>
          </w:rPr>
          <w:instrText xml:space="preserve"> PAGEREF _Toc490738294 \h </w:instrText>
        </w:r>
        <w:r w:rsidR="00A56DFE">
          <w:rPr>
            <w:webHidden/>
          </w:rPr>
        </w:r>
        <w:r w:rsidR="00A56DFE">
          <w:rPr>
            <w:webHidden/>
          </w:rPr>
          <w:fldChar w:fldCharType="separate"/>
        </w:r>
        <w:r w:rsidR="00264C25">
          <w:rPr>
            <w:webHidden/>
          </w:rPr>
          <w:t>26</w:t>
        </w:r>
        <w:r w:rsidR="00A56DFE">
          <w:rPr>
            <w:webHidden/>
          </w:rPr>
          <w:fldChar w:fldCharType="end"/>
        </w:r>
      </w:hyperlink>
    </w:p>
    <w:p w:rsidR="00A56DFE" w:rsidRDefault="00CF26EA">
      <w:pPr>
        <w:pStyle w:val="TOC3"/>
        <w:rPr>
          <w:rFonts w:asciiTheme="minorHAnsi" w:eastAsiaTheme="minorEastAsia" w:hAnsiTheme="minorHAnsi"/>
          <w:lang w:eastAsia="en-AU"/>
        </w:rPr>
      </w:pPr>
      <w:hyperlink w:anchor="_Toc490738295" w:history="1">
        <w:r w:rsidR="00A56DFE" w:rsidRPr="001E6F62">
          <w:rPr>
            <w:rStyle w:val="Hyperlink"/>
          </w:rPr>
          <w:t>2.5.3</w:t>
        </w:r>
        <w:r w:rsidR="00A56DFE">
          <w:rPr>
            <w:rFonts w:asciiTheme="minorHAnsi" w:eastAsiaTheme="minorEastAsia" w:hAnsiTheme="minorHAnsi"/>
            <w:lang w:eastAsia="en-AU"/>
          </w:rPr>
          <w:tab/>
        </w:r>
        <w:r w:rsidR="00A56DFE" w:rsidRPr="001E6F62">
          <w:rPr>
            <w:rStyle w:val="Hyperlink"/>
          </w:rPr>
          <w:t>Where to find Embedded Network Managers</w:t>
        </w:r>
        <w:r w:rsidR="00A56DFE">
          <w:rPr>
            <w:webHidden/>
          </w:rPr>
          <w:tab/>
        </w:r>
        <w:r w:rsidR="00A56DFE">
          <w:rPr>
            <w:webHidden/>
          </w:rPr>
          <w:fldChar w:fldCharType="begin"/>
        </w:r>
        <w:r w:rsidR="00A56DFE">
          <w:rPr>
            <w:webHidden/>
          </w:rPr>
          <w:instrText xml:space="preserve"> PAGEREF _Toc490738295 \h </w:instrText>
        </w:r>
        <w:r w:rsidR="00A56DFE">
          <w:rPr>
            <w:webHidden/>
          </w:rPr>
        </w:r>
        <w:r w:rsidR="00A56DFE">
          <w:rPr>
            <w:webHidden/>
          </w:rPr>
          <w:fldChar w:fldCharType="separate"/>
        </w:r>
        <w:r w:rsidR="00264C25">
          <w:rPr>
            <w:webHidden/>
          </w:rPr>
          <w:t>27</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96" w:history="1">
        <w:r w:rsidR="00A56DFE" w:rsidRPr="001E6F62">
          <w:rPr>
            <w:rStyle w:val="Hyperlink"/>
          </w:rPr>
          <w:t>2.6</w:t>
        </w:r>
        <w:r w:rsidR="00A56DFE">
          <w:rPr>
            <w:rFonts w:asciiTheme="minorHAnsi" w:eastAsiaTheme="minorEastAsia" w:hAnsiTheme="minorHAnsi"/>
            <w:b w:val="0"/>
            <w:color w:val="auto"/>
            <w:sz w:val="22"/>
            <w:lang w:eastAsia="en-AU"/>
          </w:rPr>
          <w:tab/>
        </w:r>
        <w:r w:rsidR="00E70F8F">
          <w:rPr>
            <w:rStyle w:val="Hyperlink"/>
          </w:rPr>
          <w:t>Life Support Obligations in Embedded N</w:t>
        </w:r>
        <w:r w:rsidR="00A56DFE" w:rsidRPr="001E6F62">
          <w:rPr>
            <w:rStyle w:val="Hyperlink"/>
          </w:rPr>
          <w:t>etworks</w:t>
        </w:r>
        <w:r w:rsidR="00A56DFE">
          <w:rPr>
            <w:webHidden/>
          </w:rPr>
          <w:tab/>
        </w:r>
        <w:r w:rsidR="00A56DFE">
          <w:rPr>
            <w:webHidden/>
          </w:rPr>
          <w:fldChar w:fldCharType="begin"/>
        </w:r>
        <w:r w:rsidR="00A56DFE">
          <w:rPr>
            <w:webHidden/>
          </w:rPr>
          <w:instrText xml:space="preserve"> PAGEREF _Toc490738296 \h </w:instrText>
        </w:r>
        <w:r w:rsidR="00A56DFE">
          <w:rPr>
            <w:webHidden/>
          </w:rPr>
        </w:r>
        <w:r w:rsidR="00A56DFE">
          <w:rPr>
            <w:webHidden/>
          </w:rPr>
          <w:fldChar w:fldCharType="separate"/>
        </w:r>
        <w:r w:rsidR="00264C25">
          <w:rPr>
            <w:webHidden/>
          </w:rPr>
          <w:t>27</w:t>
        </w:r>
        <w:r w:rsidR="00A56DFE">
          <w:rPr>
            <w:webHidden/>
          </w:rPr>
          <w:fldChar w:fldCharType="end"/>
        </w:r>
      </w:hyperlink>
    </w:p>
    <w:p w:rsidR="00A56DFE" w:rsidRDefault="00CF26EA">
      <w:pPr>
        <w:pStyle w:val="TOC2"/>
        <w:rPr>
          <w:rFonts w:asciiTheme="minorHAnsi" w:eastAsiaTheme="minorEastAsia" w:hAnsiTheme="minorHAnsi"/>
          <w:b w:val="0"/>
          <w:color w:val="auto"/>
          <w:sz w:val="22"/>
          <w:lang w:eastAsia="en-AU"/>
        </w:rPr>
      </w:pPr>
      <w:hyperlink w:anchor="_Toc490738297" w:history="1">
        <w:r w:rsidR="00A56DFE" w:rsidRPr="001E6F62">
          <w:rPr>
            <w:rStyle w:val="Hyperlink"/>
          </w:rPr>
          <w:t>2.7</w:t>
        </w:r>
        <w:r w:rsidR="00A56DFE">
          <w:rPr>
            <w:rFonts w:asciiTheme="minorHAnsi" w:eastAsiaTheme="minorEastAsia" w:hAnsiTheme="minorHAnsi"/>
            <w:b w:val="0"/>
            <w:color w:val="auto"/>
            <w:sz w:val="22"/>
            <w:lang w:eastAsia="en-AU"/>
          </w:rPr>
          <w:tab/>
        </w:r>
        <w:r w:rsidR="00E70F8F">
          <w:rPr>
            <w:rStyle w:val="Hyperlink"/>
          </w:rPr>
          <w:t>Jurisdictional D</w:t>
        </w:r>
        <w:r w:rsidR="00A56DFE" w:rsidRPr="001E6F62">
          <w:rPr>
            <w:rStyle w:val="Hyperlink"/>
          </w:rPr>
          <w:t>erogations</w:t>
        </w:r>
        <w:r w:rsidR="00A56DFE">
          <w:rPr>
            <w:webHidden/>
          </w:rPr>
          <w:tab/>
        </w:r>
        <w:r w:rsidR="00A56DFE">
          <w:rPr>
            <w:webHidden/>
          </w:rPr>
          <w:fldChar w:fldCharType="begin"/>
        </w:r>
        <w:r w:rsidR="00A56DFE">
          <w:rPr>
            <w:webHidden/>
          </w:rPr>
          <w:instrText xml:space="preserve"> PAGEREF _Toc490738297 \h </w:instrText>
        </w:r>
        <w:r w:rsidR="00A56DFE">
          <w:rPr>
            <w:webHidden/>
          </w:rPr>
        </w:r>
        <w:r w:rsidR="00A56DFE">
          <w:rPr>
            <w:webHidden/>
          </w:rPr>
          <w:fldChar w:fldCharType="separate"/>
        </w:r>
        <w:r w:rsidR="00264C25">
          <w:rPr>
            <w:webHidden/>
          </w:rPr>
          <w:t>27</w:t>
        </w:r>
        <w:r w:rsidR="00A56DFE">
          <w:rPr>
            <w:webHidden/>
          </w:rPr>
          <w:fldChar w:fldCharType="end"/>
        </w:r>
      </w:hyperlink>
    </w:p>
    <w:p w:rsidR="00842867" w:rsidRDefault="00842867" w:rsidP="00842867">
      <w:r>
        <w:fldChar w:fldCharType="end"/>
      </w:r>
      <w:bookmarkStart w:id="0" w:name="_Toc213047617"/>
    </w:p>
    <w:p w:rsidR="00612AC4" w:rsidRDefault="00612AC4" w:rsidP="00842867">
      <w:pPr>
        <w:sectPr w:rsidR="00612AC4" w:rsidSect="001E662A">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842867" w:rsidRDefault="00B8710A" w:rsidP="003313AB">
      <w:pPr>
        <w:pStyle w:val="Heading1"/>
        <w:numPr>
          <w:ilvl w:val="0"/>
          <w:numId w:val="0"/>
        </w:numPr>
        <w:spacing w:before="0" w:after="120"/>
      </w:pPr>
      <w:bookmarkStart w:id="1" w:name="_Toc490738261"/>
      <w:r>
        <w:lastRenderedPageBreak/>
        <w:t>Executive S</w:t>
      </w:r>
      <w:r w:rsidR="00842867" w:rsidRPr="00A45631">
        <w:t>ummary</w:t>
      </w:r>
      <w:bookmarkEnd w:id="1"/>
    </w:p>
    <w:p w:rsidR="00DE1621" w:rsidRPr="00DB0841" w:rsidRDefault="00170FC5" w:rsidP="003313AB">
      <w:pPr>
        <w:spacing w:before="0" w:after="240"/>
        <w:jc w:val="both"/>
      </w:pPr>
      <w:r w:rsidRPr="00DB0841">
        <w:t>T</w:t>
      </w:r>
      <w:r w:rsidR="001B6913" w:rsidRPr="00DB0841">
        <w:t>he Quarterly Compliance Report (QCR) outline</w:t>
      </w:r>
      <w:r w:rsidRPr="00DB0841">
        <w:t>s</w:t>
      </w:r>
      <w:r w:rsidR="001B6913" w:rsidRPr="00DB0841">
        <w:t xml:space="preserve"> the Australian Energy Regulator’s (AER) compliance monitoring and enforcement activity under the National Electricity Law (Electricity Law) and</w:t>
      </w:r>
      <w:r w:rsidR="00DC3DB0" w:rsidRPr="00DB0841">
        <w:t xml:space="preserve"> the National Gas Law (Gas Law), </w:t>
      </w:r>
      <w:r w:rsidR="001B6913" w:rsidRPr="00DB0841">
        <w:t xml:space="preserve">including the rules and regulations which sit under those laws. </w:t>
      </w:r>
      <w:r w:rsidRPr="00DB0841">
        <w:t xml:space="preserve">It </w:t>
      </w:r>
      <w:r w:rsidR="00DE1621" w:rsidRPr="00DB0841">
        <w:t>emphasise</w:t>
      </w:r>
      <w:r w:rsidRPr="00DB0841">
        <w:t xml:space="preserve">s the </w:t>
      </w:r>
      <w:r w:rsidR="00172E34" w:rsidRPr="00DB0841">
        <w:t>importan</w:t>
      </w:r>
      <w:r w:rsidR="00B84FD7" w:rsidRPr="00DB0841">
        <w:t xml:space="preserve">ce </w:t>
      </w:r>
      <w:r w:rsidR="00172E34" w:rsidRPr="00DB0841">
        <w:t xml:space="preserve">of </w:t>
      </w:r>
      <w:r w:rsidRPr="00DB0841">
        <w:t xml:space="preserve">compliance </w:t>
      </w:r>
      <w:r w:rsidR="0063490E" w:rsidRPr="00DB0841">
        <w:t>to</w:t>
      </w:r>
      <w:r w:rsidR="00D25507" w:rsidRPr="00DB0841">
        <w:t xml:space="preserve"> </w:t>
      </w:r>
      <w:r w:rsidR="008C5933" w:rsidRPr="00DB0841">
        <w:t xml:space="preserve">the </w:t>
      </w:r>
      <w:r w:rsidR="00D25507" w:rsidRPr="00DB0841">
        <w:t xml:space="preserve">efficient operation of gas and electricity markets for the benefit of </w:t>
      </w:r>
      <w:r w:rsidR="00817EEA" w:rsidRPr="00DB0841">
        <w:t xml:space="preserve">consumers, </w:t>
      </w:r>
      <w:r w:rsidRPr="00DB0841">
        <w:t xml:space="preserve">market participants and </w:t>
      </w:r>
      <w:r w:rsidR="00817EEA" w:rsidRPr="00DB0841">
        <w:t xml:space="preserve">large </w:t>
      </w:r>
      <w:r w:rsidRPr="00DB0841">
        <w:t>energy users.</w:t>
      </w:r>
    </w:p>
    <w:p w:rsidR="007F67C0" w:rsidRPr="00DB0841" w:rsidRDefault="00170FC5" w:rsidP="003313AB">
      <w:pPr>
        <w:spacing w:before="0" w:after="240"/>
        <w:jc w:val="both"/>
      </w:pPr>
      <w:r w:rsidRPr="00DB0841">
        <w:t xml:space="preserve">The AER reports </w:t>
      </w:r>
      <w:r w:rsidR="00DE1621" w:rsidRPr="00DB0841">
        <w:t>on the outcomes of its monitoring, enforcement and investigation activities. Through the publication of this information we seek to educate and inform consumers, businesses and other stakeholders by highlighting compliance issues and/or raising awareness of market participant obligations.</w:t>
      </w:r>
      <w:r w:rsidR="002D6E34" w:rsidRPr="00DB0841">
        <w:t xml:space="preserve"> This reporting promotes energy market transparency and good industry practice.</w:t>
      </w:r>
    </w:p>
    <w:p w:rsidR="001B6913" w:rsidRPr="00DB0841" w:rsidRDefault="001B6913" w:rsidP="003313AB">
      <w:pPr>
        <w:spacing w:before="0" w:after="240"/>
        <w:jc w:val="both"/>
      </w:pPr>
      <w:r w:rsidRPr="00DB0841">
        <w:t xml:space="preserve">This QCR covers the </w:t>
      </w:r>
      <w:r w:rsidR="00840C83" w:rsidRPr="00DB0841">
        <w:t xml:space="preserve">period </w:t>
      </w:r>
      <w:r w:rsidR="00B35FE2" w:rsidRPr="00DB0841">
        <w:t>1</w:t>
      </w:r>
      <w:r w:rsidRPr="00DB0841">
        <w:t> </w:t>
      </w:r>
      <w:r w:rsidR="00C95908" w:rsidRPr="00DB0841">
        <w:t>April</w:t>
      </w:r>
      <w:r w:rsidR="009F047D" w:rsidRPr="00DB0841">
        <w:t> </w:t>
      </w:r>
      <w:r w:rsidRPr="00DB0841">
        <w:t>201</w:t>
      </w:r>
      <w:r w:rsidR="0092096B" w:rsidRPr="00DB0841">
        <w:t>7</w:t>
      </w:r>
      <w:r w:rsidRPr="00DB0841">
        <w:t xml:space="preserve"> </w:t>
      </w:r>
      <w:r w:rsidR="00C95908" w:rsidRPr="00DB0841">
        <w:t>to 30 June</w:t>
      </w:r>
      <w:r w:rsidR="00B35FE2" w:rsidRPr="00DB0841">
        <w:t xml:space="preserve"> 201</w:t>
      </w:r>
      <w:r w:rsidR="0092096B" w:rsidRPr="00DB0841">
        <w:t>7</w:t>
      </w:r>
      <w:r w:rsidR="00B35FE2" w:rsidRPr="00DB0841">
        <w:t xml:space="preserve"> </w:t>
      </w:r>
      <w:r w:rsidR="003832DD" w:rsidRPr="00DB0841">
        <w:t xml:space="preserve">(the </w:t>
      </w:r>
      <w:r w:rsidR="00C95908" w:rsidRPr="00DB0841">
        <w:t>June</w:t>
      </w:r>
      <w:r w:rsidR="00047F90" w:rsidRPr="00DB0841">
        <w:t xml:space="preserve"> 201</w:t>
      </w:r>
      <w:r w:rsidR="0092096B" w:rsidRPr="00DB0841">
        <w:t>7</w:t>
      </w:r>
      <w:r w:rsidR="00047F90" w:rsidRPr="00DB0841">
        <w:t xml:space="preserve"> </w:t>
      </w:r>
      <w:r w:rsidRPr="00DB0841">
        <w:t>quarter)</w:t>
      </w:r>
      <w:r w:rsidR="00BD2927" w:rsidRPr="00DB0841">
        <w:t>. It includes reporting on the following matters in</w:t>
      </w:r>
      <w:r w:rsidR="00C91D82" w:rsidRPr="00DB0841">
        <w:t xml:space="preserve"> gas and electricity markets</w:t>
      </w:r>
      <w:r w:rsidRPr="00DB0841">
        <w:t>.</w:t>
      </w:r>
    </w:p>
    <w:p w:rsidR="00B35FE2" w:rsidRPr="00E97E59" w:rsidRDefault="007F6D06" w:rsidP="000E1D8A">
      <w:pPr>
        <w:keepNext/>
        <w:spacing w:before="0" w:after="240"/>
        <w:jc w:val="both"/>
        <w:rPr>
          <w:b/>
          <w:bCs/>
          <w:color w:val="70635A" w:themeColor="text2"/>
          <w:sz w:val="32"/>
          <w:szCs w:val="32"/>
        </w:rPr>
      </w:pPr>
      <w:r w:rsidRPr="00E97E59">
        <w:rPr>
          <w:rStyle w:val="Strong"/>
          <w:color w:val="70635A" w:themeColor="text2"/>
          <w:sz w:val="32"/>
          <w:szCs w:val="32"/>
        </w:rPr>
        <w:t>Gas</w:t>
      </w:r>
    </w:p>
    <w:p w:rsidR="00ED41EB" w:rsidRPr="000E1D8A" w:rsidRDefault="00ED41EB" w:rsidP="00ED41EB">
      <w:pPr>
        <w:spacing w:before="0" w:after="240"/>
        <w:rPr>
          <w:b/>
          <w:i/>
          <w:color w:val="70635A" w:themeColor="text2"/>
        </w:rPr>
      </w:pPr>
      <w:r w:rsidRPr="000E1D8A">
        <w:rPr>
          <w:b/>
          <w:i/>
          <w:color w:val="70635A" w:themeColor="text2"/>
        </w:rPr>
        <w:t>Gas Bulletin Board</w:t>
      </w:r>
    </w:p>
    <w:p w:rsidR="000E1D8A" w:rsidRPr="00DB0841" w:rsidRDefault="001C0BC7" w:rsidP="008443D2">
      <w:pPr>
        <w:spacing w:before="0" w:after="240"/>
        <w:jc w:val="both"/>
      </w:pPr>
      <w:r w:rsidRPr="00DB0841">
        <w:t>The AER monitors participant compliance with data reporting requirements for the Natural Gas Services Bulletin Board (the Bulletin Board)</w:t>
      </w:r>
      <w:r w:rsidR="005D6A8F" w:rsidRPr="00DB0841">
        <w:t>. We intensified our</w:t>
      </w:r>
      <w:r w:rsidRPr="00DB0841">
        <w:t xml:space="preserve"> monitoring in the lead up to and following</w:t>
      </w:r>
      <w:r w:rsidR="005D6A8F" w:rsidRPr="00DB0841">
        <w:t xml:space="preserve"> </w:t>
      </w:r>
      <w:r w:rsidR="00265ACC">
        <w:t xml:space="preserve">the </w:t>
      </w:r>
      <w:r w:rsidRPr="00DB0841">
        <w:t>int</w:t>
      </w:r>
      <w:r w:rsidR="005D6A8F" w:rsidRPr="00DB0841">
        <w:t xml:space="preserve">roduction of new data reporting requirements, which commenced 6 October 2016. </w:t>
      </w:r>
      <w:r w:rsidR="007507CE" w:rsidRPr="00DB0841">
        <w:t>This QCR outlines</w:t>
      </w:r>
      <w:r w:rsidR="005D6A8F" w:rsidRPr="00DB0841">
        <w:t xml:space="preserve"> current reporting arrangements and provides an overview of further proposed reforms for the Bulletin Board. These reforms are currently being progressed through an Australian Energy Market Commission (AEMC) rule change process, with a view </w:t>
      </w:r>
      <w:r w:rsidR="007507CE" w:rsidRPr="00DB0841">
        <w:t>to the introduction of new data reporting requirements in 2018.</w:t>
      </w:r>
    </w:p>
    <w:p w:rsidR="000E1D8A" w:rsidRPr="000E1D8A" w:rsidRDefault="000E1D8A" w:rsidP="000E1D8A">
      <w:pPr>
        <w:keepNext/>
        <w:spacing w:before="0" w:after="240"/>
        <w:jc w:val="both"/>
        <w:rPr>
          <w:b/>
          <w:i/>
          <w:color w:val="70635A" w:themeColor="text2"/>
        </w:rPr>
      </w:pPr>
      <w:r w:rsidRPr="000E1D8A">
        <w:rPr>
          <w:b/>
          <w:i/>
          <w:color w:val="70635A" w:themeColor="text2"/>
        </w:rPr>
        <w:t>Sydney Demand Forecasting Errors</w:t>
      </w:r>
    </w:p>
    <w:p w:rsidR="00034C8E" w:rsidRPr="00DB0841" w:rsidRDefault="004419F5" w:rsidP="008443D2">
      <w:pPr>
        <w:spacing w:before="0" w:after="240"/>
        <w:jc w:val="both"/>
      </w:pPr>
      <w:r w:rsidRPr="00DB0841">
        <w:t>An update is provided on the AER’s analysis of pronounced incidences of over forecast demand in the Sydney STTM across 2016</w:t>
      </w:r>
      <w:r w:rsidR="00BD2927" w:rsidRPr="00DB0841">
        <w:t xml:space="preserve"> and 2017</w:t>
      </w:r>
      <w:r w:rsidRPr="00DB0841">
        <w:t xml:space="preserve">. The </w:t>
      </w:r>
      <w:r w:rsidR="007507CE" w:rsidRPr="00DB0841">
        <w:t xml:space="preserve">AER </w:t>
      </w:r>
      <w:r w:rsidR="00BD2927" w:rsidRPr="00DB0841">
        <w:t>has been reporting</w:t>
      </w:r>
      <w:r w:rsidR="007507CE" w:rsidRPr="00DB0841">
        <w:t xml:space="preserve"> on this matter in recent</w:t>
      </w:r>
      <w:r w:rsidRPr="00DB0841">
        <w:t xml:space="preserve"> QCR</w:t>
      </w:r>
      <w:r w:rsidR="007507CE" w:rsidRPr="00DB0841">
        <w:t>s. We have continued our analysis during the June quarter, with a focus on the forecasting performance of AGL Energy, which continues to exhibit the highest incidence of demand forecasting errors among Sydney hub retailers.</w:t>
      </w:r>
      <w:r w:rsidR="00BD2927" w:rsidRPr="00DB0841">
        <w:t xml:space="preserve"> We report on some improvement to AGL’s performance during the June quarter.</w:t>
      </w:r>
    </w:p>
    <w:p w:rsidR="000E1D8A" w:rsidRPr="000E1D8A" w:rsidRDefault="000E1D8A" w:rsidP="000E1D8A">
      <w:pPr>
        <w:spacing w:before="0" w:after="240"/>
        <w:rPr>
          <w:b/>
          <w:i/>
          <w:color w:val="70635A" w:themeColor="text2"/>
        </w:rPr>
      </w:pPr>
      <w:r w:rsidRPr="000E1D8A">
        <w:rPr>
          <w:b/>
          <w:i/>
          <w:color w:val="70635A" w:themeColor="text2"/>
        </w:rPr>
        <w:t>Longford Injections</w:t>
      </w:r>
    </w:p>
    <w:p w:rsidR="004419F5" w:rsidRDefault="004419F5" w:rsidP="008443D2">
      <w:pPr>
        <w:spacing w:before="0" w:after="240"/>
        <w:jc w:val="both"/>
        <w:rPr>
          <w:bCs/>
        </w:rPr>
      </w:pPr>
      <w:r w:rsidRPr="00DB0841">
        <w:t xml:space="preserve">The Longford Gas Plant outage on 1 October </w:t>
      </w:r>
      <w:r w:rsidRPr="00DB0841">
        <w:rPr>
          <w:bCs/>
        </w:rPr>
        <w:t>2016 (and the AER’s subsequent investigation of the event</w:t>
      </w:r>
      <w:r w:rsidRPr="00DB0841">
        <w:rPr>
          <w:rStyle w:val="FootnoteReference"/>
          <w:bCs/>
        </w:rPr>
        <w:footnoteReference w:id="1"/>
      </w:r>
      <w:r w:rsidRPr="00DB0841">
        <w:rPr>
          <w:bCs/>
        </w:rPr>
        <w:t>) highlighted the importance of Longford gas supplies to Australia’s east coast gas markets. The AER is</w:t>
      </w:r>
      <w:r w:rsidR="009B65DE">
        <w:rPr>
          <w:bCs/>
        </w:rPr>
        <w:t xml:space="preserve"> currently </w:t>
      </w:r>
      <w:r w:rsidRPr="00DB0841">
        <w:rPr>
          <w:bCs/>
        </w:rPr>
        <w:t>conducting a targeted compliance review of participant offers at the Longford injection point. This review is ongoing and wil</w:t>
      </w:r>
      <w:r w:rsidR="00814846" w:rsidRPr="00DB0841">
        <w:rPr>
          <w:bCs/>
        </w:rPr>
        <w:t xml:space="preserve">l be progressed during </w:t>
      </w:r>
      <w:r w:rsidR="00814846" w:rsidRPr="00DB0841">
        <w:rPr>
          <w:bCs/>
        </w:rPr>
        <w:lastRenderedPageBreak/>
        <w:t xml:space="preserve">the September </w:t>
      </w:r>
      <w:r w:rsidRPr="00DB0841">
        <w:rPr>
          <w:bCs/>
        </w:rPr>
        <w:t xml:space="preserve">quarter. This QCR </w:t>
      </w:r>
      <w:r w:rsidR="00814846" w:rsidRPr="00DB0841">
        <w:rPr>
          <w:bCs/>
        </w:rPr>
        <w:t xml:space="preserve">provides an update of this work and </w:t>
      </w:r>
      <w:r w:rsidRPr="00DB0841">
        <w:rPr>
          <w:bCs/>
        </w:rPr>
        <w:t>outlines our approach to date.</w:t>
      </w:r>
    </w:p>
    <w:p w:rsidR="002708CD" w:rsidRPr="000E1D8A" w:rsidRDefault="002708CD" w:rsidP="002708CD">
      <w:pPr>
        <w:spacing w:before="0" w:after="240"/>
        <w:jc w:val="both"/>
        <w:rPr>
          <w:rFonts w:eastAsia="Arial" w:cs="Times New Roman"/>
          <w:b/>
          <w:bCs/>
          <w:i/>
          <w:noProof/>
          <w:color w:val="70635A" w:themeColor="text2"/>
          <w:lang w:val="en-US" w:eastAsia="ja-JP"/>
        </w:rPr>
      </w:pPr>
      <w:r>
        <w:rPr>
          <w:rFonts w:eastAsia="Arial" w:cs="Times New Roman"/>
          <w:b/>
          <w:bCs/>
          <w:i/>
          <w:noProof/>
          <w:color w:val="70635A" w:themeColor="text2"/>
          <w:lang w:val="en-US" w:eastAsia="ja-JP"/>
        </w:rPr>
        <w:t>Retail Market Procedures</w:t>
      </w:r>
    </w:p>
    <w:p w:rsidR="000C5ABF" w:rsidRDefault="002708CD" w:rsidP="008443D2">
      <w:pPr>
        <w:spacing w:before="0" w:after="240"/>
        <w:jc w:val="both"/>
      </w:pPr>
      <w:r>
        <w:rPr>
          <w:bCs/>
        </w:rPr>
        <w:t xml:space="preserve">We have updated our standing item on </w:t>
      </w:r>
      <w:r w:rsidR="0080171A">
        <w:rPr>
          <w:bCs/>
        </w:rPr>
        <w:t>non-</w:t>
      </w:r>
      <w:r>
        <w:rPr>
          <w:bCs/>
        </w:rPr>
        <w:t>compliance</w:t>
      </w:r>
      <w:r w:rsidR="0080171A">
        <w:rPr>
          <w:bCs/>
        </w:rPr>
        <w:t>s</w:t>
      </w:r>
      <w:r>
        <w:rPr>
          <w:bCs/>
        </w:rPr>
        <w:t xml:space="preserve"> with the Retail Market Procedures. This includes an up</w:t>
      </w:r>
      <w:r w:rsidR="0080171A">
        <w:rPr>
          <w:bCs/>
        </w:rPr>
        <w:t>date on the circumstances surrounding</w:t>
      </w:r>
      <w:r>
        <w:rPr>
          <w:bCs/>
        </w:rPr>
        <w:t xml:space="preserve"> </w:t>
      </w:r>
      <w:proofErr w:type="spellStart"/>
      <w:r>
        <w:rPr>
          <w:bCs/>
        </w:rPr>
        <w:t>Jemena’s</w:t>
      </w:r>
      <w:proofErr w:type="spellEnd"/>
      <w:r>
        <w:rPr>
          <w:bCs/>
        </w:rPr>
        <w:t xml:space="preserve"> material breach of the</w:t>
      </w:r>
      <w:r w:rsidR="0080171A">
        <w:rPr>
          <w:bCs/>
        </w:rPr>
        <w:t xml:space="preserve"> NSW/ACT Retail Market Procedures</w:t>
      </w:r>
      <w:r>
        <w:rPr>
          <w:bCs/>
        </w:rPr>
        <w:t xml:space="preserve">, which was referred to the AER by AEMO </w:t>
      </w:r>
      <w:r w:rsidR="00540517">
        <w:rPr>
          <w:bCs/>
        </w:rPr>
        <w:t>in March 2016</w:t>
      </w:r>
      <w:r w:rsidR="00D80A64">
        <w:t>.</w:t>
      </w:r>
    </w:p>
    <w:p w:rsidR="000E1D8A" w:rsidRPr="00E97E59" w:rsidRDefault="006912F3" w:rsidP="000E1D8A">
      <w:pPr>
        <w:spacing w:before="0" w:after="240"/>
        <w:rPr>
          <w:b/>
          <w:bCs/>
          <w:color w:val="70635A" w:themeColor="text2"/>
          <w:sz w:val="32"/>
          <w:szCs w:val="32"/>
        </w:rPr>
      </w:pPr>
      <w:r w:rsidRPr="00E97E59">
        <w:rPr>
          <w:rStyle w:val="Strong"/>
          <w:color w:val="70635A" w:themeColor="text2"/>
          <w:sz w:val="32"/>
          <w:szCs w:val="32"/>
        </w:rPr>
        <w:t>Electricity</w:t>
      </w:r>
    </w:p>
    <w:p w:rsidR="000E1D8A" w:rsidRPr="000E1D8A" w:rsidRDefault="000E1D8A" w:rsidP="000E1D8A">
      <w:pPr>
        <w:spacing w:before="0" w:after="240"/>
        <w:jc w:val="both"/>
        <w:rPr>
          <w:rFonts w:eastAsia="Arial" w:cs="Times New Roman"/>
          <w:b/>
          <w:bCs/>
          <w:i/>
          <w:noProof/>
          <w:color w:val="70635A" w:themeColor="text2"/>
          <w:lang w:val="en-US" w:eastAsia="ja-JP"/>
        </w:rPr>
      </w:pPr>
      <w:r w:rsidRPr="000E1D8A">
        <w:rPr>
          <w:rFonts w:eastAsia="Arial" w:cs="Times New Roman"/>
          <w:b/>
          <w:bCs/>
          <w:i/>
          <w:noProof/>
          <w:color w:val="70635A" w:themeColor="text2"/>
          <w:lang w:val="en-US" w:eastAsia="ja-JP"/>
        </w:rPr>
        <w:t>Generator Rebidding</w:t>
      </w:r>
    </w:p>
    <w:p w:rsidR="000E1D8A" w:rsidRPr="00DB0841" w:rsidRDefault="00751F46" w:rsidP="000E1D8A">
      <w:pPr>
        <w:spacing w:before="0" w:after="240"/>
        <w:jc w:val="both"/>
        <w:rPr>
          <w:rFonts w:eastAsia="Arial" w:cs="Times New Roman"/>
          <w:bCs/>
          <w:noProof/>
          <w:lang w:val="en-US" w:eastAsia="ja-JP"/>
        </w:rPr>
      </w:pPr>
      <w:r>
        <w:rPr>
          <w:rFonts w:eastAsia="Arial" w:cs="Times New Roman"/>
          <w:bCs/>
          <w:noProof/>
          <w:lang w:val="en-US" w:eastAsia="ja-JP"/>
        </w:rPr>
        <w:t>There is an update to our</w:t>
      </w:r>
      <w:r w:rsidR="000E1D8A" w:rsidRPr="00DB0841">
        <w:rPr>
          <w:rFonts w:eastAsia="Arial" w:cs="Times New Roman"/>
          <w:bCs/>
          <w:noProof/>
          <w:lang w:val="en-US" w:eastAsia="ja-JP"/>
        </w:rPr>
        <w:t xml:space="preserve"> standing item on generator rebidding in the National Electricity Market (NEM). Scheduled generators and market participants must submit offer, bid and/or rebid information such that they meet the requirements of the Electri</w:t>
      </w:r>
      <w:r>
        <w:rPr>
          <w:rFonts w:eastAsia="Arial" w:cs="Times New Roman"/>
          <w:bCs/>
          <w:noProof/>
          <w:lang w:val="en-US" w:eastAsia="ja-JP"/>
        </w:rPr>
        <w:t>city Rules. We report</w:t>
      </w:r>
      <w:r w:rsidR="000E1D8A" w:rsidRPr="00DB0841">
        <w:rPr>
          <w:rFonts w:eastAsia="Arial" w:cs="Times New Roman"/>
          <w:bCs/>
          <w:noProof/>
          <w:lang w:val="en-US" w:eastAsia="ja-JP"/>
        </w:rPr>
        <w:t xml:space="preserve"> on our analysis of rebidding activity, including the notices that we have received from participants regarding rebidding errors. </w:t>
      </w:r>
      <w:r w:rsidR="00FC5E47" w:rsidRPr="00DB0841">
        <w:rPr>
          <w:rFonts w:eastAsia="Arial" w:cs="Times New Roman"/>
          <w:bCs/>
          <w:noProof/>
          <w:lang w:val="en-US" w:eastAsia="ja-JP"/>
        </w:rPr>
        <w:t>We also remind participants of the importance of using Market Time</w:t>
      </w:r>
      <w:r w:rsidR="009B65DE">
        <w:rPr>
          <w:rFonts w:eastAsia="Arial" w:cs="Times New Roman"/>
          <w:bCs/>
          <w:noProof/>
          <w:lang w:val="en-US" w:eastAsia="ja-JP"/>
        </w:rPr>
        <w:t>. We have</w:t>
      </w:r>
      <w:r w:rsidR="00FC5E47" w:rsidRPr="00DB0841">
        <w:rPr>
          <w:rFonts w:eastAsia="Arial" w:cs="Times New Roman"/>
          <w:bCs/>
          <w:noProof/>
          <w:lang w:val="en-US" w:eastAsia="ja-JP"/>
        </w:rPr>
        <w:t xml:space="preserve"> observ</w:t>
      </w:r>
      <w:r w:rsidR="009B65DE">
        <w:rPr>
          <w:rFonts w:eastAsia="Arial" w:cs="Times New Roman"/>
          <w:bCs/>
          <w:noProof/>
          <w:lang w:val="en-US" w:eastAsia="ja-JP"/>
        </w:rPr>
        <w:t>ed</w:t>
      </w:r>
      <w:r w:rsidR="00FC5E47" w:rsidRPr="00DB0841">
        <w:rPr>
          <w:rFonts w:eastAsia="Arial" w:cs="Times New Roman"/>
          <w:bCs/>
          <w:noProof/>
          <w:lang w:val="en-US" w:eastAsia="ja-JP"/>
        </w:rPr>
        <w:t xml:space="preserve"> inconsistencies </w:t>
      </w:r>
      <w:r w:rsidR="00DB0841" w:rsidRPr="00DB0841">
        <w:rPr>
          <w:rFonts w:eastAsia="Arial" w:cs="Times New Roman"/>
          <w:bCs/>
          <w:noProof/>
          <w:lang w:val="en-US" w:eastAsia="ja-JP"/>
        </w:rPr>
        <w:t>in participant recording of time</w:t>
      </w:r>
      <w:r w:rsidR="00FC5E47" w:rsidRPr="00DB0841">
        <w:rPr>
          <w:rFonts w:eastAsia="Arial" w:cs="Times New Roman"/>
          <w:bCs/>
          <w:noProof/>
          <w:lang w:val="en-US" w:eastAsia="ja-JP"/>
        </w:rPr>
        <w:t xml:space="preserve"> associated with </w:t>
      </w:r>
      <w:r w:rsidR="00DB0841" w:rsidRPr="00DB0841">
        <w:rPr>
          <w:rFonts w:eastAsia="Arial" w:cs="Times New Roman"/>
          <w:bCs/>
          <w:noProof/>
          <w:lang w:val="en-US" w:eastAsia="ja-JP"/>
        </w:rPr>
        <w:t>the location of generators in different time zones.</w:t>
      </w:r>
    </w:p>
    <w:p w:rsidR="000E1D8A" w:rsidRPr="000E1D8A" w:rsidRDefault="000E1D8A" w:rsidP="000E1D8A">
      <w:pPr>
        <w:spacing w:before="0" w:after="240"/>
        <w:jc w:val="both"/>
        <w:rPr>
          <w:rFonts w:eastAsia="Arial" w:cs="Times New Roman"/>
          <w:b/>
          <w:bCs/>
          <w:i/>
          <w:noProof/>
          <w:color w:val="70635A" w:themeColor="text2"/>
          <w:lang w:val="en-US" w:eastAsia="ja-JP"/>
        </w:rPr>
      </w:pPr>
      <w:r w:rsidRPr="000E1D8A">
        <w:rPr>
          <w:rFonts w:eastAsia="Arial" w:cs="Times New Roman"/>
          <w:b/>
          <w:bCs/>
          <w:i/>
          <w:noProof/>
          <w:color w:val="70635A" w:themeColor="text2"/>
          <w:lang w:val="en-US" w:eastAsia="ja-JP"/>
        </w:rPr>
        <w:t>High Price Events in the NEM</w:t>
      </w:r>
    </w:p>
    <w:p w:rsidR="000E1D8A" w:rsidRPr="0002323B" w:rsidRDefault="000E1D8A" w:rsidP="000E1D8A">
      <w:pPr>
        <w:spacing w:before="0" w:after="240"/>
        <w:jc w:val="both"/>
        <w:rPr>
          <w:rFonts w:eastAsia="Arial" w:cs="Times New Roman"/>
          <w:bCs/>
          <w:noProof/>
          <w:lang w:val="en-US" w:eastAsia="ja-JP"/>
        </w:rPr>
      </w:pPr>
      <w:r w:rsidRPr="00FC5E47">
        <w:rPr>
          <w:rFonts w:eastAsia="Arial" w:cs="Times New Roman"/>
          <w:bCs/>
          <w:noProof/>
          <w:lang w:val="en-US" w:eastAsia="ja-JP"/>
        </w:rPr>
        <w:t>We provide an overview of our investigations and reporting on high price events during the 2016/17 summer period. Wholesale market pric</w:t>
      </w:r>
      <w:r w:rsidR="00BD2927" w:rsidRPr="00FC5E47">
        <w:rPr>
          <w:rFonts w:eastAsia="Arial" w:cs="Times New Roman"/>
          <w:bCs/>
          <w:noProof/>
          <w:lang w:val="en-US" w:eastAsia="ja-JP"/>
        </w:rPr>
        <w:t>es in several NEM jurisdictions</w:t>
      </w:r>
      <w:r w:rsidRPr="00FC5E47">
        <w:rPr>
          <w:rFonts w:eastAsia="Arial" w:cs="Times New Roman"/>
          <w:bCs/>
          <w:noProof/>
          <w:lang w:val="en-US" w:eastAsia="ja-JP"/>
        </w:rPr>
        <w:t xml:space="preserve"> </w:t>
      </w:r>
      <w:r w:rsidR="00C15273" w:rsidRPr="00FC5E47">
        <w:rPr>
          <w:rFonts w:eastAsia="Arial" w:cs="Times New Roman"/>
          <w:bCs/>
          <w:noProof/>
          <w:lang w:val="en-US" w:eastAsia="ja-JP"/>
        </w:rPr>
        <w:t xml:space="preserve">triggered </w:t>
      </w:r>
      <w:r w:rsidRPr="00FC5E47">
        <w:rPr>
          <w:rFonts w:eastAsia="Arial" w:cs="Times New Roman"/>
          <w:bCs/>
          <w:noProof/>
          <w:lang w:val="en-US" w:eastAsia="ja-JP"/>
        </w:rPr>
        <w:t>the AER’s reporting thresholds and</w:t>
      </w:r>
      <w:r w:rsidR="00BD2927" w:rsidRPr="00FC5E47">
        <w:rPr>
          <w:rFonts w:eastAsia="Arial" w:cs="Times New Roman"/>
          <w:bCs/>
          <w:noProof/>
          <w:lang w:val="en-US" w:eastAsia="ja-JP"/>
        </w:rPr>
        <w:t>, in accordance with our obligations under the Electricity Rul</w:t>
      </w:r>
      <w:r w:rsidR="00BD2927" w:rsidRPr="00B61AF1">
        <w:rPr>
          <w:rFonts w:eastAsia="Arial" w:cs="Times New Roman"/>
          <w:bCs/>
          <w:noProof/>
          <w:lang w:val="en-US" w:eastAsia="ja-JP"/>
        </w:rPr>
        <w:t>es,</w:t>
      </w:r>
      <w:r w:rsidRPr="00B61AF1">
        <w:rPr>
          <w:rFonts w:eastAsia="Arial" w:cs="Times New Roman"/>
          <w:bCs/>
          <w:noProof/>
          <w:lang w:val="en-US" w:eastAsia="ja-JP"/>
        </w:rPr>
        <w:t xml:space="preserve"> we have published the results of our investigat</w:t>
      </w:r>
      <w:r w:rsidR="00BD2927" w:rsidRPr="00B61AF1">
        <w:rPr>
          <w:rFonts w:eastAsia="Arial" w:cs="Times New Roman"/>
          <w:bCs/>
          <w:noProof/>
          <w:lang w:val="en-US" w:eastAsia="ja-JP"/>
        </w:rPr>
        <w:t>ions into most of these events</w:t>
      </w:r>
      <w:r w:rsidRPr="00B61AF1">
        <w:rPr>
          <w:rFonts w:eastAsia="Arial" w:cs="Times New Roman"/>
          <w:bCs/>
          <w:noProof/>
          <w:lang w:val="en-US" w:eastAsia="ja-JP"/>
        </w:rPr>
        <w:t xml:space="preserve">. Several of these investigations are ongoing and we will publish </w:t>
      </w:r>
      <w:r w:rsidR="00027D7C" w:rsidRPr="00B61AF1">
        <w:rPr>
          <w:rFonts w:eastAsia="Arial" w:cs="Times New Roman"/>
          <w:bCs/>
          <w:noProof/>
          <w:lang w:val="en-US" w:eastAsia="ja-JP"/>
        </w:rPr>
        <w:t>our corresponding reports during August 2017</w:t>
      </w:r>
      <w:r w:rsidRPr="00B61AF1">
        <w:rPr>
          <w:rFonts w:eastAsia="Arial" w:cs="Times New Roman"/>
          <w:bCs/>
          <w:noProof/>
          <w:lang w:val="en-US" w:eastAsia="ja-JP"/>
        </w:rPr>
        <w:t>.</w:t>
      </w:r>
    </w:p>
    <w:p w:rsidR="00922060" w:rsidRPr="00922060" w:rsidRDefault="00A764BB" w:rsidP="00922060">
      <w:pPr>
        <w:spacing w:before="0" w:after="240"/>
        <w:rPr>
          <w:rFonts w:eastAsia="Arial" w:cs="Times New Roman"/>
          <w:bCs/>
          <w:noProof/>
          <w:color w:val="70635A" w:themeColor="text2"/>
          <w:lang w:val="en-US" w:eastAsia="ja-JP"/>
        </w:rPr>
      </w:pPr>
      <w:r w:rsidRPr="00922060">
        <w:rPr>
          <w:rFonts w:eastAsia="Arial" w:cs="Times New Roman"/>
          <w:b/>
          <w:bCs/>
          <w:i/>
          <w:noProof/>
          <w:color w:val="70635A" w:themeColor="text2"/>
          <w:lang w:val="en-US" w:eastAsia="ja-JP"/>
        </w:rPr>
        <w:t>FCAS Causer Pays</w:t>
      </w:r>
    </w:p>
    <w:p w:rsidR="00922060" w:rsidRDefault="00922060" w:rsidP="000E1D8A">
      <w:pPr>
        <w:spacing w:before="0" w:after="240"/>
        <w:jc w:val="both"/>
        <w:rPr>
          <w:rFonts w:eastAsia="Arial" w:cs="Times New Roman"/>
          <w:bCs/>
          <w:noProof/>
          <w:lang w:val="en-US" w:eastAsia="ja-JP"/>
        </w:rPr>
      </w:pPr>
      <w:r>
        <w:t>During the June 2017 quarter, AEMO notified the AER that it had identified an FCAS Causer Pays calculation error in its systems. This QCR notes the circumstances around this error and outlines previous issues (since 2015) regarding AEMO’s FCAS Causer Pays processes and procedures.  We also outline the steps that AEMO has taken to improve its systems.</w:t>
      </w:r>
    </w:p>
    <w:p w:rsidR="000E1D8A" w:rsidRPr="000E1D8A" w:rsidRDefault="00FE6306" w:rsidP="000E1D8A">
      <w:pPr>
        <w:spacing w:before="0" w:after="240"/>
        <w:jc w:val="both"/>
        <w:rPr>
          <w:rFonts w:eastAsia="Arial" w:cs="Times New Roman"/>
          <w:b/>
          <w:bCs/>
          <w:i/>
          <w:noProof/>
          <w:color w:val="70635A" w:themeColor="text2"/>
          <w:lang w:val="en-US" w:eastAsia="ja-JP"/>
        </w:rPr>
      </w:pPr>
      <w:r>
        <w:rPr>
          <w:rFonts w:eastAsia="Arial" w:cs="Times New Roman"/>
          <w:b/>
          <w:bCs/>
          <w:i/>
          <w:noProof/>
          <w:color w:val="70635A" w:themeColor="text2"/>
          <w:lang w:val="en-US" w:eastAsia="ja-JP"/>
        </w:rPr>
        <w:t>Compliance with Chapter 7 of the Electricity Rules</w:t>
      </w:r>
    </w:p>
    <w:p w:rsidR="00751F46" w:rsidRPr="00823C67" w:rsidRDefault="00AC65AB" w:rsidP="00823C67">
      <w:pPr>
        <w:spacing w:before="0" w:after="240"/>
        <w:jc w:val="both"/>
        <w:rPr>
          <w:rFonts w:eastAsia="Arial" w:cs="Times New Roman"/>
          <w:bCs/>
          <w:noProof/>
          <w:lang w:val="en-US" w:eastAsia="ja-JP"/>
        </w:rPr>
      </w:pPr>
      <w:r w:rsidRPr="00AC65AB">
        <w:rPr>
          <w:rFonts w:eastAsia="Arial" w:cs="Times New Roman"/>
          <w:bCs/>
          <w:noProof/>
          <w:lang w:val="en-US" w:eastAsia="ja-JP"/>
        </w:rPr>
        <w:t xml:space="preserve">A smooth transition to </w:t>
      </w:r>
      <w:r w:rsidR="000E1D8A" w:rsidRPr="00AC65AB">
        <w:rPr>
          <w:rFonts w:eastAsia="Arial" w:cs="Times New Roman"/>
          <w:bCs/>
          <w:noProof/>
          <w:lang w:val="en-US" w:eastAsia="ja-JP"/>
        </w:rPr>
        <w:t xml:space="preserve">metering contestability, </w:t>
      </w:r>
      <w:r w:rsidRPr="00AC65AB">
        <w:rPr>
          <w:rFonts w:eastAsia="Arial" w:cs="Times New Roman"/>
          <w:bCs/>
          <w:noProof/>
          <w:lang w:val="en-US" w:eastAsia="ja-JP"/>
        </w:rPr>
        <w:t xml:space="preserve">scheduled to commence in December 2017, </w:t>
      </w:r>
      <w:r w:rsidR="000E1D8A" w:rsidRPr="00AC65AB">
        <w:rPr>
          <w:rFonts w:eastAsia="Arial" w:cs="Times New Roman"/>
          <w:bCs/>
          <w:noProof/>
          <w:lang w:val="en-US" w:eastAsia="ja-JP"/>
        </w:rPr>
        <w:t xml:space="preserve">is a compliance priority for the AER. We include an update on our work </w:t>
      </w:r>
      <w:r w:rsidR="00FE6306" w:rsidRPr="00AC65AB">
        <w:rPr>
          <w:rFonts w:eastAsia="Arial" w:cs="Times New Roman"/>
          <w:bCs/>
          <w:noProof/>
          <w:lang w:val="en-US" w:eastAsia="ja-JP"/>
        </w:rPr>
        <w:t>on compliance with Chapter 7 of the Electricity Rules</w:t>
      </w:r>
      <w:r w:rsidR="000F5ADB" w:rsidRPr="00AC65AB">
        <w:rPr>
          <w:rFonts w:eastAsia="Arial" w:cs="Times New Roman"/>
          <w:bCs/>
          <w:noProof/>
          <w:lang w:val="en-US" w:eastAsia="ja-JP"/>
        </w:rPr>
        <w:t>.</w:t>
      </w:r>
    </w:p>
    <w:p w:rsidR="006A67CA" w:rsidRDefault="006A67CA" w:rsidP="00823C67">
      <w:pPr>
        <w:keepNext/>
        <w:spacing w:before="0" w:after="240"/>
        <w:jc w:val="both"/>
        <w:rPr>
          <w:rFonts w:eastAsia="Arial" w:cs="Times New Roman"/>
          <w:b/>
          <w:bCs/>
          <w:i/>
          <w:noProof/>
          <w:color w:val="70635A" w:themeColor="text2"/>
          <w:lang w:val="en-US" w:eastAsia="ja-JP"/>
        </w:rPr>
      </w:pPr>
      <w:r w:rsidRPr="00922060">
        <w:rPr>
          <w:rFonts w:eastAsia="Arial" w:cs="Times New Roman"/>
          <w:b/>
          <w:bCs/>
          <w:i/>
          <w:noProof/>
          <w:color w:val="70635A" w:themeColor="text2"/>
          <w:lang w:val="en-US" w:eastAsia="ja-JP"/>
        </w:rPr>
        <w:t>Embedded Networks</w:t>
      </w:r>
      <w:r w:rsidR="00A764BB" w:rsidRPr="00922060">
        <w:rPr>
          <w:rFonts w:eastAsia="Arial" w:cs="Times New Roman"/>
          <w:b/>
          <w:bCs/>
          <w:i/>
          <w:noProof/>
          <w:color w:val="70635A" w:themeColor="text2"/>
          <w:lang w:val="en-US" w:eastAsia="ja-JP"/>
        </w:rPr>
        <w:t xml:space="preserve"> Rule Change</w:t>
      </w:r>
    </w:p>
    <w:p w:rsidR="00922060" w:rsidRDefault="00922060" w:rsidP="008443D2">
      <w:pPr>
        <w:jc w:val="both"/>
      </w:pPr>
      <w:r>
        <w:t xml:space="preserve">From 1 December 2017, network exemption holders will be required, under the Electricity Rules, to become or appoint an Embedded Network Manager.  We outline the proposed role of the Embedded Network Manager and the circumstances through which a participant may </w:t>
      </w:r>
      <w:r>
        <w:lastRenderedPageBreak/>
        <w:t>or may not be required to meet this new obligatio</w:t>
      </w:r>
      <w:r w:rsidR="00BB52D2">
        <w:t>n from 1 December.  We also stress</w:t>
      </w:r>
      <w:r>
        <w:t xml:space="preserve"> the importance, for retailers and distributors, to be advised of any life support customers in embedded networks and provide information from the AER’s Network Service Provider Registration Exemption Guideline.</w:t>
      </w:r>
    </w:p>
    <w:p w:rsidR="00922060" w:rsidRPr="00922060" w:rsidRDefault="00922060" w:rsidP="00840673">
      <w:pPr>
        <w:spacing w:before="0" w:after="240"/>
        <w:jc w:val="both"/>
        <w:rPr>
          <w:rStyle w:val="Strong"/>
          <w:rFonts w:eastAsia="Arial" w:cs="Times New Roman"/>
          <w:b w:val="0"/>
          <w:noProof/>
          <w:color w:val="70635A" w:themeColor="text2"/>
          <w:lang w:val="en-US" w:eastAsia="ja-JP"/>
        </w:rPr>
      </w:pPr>
    </w:p>
    <w:p w:rsidR="00842867" w:rsidRPr="000F2714" w:rsidRDefault="00842867" w:rsidP="003313AB">
      <w:pPr>
        <w:pStyle w:val="Heading1"/>
        <w:numPr>
          <w:ilvl w:val="0"/>
          <w:numId w:val="0"/>
        </w:numPr>
        <w:spacing w:before="0" w:after="120"/>
      </w:pPr>
      <w:bookmarkStart w:id="2" w:name="_Toc490738262"/>
      <w:r w:rsidRPr="000F2714">
        <w:lastRenderedPageBreak/>
        <w:t>Background</w:t>
      </w:r>
      <w:bookmarkEnd w:id="2"/>
    </w:p>
    <w:p w:rsidR="00842867" w:rsidRPr="00724BE1" w:rsidRDefault="00842867" w:rsidP="00653393">
      <w:pPr>
        <w:spacing w:before="0" w:after="240"/>
        <w:jc w:val="both"/>
      </w:pPr>
      <w:r w:rsidRPr="00724BE1">
        <w:t>The AER is responsible for monitoring</w:t>
      </w:r>
      <w:r w:rsidR="002D6E34" w:rsidRPr="00724BE1">
        <w:t>, investigating and enforcing compliance with the obligations under the National Electricity Law, National Gas Law, National Energy Retail Law and the respective rules and regulations</w:t>
      </w:r>
      <w:r w:rsidRPr="00724BE1">
        <w:t xml:space="preserve"> governing Australia’s wholesale energy markets, including those applying to </w:t>
      </w:r>
      <w:r w:rsidR="00002146" w:rsidRPr="00724BE1">
        <w:t>network service providers (</w:t>
      </w:r>
      <w:r w:rsidR="001156E6" w:rsidRPr="00724BE1">
        <w:t>NSPs</w:t>
      </w:r>
      <w:r w:rsidR="00002146" w:rsidRPr="00724BE1">
        <w:t>)</w:t>
      </w:r>
      <w:r w:rsidRPr="00724BE1">
        <w:t>. Section 15 of the Electricity Law and section 27 of the Gas Law set out our functions and powers, which include:</w:t>
      </w:r>
    </w:p>
    <w:p w:rsidR="003974F8" w:rsidRPr="00724BE1" w:rsidRDefault="003974F8" w:rsidP="007E720F">
      <w:pPr>
        <w:pStyle w:val="ListParagraph"/>
        <w:numPr>
          <w:ilvl w:val="0"/>
          <w:numId w:val="24"/>
        </w:numPr>
        <w:tabs>
          <w:tab w:val="clear" w:pos="340"/>
          <w:tab w:val="left" w:pos="709"/>
        </w:tabs>
        <w:spacing w:before="0" w:after="240"/>
        <w:ind w:left="709" w:hanging="425"/>
        <w:jc w:val="both"/>
      </w:pPr>
      <w:r w:rsidRPr="00724BE1">
        <w:t>monitoring compliance by energy industry participants</w:t>
      </w:r>
      <w:r w:rsidRPr="00724BE1">
        <w:rPr>
          <w:rStyle w:val="FootnoteReference"/>
        </w:rPr>
        <w:footnoteReference w:id="2"/>
      </w:r>
      <w:r w:rsidRPr="00724BE1">
        <w:t xml:space="preserve"> and other persons</w:t>
      </w:r>
      <w:r w:rsidR="00D6277F" w:rsidRPr="00724BE1">
        <w:t>; and</w:t>
      </w:r>
    </w:p>
    <w:p w:rsidR="003974F8" w:rsidRPr="00724BE1" w:rsidRDefault="003974F8" w:rsidP="007E720F">
      <w:pPr>
        <w:pStyle w:val="ListParagraph"/>
        <w:numPr>
          <w:ilvl w:val="0"/>
          <w:numId w:val="24"/>
        </w:numPr>
        <w:tabs>
          <w:tab w:val="clear" w:pos="340"/>
          <w:tab w:val="left" w:pos="709"/>
        </w:tabs>
        <w:spacing w:before="0" w:after="240"/>
        <w:ind w:left="709" w:hanging="425"/>
        <w:jc w:val="both"/>
      </w:pPr>
      <w:proofErr w:type="gramStart"/>
      <w:r w:rsidRPr="00724BE1">
        <w:t>investigating</w:t>
      </w:r>
      <w:proofErr w:type="gramEnd"/>
      <w:r w:rsidRPr="00724BE1">
        <w:t xml:space="preserve"> breaches, or possible breaches, of provisions of the legislative instruments under our jurisdiction.</w:t>
      </w:r>
    </w:p>
    <w:p w:rsidR="00842867" w:rsidRPr="00724BE1" w:rsidRDefault="00842867" w:rsidP="00653393">
      <w:pPr>
        <w:spacing w:before="0" w:after="240"/>
        <w:jc w:val="both"/>
      </w:pPr>
      <w:r w:rsidRPr="00724BE1">
        <w:t>Consistent with our statement of approach</w:t>
      </w:r>
      <w:r w:rsidR="00EA2181" w:rsidRPr="00724BE1">
        <w:t>,</w:t>
      </w:r>
      <w:r w:rsidR="000410DE" w:rsidRPr="00724BE1">
        <w:rPr>
          <w:rStyle w:val="FootnoteReference"/>
        </w:rPr>
        <w:footnoteReference w:id="3"/>
      </w:r>
      <w:r w:rsidRPr="00724BE1">
        <w:t xml:space="preserve"> we aim to promote high levels of compliance, and seek to build a culture of compliance in the energy industry. A culture of compliance will:</w:t>
      </w:r>
    </w:p>
    <w:p w:rsidR="00842867" w:rsidRPr="00724BE1" w:rsidRDefault="00842867" w:rsidP="008443D2">
      <w:pPr>
        <w:pStyle w:val="ListParagraph"/>
        <w:numPr>
          <w:ilvl w:val="0"/>
          <w:numId w:val="24"/>
        </w:numPr>
        <w:tabs>
          <w:tab w:val="clear" w:pos="340"/>
          <w:tab w:val="left" w:pos="709"/>
        </w:tabs>
        <w:spacing w:before="0" w:after="240"/>
        <w:ind w:left="709" w:hanging="425"/>
        <w:jc w:val="both"/>
      </w:pPr>
      <w:r w:rsidRPr="00724BE1">
        <w:t>reduce the risk of industry participants breaching their regulatory obligations</w:t>
      </w:r>
      <w:r w:rsidR="00D6277F" w:rsidRPr="00724BE1">
        <w:t>; and</w:t>
      </w:r>
    </w:p>
    <w:p w:rsidR="00842867" w:rsidRPr="00724BE1" w:rsidRDefault="00842867" w:rsidP="007E720F">
      <w:pPr>
        <w:pStyle w:val="ListParagraph"/>
        <w:numPr>
          <w:ilvl w:val="0"/>
          <w:numId w:val="24"/>
        </w:numPr>
        <w:tabs>
          <w:tab w:val="clear" w:pos="340"/>
          <w:tab w:val="left" w:pos="709"/>
        </w:tabs>
        <w:spacing w:before="0" w:after="240"/>
        <w:ind w:left="709" w:hanging="425"/>
        <w:jc w:val="both"/>
      </w:pPr>
      <w:proofErr w:type="gramStart"/>
      <w:r w:rsidRPr="00724BE1">
        <w:t>assist</w:t>
      </w:r>
      <w:proofErr w:type="gramEnd"/>
      <w:r w:rsidRPr="00724BE1">
        <w:t xml:space="preserve"> in ensuring industry participants can engage confidently in efficient energy markets.</w:t>
      </w:r>
    </w:p>
    <w:p w:rsidR="00842867" w:rsidRPr="00724BE1" w:rsidRDefault="0021617D" w:rsidP="00653393">
      <w:pPr>
        <w:spacing w:before="0" w:after="240"/>
        <w:jc w:val="both"/>
      </w:pPr>
      <w:r w:rsidRPr="00724BE1">
        <w:t>As part of this process, w</w:t>
      </w:r>
      <w:r w:rsidR="0050276E" w:rsidRPr="00724BE1">
        <w:t>e undertake</w:t>
      </w:r>
      <w:r w:rsidR="00AE1FA5" w:rsidRPr="00724BE1">
        <w:t xml:space="preserve"> </w:t>
      </w:r>
      <w:r w:rsidR="00842867" w:rsidRPr="00724BE1">
        <w:t>a</w:t>
      </w:r>
      <w:r w:rsidR="00FF4394" w:rsidRPr="00724BE1">
        <w:t>n</w:t>
      </w:r>
      <w:r w:rsidR="00842867" w:rsidRPr="00724BE1">
        <w:t xml:space="preserve"> </w:t>
      </w:r>
      <w:r w:rsidR="00FF4394" w:rsidRPr="00724BE1">
        <w:t xml:space="preserve">ongoing </w:t>
      </w:r>
      <w:r w:rsidR="00842867" w:rsidRPr="00724BE1">
        <w:t xml:space="preserve">compliance risk assessment of </w:t>
      </w:r>
      <w:r w:rsidR="00D814EC" w:rsidRPr="00724BE1">
        <w:t xml:space="preserve">each obligation under </w:t>
      </w:r>
      <w:r w:rsidR="00842867" w:rsidRPr="00724BE1">
        <w:t xml:space="preserve">the Electricity and Gas Rules to identify appropriate focus areas and monitoring/compliance mechanisms. </w:t>
      </w:r>
      <w:r w:rsidR="00D814EC" w:rsidRPr="00724BE1">
        <w:t>The risk assessment involves</w:t>
      </w:r>
      <w:r w:rsidR="00CF3CE3" w:rsidRPr="00724BE1">
        <w:t xml:space="preserve"> the</w:t>
      </w:r>
      <w:r w:rsidR="00D814EC" w:rsidRPr="00724BE1">
        <w:t xml:space="preserve"> analysis and ranking of each obligation to determine its compliance risk</w:t>
      </w:r>
      <w:r w:rsidR="00CF3CE3" w:rsidRPr="00724BE1">
        <w:t>, based on the probability of a breach and its impact on energy market participants. Our monitoring/compliance mechanisms</w:t>
      </w:r>
      <w:r w:rsidR="00506A1B" w:rsidRPr="00724BE1">
        <w:t xml:space="preserve"> </w:t>
      </w:r>
      <w:r w:rsidR="00842867" w:rsidRPr="00724BE1">
        <w:t>include our strategic compliance projects, audits, reporting requirements, market monitoring, and targeted compliance reviews.</w:t>
      </w:r>
    </w:p>
    <w:p w:rsidR="00842867" w:rsidRPr="00724BE1" w:rsidRDefault="00842867" w:rsidP="003313AB">
      <w:pPr>
        <w:spacing w:before="0" w:after="240"/>
        <w:jc w:val="both"/>
      </w:pPr>
      <w:r w:rsidRPr="00724BE1">
        <w:t>In selecting the areas for review, we ado</w:t>
      </w:r>
      <w:r w:rsidR="00D6277F" w:rsidRPr="00724BE1">
        <w:t>pt the following principles.</w:t>
      </w:r>
    </w:p>
    <w:p w:rsidR="00842867" w:rsidRPr="00724BE1" w:rsidRDefault="00D6277F" w:rsidP="007E720F">
      <w:pPr>
        <w:pStyle w:val="ListParagraph"/>
        <w:numPr>
          <w:ilvl w:val="0"/>
          <w:numId w:val="24"/>
        </w:numPr>
        <w:tabs>
          <w:tab w:val="clear" w:pos="340"/>
        </w:tabs>
        <w:spacing w:before="0" w:after="240"/>
        <w:ind w:left="709" w:hanging="425"/>
        <w:jc w:val="both"/>
      </w:pPr>
      <w:r w:rsidRPr="00724BE1">
        <w:t>C</w:t>
      </w:r>
      <w:r w:rsidR="00842867" w:rsidRPr="00724BE1">
        <w:t>onsideration of risk (the greater the risk, the higher the priority)</w:t>
      </w:r>
      <w:r w:rsidRPr="00724BE1">
        <w:t>.</w:t>
      </w:r>
    </w:p>
    <w:p w:rsidR="00842867" w:rsidRPr="00724BE1" w:rsidRDefault="00D6277F" w:rsidP="007E720F">
      <w:pPr>
        <w:pStyle w:val="ListParagraph"/>
        <w:numPr>
          <w:ilvl w:val="0"/>
          <w:numId w:val="24"/>
        </w:numPr>
        <w:tabs>
          <w:tab w:val="clear" w:pos="340"/>
          <w:tab w:val="left" w:pos="709"/>
        </w:tabs>
        <w:spacing w:before="0" w:after="240"/>
        <w:ind w:left="709" w:hanging="425"/>
        <w:jc w:val="both"/>
      </w:pPr>
      <w:r w:rsidRPr="00724BE1">
        <w:t>A</w:t>
      </w:r>
      <w:r w:rsidR="00842867" w:rsidRPr="00724BE1">
        <w:t xml:space="preserve"> commitment to ensuring that both systemic issues and those with the potential for isolated but significant impact are addressed.</w:t>
      </w:r>
    </w:p>
    <w:p w:rsidR="00842867" w:rsidRPr="00724BE1" w:rsidRDefault="00842867" w:rsidP="003313AB">
      <w:pPr>
        <w:spacing w:before="0" w:after="240"/>
        <w:jc w:val="both"/>
      </w:pPr>
      <w:r w:rsidRPr="00724BE1">
        <w:t>In carrying out our monitoring functions, we aim for:</w:t>
      </w:r>
    </w:p>
    <w:p w:rsidR="00842867" w:rsidRPr="00724BE1" w:rsidRDefault="00842867" w:rsidP="007E720F">
      <w:pPr>
        <w:pStyle w:val="ListParagraph"/>
        <w:numPr>
          <w:ilvl w:val="0"/>
          <w:numId w:val="24"/>
        </w:numPr>
        <w:tabs>
          <w:tab w:val="clear" w:pos="340"/>
          <w:tab w:val="left" w:pos="709"/>
        </w:tabs>
        <w:spacing w:before="0" w:after="240"/>
        <w:ind w:left="709" w:hanging="425"/>
        <w:jc w:val="both"/>
      </w:pPr>
      <w:r w:rsidRPr="00724BE1">
        <w:t>cost effectiveness for energy industry participants and the AER</w:t>
      </w:r>
      <w:r w:rsidR="00D6277F" w:rsidRPr="00724BE1">
        <w:t>; and</w:t>
      </w:r>
    </w:p>
    <w:p w:rsidR="00506A1B" w:rsidRPr="00724BE1" w:rsidRDefault="00842867" w:rsidP="003313AB">
      <w:pPr>
        <w:pStyle w:val="ListParagraph"/>
        <w:numPr>
          <w:ilvl w:val="0"/>
          <w:numId w:val="24"/>
        </w:numPr>
        <w:tabs>
          <w:tab w:val="clear" w:pos="340"/>
          <w:tab w:val="left" w:pos="709"/>
        </w:tabs>
        <w:spacing w:before="0" w:after="240"/>
        <w:ind w:left="709" w:hanging="425"/>
        <w:jc w:val="both"/>
      </w:pPr>
      <w:proofErr w:type="gramStart"/>
      <w:r w:rsidRPr="00724BE1">
        <w:t>transparency</w:t>
      </w:r>
      <w:proofErr w:type="gramEnd"/>
      <w:r w:rsidRPr="00724BE1">
        <w:t xml:space="preserve"> (subject to confidentiality requirements).</w:t>
      </w:r>
    </w:p>
    <w:p w:rsidR="00506A1B" w:rsidRPr="00724BE1" w:rsidRDefault="00506A1B" w:rsidP="003313AB">
      <w:pPr>
        <w:spacing w:before="0" w:after="240"/>
        <w:jc w:val="both"/>
      </w:pPr>
      <w:r w:rsidRPr="00724BE1">
        <w:t>In carrying out our enforcement actions we seek to demonstrate proportionality and procedural fairness (where required).</w:t>
      </w:r>
    </w:p>
    <w:p w:rsidR="00842867" w:rsidRPr="00724BE1" w:rsidRDefault="00842867" w:rsidP="003313AB">
      <w:pPr>
        <w:spacing w:before="0" w:after="240"/>
        <w:jc w:val="both"/>
      </w:pPr>
      <w:r w:rsidRPr="00724BE1">
        <w:lastRenderedPageBreak/>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r w:rsidR="00583A9C" w:rsidRPr="00724BE1">
        <w:t xml:space="preserve"> </w:t>
      </w:r>
      <w:r w:rsidR="00C51F4E" w:rsidRPr="00724BE1">
        <w:t>Whilst businesses may</w:t>
      </w:r>
      <w:r w:rsidR="00583A9C" w:rsidRPr="00724BE1">
        <w:t xml:space="preserve"> </w:t>
      </w:r>
      <w:r w:rsidR="00C51F4E" w:rsidRPr="00724BE1">
        <w:t>not be required to have a c</w:t>
      </w:r>
      <w:r w:rsidR="00583A9C" w:rsidRPr="00724BE1">
        <w:t xml:space="preserve">ompliance </w:t>
      </w:r>
      <w:r w:rsidR="00C51F4E" w:rsidRPr="00724BE1">
        <w:t>framework</w:t>
      </w:r>
      <w:r w:rsidR="00583A9C" w:rsidRPr="00724BE1">
        <w:t xml:space="preserve"> in place it is good governance to do so.</w:t>
      </w:r>
    </w:p>
    <w:p w:rsidR="00842867" w:rsidRDefault="00842867" w:rsidP="0034020A">
      <w:pPr>
        <w:pStyle w:val="Heading1"/>
        <w:tabs>
          <w:tab w:val="clear" w:pos="680"/>
          <w:tab w:val="left" w:pos="993"/>
        </w:tabs>
        <w:spacing w:before="0" w:after="120"/>
        <w:ind w:left="851" w:hanging="851"/>
      </w:pPr>
      <w:bookmarkStart w:id="3" w:name="_Toc426539186"/>
      <w:bookmarkStart w:id="4" w:name="_Toc490738263"/>
      <w:bookmarkEnd w:id="0"/>
      <w:bookmarkEnd w:id="3"/>
      <w:r w:rsidRPr="00765147">
        <w:lastRenderedPageBreak/>
        <w:t>Gas</w:t>
      </w:r>
      <w:bookmarkEnd w:id="4"/>
    </w:p>
    <w:p w:rsidR="00C66C6F" w:rsidRPr="00F04D06" w:rsidRDefault="003C067F" w:rsidP="00653393">
      <w:pPr>
        <w:spacing w:before="0" w:after="240"/>
        <w:jc w:val="both"/>
      </w:pPr>
      <w:r w:rsidRPr="00F04D06">
        <w:t>We are</w:t>
      </w:r>
      <w:r w:rsidR="00C66C6F" w:rsidRPr="00F04D06">
        <w:t xml:space="preserve"> responsible for monitoring, investigating and enforcing compliance with the Gas Law and Rules, including but not limited to the</w:t>
      </w:r>
      <w:r w:rsidR="00C51F4E" w:rsidRPr="00F04D06">
        <w:t xml:space="preserve"> Short Term Trading Market (</w:t>
      </w:r>
      <w:r w:rsidR="00C66C6F" w:rsidRPr="00F04D06">
        <w:t>STTM</w:t>
      </w:r>
      <w:r w:rsidR="00C51F4E" w:rsidRPr="00F04D06">
        <w:t>)</w:t>
      </w:r>
      <w:r w:rsidR="00FC7355" w:rsidRPr="00F04D06">
        <w:t>, the Bulletin Board, Vic</w:t>
      </w:r>
      <w:r w:rsidR="00D77DD4" w:rsidRPr="00F04D06">
        <w:t xml:space="preserve">toria’s </w:t>
      </w:r>
      <w:r w:rsidR="00C51F4E" w:rsidRPr="00F04D06">
        <w:t>Declared Wholesale Gas Market (</w:t>
      </w:r>
      <w:r w:rsidR="00FC7355" w:rsidRPr="00F04D06">
        <w:t>DWGM</w:t>
      </w:r>
      <w:r w:rsidR="00C51F4E" w:rsidRPr="00F04D06">
        <w:t>)</w:t>
      </w:r>
      <w:r w:rsidR="00FC7355" w:rsidRPr="00F04D06">
        <w:t xml:space="preserve"> </w:t>
      </w:r>
      <w:r w:rsidR="00C66C6F" w:rsidRPr="00F04D06">
        <w:t>and the Gas Supply Hub</w:t>
      </w:r>
      <w:r w:rsidR="00C15273" w:rsidRPr="00F04D06">
        <w:t>s</w:t>
      </w:r>
      <w:r w:rsidR="00C66C6F" w:rsidRPr="00F04D06">
        <w:t xml:space="preserve"> (GSH)</w:t>
      </w:r>
      <w:r w:rsidR="003832DD" w:rsidRPr="00F04D06">
        <w:t>.</w:t>
      </w:r>
    </w:p>
    <w:p w:rsidR="00C66C6F" w:rsidRPr="00F04D06" w:rsidRDefault="00C66C6F" w:rsidP="00653393">
      <w:pPr>
        <w:spacing w:before="0" w:after="240"/>
        <w:jc w:val="both"/>
      </w:pPr>
      <w:r w:rsidRPr="00F04D06">
        <w:t>This part of the report provides an update on investigations, compliance matters and projects in the gas markets.</w:t>
      </w:r>
    </w:p>
    <w:p w:rsidR="009C52B9" w:rsidRDefault="00F86B6F" w:rsidP="0034020A">
      <w:pPr>
        <w:pStyle w:val="Heading2"/>
        <w:keepNext/>
        <w:tabs>
          <w:tab w:val="clear" w:pos="680"/>
          <w:tab w:val="left" w:pos="993"/>
        </w:tabs>
        <w:spacing w:before="0" w:after="240"/>
        <w:ind w:left="851" w:hanging="851"/>
      </w:pPr>
      <w:bookmarkStart w:id="5" w:name="_Toc426539190"/>
      <w:bookmarkStart w:id="6" w:name="_Toc426539191"/>
      <w:bookmarkStart w:id="7" w:name="_Toc490738264"/>
      <w:bookmarkStart w:id="8" w:name="_Toc427327904"/>
      <w:bookmarkEnd w:id="5"/>
      <w:bookmarkEnd w:id="6"/>
      <w:r>
        <w:t>Natural Gas Services Bulletin Board</w:t>
      </w:r>
      <w:bookmarkEnd w:id="7"/>
    </w:p>
    <w:p w:rsidR="00C96D38" w:rsidRDefault="00F86B6F" w:rsidP="0034020A">
      <w:pPr>
        <w:pStyle w:val="Heading3"/>
        <w:numPr>
          <w:ilvl w:val="2"/>
          <w:numId w:val="32"/>
        </w:numPr>
        <w:spacing w:before="0" w:after="240"/>
        <w:ind w:left="851" w:hanging="851"/>
      </w:pPr>
      <w:bookmarkStart w:id="9" w:name="_Toc490738265"/>
      <w:r>
        <w:t>Compliance</w:t>
      </w:r>
      <w:bookmarkEnd w:id="9"/>
    </w:p>
    <w:p w:rsidR="00B7722A" w:rsidRPr="00F04D06" w:rsidRDefault="00B7722A" w:rsidP="009128B1">
      <w:pPr>
        <w:spacing w:before="0" w:after="240"/>
        <w:jc w:val="both"/>
      </w:pPr>
      <w:r w:rsidRPr="00F04D06">
        <w:t>Market participants c</w:t>
      </w:r>
      <w:r w:rsidR="00ED41EB" w:rsidRPr="00F04D06">
        <w:t>onnected to the east coast gas grid must r</w:t>
      </w:r>
      <w:r w:rsidRPr="00F04D06">
        <w:t>eport their activity in accordance with</w:t>
      </w:r>
      <w:r w:rsidR="00ED41EB" w:rsidRPr="00F04D06">
        <w:t xml:space="preserve"> Part</w:t>
      </w:r>
      <w:r w:rsidRPr="00F04D06">
        <w:t xml:space="preserve"> 18 of the Gas Rules and consistent with the processes outlined in</w:t>
      </w:r>
      <w:r w:rsidR="00ED41EB" w:rsidRPr="00F04D06">
        <w:t xml:space="preserve"> AEMO’s Natural Gas Bulletin Board Procedures</w:t>
      </w:r>
      <w:r w:rsidRPr="00F04D06">
        <w:t xml:space="preserve">. </w:t>
      </w:r>
      <w:r w:rsidR="005D3BCA" w:rsidRPr="00F04D06">
        <w:t>The AER has</w:t>
      </w:r>
      <w:r w:rsidRPr="00F04D06">
        <w:t xml:space="preserve"> closely monitor</w:t>
      </w:r>
      <w:r w:rsidR="005D3BCA" w:rsidRPr="00F04D06">
        <w:t>ed</w:t>
      </w:r>
      <w:r w:rsidRPr="00F04D06">
        <w:t xml:space="preserve"> compliance with these</w:t>
      </w:r>
      <w:r w:rsidR="0056762E" w:rsidRPr="00F04D06">
        <w:t xml:space="preserve"> requirements since new reporting obligations w</w:t>
      </w:r>
      <w:r w:rsidRPr="00F04D06">
        <w:t xml:space="preserve">ere imposed on participants through changes to Part 18 of the Gas Rules, </w:t>
      </w:r>
      <w:r w:rsidR="004C3E26">
        <w:t xml:space="preserve">which commenced on </w:t>
      </w:r>
      <w:r w:rsidR="0056762E" w:rsidRPr="00F04D06">
        <w:t>6 October 2016</w:t>
      </w:r>
      <w:r w:rsidR="00DE3213">
        <w:t>.</w:t>
      </w:r>
      <w:r w:rsidR="00661C32" w:rsidRPr="00F04D06">
        <w:rPr>
          <w:rStyle w:val="FootnoteReference"/>
        </w:rPr>
        <w:footnoteReference w:id="4"/>
      </w:r>
      <w:r w:rsidR="0056762E" w:rsidRPr="00F04D06">
        <w:t xml:space="preserve"> </w:t>
      </w:r>
    </w:p>
    <w:p w:rsidR="009128B1" w:rsidRPr="00F04D06" w:rsidRDefault="00661C32" w:rsidP="00BF53EC">
      <w:pPr>
        <w:spacing w:before="0" w:after="240"/>
        <w:jc w:val="both"/>
      </w:pPr>
      <w:r w:rsidRPr="00F04D06">
        <w:t>From 6 October 2016, new information was required from pipeline operators, storage providers and production facilities, including detailed information around daily gas flows</w:t>
      </w:r>
      <w:r w:rsidR="00E37028" w:rsidRPr="00F04D06">
        <w:t xml:space="preserve">. The AER has monitored the standard of reporting since </w:t>
      </w:r>
      <w:r w:rsidR="000C5ABF">
        <w:t>the changes</w:t>
      </w:r>
      <w:r w:rsidR="00E37028" w:rsidRPr="00F04D06">
        <w:t xml:space="preserve">, </w:t>
      </w:r>
      <w:r w:rsidR="003F13B4" w:rsidRPr="00F04D06">
        <w:t>observing some data errors and</w:t>
      </w:r>
      <w:r w:rsidR="005F5F8E" w:rsidRPr="00F04D06">
        <w:t xml:space="preserve"> late </w:t>
      </w:r>
      <w:r w:rsidR="003F13B4" w:rsidRPr="00F04D06">
        <w:t xml:space="preserve">data </w:t>
      </w:r>
      <w:r w:rsidR="005F5F8E" w:rsidRPr="00F04D06">
        <w:t xml:space="preserve">submissions </w:t>
      </w:r>
      <w:r w:rsidR="003F13B4" w:rsidRPr="00F04D06">
        <w:t>but noting an improv</w:t>
      </w:r>
      <w:r w:rsidR="004C3E26">
        <w:t xml:space="preserve">ement in the timeliness and accuracy of </w:t>
      </w:r>
      <w:r w:rsidR="00FA0A33" w:rsidRPr="00F04D06">
        <w:t>reporting by registered participants.</w:t>
      </w:r>
    </w:p>
    <w:p w:rsidR="00AE25E4" w:rsidRPr="00BF53EC" w:rsidRDefault="00D97C37" w:rsidP="0034020A">
      <w:pPr>
        <w:pStyle w:val="Heading3"/>
        <w:spacing w:before="0" w:after="240"/>
        <w:ind w:left="851" w:hanging="851"/>
      </w:pPr>
      <w:bookmarkStart w:id="10" w:name="_Toc490738266"/>
      <w:r>
        <w:t>Current reporting a</w:t>
      </w:r>
      <w:r w:rsidR="006E60E5">
        <w:t>rrangements</w:t>
      </w:r>
      <w:bookmarkEnd w:id="10"/>
    </w:p>
    <w:p w:rsidR="00540651" w:rsidRPr="00F04D06" w:rsidRDefault="002478E0" w:rsidP="008443D2">
      <w:pPr>
        <w:spacing w:before="0" w:after="240"/>
        <w:jc w:val="both"/>
        <w:rPr>
          <w:rFonts w:cs="Arial"/>
        </w:rPr>
      </w:pPr>
      <w:r w:rsidRPr="00F04D06">
        <w:rPr>
          <w:rFonts w:cs="Arial"/>
          <w:b/>
        </w:rPr>
        <w:t xml:space="preserve">Figure </w:t>
      </w:r>
      <w:r w:rsidR="00D23993" w:rsidRPr="00F04D06">
        <w:rPr>
          <w:rFonts w:cs="Arial"/>
          <w:b/>
        </w:rPr>
        <w:t>1</w:t>
      </w:r>
      <w:r w:rsidRPr="00F04D06">
        <w:rPr>
          <w:rFonts w:cs="Arial"/>
        </w:rPr>
        <w:t xml:space="preserve"> depicts current Bulletin Board reporting arrangements. Reporting </w:t>
      </w:r>
      <w:r w:rsidR="00EA6F36" w:rsidRPr="00F04D06">
        <w:rPr>
          <w:rFonts w:cs="Arial"/>
        </w:rPr>
        <w:t>obligations arise based on gas flows between production and demand zones. Exemptions may apply to transmission pipelines that do not transport gas between zones and to storage facilities and production facilities that are not directly connected to these pipelines. Accordingly, various lateral pipelines and storage and production facilities do not appear on the Bulletin Board.</w:t>
      </w:r>
    </w:p>
    <w:p w:rsidR="00540651" w:rsidRPr="00F04D06" w:rsidRDefault="00722848" w:rsidP="008443D2">
      <w:pPr>
        <w:spacing w:before="0" w:after="240"/>
        <w:jc w:val="both"/>
        <w:rPr>
          <w:rFonts w:cs="Arial"/>
        </w:rPr>
      </w:pPr>
      <w:r w:rsidRPr="00F04D06">
        <w:rPr>
          <w:rFonts w:cs="Arial"/>
        </w:rPr>
        <w:t>Facilities that receive</w:t>
      </w:r>
      <w:r w:rsidR="0023588E" w:rsidRPr="00F04D06">
        <w:rPr>
          <w:rFonts w:cs="Arial"/>
        </w:rPr>
        <w:t xml:space="preserve"> reporting exemptions under the </w:t>
      </w:r>
      <w:proofErr w:type="spellStart"/>
      <w:r w:rsidR="0023588E" w:rsidRPr="00F04D06">
        <w:rPr>
          <w:rFonts w:cs="Arial"/>
        </w:rPr>
        <w:t>zonal</w:t>
      </w:r>
      <w:proofErr w:type="spellEnd"/>
      <w:r w:rsidR="0023588E" w:rsidRPr="00F04D06">
        <w:rPr>
          <w:rFonts w:cs="Arial"/>
        </w:rPr>
        <w:t xml:space="preserve"> model include the east coast gas grid’s largest storage facility</w:t>
      </w:r>
      <w:r w:rsidRPr="00F04D06">
        <w:rPr>
          <w:rFonts w:cs="Arial"/>
        </w:rPr>
        <w:t>,</w:t>
      </w:r>
      <w:r w:rsidR="0023588E" w:rsidRPr="00F04D06">
        <w:rPr>
          <w:rFonts w:cs="Arial"/>
        </w:rPr>
        <w:t xml:space="preserve"> </w:t>
      </w:r>
      <w:r w:rsidR="00540651" w:rsidRPr="00F04D06">
        <w:rPr>
          <w:rFonts w:cs="Arial"/>
        </w:rPr>
        <w:t>Roma</w:t>
      </w:r>
      <w:r w:rsidR="0023588E" w:rsidRPr="00F04D06">
        <w:rPr>
          <w:rFonts w:cs="Arial"/>
        </w:rPr>
        <w:t xml:space="preserve"> Underground Gas Storage (RUGS)</w:t>
      </w:r>
      <w:r w:rsidR="00540651" w:rsidRPr="00F04D06">
        <w:rPr>
          <w:rFonts w:cs="Arial"/>
        </w:rPr>
        <w:t xml:space="preserve">. </w:t>
      </w:r>
      <w:r w:rsidR="001D1FD7" w:rsidRPr="00F04D06">
        <w:rPr>
          <w:rFonts w:cs="Arial"/>
        </w:rPr>
        <w:t>Certain facilities have also received exemptions</w:t>
      </w:r>
      <w:r w:rsidR="0023588E" w:rsidRPr="00F04D06">
        <w:rPr>
          <w:rFonts w:cs="Arial"/>
        </w:rPr>
        <w:t xml:space="preserve"> based on </w:t>
      </w:r>
      <w:r w:rsidR="001D1FD7" w:rsidRPr="00F04D06">
        <w:rPr>
          <w:rFonts w:cs="Arial"/>
        </w:rPr>
        <w:t xml:space="preserve">their </w:t>
      </w:r>
      <w:r w:rsidRPr="00F04D06">
        <w:rPr>
          <w:rFonts w:cs="Arial"/>
        </w:rPr>
        <w:t>specifi</w:t>
      </w:r>
      <w:r w:rsidR="001D1FD7" w:rsidRPr="00F04D06">
        <w:rPr>
          <w:rFonts w:cs="Arial"/>
        </w:rPr>
        <w:t>c characteristics</w:t>
      </w:r>
      <w:r w:rsidRPr="00F04D06">
        <w:rPr>
          <w:rFonts w:cs="Arial"/>
        </w:rPr>
        <w:t>. For example, i</w:t>
      </w:r>
      <w:r w:rsidR="00540651" w:rsidRPr="00F04D06">
        <w:rPr>
          <w:rFonts w:cs="Arial"/>
        </w:rPr>
        <w:t>n late 2016, AEMO and the AER accepted an exemption in the form of an alternative reporting arrangement for Santos GLNG’s Comet Ridge to Wallumbi</w:t>
      </w:r>
      <w:r w:rsidR="005F3D89" w:rsidRPr="00F04D06">
        <w:rPr>
          <w:rFonts w:cs="Arial"/>
        </w:rPr>
        <w:t>lla Pipeline (CRWP)</w:t>
      </w:r>
      <w:r w:rsidR="00540651" w:rsidRPr="00F04D06">
        <w:rPr>
          <w:rFonts w:cs="Arial"/>
        </w:rPr>
        <w:t>. This arrangement has been described in previous QCRs.</w:t>
      </w:r>
    </w:p>
    <w:p w:rsidR="00000BDB" w:rsidRDefault="00D23993" w:rsidP="00A75475">
      <w:pPr>
        <w:pStyle w:val="Caption"/>
        <w:keepNext/>
        <w:spacing w:before="0" w:after="240"/>
      </w:pPr>
      <w:r>
        <w:lastRenderedPageBreak/>
        <w:t>Figure 1</w:t>
      </w:r>
      <w:r w:rsidR="00DD3087" w:rsidRPr="00A75475">
        <w:t>:</w:t>
      </w:r>
      <w:r w:rsidR="00DD3087" w:rsidRPr="00A75475">
        <w:tab/>
        <w:t>Natural G</w:t>
      </w:r>
      <w:r w:rsidR="00A75475">
        <w:t>as Services Bulletin Board (31 Jul</w:t>
      </w:r>
      <w:r w:rsidR="00DD3087" w:rsidRPr="00A75475">
        <w:t>y 2017)</w:t>
      </w:r>
    </w:p>
    <w:p w:rsidR="005E0B7A" w:rsidRDefault="005E0B7A" w:rsidP="008F2C74">
      <w:pPr>
        <w:spacing w:before="0" w:after="240"/>
        <w:jc w:val="center"/>
      </w:pPr>
      <w:r w:rsidRPr="00073192">
        <w:rPr>
          <w:noProof/>
          <w:lang w:eastAsia="en-AU"/>
        </w:rPr>
        <w:drawing>
          <wp:inline distT="0" distB="0" distL="0" distR="0" wp14:anchorId="06E69841" wp14:editId="576BBBE5">
            <wp:extent cx="5623338" cy="6167887"/>
            <wp:effectExtent l="0" t="0" r="0" b="0"/>
            <wp:docPr id="4" name="Picture 4" descr="C:\Users\rmatt\AppData\Local\Microsoft\Windows\Temporary Internet Files\Content.Outlook\5XT1H0FH\1131_Gas Pipeline Map_August 2017_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tt\AppData\Local\Microsoft\Windows\Temporary Internet Files\Content.Outlook\5XT1H0FH\1131_Gas Pipeline Map_August 2017_D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3338" cy="6167887"/>
                    </a:xfrm>
                    <a:prstGeom prst="rect">
                      <a:avLst/>
                    </a:prstGeom>
                    <a:noFill/>
                    <a:ln>
                      <a:noFill/>
                    </a:ln>
                  </pic:spPr>
                </pic:pic>
              </a:graphicData>
            </a:graphic>
          </wp:inline>
        </w:drawing>
      </w:r>
    </w:p>
    <w:p w:rsidR="00A56DFE" w:rsidRPr="0069229D" w:rsidRDefault="00D97C37" w:rsidP="00A56DFE">
      <w:pPr>
        <w:pStyle w:val="Heading3"/>
        <w:spacing w:before="0" w:after="240"/>
      </w:pPr>
      <w:bookmarkStart w:id="11" w:name="_Toc490738267"/>
      <w:r>
        <w:t>Secondary pipeline capacity trading and publishing of o</w:t>
      </w:r>
      <w:r w:rsidR="00A56DFE">
        <w:t>ffers</w:t>
      </w:r>
      <w:bookmarkEnd w:id="11"/>
    </w:p>
    <w:p w:rsidR="008028EB" w:rsidRDefault="00D23993" w:rsidP="00DD3087">
      <w:pPr>
        <w:spacing w:before="0" w:after="240"/>
        <w:jc w:val="both"/>
      </w:pPr>
      <w:r w:rsidRPr="00F04D06">
        <w:rPr>
          <w:b/>
        </w:rPr>
        <w:t>Figure 1</w:t>
      </w:r>
      <w:r w:rsidR="00E81F78" w:rsidRPr="00F04D06">
        <w:t xml:space="preserve"> </w:t>
      </w:r>
      <w:r w:rsidR="00A41F62">
        <w:t xml:space="preserve">also </w:t>
      </w:r>
      <w:r w:rsidR="00E81F78" w:rsidRPr="00F04D06">
        <w:t>shows</w:t>
      </w:r>
      <w:r w:rsidR="00DD3087" w:rsidRPr="00F04D06">
        <w:t xml:space="preserve"> secondary pi</w:t>
      </w:r>
      <w:r w:rsidR="00BC5809" w:rsidRPr="00F04D06">
        <w:t xml:space="preserve">peline capacity trades for </w:t>
      </w:r>
      <w:r w:rsidR="009B65DE">
        <w:t>3</w:t>
      </w:r>
      <w:r w:rsidR="00BC5809" w:rsidRPr="00F04D06">
        <w:t xml:space="preserve">1 </w:t>
      </w:r>
      <w:r w:rsidR="009B65DE">
        <w:t>July</w:t>
      </w:r>
      <w:r w:rsidR="00DD3087" w:rsidRPr="00F04D06">
        <w:t xml:space="preserve"> 2017, including secondary capacity offers for the forward and reverse transmission d</w:t>
      </w:r>
      <w:r w:rsidR="00E7485B" w:rsidRPr="00F04D06">
        <w:t xml:space="preserve">irections. </w:t>
      </w:r>
      <w:r w:rsidR="008028EB">
        <w:t xml:space="preserve">It shows very small volumes of pipeline capacity trades </w:t>
      </w:r>
      <w:r w:rsidR="00A41F62">
        <w:t xml:space="preserve">were </w:t>
      </w:r>
      <w:r w:rsidR="008028EB">
        <w:t>reported. However, this does not show all secondary capacity trades as trades known as “bare transfers” may be occurring whereby shippers directly transfer capacity between each other without needing to inform the pipeline.</w:t>
      </w:r>
    </w:p>
    <w:p w:rsidR="00DD3087" w:rsidRPr="00F04D06" w:rsidRDefault="008028EB" w:rsidP="00DD3087">
      <w:pPr>
        <w:spacing w:before="0" w:after="240"/>
        <w:jc w:val="both"/>
      </w:pPr>
      <w:r>
        <w:t xml:space="preserve">Along with not trading gas through these platforms, </w:t>
      </w:r>
      <w:r w:rsidR="0030682F">
        <w:t xml:space="preserve">shippers </w:t>
      </w:r>
      <w:r w:rsidR="00DD3087" w:rsidRPr="00F04D06">
        <w:t>have</w:t>
      </w:r>
      <w:r>
        <w:t>,</w:t>
      </w:r>
      <w:r w:rsidR="00DD3087" w:rsidRPr="00F04D06">
        <w:t xml:space="preserve"> on the whole, not chosen to advertise gas prices on these platforms. As such, its usefulness in discovering prices is limited to short term firm offers displayed by pipelines.</w:t>
      </w:r>
    </w:p>
    <w:p w:rsidR="00DD3087" w:rsidRPr="00F04D06" w:rsidRDefault="00BC5809" w:rsidP="008443D2">
      <w:pPr>
        <w:spacing w:before="0" w:after="240"/>
        <w:jc w:val="both"/>
        <w:rPr>
          <w:rFonts w:cs="Arial"/>
        </w:rPr>
      </w:pPr>
      <w:r w:rsidRPr="00F04D06">
        <w:rPr>
          <w:rFonts w:cs="Arial"/>
        </w:rPr>
        <w:lastRenderedPageBreak/>
        <w:t>At its meeting on 14 July 2017, the Council of Australian Governments</w:t>
      </w:r>
      <w:r w:rsidR="00FE1373">
        <w:rPr>
          <w:rFonts w:cs="Arial"/>
        </w:rPr>
        <w:t xml:space="preserve"> Energy Council</w:t>
      </w:r>
      <w:r w:rsidR="002D3C71" w:rsidRPr="00F04D06">
        <w:rPr>
          <w:rFonts w:cs="Arial"/>
        </w:rPr>
        <w:t xml:space="preserve"> </w:t>
      </w:r>
      <w:r w:rsidR="00FE1373">
        <w:rPr>
          <w:rFonts w:cs="Arial"/>
        </w:rPr>
        <w:t>(</w:t>
      </w:r>
      <w:r w:rsidR="002D3C71" w:rsidRPr="00F04D06">
        <w:rPr>
          <w:rFonts w:cs="Arial"/>
        </w:rPr>
        <w:t>COAG</w:t>
      </w:r>
      <w:r w:rsidR="00FE1373">
        <w:rPr>
          <w:rFonts w:cs="Arial"/>
        </w:rPr>
        <w:t xml:space="preserve"> Energy Council) </w:t>
      </w:r>
      <w:r w:rsidRPr="00F04D06">
        <w:rPr>
          <w:rFonts w:cs="Arial"/>
        </w:rPr>
        <w:t xml:space="preserve">agreed that AEMO would operate a </w:t>
      </w:r>
      <w:r w:rsidR="008028EB">
        <w:rPr>
          <w:rFonts w:cs="Arial"/>
        </w:rPr>
        <w:t xml:space="preserve">future </w:t>
      </w:r>
      <w:r w:rsidRPr="00F04D06">
        <w:rPr>
          <w:rFonts w:cs="Arial"/>
        </w:rPr>
        <w:t>Capacity Trading Platform and Day-Ahead Auction. This will replace the current arrangement whereby pipelines operate their own secondary pipeline capacity</w:t>
      </w:r>
      <w:r w:rsidR="002D3C71" w:rsidRPr="00F04D06">
        <w:rPr>
          <w:rFonts w:cs="Arial"/>
        </w:rPr>
        <w:t xml:space="preserve"> trading platforms.</w:t>
      </w:r>
      <w:r w:rsidRPr="00F04D06">
        <w:rPr>
          <w:rFonts w:cs="Arial"/>
        </w:rPr>
        <w:t xml:space="preserve"> </w:t>
      </w:r>
      <w:r w:rsidR="002D3C71" w:rsidRPr="00F04D06">
        <w:rPr>
          <w:rFonts w:cs="Arial"/>
        </w:rPr>
        <w:t>Th</w:t>
      </w:r>
      <w:r w:rsidR="00AB4316" w:rsidRPr="00F04D06">
        <w:rPr>
          <w:rFonts w:cs="Arial"/>
        </w:rPr>
        <w:t>is</w:t>
      </w:r>
      <w:r w:rsidR="002D3C71" w:rsidRPr="00F04D06">
        <w:rPr>
          <w:rFonts w:cs="Arial"/>
        </w:rPr>
        <w:t xml:space="preserve"> reform is being progressed by COAG’s Gas Market Reform Group and seeks to provide </w:t>
      </w:r>
      <w:r w:rsidR="008028EB">
        <w:rPr>
          <w:rFonts w:cs="Arial"/>
        </w:rPr>
        <w:t>a single platform</w:t>
      </w:r>
      <w:r w:rsidR="002D3C71" w:rsidRPr="00F04D06">
        <w:rPr>
          <w:rFonts w:cs="Arial"/>
        </w:rPr>
        <w:t xml:space="preserve"> to trade capacity.</w:t>
      </w:r>
    </w:p>
    <w:p w:rsidR="0069229D" w:rsidRPr="0069229D" w:rsidRDefault="00D97C37" w:rsidP="00073192">
      <w:pPr>
        <w:pStyle w:val="Heading3"/>
        <w:spacing w:before="0" w:after="240"/>
      </w:pPr>
      <w:bookmarkStart w:id="12" w:name="_Toc490738268"/>
      <w:r>
        <w:t>Bulletin Board r</w:t>
      </w:r>
      <w:r w:rsidR="0069229D">
        <w:t>eform</w:t>
      </w:r>
      <w:bookmarkEnd w:id="12"/>
    </w:p>
    <w:p w:rsidR="00540651" w:rsidRPr="00F04D06" w:rsidRDefault="00540651" w:rsidP="008443D2">
      <w:pPr>
        <w:spacing w:before="0" w:after="240"/>
        <w:jc w:val="both"/>
        <w:rPr>
          <w:rFonts w:cs="Arial"/>
        </w:rPr>
      </w:pPr>
      <w:r w:rsidRPr="00F04D06">
        <w:rPr>
          <w:rFonts w:cs="Arial"/>
        </w:rPr>
        <w:t xml:space="preserve">The AER’s focus on Bulletin Board reporting across 2016 and 2017 is part of a broader program aimed at raising awareness of changes to the Bulletin Board and its ongoing development as a </w:t>
      </w:r>
      <w:r w:rsidR="008A7E53" w:rsidRPr="00F04D06">
        <w:rPr>
          <w:rFonts w:cs="Arial"/>
        </w:rPr>
        <w:t xml:space="preserve">transparent and </w:t>
      </w:r>
      <w:r w:rsidRPr="00F04D06">
        <w:rPr>
          <w:rFonts w:cs="Arial"/>
        </w:rPr>
        <w:t xml:space="preserve">comprehensive information resource on east coast gas market activity. </w:t>
      </w:r>
      <w:r w:rsidR="00E81F78" w:rsidRPr="00F04D06">
        <w:rPr>
          <w:rFonts w:cs="Arial"/>
        </w:rPr>
        <w:t>At the direction of COAG</w:t>
      </w:r>
      <w:r w:rsidR="000A7C4C" w:rsidRPr="00F04D06">
        <w:rPr>
          <w:rFonts w:cs="Arial"/>
        </w:rPr>
        <w:t xml:space="preserve">, </w:t>
      </w:r>
      <w:r w:rsidRPr="00F04D06">
        <w:rPr>
          <w:rFonts w:cs="Arial"/>
        </w:rPr>
        <w:t>Bulletin Board reform will continue throu</w:t>
      </w:r>
      <w:r w:rsidR="005F3D89" w:rsidRPr="00F04D06">
        <w:rPr>
          <w:rFonts w:cs="Arial"/>
        </w:rPr>
        <w:t>gh 2017 and 2018, with further r</w:t>
      </w:r>
      <w:r w:rsidRPr="00F04D06">
        <w:rPr>
          <w:rFonts w:cs="Arial"/>
        </w:rPr>
        <w:t xml:space="preserve">ule changes set to impose additional layers of reporting on </w:t>
      </w:r>
      <w:r w:rsidR="00D57619" w:rsidRPr="00F04D06">
        <w:rPr>
          <w:rFonts w:cs="Arial"/>
        </w:rPr>
        <w:t>facilitie</w:t>
      </w:r>
      <w:r w:rsidR="005F3D89" w:rsidRPr="00F04D06">
        <w:rPr>
          <w:rFonts w:cs="Arial"/>
        </w:rPr>
        <w:t>s that already</w:t>
      </w:r>
      <w:r w:rsidRPr="00F04D06">
        <w:rPr>
          <w:rFonts w:cs="Arial"/>
        </w:rPr>
        <w:t xml:space="preserve"> report</w:t>
      </w:r>
      <w:r w:rsidR="0023588E" w:rsidRPr="00F04D06">
        <w:rPr>
          <w:rFonts w:cs="Arial"/>
        </w:rPr>
        <w:t>. Other</w:t>
      </w:r>
      <w:r w:rsidR="008A7E53" w:rsidRPr="00F04D06">
        <w:rPr>
          <w:rFonts w:cs="Arial"/>
        </w:rPr>
        <w:t xml:space="preserve"> facilities will be captured by the reporting framework for the first time.</w:t>
      </w:r>
    </w:p>
    <w:p w:rsidR="00ED3E19" w:rsidRPr="00F04D06" w:rsidRDefault="00383A7F" w:rsidP="008443D2">
      <w:pPr>
        <w:spacing w:before="0" w:after="240"/>
        <w:jc w:val="both"/>
        <w:rPr>
          <w:rFonts w:cs="Arial"/>
        </w:rPr>
      </w:pPr>
      <w:r w:rsidRPr="00F04D06">
        <w:rPr>
          <w:rFonts w:cs="Arial"/>
        </w:rPr>
        <w:t xml:space="preserve">On 18 April 2017, the Australian Energy Market Commission </w:t>
      </w:r>
      <w:r w:rsidR="007215B5" w:rsidRPr="00F04D06">
        <w:rPr>
          <w:rFonts w:cs="Arial"/>
        </w:rPr>
        <w:t xml:space="preserve">(AEMC) </w:t>
      </w:r>
      <w:r w:rsidRPr="00F04D06">
        <w:rPr>
          <w:rFonts w:cs="Arial"/>
        </w:rPr>
        <w:t xml:space="preserve">received a rule change request from </w:t>
      </w:r>
      <w:r w:rsidR="00D57619" w:rsidRPr="00F04D06">
        <w:rPr>
          <w:rFonts w:cs="Arial"/>
        </w:rPr>
        <w:t xml:space="preserve">the </w:t>
      </w:r>
      <w:r w:rsidR="008A7E53" w:rsidRPr="00F04D06">
        <w:rPr>
          <w:rFonts w:cs="Arial"/>
        </w:rPr>
        <w:t>COAG</w:t>
      </w:r>
      <w:r w:rsidRPr="00F04D06">
        <w:rPr>
          <w:rFonts w:cs="Arial"/>
        </w:rPr>
        <w:t xml:space="preserve"> Energy Council to amend Part 18 of the </w:t>
      </w:r>
      <w:r w:rsidR="00D57619" w:rsidRPr="00F04D06">
        <w:rPr>
          <w:rFonts w:cs="Arial"/>
        </w:rPr>
        <w:t xml:space="preserve">Gas Rules. Among </w:t>
      </w:r>
      <w:r w:rsidR="008A7E53" w:rsidRPr="00F04D06">
        <w:rPr>
          <w:rFonts w:cs="Arial"/>
        </w:rPr>
        <w:t>the pr</w:t>
      </w:r>
      <w:r w:rsidR="009E6F9E" w:rsidRPr="00F04D06">
        <w:rPr>
          <w:rFonts w:cs="Arial"/>
        </w:rPr>
        <w:t>oposed changes is a new basis to</w:t>
      </w:r>
      <w:r w:rsidR="008A7E53" w:rsidRPr="00F04D06">
        <w:rPr>
          <w:rFonts w:cs="Arial"/>
        </w:rPr>
        <w:t xml:space="preserve"> reportin</w:t>
      </w:r>
      <w:r w:rsidR="009E6F9E" w:rsidRPr="00F04D06">
        <w:rPr>
          <w:rFonts w:cs="Arial"/>
        </w:rPr>
        <w:t>g that removes the link between</w:t>
      </w:r>
      <w:r w:rsidR="00D57619" w:rsidRPr="00F04D06">
        <w:rPr>
          <w:rFonts w:cs="Arial"/>
        </w:rPr>
        <w:t xml:space="preserve"> the </w:t>
      </w:r>
      <w:r w:rsidR="009E6F9E" w:rsidRPr="00F04D06">
        <w:rPr>
          <w:rFonts w:cs="Arial"/>
        </w:rPr>
        <w:t xml:space="preserve">obligation to report and the </w:t>
      </w:r>
      <w:proofErr w:type="spellStart"/>
      <w:r w:rsidR="00D57619" w:rsidRPr="00F04D06">
        <w:rPr>
          <w:rFonts w:cs="Arial"/>
        </w:rPr>
        <w:t>zonal</w:t>
      </w:r>
      <w:proofErr w:type="spellEnd"/>
      <w:r w:rsidR="00D57619" w:rsidRPr="00F04D06">
        <w:rPr>
          <w:rFonts w:cs="Arial"/>
        </w:rPr>
        <w:t xml:space="preserve"> model</w:t>
      </w:r>
      <w:r w:rsidR="009E6F9E" w:rsidRPr="00F04D06">
        <w:rPr>
          <w:rFonts w:cs="Arial"/>
        </w:rPr>
        <w:t xml:space="preserve">. </w:t>
      </w:r>
      <w:r w:rsidR="000A7C4C" w:rsidRPr="00F04D06">
        <w:rPr>
          <w:rFonts w:cs="Arial"/>
        </w:rPr>
        <w:t xml:space="preserve">This will remove </w:t>
      </w:r>
      <w:r w:rsidR="004F03BE" w:rsidRPr="00F04D06">
        <w:rPr>
          <w:rFonts w:cs="Arial"/>
        </w:rPr>
        <w:t xml:space="preserve">many existing </w:t>
      </w:r>
      <w:r w:rsidR="000A7C4C" w:rsidRPr="00F04D06">
        <w:rPr>
          <w:rFonts w:cs="Arial"/>
        </w:rPr>
        <w:t xml:space="preserve">reporting </w:t>
      </w:r>
      <w:r w:rsidR="004F03BE" w:rsidRPr="00F04D06">
        <w:rPr>
          <w:rFonts w:cs="Arial"/>
        </w:rPr>
        <w:t xml:space="preserve">exemptions, bringing </w:t>
      </w:r>
      <w:r w:rsidR="000A7C4C" w:rsidRPr="00F04D06">
        <w:rPr>
          <w:rFonts w:cs="Arial"/>
        </w:rPr>
        <w:t>facilities</w:t>
      </w:r>
      <w:r w:rsidR="0023588E" w:rsidRPr="00F04D06">
        <w:rPr>
          <w:rFonts w:cs="Arial"/>
        </w:rPr>
        <w:t xml:space="preserve"> </w:t>
      </w:r>
      <w:r w:rsidR="004F03BE" w:rsidRPr="00F04D06">
        <w:rPr>
          <w:rFonts w:cs="Arial"/>
        </w:rPr>
        <w:t>connected to east coast gas markets</w:t>
      </w:r>
      <w:r w:rsidR="000A7C4C" w:rsidRPr="00F04D06">
        <w:rPr>
          <w:rFonts w:cs="Arial"/>
        </w:rPr>
        <w:t xml:space="preserve"> under consistent reporting arrangements.</w:t>
      </w:r>
    </w:p>
    <w:p w:rsidR="00746763" w:rsidRPr="00F04D06" w:rsidRDefault="004F03BE" w:rsidP="008443D2">
      <w:pPr>
        <w:spacing w:before="0" w:after="240"/>
        <w:jc w:val="both"/>
        <w:rPr>
          <w:rFonts w:cs="Arial"/>
        </w:rPr>
      </w:pPr>
      <w:r w:rsidRPr="00F04D06">
        <w:rPr>
          <w:rFonts w:cs="Arial"/>
        </w:rPr>
        <w:t>The AEMC is</w:t>
      </w:r>
      <w:r w:rsidR="007215B5" w:rsidRPr="00F04D06">
        <w:rPr>
          <w:rFonts w:cs="Arial"/>
        </w:rPr>
        <w:t xml:space="preserve"> conducting the rule change process in two phas</w:t>
      </w:r>
      <w:r w:rsidR="00C13522" w:rsidRPr="00F04D06">
        <w:rPr>
          <w:rFonts w:cs="Arial"/>
        </w:rPr>
        <w:t>es. A</w:t>
      </w:r>
      <w:r w:rsidR="007215B5" w:rsidRPr="00F04D06">
        <w:rPr>
          <w:rFonts w:cs="Arial"/>
        </w:rPr>
        <w:t xml:space="preserve"> </w:t>
      </w:r>
      <w:r w:rsidR="00ED3E19" w:rsidRPr="00F04D06">
        <w:rPr>
          <w:rFonts w:cs="Arial"/>
        </w:rPr>
        <w:t xml:space="preserve">proposed </w:t>
      </w:r>
      <w:r w:rsidR="007215B5" w:rsidRPr="00F04D06">
        <w:rPr>
          <w:rFonts w:cs="Arial"/>
        </w:rPr>
        <w:t xml:space="preserve">draft rule </w:t>
      </w:r>
      <w:r w:rsidR="00ED3E19" w:rsidRPr="00F04D06">
        <w:rPr>
          <w:rFonts w:cs="Arial"/>
        </w:rPr>
        <w:t>has been progressed to the</w:t>
      </w:r>
      <w:r w:rsidR="007215B5" w:rsidRPr="00F04D06">
        <w:rPr>
          <w:rFonts w:cs="Arial"/>
        </w:rPr>
        <w:t xml:space="preserve"> consultation</w:t>
      </w:r>
      <w:r w:rsidR="00ED3E19" w:rsidRPr="00F04D06">
        <w:rPr>
          <w:rFonts w:cs="Arial"/>
        </w:rPr>
        <w:t xml:space="preserve"> stage</w:t>
      </w:r>
      <w:r w:rsidR="00C13522" w:rsidRPr="00F04D06">
        <w:rPr>
          <w:rFonts w:cs="Arial"/>
        </w:rPr>
        <w:t xml:space="preserve"> under phase one</w:t>
      </w:r>
      <w:r w:rsidR="007215B5" w:rsidRPr="00F04D06">
        <w:rPr>
          <w:rFonts w:cs="Arial"/>
        </w:rPr>
        <w:t>.</w:t>
      </w:r>
      <w:r w:rsidR="00B04152" w:rsidRPr="00F04D06">
        <w:rPr>
          <w:rFonts w:cs="Arial"/>
        </w:rPr>
        <w:t xml:space="preserve"> </w:t>
      </w:r>
      <w:r w:rsidR="005F5F8E" w:rsidRPr="00F04D06">
        <w:rPr>
          <w:rFonts w:cs="Arial"/>
        </w:rPr>
        <w:t>The AEMC is accept</w:t>
      </w:r>
      <w:r w:rsidR="00B04152" w:rsidRPr="00F04D06">
        <w:rPr>
          <w:rFonts w:cs="Arial"/>
        </w:rPr>
        <w:t xml:space="preserve">ing submissions </w:t>
      </w:r>
      <w:r w:rsidR="008849C2">
        <w:rPr>
          <w:rFonts w:cs="Arial"/>
        </w:rPr>
        <w:t>until</w:t>
      </w:r>
      <w:r w:rsidR="00B04152" w:rsidRPr="00F04D06">
        <w:rPr>
          <w:rFonts w:cs="Arial"/>
        </w:rPr>
        <w:t xml:space="preserve"> 22 August 2017.</w:t>
      </w:r>
    </w:p>
    <w:p w:rsidR="00570423" w:rsidRPr="00F04D06" w:rsidRDefault="00FC2A22" w:rsidP="008443D2">
      <w:pPr>
        <w:spacing w:before="0" w:after="240"/>
        <w:jc w:val="both"/>
        <w:rPr>
          <w:rFonts w:cs="Arial"/>
        </w:rPr>
      </w:pPr>
      <w:r w:rsidRPr="00F04D06">
        <w:rPr>
          <w:rFonts w:cs="Arial"/>
        </w:rPr>
        <w:t xml:space="preserve">Gas market participants should be aware of </w:t>
      </w:r>
      <w:r w:rsidR="00722848" w:rsidRPr="00F04D06">
        <w:rPr>
          <w:rFonts w:cs="Arial"/>
        </w:rPr>
        <w:t xml:space="preserve">the </w:t>
      </w:r>
      <w:r w:rsidR="00570423" w:rsidRPr="00F04D06">
        <w:rPr>
          <w:rFonts w:cs="Arial"/>
        </w:rPr>
        <w:t>impend</w:t>
      </w:r>
      <w:r w:rsidRPr="00F04D06">
        <w:rPr>
          <w:rFonts w:cs="Arial"/>
        </w:rPr>
        <w:t xml:space="preserve">ing changes </w:t>
      </w:r>
      <w:r w:rsidR="0056117F" w:rsidRPr="00F04D06">
        <w:rPr>
          <w:rFonts w:cs="Arial"/>
        </w:rPr>
        <w:t>to</w:t>
      </w:r>
      <w:r w:rsidR="00E356F4" w:rsidRPr="00F04D06">
        <w:rPr>
          <w:rFonts w:cs="Arial"/>
        </w:rPr>
        <w:t xml:space="preserve"> reporting requirements</w:t>
      </w:r>
      <w:r w:rsidR="0056117F" w:rsidRPr="00F04D06">
        <w:rPr>
          <w:rFonts w:cs="Arial"/>
        </w:rPr>
        <w:t>, including</w:t>
      </w:r>
      <w:r w:rsidR="00570423" w:rsidRPr="00F04D06">
        <w:rPr>
          <w:rFonts w:cs="Arial"/>
        </w:rPr>
        <w:t xml:space="preserve"> changes that may</w:t>
      </w:r>
      <w:r w:rsidRPr="00F04D06">
        <w:rPr>
          <w:rFonts w:cs="Arial"/>
        </w:rPr>
        <w:t xml:space="preserve"> require them to report for the first time</w:t>
      </w:r>
      <w:r w:rsidR="00570423" w:rsidRPr="00F04D06">
        <w:rPr>
          <w:rFonts w:cs="Arial"/>
        </w:rPr>
        <w:t>.</w:t>
      </w:r>
      <w:r w:rsidR="0056117F" w:rsidRPr="00F04D06">
        <w:rPr>
          <w:rFonts w:cs="Arial"/>
        </w:rPr>
        <w:t xml:space="preserve"> </w:t>
      </w:r>
      <w:r w:rsidR="002D3A3B" w:rsidRPr="00F04D06">
        <w:rPr>
          <w:rFonts w:cs="Arial"/>
        </w:rPr>
        <w:t xml:space="preserve">The AEMC’s proposed timelines would see AEMO implementing the new Bulletin Board Procedures by 30 April 2018, with the rule change commencing from 30 September 2018. </w:t>
      </w:r>
      <w:r w:rsidR="00221D3D" w:rsidRPr="00F04D06">
        <w:rPr>
          <w:rFonts w:cs="Arial"/>
        </w:rPr>
        <w:t>N</w:t>
      </w:r>
      <w:r w:rsidR="00974938" w:rsidRPr="00F04D06">
        <w:rPr>
          <w:rFonts w:cs="Arial"/>
        </w:rPr>
        <w:t>ew data reporting</w:t>
      </w:r>
      <w:r w:rsidR="00221D3D" w:rsidRPr="00F04D06">
        <w:rPr>
          <w:rFonts w:cs="Arial"/>
        </w:rPr>
        <w:t xml:space="preserve"> requirements</w:t>
      </w:r>
      <w:r w:rsidR="00974938" w:rsidRPr="00F04D06">
        <w:rPr>
          <w:rFonts w:cs="Arial"/>
        </w:rPr>
        <w:t xml:space="preserve"> include</w:t>
      </w:r>
      <w:r w:rsidR="00570423" w:rsidRPr="00F04D06">
        <w:rPr>
          <w:rFonts w:cs="Arial"/>
        </w:rPr>
        <w:t>:</w:t>
      </w:r>
    </w:p>
    <w:p w:rsidR="00095A53" w:rsidRDefault="008F0390" w:rsidP="008443D2">
      <w:pPr>
        <w:pStyle w:val="ListParagraph"/>
        <w:numPr>
          <w:ilvl w:val="0"/>
          <w:numId w:val="47"/>
        </w:numPr>
        <w:tabs>
          <w:tab w:val="clear" w:pos="340"/>
          <w:tab w:val="left" w:pos="426"/>
        </w:tabs>
        <w:spacing w:before="0" w:after="120"/>
        <w:ind w:left="426" w:hanging="426"/>
        <w:jc w:val="both"/>
        <w:rPr>
          <w:rFonts w:cs="Arial"/>
        </w:rPr>
      </w:pPr>
      <w:r w:rsidRPr="00F04D06">
        <w:rPr>
          <w:rFonts w:cs="Arial"/>
        </w:rPr>
        <w:t xml:space="preserve">reducing the reporting threshold for </w:t>
      </w:r>
      <w:r w:rsidR="00F716AD" w:rsidRPr="00F04D06">
        <w:rPr>
          <w:rFonts w:cs="Arial"/>
        </w:rPr>
        <w:t xml:space="preserve">transmission pipelines, productions facilities and storage </w:t>
      </w:r>
      <w:r w:rsidRPr="00F04D06">
        <w:rPr>
          <w:rFonts w:cs="Arial"/>
        </w:rPr>
        <w:t xml:space="preserve">facilities to a minimum of </w:t>
      </w:r>
      <w:r w:rsidR="00095A53" w:rsidRPr="00F04D06">
        <w:rPr>
          <w:rFonts w:cs="Arial"/>
        </w:rPr>
        <w:t>10 TJ</w:t>
      </w:r>
      <w:r w:rsidRPr="00F04D06">
        <w:rPr>
          <w:rFonts w:cs="Arial"/>
        </w:rPr>
        <w:t>/day (reduced from the current 20TJ/day);</w:t>
      </w:r>
    </w:p>
    <w:p w:rsidR="00E356F4" w:rsidRDefault="008F0390" w:rsidP="008443D2">
      <w:pPr>
        <w:pStyle w:val="ListParagraph"/>
        <w:numPr>
          <w:ilvl w:val="0"/>
          <w:numId w:val="47"/>
        </w:numPr>
        <w:tabs>
          <w:tab w:val="clear" w:pos="340"/>
          <w:tab w:val="left" w:pos="426"/>
        </w:tabs>
        <w:spacing w:before="0" w:after="120"/>
        <w:ind w:left="426" w:hanging="426"/>
        <w:jc w:val="both"/>
        <w:rPr>
          <w:rFonts w:cs="Arial"/>
        </w:rPr>
      </w:pPr>
      <w:r w:rsidRPr="00FF759C">
        <w:rPr>
          <w:rFonts w:cs="Arial"/>
        </w:rPr>
        <w:t xml:space="preserve">requiring </w:t>
      </w:r>
      <w:r w:rsidR="00974938" w:rsidRPr="00FF759C">
        <w:rPr>
          <w:rFonts w:cs="Arial"/>
        </w:rPr>
        <w:t xml:space="preserve">detailed reporting by </w:t>
      </w:r>
      <w:r w:rsidR="00662AA1" w:rsidRPr="00FF759C">
        <w:rPr>
          <w:rFonts w:cs="Arial"/>
        </w:rPr>
        <w:t>p</w:t>
      </w:r>
      <w:r w:rsidR="00B57BD3" w:rsidRPr="00FF759C">
        <w:rPr>
          <w:rFonts w:cs="Arial"/>
        </w:rPr>
        <w:t xml:space="preserve">roduction </w:t>
      </w:r>
      <w:r w:rsidR="006B3297" w:rsidRPr="00FF759C">
        <w:rPr>
          <w:rFonts w:cs="Arial"/>
        </w:rPr>
        <w:t xml:space="preserve">and compression </w:t>
      </w:r>
      <w:r w:rsidR="00974938" w:rsidRPr="00FF759C">
        <w:rPr>
          <w:rFonts w:cs="Arial"/>
        </w:rPr>
        <w:t>facilities, including</w:t>
      </w:r>
      <w:r w:rsidRPr="00FF759C">
        <w:rPr>
          <w:rFonts w:cs="Arial"/>
        </w:rPr>
        <w:t xml:space="preserve"> </w:t>
      </w:r>
      <w:r w:rsidR="00B57BD3" w:rsidRPr="00FF759C">
        <w:rPr>
          <w:rFonts w:cs="Arial"/>
        </w:rPr>
        <w:t>daily nominations, intra-day renominations and shor</w:t>
      </w:r>
      <w:r w:rsidR="00E81F78" w:rsidRPr="00FF759C">
        <w:rPr>
          <w:rFonts w:cs="Arial"/>
        </w:rPr>
        <w:t>t term forecast nominations (D+1</w:t>
      </w:r>
      <w:r w:rsidR="00B57BD3" w:rsidRPr="00FF759C">
        <w:rPr>
          <w:rFonts w:cs="Arial"/>
        </w:rPr>
        <w:t xml:space="preserve"> to D+6 daily)</w:t>
      </w:r>
      <w:r w:rsidRPr="00FF759C">
        <w:rPr>
          <w:rFonts w:cs="Arial"/>
        </w:rPr>
        <w:t>;</w:t>
      </w:r>
    </w:p>
    <w:p w:rsidR="00662AA1" w:rsidRDefault="008F0390" w:rsidP="008443D2">
      <w:pPr>
        <w:pStyle w:val="ListParagraph"/>
        <w:numPr>
          <w:ilvl w:val="0"/>
          <w:numId w:val="47"/>
        </w:numPr>
        <w:tabs>
          <w:tab w:val="clear" w:pos="340"/>
          <w:tab w:val="left" w:pos="426"/>
        </w:tabs>
        <w:spacing w:before="0" w:after="120"/>
        <w:ind w:left="426" w:hanging="426"/>
        <w:jc w:val="both"/>
        <w:rPr>
          <w:rFonts w:cs="Arial"/>
        </w:rPr>
      </w:pPr>
      <w:r w:rsidRPr="00FF759C">
        <w:rPr>
          <w:rFonts w:cs="Arial"/>
        </w:rPr>
        <w:t xml:space="preserve">requiring </w:t>
      </w:r>
      <w:r w:rsidR="00974938" w:rsidRPr="00FF759C">
        <w:rPr>
          <w:rFonts w:cs="Arial"/>
        </w:rPr>
        <w:t>pipeline operators</w:t>
      </w:r>
      <w:r w:rsidRPr="00FF759C">
        <w:rPr>
          <w:rFonts w:cs="Arial"/>
        </w:rPr>
        <w:t xml:space="preserve"> to </w:t>
      </w:r>
      <w:r w:rsidR="00974938" w:rsidRPr="00FF759C">
        <w:rPr>
          <w:rFonts w:cs="Arial"/>
        </w:rPr>
        <w:t>subm</w:t>
      </w:r>
      <w:r w:rsidRPr="00FF759C">
        <w:rPr>
          <w:rFonts w:cs="Arial"/>
        </w:rPr>
        <w:t>it</w:t>
      </w:r>
      <w:r w:rsidR="00662AA1" w:rsidRPr="00FF759C">
        <w:rPr>
          <w:rFonts w:cs="Arial"/>
        </w:rPr>
        <w:t xml:space="preserve"> daily disaggregated receipt/delivery point data</w:t>
      </w:r>
      <w:r w:rsidRPr="00FF759C">
        <w:rPr>
          <w:rFonts w:cs="Arial"/>
        </w:rPr>
        <w:t>;</w:t>
      </w:r>
      <w:r w:rsidR="00221D3D" w:rsidRPr="00FF759C">
        <w:rPr>
          <w:rFonts w:cs="Arial"/>
        </w:rPr>
        <w:t xml:space="preserve"> and</w:t>
      </w:r>
    </w:p>
    <w:p w:rsidR="00095A53" w:rsidRPr="00FF759C" w:rsidRDefault="00221D3D" w:rsidP="008443D2">
      <w:pPr>
        <w:pStyle w:val="ListParagraph"/>
        <w:numPr>
          <w:ilvl w:val="0"/>
          <w:numId w:val="47"/>
        </w:numPr>
        <w:tabs>
          <w:tab w:val="clear" w:pos="340"/>
          <w:tab w:val="left" w:pos="426"/>
        </w:tabs>
        <w:spacing w:before="0" w:after="120"/>
        <w:ind w:left="426" w:hanging="426"/>
        <w:jc w:val="both"/>
        <w:rPr>
          <w:rFonts w:cs="Arial"/>
        </w:rPr>
      </w:pPr>
      <w:proofErr w:type="gramStart"/>
      <w:r w:rsidRPr="00FF759C">
        <w:rPr>
          <w:rFonts w:cs="Arial"/>
        </w:rPr>
        <w:t>imposing</w:t>
      </w:r>
      <w:proofErr w:type="gramEnd"/>
      <w:r w:rsidRPr="00FF759C">
        <w:rPr>
          <w:rFonts w:cs="Arial"/>
        </w:rPr>
        <w:t xml:space="preserve"> reporting obligations on regional pipelines and facilities attached to distribution pipelines.</w:t>
      </w:r>
    </w:p>
    <w:p w:rsidR="00662AA1" w:rsidRPr="00F04D06" w:rsidRDefault="004F03BE" w:rsidP="008443D2">
      <w:pPr>
        <w:spacing w:before="0" w:after="240"/>
        <w:jc w:val="both"/>
        <w:rPr>
          <w:rFonts w:cs="Arial"/>
        </w:rPr>
      </w:pPr>
      <w:r w:rsidRPr="00F04D06">
        <w:rPr>
          <w:rFonts w:cs="Arial"/>
        </w:rPr>
        <w:t>Further to</w:t>
      </w:r>
      <w:r w:rsidR="001340D9" w:rsidRPr="00F04D06">
        <w:rPr>
          <w:rFonts w:cs="Arial"/>
        </w:rPr>
        <w:t xml:space="preserve"> the phase one and phase two rule change processes,</w:t>
      </w:r>
      <w:r w:rsidR="003D4B76" w:rsidRPr="00F04D06">
        <w:rPr>
          <w:rFonts w:cs="Arial"/>
        </w:rPr>
        <w:t xml:space="preserve"> market participants should also be aware of the propos</w:t>
      </w:r>
      <w:r w:rsidR="001340D9" w:rsidRPr="00F04D06">
        <w:rPr>
          <w:rFonts w:cs="Arial"/>
        </w:rPr>
        <w:t>ed</w:t>
      </w:r>
      <w:r w:rsidR="003D4B76" w:rsidRPr="00F04D06">
        <w:rPr>
          <w:rFonts w:cs="Arial"/>
        </w:rPr>
        <w:t xml:space="preserve"> strengthen</w:t>
      </w:r>
      <w:r w:rsidR="001340D9" w:rsidRPr="00F04D06">
        <w:rPr>
          <w:rFonts w:cs="Arial"/>
        </w:rPr>
        <w:t>ing of</w:t>
      </w:r>
      <w:r w:rsidR="003D4B76" w:rsidRPr="00F04D06">
        <w:rPr>
          <w:rFonts w:cs="Arial"/>
        </w:rPr>
        <w:t xml:space="preserve"> the compliance framework </w:t>
      </w:r>
      <w:r w:rsidR="008849C2">
        <w:rPr>
          <w:rFonts w:cs="Arial"/>
        </w:rPr>
        <w:t xml:space="preserve">as a result of the classification of </w:t>
      </w:r>
      <w:r w:rsidR="003D4B76" w:rsidRPr="00F04D06">
        <w:rPr>
          <w:rFonts w:cs="Arial"/>
        </w:rPr>
        <w:t>the obligation to register as a Bulletin Board participant as a civil penalty pro</w:t>
      </w:r>
      <w:r w:rsidR="001340D9" w:rsidRPr="00F04D06">
        <w:rPr>
          <w:rFonts w:cs="Arial"/>
        </w:rPr>
        <w:t>vision. Registered participants will also be required to comply with an information standard and this obligation will be both a conduct and civil penalty provision.</w:t>
      </w:r>
    </w:p>
    <w:p w:rsidR="008C59FC" w:rsidRPr="00F04D06" w:rsidRDefault="00FC2A22" w:rsidP="008443D2">
      <w:pPr>
        <w:spacing w:before="0" w:after="240"/>
        <w:jc w:val="both"/>
        <w:rPr>
          <w:rFonts w:cs="Arial"/>
        </w:rPr>
      </w:pPr>
      <w:r w:rsidRPr="00F04D06">
        <w:rPr>
          <w:rFonts w:cs="Arial"/>
        </w:rPr>
        <w:lastRenderedPageBreak/>
        <w:t>The AER will be engaging with</w:t>
      </w:r>
      <w:r w:rsidR="00746763" w:rsidRPr="00F04D06">
        <w:rPr>
          <w:rFonts w:cs="Arial"/>
        </w:rPr>
        <w:t xml:space="preserve"> industry stakeholders</w:t>
      </w:r>
      <w:r w:rsidR="00C541F0" w:rsidRPr="00F04D06">
        <w:rPr>
          <w:rFonts w:cs="Arial"/>
        </w:rPr>
        <w:t xml:space="preserve"> in early 2018</w:t>
      </w:r>
      <w:r w:rsidR="001340D9" w:rsidRPr="00F04D06">
        <w:rPr>
          <w:rFonts w:cs="Arial"/>
        </w:rPr>
        <w:t xml:space="preserve"> to assess</w:t>
      </w:r>
      <w:r w:rsidRPr="00F04D06">
        <w:rPr>
          <w:rFonts w:cs="Arial"/>
        </w:rPr>
        <w:t xml:space="preserve"> </w:t>
      </w:r>
      <w:r w:rsidR="00722848" w:rsidRPr="00F04D06">
        <w:rPr>
          <w:rFonts w:cs="Arial"/>
        </w:rPr>
        <w:t xml:space="preserve">their </w:t>
      </w:r>
      <w:r w:rsidR="00746763" w:rsidRPr="00F04D06">
        <w:rPr>
          <w:rFonts w:cs="Arial"/>
        </w:rPr>
        <w:t>preparations</w:t>
      </w:r>
      <w:r w:rsidR="001340D9" w:rsidRPr="00F04D06">
        <w:rPr>
          <w:rFonts w:cs="Arial"/>
        </w:rPr>
        <w:t xml:space="preserve"> in advance of the commencement of the phase one rule amendment. </w:t>
      </w:r>
      <w:r w:rsidR="00746763" w:rsidRPr="00F04D06">
        <w:rPr>
          <w:rFonts w:cs="Arial"/>
        </w:rPr>
        <w:t xml:space="preserve">The AER will be looking to ensure that participants are </w:t>
      </w:r>
      <w:r w:rsidR="001340D9" w:rsidRPr="00F04D06">
        <w:rPr>
          <w:rFonts w:cs="Arial"/>
        </w:rPr>
        <w:t xml:space="preserve">aware of the impending </w:t>
      </w:r>
      <w:r w:rsidR="004F03BE" w:rsidRPr="00F04D06">
        <w:rPr>
          <w:rFonts w:cs="Arial"/>
        </w:rPr>
        <w:t xml:space="preserve">rule </w:t>
      </w:r>
      <w:r w:rsidR="001340D9" w:rsidRPr="00F04D06">
        <w:rPr>
          <w:rFonts w:cs="Arial"/>
        </w:rPr>
        <w:t>changes an</w:t>
      </w:r>
      <w:r w:rsidR="004F03BE" w:rsidRPr="00F04D06">
        <w:rPr>
          <w:rFonts w:cs="Arial"/>
        </w:rPr>
        <w:t>d that they are ready to comply with the reporting provisions</w:t>
      </w:r>
      <w:r w:rsidR="00C541F0" w:rsidRPr="00F04D06">
        <w:rPr>
          <w:rFonts w:cs="Arial"/>
        </w:rPr>
        <w:t>.</w:t>
      </w:r>
    </w:p>
    <w:p w:rsidR="0069229D" w:rsidRPr="00CA22EC" w:rsidRDefault="008C59FC" w:rsidP="008C59FC">
      <w:pPr>
        <w:pStyle w:val="Heading2"/>
        <w:numPr>
          <w:ilvl w:val="0"/>
          <w:numId w:val="0"/>
        </w:numPr>
        <w:tabs>
          <w:tab w:val="clear" w:pos="680"/>
          <w:tab w:val="left" w:pos="993"/>
        </w:tabs>
        <w:spacing w:before="0" w:after="240"/>
        <w:ind w:left="851" w:hanging="851"/>
        <w:rPr>
          <w:rFonts w:cs="Arial"/>
          <w:szCs w:val="32"/>
        </w:rPr>
      </w:pPr>
      <w:bookmarkStart w:id="13" w:name="_Toc490738269"/>
      <w:r>
        <w:rPr>
          <w:rFonts w:cs="Arial"/>
          <w:szCs w:val="32"/>
        </w:rPr>
        <w:t>1.2</w:t>
      </w:r>
      <w:r>
        <w:rPr>
          <w:rFonts w:cs="Arial"/>
          <w:szCs w:val="32"/>
        </w:rPr>
        <w:tab/>
      </w:r>
      <w:r w:rsidR="0069229D" w:rsidRPr="00CA22EC">
        <w:rPr>
          <w:rFonts w:cs="Arial"/>
          <w:szCs w:val="32"/>
        </w:rPr>
        <w:t>Short Term Trading Market</w:t>
      </w:r>
      <w:bookmarkEnd w:id="13"/>
    </w:p>
    <w:p w:rsidR="00BF53EC" w:rsidRPr="00E64E8C" w:rsidRDefault="008C59FC" w:rsidP="0069229D">
      <w:pPr>
        <w:pStyle w:val="Heading3"/>
        <w:numPr>
          <w:ilvl w:val="0"/>
          <w:numId w:val="0"/>
        </w:numPr>
        <w:spacing w:before="0" w:after="240"/>
      </w:pPr>
      <w:bookmarkStart w:id="14" w:name="_Toc490738270"/>
      <w:r>
        <w:t>1.2</w:t>
      </w:r>
      <w:r w:rsidR="00CA22EC">
        <w:t>.1</w:t>
      </w:r>
      <w:r w:rsidR="00CA22EC">
        <w:tab/>
      </w:r>
      <w:r w:rsidR="00D97C37">
        <w:t>Sydney demand forecasting e</w:t>
      </w:r>
      <w:r w:rsidR="00F43DE1" w:rsidRPr="00E64E8C">
        <w:t>rrors</w:t>
      </w:r>
      <w:bookmarkEnd w:id="14"/>
    </w:p>
    <w:p w:rsidR="00BF53EC" w:rsidRPr="00F04D06" w:rsidRDefault="00BF53EC" w:rsidP="00373A1E">
      <w:pPr>
        <w:spacing w:before="0" w:after="240"/>
        <w:jc w:val="both"/>
      </w:pPr>
      <w:r w:rsidRPr="00F04D06">
        <w:t>Demand forecasts submitted by trading participants are the primary input for AEMO scheduling and form the basis for calculating ex-ante prices in the STTM. Poor demand forecasting leads to inefficiencies in dispatch whereby the ex-ante price is set on the basis of a higher or lower quantity of gas than is required. It can lead to higher</w:t>
      </w:r>
      <w:r w:rsidR="008849C2">
        <w:t xml:space="preserve"> market operator service (</w:t>
      </w:r>
      <w:r w:rsidRPr="00F04D06">
        <w:t>MOS</w:t>
      </w:r>
      <w:r w:rsidR="008849C2">
        <w:t>)</w:t>
      </w:r>
      <w:r w:rsidRPr="00F04D06">
        <w:t xml:space="preserve"> payments in the STTM (which the AER reports on in our Gas Weekly</w:t>
      </w:r>
      <w:r w:rsidR="0044369A" w:rsidRPr="00F04D06">
        <w:t xml:space="preserve"> reports</w:t>
      </w:r>
      <w:r w:rsidRPr="00F04D06">
        <w:t>) whereby large amounts of gas are required to address the imbalance. This adds to participants’ costs of doing business.</w:t>
      </w:r>
    </w:p>
    <w:p w:rsidR="00BF53EC" w:rsidRPr="00F04D06" w:rsidRDefault="00BF53EC" w:rsidP="00373A1E">
      <w:pPr>
        <w:spacing w:before="0" w:after="240"/>
        <w:jc w:val="both"/>
      </w:pPr>
      <w:r w:rsidRPr="00F04D06">
        <w:t>The Gas Rules</w:t>
      </w:r>
      <w:r w:rsidRPr="00F04D06">
        <w:rPr>
          <w:rStyle w:val="FootnoteReference"/>
        </w:rPr>
        <w:footnoteReference w:id="5"/>
      </w:r>
      <w:r w:rsidRPr="00F04D06">
        <w:t xml:space="preserve"> require each STTM trading participant who expects to withdraw quantities of natural gas from a hub on a gas day to submit, in good faith, ex ante bids or price taker bids (and any revisions to those bids) that reflect the participant’s best estimate of the volume it expects to withdraw that day. These bids in effect reflect each participant’s demand forecast.</w:t>
      </w:r>
    </w:p>
    <w:p w:rsidR="00BF53EC" w:rsidRPr="00F04D06" w:rsidRDefault="00BF53EC" w:rsidP="00373A1E">
      <w:pPr>
        <w:spacing w:before="0" w:after="240"/>
        <w:jc w:val="both"/>
      </w:pPr>
      <w:r w:rsidRPr="00F04D06">
        <w:t xml:space="preserve">The AER has been examining inaccurate demand forecasts of some Sydney STTM participants since 2012. </w:t>
      </w:r>
      <w:r w:rsidR="00121EF3" w:rsidRPr="00F04D06">
        <w:t xml:space="preserve">We previously developed metrics to identify trends in demand forecasting errors and sought improvements to the demand forecasting systems of participants. We subsequently identified a trend toward </w:t>
      </w:r>
      <w:r w:rsidRPr="00F04D06">
        <w:t>reduced errors and lower M</w:t>
      </w:r>
      <w:r w:rsidR="00121EF3" w:rsidRPr="00F04D06">
        <w:t>OS balancing gas requirements across</w:t>
      </w:r>
      <w:r w:rsidRPr="00F04D06">
        <w:t xml:space="preserve"> 2013 and 2014.</w:t>
      </w:r>
    </w:p>
    <w:p w:rsidR="006801C0" w:rsidRPr="00F04D06" w:rsidRDefault="00BF53EC" w:rsidP="00373A1E">
      <w:pPr>
        <w:spacing w:before="0" w:after="240"/>
        <w:jc w:val="both"/>
      </w:pPr>
      <w:r w:rsidRPr="00F04D06">
        <w:t>Since the end of 2014 there has been a re-emergence of high incidences of forecasting inaccuracy at the Sydney hub, specifically in relation to o</w:t>
      </w:r>
      <w:r w:rsidR="006801C0" w:rsidRPr="00F04D06">
        <w:t>ver forecast demand.</w:t>
      </w:r>
      <w:r w:rsidRPr="00F04D06">
        <w:t xml:space="preserve"> </w:t>
      </w:r>
      <w:r w:rsidRPr="00F04D06">
        <w:rPr>
          <w:b/>
        </w:rPr>
        <w:t xml:space="preserve">Figure </w:t>
      </w:r>
      <w:r w:rsidR="00D23993" w:rsidRPr="00F04D06">
        <w:rPr>
          <w:b/>
        </w:rPr>
        <w:t>2</w:t>
      </w:r>
      <w:r w:rsidR="00121EF3" w:rsidRPr="00F04D06">
        <w:t xml:space="preserve"> shows</w:t>
      </w:r>
      <w:r w:rsidR="006801C0" w:rsidRPr="00F04D06">
        <w:t xml:space="preserve"> the</w:t>
      </w:r>
      <w:r w:rsidRPr="00F04D06">
        <w:t xml:space="preserve"> re-emerge</w:t>
      </w:r>
      <w:r w:rsidR="006801C0" w:rsidRPr="00F04D06">
        <w:t>nce of this trend</w:t>
      </w:r>
      <w:r w:rsidRPr="00F04D06">
        <w:t xml:space="preserve"> in January 2015</w:t>
      </w:r>
      <w:r w:rsidR="006801C0" w:rsidRPr="00F04D06">
        <w:t xml:space="preserve">, with </w:t>
      </w:r>
      <w:r w:rsidR="007C0AB3" w:rsidRPr="00F04D06">
        <w:t>a clear</w:t>
      </w:r>
      <w:r w:rsidR="006801C0" w:rsidRPr="00F04D06">
        <w:t xml:space="preserve"> bias toward over forecast demand</w:t>
      </w:r>
      <w:r w:rsidR="00CF3AC5">
        <w:t>.</w:t>
      </w:r>
    </w:p>
    <w:p w:rsidR="00F43DE1" w:rsidRDefault="00F43DE1" w:rsidP="00E64E8C">
      <w:pPr>
        <w:pStyle w:val="Caption"/>
        <w:keepNext/>
        <w:spacing w:before="0" w:after="240"/>
      </w:pPr>
      <w:r w:rsidRPr="00D23993">
        <w:lastRenderedPageBreak/>
        <w:t xml:space="preserve">Figure </w:t>
      </w:r>
      <w:r w:rsidR="00D23993" w:rsidRPr="00D23993">
        <w:t>2</w:t>
      </w:r>
      <w:r w:rsidRPr="00D23993">
        <w:t>:</w:t>
      </w:r>
      <w:r w:rsidRPr="00E64E8C">
        <w:t xml:space="preserve"> Sydney Hub forecasting performance metric (since January 2015)</w:t>
      </w:r>
    </w:p>
    <w:p w:rsidR="00027D7C" w:rsidRPr="00027D7C" w:rsidRDefault="00027D7C" w:rsidP="002D69CB">
      <w:pPr>
        <w:spacing w:before="0" w:after="240"/>
      </w:pPr>
      <w:r>
        <w:rPr>
          <w:noProof/>
          <w:lang w:eastAsia="en-AU"/>
        </w:rPr>
        <w:drawing>
          <wp:inline distT="0" distB="0" distL="0" distR="0" wp14:anchorId="5B142891" wp14:editId="2F651D7D">
            <wp:extent cx="5731510" cy="2483233"/>
            <wp:effectExtent l="0" t="0" r="0" b="0"/>
            <wp:docPr id="9" name="Picture 9" descr="cid:image004.png@01D30C65.C98D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30C65.C98DCC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2483233"/>
                    </a:xfrm>
                    <a:prstGeom prst="rect">
                      <a:avLst/>
                    </a:prstGeom>
                    <a:noFill/>
                    <a:ln>
                      <a:noFill/>
                    </a:ln>
                  </pic:spPr>
                </pic:pic>
              </a:graphicData>
            </a:graphic>
          </wp:inline>
        </w:drawing>
      </w:r>
    </w:p>
    <w:p w:rsidR="00A517C0" w:rsidRPr="00F04D06" w:rsidRDefault="005D10DF" w:rsidP="00E64E8C">
      <w:pPr>
        <w:spacing w:before="0" w:after="240"/>
        <w:jc w:val="both"/>
      </w:pPr>
      <w:r w:rsidRPr="00F04D06">
        <w:rPr>
          <w:b/>
        </w:rPr>
        <w:t xml:space="preserve">Figure </w:t>
      </w:r>
      <w:r w:rsidR="00F04D06" w:rsidRPr="00F04D06">
        <w:rPr>
          <w:b/>
        </w:rPr>
        <w:t>2</w:t>
      </w:r>
      <w:r w:rsidRPr="00F04D06">
        <w:t xml:space="preserve"> shows that over forecast demand was particularly prevalent during</w:t>
      </w:r>
      <w:r w:rsidR="007C0AB3" w:rsidRPr="00F04D06">
        <w:t xml:space="preserve"> the 2016/17 summer period</w:t>
      </w:r>
      <w:r w:rsidR="00B050CA" w:rsidRPr="00F04D06">
        <w:t>, peaking at</w:t>
      </w:r>
      <w:r w:rsidR="007C0AB3" w:rsidRPr="00F04D06">
        <w:t xml:space="preserve"> 97 per cent of days across</w:t>
      </w:r>
      <w:r w:rsidR="0007565A" w:rsidRPr="00F04D06">
        <w:t xml:space="preserve"> January</w:t>
      </w:r>
      <w:r w:rsidR="008F4CB8">
        <w:t xml:space="preserve"> 2</w:t>
      </w:r>
      <w:r w:rsidR="0030682F">
        <w:t>0</w:t>
      </w:r>
      <w:r w:rsidR="008F4CB8">
        <w:t>17</w:t>
      </w:r>
      <w:r w:rsidR="0007565A" w:rsidRPr="00F04D06">
        <w:t xml:space="preserve">. </w:t>
      </w:r>
      <w:r w:rsidR="00A513BF" w:rsidRPr="00F04D06">
        <w:t>There was a subsequent decline through February / March</w:t>
      </w:r>
      <w:r w:rsidR="0007565A" w:rsidRPr="00F04D06">
        <w:t xml:space="preserve"> and</w:t>
      </w:r>
      <w:r w:rsidRPr="00F04D06">
        <w:t xml:space="preserve"> the incide</w:t>
      </w:r>
      <w:r w:rsidR="0007565A" w:rsidRPr="00F04D06">
        <w:t>nces of over forecast demand have since plateaued at around 80 per cent</w:t>
      </w:r>
      <w:r w:rsidR="0082680E" w:rsidRPr="00F04D06">
        <w:t xml:space="preserve"> (based on preliminary allocations data)</w:t>
      </w:r>
      <w:r w:rsidR="0007565A" w:rsidRPr="00F04D06">
        <w:t>.</w:t>
      </w:r>
    </w:p>
    <w:p w:rsidR="001B6308" w:rsidRPr="00F04D06" w:rsidRDefault="0007565A" w:rsidP="00E64E8C">
      <w:pPr>
        <w:spacing w:before="0" w:after="240"/>
        <w:jc w:val="both"/>
      </w:pPr>
      <w:r w:rsidRPr="00F04D06">
        <w:t>The AER is working to better understand</w:t>
      </w:r>
      <w:r w:rsidR="00E64E8C" w:rsidRPr="00F04D06">
        <w:t xml:space="preserve"> </w:t>
      </w:r>
      <w:r w:rsidR="0044369A" w:rsidRPr="00F04D06">
        <w:t>the drivers behind</w:t>
      </w:r>
      <w:r w:rsidR="00A513BF" w:rsidRPr="00F04D06">
        <w:t xml:space="preserve"> these</w:t>
      </w:r>
      <w:r w:rsidR="0044369A" w:rsidRPr="00F04D06">
        <w:t xml:space="preserve"> </w:t>
      </w:r>
      <w:r w:rsidR="00E64E8C" w:rsidRPr="00F04D06">
        <w:t>demand fore</w:t>
      </w:r>
      <w:r w:rsidR="00A513BF" w:rsidRPr="00F04D06">
        <w:t>casting errors</w:t>
      </w:r>
      <w:r w:rsidR="00086547" w:rsidRPr="00F04D06">
        <w:t xml:space="preserve"> and has</w:t>
      </w:r>
      <w:r w:rsidRPr="00F04D06">
        <w:t xml:space="preserve"> been meeting with </w:t>
      </w:r>
      <w:r w:rsidR="00B050CA" w:rsidRPr="00F04D06">
        <w:t>market participants</w:t>
      </w:r>
      <w:r w:rsidRPr="00F04D06">
        <w:t>, including AGL</w:t>
      </w:r>
      <w:r w:rsidR="001229B8" w:rsidRPr="00F04D06">
        <w:t xml:space="preserve"> Energy, which has been the largest contributor to </w:t>
      </w:r>
      <w:r w:rsidR="0082680E" w:rsidRPr="00F04D06">
        <w:t xml:space="preserve">the </w:t>
      </w:r>
      <w:r w:rsidR="001229B8" w:rsidRPr="00F04D06">
        <w:t>over forecasting errors</w:t>
      </w:r>
      <w:r w:rsidR="00B55C2C" w:rsidRPr="00F04D06">
        <w:t xml:space="preserve"> identifi</w:t>
      </w:r>
      <w:r w:rsidR="00086547" w:rsidRPr="00F04D06">
        <w:t>ed at</w:t>
      </w:r>
      <w:r w:rsidR="00B55C2C" w:rsidRPr="00F04D06">
        <w:t xml:space="preserve"> </w:t>
      </w:r>
      <w:r w:rsidR="00D23993" w:rsidRPr="00F04D06">
        <w:rPr>
          <w:b/>
        </w:rPr>
        <w:t>Figure 2</w:t>
      </w:r>
      <w:r w:rsidR="00B55C2C" w:rsidRPr="00F04D06">
        <w:rPr>
          <w:b/>
        </w:rPr>
        <w:t>.</w:t>
      </w:r>
      <w:r w:rsidR="002D523C" w:rsidRPr="00F04D06">
        <w:t xml:space="preserve"> </w:t>
      </w:r>
      <w:r w:rsidR="001B6308" w:rsidRPr="00F04D06">
        <w:t>AGL has over forecast demand on 74 per cent of days since January 2015.</w:t>
      </w:r>
      <w:r w:rsidR="0030682F">
        <w:t xml:space="preserve"> For the 2017 calendar year, to 31 July, this figure is higher at 86 per cent of days.</w:t>
      </w:r>
    </w:p>
    <w:p w:rsidR="002D523C" w:rsidRPr="00F04D06" w:rsidRDefault="00086547" w:rsidP="00E64E8C">
      <w:pPr>
        <w:spacing w:before="0" w:after="240"/>
        <w:jc w:val="both"/>
      </w:pPr>
      <w:r w:rsidRPr="00F04D06">
        <w:t xml:space="preserve">Both AGL and other </w:t>
      </w:r>
      <w:r w:rsidR="002D523C" w:rsidRPr="00F04D06">
        <w:t xml:space="preserve">Sydney hub participants have indicated that they are actively trying to improve the accuracy of their forecasting by employing new models and improving their understanding of the usage patterns of their customers. </w:t>
      </w:r>
    </w:p>
    <w:p w:rsidR="00C563D9" w:rsidRDefault="002D523C" w:rsidP="00E64E8C">
      <w:pPr>
        <w:spacing w:before="0" w:after="240"/>
        <w:jc w:val="both"/>
      </w:pPr>
      <w:r w:rsidRPr="00F04D06">
        <w:t xml:space="preserve">As </w:t>
      </w:r>
      <w:r w:rsidRPr="00F04D06">
        <w:rPr>
          <w:b/>
        </w:rPr>
        <w:t xml:space="preserve">Figure </w:t>
      </w:r>
      <w:r w:rsidR="00D23993" w:rsidRPr="00F04D06">
        <w:rPr>
          <w:b/>
        </w:rPr>
        <w:t>2</w:t>
      </w:r>
      <w:r w:rsidRPr="00F04D06">
        <w:t xml:space="preserve"> indicates, there has been some improvement in the hub-wide provisional data during 2017. This</w:t>
      </w:r>
      <w:r w:rsidR="00626D7C">
        <w:t xml:space="preserve"> is</w:t>
      </w:r>
      <w:r w:rsidR="00794E5F" w:rsidRPr="00F04D06">
        <w:t>, in part,</w:t>
      </w:r>
      <w:r w:rsidR="00713526" w:rsidRPr="00F04D06">
        <w:t xml:space="preserve"> </w:t>
      </w:r>
      <w:r w:rsidR="00794E5F" w:rsidRPr="00F04D06">
        <w:t>due</w:t>
      </w:r>
      <w:r w:rsidRPr="00F04D06">
        <w:t xml:space="preserve"> </w:t>
      </w:r>
      <w:r w:rsidR="00794E5F" w:rsidRPr="00F04D06">
        <w:t>to an improvement to AGL’s forecasting performance during the June 2017 quarter</w:t>
      </w:r>
      <w:r w:rsidR="00086547" w:rsidRPr="00F04D06">
        <w:t xml:space="preserve"> (</w:t>
      </w:r>
      <w:r w:rsidR="00A513BF" w:rsidRPr="00F04D06">
        <w:t>both in terms of the number of days over forecast and the size of the volume error</w:t>
      </w:r>
      <w:r w:rsidR="00086547" w:rsidRPr="00F04D06">
        <w:t>)</w:t>
      </w:r>
      <w:r w:rsidR="00A513BF" w:rsidRPr="00F04D06">
        <w:t>.</w:t>
      </w:r>
      <w:r w:rsidR="00794E5F" w:rsidRPr="00F04D06">
        <w:t xml:space="preserve"> However, the AER will wait to determine the nature of this improvement and whether it can be sustained</w:t>
      </w:r>
      <w:r w:rsidR="00DE3213">
        <w:t>.</w:t>
      </w:r>
      <w:r w:rsidR="00794E5F" w:rsidRPr="00F04D06">
        <w:rPr>
          <w:rStyle w:val="FootnoteReference"/>
        </w:rPr>
        <w:footnoteReference w:id="6"/>
      </w:r>
    </w:p>
    <w:p w:rsidR="006029D8" w:rsidRDefault="006029D8" w:rsidP="00E64E8C">
      <w:pPr>
        <w:spacing w:before="0" w:after="240"/>
        <w:jc w:val="both"/>
      </w:pPr>
      <w:r w:rsidRPr="00F04D06">
        <w:t xml:space="preserve">We note that </w:t>
      </w:r>
      <w:r w:rsidRPr="00F04D06">
        <w:rPr>
          <w:b/>
        </w:rPr>
        <w:t>Figure 2</w:t>
      </w:r>
      <w:r w:rsidRPr="00F04D06">
        <w:t xml:space="preserve"> also indicates increasing volume errors, at hub level, in July 2017. This coincides with daily average MOS service payments exceeding $67 000 and totalling more than $2 million across the month. </w:t>
      </w:r>
      <w:r w:rsidR="00263DEE">
        <w:t>The average daily MOS payments observed in July 2017 means MOS costs add around 20 cents/GJ to the costs of buying Sydney STTM commodity priced at about $8/GJ.</w:t>
      </w:r>
    </w:p>
    <w:p w:rsidR="006029D8" w:rsidRDefault="006029D8" w:rsidP="00E64E8C">
      <w:pPr>
        <w:spacing w:before="0" w:after="240"/>
        <w:jc w:val="both"/>
      </w:pPr>
      <w:r>
        <w:lastRenderedPageBreak/>
        <w:t>While MOS volumes are mostly related to</w:t>
      </w:r>
      <w:r w:rsidR="001B066F">
        <w:t xml:space="preserve"> levels of</w:t>
      </w:r>
      <w:r>
        <w:t xml:space="preserve"> demand forecast error, they also reflect counteracting MOS volumes. </w:t>
      </w:r>
      <w:r w:rsidR="001B066F">
        <w:t xml:space="preserve">This type of </w:t>
      </w:r>
      <w:r>
        <w:t xml:space="preserve">MOS </w:t>
      </w:r>
      <w:r w:rsidR="001B066F">
        <w:t xml:space="preserve">is a result of balancing gas being required </w:t>
      </w:r>
      <w:r>
        <w:t>regardless of o</w:t>
      </w:r>
      <w:r w:rsidR="001B066F">
        <w:t xml:space="preserve">verall demand forecast accuracy, </w:t>
      </w:r>
      <w:r>
        <w:t>as different parts of the connected STTM network require gas to flow from specific pipelines</w:t>
      </w:r>
      <w:r w:rsidR="001B066F">
        <w:t xml:space="preserve">. This </w:t>
      </w:r>
      <w:r>
        <w:t>has been a hallmark of the last</w:t>
      </w:r>
      <w:r w:rsidR="00C7688C">
        <w:t xml:space="preserve"> two</w:t>
      </w:r>
      <w:r>
        <w:t xml:space="preserve"> </w:t>
      </w:r>
      <w:r w:rsidR="00C7688C">
        <w:t>w</w:t>
      </w:r>
      <w:r>
        <w:t>inters</w:t>
      </w:r>
      <w:r w:rsidR="001B066F">
        <w:t xml:space="preserve"> and the AER is investigating the reasons behind this change</w:t>
      </w:r>
      <w:r>
        <w:t xml:space="preserve">. </w:t>
      </w:r>
    </w:p>
    <w:p w:rsidR="00B55C2C" w:rsidRPr="00F04D06" w:rsidRDefault="00024FCD" w:rsidP="00E64E8C">
      <w:pPr>
        <w:spacing w:before="0" w:after="240"/>
        <w:jc w:val="both"/>
      </w:pPr>
      <w:r w:rsidRPr="00F04D06">
        <w:rPr>
          <w:b/>
        </w:rPr>
        <w:t>Figure</w:t>
      </w:r>
      <w:r w:rsidR="00D23993" w:rsidRPr="00F04D06">
        <w:rPr>
          <w:b/>
        </w:rPr>
        <w:t xml:space="preserve"> 3</w:t>
      </w:r>
      <w:r w:rsidR="00772B67" w:rsidRPr="00F04D06">
        <w:rPr>
          <w:b/>
        </w:rPr>
        <w:t xml:space="preserve"> </w:t>
      </w:r>
      <w:r w:rsidRPr="00F04D06">
        <w:t>indicates</w:t>
      </w:r>
      <w:r w:rsidR="00E344E5" w:rsidRPr="00F04D06">
        <w:t xml:space="preserve"> </w:t>
      </w:r>
      <w:r w:rsidR="00626D7C">
        <w:t xml:space="preserve">that </w:t>
      </w:r>
      <w:r w:rsidR="00E344E5" w:rsidRPr="00F04D06">
        <w:t xml:space="preserve">MOS service costs have undergone </w:t>
      </w:r>
      <w:r w:rsidR="00713526" w:rsidRPr="00F04D06">
        <w:t>y</w:t>
      </w:r>
      <w:r w:rsidR="00E344E5" w:rsidRPr="00F04D06">
        <w:t xml:space="preserve">ear-on-year increases since 2013 and approximately doubled each year from 2014 to 2016. The total MOS service payments in 2017 </w:t>
      </w:r>
      <w:r w:rsidR="0036142E" w:rsidRPr="00F04D06">
        <w:t>are trending to be well in excess of those in 2016.</w:t>
      </w:r>
      <w:r w:rsidR="00E344E5" w:rsidRPr="00F04D06">
        <w:t xml:space="preserve"> </w:t>
      </w:r>
      <w:r w:rsidR="006029D8">
        <w:t>It also shows the increase in counteracting MOS volumes</w:t>
      </w:r>
      <w:r w:rsidR="00DE3213">
        <w:t>.</w:t>
      </w:r>
      <w:r w:rsidR="006029D8">
        <w:rPr>
          <w:rStyle w:val="FootnoteReference"/>
        </w:rPr>
        <w:footnoteReference w:id="7"/>
      </w:r>
      <w:r w:rsidR="00C7688C" w:rsidRPr="00C7688C">
        <w:t xml:space="preserve"> </w:t>
      </w:r>
      <w:r w:rsidR="00C7688C">
        <w:t>T</w:t>
      </w:r>
      <w:r w:rsidR="00C7688C" w:rsidRPr="00F04D06">
        <w:t>he rising price of MOS gas offers</w:t>
      </w:r>
      <w:r w:rsidR="00C7688C">
        <w:t xml:space="preserve"> is also a contributor to higher MOS payments.</w:t>
      </w:r>
      <w:r w:rsidR="00C7688C">
        <w:rPr>
          <w:rStyle w:val="FootnoteReference"/>
        </w:rPr>
        <w:footnoteReference w:id="8"/>
      </w:r>
    </w:p>
    <w:p w:rsidR="004B5D6B" w:rsidRDefault="00713526" w:rsidP="00E64E8C">
      <w:pPr>
        <w:spacing w:before="0" w:after="240"/>
        <w:jc w:val="both"/>
        <w:rPr>
          <w:b/>
          <w:color w:val="076A92" w:themeColor="text1"/>
          <w:sz w:val="24"/>
          <w:szCs w:val="24"/>
        </w:rPr>
      </w:pPr>
      <w:r w:rsidRPr="00D23993">
        <w:rPr>
          <w:b/>
          <w:color w:val="076A92" w:themeColor="text1"/>
          <w:sz w:val="24"/>
          <w:szCs w:val="24"/>
        </w:rPr>
        <w:t xml:space="preserve">Figure </w:t>
      </w:r>
      <w:r w:rsidR="00D23993" w:rsidRPr="00D23993">
        <w:rPr>
          <w:b/>
          <w:color w:val="076A92" w:themeColor="text1"/>
          <w:sz w:val="24"/>
          <w:szCs w:val="24"/>
        </w:rPr>
        <w:t>3</w:t>
      </w:r>
      <w:r w:rsidRPr="00D23993">
        <w:rPr>
          <w:b/>
          <w:color w:val="076A92" w:themeColor="text1"/>
          <w:sz w:val="24"/>
          <w:szCs w:val="24"/>
        </w:rPr>
        <w:t>: Sydney MOS service cost</w:t>
      </w:r>
      <w:r w:rsidR="0001458D" w:rsidRPr="00D23993">
        <w:rPr>
          <w:b/>
          <w:color w:val="076A92" w:themeColor="text1"/>
          <w:sz w:val="24"/>
          <w:szCs w:val="24"/>
        </w:rPr>
        <w:t xml:space="preserve">s </w:t>
      </w:r>
      <w:r w:rsidR="0071354A">
        <w:rPr>
          <w:b/>
          <w:color w:val="076A92" w:themeColor="text1"/>
          <w:sz w:val="24"/>
          <w:szCs w:val="24"/>
        </w:rPr>
        <w:t xml:space="preserve">and CMOS </w:t>
      </w:r>
      <w:r w:rsidR="0001458D" w:rsidRPr="00D23993">
        <w:rPr>
          <w:b/>
          <w:color w:val="076A92" w:themeColor="text1"/>
          <w:sz w:val="24"/>
          <w:szCs w:val="24"/>
        </w:rPr>
        <w:t>since 2010</w:t>
      </w:r>
    </w:p>
    <w:p w:rsidR="004B5D6B" w:rsidRDefault="004B5D6B" w:rsidP="00E64E8C">
      <w:pPr>
        <w:spacing w:before="0" w:after="240"/>
        <w:jc w:val="both"/>
        <w:rPr>
          <w:b/>
          <w:color w:val="076A92" w:themeColor="text1"/>
          <w:sz w:val="24"/>
          <w:szCs w:val="24"/>
        </w:rPr>
      </w:pPr>
      <w:r w:rsidRPr="004B5D6B">
        <w:rPr>
          <w:noProof/>
          <w:lang w:eastAsia="en-AU"/>
        </w:rPr>
        <w:drawing>
          <wp:inline distT="0" distB="0" distL="0" distR="0" wp14:anchorId="552923F1" wp14:editId="2654C518">
            <wp:extent cx="5529580" cy="251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9580" cy="2510155"/>
                    </a:xfrm>
                    <a:prstGeom prst="rect">
                      <a:avLst/>
                    </a:prstGeom>
                    <a:noFill/>
                    <a:ln>
                      <a:noFill/>
                    </a:ln>
                  </pic:spPr>
                </pic:pic>
              </a:graphicData>
            </a:graphic>
          </wp:inline>
        </w:drawing>
      </w:r>
    </w:p>
    <w:p w:rsidR="0036142E" w:rsidRPr="0036142E" w:rsidRDefault="0036142E" w:rsidP="0036142E">
      <w:pPr>
        <w:spacing w:before="0" w:after="240"/>
        <w:jc w:val="both"/>
        <w:rPr>
          <w:sz w:val="16"/>
          <w:szCs w:val="16"/>
        </w:rPr>
      </w:pPr>
      <w:r w:rsidRPr="0036142E">
        <w:rPr>
          <w:sz w:val="16"/>
          <w:szCs w:val="16"/>
        </w:rPr>
        <w:t xml:space="preserve">Note: </w:t>
      </w:r>
      <w:r w:rsidR="0071354A" w:rsidRPr="0071354A">
        <w:rPr>
          <w:sz w:val="16"/>
          <w:szCs w:val="16"/>
        </w:rPr>
        <w:t xml:space="preserve">2 TJ of Counteracting MOS allocations are defined as 1 TJ of increase MOS services provided to the hub offset by 1 TJ of decrease MOS services on another pipeline. This is generally in the form of decrease MOS allocations on the pressure controlled Moomba to Sydney Pipeline (MSP) and increase MOS allocations on the Eastern Gas Pipeline (EGP). </w:t>
      </w:r>
      <w:r w:rsidR="0071354A" w:rsidRPr="0071354A">
        <w:rPr>
          <w:b/>
          <w:sz w:val="16"/>
          <w:szCs w:val="16"/>
        </w:rPr>
        <w:t>Figure 3</w:t>
      </w:r>
      <w:r w:rsidR="0071354A">
        <w:rPr>
          <w:sz w:val="16"/>
          <w:szCs w:val="16"/>
        </w:rPr>
        <w:t xml:space="preserve"> shows </w:t>
      </w:r>
      <w:r w:rsidR="0071354A" w:rsidRPr="0071354A">
        <w:rPr>
          <w:sz w:val="16"/>
          <w:szCs w:val="16"/>
        </w:rPr>
        <w:t>available data from 27 July 2010 to end of July 2017</w:t>
      </w:r>
      <w:r w:rsidR="0071354A">
        <w:rPr>
          <w:sz w:val="16"/>
          <w:szCs w:val="16"/>
        </w:rPr>
        <w:t>.</w:t>
      </w:r>
    </w:p>
    <w:p w:rsidR="009128B1" w:rsidRPr="00E64E8C" w:rsidRDefault="00D97C37" w:rsidP="009128B1">
      <w:pPr>
        <w:pStyle w:val="Heading3"/>
        <w:numPr>
          <w:ilvl w:val="0"/>
          <w:numId w:val="0"/>
        </w:numPr>
        <w:spacing w:before="0" w:after="240"/>
      </w:pPr>
      <w:bookmarkStart w:id="15" w:name="_Toc490738271"/>
      <w:r>
        <w:t>1.2.2</w:t>
      </w:r>
      <w:r>
        <w:tab/>
        <w:t>Pipeline capacity a</w:t>
      </w:r>
      <w:r w:rsidR="009128B1">
        <w:t>vailability</w:t>
      </w:r>
      <w:bookmarkEnd w:id="15"/>
    </w:p>
    <w:p w:rsidR="00EE4D87" w:rsidRPr="00F04D06" w:rsidRDefault="00FD23A6" w:rsidP="00EE4D87">
      <w:pPr>
        <w:spacing w:before="0" w:after="240"/>
        <w:jc w:val="both"/>
        <w:rPr>
          <w:rFonts w:cs="Arial"/>
        </w:rPr>
      </w:pPr>
      <w:r w:rsidRPr="00F04D06">
        <w:rPr>
          <w:rFonts w:cs="Arial"/>
        </w:rPr>
        <w:t xml:space="preserve">During </w:t>
      </w:r>
      <w:r w:rsidR="00EE4D87" w:rsidRPr="00F04D06">
        <w:rPr>
          <w:rFonts w:cs="Arial"/>
        </w:rPr>
        <w:t xml:space="preserve">2016, Epic Energy introduced a new calculation methodology for gas deliveries to the Adelaide STTM on the Moomba Adelaide Pipeline </w:t>
      </w:r>
      <w:r w:rsidRPr="00F04D06">
        <w:rPr>
          <w:rFonts w:cs="Arial"/>
        </w:rPr>
        <w:t xml:space="preserve">System (MAPS). Subsequently, the AER approached Epic </w:t>
      </w:r>
      <w:r w:rsidR="008569D9" w:rsidRPr="00F04D06">
        <w:rPr>
          <w:rFonts w:cs="Arial"/>
        </w:rPr>
        <w:t xml:space="preserve">Energy </w:t>
      </w:r>
      <w:r w:rsidR="00EE4D87" w:rsidRPr="00F04D06">
        <w:rPr>
          <w:rFonts w:cs="Arial"/>
        </w:rPr>
        <w:t>to get a clear understanding of its new calculation methodology and whether this enabled it to meet the accurate daily reporting requirements in the Gas Rules.</w:t>
      </w:r>
    </w:p>
    <w:p w:rsidR="00E64E8C" w:rsidRPr="00F04D06" w:rsidRDefault="00EE4D87" w:rsidP="00E64E8C">
      <w:pPr>
        <w:spacing w:before="0" w:after="240"/>
        <w:jc w:val="both"/>
        <w:rPr>
          <w:rFonts w:cs="Arial"/>
        </w:rPr>
      </w:pPr>
      <w:r w:rsidRPr="00F04D06">
        <w:rPr>
          <w:rFonts w:cs="Arial"/>
        </w:rPr>
        <w:t>In</w:t>
      </w:r>
      <w:r w:rsidR="00FD23A6" w:rsidRPr="00F04D06">
        <w:rPr>
          <w:rFonts w:cs="Arial"/>
        </w:rPr>
        <w:t xml:space="preserve"> light of the Epic </w:t>
      </w:r>
      <w:r w:rsidR="008569D9" w:rsidRPr="00F04D06">
        <w:rPr>
          <w:rFonts w:cs="Arial"/>
        </w:rPr>
        <w:t xml:space="preserve">Energy </w:t>
      </w:r>
      <w:r w:rsidR="00FD23A6" w:rsidRPr="00F04D06">
        <w:rPr>
          <w:rFonts w:cs="Arial"/>
        </w:rPr>
        <w:t>development, the AER</w:t>
      </w:r>
      <w:r w:rsidRPr="00F04D06">
        <w:rPr>
          <w:rFonts w:cs="Arial"/>
        </w:rPr>
        <w:t xml:space="preserve"> committed to reviewing</w:t>
      </w:r>
      <w:r w:rsidR="008569D9" w:rsidRPr="00F04D06">
        <w:rPr>
          <w:rFonts w:cs="Arial"/>
        </w:rPr>
        <w:t>, during 2017,</w:t>
      </w:r>
      <w:r w:rsidR="00FD23A6" w:rsidRPr="00F04D06">
        <w:rPr>
          <w:rFonts w:cs="Arial"/>
        </w:rPr>
        <w:t xml:space="preserve"> the methodologies used to calculate </w:t>
      </w:r>
      <w:r w:rsidR="008569D9" w:rsidRPr="00F04D06">
        <w:rPr>
          <w:rFonts w:cs="Arial"/>
        </w:rPr>
        <w:t>available capacities on other transmission pipelines supplying STTM hubs</w:t>
      </w:r>
      <w:r w:rsidR="00DE3213">
        <w:rPr>
          <w:rFonts w:cs="Arial"/>
        </w:rPr>
        <w:t>.</w:t>
      </w:r>
      <w:r w:rsidR="008569D9" w:rsidRPr="00F04D06">
        <w:rPr>
          <w:rStyle w:val="FootnoteReference"/>
          <w:rFonts w:cs="Arial"/>
        </w:rPr>
        <w:footnoteReference w:id="9"/>
      </w:r>
      <w:r w:rsidR="00480C13" w:rsidRPr="00F04D06">
        <w:rPr>
          <w:rFonts w:cs="Arial"/>
        </w:rPr>
        <w:t xml:space="preserve"> </w:t>
      </w:r>
      <w:r w:rsidR="002215C8">
        <w:rPr>
          <w:rFonts w:cs="Arial"/>
        </w:rPr>
        <w:t xml:space="preserve">Following an </w:t>
      </w:r>
      <w:r w:rsidR="00480C13" w:rsidRPr="00F04D06">
        <w:rPr>
          <w:rFonts w:cs="Arial"/>
        </w:rPr>
        <w:t xml:space="preserve">AER request, we have received information from </w:t>
      </w:r>
      <w:proofErr w:type="spellStart"/>
      <w:r w:rsidR="00480C13" w:rsidRPr="00F04D06">
        <w:rPr>
          <w:rFonts w:cs="Arial"/>
        </w:rPr>
        <w:t>Jemena</w:t>
      </w:r>
      <w:proofErr w:type="spellEnd"/>
      <w:r w:rsidR="00480C13" w:rsidRPr="00F04D06">
        <w:rPr>
          <w:rFonts w:cs="Arial"/>
        </w:rPr>
        <w:t xml:space="preserve"> regarding capacity calculations for the Eastern Gas Pipeline (EGP), and will be </w:t>
      </w:r>
      <w:r w:rsidR="00480C13" w:rsidRPr="00F04D06">
        <w:rPr>
          <w:rFonts w:cs="Arial"/>
        </w:rPr>
        <w:lastRenderedPageBreak/>
        <w:t>contacting other pipeline operators during the September 2017 quarter regarding their respective calculation methodologies.</w:t>
      </w:r>
    </w:p>
    <w:p w:rsidR="00911000" w:rsidRPr="00E64E8C" w:rsidRDefault="00856EBC" w:rsidP="009128B1">
      <w:pPr>
        <w:pStyle w:val="Heading2"/>
        <w:keepNext/>
        <w:numPr>
          <w:ilvl w:val="1"/>
          <w:numId w:val="44"/>
        </w:numPr>
        <w:tabs>
          <w:tab w:val="clear" w:pos="680"/>
          <w:tab w:val="left" w:pos="1134"/>
        </w:tabs>
        <w:spacing w:before="0" w:after="240"/>
        <w:ind w:left="851" w:hanging="851"/>
      </w:pPr>
      <w:bookmarkStart w:id="16" w:name="_Toc490738272"/>
      <w:r w:rsidRPr="00E64E8C">
        <w:t>Victorian Gas Market</w:t>
      </w:r>
      <w:bookmarkEnd w:id="16"/>
    </w:p>
    <w:p w:rsidR="00637FC1" w:rsidRPr="00E64E8C" w:rsidRDefault="00D97C37" w:rsidP="0034020A">
      <w:pPr>
        <w:pStyle w:val="Heading3"/>
        <w:numPr>
          <w:ilvl w:val="2"/>
          <w:numId w:val="28"/>
        </w:numPr>
        <w:spacing w:before="0" w:after="240"/>
        <w:ind w:left="851" w:hanging="851"/>
        <w:rPr>
          <w:rFonts w:asciiTheme="majorHAnsi" w:eastAsia="Calibri" w:hAnsiTheme="majorHAnsi" w:cstheme="majorHAnsi"/>
          <w:szCs w:val="28"/>
        </w:rPr>
      </w:pPr>
      <w:bookmarkStart w:id="17" w:name="_Toc490738273"/>
      <w:r>
        <w:rPr>
          <w:rFonts w:asciiTheme="majorHAnsi" w:eastAsia="Calibri" w:hAnsiTheme="majorHAnsi" w:cstheme="majorHAnsi"/>
          <w:szCs w:val="28"/>
        </w:rPr>
        <w:t>Targeted compliance r</w:t>
      </w:r>
      <w:r w:rsidR="00637FC1" w:rsidRPr="00E64E8C">
        <w:rPr>
          <w:rFonts w:asciiTheme="majorHAnsi" w:eastAsia="Calibri" w:hAnsiTheme="majorHAnsi" w:cstheme="majorHAnsi"/>
          <w:szCs w:val="28"/>
        </w:rPr>
        <w:t>eview</w:t>
      </w:r>
      <w:r>
        <w:rPr>
          <w:rFonts w:asciiTheme="majorHAnsi" w:eastAsia="Calibri" w:hAnsiTheme="majorHAnsi" w:cstheme="majorHAnsi"/>
          <w:szCs w:val="28"/>
        </w:rPr>
        <w:t xml:space="preserve"> – Longford i</w:t>
      </w:r>
      <w:r w:rsidR="00354A57" w:rsidRPr="00E64E8C">
        <w:rPr>
          <w:rFonts w:asciiTheme="majorHAnsi" w:eastAsia="Calibri" w:hAnsiTheme="majorHAnsi" w:cstheme="majorHAnsi"/>
          <w:szCs w:val="28"/>
        </w:rPr>
        <w:t>njections</w:t>
      </w:r>
      <w:bookmarkEnd w:id="17"/>
    </w:p>
    <w:p w:rsidR="00E64E8C" w:rsidRPr="00F04D06" w:rsidRDefault="00E64E8C" w:rsidP="008443D2">
      <w:pPr>
        <w:spacing w:before="0" w:after="240"/>
        <w:jc w:val="both"/>
      </w:pPr>
      <w:r w:rsidRPr="00F04D06">
        <w:t>We continue our targeted compliance review concerning gas market scheduling at the Longford injection point. Longford injections can impact significantly on East Coast Gas Markets, noting that the Longford Gas Plant is the majority supplier of gas to Victoria’s DWGM and an important supply source for Sydney’s STTM.</w:t>
      </w:r>
    </w:p>
    <w:p w:rsidR="008A44A4" w:rsidRDefault="008A44A4" w:rsidP="008443D2">
      <w:pPr>
        <w:spacing w:after="240"/>
        <w:jc w:val="both"/>
      </w:pPr>
      <w:r w:rsidRPr="00F04D06">
        <w:t>Market Participants have highlighted an increased instance of constraints, called Supply Demand Point Constraints (SDPCs), being applied to the Victorian Transmission System at the Longford Injection point. The AER has analysed this and</w:t>
      </w:r>
      <w:r w:rsidR="00E67486">
        <w:t xml:space="preserve">, as indicated at </w:t>
      </w:r>
      <w:r w:rsidR="00E67486" w:rsidRPr="00E67486">
        <w:rPr>
          <w:b/>
        </w:rPr>
        <w:t>Figure 4</w:t>
      </w:r>
      <w:r w:rsidR="00E67486">
        <w:t>,</w:t>
      </w:r>
      <w:r w:rsidRPr="00F04D06">
        <w:t xml:space="preserve"> determined that this does seem to be a growing trend.</w:t>
      </w:r>
    </w:p>
    <w:p w:rsidR="00F04D06" w:rsidRPr="00E67486" w:rsidRDefault="00F04D06" w:rsidP="00E67486">
      <w:pPr>
        <w:spacing w:before="0" w:after="240"/>
        <w:jc w:val="both"/>
        <w:rPr>
          <w:b/>
          <w:color w:val="076A92" w:themeColor="text1"/>
          <w:sz w:val="24"/>
          <w:szCs w:val="24"/>
        </w:rPr>
      </w:pPr>
      <w:r w:rsidRPr="00D23993">
        <w:rPr>
          <w:b/>
          <w:color w:val="076A92" w:themeColor="text1"/>
          <w:sz w:val="24"/>
          <w:szCs w:val="24"/>
        </w:rPr>
        <w:t xml:space="preserve">Figure </w:t>
      </w:r>
      <w:r>
        <w:rPr>
          <w:b/>
          <w:color w:val="076A92" w:themeColor="text1"/>
          <w:sz w:val="24"/>
          <w:szCs w:val="24"/>
        </w:rPr>
        <w:t>4: Longford SDPCs and pipeline flows</w:t>
      </w:r>
    </w:p>
    <w:p w:rsidR="008A44A4" w:rsidRDefault="008A44A4" w:rsidP="00E64E8C">
      <w:pPr>
        <w:spacing w:before="0" w:after="240"/>
        <w:rPr>
          <w:color w:val="FF0000"/>
        </w:rPr>
      </w:pPr>
      <w:r>
        <w:rPr>
          <w:noProof/>
          <w:color w:val="1B2F6F"/>
          <w:lang w:eastAsia="en-AU"/>
        </w:rPr>
        <w:drawing>
          <wp:inline distT="0" distB="0" distL="0" distR="0" wp14:anchorId="1D19FCD1" wp14:editId="0904A244">
            <wp:extent cx="5731510" cy="2663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0C83.50B11C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731510" cy="2663190"/>
                    </a:xfrm>
                    <a:prstGeom prst="rect">
                      <a:avLst/>
                    </a:prstGeom>
                    <a:noFill/>
                    <a:ln>
                      <a:noFill/>
                    </a:ln>
                  </pic:spPr>
                </pic:pic>
              </a:graphicData>
            </a:graphic>
          </wp:inline>
        </w:drawing>
      </w:r>
    </w:p>
    <w:p w:rsidR="008A44A4" w:rsidRPr="00F04D06" w:rsidRDefault="008A44A4" w:rsidP="008443D2">
      <w:pPr>
        <w:spacing w:after="240"/>
        <w:jc w:val="both"/>
      </w:pPr>
      <w:r w:rsidRPr="00F04D06">
        <w:t xml:space="preserve">The trend of SDPCs increasing appears to be as a result of a mixture of unplanned and planned maintenance. SDPCs have increased particularly since the beginning of 2015, at the same time that Longford has increasingly been required to deliver larger quantities of gas to meet sustained high gas demand above historical levels. SDPCs within the Victorian system seem to occur more frequently during shoulder periods as Longford undergoes maintenance rather than during peak demand periods.  </w:t>
      </w:r>
    </w:p>
    <w:p w:rsidR="008A44A4" w:rsidRPr="00F04D06" w:rsidRDefault="008A44A4" w:rsidP="008443D2">
      <w:pPr>
        <w:spacing w:after="240"/>
        <w:jc w:val="both"/>
      </w:pPr>
      <w:r w:rsidRPr="00F04D06">
        <w:t xml:space="preserve">Some market participants have continued to query why SDPCs at Longford have become more frequent. Participants have also highlighted inconsistencies in approaches to rebidding on a gas day when supply demand constraints (SDPCs) are imposed at Longford, with some participants rebidding volumes in line with SDPCs and others leaving volumes unchanged. </w:t>
      </w:r>
    </w:p>
    <w:p w:rsidR="002211DD" w:rsidRPr="00C5770D" w:rsidRDefault="00D97C37" w:rsidP="000828E4">
      <w:pPr>
        <w:pStyle w:val="Heading3"/>
        <w:keepNext/>
        <w:spacing w:before="0" w:after="240"/>
        <w:ind w:left="851" w:hanging="851"/>
        <w:rPr>
          <w:rFonts w:eastAsia="Calibri"/>
        </w:rPr>
      </w:pPr>
      <w:bookmarkStart w:id="18" w:name="_Toc490738274"/>
      <w:r>
        <w:rPr>
          <w:rFonts w:eastAsia="Calibri"/>
        </w:rPr>
        <w:lastRenderedPageBreak/>
        <w:t>Demand f</w:t>
      </w:r>
      <w:r w:rsidR="004E5360" w:rsidRPr="00C5770D">
        <w:rPr>
          <w:rFonts w:eastAsia="Calibri"/>
        </w:rPr>
        <w:t>orecasting in Victoria</w:t>
      </w:r>
      <w:bookmarkEnd w:id="18"/>
    </w:p>
    <w:p w:rsidR="00C5770D" w:rsidRPr="00F04D06" w:rsidRDefault="00C5770D" w:rsidP="008443D2">
      <w:pPr>
        <w:spacing w:before="0" w:after="240"/>
        <w:jc w:val="both"/>
      </w:pPr>
      <w:r w:rsidRPr="00F04D06">
        <w:t>The Gas Rules require each DWGM trading participant, who expects to withdraw quantities of natural gas from the DWGM on a gas day, to submit</w:t>
      </w:r>
      <w:r w:rsidR="00AC65AB">
        <w:t>,</w:t>
      </w:r>
      <w:r w:rsidRPr="00F04D06">
        <w:t xml:space="preserve"> in good faith</w:t>
      </w:r>
      <w:r w:rsidR="00AC65AB">
        <w:t>,</w:t>
      </w:r>
      <w:r w:rsidRPr="00F04D06">
        <w:t xml:space="preserve"> demand quantities which represent the participant’s best estimate of the quantity it expects to withdraw in each hour of the relevant scheduling horizon.</w:t>
      </w:r>
    </w:p>
    <w:p w:rsidR="00C5770D" w:rsidRPr="00F04D06" w:rsidRDefault="00C5770D" w:rsidP="008443D2">
      <w:pPr>
        <w:spacing w:before="0" w:after="240"/>
        <w:jc w:val="both"/>
      </w:pPr>
      <w:r w:rsidRPr="00F04D06">
        <w:t>In 2016, the AER identified two DWGM participants (retailers) with a significant history of error in their demand forecasting. We approached these participants and received their agreement to submit data to assist us with the ongoing assessment of their forecasting performance. In both cases, the participants committed to revising their demand forecasting systems and improving their accuracy.</w:t>
      </w:r>
    </w:p>
    <w:p w:rsidR="00C50C1A" w:rsidRPr="00F04D06" w:rsidRDefault="00A142D1" w:rsidP="008443D2">
      <w:pPr>
        <w:spacing w:before="0" w:after="240"/>
        <w:jc w:val="both"/>
      </w:pPr>
      <w:r w:rsidRPr="00F04D06">
        <w:t xml:space="preserve">During the June 2017 quarter, </w:t>
      </w:r>
      <w:r w:rsidR="00812392" w:rsidRPr="00F04D06">
        <w:t xml:space="preserve">there were improvements to the demand forecasting performance of </w:t>
      </w:r>
      <w:r w:rsidR="0096209B" w:rsidRPr="00F04D06">
        <w:t>the two</w:t>
      </w:r>
      <w:r w:rsidR="00812392" w:rsidRPr="00F04D06">
        <w:t xml:space="preserve"> participants. In the case of one participant, </w:t>
      </w:r>
      <w:r w:rsidR="005A7855" w:rsidRPr="00F04D06">
        <w:t>with a prolonged history of over forecast demand, the incidences of over forecast</w:t>
      </w:r>
      <w:r w:rsidR="0096209B" w:rsidRPr="00F04D06">
        <w:t xml:space="preserve">ing declined significantly. The demand forecasting performance of the other participant has steadily improved through 2017, with smaller errors </w:t>
      </w:r>
      <w:r w:rsidR="0013114D">
        <w:t xml:space="preserve">during the </w:t>
      </w:r>
      <w:r w:rsidR="0096209B" w:rsidRPr="00F04D06">
        <w:t>June 2017</w:t>
      </w:r>
      <w:r w:rsidR="0013114D">
        <w:t xml:space="preserve"> quarter</w:t>
      </w:r>
      <w:r w:rsidR="0096209B" w:rsidRPr="00F04D06">
        <w:t>.</w:t>
      </w:r>
    </w:p>
    <w:p w:rsidR="0034020A" w:rsidRPr="0034020A" w:rsidRDefault="00AC2CEC" w:rsidP="0034020A">
      <w:pPr>
        <w:pStyle w:val="Heading2"/>
        <w:keepNext/>
        <w:tabs>
          <w:tab w:val="clear" w:pos="680"/>
          <w:tab w:val="left" w:pos="993"/>
        </w:tabs>
        <w:spacing w:before="0" w:after="240"/>
        <w:ind w:left="851" w:hanging="851"/>
      </w:pPr>
      <w:bookmarkStart w:id="19" w:name="_Toc490738275"/>
      <w:r w:rsidRPr="0034020A">
        <w:t>Gas Supply Hub</w:t>
      </w:r>
      <w:bookmarkEnd w:id="8"/>
      <w:bookmarkEnd w:id="19"/>
    </w:p>
    <w:p w:rsidR="0034020A" w:rsidRPr="0034020A" w:rsidRDefault="00D97C37" w:rsidP="0034020A">
      <w:pPr>
        <w:pStyle w:val="Heading3"/>
        <w:spacing w:before="0" w:after="240"/>
        <w:ind w:left="851" w:hanging="851"/>
        <w:rPr>
          <w:rFonts w:eastAsia="Calibri"/>
        </w:rPr>
      </w:pPr>
      <w:bookmarkStart w:id="20" w:name="_Toc490738276"/>
      <w:r>
        <w:rPr>
          <w:rFonts w:eastAsia="Calibri"/>
        </w:rPr>
        <w:t>Wallumbilla single market p</w:t>
      </w:r>
      <w:r w:rsidR="0034020A" w:rsidRPr="0034020A">
        <w:rPr>
          <w:rFonts w:eastAsia="Calibri"/>
        </w:rPr>
        <w:t>roduct (optional hub services)</w:t>
      </w:r>
      <w:bookmarkEnd w:id="20"/>
    </w:p>
    <w:p w:rsidR="00C5770D" w:rsidRPr="00F04D06" w:rsidRDefault="006A71E1" w:rsidP="0034020A">
      <w:pPr>
        <w:spacing w:before="0" w:after="240"/>
        <w:jc w:val="both"/>
      </w:pPr>
      <w:r w:rsidRPr="00F04D06">
        <w:t xml:space="preserve">On 28 </w:t>
      </w:r>
      <w:r w:rsidR="00C5770D" w:rsidRPr="00F04D06">
        <w:t>March 2017, the Wallumbilla Gas Supply Hub transitioned to the optional hub services model. The hub’s three trading locations</w:t>
      </w:r>
      <w:r w:rsidR="00C5770D" w:rsidRPr="00F04D06">
        <w:rPr>
          <w:rStyle w:val="FootnoteReference"/>
        </w:rPr>
        <w:footnoteReference w:id="10"/>
      </w:r>
      <w:r w:rsidR="00C5770D" w:rsidRPr="00F04D06">
        <w:t xml:space="preserve"> were replaced by a single trading location at Wallumbilla and an in-pipe Roma Brisbane Pipeline (RBP) trading location at South East Queensland</w:t>
      </w:r>
      <w:r w:rsidR="005535BB">
        <w:t>.</w:t>
      </w:r>
      <w:r w:rsidR="00C5770D" w:rsidRPr="00F04D06">
        <w:rPr>
          <w:rStyle w:val="FootnoteReference"/>
        </w:rPr>
        <w:footnoteReference w:id="11"/>
      </w:r>
    </w:p>
    <w:p w:rsidR="00A86722" w:rsidRPr="00F04D06" w:rsidRDefault="00743D36" w:rsidP="00C5770D">
      <w:pPr>
        <w:spacing w:before="0" w:after="240"/>
        <w:jc w:val="both"/>
      </w:pPr>
      <w:r w:rsidRPr="00F04D06">
        <w:t xml:space="preserve">Commensurate with the introduction of the optional hub services model, </w:t>
      </w:r>
      <w:r w:rsidR="00345A49" w:rsidRPr="00F04D06">
        <w:t>wa</w:t>
      </w:r>
      <w:r w:rsidRPr="00F04D06">
        <w:t>s the introduction of</w:t>
      </w:r>
      <w:r w:rsidR="00345A49" w:rsidRPr="00F04D06">
        <w:t xml:space="preserve"> a spread product platform enabling the p</w:t>
      </w:r>
      <w:r w:rsidR="0029664C" w:rsidRPr="00F04D06">
        <w:t>hysical trading of gas between Wallumbilla and South East Queensland.</w:t>
      </w:r>
      <w:r w:rsidR="00345A49" w:rsidRPr="00F04D06">
        <w:t xml:space="preserve"> Thus, from 28 March 2017, p</w:t>
      </w:r>
      <w:r w:rsidR="0029664C" w:rsidRPr="00F04D06">
        <w:t>articipan</w:t>
      </w:r>
      <w:r w:rsidR="00345A49" w:rsidRPr="00F04D06">
        <w:t xml:space="preserve">ts with transportation rights </w:t>
      </w:r>
      <w:r w:rsidR="007E2A41" w:rsidRPr="00F04D06">
        <w:t xml:space="preserve">have been able to </w:t>
      </w:r>
      <w:r w:rsidR="0029664C" w:rsidRPr="00F04D06">
        <w:t>arbitrage price differentials between the two locations.</w:t>
      </w:r>
      <w:r w:rsidR="007E2A41" w:rsidRPr="00F04D06">
        <w:t xml:space="preserve"> </w:t>
      </w:r>
      <w:r w:rsidR="00A86722" w:rsidRPr="00F04D06">
        <w:t>The first spread product trade occurred in the Wallumbilla gas supply hub on 12 June</w:t>
      </w:r>
      <w:r w:rsidR="006A71E1" w:rsidRPr="00F04D06">
        <w:t xml:space="preserve"> 2017</w:t>
      </w:r>
      <w:r w:rsidR="00A86722" w:rsidRPr="00F04D06">
        <w:t>.</w:t>
      </w:r>
      <w:r w:rsidR="0029664C" w:rsidRPr="00F04D06">
        <w:t xml:space="preserve"> </w:t>
      </w:r>
      <w:r w:rsidR="006A71E1" w:rsidRPr="00F04D06">
        <w:t>There has been sign</w:t>
      </w:r>
      <w:r w:rsidR="007E2A41" w:rsidRPr="00F04D06">
        <w:t>ificant activity since</w:t>
      </w:r>
      <w:r w:rsidR="006A71E1" w:rsidRPr="00F04D06">
        <w:t xml:space="preserve">, with </w:t>
      </w:r>
      <w:r w:rsidR="00480C13" w:rsidRPr="00F04D06">
        <w:t>27</w:t>
      </w:r>
      <w:r w:rsidR="006A71E1" w:rsidRPr="00F04D06">
        <w:t xml:space="preserve"> spread products</w:t>
      </w:r>
      <w:r w:rsidR="007E2A41" w:rsidRPr="00F04D06">
        <w:t xml:space="preserve"> traded to 31 July.</w:t>
      </w:r>
    </w:p>
    <w:p w:rsidR="00C96D38" w:rsidRPr="00C5770D" w:rsidRDefault="001C022A" w:rsidP="0034020A">
      <w:pPr>
        <w:pStyle w:val="Heading3"/>
        <w:spacing w:before="0" w:after="240"/>
        <w:ind w:left="851" w:hanging="851"/>
      </w:pPr>
      <w:bookmarkStart w:id="21" w:name="_Toc490738277"/>
      <w:r w:rsidRPr="00C5770D">
        <w:t>The Moomba H</w:t>
      </w:r>
      <w:r w:rsidR="00C96D38" w:rsidRPr="00C5770D">
        <w:t>ub</w:t>
      </w:r>
      <w:bookmarkEnd w:id="21"/>
    </w:p>
    <w:p w:rsidR="00DD4A81" w:rsidRPr="00F04D06" w:rsidRDefault="00C5770D" w:rsidP="002110E4">
      <w:pPr>
        <w:spacing w:before="0" w:after="240"/>
        <w:jc w:val="both"/>
      </w:pPr>
      <w:r w:rsidRPr="00F04D06">
        <w:t>A new gas supply hub was established at Moomba in June 2016, to facilitate trade on the Moomba Sydney Pipeline (MSP) and Moomba Adelaide Pipeline (MAP) and to enable trade between Wallumbilla and Moomba. There has been a number of offers and some bidding for gas at the Moomba hub but no participant transactions facilitating trade of a spread product or gas at Moomba.</w:t>
      </w:r>
    </w:p>
    <w:p w:rsidR="00305FCF" w:rsidRPr="00EF0B69" w:rsidRDefault="00305FCF" w:rsidP="00DE3CAA">
      <w:pPr>
        <w:pStyle w:val="Heading2"/>
        <w:keepNext/>
        <w:tabs>
          <w:tab w:val="clear" w:pos="680"/>
          <w:tab w:val="left" w:pos="993"/>
        </w:tabs>
        <w:spacing w:before="0" w:after="240"/>
        <w:ind w:left="851" w:hanging="851"/>
      </w:pPr>
      <w:bookmarkStart w:id="22" w:name="_Toc490738278"/>
      <w:r w:rsidRPr="00EF0B69">
        <w:lastRenderedPageBreak/>
        <w:t xml:space="preserve">Retail Market </w:t>
      </w:r>
      <w:r w:rsidR="00D2179B" w:rsidRPr="00EF0B69">
        <w:t>P</w:t>
      </w:r>
      <w:r w:rsidRPr="00EF0B69">
        <w:t>rocedures</w:t>
      </w:r>
      <w:bookmarkEnd w:id="22"/>
    </w:p>
    <w:p w:rsidR="000447FE" w:rsidRPr="00C425C9" w:rsidRDefault="000447FE" w:rsidP="008443D2">
      <w:pPr>
        <w:spacing w:before="0" w:after="240"/>
        <w:jc w:val="both"/>
      </w:pPr>
      <w:r w:rsidRPr="00C425C9">
        <w:t>Under the Gas Law, AEMO has the ability to make procedures regulating a retail gas market (Retail Market Procedures)</w:t>
      </w:r>
      <w:r w:rsidR="005535BB">
        <w:t>.</w:t>
      </w:r>
      <w:r w:rsidR="009C5E58">
        <w:rPr>
          <w:rStyle w:val="FootnoteReference"/>
        </w:rPr>
        <w:footnoteReference w:id="12"/>
      </w:r>
      <w:r w:rsidRPr="00C425C9">
        <w:t xml:space="preserve"> There are four sets of Retail Market Procedures covering Queensland, Victoria, New South Wales and the ACT and South Australia respectively. The procedures impose a number of obligations on participants including in relation to the provision of metering data, the Gas Interface Protocol</w:t>
      </w:r>
      <w:r>
        <w:rPr>
          <w:rStyle w:val="FootnoteReference"/>
        </w:rPr>
        <w:footnoteReference w:id="13"/>
      </w:r>
      <w:r w:rsidRPr="00C425C9">
        <w:t> , customer transfer processes and settlements. Section 91MB of the Gas Law provides that AEMO and each person to whom the Retail Market Procedures (Procedures) are applicable must comply with the Procedures.</w:t>
      </w:r>
    </w:p>
    <w:p w:rsidR="000447FE" w:rsidRPr="00C425C9" w:rsidRDefault="000447FE" w:rsidP="008443D2">
      <w:pPr>
        <w:spacing w:before="0" w:after="240"/>
        <w:jc w:val="both"/>
      </w:pPr>
      <w:r w:rsidRPr="00C425C9">
        <w:t>In the event that AEMO has reasonable grounds to suspect a breach of the Retail Market Procedures, it is required under the Gas Law to determine if the breach is material. If AEMO decides the breach is material, AEMO must publish its decision and the reasons for it on its website. AEMO may direct the person suspected of the breach to rectify it or to take specified measures to ensure future compliance (or both). AEMO may also decide to refer the breach to the AER.</w:t>
      </w:r>
    </w:p>
    <w:p w:rsidR="000447FE" w:rsidRPr="00C425C9" w:rsidRDefault="000447FE" w:rsidP="008443D2">
      <w:pPr>
        <w:spacing w:before="0" w:after="240"/>
        <w:jc w:val="both"/>
      </w:pPr>
      <w:r w:rsidRPr="00C425C9">
        <w:t>If AEMO decides that the breach is immaterial, it must publish the reasons for its decision on its website. It must also provide a copy of its decision to the AER.</w:t>
      </w:r>
    </w:p>
    <w:p w:rsidR="000447FE" w:rsidRPr="00C425C9" w:rsidRDefault="000447FE" w:rsidP="008443D2">
      <w:pPr>
        <w:spacing w:before="0" w:after="240"/>
        <w:jc w:val="both"/>
      </w:pPr>
      <w:r w:rsidRPr="00C425C9">
        <w:t>AEMO has published its compliance process for the Retail Market Procedures</w:t>
      </w:r>
      <w:r w:rsidR="009C5E58">
        <w:rPr>
          <w:rStyle w:val="FootnoteReference"/>
        </w:rPr>
        <w:footnoteReference w:id="14"/>
      </w:r>
      <w:r w:rsidRPr="00C425C9">
        <w:t>. The publication outlines the criteria that AEMO uses to determine that apparent breaches of the Retail Market Procedures have occurred and whether the apparent breaches are material or immaterial.</w:t>
      </w:r>
    </w:p>
    <w:p w:rsidR="000447FE" w:rsidRPr="00C425C9" w:rsidRDefault="000447FE" w:rsidP="008443D2">
      <w:pPr>
        <w:spacing w:before="0" w:after="240"/>
        <w:jc w:val="both"/>
      </w:pPr>
      <w:r w:rsidRPr="00C425C9">
        <w:t>This quarter, AEMO did not report any material breaches, and reported one immaterial breach of the Retail Market Procedures by a market participant. AEMO also self-reported immaterial breaches and provided the details of these breaches to the AER as required. AEMO also provided details of the corrective measures taken to address these breaches. The AER is satisfied with the corrective measures taken by AEMO in relation to the breaches.</w:t>
      </w:r>
    </w:p>
    <w:p w:rsidR="000447FE" w:rsidRPr="00C425C9" w:rsidRDefault="000447FE" w:rsidP="008443D2">
      <w:pPr>
        <w:spacing w:before="0" w:after="240"/>
        <w:jc w:val="both"/>
      </w:pPr>
      <w:r w:rsidRPr="00C425C9">
        <w:t>This quarter, AEMO reported the following immaterial breaches of the Retail Market Procedures:</w:t>
      </w:r>
    </w:p>
    <w:p w:rsidR="000447FE" w:rsidRPr="00C425C9" w:rsidRDefault="00552316" w:rsidP="008443D2">
      <w:pPr>
        <w:numPr>
          <w:ilvl w:val="0"/>
          <w:numId w:val="57"/>
        </w:numPr>
        <w:spacing w:before="0" w:after="240"/>
        <w:ind w:left="426" w:hanging="426"/>
        <w:jc w:val="both"/>
      </w:pPr>
      <w:r w:rsidRPr="00552316">
        <w:t xml:space="preserve">EnergyAustralia Pty </w:t>
      </w:r>
      <w:proofErr w:type="spellStart"/>
      <w:r w:rsidRPr="00552316">
        <w:t>Ltd</w:t>
      </w:r>
      <w:r>
        <w:t>’s</w:t>
      </w:r>
      <w:proofErr w:type="spellEnd"/>
      <w:r w:rsidRPr="00552316">
        <w:t xml:space="preserve"> </w:t>
      </w:r>
      <w:r>
        <w:t xml:space="preserve">(trading as </w:t>
      </w:r>
      <w:proofErr w:type="spellStart"/>
      <w:r w:rsidR="000447FE" w:rsidRPr="00C425C9">
        <w:t>TRUEnergy</w:t>
      </w:r>
      <w:proofErr w:type="spellEnd"/>
      <w:r>
        <w:t>)</w:t>
      </w:r>
      <w:r w:rsidR="000447FE" w:rsidRPr="00C425C9">
        <w:t> failure to nominate the correct User Reconciliation Adjustment Amount (URAA) on a number of occasions during Febru</w:t>
      </w:r>
      <w:r w:rsidR="008A6AE8">
        <w:t>ary 2017, due to a human error.</w:t>
      </w:r>
    </w:p>
    <w:p w:rsidR="000447FE" w:rsidRPr="00C425C9" w:rsidRDefault="000447FE" w:rsidP="008443D2">
      <w:pPr>
        <w:numPr>
          <w:ilvl w:val="0"/>
          <w:numId w:val="57"/>
        </w:numPr>
        <w:spacing w:before="0" w:after="240"/>
        <w:ind w:left="426" w:hanging="426"/>
        <w:jc w:val="both"/>
      </w:pPr>
      <w:r w:rsidRPr="00C425C9">
        <w:t>AEMO’s non-compliance with the requirement to publish monthly reports to Users regarding forecasting and accuracy of information in accordance with clause 9.1(</w:t>
      </w:r>
      <w:r w:rsidR="00834158">
        <w:t xml:space="preserve">c) of the RMP. </w:t>
      </w:r>
      <w:r w:rsidRPr="00C425C9">
        <w:t xml:space="preserve">AEMO noted that, since market start, it has never published those reports to </w:t>
      </w:r>
      <w:r w:rsidRPr="00C425C9">
        <w:lastRenderedPageBreak/>
        <w:t>Users. On 27 February 2017, AEMO published a notice of its decision to remove this reporting obligation effective from 5 April 2017</w:t>
      </w:r>
      <w:r w:rsidR="005535BB">
        <w:t>.</w:t>
      </w:r>
      <w:r w:rsidR="009C5E58">
        <w:rPr>
          <w:rStyle w:val="FootnoteReference"/>
        </w:rPr>
        <w:footnoteReference w:id="15"/>
      </w:r>
    </w:p>
    <w:p w:rsidR="000447FE" w:rsidRDefault="000447FE" w:rsidP="008443D2">
      <w:pPr>
        <w:numPr>
          <w:ilvl w:val="0"/>
          <w:numId w:val="57"/>
        </w:numPr>
        <w:spacing w:before="0" w:after="240"/>
        <w:ind w:left="426" w:hanging="426"/>
        <w:jc w:val="both"/>
      </w:pPr>
      <w:r w:rsidRPr="00C425C9">
        <w:t xml:space="preserve">AEMO’s failure to provide acknowledgement within 4.5 hours for medium priority transactions on 4 May 2017 as a result of a configuration issue with a </w:t>
      </w:r>
      <w:r w:rsidR="002B7F5B">
        <w:t xml:space="preserve">computer network </w:t>
      </w:r>
      <w:r w:rsidRPr="00C425C9">
        <w:t>firewall.</w:t>
      </w:r>
    </w:p>
    <w:p w:rsidR="0013114D" w:rsidRPr="00DE3CAA" w:rsidRDefault="009C5E58" w:rsidP="008443D2">
      <w:pPr>
        <w:numPr>
          <w:ilvl w:val="0"/>
          <w:numId w:val="57"/>
        </w:numPr>
        <w:spacing w:before="0" w:after="240"/>
        <w:ind w:left="426" w:hanging="426"/>
        <w:jc w:val="both"/>
        <w:rPr>
          <w:rFonts w:asciiTheme="minorHAnsi" w:hAnsiTheme="minorHAnsi" w:cstheme="minorHAnsi"/>
          <w:color w:val="FF0000"/>
        </w:rPr>
      </w:pPr>
      <w:r>
        <w:t>A</w:t>
      </w:r>
      <w:r w:rsidRPr="00C425C9">
        <w:t>EMO’s failure to operate the Full Retail Contestability (FRC) Hub with a Recovery Time Objective (RTO) of 4 hours. On 9 May 2017, the Gas FRC Hub was unavailable between 10.19am (AEST) and 9.24pm (AEST). AEMO reported that this incident occurred following a system change which triggered an event causing the server to become unresponsive</w:t>
      </w:r>
      <w:r w:rsidRPr="008A6AE8">
        <w:t>.</w:t>
      </w:r>
    </w:p>
    <w:p w:rsidR="00BA5F7A" w:rsidRPr="00C5770D" w:rsidRDefault="00BA5F7A" w:rsidP="00365270">
      <w:pPr>
        <w:pStyle w:val="Heading3"/>
        <w:keepNext/>
        <w:spacing w:before="0" w:after="240"/>
        <w:ind w:left="851" w:hanging="851"/>
      </w:pPr>
      <w:bookmarkStart w:id="23" w:name="_Toc490738279"/>
      <w:proofErr w:type="spellStart"/>
      <w:r>
        <w:t>Jemena</w:t>
      </w:r>
      <w:proofErr w:type="spellEnd"/>
      <w:r>
        <w:t xml:space="preserve"> Gas Networks – provision of meter data services in NSW and ACT</w:t>
      </w:r>
      <w:bookmarkEnd w:id="23"/>
    </w:p>
    <w:p w:rsidR="00BE2488" w:rsidRPr="00BE2488" w:rsidRDefault="00BE2488" w:rsidP="008443D2">
      <w:pPr>
        <w:spacing w:before="0" w:after="240"/>
        <w:jc w:val="both"/>
        <w:rPr>
          <w:rFonts w:asciiTheme="minorHAnsi" w:hAnsiTheme="minorHAnsi" w:cstheme="minorHAnsi"/>
          <w:bCs/>
        </w:rPr>
      </w:pPr>
      <w:r w:rsidRPr="00BE2488">
        <w:rPr>
          <w:rFonts w:asciiTheme="minorHAnsi" w:hAnsiTheme="minorHAnsi" w:cstheme="minorHAnsi"/>
          <w:bCs/>
        </w:rPr>
        <w:t xml:space="preserve">In previous QCRs, we reported on </w:t>
      </w:r>
      <w:proofErr w:type="spellStart"/>
      <w:r w:rsidRPr="00BE2488">
        <w:rPr>
          <w:rFonts w:asciiTheme="minorHAnsi" w:hAnsiTheme="minorHAnsi" w:cstheme="minorHAnsi"/>
          <w:bCs/>
        </w:rPr>
        <w:t>Jemena</w:t>
      </w:r>
      <w:proofErr w:type="spellEnd"/>
      <w:r w:rsidR="004D5C06">
        <w:rPr>
          <w:rFonts w:asciiTheme="minorHAnsi" w:hAnsiTheme="minorHAnsi" w:cstheme="minorHAnsi"/>
          <w:bCs/>
        </w:rPr>
        <w:t xml:space="preserve"> Gas </w:t>
      </w:r>
      <w:proofErr w:type="spellStart"/>
      <w:r w:rsidR="004D5C06">
        <w:rPr>
          <w:rFonts w:asciiTheme="minorHAnsi" w:hAnsiTheme="minorHAnsi" w:cstheme="minorHAnsi"/>
          <w:bCs/>
        </w:rPr>
        <w:t>Networks</w:t>
      </w:r>
      <w:r w:rsidRPr="00BE2488">
        <w:rPr>
          <w:rFonts w:asciiTheme="minorHAnsi" w:hAnsiTheme="minorHAnsi" w:cstheme="minorHAnsi"/>
          <w:bCs/>
        </w:rPr>
        <w:t>’s</w:t>
      </w:r>
      <w:proofErr w:type="spellEnd"/>
      <w:r w:rsidRPr="00BE2488">
        <w:rPr>
          <w:rFonts w:asciiTheme="minorHAnsi" w:hAnsiTheme="minorHAnsi" w:cstheme="minorHAnsi"/>
          <w:bCs/>
        </w:rPr>
        <w:t xml:space="preserve"> material breach of the </w:t>
      </w:r>
      <w:r w:rsidRPr="00BE2488">
        <w:rPr>
          <w:rFonts w:asciiTheme="minorHAnsi" w:hAnsiTheme="minorHAnsi" w:cstheme="minorHAnsi"/>
        </w:rPr>
        <w:t>NSW/ACT Retail Market Procedures (</w:t>
      </w:r>
      <w:r w:rsidRPr="00BE2488">
        <w:rPr>
          <w:rFonts w:asciiTheme="minorHAnsi" w:hAnsiTheme="minorHAnsi" w:cstheme="minorHAnsi"/>
          <w:bCs/>
        </w:rPr>
        <w:t>RMP</w:t>
      </w:r>
      <w:r w:rsidRPr="00BE2488">
        <w:rPr>
          <w:rFonts w:asciiTheme="minorHAnsi" w:hAnsiTheme="minorHAnsi" w:cstheme="minorHAnsi"/>
        </w:rPr>
        <w:t>)</w:t>
      </w:r>
      <w:r w:rsidRPr="00BE2488">
        <w:rPr>
          <w:rFonts w:asciiTheme="minorHAnsi" w:hAnsiTheme="minorHAnsi" w:cstheme="minorHAnsi"/>
          <w:bCs/>
        </w:rPr>
        <w:t>. This matter was originally referred to the AER by AEMO in March</w:t>
      </w:r>
      <w:r w:rsidRPr="00BE2488">
        <w:rPr>
          <w:rFonts w:asciiTheme="minorHAnsi" w:hAnsiTheme="minorHAnsi" w:cstheme="minorHAnsi"/>
          <w:bCs/>
          <w:i/>
        </w:rPr>
        <w:t xml:space="preserve"> </w:t>
      </w:r>
      <w:r w:rsidRPr="00BE2488">
        <w:rPr>
          <w:rFonts w:asciiTheme="minorHAnsi" w:hAnsiTheme="minorHAnsi" w:cstheme="minorHAnsi"/>
          <w:bCs/>
        </w:rPr>
        <w:t>2016</w:t>
      </w:r>
      <w:r w:rsidRPr="00BE2488">
        <w:rPr>
          <w:rFonts w:asciiTheme="minorHAnsi" w:hAnsiTheme="minorHAnsi" w:cstheme="minorHAnsi"/>
          <w:bCs/>
          <w:i/>
        </w:rPr>
        <w:t xml:space="preserve"> </w:t>
      </w:r>
      <w:r w:rsidRPr="00BE2488">
        <w:rPr>
          <w:rFonts w:asciiTheme="minorHAnsi" w:hAnsiTheme="minorHAnsi" w:cstheme="minorHAnsi"/>
          <w:bCs/>
        </w:rPr>
        <w:t xml:space="preserve">based on its assessment that </w:t>
      </w:r>
      <w:proofErr w:type="spellStart"/>
      <w:r w:rsidRPr="00BE2488">
        <w:rPr>
          <w:rFonts w:asciiTheme="minorHAnsi" w:hAnsiTheme="minorHAnsi" w:cstheme="minorHAnsi"/>
          <w:bCs/>
        </w:rPr>
        <w:t>Jemena</w:t>
      </w:r>
      <w:proofErr w:type="spellEnd"/>
      <w:r w:rsidR="004D5C06">
        <w:rPr>
          <w:rFonts w:asciiTheme="minorHAnsi" w:hAnsiTheme="minorHAnsi" w:cstheme="minorHAnsi"/>
          <w:bCs/>
        </w:rPr>
        <w:t xml:space="preserve"> Gas Network</w:t>
      </w:r>
      <w:r w:rsidRPr="00BE2488">
        <w:rPr>
          <w:rFonts w:asciiTheme="minorHAnsi" w:hAnsiTheme="minorHAnsi" w:cstheme="minorHAnsi"/>
          <w:bCs/>
        </w:rPr>
        <w:t>’s</w:t>
      </w:r>
      <w:r w:rsidR="004D5C06">
        <w:rPr>
          <w:rFonts w:asciiTheme="minorHAnsi" w:hAnsiTheme="minorHAnsi" w:cstheme="minorHAnsi"/>
          <w:bCs/>
        </w:rPr>
        <w:t xml:space="preserve"> (JGN)</w:t>
      </w:r>
      <w:r w:rsidRPr="00BE2488">
        <w:rPr>
          <w:rFonts w:asciiTheme="minorHAnsi" w:hAnsiTheme="minorHAnsi" w:cstheme="minorHAnsi"/>
          <w:bCs/>
        </w:rPr>
        <w:t xml:space="preserve"> failure to provide metering data between January to July 2015 and September 2015 to January 2016 was a material breach of the RMP.</w:t>
      </w:r>
      <w:r w:rsidRPr="00BE2488">
        <w:rPr>
          <w:rStyle w:val="FootnoteReference"/>
          <w:rFonts w:asciiTheme="minorHAnsi" w:hAnsiTheme="minorHAnsi" w:cstheme="minorHAnsi"/>
          <w:bCs/>
          <w:sz w:val="22"/>
        </w:rPr>
        <w:footnoteReference w:id="16"/>
      </w:r>
    </w:p>
    <w:p w:rsidR="00A72640" w:rsidRDefault="00A72640" w:rsidP="008443D2">
      <w:pPr>
        <w:spacing w:before="0" w:after="240"/>
        <w:jc w:val="both"/>
        <w:rPr>
          <w:rFonts w:asciiTheme="minorHAnsi" w:hAnsiTheme="minorHAnsi" w:cstheme="minorHAnsi"/>
          <w:bCs/>
        </w:rPr>
      </w:pPr>
      <w:r w:rsidRPr="00BE2488">
        <w:rPr>
          <w:rFonts w:asciiTheme="minorHAnsi" w:hAnsiTheme="minorHAnsi" w:cstheme="minorHAnsi"/>
          <w:bCs/>
        </w:rPr>
        <w:t>To ensure ongoing progress towards resolution, J</w:t>
      </w:r>
      <w:r>
        <w:rPr>
          <w:rFonts w:asciiTheme="minorHAnsi" w:hAnsiTheme="minorHAnsi" w:cstheme="minorHAnsi"/>
          <w:bCs/>
        </w:rPr>
        <w:t xml:space="preserve">GN </w:t>
      </w:r>
      <w:r w:rsidRPr="00BE2488">
        <w:rPr>
          <w:rFonts w:asciiTheme="minorHAnsi" w:hAnsiTheme="minorHAnsi" w:cstheme="minorHAnsi"/>
        </w:rPr>
        <w:t>has provided monthly compliance reports to the AER since February 2016</w:t>
      </w:r>
      <w:r w:rsidRPr="00BE2488">
        <w:rPr>
          <w:rFonts w:asciiTheme="minorHAnsi" w:hAnsiTheme="minorHAnsi" w:cstheme="minorHAnsi"/>
          <w:bCs/>
        </w:rPr>
        <w:t>. These reports include information about</w:t>
      </w:r>
      <w:r w:rsidRPr="00BE2488">
        <w:rPr>
          <w:rFonts w:asciiTheme="minorHAnsi" w:hAnsiTheme="minorHAnsi" w:cstheme="minorHAnsi"/>
        </w:rPr>
        <w:t xml:space="preserve"> J</w:t>
      </w:r>
      <w:r>
        <w:rPr>
          <w:rFonts w:asciiTheme="minorHAnsi" w:hAnsiTheme="minorHAnsi" w:cstheme="minorHAnsi"/>
        </w:rPr>
        <w:t>GN</w:t>
      </w:r>
      <w:r w:rsidRPr="00BE2488">
        <w:rPr>
          <w:rFonts w:asciiTheme="minorHAnsi" w:hAnsiTheme="minorHAnsi" w:cstheme="minorHAnsi"/>
        </w:rPr>
        <w:t xml:space="preserve">’s metering performance targets and </w:t>
      </w:r>
      <w:r w:rsidR="00C03455">
        <w:rPr>
          <w:rFonts w:asciiTheme="minorHAnsi" w:hAnsiTheme="minorHAnsi" w:cstheme="minorHAnsi"/>
          <w:bCs/>
        </w:rPr>
        <w:t>outline steps it</w:t>
      </w:r>
      <w:r>
        <w:rPr>
          <w:rFonts w:asciiTheme="minorHAnsi" w:hAnsiTheme="minorHAnsi" w:cstheme="minorHAnsi"/>
          <w:bCs/>
        </w:rPr>
        <w:t xml:space="preserve"> </w:t>
      </w:r>
      <w:r w:rsidRPr="00BE2488">
        <w:rPr>
          <w:rFonts w:asciiTheme="minorHAnsi" w:hAnsiTheme="minorHAnsi" w:cstheme="minorHAnsi"/>
          <w:bCs/>
        </w:rPr>
        <w:t>has taken to improve its compliance and overall performance. The reports have focussed on resourcing, system improvements and prioritising the resolution of meter read</w:t>
      </w:r>
      <w:r>
        <w:rPr>
          <w:rFonts w:asciiTheme="minorHAnsi" w:hAnsiTheme="minorHAnsi" w:cstheme="minorHAnsi"/>
          <w:bCs/>
        </w:rPr>
        <w:t>ing and data provision</w:t>
      </w:r>
      <w:r w:rsidRPr="00BE2488">
        <w:rPr>
          <w:rFonts w:asciiTheme="minorHAnsi" w:hAnsiTheme="minorHAnsi" w:cstheme="minorHAnsi"/>
          <w:bCs/>
        </w:rPr>
        <w:t xml:space="preserve"> issues.</w:t>
      </w:r>
    </w:p>
    <w:p w:rsidR="00BE2488" w:rsidRDefault="00BE2488" w:rsidP="008443D2">
      <w:pPr>
        <w:spacing w:before="0" w:after="240"/>
        <w:jc w:val="both"/>
        <w:rPr>
          <w:rFonts w:asciiTheme="minorHAnsi" w:hAnsiTheme="minorHAnsi" w:cstheme="minorHAnsi"/>
          <w:bCs/>
        </w:rPr>
      </w:pPr>
      <w:r w:rsidRPr="00BE2488">
        <w:rPr>
          <w:rFonts w:asciiTheme="minorHAnsi" w:hAnsiTheme="minorHAnsi" w:cstheme="minorHAnsi"/>
          <w:bCs/>
        </w:rPr>
        <w:t>The AER is continuing to engage with J</w:t>
      </w:r>
      <w:r w:rsidR="004D5C06">
        <w:rPr>
          <w:rFonts w:asciiTheme="minorHAnsi" w:hAnsiTheme="minorHAnsi" w:cstheme="minorHAnsi"/>
          <w:bCs/>
        </w:rPr>
        <w:t>GN</w:t>
      </w:r>
      <w:r w:rsidRPr="00BE2488">
        <w:rPr>
          <w:rFonts w:asciiTheme="minorHAnsi" w:hAnsiTheme="minorHAnsi" w:cstheme="minorHAnsi"/>
          <w:bCs/>
        </w:rPr>
        <w:t xml:space="preserve"> and AEMO in relation to J</w:t>
      </w:r>
      <w:r w:rsidR="004D5C06">
        <w:rPr>
          <w:rFonts w:asciiTheme="minorHAnsi" w:hAnsiTheme="minorHAnsi" w:cstheme="minorHAnsi"/>
          <w:bCs/>
        </w:rPr>
        <w:t>GN</w:t>
      </w:r>
      <w:r w:rsidRPr="00BE2488">
        <w:rPr>
          <w:rFonts w:asciiTheme="minorHAnsi" w:hAnsiTheme="minorHAnsi" w:cstheme="minorHAnsi"/>
          <w:bCs/>
        </w:rPr>
        <w:t>’s overall metering data performance and its compliance with the NSW and ACT Retail Market Procedures. As part of this process, J</w:t>
      </w:r>
      <w:r w:rsidR="004D5C06">
        <w:rPr>
          <w:rFonts w:asciiTheme="minorHAnsi" w:hAnsiTheme="minorHAnsi" w:cstheme="minorHAnsi"/>
          <w:bCs/>
        </w:rPr>
        <w:t>GN</w:t>
      </w:r>
      <w:r w:rsidRPr="00BE2488">
        <w:rPr>
          <w:rFonts w:asciiTheme="minorHAnsi" w:hAnsiTheme="minorHAnsi" w:cstheme="minorHAnsi"/>
          <w:bCs/>
        </w:rPr>
        <w:t xml:space="preserve"> is now providing a more detailed breakdown of its meter reading performance against a range of indicators and has proposed an action plan to resolve the issues and improve its metering reading perf</w:t>
      </w:r>
      <w:r w:rsidR="008A6AE8">
        <w:rPr>
          <w:rFonts w:asciiTheme="minorHAnsi" w:hAnsiTheme="minorHAnsi" w:cstheme="minorHAnsi"/>
          <w:bCs/>
        </w:rPr>
        <w:t xml:space="preserve">ormance. </w:t>
      </w:r>
      <w:r w:rsidR="00A72640">
        <w:rPr>
          <w:rFonts w:asciiTheme="minorHAnsi" w:hAnsiTheme="minorHAnsi" w:cstheme="minorHAnsi"/>
          <w:bCs/>
        </w:rPr>
        <w:t>JGN has</w:t>
      </w:r>
      <w:r w:rsidR="008A6AE8">
        <w:rPr>
          <w:rFonts w:asciiTheme="minorHAnsi" w:hAnsiTheme="minorHAnsi" w:cstheme="minorHAnsi"/>
          <w:bCs/>
        </w:rPr>
        <w:t>:</w:t>
      </w:r>
    </w:p>
    <w:p w:rsidR="00A72640" w:rsidRPr="005F0B1D" w:rsidRDefault="00A72640" w:rsidP="008443D2">
      <w:pPr>
        <w:pStyle w:val="ListParagraph"/>
        <w:numPr>
          <w:ilvl w:val="0"/>
          <w:numId w:val="58"/>
        </w:numPr>
        <w:tabs>
          <w:tab w:val="clear" w:pos="340"/>
          <w:tab w:val="left" w:pos="426"/>
        </w:tabs>
        <w:spacing w:before="0" w:after="240"/>
        <w:ind w:left="425" w:hanging="425"/>
        <w:jc w:val="both"/>
        <w:rPr>
          <w:rFonts w:asciiTheme="minorHAnsi" w:hAnsiTheme="minorHAnsi" w:cstheme="minorHAnsi"/>
        </w:rPr>
      </w:pPr>
      <w:proofErr w:type="gramStart"/>
      <w:r>
        <w:rPr>
          <w:rFonts w:asciiTheme="minorHAnsi" w:hAnsiTheme="minorHAnsi" w:cstheme="minorHAnsi"/>
        </w:rPr>
        <w:t>d</w:t>
      </w:r>
      <w:r w:rsidRPr="00BE2488">
        <w:rPr>
          <w:rFonts w:asciiTheme="minorHAnsi" w:hAnsiTheme="minorHAnsi" w:cstheme="minorHAnsi"/>
        </w:rPr>
        <w:t>evelop</w:t>
      </w:r>
      <w:r>
        <w:rPr>
          <w:rFonts w:asciiTheme="minorHAnsi" w:hAnsiTheme="minorHAnsi" w:cstheme="minorHAnsi"/>
        </w:rPr>
        <w:t>ed</w:t>
      </w:r>
      <w:proofErr w:type="gramEnd"/>
      <w:r w:rsidRPr="00BE2488">
        <w:rPr>
          <w:rFonts w:asciiTheme="minorHAnsi" w:hAnsiTheme="minorHAnsi" w:cstheme="minorHAnsi"/>
        </w:rPr>
        <w:t xml:space="preserve"> and roll</w:t>
      </w:r>
      <w:r>
        <w:rPr>
          <w:rFonts w:asciiTheme="minorHAnsi" w:hAnsiTheme="minorHAnsi" w:cstheme="minorHAnsi"/>
        </w:rPr>
        <w:t>ed</w:t>
      </w:r>
      <w:r w:rsidRPr="00BE2488">
        <w:rPr>
          <w:rFonts w:asciiTheme="minorHAnsi" w:hAnsiTheme="minorHAnsi" w:cstheme="minorHAnsi"/>
        </w:rPr>
        <w:t xml:space="preserve"> out SAP system changes and improvements, which includes standing data review, reading validation settings and hot water billing</w:t>
      </w:r>
      <w:r>
        <w:rPr>
          <w:rFonts w:asciiTheme="minorHAnsi" w:hAnsiTheme="minorHAnsi" w:cstheme="minorHAnsi"/>
        </w:rPr>
        <w:t xml:space="preserve"> (August-September 2016)</w:t>
      </w:r>
      <w:r w:rsidRPr="00BE2488">
        <w:rPr>
          <w:rFonts w:asciiTheme="minorHAnsi" w:hAnsiTheme="minorHAnsi" w:cstheme="minorHAnsi"/>
        </w:rPr>
        <w:t xml:space="preserve">. </w:t>
      </w:r>
      <w:r>
        <w:rPr>
          <w:rFonts w:asciiTheme="minorHAnsi" w:hAnsiTheme="minorHAnsi" w:cstheme="minorHAnsi"/>
        </w:rPr>
        <w:t>JGN also b</w:t>
      </w:r>
      <w:r w:rsidRPr="005B5321">
        <w:rPr>
          <w:rFonts w:asciiTheme="minorHAnsi" w:hAnsiTheme="minorHAnsi" w:cstheme="minorHAnsi"/>
        </w:rPr>
        <w:t>rought the meter reading management function in-house</w:t>
      </w:r>
      <w:r>
        <w:rPr>
          <w:rFonts w:asciiTheme="minorHAnsi" w:hAnsiTheme="minorHAnsi" w:cstheme="minorHAnsi"/>
        </w:rPr>
        <w:t xml:space="preserve"> and </w:t>
      </w:r>
      <w:r w:rsidRPr="005B5321">
        <w:rPr>
          <w:rFonts w:asciiTheme="minorHAnsi" w:hAnsiTheme="minorHAnsi" w:cstheme="minorHAnsi"/>
        </w:rPr>
        <w:t>re-optimised meter reading schedules (to Oct</w:t>
      </w:r>
      <w:r>
        <w:rPr>
          <w:rFonts w:asciiTheme="minorHAnsi" w:hAnsiTheme="minorHAnsi" w:cstheme="minorHAnsi"/>
        </w:rPr>
        <w:t>ober</w:t>
      </w:r>
      <w:r w:rsidRPr="005B5321">
        <w:rPr>
          <w:rFonts w:asciiTheme="minorHAnsi" w:hAnsiTheme="minorHAnsi" w:cstheme="minorHAnsi"/>
        </w:rPr>
        <w:t xml:space="preserve"> 2016)</w:t>
      </w:r>
      <w:r w:rsidR="004A3697">
        <w:rPr>
          <w:rFonts w:asciiTheme="minorHAnsi" w:hAnsiTheme="minorHAnsi" w:cstheme="minorHAnsi"/>
        </w:rPr>
        <w:t>.</w:t>
      </w:r>
    </w:p>
    <w:p w:rsidR="00A72640" w:rsidRDefault="00A72640" w:rsidP="008443D2">
      <w:pPr>
        <w:pStyle w:val="ListParagraph"/>
        <w:numPr>
          <w:ilvl w:val="0"/>
          <w:numId w:val="58"/>
        </w:numPr>
        <w:tabs>
          <w:tab w:val="clear" w:pos="340"/>
          <w:tab w:val="left" w:pos="426"/>
        </w:tabs>
        <w:spacing w:before="0" w:after="240"/>
        <w:ind w:left="425" w:hanging="425"/>
        <w:jc w:val="both"/>
        <w:rPr>
          <w:rFonts w:asciiTheme="minorHAnsi" w:hAnsiTheme="minorHAnsi" w:cstheme="minorHAnsi"/>
        </w:rPr>
      </w:pPr>
      <w:proofErr w:type="gramStart"/>
      <w:r>
        <w:rPr>
          <w:rFonts w:asciiTheme="minorHAnsi" w:hAnsiTheme="minorHAnsi" w:cstheme="minorHAnsi"/>
        </w:rPr>
        <w:lastRenderedPageBreak/>
        <w:t>established</w:t>
      </w:r>
      <w:proofErr w:type="gramEnd"/>
      <w:r>
        <w:rPr>
          <w:rFonts w:asciiTheme="minorHAnsi" w:hAnsiTheme="minorHAnsi" w:cstheme="minorHAnsi"/>
        </w:rPr>
        <w:t xml:space="preserve"> a billing taskforce that has p</w:t>
      </w:r>
      <w:r w:rsidRPr="000828E4">
        <w:rPr>
          <w:rFonts w:asciiTheme="minorHAnsi" w:hAnsiTheme="minorHAnsi" w:cstheme="minorHAnsi"/>
        </w:rPr>
        <w:t>ut in place business tools to facilitate the validation and release of actual readings to reduce the number of estimated bills to the market</w:t>
      </w:r>
      <w:r>
        <w:rPr>
          <w:rFonts w:asciiTheme="minorHAnsi" w:hAnsiTheme="minorHAnsi" w:cstheme="minorHAnsi"/>
        </w:rPr>
        <w:t xml:space="preserve"> (July-December 2016)</w:t>
      </w:r>
      <w:r w:rsidRPr="000828E4">
        <w:rPr>
          <w:rFonts w:asciiTheme="minorHAnsi" w:hAnsiTheme="minorHAnsi" w:cstheme="minorHAnsi"/>
        </w:rPr>
        <w:t>.</w:t>
      </w:r>
    </w:p>
    <w:p w:rsidR="00A72640" w:rsidRPr="005F0B1D" w:rsidRDefault="00A72640" w:rsidP="008443D2">
      <w:pPr>
        <w:pStyle w:val="ListParagraph"/>
        <w:numPr>
          <w:ilvl w:val="0"/>
          <w:numId w:val="58"/>
        </w:numPr>
        <w:tabs>
          <w:tab w:val="clear" w:pos="340"/>
          <w:tab w:val="left" w:pos="426"/>
        </w:tabs>
        <w:spacing w:before="0" w:after="240"/>
        <w:ind w:left="426" w:hanging="426"/>
        <w:jc w:val="both"/>
      </w:pPr>
      <w:r>
        <w:rPr>
          <w:rFonts w:asciiTheme="minorHAnsi" w:hAnsiTheme="minorHAnsi" w:cstheme="minorHAnsi"/>
        </w:rPr>
        <w:t>recruited</w:t>
      </w:r>
      <w:r w:rsidRPr="000828E4">
        <w:rPr>
          <w:rFonts w:asciiTheme="minorHAnsi" w:hAnsiTheme="minorHAnsi" w:cstheme="minorHAnsi"/>
        </w:rPr>
        <w:t xml:space="preserve"> additional resources to resolve issues around missing meter reads, high numbers of estimates, bulk hot water billing issues, release of actual readings, hot water/meter data loggers (</w:t>
      </w:r>
      <w:r w:rsidRPr="000828E4">
        <w:rPr>
          <w:rFonts w:asciiTheme="minorHAnsi" w:hAnsiTheme="minorHAnsi" w:cstheme="minorHAnsi"/>
          <w:bCs/>
        </w:rPr>
        <w:t>MDL</w:t>
      </w:r>
      <w:r w:rsidRPr="000828E4">
        <w:rPr>
          <w:rFonts w:asciiTheme="minorHAnsi" w:hAnsiTheme="minorHAnsi" w:cstheme="minorHAnsi"/>
        </w:rPr>
        <w:t>) errors and classification errors</w:t>
      </w:r>
      <w:r>
        <w:rPr>
          <w:rFonts w:asciiTheme="minorHAnsi" w:hAnsiTheme="minorHAnsi" w:cstheme="minorHAnsi"/>
        </w:rPr>
        <w:t xml:space="preserve"> (July-December 2016)</w:t>
      </w:r>
      <w:r w:rsidRPr="000828E4">
        <w:rPr>
          <w:rFonts w:asciiTheme="minorHAnsi" w:hAnsiTheme="minorHAnsi" w:cstheme="minorHAnsi"/>
        </w:rPr>
        <w:t>.</w:t>
      </w:r>
    </w:p>
    <w:p w:rsidR="00A72640" w:rsidRDefault="00A72640" w:rsidP="008443D2">
      <w:pPr>
        <w:pStyle w:val="ListParagraph"/>
        <w:numPr>
          <w:ilvl w:val="0"/>
          <w:numId w:val="58"/>
        </w:numPr>
        <w:tabs>
          <w:tab w:val="clear" w:pos="340"/>
          <w:tab w:val="left" w:pos="426"/>
        </w:tabs>
        <w:spacing w:before="0" w:after="240"/>
        <w:ind w:left="425" w:hanging="425"/>
        <w:jc w:val="both"/>
      </w:pPr>
      <w:r>
        <w:t xml:space="preserve">set-up a multi-team project with executive oversight of all metering activities with goals to improve customer experience and retailer satisfaction, reduce estimates, automate processes where possible, and define </w:t>
      </w:r>
      <w:r w:rsidR="004A3697">
        <w:t>services benchmarks</w:t>
      </w:r>
      <w:r>
        <w:t xml:space="preserve"> (January 2017 to present).</w:t>
      </w:r>
    </w:p>
    <w:p w:rsidR="00A72640" w:rsidRPr="00C13F0E" w:rsidRDefault="00A72640" w:rsidP="008443D2">
      <w:pPr>
        <w:pStyle w:val="ListParagraph"/>
        <w:numPr>
          <w:ilvl w:val="0"/>
          <w:numId w:val="58"/>
        </w:numPr>
        <w:tabs>
          <w:tab w:val="clear" w:pos="340"/>
          <w:tab w:val="left" w:pos="426"/>
        </w:tabs>
        <w:spacing w:before="0" w:after="240"/>
        <w:ind w:left="426" w:hanging="426"/>
        <w:jc w:val="both"/>
      </w:pPr>
      <w:r w:rsidRPr="005F0B1D">
        <w:t>Established a new customer care team to manage end-to-end customer metering and billing enquiries</w:t>
      </w:r>
      <w:r>
        <w:t>.</w:t>
      </w:r>
    </w:p>
    <w:p w:rsidR="00BE2488" w:rsidRPr="00C20E37" w:rsidRDefault="00BE2488" w:rsidP="008443D2">
      <w:pPr>
        <w:spacing w:before="0" w:after="240"/>
        <w:jc w:val="both"/>
        <w:rPr>
          <w:rFonts w:asciiTheme="minorHAnsi" w:hAnsiTheme="minorHAnsi" w:cstheme="minorHAnsi"/>
        </w:rPr>
      </w:pPr>
      <w:r w:rsidRPr="00BE2488">
        <w:rPr>
          <w:rFonts w:asciiTheme="minorHAnsi" w:hAnsiTheme="minorHAnsi" w:cstheme="minorHAnsi"/>
        </w:rPr>
        <w:t>The</w:t>
      </w:r>
      <w:r w:rsidR="00C20E37">
        <w:rPr>
          <w:rFonts w:asciiTheme="minorHAnsi" w:hAnsiTheme="minorHAnsi" w:cstheme="minorHAnsi"/>
        </w:rPr>
        <w:t xml:space="preserve"> diagrams below highlight JGN</w:t>
      </w:r>
      <w:r w:rsidRPr="00BE2488">
        <w:rPr>
          <w:rFonts w:asciiTheme="minorHAnsi" w:hAnsiTheme="minorHAnsi" w:cstheme="minorHAnsi"/>
        </w:rPr>
        <w:t xml:space="preserve">’s review </w:t>
      </w:r>
      <w:r w:rsidR="00C20E37">
        <w:rPr>
          <w:rFonts w:asciiTheme="minorHAnsi" w:hAnsiTheme="minorHAnsi" w:cstheme="minorHAnsi"/>
        </w:rPr>
        <w:t>of its performance since May 2016</w:t>
      </w:r>
      <w:r w:rsidRPr="00BE2488">
        <w:rPr>
          <w:rFonts w:asciiTheme="minorHAnsi" w:hAnsiTheme="minorHAnsi" w:cstheme="minorHAnsi"/>
        </w:rPr>
        <w:t xml:space="preserve">, </w:t>
      </w:r>
      <w:r w:rsidR="00C20E37">
        <w:rPr>
          <w:rFonts w:asciiTheme="minorHAnsi" w:hAnsiTheme="minorHAnsi" w:cstheme="minorHAnsi"/>
        </w:rPr>
        <w:t>against the new RMP obligations (figures 5 and 6).</w:t>
      </w:r>
      <w:r w:rsidR="00C20E37">
        <w:rPr>
          <w:rStyle w:val="FootnoteReference"/>
          <w:rFonts w:asciiTheme="minorHAnsi" w:hAnsiTheme="minorHAnsi" w:cstheme="minorHAnsi"/>
        </w:rPr>
        <w:footnoteReference w:id="17"/>
      </w:r>
      <w:r w:rsidR="00C20E37">
        <w:rPr>
          <w:rFonts w:asciiTheme="minorHAnsi" w:hAnsiTheme="minorHAnsi" w:cstheme="minorHAnsi"/>
        </w:rPr>
        <w:t xml:space="preserve"> JGN’s reporting against the transitional RMP obligations is not captured in the diagrams.</w:t>
      </w:r>
    </w:p>
    <w:p w:rsidR="00BE2488" w:rsidRPr="00320602" w:rsidRDefault="00C20E37" w:rsidP="000828E4">
      <w:pPr>
        <w:keepNext/>
        <w:spacing w:before="0" w:after="240"/>
        <w:ind w:left="340" w:hanging="340"/>
        <w:rPr>
          <w:rFonts w:asciiTheme="minorHAnsi" w:hAnsiTheme="minorHAnsi" w:cstheme="minorHAnsi"/>
          <w:b/>
          <w:color w:val="076A92" w:themeColor="text1"/>
          <w:sz w:val="24"/>
          <w:szCs w:val="24"/>
        </w:rPr>
      </w:pPr>
      <w:r>
        <w:rPr>
          <w:rFonts w:asciiTheme="minorHAnsi" w:hAnsiTheme="minorHAnsi" w:cstheme="minorHAnsi"/>
          <w:b/>
          <w:color w:val="076A92" w:themeColor="text1"/>
          <w:sz w:val="24"/>
          <w:szCs w:val="24"/>
        </w:rPr>
        <w:t>Figure 5</w:t>
      </w:r>
      <w:r w:rsidR="003D6558" w:rsidRPr="00320602">
        <w:rPr>
          <w:rFonts w:asciiTheme="minorHAnsi" w:hAnsiTheme="minorHAnsi" w:cstheme="minorHAnsi"/>
          <w:b/>
          <w:color w:val="076A92" w:themeColor="text1"/>
          <w:sz w:val="24"/>
          <w:szCs w:val="24"/>
        </w:rPr>
        <w:t xml:space="preserve">: </w:t>
      </w:r>
      <w:proofErr w:type="spellStart"/>
      <w:r w:rsidR="00BE2488" w:rsidRPr="00320602">
        <w:rPr>
          <w:rFonts w:asciiTheme="minorHAnsi" w:hAnsiTheme="minorHAnsi" w:cstheme="minorHAnsi"/>
          <w:b/>
          <w:color w:val="076A92" w:themeColor="text1"/>
          <w:sz w:val="24"/>
          <w:szCs w:val="24"/>
        </w:rPr>
        <w:t>Jemena’s</w:t>
      </w:r>
      <w:proofErr w:type="spellEnd"/>
      <w:r w:rsidR="00BE2488" w:rsidRPr="00320602">
        <w:rPr>
          <w:rFonts w:asciiTheme="minorHAnsi" w:hAnsiTheme="minorHAnsi" w:cstheme="minorHAnsi"/>
          <w:b/>
          <w:color w:val="076A92" w:themeColor="text1"/>
          <w:sz w:val="24"/>
          <w:szCs w:val="24"/>
        </w:rPr>
        <w:t xml:space="preserve"> performance against the RMP obligations post May 2016</w:t>
      </w:r>
      <w:r w:rsidR="00E70AE7">
        <w:rPr>
          <w:rStyle w:val="FootnoteReference"/>
          <w:rFonts w:asciiTheme="minorHAnsi" w:hAnsiTheme="minorHAnsi" w:cstheme="minorHAnsi"/>
          <w:b/>
          <w:color w:val="076A92" w:themeColor="text1"/>
          <w:szCs w:val="24"/>
        </w:rPr>
        <w:footnoteReference w:id="18"/>
      </w:r>
    </w:p>
    <w:p w:rsidR="00BE2488" w:rsidRDefault="00320602" w:rsidP="00EB3E69">
      <w:pPr>
        <w:spacing w:before="0" w:after="240"/>
        <w:jc w:val="center"/>
        <w:rPr>
          <w:rFonts w:asciiTheme="minorHAnsi" w:hAnsiTheme="minorHAnsi" w:cstheme="minorHAnsi"/>
          <w:noProof/>
          <w:sz w:val="24"/>
          <w:szCs w:val="24"/>
          <w:lang w:eastAsia="en-AU"/>
        </w:rPr>
      </w:pPr>
      <w:r>
        <w:rPr>
          <w:noProof/>
          <w:lang w:eastAsia="en-AU"/>
        </w:rPr>
        <w:drawing>
          <wp:inline distT="0" distB="0" distL="0" distR="0" wp14:anchorId="6566DBEC" wp14:editId="360FCBE5">
            <wp:extent cx="5736492" cy="3180862"/>
            <wp:effectExtent l="0" t="0" r="0" b="635"/>
            <wp:docPr id="7" name="Chart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6A58B442-2E9D-4FFA-BD62-AD125722DF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1116" w:rsidRDefault="00951116" w:rsidP="00951116">
      <w:pPr>
        <w:spacing w:before="0" w:after="240"/>
        <w:rPr>
          <w:rFonts w:asciiTheme="minorHAnsi" w:hAnsiTheme="minorHAnsi" w:cstheme="minorHAnsi"/>
          <w:i/>
          <w:sz w:val="16"/>
          <w:szCs w:val="16"/>
        </w:rPr>
      </w:pPr>
      <w:r w:rsidRPr="0037530F">
        <w:rPr>
          <w:rFonts w:asciiTheme="minorHAnsi" w:hAnsiTheme="minorHAnsi" w:cstheme="minorHAnsi"/>
          <w:i/>
          <w:sz w:val="16"/>
          <w:szCs w:val="16"/>
        </w:rPr>
        <w:t xml:space="preserve">Source: </w:t>
      </w:r>
      <w:r>
        <w:rPr>
          <w:rFonts w:asciiTheme="minorHAnsi" w:hAnsiTheme="minorHAnsi" w:cstheme="minorHAnsi"/>
          <w:i/>
          <w:sz w:val="16"/>
          <w:szCs w:val="16"/>
        </w:rPr>
        <w:t xml:space="preserve">this diagram is based on data provided by </w:t>
      </w:r>
      <w:proofErr w:type="spellStart"/>
      <w:r w:rsidRPr="0037530F">
        <w:rPr>
          <w:rFonts w:asciiTheme="minorHAnsi" w:hAnsiTheme="minorHAnsi" w:cstheme="minorHAnsi"/>
          <w:i/>
          <w:sz w:val="16"/>
          <w:szCs w:val="16"/>
        </w:rPr>
        <w:t>Jemena</w:t>
      </w:r>
      <w:proofErr w:type="spellEnd"/>
      <w:r w:rsidRPr="0037530F">
        <w:rPr>
          <w:rFonts w:asciiTheme="minorHAnsi" w:hAnsiTheme="minorHAnsi" w:cstheme="minorHAnsi"/>
          <w:i/>
          <w:sz w:val="16"/>
          <w:szCs w:val="16"/>
        </w:rPr>
        <w:t xml:space="preserve"> Gas Networks (NSW) Ltd</w:t>
      </w:r>
      <w:r>
        <w:rPr>
          <w:rFonts w:asciiTheme="minorHAnsi" w:hAnsiTheme="minorHAnsi" w:cstheme="minorHAnsi"/>
          <w:i/>
          <w:sz w:val="16"/>
          <w:szCs w:val="16"/>
        </w:rPr>
        <w:t>. The data is c</w:t>
      </w:r>
      <w:r w:rsidRPr="00E93D54">
        <w:rPr>
          <w:rFonts w:asciiTheme="minorHAnsi" w:hAnsiTheme="minorHAnsi" w:cstheme="minorHAnsi"/>
          <w:i/>
          <w:sz w:val="16"/>
          <w:szCs w:val="16"/>
        </w:rPr>
        <w:t xml:space="preserve">onsolidated and includes </w:t>
      </w:r>
      <w:r>
        <w:rPr>
          <w:rFonts w:asciiTheme="minorHAnsi" w:hAnsiTheme="minorHAnsi" w:cstheme="minorHAnsi"/>
          <w:i/>
          <w:sz w:val="16"/>
          <w:szCs w:val="16"/>
        </w:rPr>
        <w:t xml:space="preserve">the </w:t>
      </w:r>
      <w:r w:rsidRPr="00E93D54">
        <w:rPr>
          <w:rFonts w:asciiTheme="minorHAnsi" w:hAnsiTheme="minorHAnsi" w:cstheme="minorHAnsi"/>
          <w:i/>
          <w:sz w:val="16"/>
          <w:szCs w:val="16"/>
        </w:rPr>
        <w:t xml:space="preserve">performance of </w:t>
      </w:r>
      <w:proofErr w:type="spellStart"/>
      <w:r w:rsidRPr="00E93D54">
        <w:rPr>
          <w:rFonts w:asciiTheme="minorHAnsi" w:hAnsiTheme="minorHAnsi" w:cstheme="minorHAnsi"/>
          <w:i/>
          <w:sz w:val="16"/>
          <w:szCs w:val="16"/>
        </w:rPr>
        <w:t>Jemena</w:t>
      </w:r>
      <w:proofErr w:type="spellEnd"/>
      <w:r w:rsidRPr="00E93D54">
        <w:rPr>
          <w:rFonts w:asciiTheme="minorHAnsi" w:hAnsiTheme="minorHAnsi" w:cstheme="minorHAnsi"/>
          <w:i/>
          <w:sz w:val="16"/>
          <w:szCs w:val="16"/>
        </w:rPr>
        <w:t xml:space="preserve"> Gas Networks in NSW and </w:t>
      </w:r>
      <w:proofErr w:type="spellStart"/>
      <w:r w:rsidRPr="00E93D54">
        <w:rPr>
          <w:rFonts w:asciiTheme="minorHAnsi" w:hAnsiTheme="minorHAnsi" w:cstheme="minorHAnsi"/>
          <w:i/>
          <w:sz w:val="16"/>
          <w:szCs w:val="16"/>
        </w:rPr>
        <w:t>ActewAGL</w:t>
      </w:r>
      <w:proofErr w:type="spellEnd"/>
      <w:r w:rsidRPr="00E93D54">
        <w:rPr>
          <w:rFonts w:asciiTheme="minorHAnsi" w:hAnsiTheme="minorHAnsi" w:cstheme="minorHAnsi"/>
          <w:i/>
          <w:sz w:val="16"/>
          <w:szCs w:val="16"/>
        </w:rPr>
        <w:t xml:space="preserve"> Distribution (AAD) in the ACT. </w:t>
      </w:r>
    </w:p>
    <w:p w:rsidR="00951116" w:rsidRDefault="00951116" w:rsidP="007062DA">
      <w:pPr>
        <w:spacing w:before="0" w:after="240"/>
        <w:rPr>
          <w:rFonts w:asciiTheme="minorHAnsi" w:hAnsiTheme="minorHAnsi" w:cstheme="minorHAnsi"/>
          <w:i/>
          <w:sz w:val="16"/>
          <w:szCs w:val="16"/>
        </w:rPr>
      </w:pPr>
      <w:r>
        <w:rPr>
          <w:rFonts w:asciiTheme="minorHAnsi" w:hAnsiTheme="minorHAnsi" w:cstheme="minorHAnsi"/>
          <w:i/>
          <w:sz w:val="16"/>
          <w:szCs w:val="16"/>
        </w:rPr>
        <w:t>*</w:t>
      </w:r>
      <w:r w:rsidRPr="00C74F3A">
        <w:t xml:space="preserve"> </w:t>
      </w:r>
      <w:r>
        <w:rPr>
          <w:rFonts w:asciiTheme="minorHAnsi" w:hAnsiTheme="minorHAnsi" w:cstheme="minorHAnsi"/>
          <w:i/>
          <w:sz w:val="16"/>
          <w:szCs w:val="16"/>
        </w:rPr>
        <w:t>JGN noted that</w:t>
      </w:r>
      <w:r w:rsidRPr="00C74F3A">
        <w:rPr>
          <w:rFonts w:asciiTheme="minorHAnsi" w:hAnsiTheme="minorHAnsi" w:cstheme="minorHAnsi"/>
          <w:i/>
          <w:sz w:val="16"/>
          <w:szCs w:val="16"/>
        </w:rPr>
        <w:t xml:space="preserve"> Quarterly and monthly meter data collection performance is assessed against scheduled read date (+/-2 business days).</w:t>
      </w:r>
    </w:p>
    <w:p w:rsidR="00E70AE7" w:rsidRPr="00E70AE7" w:rsidRDefault="00C20E37" w:rsidP="000828E4">
      <w:pPr>
        <w:keepNext/>
        <w:spacing w:before="0" w:after="240"/>
        <w:ind w:left="1134" w:hanging="1134"/>
        <w:rPr>
          <w:rFonts w:asciiTheme="minorHAnsi" w:hAnsiTheme="minorHAnsi" w:cstheme="minorHAnsi"/>
          <w:color w:val="076A92" w:themeColor="text1"/>
          <w:sz w:val="24"/>
          <w:szCs w:val="24"/>
        </w:rPr>
      </w:pPr>
      <w:r>
        <w:rPr>
          <w:b/>
          <w:color w:val="076A92" w:themeColor="text1"/>
          <w:sz w:val="24"/>
          <w:szCs w:val="24"/>
        </w:rPr>
        <w:lastRenderedPageBreak/>
        <w:t>Figure 6</w:t>
      </w:r>
      <w:r w:rsidR="00E70AE7" w:rsidRPr="00E70AE7">
        <w:rPr>
          <w:b/>
          <w:color w:val="076A92" w:themeColor="text1"/>
          <w:sz w:val="24"/>
          <w:szCs w:val="24"/>
        </w:rPr>
        <w:t>:</w:t>
      </w:r>
      <w:r w:rsidR="00E70AE7" w:rsidRPr="00E70AE7">
        <w:rPr>
          <w:b/>
          <w:color w:val="076A92" w:themeColor="text1"/>
          <w:sz w:val="24"/>
          <w:szCs w:val="24"/>
        </w:rPr>
        <w:tab/>
        <w:t>Trends in actual and estimated metering reads from May 2016 to June 2017</w:t>
      </w:r>
      <w:r w:rsidR="00E70AE7">
        <w:rPr>
          <w:rStyle w:val="FootnoteReference"/>
          <w:b/>
          <w:color w:val="076A92" w:themeColor="text1"/>
          <w:szCs w:val="24"/>
        </w:rPr>
        <w:footnoteReference w:id="19"/>
      </w:r>
    </w:p>
    <w:p w:rsidR="00552316" w:rsidRDefault="00E70AE7" w:rsidP="007062DA">
      <w:pPr>
        <w:spacing w:before="0" w:after="240"/>
        <w:jc w:val="center"/>
        <w:rPr>
          <w:rFonts w:asciiTheme="minorHAnsi" w:hAnsiTheme="minorHAnsi" w:cstheme="minorHAnsi"/>
        </w:rPr>
      </w:pPr>
      <w:r w:rsidRPr="00EF672D">
        <w:rPr>
          <w:noProof/>
          <w:bdr w:val="single" w:sz="2" w:space="0" w:color="C8C0BA" w:themeColor="text2" w:themeTint="66"/>
          <w:lang w:eastAsia="en-AU"/>
        </w:rPr>
        <w:drawing>
          <wp:inline distT="0" distB="0" distL="0" distR="0" wp14:anchorId="6C508AD7" wp14:editId="68EB3E95">
            <wp:extent cx="5736566" cy="289847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62DA" w:rsidRPr="0037530F" w:rsidRDefault="007062DA" w:rsidP="007062DA">
      <w:pPr>
        <w:spacing w:before="0" w:after="240"/>
        <w:rPr>
          <w:rFonts w:asciiTheme="minorHAnsi" w:hAnsiTheme="minorHAnsi" w:cstheme="minorHAnsi"/>
          <w:i/>
          <w:sz w:val="16"/>
          <w:szCs w:val="16"/>
        </w:rPr>
      </w:pPr>
      <w:r w:rsidRPr="0037530F">
        <w:rPr>
          <w:rFonts w:asciiTheme="minorHAnsi" w:hAnsiTheme="minorHAnsi" w:cstheme="minorHAnsi"/>
          <w:i/>
          <w:sz w:val="16"/>
          <w:szCs w:val="16"/>
        </w:rPr>
        <w:t xml:space="preserve">Source: </w:t>
      </w:r>
      <w:r>
        <w:rPr>
          <w:rFonts w:asciiTheme="minorHAnsi" w:hAnsiTheme="minorHAnsi" w:cstheme="minorHAnsi"/>
          <w:i/>
          <w:sz w:val="16"/>
          <w:szCs w:val="16"/>
        </w:rPr>
        <w:t xml:space="preserve">diagram is based on data provided by </w:t>
      </w:r>
      <w:proofErr w:type="spellStart"/>
      <w:r w:rsidRPr="0037530F">
        <w:rPr>
          <w:rFonts w:asciiTheme="minorHAnsi" w:hAnsiTheme="minorHAnsi" w:cstheme="minorHAnsi"/>
          <w:i/>
          <w:sz w:val="16"/>
          <w:szCs w:val="16"/>
        </w:rPr>
        <w:t>Jemena</w:t>
      </w:r>
      <w:proofErr w:type="spellEnd"/>
      <w:r w:rsidRPr="0037530F">
        <w:rPr>
          <w:rFonts w:asciiTheme="minorHAnsi" w:hAnsiTheme="minorHAnsi" w:cstheme="minorHAnsi"/>
          <w:i/>
          <w:sz w:val="16"/>
          <w:szCs w:val="16"/>
        </w:rPr>
        <w:t xml:space="preserve"> Gas Networks (NSW) Ltd</w:t>
      </w:r>
    </w:p>
    <w:p w:rsidR="00BE2488" w:rsidRDefault="00BE2488" w:rsidP="004A3697">
      <w:pPr>
        <w:keepNext/>
        <w:spacing w:before="0" w:after="240"/>
        <w:rPr>
          <w:rFonts w:asciiTheme="minorHAnsi" w:hAnsiTheme="minorHAnsi" w:cstheme="minorHAnsi"/>
        </w:rPr>
      </w:pPr>
      <w:r w:rsidRPr="00BE2488">
        <w:rPr>
          <w:rFonts w:asciiTheme="minorHAnsi" w:hAnsiTheme="minorHAnsi" w:cstheme="minorHAnsi"/>
        </w:rPr>
        <w:t>Key points to note regarding J</w:t>
      </w:r>
      <w:r w:rsidR="004D5C06">
        <w:rPr>
          <w:rFonts w:asciiTheme="minorHAnsi" w:hAnsiTheme="minorHAnsi" w:cstheme="minorHAnsi"/>
        </w:rPr>
        <w:t>GN’</w:t>
      </w:r>
      <w:r w:rsidRPr="00BE2488">
        <w:rPr>
          <w:rFonts w:asciiTheme="minorHAnsi" w:hAnsiTheme="minorHAnsi" w:cstheme="minorHAnsi"/>
        </w:rPr>
        <w:t>s performance over the relevant period</w:t>
      </w:r>
      <w:r w:rsidR="004D5C06">
        <w:rPr>
          <w:rFonts w:asciiTheme="minorHAnsi" w:hAnsiTheme="minorHAnsi" w:cstheme="minorHAnsi"/>
        </w:rPr>
        <w:t xml:space="preserve"> are</w:t>
      </w:r>
      <w:r w:rsidRPr="00BE2488">
        <w:rPr>
          <w:rFonts w:asciiTheme="minorHAnsi" w:hAnsiTheme="minorHAnsi" w:cstheme="minorHAnsi"/>
        </w:rPr>
        <w:t>:</w:t>
      </w:r>
    </w:p>
    <w:p w:rsidR="00951116" w:rsidRPr="000828E4" w:rsidRDefault="00951116" w:rsidP="008443D2">
      <w:pPr>
        <w:pStyle w:val="ListParagraph"/>
        <w:numPr>
          <w:ilvl w:val="0"/>
          <w:numId w:val="60"/>
        </w:numPr>
        <w:tabs>
          <w:tab w:val="clear" w:pos="340"/>
          <w:tab w:val="left" w:pos="426"/>
        </w:tabs>
        <w:spacing w:before="0" w:after="240"/>
        <w:ind w:left="426" w:hanging="426"/>
        <w:jc w:val="both"/>
        <w:rPr>
          <w:rFonts w:asciiTheme="minorHAnsi" w:hAnsiTheme="minorHAnsi" w:cstheme="minorHAnsi"/>
          <w:b/>
          <w:bCs/>
        </w:rPr>
      </w:pPr>
      <w:r w:rsidRPr="00BE2488">
        <w:rPr>
          <w:rFonts w:asciiTheme="minorHAnsi" w:hAnsiTheme="minorHAnsi" w:cstheme="minorHAnsi"/>
          <w:bCs/>
        </w:rPr>
        <w:t>Overall, the data provided by J</w:t>
      </w:r>
      <w:r>
        <w:rPr>
          <w:rFonts w:asciiTheme="minorHAnsi" w:hAnsiTheme="minorHAnsi" w:cstheme="minorHAnsi"/>
          <w:bCs/>
        </w:rPr>
        <w:t>GN</w:t>
      </w:r>
      <w:r w:rsidRPr="00BE2488">
        <w:rPr>
          <w:rFonts w:asciiTheme="minorHAnsi" w:hAnsiTheme="minorHAnsi" w:cstheme="minorHAnsi"/>
          <w:bCs/>
        </w:rPr>
        <w:t xml:space="preserve"> suggest</w:t>
      </w:r>
      <w:r w:rsidR="002A6536">
        <w:rPr>
          <w:rFonts w:asciiTheme="minorHAnsi" w:hAnsiTheme="minorHAnsi" w:cstheme="minorHAnsi"/>
          <w:bCs/>
        </w:rPr>
        <w:t>s a significant improvement in it</w:t>
      </w:r>
      <w:r w:rsidRPr="00BE2488">
        <w:rPr>
          <w:rFonts w:asciiTheme="minorHAnsi" w:hAnsiTheme="minorHAnsi" w:cstheme="minorHAnsi"/>
          <w:bCs/>
        </w:rPr>
        <w:t xml:space="preserve">s meter reading </w:t>
      </w:r>
      <w:r>
        <w:rPr>
          <w:rFonts w:asciiTheme="minorHAnsi" w:hAnsiTheme="minorHAnsi" w:cstheme="minorHAnsi"/>
          <w:bCs/>
        </w:rPr>
        <w:t>and data provision</w:t>
      </w:r>
      <w:r w:rsidRPr="00BE2488">
        <w:rPr>
          <w:rFonts w:asciiTheme="minorHAnsi" w:hAnsiTheme="minorHAnsi" w:cstheme="minorHAnsi"/>
          <w:bCs/>
        </w:rPr>
        <w:t xml:space="preserve"> performance </w:t>
      </w:r>
      <w:r>
        <w:rPr>
          <w:rFonts w:asciiTheme="minorHAnsi" w:hAnsiTheme="minorHAnsi" w:cstheme="minorHAnsi"/>
        </w:rPr>
        <w:t xml:space="preserve">with </w:t>
      </w:r>
      <w:r>
        <w:t>most improvements occurring in 2016</w:t>
      </w:r>
      <w:r w:rsidRPr="00BE2488">
        <w:rPr>
          <w:rFonts w:asciiTheme="minorHAnsi" w:hAnsiTheme="minorHAnsi" w:cstheme="minorHAnsi"/>
        </w:rPr>
        <w:t>.</w:t>
      </w:r>
    </w:p>
    <w:p w:rsidR="00951116" w:rsidRPr="00951116" w:rsidRDefault="00951116" w:rsidP="008443D2">
      <w:pPr>
        <w:pStyle w:val="ListParagraph"/>
        <w:numPr>
          <w:ilvl w:val="0"/>
          <w:numId w:val="60"/>
        </w:numPr>
        <w:tabs>
          <w:tab w:val="clear" w:pos="340"/>
          <w:tab w:val="left" w:pos="426"/>
        </w:tabs>
        <w:spacing w:before="0" w:after="240"/>
        <w:ind w:left="426" w:hanging="426"/>
        <w:jc w:val="both"/>
        <w:rPr>
          <w:rFonts w:asciiTheme="minorHAnsi" w:hAnsiTheme="minorHAnsi" w:cstheme="minorHAnsi"/>
          <w:b/>
          <w:bCs/>
        </w:rPr>
      </w:pPr>
      <w:r w:rsidRPr="000828E4">
        <w:rPr>
          <w:rFonts w:asciiTheme="minorHAnsi" w:hAnsiTheme="minorHAnsi" w:cstheme="minorHAnsi"/>
        </w:rPr>
        <w:t>Data provided by J</w:t>
      </w:r>
      <w:r>
        <w:rPr>
          <w:rFonts w:asciiTheme="minorHAnsi" w:hAnsiTheme="minorHAnsi" w:cstheme="minorHAnsi"/>
        </w:rPr>
        <w:t>GN</w:t>
      </w:r>
      <w:r w:rsidRPr="000828E4">
        <w:rPr>
          <w:rFonts w:asciiTheme="minorHAnsi" w:hAnsiTheme="minorHAnsi" w:cstheme="minorHAnsi"/>
        </w:rPr>
        <w:t xml:space="preserve"> most recently indicates that it has increased the number of actual reads compared to those in March 2017.</w:t>
      </w:r>
      <w:r>
        <w:rPr>
          <w:rStyle w:val="FootnoteReference"/>
          <w:rFonts w:asciiTheme="minorHAnsi" w:hAnsiTheme="minorHAnsi" w:cstheme="minorHAnsi"/>
        </w:rPr>
        <w:footnoteReference w:id="20"/>
      </w:r>
    </w:p>
    <w:p w:rsidR="00951116" w:rsidRPr="00951116" w:rsidRDefault="00951116" w:rsidP="008443D2">
      <w:pPr>
        <w:pStyle w:val="ListParagraph"/>
        <w:numPr>
          <w:ilvl w:val="0"/>
          <w:numId w:val="60"/>
        </w:numPr>
        <w:tabs>
          <w:tab w:val="clear" w:pos="340"/>
          <w:tab w:val="left" w:pos="426"/>
        </w:tabs>
        <w:spacing w:before="0" w:after="240"/>
        <w:ind w:left="426" w:hanging="426"/>
        <w:jc w:val="both"/>
        <w:rPr>
          <w:rFonts w:asciiTheme="minorHAnsi" w:hAnsiTheme="minorHAnsi" w:cstheme="minorHAnsi"/>
          <w:b/>
          <w:bCs/>
        </w:rPr>
      </w:pPr>
      <w:r w:rsidRPr="00951116">
        <w:rPr>
          <w:rFonts w:asciiTheme="minorHAnsi" w:hAnsiTheme="minorHAnsi" w:cstheme="minorHAnsi"/>
        </w:rPr>
        <w:t>JGN noted that there is no RMP obligation that applies in relation to min</w:t>
      </w:r>
      <w:r>
        <w:rPr>
          <w:rFonts w:asciiTheme="minorHAnsi" w:hAnsiTheme="minorHAnsi" w:cstheme="minorHAnsi"/>
        </w:rPr>
        <w:t>imising the number of estimates. H</w:t>
      </w:r>
      <w:r w:rsidRPr="00951116">
        <w:rPr>
          <w:rFonts w:asciiTheme="minorHAnsi" w:hAnsiTheme="minorHAnsi" w:cstheme="minorHAnsi"/>
        </w:rPr>
        <w:t>owever, it has implemented programs to reduce these over time. JGN advised that estimations occur for a variety of reasons and can be driven by field impediments (including site access issues) and/or system performance. To mitigate the number of estimated bills, JGN set up a ‘No Access’ Program in October 2016 with the goal of reducing the number of field-related ‘no access’ issues. JGN advised that aligning its meter reading contractual arrangements to the new RMPs should also drive a reduction in estimations caused by delayed meter readings, as the contract includes a narrower meter reading window to align with the RMP.</w:t>
      </w:r>
      <w:bookmarkStart w:id="24" w:name="_Hlk490572865"/>
    </w:p>
    <w:p w:rsidR="00951116" w:rsidRPr="00951116" w:rsidRDefault="00211966" w:rsidP="008443D2">
      <w:pPr>
        <w:pStyle w:val="ListParagraph"/>
        <w:numPr>
          <w:ilvl w:val="0"/>
          <w:numId w:val="60"/>
        </w:numPr>
        <w:tabs>
          <w:tab w:val="clear" w:pos="340"/>
          <w:tab w:val="left" w:pos="426"/>
        </w:tabs>
        <w:spacing w:before="0" w:after="240"/>
        <w:ind w:left="426" w:hanging="426"/>
        <w:jc w:val="both"/>
        <w:rPr>
          <w:rFonts w:asciiTheme="minorHAnsi" w:hAnsiTheme="minorHAnsi" w:cstheme="minorHAnsi"/>
          <w:b/>
          <w:bCs/>
        </w:rPr>
      </w:pPr>
      <w:bookmarkStart w:id="25" w:name="_Hlk490572852"/>
      <w:r>
        <w:rPr>
          <w:rFonts w:asciiTheme="minorHAnsi" w:hAnsiTheme="minorHAnsi" w:cstheme="minorHAnsi"/>
        </w:rPr>
        <w:t>R</w:t>
      </w:r>
      <w:r w:rsidR="00951116" w:rsidRPr="00951116">
        <w:rPr>
          <w:rFonts w:asciiTheme="minorHAnsi" w:hAnsiTheme="minorHAnsi" w:cstheme="minorHAnsi"/>
        </w:rPr>
        <w:t xml:space="preserve">ecent data provided by JGN indicates that it is still experiencing some issues, in particular its performance against RMP 3.5.1(c) (refer Figure 5) in comparison to the other delivery obligations. This obligation is to apply reasonable endeavours to provide </w:t>
      </w:r>
      <w:r w:rsidR="00951116" w:rsidRPr="00951116">
        <w:rPr>
          <w:rFonts w:asciiTheme="minorHAnsi" w:hAnsiTheme="minorHAnsi" w:cstheme="minorHAnsi"/>
        </w:rPr>
        <w:lastRenderedPageBreak/>
        <w:t>an estimate when an actual meter read has failed validation in the timeframes required by the RMP.</w:t>
      </w:r>
    </w:p>
    <w:bookmarkEnd w:id="24"/>
    <w:bookmarkEnd w:id="25"/>
    <w:p w:rsidR="00951116" w:rsidRPr="00951116" w:rsidRDefault="00951116" w:rsidP="008443D2">
      <w:pPr>
        <w:pStyle w:val="ListParagraph"/>
        <w:numPr>
          <w:ilvl w:val="0"/>
          <w:numId w:val="60"/>
        </w:numPr>
        <w:tabs>
          <w:tab w:val="clear" w:pos="340"/>
          <w:tab w:val="left" w:pos="426"/>
        </w:tabs>
        <w:spacing w:before="0" w:after="240"/>
        <w:ind w:left="426" w:hanging="426"/>
        <w:jc w:val="both"/>
        <w:rPr>
          <w:rFonts w:asciiTheme="minorHAnsi" w:hAnsiTheme="minorHAnsi" w:cstheme="minorHAnsi"/>
          <w:b/>
          <w:bCs/>
        </w:rPr>
      </w:pPr>
      <w:r w:rsidRPr="00951116">
        <w:rPr>
          <w:rFonts w:asciiTheme="minorHAnsi" w:hAnsiTheme="minorHAnsi" w:cstheme="minorHAnsi"/>
        </w:rPr>
        <w:t>JGN has committed to working through these issues i</w:t>
      </w:r>
      <w:r w:rsidR="00211966">
        <w:rPr>
          <w:rFonts w:asciiTheme="minorHAnsi" w:hAnsiTheme="minorHAnsi" w:cstheme="minorHAnsi"/>
        </w:rPr>
        <w:t>n consultation with the AER. As part of this process</w:t>
      </w:r>
      <w:r w:rsidRPr="00951116">
        <w:rPr>
          <w:rFonts w:asciiTheme="minorHAnsi" w:hAnsiTheme="minorHAnsi" w:cstheme="minorHAnsi"/>
        </w:rPr>
        <w:t xml:space="preserve"> we will periodically communicate with affected market participants about their experiences of metering and meter data services provided by JGN</w:t>
      </w:r>
      <w:r w:rsidR="00FB365C">
        <w:rPr>
          <w:rFonts w:asciiTheme="minorHAnsi" w:hAnsiTheme="minorHAnsi" w:cstheme="minorHAnsi"/>
        </w:rPr>
        <w:t>.</w:t>
      </w:r>
      <w:r w:rsidRPr="00951116">
        <w:rPr>
          <w:rFonts w:asciiTheme="minorHAnsi" w:hAnsiTheme="minorHAnsi" w:cstheme="minorHAnsi"/>
        </w:rPr>
        <w:t xml:space="preserve"> We note that where a participant relies on JGN meter reading services to generate retail bills, they can incur an operational burden on their systems to undertake meter data estimations, reissue bills and request special reads from JGN where data is not provided in a timely and accurate manner.  We also note that estimated bills trigger higher levels of customer complaints.</w:t>
      </w:r>
    </w:p>
    <w:p w:rsidR="00951116" w:rsidRPr="00BE2488" w:rsidRDefault="00951116" w:rsidP="008443D2">
      <w:pPr>
        <w:keepNext/>
        <w:spacing w:before="0" w:after="240"/>
        <w:jc w:val="both"/>
        <w:rPr>
          <w:rFonts w:asciiTheme="minorHAnsi" w:hAnsiTheme="minorHAnsi" w:cstheme="minorHAnsi"/>
        </w:rPr>
      </w:pPr>
      <w:r w:rsidRPr="001E6558">
        <w:rPr>
          <w:rFonts w:asciiTheme="minorHAnsi" w:hAnsiTheme="minorHAnsi" w:cstheme="minorHAnsi"/>
          <w:bCs/>
        </w:rPr>
        <w:t>The AER will continue to engage with JGN and monitor its compliance with its obligations under the RMP, as well as its overall performance in relation to meter reading services.</w:t>
      </w:r>
    </w:p>
    <w:p w:rsidR="00120F00" w:rsidRPr="001C4288" w:rsidRDefault="00120F00" w:rsidP="0034020A">
      <w:pPr>
        <w:pStyle w:val="Heading1"/>
        <w:tabs>
          <w:tab w:val="clear" w:pos="680"/>
          <w:tab w:val="left" w:pos="993"/>
        </w:tabs>
        <w:spacing w:before="0" w:after="240"/>
        <w:ind w:left="851" w:hanging="851"/>
      </w:pPr>
      <w:bookmarkStart w:id="26" w:name="_Toc466452029"/>
      <w:bookmarkStart w:id="27" w:name="_Toc490738280"/>
      <w:r w:rsidRPr="001C4288">
        <w:lastRenderedPageBreak/>
        <w:t>Electricity</w:t>
      </w:r>
      <w:bookmarkEnd w:id="26"/>
      <w:bookmarkEnd w:id="27"/>
    </w:p>
    <w:p w:rsidR="00120F00" w:rsidRPr="00F04D06" w:rsidRDefault="00120F00" w:rsidP="00DC26BB">
      <w:pPr>
        <w:spacing w:before="0" w:after="240"/>
        <w:jc w:val="both"/>
      </w:pPr>
      <w:r w:rsidRPr="00F04D06">
        <w:t>We are responsible for monitoring, investigating and enforcing compliance under the Electricity Law and Rules. This part of the report provides an update on investigations, compliance matters and proj</w:t>
      </w:r>
      <w:r w:rsidR="00D6277F" w:rsidRPr="00F04D06">
        <w:t>ects in the electricity market.</w:t>
      </w:r>
    </w:p>
    <w:p w:rsidR="00120F00" w:rsidRPr="00C37E80" w:rsidRDefault="00120F00" w:rsidP="0034020A">
      <w:pPr>
        <w:pStyle w:val="Heading2"/>
        <w:keepNext/>
        <w:tabs>
          <w:tab w:val="clear" w:pos="680"/>
          <w:tab w:val="left" w:pos="993"/>
        </w:tabs>
        <w:spacing w:before="0" w:after="240"/>
        <w:ind w:left="851" w:hanging="851"/>
        <w:rPr>
          <w:szCs w:val="32"/>
        </w:rPr>
      </w:pPr>
      <w:bookmarkStart w:id="28" w:name="_Toc466452030"/>
      <w:bookmarkStart w:id="29" w:name="_Toc490738281"/>
      <w:r w:rsidRPr="00C37E80">
        <w:rPr>
          <w:szCs w:val="32"/>
        </w:rPr>
        <w:t>Rebidding</w:t>
      </w:r>
      <w:bookmarkEnd w:id="28"/>
      <w:bookmarkEnd w:id="29"/>
    </w:p>
    <w:p w:rsidR="00FE59C5" w:rsidRPr="00E67486" w:rsidRDefault="00FE59C5" w:rsidP="00FE59C5">
      <w:pPr>
        <w:spacing w:before="0" w:after="240"/>
        <w:jc w:val="both"/>
      </w:pPr>
      <w:r w:rsidRPr="00E67486">
        <w:t>Scheduled generators and market participants operating in the National Electricity Market (NEM) submit offers and bids for each half hour trading interval. The offers and bids include available capacity for up to 10 price bands and can be varied through rebidding.</w:t>
      </w:r>
      <w:r w:rsidRPr="00E67486">
        <w:rPr>
          <w:rStyle w:val="FootnoteReference"/>
        </w:rPr>
        <w:footnoteReference w:id="21"/>
      </w:r>
    </w:p>
    <w:p w:rsidR="00FE59C5" w:rsidRPr="00E67486" w:rsidRDefault="00FE59C5" w:rsidP="00FE59C5">
      <w:pPr>
        <w:spacing w:before="0" w:after="240"/>
        <w:jc w:val="both"/>
      </w:pPr>
      <w:r w:rsidRPr="00E67486">
        <w:t>According to the ‘three stage process’ introduced in late 2010 and updated in 2012,</w:t>
      </w:r>
      <w:r w:rsidRPr="00E67486">
        <w:rPr>
          <w:rStyle w:val="FootnoteReference"/>
        </w:rPr>
        <w:footnoteReference w:id="22"/>
      </w:r>
      <w:r w:rsidRPr="00E67486">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w:t>
      </w:r>
    </w:p>
    <w:p w:rsidR="00FE59C5" w:rsidRPr="004A3697" w:rsidRDefault="00FE59C5" w:rsidP="00FE59C5">
      <w:pPr>
        <w:spacing w:before="0" w:after="240"/>
        <w:jc w:val="both"/>
      </w:pPr>
      <w:r w:rsidRPr="004A3697">
        <w:t>Frequent submission of offers, bids and rebids which do not meet the relevant requirements of the Electricity Rules can seriously and adversely impact the NEM. In particular, the quality of information available to relevant participants and other persons is reduced, which in turn reduces market efficiency. Poor quality information also affects the AER's ability to monitor and enforce compliance with the Electricity Rules.</w:t>
      </w:r>
    </w:p>
    <w:p w:rsidR="00FE59C5" w:rsidRPr="00E67486" w:rsidRDefault="00FE59C5" w:rsidP="00653393">
      <w:pPr>
        <w:spacing w:before="0" w:after="240"/>
        <w:jc w:val="both"/>
      </w:pPr>
      <w:r w:rsidRPr="00E67486">
        <w:t xml:space="preserve">As shown below in </w:t>
      </w:r>
      <w:r w:rsidRPr="00E67486">
        <w:rPr>
          <w:b/>
        </w:rPr>
        <w:t xml:space="preserve">Figure </w:t>
      </w:r>
      <w:r w:rsidR="00FF6615">
        <w:rPr>
          <w:b/>
        </w:rPr>
        <w:t>7</w:t>
      </w:r>
      <w:r w:rsidRPr="00E67486">
        <w:t>, the number of rebids automatically triggered as requiring initial examination (indicated by the blue area) has fallen markedly since 2011.</w:t>
      </w:r>
    </w:p>
    <w:p w:rsidR="000F7DE9" w:rsidRDefault="000F7DE9" w:rsidP="00DC26BB">
      <w:pPr>
        <w:pStyle w:val="Caption"/>
        <w:keepNext/>
        <w:spacing w:before="0" w:after="240"/>
        <w:jc w:val="both"/>
      </w:pPr>
      <w:r w:rsidRPr="00E67486">
        <w:lastRenderedPageBreak/>
        <w:t xml:space="preserve">Figure </w:t>
      </w:r>
      <w:r w:rsidR="00C20E37">
        <w:t>7</w:t>
      </w:r>
      <w:r w:rsidR="00207D85" w:rsidRPr="00E67486">
        <w:t>:</w:t>
      </w:r>
      <w:r w:rsidR="00207D85" w:rsidRPr="00E67486">
        <w:tab/>
      </w:r>
      <w:r w:rsidRPr="000F2714">
        <w:t>Rebids auto-triggered and reviewed per week (adjusted</w:t>
      </w:r>
      <w:r w:rsidRPr="000F2714">
        <w:rPr>
          <w:rStyle w:val="FootnoteReference"/>
        </w:rPr>
        <w:footnoteReference w:id="23"/>
      </w:r>
      <w:r w:rsidRPr="000F2714">
        <w:t>)</w:t>
      </w:r>
    </w:p>
    <w:p w:rsidR="00B13D52" w:rsidRDefault="00FE59C5" w:rsidP="00DE6889">
      <w:pPr>
        <w:spacing w:before="0" w:after="240"/>
      </w:pPr>
      <w:r w:rsidRPr="00D812C6">
        <w:rPr>
          <w:noProof/>
          <w:lang w:eastAsia="en-AU"/>
        </w:rPr>
        <w:drawing>
          <wp:inline distT="0" distB="0" distL="0" distR="0" wp14:anchorId="30F232DE" wp14:editId="56964CE8">
            <wp:extent cx="5731510" cy="2498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498725"/>
                    </a:xfrm>
                    <a:prstGeom prst="rect">
                      <a:avLst/>
                    </a:prstGeom>
                    <a:noFill/>
                    <a:ln>
                      <a:noFill/>
                    </a:ln>
                  </pic:spPr>
                </pic:pic>
              </a:graphicData>
            </a:graphic>
          </wp:inline>
        </w:drawing>
      </w:r>
    </w:p>
    <w:p w:rsidR="000F7DE9" w:rsidRPr="00E67486" w:rsidRDefault="00B13D52" w:rsidP="00DC26BB">
      <w:pPr>
        <w:spacing w:before="0" w:after="240"/>
        <w:jc w:val="both"/>
      </w:pPr>
      <w:r w:rsidRPr="00E67486">
        <w:t xml:space="preserve">This quarter we received </w:t>
      </w:r>
      <w:r w:rsidR="00FE59C5" w:rsidRPr="00E67486">
        <w:t>seven</w:t>
      </w:r>
      <w:r w:rsidRPr="00E67486">
        <w:t xml:space="preserve"> self-reporting notices from participants regarding errors in their rebids. We decided not to take action on these errors. As such, no warnings were issued and no participants had their warning count reset to zero during the quarter.</w:t>
      </w:r>
    </w:p>
    <w:p w:rsidR="007D0BF8" w:rsidRPr="00B20DF8" w:rsidRDefault="007D0BF8" w:rsidP="007D0BF8">
      <w:pPr>
        <w:pStyle w:val="Heading3"/>
        <w:spacing w:before="0" w:after="240"/>
        <w:ind w:left="851" w:hanging="851"/>
      </w:pPr>
      <w:bookmarkStart w:id="30" w:name="_Toc490738282"/>
      <w:r>
        <w:t>Market t</w:t>
      </w:r>
      <w:r w:rsidRPr="007D0BF8">
        <w:t>ime</w:t>
      </w:r>
      <w:bookmarkEnd w:id="30"/>
    </w:p>
    <w:p w:rsidR="007D0BF8" w:rsidRPr="00E67486" w:rsidRDefault="007D0BF8" w:rsidP="007D0BF8">
      <w:pPr>
        <w:spacing w:before="0" w:after="240"/>
        <w:jc w:val="both"/>
      </w:pPr>
      <w:r w:rsidRPr="00E67486">
        <w:t xml:space="preserve">A recent review of information provided by some participants revealed inconsistencies in the recording of time. In light of this, we are taking the opportunity to remind participants of the importance of using Market Time (Eastern Standard Time). It is particularly important for those participants with generators located in different regions of the NEM (and therefore different time zones) to be aware of this requirement. </w:t>
      </w:r>
    </w:p>
    <w:p w:rsidR="007D0BF8" w:rsidRPr="00E67486" w:rsidRDefault="007D0BF8" w:rsidP="007D0BF8">
      <w:pPr>
        <w:spacing w:before="0" w:after="240"/>
        <w:jc w:val="both"/>
      </w:pPr>
      <w:r w:rsidRPr="00E67486">
        <w:t>Specifically, we expect participants to use Market Time when referring to time in reasons for submitting rebids. This includes, (but is not limited to) for example, the time of an AEMO demand forecast, or the time that an event occurred or an observation was made leading up to the rebid. The same logic also applies to times included in log entries, contemporaneous records (for rebids submitted in the late rebidding period) and responses</w:t>
      </w:r>
      <w:r w:rsidR="000E66BD">
        <w:t xml:space="preserve"> to requests for information.</w:t>
      </w:r>
    </w:p>
    <w:p w:rsidR="002C298C" w:rsidRPr="00E67486" w:rsidRDefault="007D0BF8" w:rsidP="007D0BF8">
      <w:pPr>
        <w:spacing w:before="0" w:after="240"/>
        <w:jc w:val="both"/>
      </w:pPr>
      <w:r w:rsidRPr="00E67486">
        <w:t>In some instances this may negate the need for the AER to seek further clarifying information from participants, potentially reducing the burden on participants and the AER alike.</w:t>
      </w:r>
    </w:p>
    <w:p w:rsidR="002C298C" w:rsidRPr="00FE59C5" w:rsidRDefault="002C298C" w:rsidP="00DC26BB">
      <w:pPr>
        <w:spacing w:before="0" w:after="240"/>
        <w:jc w:val="both"/>
        <w:rPr>
          <w:color w:val="00B050"/>
        </w:rPr>
      </w:pPr>
    </w:p>
    <w:p w:rsidR="00120F00" w:rsidRPr="003C7809" w:rsidRDefault="003C7809" w:rsidP="0034020A">
      <w:pPr>
        <w:pStyle w:val="Heading2"/>
        <w:keepNext/>
        <w:tabs>
          <w:tab w:val="clear" w:pos="680"/>
          <w:tab w:val="left" w:pos="993"/>
        </w:tabs>
        <w:spacing w:before="0" w:after="240"/>
        <w:ind w:left="851" w:hanging="851"/>
        <w:rPr>
          <w:szCs w:val="32"/>
        </w:rPr>
      </w:pPr>
      <w:bookmarkStart w:id="31" w:name="_Toc490738283"/>
      <w:r>
        <w:rPr>
          <w:szCs w:val="32"/>
        </w:rPr>
        <w:lastRenderedPageBreak/>
        <w:t>High Price Events</w:t>
      </w:r>
      <w:bookmarkEnd w:id="31"/>
    </w:p>
    <w:p w:rsidR="003C7809" w:rsidRPr="00E67486" w:rsidRDefault="00EB5471" w:rsidP="00653393">
      <w:pPr>
        <w:spacing w:before="0" w:after="240"/>
        <w:jc w:val="both"/>
      </w:pPr>
      <w:r w:rsidRPr="00E67486">
        <w:t>T</w:t>
      </w:r>
      <w:r w:rsidR="003C7809" w:rsidRPr="00E67486">
        <w:t>he AER must publish a report whenever the spot price for electricity exceeds $5000 per megawatt hour</w:t>
      </w:r>
      <w:r w:rsidR="00132DF4" w:rsidRPr="00E67486">
        <w:t xml:space="preserve"> (</w:t>
      </w:r>
      <w:proofErr w:type="spellStart"/>
      <w:r w:rsidR="00132DF4" w:rsidRPr="00E67486">
        <w:t>MWh</w:t>
      </w:r>
      <w:proofErr w:type="spellEnd"/>
      <w:r w:rsidR="00132DF4" w:rsidRPr="00E67486">
        <w:t>)</w:t>
      </w:r>
      <w:r w:rsidR="003C7809" w:rsidRPr="00E67486">
        <w:t xml:space="preserve"> and whenever the ancillary service price exceeds $5000 per megawatt for a sustained period</w:t>
      </w:r>
      <w:r w:rsidR="002F11EA" w:rsidRPr="00E67486">
        <w:rPr>
          <w:rStyle w:val="FootnoteReference"/>
        </w:rPr>
        <w:footnoteReference w:id="24"/>
      </w:r>
      <w:r w:rsidR="003C7809" w:rsidRPr="00E67486">
        <w:t>.</w:t>
      </w:r>
      <w:r w:rsidR="007B2232" w:rsidRPr="00E67486">
        <w:t xml:space="preserve"> These reports are available on </w:t>
      </w:r>
      <w:r w:rsidR="009D69D1" w:rsidRPr="00E67486">
        <w:t>our</w:t>
      </w:r>
      <w:r w:rsidR="007B2232" w:rsidRPr="00E67486">
        <w:t xml:space="preserve"> website</w:t>
      </w:r>
      <w:r w:rsidR="007B2232" w:rsidRPr="00E67486">
        <w:rPr>
          <w:rStyle w:val="FootnoteReference"/>
        </w:rPr>
        <w:footnoteReference w:id="25"/>
      </w:r>
      <w:r w:rsidR="007B2232" w:rsidRPr="00E67486">
        <w:t>.</w:t>
      </w:r>
    </w:p>
    <w:p w:rsidR="000D7A82" w:rsidRPr="00B20DF8" w:rsidRDefault="005B25E4" w:rsidP="0033031B">
      <w:pPr>
        <w:pStyle w:val="Heading3"/>
        <w:spacing w:before="0" w:after="240"/>
        <w:ind w:left="851" w:hanging="851"/>
      </w:pPr>
      <w:bookmarkStart w:id="32" w:name="_Toc490738284"/>
      <w:r w:rsidRPr="00B20DF8">
        <w:rPr>
          <w:sz w:val="24"/>
          <w:szCs w:val="24"/>
        </w:rPr>
        <w:t>R</w:t>
      </w:r>
      <w:r w:rsidR="001513E9">
        <w:rPr>
          <w:sz w:val="24"/>
          <w:szCs w:val="24"/>
        </w:rPr>
        <w:t>eports published since 1 April</w:t>
      </w:r>
      <w:r w:rsidRPr="00B20DF8">
        <w:rPr>
          <w:sz w:val="24"/>
          <w:szCs w:val="24"/>
        </w:rPr>
        <w:t xml:space="preserve"> 2017</w:t>
      </w:r>
      <w:bookmarkEnd w:id="32"/>
    </w:p>
    <w:p w:rsidR="002970C5" w:rsidRPr="00E67486" w:rsidRDefault="001513E9" w:rsidP="00B20DF8">
      <w:pPr>
        <w:spacing w:before="0" w:after="240"/>
        <w:jc w:val="both"/>
      </w:pPr>
      <w:r w:rsidRPr="00E67486">
        <w:t>Since 1 April</w:t>
      </w:r>
      <w:r w:rsidR="005B25E4" w:rsidRPr="00E67486">
        <w:t xml:space="preserve"> 2017</w:t>
      </w:r>
      <w:r w:rsidR="003C7809" w:rsidRPr="00E67486">
        <w:t xml:space="preserve">, </w:t>
      </w:r>
      <w:r w:rsidR="009D69D1" w:rsidRPr="00E67486">
        <w:t>we</w:t>
      </w:r>
      <w:r w:rsidR="003C7809" w:rsidRPr="00E67486">
        <w:t xml:space="preserve"> </w:t>
      </w:r>
      <w:r w:rsidR="005B25E4" w:rsidRPr="00E67486">
        <w:t xml:space="preserve">have </w:t>
      </w:r>
      <w:r w:rsidR="003C7809" w:rsidRPr="00E67486">
        <w:t xml:space="preserve">reported on the following extreme price </w:t>
      </w:r>
      <w:r w:rsidRPr="00E67486">
        <w:t>events from the 2016/17 summer period</w:t>
      </w:r>
      <w:r w:rsidR="003C7809" w:rsidRPr="00E67486">
        <w:t>.</w:t>
      </w:r>
    </w:p>
    <w:p w:rsidR="00AE2EF7" w:rsidRPr="00F23760" w:rsidRDefault="00F23760" w:rsidP="00987D1E">
      <w:pPr>
        <w:keepNext/>
        <w:spacing w:before="0" w:after="240"/>
        <w:jc w:val="both"/>
        <w:rPr>
          <w:b/>
          <w:color w:val="076A92" w:themeColor="text1"/>
          <w:sz w:val="24"/>
          <w:szCs w:val="24"/>
        </w:rPr>
      </w:pPr>
      <w:r w:rsidRPr="00F23760">
        <w:rPr>
          <w:b/>
          <w:color w:val="076A92" w:themeColor="text1"/>
          <w:sz w:val="24"/>
          <w:szCs w:val="24"/>
        </w:rPr>
        <w:t xml:space="preserve">Figure </w:t>
      </w:r>
      <w:r w:rsidR="00C20E37">
        <w:rPr>
          <w:b/>
          <w:color w:val="076A92" w:themeColor="text1"/>
          <w:sz w:val="24"/>
          <w:szCs w:val="24"/>
        </w:rPr>
        <w:t>8</w:t>
      </w:r>
      <w:r w:rsidR="00207D85">
        <w:rPr>
          <w:b/>
          <w:color w:val="076A92" w:themeColor="text1"/>
          <w:sz w:val="24"/>
          <w:szCs w:val="24"/>
        </w:rPr>
        <w:t>:</w:t>
      </w:r>
      <w:r w:rsidR="00DE3CAA">
        <w:rPr>
          <w:b/>
          <w:color w:val="076A92" w:themeColor="text1"/>
          <w:sz w:val="24"/>
          <w:szCs w:val="24"/>
        </w:rPr>
        <w:t xml:space="preserve"> </w:t>
      </w:r>
      <w:r>
        <w:rPr>
          <w:b/>
          <w:color w:val="076A92" w:themeColor="text1"/>
          <w:sz w:val="24"/>
          <w:szCs w:val="24"/>
        </w:rPr>
        <w:t>Reports pub</w:t>
      </w:r>
      <w:r w:rsidR="001513E9">
        <w:rPr>
          <w:b/>
          <w:color w:val="076A92" w:themeColor="text1"/>
          <w:sz w:val="24"/>
          <w:szCs w:val="24"/>
        </w:rPr>
        <w:t>lished since 1 April</w:t>
      </w:r>
      <w:r w:rsidR="00582FFB">
        <w:rPr>
          <w:b/>
          <w:color w:val="076A92" w:themeColor="text1"/>
          <w:sz w:val="24"/>
          <w:szCs w:val="24"/>
        </w:rPr>
        <w:t xml:space="preserve"> 2017</w:t>
      </w:r>
    </w:p>
    <w:tbl>
      <w:tblPr>
        <w:tblW w:w="5000" w:type="pct"/>
        <w:tblCellMar>
          <w:left w:w="0" w:type="dxa"/>
          <w:right w:w="0" w:type="dxa"/>
        </w:tblCellMar>
        <w:tblLook w:val="04A0" w:firstRow="1" w:lastRow="0" w:firstColumn="1" w:lastColumn="0" w:noHBand="0" w:noVBand="1"/>
      </w:tblPr>
      <w:tblGrid>
        <w:gridCol w:w="440"/>
        <w:gridCol w:w="1309"/>
        <w:gridCol w:w="2843"/>
        <w:gridCol w:w="1216"/>
        <w:gridCol w:w="1486"/>
        <w:gridCol w:w="1948"/>
      </w:tblGrid>
      <w:tr w:rsidR="0070591C" w:rsidRPr="009737F4" w:rsidTr="00F044CA">
        <w:trPr>
          <w:trHeight w:val="288"/>
        </w:trPr>
        <w:tc>
          <w:tcPr>
            <w:tcW w:w="238" w:type="pct"/>
            <w:tcBorders>
              <w:top w:val="single" w:sz="8" w:space="0" w:color="auto"/>
              <w:left w:val="single" w:sz="8" w:space="0" w:color="auto"/>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rPr>
                <w:rFonts w:ascii="Calibri" w:hAnsi="Calibri"/>
                <w:b/>
                <w:bCs/>
                <w:color w:val="FFFFFF"/>
                <w:sz w:val="24"/>
                <w:szCs w:val="24"/>
                <w:lang w:eastAsia="en-AU"/>
              </w:rPr>
            </w:pPr>
            <w:r w:rsidRPr="00DA04E5">
              <w:rPr>
                <w:rFonts w:ascii="Calibri" w:hAnsi="Calibri"/>
                <w:b/>
                <w:bCs/>
                <w:color w:val="FFFFFF"/>
                <w:sz w:val="24"/>
                <w:szCs w:val="24"/>
                <w:lang w:eastAsia="en-AU"/>
              </w:rPr>
              <w:t> </w:t>
            </w:r>
          </w:p>
        </w:tc>
        <w:tc>
          <w:tcPr>
            <w:tcW w:w="70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Event Date</w:t>
            </w:r>
          </w:p>
        </w:tc>
        <w:tc>
          <w:tcPr>
            <w:tcW w:w="153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High Price Period</w:t>
            </w:r>
          </w:p>
        </w:tc>
        <w:tc>
          <w:tcPr>
            <w:tcW w:w="65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Region</w:t>
            </w:r>
          </w:p>
        </w:tc>
        <w:tc>
          <w:tcPr>
            <w:tcW w:w="80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Market</w:t>
            </w:r>
          </w:p>
        </w:tc>
        <w:tc>
          <w:tcPr>
            <w:tcW w:w="105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Highest Price</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B7BB0" w:rsidRPr="00E67486" w:rsidRDefault="001513E9" w:rsidP="0070591C">
            <w:pPr>
              <w:spacing w:before="120"/>
              <w:jc w:val="center"/>
              <w:rPr>
                <w:rFonts w:ascii="Calibri" w:hAnsi="Calibri"/>
                <w:color w:val="076A92" w:themeColor="text1"/>
                <w:lang w:eastAsia="en-AU"/>
              </w:rPr>
            </w:pPr>
            <w:r w:rsidRPr="00E67486">
              <w:rPr>
                <w:rFonts w:ascii="Calibri" w:hAnsi="Calibri"/>
                <w:color w:val="076A92" w:themeColor="text1"/>
                <w:lang w:eastAsia="en-AU"/>
              </w:rPr>
              <w:t>1</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E67486" w:rsidRDefault="001B7BB0"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17:00 - 17:30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13</w:t>
            </w:r>
            <w:r w:rsidR="006003F3">
              <w:rPr>
                <w:rFonts w:ascii="Calibri" w:hAnsi="Calibri"/>
                <w:color w:val="076A92" w:themeColor="text1"/>
                <w:lang w:eastAsia="en-AU"/>
              </w:rPr>
              <w:t xml:space="preserve"> </w:t>
            </w:r>
            <w:r w:rsidR="00B13D52" w:rsidRPr="00E67486">
              <w:rPr>
                <w:rFonts w:ascii="Calibri" w:hAnsi="Calibri"/>
                <w:color w:val="076A92" w:themeColor="text1"/>
                <w:lang w:eastAsia="en-AU"/>
              </w:rPr>
              <w:t>400</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B7BB0" w:rsidRPr="00E67486" w:rsidRDefault="001513E9" w:rsidP="0070591C">
            <w:pPr>
              <w:spacing w:before="120"/>
              <w:jc w:val="center"/>
              <w:rPr>
                <w:rFonts w:ascii="Calibri" w:hAnsi="Calibri"/>
                <w:color w:val="076A92" w:themeColor="text1"/>
                <w:lang w:eastAsia="en-AU"/>
              </w:rPr>
            </w:pPr>
            <w:r w:rsidRPr="00E67486">
              <w:rPr>
                <w:rFonts w:ascii="Calibri" w:hAnsi="Calibri"/>
                <w:color w:val="076A92" w:themeColor="text1"/>
                <w:lang w:eastAsia="en-AU"/>
              </w:rPr>
              <w:t>2</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6/02/2017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E67486" w:rsidRDefault="001B7BB0"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16:30 - 17:00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NSW</w:t>
            </w:r>
            <w:r w:rsidR="00AE2EF7" w:rsidRPr="00E67486">
              <w:rPr>
                <w:rFonts w:ascii="Calibri" w:hAnsi="Calibri"/>
                <w:color w:val="076A92" w:themeColor="text1"/>
                <w:lang w:eastAsia="en-AU"/>
              </w:rPr>
              <w:t xml:space="preserve"> </w:t>
            </w:r>
            <w:r w:rsidRPr="00E67486">
              <w:rPr>
                <w:rFonts w:ascii="Calibri" w:hAnsi="Calibri"/>
                <w:color w:val="076A92" w:themeColor="text1"/>
                <w:lang w:eastAsia="en-AU"/>
              </w:rPr>
              <w:t>/</w:t>
            </w:r>
            <w:r w:rsidR="00AE2EF7" w:rsidRPr="00E67486">
              <w:rPr>
                <w:rFonts w:ascii="Calibri" w:hAnsi="Calibri"/>
                <w:color w:val="076A92" w:themeColor="text1"/>
                <w:lang w:eastAsia="en-AU"/>
              </w:rPr>
              <w:t xml:space="preserve"> </w:t>
            </w:r>
            <w:r w:rsidRPr="00E67486">
              <w:rPr>
                <w:rFonts w:ascii="Calibri" w:hAnsi="Calibri"/>
                <w:color w:val="076A92" w:themeColor="text1"/>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E67486" w:rsidRDefault="001B7BB0"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11</w:t>
            </w:r>
            <w:r w:rsidR="006003F3">
              <w:rPr>
                <w:rFonts w:ascii="Calibri" w:hAnsi="Calibri"/>
                <w:color w:val="076A92" w:themeColor="text1"/>
                <w:lang w:eastAsia="en-AU"/>
              </w:rPr>
              <w:t xml:space="preserve"> </w:t>
            </w:r>
            <w:r w:rsidRPr="00E67486">
              <w:rPr>
                <w:rFonts w:ascii="Calibri" w:hAnsi="Calibri"/>
                <w:color w:val="076A92" w:themeColor="text1"/>
                <w:lang w:eastAsia="en-AU"/>
              </w:rPr>
              <w:t>962 / 11</w:t>
            </w:r>
            <w:r w:rsidR="006003F3">
              <w:rPr>
                <w:rFonts w:ascii="Calibri" w:hAnsi="Calibri"/>
                <w:color w:val="076A92" w:themeColor="text1"/>
                <w:lang w:eastAsia="en-AU"/>
              </w:rPr>
              <w:t xml:space="preserve"> </w:t>
            </w:r>
            <w:r w:rsidRPr="00E67486">
              <w:rPr>
                <w:rFonts w:ascii="Calibri" w:hAnsi="Calibri"/>
                <w:color w:val="076A92" w:themeColor="text1"/>
                <w:lang w:eastAsia="en-AU"/>
              </w:rPr>
              <w:t>028</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E67486" w:rsidRDefault="001513E9" w:rsidP="0070591C">
            <w:pPr>
              <w:spacing w:before="120"/>
              <w:jc w:val="center"/>
              <w:rPr>
                <w:rFonts w:ascii="Calibri" w:hAnsi="Calibri"/>
                <w:color w:val="076A92" w:themeColor="text1"/>
                <w:lang w:eastAsia="en-AU"/>
              </w:rPr>
            </w:pPr>
            <w:r w:rsidRPr="00E67486">
              <w:rPr>
                <w:rFonts w:ascii="Calibri" w:hAnsi="Calibri"/>
                <w:color w:val="076A92" w:themeColor="text1"/>
                <w:lang w:eastAsia="en-AU"/>
              </w:rPr>
              <w:t>3</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8/02/2017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E67486" w:rsidRDefault="00AE2EF7"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17:30 - 18:30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11</w:t>
            </w:r>
            <w:r w:rsidR="006003F3">
              <w:rPr>
                <w:rFonts w:ascii="Calibri" w:hAnsi="Calibri"/>
                <w:color w:val="076A92" w:themeColor="text1"/>
                <w:lang w:eastAsia="en-AU"/>
              </w:rPr>
              <w:t xml:space="preserve"> </w:t>
            </w:r>
            <w:r w:rsidRPr="00E67486">
              <w:rPr>
                <w:rFonts w:ascii="Calibri" w:hAnsi="Calibri"/>
                <w:color w:val="076A92" w:themeColor="text1"/>
                <w:lang w:eastAsia="en-AU"/>
              </w:rPr>
              <w:t>141</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E67486" w:rsidRDefault="001513E9" w:rsidP="0070591C">
            <w:pPr>
              <w:spacing w:before="120"/>
              <w:jc w:val="center"/>
              <w:rPr>
                <w:rFonts w:ascii="Calibri" w:hAnsi="Calibri"/>
                <w:color w:val="076A92" w:themeColor="text1"/>
                <w:lang w:eastAsia="en-AU"/>
              </w:rPr>
            </w:pPr>
            <w:r w:rsidRPr="00E67486">
              <w:rPr>
                <w:rFonts w:ascii="Calibri" w:hAnsi="Calibri"/>
                <w:color w:val="076A92" w:themeColor="text1"/>
                <w:lang w:eastAsia="en-AU"/>
              </w:rPr>
              <w:t>4</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E67486" w:rsidRDefault="00AE2EF7"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NSW</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7822</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E67486" w:rsidRDefault="001513E9" w:rsidP="0070591C">
            <w:pPr>
              <w:spacing w:before="120"/>
              <w:jc w:val="center"/>
              <w:rPr>
                <w:rFonts w:ascii="Calibri" w:hAnsi="Calibri"/>
                <w:color w:val="076A92" w:themeColor="text1"/>
                <w:lang w:eastAsia="en-AU"/>
              </w:rPr>
            </w:pPr>
            <w:r w:rsidRPr="00E67486">
              <w:rPr>
                <w:rFonts w:ascii="Calibri" w:hAnsi="Calibri"/>
                <w:color w:val="076A92" w:themeColor="text1"/>
                <w:lang w:eastAsia="en-AU"/>
              </w:rPr>
              <w:t>5</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E67486" w:rsidRDefault="00AE2EF7"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17:00, 17:30, 18:30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E67486" w:rsidRDefault="00AE2EF7"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95</w:t>
            </w:r>
            <w:r w:rsidR="00B13D52" w:rsidRPr="00E67486">
              <w:rPr>
                <w:rFonts w:ascii="Calibri" w:hAnsi="Calibri"/>
                <w:color w:val="076A92" w:themeColor="text1"/>
                <w:lang w:eastAsia="en-AU"/>
              </w:rPr>
              <w:t>10</w:t>
            </w:r>
          </w:p>
        </w:tc>
      </w:tr>
      <w:tr w:rsidR="00B13D52"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1513E9"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6</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10/02/2017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17:00 - 18:00 / 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NSW/QLD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14</w:t>
            </w:r>
            <w:r w:rsidR="006003F3">
              <w:rPr>
                <w:rFonts w:ascii="Calibri" w:hAnsi="Calibri"/>
                <w:color w:val="076A92" w:themeColor="text1"/>
                <w:lang w:eastAsia="en-AU"/>
              </w:rPr>
              <w:t xml:space="preserve"> </w:t>
            </w:r>
            <w:r w:rsidRPr="00E67486">
              <w:rPr>
                <w:rFonts w:ascii="Calibri" w:hAnsi="Calibri"/>
                <w:color w:val="076A92" w:themeColor="text1"/>
                <w:lang w:eastAsia="en-AU"/>
              </w:rPr>
              <w:t>000 / 12</w:t>
            </w:r>
            <w:r w:rsidR="006003F3">
              <w:rPr>
                <w:rFonts w:ascii="Calibri" w:hAnsi="Calibri"/>
                <w:color w:val="076A92" w:themeColor="text1"/>
                <w:lang w:eastAsia="en-AU"/>
              </w:rPr>
              <w:t xml:space="preserve"> </w:t>
            </w:r>
            <w:r w:rsidRPr="00E67486">
              <w:rPr>
                <w:rFonts w:ascii="Calibri" w:hAnsi="Calibri"/>
                <w:color w:val="076A92" w:themeColor="text1"/>
                <w:lang w:eastAsia="en-AU"/>
              </w:rPr>
              <w:t>221</w:t>
            </w:r>
          </w:p>
        </w:tc>
      </w:tr>
      <w:tr w:rsidR="00B13D52"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1513E9"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7</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11/02/2017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16:30- 17:30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8569</w:t>
            </w:r>
          </w:p>
        </w:tc>
      </w:tr>
      <w:tr w:rsidR="00B13D52" w:rsidRPr="009737F4" w:rsidTr="00B13D52">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1513E9"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8</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12/02/2017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9005</w:t>
            </w:r>
          </w:p>
        </w:tc>
      </w:tr>
    </w:tbl>
    <w:p w:rsidR="00207D85" w:rsidRDefault="00207D85" w:rsidP="00653393">
      <w:pPr>
        <w:spacing w:before="0" w:after="240"/>
        <w:jc w:val="both"/>
      </w:pPr>
    </w:p>
    <w:p w:rsidR="000D7A82" w:rsidRPr="00582FFB" w:rsidRDefault="000D7A82" w:rsidP="0033031B">
      <w:pPr>
        <w:pStyle w:val="Heading3"/>
        <w:spacing w:before="0" w:after="240"/>
        <w:ind w:left="851" w:hanging="851"/>
        <w:rPr>
          <w:szCs w:val="28"/>
        </w:rPr>
      </w:pPr>
      <w:bookmarkStart w:id="33" w:name="_Toc490738285"/>
      <w:r w:rsidRPr="00582FFB">
        <w:rPr>
          <w:szCs w:val="28"/>
        </w:rPr>
        <w:t>Reports pending</w:t>
      </w:r>
      <w:bookmarkEnd w:id="33"/>
    </w:p>
    <w:p w:rsidR="003C7809" w:rsidRPr="006003F3" w:rsidRDefault="003C7809" w:rsidP="00582FFB">
      <w:pPr>
        <w:spacing w:before="0" w:after="240"/>
        <w:jc w:val="both"/>
      </w:pPr>
      <w:r w:rsidRPr="006003F3">
        <w:t xml:space="preserve">Currently, </w:t>
      </w:r>
      <w:r w:rsidR="00087437" w:rsidRPr="006003F3">
        <w:t>we are</w:t>
      </w:r>
      <w:r w:rsidRPr="006003F3">
        <w:t xml:space="preserve"> </w:t>
      </w:r>
      <w:r w:rsidR="002970C5" w:rsidRPr="006003F3">
        <w:t xml:space="preserve">preparing reports </w:t>
      </w:r>
      <w:r w:rsidR="005B25E4" w:rsidRPr="006003F3">
        <w:t>in relation</w:t>
      </w:r>
      <w:r w:rsidR="00EB5471" w:rsidRPr="006003F3">
        <w:t xml:space="preserve"> to high price events </w:t>
      </w:r>
      <w:r w:rsidR="0026684F" w:rsidRPr="006003F3">
        <w:t xml:space="preserve">in the ancillary service markets </w:t>
      </w:r>
      <w:r w:rsidR="00EB5471" w:rsidRPr="006003F3">
        <w:t xml:space="preserve">on the following days. </w:t>
      </w:r>
    </w:p>
    <w:p w:rsidR="00F044CA" w:rsidRPr="00F23760" w:rsidRDefault="00F044CA" w:rsidP="00987D1E">
      <w:pPr>
        <w:keepNext/>
        <w:spacing w:before="0" w:after="240"/>
        <w:jc w:val="both"/>
        <w:rPr>
          <w:b/>
          <w:color w:val="076A92" w:themeColor="text1"/>
          <w:sz w:val="24"/>
          <w:szCs w:val="24"/>
        </w:rPr>
      </w:pPr>
      <w:r w:rsidRPr="00F23760">
        <w:rPr>
          <w:b/>
          <w:color w:val="076A92" w:themeColor="text1"/>
          <w:sz w:val="24"/>
          <w:szCs w:val="24"/>
        </w:rPr>
        <w:t xml:space="preserve">Figure </w:t>
      </w:r>
      <w:r w:rsidR="00C20E37">
        <w:rPr>
          <w:b/>
          <w:color w:val="076A92" w:themeColor="text1"/>
          <w:sz w:val="24"/>
          <w:szCs w:val="24"/>
        </w:rPr>
        <w:t>9</w:t>
      </w:r>
      <w:r w:rsidR="00207D85">
        <w:rPr>
          <w:b/>
          <w:color w:val="076A92" w:themeColor="text1"/>
          <w:sz w:val="24"/>
          <w:szCs w:val="24"/>
        </w:rPr>
        <w:t>:</w:t>
      </w:r>
      <w:r w:rsidR="00207D85">
        <w:rPr>
          <w:b/>
          <w:color w:val="076A92" w:themeColor="text1"/>
          <w:sz w:val="24"/>
          <w:szCs w:val="24"/>
        </w:rPr>
        <w:tab/>
      </w:r>
      <w:r>
        <w:rPr>
          <w:b/>
          <w:color w:val="076A92" w:themeColor="text1"/>
          <w:sz w:val="24"/>
          <w:szCs w:val="24"/>
        </w:rPr>
        <w:t>Reports to be published</w:t>
      </w:r>
    </w:p>
    <w:tbl>
      <w:tblPr>
        <w:tblW w:w="5000" w:type="pct"/>
        <w:tblCellMar>
          <w:left w:w="0" w:type="dxa"/>
          <w:right w:w="0" w:type="dxa"/>
        </w:tblCellMar>
        <w:tblLook w:val="04A0" w:firstRow="1" w:lastRow="0" w:firstColumn="1" w:lastColumn="0" w:noHBand="0" w:noVBand="1"/>
      </w:tblPr>
      <w:tblGrid>
        <w:gridCol w:w="412"/>
        <w:gridCol w:w="1278"/>
        <w:gridCol w:w="2990"/>
        <w:gridCol w:w="1148"/>
        <w:gridCol w:w="1864"/>
        <w:gridCol w:w="1550"/>
      </w:tblGrid>
      <w:tr w:rsidR="0027068D" w:rsidRPr="0082148D" w:rsidTr="00F044CA">
        <w:trPr>
          <w:trHeight w:val="288"/>
          <w:tblHeader/>
        </w:trPr>
        <w:tc>
          <w:tcPr>
            <w:tcW w:w="239" w:type="pct"/>
            <w:tcBorders>
              <w:top w:val="single" w:sz="8" w:space="0" w:color="auto"/>
              <w:left w:val="single" w:sz="8" w:space="0" w:color="auto"/>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rPr>
                <w:rFonts w:ascii="Calibri" w:hAnsi="Calibri"/>
                <w:b/>
                <w:bCs/>
                <w:color w:val="FFFFFF"/>
                <w:lang w:eastAsia="en-AU"/>
              </w:rPr>
            </w:pPr>
            <w:r w:rsidRPr="00C90640">
              <w:rPr>
                <w:rFonts w:ascii="Calibri" w:hAnsi="Calibri"/>
                <w:b/>
                <w:bCs/>
                <w:color w:val="FFFFFF"/>
                <w:lang w:eastAsia="en-AU"/>
              </w:rPr>
              <w:t> </w:t>
            </w:r>
          </w:p>
        </w:tc>
        <w:tc>
          <w:tcPr>
            <w:tcW w:w="696"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Event Date</w:t>
            </w:r>
          </w:p>
        </w:tc>
        <w:tc>
          <w:tcPr>
            <w:tcW w:w="153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High Price Period</w:t>
            </w:r>
          </w:p>
        </w:tc>
        <w:tc>
          <w:tcPr>
            <w:tcW w:w="649"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Region</w:t>
            </w:r>
          </w:p>
        </w:tc>
        <w:tc>
          <w:tcPr>
            <w:tcW w:w="102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Market</w:t>
            </w:r>
          </w:p>
        </w:tc>
        <w:tc>
          <w:tcPr>
            <w:tcW w:w="85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C90640">
              <w:rPr>
                <w:rFonts w:ascii="Calibri" w:hAnsi="Calibri"/>
                <w:b/>
                <w:bCs/>
                <w:color w:val="FFFFFF"/>
                <w:lang w:eastAsia="en-AU"/>
              </w:rPr>
              <w:t>Highest Price</w:t>
            </w:r>
          </w:p>
        </w:tc>
      </w:tr>
      <w:tr w:rsidR="00B13D52" w:rsidRPr="0082148D" w:rsidTr="00F044CA">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9/11/2016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04:30 - 18:30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7</w:t>
            </w:r>
            <w:r w:rsidR="00C6554A">
              <w:rPr>
                <w:rFonts w:ascii="Calibri" w:hAnsi="Calibri"/>
                <w:color w:val="076A92" w:themeColor="text1"/>
                <w:lang w:eastAsia="en-AU"/>
              </w:rPr>
              <w:t xml:space="preserve"> </w:t>
            </w:r>
            <w:r w:rsidRPr="00E67486">
              <w:rPr>
                <w:rFonts w:ascii="Calibri" w:hAnsi="Calibri"/>
                <w:color w:val="076A92" w:themeColor="text1"/>
                <w:lang w:eastAsia="en-AU"/>
              </w:rPr>
              <w:t>334</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25/11/2016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04:30 - 11:30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EE2A35">
            <w:pPr>
              <w:spacing w:before="120"/>
              <w:jc w:val="center"/>
              <w:rPr>
                <w:rFonts w:ascii="Calibri" w:hAnsi="Calibri"/>
                <w:color w:val="076A92" w:themeColor="text1"/>
                <w:lang w:eastAsia="en-AU"/>
              </w:rPr>
            </w:pPr>
            <w:r w:rsidRPr="00E67486">
              <w:rPr>
                <w:rFonts w:ascii="Calibri" w:hAnsi="Calibri"/>
                <w:color w:val="076A92" w:themeColor="text1"/>
                <w:lang w:eastAsia="en-AU"/>
              </w:rPr>
              <w:t>11 014</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3</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23/01/2017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5:30 - 6:00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9</w:t>
            </w:r>
            <w:r w:rsidR="00C6554A">
              <w:rPr>
                <w:rFonts w:ascii="Calibri" w:hAnsi="Calibri"/>
                <w:color w:val="076A92" w:themeColor="text1"/>
                <w:lang w:eastAsia="en-AU"/>
              </w:rPr>
              <w:t xml:space="preserve"> </w:t>
            </w:r>
            <w:r w:rsidRPr="00E67486">
              <w:rPr>
                <w:rFonts w:ascii="Calibri" w:hAnsi="Calibri"/>
                <w:color w:val="076A92" w:themeColor="text1"/>
                <w:lang w:eastAsia="en-AU"/>
              </w:rPr>
              <w:t>333</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lastRenderedPageBreak/>
              <w:t>4</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21/03/2017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11:30 – 16:30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11 982</w:t>
            </w:r>
          </w:p>
        </w:tc>
      </w:tr>
      <w:tr w:rsidR="00B13D52" w:rsidRPr="0082148D" w:rsidTr="00F044CA">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5</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30/03/2017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9:30 – 13:30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11 608</w:t>
            </w:r>
          </w:p>
        </w:tc>
      </w:tr>
      <w:tr w:rsidR="00B13D52" w:rsidRPr="0082148D" w:rsidTr="00A164DA">
        <w:trPr>
          <w:trHeight w:val="288"/>
        </w:trPr>
        <w:tc>
          <w:tcPr>
            <w:tcW w:w="239"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6</w:t>
            </w:r>
          </w:p>
        </w:tc>
        <w:tc>
          <w:tcPr>
            <w:tcW w:w="696" w:type="pct"/>
            <w:tcBorders>
              <w:top w:val="nil"/>
              <w:left w:val="nil"/>
              <w:bottom w:val="single" w:sz="4"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18/04/2017</w:t>
            </w:r>
          </w:p>
        </w:tc>
        <w:tc>
          <w:tcPr>
            <w:tcW w:w="1538" w:type="pct"/>
            <w:tcBorders>
              <w:top w:val="nil"/>
              <w:left w:val="nil"/>
              <w:bottom w:val="single" w:sz="4" w:space="0" w:color="auto"/>
              <w:right w:val="single" w:sz="8" w:space="0" w:color="auto"/>
            </w:tcBorders>
            <w:noWrap/>
            <w:tcMar>
              <w:top w:w="0" w:type="dxa"/>
              <w:left w:w="108" w:type="dxa"/>
              <w:bottom w:w="0" w:type="dxa"/>
              <w:right w:w="108" w:type="dxa"/>
            </w:tcMar>
          </w:tcPr>
          <w:p w:rsidR="00B13D52" w:rsidRPr="00E67486" w:rsidRDefault="00B13D52"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12:30 – 18:30</w:t>
            </w:r>
          </w:p>
        </w:tc>
        <w:tc>
          <w:tcPr>
            <w:tcW w:w="649" w:type="pct"/>
            <w:tcBorders>
              <w:top w:val="nil"/>
              <w:left w:val="nil"/>
              <w:bottom w:val="single" w:sz="4"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nil"/>
              <w:left w:val="nil"/>
              <w:bottom w:val="single" w:sz="4" w:space="0" w:color="auto"/>
              <w:right w:val="single" w:sz="8" w:space="0" w:color="auto"/>
            </w:tcBorders>
            <w:noWrap/>
            <w:tcMar>
              <w:top w:w="0" w:type="dxa"/>
              <w:left w:w="108" w:type="dxa"/>
              <w:bottom w:w="0" w:type="dxa"/>
              <w:right w:w="108" w:type="dxa"/>
            </w:tcMar>
            <w:vAlign w:val="center"/>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nil"/>
              <w:left w:val="nil"/>
              <w:bottom w:val="single" w:sz="4" w:space="0" w:color="auto"/>
              <w:right w:val="single" w:sz="8" w:space="0" w:color="auto"/>
            </w:tcBorders>
            <w:noWrap/>
            <w:tcMar>
              <w:top w:w="0" w:type="dxa"/>
              <w:left w:w="108" w:type="dxa"/>
              <w:bottom w:w="0" w:type="dxa"/>
              <w:right w:w="108" w:type="dxa"/>
            </w:tcMar>
            <w:vAlign w:val="bottom"/>
          </w:tcPr>
          <w:p w:rsidR="00B13D52" w:rsidRPr="00E67486" w:rsidRDefault="00B13D52"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14 000</w:t>
            </w:r>
          </w:p>
        </w:tc>
      </w:tr>
      <w:tr w:rsidR="00A164DA" w:rsidRPr="0082148D" w:rsidTr="00A164DA">
        <w:trPr>
          <w:trHeight w:val="288"/>
        </w:trPr>
        <w:tc>
          <w:tcPr>
            <w:tcW w:w="239"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A164DA" w:rsidRPr="00E67486" w:rsidRDefault="00A164DA"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7</w:t>
            </w:r>
          </w:p>
        </w:tc>
        <w:tc>
          <w:tcPr>
            <w:tcW w:w="696"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A164DA" w:rsidRPr="00E67486" w:rsidRDefault="00A164DA"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22/052017</w:t>
            </w:r>
          </w:p>
        </w:tc>
        <w:tc>
          <w:tcPr>
            <w:tcW w:w="1538" w:type="pct"/>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A164DA" w:rsidRPr="00E67486" w:rsidRDefault="00A164DA" w:rsidP="00B13D52">
            <w:pPr>
              <w:spacing w:before="120"/>
              <w:ind w:left="453" w:hanging="13"/>
              <w:rPr>
                <w:rFonts w:ascii="Calibri" w:hAnsi="Calibri"/>
                <w:color w:val="076A92" w:themeColor="text1"/>
                <w:lang w:eastAsia="en-AU"/>
              </w:rPr>
            </w:pPr>
            <w:r w:rsidRPr="00E67486">
              <w:rPr>
                <w:rFonts w:ascii="Calibri" w:hAnsi="Calibri"/>
                <w:color w:val="076A92" w:themeColor="text1"/>
                <w:lang w:eastAsia="en-AU"/>
              </w:rPr>
              <w:t>12:30, 13:00, 18:00, 18:30</w:t>
            </w:r>
          </w:p>
        </w:tc>
        <w:tc>
          <w:tcPr>
            <w:tcW w:w="649"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A164DA" w:rsidRPr="00E67486" w:rsidRDefault="00A164DA"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SA</w:t>
            </w:r>
          </w:p>
        </w:tc>
        <w:tc>
          <w:tcPr>
            <w:tcW w:w="102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A164DA" w:rsidRPr="00E67486" w:rsidRDefault="00A164DA"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FCAS</w:t>
            </w:r>
          </w:p>
        </w:tc>
        <w:tc>
          <w:tcPr>
            <w:tcW w:w="85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A164DA" w:rsidRPr="00E67486" w:rsidRDefault="00A164DA" w:rsidP="00B13D52">
            <w:pPr>
              <w:spacing w:before="120"/>
              <w:jc w:val="center"/>
              <w:rPr>
                <w:rFonts w:ascii="Calibri" w:hAnsi="Calibri"/>
                <w:color w:val="076A92" w:themeColor="text1"/>
                <w:lang w:eastAsia="en-AU"/>
              </w:rPr>
            </w:pPr>
            <w:r w:rsidRPr="00E67486">
              <w:rPr>
                <w:rFonts w:ascii="Calibri" w:hAnsi="Calibri"/>
                <w:color w:val="076A92" w:themeColor="text1"/>
                <w:lang w:eastAsia="en-AU"/>
              </w:rPr>
              <w:t>10 770</w:t>
            </w:r>
          </w:p>
        </w:tc>
      </w:tr>
    </w:tbl>
    <w:p w:rsidR="000A7786" w:rsidRDefault="000A7786" w:rsidP="00F067F2">
      <w:pPr>
        <w:spacing w:before="0" w:after="240"/>
      </w:pPr>
    </w:p>
    <w:p w:rsidR="005B25E4" w:rsidRDefault="005B25E4" w:rsidP="000D7A82">
      <w:pPr>
        <w:spacing w:before="0" w:after="240"/>
        <w:jc w:val="both"/>
      </w:pPr>
      <w:r w:rsidRPr="00E67486">
        <w:t>The AER endeavours to publish its $5000 per megawatt hour reports for electricity in a timely manner and in accordance with timeframes required by the Electricity Rules. We sometimes make full use of these timeframes to ensure that these reports are accurate, comprehensive and reflective of consultations with market participants.</w:t>
      </w:r>
    </w:p>
    <w:p w:rsidR="00D23C09" w:rsidRPr="009B65DE" w:rsidRDefault="00D23C09" w:rsidP="005A2DB2">
      <w:pPr>
        <w:pStyle w:val="Heading2"/>
        <w:tabs>
          <w:tab w:val="clear" w:pos="680"/>
          <w:tab w:val="left" w:pos="851"/>
        </w:tabs>
        <w:spacing w:before="0" w:after="240"/>
        <w:ind w:left="851" w:hanging="851"/>
      </w:pPr>
      <w:bookmarkStart w:id="34" w:name="_Toc490738286"/>
      <w:r>
        <w:t>FCAS Causer Pays Issues</w:t>
      </w:r>
      <w:bookmarkEnd w:id="34"/>
    </w:p>
    <w:p w:rsidR="00D23C09" w:rsidRDefault="00D23C09" w:rsidP="008443D2">
      <w:pPr>
        <w:spacing w:before="0" w:after="240"/>
        <w:jc w:val="both"/>
      </w:pPr>
      <w:r>
        <w:t xml:space="preserve">This quarter, AEMO notified the AER that it had identified an error in the way in which it had treated the Smithfield non-market scheduled generator (SITHE01) when calculating FCAS Causer Pays factors. This error had been identified as part of quality assurance checks AEMO was undertaking. </w:t>
      </w:r>
    </w:p>
    <w:p w:rsidR="00D23C09" w:rsidRDefault="00D23C09" w:rsidP="008443D2">
      <w:pPr>
        <w:spacing w:before="0" w:after="240"/>
        <w:jc w:val="both"/>
      </w:pPr>
      <w:r>
        <w:t xml:space="preserve">Under clause </w:t>
      </w:r>
      <w:proofErr w:type="gramStart"/>
      <w:r>
        <w:t>3.15.16A(</w:t>
      </w:r>
      <w:proofErr w:type="gramEnd"/>
      <w:r>
        <w:t>j), AEMO is obligated to comply with its FCAS Causer Pays Procedures when calculating the contribution factors for liable market participants. In the procedure, AEMO specifies that the effect of non-market generating units, amo</w:t>
      </w:r>
      <w:r w:rsidR="00F140D0">
        <w:t>ngst</w:t>
      </w:r>
      <w:r>
        <w:t xml:space="preserve"> other things, is included in the regional demand deviation (as well as the region demand forecast error). These deviation components are inputs into determining the FCAS Causer Pays factors for market generating units and market customers. </w:t>
      </w:r>
    </w:p>
    <w:p w:rsidR="00D23C09" w:rsidRPr="009B65DE" w:rsidRDefault="00D23C09" w:rsidP="005A2DB2">
      <w:pPr>
        <w:pStyle w:val="Heading3"/>
        <w:tabs>
          <w:tab w:val="clear" w:pos="1021"/>
          <w:tab w:val="left" w:pos="851"/>
        </w:tabs>
        <w:spacing w:before="0" w:after="240"/>
        <w:ind w:left="851" w:hanging="851"/>
      </w:pPr>
      <w:bookmarkStart w:id="35" w:name="_Toc490738287"/>
      <w:r w:rsidRPr="005A2DB2">
        <w:rPr>
          <w:iCs/>
          <w:szCs w:val="28"/>
        </w:rPr>
        <w:t>Previous FCAS Causer Pays issues</w:t>
      </w:r>
      <w:bookmarkEnd w:id="35"/>
    </w:p>
    <w:p w:rsidR="00D23C09" w:rsidRDefault="00D23C09" w:rsidP="008443D2">
      <w:pPr>
        <w:spacing w:before="0" w:after="240"/>
        <w:jc w:val="both"/>
      </w:pPr>
      <w:r>
        <w:t>Since 2015, two separate issues have been identified regarding AEMO’s FCAS Causer Pays processes and procedures:</w:t>
      </w:r>
    </w:p>
    <w:p w:rsidR="00D23C09" w:rsidRPr="005A2DB2" w:rsidRDefault="00D23C09" w:rsidP="005A2DB2">
      <w:pPr>
        <w:spacing w:before="0" w:after="240" w:line="240" w:lineRule="auto"/>
        <w:rPr>
          <w:b/>
          <w:bCs/>
        </w:rPr>
      </w:pPr>
      <w:r w:rsidRPr="005A2DB2">
        <w:rPr>
          <w:b/>
          <w:bCs/>
        </w:rPr>
        <w:t>Participant ID issue</w:t>
      </w:r>
    </w:p>
    <w:p w:rsidR="00D23C09" w:rsidRDefault="00D23C09" w:rsidP="008443D2">
      <w:pPr>
        <w:pStyle w:val="ListParagraph"/>
        <w:numPr>
          <w:ilvl w:val="0"/>
          <w:numId w:val="0"/>
        </w:numPr>
        <w:tabs>
          <w:tab w:val="clear" w:pos="340"/>
          <w:tab w:val="left" w:pos="0"/>
        </w:tabs>
        <w:spacing w:before="0" w:after="240"/>
        <w:jc w:val="both"/>
      </w:pPr>
      <w:r>
        <w:t xml:space="preserve">AEMO was </w:t>
      </w:r>
      <w:r w:rsidR="00427C8F">
        <w:t>not using the correct participant factors in some</w:t>
      </w:r>
      <w:r>
        <w:t xml:space="preserve"> circumstances when local regulation FCAS requirements applied and a market participant had multiple participant IDs (for example </w:t>
      </w:r>
      <w:r>
        <w:rPr>
          <w:color w:val="1B2F6F"/>
        </w:rPr>
        <w:t>a</w:t>
      </w:r>
      <w:r>
        <w:t xml:space="preserve"> parent company </w:t>
      </w:r>
      <w:r>
        <w:rPr>
          <w:color w:val="1B2F6F"/>
        </w:rPr>
        <w:t>w</w:t>
      </w:r>
      <w:bookmarkStart w:id="36" w:name="_GoBack"/>
      <w:bookmarkEnd w:id="36"/>
      <w:r>
        <w:rPr>
          <w:color w:val="1B2F6F"/>
        </w:rPr>
        <w:t>ith</w:t>
      </w:r>
      <w:r>
        <w:t xml:space="preserve"> separate participant IDs for each generating plant in its portfolio).  Where a market participant had multiple participant IDs, AEMO’s practice had been to record a causer pays factor against only one of those IDs.  This practice became non-compliant with the introduction of local recovery in 2009 and as generation assets were consolidated across fewer entities.</w:t>
      </w:r>
    </w:p>
    <w:p w:rsidR="00D23C09" w:rsidRDefault="00D23C09" w:rsidP="008443D2">
      <w:pPr>
        <w:pStyle w:val="ListParagraph"/>
        <w:numPr>
          <w:ilvl w:val="0"/>
          <w:numId w:val="0"/>
        </w:numPr>
        <w:tabs>
          <w:tab w:val="clear" w:pos="340"/>
          <w:tab w:val="left" w:pos="0"/>
        </w:tabs>
        <w:spacing w:before="0" w:after="240"/>
        <w:jc w:val="both"/>
      </w:pPr>
      <w:r>
        <w:t>AEMO implemented a software change to its EMMS to ensure that, if a participant ID is considered relevant to regulation FCAS requirement, all other participant ID</w:t>
      </w:r>
      <w:r w:rsidR="004D5C06">
        <w:t>s</w:t>
      </w:r>
      <w:r>
        <w:t xml:space="preserve"> associated with that market participant are also considered.</w:t>
      </w:r>
    </w:p>
    <w:p w:rsidR="00D23C09" w:rsidRPr="005A2DB2" w:rsidRDefault="00D23C09" w:rsidP="00987D1E">
      <w:pPr>
        <w:keepNext/>
        <w:spacing w:before="0" w:after="240" w:line="240" w:lineRule="auto"/>
        <w:rPr>
          <w:b/>
          <w:bCs/>
        </w:rPr>
      </w:pPr>
      <w:r w:rsidRPr="005A2DB2">
        <w:rPr>
          <w:b/>
          <w:bCs/>
        </w:rPr>
        <w:lastRenderedPageBreak/>
        <w:t>South Australian local regulation cost recovery dispute</w:t>
      </w:r>
    </w:p>
    <w:p w:rsidR="00D23C09" w:rsidRDefault="00D23C09" w:rsidP="008443D2">
      <w:pPr>
        <w:pStyle w:val="ListParagraph"/>
        <w:numPr>
          <w:ilvl w:val="0"/>
          <w:numId w:val="0"/>
        </w:numPr>
        <w:tabs>
          <w:tab w:val="clear" w:pos="340"/>
          <w:tab w:val="left" w:pos="0"/>
        </w:tabs>
        <w:spacing w:before="0" w:after="240"/>
        <w:jc w:val="both"/>
      </w:pPr>
      <w:r>
        <w:t xml:space="preserve">Arising out of local regulation costs accrued when South Australia was on a single contingency, certain market participants challenged how AEMO attributed these costs. In particular, the dispute related to whether AEMO erred by recovering the costs from each participant that had plant or load in South Australia (but whose factor was calculated with reference to the performance of all plant or load within those participants’ portfolio). </w:t>
      </w:r>
    </w:p>
    <w:p w:rsidR="00D23C09" w:rsidRDefault="00D23C09" w:rsidP="008443D2">
      <w:pPr>
        <w:pStyle w:val="ListParagraph"/>
        <w:numPr>
          <w:ilvl w:val="0"/>
          <w:numId w:val="0"/>
        </w:numPr>
        <w:tabs>
          <w:tab w:val="clear" w:pos="340"/>
          <w:tab w:val="left" w:pos="0"/>
        </w:tabs>
        <w:spacing w:before="0" w:after="240"/>
        <w:jc w:val="both"/>
      </w:pPr>
      <w:r>
        <w:t xml:space="preserve">Ultimately the dispute resolution panel found that AEMO had not breached the Rules </w:t>
      </w:r>
      <w:r w:rsidRPr="009B65DE">
        <w:t>in how it recovered the costs</w:t>
      </w:r>
      <w:r w:rsidR="005535BB">
        <w:t>.</w:t>
      </w:r>
      <w:r>
        <w:t xml:space="preserve"> The Panel did, however, find that AEMO’s procedures did not adequately address the circumstances set out in </w:t>
      </w:r>
      <w:proofErr w:type="gramStart"/>
      <w:r>
        <w:t>3.15.16A(</w:t>
      </w:r>
      <w:proofErr w:type="gramEnd"/>
      <w:r>
        <w:t>j)(2) relating to calculating contribution factors when one or more regions have operated asynchronously during a trading interval.</w:t>
      </w:r>
    </w:p>
    <w:p w:rsidR="00D23C09" w:rsidRPr="005A2DB2" w:rsidRDefault="00D23C09" w:rsidP="008443D2">
      <w:pPr>
        <w:pStyle w:val="ListParagraph"/>
        <w:numPr>
          <w:ilvl w:val="0"/>
          <w:numId w:val="0"/>
        </w:numPr>
        <w:tabs>
          <w:tab w:val="clear" w:pos="340"/>
          <w:tab w:val="left" w:pos="0"/>
        </w:tabs>
        <w:spacing w:before="0" w:after="240"/>
        <w:jc w:val="both"/>
      </w:pPr>
      <w:r>
        <w:t xml:space="preserve">AEMO subsequently revised its procedures to explicitly address the circumstances in </w:t>
      </w:r>
      <w:proofErr w:type="gramStart"/>
      <w:r>
        <w:t>3.15.16A(</w:t>
      </w:r>
      <w:proofErr w:type="gramEnd"/>
      <w:r>
        <w:t>j)(2). AEMO advised that no other changes were required to be made to the causer pays calculation process or system.</w:t>
      </w:r>
    </w:p>
    <w:p w:rsidR="00D23C09" w:rsidRPr="009B65DE" w:rsidRDefault="00D23C09" w:rsidP="005A2DB2">
      <w:pPr>
        <w:pStyle w:val="Heading3"/>
        <w:tabs>
          <w:tab w:val="clear" w:pos="1021"/>
          <w:tab w:val="left" w:pos="851"/>
        </w:tabs>
        <w:spacing w:before="0" w:after="240"/>
        <w:ind w:left="851" w:hanging="851"/>
      </w:pPr>
      <w:bookmarkStart w:id="37" w:name="_Toc490738288"/>
      <w:r w:rsidRPr="005A2DB2">
        <w:rPr>
          <w:iCs/>
          <w:szCs w:val="28"/>
        </w:rPr>
        <w:t>AEMO improvements</w:t>
      </w:r>
      <w:bookmarkEnd w:id="37"/>
      <w:r w:rsidRPr="005A2DB2">
        <w:rPr>
          <w:iCs/>
          <w:szCs w:val="28"/>
        </w:rPr>
        <w:t xml:space="preserve"> </w:t>
      </w:r>
    </w:p>
    <w:p w:rsidR="00D23C09" w:rsidRDefault="00D23C09" w:rsidP="008443D2">
      <w:pPr>
        <w:spacing w:before="0" w:after="240"/>
        <w:jc w:val="both"/>
      </w:pPr>
      <w:r>
        <w:t>Since November 2015, AEMO has undertaken comprehensive reviews of its systems and procedures around how it calculates FCAS Causer Pays factors.  AEMO has introduced new internal checks and balances around the calculation of causer pays factors including:</w:t>
      </w:r>
    </w:p>
    <w:p w:rsidR="00D23C09" w:rsidRDefault="00D23C09" w:rsidP="008443D2">
      <w:pPr>
        <w:pStyle w:val="ListParagraph"/>
        <w:numPr>
          <w:ilvl w:val="0"/>
          <w:numId w:val="51"/>
        </w:numPr>
        <w:tabs>
          <w:tab w:val="clear" w:pos="340"/>
        </w:tabs>
        <w:spacing w:before="0" w:after="240" w:line="240" w:lineRule="auto"/>
        <w:ind w:left="426" w:hanging="426"/>
        <w:jc w:val="both"/>
      </w:pPr>
      <w:r>
        <w:t xml:space="preserve">Improved coding to enable more granular and robust quality assurance checks of inputs </w:t>
      </w:r>
    </w:p>
    <w:p w:rsidR="00D23C09" w:rsidRDefault="00D23C09" w:rsidP="008443D2">
      <w:pPr>
        <w:pStyle w:val="ListParagraph"/>
        <w:numPr>
          <w:ilvl w:val="0"/>
          <w:numId w:val="51"/>
        </w:numPr>
        <w:tabs>
          <w:tab w:val="clear" w:pos="340"/>
        </w:tabs>
        <w:spacing w:before="0" w:after="240" w:line="240" w:lineRule="auto"/>
        <w:ind w:left="426" w:hanging="426"/>
        <w:jc w:val="both"/>
      </w:pPr>
      <w:r>
        <w:t>Creation of in-house tools to review stored results and inputs</w:t>
      </w:r>
    </w:p>
    <w:p w:rsidR="00D23C09" w:rsidRDefault="00D23C09" w:rsidP="008443D2">
      <w:pPr>
        <w:pStyle w:val="ListParagraph"/>
        <w:numPr>
          <w:ilvl w:val="0"/>
          <w:numId w:val="51"/>
        </w:numPr>
        <w:tabs>
          <w:tab w:val="clear" w:pos="340"/>
        </w:tabs>
        <w:spacing w:before="0" w:after="240" w:line="240" w:lineRule="auto"/>
        <w:ind w:left="426" w:hanging="426"/>
        <w:jc w:val="both"/>
      </w:pPr>
      <w:r>
        <w:t>Manual review searches of control room logs for bad data references and cross checks using in-house tools</w:t>
      </w:r>
    </w:p>
    <w:p w:rsidR="00D23C09" w:rsidRDefault="00D23C09" w:rsidP="008443D2">
      <w:pPr>
        <w:pStyle w:val="ListParagraph"/>
        <w:numPr>
          <w:ilvl w:val="0"/>
          <w:numId w:val="51"/>
        </w:numPr>
        <w:tabs>
          <w:tab w:val="clear" w:pos="340"/>
        </w:tabs>
        <w:spacing w:before="0" w:after="240" w:line="240" w:lineRule="auto"/>
        <w:ind w:left="426" w:hanging="426"/>
        <w:jc w:val="both"/>
      </w:pPr>
      <w:r>
        <w:t>Manual review of large changes in causer pays factors that are unexplained; and</w:t>
      </w:r>
    </w:p>
    <w:p w:rsidR="00D23C09" w:rsidRDefault="00D23C09" w:rsidP="008443D2">
      <w:pPr>
        <w:pStyle w:val="ListParagraph"/>
        <w:numPr>
          <w:ilvl w:val="0"/>
          <w:numId w:val="51"/>
        </w:numPr>
        <w:tabs>
          <w:tab w:val="clear" w:pos="340"/>
        </w:tabs>
        <w:spacing w:before="0" w:after="240" w:line="240" w:lineRule="auto"/>
        <w:ind w:left="426" w:hanging="426"/>
        <w:jc w:val="both"/>
      </w:pPr>
      <w:r>
        <w:t>Longer data retention and improved recording of process changes.</w:t>
      </w:r>
    </w:p>
    <w:p w:rsidR="00D23C09" w:rsidRDefault="00D23C09" w:rsidP="008443D2">
      <w:pPr>
        <w:spacing w:before="0" w:after="240"/>
        <w:jc w:val="both"/>
      </w:pPr>
      <w:r>
        <w:t>These improved processes aided AEMO to</w:t>
      </w:r>
      <w:r w:rsidR="005535BB">
        <w:t xml:space="preserve"> identify the Smithfield error.</w:t>
      </w:r>
      <w:r>
        <w:t> Upon discovery of the error, AEMO incorporated Smithfield into the calculation process and communicated this to participants when it published the June causer pays factors.</w:t>
      </w:r>
    </w:p>
    <w:p w:rsidR="00D23C09" w:rsidRDefault="00D23C09" w:rsidP="005A2DB2">
      <w:pPr>
        <w:spacing w:before="0" w:after="240"/>
      </w:pPr>
      <w:r>
        <w:t>AEMO has undertaken the following remedial steps:</w:t>
      </w:r>
    </w:p>
    <w:p w:rsidR="00D23C09" w:rsidRDefault="00D23C09" w:rsidP="008443D2">
      <w:pPr>
        <w:pStyle w:val="ListParagraph"/>
        <w:numPr>
          <w:ilvl w:val="0"/>
          <w:numId w:val="55"/>
        </w:numPr>
        <w:tabs>
          <w:tab w:val="clear" w:pos="340"/>
        </w:tabs>
        <w:spacing w:before="0" w:after="240" w:line="240" w:lineRule="auto"/>
        <w:ind w:left="426" w:hanging="426"/>
        <w:jc w:val="both"/>
      </w:pPr>
      <w:r>
        <w:t xml:space="preserve">A review of SCADA data exclusions </w:t>
      </w:r>
      <w:r w:rsidRPr="009B65DE">
        <w:t>to conf</w:t>
      </w:r>
      <w:r w:rsidRPr="005A2DB2">
        <w:t>i</w:t>
      </w:r>
      <w:r w:rsidRPr="009B65DE">
        <w:t xml:space="preserve">rm </w:t>
      </w:r>
      <w:r w:rsidRPr="005A2DB2">
        <w:t xml:space="preserve">that other points have not been </w:t>
      </w:r>
      <w:r w:rsidRPr="009B65DE">
        <w:t>missed</w:t>
      </w:r>
    </w:p>
    <w:p w:rsidR="00D23C09" w:rsidRDefault="00D23C09" w:rsidP="008443D2">
      <w:pPr>
        <w:pStyle w:val="ListParagraph"/>
        <w:numPr>
          <w:ilvl w:val="0"/>
          <w:numId w:val="55"/>
        </w:numPr>
        <w:tabs>
          <w:tab w:val="clear" w:pos="340"/>
        </w:tabs>
        <w:spacing w:before="0" w:after="240" w:line="240" w:lineRule="auto"/>
        <w:ind w:left="426" w:hanging="426"/>
        <w:jc w:val="both"/>
      </w:pPr>
      <w:r>
        <w:t>Reviewed the code used to check that the causer pays tool is consistent with the settlements system</w:t>
      </w:r>
    </w:p>
    <w:p w:rsidR="00D23C09" w:rsidRDefault="00D23C09" w:rsidP="008443D2">
      <w:pPr>
        <w:pStyle w:val="ListParagraph"/>
        <w:numPr>
          <w:ilvl w:val="0"/>
          <w:numId w:val="55"/>
        </w:numPr>
        <w:tabs>
          <w:tab w:val="clear" w:pos="340"/>
        </w:tabs>
        <w:spacing w:before="0" w:after="240" w:line="240" w:lineRule="auto"/>
        <w:ind w:left="426" w:hanging="426"/>
        <w:jc w:val="both"/>
      </w:pPr>
      <w:r>
        <w:t>Reviewed the FCAS settlement table in the settlement database for inclusion of all units used for dispatch</w:t>
      </w:r>
    </w:p>
    <w:p w:rsidR="00D23C09" w:rsidRDefault="00D23C09" w:rsidP="008443D2">
      <w:pPr>
        <w:pStyle w:val="ListParagraph"/>
        <w:numPr>
          <w:ilvl w:val="0"/>
          <w:numId w:val="55"/>
        </w:numPr>
        <w:tabs>
          <w:tab w:val="clear" w:pos="340"/>
        </w:tabs>
        <w:spacing w:before="0" w:after="240" w:line="240" w:lineRule="auto"/>
        <w:ind w:left="426" w:hanging="426"/>
        <w:jc w:val="both"/>
      </w:pPr>
      <w:r>
        <w:t>Reviewed the “</w:t>
      </w:r>
      <w:proofErr w:type="spellStart"/>
      <w:r>
        <w:t>agg_factors</w:t>
      </w:r>
      <w:proofErr w:type="spellEnd"/>
      <w:r>
        <w:t>” output file to check that all number are in reasonable range (that is no factors found in 1000s and factors in the 100s are all explained)</w:t>
      </w:r>
    </w:p>
    <w:p w:rsidR="00D23C09" w:rsidRDefault="00D23C09" w:rsidP="008443D2">
      <w:pPr>
        <w:spacing w:before="0" w:after="240"/>
        <w:jc w:val="both"/>
      </w:pPr>
      <w:r>
        <w:lastRenderedPageBreak/>
        <w:t>AEMO also advised that as part of PwC’s market audit of AEMO this year, PwC will review FCAS Ca</w:t>
      </w:r>
      <w:r w:rsidR="00981712">
        <w:t>user Pays compliance issues</w:t>
      </w:r>
      <w:r>
        <w:t>.</w:t>
      </w:r>
    </w:p>
    <w:p w:rsidR="00D23C09" w:rsidRDefault="00D23C09" w:rsidP="005A2DB2">
      <w:pPr>
        <w:spacing w:before="0" w:after="240"/>
      </w:pPr>
      <w:r>
        <w:t>AEMO has committed to the AER that it will:</w:t>
      </w:r>
    </w:p>
    <w:p w:rsidR="00D23C09" w:rsidRDefault="00D23C09" w:rsidP="008443D2">
      <w:pPr>
        <w:pStyle w:val="ListParagraph"/>
        <w:numPr>
          <w:ilvl w:val="0"/>
          <w:numId w:val="53"/>
        </w:numPr>
        <w:tabs>
          <w:tab w:val="clear" w:pos="340"/>
        </w:tabs>
        <w:spacing w:before="0" w:after="240" w:line="240" w:lineRule="auto"/>
        <w:ind w:left="426" w:hanging="426"/>
        <w:jc w:val="both"/>
      </w:pPr>
      <w:r>
        <w:t>advise the AER of any further calculation errors that occur in the next two years including the following information:</w:t>
      </w:r>
    </w:p>
    <w:p w:rsidR="00D23C09" w:rsidRDefault="00D23C09" w:rsidP="008443D2">
      <w:pPr>
        <w:pStyle w:val="ListParagraph"/>
        <w:numPr>
          <w:ilvl w:val="1"/>
          <w:numId w:val="53"/>
        </w:numPr>
        <w:tabs>
          <w:tab w:val="clear" w:pos="340"/>
        </w:tabs>
        <w:spacing w:before="0" w:after="240" w:line="240" w:lineRule="auto"/>
        <w:ind w:left="851" w:hanging="425"/>
        <w:jc w:val="both"/>
      </w:pPr>
      <w:r>
        <w:t>details of the calculation error</w:t>
      </w:r>
    </w:p>
    <w:p w:rsidR="00D23C09" w:rsidRDefault="00D23C09" w:rsidP="008443D2">
      <w:pPr>
        <w:pStyle w:val="ListParagraph"/>
        <w:numPr>
          <w:ilvl w:val="1"/>
          <w:numId w:val="53"/>
        </w:numPr>
        <w:tabs>
          <w:tab w:val="clear" w:pos="340"/>
        </w:tabs>
        <w:spacing w:before="0" w:after="240" w:line="240" w:lineRule="auto"/>
        <w:ind w:left="851" w:hanging="425"/>
        <w:jc w:val="both"/>
      </w:pPr>
      <w:r>
        <w:t>the cause of the error</w:t>
      </w:r>
    </w:p>
    <w:p w:rsidR="00D23C09" w:rsidRDefault="00D23C09" w:rsidP="008443D2">
      <w:pPr>
        <w:pStyle w:val="ListParagraph"/>
        <w:numPr>
          <w:ilvl w:val="1"/>
          <w:numId w:val="53"/>
        </w:numPr>
        <w:tabs>
          <w:tab w:val="clear" w:pos="340"/>
        </w:tabs>
        <w:spacing w:before="0" w:after="240" w:line="240" w:lineRule="auto"/>
        <w:ind w:left="851" w:hanging="425"/>
        <w:jc w:val="both"/>
      </w:pPr>
      <w:r>
        <w:t>the consequence of the error to participants</w:t>
      </w:r>
    </w:p>
    <w:p w:rsidR="00D23C09" w:rsidRDefault="00D23C09" w:rsidP="008443D2">
      <w:pPr>
        <w:pStyle w:val="ListParagraph"/>
        <w:numPr>
          <w:ilvl w:val="1"/>
          <w:numId w:val="53"/>
        </w:numPr>
        <w:tabs>
          <w:tab w:val="clear" w:pos="340"/>
        </w:tabs>
        <w:spacing w:before="0" w:after="240" w:line="240" w:lineRule="auto"/>
        <w:ind w:left="851" w:hanging="425"/>
        <w:jc w:val="both"/>
      </w:pPr>
      <w:r>
        <w:t>steps AEMO has taken to remedy and/or prevent the error reoccurring;</w:t>
      </w:r>
    </w:p>
    <w:p w:rsidR="00D23C09" w:rsidRDefault="00D23C09" w:rsidP="008443D2">
      <w:pPr>
        <w:pStyle w:val="ListParagraph"/>
        <w:numPr>
          <w:ilvl w:val="0"/>
          <w:numId w:val="53"/>
        </w:numPr>
        <w:tabs>
          <w:tab w:val="clear" w:pos="340"/>
        </w:tabs>
        <w:spacing w:before="0" w:after="240" w:line="240" w:lineRule="auto"/>
        <w:ind w:left="426" w:hanging="426"/>
        <w:jc w:val="both"/>
      </w:pPr>
      <w:r>
        <w:t>notify the AER of any findings and/or recommendations that PwC makes in its audit report; and</w:t>
      </w:r>
    </w:p>
    <w:p w:rsidR="00D23C09" w:rsidRDefault="00D23C09" w:rsidP="008443D2">
      <w:pPr>
        <w:pStyle w:val="ListParagraph"/>
        <w:numPr>
          <w:ilvl w:val="0"/>
          <w:numId w:val="53"/>
        </w:numPr>
        <w:tabs>
          <w:tab w:val="clear" w:pos="340"/>
        </w:tabs>
        <w:spacing w:before="0" w:after="240" w:line="240" w:lineRule="auto"/>
        <w:ind w:left="426" w:hanging="426"/>
        <w:jc w:val="both"/>
      </w:pPr>
      <w:proofErr w:type="gramStart"/>
      <w:r>
        <w:t>notify</w:t>
      </w:r>
      <w:proofErr w:type="gramEnd"/>
      <w:r>
        <w:t xml:space="preserve"> the AER of any steps that AEMO has or will undertake in relation to any areas for improvement identified by PwC.</w:t>
      </w:r>
    </w:p>
    <w:p w:rsidR="00D23C09" w:rsidRPr="00E67486" w:rsidRDefault="00D23C09" w:rsidP="005A2DB2">
      <w:pPr>
        <w:spacing w:before="0" w:after="240"/>
      </w:pPr>
      <w:r>
        <w:t>AEMO did advise that, while it has introduced more rigour into its processes, it expects that participants will check historical data published by AEMO daily and identify any concerns to AEMO.</w:t>
      </w:r>
    </w:p>
    <w:p w:rsidR="000E1D8A" w:rsidRPr="00624E37" w:rsidRDefault="00961228" w:rsidP="00341777">
      <w:pPr>
        <w:pStyle w:val="Heading2"/>
        <w:tabs>
          <w:tab w:val="clear" w:pos="680"/>
          <w:tab w:val="left" w:pos="993"/>
        </w:tabs>
        <w:spacing w:before="0" w:after="240" w:line="276" w:lineRule="auto"/>
        <w:ind w:left="851" w:hanging="851"/>
      </w:pPr>
      <w:bookmarkStart w:id="38" w:name="_Toc490738289"/>
      <w:r w:rsidRPr="00624E37">
        <w:t>Compliance with Chapter 7 of the Electricity Rules</w:t>
      </w:r>
      <w:bookmarkEnd w:id="38"/>
    </w:p>
    <w:p w:rsidR="00961228" w:rsidRDefault="00961228" w:rsidP="005E66D2">
      <w:pPr>
        <w:pStyle w:val="Heading3"/>
        <w:spacing w:before="0" w:after="240"/>
        <w:ind w:left="851" w:hanging="851"/>
      </w:pPr>
      <w:bookmarkStart w:id="39" w:name="_Toc490738290"/>
      <w:r>
        <w:t>Focus on compliance with Chapter 7</w:t>
      </w:r>
      <w:r w:rsidR="00074713">
        <w:t xml:space="preserve"> and relevant Chapter 11</w:t>
      </w:r>
      <w:r w:rsidR="000A1C7A">
        <w:t xml:space="preserve"> obligations –</w:t>
      </w:r>
      <w:r>
        <w:t xml:space="preserve"> lead up to the introduction of metering contestability</w:t>
      </w:r>
      <w:bookmarkEnd w:id="39"/>
    </w:p>
    <w:p w:rsidR="00074713" w:rsidRDefault="00074713" w:rsidP="008443D2">
      <w:pPr>
        <w:spacing w:before="0" w:after="240"/>
        <w:jc w:val="both"/>
      </w:pPr>
      <w:r>
        <w:t xml:space="preserve">As we noted in our March 2017 Quarterly Compliance Report, the AER will be paying particular attention to compliance with Chapter 7 obligations both in the lead up to the Power of Choice changes in December 2017 and for </w:t>
      </w:r>
      <w:r w:rsidR="000D53C9">
        <w:t xml:space="preserve">some time </w:t>
      </w:r>
      <w:r>
        <w:t xml:space="preserve">from that </w:t>
      </w:r>
      <w:r w:rsidR="000D53C9">
        <w:t>date</w:t>
      </w:r>
      <w:r w:rsidR="008A6AE8">
        <w:t>.</w:t>
      </w:r>
    </w:p>
    <w:p w:rsidR="00074713" w:rsidRDefault="00074713" w:rsidP="008443D2">
      <w:pPr>
        <w:spacing w:before="0" w:after="240"/>
        <w:jc w:val="both"/>
      </w:pPr>
      <w:r>
        <w:t>The transitional arrangements in Chapter 11 of the Electricity Rules require electricity distributors that w</w:t>
      </w:r>
      <w:r w:rsidR="00C6554A">
        <w:t>ere the responsible person for a type 5 or type 6 metering installation</w:t>
      </w:r>
      <w:r w:rsidR="00A7244C">
        <w:t xml:space="preserve">, and are deemed to be the </w:t>
      </w:r>
      <w:r>
        <w:t xml:space="preserve">Metering Coordinator </w:t>
      </w:r>
      <w:r w:rsidR="00A7244C">
        <w:t>for those meters</w:t>
      </w:r>
      <w:r>
        <w:t xml:space="preserve"> to, by no later than 1 </w:t>
      </w:r>
      <w:r w:rsidR="00A7244C">
        <w:t>September</w:t>
      </w:r>
      <w:r>
        <w:t xml:space="preserve"> 2017, provide each financially responsible market participant </w:t>
      </w:r>
      <w:r w:rsidR="00A7244C">
        <w:t>(FRMP)</w:t>
      </w:r>
      <w:r>
        <w:t xml:space="preserve"> with a standard set of terms and conditions on which it will agree to act as the Metering Coordinator. </w:t>
      </w:r>
      <w:proofErr w:type="gramStart"/>
      <w:r>
        <w:t>Unless the FRMP and the distributor agree to other terms and conditions prior to 1 December</w:t>
      </w:r>
      <w:r w:rsidR="00A7244C">
        <w:t xml:space="preserve"> 2017</w:t>
      </w:r>
      <w:r>
        <w:t>, the distributor will be deemed to be appointed as the Metering Coordinator on the standard terms and conditions of appo</w:t>
      </w:r>
      <w:r w:rsidR="008A6AE8">
        <w:t>intment provided to each FRMP.</w:t>
      </w:r>
      <w:proofErr w:type="gramEnd"/>
    </w:p>
    <w:p w:rsidR="00074713" w:rsidRDefault="00074713" w:rsidP="008443D2">
      <w:pPr>
        <w:spacing w:before="0" w:after="240"/>
        <w:jc w:val="both"/>
      </w:pPr>
      <w:r>
        <w:t xml:space="preserve">We take this opportunity to remind distributors that their terms relating to price must be consistent with Chapter 6 of the Electricity Rules, </w:t>
      </w:r>
      <w:r w:rsidR="00517039">
        <w:t>and that exit fees cannot be charged where these are not contemplated by the distributor’s regulatory determination</w:t>
      </w:r>
      <w:r>
        <w:t xml:space="preserve">.  </w:t>
      </w:r>
      <w:r w:rsidR="00517039">
        <w:t>Retailers which have concerns about the consistency of distributors’ terms and conditions with the requirements of the Electricity Rules may ra</w:t>
      </w:r>
      <w:r w:rsidR="008A6AE8">
        <w:t>ise these issues with the AER.</w:t>
      </w:r>
    </w:p>
    <w:p w:rsidR="000A1C7A" w:rsidRPr="000A1C7A" w:rsidRDefault="000A1C7A" w:rsidP="008443D2">
      <w:pPr>
        <w:spacing w:before="0" w:after="240"/>
        <w:jc w:val="both"/>
      </w:pPr>
      <w:r w:rsidRPr="000A1C7A">
        <w:rPr>
          <w:rFonts w:cs="Arial"/>
        </w:rPr>
        <w:lastRenderedPageBreak/>
        <w:t xml:space="preserve">We also note that the Victorian Government has decided to defer the introduction of metering competition until at least 2021. As a result, different arrangements will be in place in Victoria. As part of these arrangements, we understand that the date for the provision of the standard terms and conditions to the FRMP will be modified to 15 October 2017; however, we also understand that the Victorian arrangements are unlikely to be formalised prior to 1 September. Retailers who have concerns about the consistency of distributors’ terms and conditions with the requirements of the Electricity Rules (as modified in Victoria) may raise these issues with the AER, but it may be preferable to wait until the Victorian arrangements are formalised before they do so.  In assessing distributors’ compliance, the AER will take into account the proposal to revise timeframes for provision of the standard terms and conditions to the FRMP, as advised to </w:t>
      </w:r>
      <w:r w:rsidR="008A6AE8">
        <w:rPr>
          <w:rFonts w:cs="Arial"/>
        </w:rPr>
        <w:t>us by the Victorian Government.</w:t>
      </w:r>
    </w:p>
    <w:p w:rsidR="00961228" w:rsidRDefault="00961228" w:rsidP="005E66D2">
      <w:pPr>
        <w:pStyle w:val="Heading3"/>
        <w:spacing w:before="0" w:after="240"/>
        <w:ind w:left="851" w:hanging="851"/>
      </w:pPr>
      <w:bookmarkStart w:id="40" w:name="_Toc426539183"/>
      <w:bookmarkStart w:id="41" w:name="_Toc426539184"/>
      <w:bookmarkStart w:id="42" w:name="_Toc456869890"/>
      <w:bookmarkStart w:id="43" w:name="_Toc456869891"/>
      <w:bookmarkStart w:id="44" w:name="_Toc456869892"/>
      <w:bookmarkStart w:id="45" w:name="_Toc456869893"/>
      <w:bookmarkStart w:id="46" w:name="_Toc490738291"/>
      <w:bookmarkEnd w:id="40"/>
      <w:bookmarkEnd w:id="41"/>
      <w:bookmarkEnd w:id="42"/>
      <w:bookmarkEnd w:id="43"/>
      <w:bookmarkEnd w:id="44"/>
      <w:bookmarkEnd w:id="45"/>
      <w:r w:rsidRPr="00CF63FF">
        <w:t>Responsible person’s compliance with metering obligations under Chapter 7 and Chapter 11 of the National Electricity Rules</w:t>
      </w:r>
      <w:bookmarkEnd w:id="46"/>
    </w:p>
    <w:p w:rsidR="006003F3" w:rsidRDefault="00074713" w:rsidP="008443D2">
      <w:pPr>
        <w:pStyle w:val="ListParagraph"/>
        <w:numPr>
          <w:ilvl w:val="0"/>
          <w:numId w:val="0"/>
        </w:numPr>
        <w:tabs>
          <w:tab w:val="clear" w:pos="340"/>
          <w:tab w:val="left" w:pos="0"/>
        </w:tabs>
        <w:spacing w:before="0" w:after="240"/>
        <w:jc w:val="both"/>
      </w:pPr>
      <w:r w:rsidRPr="00074713">
        <w:t>In our March 2017 Quarterly Compliance Report, we discussed the outcomes of the first stage of a targeted review of compliance with metering obligations under Chapter 7 of the Electricity Rules. The review is examining compliance with requirements on the Responsible Person to upgrade customer metering installations where the customer’s consumption increases and a new metering installation is required.  The first stage of the review examined electricity distributors’ compliance with these obligations. The AER is currently undertaking the second stage of the targeted review, and will report on the review in the September 2017 Quarterly Compliance Re</w:t>
      </w:r>
      <w:r>
        <w:t>port</w:t>
      </w:r>
      <w:r w:rsidR="008A6AE8">
        <w:t>.</w:t>
      </w:r>
    </w:p>
    <w:p w:rsidR="006003F3" w:rsidRDefault="006003F3" w:rsidP="000E476B">
      <w:pPr>
        <w:pStyle w:val="Heading2"/>
        <w:tabs>
          <w:tab w:val="clear" w:pos="680"/>
          <w:tab w:val="left" w:pos="851"/>
        </w:tabs>
        <w:spacing w:before="0" w:after="240"/>
        <w:ind w:left="851" w:hanging="851"/>
      </w:pPr>
      <w:bookmarkStart w:id="47" w:name="_Toc490738292"/>
      <w:r>
        <w:t>The Embedded Network Rule Change – Embedded Network Managers</w:t>
      </w:r>
      <w:bookmarkEnd w:id="47"/>
    </w:p>
    <w:p w:rsidR="006003F3" w:rsidRDefault="006003F3" w:rsidP="008443D2">
      <w:pPr>
        <w:spacing w:before="0" w:after="240"/>
        <w:jc w:val="both"/>
      </w:pPr>
      <w:r>
        <w:t>From 1 December 2017, network exemption holders who own, control or operate an embedded network under clause 2.5.1 of the Electricity Rules will be required to become or appoint an Embedded Network Manager. Exceptions to this requirement exist for jurisdictions where customers in embedded networks are not afforded the right to a retailer of choice or where the AER considers the requirement may be delayed as detailed in the AER’s Network Service Provider Registration Exemption Guideline.</w:t>
      </w:r>
      <w:r>
        <w:rPr>
          <w:rStyle w:val="FootnoteReference"/>
        </w:rPr>
        <w:footnoteReference w:id="26"/>
      </w:r>
    </w:p>
    <w:p w:rsidR="006003F3" w:rsidRDefault="006003F3" w:rsidP="000E476B">
      <w:pPr>
        <w:pStyle w:val="Heading3"/>
        <w:tabs>
          <w:tab w:val="clear" w:pos="1021"/>
          <w:tab w:val="left" w:pos="851"/>
        </w:tabs>
        <w:spacing w:before="0" w:after="240"/>
        <w:ind w:left="851" w:hanging="851"/>
      </w:pPr>
      <w:bookmarkStart w:id="48" w:name="_Toc490738293"/>
      <w:r>
        <w:t>Role of the Embedded Network Manager</w:t>
      </w:r>
      <w:bookmarkEnd w:id="48"/>
    </w:p>
    <w:p w:rsidR="006003F3" w:rsidRDefault="006003F3" w:rsidP="008443D2">
      <w:pPr>
        <w:spacing w:before="0" w:after="240"/>
        <w:jc w:val="both"/>
      </w:pPr>
      <w:r>
        <w:t xml:space="preserve">The embedded network rule change introduces a new accredited service provider with the role of facilitating customer transitions from an off-market retailer (usually </w:t>
      </w:r>
      <w:proofErr w:type="gramStart"/>
      <w:r>
        <w:t>an on</w:t>
      </w:r>
      <w:proofErr w:type="gramEnd"/>
      <w:r>
        <w:t>-seller bulk purchasing electricity from the site’s gate/parent meter and on-selling to the individual customers within the embedded network) to an on-market retailer with market loads settled within MSATS. The Embedded Network Manager is responsible for registering NMIs for customers within embedded networks and accurately recording their metering installation in MSATS.</w:t>
      </w:r>
    </w:p>
    <w:p w:rsidR="006003F3" w:rsidRDefault="006003F3" w:rsidP="008443D2">
      <w:pPr>
        <w:spacing w:before="0" w:after="240"/>
        <w:jc w:val="both"/>
      </w:pPr>
      <w:r>
        <w:lastRenderedPageBreak/>
        <w:t>Accreditation of Embedded Network Managers is conducted by AEMO and information about this process can be found on the AEMO website.</w:t>
      </w:r>
      <w:r>
        <w:rPr>
          <w:rStyle w:val="FootnoteReference"/>
        </w:rPr>
        <w:footnoteReference w:id="27"/>
      </w:r>
    </w:p>
    <w:p w:rsidR="006003F3" w:rsidRDefault="006003F3" w:rsidP="00987D1E">
      <w:pPr>
        <w:pStyle w:val="Heading3"/>
        <w:keepNext/>
        <w:tabs>
          <w:tab w:val="clear" w:pos="1021"/>
          <w:tab w:val="left" w:pos="851"/>
        </w:tabs>
        <w:spacing w:before="0" w:after="240"/>
        <w:ind w:left="851" w:hanging="851"/>
      </w:pPr>
      <w:bookmarkStart w:id="49" w:name="_Toc490738294"/>
      <w:r>
        <w:t>Who requires an Embedded Network Manager</w:t>
      </w:r>
      <w:bookmarkEnd w:id="49"/>
    </w:p>
    <w:p w:rsidR="006003F3" w:rsidRDefault="006003F3" w:rsidP="008443D2">
      <w:pPr>
        <w:spacing w:before="0" w:after="240"/>
        <w:jc w:val="both"/>
      </w:pPr>
      <w:r>
        <w:t xml:space="preserve">Not all network exemption holders who </w:t>
      </w:r>
      <w:proofErr w:type="gramStart"/>
      <w:r>
        <w:t>own,</w:t>
      </w:r>
      <w:proofErr w:type="gramEnd"/>
      <w:r>
        <w:t xml:space="preserve"> operate or control an embedded network will need to appoint or become an Embedded Network Manager by 1 December 2017. Embedded networks in certain jurisdictions will not be subject to this requirement and others are permitted to delay the requirement until a customer within an embedded network enters into a contract with a market retailer.</w:t>
      </w:r>
    </w:p>
    <w:p w:rsidR="006003F3" w:rsidRPr="005340B1" w:rsidRDefault="006003F3" w:rsidP="008443D2">
      <w:pPr>
        <w:spacing w:before="0" w:after="240"/>
        <w:jc w:val="both"/>
      </w:pPr>
      <w:r>
        <w:t>The AER is currently developing additional web content to assist network exemption holders in ascertaining when an Embedded Network Manager must be appointed.</w:t>
      </w:r>
    </w:p>
    <w:p w:rsidR="006003F3" w:rsidRPr="000E476B" w:rsidRDefault="006003F3" w:rsidP="000E476B">
      <w:pPr>
        <w:pStyle w:val="Heading4"/>
        <w:numPr>
          <w:ilvl w:val="0"/>
          <w:numId w:val="0"/>
        </w:numPr>
        <w:spacing w:before="0" w:after="240"/>
        <w:ind w:left="864" w:hanging="864"/>
        <w:rPr>
          <w:color w:val="70635A" w:themeColor="text2"/>
        </w:rPr>
      </w:pPr>
      <w:r w:rsidRPr="000E476B">
        <w:rPr>
          <w:color w:val="70635A" w:themeColor="text2"/>
        </w:rPr>
        <w:t>Jurisdictional differences</w:t>
      </w:r>
    </w:p>
    <w:p w:rsidR="006003F3" w:rsidRDefault="006003F3" w:rsidP="008443D2">
      <w:pPr>
        <w:spacing w:before="0" w:after="240"/>
        <w:jc w:val="both"/>
      </w:pPr>
      <w:r>
        <w:t>Clause 2.5.1(d1)(1</w:t>
      </w:r>
      <w:r w:rsidR="00476C84">
        <w:t>)(</w:t>
      </w:r>
      <w:proofErr w:type="spellStart"/>
      <w:r>
        <w:t>i</w:t>
      </w:r>
      <w:proofErr w:type="spellEnd"/>
      <w:r>
        <w:t xml:space="preserve">) of the Electricity Rules provides that the Embedded Network Manager requirement is not in effect in jurisdictions where customers in embedded </w:t>
      </w:r>
      <w:proofErr w:type="spellStart"/>
      <w:r>
        <w:t>networks ‘</w:t>
      </w:r>
      <w:proofErr w:type="spellEnd"/>
      <w:r>
        <w:t xml:space="preserve">are not afforded the right to a choice of retailer’. Therefore, at the time of publication, network exemption holders who own, control, or operate embedded networks in Tasmania, the ACT and Queensland would be excluded from the requirement to become or appoint an embedded network manager. However, the relevant state and territory governments have signalled their strong intent that customers in embedded networks in both the ACT and South East Queensland (the </w:t>
      </w:r>
      <w:proofErr w:type="spellStart"/>
      <w:r>
        <w:t>Energex</w:t>
      </w:r>
      <w:proofErr w:type="spellEnd"/>
      <w:r>
        <w:t xml:space="preserve"> distribution zone) will be afford a right to a retailer of choice by commencement of this rule change on 1 December 2017. The AER will endeavour to communicate these changes but for the most up to date information, </w:t>
      </w:r>
      <w:r w:rsidR="00AC65AB">
        <w:t xml:space="preserve">affected parties should </w:t>
      </w:r>
      <w:r>
        <w:t>check with the relevant state and territory governments.</w:t>
      </w:r>
    </w:p>
    <w:p w:rsidR="006003F3" w:rsidRPr="000E476B" w:rsidRDefault="006003F3" w:rsidP="000E476B">
      <w:pPr>
        <w:pStyle w:val="Heading4"/>
        <w:numPr>
          <w:ilvl w:val="0"/>
          <w:numId w:val="0"/>
        </w:numPr>
        <w:tabs>
          <w:tab w:val="clear" w:pos="1021"/>
          <w:tab w:val="left" w:pos="851"/>
        </w:tabs>
        <w:spacing w:before="0" w:after="240"/>
        <w:ind w:left="864" w:hanging="864"/>
        <w:rPr>
          <w:color w:val="70635A" w:themeColor="text2"/>
          <w:szCs w:val="24"/>
        </w:rPr>
      </w:pPr>
      <w:r w:rsidRPr="000E476B">
        <w:rPr>
          <w:color w:val="70635A" w:themeColor="text2"/>
          <w:szCs w:val="24"/>
        </w:rPr>
        <w:t>Delayed requirement</w:t>
      </w:r>
    </w:p>
    <w:p w:rsidR="006003F3" w:rsidRDefault="006003F3" w:rsidP="008443D2">
      <w:pPr>
        <w:spacing w:before="0" w:after="240"/>
        <w:jc w:val="both"/>
      </w:pPr>
      <w:r>
        <w:t>Clause 2.5.1(d2) of the Electricity Rules provides that the AER may allow for a delay to the requirement to appoint or become an Embedded Network Manager where the likely costs of immediate appointment on 1 December 2017 are considered to outweigh the likely benefits. The Network Service Provider Registration Exemption Guideline provides that holders of certain network exemption classes with 30 or more customers must meet the requirement to become or appoint an Embedded Network Manager by 1 December 2017. These network exemption classes are: ND1, ND2, ND10, NR1, NR2, NR3, NR4, NR5 and NR6 (refer to the Network Service Provider Registration Exemption Guideline for descriptions of these network exemption classes).</w:t>
      </w:r>
    </w:p>
    <w:p w:rsidR="006003F3" w:rsidRDefault="006003F3" w:rsidP="008443D2">
      <w:pPr>
        <w:spacing w:before="0" w:after="240"/>
        <w:jc w:val="both"/>
      </w:pPr>
      <w:r>
        <w:t>In all other cases, the requirement to become or appoint an Embedded Network Manager may be delayed until either a large customer enters into a contract with a retailer or a small customer enters into a market contract with a retailer and the cooling-off period has expired.</w:t>
      </w:r>
    </w:p>
    <w:p w:rsidR="006003F3" w:rsidRDefault="00E70F8F" w:rsidP="00666CC8">
      <w:pPr>
        <w:pStyle w:val="Heading3"/>
        <w:keepNext/>
        <w:tabs>
          <w:tab w:val="clear" w:pos="1021"/>
          <w:tab w:val="left" w:pos="851"/>
        </w:tabs>
        <w:spacing w:before="0" w:after="240"/>
        <w:ind w:left="851" w:hanging="851"/>
      </w:pPr>
      <w:bookmarkStart w:id="50" w:name="_Toc490738295"/>
      <w:r>
        <w:lastRenderedPageBreak/>
        <w:t>Where to f</w:t>
      </w:r>
      <w:r w:rsidR="006003F3">
        <w:t>ind Embedded Network Managers</w:t>
      </w:r>
      <w:bookmarkEnd w:id="50"/>
    </w:p>
    <w:p w:rsidR="006003F3" w:rsidRDefault="006003F3" w:rsidP="008443D2">
      <w:pPr>
        <w:spacing w:before="0" w:after="240"/>
        <w:jc w:val="both"/>
      </w:pPr>
      <w:r>
        <w:t>AEMO has received a number of applications for accreditation as Embedded Network Managers. Some of these applicants are taking part in the voluntary Power of Choice readiness reporting which is published on the AEMO website</w:t>
      </w:r>
      <w:r w:rsidR="00BA478F">
        <w:t>.</w:t>
      </w:r>
      <w:r>
        <w:rPr>
          <w:rStyle w:val="FootnoteReference"/>
        </w:rPr>
        <w:footnoteReference w:id="28"/>
      </w:r>
      <w:r>
        <w:t xml:space="preserve"> As Embedded Network Managers become accredited they will be added to a list also published on the AEMO website.</w:t>
      </w:r>
      <w:r>
        <w:rPr>
          <w:rStyle w:val="FootnoteReference"/>
        </w:rPr>
        <w:footnoteReference w:id="29"/>
      </w:r>
      <w:r>
        <w:t xml:space="preserve"> The list includes contact information (phone and email).</w:t>
      </w:r>
    </w:p>
    <w:p w:rsidR="006003F3" w:rsidRDefault="00E70F8F" w:rsidP="000E476B">
      <w:pPr>
        <w:pStyle w:val="Heading2"/>
        <w:tabs>
          <w:tab w:val="clear" w:pos="680"/>
          <w:tab w:val="left" w:pos="851"/>
        </w:tabs>
        <w:spacing w:before="0" w:after="240"/>
        <w:ind w:left="851" w:hanging="851"/>
      </w:pPr>
      <w:bookmarkStart w:id="51" w:name="_Toc490738296"/>
      <w:r>
        <w:t>Life Support Obligations in Embedded N</w:t>
      </w:r>
      <w:r w:rsidR="006003F3">
        <w:t>etworks</w:t>
      </w:r>
      <w:bookmarkEnd w:id="51"/>
    </w:p>
    <w:p w:rsidR="006003F3" w:rsidRDefault="006003F3" w:rsidP="008443D2">
      <w:pPr>
        <w:spacing w:before="0" w:after="240"/>
        <w:jc w:val="both"/>
      </w:pPr>
      <w:r>
        <w:t xml:space="preserve">Retailers and distributors have raised concerns about life support obligations in embedded networks. </w:t>
      </w:r>
      <w:r w:rsidR="00D06906">
        <w:t>Given the potential for catastrophic outcomes, t</w:t>
      </w:r>
      <w:r>
        <w:t xml:space="preserve">he AER recognises the vital importance </w:t>
      </w:r>
      <w:r w:rsidR="00D06906">
        <w:t>in advising</w:t>
      </w:r>
      <w:r>
        <w:t xml:space="preserve"> retailers and distributors of any life support customers in embedded networks</w:t>
      </w:r>
      <w:r w:rsidR="00D06906">
        <w:t>,</w:t>
      </w:r>
      <w:r>
        <w:t xml:space="preserve"> as they will be affected by outages and disconnections at the parent/gate meter upstream. There are currently provisions in the Network Service Provider Registration Exemption Guideline that</w:t>
      </w:r>
      <w:r w:rsidR="00074713">
        <w:t xml:space="preserve"> address</w:t>
      </w:r>
      <w:r>
        <w:t xml:space="preserve"> this issue.</w:t>
      </w:r>
    </w:p>
    <w:p w:rsidR="006003F3" w:rsidRDefault="006003F3" w:rsidP="008443D2">
      <w:pPr>
        <w:spacing w:before="0" w:after="240"/>
        <w:jc w:val="both"/>
      </w:pPr>
      <w:r>
        <w:t>Anyone owning, operating or controlling an embedded network is bound by the conditions of their exemption. The Network Service Provider Registration Exemption Guideline has the following condition in relation to life support notification.</w:t>
      </w:r>
      <w:r>
        <w:rPr>
          <w:rStyle w:val="FootnoteReference"/>
        </w:rPr>
        <w:footnoteReference w:id="30"/>
      </w:r>
    </w:p>
    <w:p w:rsidR="006003F3" w:rsidRPr="00120654" w:rsidRDefault="006003F3" w:rsidP="008443D2">
      <w:pPr>
        <w:spacing w:before="0" w:after="240"/>
        <w:ind w:left="340"/>
        <w:jc w:val="both"/>
        <w:rPr>
          <w:i/>
        </w:rPr>
      </w:pPr>
      <w:r w:rsidRPr="00120654">
        <w:rPr>
          <w:i/>
        </w:rPr>
        <w:t>Where notified by a customer (‘life support customer’) of the existence of a requirement to maintain supply for life support equipment, the exempt embedded network service provider must, without undue delay, promptly notify:</w:t>
      </w:r>
    </w:p>
    <w:p w:rsidR="006003F3" w:rsidRPr="00120654" w:rsidRDefault="006003F3" w:rsidP="008443D2">
      <w:pPr>
        <w:pStyle w:val="ListParagraph"/>
        <w:numPr>
          <w:ilvl w:val="0"/>
          <w:numId w:val="49"/>
        </w:numPr>
        <w:spacing w:before="0" w:after="240" w:line="240" w:lineRule="auto"/>
        <w:jc w:val="both"/>
        <w:rPr>
          <w:i/>
        </w:rPr>
      </w:pPr>
      <w:r w:rsidRPr="00120654">
        <w:rPr>
          <w:i/>
        </w:rPr>
        <w:t>Before 1 December 2017: the local DNSP of the existence of a life support requirement in accordance with the reasonable requirements of the local DNSP; and</w:t>
      </w:r>
    </w:p>
    <w:p w:rsidR="006003F3" w:rsidRPr="000E476B" w:rsidRDefault="006003F3" w:rsidP="008443D2">
      <w:pPr>
        <w:pStyle w:val="ListParagraph"/>
        <w:numPr>
          <w:ilvl w:val="0"/>
          <w:numId w:val="49"/>
        </w:numPr>
        <w:spacing w:before="0" w:after="240" w:line="240" w:lineRule="auto"/>
        <w:ind w:left="1054" w:hanging="357"/>
        <w:jc w:val="both"/>
        <w:rPr>
          <w:i/>
        </w:rPr>
      </w:pPr>
      <w:r w:rsidRPr="00120654">
        <w:rPr>
          <w:i/>
        </w:rPr>
        <w:t>From 1 December 2017: the parent connection point retailer of the existence of a life support requirement in accordance with the reasonable requirements of the parent connection point retailer. In addition, the exempt embedded network service provider must, without undue delay, promptly notify the child connection point retailer when they are informed of life support requirements at a child connection point.</w:t>
      </w:r>
    </w:p>
    <w:p w:rsidR="00120F00" w:rsidRPr="00C37E80" w:rsidRDefault="00E70F8F" w:rsidP="003958B7">
      <w:pPr>
        <w:pStyle w:val="Heading2"/>
        <w:tabs>
          <w:tab w:val="clear" w:pos="680"/>
          <w:tab w:val="left" w:pos="993"/>
        </w:tabs>
        <w:spacing w:before="0" w:after="240"/>
        <w:ind w:left="851" w:hanging="851"/>
      </w:pPr>
      <w:bookmarkStart w:id="52" w:name="_Toc466452034"/>
      <w:bookmarkStart w:id="53" w:name="_Toc490738297"/>
      <w:r>
        <w:t>Jurisdictional D</w:t>
      </w:r>
      <w:r w:rsidR="00120F00" w:rsidRPr="00C37E80">
        <w:t>erogations</w:t>
      </w:r>
      <w:bookmarkEnd w:id="52"/>
      <w:bookmarkEnd w:id="53"/>
    </w:p>
    <w:p w:rsidR="00120F00" w:rsidRPr="000D7A82" w:rsidRDefault="00120F00" w:rsidP="003958B7">
      <w:pPr>
        <w:spacing w:before="0" w:after="240"/>
        <w:jc w:val="both"/>
      </w:pPr>
      <w:r w:rsidRPr="000D7A82">
        <w:t>Chapter 9 derogations exempt New South Wales power traders and Queensland nominated generators (for the purposes of exempted generator agreements) from complying with the Electricity Ru</w:t>
      </w:r>
      <w:r w:rsidR="00372F49" w:rsidRPr="000D7A82">
        <w:t>les to the extent there exists:</w:t>
      </w:r>
    </w:p>
    <w:p w:rsidR="00373A1E" w:rsidRDefault="00373A1E" w:rsidP="008443D2">
      <w:pPr>
        <w:numPr>
          <w:ilvl w:val="0"/>
          <w:numId w:val="31"/>
        </w:numPr>
        <w:tabs>
          <w:tab w:val="left" w:pos="426"/>
        </w:tabs>
        <w:spacing w:before="0" w:after="240"/>
        <w:ind w:left="426" w:hanging="426"/>
        <w:jc w:val="both"/>
      </w:pPr>
      <w:r>
        <w:t>A</w:t>
      </w:r>
      <w:r w:rsidR="00120F00" w:rsidRPr="000D7A82">
        <w:t>ny inconsistency between the Rules and a contractual requirement under the relevant agreement between the government and other entities</w:t>
      </w:r>
    </w:p>
    <w:p w:rsidR="00120F00" w:rsidRPr="000D7A82" w:rsidRDefault="00373A1E" w:rsidP="004A3697">
      <w:pPr>
        <w:numPr>
          <w:ilvl w:val="0"/>
          <w:numId w:val="31"/>
        </w:numPr>
        <w:tabs>
          <w:tab w:val="left" w:pos="426"/>
        </w:tabs>
        <w:spacing w:before="0" w:after="240"/>
        <w:ind w:left="426" w:hanging="426"/>
        <w:jc w:val="both"/>
      </w:pPr>
      <w:r>
        <w:lastRenderedPageBreak/>
        <w:t>A</w:t>
      </w:r>
      <w:r w:rsidR="00120F00" w:rsidRPr="000D7A82">
        <w:t xml:space="preserve">ny other specified exemption in </w:t>
      </w:r>
      <w:r w:rsidR="002D25C0" w:rsidRPr="000D7A82">
        <w:t>the jurisdictional derogations.</w:t>
      </w:r>
    </w:p>
    <w:p w:rsidR="00120F00" w:rsidRPr="000D7A82" w:rsidDel="0013132E" w:rsidRDefault="00120F00" w:rsidP="006F7868">
      <w:pPr>
        <w:spacing w:before="0" w:after="240"/>
        <w:jc w:val="both"/>
      </w:pPr>
      <w:r w:rsidRPr="000D7A82">
        <w:t xml:space="preserve">Relevant participants must notify the AER at </w:t>
      </w:r>
      <w:hyperlink r:id="rId26" w:history="1">
        <w:r w:rsidRPr="000D7A82">
          <w:rPr>
            <w:u w:val="single"/>
          </w:rPr>
          <w:t>AERinquiry@aer.gov.au</w:t>
        </w:r>
      </w:hyperlink>
      <w:r w:rsidRPr="000D7A82">
        <w:t xml:space="preserve"> of any act or omission which partly or wholly constitutes non-compliance with the Electricity Rules. No non-compliances were reported this quarter.</w:t>
      </w:r>
    </w:p>
    <w:sectPr w:rsidR="00120F00" w:rsidRPr="000D7A82" w:rsidDel="0013132E" w:rsidSect="001E662A">
      <w:footerReference w:type="even" r:id="rId27"/>
      <w:footerReference w:type="default" r:id="rId28"/>
      <w:footerReference w:type="first" r:id="rId2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94" w:rsidRDefault="00155394">
      <w:pPr>
        <w:spacing w:before="0" w:line="240" w:lineRule="auto"/>
      </w:pPr>
      <w:r>
        <w:separator/>
      </w:r>
    </w:p>
  </w:endnote>
  <w:endnote w:type="continuationSeparator" w:id="0">
    <w:p w:rsidR="00155394" w:rsidRDefault="001553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Default="00155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Pr="00414015" w:rsidRDefault="00155394" w:rsidP="00414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Default="001553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Pr="00414015" w:rsidRDefault="00155394" w:rsidP="004140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Pr="00414015" w:rsidRDefault="00155394" w:rsidP="004140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Pr="00414015" w:rsidRDefault="00155394" w:rsidP="0041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94" w:rsidRDefault="00155394">
      <w:pPr>
        <w:spacing w:before="0" w:line="240" w:lineRule="auto"/>
      </w:pPr>
      <w:r>
        <w:separator/>
      </w:r>
    </w:p>
  </w:footnote>
  <w:footnote w:type="continuationSeparator" w:id="0">
    <w:p w:rsidR="00155394" w:rsidRDefault="00155394">
      <w:pPr>
        <w:spacing w:before="0" w:line="240" w:lineRule="auto"/>
      </w:pPr>
      <w:r>
        <w:continuationSeparator/>
      </w:r>
    </w:p>
  </w:footnote>
  <w:footnote w:id="1">
    <w:p w:rsidR="00155394" w:rsidRDefault="00155394" w:rsidP="004419F5">
      <w:pPr>
        <w:pStyle w:val="FootnoteText"/>
        <w:tabs>
          <w:tab w:val="clear" w:pos="340"/>
          <w:tab w:val="left" w:pos="284"/>
        </w:tabs>
        <w:ind w:left="284" w:hanging="284"/>
      </w:pPr>
      <w:r>
        <w:rPr>
          <w:rStyle w:val="FootnoteReference"/>
        </w:rPr>
        <w:footnoteRef/>
      </w:r>
      <w:r>
        <w:t xml:space="preserve">  </w:t>
      </w:r>
      <w:r>
        <w:tab/>
        <w:t xml:space="preserve">The significant price variation report – 1 October 2016 (Victorian gas market) was published on 21 December 2016: </w:t>
      </w:r>
      <w:hyperlink r:id="rId1" w:history="1">
        <w:r w:rsidRPr="00504582">
          <w:rPr>
            <w:rStyle w:val="Hyperlink"/>
            <w:sz w:val="16"/>
          </w:rPr>
          <w:t>http://www.aer.gov.au/wholesale-markets/market-performance/significant-price-variation-report-1-october-2016-victorian-gas-market</w:t>
        </w:r>
      </w:hyperlink>
    </w:p>
  </w:footnote>
  <w:footnote w:id="2">
    <w:p w:rsidR="00155394" w:rsidRDefault="00155394" w:rsidP="00047607">
      <w:pPr>
        <w:pStyle w:val="FootnoteText"/>
        <w:tabs>
          <w:tab w:val="clear" w:pos="340"/>
          <w:tab w:val="left" w:pos="284"/>
        </w:tabs>
        <w:ind w:left="284" w:hanging="284"/>
        <w:jc w:val="both"/>
      </w:pPr>
      <w:r>
        <w:rPr>
          <w:rStyle w:val="FootnoteReference"/>
        </w:rPr>
        <w:footnoteRef/>
      </w:r>
      <w:r>
        <w:tab/>
      </w:r>
      <w:r w:rsidRPr="000410DE">
        <w:t>Entities registered by AEMO under Chapter 2 of the Electricity Rules or in accordance with Part 15A of the Gas Rules.</w:t>
      </w:r>
    </w:p>
  </w:footnote>
  <w:footnote w:id="3">
    <w:p w:rsidR="00155394" w:rsidRDefault="00155394" w:rsidP="00047607">
      <w:pPr>
        <w:pStyle w:val="FootnoteText"/>
        <w:tabs>
          <w:tab w:val="clear" w:pos="340"/>
          <w:tab w:val="left" w:pos="284"/>
        </w:tabs>
        <w:ind w:left="284" w:hanging="284"/>
        <w:jc w:val="both"/>
      </w:pPr>
      <w:r>
        <w:rPr>
          <w:rStyle w:val="FootnoteReference"/>
        </w:rPr>
        <w:footnoteRef/>
      </w:r>
      <w:r>
        <w:tab/>
        <w:t xml:space="preserve">The Statement of Approach is published on the </w:t>
      </w:r>
      <w:hyperlink r:id="rId2" w:history="1">
        <w:r>
          <w:rPr>
            <w:rStyle w:val="Hyperlink"/>
            <w:sz w:val="16"/>
          </w:rPr>
          <w:t>AER's website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4">
    <w:p w:rsidR="00155394" w:rsidRDefault="00155394">
      <w:pPr>
        <w:pStyle w:val="FootnoteText"/>
      </w:pPr>
      <w:r>
        <w:rPr>
          <w:rStyle w:val="FootnoteReference"/>
        </w:rPr>
        <w:footnoteRef/>
      </w:r>
      <w:r>
        <w:t xml:space="preserve"> </w:t>
      </w:r>
      <w:hyperlink r:id="rId3" w:history="1">
        <w:r w:rsidRPr="005F3D89">
          <w:rPr>
            <w:rStyle w:val="Hyperlink"/>
            <w:i/>
            <w:sz w:val="16"/>
          </w:rPr>
          <w:t>National Gas Amendment (Enhanced Information for Gas Transmission Pipeline Capacity Trading) Rule 2015</w:t>
        </w:r>
      </w:hyperlink>
    </w:p>
  </w:footnote>
  <w:footnote w:id="5">
    <w:p w:rsidR="00155394" w:rsidRPr="00F036C3" w:rsidRDefault="00155394" w:rsidP="00BF53EC">
      <w:pPr>
        <w:pStyle w:val="FootnoteText"/>
        <w:tabs>
          <w:tab w:val="clear" w:pos="340"/>
          <w:tab w:val="left" w:pos="284"/>
        </w:tabs>
        <w:ind w:left="284" w:hanging="284"/>
      </w:pPr>
      <w:r w:rsidRPr="00191202">
        <w:rPr>
          <w:rStyle w:val="FootnoteReference"/>
        </w:rPr>
        <w:footnoteRef/>
      </w:r>
      <w:r w:rsidRPr="00191202">
        <w:t xml:space="preserve"> </w:t>
      </w:r>
      <w:r>
        <w:rPr>
          <w:i/>
        </w:rPr>
        <w:tab/>
      </w:r>
      <w:proofErr w:type="gramStart"/>
      <w:r>
        <w:t>Rule 410(1</w:t>
      </w:r>
      <w:r w:rsidRPr="00F036C3">
        <w:t>) of the Gas Rules.</w:t>
      </w:r>
      <w:proofErr w:type="gramEnd"/>
    </w:p>
  </w:footnote>
  <w:footnote w:id="6">
    <w:p w:rsidR="00155394" w:rsidRDefault="00155394" w:rsidP="00794E5F">
      <w:pPr>
        <w:pStyle w:val="FootnoteText"/>
        <w:tabs>
          <w:tab w:val="clear" w:pos="340"/>
          <w:tab w:val="left" w:pos="284"/>
        </w:tabs>
        <w:ind w:left="284"/>
      </w:pPr>
      <w:r>
        <w:rPr>
          <w:rStyle w:val="FootnoteReference"/>
        </w:rPr>
        <w:footnoteRef/>
      </w:r>
      <w:r>
        <w:t xml:space="preserve"> </w:t>
      </w:r>
      <w:r>
        <w:tab/>
        <w:t>Participants have</w:t>
      </w:r>
      <w:r w:rsidRPr="00F67049">
        <w:t xml:space="preserve"> </w:t>
      </w:r>
      <w:r>
        <w:t>argu</w:t>
      </w:r>
      <w:r w:rsidRPr="00F67049">
        <w:t xml:space="preserve">ed that revised settlement runs (including revisions out to 9 months) may heavily influence the proportional split of gas allocations among hub participants and </w:t>
      </w:r>
      <w:r w:rsidRPr="00CC6A1C">
        <w:t xml:space="preserve">whether days were under or over forecast. </w:t>
      </w:r>
      <w:r>
        <w:t>We remain cognisant of</w:t>
      </w:r>
      <w:r w:rsidRPr="00CC6A1C">
        <w:t xml:space="preserve"> these claims</w:t>
      </w:r>
      <w:r>
        <w:t xml:space="preserve"> and are examining the long term performance of </w:t>
      </w:r>
      <w:r w:rsidRPr="00794E5F">
        <w:t>participants. The revised settlement data in</w:t>
      </w:r>
      <w:r>
        <w:rPr>
          <w:color w:val="FF0000"/>
        </w:rPr>
        <w:t xml:space="preserve"> </w:t>
      </w:r>
      <w:r w:rsidRPr="00FC5E47">
        <w:rPr>
          <w:b/>
        </w:rPr>
        <w:t>Figure 2</w:t>
      </w:r>
      <w:r w:rsidRPr="00FC5E47">
        <w:t xml:space="preserve"> includes revised settlement data to October 2016) has not altered our general conclusion that the preliminary nature of the data does not fully explain the over forecasting trend.</w:t>
      </w:r>
    </w:p>
  </w:footnote>
  <w:footnote w:id="7">
    <w:p w:rsidR="00155394" w:rsidRDefault="00155394">
      <w:pPr>
        <w:pStyle w:val="FootnoteText"/>
      </w:pPr>
      <w:r>
        <w:rPr>
          <w:rStyle w:val="FootnoteReference"/>
        </w:rPr>
        <w:footnoteRef/>
      </w:r>
      <w:r>
        <w:t xml:space="preserve">    Counteracting MOS days are reported in a monthly figure at </w:t>
      </w:r>
      <w:hyperlink r:id="rId4" w:history="1">
        <w:r w:rsidRPr="006003F3">
          <w:rPr>
            <w:rStyle w:val="Hyperlink"/>
            <w:rFonts w:asciiTheme="majorHAnsi" w:hAnsiTheme="majorHAnsi" w:cstheme="majorHAnsi"/>
            <w:sz w:val="16"/>
            <w:szCs w:val="16"/>
          </w:rPr>
          <w:t>AER gas weekly report - 16 – 22 July 2017</w:t>
        </w:r>
      </w:hyperlink>
    </w:p>
  </w:footnote>
  <w:footnote w:id="8">
    <w:p w:rsidR="00155394" w:rsidRDefault="00155394" w:rsidP="00C7688C">
      <w:pPr>
        <w:pStyle w:val="FootnoteText"/>
      </w:pPr>
      <w:r>
        <w:rPr>
          <w:rStyle w:val="FootnoteReference"/>
        </w:rPr>
        <w:footnoteRef/>
      </w:r>
      <w:r>
        <w:t xml:space="preserve">    As reported on in </w:t>
      </w:r>
      <w:hyperlink r:id="rId5" w:history="1">
        <w:r w:rsidRPr="006003F3">
          <w:t>AER gas weekly report - 25 June – 1 July 2017</w:t>
        </w:r>
      </w:hyperlink>
    </w:p>
  </w:footnote>
  <w:footnote w:id="9">
    <w:p w:rsidR="00155394" w:rsidRDefault="00155394" w:rsidP="008569D9">
      <w:pPr>
        <w:pStyle w:val="FootnoteText"/>
        <w:tabs>
          <w:tab w:val="clear" w:pos="340"/>
          <w:tab w:val="left" w:pos="284"/>
        </w:tabs>
        <w:ind w:left="284" w:hanging="284"/>
      </w:pPr>
      <w:r>
        <w:rPr>
          <w:rStyle w:val="FootnoteReference"/>
        </w:rPr>
        <w:footnoteRef/>
      </w:r>
      <w:r w:rsidR="00145308">
        <w:t xml:space="preserve"> </w:t>
      </w:r>
      <w:r w:rsidR="00145308">
        <w:tab/>
        <w:t>The</w:t>
      </w:r>
      <w:r>
        <w:t xml:space="preserve"> AER previously audited this activity at market-start.</w:t>
      </w:r>
    </w:p>
  </w:footnote>
  <w:footnote w:id="10">
    <w:p w:rsidR="00155394" w:rsidRDefault="00155394" w:rsidP="00B36119">
      <w:pPr>
        <w:pStyle w:val="FootnoteText"/>
        <w:tabs>
          <w:tab w:val="clear" w:pos="340"/>
          <w:tab w:val="left" w:pos="284"/>
        </w:tabs>
        <w:ind w:left="284" w:hanging="284"/>
      </w:pPr>
      <w:r>
        <w:rPr>
          <w:rStyle w:val="FootnoteReference"/>
        </w:rPr>
        <w:footnoteRef/>
      </w:r>
      <w:r>
        <w:t xml:space="preserve"> </w:t>
      </w:r>
      <w:r>
        <w:tab/>
        <w:t>Formerly, liquidity at the Wallumbilla Exchange was spread across three trading locations at the Queensland Gas Pipeline (QGP), South West Queensland Pipeline (SWQP) and the Roma Brisbane Pipeline (RBP).</w:t>
      </w:r>
    </w:p>
  </w:footnote>
  <w:footnote w:id="11">
    <w:p w:rsidR="00155394" w:rsidRDefault="00155394" w:rsidP="00C5770D">
      <w:pPr>
        <w:pStyle w:val="FootnoteText"/>
        <w:tabs>
          <w:tab w:val="clear" w:pos="340"/>
          <w:tab w:val="left" w:pos="284"/>
        </w:tabs>
        <w:ind w:left="284" w:hanging="284"/>
      </w:pPr>
      <w:r>
        <w:rPr>
          <w:rStyle w:val="FootnoteReference"/>
        </w:rPr>
        <w:footnoteRef/>
      </w:r>
      <w:r>
        <w:t xml:space="preserve"> </w:t>
      </w:r>
      <w:r>
        <w:tab/>
        <w:t>Trades which previously occurred at the RBP in-pipe trading location are now traded under the separate product established for South East Queensland (SEQ). All other products traded at the former RBP, SWQP and QGP trading locations are now traded under the new Wallumbilla single product (WAL). The transition occurred from 28 March 2017.</w:t>
      </w:r>
    </w:p>
  </w:footnote>
  <w:footnote w:id="12">
    <w:p w:rsidR="00155394" w:rsidRDefault="00155394">
      <w:pPr>
        <w:pStyle w:val="FootnoteText"/>
      </w:pPr>
      <w:r>
        <w:rPr>
          <w:rStyle w:val="FootnoteReference"/>
        </w:rPr>
        <w:footnoteRef/>
      </w:r>
      <w:r>
        <w:t xml:space="preserve"> </w:t>
      </w:r>
      <w:r>
        <w:tab/>
        <w:t>See sections 91M and 91MB of the National Gas Law.</w:t>
      </w:r>
    </w:p>
  </w:footnote>
  <w:footnote w:id="13">
    <w:p w:rsidR="00155394" w:rsidRDefault="00155394" w:rsidP="000447FE">
      <w:pPr>
        <w:pStyle w:val="FootnoteText"/>
      </w:pPr>
      <w:r w:rsidRPr="000447FE">
        <w:rPr>
          <w:rStyle w:val="FootnoteReference"/>
        </w:rPr>
        <w:footnoteRef/>
      </w:r>
      <w:r w:rsidRPr="000447FE">
        <w:t xml:space="preserve"> </w:t>
      </w:r>
      <w:r w:rsidRPr="000447FE">
        <w:tab/>
        <w:t>The Gas Interface Protocol governs the manner and form in which information is to be provided, notice given, notices or documents delivered and requests made as contemplated by the Retail Market Procedures (NSW/ACT).</w:t>
      </w:r>
    </w:p>
  </w:footnote>
  <w:footnote w:id="14">
    <w:p w:rsidR="00155394" w:rsidRDefault="00155394">
      <w:pPr>
        <w:pStyle w:val="FootnoteText"/>
      </w:pPr>
      <w:r>
        <w:rPr>
          <w:rStyle w:val="FootnoteReference"/>
        </w:rPr>
        <w:footnoteRef/>
      </w:r>
      <w:r>
        <w:t xml:space="preserve"> </w:t>
      </w:r>
      <w:r>
        <w:tab/>
        <w:t>http://www.aemo.com.au/-/media/Files/PDF/0090-0014-pdf.pdf</w:t>
      </w:r>
    </w:p>
  </w:footnote>
  <w:footnote w:id="15">
    <w:p w:rsidR="00155394" w:rsidRDefault="00155394" w:rsidP="00DE3CAA">
      <w:pPr>
        <w:pStyle w:val="FootnoteText"/>
      </w:pPr>
      <w:r>
        <w:rPr>
          <w:rStyle w:val="FootnoteReference"/>
        </w:rPr>
        <w:footnoteRef/>
      </w:r>
      <w:r>
        <w:t xml:space="preserve"> </w:t>
      </w:r>
      <w:r>
        <w:tab/>
      </w:r>
      <w:hyperlink r:id="rId6" w:history="1">
        <w:r w:rsidRPr="002F74F9">
          <w:rPr>
            <w:rStyle w:val="Hyperlink"/>
            <w:sz w:val="16"/>
            <w:szCs w:val="16"/>
          </w:rPr>
          <w:t>http://www.aemo.com.au/-/media/Files/Stakeholder_Consultation/Consultations/Gas_Consultations/2017/Notice-of-AEMO-Decision-IN033-16.pdf</w:t>
        </w:r>
      </w:hyperlink>
    </w:p>
  </w:footnote>
  <w:footnote w:id="16">
    <w:p w:rsidR="00155394" w:rsidRPr="00BE2488" w:rsidRDefault="00155394" w:rsidP="00BE2488">
      <w:pPr>
        <w:pStyle w:val="FootnoteText"/>
        <w:rPr>
          <w:szCs w:val="16"/>
        </w:rPr>
      </w:pPr>
      <w:r>
        <w:rPr>
          <w:rStyle w:val="FootnoteReference"/>
        </w:rPr>
        <w:footnoteRef/>
      </w:r>
      <w:r>
        <w:t xml:space="preserve"> </w:t>
      </w:r>
      <w:r>
        <w:tab/>
      </w:r>
      <w:r w:rsidRPr="00BE2488">
        <w:rPr>
          <w:szCs w:val="16"/>
        </w:rPr>
        <w:t xml:space="preserve">AEMO Compliance Decision: Gas Retail Market Procedures, 26 November 2015: </w:t>
      </w:r>
      <w:hyperlink r:id="rId7" w:history="1">
        <w:r w:rsidRPr="00BE2488">
          <w:rPr>
            <w:rStyle w:val="Hyperlink"/>
            <w:sz w:val="16"/>
            <w:szCs w:val="16"/>
          </w:rPr>
          <w:t>https://www.aemo.com.au/-/media/Files/PDF/AEMO-Compliance-Decision--Jemena-November-2015.pdf</w:t>
        </w:r>
      </w:hyperlink>
    </w:p>
    <w:p w:rsidR="00155394" w:rsidRPr="00C6554A" w:rsidRDefault="00155394" w:rsidP="00BE2488">
      <w:pPr>
        <w:pStyle w:val="FootnoteText"/>
        <w:rPr>
          <w:szCs w:val="16"/>
        </w:rPr>
      </w:pPr>
      <w:r w:rsidRPr="00AC65AB">
        <w:rPr>
          <w:szCs w:val="16"/>
          <w:vertAlign w:val="superscript"/>
        </w:rPr>
        <w:tab/>
      </w:r>
      <w:r w:rsidRPr="00AC65AB">
        <w:rPr>
          <w:szCs w:val="16"/>
        </w:rPr>
        <w:t xml:space="preserve">AEMO Compliance Decision: Gas Retail Market Procedures, 7 March 2016:  </w:t>
      </w:r>
      <w:hyperlink r:id="rId8" w:history="1">
        <w:r w:rsidRPr="00074713">
          <w:rPr>
            <w:rStyle w:val="Hyperlink"/>
            <w:sz w:val="16"/>
            <w:szCs w:val="16"/>
          </w:rPr>
          <w:t>https://www.aemo.com.au/media/Files/Gas/Policies%20and%20procedures/Retail%20gas%20compliance/2015/Final%20Compliance%20Breach%20Decision%20%20Jemena%20March2016.pdf</w:t>
        </w:r>
      </w:hyperlink>
    </w:p>
    <w:p w:rsidR="00155394" w:rsidRDefault="00155394" w:rsidP="00BE2488">
      <w:pPr>
        <w:pStyle w:val="FootnoteText"/>
      </w:pPr>
    </w:p>
  </w:footnote>
  <w:footnote w:id="17">
    <w:p w:rsidR="00155394" w:rsidRDefault="00155394" w:rsidP="00C20E37">
      <w:pPr>
        <w:pStyle w:val="FootnoteText"/>
        <w:tabs>
          <w:tab w:val="clear" w:pos="340"/>
          <w:tab w:val="left" w:pos="284"/>
        </w:tabs>
        <w:ind w:left="284" w:hanging="284"/>
      </w:pPr>
      <w:r>
        <w:rPr>
          <w:rStyle w:val="FootnoteReference"/>
        </w:rPr>
        <w:footnoteRef/>
      </w:r>
      <w:r>
        <w:t xml:space="preserve"> </w:t>
      </w:r>
      <w:r>
        <w:tab/>
        <w:t xml:space="preserve">On 2 May 2016, AEMO implemented changes to the RMP, introducing </w:t>
      </w:r>
      <w:r w:rsidRPr="00E57B27">
        <w:t>transitional compliance requirements for the period effect</w:t>
      </w:r>
      <w:r>
        <w:t>ive 2 May 2016 to 31 March 2017.</w:t>
      </w:r>
    </w:p>
  </w:footnote>
  <w:footnote w:id="18">
    <w:p w:rsidR="00155394" w:rsidRDefault="00155394" w:rsidP="00DE6889">
      <w:pPr>
        <w:pStyle w:val="FootnoteText"/>
        <w:tabs>
          <w:tab w:val="clear" w:pos="340"/>
          <w:tab w:val="left" w:pos="284"/>
        </w:tabs>
        <w:ind w:left="284" w:hanging="284"/>
      </w:pPr>
      <w:r>
        <w:rPr>
          <w:rStyle w:val="FootnoteReference"/>
        </w:rPr>
        <w:footnoteRef/>
      </w:r>
      <w:r>
        <w:t xml:space="preserve"> </w:t>
      </w:r>
      <w:r>
        <w:tab/>
      </w:r>
      <w:r w:rsidRPr="00D03048">
        <w:t xml:space="preserve">Performance reported since May </w:t>
      </w:r>
      <w:r>
        <w:t>201</w:t>
      </w:r>
      <w:r w:rsidRPr="00D03048">
        <w:t xml:space="preserve">6 is against permanent RMP obligations despite these not being in </w:t>
      </w:r>
      <w:r>
        <w:t>place until 1 </w:t>
      </w:r>
      <w:r w:rsidRPr="006434D0">
        <w:t>Apr</w:t>
      </w:r>
      <w:r>
        <w:t>il </w:t>
      </w:r>
      <w:r w:rsidRPr="006434D0">
        <w:t>17.</w:t>
      </w:r>
      <w:r>
        <w:t xml:space="preserve"> </w:t>
      </w:r>
      <w:r w:rsidRPr="00C92E9A">
        <w:t xml:space="preserve">The results </w:t>
      </w:r>
      <w:r>
        <w:t xml:space="preserve">do </w:t>
      </w:r>
      <w:r w:rsidRPr="00C92E9A">
        <w:t>not contain a measure of the reasonable endeavours standard to meet transitional or permanent RMP timeframes.</w:t>
      </w:r>
      <w:r>
        <w:t xml:space="preserve"> Figures for June 2017 are conducted from a report as at 9:51 AM on 10 July 2017 and may not reflect a final view of performance.</w:t>
      </w:r>
    </w:p>
  </w:footnote>
  <w:footnote w:id="19">
    <w:p w:rsidR="00155394" w:rsidRPr="00E70AE7" w:rsidRDefault="00155394" w:rsidP="00E70AE7">
      <w:pPr>
        <w:pStyle w:val="FootnoteText"/>
        <w:tabs>
          <w:tab w:val="clear" w:pos="340"/>
          <w:tab w:val="left" w:pos="284"/>
        </w:tabs>
        <w:ind w:left="284" w:hanging="284"/>
        <w:rPr>
          <w:szCs w:val="16"/>
        </w:rPr>
      </w:pPr>
      <w:r w:rsidRPr="005535BB">
        <w:rPr>
          <w:rStyle w:val="FootnoteReference"/>
          <w:szCs w:val="24"/>
        </w:rPr>
        <w:footnoteRef/>
      </w:r>
      <w:r w:rsidRPr="00E70AE7">
        <w:rPr>
          <w:szCs w:val="16"/>
        </w:rPr>
        <w:t xml:space="preserve"> </w:t>
      </w:r>
      <w:r w:rsidRPr="00E70AE7">
        <w:rPr>
          <w:szCs w:val="16"/>
        </w:rPr>
        <w:tab/>
        <w:t>Figures for June 2017 are conducted from a report as at 9:51 AM on 10 July 2017 and may not reflect a final view of performance.</w:t>
      </w:r>
    </w:p>
  </w:footnote>
  <w:footnote w:id="20">
    <w:p w:rsidR="00155394" w:rsidRDefault="00155394" w:rsidP="00951116">
      <w:pPr>
        <w:pStyle w:val="FootnoteText"/>
        <w:tabs>
          <w:tab w:val="clear" w:pos="340"/>
          <w:tab w:val="left" w:pos="284"/>
        </w:tabs>
        <w:ind w:left="284" w:hanging="284"/>
      </w:pPr>
      <w:r>
        <w:rPr>
          <w:rStyle w:val="FootnoteReference"/>
        </w:rPr>
        <w:footnoteRef/>
      </w:r>
      <w:r>
        <w:t xml:space="preserve"> </w:t>
      </w:r>
      <w:r>
        <w:tab/>
      </w:r>
      <w:r w:rsidRPr="00143EAE">
        <w:t>Given that the majority of meters are read on a quarterly basis, one month’s performance is compared to that of 3 months earlier (and not the previous month) to ensure similar routes are compared. For example, Jun 17 is compared to March 17, where there has been a reduction of 1.6% in estimations.</w:t>
      </w:r>
    </w:p>
  </w:footnote>
  <w:footnote w:id="21">
    <w:p w:rsidR="00155394" w:rsidRDefault="00155394" w:rsidP="00FE59C5">
      <w:pPr>
        <w:pStyle w:val="FootnoteText"/>
        <w:tabs>
          <w:tab w:val="clear" w:pos="340"/>
          <w:tab w:val="left" w:pos="284"/>
        </w:tabs>
        <w:ind w:left="284" w:hanging="284"/>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22">
    <w:p w:rsidR="00155394" w:rsidRDefault="00155394" w:rsidP="00FE59C5">
      <w:pPr>
        <w:pStyle w:val="FootnoteText"/>
        <w:tabs>
          <w:tab w:val="clear" w:pos="340"/>
          <w:tab w:val="left" w:pos="284"/>
        </w:tabs>
        <w:ind w:left="284" w:hanging="284"/>
        <w:jc w:val="both"/>
      </w:pPr>
      <w:r>
        <w:rPr>
          <w:rStyle w:val="FootnoteReference"/>
        </w:rPr>
        <w:footnoteRef/>
      </w:r>
      <w:r>
        <w:t xml:space="preserve"> </w:t>
      </w:r>
      <w:r>
        <w:tab/>
      </w:r>
      <w:r w:rsidRPr="00962E95">
        <w:t xml:space="preserve">In June 2012, we published an updated </w:t>
      </w:r>
      <w:hyperlink r:id="rId9" w:history="1">
        <w:r w:rsidRPr="00552316">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23">
    <w:p w:rsidR="00155394" w:rsidRDefault="00155394" w:rsidP="00B36659">
      <w:pPr>
        <w:pStyle w:val="FootnoteText"/>
        <w:tabs>
          <w:tab w:val="clear" w:pos="340"/>
          <w:tab w:val="left" w:pos="284"/>
        </w:tabs>
        <w:ind w:left="284" w:hanging="284"/>
        <w:jc w:val="both"/>
      </w:pPr>
      <w:r w:rsidRPr="006815F4">
        <w:rPr>
          <w:rStyle w:val="FootnoteReference"/>
        </w:rPr>
        <w:footnoteRef/>
      </w:r>
      <w:r w:rsidRPr="006815F4">
        <w:t xml:space="preserve"> </w:t>
      </w:r>
      <w:r w:rsidRPr="006815F4">
        <w:tab/>
        <w:t xml:space="preserve">There was a significant increase in automatically triggered rebids from August to November 2014 when one participant’s automated bidding system submitted rebids without including a time adduced </w:t>
      </w:r>
      <w:r>
        <w:t xml:space="preserve">which was subsequently </w:t>
      </w:r>
      <w:r w:rsidRPr="006815F4">
        <w:t xml:space="preserve">corrected. </w:t>
      </w:r>
      <w:r>
        <w:t>This has been detailed in a</w:t>
      </w:r>
      <w:r w:rsidRPr="001661C2">
        <w:rPr>
          <w:szCs w:val="16"/>
        </w:rPr>
        <w:t xml:space="preserve"> </w:t>
      </w:r>
      <w:hyperlink r:id="rId10" w:history="1">
        <w:r w:rsidRPr="00087437">
          <w:rPr>
            <w:rStyle w:val="Hyperlink"/>
            <w:sz w:val="16"/>
            <w:szCs w:val="16"/>
          </w:rPr>
          <w:t>previous QCR</w:t>
        </w:r>
      </w:hyperlink>
      <w:r w:rsidRPr="00087437">
        <w:rPr>
          <w:szCs w:val="16"/>
        </w:rPr>
        <w:t>.</w:t>
      </w:r>
      <w:r w:rsidRPr="00553D4E">
        <w:rPr>
          <w:sz w:val="12"/>
        </w:rPr>
        <w:t xml:space="preserve"> </w:t>
      </w:r>
      <w:r w:rsidRPr="006A67CA">
        <w:rPr>
          <w:b/>
        </w:rPr>
        <w:t>Figure 5</w:t>
      </w:r>
      <w:r w:rsidRPr="006815F4">
        <w:t xml:space="preserve"> has been adjusted by removing the erroneous rebids.</w:t>
      </w:r>
    </w:p>
  </w:footnote>
  <w:footnote w:id="24">
    <w:p w:rsidR="00155394" w:rsidRDefault="00155394" w:rsidP="00B36659">
      <w:pPr>
        <w:pStyle w:val="FootnoteText"/>
        <w:tabs>
          <w:tab w:val="clear" w:pos="340"/>
          <w:tab w:val="left" w:pos="284"/>
        </w:tabs>
        <w:ind w:left="284" w:hanging="284"/>
      </w:pPr>
      <w:r>
        <w:rPr>
          <w:rStyle w:val="FootnoteReference"/>
        </w:rPr>
        <w:footnoteRef/>
      </w:r>
      <w:r>
        <w:t xml:space="preserve"> </w:t>
      </w:r>
      <w:r>
        <w:tab/>
        <w:t>Under 3.13.7(d) of the Electricity Rules the AER must publish its report within 40 business days of the end of the week in which the spot price exceeded $5000/</w:t>
      </w:r>
      <w:proofErr w:type="spellStart"/>
      <w:r>
        <w:t>MWh</w:t>
      </w:r>
      <w:proofErr w:type="spellEnd"/>
      <w:r>
        <w:t xml:space="preserve"> in a trading interval or trading intervals. Whilst the AER must also publish a report whenever the ancillary service price exceeds $5000 per megawatt, there is no legislated timing on the publication of the ancillary service reports. However, we do endeavour to conduct our investigations as expeditiously as possible.</w:t>
      </w:r>
    </w:p>
  </w:footnote>
  <w:footnote w:id="25">
    <w:p w:rsidR="00155394" w:rsidRPr="008C5290" w:rsidRDefault="00155394" w:rsidP="00B36659">
      <w:pPr>
        <w:tabs>
          <w:tab w:val="left" w:pos="284"/>
        </w:tabs>
        <w:spacing w:before="0"/>
        <w:ind w:left="284" w:hanging="284"/>
        <w:rPr>
          <w:color w:val="00B050"/>
          <w:sz w:val="16"/>
          <w:szCs w:val="16"/>
        </w:rPr>
      </w:pPr>
      <w:r>
        <w:rPr>
          <w:rStyle w:val="FootnoteReference"/>
        </w:rPr>
        <w:footnoteRef/>
      </w:r>
      <w:r>
        <w:t xml:space="preserve"> </w:t>
      </w:r>
      <w:r>
        <w:tab/>
      </w:r>
      <w:hyperlink r:id="rId11" w:history="1">
        <w:r w:rsidRPr="00FC09D8">
          <w:rPr>
            <w:rStyle w:val="Hyperlink"/>
            <w:sz w:val="16"/>
            <w:szCs w:val="16"/>
          </w:rPr>
          <w:t>http://www.aer.gov.au/wholesale-markets/market-performance</w:t>
        </w:r>
      </w:hyperlink>
    </w:p>
  </w:footnote>
  <w:footnote w:id="26">
    <w:p w:rsidR="00155394" w:rsidRPr="00611B7C" w:rsidRDefault="00155394" w:rsidP="006003F3">
      <w:pPr>
        <w:pStyle w:val="FootnoteText"/>
        <w:rPr>
          <w:szCs w:val="16"/>
        </w:rPr>
      </w:pPr>
      <w:r>
        <w:rPr>
          <w:rStyle w:val="FootnoteReference"/>
        </w:rPr>
        <w:footnoteRef/>
      </w:r>
      <w:r>
        <w:t xml:space="preserve"> </w:t>
      </w:r>
      <w:r>
        <w:tab/>
        <w:t xml:space="preserve">The Network Service Provider Registration Exemption Guideline can be found on the AER website at: </w:t>
      </w:r>
      <w:hyperlink r:id="rId12" w:history="1">
        <w:r w:rsidRPr="006003F3">
          <w:rPr>
            <w:rStyle w:val="Hyperlink"/>
            <w:sz w:val="16"/>
            <w:szCs w:val="16"/>
          </w:rPr>
          <w:t>https://www.aer.gov.au/networks-pipelines/guidelines-schemes-models-reviews/network-service-provider-registration-exemption-guideline-december-2016</w:t>
        </w:r>
      </w:hyperlink>
      <w:r w:rsidRPr="006003F3">
        <w:rPr>
          <w:szCs w:val="16"/>
        </w:rPr>
        <w:t xml:space="preserve"> </w:t>
      </w:r>
    </w:p>
  </w:footnote>
  <w:footnote w:id="27">
    <w:p w:rsidR="00155394" w:rsidRDefault="00155394" w:rsidP="006003F3">
      <w:pPr>
        <w:pStyle w:val="FootnoteText"/>
      </w:pPr>
      <w:r w:rsidRPr="00611B7C">
        <w:rPr>
          <w:rStyle w:val="FootnoteReference"/>
          <w:sz w:val="16"/>
          <w:szCs w:val="16"/>
          <w:vertAlign w:val="baseline"/>
        </w:rPr>
        <w:footnoteRef/>
      </w:r>
      <w:r w:rsidRPr="009B65DE">
        <w:rPr>
          <w:szCs w:val="16"/>
        </w:rPr>
        <w:t xml:space="preserve"> </w:t>
      </w:r>
      <w:r>
        <w:rPr>
          <w:szCs w:val="16"/>
        </w:rPr>
        <w:tab/>
      </w:r>
      <w:hyperlink r:id="rId13" w:history="1">
        <w:r w:rsidRPr="006003F3">
          <w:rPr>
            <w:rStyle w:val="Hyperlink"/>
            <w:sz w:val="16"/>
            <w:szCs w:val="16"/>
          </w:rPr>
          <w:t>https://www.aemo.com.au/Stakeholder-Consultation/Consultations/Power-of-Choice---AEMO-Procedure-Changes-Package-2</w:t>
        </w:r>
      </w:hyperlink>
      <w:r>
        <w:t xml:space="preserve"> </w:t>
      </w:r>
    </w:p>
  </w:footnote>
  <w:footnote w:id="28">
    <w:p w:rsidR="00155394" w:rsidRDefault="00155394" w:rsidP="006003F3">
      <w:pPr>
        <w:pStyle w:val="FootnoteText"/>
      </w:pPr>
      <w:r>
        <w:rPr>
          <w:rStyle w:val="FootnoteReference"/>
        </w:rPr>
        <w:footnoteRef/>
      </w:r>
      <w:r>
        <w:t xml:space="preserve"> </w:t>
      </w:r>
      <w:r>
        <w:tab/>
      </w:r>
      <w:hyperlink r:id="rId14" w:history="1">
        <w:r w:rsidRPr="000E476B">
          <w:rPr>
            <w:rStyle w:val="Hyperlink"/>
            <w:sz w:val="16"/>
            <w:szCs w:val="16"/>
          </w:rPr>
          <w:t>http://www.aemo.com.au/Electricity/National-Electricity-Market-NEM/Power-of-Choice/Readiness-Work-Stream/Industry-Readiness-Reporting</w:t>
        </w:r>
      </w:hyperlink>
      <w:r>
        <w:t xml:space="preserve"> </w:t>
      </w:r>
    </w:p>
  </w:footnote>
  <w:footnote w:id="29">
    <w:p w:rsidR="00155394" w:rsidRDefault="00155394" w:rsidP="006003F3">
      <w:pPr>
        <w:pStyle w:val="FootnoteText"/>
      </w:pPr>
      <w:r>
        <w:rPr>
          <w:rStyle w:val="FootnoteReference"/>
        </w:rPr>
        <w:footnoteRef/>
      </w:r>
      <w:r>
        <w:t xml:space="preserve"> </w:t>
      </w:r>
      <w:r>
        <w:tab/>
        <w:t xml:space="preserve">See the document, ‘National Electricity Market Accredited Embedded Network Managers’ uploaded at: </w:t>
      </w:r>
      <w:hyperlink r:id="rId15" w:history="1">
        <w:r w:rsidRPr="000E476B">
          <w:rPr>
            <w:rStyle w:val="Hyperlink"/>
            <w:sz w:val="16"/>
            <w:szCs w:val="16"/>
          </w:rPr>
          <w:t>https://www.aemo.com.au/Stakeholder-Consultation/Consultations/Power-of-Choice---AEMO-Procedure-Changes-Package-2</w:t>
        </w:r>
      </w:hyperlink>
      <w:r>
        <w:t xml:space="preserve"> </w:t>
      </w:r>
    </w:p>
  </w:footnote>
  <w:footnote w:id="30">
    <w:p w:rsidR="00155394" w:rsidRDefault="00155394" w:rsidP="006003F3">
      <w:pPr>
        <w:pStyle w:val="FootnoteText"/>
      </w:pPr>
      <w:r>
        <w:rPr>
          <w:rStyle w:val="FootnoteReference"/>
        </w:rPr>
        <w:footnoteRef/>
      </w:r>
      <w:r>
        <w:t xml:space="preserve"> </w:t>
      </w:r>
      <w:r>
        <w:tab/>
        <w:t>Network Service Provider Registration Exemption Guideline, p.36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Default="00155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Default="00155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4" w:rsidRDefault="00155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02955CB"/>
    <w:multiLevelType w:val="hybridMultilevel"/>
    <w:tmpl w:val="35461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11A70FF"/>
    <w:multiLevelType w:val="hybridMultilevel"/>
    <w:tmpl w:val="504C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6442A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84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0A145AA2"/>
    <w:multiLevelType w:val="hybridMultilevel"/>
    <w:tmpl w:val="AAAAA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7CB72F7"/>
    <w:multiLevelType w:val="hybridMultilevel"/>
    <w:tmpl w:val="8998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A3A6266"/>
    <w:multiLevelType w:val="multilevel"/>
    <w:tmpl w:val="4FAAC634"/>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200BC4"/>
    <w:multiLevelType w:val="hybridMultilevel"/>
    <w:tmpl w:val="3B2C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2F3F4BEA"/>
    <w:multiLevelType w:val="hybridMultilevel"/>
    <w:tmpl w:val="3384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29258B8"/>
    <w:multiLevelType w:val="hybridMultilevel"/>
    <w:tmpl w:val="A06E4B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361745DC"/>
    <w:multiLevelType w:val="hybridMultilevel"/>
    <w:tmpl w:val="276CB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3A393E">
      <w:start w:val="1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0">
    <w:nsid w:val="41FC2954"/>
    <w:multiLevelType w:val="hybridMultilevel"/>
    <w:tmpl w:val="62D4E5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42E51E8B"/>
    <w:multiLevelType w:val="hybridMultilevel"/>
    <w:tmpl w:val="B7B08B00"/>
    <w:lvl w:ilvl="0" w:tplc="B32AFD36">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2">
    <w:nsid w:val="470132E4"/>
    <w:multiLevelType w:val="hybridMultilevel"/>
    <w:tmpl w:val="2F4C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1B0777"/>
    <w:multiLevelType w:val="hybridMultilevel"/>
    <w:tmpl w:val="223236A2"/>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3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4ED4AAB"/>
    <w:multiLevelType w:val="hybridMultilevel"/>
    <w:tmpl w:val="8F28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130C4E"/>
    <w:multiLevelType w:val="hybridMultilevel"/>
    <w:tmpl w:val="42F62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CC937C9"/>
    <w:multiLevelType w:val="hybridMultilevel"/>
    <w:tmpl w:val="9B2E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636AA7"/>
    <w:multiLevelType w:val="hybridMultilevel"/>
    <w:tmpl w:val="B7D4AF5C"/>
    <w:lvl w:ilvl="0" w:tplc="98744072">
      <w:start w:val="27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482B51"/>
    <w:multiLevelType w:val="hybridMultilevel"/>
    <w:tmpl w:val="D5524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557C5B"/>
    <w:multiLevelType w:val="hybridMultilevel"/>
    <w:tmpl w:val="1404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4F540E"/>
    <w:multiLevelType w:val="hybridMultilevel"/>
    <w:tmpl w:val="6BE0FE16"/>
    <w:lvl w:ilvl="0" w:tplc="480204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abstractNum w:abstractNumId="47">
    <w:nsid w:val="7ED46506"/>
    <w:multiLevelType w:val="hybridMultilevel"/>
    <w:tmpl w:val="BCBA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646280"/>
    <w:multiLevelType w:val="multilevel"/>
    <w:tmpl w:val="34B8E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4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15"/>
  </w:num>
  <w:num w:numId="15">
    <w:abstractNumId w:val="20"/>
  </w:num>
  <w:num w:numId="16">
    <w:abstractNumId w:val="34"/>
  </w:num>
  <w:num w:numId="17">
    <w:abstractNumId w:val="14"/>
  </w:num>
  <w:num w:numId="18">
    <w:abstractNumId w:val="23"/>
  </w:num>
  <w:num w:numId="19">
    <w:abstractNumId w:val="35"/>
  </w:num>
  <w:num w:numId="20">
    <w:abstractNumId w:val="42"/>
  </w:num>
  <w:num w:numId="21">
    <w:abstractNumId w:val="38"/>
  </w:num>
  <w:num w:numId="22">
    <w:abstractNumId w:val="11"/>
  </w:num>
  <w:num w:numId="23">
    <w:abstractNumId w:val="18"/>
  </w:num>
  <w:num w:numId="24">
    <w:abstractNumId w:val="27"/>
  </w:num>
  <w:num w:numId="25">
    <w:abstractNumId w:val="19"/>
  </w:num>
  <w:num w:numId="26">
    <w:abstractNumId w:val="22"/>
  </w:num>
  <w:num w:numId="27">
    <w:abstractNumId w:val="12"/>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lvlOverride w:ilvl="0">
      <w:startOverride w:val="1"/>
    </w:lvlOverride>
    <w:lvlOverride w:ilvl="1">
      <w:startOverride w:val="1"/>
    </w:lvlOverride>
    <w:lvlOverride w:ilvl="2">
      <w:startOverride w:val="1"/>
    </w:lvlOverride>
  </w:num>
  <w:num w:numId="33">
    <w:abstractNumId w:val="12"/>
  </w:num>
  <w:num w:numId="34">
    <w:abstractNumId w:val="41"/>
  </w:num>
  <w:num w:numId="35">
    <w:abstractNumId w:val="13"/>
  </w:num>
  <w:num w:numId="36">
    <w:abstractNumId w:val="40"/>
  </w:num>
  <w:num w:numId="37">
    <w:abstractNumId w:val="33"/>
  </w:num>
  <w:num w:numId="38">
    <w:abstractNumId w:val="24"/>
  </w:num>
  <w:num w:numId="39">
    <w:abstractNumId w:val="43"/>
  </w:num>
  <w:num w:numId="40">
    <w:abstractNumId w:val="47"/>
  </w:num>
  <w:num w:numId="41">
    <w:abstractNumId w:val="48"/>
  </w:num>
  <w:num w:numId="42">
    <w:abstractNumId w:val="12"/>
  </w:num>
  <w:num w:numId="43">
    <w:abstractNumId w:val="12"/>
    <w:lvlOverride w:ilvl="0">
      <w:startOverride w:val="1"/>
    </w:lvlOverride>
    <w:lvlOverride w:ilvl="1">
      <w:startOverride w:val="2"/>
    </w:lvlOverride>
    <w:lvlOverride w:ilvl="2">
      <w:startOverride w:val="2"/>
    </w:lvlOverride>
  </w:num>
  <w:num w:numId="44">
    <w:abstractNumId w:val="12"/>
    <w:lvlOverride w:ilvl="0">
      <w:startOverride w:val="1"/>
    </w:lvlOverride>
    <w:lvlOverride w:ilvl="1">
      <w:startOverride w:val="3"/>
    </w:lvlOverride>
  </w:num>
  <w:num w:numId="45">
    <w:abstractNumId w:val="12"/>
    <w:lvlOverride w:ilvl="0">
      <w:startOverride w:val="1"/>
    </w:lvlOverride>
    <w:lvlOverride w:ilvl="1">
      <w:startOverride w:val="2"/>
    </w:lvlOverride>
    <w:lvlOverride w:ilvl="2">
      <w:startOverride w:val="2"/>
    </w:lvlOverride>
  </w:num>
  <w:num w:numId="46">
    <w:abstractNumId w:val="12"/>
    <w:lvlOverride w:ilvl="0">
      <w:startOverride w:val="1"/>
    </w:lvlOverride>
    <w:lvlOverride w:ilvl="1">
      <w:startOverride w:val="2"/>
    </w:lvlOverride>
    <w:lvlOverride w:ilvl="2">
      <w:startOverride w:val="2"/>
    </w:lvlOverride>
  </w:num>
  <w:num w:numId="47">
    <w:abstractNumId w:val="32"/>
  </w:num>
  <w:num w:numId="48">
    <w:abstractNumId w:val="12"/>
  </w:num>
  <w:num w:numId="49">
    <w:abstractNumId w:val="3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25"/>
  </w:num>
  <w:num w:numId="53">
    <w:abstractNumId w:val="10"/>
  </w:num>
  <w:num w:numId="54">
    <w:abstractNumId w:val="10"/>
  </w:num>
  <w:num w:numId="55">
    <w:abstractNumId w:val="30"/>
  </w:num>
  <w:num w:numId="56">
    <w:abstractNumId w:val="26"/>
  </w:num>
  <w:num w:numId="57">
    <w:abstractNumId w:val="45"/>
  </w:num>
  <w:num w:numId="58">
    <w:abstractNumId w:val="17"/>
  </w:num>
  <w:num w:numId="59">
    <w:abstractNumId w:val="44"/>
  </w:num>
  <w:num w:numId="60">
    <w:abstractNumId w:val="9"/>
  </w:num>
  <w:num w:numId="61">
    <w:abstractNumId w:val="29"/>
  </w:num>
  <w:num w:numId="62">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0451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9524\D17 118970  Quarterly Compliance Report - 1 April - 30 June 2017.DOCX"/>
  </w:docVars>
  <w:rsids>
    <w:rsidRoot w:val="003974F8"/>
    <w:rsid w:val="00000BDB"/>
    <w:rsid w:val="00002146"/>
    <w:rsid w:val="0000266C"/>
    <w:rsid w:val="00002AEC"/>
    <w:rsid w:val="00002F44"/>
    <w:rsid w:val="000034EA"/>
    <w:rsid w:val="00003EAB"/>
    <w:rsid w:val="000044AB"/>
    <w:rsid w:val="000051CB"/>
    <w:rsid w:val="00005C3E"/>
    <w:rsid w:val="00006AD4"/>
    <w:rsid w:val="00007462"/>
    <w:rsid w:val="000079FB"/>
    <w:rsid w:val="00007C8B"/>
    <w:rsid w:val="000103CF"/>
    <w:rsid w:val="0001075A"/>
    <w:rsid w:val="0001159E"/>
    <w:rsid w:val="000123FC"/>
    <w:rsid w:val="00013A09"/>
    <w:rsid w:val="0001458D"/>
    <w:rsid w:val="00014ADF"/>
    <w:rsid w:val="000200DD"/>
    <w:rsid w:val="0002010B"/>
    <w:rsid w:val="000211B3"/>
    <w:rsid w:val="00021449"/>
    <w:rsid w:val="00024FCD"/>
    <w:rsid w:val="00025D74"/>
    <w:rsid w:val="00025ED3"/>
    <w:rsid w:val="00027B50"/>
    <w:rsid w:val="00027D7C"/>
    <w:rsid w:val="000305EA"/>
    <w:rsid w:val="000313AD"/>
    <w:rsid w:val="000327A3"/>
    <w:rsid w:val="00032A82"/>
    <w:rsid w:val="00034052"/>
    <w:rsid w:val="00034C8E"/>
    <w:rsid w:val="00034CD8"/>
    <w:rsid w:val="00034E89"/>
    <w:rsid w:val="0003584A"/>
    <w:rsid w:val="00036B6C"/>
    <w:rsid w:val="000410DE"/>
    <w:rsid w:val="00041C53"/>
    <w:rsid w:val="00042F76"/>
    <w:rsid w:val="0004306F"/>
    <w:rsid w:val="000430A2"/>
    <w:rsid w:val="00043BC7"/>
    <w:rsid w:val="000447FE"/>
    <w:rsid w:val="00044D77"/>
    <w:rsid w:val="0004576C"/>
    <w:rsid w:val="00045F96"/>
    <w:rsid w:val="0004607C"/>
    <w:rsid w:val="00047607"/>
    <w:rsid w:val="00047F90"/>
    <w:rsid w:val="000500D9"/>
    <w:rsid w:val="0005081A"/>
    <w:rsid w:val="0005165C"/>
    <w:rsid w:val="000565B8"/>
    <w:rsid w:val="000574C6"/>
    <w:rsid w:val="0005764A"/>
    <w:rsid w:val="00060A6A"/>
    <w:rsid w:val="000611C9"/>
    <w:rsid w:val="00061852"/>
    <w:rsid w:val="00063595"/>
    <w:rsid w:val="00064B95"/>
    <w:rsid w:val="00064F94"/>
    <w:rsid w:val="00065701"/>
    <w:rsid w:val="000658CF"/>
    <w:rsid w:val="00067860"/>
    <w:rsid w:val="00070D3B"/>
    <w:rsid w:val="00071DDB"/>
    <w:rsid w:val="00072507"/>
    <w:rsid w:val="00072B11"/>
    <w:rsid w:val="00073192"/>
    <w:rsid w:val="00074084"/>
    <w:rsid w:val="00074713"/>
    <w:rsid w:val="0007565A"/>
    <w:rsid w:val="00075721"/>
    <w:rsid w:val="00076376"/>
    <w:rsid w:val="00076A00"/>
    <w:rsid w:val="00077ED6"/>
    <w:rsid w:val="00080F4D"/>
    <w:rsid w:val="000811AB"/>
    <w:rsid w:val="0008239B"/>
    <w:rsid w:val="000828E4"/>
    <w:rsid w:val="00083B48"/>
    <w:rsid w:val="00085422"/>
    <w:rsid w:val="000861D0"/>
    <w:rsid w:val="00086547"/>
    <w:rsid w:val="00087437"/>
    <w:rsid w:val="00090400"/>
    <w:rsid w:val="000917B2"/>
    <w:rsid w:val="00091A5A"/>
    <w:rsid w:val="000938EC"/>
    <w:rsid w:val="0009432B"/>
    <w:rsid w:val="00095A53"/>
    <w:rsid w:val="000A06A0"/>
    <w:rsid w:val="000A14C1"/>
    <w:rsid w:val="000A1C7A"/>
    <w:rsid w:val="000A44E9"/>
    <w:rsid w:val="000A4D0C"/>
    <w:rsid w:val="000A58DD"/>
    <w:rsid w:val="000A6C8B"/>
    <w:rsid w:val="000A7113"/>
    <w:rsid w:val="000A7786"/>
    <w:rsid w:val="000A7C4C"/>
    <w:rsid w:val="000B05D0"/>
    <w:rsid w:val="000B0A8A"/>
    <w:rsid w:val="000B150D"/>
    <w:rsid w:val="000B15C0"/>
    <w:rsid w:val="000B19C9"/>
    <w:rsid w:val="000B1B2B"/>
    <w:rsid w:val="000B2EF1"/>
    <w:rsid w:val="000B3A3E"/>
    <w:rsid w:val="000C0A7E"/>
    <w:rsid w:val="000C163B"/>
    <w:rsid w:val="000C185F"/>
    <w:rsid w:val="000C2198"/>
    <w:rsid w:val="000C228E"/>
    <w:rsid w:val="000C58E7"/>
    <w:rsid w:val="000C5ABF"/>
    <w:rsid w:val="000C6D20"/>
    <w:rsid w:val="000C74CA"/>
    <w:rsid w:val="000C78E9"/>
    <w:rsid w:val="000C7F48"/>
    <w:rsid w:val="000D0265"/>
    <w:rsid w:val="000D2224"/>
    <w:rsid w:val="000D2BF0"/>
    <w:rsid w:val="000D323F"/>
    <w:rsid w:val="000D357B"/>
    <w:rsid w:val="000D499D"/>
    <w:rsid w:val="000D53C9"/>
    <w:rsid w:val="000D5696"/>
    <w:rsid w:val="000D5C8A"/>
    <w:rsid w:val="000D691D"/>
    <w:rsid w:val="000D6AC5"/>
    <w:rsid w:val="000D6CD3"/>
    <w:rsid w:val="000D6CED"/>
    <w:rsid w:val="000D718C"/>
    <w:rsid w:val="000D7379"/>
    <w:rsid w:val="000D7A82"/>
    <w:rsid w:val="000D7DEC"/>
    <w:rsid w:val="000E04B4"/>
    <w:rsid w:val="000E0855"/>
    <w:rsid w:val="000E0B34"/>
    <w:rsid w:val="000E19F7"/>
    <w:rsid w:val="000E1D8A"/>
    <w:rsid w:val="000E24F5"/>
    <w:rsid w:val="000E2CBE"/>
    <w:rsid w:val="000E2D61"/>
    <w:rsid w:val="000E476B"/>
    <w:rsid w:val="000E5114"/>
    <w:rsid w:val="000E5561"/>
    <w:rsid w:val="000E60F3"/>
    <w:rsid w:val="000E6207"/>
    <w:rsid w:val="000E65D3"/>
    <w:rsid w:val="000E66BD"/>
    <w:rsid w:val="000E76A3"/>
    <w:rsid w:val="000F11F3"/>
    <w:rsid w:val="000F2714"/>
    <w:rsid w:val="000F286B"/>
    <w:rsid w:val="000F39A6"/>
    <w:rsid w:val="000F41DE"/>
    <w:rsid w:val="000F43C8"/>
    <w:rsid w:val="000F542B"/>
    <w:rsid w:val="000F5ADB"/>
    <w:rsid w:val="000F5B5E"/>
    <w:rsid w:val="000F6F9A"/>
    <w:rsid w:val="000F7AA4"/>
    <w:rsid w:val="000F7DE9"/>
    <w:rsid w:val="0010042D"/>
    <w:rsid w:val="0010054C"/>
    <w:rsid w:val="0010056A"/>
    <w:rsid w:val="00100D83"/>
    <w:rsid w:val="00100DEA"/>
    <w:rsid w:val="00101C2D"/>
    <w:rsid w:val="001025FF"/>
    <w:rsid w:val="00105196"/>
    <w:rsid w:val="001063AC"/>
    <w:rsid w:val="001067E1"/>
    <w:rsid w:val="001073A3"/>
    <w:rsid w:val="00107767"/>
    <w:rsid w:val="00110D2B"/>
    <w:rsid w:val="00111CF3"/>
    <w:rsid w:val="00113037"/>
    <w:rsid w:val="00113074"/>
    <w:rsid w:val="001146FC"/>
    <w:rsid w:val="00114BC3"/>
    <w:rsid w:val="00115677"/>
    <w:rsid w:val="001156E6"/>
    <w:rsid w:val="00115BE0"/>
    <w:rsid w:val="00115CC4"/>
    <w:rsid w:val="001175E5"/>
    <w:rsid w:val="001204FA"/>
    <w:rsid w:val="0012083B"/>
    <w:rsid w:val="00120F00"/>
    <w:rsid w:val="001213C4"/>
    <w:rsid w:val="001215A6"/>
    <w:rsid w:val="00121665"/>
    <w:rsid w:val="001218DE"/>
    <w:rsid w:val="001218FC"/>
    <w:rsid w:val="00121EF3"/>
    <w:rsid w:val="001222E2"/>
    <w:rsid w:val="001229B8"/>
    <w:rsid w:val="00122B76"/>
    <w:rsid w:val="0012324E"/>
    <w:rsid w:val="00123ACC"/>
    <w:rsid w:val="0012452B"/>
    <w:rsid w:val="00124C8E"/>
    <w:rsid w:val="00124E3F"/>
    <w:rsid w:val="00124E54"/>
    <w:rsid w:val="00125138"/>
    <w:rsid w:val="001263D2"/>
    <w:rsid w:val="00126527"/>
    <w:rsid w:val="00126851"/>
    <w:rsid w:val="001270BF"/>
    <w:rsid w:val="001278AA"/>
    <w:rsid w:val="001310FE"/>
    <w:rsid w:val="0013114D"/>
    <w:rsid w:val="0013117D"/>
    <w:rsid w:val="001312D7"/>
    <w:rsid w:val="0013132E"/>
    <w:rsid w:val="00131897"/>
    <w:rsid w:val="00132142"/>
    <w:rsid w:val="00132DF4"/>
    <w:rsid w:val="0013397E"/>
    <w:rsid w:val="001340D9"/>
    <w:rsid w:val="00134C83"/>
    <w:rsid w:val="0013527D"/>
    <w:rsid w:val="001373DF"/>
    <w:rsid w:val="00137BCC"/>
    <w:rsid w:val="00137EE4"/>
    <w:rsid w:val="00140266"/>
    <w:rsid w:val="001402B1"/>
    <w:rsid w:val="00141A51"/>
    <w:rsid w:val="001427C8"/>
    <w:rsid w:val="001429FF"/>
    <w:rsid w:val="001431ED"/>
    <w:rsid w:val="00144299"/>
    <w:rsid w:val="00144C3D"/>
    <w:rsid w:val="00145308"/>
    <w:rsid w:val="00146244"/>
    <w:rsid w:val="00146B76"/>
    <w:rsid w:val="00147381"/>
    <w:rsid w:val="00147F15"/>
    <w:rsid w:val="00150C72"/>
    <w:rsid w:val="00150D6F"/>
    <w:rsid w:val="001510E3"/>
    <w:rsid w:val="001510F6"/>
    <w:rsid w:val="001513E9"/>
    <w:rsid w:val="0015165A"/>
    <w:rsid w:val="001527B9"/>
    <w:rsid w:val="00153604"/>
    <w:rsid w:val="00153B11"/>
    <w:rsid w:val="00154066"/>
    <w:rsid w:val="001541FC"/>
    <w:rsid w:val="00154387"/>
    <w:rsid w:val="001549A4"/>
    <w:rsid w:val="00155394"/>
    <w:rsid w:val="0015569B"/>
    <w:rsid w:val="00157A89"/>
    <w:rsid w:val="00160CC4"/>
    <w:rsid w:val="001612D1"/>
    <w:rsid w:val="0016210B"/>
    <w:rsid w:val="00162143"/>
    <w:rsid w:val="00162948"/>
    <w:rsid w:val="001630D7"/>
    <w:rsid w:val="00163975"/>
    <w:rsid w:val="00163E6F"/>
    <w:rsid w:val="00165471"/>
    <w:rsid w:val="00165AEC"/>
    <w:rsid w:val="001661C2"/>
    <w:rsid w:val="001706A9"/>
    <w:rsid w:val="00170FC5"/>
    <w:rsid w:val="00171347"/>
    <w:rsid w:val="00172463"/>
    <w:rsid w:val="00172E34"/>
    <w:rsid w:val="0017338D"/>
    <w:rsid w:val="00175152"/>
    <w:rsid w:val="0017552B"/>
    <w:rsid w:val="001767B5"/>
    <w:rsid w:val="00176E09"/>
    <w:rsid w:val="00180D1D"/>
    <w:rsid w:val="001818BE"/>
    <w:rsid w:val="00181F38"/>
    <w:rsid w:val="00183BFE"/>
    <w:rsid w:val="0018455F"/>
    <w:rsid w:val="00184BAB"/>
    <w:rsid w:val="00184DE9"/>
    <w:rsid w:val="00190238"/>
    <w:rsid w:val="001909DE"/>
    <w:rsid w:val="0019118E"/>
    <w:rsid w:val="00191202"/>
    <w:rsid w:val="0019162C"/>
    <w:rsid w:val="00193532"/>
    <w:rsid w:val="00194AC7"/>
    <w:rsid w:val="00194BBB"/>
    <w:rsid w:val="001963A4"/>
    <w:rsid w:val="0019641C"/>
    <w:rsid w:val="00196637"/>
    <w:rsid w:val="001968C4"/>
    <w:rsid w:val="00196C60"/>
    <w:rsid w:val="00196F33"/>
    <w:rsid w:val="001976A3"/>
    <w:rsid w:val="001978F9"/>
    <w:rsid w:val="0019799D"/>
    <w:rsid w:val="001A022D"/>
    <w:rsid w:val="001A0C18"/>
    <w:rsid w:val="001A169B"/>
    <w:rsid w:val="001A1E50"/>
    <w:rsid w:val="001A1FED"/>
    <w:rsid w:val="001A2845"/>
    <w:rsid w:val="001A29F4"/>
    <w:rsid w:val="001A2DE5"/>
    <w:rsid w:val="001A2EEF"/>
    <w:rsid w:val="001A338A"/>
    <w:rsid w:val="001A3E81"/>
    <w:rsid w:val="001A4830"/>
    <w:rsid w:val="001A4DAE"/>
    <w:rsid w:val="001A6922"/>
    <w:rsid w:val="001A7ECA"/>
    <w:rsid w:val="001B066F"/>
    <w:rsid w:val="001B1525"/>
    <w:rsid w:val="001B33B4"/>
    <w:rsid w:val="001B4A62"/>
    <w:rsid w:val="001B5824"/>
    <w:rsid w:val="001B5A58"/>
    <w:rsid w:val="001B6308"/>
    <w:rsid w:val="001B68F4"/>
    <w:rsid w:val="001B6913"/>
    <w:rsid w:val="001B747E"/>
    <w:rsid w:val="001B7BB0"/>
    <w:rsid w:val="001C022A"/>
    <w:rsid w:val="001C081F"/>
    <w:rsid w:val="001C0A14"/>
    <w:rsid w:val="001C0BC7"/>
    <w:rsid w:val="001C0F56"/>
    <w:rsid w:val="001C16F8"/>
    <w:rsid w:val="001C1C6F"/>
    <w:rsid w:val="001C3607"/>
    <w:rsid w:val="001C37A6"/>
    <w:rsid w:val="001C3E7D"/>
    <w:rsid w:val="001C4288"/>
    <w:rsid w:val="001C43A1"/>
    <w:rsid w:val="001C4F79"/>
    <w:rsid w:val="001C5287"/>
    <w:rsid w:val="001C765A"/>
    <w:rsid w:val="001C7EA4"/>
    <w:rsid w:val="001D0217"/>
    <w:rsid w:val="001D0635"/>
    <w:rsid w:val="001D0C57"/>
    <w:rsid w:val="001D1FD7"/>
    <w:rsid w:val="001D2A53"/>
    <w:rsid w:val="001D3862"/>
    <w:rsid w:val="001D3A1C"/>
    <w:rsid w:val="001D45CB"/>
    <w:rsid w:val="001D47B0"/>
    <w:rsid w:val="001D4EF0"/>
    <w:rsid w:val="001D590F"/>
    <w:rsid w:val="001D63CC"/>
    <w:rsid w:val="001D6E9E"/>
    <w:rsid w:val="001D7411"/>
    <w:rsid w:val="001D7D23"/>
    <w:rsid w:val="001E0549"/>
    <w:rsid w:val="001E530B"/>
    <w:rsid w:val="001E58E1"/>
    <w:rsid w:val="001E64CB"/>
    <w:rsid w:val="001E662A"/>
    <w:rsid w:val="001E7721"/>
    <w:rsid w:val="001F017A"/>
    <w:rsid w:val="001F26DC"/>
    <w:rsid w:val="001F2915"/>
    <w:rsid w:val="001F3098"/>
    <w:rsid w:val="001F35EA"/>
    <w:rsid w:val="001F38E9"/>
    <w:rsid w:val="001F4800"/>
    <w:rsid w:val="001F5755"/>
    <w:rsid w:val="001F5848"/>
    <w:rsid w:val="001F5CBE"/>
    <w:rsid w:val="001F5E7B"/>
    <w:rsid w:val="001F6196"/>
    <w:rsid w:val="001F6621"/>
    <w:rsid w:val="001F6748"/>
    <w:rsid w:val="001F728D"/>
    <w:rsid w:val="001F7D19"/>
    <w:rsid w:val="00200E73"/>
    <w:rsid w:val="0020191D"/>
    <w:rsid w:val="00204C26"/>
    <w:rsid w:val="002051B2"/>
    <w:rsid w:val="00205293"/>
    <w:rsid w:val="0020552D"/>
    <w:rsid w:val="00207D85"/>
    <w:rsid w:val="00210AE1"/>
    <w:rsid w:val="002110E4"/>
    <w:rsid w:val="002118E8"/>
    <w:rsid w:val="00211966"/>
    <w:rsid w:val="002121E6"/>
    <w:rsid w:val="00212AAD"/>
    <w:rsid w:val="002131FE"/>
    <w:rsid w:val="00213AD6"/>
    <w:rsid w:val="00213D0B"/>
    <w:rsid w:val="00213DE5"/>
    <w:rsid w:val="0021498B"/>
    <w:rsid w:val="0021617D"/>
    <w:rsid w:val="00216DB0"/>
    <w:rsid w:val="00217084"/>
    <w:rsid w:val="00217CDB"/>
    <w:rsid w:val="0022114F"/>
    <w:rsid w:val="002211DD"/>
    <w:rsid w:val="002215C8"/>
    <w:rsid w:val="00221D3D"/>
    <w:rsid w:val="002222C2"/>
    <w:rsid w:val="00222FEE"/>
    <w:rsid w:val="00225586"/>
    <w:rsid w:val="00226070"/>
    <w:rsid w:val="00226637"/>
    <w:rsid w:val="002269EF"/>
    <w:rsid w:val="00226D03"/>
    <w:rsid w:val="002302B4"/>
    <w:rsid w:val="00230C9E"/>
    <w:rsid w:val="00231569"/>
    <w:rsid w:val="00231B4E"/>
    <w:rsid w:val="00232CF7"/>
    <w:rsid w:val="00233179"/>
    <w:rsid w:val="0023337C"/>
    <w:rsid w:val="0023588E"/>
    <w:rsid w:val="00235A06"/>
    <w:rsid w:val="00235CF6"/>
    <w:rsid w:val="002403CF"/>
    <w:rsid w:val="0024138B"/>
    <w:rsid w:val="00241C42"/>
    <w:rsid w:val="00243C2B"/>
    <w:rsid w:val="002442A2"/>
    <w:rsid w:val="00245952"/>
    <w:rsid w:val="00246047"/>
    <w:rsid w:val="0024605C"/>
    <w:rsid w:val="002462E4"/>
    <w:rsid w:val="00246506"/>
    <w:rsid w:val="002467A3"/>
    <w:rsid w:val="002478E0"/>
    <w:rsid w:val="002502AE"/>
    <w:rsid w:val="002507BE"/>
    <w:rsid w:val="002523EE"/>
    <w:rsid w:val="00252A39"/>
    <w:rsid w:val="00253C98"/>
    <w:rsid w:val="00256610"/>
    <w:rsid w:val="00256938"/>
    <w:rsid w:val="002572C1"/>
    <w:rsid w:val="0025735D"/>
    <w:rsid w:val="00257B49"/>
    <w:rsid w:val="00260B72"/>
    <w:rsid w:val="00260D51"/>
    <w:rsid w:val="0026194C"/>
    <w:rsid w:val="00261A94"/>
    <w:rsid w:val="00261B5A"/>
    <w:rsid w:val="00262093"/>
    <w:rsid w:val="002625AD"/>
    <w:rsid w:val="0026304E"/>
    <w:rsid w:val="00263DEE"/>
    <w:rsid w:val="002649EA"/>
    <w:rsid w:val="00264C25"/>
    <w:rsid w:val="00265184"/>
    <w:rsid w:val="00265ACC"/>
    <w:rsid w:val="0026684F"/>
    <w:rsid w:val="00266BF1"/>
    <w:rsid w:val="00266E40"/>
    <w:rsid w:val="0027068D"/>
    <w:rsid w:val="002708CD"/>
    <w:rsid w:val="00273C5A"/>
    <w:rsid w:val="00273CFE"/>
    <w:rsid w:val="00274557"/>
    <w:rsid w:val="00274CC2"/>
    <w:rsid w:val="00274FE4"/>
    <w:rsid w:val="0027574D"/>
    <w:rsid w:val="00275AAA"/>
    <w:rsid w:val="00277AC2"/>
    <w:rsid w:val="002810FA"/>
    <w:rsid w:val="00282957"/>
    <w:rsid w:val="00282E34"/>
    <w:rsid w:val="00283A3E"/>
    <w:rsid w:val="002844F6"/>
    <w:rsid w:val="00286B49"/>
    <w:rsid w:val="002906BF"/>
    <w:rsid w:val="00290CF8"/>
    <w:rsid w:val="00291C12"/>
    <w:rsid w:val="002928D1"/>
    <w:rsid w:val="00292B8C"/>
    <w:rsid w:val="0029310E"/>
    <w:rsid w:val="00293276"/>
    <w:rsid w:val="00293E63"/>
    <w:rsid w:val="00295612"/>
    <w:rsid w:val="00296107"/>
    <w:rsid w:val="00296456"/>
    <w:rsid w:val="0029664C"/>
    <w:rsid w:val="002968CC"/>
    <w:rsid w:val="002970C5"/>
    <w:rsid w:val="00297245"/>
    <w:rsid w:val="002972A8"/>
    <w:rsid w:val="00297342"/>
    <w:rsid w:val="002A08C1"/>
    <w:rsid w:val="002A0F5C"/>
    <w:rsid w:val="002A19D8"/>
    <w:rsid w:val="002A1A51"/>
    <w:rsid w:val="002A27FC"/>
    <w:rsid w:val="002A280C"/>
    <w:rsid w:val="002A2F52"/>
    <w:rsid w:val="002A3452"/>
    <w:rsid w:val="002A46C9"/>
    <w:rsid w:val="002A6536"/>
    <w:rsid w:val="002A6D7D"/>
    <w:rsid w:val="002A72C0"/>
    <w:rsid w:val="002B0F71"/>
    <w:rsid w:val="002B1938"/>
    <w:rsid w:val="002B1946"/>
    <w:rsid w:val="002B35E4"/>
    <w:rsid w:val="002B4A18"/>
    <w:rsid w:val="002B5BB8"/>
    <w:rsid w:val="002B66E9"/>
    <w:rsid w:val="002B7759"/>
    <w:rsid w:val="002B77B3"/>
    <w:rsid w:val="002B79DC"/>
    <w:rsid w:val="002B7F5B"/>
    <w:rsid w:val="002B7FDE"/>
    <w:rsid w:val="002C0D7C"/>
    <w:rsid w:val="002C1408"/>
    <w:rsid w:val="002C1A16"/>
    <w:rsid w:val="002C298C"/>
    <w:rsid w:val="002C3C12"/>
    <w:rsid w:val="002C509B"/>
    <w:rsid w:val="002C5FA2"/>
    <w:rsid w:val="002C6696"/>
    <w:rsid w:val="002C6A7D"/>
    <w:rsid w:val="002C6B69"/>
    <w:rsid w:val="002C7C45"/>
    <w:rsid w:val="002C7E99"/>
    <w:rsid w:val="002D08ED"/>
    <w:rsid w:val="002D1317"/>
    <w:rsid w:val="002D1570"/>
    <w:rsid w:val="002D25C0"/>
    <w:rsid w:val="002D348B"/>
    <w:rsid w:val="002D3A3B"/>
    <w:rsid w:val="002D3C71"/>
    <w:rsid w:val="002D3D89"/>
    <w:rsid w:val="002D4725"/>
    <w:rsid w:val="002D523C"/>
    <w:rsid w:val="002D5735"/>
    <w:rsid w:val="002D6065"/>
    <w:rsid w:val="002D646A"/>
    <w:rsid w:val="002D6667"/>
    <w:rsid w:val="002D69CB"/>
    <w:rsid w:val="002D6E34"/>
    <w:rsid w:val="002D7DC9"/>
    <w:rsid w:val="002E18C2"/>
    <w:rsid w:val="002E1CA3"/>
    <w:rsid w:val="002E22FD"/>
    <w:rsid w:val="002E267C"/>
    <w:rsid w:val="002E2E56"/>
    <w:rsid w:val="002E30A1"/>
    <w:rsid w:val="002E36B3"/>
    <w:rsid w:val="002E3D60"/>
    <w:rsid w:val="002E4D0E"/>
    <w:rsid w:val="002E52D2"/>
    <w:rsid w:val="002E552C"/>
    <w:rsid w:val="002E5CC1"/>
    <w:rsid w:val="002E5DD0"/>
    <w:rsid w:val="002E7432"/>
    <w:rsid w:val="002E781E"/>
    <w:rsid w:val="002F11EA"/>
    <w:rsid w:val="002F1206"/>
    <w:rsid w:val="002F1775"/>
    <w:rsid w:val="002F2809"/>
    <w:rsid w:val="002F351A"/>
    <w:rsid w:val="002F4942"/>
    <w:rsid w:val="002F4C68"/>
    <w:rsid w:val="002F4F5E"/>
    <w:rsid w:val="002F56EC"/>
    <w:rsid w:val="002F66F9"/>
    <w:rsid w:val="002F6A65"/>
    <w:rsid w:val="002F7066"/>
    <w:rsid w:val="002F74A9"/>
    <w:rsid w:val="002F7BE1"/>
    <w:rsid w:val="00300304"/>
    <w:rsid w:val="00301038"/>
    <w:rsid w:val="00302BBB"/>
    <w:rsid w:val="00302C9E"/>
    <w:rsid w:val="003034A0"/>
    <w:rsid w:val="003045BD"/>
    <w:rsid w:val="00305FCF"/>
    <w:rsid w:val="0030682F"/>
    <w:rsid w:val="00306BF2"/>
    <w:rsid w:val="0030700A"/>
    <w:rsid w:val="00307F87"/>
    <w:rsid w:val="0031218E"/>
    <w:rsid w:val="0031270B"/>
    <w:rsid w:val="003130C8"/>
    <w:rsid w:val="003134BC"/>
    <w:rsid w:val="00313C43"/>
    <w:rsid w:val="0031406F"/>
    <w:rsid w:val="00314C2D"/>
    <w:rsid w:val="003152B7"/>
    <w:rsid w:val="00315783"/>
    <w:rsid w:val="00315E60"/>
    <w:rsid w:val="003162F3"/>
    <w:rsid w:val="0031668D"/>
    <w:rsid w:val="00316DE4"/>
    <w:rsid w:val="00316E68"/>
    <w:rsid w:val="00320602"/>
    <w:rsid w:val="00320CF3"/>
    <w:rsid w:val="003216AA"/>
    <w:rsid w:val="00321D57"/>
    <w:rsid w:val="003224AD"/>
    <w:rsid w:val="003240FA"/>
    <w:rsid w:val="00325A15"/>
    <w:rsid w:val="00327F42"/>
    <w:rsid w:val="00330149"/>
    <w:rsid w:val="00330224"/>
    <w:rsid w:val="0033031B"/>
    <w:rsid w:val="003313AB"/>
    <w:rsid w:val="00332FFB"/>
    <w:rsid w:val="00334017"/>
    <w:rsid w:val="00334562"/>
    <w:rsid w:val="00335571"/>
    <w:rsid w:val="00335993"/>
    <w:rsid w:val="0033715E"/>
    <w:rsid w:val="0033753A"/>
    <w:rsid w:val="0034020A"/>
    <w:rsid w:val="003411F0"/>
    <w:rsid w:val="00341777"/>
    <w:rsid w:val="00341D36"/>
    <w:rsid w:val="0034283C"/>
    <w:rsid w:val="00345A49"/>
    <w:rsid w:val="00346D20"/>
    <w:rsid w:val="003512CE"/>
    <w:rsid w:val="00351C67"/>
    <w:rsid w:val="0035257B"/>
    <w:rsid w:val="00352748"/>
    <w:rsid w:val="00353318"/>
    <w:rsid w:val="0035398F"/>
    <w:rsid w:val="00354A57"/>
    <w:rsid w:val="003557F4"/>
    <w:rsid w:val="003570F5"/>
    <w:rsid w:val="00360937"/>
    <w:rsid w:val="00360FF2"/>
    <w:rsid w:val="0036142E"/>
    <w:rsid w:val="0036183F"/>
    <w:rsid w:val="00361F92"/>
    <w:rsid w:val="00362961"/>
    <w:rsid w:val="0036325B"/>
    <w:rsid w:val="00363E49"/>
    <w:rsid w:val="00364118"/>
    <w:rsid w:val="003644F7"/>
    <w:rsid w:val="00365270"/>
    <w:rsid w:val="00365981"/>
    <w:rsid w:val="00365AC0"/>
    <w:rsid w:val="00365FD6"/>
    <w:rsid w:val="00366D51"/>
    <w:rsid w:val="003672E5"/>
    <w:rsid w:val="0036771C"/>
    <w:rsid w:val="00371575"/>
    <w:rsid w:val="00372BEA"/>
    <w:rsid w:val="00372F49"/>
    <w:rsid w:val="00373A1E"/>
    <w:rsid w:val="00373C71"/>
    <w:rsid w:val="003741CC"/>
    <w:rsid w:val="00375611"/>
    <w:rsid w:val="00375B6D"/>
    <w:rsid w:val="00377029"/>
    <w:rsid w:val="003779D5"/>
    <w:rsid w:val="00380765"/>
    <w:rsid w:val="003810BA"/>
    <w:rsid w:val="003814F8"/>
    <w:rsid w:val="00382158"/>
    <w:rsid w:val="003832DD"/>
    <w:rsid w:val="003834E5"/>
    <w:rsid w:val="00383A73"/>
    <w:rsid w:val="00383A7F"/>
    <w:rsid w:val="003851A9"/>
    <w:rsid w:val="003864B1"/>
    <w:rsid w:val="00387ABE"/>
    <w:rsid w:val="00390497"/>
    <w:rsid w:val="0039053D"/>
    <w:rsid w:val="003908B3"/>
    <w:rsid w:val="00390C0D"/>
    <w:rsid w:val="00391700"/>
    <w:rsid w:val="00392F76"/>
    <w:rsid w:val="0039393A"/>
    <w:rsid w:val="00393F27"/>
    <w:rsid w:val="00394454"/>
    <w:rsid w:val="003944C1"/>
    <w:rsid w:val="00394684"/>
    <w:rsid w:val="00394BA4"/>
    <w:rsid w:val="003956CC"/>
    <w:rsid w:val="003958B7"/>
    <w:rsid w:val="00396841"/>
    <w:rsid w:val="003974F8"/>
    <w:rsid w:val="003A06C7"/>
    <w:rsid w:val="003A13C3"/>
    <w:rsid w:val="003A1853"/>
    <w:rsid w:val="003A1CB4"/>
    <w:rsid w:val="003A2A8A"/>
    <w:rsid w:val="003A5C7A"/>
    <w:rsid w:val="003B19F4"/>
    <w:rsid w:val="003B1FCB"/>
    <w:rsid w:val="003B2F9A"/>
    <w:rsid w:val="003B342F"/>
    <w:rsid w:val="003B3B83"/>
    <w:rsid w:val="003B3E73"/>
    <w:rsid w:val="003B4AE8"/>
    <w:rsid w:val="003B58E0"/>
    <w:rsid w:val="003B5EAA"/>
    <w:rsid w:val="003B6C61"/>
    <w:rsid w:val="003C067F"/>
    <w:rsid w:val="003C18D4"/>
    <w:rsid w:val="003C2E7B"/>
    <w:rsid w:val="003C4259"/>
    <w:rsid w:val="003C4ADE"/>
    <w:rsid w:val="003C6CBE"/>
    <w:rsid w:val="003C752B"/>
    <w:rsid w:val="003C7809"/>
    <w:rsid w:val="003C7ABA"/>
    <w:rsid w:val="003D04C0"/>
    <w:rsid w:val="003D0A07"/>
    <w:rsid w:val="003D109B"/>
    <w:rsid w:val="003D1876"/>
    <w:rsid w:val="003D1C94"/>
    <w:rsid w:val="003D1CFC"/>
    <w:rsid w:val="003D1D43"/>
    <w:rsid w:val="003D204E"/>
    <w:rsid w:val="003D2272"/>
    <w:rsid w:val="003D3089"/>
    <w:rsid w:val="003D37D4"/>
    <w:rsid w:val="003D4B76"/>
    <w:rsid w:val="003D4F2B"/>
    <w:rsid w:val="003D5E68"/>
    <w:rsid w:val="003D6558"/>
    <w:rsid w:val="003D6762"/>
    <w:rsid w:val="003D7E9C"/>
    <w:rsid w:val="003E0459"/>
    <w:rsid w:val="003E0897"/>
    <w:rsid w:val="003E0963"/>
    <w:rsid w:val="003E1A84"/>
    <w:rsid w:val="003E27CA"/>
    <w:rsid w:val="003E2CD8"/>
    <w:rsid w:val="003E2D00"/>
    <w:rsid w:val="003E2DAA"/>
    <w:rsid w:val="003E374E"/>
    <w:rsid w:val="003E3EB7"/>
    <w:rsid w:val="003E416C"/>
    <w:rsid w:val="003E4E95"/>
    <w:rsid w:val="003E52CB"/>
    <w:rsid w:val="003E5551"/>
    <w:rsid w:val="003E5680"/>
    <w:rsid w:val="003E669D"/>
    <w:rsid w:val="003E7671"/>
    <w:rsid w:val="003E7B75"/>
    <w:rsid w:val="003F042C"/>
    <w:rsid w:val="003F13B4"/>
    <w:rsid w:val="003F154F"/>
    <w:rsid w:val="003F15C3"/>
    <w:rsid w:val="003F1714"/>
    <w:rsid w:val="003F1DA5"/>
    <w:rsid w:val="003F4633"/>
    <w:rsid w:val="003F4659"/>
    <w:rsid w:val="003F4D8F"/>
    <w:rsid w:val="003F54A1"/>
    <w:rsid w:val="003F61F0"/>
    <w:rsid w:val="003F62D8"/>
    <w:rsid w:val="003F67FA"/>
    <w:rsid w:val="003F6EE9"/>
    <w:rsid w:val="0040013B"/>
    <w:rsid w:val="00401A87"/>
    <w:rsid w:val="00402307"/>
    <w:rsid w:val="00402E2F"/>
    <w:rsid w:val="004031AF"/>
    <w:rsid w:val="004033A3"/>
    <w:rsid w:val="004041CC"/>
    <w:rsid w:val="00405CEC"/>
    <w:rsid w:val="00406467"/>
    <w:rsid w:val="00406CC6"/>
    <w:rsid w:val="00407E99"/>
    <w:rsid w:val="00410246"/>
    <w:rsid w:val="00410B7C"/>
    <w:rsid w:val="004114C0"/>
    <w:rsid w:val="00411CDF"/>
    <w:rsid w:val="004126B7"/>
    <w:rsid w:val="00412828"/>
    <w:rsid w:val="0041342F"/>
    <w:rsid w:val="00414015"/>
    <w:rsid w:val="00414651"/>
    <w:rsid w:val="00416005"/>
    <w:rsid w:val="004161A6"/>
    <w:rsid w:val="004178CB"/>
    <w:rsid w:val="004205BE"/>
    <w:rsid w:val="0042067D"/>
    <w:rsid w:val="00420E1D"/>
    <w:rsid w:val="00420E2D"/>
    <w:rsid w:val="0042102B"/>
    <w:rsid w:val="00421B00"/>
    <w:rsid w:val="00421CDB"/>
    <w:rsid w:val="00423452"/>
    <w:rsid w:val="004238A4"/>
    <w:rsid w:val="004247C3"/>
    <w:rsid w:val="004252CA"/>
    <w:rsid w:val="0042663E"/>
    <w:rsid w:val="00426E0E"/>
    <w:rsid w:val="00427105"/>
    <w:rsid w:val="00427C8F"/>
    <w:rsid w:val="00430C65"/>
    <w:rsid w:val="004317C3"/>
    <w:rsid w:val="00431860"/>
    <w:rsid w:val="00431A17"/>
    <w:rsid w:val="00431B02"/>
    <w:rsid w:val="00431C8D"/>
    <w:rsid w:val="004325A5"/>
    <w:rsid w:val="00432819"/>
    <w:rsid w:val="00432CEE"/>
    <w:rsid w:val="00433BCB"/>
    <w:rsid w:val="00434274"/>
    <w:rsid w:val="0043456A"/>
    <w:rsid w:val="00434B8B"/>
    <w:rsid w:val="00437746"/>
    <w:rsid w:val="00437839"/>
    <w:rsid w:val="00437AAB"/>
    <w:rsid w:val="00441617"/>
    <w:rsid w:val="004419F5"/>
    <w:rsid w:val="004434E2"/>
    <w:rsid w:val="0044369A"/>
    <w:rsid w:val="00443911"/>
    <w:rsid w:val="00444180"/>
    <w:rsid w:val="00444969"/>
    <w:rsid w:val="00444D5B"/>
    <w:rsid w:val="0044504D"/>
    <w:rsid w:val="004455B9"/>
    <w:rsid w:val="00445DE5"/>
    <w:rsid w:val="0044600C"/>
    <w:rsid w:val="004461CF"/>
    <w:rsid w:val="0044638B"/>
    <w:rsid w:val="00447220"/>
    <w:rsid w:val="00447C2A"/>
    <w:rsid w:val="00450612"/>
    <w:rsid w:val="00450D55"/>
    <w:rsid w:val="00451671"/>
    <w:rsid w:val="004526A6"/>
    <w:rsid w:val="004526DE"/>
    <w:rsid w:val="004526E3"/>
    <w:rsid w:val="004547ED"/>
    <w:rsid w:val="0045626E"/>
    <w:rsid w:val="00456A6C"/>
    <w:rsid w:val="00456B99"/>
    <w:rsid w:val="00456C64"/>
    <w:rsid w:val="004579D9"/>
    <w:rsid w:val="004605E7"/>
    <w:rsid w:val="004622D6"/>
    <w:rsid w:val="004639E2"/>
    <w:rsid w:val="00464FDF"/>
    <w:rsid w:val="0046553B"/>
    <w:rsid w:val="00465CB4"/>
    <w:rsid w:val="004660E8"/>
    <w:rsid w:val="00466340"/>
    <w:rsid w:val="00466A30"/>
    <w:rsid w:val="00466AAE"/>
    <w:rsid w:val="00467DC5"/>
    <w:rsid w:val="00470E7C"/>
    <w:rsid w:val="00470EB3"/>
    <w:rsid w:val="00472511"/>
    <w:rsid w:val="004736CA"/>
    <w:rsid w:val="00473ADF"/>
    <w:rsid w:val="00473D44"/>
    <w:rsid w:val="00474806"/>
    <w:rsid w:val="0047520D"/>
    <w:rsid w:val="00475435"/>
    <w:rsid w:val="00476493"/>
    <w:rsid w:val="00476A6E"/>
    <w:rsid w:val="00476C84"/>
    <w:rsid w:val="00476DF9"/>
    <w:rsid w:val="004773D5"/>
    <w:rsid w:val="0048014E"/>
    <w:rsid w:val="00480B1F"/>
    <w:rsid w:val="00480C13"/>
    <w:rsid w:val="00480CC6"/>
    <w:rsid w:val="004813A4"/>
    <w:rsid w:val="00482693"/>
    <w:rsid w:val="004826CC"/>
    <w:rsid w:val="00483FE9"/>
    <w:rsid w:val="00484456"/>
    <w:rsid w:val="00484642"/>
    <w:rsid w:val="004847FF"/>
    <w:rsid w:val="00485231"/>
    <w:rsid w:val="004859A2"/>
    <w:rsid w:val="0049033A"/>
    <w:rsid w:val="004928BA"/>
    <w:rsid w:val="00492CBB"/>
    <w:rsid w:val="0049340F"/>
    <w:rsid w:val="004945BA"/>
    <w:rsid w:val="0049488B"/>
    <w:rsid w:val="00494F12"/>
    <w:rsid w:val="004953D5"/>
    <w:rsid w:val="00495D9C"/>
    <w:rsid w:val="004963F6"/>
    <w:rsid w:val="004A00DB"/>
    <w:rsid w:val="004A111F"/>
    <w:rsid w:val="004A1FF4"/>
    <w:rsid w:val="004A210B"/>
    <w:rsid w:val="004A2CD9"/>
    <w:rsid w:val="004A35AD"/>
    <w:rsid w:val="004A3697"/>
    <w:rsid w:val="004A3835"/>
    <w:rsid w:val="004A66FC"/>
    <w:rsid w:val="004A7F1C"/>
    <w:rsid w:val="004B0C04"/>
    <w:rsid w:val="004B211C"/>
    <w:rsid w:val="004B303C"/>
    <w:rsid w:val="004B3CC9"/>
    <w:rsid w:val="004B4058"/>
    <w:rsid w:val="004B4764"/>
    <w:rsid w:val="004B4881"/>
    <w:rsid w:val="004B48D8"/>
    <w:rsid w:val="004B4A36"/>
    <w:rsid w:val="004B51C1"/>
    <w:rsid w:val="004B5D6B"/>
    <w:rsid w:val="004B6A0E"/>
    <w:rsid w:val="004C01DC"/>
    <w:rsid w:val="004C0AA3"/>
    <w:rsid w:val="004C14D5"/>
    <w:rsid w:val="004C1A28"/>
    <w:rsid w:val="004C262D"/>
    <w:rsid w:val="004C36E0"/>
    <w:rsid w:val="004C3809"/>
    <w:rsid w:val="004C3E0F"/>
    <w:rsid w:val="004C3E26"/>
    <w:rsid w:val="004C3FD8"/>
    <w:rsid w:val="004C4098"/>
    <w:rsid w:val="004C6F64"/>
    <w:rsid w:val="004C70A8"/>
    <w:rsid w:val="004C723A"/>
    <w:rsid w:val="004C7CFD"/>
    <w:rsid w:val="004D0619"/>
    <w:rsid w:val="004D1282"/>
    <w:rsid w:val="004D145B"/>
    <w:rsid w:val="004D1AE3"/>
    <w:rsid w:val="004D2348"/>
    <w:rsid w:val="004D393C"/>
    <w:rsid w:val="004D41D0"/>
    <w:rsid w:val="004D4219"/>
    <w:rsid w:val="004D42C4"/>
    <w:rsid w:val="004D4A12"/>
    <w:rsid w:val="004D4A39"/>
    <w:rsid w:val="004D4D24"/>
    <w:rsid w:val="004D5B1A"/>
    <w:rsid w:val="004D5C06"/>
    <w:rsid w:val="004D72C4"/>
    <w:rsid w:val="004D72E4"/>
    <w:rsid w:val="004D77C1"/>
    <w:rsid w:val="004E0011"/>
    <w:rsid w:val="004E09D3"/>
    <w:rsid w:val="004E0E97"/>
    <w:rsid w:val="004E0ECF"/>
    <w:rsid w:val="004E0F73"/>
    <w:rsid w:val="004E18D7"/>
    <w:rsid w:val="004E23C0"/>
    <w:rsid w:val="004E3BA0"/>
    <w:rsid w:val="004E3CE3"/>
    <w:rsid w:val="004E4661"/>
    <w:rsid w:val="004E4804"/>
    <w:rsid w:val="004E525F"/>
    <w:rsid w:val="004E5360"/>
    <w:rsid w:val="004F03BE"/>
    <w:rsid w:val="004F0A75"/>
    <w:rsid w:val="004F10CF"/>
    <w:rsid w:val="004F2BC0"/>
    <w:rsid w:val="004F3120"/>
    <w:rsid w:val="004F34BA"/>
    <w:rsid w:val="004F36B1"/>
    <w:rsid w:val="004F44B2"/>
    <w:rsid w:val="004F4DBB"/>
    <w:rsid w:val="004F6808"/>
    <w:rsid w:val="004F76F9"/>
    <w:rsid w:val="004F772A"/>
    <w:rsid w:val="004F7939"/>
    <w:rsid w:val="004F7A0B"/>
    <w:rsid w:val="005005DD"/>
    <w:rsid w:val="00501DA9"/>
    <w:rsid w:val="00502404"/>
    <w:rsid w:val="005025D0"/>
    <w:rsid w:val="0050276E"/>
    <w:rsid w:val="005029AC"/>
    <w:rsid w:val="00503627"/>
    <w:rsid w:val="00503EF4"/>
    <w:rsid w:val="0050433A"/>
    <w:rsid w:val="0050529C"/>
    <w:rsid w:val="00505969"/>
    <w:rsid w:val="0050632D"/>
    <w:rsid w:val="0050671B"/>
    <w:rsid w:val="00506A1B"/>
    <w:rsid w:val="00506F59"/>
    <w:rsid w:val="00507A5C"/>
    <w:rsid w:val="00507B70"/>
    <w:rsid w:val="005100F5"/>
    <w:rsid w:val="005120C3"/>
    <w:rsid w:val="0051284D"/>
    <w:rsid w:val="00512BEB"/>
    <w:rsid w:val="00513ABB"/>
    <w:rsid w:val="00514255"/>
    <w:rsid w:val="00514377"/>
    <w:rsid w:val="005144ED"/>
    <w:rsid w:val="00515849"/>
    <w:rsid w:val="00515C13"/>
    <w:rsid w:val="00515DD3"/>
    <w:rsid w:val="00517039"/>
    <w:rsid w:val="00517502"/>
    <w:rsid w:val="00520012"/>
    <w:rsid w:val="00520A50"/>
    <w:rsid w:val="00520F18"/>
    <w:rsid w:val="00521045"/>
    <w:rsid w:val="00521B35"/>
    <w:rsid w:val="005225B3"/>
    <w:rsid w:val="0052487D"/>
    <w:rsid w:val="00524971"/>
    <w:rsid w:val="00525DC6"/>
    <w:rsid w:val="0052601B"/>
    <w:rsid w:val="00527504"/>
    <w:rsid w:val="00527BE3"/>
    <w:rsid w:val="00527DA3"/>
    <w:rsid w:val="00530DDC"/>
    <w:rsid w:val="00532383"/>
    <w:rsid w:val="00532622"/>
    <w:rsid w:val="00533C85"/>
    <w:rsid w:val="005342AC"/>
    <w:rsid w:val="005360B3"/>
    <w:rsid w:val="005360C8"/>
    <w:rsid w:val="005378B3"/>
    <w:rsid w:val="00537BD4"/>
    <w:rsid w:val="00540517"/>
    <w:rsid w:val="00540651"/>
    <w:rsid w:val="00541509"/>
    <w:rsid w:val="005417CC"/>
    <w:rsid w:val="005420EF"/>
    <w:rsid w:val="00543C29"/>
    <w:rsid w:val="005454D9"/>
    <w:rsid w:val="005463AD"/>
    <w:rsid w:val="005478FC"/>
    <w:rsid w:val="00547BBE"/>
    <w:rsid w:val="00550F8D"/>
    <w:rsid w:val="00550FF3"/>
    <w:rsid w:val="00551729"/>
    <w:rsid w:val="005519A0"/>
    <w:rsid w:val="00551D63"/>
    <w:rsid w:val="00551E96"/>
    <w:rsid w:val="00552316"/>
    <w:rsid w:val="005524BD"/>
    <w:rsid w:val="00552C94"/>
    <w:rsid w:val="005531BB"/>
    <w:rsid w:val="005535BB"/>
    <w:rsid w:val="005536BB"/>
    <w:rsid w:val="00553A62"/>
    <w:rsid w:val="005548C5"/>
    <w:rsid w:val="00555138"/>
    <w:rsid w:val="00555198"/>
    <w:rsid w:val="00555FD0"/>
    <w:rsid w:val="00556009"/>
    <w:rsid w:val="00557474"/>
    <w:rsid w:val="00557CB7"/>
    <w:rsid w:val="00557D1F"/>
    <w:rsid w:val="0056016F"/>
    <w:rsid w:val="00560689"/>
    <w:rsid w:val="00560D57"/>
    <w:rsid w:val="0056117F"/>
    <w:rsid w:val="00562854"/>
    <w:rsid w:val="0056287B"/>
    <w:rsid w:val="00562B50"/>
    <w:rsid w:val="0056316D"/>
    <w:rsid w:val="00563362"/>
    <w:rsid w:val="00563FF5"/>
    <w:rsid w:val="00565193"/>
    <w:rsid w:val="005651F8"/>
    <w:rsid w:val="00565DA0"/>
    <w:rsid w:val="00566018"/>
    <w:rsid w:val="0056762E"/>
    <w:rsid w:val="00567F59"/>
    <w:rsid w:val="00570423"/>
    <w:rsid w:val="005708D7"/>
    <w:rsid w:val="00571360"/>
    <w:rsid w:val="005719E6"/>
    <w:rsid w:val="00572A93"/>
    <w:rsid w:val="00572FFB"/>
    <w:rsid w:val="00573270"/>
    <w:rsid w:val="00573351"/>
    <w:rsid w:val="005742DE"/>
    <w:rsid w:val="0057473F"/>
    <w:rsid w:val="00574D41"/>
    <w:rsid w:val="0057628C"/>
    <w:rsid w:val="0057721D"/>
    <w:rsid w:val="00577654"/>
    <w:rsid w:val="00580C0B"/>
    <w:rsid w:val="00582962"/>
    <w:rsid w:val="00582CD8"/>
    <w:rsid w:val="00582FFB"/>
    <w:rsid w:val="005832AB"/>
    <w:rsid w:val="00583A9C"/>
    <w:rsid w:val="00583D79"/>
    <w:rsid w:val="00585E66"/>
    <w:rsid w:val="005866DD"/>
    <w:rsid w:val="00586DCC"/>
    <w:rsid w:val="005876FA"/>
    <w:rsid w:val="0059079E"/>
    <w:rsid w:val="005916FA"/>
    <w:rsid w:val="00591BB3"/>
    <w:rsid w:val="00591F65"/>
    <w:rsid w:val="005923C1"/>
    <w:rsid w:val="005944E6"/>
    <w:rsid w:val="00595237"/>
    <w:rsid w:val="005955DF"/>
    <w:rsid w:val="00595DEC"/>
    <w:rsid w:val="00595EF4"/>
    <w:rsid w:val="005962DA"/>
    <w:rsid w:val="00597B3D"/>
    <w:rsid w:val="005A1600"/>
    <w:rsid w:val="005A2DB2"/>
    <w:rsid w:val="005A30C3"/>
    <w:rsid w:val="005A3784"/>
    <w:rsid w:val="005A3A3A"/>
    <w:rsid w:val="005A3F35"/>
    <w:rsid w:val="005A52A0"/>
    <w:rsid w:val="005A655D"/>
    <w:rsid w:val="005A7855"/>
    <w:rsid w:val="005A795A"/>
    <w:rsid w:val="005B0B1C"/>
    <w:rsid w:val="005B0FAE"/>
    <w:rsid w:val="005B11E7"/>
    <w:rsid w:val="005B148C"/>
    <w:rsid w:val="005B25E4"/>
    <w:rsid w:val="005B49B2"/>
    <w:rsid w:val="005B6731"/>
    <w:rsid w:val="005B6760"/>
    <w:rsid w:val="005B6ABF"/>
    <w:rsid w:val="005B73E9"/>
    <w:rsid w:val="005C08CC"/>
    <w:rsid w:val="005C296A"/>
    <w:rsid w:val="005C4533"/>
    <w:rsid w:val="005C5747"/>
    <w:rsid w:val="005C6579"/>
    <w:rsid w:val="005C6846"/>
    <w:rsid w:val="005C7D92"/>
    <w:rsid w:val="005D10DF"/>
    <w:rsid w:val="005D2347"/>
    <w:rsid w:val="005D243A"/>
    <w:rsid w:val="005D2F2A"/>
    <w:rsid w:val="005D32AC"/>
    <w:rsid w:val="005D37AF"/>
    <w:rsid w:val="005D3BCA"/>
    <w:rsid w:val="005D4169"/>
    <w:rsid w:val="005D4895"/>
    <w:rsid w:val="005D6A8F"/>
    <w:rsid w:val="005D7D2B"/>
    <w:rsid w:val="005E0B7A"/>
    <w:rsid w:val="005E124B"/>
    <w:rsid w:val="005E21D6"/>
    <w:rsid w:val="005E2E90"/>
    <w:rsid w:val="005E3C24"/>
    <w:rsid w:val="005E3FD4"/>
    <w:rsid w:val="005E4A9D"/>
    <w:rsid w:val="005E4AB3"/>
    <w:rsid w:val="005E4AD2"/>
    <w:rsid w:val="005E4DAC"/>
    <w:rsid w:val="005E54FC"/>
    <w:rsid w:val="005E66D2"/>
    <w:rsid w:val="005E6F40"/>
    <w:rsid w:val="005E749B"/>
    <w:rsid w:val="005F1565"/>
    <w:rsid w:val="005F1676"/>
    <w:rsid w:val="005F1AB2"/>
    <w:rsid w:val="005F212D"/>
    <w:rsid w:val="005F3D89"/>
    <w:rsid w:val="005F450A"/>
    <w:rsid w:val="005F494D"/>
    <w:rsid w:val="005F50A1"/>
    <w:rsid w:val="005F5F8E"/>
    <w:rsid w:val="005F5FE3"/>
    <w:rsid w:val="005F5FFD"/>
    <w:rsid w:val="005F6216"/>
    <w:rsid w:val="005F73CC"/>
    <w:rsid w:val="006002D2"/>
    <w:rsid w:val="006003F3"/>
    <w:rsid w:val="006007F2"/>
    <w:rsid w:val="00601304"/>
    <w:rsid w:val="00601474"/>
    <w:rsid w:val="006015FD"/>
    <w:rsid w:val="00602057"/>
    <w:rsid w:val="0060212D"/>
    <w:rsid w:val="006021B2"/>
    <w:rsid w:val="006029D8"/>
    <w:rsid w:val="00602D0E"/>
    <w:rsid w:val="006044D9"/>
    <w:rsid w:val="00604A6C"/>
    <w:rsid w:val="00606746"/>
    <w:rsid w:val="0060780C"/>
    <w:rsid w:val="00607B02"/>
    <w:rsid w:val="006116CE"/>
    <w:rsid w:val="00611B7C"/>
    <w:rsid w:val="006121F4"/>
    <w:rsid w:val="006125B6"/>
    <w:rsid w:val="00612AC4"/>
    <w:rsid w:val="0061429B"/>
    <w:rsid w:val="0061469D"/>
    <w:rsid w:val="006156A0"/>
    <w:rsid w:val="0061606A"/>
    <w:rsid w:val="006165CC"/>
    <w:rsid w:val="0061689B"/>
    <w:rsid w:val="00616CF3"/>
    <w:rsid w:val="00620880"/>
    <w:rsid w:val="00621447"/>
    <w:rsid w:val="0062214B"/>
    <w:rsid w:val="00622559"/>
    <w:rsid w:val="0062278A"/>
    <w:rsid w:val="00624279"/>
    <w:rsid w:val="00624BD8"/>
    <w:rsid w:val="00624E37"/>
    <w:rsid w:val="00625548"/>
    <w:rsid w:val="00626554"/>
    <w:rsid w:val="00626D7C"/>
    <w:rsid w:val="00627018"/>
    <w:rsid w:val="0063099F"/>
    <w:rsid w:val="00631FC2"/>
    <w:rsid w:val="0063250E"/>
    <w:rsid w:val="00632B98"/>
    <w:rsid w:val="00632E80"/>
    <w:rsid w:val="006334DC"/>
    <w:rsid w:val="0063490E"/>
    <w:rsid w:val="00635EA7"/>
    <w:rsid w:val="00637FC1"/>
    <w:rsid w:val="00641D8F"/>
    <w:rsid w:val="006429BC"/>
    <w:rsid w:val="00642C0D"/>
    <w:rsid w:val="00642E73"/>
    <w:rsid w:val="00643059"/>
    <w:rsid w:val="00643889"/>
    <w:rsid w:val="00643E2C"/>
    <w:rsid w:val="00644320"/>
    <w:rsid w:val="00645E89"/>
    <w:rsid w:val="00645FDE"/>
    <w:rsid w:val="0064652F"/>
    <w:rsid w:val="006500EF"/>
    <w:rsid w:val="0065087A"/>
    <w:rsid w:val="006516E6"/>
    <w:rsid w:val="006527D8"/>
    <w:rsid w:val="006527E0"/>
    <w:rsid w:val="00653393"/>
    <w:rsid w:val="00653A92"/>
    <w:rsid w:val="00653C30"/>
    <w:rsid w:val="00655111"/>
    <w:rsid w:val="00655C45"/>
    <w:rsid w:val="006566D6"/>
    <w:rsid w:val="006573DE"/>
    <w:rsid w:val="006577A5"/>
    <w:rsid w:val="00661C32"/>
    <w:rsid w:val="00661DD6"/>
    <w:rsid w:val="00662286"/>
    <w:rsid w:val="00662747"/>
    <w:rsid w:val="00662AA1"/>
    <w:rsid w:val="00662E39"/>
    <w:rsid w:val="00662EF0"/>
    <w:rsid w:val="00663099"/>
    <w:rsid w:val="0066311D"/>
    <w:rsid w:val="006636F6"/>
    <w:rsid w:val="00663C98"/>
    <w:rsid w:val="00665465"/>
    <w:rsid w:val="00666CC8"/>
    <w:rsid w:val="00667387"/>
    <w:rsid w:val="006674D7"/>
    <w:rsid w:val="00667D90"/>
    <w:rsid w:val="00670323"/>
    <w:rsid w:val="00671BC9"/>
    <w:rsid w:val="00673A41"/>
    <w:rsid w:val="00674810"/>
    <w:rsid w:val="00674FA1"/>
    <w:rsid w:val="0067748F"/>
    <w:rsid w:val="006801C0"/>
    <w:rsid w:val="00680CA8"/>
    <w:rsid w:val="00680D22"/>
    <w:rsid w:val="006815F4"/>
    <w:rsid w:val="00681F19"/>
    <w:rsid w:val="00682304"/>
    <w:rsid w:val="00682DA9"/>
    <w:rsid w:val="0068349D"/>
    <w:rsid w:val="00684EFD"/>
    <w:rsid w:val="00691074"/>
    <w:rsid w:val="006912F3"/>
    <w:rsid w:val="0069196D"/>
    <w:rsid w:val="006919C8"/>
    <w:rsid w:val="0069205C"/>
    <w:rsid w:val="0069229D"/>
    <w:rsid w:val="00693255"/>
    <w:rsid w:val="006942FE"/>
    <w:rsid w:val="0069435A"/>
    <w:rsid w:val="006947E3"/>
    <w:rsid w:val="00694E6F"/>
    <w:rsid w:val="0069623A"/>
    <w:rsid w:val="00696485"/>
    <w:rsid w:val="00696DA9"/>
    <w:rsid w:val="006976ED"/>
    <w:rsid w:val="006A0179"/>
    <w:rsid w:val="006A0B2E"/>
    <w:rsid w:val="006A5004"/>
    <w:rsid w:val="006A5646"/>
    <w:rsid w:val="006A64DE"/>
    <w:rsid w:val="006A67CA"/>
    <w:rsid w:val="006A6B01"/>
    <w:rsid w:val="006A71E1"/>
    <w:rsid w:val="006A7F4E"/>
    <w:rsid w:val="006B02F8"/>
    <w:rsid w:val="006B04A7"/>
    <w:rsid w:val="006B08BA"/>
    <w:rsid w:val="006B103F"/>
    <w:rsid w:val="006B2512"/>
    <w:rsid w:val="006B3297"/>
    <w:rsid w:val="006B434A"/>
    <w:rsid w:val="006B49B7"/>
    <w:rsid w:val="006B5905"/>
    <w:rsid w:val="006B705C"/>
    <w:rsid w:val="006B7562"/>
    <w:rsid w:val="006B7C59"/>
    <w:rsid w:val="006C6861"/>
    <w:rsid w:val="006C7AFC"/>
    <w:rsid w:val="006C7B29"/>
    <w:rsid w:val="006D028F"/>
    <w:rsid w:val="006D0495"/>
    <w:rsid w:val="006D07C5"/>
    <w:rsid w:val="006D0C22"/>
    <w:rsid w:val="006D18ED"/>
    <w:rsid w:val="006D520A"/>
    <w:rsid w:val="006D5BC5"/>
    <w:rsid w:val="006D723F"/>
    <w:rsid w:val="006D7EF9"/>
    <w:rsid w:val="006E00CE"/>
    <w:rsid w:val="006E0D6E"/>
    <w:rsid w:val="006E1E33"/>
    <w:rsid w:val="006E25CF"/>
    <w:rsid w:val="006E34EE"/>
    <w:rsid w:val="006E3ADA"/>
    <w:rsid w:val="006E3C9A"/>
    <w:rsid w:val="006E4A2A"/>
    <w:rsid w:val="006E4D71"/>
    <w:rsid w:val="006E4D9D"/>
    <w:rsid w:val="006E58F5"/>
    <w:rsid w:val="006E598D"/>
    <w:rsid w:val="006E60E5"/>
    <w:rsid w:val="006E7138"/>
    <w:rsid w:val="006F0167"/>
    <w:rsid w:val="006F04F3"/>
    <w:rsid w:val="006F17A2"/>
    <w:rsid w:val="006F199C"/>
    <w:rsid w:val="006F1DEF"/>
    <w:rsid w:val="006F2BEB"/>
    <w:rsid w:val="006F41F5"/>
    <w:rsid w:val="006F4A56"/>
    <w:rsid w:val="006F4FA3"/>
    <w:rsid w:val="006F5664"/>
    <w:rsid w:val="006F5A63"/>
    <w:rsid w:val="006F5B56"/>
    <w:rsid w:val="006F5BA6"/>
    <w:rsid w:val="006F7868"/>
    <w:rsid w:val="0070028F"/>
    <w:rsid w:val="00700816"/>
    <w:rsid w:val="00701B07"/>
    <w:rsid w:val="0070393D"/>
    <w:rsid w:val="00703E2B"/>
    <w:rsid w:val="00703FC7"/>
    <w:rsid w:val="00703FEE"/>
    <w:rsid w:val="00705597"/>
    <w:rsid w:val="0070591C"/>
    <w:rsid w:val="00705F4A"/>
    <w:rsid w:val="007062DA"/>
    <w:rsid w:val="00706F77"/>
    <w:rsid w:val="00707558"/>
    <w:rsid w:val="00707CA8"/>
    <w:rsid w:val="007111E3"/>
    <w:rsid w:val="007112B6"/>
    <w:rsid w:val="00711620"/>
    <w:rsid w:val="00711D33"/>
    <w:rsid w:val="00711EF2"/>
    <w:rsid w:val="00713526"/>
    <w:rsid w:val="0071354A"/>
    <w:rsid w:val="00714E7C"/>
    <w:rsid w:val="00716F9A"/>
    <w:rsid w:val="007215B5"/>
    <w:rsid w:val="0072196A"/>
    <w:rsid w:val="00722848"/>
    <w:rsid w:val="00722BFE"/>
    <w:rsid w:val="0072480D"/>
    <w:rsid w:val="00724BE1"/>
    <w:rsid w:val="0072720A"/>
    <w:rsid w:val="0073112E"/>
    <w:rsid w:val="007316CF"/>
    <w:rsid w:val="0073280B"/>
    <w:rsid w:val="00732E16"/>
    <w:rsid w:val="0073389E"/>
    <w:rsid w:val="00733E33"/>
    <w:rsid w:val="0074165D"/>
    <w:rsid w:val="00743090"/>
    <w:rsid w:val="00743C8A"/>
    <w:rsid w:val="00743D36"/>
    <w:rsid w:val="00744D47"/>
    <w:rsid w:val="00744D8E"/>
    <w:rsid w:val="00746763"/>
    <w:rsid w:val="00747063"/>
    <w:rsid w:val="007479EA"/>
    <w:rsid w:val="007507CE"/>
    <w:rsid w:val="00750F68"/>
    <w:rsid w:val="0075150F"/>
    <w:rsid w:val="00751F46"/>
    <w:rsid w:val="00752F03"/>
    <w:rsid w:val="00753117"/>
    <w:rsid w:val="0075376F"/>
    <w:rsid w:val="00755721"/>
    <w:rsid w:val="00755FC9"/>
    <w:rsid w:val="00756D01"/>
    <w:rsid w:val="00757761"/>
    <w:rsid w:val="00757C56"/>
    <w:rsid w:val="0076006E"/>
    <w:rsid w:val="007613CB"/>
    <w:rsid w:val="00761AA9"/>
    <w:rsid w:val="00761DFC"/>
    <w:rsid w:val="007624EB"/>
    <w:rsid w:val="00762FD9"/>
    <w:rsid w:val="007638DB"/>
    <w:rsid w:val="007638E3"/>
    <w:rsid w:val="00764DB9"/>
    <w:rsid w:val="00765147"/>
    <w:rsid w:val="00766D5E"/>
    <w:rsid w:val="00766E92"/>
    <w:rsid w:val="007671D1"/>
    <w:rsid w:val="00771264"/>
    <w:rsid w:val="007717B1"/>
    <w:rsid w:val="0077239A"/>
    <w:rsid w:val="00772B67"/>
    <w:rsid w:val="0077385E"/>
    <w:rsid w:val="0077442B"/>
    <w:rsid w:val="00774583"/>
    <w:rsid w:val="00774D6A"/>
    <w:rsid w:val="00775669"/>
    <w:rsid w:val="00775776"/>
    <w:rsid w:val="00775FF6"/>
    <w:rsid w:val="007765E4"/>
    <w:rsid w:val="007770A7"/>
    <w:rsid w:val="007774C6"/>
    <w:rsid w:val="0078041D"/>
    <w:rsid w:val="00781393"/>
    <w:rsid w:val="007818B3"/>
    <w:rsid w:val="00782DFE"/>
    <w:rsid w:val="00786971"/>
    <w:rsid w:val="00786B22"/>
    <w:rsid w:val="0078705E"/>
    <w:rsid w:val="00787B90"/>
    <w:rsid w:val="00787F60"/>
    <w:rsid w:val="00790EDA"/>
    <w:rsid w:val="007911A9"/>
    <w:rsid w:val="0079309A"/>
    <w:rsid w:val="00793C7F"/>
    <w:rsid w:val="007941C9"/>
    <w:rsid w:val="007949B2"/>
    <w:rsid w:val="00794E5F"/>
    <w:rsid w:val="00794F0B"/>
    <w:rsid w:val="007A021D"/>
    <w:rsid w:val="007A07F5"/>
    <w:rsid w:val="007A08A1"/>
    <w:rsid w:val="007A1F6F"/>
    <w:rsid w:val="007A314F"/>
    <w:rsid w:val="007A4325"/>
    <w:rsid w:val="007A4FF7"/>
    <w:rsid w:val="007A542A"/>
    <w:rsid w:val="007A56B5"/>
    <w:rsid w:val="007A63CA"/>
    <w:rsid w:val="007A65FC"/>
    <w:rsid w:val="007A73FF"/>
    <w:rsid w:val="007B0C61"/>
    <w:rsid w:val="007B11FA"/>
    <w:rsid w:val="007B168A"/>
    <w:rsid w:val="007B2232"/>
    <w:rsid w:val="007B335E"/>
    <w:rsid w:val="007B3D4E"/>
    <w:rsid w:val="007B4AD3"/>
    <w:rsid w:val="007B4EA6"/>
    <w:rsid w:val="007B5CEF"/>
    <w:rsid w:val="007B5D3B"/>
    <w:rsid w:val="007B63A4"/>
    <w:rsid w:val="007B6D7D"/>
    <w:rsid w:val="007C0AB3"/>
    <w:rsid w:val="007C1058"/>
    <w:rsid w:val="007C1180"/>
    <w:rsid w:val="007C33F6"/>
    <w:rsid w:val="007C3A10"/>
    <w:rsid w:val="007C4420"/>
    <w:rsid w:val="007C7D5E"/>
    <w:rsid w:val="007C7EAD"/>
    <w:rsid w:val="007D0716"/>
    <w:rsid w:val="007D0BF8"/>
    <w:rsid w:val="007D2300"/>
    <w:rsid w:val="007D23E3"/>
    <w:rsid w:val="007D2E99"/>
    <w:rsid w:val="007D2ED8"/>
    <w:rsid w:val="007D30E8"/>
    <w:rsid w:val="007D4059"/>
    <w:rsid w:val="007D4627"/>
    <w:rsid w:val="007D47A5"/>
    <w:rsid w:val="007D6C9C"/>
    <w:rsid w:val="007D765E"/>
    <w:rsid w:val="007E061E"/>
    <w:rsid w:val="007E089E"/>
    <w:rsid w:val="007E0971"/>
    <w:rsid w:val="007E113B"/>
    <w:rsid w:val="007E2343"/>
    <w:rsid w:val="007E2852"/>
    <w:rsid w:val="007E2A41"/>
    <w:rsid w:val="007E471E"/>
    <w:rsid w:val="007E5D47"/>
    <w:rsid w:val="007E5D9D"/>
    <w:rsid w:val="007E6060"/>
    <w:rsid w:val="007E720F"/>
    <w:rsid w:val="007F0790"/>
    <w:rsid w:val="007F13A3"/>
    <w:rsid w:val="007F25AA"/>
    <w:rsid w:val="007F2CE7"/>
    <w:rsid w:val="007F2FC2"/>
    <w:rsid w:val="007F308E"/>
    <w:rsid w:val="007F33C8"/>
    <w:rsid w:val="007F363A"/>
    <w:rsid w:val="007F3BCF"/>
    <w:rsid w:val="007F4DA4"/>
    <w:rsid w:val="007F59C0"/>
    <w:rsid w:val="007F67C0"/>
    <w:rsid w:val="007F6D06"/>
    <w:rsid w:val="0080037A"/>
    <w:rsid w:val="00800B5E"/>
    <w:rsid w:val="00800E9F"/>
    <w:rsid w:val="00800ECE"/>
    <w:rsid w:val="00801309"/>
    <w:rsid w:val="0080171A"/>
    <w:rsid w:val="008028EB"/>
    <w:rsid w:val="008041D8"/>
    <w:rsid w:val="00804AF3"/>
    <w:rsid w:val="00804D70"/>
    <w:rsid w:val="00805A9C"/>
    <w:rsid w:val="00805D2E"/>
    <w:rsid w:val="00805D72"/>
    <w:rsid w:val="00806D67"/>
    <w:rsid w:val="00806FAE"/>
    <w:rsid w:val="00812392"/>
    <w:rsid w:val="00812B56"/>
    <w:rsid w:val="00812DC0"/>
    <w:rsid w:val="008144D5"/>
    <w:rsid w:val="008146B3"/>
    <w:rsid w:val="00814846"/>
    <w:rsid w:val="008150F2"/>
    <w:rsid w:val="00815468"/>
    <w:rsid w:val="00815D89"/>
    <w:rsid w:val="00816288"/>
    <w:rsid w:val="008164FF"/>
    <w:rsid w:val="008170A3"/>
    <w:rsid w:val="00817603"/>
    <w:rsid w:val="00817BE4"/>
    <w:rsid w:val="00817EEA"/>
    <w:rsid w:val="0082058A"/>
    <w:rsid w:val="008212C1"/>
    <w:rsid w:val="0082143F"/>
    <w:rsid w:val="0082148D"/>
    <w:rsid w:val="00822E95"/>
    <w:rsid w:val="00822F45"/>
    <w:rsid w:val="00823C67"/>
    <w:rsid w:val="00825775"/>
    <w:rsid w:val="00825DA9"/>
    <w:rsid w:val="00826226"/>
    <w:rsid w:val="0082680E"/>
    <w:rsid w:val="00832B4B"/>
    <w:rsid w:val="0083367C"/>
    <w:rsid w:val="00834158"/>
    <w:rsid w:val="008342B1"/>
    <w:rsid w:val="00834CAC"/>
    <w:rsid w:val="00835AA0"/>
    <w:rsid w:val="008374C3"/>
    <w:rsid w:val="00837BFD"/>
    <w:rsid w:val="00837FD9"/>
    <w:rsid w:val="00840673"/>
    <w:rsid w:val="00840C83"/>
    <w:rsid w:val="00840E22"/>
    <w:rsid w:val="00841F70"/>
    <w:rsid w:val="00842435"/>
    <w:rsid w:val="008424AB"/>
    <w:rsid w:val="008425EB"/>
    <w:rsid w:val="00842867"/>
    <w:rsid w:val="00842B78"/>
    <w:rsid w:val="008437D0"/>
    <w:rsid w:val="00843AD7"/>
    <w:rsid w:val="008443D2"/>
    <w:rsid w:val="008455E8"/>
    <w:rsid w:val="00845A63"/>
    <w:rsid w:val="00845DB5"/>
    <w:rsid w:val="008460DD"/>
    <w:rsid w:val="00846584"/>
    <w:rsid w:val="008474C5"/>
    <w:rsid w:val="008503AE"/>
    <w:rsid w:val="0085192E"/>
    <w:rsid w:val="00852DED"/>
    <w:rsid w:val="00853514"/>
    <w:rsid w:val="00853A33"/>
    <w:rsid w:val="00853EB2"/>
    <w:rsid w:val="00854934"/>
    <w:rsid w:val="00855961"/>
    <w:rsid w:val="008567DD"/>
    <w:rsid w:val="008569D9"/>
    <w:rsid w:val="00856EBC"/>
    <w:rsid w:val="0085756E"/>
    <w:rsid w:val="008576A9"/>
    <w:rsid w:val="00857E0C"/>
    <w:rsid w:val="00861155"/>
    <w:rsid w:val="008611E9"/>
    <w:rsid w:val="00862233"/>
    <w:rsid w:val="008627D1"/>
    <w:rsid w:val="00863F1B"/>
    <w:rsid w:val="00864076"/>
    <w:rsid w:val="008652FF"/>
    <w:rsid w:val="0087082A"/>
    <w:rsid w:val="008708DD"/>
    <w:rsid w:val="00870C59"/>
    <w:rsid w:val="00870FB2"/>
    <w:rsid w:val="0087150B"/>
    <w:rsid w:val="00871785"/>
    <w:rsid w:val="00871D72"/>
    <w:rsid w:val="00873CF3"/>
    <w:rsid w:val="00874BC5"/>
    <w:rsid w:val="00875C67"/>
    <w:rsid w:val="0088075D"/>
    <w:rsid w:val="008823A8"/>
    <w:rsid w:val="00882F9D"/>
    <w:rsid w:val="008849C2"/>
    <w:rsid w:val="00884BD5"/>
    <w:rsid w:val="0088648A"/>
    <w:rsid w:val="0088671D"/>
    <w:rsid w:val="00886E8A"/>
    <w:rsid w:val="00887021"/>
    <w:rsid w:val="0088708F"/>
    <w:rsid w:val="00887B92"/>
    <w:rsid w:val="00887C3A"/>
    <w:rsid w:val="00890756"/>
    <w:rsid w:val="00891336"/>
    <w:rsid w:val="00892803"/>
    <w:rsid w:val="00893617"/>
    <w:rsid w:val="00893835"/>
    <w:rsid w:val="00894206"/>
    <w:rsid w:val="008A0531"/>
    <w:rsid w:val="008A1132"/>
    <w:rsid w:val="008A1D09"/>
    <w:rsid w:val="008A20D4"/>
    <w:rsid w:val="008A2849"/>
    <w:rsid w:val="008A429F"/>
    <w:rsid w:val="008A44A4"/>
    <w:rsid w:val="008A4E14"/>
    <w:rsid w:val="008A5752"/>
    <w:rsid w:val="008A5890"/>
    <w:rsid w:val="008A6799"/>
    <w:rsid w:val="008A6AE8"/>
    <w:rsid w:val="008A74EE"/>
    <w:rsid w:val="008A7E53"/>
    <w:rsid w:val="008B0EF6"/>
    <w:rsid w:val="008B0F0F"/>
    <w:rsid w:val="008B1FC5"/>
    <w:rsid w:val="008B2FBB"/>
    <w:rsid w:val="008B3400"/>
    <w:rsid w:val="008B3FCC"/>
    <w:rsid w:val="008B4229"/>
    <w:rsid w:val="008B458C"/>
    <w:rsid w:val="008B479D"/>
    <w:rsid w:val="008B61C5"/>
    <w:rsid w:val="008B6BEE"/>
    <w:rsid w:val="008C0C2D"/>
    <w:rsid w:val="008C12C5"/>
    <w:rsid w:val="008C16F1"/>
    <w:rsid w:val="008C2624"/>
    <w:rsid w:val="008C3400"/>
    <w:rsid w:val="008C3B95"/>
    <w:rsid w:val="008C3C62"/>
    <w:rsid w:val="008C3EBF"/>
    <w:rsid w:val="008C4A14"/>
    <w:rsid w:val="008C4D3E"/>
    <w:rsid w:val="008C5290"/>
    <w:rsid w:val="008C56E8"/>
    <w:rsid w:val="008C5933"/>
    <w:rsid w:val="008C59FC"/>
    <w:rsid w:val="008C663B"/>
    <w:rsid w:val="008C6718"/>
    <w:rsid w:val="008D0DEF"/>
    <w:rsid w:val="008D2788"/>
    <w:rsid w:val="008D3CD1"/>
    <w:rsid w:val="008D3D47"/>
    <w:rsid w:val="008D46A2"/>
    <w:rsid w:val="008D4C0B"/>
    <w:rsid w:val="008D6921"/>
    <w:rsid w:val="008D787A"/>
    <w:rsid w:val="008E0724"/>
    <w:rsid w:val="008E1035"/>
    <w:rsid w:val="008E1C36"/>
    <w:rsid w:val="008E2F52"/>
    <w:rsid w:val="008E3785"/>
    <w:rsid w:val="008E3D10"/>
    <w:rsid w:val="008E556B"/>
    <w:rsid w:val="008E65FD"/>
    <w:rsid w:val="008E709F"/>
    <w:rsid w:val="008E72B2"/>
    <w:rsid w:val="008E74A9"/>
    <w:rsid w:val="008E7AF1"/>
    <w:rsid w:val="008F0390"/>
    <w:rsid w:val="008F102A"/>
    <w:rsid w:val="008F1808"/>
    <w:rsid w:val="008F20B1"/>
    <w:rsid w:val="008F2890"/>
    <w:rsid w:val="008F2C74"/>
    <w:rsid w:val="008F3ADD"/>
    <w:rsid w:val="008F3E0D"/>
    <w:rsid w:val="008F419B"/>
    <w:rsid w:val="008F4CB8"/>
    <w:rsid w:val="008F4E30"/>
    <w:rsid w:val="008F5B95"/>
    <w:rsid w:val="008F74C7"/>
    <w:rsid w:val="008F7DDF"/>
    <w:rsid w:val="008F7ED7"/>
    <w:rsid w:val="00900DB7"/>
    <w:rsid w:val="00900EDC"/>
    <w:rsid w:val="009012EF"/>
    <w:rsid w:val="009016FC"/>
    <w:rsid w:val="00901EAA"/>
    <w:rsid w:val="00902A2A"/>
    <w:rsid w:val="00902B01"/>
    <w:rsid w:val="00903E97"/>
    <w:rsid w:val="00904A68"/>
    <w:rsid w:val="00904E35"/>
    <w:rsid w:val="00904EBB"/>
    <w:rsid w:val="00905255"/>
    <w:rsid w:val="009062FF"/>
    <w:rsid w:val="0090646E"/>
    <w:rsid w:val="0090719F"/>
    <w:rsid w:val="00910ACE"/>
    <w:rsid w:val="00911000"/>
    <w:rsid w:val="00912117"/>
    <w:rsid w:val="009128B1"/>
    <w:rsid w:val="0091348D"/>
    <w:rsid w:val="00915E63"/>
    <w:rsid w:val="0091706E"/>
    <w:rsid w:val="00917AE2"/>
    <w:rsid w:val="00917D6F"/>
    <w:rsid w:val="0092096B"/>
    <w:rsid w:val="00920E5E"/>
    <w:rsid w:val="00922060"/>
    <w:rsid w:val="009225E0"/>
    <w:rsid w:val="00922D32"/>
    <w:rsid w:val="00922E0C"/>
    <w:rsid w:val="0092322F"/>
    <w:rsid w:val="009235D4"/>
    <w:rsid w:val="009247D4"/>
    <w:rsid w:val="00924995"/>
    <w:rsid w:val="009263B8"/>
    <w:rsid w:val="009272FF"/>
    <w:rsid w:val="009277D9"/>
    <w:rsid w:val="00930034"/>
    <w:rsid w:val="0093011A"/>
    <w:rsid w:val="00930C48"/>
    <w:rsid w:val="009336CD"/>
    <w:rsid w:val="0093743D"/>
    <w:rsid w:val="00937A33"/>
    <w:rsid w:val="00937DB8"/>
    <w:rsid w:val="0094163E"/>
    <w:rsid w:val="0094166D"/>
    <w:rsid w:val="00941A67"/>
    <w:rsid w:val="00943683"/>
    <w:rsid w:val="009437EF"/>
    <w:rsid w:val="009445BE"/>
    <w:rsid w:val="00944842"/>
    <w:rsid w:val="00946284"/>
    <w:rsid w:val="009462FB"/>
    <w:rsid w:val="0094786A"/>
    <w:rsid w:val="009503C7"/>
    <w:rsid w:val="0095069D"/>
    <w:rsid w:val="009510F5"/>
    <w:rsid w:val="00951116"/>
    <w:rsid w:val="00951B18"/>
    <w:rsid w:val="009524D9"/>
    <w:rsid w:val="00952A03"/>
    <w:rsid w:val="00953D44"/>
    <w:rsid w:val="0095458E"/>
    <w:rsid w:val="009545F0"/>
    <w:rsid w:val="009554C5"/>
    <w:rsid w:val="00956490"/>
    <w:rsid w:val="00956DE2"/>
    <w:rsid w:val="00960570"/>
    <w:rsid w:val="00960F1C"/>
    <w:rsid w:val="00960FEA"/>
    <w:rsid w:val="00961228"/>
    <w:rsid w:val="00961491"/>
    <w:rsid w:val="00961B25"/>
    <w:rsid w:val="0096209B"/>
    <w:rsid w:val="009639CA"/>
    <w:rsid w:val="00963FF5"/>
    <w:rsid w:val="009659B1"/>
    <w:rsid w:val="00965CF9"/>
    <w:rsid w:val="00965E21"/>
    <w:rsid w:val="00967D56"/>
    <w:rsid w:val="0097075B"/>
    <w:rsid w:val="00971E00"/>
    <w:rsid w:val="00972940"/>
    <w:rsid w:val="00972A47"/>
    <w:rsid w:val="009732AC"/>
    <w:rsid w:val="009737F4"/>
    <w:rsid w:val="00973EB9"/>
    <w:rsid w:val="009740EA"/>
    <w:rsid w:val="00974446"/>
    <w:rsid w:val="00974938"/>
    <w:rsid w:val="00976E47"/>
    <w:rsid w:val="009807E6"/>
    <w:rsid w:val="00980DFD"/>
    <w:rsid w:val="00981712"/>
    <w:rsid w:val="00982C15"/>
    <w:rsid w:val="00982E26"/>
    <w:rsid w:val="00982F63"/>
    <w:rsid w:val="009835F6"/>
    <w:rsid w:val="00983BD1"/>
    <w:rsid w:val="009843F9"/>
    <w:rsid w:val="00984E91"/>
    <w:rsid w:val="00986EE0"/>
    <w:rsid w:val="0098734A"/>
    <w:rsid w:val="00987D1E"/>
    <w:rsid w:val="00991E9E"/>
    <w:rsid w:val="00992D66"/>
    <w:rsid w:val="0099337D"/>
    <w:rsid w:val="009946B0"/>
    <w:rsid w:val="00996211"/>
    <w:rsid w:val="009963F5"/>
    <w:rsid w:val="00997061"/>
    <w:rsid w:val="00997AEC"/>
    <w:rsid w:val="00997C78"/>
    <w:rsid w:val="009A000A"/>
    <w:rsid w:val="009A1087"/>
    <w:rsid w:val="009A16EB"/>
    <w:rsid w:val="009A1AEC"/>
    <w:rsid w:val="009A3452"/>
    <w:rsid w:val="009A3654"/>
    <w:rsid w:val="009A3BDD"/>
    <w:rsid w:val="009A499A"/>
    <w:rsid w:val="009A4EAA"/>
    <w:rsid w:val="009A5ECB"/>
    <w:rsid w:val="009A60DB"/>
    <w:rsid w:val="009A6244"/>
    <w:rsid w:val="009A7954"/>
    <w:rsid w:val="009B0B54"/>
    <w:rsid w:val="009B292F"/>
    <w:rsid w:val="009B32A6"/>
    <w:rsid w:val="009B3792"/>
    <w:rsid w:val="009B5DBA"/>
    <w:rsid w:val="009B62C2"/>
    <w:rsid w:val="009B65DE"/>
    <w:rsid w:val="009B7302"/>
    <w:rsid w:val="009B74D5"/>
    <w:rsid w:val="009C2B9A"/>
    <w:rsid w:val="009C34A2"/>
    <w:rsid w:val="009C3E0D"/>
    <w:rsid w:val="009C3EF9"/>
    <w:rsid w:val="009C3F64"/>
    <w:rsid w:val="009C51E6"/>
    <w:rsid w:val="009C5205"/>
    <w:rsid w:val="009C52B9"/>
    <w:rsid w:val="009C558E"/>
    <w:rsid w:val="009C5B05"/>
    <w:rsid w:val="009C5BB9"/>
    <w:rsid w:val="009C5E58"/>
    <w:rsid w:val="009C656E"/>
    <w:rsid w:val="009C6925"/>
    <w:rsid w:val="009C7402"/>
    <w:rsid w:val="009C75E7"/>
    <w:rsid w:val="009D0369"/>
    <w:rsid w:val="009D112D"/>
    <w:rsid w:val="009D181E"/>
    <w:rsid w:val="009D2658"/>
    <w:rsid w:val="009D2A4C"/>
    <w:rsid w:val="009D359A"/>
    <w:rsid w:val="009D432A"/>
    <w:rsid w:val="009D511B"/>
    <w:rsid w:val="009D54F6"/>
    <w:rsid w:val="009D5D60"/>
    <w:rsid w:val="009D69D1"/>
    <w:rsid w:val="009E0570"/>
    <w:rsid w:val="009E2088"/>
    <w:rsid w:val="009E22C6"/>
    <w:rsid w:val="009E2519"/>
    <w:rsid w:val="009E2A40"/>
    <w:rsid w:val="009E55EA"/>
    <w:rsid w:val="009E5C8A"/>
    <w:rsid w:val="009E6838"/>
    <w:rsid w:val="009E6F9E"/>
    <w:rsid w:val="009E7EF4"/>
    <w:rsid w:val="009F047D"/>
    <w:rsid w:val="009F2907"/>
    <w:rsid w:val="009F364E"/>
    <w:rsid w:val="009F3FCB"/>
    <w:rsid w:val="009F4AC9"/>
    <w:rsid w:val="009F571A"/>
    <w:rsid w:val="009F7ED3"/>
    <w:rsid w:val="00A0052A"/>
    <w:rsid w:val="00A00BF9"/>
    <w:rsid w:val="00A00CEB"/>
    <w:rsid w:val="00A00CEC"/>
    <w:rsid w:val="00A02B2A"/>
    <w:rsid w:val="00A02BA6"/>
    <w:rsid w:val="00A045F5"/>
    <w:rsid w:val="00A04D3F"/>
    <w:rsid w:val="00A0661C"/>
    <w:rsid w:val="00A06C24"/>
    <w:rsid w:val="00A071DD"/>
    <w:rsid w:val="00A073D1"/>
    <w:rsid w:val="00A07BB6"/>
    <w:rsid w:val="00A07D62"/>
    <w:rsid w:val="00A11652"/>
    <w:rsid w:val="00A119B6"/>
    <w:rsid w:val="00A13422"/>
    <w:rsid w:val="00A13D8F"/>
    <w:rsid w:val="00A142D1"/>
    <w:rsid w:val="00A143D7"/>
    <w:rsid w:val="00A14839"/>
    <w:rsid w:val="00A152C6"/>
    <w:rsid w:val="00A15F1D"/>
    <w:rsid w:val="00A164DA"/>
    <w:rsid w:val="00A16949"/>
    <w:rsid w:val="00A17856"/>
    <w:rsid w:val="00A21AF2"/>
    <w:rsid w:val="00A22E67"/>
    <w:rsid w:val="00A2314E"/>
    <w:rsid w:val="00A23228"/>
    <w:rsid w:val="00A23505"/>
    <w:rsid w:val="00A23FFB"/>
    <w:rsid w:val="00A24B49"/>
    <w:rsid w:val="00A2562F"/>
    <w:rsid w:val="00A2563B"/>
    <w:rsid w:val="00A26669"/>
    <w:rsid w:val="00A33D13"/>
    <w:rsid w:val="00A345E2"/>
    <w:rsid w:val="00A349B7"/>
    <w:rsid w:val="00A36735"/>
    <w:rsid w:val="00A36BE1"/>
    <w:rsid w:val="00A36D84"/>
    <w:rsid w:val="00A3798F"/>
    <w:rsid w:val="00A37E60"/>
    <w:rsid w:val="00A41917"/>
    <w:rsid w:val="00A41ACB"/>
    <w:rsid w:val="00A41F62"/>
    <w:rsid w:val="00A4224C"/>
    <w:rsid w:val="00A4252E"/>
    <w:rsid w:val="00A43095"/>
    <w:rsid w:val="00A47252"/>
    <w:rsid w:val="00A47880"/>
    <w:rsid w:val="00A501F7"/>
    <w:rsid w:val="00A513BF"/>
    <w:rsid w:val="00A517C0"/>
    <w:rsid w:val="00A530AC"/>
    <w:rsid w:val="00A55B02"/>
    <w:rsid w:val="00A566E2"/>
    <w:rsid w:val="00A56DFE"/>
    <w:rsid w:val="00A575DF"/>
    <w:rsid w:val="00A57ED4"/>
    <w:rsid w:val="00A60636"/>
    <w:rsid w:val="00A60D6D"/>
    <w:rsid w:val="00A61A1E"/>
    <w:rsid w:val="00A6300C"/>
    <w:rsid w:val="00A6320D"/>
    <w:rsid w:val="00A633D2"/>
    <w:rsid w:val="00A63D38"/>
    <w:rsid w:val="00A64640"/>
    <w:rsid w:val="00A65394"/>
    <w:rsid w:val="00A65E49"/>
    <w:rsid w:val="00A65F5D"/>
    <w:rsid w:val="00A65FFA"/>
    <w:rsid w:val="00A675B2"/>
    <w:rsid w:val="00A67C0A"/>
    <w:rsid w:val="00A71E3F"/>
    <w:rsid w:val="00A720BB"/>
    <w:rsid w:val="00A72101"/>
    <w:rsid w:val="00A7244C"/>
    <w:rsid w:val="00A72640"/>
    <w:rsid w:val="00A72CDD"/>
    <w:rsid w:val="00A75475"/>
    <w:rsid w:val="00A764BB"/>
    <w:rsid w:val="00A76719"/>
    <w:rsid w:val="00A80A6D"/>
    <w:rsid w:val="00A81849"/>
    <w:rsid w:val="00A81CF1"/>
    <w:rsid w:val="00A839D6"/>
    <w:rsid w:val="00A842E7"/>
    <w:rsid w:val="00A86191"/>
    <w:rsid w:val="00A86722"/>
    <w:rsid w:val="00A86772"/>
    <w:rsid w:val="00A87E1C"/>
    <w:rsid w:val="00A90E39"/>
    <w:rsid w:val="00A9209B"/>
    <w:rsid w:val="00A92B89"/>
    <w:rsid w:val="00A952A9"/>
    <w:rsid w:val="00A95847"/>
    <w:rsid w:val="00A96106"/>
    <w:rsid w:val="00A97A0B"/>
    <w:rsid w:val="00A97BC7"/>
    <w:rsid w:val="00AA121C"/>
    <w:rsid w:val="00AA26EC"/>
    <w:rsid w:val="00AA3006"/>
    <w:rsid w:val="00AA49A1"/>
    <w:rsid w:val="00AA696A"/>
    <w:rsid w:val="00AA6CAC"/>
    <w:rsid w:val="00AA76CE"/>
    <w:rsid w:val="00AB008A"/>
    <w:rsid w:val="00AB0C9D"/>
    <w:rsid w:val="00AB10A4"/>
    <w:rsid w:val="00AB16C9"/>
    <w:rsid w:val="00AB1DCE"/>
    <w:rsid w:val="00AB26BA"/>
    <w:rsid w:val="00AB3110"/>
    <w:rsid w:val="00AB3656"/>
    <w:rsid w:val="00AB3683"/>
    <w:rsid w:val="00AB3F81"/>
    <w:rsid w:val="00AB4316"/>
    <w:rsid w:val="00AB4753"/>
    <w:rsid w:val="00AB540D"/>
    <w:rsid w:val="00AB6577"/>
    <w:rsid w:val="00AB7077"/>
    <w:rsid w:val="00AC1B07"/>
    <w:rsid w:val="00AC1B20"/>
    <w:rsid w:val="00AC1F60"/>
    <w:rsid w:val="00AC2495"/>
    <w:rsid w:val="00AC26B8"/>
    <w:rsid w:val="00AC280E"/>
    <w:rsid w:val="00AC2ACC"/>
    <w:rsid w:val="00AC2BD9"/>
    <w:rsid w:val="00AC2CEC"/>
    <w:rsid w:val="00AC3378"/>
    <w:rsid w:val="00AC4A88"/>
    <w:rsid w:val="00AC56DF"/>
    <w:rsid w:val="00AC5FA1"/>
    <w:rsid w:val="00AC65AB"/>
    <w:rsid w:val="00AC6734"/>
    <w:rsid w:val="00AC6F5A"/>
    <w:rsid w:val="00AC702F"/>
    <w:rsid w:val="00AD10ED"/>
    <w:rsid w:val="00AD12A6"/>
    <w:rsid w:val="00AD14EE"/>
    <w:rsid w:val="00AD22FF"/>
    <w:rsid w:val="00AD2D77"/>
    <w:rsid w:val="00AD2F41"/>
    <w:rsid w:val="00AD375F"/>
    <w:rsid w:val="00AD4402"/>
    <w:rsid w:val="00AD4477"/>
    <w:rsid w:val="00AD4484"/>
    <w:rsid w:val="00AD4BE0"/>
    <w:rsid w:val="00AD576A"/>
    <w:rsid w:val="00AD5CEC"/>
    <w:rsid w:val="00AD6E68"/>
    <w:rsid w:val="00AD6F5F"/>
    <w:rsid w:val="00AE08E6"/>
    <w:rsid w:val="00AE0A03"/>
    <w:rsid w:val="00AE1FA5"/>
    <w:rsid w:val="00AE25E4"/>
    <w:rsid w:val="00AE2EF7"/>
    <w:rsid w:val="00AE4593"/>
    <w:rsid w:val="00AE4DDF"/>
    <w:rsid w:val="00AE569F"/>
    <w:rsid w:val="00AE707C"/>
    <w:rsid w:val="00AE7DED"/>
    <w:rsid w:val="00AE7FF6"/>
    <w:rsid w:val="00AF05A3"/>
    <w:rsid w:val="00AF270D"/>
    <w:rsid w:val="00AF3DEC"/>
    <w:rsid w:val="00AF4C79"/>
    <w:rsid w:val="00AF4CB3"/>
    <w:rsid w:val="00AF58D2"/>
    <w:rsid w:val="00AF59D0"/>
    <w:rsid w:val="00AF59E9"/>
    <w:rsid w:val="00AF5F64"/>
    <w:rsid w:val="00AF63CC"/>
    <w:rsid w:val="00AF690D"/>
    <w:rsid w:val="00AF6AD2"/>
    <w:rsid w:val="00AF7968"/>
    <w:rsid w:val="00AF7DB6"/>
    <w:rsid w:val="00B001C8"/>
    <w:rsid w:val="00B00385"/>
    <w:rsid w:val="00B01530"/>
    <w:rsid w:val="00B01CD5"/>
    <w:rsid w:val="00B02379"/>
    <w:rsid w:val="00B023A0"/>
    <w:rsid w:val="00B0336B"/>
    <w:rsid w:val="00B03905"/>
    <w:rsid w:val="00B03967"/>
    <w:rsid w:val="00B04152"/>
    <w:rsid w:val="00B050CA"/>
    <w:rsid w:val="00B07182"/>
    <w:rsid w:val="00B071D4"/>
    <w:rsid w:val="00B07468"/>
    <w:rsid w:val="00B11A97"/>
    <w:rsid w:val="00B11AE7"/>
    <w:rsid w:val="00B12DE0"/>
    <w:rsid w:val="00B13D52"/>
    <w:rsid w:val="00B14727"/>
    <w:rsid w:val="00B15DC1"/>
    <w:rsid w:val="00B178A7"/>
    <w:rsid w:val="00B20592"/>
    <w:rsid w:val="00B20DF8"/>
    <w:rsid w:val="00B21BF0"/>
    <w:rsid w:val="00B21F3F"/>
    <w:rsid w:val="00B22F0C"/>
    <w:rsid w:val="00B2417D"/>
    <w:rsid w:val="00B24520"/>
    <w:rsid w:val="00B24B08"/>
    <w:rsid w:val="00B24DD9"/>
    <w:rsid w:val="00B2544C"/>
    <w:rsid w:val="00B26C5B"/>
    <w:rsid w:val="00B270F5"/>
    <w:rsid w:val="00B279B8"/>
    <w:rsid w:val="00B30C29"/>
    <w:rsid w:val="00B321D2"/>
    <w:rsid w:val="00B33A2B"/>
    <w:rsid w:val="00B33C44"/>
    <w:rsid w:val="00B35FE2"/>
    <w:rsid w:val="00B36119"/>
    <w:rsid w:val="00B363B0"/>
    <w:rsid w:val="00B36659"/>
    <w:rsid w:val="00B4051D"/>
    <w:rsid w:val="00B405E6"/>
    <w:rsid w:val="00B41079"/>
    <w:rsid w:val="00B41400"/>
    <w:rsid w:val="00B43494"/>
    <w:rsid w:val="00B44088"/>
    <w:rsid w:val="00B442E7"/>
    <w:rsid w:val="00B44B96"/>
    <w:rsid w:val="00B4661B"/>
    <w:rsid w:val="00B46C92"/>
    <w:rsid w:val="00B4772F"/>
    <w:rsid w:val="00B51F1E"/>
    <w:rsid w:val="00B52A24"/>
    <w:rsid w:val="00B52AB5"/>
    <w:rsid w:val="00B53CD2"/>
    <w:rsid w:val="00B53F8D"/>
    <w:rsid w:val="00B53F8F"/>
    <w:rsid w:val="00B545A3"/>
    <w:rsid w:val="00B55C2C"/>
    <w:rsid w:val="00B56A2E"/>
    <w:rsid w:val="00B56A8F"/>
    <w:rsid w:val="00B57A38"/>
    <w:rsid w:val="00B57BD3"/>
    <w:rsid w:val="00B57DCB"/>
    <w:rsid w:val="00B61AF1"/>
    <w:rsid w:val="00B64347"/>
    <w:rsid w:val="00B6609C"/>
    <w:rsid w:val="00B66BF2"/>
    <w:rsid w:val="00B66FC0"/>
    <w:rsid w:val="00B67A42"/>
    <w:rsid w:val="00B70091"/>
    <w:rsid w:val="00B70FA6"/>
    <w:rsid w:val="00B711A1"/>
    <w:rsid w:val="00B712D2"/>
    <w:rsid w:val="00B726C9"/>
    <w:rsid w:val="00B728B0"/>
    <w:rsid w:val="00B73F4D"/>
    <w:rsid w:val="00B747B4"/>
    <w:rsid w:val="00B75B1E"/>
    <w:rsid w:val="00B76674"/>
    <w:rsid w:val="00B7722A"/>
    <w:rsid w:val="00B7760F"/>
    <w:rsid w:val="00B77666"/>
    <w:rsid w:val="00B77B1E"/>
    <w:rsid w:val="00B806B7"/>
    <w:rsid w:val="00B80E52"/>
    <w:rsid w:val="00B813CB"/>
    <w:rsid w:val="00B81A30"/>
    <w:rsid w:val="00B84FD7"/>
    <w:rsid w:val="00B853F1"/>
    <w:rsid w:val="00B853FD"/>
    <w:rsid w:val="00B85F5D"/>
    <w:rsid w:val="00B86844"/>
    <w:rsid w:val="00B8710A"/>
    <w:rsid w:val="00B87AEF"/>
    <w:rsid w:val="00B87EE6"/>
    <w:rsid w:val="00B90BAE"/>
    <w:rsid w:val="00B913B4"/>
    <w:rsid w:val="00B92281"/>
    <w:rsid w:val="00B9397A"/>
    <w:rsid w:val="00B946F3"/>
    <w:rsid w:val="00B960AE"/>
    <w:rsid w:val="00B96B0F"/>
    <w:rsid w:val="00B96B8C"/>
    <w:rsid w:val="00B973CD"/>
    <w:rsid w:val="00B97EE3"/>
    <w:rsid w:val="00BA0D0E"/>
    <w:rsid w:val="00BA0D47"/>
    <w:rsid w:val="00BA1785"/>
    <w:rsid w:val="00BA2646"/>
    <w:rsid w:val="00BA354E"/>
    <w:rsid w:val="00BA3B70"/>
    <w:rsid w:val="00BA4652"/>
    <w:rsid w:val="00BA478F"/>
    <w:rsid w:val="00BA5CBC"/>
    <w:rsid w:val="00BA5F7A"/>
    <w:rsid w:val="00BA6989"/>
    <w:rsid w:val="00BA7F72"/>
    <w:rsid w:val="00BB04D1"/>
    <w:rsid w:val="00BB19B9"/>
    <w:rsid w:val="00BB2F6A"/>
    <w:rsid w:val="00BB3276"/>
    <w:rsid w:val="00BB43B1"/>
    <w:rsid w:val="00BB52D2"/>
    <w:rsid w:val="00BB5445"/>
    <w:rsid w:val="00BC0013"/>
    <w:rsid w:val="00BC0A8B"/>
    <w:rsid w:val="00BC1C62"/>
    <w:rsid w:val="00BC2EBB"/>
    <w:rsid w:val="00BC314C"/>
    <w:rsid w:val="00BC31E9"/>
    <w:rsid w:val="00BC33DA"/>
    <w:rsid w:val="00BC34EF"/>
    <w:rsid w:val="00BC381B"/>
    <w:rsid w:val="00BC433D"/>
    <w:rsid w:val="00BC4C53"/>
    <w:rsid w:val="00BC4D70"/>
    <w:rsid w:val="00BC5703"/>
    <w:rsid w:val="00BC5809"/>
    <w:rsid w:val="00BC5A7D"/>
    <w:rsid w:val="00BC6515"/>
    <w:rsid w:val="00BC6D12"/>
    <w:rsid w:val="00BC6E96"/>
    <w:rsid w:val="00BC744E"/>
    <w:rsid w:val="00BC7E9F"/>
    <w:rsid w:val="00BD0EF2"/>
    <w:rsid w:val="00BD1F4F"/>
    <w:rsid w:val="00BD21D5"/>
    <w:rsid w:val="00BD27E3"/>
    <w:rsid w:val="00BD2927"/>
    <w:rsid w:val="00BD29BF"/>
    <w:rsid w:val="00BD39AC"/>
    <w:rsid w:val="00BD5595"/>
    <w:rsid w:val="00BD5AD7"/>
    <w:rsid w:val="00BE10DD"/>
    <w:rsid w:val="00BE1359"/>
    <w:rsid w:val="00BE1847"/>
    <w:rsid w:val="00BE2488"/>
    <w:rsid w:val="00BE50ED"/>
    <w:rsid w:val="00BE6365"/>
    <w:rsid w:val="00BE6C47"/>
    <w:rsid w:val="00BE73A3"/>
    <w:rsid w:val="00BE7FF9"/>
    <w:rsid w:val="00BF1DE4"/>
    <w:rsid w:val="00BF1F2E"/>
    <w:rsid w:val="00BF1F7A"/>
    <w:rsid w:val="00BF1F9F"/>
    <w:rsid w:val="00BF20FD"/>
    <w:rsid w:val="00BF4313"/>
    <w:rsid w:val="00BF480D"/>
    <w:rsid w:val="00BF4848"/>
    <w:rsid w:val="00BF49AF"/>
    <w:rsid w:val="00BF49B5"/>
    <w:rsid w:val="00BF53EC"/>
    <w:rsid w:val="00BF54B7"/>
    <w:rsid w:val="00BF566C"/>
    <w:rsid w:val="00BF617F"/>
    <w:rsid w:val="00BF7BF7"/>
    <w:rsid w:val="00BF7D72"/>
    <w:rsid w:val="00C00B61"/>
    <w:rsid w:val="00C02F4C"/>
    <w:rsid w:val="00C0328C"/>
    <w:rsid w:val="00C03455"/>
    <w:rsid w:val="00C04291"/>
    <w:rsid w:val="00C054BE"/>
    <w:rsid w:val="00C05958"/>
    <w:rsid w:val="00C06D77"/>
    <w:rsid w:val="00C06E9A"/>
    <w:rsid w:val="00C07929"/>
    <w:rsid w:val="00C1025B"/>
    <w:rsid w:val="00C10383"/>
    <w:rsid w:val="00C10549"/>
    <w:rsid w:val="00C10713"/>
    <w:rsid w:val="00C10904"/>
    <w:rsid w:val="00C113F5"/>
    <w:rsid w:val="00C11A31"/>
    <w:rsid w:val="00C11FCC"/>
    <w:rsid w:val="00C13522"/>
    <w:rsid w:val="00C14EC6"/>
    <w:rsid w:val="00C15273"/>
    <w:rsid w:val="00C17A65"/>
    <w:rsid w:val="00C20E37"/>
    <w:rsid w:val="00C21294"/>
    <w:rsid w:val="00C21916"/>
    <w:rsid w:val="00C22616"/>
    <w:rsid w:val="00C2264B"/>
    <w:rsid w:val="00C2306F"/>
    <w:rsid w:val="00C24AE4"/>
    <w:rsid w:val="00C259A0"/>
    <w:rsid w:val="00C25CCA"/>
    <w:rsid w:val="00C271DC"/>
    <w:rsid w:val="00C3037E"/>
    <w:rsid w:val="00C3103F"/>
    <w:rsid w:val="00C31377"/>
    <w:rsid w:val="00C32831"/>
    <w:rsid w:val="00C330CA"/>
    <w:rsid w:val="00C34CE6"/>
    <w:rsid w:val="00C34E2C"/>
    <w:rsid w:val="00C36988"/>
    <w:rsid w:val="00C3749F"/>
    <w:rsid w:val="00C37592"/>
    <w:rsid w:val="00C37C50"/>
    <w:rsid w:val="00C37E80"/>
    <w:rsid w:val="00C37F34"/>
    <w:rsid w:val="00C40311"/>
    <w:rsid w:val="00C40603"/>
    <w:rsid w:val="00C40C88"/>
    <w:rsid w:val="00C41881"/>
    <w:rsid w:val="00C41F38"/>
    <w:rsid w:val="00C4236C"/>
    <w:rsid w:val="00C42731"/>
    <w:rsid w:val="00C446A1"/>
    <w:rsid w:val="00C458EE"/>
    <w:rsid w:val="00C45B06"/>
    <w:rsid w:val="00C45EA7"/>
    <w:rsid w:val="00C473B6"/>
    <w:rsid w:val="00C50026"/>
    <w:rsid w:val="00C50C1A"/>
    <w:rsid w:val="00C50CB7"/>
    <w:rsid w:val="00C50CFF"/>
    <w:rsid w:val="00C5150D"/>
    <w:rsid w:val="00C51733"/>
    <w:rsid w:val="00C51F4E"/>
    <w:rsid w:val="00C52003"/>
    <w:rsid w:val="00C52380"/>
    <w:rsid w:val="00C528C3"/>
    <w:rsid w:val="00C537D6"/>
    <w:rsid w:val="00C53CD6"/>
    <w:rsid w:val="00C541F0"/>
    <w:rsid w:val="00C54CCC"/>
    <w:rsid w:val="00C5514C"/>
    <w:rsid w:val="00C55FC2"/>
    <w:rsid w:val="00C56004"/>
    <w:rsid w:val="00C5602A"/>
    <w:rsid w:val="00C563D9"/>
    <w:rsid w:val="00C56513"/>
    <w:rsid w:val="00C5737E"/>
    <w:rsid w:val="00C5770D"/>
    <w:rsid w:val="00C577C4"/>
    <w:rsid w:val="00C60E26"/>
    <w:rsid w:val="00C61353"/>
    <w:rsid w:val="00C615C2"/>
    <w:rsid w:val="00C616E0"/>
    <w:rsid w:val="00C61D7E"/>
    <w:rsid w:val="00C62498"/>
    <w:rsid w:val="00C62692"/>
    <w:rsid w:val="00C62A8D"/>
    <w:rsid w:val="00C6320E"/>
    <w:rsid w:val="00C63D22"/>
    <w:rsid w:val="00C6554A"/>
    <w:rsid w:val="00C6626B"/>
    <w:rsid w:val="00C6647D"/>
    <w:rsid w:val="00C66C6F"/>
    <w:rsid w:val="00C67500"/>
    <w:rsid w:val="00C6782A"/>
    <w:rsid w:val="00C67D2C"/>
    <w:rsid w:val="00C7061E"/>
    <w:rsid w:val="00C70E59"/>
    <w:rsid w:val="00C712E7"/>
    <w:rsid w:val="00C730B0"/>
    <w:rsid w:val="00C74873"/>
    <w:rsid w:val="00C74BF7"/>
    <w:rsid w:val="00C74F13"/>
    <w:rsid w:val="00C7541F"/>
    <w:rsid w:val="00C75E74"/>
    <w:rsid w:val="00C7688C"/>
    <w:rsid w:val="00C76B96"/>
    <w:rsid w:val="00C7707E"/>
    <w:rsid w:val="00C770CB"/>
    <w:rsid w:val="00C77892"/>
    <w:rsid w:val="00C77A0B"/>
    <w:rsid w:val="00C8040D"/>
    <w:rsid w:val="00C80E6E"/>
    <w:rsid w:val="00C81456"/>
    <w:rsid w:val="00C81AA6"/>
    <w:rsid w:val="00C82618"/>
    <w:rsid w:val="00C82FA3"/>
    <w:rsid w:val="00C82FE2"/>
    <w:rsid w:val="00C83218"/>
    <w:rsid w:val="00C8445B"/>
    <w:rsid w:val="00C84B83"/>
    <w:rsid w:val="00C84F2E"/>
    <w:rsid w:val="00C84FBE"/>
    <w:rsid w:val="00C871A8"/>
    <w:rsid w:val="00C90640"/>
    <w:rsid w:val="00C913AB"/>
    <w:rsid w:val="00C91D82"/>
    <w:rsid w:val="00C927F2"/>
    <w:rsid w:val="00C94909"/>
    <w:rsid w:val="00C95026"/>
    <w:rsid w:val="00C950E5"/>
    <w:rsid w:val="00C95865"/>
    <w:rsid w:val="00C95908"/>
    <w:rsid w:val="00C95F21"/>
    <w:rsid w:val="00C96D38"/>
    <w:rsid w:val="00C96E45"/>
    <w:rsid w:val="00C97100"/>
    <w:rsid w:val="00C97678"/>
    <w:rsid w:val="00C97AA1"/>
    <w:rsid w:val="00C97E9F"/>
    <w:rsid w:val="00CA0304"/>
    <w:rsid w:val="00CA03F9"/>
    <w:rsid w:val="00CA0551"/>
    <w:rsid w:val="00CA1052"/>
    <w:rsid w:val="00CA1491"/>
    <w:rsid w:val="00CA1F1B"/>
    <w:rsid w:val="00CA22EC"/>
    <w:rsid w:val="00CA3344"/>
    <w:rsid w:val="00CA3FAB"/>
    <w:rsid w:val="00CA4A92"/>
    <w:rsid w:val="00CA4DDD"/>
    <w:rsid w:val="00CA52BA"/>
    <w:rsid w:val="00CA5830"/>
    <w:rsid w:val="00CA6E96"/>
    <w:rsid w:val="00CA770F"/>
    <w:rsid w:val="00CB1A83"/>
    <w:rsid w:val="00CB1B85"/>
    <w:rsid w:val="00CB34AC"/>
    <w:rsid w:val="00CB3680"/>
    <w:rsid w:val="00CB36B5"/>
    <w:rsid w:val="00CB460B"/>
    <w:rsid w:val="00CB4834"/>
    <w:rsid w:val="00CB54E0"/>
    <w:rsid w:val="00CB60FA"/>
    <w:rsid w:val="00CB753C"/>
    <w:rsid w:val="00CC014A"/>
    <w:rsid w:val="00CC0257"/>
    <w:rsid w:val="00CC36CF"/>
    <w:rsid w:val="00CC3C83"/>
    <w:rsid w:val="00CC3E50"/>
    <w:rsid w:val="00CC4485"/>
    <w:rsid w:val="00CC480E"/>
    <w:rsid w:val="00CC527D"/>
    <w:rsid w:val="00CC53BE"/>
    <w:rsid w:val="00CC6507"/>
    <w:rsid w:val="00CC66FC"/>
    <w:rsid w:val="00CC6A1C"/>
    <w:rsid w:val="00CC6B33"/>
    <w:rsid w:val="00CC7924"/>
    <w:rsid w:val="00CD022A"/>
    <w:rsid w:val="00CD17B8"/>
    <w:rsid w:val="00CD19AA"/>
    <w:rsid w:val="00CD27B9"/>
    <w:rsid w:val="00CD2C5D"/>
    <w:rsid w:val="00CD31DC"/>
    <w:rsid w:val="00CD4C84"/>
    <w:rsid w:val="00CD539D"/>
    <w:rsid w:val="00CD5D6B"/>
    <w:rsid w:val="00CD676E"/>
    <w:rsid w:val="00CE0CF7"/>
    <w:rsid w:val="00CE11FA"/>
    <w:rsid w:val="00CE188C"/>
    <w:rsid w:val="00CE1B81"/>
    <w:rsid w:val="00CE1D3D"/>
    <w:rsid w:val="00CE2FE9"/>
    <w:rsid w:val="00CE423A"/>
    <w:rsid w:val="00CE589A"/>
    <w:rsid w:val="00CE6014"/>
    <w:rsid w:val="00CE7703"/>
    <w:rsid w:val="00CE78E0"/>
    <w:rsid w:val="00CF07FC"/>
    <w:rsid w:val="00CF0A82"/>
    <w:rsid w:val="00CF139D"/>
    <w:rsid w:val="00CF18A5"/>
    <w:rsid w:val="00CF26EA"/>
    <w:rsid w:val="00CF2E4E"/>
    <w:rsid w:val="00CF3AC5"/>
    <w:rsid w:val="00CF3CE3"/>
    <w:rsid w:val="00CF6F04"/>
    <w:rsid w:val="00CF6F52"/>
    <w:rsid w:val="00CF7149"/>
    <w:rsid w:val="00CF7A7C"/>
    <w:rsid w:val="00D005D9"/>
    <w:rsid w:val="00D00D21"/>
    <w:rsid w:val="00D01A31"/>
    <w:rsid w:val="00D04977"/>
    <w:rsid w:val="00D04B68"/>
    <w:rsid w:val="00D055A6"/>
    <w:rsid w:val="00D06254"/>
    <w:rsid w:val="00D06906"/>
    <w:rsid w:val="00D07ED3"/>
    <w:rsid w:val="00D112B4"/>
    <w:rsid w:val="00D11B85"/>
    <w:rsid w:val="00D11EAD"/>
    <w:rsid w:val="00D12152"/>
    <w:rsid w:val="00D1315E"/>
    <w:rsid w:val="00D13381"/>
    <w:rsid w:val="00D14AED"/>
    <w:rsid w:val="00D14C68"/>
    <w:rsid w:val="00D161B6"/>
    <w:rsid w:val="00D16651"/>
    <w:rsid w:val="00D16AB5"/>
    <w:rsid w:val="00D16FD7"/>
    <w:rsid w:val="00D17D95"/>
    <w:rsid w:val="00D212D7"/>
    <w:rsid w:val="00D2179B"/>
    <w:rsid w:val="00D217F5"/>
    <w:rsid w:val="00D21FBA"/>
    <w:rsid w:val="00D2233A"/>
    <w:rsid w:val="00D231E4"/>
    <w:rsid w:val="00D2357C"/>
    <w:rsid w:val="00D23993"/>
    <w:rsid w:val="00D23C09"/>
    <w:rsid w:val="00D25507"/>
    <w:rsid w:val="00D259A7"/>
    <w:rsid w:val="00D25EF0"/>
    <w:rsid w:val="00D2620B"/>
    <w:rsid w:val="00D26461"/>
    <w:rsid w:val="00D31AB9"/>
    <w:rsid w:val="00D321E5"/>
    <w:rsid w:val="00D329E5"/>
    <w:rsid w:val="00D32A1E"/>
    <w:rsid w:val="00D32E79"/>
    <w:rsid w:val="00D331A6"/>
    <w:rsid w:val="00D347C5"/>
    <w:rsid w:val="00D35228"/>
    <w:rsid w:val="00D36013"/>
    <w:rsid w:val="00D361FD"/>
    <w:rsid w:val="00D365F8"/>
    <w:rsid w:val="00D36AA0"/>
    <w:rsid w:val="00D42C48"/>
    <w:rsid w:val="00D43A25"/>
    <w:rsid w:val="00D47314"/>
    <w:rsid w:val="00D47955"/>
    <w:rsid w:val="00D47A1B"/>
    <w:rsid w:val="00D47B54"/>
    <w:rsid w:val="00D5061A"/>
    <w:rsid w:val="00D5134D"/>
    <w:rsid w:val="00D51811"/>
    <w:rsid w:val="00D5290F"/>
    <w:rsid w:val="00D53A69"/>
    <w:rsid w:val="00D542CB"/>
    <w:rsid w:val="00D5608D"/>
    <w:rsid w:val="00D560EC"/>
    <w:rsid w:val="00D57254"/>
    <w:rsid w:val="00D575A5"/>
    <w:rsid w:val="00D57619"/>
    <w:rsid w:val="00D609E9"/>
    <w:rsid w:val="00D6277F"/>
    <w:rsid w:val="00D62CC2"/>
    <w:rsid w:val="00D63BAD"/>
    <w:rsid w:val="00D642A5"/>
    <w:rsid w:val="00D64890"/>
    <w:rsid w:val="00D6741F"/>
    <w:rsid w:val="00D67CDF"/>
    <w:rsid w:val="00D70CB6"/>
    <w:rsid w:val="00D70CE0"/>
    <w:rsid w:val="00D70CED"/>
    <w:rsid w:val="00D71280"/>
    <w:rsid w:val="00D72758"/>
    <w:rsid w:val="00D72DF0"/>
    <w:rsid w:val="00D73C2C"/>
    <w:rsid w:val="00D74361"/>
    <w:rsid w:val="00D74D35"/>
    <w:rsid w:val="00D74E4B"/>
    <w:rsid w:val="00D754D6"/>
    <w:rsid w:val="00D755A7"/>
    <w:rsid w:val="00D76248"/>
    <w:rsid w:val="00D77DD4"/>
    <w:rsid w:val="00D80A64"/>
    <w:rsid w:val="00D81236"/>
    <w:rsid w:val="00D814EC"/>
    <w:rsid w:val="00D81951"/>
    <w:rsid w:val="00D82154"/>
    <w:rsid w:val="00D822DB"/>
    <w:rsid w:val="00D8373A"/>
    <w:rsid w:val="00D857C8"/>
    <w:rsid w:val="00D86D78"/>
    <w:rsid w:val="00D87659"/>
    <w:rsid w:val="00D879FC"/>
    <w:rsid w:val="00D907E3"/>
    <w:rsid w:val="00D9263A"/>
    <w:rsid w:val="00D93609"/>
    <w:rsid w:val="00D93FEA"/>
    <w:rsid w:val="00D94D5C"/>
    <w:rsid w:val="00D94FA8"/>
    <w:rsid w:val="00D95FDF"/>
    <w:rsid w:val="00D9666B"/>
    <w:rsid w:val="00D97C37"/>
    <w:rsid w:val="00D97C7C"/>
    <w:rsid w:val="00DA04E5"/>
    <w:rsid w:val="00DA16CB"/>
    <w:rsid w:val="00DA1993"/>
    <w:rsid w:val="00DA240D"/>
    <w:rsid w:val="00DA3442"/>
    <w:rsid w:val="00DA5016"/>
    <w:rsid w:val="00DA609B"/>
    <w:rsid w:val="00DA690E"/>
    <w:rsid w:val="00DA6A3D"/>
    <w:rsid w:val="00DA6C1E"/>
    <w:rsid w:val="00DA7038"/>
    <w:rsid w:val="00DB0363"/>
    <w:rsid w:val="00DB0841"/>
    <w:rsid w:val="00DB1098"/>
    <w:rsid w:val="00DB29CE"/>
    <w:rsid w:val="00DB2A20"/>
    <w:rsid w:val="00DB2D5C"/>
    <w:rsid w:val="00DB37B2"/>
    <w:rsid w:val="00DB4030"/>
    <w:rsid w:val="00DB4E0B"/>
    <w:rsid w:val="00DB6049"/>
    <w:rsid w:val="00DB6164"/>
    <w:rsid w:val="00DB67E3"/>
    <w:rsid w:val="00DB6824"/>
    <w:rsid w:val="00DB70EB"/>
    <w:rsid w:val="00DB7DD0"/>
    <w:rsid w:val="00DC0212"/>
    <w:rsid w:val="00DC04F7"/>
    <w:rsid w:val="00DC091A"/>
    <w:rsid w:val="00DC0DA8"/>
    <w:rsid w:val="00DC15A5"/>
    <w:rsid w:val="00DC1C27"/>
    <w:rsid w:val="00DC259E"/>
    <w:rsid w:val="00DC26BB"/>
    <w:rsid w:val="00DC319F"/>
    <w:rsid w:val="00DC38FB"/>
    <w:rsid w:val="00DC3B59"/>
    <w:rsid w:val="00DC3DB0"/>
    <w:rsid w:val="00DC4B1E"/>
    <w:rsid w:val="00DC4CEA"/>
    <w:rsid w:val="00DC51FE"/>
    <w:rsid w:val="00DD0292"/>
    <w:rsid w:val="00DD07CF"/>
    <w:rsid w:val="00DD2527"/>
    <w:rsid w:val="00DD3087"/>
    <w:rsid w:val="00DD3A7D"/>
    <w:rsid w:val="00DD3B35"/>
    <w:rsid w:val="00DD421B"/>
    <w:rsid w:val="00DD4506"/>
    <w:rsid w:val="00DD4A81"/>
    <w:rsid w:val="00DD4E87"/>
    <w:rsid w:val="00DD6214"/>
    <w:rsid w:val="00DD681F"/>
    <w:rsid w:val="00DD6911"/>
    <w:rsid w:val="00DD7785"/>
    <w:rsid w:val="00DD7E77"/>
    <w:rsid w:val="00DE03B3"/>
    <w:rsid w:val="00DE11EF"/>
    <w:rsid w:val="00DE1621"/>
    <w:rsid w:val="00DE21ED"/>
    <w:rsid w:val="00DE3213"/>
    <w:rsid w:val="00DE32E2"/>
    <w:rsid w:val="00DE3CAA"/>
    <w:rsid w:val="00DE4BCF"/>
    <w:rsid w:val="00DE6537"/>
    <w:rsid w:val="00DE6889"/>
    <w:rsid w:val="00DE75A8"/>
    <w:rsid w:val="00DF0077"/>
    <w:rsid w:val="00DF16BF"/>
    <w:rsid w:val="00DF27C0"/>
    <w:rsid w:val="00DF3191"/>
    <w:rsid w:val="00DF4826"/>
    <w:rsid w:val="00DF4CCA"/>
    <w:rsid w:val="00DF6F72"/>
    <w:rsid w:val="00DF7A2A"/>
    <w:rsid w:val="00E00278"/>
    <w:rsid w:val="00E005C6"/>
    <w:rsid w:val="00E00B32"/>
    <w:rsid w:val="00E01CCC"/>
    <w:rsid w:val="00E0218F"/>
    <w:rsid w:val="00E022F1"/>
    <w:rsid w:val="00E032F0"/>
    <w:rsid w:val="00E038E1"/>
    <w:rsid w:val="00E0397D"/>
    <w:rsid w:val="00E056BA"/>
    <w:rsid w:val="00E0631A"/>
    <w:rsid w:val="00E06488"/>
    <w:rsid w:val="00E06CBF"/>
    <w:rsid w:val="00E070AC"/>
    <w:rsid w:val="00E074F8"/>
    <w:rsid w:val="00E07F2F"/>
    <w:rsid w:val="00E1012A"/>
    <w:rsid w:val="00E10306"/>
    <w:rsid w:val="00E10600"/>
    <w:rsid w:val="00E107E4"/>
    <w:rsid w:val="00E1382E"/>
    <w:rsid w:val="00E14814"/>
    <w:rsid w:val="00E16982"/>
    <w:rsid w:val="00E16B2C"/>
    <w:rsid w:val="00E17031"/>
    <w:rsid w:val="00E178F2"/>
    <w:rsid w:val="00E21C39"/>
    <w:rsid w:val="00E23BF3"/>
    <w:rsid w:val="00E23C19"/>
    <w:rsid w:val="00E24779"/>
    <w:rsid w:val="00E261D4"/>
    <w:rsid w:val="00E31286"/>
    <w:rsid w:val="00E312AA"/>
    <w:rsid w:val="00E31429"/>
    <w:rsid w:val="00E31795"/>
    <w:rsid w:val="00E317F5"/>
    <w:rsid w:val="00E32181"/>
    <w:rsid w:val="00E344E5"/>
    <w:rsid w:val="00E3516B"/>
    <w:rsid w:val="00E356F4"/>
    <w:rsid w:val="00E36CA8"/>
    <w:rsid w:val="00E36DBF"/>
    <w:rsid w:val="00E37028"/>
    <w:rsid w:val="00E37D8A"/>
    <w:rsid w:val="00E40C74"/>
    <w:rsid w:val="00E415C2"/>
    <w:rsid w:val="00E42E81"/>
    <w:rsid w:val="00E45E68"/>
    <w:rsid w:val="00E466E5"/>
    <w:rsid w:val="00E50522"/>
    <w:rsid w:val="00E50F30"/>
    <w:rsid w:val="00E5101C"/>
    <w:rsid w:val="00E513C0"/>
    <w:rsid w:val="00E51769"/>
    <w:rsid w:val="00E519F8"/>
    <w:rsid w:val="00E51AB0"/>
    <w:rsid w:val="00E51DC0"/>
    <w:rsid w:val="00E52151"/>
    <w:rsid w:val="00E5398B"/>
    <w:rsid w:val="00E542F0"/>
    <w:rsid w:val="00E542F9"/>
    <w:rsid w:val="00E5459F"/>
    <w:rsid w:val="00E54E0D"/>
    <w:rsid w:val="00E55E00"/>
    <w:rsid w:val="00E56FE0"/>
    <w:rsid w:val="00E571C5"/>
    <w:rsid w:val="00E57AB5"/>
    <w:rsid w:val="00E57D11"/>
    <w:rsid w:val="00E57E14"/>
    <w:rsid w:val="00E60D6A"/>
    <w:rsid w:val="00E61060"/>
    <w:rsid w:val="00E61A88"/>
    <w:rsid w:val="00E6309C"/>
    <w:rsid w:val="00E633EB"/>
    <w:rsid w:val="00E63C8E"/>
    <w:rsid w:val="00E64982"/>
    <w:rsid w:val="00E64E8C"/>
    <w:rsid w:val="00E65614"/>
    <w:rsid w:val="00E6627C"/>
    <w:rsid w:val="00E67486"/>
    <w:rsid w:val="00E67578"/>
    <w:rsid w:val="00E67D94"/>
    <w:rsid w:val="00E70AE7"/>
    <w:rsid w:val="00E70F8F"/>
    <w:rsid w:val="00E71645"/>
    <w:rsid w:val="00E72423"/>
    <w:rsid w:val="00E728FB"/>
    <w:rsid w:val="00E7329A"/>
    <w:rsid w:val="00E737A7"/>
    <w:rsid w:val="00E740F9"/>
    <w:rsid w:val="00E7485B"/>
    <w:rsid w:val="00E75530"/>
    <w:rsid w:val="00E755E2"/>
    <w:rsid w:val="00E76A3B"/>
    <w:rsid w:val="00E76FE9"/>
    <w:rsid w:val="00E80DFC"/>
    <w:rsid w:val="00E81F78"/>
    <w:rsid w:val="00E83546"/>
    <w:rsid w:val="00E83FB2"/>
    <w:rsid w:val="00E842BF"/>
    <w:rsid w:val="00E84868"/>
    <w:rsid w:val="00E856CF"/>
    <w:rsid w:val="00E857F6"/>
    <w:rsid w:val="00E85AA1"/>
    <w:rsid w:val="00E8769C"/>
    <w:rsid w:val="00E902BB"/>
    <w:rsid w:val="00E92221"/>
    <w:rsid w:val="00E93B90"/>
    <w:rsid w:val="00E958C1"/>
    <w:rsid w:val="00E95CEC"/>
    <w:rsid w:val="00E968C0"/>
    <w:rsid w:val="00E97E59"/>
    <w:rsid w:val="00EA08DC"/>
    <w:rsid w:val="00EA0F26"/>
    <w:rsid w:val="00EA0FE9"/>
    <w:rsid w:val="00EA1438"/>
    <w:rsid w:val="00EA19AC"/>
    <w:rsid w:val="00EA2181"/>
    <w:rsid w:val="00EA3723"/>
    <w:rsid w:val="00EA4113"/>
    <w:rsid w:val="00EA4249"/>
    <w:rsid w:val="00EA49D9"/>
    <w:rsid w:val="00EA6316"/>
    <w:rsid w:val="00EA67AF"/>
    <w:rsid w:val="00EA6F36"/>
    <w:rsid w:val="00EA7DD1"/>
    <w:rsid w:val="00EB0729"/>
    <w:rsid w:val="00EB0BF1"/>
    <w:rsid w:val="00EB163D"/>
    <w:rsid w:val="00EB2196"/>
    <w:rsid w:val="00EB241A"/>
    <w:rsid w:val="00EB31D5"/>
    <w:rsid w:val="00EB3E69"/>
    <w:rsid w:val="00EB5471"/>
    <w:rsid w:val="00EB6448"/>
    <w:rsid w:val="00EB6817"/>
    <w:rsid w:val="00EB6D10"/>
    <w:rsid w:val="00EB7FCF"/>
    <w:rsid w:val="00EC1829"/>
    <w:rsid w:val="00EC1B96"/>
    <w:rsid w:val="00EC2A5D"/>
    <w:rsid w:val="00EC3C51"/>
    <w:rsid w:val="00EC3EC5"/>
    <w:rsid w:val="00EC3EC7"/>
    <w:rsid w:val="00EC4393"/>
    <w:rsid w:val="00EC49E6"/>
    <w:rsid w:val="00EC60FE"/>
    <w:rsid w:val="00EC7213"/>
    <w:rsid w:val="00EC7EE1"/>
    <w:rsid w:val="00ED093A"/>
    <w:rsid w:val="00ED1702"/>
    <w:rsid w:val="00ED20F9"/>
    <w:rsid w:val="00ED28C9"/>
    <w:rsid w:val="00ED3E19"/>
    <w:rsid w:val="00ED41EB"/>
    <w:rsid w:val="00ED439C"/>
    <w:rsid w:val="00ED48DA"/>
    <w:rsid w:val="00ED4AF8"/>
    <w:rsid w:val="00ED673A"/>
    <w:rsid w:val="00ED6F37"/>
    <w:rsid w:val="00ED749C"/>
    <w:rsid w:val="00EE01A1"/>
    <w:rsid w:val="00EE10A9"/>
    <w:rsid w:val="00EE201A"/>
    <w:rsid w:val="00EE211D"/>
    <w:rsid w:val="00EE2642"/>
    <w:rsid w:val="00EE2A35"/>
    <w:rsid w:val="00EE2AD7"/>
    <w:rsid w:val="00EE46CA"/>
    <w:rsid w:val="00EE4CBD"/>
    <w:rsid w:val="00EE4D87"/>
    <w:rsid w:val="00EE54B0"/>
    <w:rsid w:val="00EF015E"/>
    <w:rsid w:val="00EF03DD"/>
    <w:rsid w:val="00EF0B69"/>
    <w:rsid w:val="00EF1428"/>
    <w:rsid w:val="00EF1C2B"/>
    <w:rsid w:val="00EF24BD"/>
    <w:rsid w:val="00EF520F"/>
    <w:rsid w:val="00EF5DA9"/>
    <w:rsid w:val="00EF6191"/>
    <w:rsid w:val="00EF6257"/>
    <w:rsid w:val="00EF64C3"/>
    <w:rsid w:val="00EF672D"/>
    <w:rsid w:val="00EF6D52"/>
    <w:rsid w:val="00EF72CD"/>
    <w:rsid w:val="00F00D3B"/>
    <w:rsid w:val="00F0164A"/>
    <w:rsid w:val="00F01A0A"/>
    <w:rsid w:val="00F0329C"/>
    <w:rsid w:val="00F0332F"/>
    <w:rsid w:val="00F0362C"/>
    <w:rsid w:val="00F036C3"/>
    <w:rsid w:val="00F044CA"/>
    <w:rsid w:val="00F04941"/>
    <w:rsid w:val="00F04D06"/>
    <w:rsid w:val="00F04DDA"/>
    <w:rsid w:val="00F06502"/>
    <w:rsid w:val="00F067F2"/>
    <w:rsid w:val="00F07E25"/>
    <w:rsid w:val="00F07E29"/>
    <w:rsid w:val="00F10580"/>
    <w:rsid w:val="00F13A40"/>
    <w:rsid w:val="00F13B44"/>
    <w:rsid w:val="00F140D0"/>
    <w:rsid w:val="00F1578F"/>
    <w:rsid w:val="00F168F2"/>
    <w:rsid w:val="00F17112"/>
    <w:rsid w:val="00F17155"/>
    <w:rsid w:val="00F204E0"/>
    <w:rsid w:val="00F23760"/>
    <w:rsid w:val="00F2561B"/>
    <w:rsid w:val="00F27904"/>
    <w:rsid w:val="00F3049C"/>
    <w:rsid w:val="00F3126D"/>
    <w:rsid w:val="00F3133B"/>
    <w:rsid w:val="00F31764"/>
    <w:rsid w:val="00F31D7E"/>
    <w:rsid w:val="00F32032"/>
    <w:rsid w:val="00F32720"/>
    <w:rsid w:val="00F32D6B"/>
    <w:rsid w:val="00F339DE"/>
    <w:rsid w:val="00F34267"/>
    <w:rsid w:val="00F34C8D"/>
    <w:rsid w:val="00F351B9"/>
    <w:rsid w:val="00F35643"/>
    <w:rsid w:val="00F35FE4"/>
    <w:rsid w:val="00F36098"/>
    <w:rsid w:val="00F36C3C"/>
    <w:rsid w:val="00F407CE"/>
    <w:rsid w:val="00F408A7"/>
    <w:rsid w:val="00F409AF"/>
    <w:rsid w:val="00F40BE1"/>
    <w:rsid w:val="00F40E66"/>
    <w:rsid w:val="00F40F5E"/>
    <w:rsid w:val="00F411CF"/>
    <w:rsid w:val="00F41BE2"/>
    <w:rsid w:val="00F41F10"/>
    <w:rsid w:val="00F43DE1"/>
    <w:rsid w:val="00F441DA"/>
    <w:rsid w:val="00F44A5D"/>
    <w:rsid w:val="00F44A96"/>
    <w:rsid w:val="00F44BD1"/>
    <w:rsid w:val="00F44E31"/>
    <w:rsid w:val="00F451FB"/>
    <w:rsid w:val="00F4547A"/>
    <w:rsid w:val="00F46D27"/>
    <w:rsid w:val="00F5000D"/>
    <w:rsid w:val="00F50F59"/>
    <w:rsid w:val="00F531CF"/>
    <w:rsid w:val="00F544C0"/>
    <w:rsid w:val="00F5464E"/>
    <w:rsid w:val="00F56186"/>
    <w:rsid w:val="00F57098"/>
    <w:rsid w:val="00F608EA"/>
    <w:rsid w:val="00F60B11"/>
    <w:rsid w:val="00F619A4"/>
    <w:rsid w:val="00F61EF7"/>
    <w:rsid w:val="00F62272"/>
    <w:rsid w:val="00F625AA"/>
    <w:rsid w:val="00F62D1A"/>
    <w:rsid w:val="00F64981"/>
    <w:rsid w:val="00F65377"/>
    <w:rsid w:val="00F6599B"/>
    <w:rsid w:val="00F659A2"/>
    <w:rsid w:val="00F661CA"/>
    <w:rsid w:val="00F67049"/>
    <w:rsid w:val="00F6767D"/>
    <w:rsid w:val="00F702CE"/>
    <w:rsid w:val="00F70DAB"/>
    <w:rsid w:val="00F716AD"/>
    <w:rsid w:val="00F73072"/>
    <w:rsid w:val="00F7527D"/>
    <w:rsid w:val="00F75824"/>
    <w:rsid w:val="00F773E0"/>
    <w:rsid w:val="00F7796C"/>
    <w:rsid w:val="00F80875"/>
    <w:rsid w:val="00F814B1"/>
    <w:rsid w:val="00F81C92"/>
    <w:rsid w:val="00F826CF"/>
    <w:rsid w:val="00F82A50"/>
    <w:rsid w:val="00F83220"/>
    <w:rsid w:val="00F83928"/>
    <w:rsid w:val="00F84516"/>
    <w:rsid w:val="00F86B6F"/>
    <w:rsid w:val="00F86D74"/>
    <w:rsid w:val="00F87D36"/>
    <w:rsid w:val="00F90CD2"/>
    <w:rsid w:val="00F90E91"/>
    <w:rsid w:val="00F919F5"/>
    <w:rsid w:val="00F921A7"/>
    <w:rsid w:val="00F93606"/>
    <w:rsid w:val="00F93DD9"/>
    <w:rsid w:val="00F94A98"/>
    <w:rsid w:val="00F94DD8"/>
    <w:rsid w:val="00F9591A"/>
    <w:rsid w:val="00F969A7"/>
    <w:rsid w:val="00F96AA5"/>
    <w:rsid w:val="00FA0491"/>
    <w:rsid w:val="00FA0A33"/>
    <w:rsid w:val="00FA0CA0"/>
    <w:rsid w:val="00FA21CD"/>
    <w:rsid w:val="00FA31F4"/>
    <w:rsid w:val="00FA349C"/>
    <w:rsid w:val="00FA42D0"/>
    <w:rsid w:val="00FA5E30"/>
    <w:rsid w:val="00FA6433"/>
    <w:rsid w:val="00FA6505"/>
    <w:rsid w:val="00FA6CEF"/>
    <w:rsid w:val="00FA6E46"/>
    <w:rsid w:val="00FA74D7"/>
    <w:rsid w:val="00FB00F6"/>
    <w:rsid w:val="00FB0618"/>
    <w:rsid w:val="00FB1543"/>
    <w:rsid w:val="00FB2CBA"/>
    <w:rsid w:val="00FB365C"/>
    <w:rsid w:val="00FB37CC"/>
    <w:rsid w:val="00FB496C"/>
    <w:rsid w:val="00FB5332"/>
    <w:rsid w:val="00FB6BFB"/>
    <w:rsid w:val="00FB7647"/>
    <w:rsid w:val="00FC153E"/>
    <w:rsid w:val="00FC1689"/>
    <w:rsid w:val="00FC2A22"/>
    <w:rsid w:val="00FC3138"/>
    <w:rsid w:val="00FC40EC"/>
    <w:rsid w:val="00FC42C7"/>
    <w:rsid w:val="00FC518D"/>
    <w:rsid w:val="00FC5B84"/>
    <w:rsid w:val="00FC5E47"/>
    <w:rsid w:val="00FC5ED7"/>
    <w:rsid w:val="00FC6033"/>
    <w:rsid w:val="00FC60F8"/>
    <w:rsid w:val="00FC6D71"/>
    <w:rsid w:val="00FC7355"/>
    <w:rsid w:val="00FC7C6E"/>
    <w:rsid w:val="00FD23A6"/>
    <w:rsid w:val="00FD40D6"/>
    <w:rsid w:val="00FD4439"/>
    <w:rsid w:val="00FD4A30"/>
    <w:rsid w:val="00FD4FF8"/>
    <w:rsid w:val="00FD5B21"/>
    <w:rsid w:val="00FD5C80"/>
    <w:rsid w:val="00FD5FDE"/>
    <w:rsid w:val="00FD629D"/>
    <w:rsid w:val="00FD66A1"/>
    <w:rsid w:val="00FD68C4"/>
    <w:rsid w:val="00FE1373"/>
    <w:rsid w:val="00FE1DD3"/>
    <w:rsid w:val="00FE26AC"/>
    <w:rsid w:val="00FE348F"/>
    <w:rsid w:val="00FE37A2"/>
    <w:rsid w:val="00FE474D"/>
    <w:rsid w:val="00FE4A86"/>
    <w:rsid w:val="00FE59C5"/>
    <w:rsid w:val="00FE5CDD"/>
    <w:rsid w:val="00FE6306"/>
    <w:rsid w:val="00FE7AE7"/>
    <w:rsid w:val="00FF016B"/>
    <w:rsid w:val="00FF0289"/>
    <w:rsid w:val="00FF0D13"/>
    <w:rsid w:val="00FF2FB7"/>
    <w:rsid w:val="00FF3719"/>
    <w:rsid w:val="00FF4394"/>
    <w:rsid w:val="00FF4B71"/>
    <w:rsid w:val="00FF5F39"/>
    <w:rsid w:val="00FF6055"/>
    <w:rsid w:val="00FF6615"/>
    <w:rsid w:val="00FF759C"/>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19118E"/>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7"/>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7"/>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7"/>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7"/>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7"/>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7"/>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7"/>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7"/>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7"/>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spacing w:before="12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 w:type="paragraph" w:customStyle="1" w:styleId="LetterAuthor">
    <w:name w:val="Letter Author"/>
    <w:basedOn w:val="Normal"/>
    <w:link w:val="LetterAuthorChar"/>
    <w:qFormat/>
    <w:rsid w:val="00EA2181"/>
    <w:pPr>
      <w:spacing w:before="0" w:line="240" w:lineRule="auto"/>
      <w:ind w:right="567"/>
    </w:pPr>
    <w:rPr>
      <w:rFonts w:eastAsia="Times New Roman" w:cs="Times New Roman"/>
      <w:szCs w:val="24"/>
      <w:lang w:eastAsia="en-AU"/>
    </w:rPr>
  </w:style>
  <w:style w:type="character" w:customStyle="1" w:styleId="LetterAuthorChar">
    <w:name w:val="Letter Author Char"/>
    <w:basedOn w:val="DefaultParagraphFont"/>
    <w:link w:val="LetterAuthor"/>
    <w:rsid w:val="00EA2181"/>
    <w:rPr>
      <w:rFonts w:ascii="Arial" w:eastAsia="Times New Roman" w:hAnsi="Arial" w:cs="Times New Roman"/>
      <w:szCs w:val="24"/>
      <w:lang w:eastAsia="en-AU"/>
    </w:rPr>
  </w:style>
  <w:style w:type="paragraph" w:customStyle="1" w:styleId="AERbodytext">
    <w:name w:val="AER body text"/>
    <w:basedOn w:val="Normal"/>
    <w:link w:val="AERbodytextChar"/>
    <w:qFormat/>
    <w:rsid w:val="00EA2181"/>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EA2181"/>
    <w:rPr>
      <w:rFonts w:ascii="Arial" w:eastAsia="Times New Roman" w:hAnsi="Arial" w:cs="Times New Roman"/>
      <w:szCs w:val="20"/>
      <w:lang w:eastAsia="en-AU"/>
    </w:rPr>
  </w:style>
  <w:style w:type="paragraph" w:customStyle="1" w:styleId="AERbulletlistsecondstyle">
    <w:name w:val="AER bullet list (second style)"/>
    <w:basedOn w:val="AERbodytext"/>
    <w:qFormat/>
    <w:rsid w:val="006527E0"/>
    <w:pPr>
      <w:numPr>
        <w:numId w:val="25"/>
      </w:numPr>
      <w:spacing w:after="200" w:line="288" w:lineRule="auto"/>
      <w:ind w:right="0"/>
      <w:jc w:val="both"/>
    </w:pPr>
    <w:rPr>
      <w:rFonts w:ascii="Gautami" w:hAnsi="Gautami"/>
      <w:sz w:val="20"/>
      <w:szCs w:val="24"/>
      <w:lang w:eastAsia="en-US"/>
    </w:rPr>
  </w:style>
  <w:style w:type="paragraph" w:styleId="NormalWeb">
    <w:name w:val="Normal (Web)"/>
    <w:basedOn w:val="Normal"/>
    <w:uiPriority w:val="99"/>
    <w:unhideWhenUsed/>
    <w:rsid w:val="001F7D1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AERbodytextCharCharChar">
    <w:name w:val="AER body text Char Char Char"/>
    <w:link w:val="AERbodytextCharCharCharChar"/>
    <w:uiPriority w:val="99"/>
    <w:rsid w:val="00D12152"/>
    <w:pPr>
      <w:spacing w:before="0" w:after="240"/>
    </w:pPr>
    <w:rPr>
      <w:rFonts w:ascii="Times New Roman" w:eastAsia="Times New Roman" w:hAnsi="Times New Roman" w:cs="Times New Roman"/>
      <w:sz w:val="24"/>
      <w:szCs w:val="24"/>
    </w:rPr>
  </w:style>
  <w:style w:type="character" w:customStyle="1" w:styleId="AERbodytextCharCharCharChar">
    <w:name w:val="AER body text Char Char Char Char"/>
    <w:basedOn w:val="DefaultParagraphFont"/>
    <w:link w:val="AERbodytextCharCharChar"/>
    <w:uiPriority w:val="99"/>
    <w:rsid w:val="00D12152"/>
    <w:rPr>
      <w:rFonts w:ascii="Times New Roman" w:eastAsia="Times New Roman" w:hAnsi="Times New Roman" w:cs="Times New Roman"/>
      <w:sz w:val="24"/>
      <w:szCs w:val="24"/>
    </w:rPr>
  </w:style>
  <w:style w:type="paragraph" w:customStyle="1" w:styleId="Numbered1">
    <w:name w:val="Numbered 1"/>
    <w:basedOn w:val="Heading1"/>
    <w:next w:val="Normal"/>
    <w:qFormat/>
    <w:rsid w:val="00565DA0"/>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565DA0"/>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565DA0"/>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565DA0"/>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565DA0"/>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565DA0"/>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565DA0"/>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565DA0"/>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565DA0"/>
    <w:pPr>
      <w:numPr>
        <w:ilvl w:val="0"/>
        <w:numId w:val="0"/>
      </w:numPr>
      <w:tabs>
        <w:tab w:val="clear" w:pos="1701"/>
        <w:tab w:val="left" w:pos="340"/>
        <w:tab w:val="left" w:pos="2381"/>
      </w:tabs>
      <w:spacing w:after="120"/>
      <w:ind w:left="2381" w:hanging="2381"/>
    </w:pPr>
    <w:rPr>
      <w:b/>
      <w:i w:val="0"/>
      <w:color w:val="076A92" w:themeColor="text1"/>
      <w:sz w:val="24"/>
    </w:rPr>
  </w:style>
  <w:style w:type="character" w:customStyle="1" w:styleId="accc-document-title">
    <w:name w:val="accc-document-title"/>
    <w:basedOn w:val="DefaultParagraphFont"/>
    <w:rsid w:val="0060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609">
      <w:bodyDiv w:val="1"/>
      <w:marLeft w:val="0"/>
      <w:marRight w:val="0"/>
      <w:marTop w:val="0"/>
      <w:marBottom w:val="0"/>
      <w:divBdr>
        <w:top w:val="none" w:sz="0" w:space="0" w:color="auto"/>
        <w:left w:val="none" w:sz="0" w:space="0" w:color="auto"/>
        <w:bottom w:val="none" w:sz="0" w:space="0" w:color="auto"/>
        <w:right w:val="none" w:sz="0" w:space="0" w:color="auto"/>
      </w:divBdr>
    </w:div>
    <w:div w:id="39793857">
      <w:bodyDiv w:val="1"/>
      <w:marLeft w:val="0"/>
      <w:marRight w:val="0"/>
      <w:marTop w:val="0"/>
      <w:marBottom w:val="0"/>
      <w:divBdr>
        <w:top w:val="none" w:sz="0" w:space="0" w:color="auto"/>
        <w:left w:val="none" w:sz="0" w:space="0" w:color="auto"/>
        <w:bottom w:val="none" w:sz="0" w:space="0" w:color="auto"/>
        <w:right w:val="none" w:sz="0" w:space="0" w:color="auto"/>
      </w:divBdr>
    </w:div>
    <w:div w:id="104497034">
      <w:bodyDiv w:val="1"/>
      <w:marLeft w:val="0"/>
      <w:marRight w:val="0"/>
      <w:marTop w:val="0"/>
      <w:marBottom w:val="0"/>
      <w:divBdr>
        <w:top w:val="none" w:sz="0" w:space="0" w:color="auto"/>
        <w:left w:val="none" w:sz="0" w:space="0" w:color="auto"/>
        <w:bottom w:val="none" w:sz="0" w:space="0" w:color="auto"/>
        <w:right w:val="none" w:sz="0" w:space="0" w:color="auto"/>
      </w:divBdr>
    </w:div>
    <w:div w:id="112406016">
      <w:bodyDiv w:val="1"/>
      <w:marLeft w:val="0"/>
      <w:marRight w:val="0"/>
      <w:marTop w:val="0"/>
      <w:marBottom w:val="0"/>
      <w:divBdr>
        <w:top w:val="none" w:sz="0" w:space="0" w:color="auto"/>
        <w:left w:val="none" w:sz="0" w:space="0" w:color="auto"/>
        <w:bottom w:val="none" w:sz="0" w:space="0" w:color="auto"/>
        <w:right w:val="none" w:sz="0" w:space="0" w:color="auto"/>
      </w:divBdr>
    </w:div>
    <w:div w:id="188639384">
      <w:bodyDiv w:val="1"/>
      <w:marLeft w:val="0"/>
      <w:marRight w:val="0"/>
      <w:marTop w:val="0"/>
      <w:marBottom w:val="0"/>
      <w:divBdr>
        <w:top w:val="none" w:sz="0" w:space="0" w:color="auto"/>
        <w:left w:val="none" w:sz="0" w:space="0" w:color="auto"/>
        <w:bottom w:val="none" w:sz="0" w:space="0" w:color="auto"/>
        <w:right w:val="none" w:sz="0" w:space="0" w:color="auto"/>
      </w:divBdr>
    </w:div>
    <w:div w:id="260573031">
      <w:bodyDiv w:val="1"/>
      <w:marLeft w:val="0"/>
      <w:marRight w:val="0"/>
      <w:marTop w:val="0"/>
      <w:marBottom w:val="0"/>
      <w:divBdr>
        <w:top w:val="none" w:sz="0" w:space="0" w:color="auto"/>
        <w:left w:val="none" w:sz="0" w:space="0" w:color="auto"/>
        <w:bottom w:val="none" w:sz="0" w:space="0" w:color="auto"/>
        <w:right w:val="none" w:sz="0" w:space="0" w:color="auto"/>
      </w:divBdr>
    </w:div>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13921479">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43161696">
      <w:bodyDiv w:val="1"/>
      <w:marLeft w:val="0"/>
      <w:marRight w:val="0"/>
      <w:marTop w:val="0"/>
      <w:marBottom w:val="0"/>
      <w:divBdr>
        <w:top w:val="none" w:sz="0" w:space="0" w:color="auto"/>
        <w:left w:val="none" w:sz="0" w:space="0" w:color="auto"/>
        <w:bottom w:val="none" w:sz="0" w:space="0" w:color="auto"/>
        <w:right w:val="none" w:sz="0" w:space="0" w:color="auto"/>
      </w:divBdr>
    </w:div>
    <w:div w:id="460463153">
      <w:bodyDiv w:val="1"/>
      <w:marLeft w:val="0"/>
      <w:marRight w:val="0"/>
      <w:marTop w:val="0"/>
      <w:marBottom w:val="0"/>
      <w:divBdr>
        <w:top w:val="none" w:sz="0" w:space="0" w:color="auto"/>
        <w:left w:val="none" w:sz="0" w:space="0" w:color="auto"/>
        <w:bottom w:val="none" w:sz="0" w:space="0" w:color="auto"/>
        <w:right w:val="none" w:sz="0" w:space="0" w:color="auto"/>
      </w:divBdr>
    </w:div>
    <w:div w:id="464549839">
      <w:bodyDiv w:val="1"/>
      <w:marLeft w:val="0"/>
      <w:marRight w:val="0"/>
      <w:marTop w:val="0"/>
      <w:marBottom w:val="0"/>
      <w:divBdr>
        <w:top w:val="none" w:sz="0" w:space="0" w:color="auto"/>
        <w:left w:val="none" w:sz="0" w:space="0" w:color="auto"/>
        <w:bottom w:val="none" w:sz="0" w:space="0" w:color="auto"/>
        <w:right w:val="none" w:sz="0" w:space="0" w:color="auto"/>
      </w:divBdr>
    </w:div>
    <w:div w:id="502866341">
      <w:bodyDiv w:val="1"/>
      <w:marLeft w:val="0"/>
      <w:marRight w:val="0"/>
      <w:marTop w:val="0"/>
      <w:marBottom w:val="0"/>
      <w:divBdr>
        <w:top w:val="none" w:sz="0" w:space="0" w:color="auto"/>
        <w:left w:val="none" w:sz="0" w:space="0" w:color="auto"/>
        <w:bottom w:val="none" w:sz="0" w:space="0" w:color="auto"/>
        <w:right w:val="none" w:sz="0" w:space="0" w:color="auto"/>
      </w:divBdr>
    </w:div>
    <w:div w:id="506870749">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524252517">
      <w:bodyDiv w:val="1"/>
      <w:marLeft w:val="0"/>
      <w:marRight w:val="0"/>
      <w:marTop w:val="0"/>
      <w:marBottom w:val="0"/>
      <w:divBdr>
        <w:top w:val="none" w:sz="0" w:space="0" w:color="auto"/>
        <w:left w:val="none" w:sz="0" w:space="0" w:color="auto"/>
        <w:bottom w:val="none" w:sz="0" w:space="0" w:color="auto"/>
        <w:right w:val="none" w:sz="0" w:space="0" w:color="auto"/>
      </w:divBdr>
    </w:div>
    <w:div w:id="577593999">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13559040">
      <w:bodyDiv w:val="1"/>
      <w:marLeft w:val="0"/>
      <w:marRight w:val="0"/>
      <w:marTop w:val="0"/>
      <w:marBottom w:val="0"/>
      <w:divBdr>
        <w:top w:val="none" w:sz="0" w:space="0" w:color="auto"/>
        <w:left w:val="none" w:sz="0" w:space="0" w:color="auto"/>
        <w:bottom w:val="none" w:sz="0" w:space="0" w:color="auto"/>
        <w:right w:val="none" w:sz="0" w:space="0" w:color="auto"/>
      </w:divBdr>
    </w:div>
    <w:div w:id="628705529">
      <w:bodyDiv w:val="1"/>
      <w:marLeft w:val="0"/>
      <w:marRight w:val="0"/>
      <w:marTop w:val="0"/>
      <w:marBottom w:val="0"/>
      <w:divBdr>
        <w:top w:val="none" w:sz="0" w:space="0" w:color="auto"/>
        <w:left w:val="none" w:sz="0" w:space="0" w:color="auto"/>
        <w:bottom w:val="none" w:sz="0" w:space="0" w:color="auto"/>
        <w:right w:val="none" w:sz="0" w:space="0" w:color="auto"/>
      </w:divBdr>
    </w:div>
    <w:div w:id="642926293">
      <w:bodyDiv w:val="1"/>
      <w:marLeft w:val="0"/>
      <w:marRight w:val="0"/>
      <w:marTop w:val="0"/>
      <w:marBottom w:val="0"/>
      <w:divBdr>
        <w:top w:val="none" w:sz="0" w:space="0" w:color="auto"/>
        <w:left w:val="none" w:sz="0" w:space="0" w:color="auto"/>
        <w:bottom w:val="none" w:sz="0" w:space="0" w:color="auto"/>
        <w:right w:val="none" w:sz="0" w:space="0" w:color="auto"/>
      </w:divBdr>
    </w:div>
    <w:div w:id="643119284">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690379081">
      <w:bodyDiv w:val="1"/>
      <w:marLeft w:val="0"/>
      <w:marRight w:val="0"/>
      <w:marTop w:val="0"/>
      <w:marBottom w:val="0"/>
      <w:divBdr>
        <w:top w:val="none" w:sz="0" w:space="0" w:color="auto"/>
        <w:left w:val="none" w:sz="0" w:space="0" w:color="auto"/>
        <w:bottom w:val="none" w:sz="0" w:space="0" w:color="auto"/>
        <w:right w:val="none" w:sz="0" w:space="0" w:color="auto"/>
      </w:divBdr>
    </w:div>
    <w:div w:id="782499983">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841286235">
      <w:bodyDiv w:val="1"/>
      <w:marLeft w:val="0"/>
      <w:marRight w:val="0"/>
      <w:marTop w:val="0"/>
      <w:marBottom w:val="0"/>
      <w:divBdr>
        <w:top w:val="none" w:sz="0" w:space="0" w:color="auto"/>
        <w:left w:val="none" w:sz="0" w:space="0" w:color="auto"/>
        <w:bottom w:val="none" w:sz="0" w:space="0" w:color="auto"/>
        <w:right w:val="none" w:sz="0" w:space="0" w:color="auto"/>
      </w:divBdr>
    </w:div>
    <w:div w:id="887112731">
      <w:bodyDiv w:val="1"/>
      <w:marLeft w:val="0"/>
      <w:marRight w:val="0"/>
      <w:marTop w:val="0"/>
      <w:marBottom w:val="0"/>
      <w:divBdr>
        <w:top w:val="none" w:sz="0" w:space="0" w:color="auto"/>
        <w:left w:val="none" w:sz="0" w:space="0" w:color="auto"/>
        <w:bottom w:val="none" w:sz="0" w:space="0" w:color="auto"/>
        <w:right w:val="none" w:sz="0" w:space="0" w:color="auto"/>
      </w:divBdr>
    </w:div>
    <w:div w:id="909120428">
      <w:bodyDiv w:val="1"/>
      <w:marLeft w:val="0"/>
      <w:marRight w:val="0"/>
      <w:marTop w:val="0"/>
      <w:marBottom w:val="0"/>
      <w:divBdr>
        <w:top w:val="none" w:sz="0" w:space="0" w:color="auto"/>
        <w:left w:val="none" w:sz="0" w:space="0" w:color="auto"/>
        <w:bottom w:val="none" w:sz="0" w:space="0" w:color="auto"/>
        <w:right w:val="none" w:sz="0" w:space="0" w:color="auto"/>
      </w:divBdr>
    </w:div>
    <w:div w:id="932473912">
      <w:bodyDiv w:val="1"/>
      <w:marLeft w:val="0"/>
      <w:marRight w:val="0"/>
      <w:marTop w:val="0"/>
      <w:marBottom w:val="0"/>
      <w:divBdr>
        <w:top w:val="none" w:sz="0" w:space="0" w:color="auto"/>
        <w:left w:val="none" w:sz="0" w:space="0" w:color="auto"/>
        <w:bottom w:val="none" w:sz="0" w:space="0" w:color="auto"/>
        <w:right w:val="none" w:sz="0" w:space="0" w:color="auto"/>
      </w:divBdr>
    </w:div>
    <w:div w:id="937517988">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977077708">
      <w:bodyDiv w:val="1"/>
      <w:marLeft w:val="0"/>
      <w:marRight w:val="0"/>
      <w:marTop w:val="0"/>
      <w:marBottom w:val="0"/>
      <w:divBdr>
        <w:top w:val="none" w:sz="0" w:space="0" w:color="auto"/>
        <w:left w:val="none" w:sz="0" w:space="0" w:color="auto"/>
        <w:bottom w:val="none" w:sz="0" w:space="0" w:color="auto"/>
        <w:right w:val="none" w:sz="0" w:space="0" w:color="auto"/>
      </w:divBdr>
    </w:div>
    <w:div w:id="104329282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72197191">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74959745">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395156870">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475290815">
      <w:bodyDiv w:val="1"/>
      <w:marLeft w:val="0"/>
      <w:marRight w:val="0"/>
      <w:marTop w:val="0"/>
      <w:marBottom w:val="0"/>
      <w:divBdr>
        <w:top w:val="none" w:sz="0" w:space="0" w:color="auto"/>
        <w:left w:val="none" w:sz="0" w:space="0" w:color="auto"/>
        <w:bottom w:val="none" w:sz="0" w:space="0" w:color="auto"/>
        <w:right w:val="none" w:sz="0" w:space="0" w:color="auto"/>
      </w:divBdr>
    </w:div>
    <w:div w:id="1642617481">
      <w:bodyDiv w:val="1"/>
      <w:marLeft w:val="0"/>
      <w:marRight w:val="0"/>
      <w:marTop w:val="0"/>
      <w:marBottom w:val="0"/>
      <w:divBdr>
        <w:top w:val="none" w:sz="0" w:space="0" w:color="auto"/>
        <w:left w:val="none" w:sz="0" w:space="0" w:color="auto"/>
        <w:bottom w:val="none" w:sz="0" w:space="0" w:color="auto"/>
        <w:right w:val="none" w:sz="0" w:space="0" w:color="auto"/>
      </w:divBdr>
    </w:div>
    <w:div w:id="1672097567">
      <w:bodyDiv w:val="1"/>
      <w:marLeft w:val="0"/>
      <w:marRight w:val="0"/>
      <w:marTop w:val="0"/>
      <w:marBottom w:val="0"/>
      <w:divBdr>
        <w:top w:val="none" w:sz="0" w:space="0" w:color="auto"/>
        <w:left w:val="none" w:sz="0" w:space="0" w:color="auto"/>
        <w:bottom w:val="none" w:sz="0" w:space="0" w:color="auto"/>
        <w:right w:val="none" w:sz="0" w:space="0" w:color="auto"/>
      </w:divBdr>
    </w:div>
    <w:div w:id="1694499801">
      <w:bodyDiv w:val="1"/>
      <w:marLeft w:val="0"/>
      <w:marRight w:val="0"/>
      <w:marTop w:val="0"/>
      <w:marBottom w:val="0"/>
      <w:divBdr>
        <w:top w:val="none" w:sz="0" w:space="0" w:color="auto"/>
        <w:left w:val="none" w:sz="0" w:space="0" w:color="auto"/>
        <w:bottom w:val="none" w:sz="0" w:space="0" w:color="auto"/>
        <w:right w:val="none" w:sz="0" w:space="0" w:color="auto"/>
      </w:divBdr>
    </w:div>
    <w:div w:id="170193517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739326195">
      <w:bodyDiv w:val="1"/>
      <w:marLeft w:val="0"/>
      <w:marRight w:val="0"/>
      <w:marTop w:val="0"/>
      <w:marBottom w:val="0"/>
      <w:divBdr>
        <w:top w:val="none" w:sz="0" w:space="0" w:color="auto"/>
        <w:left w:val="none" w:sz="0" w:space="0" w:color="auto"/>
        <w:bottom w:val="none" w:sz="0" w:space="0" w:color="auto"/>
        <w:right w:val="none" w:sz="0" w:space="0" w:color="auto"/>
      </w:divBdr>
    </w:div>
    <w:div w:id="1740638260">
      <w:bodyDiv w:val="1"/>
      <w:marLeft w:val="0"/>
      <w:marRight w:val="0"/>
      <w:marTop w:val="0"/>
      <w:marBottom w:val="0"/>
      <w:divBdr>
        <w:top w:val="none" w:sz="0" w:space="0" w:color="auto"/>
        <w:left w:val="none" w:sz="0" w:space="0" w:color="auto"/>
        <w:bottom w:val="none" w:sz="0" w:space="0" w:color="auto"/>
        <w:right w:val="none" w:sz="0" w:space="0" w:color="auto"/>
      </w:divBdr>
    </w:div>
    <w:div w:id="1809277209">
      <w:bodyDiv w:val="1"/>
      <w:marLeft w:val="0"/>
      <w:marRight w:val="0"/>
      <w:marTop w:val="0"/>
      <w:marBottom w:val="0"/>
      <w:divBdr>
        <w:top w:val="none" w:sz="0" w:space="0" w:color="auto"/>
        <w:left w:val="none" w:sz="0" w:space="0" w:color="auto"/>
        <w:bottom w:val="none" w:sz="0" w:space="0" w:color="auto"/>
        <w:right w:val="none" w:sz="0" w:space="0" w:color="auto"/>
      </w:divBdr>
    </w:div>
    <w:div w:id="1814983726">
      <w:bodyDiv w:val="1"/>
      <w:marLeft w:val="0"/>
      <w:marRight w:val="0"/>
      <w:marTop w:val="0"/>
      <w:marBottom w:val="0"/>
      <w:divBdr>
        <w:top w:val="none" w:sz="0" w:space="0" w:color="auto"/>
        <w:left w:val="none" w:sz="0" w:space="0" w:color="auto"/>
        <w:bottom w:val="none" w:sz="0" w:space="0" w:color="auto"/>
        <w:right w:val="none" w:sz="0" w:space="0" w:color="auto"/>
      </w:divBdr>
    </w:div>
    <w:div w:id="1818834284">
      <w:bodyDiv w:val="1"/>
      <w:marLeft w:val="0"/>
      <w:marRight w:val="0"/>
      <w:marTop w:val="0"/>
      <w:marBottom w:val="0"/>
      <w:divBdr>
        <w:top w:val="none" w:sz="0" w:space="0" w:color="auto"/>
        <w:left w:val="none" w:sz="0" w:space="0" w:color="auto"/>
        <w:bottom w:val="none" w:sz="0" w:space="0" w:color="auto"/>
        <w:right w:val="none" w:sz="0" w:space="0" w:color="auto"/>
      </w:divBdr>
    </w:div>
    <w:div w:id="1845894896">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1860121212">
      <w:bodyDiv w:val="1"/>
      <w:marLeft w:val="0"/>
      <w:marRight w:val="0"/>
      <w:marTop w:val="0"/>
      <w:marBottom w:val="0"/>
      <w:divBdr>
        <w:top w:val="none" w:sz="0" w:space="0" w:color="auto"/>
        <w:left w:val="none" w:sz="0" w:space="0" w:color="auto"/>
        <w:bottom w:val="none" w:sz="0" w:space="0" w:color="auto"/>
        <w:right w:val="none" w:sz="0" w:space="0" w:color="auto"/>
      </w:divBdr>
    </w:div>
    <w:div w:id="1907295465">
      <w:bodyDiv w:val="1"/>
      <w:marLeft w:val="0"/>
      <w:marRight w:val="0"/>
      <w:marTop w:val="0"/>
      <w:marBottom w:val="0"/>
      <w:divBdr>
        <w:top w:val="none" w:sz="0" w:space="0" w:color="auto"/>
        <w:left w:val="none" w:sz="0" w:space="0" w:color="auto"/>
        <w:bottom w:val="none" w:sz="0" w:space="0" w:color="auto"/>
        <w:right w:val="none" w:sz="0" w:space="0" w:color="auto"/>
      </w:divBdr>
    </w:div>
    <w:div w:id="2010402663">
      <w:bodyDiv w:val="1"/>
      <w:marLeft w:val="0"/>
      <w:marRight w:val="0"/>
      <w:marTop w:val="0"/>
      <w:marBottom w:val="0"/>
      <w:divBdr>
        <w:top w:val="none" w:sz="0" w:space="0" w:color="auto"/>
        <w:left w:val="none" w:sz="0" w:space="0" w:color="auto"/>
        <w:bottom w:val="none" w:sz="0" w:space="0" w:color="auto"/>
        <w:right w:val="none" w:sz="0" w:space="0" w:color="auto"/>
      </w:divBdr>
    </w:div>
    <w:div w:id="2022049984">
      <w:bodyDiv w:val="1"/>
      <w:marLeft w:val="0"/>
      <w:marRight w:val="0"/>
      <w:marTop w:val="0"/>
      <w:marBottom w:val="0"/>
      <w:divBdr>
        <w:top w:val="none" w:sz="0" w:space="0" w:color="auto"/>
        <w:left w:val="none" w:sz="0" w:space="0" w:color="auto"/>
        <w:bottom w:val="none" w:sz="0" w:space="0" w:color="auto"/>
        <w:right w:val="none" w:sz="0" w:space="0" w:color="auto"/>
      </w:divBdr>
    </w:div>
    <w:div w:id="2040815400">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 w:id="2097242950">
      <w:bodyDiv w:val="1"/>
      <w:marLeft w:val="0"/>
      <w:marRight w:val="0"/>
      <w:marTop w:val="0"/>
      <w:marBottom w:val="0"/>
      <w:divBdr>
        <w:top w:val="none" w:sz="0" w:space="0" w:color="auto"/>
        <w:left w:val="none" w:sz="0" w:space="0" w:color="auto"/>
        <w:bottom w:val="none" w:sz="0" w:space="0" w:color="auto"/>
        <w:right w:val="none" w:sz="0" w:space="0" w:color="auto"/>
      </w:divBdr>
    </w:div>
    <w:div w:id="21138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mailto:AERinquiry@aer.gov.au"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image" Target="cid:image004.png@01D30C65.C98DCCE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cid:image001.png@01D30C83.50B11CF0"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emo.com.au/media/Files/Gas/Policies%20and%20procedures/Retail%20gas%20compliance/2015/Final%20Compliance%20Breach%20Decision%20%20Jemena%20March2016.pdf" TargetMode="External"/><Relationship Id="rId13" Type="http://schemas.openxmlformats.org/officeDocument/2006/relationships/hyperlink" Target="https://www.aemo.com.au/Stakeholder-Consultation/Consultations/Power-of-Choice---AEMO-Procedure-Changes-Package-2" TargetMode="External"/><Relationship Id="rId3" Type="http://schemas.openxmlformats.org/officeDocument/2006/relationships/hyperlink" Target="http://www.aemc.gov.au/Rule-Changes/Gas-Transmission-Pipeline-Capacity-Trading-Enhance" TargetMode="External"/><Relationship Id="rId7" Type="http://schemas.openxmlformats.org/officeDocument/2006/relationships/hyperlink" Target="https://www.aemo.com.au/-/media/Files/PDF/AEMO-Compliance-Decision--Jemena-November-2015.pdf" TargetMode="External"/><Relationship Id="rId12" Type="http://schemas.openxmlformats.org/officeDocument/2006/relationships/hyperlink" Target="https://www.aer.gov.au/networks-pipelines/guidelines-schemes-models-reviews/network-service-provider-registration-exemption-guideline-december-2016" TargetMode="External"/><Relationship Id="rId2" Type="http://schemas.openxmlformats.org/officeDocument/2006/relationships/hyperlink" Target="https://www.aer.gov.au/publications/corporate-documents/aer-compliance-and-enforcement-statement-of-approach" TargetMode="External"/><Relationship Id="rId1" Type="http://schemas.openxmlformats.org/officeDocument/2006/relationships/hyperlink" Target="http://www.aer.gov.au/wholesale-markets/market-performance/significant-price-variation-report-1-october-2016-victorian-gas-market" TargetMode="External"/><Relationship Id="rId6" Type="http://schemas.openxmlformats.org/officeDocument/2006/relationships/hyperlink" Target="http://www.aemo.com.au/-/media/Files/Stakeholder_Consultation/Consultations/Gas_Consultations/2017/Notice-of-AEMO-Decision-IN033-16.pdf" TargetMode="External"/><Relationship Id="rId11" Type="http://schemas.openxmlformats.org/officeDocument/2006/relationships/hyperlink" Target="http://www.aer.gov.au/wholesale-markets/market-performance" TargetMode="External"/><Relationship Id="rId5" Type="http://schemas.openxmlformats.org/officeDocument/2006/relationships/hyperlink" Target="https://www.aer.gov.au/system/files/AER%20gas%20weekly%20report%20-%2025%20June%20%E2%80%93%201%20July%202017_0.pdf" TargetMode="External"/><Relationship Id="rId15" Type="http://schemas.openxmlformats.org/officeDocument/2006/relationships/hyperlink" Target="https://www.aemo.com.au/Stakeholder-Consultation/Consultations/Power-of-Choice---AEMO-Procedure-Changes-Package-2" TargetMode="External"/><Relationship Id="rId10" Type="http://schemas.openxmlformats.org/officeDocument/2006/relationships/hyperlink" Target="http://www.aer.gov.au/wholesale-markets/compliance-reporting/quarterly-compliance-report-january-march-2015" TargetMode="External"/><Relationship Id="rId4" Type="http://schemas.openxmlformats.org/officeDocument/2006/relationships/hyperlink" Target="https://www.aer.gov.au/system/files/AER%20gas%20weekly%20report%20-%2016%20%E2%80%93%2022%20July%202017.pdf" TargetMode="External"/><Relationship Id="rId9" Type="http://schemas.openxmlformats.org/officeDocument/2006/relationships/hyperlink" Target="http://www.aer.gov.au/node/15433" TargetMode="External"/><Relationship Id="rId14" Type="http://schemas.openxmlformats.org/officeDocument/2006/relationships/hyperlink" Target="http://www.aemo.com.au/Electricity/National-Electricity-Market-NEM/Power-of-Choice/Readiness-Work-Stream/Industry-Readiness-Reportin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53937007874015"/>
          <c:y val="5.1759259259259262E-2"/>
          <c:w val="0.85334951881014875"/>
          <c:h val="0.55372193059200936"/>
        </c:manualLayout>
      </c:layout>
      <c:lineChart>
        <c:grouping val="standard"/>
        <c:varyColors val="0"/>
        <c:ser>
          <c:idx val="1"/>
          <c:order val="0"/>
          <c:tx>
            <c:strRef>
              <c:f>'Post May 16 | JGN &amp; AAD consol'!$A$8</c:f>
              <c:strCache>
                <c:ptCount val="1"/>
                <c:pt idx="0">
                  <c:v>Actual reads on schedule date (RMP 3.5.1(b))</c:v>
                </c:pt>
              </c:strCache>
            </c:strRef>
          </c:tx>
          <c:spPr>
            <a:ln w="28575" cap="rnd">
              <a:solidFill>
                <a:schemeClr val="tx1"/>
              </a:solidFill>
              <a:round/>
            </a:ln>
            <a:effectLst/>
          </c:spPr>
          <c:marker>
            <c:symbol val="none"/>
          </c:marker>
          <c:cat>
            <c:strRef>
              <c:f>'Post May 16 | JGN &amp; AAD consol'!$B$2:$O$2</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 Prelim</c:v>
                </c:pt>
              </c:strCache>
            </c:strRef>
          </c:cat>
          <c:val>
            <c:numRef>
              <c:f>'Post May 16 | JGN &amp; AAD consol'!$B$8:$O$8</c:f>
              <c:numCache>
                <c:formatCode>0.0%</c:formatCode>
                <c:ptCount val="14"/>
                <c:pt idx="0">
                  <c:v>0.69221106060798965</c:v>
                </c:pt>
                <c:pt idx="1">
                  <c:v>0.68772162638414513</c:v>
                </c:pt>
                <c:pt idx="2">
                  <c:v>0.6291001619245894</c:v>
                </c:pt>
                <c:pt idx="3">
                  <c:v>0.57663967140387395</c:v>
                </c:pt>
                <c:pt idx="4">
                  <c:v>0.78344388943319254</c:v>
                </c:pt>
                <c:pt idx="5">
                  <c:v>0.91792659734922732</c:v>
                </c:pt>
                <c:pt idx="6">
                  <c:v>0.92151740995470777</c:v>
                </c:pt>
                <c:pt idx="7">
                  <c:v>0.96512812604981857</c:v>
                </c:pt>
                <c:pt idx="8">
                  <c:v>0.95273957531081532</c:v>
                </c:pt>
                <c:pt idx="9">
                  <c:v>0.97817791074655092</c:v>
                </c:pt>
                <c:pt idx="10">
                  <c:v>0.98696838994480784</c:v>
                </c:pt>
                <c:pt idx="11">
                  <c:v>0.97869527896995712</c:v>
                </c:pt>
                <c:pt idx="12">
                  <c:v>0.96999100917742453</c:v>
                </c:pt>
                <c:pt idx="13">
                  <c:v>0.98344231283285011</c:v>
                </c:pt>
              </c:numCache>
            </c:numRef>
          </c:val>
          <c:smooth val="0"/>
          <c:extLst xmlns:c16r2="http://schemas.microsoft.com/office/drawing/2015/06/chart">
            <c:ext xmlns:c16="http://schemas.microsoft.com/office/drawing/2014/chart" uri="{C3380CC4-5D6E-409C-BE32-E72D297353CC}">
              <c16:uniqueId val="{00000008-844E-4584-A135-8A9ED93DABB2}"/>
            </c:ext>
          </c:extLst>
        </c:ser>
        <c:ser>
          <c:idx val="0"/>
          <c:order val="1"/>
          <c:tx>
            <c:strRef>
              <c:f>'Post May 16 | JGN &amp; AAD consol'!$A$9</c:f>
              <c:strCache>
                <c:ptCount val="1"/>
                <c:pt idx="0">
                  <c:v>Estimated reads on schedule date (RMP 3.5.1(c))</c:v>
                </c:pt>
              </c:strCache>
            </c:strRef>
          </c:tx>
          <c:spPr>
            <a:ln>
              <a:solidFill>
                <a:schemeClr val="tx1"/>
              </a:solidFill>
              <a:prstDash val="dash"/>
            </a:ln>
          </c:spPr>
          <c:marker>
            <c:symbol val="none"/>
          </c:marker>
          <c:cat>
            <c:strRef>
              <c:f>'Post May 16 | JGN &amp; AAD consol'!$B$2:$O$2</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 Prelim</c:v>
                </c:pt>
              </c:strCache>
            </c:strRef>
          </c:cat>
          <c:val>
            <c:numRef>
              <c:f>'Post May 16 | JGN &amp; AAD consol'!$B$9:$O$9</c:f>
              <c:numCache>
                <c:formatCode>0.0%</c:formatCode>
                <c:ptCount val="14"/>
                <c:pt idx="0">
                  <c:v>0.56218892159486222</c:v>
                </c:pt>
                <c:pt idx="1">
                  <c:v>0.61299997345860868</c:v>
                </c:pt>
                <c:pt idx="2">
                  <c:v>0.4694749278622225</c:v>
                </c:pt>
                <c:pt idx="3">
                  <c:v>0.54740567121650807</c:v>
                </c:pt>
                <c:pt idx="4">
                  <c:v>0.81489602660176863</c:v>
                </c:pt>
                <c:pt idx="5">
                  <c:v>0.81604819151432972</c:v>
                </c:pt>
                <c:pt idx="6">
                  <c:v>0.82532526820360652</c:v>
                </c:pt>
                <c:pt idx="7">
                  <c:v>0.89293377728449874</c:v>
                </c:pt>
                <c:pt idx="8">
                  <c:v>0.92218734511812328</c:v>
                </c:pt>
                <c:pt idx="9">
                  <c:v>0.88905468729547898</c:v>
                </c:pt>
                <c:pt idx="10">
                  <c:v>0.65850285253270324</c:v>
                </c:pt>
                <c:pt idx="11">
                  <c:v>0.72069573985379376</c:v>
                </c:pt>
                <c:pt idx="12">
                  <c:v>0.6507016473459426</c:v>
                </c:pt>
                <c:pt idx="13">
                  <c:v>0.71610453428635246</c:v>
                </c:pt>
              </c:numCache>
            </c:numRef>
          </c:val>
          <c:smooth val="0"/>
        </c:ser>
        <c:ser>
          <c:idx val="2"/>
          <c:order val="2"/>
          <c:tx>
            <c:strRef>
              <c:f>'Post May 16 | JGN &amp; AAD consol'!$A$10</c:f>
              <c:strCache>
                <c:ptCount val="1"/>
                <c:pt idx="0">
                  <c:v>Estimated reads outside schedule date (RMP 3.5.1(d))</c:v>
                </c:pt>
              </c:strCache>
            </c:strRef>
          </c:tx>
          <c:spPr>
            <a:ln>
              <a:solidFill>
                <a:srgbClr val="FF0000"/>
              </a:solidFill>
              <a:prstDash val="dash"/>
            </a:ln>
          </c:spPr>
          <c:marker>
            <c:symbol val="none"/>
          </c:marker>
          <c:cat>
            <c:strRef>
              <c:f>'Post May 16 | JGN &amp; AAD consol'!$B$2:$O$2</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 Prelim</c:v>
                </c:pt>
              </c:strCache>
            </c:strRef>
          </c:cat>
          <c:val>
            <c:numRef>
              <c:f>'Post May 16 | JGN &amp; AAD consol'!$B$10:$O$10</c:f>
              <c:numCache>
                <c:formatCode>0.0%</c:formatCode>
                <c:ptCount val="14"/>
                <c:pt idx="0">
                  <c:v>0.50042592736002478</c:v>
                </c:pt>
                <c:pt idx="1">
                  <c:v>0.62238564869920077</c:v>
                </c:pt>
                <c:pt idx="2">
                  <c:v>0.7219137546962795</c:v>
                </c:pt>
                <c:pt idx="3">
                  <c:v>0.61955644386362763</c:v>
                </c:pt>
                <c:pt idx="4">
                  <c:v>0.80342841716908131</c:v>
                </c:pt>
                <c:pt idx="5">
                  <c:v>0.93263074953215797</c:v>
                </c:pt>
                <c:pt idx="6">
                  <c:v>0.87211182994454717</c:v>
                </c:pt>
                <c:pt idx="7">
                  <c:v>0.93684883035187738</c:v>
                </c:pt>
                <c:pt idx="8">
                  <c:v>0.95287268400475944</c:v>
                </c:pt>
                <c:pt idx="9">
                  <c:v>0.95456001708671512</c:v>
                </c:pt>
                <c:pt idx="10">
                  <c:v>0.96401580542448306</c:v>
                </c:pt>
                <c:pt idx="11">
                  <c:v>0.94761179721423339</c:v>
                </c:pt>
                <c:pt idx="12">
                  <c:v>0.95385395537525353</c:v>
                </c:pt>
                <c:pt idx="13">
                  <c:v>0.9610366713681241</c:v>
                </c:pt>
              </c:numCache>
            </c:numRef>
          </c:val>
          <c:smooth val="0"/>
        </c:ser>
        <c:ser>
          <c:idx val="3"/>
          <c:order val="3"/>
          <c:tx>
            <c:strRef>
              <c:f>'Post May 16 | JGN &amp; AAD consol'!$A$11</c:f>
              <c:strCache>
                <c:ptCount val="1"/>
                <c:pt idx="0">
                  <c:v>Actual reads outside schedule date (RMP 3.5.1(e))</c:v>
                </c:pt>
              </c:strCache>
            </c:strRef>
          </c:tx>
          <c:spPr>
            <a:ln>
              <a:solidFill>
                <a:schemeClr val="accent2">
                  <a:lumMod val="75000"/>
                </a:schemeClr>
              </a:solidFill>
            </a:ln>
          </c:spPr>
          <c:marker>
            <c:symbol val="none"/>
          </c:marker>
          <c:cat>
            <c:strRef>
              <c:f>'Post May 16 | JGN &amp; AAD consol'!$B$2:$O$2</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 Prelim</c:v>
                </c:pt>
              </c:strCache>
            </c:strRef>
          </c:cat>
          <c:val>
            <c:numRef>
              <c:f>'Post May 16 | JGN &amp; AAD consol'!$B$11:$O$11</c:f>
              <c:numCache>
                <c:formatCode>0.0%</c:formatCode>
                <c:ptCount val="14"/>
                <c:pt idx="0">
                  <c:v>0.90003622848095322</c:v>
                </c:pt>
                <c:pt idx="1">
                  <c:v>0.86124766623408577</c:v>
                </c:pt>
                <c:pt idx="2">
                  <c:v>0.90398338725591432</c:v>
                </c:pt>
                <c:pt idx="3">
                  <c:v>0.88260317906566399</c:v>
                </c:pt>
                <c:pt idx="4">
                  <c:v>0.92683486728309383</c:v>
                </c:pt>
                <c:pt idx="5">
                  <c:v>0.95033674361215359</c:v>
                </c:pt>
                <c:pt idx="6">
                  <c:v>0.93643696380523056</c:v>
                </c:pt>
                <c:pt idx="7">
                  <c:v>0.98716832189455017</c:v>
                </c:pt>
                <c:pt idx="8">
                  <c:v>0.99230463671818581</c:v>
                </c:pt>
                <c:pt idx="9">
                  <c:v>0.99024578980593403</c:v>
                </c:pt>
                <c:pt idx="10">
                  <c:v>0.99182593968827215</c:v>
                </c:pt>
                <c:pt idx="11">
                  <c:v>0.99234173495142275</c:v>
                </c:pt>
                <c:pt idx="12">
                  <c:v>0.99198105508069467</c:v>
                </c:pt>
                <c:pt idx="13">
                  <c:v>0.99424393631717611</c:v>
                </c:pt>
              </c:numCache>
            </c:numRef>
          </c:val>
          <c:smooth val="0"/>
        </c:ser>
        <c:dLbls>
          <c:showLegendKey val="0"/>
          <c:showVal val="0"/>
          <c:showCatName val="0"/>
          <c:showSerName val="0"/>
          <c:showPercent val="0"/>
          <c:showBubbleSize val="0"/>
        </c:dLbls>
        <c:marker val="1"/>
        <c:smooth val="0"/>
        <c:axId val="220825088"/>
        <c:axId val="220826624"/>
      </c:lineChart>
      <c:catAx>
        <c:axId val="2208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26624"/>
        <c:crosses val="autoZero"/>
        <c:auto val="1"/>
        <c:lblAlgn val="ctr"/>
        <c:lblOffset val="100"/>
        <c:noMultiLvlLbl val="0"/>
      </c:catAx>
      <c:valAx>
        <c:axId val="220826624"/>
        <c:scaling>
          <c:orientation val="minMax"/>
          <c:max val="1"/>
          <c:min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25088"/>
        <c:crosses val="autoZero"/>
        <c:crossBetween val="between"/>
        <c:majorUnit val="0.2"/>
      </c:valAx>
      <c:spPr>
        <a:noFill/>
        <a:ln>
          <a:noFill/>
        </a:ln>
        <a:effectLst/>
      </c:spPr>
    </c:plotArea>
    <c:legend>
      <c:legendPos val="b"/>
      <c:layout>
        <c:manualLayout>
          <c:xMode val="edge"/>
          <c:yMode val="edge"/>
          <c:x val="0"/>
          <c:y val="0.75810075823855361"/>
          <c:w val="1"/>
          <c:h val="0.240742927967337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'Post May 16 | JGN Estimates'!$A$3</c:f>
              <c:strCache>
                <c:ptCount val="1"/>
                <c:pt idx="0">
                  <c:v>Actual reads</c:v>
                </c:pt>
              </c:strCache>
            </c:strRef>
          </c:tx>
          <c:spPr>
            <a:solidFill>
              <a:schemeClr val="bg2">
                <a:lumMod val="50000"/>
              </a:schemeClr>
            </a:solidFill>
          </c:spPr>
          <c:invertIfNegative val="0"/>
          <c:cat>
            <c:strRef>
              <c:f>'Post May 16 | JGN Estimates'!$B$1:$O$1</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c:v>
                </c:pt>
              </c:strCache>
            </c:strRef>
          </c:cat>
          <c:val>
            <c:numRef>
              <c:f>'Post May 16 | JGN Estimates'!$B$3:$O$3</c:f>
              <c:numCache>
                <c:formatCode>_-* #,##0_-;\-* #,##0_-;_-* "-"??_-;_-@_-</c:formatCode>
                <c:ptCount val="14"/>
                <c:pt idx="0">
                  <c:v>533687</c:v>
                </c:pt>
                <c:pt idx="1">
                  <c:v>430568</c:v>
                </c:pt>
                <c:pt idx="2">
                  <c:v>399073</c:v>
                </c:pt>
                <c:pt idx="3">
                  <c:v>596660</c:v>
                </c:pt>
                <c:pt idx="4">
                  <c:v>416628</c:v>
                </c:pt>
                <c:pt idx="5">
                  <c:v>403065</c:v>
                </c:pt>
                <c:pt idx="6">
                  <c:v>623714</c:v>
                </c:pt>
                <c:pt idx="7">
                  <c:v>442705</c:v>
                </c:pt>
                <c:pt idx="8">
                  <c:v>470598</c:v>
                </c:pt>
                <c:pt idx="9">
                  <c:v>532335</c:v>
                </c:pt>
                <c:pt idx="10">
                  <c:v>481061</c:v>
                </c:pt>
                <c:pt idx="11">
                  <c:v>413417</c:v>
                </c:pt>
                <c:pt idx="12">
                  <c:v>639735</c:v>
                </c:pt>
                <c:pt idx="13">
                  <c:v>474735</c:v>
                </c:pt>
              </c:numCache>
            </c:numRef>
          </c:val>
        </c:ser>
        <c:dLbls>
          <c:showLegendKey val="0"/>
          <c:showVal val="0"/>
          <c:showCatName val="0"/>
          <c:showSerName val="0"/>
          <c:showPercent val="0"/>
          <c:showBubbleSize val="0"/>
        </c:dLbls>
        <c:gapWidth val="150"/>
        <c:axId val="229797888"/>
        <c:axId val="229799424"/>
      </c:barChart>
      <c:lineChart>
        <c:grouping val="standard"/>
        <c:varyColors val="0"/>
        <c:ser>
          <c:idx val="3"/>
          <c:order val="1"/>
          <c:tx>
            <c:strRef>
              <c:f>'Post May 16 | JGN Estimates'!$A$6</c:f>
              <c:strCache>
                <c:ptCount val="1"/>
                <c:pt idx="0">
                  <c:v>Estimated reads (%)</c:v>
                </c:pt>
              </c:strCache>
            </c:strRef>
          </c:tx>
          <c:spPr>
            <a:ln>
              <a:solidFill>
                <a:schemeClr val="accent1"/>
              </a:solidFill>
            </a:ln>
          </c:spPr>
          <c:marker>
            <c:symbol val="none"/>
          </c:marker>
          <c:cat>
            <c:strRef>
              <c:f>'Post May 16 | JGN Estimates'!$B$1:$O$1</c:f>
              <c:strCache>
                <c:ptCount val="14"/>
                <c:pt idx="0">
                  <c:v>May-16</c:v>
                </c:pt>
                <c:pt idx="1">
                  <c:v>Jun-16</c:v>
                </c:pt>
                <c:pt idx="2">
                  <c:v>Jul-16</c:v>
                </c:pt>
                <c:pt idx="3">
                  <c:v>Aug-16</c:v>
                </c:pt>
                <c:pt idx="4">
                  <c:v>Sep-16</c:v>
                </c:pt>
                <c:pt idx="5">
                  <c:v>Oct-16</c:v>
                </c:pt>
                <c:pt idx="6">
                  <c:v>Nov-16 </c:v>
                </c:pt>
                <c:pt idx="7">
                  <c:v>Dec-16</c:v>
                </c:pt>
                <c:pt idx="8">
                  <c:v>Jan-17</c:v>
                </c:pt>
                <c:pt idx="9">
                  <c:v>Feb-17</c:v>
                </c:pt>
                <c:pt idx="10">
                  <c:v>Mar-17</c:v>
                </c:pt>
                <c:pt idx="11">
                  <c:v>Apr-17</c:v>
                </c:pt>
                <c:pt idx="12">
                  <c:v>May-17</c:v>
                </c:pt>
                <c:pt idx="13">
                  <c:v>Jun-17</c:v>
                </c:pt>
              </c:strCache>
            </c:strRef>
          </c:cat>
          <c:val>
            <c:numRef>
              <c:f>'Post May 16 | JGN Estimates'!$B$6:$O$6</c:f>
              <c:numCache>
                <c:formatCode>0.0%</c:formatCode>
                <c:ptCount val="14"/>
                <c:pt idx="0">
                  <c:v>0.16080352228948816</c:v>
                </c:pt>
                <c:pt idx="1">
                  <c:v>0.12606788598661603</c:v>
                </c:pt>
                <c:pt idx="2">
                  <c:v>0.15788551870249465</c:v>
                </c:pt>
                <c:pt idx="3">
                  <c:v>0.1058902510478434</c:v>
                </c:pt>
                <c:pt idx="4">
                  <c:v>0.13439999002736241</c:v>
                </c:pt>
                <c:pt idx="5">
                  <c:v>0.12974997840918906</c:v>
                </c:pt>
                <c:pt idx="6">
                  <c:v>9.1973969631236441E-2</c:v>
                </c:pt>
                <c:pt idx="7">
                  <c:v>0.10001931267216231</c:v>
                </c:pt>
                <c:pt idx="8">
                  <c:v>0.10565684899485742</c:v>
                </c:pt>
                <c:pt idx="9">
                  <c:v>0.10045270125265934</c:v>
                </c:pt>
                <c:pt idx="10">
                  <c:v>0.11384945824568125</c:v>
                </c:pt>
                <c:pt idx="11">
                  <c:v>0.10460759427873412</c:v>
                </c:pt>
                <c:pt idx="12">
                  <c:v>8.5195041419221434E-2</c:v>
                </c:pt>
                <c:pt idx="13">
                  <c:v>9.8444090373034698E-2</c:v>
                </c:pt>
              </c:numCache>
            </c:numRef>
          </c:val>
          <c:smooth val="0"/>
        </c:ser>
        <c:dLbls>
          <c:showLegendKey val="0"/>
          <c:showVal val="0"/>
          <c:showCatName val="0"/>
          <c:showSerName val="0"/>
          <c:showPercent val="0"/>
          <c:showBubbleSize val="0"/>
        </c:dLbls>
        <c:marker val="1"/>
        <c:smooth val="0"/>
        <c:axId val="231692544"/>
        <c:axId val="231690624"/>
      </c:lineChart>
      <c:catAx>
        <c:axId val="229797888"/>
        <c:scaling>
          <c:orientation val="minMax"/>
        </c:scaling>
        <c:delete val="0"/>
        <c:axPos val="b"/>
        <c:majorTickMark val="out"/>
        <c:minorTickMark val="none"/>
        <c:tickLblPos val="nextTo"/>
        <c:crossAx val="229799424"/>
        <c:crosses val="autoZero"/>
        <c:auto val="1"/>
        <c:lblAlgn val="ctr"/>
        <c:lblOffset val="100"/>
        <c:noMultiLvlLbl val="0"/>
      </c:catAx>
      <c:valAx>
        <c:axId val="229799424"/>
        <c:scaling>
          <c:orientation val="minMax"/>
        </c:scaling>
        <c:delete val="0"/>
        <c:axPos val="l"/>
        <c:majorGridlines/>
        <c:title>
          <c:tx>
            <c:rich>
              <a:bodyPr rot="-5400000" vert="horz"/>
              <a:lstStyle/>
              <a:p>
                <a:pPr>
                  <a:defRPr/>
                </a:pPr>
                <a:r>
                  <a:rPr lang="en-US"/>
                  <a:t>Actual reads</a:t>
                </a:r>
              </a:p>
            </c:rich>
          </c:tx>
          <c:layout/>
          <c:overlay val="0"/>
        </c:title>
        <c:numFmt formatCode="_-* #,##0_-;\-* #,##0_-;_-* &quot;-&quot;??_-;_-@_-" sourceLinked="1"/>
        <c:majorTickMark val="out"/>
        <c:minorTickMark val="none"/>
        <c:tickLblPos val="nextTo"/>
        <c:crossAx val="229797888"/>
        <c:crosses val="autoZero"/>
        <c:crossBetween val="between"/>
      </c:valAx>
      <c:valAx>
        <c:axId val="231690624"/>
        <c:scaling>
          <c:orientation val="minMax"/>
          <c:max val="0.21000000000000002"/>
          <c:min val="0"/>
        </c:scaling>
        <c:delete val="0"/>
        <c:axPos val="r"/>
        <c:title>
          <c:tx>
            <c:rich>
              <a:bodyPr rot="-5400000" vert="horz"/>
              <a:lstStyle/>
              <a:p>
                <a:pPr>
                  <a:defRPr>
                    <a:solidFill>
                      <a:schemeClr val="accent1"/>
                    </a:solidFill>
                  </a:defRPr>
                </a:pPr>
                <a:r>
                  <a:rPr lang="en-US">
                    <a:solidFill>
                      <a:schemeClr val="accent1"/>
                    </a:solidFill>
                  </a:rPr>
                  <a:t>Proportion of estimated reads</a:t>
                </a:r>
              </a:p>
            </c:rich>
          </c:tx>
          <c:layout/>
          <c:overlay val="0"/>
        </c:title>
        <c:numFmt formatCode="0.0%" sourceLinked="1"/>
        <c:majorTickMark val="out"/>
        <c:minorTickMark val="none"/>
        <c:tickLblPos val="nextTo"/>
        <c:spPr>
          <a:ln>
            <a:solidFill>
              <a:schemeClr val="accent1">
                <a:lumMod val="60000"/>
                <a:lumOff val="40000"/>
              </a:schemeClr>
            </a:solidFill>
          </a:ln>
        </c:spPr>
        <c:txPr>
          <a:bodyPr/>
          <a:lstStyle/>
          <a:p>
            <a:pPr>
              <a:defRPr>
                <a:solidFill>
                  <a:schemeClr val="accent1"/>
                </a:solidFill>
              </a:defRPr>
            </a:pPr>
            <a:endParaRPr lang="en-US"/>
          </a:p>
        </c:txPr>
        <c:crossAx val="231692544"/>
        <c:crosses val="max"/>
        <c:crossBetween val="between"/>
        <c:majorUnit val="3.0000000000000006E-2"/>
      </c:valAx>
      <c:catAx>
        <c:axId val="231692544"/>
        <c:scaling>
          <c:orientation val="minMax"/>
        </c:scaling>
        <c:delete val="1"/>
        <c:axPos val="b"/>
        <c:majorTickMark val="out"/>
        <c:minorTickMark val="none"/>
        <c:tickLblPos val="nextTo"/>
        <c:crossAx val="231690624"/>
        <c:crosses val="autoZero"/>
        <c:auto val="1"/>
        <c:lblAlgn val="ctr"/>
        <c:lblOffset val="100"/>
        <c:noMultiLvlLbl val="0"/>
      </c:catAx>
    </c:plotArea>
    <c:legend>
      <c:legendPos val="b"/>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61ABD910.dotm</Template>
  <TotalTime>0</TotalTime>
  <Pages>32</Pages>
  <Words>8552</Words>
  <Characters>48749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2017-08-25T05:02:00Z</dcterms:created>
  <dcterms:modified xsi:type="dcterms:W3CDTF">2017-08-25T05:22:00Z</dcterms:modified>
</cp:coreProperties>
</file>