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42867" w:rsidRDefault="006E4A2A" w:rsidP="00842867">
      <w:r w:rsidRPr="00290C63">
        <w:rPr>
          <w:noProof/>
          <w:lang w:eastAsia="en-AU"/>
        </w:rPr>
        <w:drawing>
          <wp:anchor distT="0" distB="0" distL="114300" distR="114300" simplePos="0" relativeHeight="251661312" behindDoc="1" locked="0" layoutInCell="1" allowOverlap="1" wp14:anchorId="1CE27AAD" wp14:editId="37890BCD">
            <wp:simplePos x="0" y="0"/>
            <wp:positionH relativeFrom="column">
              <wp:posOffset>-1164590</wp:posOffset>
            </wp:positionH>
            <wp:positionV relativeFrom="paragraph">
              <wp:posOffset>-981075</wp:posOffset>
            </wp:positionV>
            <wp:extent cx="7796935" cy="10925175"/>
            <wp:effectExtent l="0" t="0" r="0" b="0"/>
            <wp:wrapNone/>
            <wp:docPr id="2" name="Picture 2" descr="Australian Energy Regulator Report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ER report front cover_D0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801061" cy="10930957"/>
                    </a:xfrm>
                    <a:prstGeom prst="rect">
                      <a:avLst/>
                    </a:prstGeom>
                    <a:noFill/>
                  </pic:spPr>
                </pic:pic>
              </a:graphicData>
            </a:graphic>
            <wp14:sizeRelH relativeFrom="page">
              <wp14:pctWidth>0</wp14:pctWidth>
            </wp14:sizeRelH>
            <wp14:sizeRelV relativeFrom="page">
              <wp14:pctHeight>0</wp14:pctHeight>
            </wp14:sizeRelV>
          </wp:anchor>
        </w:drawing>
      </w:r>
    </w:p>
    <w:sdt>
      <w:sdtPr>
        <w:id w:val="1099676627"/>
        <w:docPartObj>
          <w:docPartGallery w:val="Cover Pages"/>
          <w:docPartUnique/>
        </w:docPartObj>
      </w:sdtPr>
      <w:sdtEndPr>
        <w:rPr>
          <w:rFonts w:eastAsiaTheme="majorEastAsia" w:cstheme="majorBidi"/>
          <w:b/>
          <w:noProof/>
          <w:sz w:val="16"/>
          <w:szCs w:val="16"/>
          <w:lang w:eastAsia="en-AU"/>
        </w:rPr>
      </w:sdtEndPr>
      <w:sdtContent>
        <w:p w:rsidR="00842867" w:rsidRPr="00DB723B" w:rsidRDefault="00842867" w:rsidP="00842867"/>
        <w:p w:rsidR="00842867" w:rsidRPr="00DB723B" w:rsidRDefault="00842867" w:rsidP="00842867"/>
        <w:p w:rsidR="00842867" w:rsidRPr="00DB723B" w:rsidRDefault="00842867" w:rsidP="00842867"/>
        <w:p w:rsidR="00842867" w:rsidRPr="00DB723B" w:rsidRDefault="00842867" w:rsidP="00842867"/>
        <w:p w:rsidR="00842867" w:rsidRPr="00DB723B" w:rsidRDefault="00842867" w:rsidP="00842867"/>
        <w:p w:rsidR="00842867" w:rsidRPr="00DB723B" w:rsidRDefault="00842867" w:rsidP="00842867"/>
        <w:p w:rsidR="00842867" w:rsidRPr="00DB723B" w:rsidRDefault="00842867" w:rsidP="00842867"/>
        <w:p w:rsidR="00842867" w:rsidRPr="00DB723B" w:rsidRDefault="00842867" w:rsidP="00842867"/>
        <w:p w:rsidR="00842867" w:rsidRPr="00DB723B" w:rsidRDefault="00842867" w:rsidP="00842867"/>
        <w:p w:rsidR="00842867" w:rsidRPr="00DB723B" w:rsidRDefault="00842867" w:rsidP="00842867">
          <w:pPr>
            <w:pStyle w:val="ReportTitle"/>
          </w:pPr>
        </w:p>
        <w:p w:rsidR="00842867" w:rsidRPr="00E022F1" w:rsidRDefault="00842867" w:rsidP="00842867">
          <w:pPr>
            <w:pStyle w:val="ReportTitle"/>
            <w:rPr>
              <w:sz w:val="56"/>
              <w:szCs w:val="56"/>
            </w:rPr>
          </w:pPr>
          <w:r w:rsidRPr="00E022F1">
            <w:rPr>
              <w:sz w:val="56"/>
              <w:szCs w:val="56"/>
            </w:rPr>
            <w:t>Quarterly Compliance Report</w:t>
          </w:r>
          <w:r w:rsidR="00E022F1">
            <w:rPr>
              <w:sz w:val="56"/>
              <w:szCs w:val="56"/>
            </w:rPr>
            <w:t>:</w:t>
          </w:r>
        </w:p>
        <w:p w:rsidR="00842867" w:rsidRPr="00E022F1" w:rsidRDefault="00842867" w:rsidP="00842867">
          <w:pPr>
            <w:pStyle w:val="ReportSubtitle"/>
            <w:rPr>
              <w:sz w:val="40"/>
              <w:szCs w:val="40"/>
            </w:rPr>
          </w:pPr>
          <w:r w:rsidRPr="00E022F1">
            <w:rPr>
              <w:sz w:val="40"/>
              <w:szCs w:val="40"/>
            </w:rPr>
            <w:t xml:space="preserve">National Electricity and Gas Laws </w:t>
          </w:r>
        </w:p>
        <w:p w:rsidR="00842867" w:rsidRPr="00DB723B" w:rsidRDefault="00B35FE2" w:rsidP="00842867">
          <w:pPr>
            <w:pStyle w:val="ReportDate"/>
          </w:pPr>
          <w:r>
            <w:t>July</w:t>
          </w:r>
          <w:r w:rsidR="00842867">
            <w:t xml:space="preserve"> - </w:t>
          </w:r>
          <w:r>
            <w:t>September</w:t>
          </w:r>
          <w:r w:rsidR="00842867">
            <w:t xml:space="preserve"> </w:t>
          </w:r>
          <w:r w:rsidR="00842867" w:rsidRPr="00DB723B">
            <w:t>201</w:t>
          </w:r>
          <w:r w:rsidR="00047F90">
            <w:t>6</w:t>
          </w:r>
        </w:p>
        <w:p w:rsidR="00842867" w:rsidRPr="00DB723B" w:rsidRDefault="00842867" w:rsidP="00842867">
          <w:r w:rsidRPr="00DB723B">
            <w:br w:type="page"/>
          </w:r>
        </w:p>
        <w:p w:rsidR="00E022F1" w:rsidRPr="00E022F1" w:rsidRDefault="00F74611" w:rsidP="00E022F1">
          <w:pPr>
            <w:spacing w:line="240" w:lineRule="auto"/>
            <w:rPr>
              <w:rFonts w:eastAsiaTheme="majorEastAsia" w:cstheme="majorBidi"/>
              <w:b/>
              <w:noProof/>
              <w:sz w:val="16"/>
              <w:szCs w:val="16"/>
              <w:lang w:eastAsia="en-AU"/>
            </w:rPr>
          </w:pPr>
        </w:p>
      </w:sdtContent>
    </w:sdt>
    <w:p w:rsidR="00842867" w:rsidRDefault="00842867" w:rsidP="00E022F1">
      <w:pPr>
        <w:spacing w:line="240" w:lineRule="auto"/>
      </w:pPr>
      <w:r>
        <w:t xml:space="preserve">© </w:t>
      </w:r>
      <w:r w:rsidRPr="003974F8">
        <w:rPr>
          <w:b/>
        </w:rPr>
        <w:t xml:space="preserve">Commonwealth of Australia </w:t>
      </w:r>
      <w:r w:rsidR="0013132E" w:rsidRPr="00A3798F">
        <w:rPr>
          <w:b/>
        </w:rPr>
        <w:t>201</w:t>
      </w:r>
      <w:r w:rsidR="009F047D" w:rsidRPr="00A3798F">
        <w:rPr>
          <w:b/>
        </w:rPr>
        <w:t>6</w:t>
      </w:r>
    </w:p>
    <w:p w:rsidR="00842867" w:rsidRDefault="00842867" w:rsidP="003974F8">
      <w:pPr>
        <w:pStyle w:val="Copyright"/>
        <w:jc w:val="both"/>
      </w:pPr>
      <w:r>
        <w:t>This work is copyright. In addition to any use permitted under the Copyright Act 1968, all material contained within this work is provided under a Creative Commons Attributions 3.0 Australia licence, with the exception of:</w:t>
      </w:r>
    </w:p>
    <w:p w:rsidR="00842867" w:rsidRDefault="00842867" w:rsidP="00521B35">
      <w:pPr>
        <w:pStyle w:val="StyleCopyrightBefore0pt"/>
        <w:numPr>
          <w:ilvl w:val="0"/>
          <w:numId w:val="22"/>
        </w:numPr>
      </w:pPr>
      <w:r>
        <w:t>the Commonwealth Coat of Arms</w:t>
      </w:r>
    </w:p>
    <w:p w:rsidR="00842867" w:rsidRDefault="00842867" w:rsidP="00521B35">
      <w:pPr>
        <w:pStyle w:val="StyleCopyrightBefore0pt"/>
        <w:numPr>
          <w:ilvl w:val="0"/>
          <w:numId w:val="22"/>
        </w:numPr>
      </w:pPr>
      <w:r>
        <w:t>the ACCC and AER logos</w:t>
      </w:r>
    </w:p>
    <w:p w:rsidR="00842867" w:rsidRPr="00B927D8" w:rsidRDefault="00842867" w:rsidP="00521B35">
      <w:pPr>
        <w:pStyle w:val="ListBullet"/>
        <w:numPr>
          <w:ilvl w:val="0"/>
          <w:numId w:val="22"/>
        </w:numPr>
        <w:jc w:val="both"/>
        <w:rPr>
          <w:sz w:val="20"/>
          <w:szCs w:val="20"/>
        </w:rPr>
      </w:pPr>
      <w:r w:rsidRPr="007A4D1F">
        <w:rPr>
          <w:sz w:val="20"/>
          <w:szCs w:val="20"/>
        </w:rPr>
        <w:t>any illustration, diagram, photograph or graphic over which the Australian Competition and Consumer Commission does not hold copyright, but which may be part of or contained within this publication. The details of the relevant licence conditions are available on the Creative Commons website, as is the full legal code for the CC BY 3.0 AU licence.</w:t>
      </w:r>
    </w:p>
    <w:p w:rsidR="00842867" w:rsidRDefault="00842867" w:rsidP="00842867">
      <w:pPr>
        <w:pStyle w:val="Copyright"/>
      </w:pPr>
      <w:r>
        <w:t>Inquiries about this publication should be addressed to:</w:t>
      </w:r>
    </w:p>
    <w:p w:rsidR="00842867" w:rsidRDefault="00842867" w:rsidP="00842867">
      <w:pPr>
        <w:pStyle w:val="Copyright"/>
      </w:pPr>
      <w:r>
        <w:t xml:space="preserve">Australian Energy </w:t>
      </w:r>
      <w:r w:rsidRPr="00F171E0">
        <w:t>Regulator</w:t>
      </w:r>
      <w:r>
        <w:br/>
        <w:t>GPO Box 520</w:t>
      </w:r>
      <w:r>
        <w:br/>
        <w:t>Melbourne Vic  3001</w:t>
      </w:r>
    </w:p>
    <w:p w:rsidR="00842867" w:rsidRDefault="00842867" w:rsidP="00842867">
      <w:pPr>
        <w:pStyle w:val="Copyright"/>
      </w:pPr>
      <w:r>
        <w:t>Tel: (03) 9290 1444</w:t>
      </w:r>
      <w:r>
        <w:br/>
        <w:t>Fax: (03) 9290 1457</w:t>
      </w:r>
    </w:p>
    <w:p w:rsidR="00842867" w:rsidRPr="003F4659" w:rsidRDefault="00842867" w:rsidP="00842867">
      <w:pPr>
        <w:pStyle w:val="Copyright"/>
        <w:rPr>
          <w:sz w:val="22"/>
          <w:u w:val="single"/>
        </w:rPr>
      </w:pPr>
      <w:r>
        <w:t xml:space="preserve">Email: </w:t>
      </w:r>
      <w:hyperlink r:id="rId11" w:history="1">
        <w:r w:rsidR="006044D9">
          <w:rPr>
            <w:rStyle w:val="Hyperlink"/>
          </w:rPr>
          <w:t>AERinquiry@aer.gov.au</w:t>
        </w:r>
      </w:hyperlink>
      <w:r>
        <w:rPr>
          <w:rStyle w:val="Hyperlink"/>
        </w:rPr>
        <w:br/>
      </w:r>
      <w:r w:rsidR="001767B5">
        <w:t>AER Reference: 60</w:t>
      </w:r>
      <w:r w:rsidR="00C11FCC">
        <w:t>971</w:t>
      </w:r>
      <w:r w:rsidRPr="002E781E">
        <w:t>-D1</w:t>
      </w:r>
      <w:r w:rsidR="009F047D">
        <w:t>6</w:t>
      </w:r>
      <w:r w:rsidRPr="002E781E">
        <w:t>/</w:t>
      </w:r>
      <w:r w:rsidR="005F73CC">
        <w:t>1</w:t>
      </w:r>
      <w:r w:rsidR="00794F0B">
        <w:t>33222</w:t>
      </w:r>
    </w:p>
    <w:p w:rsidR="00842867" w:rsidRDefault="00842867" w:rsidP="00842867"/>
    <w:p w:rsidR="00842867" w:rsidRDefault="00842867" w:rsidP="00842867"/>
    <w:p w:rsidR="00842867" w:rsidRDefault="00842867">
      <w:pPr>
        <w:spacing w:line="240" w:lineRule="auto"/>
      </w:pPr>
      <w:r>
        <w:br w:type="page"/>
      </w:r>
    </w:p>
    <w:p w:rsidR="00842867" w:rsidRDefault="00842867" w:rsidP="00842867">
      <w:pPr>
        <w:pStyle w:val="TOCHeading"/>
      </w:pPr>
      <w:r>
        <w:lastRenderedPageBreak/>
        <w:t>Contents</w:t>
      </w:r>
    </w:p>
    <w:p w:rsidR="00805D2E" w:rsidRDefault="00842867">
      <w:pPr>
        <w:pStyle w:val="TOC1"/>
        <w:rPr>
          <w:rFonts w:asciiTheme="minorHAnsi" w:eastAsiaTheme="minorEastAsia" w:hAnsiTheme="minorHAnsi"/>
          <w:b w:val="0"/>
          <w:color w:val="auto"/>
          <w:sz w:val="22"/>
          <w:lang w:val="en-AU" w:eastAsia="en-AU"/>
        </w:rPr>
      </w:pPr>
      <w:r>
        <w:fldChar w:fldCharType="begin"/>
      </w:r>
      <w:r>
        <w:instrText xml:space="preserve"> TOC \o "1-3" \h \z \u </w:instrText>
      </w:r>
      <w:r>
        <w:fldChar w:fldCharType="separate"/>
      </w:r>
      <w:hyperlink w:anchor="_Toc466452010" w:history="1">
        <w:r w:rsidR="00805D2E" w:rsidRPr="007F7D69">
          <w:rPr>
            <w:rStyle w:val="Hyperlink"/>
          </w:rPr>
          <w:t>Executive summary</w:t>
        </w:r>
        <w:r w:rsidR="00805D2E">
          <w:rPr>
            <w:webHidden/>
          </w:rPr>
          <w:tab/>
        </w:r>
        <w:r w:rsidR="00805D2E">
          <w:rPr>
            <w:webHidden/>
          </w:rPr>
          <w:fldChar w:fldCharType="begin"/>
        </w:r>
        <w:r w:rsidR="00805D2E">
          <w:rPr>
            <w:webHidden/>
          </w:rPr>
          <w:instrText xml:space="preserve"> PAGEREF _Toc466452010 \h </w:instrText>
        </w:r>
        <w:r w:rsidR="00805D2E">
          <w:rPr>
            <w:webHidden/>
          </w:rPr>
        </w:r>
        <w:r w:rsidR="00805D2E">
          <w:rPr>
            <w:webHidden/>
          </w:rPr>
          <w:fldChar w:fldCharType="separate"/>
        </w:r>
        <w:r w:rsidR="00805D2E">
          <w:rPr>
            <w:webHidden/>
          </w:rPr>
          <w:t>1</w:t>
        </w:r>
        <w:r w:rsidR="00805D2E">
          <w:rPr>
            <w:webHidden/>
          </w:rPr>
          <w:fldChar w:fldCharType="end"/>
        </w:r>
      </w:hyperlink>
    </w:p>
    <w:p w:rsidR="00805D2E" w:rsidRDefault="00F74611">
      <w:pPr>
        <w:pStyle w:val="TOC1"/>
        <w:rPr>
          <w:rFonts w:asciiTheme="minorHAnsi" w:eastAsiaTheme="minorEastAsia" w:hAnsiTheme="minorHAnsi"/>
          <w:b w:val="0"/>
          <w:color w:val="auto"/>
          <w:sz w:val="22"/>
          <w:lang w:val="en-AU" w:eastAsia="en-AU"/>
        </w:rPr>
      </w:pPr>
      <w:hyperlink w:anchor="_Toc466452011" w:history="1">
        <w:r w:rsidR="00805D2E" w:rsidRPr="007F7D69">
          <w:rPr>
            <w:rStyle w:val="Hyperlink"/>
          </w:rPr>
          <w:t>Background</w:t>
        </w:r>
        <w:r w:rsidR="00805D2E">
          <w:rPr>
            <w:webHidden/>
          </w:rPr>
          <w:tab/>
        </w:r>
        <w:r w:rsidR="00805D2E">
          <w:rPr>
            <w:webHidden/>
          </w:rPr>
          <w:fldChar w:fldCharType="begin"/>
        </w:r>
        <w:r w:rsidR="00805D2E">
          <w:rPr>
            <w:webHidden/>
          </w:rPr>
          <w:instrText xml:space="preserve"> PAGEREF _Toc466452011 \h </w:instrText>
        </w:r>
        <w:r w:rsidR="00805D2E">
          <w:rPr>
            <w:webHidden/>
          </w:rPr>
        </w:r>
        <w:r w:rsidR="00805D2E">
          <w:rPr>
            <w:webHidden/>
          </w:rPr>
          <w:fldChar w:fldCharType="separate"/>
        </w:r>
        <w:r w:rsidR="00805D2E">
          <w:rPr>
            <w:webHidden/>
          </w:rPr>
          <w:t>3</w:t>
        </w:r>
        <w:r w:rsidR="00805D2E">
          <w:rPr>
            <w:webHidden/>
          </w:rPr>
          <w:fldChar w:fldCharType="end"/>
        </w:r>
      </w:hyperlink>
    </w:p>
    <w:p w:rsidR="00805D2E" w:rsidRDefault="00F74611">
      <w:pPr>
        <w:pStyle w:val="TOC1"/>
        <w:rPr>
          <w:rFonts w:asciiTheme="minorHAnsi" w:eastAsiaTheme="minorEastAsia" w:hAnsiTheme="minorHAnsi"/>
          <w:b w:val="0"/>
          <w:color w:val="auto"/>
          <w:sz w:val="22"/>
          <w:lang w:val="en-AU" w:eastAsia="en-AU"/>
        </w:rPr>
      </w:pPr>
      <w:hyperlink w:anchor="_Toc466452012" w:history="1">
        <w:r w:rsidR="00805D2E" w:rsidRPr="007F7D69">
          <w:rPr>
            <w:rStyle w:val="Hyperlink"/>
          </w:rPr>
          <w:t>1</w:t>
        </w:r>
        <w:r w:rsidR="00805D2E">
          <w:rPr>
            <w:rFonts w:asciiTheme="minorHAnsi" w:eastAsiaTheme="minorEastAsia" w:hAnsiTheme="minorHAnsi"/>
            <w:b w:val="0"/>
            <w:color w:val="auto"/>
            <w:sz w:val="22"/>
            <w:lang w:val="en-AU" w:eastAsia="en-AU"/>
          </w:rPr>
          <w:tab/>
        </w:r>
        <w:r w:rsidR="00805D2E" w:rsidRPr="007F7D69">
          <w:rPr>
            <w:rStyle w:val="Hyperlink"/>
          </w:rPr>
          <w:t>Gas</w:t>
        </w:r>
        <w:r w:rsidR="00805D2E">
          <w:rPr>
            <w:webHidden/>
          </w:rPr>
          <w:tab/>
        </w:r>
        <w:r w:rsidR="00805D2E">
          <w:rPr>
            <w:webHidden/>
          </w:rPr>
          <w:fldChar w:fldCharType="begin"/>
        </w:r>
        <w:r w:rsidR="00805D2E">
          <w:rPr>
            <w:webHidden/>
          </w:rPr>
          <w:instrText xml:space="preserve"> PAGEREF _Toc466452012 \h </w:instrText>
        </w:r>
        <w:r w:rsidR="00805D2E">
          <w:rPr>
            <w:webHidden/>
          </w:rPr>
        </w:r>
        <w:r w:rsidR="00805D2E">
          <w:rPr>
            <w:webHidden/>
          </w:rPr>
          <w:fldChar w:fldCharType="separate"/>
        </w:r>
        <w:r w:rsidR="00805D2E">
          <w:rPr>
            <w:webHidden/>
          </w:rPr>
          <w:t>4</w:t>
        </w:r>
        <w:r w:rsidR="00805D2E">
          <w:rPr>
            <w:webHidden/>
          </w:rPr>
          <w:fldChar w:fldCharType="end"/>
        </w:r>
      </w:hyperlink>
    </w:p>
    <w:p w:rsidR="00805D2E" w:rsidRDefault="00F74611">
      <w:pPr>
        <w:pStyle w:val="TOC2"/>
        <w:rPr>
          <w:rFonts w:asciiTheme="minorHAnsi" w:eastAsiaTheme="minorEastAsia" w:hAnsiTheme="minorHAnsi"/>
          <w:b w:val="0"/>
          <w:color w:val="auto"/>
          <w:sz w:val="22"/>
          <w:lang w:eastAsia="en-AU"/>
        </w:rPr>
      </w:pPr>
      <w:hyperlink w:anchor="_Toc466452013" w:history="1">
        <w:r w:rsidR="00805D2E" w:rsidRPr="007F7D69">
          <w:rPr>
            <w:rStyle w:val="Hyperlink"/>
          </w:rPr>
          <w:t>1.1</w:t>
        </w:r>
        <w:r w:rsidR="00805D2E">
          <w:rPr>
            <w:rFonts w:asciiTheme="minorHAnsi" w:eastAsiaTheme="minorEastAsia" w:hAnsiTheme="minorHAnsi"/>
            <w:b w:val="0"/>
            <w:color w:val="auto"/>
            <w:sz w:val="22"/>
            <w:lang w:eastAsia="en-AU"/>
          </w:rPr>
          <w:tab/>
        </w:r>
        <w:r w:rsidR="00805D2E" w:rsidRPr="007F7D69">
          <w:rPr>
            <w:rStyle w:val="Hyperlink"/>
          </w:rPr>
          <w:t>Natural Gas Services Bulletin Board</w:t>
        </w:r>
        <w:r w:rsidR="00805D2E">
          <w:rPr>
            <w:webHidden/>
          </w:rPr>
          <w:tab/>
        </w:r>
        <w:r w:rsidR="00805D2E">
          <w:rPr>
            <w:webHidden/>
          </w:rPr>
          <w:fldChar w:fldCharType="begin"/>
        </w:r>
        <w:r w:rsidR="00805D2E">
          <w:rPr>
            <w:webHidden/>
          </w:rPr>
          <w:instrText xml:space="preserve"> PAGEREF _Toc466452013 \h </w:instrText>
        </w:r>
        <w:r w:rsidR="00805D2E">
          <w:rPr>
            <w:webHidden/>
          </w:rPr>
        </w:r>
        <w:r w:rsidR="00805D2E">
          <w:rPr>
            <w:webHidden/>
          </w:rPr>
          <w:fldChar w:fldCharType="separate"/>
        </w:r>
        <w:r w:rsidR="00805D2E">
          <w:rPr>
            <w:webHidden/>
          </w:rPr>
          <w:t>4</w:t>
        </w:r>
        <w:r w:rsidR="00805D2E">
          <w:rPr>
            <w:webHidden/>
          </w:rPr>
          <w:fldChar w:fldCharType="end"/>
        </w:r>
      </w:hyperlink>
    </w:p>
    <w:p w:rsidR="00805D2E" w:rsidRDefault="00F74611">
      <w:pPr>
        <w:pStyle w:val="TOC3"/>
        <w:rPr>
          <w:rFonts w:asciiTheme="minorHAnsi" w:eastAsiaTheme="minorEastAsia" w:hAnsiTheme="minorHAnsi"/>
          <w:lang w:eastAsia="en-AU"/>
        </w:rPr>
      </w:pPr>
      <w:hyperlink w:anchor="_Toc466452014" w:history="1">
        <w:r w:rsidR="00805D2E" w:rsidRPr="007F7D69">
          <w:rPr>
            <w:rStyle w:val="Hyperlink"/>
          </w:rPr>
          <w:t>1.1.1</w:t>
        </w:r>
        <w:r w:rsidR="00805D2E">
          <w:rPr>
            <w:rFonts w:asciiTheme="minorHAnsi" w:eastAsiaTheme="minorEastAsia" w:hAnsiTheme="minorHAnsi"/>
            <w:lang w:eastAsia="en-AU"/>
          </w:rPr>
          <w:tab/>
        </w:r>
        <w:r w:rsidR="00805D2E" w:rsidRPr="007F7D69">
          <w:rPr>
            <w:rStyle w:val="Hyperlink"/>
          </w:rPr>
          <w:t>Bulletin Board Monitoring</w:t>
        </w:r>
        <w:r w:rsidR="00805D2E">
          <w:rPr>
            <w:webHidden/>
          </w:rPr>
          <w:tab/>
        </w:r>
        <w:r w:rsidR="00805D2E">
          <w:rPr>
            <w:webHidden/>
          </w:rPr>
          <w:fldChar w:fldCharType="begin"/>
        </w:r>
        <w:r w:rsidR="00805D2E">
          <w:rPr>
            <w:webHidden/>
          </w:rPr>
          <w:instrText xml:space="preserve"> PAGEREF _Toc466452014 \h </w:instrText>
        </w:r>
        <w:r w:rsidR="00805D2E">
          <w:rPr>
            <w:webHidden/>
          </w:rPr>
        </w:r>
        <w:r w:rsidR="00805D2E">
          <w:rPr>
            <w:webHidden/>
          </w:rPr>
          <w:fldChar w:fldCharType="separate"/>
        </w:r>
        <w:r w:rsidR="00805D2E">
          <w:rPr>
            <w:webHidden/>
          </w:rPr>
          <w:t>4</w:t>
        </w:r>
        <w:r w:rsidR="00805D2E">
          <w:rPr>
            <w:webHidden/>
          </w:rPr>
          <w:fldChar w:fldCharType="end"/>
        </w:r>
      </w:hyperlink>
    </w:p>
    <w:p w:rsidR="00805D2E" w:rsidRDefault="00F74611">
      <w:pPr>
        <w:pStyle w:val="TOC3"/>
        <w:rPr>
          <w:rFonts w:asciiTheme="minorHAnsi" w:eastAsiaTheme="minorEastAsia" w:hAnsiTheme="minorHAnsi"/>
          <w:lang w:eastAsia="en-AU"/>
        </w:rPr>
      </w:pPr>
      <w:hyperlink w:anchor="_Toc466452015" w:history="1">
        <w:r w:rsidR="00805D2E" w:rsidRPr="007F7D69">
          <w:rPr>
            <w:rStyle w:val="Hyperlink"/>
          </w:rPr>
          <w:t>1.1.2</w:t>
        </w:r>
        <w:r w:rsidR="00805D2E">
          <w:rPr>
            <w:rFonts w:asciiTheme="minorHAnsi" w:eastAsiaTheme="minorEastAsia" w:hAnsiTheme="minorHAnsi"/>
            <w:lang w:eastAsia="en-AU"/>
          </w:rPr>
          <w:tab/>
        </w:r>
        <w:r w:rsidR="00805D2E" w:rsidRPr="007F7D69">
          <w:rPr>
            <w:rStyle w:val="Hyperlink"/>
          </w:rPr>
          <w:t>Exemptions</w:t>
        </w:r>
        <w:r w:rsidR="00805D2E">
          <w:rPr>
            <w:webHidden/>
          </w:rPr>
          <w:tab/>
        </w:r>
        <w:r w:rsidR="00805D2E">
          <w:rPr>
            <w:webHidden/>
          </w:rPr>
          <w:fldChar w:fldCharType="begin"/>
        </w:r>
        <w:r w:rsidR="00805D2E">
          <w:rPr>
            <w:webHidden/>
          </w:rPr>
          <w:instrText xml:space="preserve"> PAGEREF _Toc466452015 \h </w:instrText>
        </w:r>
        <w:r w:rsidR="00805D2E">
          <w:rPr>
            <w:webHidden/>
          </w:rPr>
        </w:r>
        <w:r w:rsidR="00805D2E">
          <w:rPr>
            <w:webHidden/>
          </w:rPr>
          <w:fldChar w:fldCharType="separate"/>
        </w:r>
        <w:r w:rsidR="00805D2E">
          <w:rPr>
            <w:webHidden/>
          </w:rPr>
          <w:t>5</w:t>
        </w:r>
        <w:r w:rsidR="00805D2E">
          <w:rPr>
            <w:webHidden/>
          </w:rPr>
          <w:fldChar w:fldCharType="end"/>
        </w:r>
      </w:hyperlink>
    </w:p>
    <w:p w:rsidR="00805D2E" w:rsidRDefault="00F74611">
      <w:pPr>
        <w:pStyle w:val="TOC3"/>
        <w:rPr>
          <w:rFonts w:asciiTheme="minorHAnsi" w:eastAsiaTheme="minorEastAsia" w:hAnsiTheme="minorHAnsi"/>
          <w:lang w:eastAsia="en-AU"/>
        </w:rPr>
      </w:pPr>
      <w:hyperlink w:anchor="_Toc466452016" w:history="1">
        <w:r w:rsidR="00805D2E" w:rsidRPr="007F7D69">
          <w:rPr>
            <w:rStyle w:val="Hyperlink"/>
          </w:rPr>
          <w:t>1.1.3</w:t>
        </w:r>
        <w:r w:rsidR="00805D2E">
          <w:rPr>
            <w:rFonts w:asciiTheme="minorHAnsi" w:eastAsiaTheme="minorEastAsia" w:hAnsiTheme="minorHAnsi"/>
            <w:lang w:eastAsia="en-AU"/>
          </w:rPr>
          <w:tab/>
        </w:r>
        <w:r w:rsidR="00805D2E" w:rsidRPr="007F7D69">
          <w:rPr>
            <w:rStyle w:val="Hyperlink"/>
          </w:rPr>
          <w:t>Compliance with new requirements</w:t>
        </w:r>
        <w:r w:rsidR="00805D2E">
          <w:rPr>
            <w:webHidden/>
          </w:rPr>
          <w:tab/>
        </w:r>
        <w:r w:rsidR="00805D2E">
          <w:rPr>
            <w:webHidden/>
          </w:rPr>
          <w:fldChar w:fldCharType="begin"/>
        </w:r>
        <w:r w:rsidR="00805D2E">
          <w:rPr>
            <w:webHidden/>
          </w:rPr>
          <w:instrText xml:space="preserve"> PAGEREF _Toc466452016 \h </w:instrText>
        </w:r>
        <w:r w:rsidR="00805D2E">
          <w:rPr>
            <w:webHidden/>
          </w:rPr>
        </w:r>
        <w:r w:rsidR="00805D2E">
          <w:rPr>
            <w:webHidden/>
          </w:rPr>
          <w:fldChar w:fldCharType="separate"/>
        </w:r>
        <w:r w:rsidR="00805D2E">
          <w:rPr>
            <w:webHidden/>
          </w:rPr>
          <w:t>6</w:t>
        </w:r>
        <w:r w:rsidR="00805D2E">
          <w:rPr>
            <w:webHidden/>
          </w:rPr>
          <w:fldChar w:fldCharType="end"/>
        </w:r>
      </w:hyperlink>
    </w:p>
    <w:p w:rsidR="00805D2E" w:rsidRDefault="00F74611">
      <w:pPr>
        <w:pStyle w:val="TOC3"/>
        <w:rPr>
          <w:rFonts w:asciiTheme="minorHAnsi" w:eastAsiaTheme="minorEastAsia" w:hAnsiTheme="minorHAnsi"/>
          <w:lang w:eastAsia="en-AU"/>
        </w:rPr>
      </w:pPr>
      <w:hyperlink w:anchor="_Toc466452017" w:history="1">
        <w:r w:rsidR="00805D2E" w:rsidRPr="007F7D69">
          <w:rPr>
            <w:rStyle w:val="Hyperlink"/>
          </w:rPr>
          <w:t>1.1.4</w:t>
        </w:r>
        <w:r w:rsidR="00805D2E">
          <w:rPr>
            <w:rFonts w:asciiTheme="minorHAnsi" w:eastAsiaTheme="minorEastAsia" w:hAnsiTheme="minorHAnsi"/>
            <w:lang w:eastAsia="en-AU"/>
          </w:rPr>
          <w:tab/>
        </w:r>
        <w:r w:rsidR="00805D2E" w:rsidRPr="007F7D69">
          <w:rPr>
            <w:rStyle w:val="Hyperlink"/>
          </w:rPr>
          <w:t>Observations and Future Reporting</w:t>
        </w:r>
        <w:r w:rsidR="00805D2E">
          <w:rPr>
            <w:webHidden/>
          </w:rPr>
          <w:tab/>
        </w:r>
        <w:r w:rsidR="00805D2E">
          <w:rPr>
            <w:webHidden/>
          </w:rPr>
          <w:fldChar w:fldCharType="begin"/>
        </w:r>
        <w:r w:rsidR="00805D2E">
          <w:rPr>
            <w:webHidden/>
          </w:rPr>
          <w:instrText xml:space="preserve"> PAGEREF _Toc466452017 \h </w:instrText>
        </w:r>
        <w:r w:rsidR="00805D2E">
          <w:rPr>
            <w:webHidden/>
          </w:rPr>
        </w:r>
        <w:r w:rsidR="00805D2E">
          <w:rPr>
            <w:webHidden/>
          </w:rPr>
          <w:fldChar w:fldCharType="separate"/>
        </w:r>
        <w:r w:rsidR="00805D2E">
          <w:rPr>
            <w:webHidden/>
          </w:rPr>
          <w:t>8</w:t>
        </w:r>
        <w:r w:rsidR="00805D2E">
          <w:rPr>
            <w:webHidden/>
          </w:rPr>
          <w:fldChar w:fldCharType="end"/>
        </w:r>
      </w:hyperlink>
    </w:p>
    <w:p w:rsidR="00805D2E" w:rsidRDefault="00F74611">
      <w:pPr>
        <w:pStyle w:val="TOC2"/>
        <w:rPr>
          <w:rFonts w:asciiTheme="minorHAnsi" w:eastAsiaTheme="minorEastAsia" w:hAnsiTheme="minorHAnsi"/>
          <w:b w:val="0"/>
          <w:color w:val="auto"/>
          <w:sz w:val="22"/>
          <w:lang w:eastAsia="en-AU"/>
        </w:rPr>
      </w:pPr>
      <w:hyperlink w:anchor="_Toc466452018" w:history="1">
        <w:r w:rsidR="00805D2E" w:rsidRPr="007F7D69">
          <w:rPr>
            <w:rStyle w:val="Hyperlink"/>
          </w:rPr>
          <w:t>1.2</w:t>
        </w:r>
        <w:r w:rsidR="00805D2E">
          <w:rPr>
            <w:rFonts w:asciiTheme="minorHAnsi" w:eastAsiaTheme="minorEastAsia" w:hAnsiTheme="minorHAnsi"/>
            <w:b w:val="0"/>
            <w:color w:val="auto"/>
            <w:sz w:val="22"/>
            <w:lang w:eastAsia="en-AU"/>
          </w:rPr>
          <w:tab/>
        </w:r>
        <w:r w:rsidR="00805D2E" w:rsidRPr="007F7D69">
          <w:rPr>
            <w:rStyle w:val="Hyperlink"/>
          </w:rPr>
          <w:t>Short Term Trading Market</w:t>
        </w:r>
        <w:r w:rsidR="00805D2E">
          <w:rPr>
            <w:webHidden/>
          </w:rPr>
          <w:tab/>
        </w:r>
        <w:r w:rsidR="00805D2E">
          <w:rPr>
            <w:webHidden/>
          </w:rPr>
          <w:fldChar w:fldCharType="begin"/>
        </w:r>
        <w:r w:rsidR="00805D2E">
          <w:rPr>
            <w:webHidden/>
          </w:rPr>
          <w:instrText xml:space="preserve"> PAGEREF _Toc466452018 \h </w:instrText>
        </w:r>
        <w:r w:rsidR="00805D2E">
          <w:rPr>
            <w:webHidden/>
          </w:rPr>
        </w:r>
        <w:r w:rsidR="00805D2E">
          <w:rPr>
            <w:webHidden/>
          </w:rPr>
          <w:fldChar w:fldCharType="separate"/>
        </w:r>
        <w:r w:rsidR="00805D2E">
          <w:rPr>
            <w:webHidden/>
          </w:rPr>
          <w:t>9</w:t>
        </w:r>
        <w:r w:rsidR="00805D2E">
          <w:rPr>
            <w:webHidden/>
          </w:rPr>
          <w:fldChar w:fldCharType="end"/>
        </w:r>
      </w:hyperlink>
    </w:p>
    <w:p w:rsidR="00805D2E" w:rsidRDefault="00F74611">
      <w:pPr>
        <w:pStyle w:val="TOC3"/>
        <w:rPr>
          <w:rFonts w:asciiTheme="minorHAnsi" w:eastAsiaTheme="minorEastAsia" w:hAnsiTheme="minorHAnsi"/>
          <w:lang w:eastAsia="en-AU"/>
        </w:rPr>
      </w:pPr>
      <w:hyperlink w:anchor="_Toc466452019" w:history="1">
        <w:r w:rsidR="00805D2E" w:rsidRPr="007F7D69">
          <w:rPr>
            <w:rStyle w:val="Hyperlink"/>
          </w:rPr>
          <w:t>1.2.1</w:t>
        </w:r>
        <w:r w:rsidR="00805D2E">
          <w:rPr>
            <w:rFonts w:asciiTheme="minorHAnsi" w:eastAsiaTheme="minorEastAsia" w:hAnsiTheme="minorHAnsi"/>
            <w:lang w:eastAsia="en-AU"/>
          </w:rPr>
          <w:tab/>
        </w:r>
        <w:r w:rsidR="00805D2E" w:rsidRPr="007F7D69">
          <w:rPr>
            <w:rStyle w:val="Hyperlink"/>
          </w:rPr>
          <w:t>Sydney STTM Demand Forecasting Errors</w:t>
        </w:r>
        <w:r w:rsidR="00805D2E">
          <w:rPr>
            <w:webHidden/>
          </w:rPr>
          <w:tab/>
        </w:r>
        <w:r w:rsidR="00805D2E">
          <w:rPr>
            <w:webHidden/>
          </w:rPr>
          <w:fldChar w:fldCharType="begin"/>
        </w:r>
        <w:r w:rsidR="00805D2E">
          <w:rPr>
            <w:webHidden/>
          </w:rPr>
          <w:instrText xml:space="preserve"> PAGEREF _Toc466452019 \h </w:instrText>
        </w:r>
        <w:r w:rsidR="00805D2E">
          <w:rPr>
            <w:webHidden/>
          </w:rPr>
        </w:r>
        <w:r w:rsidR="00805D2E">
          <w:rPr>
            <w:webHidden/>
          </w:rPr>
          <w:fldChar w:fldCharType="separate"/>
        </w:r>
        <w:r w:rsidR="00805D2E">
          <w:rPr>
            <w:webHidden/>
          </w:rPr>
          <w:t>9</w:t>
        </w:r>
        <w:r w:rsidR="00805D2E">
          <w:rPr>
            <w:webHidden/>
          </w:rPr>
          <w:fldChar w:fldCharType="end"/>
        </w:r>
      </w:hyperlink>
    </w:p>
    <w:p w:rsidR="00805D2E" w:rsidRDefault="00F74611">
      <w:pPr>
        <w:pStyle w:val="TOC3"/>
        <w:rPr>
          <w:rFonts w:asciiTheme="minorHAnsi" w:eastAsiaTheme="minorEastAsia" w:hAnsiTheme="minorHAnsi"/>
          <w:lang w:eastAsia="en-AU"/>
        </w:rPr>
      </w:pPr>
      <w:hyperlink w:anchor="_Toc466452020" w:history="1">
        <w:r w:rsidR="00805D2E" w:rsidRPr="007F7D69">
          <w:rPr>
            <w:rStyle w:val="Hyperlink"/>
          </w:rPr>
          <w:t>1.2.2</w:t>
        </w:r>
        <w:r w:rsidR="00805D2E">
          <w:rPr>
            <w:rFonts w:asciiTheme="minorHAnsi" w:eastAsiaTheme="minorEastAsia" w:hAnsiTheme="minorHAnsi"/>
            <w:lang w:eastAsia="en-AU"/>
          </w:rPr>
          <w:tab/>
        </w:r>
        <w:r w:rsidR="00805D2E" w:rsidRPr="007F7D69">
          <w:rPr>
            <w:rStyle w:val="Hyperlink"/>
          </w:rPr>
          <w:t>Significant Price Variations over winter 2016</w:t>
        </w:r>
        <w:r w:rsidR="00805D2E">
          <w:rPr>
            <w:webHidden/>
          </w:rPr>
          <w:tab/>
        </w:r>
        <w:r w:rsidR="00805D2E">
          <w:rPr>
            <w:webHidden/>
          </w:rPr>
          <w:fldChar w:fldCharType="begin"/>
        </w:r>
        <w:r w:rsidR="00805D2E">
          <w:rPr>
            <w:webHidden/>
          </w:rPr>
          <w:instrText xml:space="preserve"> PAGEREF _Toc466452020 \h </w:instrText>
        </w:r>
        <w:r w:rsidR="00805D2E">
          <w:rPr>
            <w:webHidden/>
          </w:rPr>
        </w:r>
        <w:r w:rsidR="00805D2E">
          <w:rPr>
            <w:webHidden/>
          </w:rPr>
          <w:fldChar w:fldCharType="separate"/>
        </w:r>
        <w:r w:rsidR="00805D2E">
          <w:rPr>
            <w:webHidden/>
          </w:rPr>
          <w:t>10</w:t>
        </w:r>
        <w:r w:rsidR="00805D2E">
          <w:rPr>
            <w:webHidden/>
          </w:rPr>
          <w:fldChar w:fldCharType="end"/>
        </w:r>
      </w:hyperlink>
    </w:p>
    <w:p w:rsidR="00805D2E" w:rsidRDefault="00F74611">
      <w:pPr>
        <w:pStyle w:val="TOC3"/>
        <w:rPr>
          <w:rFonts w:asciiTheme="minorHAnsi" w:eastAsiaTheme="minorEastAsia" w:hAnsiTheme="minorHAnsi"/>
          <w:lang w:eastAsia="en-AU"/>
        </w:rPr>
      </w:pPr>
      <w:hyperlink w:anchor="_Toc466452021" w:history="1">
        <w:r w:rsidR="00805D2E" w:rsidRPr="007F7D69">
          <w:rPr>
            <w:rStyle w:val="Hyperlink"/>
          </w:rPr>
          <w:t>1.2.3</w:t>
        </w:r>
        <w:r w:rsidR="00805D2E">
          <w:rPr>
            <w:rFonts w:asciiTheme="minorHAnsi" w:eastAsiaTheme="minorEastAsia" w:hAnsiTheme="minorHAnsi"/>
            <w:lang w:eastAsia="en-AU"/>
          </w:rPr>
          <w:tab/>
        </w:r>
        <w:r w:rsidR="00805D2E" w:rsidRPr="007F7D69">
          <w:rPr>
            <w:rStyle w:val="Hyperlink"/>
          </w:rPr>
          <w:t>Allocations Data Submissions - APA Group</w:t>
        </w:r>
        <w:r w:rsidR="00805D2E">
          <w:rPr>
            <w:webHidden/>
          </w:rPr>
          <w:tab/>
        </w:r>
        <w:r w:rsidR="00805D2E">
          <w:rPr>
            <w:webHidden/>
          </w:rPr>
          <w:fldChar w:fldCharType="begin"/>
        </w:r>
        <w:r w:rsidR="00805D2E">
          <w:rPr>
            <w:webHidden/>
          </w:rPr>
          <w:instrText xml:space="preserve"> PAGEREF _Toc466452021 \h </w:instrText>
        </w:r>
        <w:r w:rsidR="00805D2E">
          <w:rPr>
            <w:webHidden/>
          </w:rPr>
        </w:r>
        <w:r w:rsidR="00805D2E">
          <w:rPr>
            <w:webHidden/>
          </w:rPr>
          <w:fldChar w:fldCharType="separate"/>
        </w:r>
        <w:r w:rsidR="00805D2E">
          <w:rPr>
            <w:webHidden/>
          </w:rPr>
          <w:t>11</w:t>
        </w:r>
        <w:r w:rsidR="00805D2E">
          <w:rPr>
            <w:webHidden/>
          </w:rPr>
          <w:fldChar w:fldCharType="end"/>
        </w:r>
      </w:hyperlink>
    </w:p>
    <w:p w:rsidR="00805D2E" w:rsidRDefault="00F74611">
      <w:pPr>
        <w:pStyle w:val="TOC2"/>
        <w:rPr>
          <w:rFonts w:asciiTheme="minorHAnsi" w:eastAsiaTheme="minorEastAsia" w:hAnsiTheme="minorHAnsi"/>
          <w:b w:val="0"/>
          <w:color w:val="auto"/>
          <w:sz w:val="22"/>
          <w:lang w:eastAsia="en-AU"/>
        </w:rPr>
      </w:pPr>
      <w:hyperlink w:anchor="_Toc466452022" w:history="1">
        <w:r w:rsidR="00805D2E" w:rsidRPr="007F7D69">
          <w:rPr>
            <w:rStyle w:val="Hyperlink"/>
          </w:rPr>
          <w:t>1.3</w:t>
        </w:r>
        <w:r w:rsidR="00805D2E">
          <w:rPr>
            <w:rFonts w:asciiTheme="minorHAnsi" w:eastAsiaTheme="minorEastAsia" w:hAnsiTheme="minorHAnsi"/>
            <w:b w:val="0"/>
            <w:color w:val="auto"/>
            <w:sz w:val="22"/>
            <w:lang w:eastAsia="en-AU"/>
          </w:rPr>
          <w:tab/>
        </w:r>
        <w:r w:rsidR="00805D2E" w:rsidRPr="007F7D69">
          <w:rPr>
            <w:rStyle w:val="Hyperlink"/>
          </w:rPr>
          <w:t>Victorian Gas Market</w:t>
        </w:r>
        <w:r w:rsidR="00805D2E">
          <w:rPr>
            <w:webHidden/>
          </w:rPr>
          <w:tab/>
        </w:r>
        <w:r w:rsidR="00805D2E">
          <w:rPr>
            <w:webHidden/>
          </w:rPr>
          <w:fldChar w:fldCharType="begin"/>
        </w:r>
        <w:r w:rsidR="00805D2E">
          <w:rPr>
            <w:webHidden/>
          </w:rPr>
          <w:instrText xml:space="preserve"> PAGEREF _Toc466452022 \h </w:instrText>
        </w:r>
        <w:r w:rsidR="00805D2E">
          <w:rPr>
            <w:webHidden/>
          </w:rPr>
        </w:r>
        <w:r w:rsidR="00805D2E">
          <w:rPr>
            <w:webHidden/>
          </w:rPr>
          <w:fldChar w:fldCharType="separate"/>
        </w:r>
        <w:r w:rsidR="00805D2E">
          <w:rPr>
            <w:webHidden/>
          </w:rPr>
          <w:t>11</w:t>
        </w:r>
        <w:r w:rsidR="00805D2E">
          <w:rPr>
            <w:webHidden/>
          </w:rPr>
          <w:fldChar w:fldCharType="end"/>
        </w:r>
      </w:hyperlink>
    </w:p>
    <w:p w:rsidR="00805D2E" w:rsidRDefault="00F74611">
      <w:pPr>
        <w:pStyle w:val="TOC3"/>
        <w:rPr>
          <w:rFonts w:asciiTheme="minorHAnsi" w:eastAsiaTheme="minorEastAsia" w:hAnsiTheme="minorHAnsi"/>
          <w:lang w:eastAsia="en-AU"/>
        </w:rPr>
      </w:pPr>
      <w:hyperlink w:anchor="_Toc466452023" w:history="1">
        <w:r w:rsidR="00805D2E" w:rsidRPr="007F7D69">
          <w:rPr>
            <w:rStyle w:val="Hyperlink"/>
          </w:rPr>
          <w:t>1.3.1</w:t>
        </w:r>
        <w:r w:rsidR="00805D2E">
          <w:rPr>
            <w:rFonts w:asciiTheme="minorHAnsi" w:eastAsiaTheme="minorEastAsia" w:hAnsiTheme="minorHAnsi"/>
            <w:lang w:eastAsia="en-AU"/>
          </w:rPr>
          <w:tab/>
        </w:r>
        <w:r w:rsidR="00805D2E" w:rsidRPr="007F7D69">
          <w:rPr>
            <w:rStyle w:val="Hyperlink"/>
            <w:rFonts w:asciiTheme="majorHAnsi" w:eastAsia="Calibri" w:hAnsiTheme="majorHAnsi" w:cstheme="majorHAnsi"/>
          </w:rPr>
          <w:t>Longford Gas Plant Outage</w:t>
        </w:r>
        <w:r w:rsidR="00805D2E">
          <w:rPr>
            <w:webHidden/>
          </w:rPr>
          <w:tab/>
        </w:r>
        <w:r w:rsidR="00805D2E">
          <w:rPr>
            <w:webHidden/>
          </w:rPr>
          <w:fldChar w:fldCharType="begin"/>
        </w:r>
        <w:r w:rsidR="00805D2E">
          <w:rPr>
            <w:webHidden/>
          </w:rPr>
          <w:instrText xml:space="preserve"> PAGEREF _Toc466452023 \h </w:instrText>
        </w:r>
        <w:r w:rsidR="00805D2E">
          <w:rPr>
            <w:webHidden/>
          </w:rPr>
        </w:r>
        <w:r w:rsidR="00805D2E">
          <w:rPr>
            <w:webHidden/>
          </w:rPr>
          <w:fldChar w:fldCharType="separate"/>
        </w:r>
        <w:r w:rsidR="00805D2E">
          <w:rPr>
            <w:webHidden/>
          </w:rPr>
          <w:t>11</w:t>
        </w:r>
        <w:r w:rsidR="00805D2E">
          <w:rPr>
            <w:webHidden/>
          </w:rPr>
          <w:fldChar w:fldCharType="end"/>
        </w:r>
      </w:hyperlink>
    </w:p>
    <w:p w:rsidR="00805D2E" w:rsidRDefault="00F74611">
      <w:pPr>
        <w:pStyle w:val="TOC3"/>
        <w:rPr>
          <w:rFonts w:asciiTheme="minorHAnsi" w:eastAsiaTheme="minorEastAsia" w:hAnsiTheme="minorHAnsi"/>
          <w:lang w:eastAsia="en-AU"/>
        </w:rPr>
      </w:pPr>
      <w:hyperlink w:anchor="_Toc466452024" w:history="1">
        <w:r w:rsidR="00805D2E" w:rsidRPr="007F7D69">
          <w:rPr>
            <w:rStyle w:val="Hyperlink"/>
          </w:rPr>
          <w:t>1.3.2</w:t>
        </w:r>
        <w:r w:rsidR="00805D2E">
          <w:rPr>
            <w:rFonts w:asciiTheme="minorHAnsi" w:eastAsiaTheme="minorEastAsia" w:hAnsiTheme="minorHAnsi"/>
            <w:lang w:eastAsia="en-AU"/>
          </w:rPr>
          <w:tab/>
        </w:r>
        <w:r w:rsidR="00805D2E" w:rsidRPr="007F7D69">
          <w:rPr>
            <w:rStyle w:val="Hyperlink"/>
          </w:rPr>
          <w:t>Demand Forecasting in Victoria</w:t>
        </w:r>
        <w:r w:rsidR="00805D2E">
          <w:rPr>
            <w:webHidden/>
          </w:rPr>
          <w:tab/>
        </w:r>
        <w:r w:rsidR="00805D2E">
          <w:rPr>
            <w:webHidden/>
          </w:rPr>
          <w:fldChar w:fldCharType="begin"/>
        </w:r>
        <w:r w:rsidR="00805D2E">
          <w:rPr>
            <w:webHidden/>
          </w:rPr>
          <w:instrText xml:space="preserve"> PAGEREF _Toc466452024 \h </w:instrText>
        </w:r>
        <w:r w:rsidR="00805D2E">
          <w:rPr>
            <w:webHidden/>
          </w:rPr>
        </w:r>
        <w:r w:rsidR="00805D2E">
          <w:rPr>
            <w:webHidden/>
          </w:rPr>
          <w:fldChar w:fldCharType="separate"/>
        </w:r>
        <w:r w:rsidR="00805D2E">
          <w:rPr>
            <w:webHidden/>
          </w:rPr>
          <w:t>12</w:t>
        </w:r>
        <w:r w:rsidR="00805D2E">
          <w:rPr>
            <w:webHidden/>
          </w:rPr>
          <w:fldChar w:fldCharType="end"/>
        </w:r>
      </w:hyperlink>
    </w:p>
    <w:p w:rsidR="00805D2E" w:rsidRDefault="00F74611">
      <w:pPr>
        <w:pStyle w:val="TOC2"/>
        <w:rPr>
          <w:rFonts w:asciiTheme="minorHAnsi" w:eastAsiaTheme="minorEastAsia" w:hAnsiTheme="minorHAnsi"/>
          <w:b w:val="0"/>
          <w:color w:val="auto"/>
          <w:sz w:val="22"/>
          <w:lang w:eastAsia="en-AU"/>
        </w:rPr>
      </w:pPr>
      <w:hyperlink w:anchor="_Toc466452025" w:history="1">
        <w:r w:rsidR="00805D2E" w:rsidRPr="007F7D69">
          <w:rPr>
            <w:rStyle w:val="Hyperlink"/>
          </w:rPr>
          <w:t>1.4</w:t>
        </w:r>
        <w:r w:rsidR="00805D2E">
          <w:rPr>
            <w:rFonts w:asciiTheme="minorHAnsi" w:eastAsiaTheme="minorEastAsia" w:hAnsiTheme="minorHAnsi"/>
            <w:b w:val="0"/>
            <w:color w:val="auto"/>
            <w:sz w:val="22"/>
            <w:lang w:eastAsia="en-AU"/>
          </w:rPr>
          <w:tab/>
        </w:r>
        <w:r w:rsidR="00805D2E" w:rsidRPr="007F7D69">
          <w:rPr>
            <w:rStyle w:val="Hyperlink"/>
          </w:rPr>
          <w:t>Gas Supply Hub</w:t>
        </w:r>
        <w:r w:rsidR="00805D2E">
          <w:rPr>
            <w:webHidden/>
          </w:rPr>
          <w:tab/>
        </w:r>
        <w:r w:rsidR="00805D2E">
          <w:rPr>
            <w:webHidden/>
          </w:rPr>
          <w:fldChar w:fldCharType="begin"/>
        </w:r>
        <w:r w:rsidR="00805D2E">
          <w:rPr>
            <w:webHidden/>
          </w:rPr>
          <w:instrText xml:space="preserve"> PAGEREF _Toc466452025 \h </w:instrText>
        </w:r>
        <w:r w:rsidR="00805D2E">
          <w:rPr>
            <w:webHidden/>
          </w:rPr>
        </w:r>
        <w:r w:rsidR="00805D2E">
          <w:rPr>
            <w:webHidden/>
          </w:rPr>
          <w:fldChar w:fldCharType="separate"/>
        </w:r>
        <w:r w:rsidR="00805D2E">
          <w:rPr>
            <w:webHidden/>
          </w:rPr>
          <w:t>12</w:t>
        </w:r>
        <w:r w:rsidR="00805D2E">
          <w:rPr>
            <w:webHidden/>
          </w:rPr>
          <w:fldChar w:fldCharType="end"/>
        </w:r>
      </w:hyperlink>
    </w:p>
    <w:p w:rsidR="00805D2E" w:rsidRDefault="00F74611">
      <w:pPr>
        <w:pStyle w:val="TOC3"/>
        <w:rPr>
          <w:rFonts w:asciiTheme="minorHAnsi" w:eastAsiaTheme="minorEastAsia" w:hAnsiTheme="minorHAnsi"/>
          <w:lang w:eastAsia="en-AU"/>
        </w:rPr>
      </w:pPr>
      <w:hyperlink w:anchor="_Toc466452026" w:history="1">
        <w:r w:rsidR="00805D2E" w:rsidRPr="007F7D69">
          <w:rPr>
            <w:rStyle w:val="Hyperlink"/>
          </w:rPr>
          <w:t>1.4.1</w:t>
        </w:r>
        <w:r w:rsidR="00805D2E">
          <w:rPr>
            <w:rFonts w:asciiTheme="minorHAnsi" w:eastAsiaTheme="minorEastAsia" w:hAnsiTheme="minorHAnsi"/>
            <w:lang w:eastAsia="en-AU"/>
          </w:rPr>
          <w:tab/>
        </w:r>
        <w:r w:rsidR="00805D2E" w:rsidRPr="007F7D69">
          <w:rPr>
            <w:rStyle w:val="Hyperlink"/>
          </w:rPr>
          <w:t>Wallumbilla Single Market Product (optional hub services)</w:t>
        </w:r>
        <w:r w:rsidR="00805D2E">
          <w:rPr>
            <w:webHidden/>
          </w:rPr>
          <w:tab/>
        </w:r>
        <w:r w:rsidR="00805D2E">
          <w:rPr>
            <w:webHidden/>
          </w:rPr>
          <w:fldChar w:fldCharType="begin"/>
        </w:r>
        <w:r w:rsidR="00805D2E">
          <w:rPr>
            <w:webHidden/>
          </w:rPr>
          <w:instrText xml:space="preserve"> PAGEREF _Toc466452026 \h </w:instrText>
        </w:r>
        <w:r w:rsidR="00805D2E">
          <w:rPr>
            <w:webHidden/>
          </w:rPr>
        </w:r>
        <w:r w:rsidR="00805D2E">
          <w:rPr>
            <w:webHidden/>
          </w:rPr>
          <w:fldChar w:fldCharType="separate"/>
        </w:r>
        <w:r w:rsidR="00805D2E">
          <w:rPr>
            <w:webHidden/>
          </w:rPr>
          <w:t>12</w:t>
        </w:r>
        <w:r w:rsidR="00805D2E">
          <w:rPr>
            <w:webHidden/>
          </w:rPr>
          <w:fldChar w:fldCharType="end"/>
        </w:r>
      </w:hyperlink>
    </w:p>
    <w:p w:rsidR="00805D2E" w:rsidRDefault="00F74611">
      <w:pPr>
        <w:pStyle w:val="TOC3"/>
        <w:rPr>
          <w:rFonts w:asciiTheme="minorHAnsi" w:eastAsiaTheme="minorEastAsia" w:hAnsiTheme="minorHAnsi"/>
          <w:lang w:eastAsia="en-AU"/>
        </w:rPr>
      </w:pPr>
      <w:hyperlink w:anchor="_Toc466452027" w:history="1">
        <w:r w:rsidR="00805D2E" w:rsidRPr="007F7D69">
          <w:rPr>
            <w:rStyle w:val="Hyperlink"/>
          </w:rPr>
          <w:t>1.4.2</w:t>
        </w:r>
        <w:r w:rsidR="00805D2E">
          <w:rPr>
            <w:rFonts w:asciiTheme="minorHAnsi" w:eastAsiaTheme="minorEastAsia" w:hAnsiTheme="minorHAnsi"/>
            <w:lang w:eastAsia="en-AU"/>
          </w:rPr>
          <w:tab/>
        </w:r>
        <w:r w:rsidR="00805D2E" w:rsidRPr="007F7D69">
          <w:rPr>
            <w:rStyle w:val="Hyperlink"/>
          </w:rPr>
          <w:t>The Moomba Hub</w:t>
        </w:r>
        <w:r w:rsidR="00805D2E">
          <w:rPr>
            <w:webHidden/>
          </w:rPr>
          <w:tab/>
        </w:r>
        <w:r w:rsidR="00805D2E">
          <w:rPr>
            <w:webHidden/>
          </w:rPr>
          <w:fldChar w:fldCharType="begin"/>
        </w:r>
        <w:r w:rsidR="00805D2E">
          <w:rPr>
            <w:webHidden/>
          </w:rPr>
          <w:instrText xml:space="preserve"> PAGEREF _Toc466452027 \h </w:instrText>
        </w:r>
        <w:r w:rsidR="00805D2E">
          <w:rPr>
            <w:webHidden/>
          </w:rPr>
        </w:r>
        <w:r w:rsidR="00805D2E">
          <w:rPr>
            <w:webHidden/>
          </w:rPr>
          <w:fldChar w:fldCharType="separate"/>
        </w:r>
        <w:r w:rsidR="00805D2E">
          <w:rPr>
            <w:webHidden/>
          </w:rPr>
          <w:t>13</w:t>
        </w:r>
        <w:r w:rsidR="00805D2E">
          <w:rPr>
            <w:webHidden/>
          </w:rPr>
          <w:fldChar w:fldCharType="end"/>
        </w:r>
      </w:hyperlink>
    </w:p>
    <w:p w:rsidR="00805D2E" w:rsidRDefault="00F74611">
      <w:pPr>
        <w:pStyle w:val="TOC2"/>
        <w:rPr>
          <w:rFonts w:asciiTheme="minorHAnsi" w:eastAsiaTheme="minorEastAsia" w:hAnsiTheme="minorHAnsi"/>
          <w:b w:val="0"/>
          <w:color w:val="auto"/>
          <w:sz w:val="22"/>
          <w:lang w:eastAsia="en-AU"/>
        </w:rPr>
      </w:pPr>
      <w:hyperlink w:anchor="_Toc466452028" w:history="1">
        <w:r w:rsidR="00805D2E" w:rsidRPr="007F7D69">
          <w:rPr>
            <w:rStyle w:val="Hyperlink"/>
          </w:rPr>
          <w:t>1.5</w:t>
        </w:r>
        <w:r w:rsidR="00805D2E">
          <w:rPr>
            <w:rFonts w:asciiTheme="minorHAnsi" w:eastAsiaTheme="minorEastAsia" w:hAnsiTheme="minorHAnsi"/>
            <w:b w:val="0"/>
            <w:color w:val="auto"/>
            <w:sz w:val="22"/>
            <w:lang w:eastAsia="en-AU"/>
          </w:rPr>
          <w:tab/>
        </w:r>
        <w:r w:rsidR="00805D2E" w:rsidRPr="007F7D69">
          <w:rPr>
            <w:rStyle w:val="Hyperlink"/>
          </w:rPr>
          <w:t>Retail Market Procedures</w:t>
        </w:r>
        <w:r w:rsidR="00805D2E">
          <w:rPr>
            <w:webHidden/>
          </w:rPr>
          <w:tab/>
        </w:r>
        <w:r w:rsidR="00805D2E">
          <w:rPr>
            <w:webHidden/>
          </w:rPr>
          <w:fldChar w:fldCharType="begin"/>
        </w:r>
        <w:r w:rsidR="00805D2E">
          <w:rPr>
            <w:webHidden/>
          </w:rPr>
          <w:instrText xml:space="preserve"> PAGEREF _Toc466452028 \h </w:instrText>
        </w:r>
        <w:r w:rsidR="00805D2E">
          <w:rPr>
            <w:webHidden/>
          </w:rPr>
        </w:r>
        <w:r w:rsidR="00805D2E">
          <w:rPr>
            <w:webHidden/>
          </w:rPr>
          <w:fldChar w:fldCharType="separate"/>
        </w:r>
        <w:r w:rsidR="00805D2E">
          <w:rPr>
            <w:webHidden/>
          </w:rPr>
          <w:t>13</w:t>
        </w:r>
        <w:r w:rsidR="00805D2E">
          <w:rPr>
            <w:webHidden/>
          </w:rPr>
          <w:fldChar w:fldCharType="end"/>
        </w:r>
      </w:hyperlink>
    </w:p>
    <w:p w:rsidR="00805D2E" w:rsidRDefault="00F74611">
      <w:pPr>
        <w:pStyle w:val="TOC1"/>
        <w:rPr>
          <w:rFonts w:asciiTheme="minorHAnsi" w:eastAsiaTheme="minorEastAsia" w:hAnsiTheme="minorHAnsi"/>
          <w:b w:val="0"/>
          <w:color w:val="auto"/>
          <w:sz w:val="22"/>
          <w:lang w:val="en-AU" w:eastAsia="en-AU"/>
        </w:rPr>
      </w:pPr>
      <w:hyperlink w:anchor="_Toc466452029" w:history="1">
        <w:r w:rsidR="00805D2E" w:rsidRPr="007F7D69">
          <w:rPr>
            <w:rStyle w:val="Hyperlink"/>
          </w:rPr>
          <w:t>2</w:t>
        </w:r>
        <w:r w:rsidR="00805D2E">
          <w:rPr>
            <w:rFonts w:asciiTheme="minorHAnsi" w:eastAsiaTheme="minorEastAsia" w:hAnsiTheme="minorHAnsi"/>
            <w:b w:val="0"/>
            <w:color w:val="auto"/>
            <w:sz w:val="22"/>
            <w:lang w:val="en-AU" w:eastAsia="en-AU"/>
          </w:rPr>
          <w:tab/>
        </w:r>
        <w:r w:rsidR="00805D2E" w:rsidRPr="007F7D69">
          <w:rPr>
            <w:rStyle w:val="Hyperlink"/>
          </w:rPr>
          <w:t>Electricity</w:t>
        </w:r>
        <w:r w:rsidR="00805D2E">
          <w:rPr>
            <w:webHidden/>
          </w:rPr>
          <w:tab/>
        </w:r>
        <w:r w:rsidR="00805D2E">
          <w:rPr>
            <w:webHidden/>
          </w:rPr>
          <w:fldChar w:fldCharType="begin"/>
        </w:r>
        <w:r w:rsidR="00805D2E">
          <w:rPr>
            <w:webHidden/>
          </w:rPr>
          <w:instrText xml:space="preserve"> PAGEREF _Toc466452029 \h </w:instrText>
        </w:r>
        <w:r w:rsidR="00805D2E">
          <w:rPr>
            <w:webHidden/>
          </w:rPr>
        </w:r>
        <w:r w:rsidR="00805D2E">
          <w:rPr>
            <w:webHidden/>
          </w:rPr>
          <w:fldChar w:fldCharType="separate"/>
        </w:r>
        <w:r w:rsidR="00805D2E">
          <w:rPr>
            <w:webHidden/>
          </w:rPr>
          <w:t>15</w:t>
        </w:r>
        <w:r w:rsidR="00805D2E">
          <w:rPr>
            <w:webHidden/>
          </w:rPr>
          <w:fldChar w:fldCharType="end"/>
        </w:r>
      </w:hyperlink>
    </w:p>
    <w:p w:rsidR="00805D2E" w:rsidRDefault="00F74611">
      <w:pPr>
        <w:pStyle w:val="TOC2"/>
        <w:rPr>
          <w:rFonts w:asciiTheme="minorHAnsi" w:eastAsiaTheme="minorEastAsia" w:hAnsiTheme="minorHAnsi"/>
          <w:b w:val="0"/>
          <w:color w:val="auto"/>
          <w:sz w:val="22"/>
          <w:lang w:eastAsia="en-AU"/>
        </w:rPr>
      </w:pPr>
      <w:hyperlink w:anchor="_Toc466452030" w:history="1">
        <w:r w:rsidR="00805D2E" w:rsidRPr="007F7D69">
          <w:rPr>
            <w:rStyle w:val="Hyperlink"/>
          </w:rPr>
          <w:t>2.1</w:t>
        </w:r>
        <w:r w:rsidR="00805D2E">
          <w:rPr>
            <w:rFonts w:asciiTheme="minorHAnsi" w:eastAsiaTheme="minorEastAsia" w:hAnsiTheme="minorHAnsi"/>
            <w:b w:val="0"/>
            <w:color w:val="auto"/>
            <w:sz w:val="22"/>
            <w:lang w:eastAsia="en-AU"/>
          </w:rPr>
          <w:tab/>
        </w:r>
        <w:r w:rsidR="00805D2E" w:rsidRPr="007F7D69">
          <w:rPr>
            <w:rStyle w:val="Hyperlink"/>
          </w:rPr>
          <w:t>Rebidding</w:t>
        </w:r>
        <w:r w:rsidR="00805D2E">
          <w:rPr>
            <w:webHidden/>
          </w:rPr>
          <w:tab/>
        </w:r>
        <w:r w:rsidR="00805D2E">
          <w:rPr>
            <w:webHidden/>
          </w:rPr>
          <w:fldChar w:fldCharType="begin"/>
        </w:r>
        <w:r w:rsidR="00805D2E">
          <w:rPr>
            <w:webHidden/>
          </w:rPr>
          <w:instrText xml:space="preserve"> PAGEREF _Toc466452030 \h </w:instrText>
        </w:r>
        <w:r w:rsidR="00805D2E">
          <w:rPr>
            <w:webHidden/>
          </w:rPr>
        </w:r>
        <w:r w:rsidR="00805D2E">
          <w:rPr>
            <w:webHidden/>
          </w:rPr>
          <w:fldChar w:fldCharType="separate"/>
        </w:r>
        <w:r w:rsidR="00805D2E">
          <w:rPr>
            <w:webHidden/>
          </w:rPr>
          <w:t>15</w:t>
        </w:r>
        <w:r w:rsidR="00805D2E">
          <w:rPr>
            <w:webHidden/>
          </w:rPr>
          <w:fldChar w:fldCharType="end"/>
        </w:r>
      </w:hyperlink>
    </w:p>
    <w:p w:rsidR="00805D2E" w:rsidRDefault="00F74611">
      <w:pPr>
        <w:pStyle w:val="TOC2"/>
        <w:rPr>
          <w:rFonts w:asciiTheme="minorHAnsi" w:eastAsiaTheme="minorEastAsia" w:hAnsiTheme="minorHAnsi"/>
          <w:b w:val="0"/>
          <w:color w:val="auto"/>
          <w:sz w:val="22"/>
          <w:lang w:eastAsia="en-AU"/>
        </w:rPr>
      </w:pPr>
      <w:hyperlink w:anchor="_Toc466452031" w:history="1">
        <w:r w:rsidR="00805D2E" w:rsidRPr="007F7D69">
          <w:rPr>
            <w:rStyle w:val="Hyperlink"/>
          </w:rPr>
          <w:t>2.2</w:t>
        </w:r>
        <w:r w:rsidR="00805D2E">
          <w:rPr>
            <w:rFonts w:asciiTheme="minorHAnsi" w:eastAsiaTheme="minorEastAsia" w:hAnsiTheme="minorHAnsi"/>
            <w:b w:val="0"/>
            <w:color w:val="auto"/>
            <w:sz w:val="22"/>
            <w:lang w:eastAsia="en-AU"/>
          </w:rPr>
          <w:tab/>
        </w:r>
        <w:r w:rsidR="00805D2E" w:rsidRPr="007F7D69">
          <w:rPr>
            <w:rStyle w:val="Hyperlink"/>
          </w:rPr>
          <w:t>Rebidding and Technical Parameters Guideline</w:t>
        </w:r>
        <w:r w:rsidR="00805D2E">
          <w:rPr>
            <w:webHidden/>
          </w:rPr>
          <w:tab/>
        </w:r>
        <w:r w:rsidR="00805D2E">
          <w:rPr>
            <w:webHidden/>
          </w:rPr>
          <w:fldChar w:fldCharType="begin"/>
        </w:r>
        <w:r w:rsidR="00805D2E">
          <w:rPr>
            <w:webHidden/>
          </w:rPr>
          <w:instrText xml:space="preserve"> PAGEREF _Toc466452031 \h </w:instrText>
        </w:r>
        <w:r w:rsidR="00805D2E">
          <w:rPr>
            <w:webHidden/>
          </w:rPr>
        </w:r>
        <w:r w:rsidR="00805D2E">
          <w:rPr>
            <w:webHidden/>
          </w:rPr>
          <w:fldChar w:fldCharType="separate"/>
        </w:r>
        <w:r w:rsidR="00805D2E">
          <w:rPr>
            <w:webHidden/>
          </w:rPr>
          <w:t>16</w:t>
        </w:r>
        <w:r w:rsidR="00805D2E">
          <w:rPr>
            <w:webHidden/>
          </w:rPr>
          <w:fldChar w:fldCharType="end"/>
        </w:r>
      </w:hyperlink>
    </w:p>
    <w:p w:rsidR="00805D2E" w:rsidRDefault="00F74611">
      <w:pPr>
        <w:pStyle w:val="TOC2"/>
        <w:rPr>
          <w:rFonts w:asciiTheme="minorHAnsi" w:eastAsiaTheme="minorEastAsia" w:hAnsiTheme="minorHAnsi"/>
          <w:b w:val="0"/>
          <w:color w:val="auto"/>
          <w:sz w:val="22"/>
          <w:lang w:eastAsia="en-AU"/>
        </w:rPr>
      </w:pPr>
      <w:hyperlink w:anchor="_Toc466452032" w:history="1">
        <w:r w:rsidR="00805D2E" w:rsidRPr="007F7D69">
          <w:rPr>
            <w:rStyle w:val="Hyperlink"/>
          </w:rPr>
          <w:t>2.3</w:t>
        </w:r>
        <w:r w:rsidR="00805D2E">
          <w:rPr>
            <w:rFonts w:asciiTheme="minorHAnsi" w:eastAsiaTheme="minorEastAsia" w:hAnsiTheme="minorHAnsi"/>
            <w:b w:val="0"/>
            <w:color w:val="auto"/>
            <w:sz w:val="22"/>
            <w:lang w:eastAsia="en-AU"/>
          </w:rPr>
          <w:tab/>
        </w:r>
        <w:r w:rsidR="00805D2E" w:rsidRPr="007F7D69">
          <w:rPr>
            <w:rStyle w:val="Hyperlink"/>
          </w:rPr>
          <w:t>Technical compliance audits – Uranquinty Power Station</w:t>
        </w:r>
        <w:r w:rsidR="00805D2E">
          <w:rPr>
            <w:webHidden/>
          </w:rPr>
          <w:tab/>
        </w:r>
        <w:r w:rsidR="00805D2E">
          <w:rPr>
            <w:webHidden/>
          </w:rPr>
          <w:fldChar w:fldCharType="begin"/>
        </w:r>
        <w:r w:rsidR="00805D2E">
          <w:rPr>
            <w:webHidden/>
          </w:rPr>
          <w:instrText xml:space="preserve"> PAGEREF _Toc466452032 \h </w:instrText>
        </w:r>
        <w:r w:rsidR="00805D2E">
          <w:rPr>
            <w:webHidden/>
          </w:rPr>
        </w:r>
        <w:r w:rsidR="00805D2E">
          <w:rPr>
            <w:webHidden/>
          </w:rPr>
          <w:fldChar w:fldCharType="separate"/>
        </w:r>
        <w:r w:rsidR="00805D2E">
          <w:rPr>
            <w:webHidden/>
          </w:rPr>
          <w:t>16</w:t>
        </w:r>
        <w:r w:rsidR="00805D2E">
          <w:rPr>
            <w:webHidden/>
          </w:rPr>
          <w:fldChar w:fldCharType="end"/>
        </w:r>
      </w:hyperlink>
    </w:p>
    <w:p w:rsidR="00805D2E" w:rsidRDefault="00F74611">
      <w:pPr>
        <w:pStyle w:val="TOC2"/>
        <w:rPr>
          <w:rFonts w:asciiTheme="minorHAnsi" w:eastAsiaTheme="minorEastAsia" w:hAnsiTheme="minorHAnsi"/>
          <w:b w:val="0"/>
          <w:color w:val="auto"/>
          <w:sz w:val="22"/>
          <w:lang w:eastAsia="en-AU"/>
        </w:rPr>
      </w:pPr>
      <w:hyperlink w:anchor="_Toc466452033" w:history="1">
        <w:r w:rsidR="00805D2E" w:rsidRPr="007F7D69">
          <w:rPr>
            <w:rStyle w:val="Hyperlink"/>
          </w:rPr>
          <w:t>2.4</w:t>
        </w:r>
        <w:r w:rsidR="00805D2E">
          <w:rPr>
            <w:rFonts w:asciiTheme="minorHAnsi" w:eastAsiaTheme="minorEastAsia" w:hAnsiTheme="minorHAnsi"/>
            <w:b w:val="0"/>
            <w:color w:val="auto"/>
            <w:sz w:val="22"/>
            <w:lang w:eastAsia="en-AU"/>
          </w:rPr>
          <w:tab/>
        </w:r>
        <w:r w:rsidR="00805D2E" w:rsidRPr="007F7D69">
          <w:rPr>
            <w:rStyle w:val="Hyperlink"/>
          </w:rPr>
          <w:t>Projected Assessment of System Adequacy – Heywood Interconnector</w:t>
        </w:r>
        <w:r w:rsidR="00805D2E">
          <w:rPr>
            <w:webHidden/>
          </w:rPr>
          <w:tab/>
        </w:r>
        <w:r w:rsidR="00805D2E">
          <w:rPr>
            <w:webHidden/>
          </w:rPr>
          <w:fldChar w:fldCharType="begin"/>
        </w:r>
        <w:r w:rsidR="00805D2E">
          <w:rPr>
            <w:webHidden/>
          </w:rPr>
          <w:instrText xml:space="preserve"> PAGEREF _Toc466452033 \h </w:instrText>
        </w:r>
        <w:r w:rsidR="00805D2E">
          <w:rPr>
            <w:webHidden/>
          </w:rPr>
        </w:r>
        <w:r w:rsidR="00805D2E">
          <w:rPr>
            <w:webHidden/>
          </w:rPr>
          <w:fldChar w:fldCharType="separate"/>
        </w:r>
        <w:r w:rsidR="00805D2E">
          <w:rPr>
            <w:webHidden/>
          </w:rPr>
          <w:t>17</w:t>
        </w:r>
        <w:r w:rsidR="00805D2E">
          <w:rPr>
            <w:webHidden/>
          </w:rPr>
          <w:fldChar w:fldCharType="end"/>
        </w:r>
      </w:hyperlink>
    </w:p>
    <w:p w:rsidR="00805D2E" w:rsidRDefault="00F74611">
      <w:pPr>
        <w:pStyle w:val="TOC2"/>
        <w:rPr>
          <w:rFonts w:asciiTheme="minorHAnsi" w:eastAsiaTheme="minorEastAsia" w:hAnsiTheme="minorHAnsi"/>
          <w:b w:val="0"/>
          <w:color w:val="auto"/>
          <w:sz w:val="22"/>
          <w:lang w:eastAsia="en-AU"/>
        </w:rPr>
      </w:pPr>
      <w:hyperlink w:anchor="_Toc466452034" w:history="1">
        <w:r w:rsidR="00805D2E" w:rsidRPr="007F7D69">
          <w:rPr>
            <w:rStyle w:val="Hyperlink"/>
          </w:rPr>
          <w:t>2.5</w:t>
        </w:r>
        <w:r w:rsidR="00805D2E">
          <w:rPr>
            <w:rFonts w:asciiTheme="minorHAnsi" w:eastAsiaTheme="minorEastAsia" w:hAnsiTheme="minorHAnsi"/>
            <w:b w:val="0"/>
            <w:color w:val="auto"/>
            <w:sz w:val="22"/>
            <w:lang w:eastAsia="en-AU"/>
          </w:rPr>
          <w:tab/>
        </w:r>
        <w:r w:rsidR="00805D2E" w:rsidRPr="007F7D69">
          <w:rPr>
            <w:rStyle w:val="Hyperlink"/>
          </w:rPr>
          <w:t>Jurisdictional derogations</w:t>
        </w:r>
        <w:r w:rsidR="00805D2E">
          <w:rPr>
            <w:webHidden/>
          </w:rPr>
          <w:tab/>
        </w:r>
        <w:r w:rsidR="00805D2E">
          <w:rPr>
            <w:webHidden/>
          </w:rPr>
          <w:fldChar w:fldCharType="begin"/>
        </w:r>
        <w:r w:rsidR="00805D2E">
          <w:rPr>
            <w:webHidden/>
          </w:rPr>
          <w:instrText xml:space="preserve"> PAGEREF _Toc466452034 \h </w:instrText>
        </w:r>
        <w:r w:rsidR="00805D2E">
          <w:rPr>
            <w:webHidden/>
          </w:rPr>
        </w:r>
        <w:r w:rsidR="00805D2E">
          <w:rPr>
            <w:webHidden/>
          </w:rPr>
          <w:fldChar w:fldCharType="separate"/>
        </w:r>
        <w:r w:rsidR="00805D2E">
          <w:rPr>
            <w:webHidden/>
          </w:rPr>
          <w:t>18</w:t>
        </w:r>
        <w:r w:rsidR="00805D2E">
          <w:rPr>
            <w:webHidden/>
          </w:rPr>
          <w:fldChar w:fldCharType="end"/>
        </w:r>
      </w:hyperlink>
    </w:p>
    <w:p w:rsidR="00842867" w:rsidRDefault="00842867" w:rsidP="00842867">
      <w:pPr>
        <w:sectPr w:rsidR="00842867" w:rsidSect="00842867">
          <w:footerReference w:type="default" r:id="rId12"/>
          <w:pgSz w:w="11906" w:h="16838" w:code="9"/>
          <w:pgMar w:top="1440" w:right="1700" w:bottom="1582" w:left="1729" w:header="720" w:footer="1009" w:gutter="0"/>
          <w:pgNumType w:fmt="lowerRoman"/>
          <w:cols w:space="720"/>
          <w:docGrid w:linePitch="326"/>
        </w:sectPr>
      </w:pPr>
      <w:r>
        <w:fldChar w:fldCharType="end"/>
      </w:r>
      <w:bookmarkStart w:id="0" w:name="_Toc213047617"/>
    </w:p>
    <w:p w:rsidR="00842867" w:rsidRDefault="00842867" w:rsidP="00842867">
      <w:pPr>
        <w:pStyle w:val="Heading1"/>
        <w:numPr>
          <w:ilvl w:val="0"/>
          <w:numId w:val="0"/>
        </w:numPr>
      </w:pPr>
      <w:bookmarkStart w:id="1" w:name="_Toc466452010"/>
      <w:r w:rsidRPr="00A45631">
        <w:lastRenderedPageBreak/>
        <w:t>Executive summary</w:t>
      </w:r>
      <w:bookmarkEnd w:id="1"/>
    </w:p>
    <w:p w:rsidR="007F67C0" w:rsidRDefault="00170FC5" w:rsidP="001B6913">
      <w:pPr>
        <w:jc w:val="both"/>
      </w:pPr>
      <w:r>
        <w:t>T</w:t>
      </w:r>
      <w:r w:rsidR="001B6913" w:rsidRPr="007D2ED8">
        <w:t>he Quarterly Compliance Report (QCR) outline</w:t>
      </w:r>
      <w:r>
        <w:t>s</w:t>
      </w:r>
      <w:r w:rsidR="001B6913" w:rsidRPr="007D2ED8">
        <w:t xml:space="preserve"> the Australian Energy Regulator’s (AER) compliance monitoring and enforcement activity under the National Electricity Law (Electricity Law) and</w:t>
      </w:r>
      <w:r w:rsidR="00DC3DB0">
        <w:t xml:space="preserve"> the National Gas Law (Gas Law), </w:t>
      </w:r>
      <w:r w:rsidR="001B6913" w:rsidRPr="007D2ED8">
        <w:t xml:space="preserve">including the rules and regulations which sit under those laws. </w:t>
      </w:r>
      <w:r>
        <w:t xml:space="preserve">It reflects the </w:t>
      </w:r>
      <w:r w:rsidR="00172E34">
        <w:t>importan</w:t>
      </w:r>
      <w:r w:rsidR="00B84FD7">
        <w:t xml:space="preserve">ce </w:t>
      </w:r>
      <w:r w:rsidR="00172E34">
        <w:t xml:space="preserve">of </w:t>
      </w:r>
      <w:r>
        <w:t xml:space="preserve">compliance </w:t>
      </w:r>
      <w:r w:rsidR="0063490E">
        <w:t>to</w:t>
      </w:r>
      <w:r w:rsidR="00D25507">
        <w:t xml:space="preserve"> </w:t>
      </w:r>
      <w:r w:rsidR="008C5933">
        <w:t xml:space="preserve">the </w:t>
      </w:r>
      <w:r w:rsidR="00D25507">
        <w:t xml:space="preserve">efficient operation of gas and electricity markets for the benefit of </w:t>
      </w:r>
      <w:r w:rsidR="00817EEA">
        <w:t xml:space="preserve">consumers, </w:t>
      </w:r>
      <w:r>
        <w:t xml:space="preserve">market participants and </w:t>
      </w:r>
      <w:r w:rsidR="00817EEA">
        <w:t xml:space="preserve">large </w:t>
      </w:r>
      <w:r>
        <w:t xml:space="preserve">energy users. The AER reports compliance outcomes to </w:t>
      </w:r>
      <w:r w:rsidR="00B84FD7">
        <w:t>provide</w:t>
      </w:r>
      <w:r>
        <w:t xml:space="preserve"> transparency in the</w:t>
      </w:r>
      <w:r w:rsidR="00D25507">
        <w:t>se</w:t>
      </w:r>
      <w:r>
        <w:t xml:space="preserve"> markets</w:t>
      </w:r>
      <w:r w:rsidR="00B84FD7">
        <w:t xml:space="preserve">, while promoting good </w:t>
      </w:r>
      <w:r w:rsidR="00C00B61">
        <w:t xml:space="preserve">industry </w:t>
      </w:r>
      <w:r w:rsidR="00B84FD7">
        <w:t>practice</w:t>
      </w:r>
      <w:r w:rsidR="00C00B61">
        <w:t>.</w:t>
      </w:r>
    </w:p>
    <w:p w:rsidR="001B6913" w:rsidRDefault="001B6913" w:rsidP="001B6913">
      <w:pPr>
        <w:jc w:val="both"/>
      </w:pPr>
      <w:r w:rsidRPr="007D2ED8">
        <w:t xml:space="preserve">This QCR covers the </w:t>
      </w:r>
      <w:r w:rsidR="00840C83">
        <w:t xml:space="preserve">period </w:t>
      </w:r>
      <w:r w:rsidR="00B35FE2">
        <w:t>1</w:t>
      </w:r>
      <w:r w:rsidRPr="00B35FE2">
        <w:t> </w:t>
      </w:r>
      <w:r w:rsidR="00B35FE2">
        <w:t>July</w:t>
      </w:r>
      <w:r w:rsidR="009F047D" w:rsidRPr="00B35FE2">
        <w:t> </w:t>
      </w:r>
      <w:r w:rsidRPr="00B35FE2">
        <w:t>201</w:t>
      </w:r>
      <w:r w:rsidR="00047F90" w:rsidRPr="00B35FE2">
        <w:t>6</w:t>
      </w:r>
      <w:r w:rsidRPr="00B35FE2">
        <w:t xml:space="preserve"> </w:t>
      </w:r>
      <w:r w:rsidR="00B35FE2">
        <w:t xml:space="preserve">to 30 September 2016 </w:t>
      </w:r>
      <w:r w:rsidRPr="00B35FE2">
        <w:t xml:space="preserve">(the </w:t>
      </w:r>
      <w:r w:rsidR="00B35FE2">
        <w:t>September</w:t>
      </w:r>
      <w:r w:rsidR="00047F90" w:rsidRPr="00B35FE2">
        <w:t xml:space="preserve"> 2016 </w:t>
      </w:r>
      <w:r w:rsidRPr="00B35FE2">
        <w:t>quarter)</w:t>
      </w:r>
      <w:r w:rsidR="00C91D82" w:rsidRPr="00B35FE2">
        <w:t xml:space="preserve"> for</w:t>
      </w:r>
      <w:r w:rsidR="00C91D82">
        <w:t xml:space="preserve"> gas and electricity markets</w:t>
      </w:r>
      <w:r w:rsidRPr="007D2ED8">
        <w:t>.</w:t>
      </w:r>
    </w:p>
    <w:p w:rsidR="00B35FE2" w:rsidRPr="006B02F8" w:rsidRDefault="007F6D06" w:rsidP="006B02F8">
      <w:pPr>
        <w:keepNext/>
        <w:jc w:val="both"/>
        <w:rPr>
          <w:b/>
          <w:bCs/>
        </w:rPr>
      </w:pPr>
      <w:r w:rsidRPr="004D72C4">
        <w:rPr>
          <w:rStyle w:val="Strong"/>
        </w:rPr>
        <w:t>Gas</w:t>
      </w:r>
    </w:p>
    <w:p w:rsidR="00B35FE2" w:rsidRDefault="00B35FE2" w:rsidP="006B02F8">
      <w:pPr>
        <w:spacing w:before="120"/>
      </w:pPr>
      <w:r>
        <w:t>This report includes information on the Natural Gas Services Bulletin Board (the Bulletin Board). The Bulletin Board is an important component of the AER’s compliance monitoring in 2016. Amendments to the National Gas Rules imposed new reporting requirements on gas market participants, from 6 October 2016.</w:t>
      </w:r>
    </w:p>
    <w:p w:rsidR="00B35FE2" w:rsidRDefault="00B35FE2" w:rsidP="00B35FE2">
      <w:pPr>
        <w:spacing w:before="0"/>
      </w:pPr>
    </w:p>
    <w:p w:rsidR="00B35FE2" w:rsidRDefault="00B35FE2" w:rsidP="00B35FE2">
      <w:pPr>
        <w:spacing w:before="0"/>
      </w:pPr>
      <w:r>
        <w:t xml:space="preserve">During the September quarter, the AER approached the operators of Bulletin Board facilities to examine their readiness to comply with the new reporting requirements. This QCR outlines the AER’s findings and provides an overview of </w:t>
      </w:r>
      <w:r w:rsidR="00CD19AA">
        <w:t xml:space="preserve">the reporting </w:t>
      </w:r>
      <w:r w:rsidR="007E5D9D">
        <w:t>by operators of</w:t>
      </w:r>
      <w:r w:rsidR="00CD19AA">
        <w:t xml:space="preserve"> Bulletin Board registered facilities</w:t>
      </w:r>
      <w:r>
        <w:t>. It includes an appraisal of participant compliance during the first two weeks of commencement of the new rules.</w:t>
      </w:r>
    </w:p>
    <w:p w:rsidR="008144D5" w:rsidRDefault="008144D5" w:rsidP="00B35FE2">
      <w:pPr>
        <w:spacing w:before="0"/>
      </w:pPr>
    </w:p>
    <w:p w:rsidR="006C7B29" w:rsidRDefault="00CD19AA" w:rsidP="00D72DF0">
      <w:pPr>
        <w:spacing w:before="0"/>
        <w:rPr>
          <w:rStyle w:val="Strong"/>
        </w:rPr>
      </w:pPr>
      <w:r>
        <w:t xml:space="preserve">This QCR </w:t>
      </w:r>
      <w:r w:rsidR="005A3A3A">
        <w:t xml:space="preserve">also </w:t>
      </w:r>
      <w:r>
        <w:t>highlights the recurrence of over</w:t>
      </w:r>
      <w:r w:rsidR="00705F4A">
        <w:t xml:space="preserve"> </w:t>
      </w:r>
      <w:r>
        <w:t>forecasting trends in the Sydney Short Term Trading Market (STTM) and presents some analysis of high over</w:t>
      </w:r>
      <w:r w:rsidR="00705F4A">
        <w:t xml:space="preserve"> </w:t>
      </w:r>
      <w:r>
        <w:t xml:space="preserve">forecast demand across </w:t>
      </w:r>
      <w:r w:rsidR="00817EEA">
        <w:t>winter</w:t>
      </w:r>
      <w:r>
        <w:t xml:space="preserve"> (notably during July). </w:t>
      </w:r>
    </w:p>
    <w:p w:rsidR="005144ED" w:rsidRDefault="005144ED" w:rsidP="00B44088">
      <w:pPr>
        <w:keepNext/>
        <w:spacing w:before="0" w:after="120"/>
        <w:jc w:val="both"/>
        <w:rPr>
          <w:rStyle w:val="Strong"/>
        </w:rPr>
      </w:pPr>
    </w:p>
    <w:p w:rsidR="00B747B4" w:rsidRPr="00380765" w:rsidRDefault="006912F3" w:rsidP="00B44088">
      <w:pPr>
        <w:keepNext/>
        <w:spacing w:before="0" w:after="120"/>
        <w:jc w:val="both"/>
        <w:rPr>
          <w:rStyle w:val="Strong"/>
        </w:rPr>
      </w:pPr>
      <w:r w:rsidRPr="00380765">
        <w:rPr>
          <w:rStyle w:val="Strong"/>
        </w:rPr>
        <w:t>Electricity</w:t>
      </w:r>
    </w:p>
    <w:p w:rsidR="001549A4" w:rsidRPr="001C4288" w:rsidRDefault="001549A4" w:rsidP="001549A4">
      <w:pPr>
        <w:spacing w:before="120"/>
        <w:rPr>
          <w:rFonts w:eastAsia="Arial" w:cs="Times New Roman"/>
        </w:rPr>
      </w:pPr>
      <w:r w:rsidRPr="001C4288">
        <w:rPr>
          <w:rFonts w:eastAsia="Arial" w:cs="Times New Roman"/>
        </w:rPr>
        <w:t>This QCR highlights the AER’s on-going work in relation to generator rebidding, including the Bidding in Good Faith (also known as or False or Misleading) and Generator Ramp Rate rule changes that came into effect on 1 July 2016. The AER is making amendments to its Rebidding and Technical Parameters Guideline and is consulting stakeholders with a view to publishing a final Guideline in early 2017.</w:t>
      </w:r>
    </w:p>
    <w:p w:rsidR="001549A4" w:rsidRPr="001549A4" w:rsidRDefault="001549A4" w:rsidP="001549A4">
      <w:pPr>
        <w:spacing w:before="240"/>
        <w:rPr>
          <w:rFonts w:eastAsia="Arial" w:cs="Times New Roman"/>
        </w:rPr>
      </w:pPr>
      <w:r w:rsidRPr="001C4288">
        <w:rPr>
          <w:rFonts w:eastAsia="Arial" w:cs="Times New Roman"/>
        </w:rPr>
        <w:t>This QCR also covers the conclusion of the AER’s technical audit of Origin Energy’s compliance program for Uranquinty Power Station, concerning its Generator Performance Standards (GPS). Overall we are satisfied that Origin’s approach to technical compliance for Uranquinty is consistent with the requirements of clause 4.15 of the Electricity Rules. We note that the AER’s work has highlighted an issue around the intellectual property held by Original Equipment Manufacturers, which may constrain a participant’s GPS testing and compliance monitoring activities.  We remind participants of their ultimate responsibilities in this area.</w:t>
      </w:r>
    </w:p>
    <w:p w:rsidR="001549A4" w:rsidRPr="001549A4" w:rsidRDefault="001549A4" w:rsidP="001549A4">
      <w:pPr>
        <w:spacing w:before="0"/>
        <w:rPr>
          <w:rFonts w:eastAsia="Arial" w:cs="Times New Roman"/>
        </w:rPr>
      </w:pPr>
    </w:p>
    <w:p w:rsidR="001549A4" w:rsidRPr="00840C83" w:rsidRDefault="001549A4" w:rsidP="00840C83">
      <w:pPr>
        <w:spacing w:before="0"/>
        <w:rPr>
          <w:rFonts w:eastAsia="Arial" w:cs="Times New Roman"/>
        </w:rPr>
      </w:pPr>
      <w:r w:rsidRPr="001549A4">
        <w:rPr>
          <w:rFonts w:eastAsia="Arial" w:cs="Times New Roman"/>
        </w:rPr>
        <w:lastRenderedPageBreak/>
        <w:t>This report also notes the AER’s work with AEMO on supply/demand forecasting in the N</w:t>
      </w:r>
      <w:r w:rsidR="00840C83">
        <w:rPr>
          <w:rFonts w:eastAsia="Arial" w:cs="Times New Roman"/>
        </w:rPr>
        <w:t xml:space="preserve">ational </w:t>
      </w:r>
      <w:r w:rsidRPr="001549A4">
        <w:rPr>
          <w:rFonts w:eastAsia="Arial" w:cs="Times New Roman"/>
        </w:rPr>
        <w:t>E</w:t>
      </w:r>
      <w:r w:rsidR="00840C83">
        <w:rPr>
          <w:rFonts w:eastAsia="Arial" w:cs="Times New Roman"/>
        </w:rPr>
        <w:t xml:space="preserve">lectricity </w:t>
      </w:r>
      <w:r w:rsidRPr="001549A4">
        <w:rPr>
          <w:rFonts w:eastAsia="Arial" w:cs="Times New Roman"/>
        </w:rPr>
        <w:t>M</w:t>
      </w:r>
      <w:r w:rsidR="00840C83">
        <w:rPr>
          <w:rFonts w:eastAsia="Arial" w:cs="Times New Roman"/>
        </w:rPr>
        <w:t>arket (NEM)</w:t>
      </w:r>
      <w:r w:rsidRPr="001549A4">
        <w:rPr>
          <w:rFonts w:eastAsia="Arial" w:cs="Times New Roman"/>
        </w:rPr>
        <w:t xml:space="preserve">, specifically in relation to AEMO’s </w:t>
      </w:r>
      <w:r w:rsidR="00627018">
        <w:rPr>
          <w:rFonts w:eastAsia="Arial" w:cs="Times New Roman"/>
        </w:rPr>
        <w:t xml:space="preserve">Medium Term </w:t>
      </w:r>
      <w:r w:rsidRPr="001549A4">
        <w:rPr>
          <w:rFonts w:eastAsia="Arial" w:cs="Times New Roman"/>
        </w:rPr>
        <w:t>Projected Assessment of System Adequacy (</w:t>
      </w:r>
      <w:r w:rsidR="00627018">
        <w:rPr>
          <w:rFonts w:eastAsia="Arial" w:cs="Times New Roman"/>
        </w:rPr>
        <w:t>MT</w:t>
      </w:r>
      <w:r w:rsidRPr="001549A4">
        <w:rPr>
          <w:rFonts w:eastAsia="Arial" w:cs="Times New Roman"/>
        </w:rPr>
        <w:t>PASA).</w:t>
      </w:r>
      <w:r w:rsidR="00840C83">
        <w:rPr>
          <w:rFonts w:eastAsia="Arial" w:cs="Times New Roman"/>
        </w:rPr>
        <w:t xml:space="preserve"> </w:t>
      </w:r>
      <w:r w:rsidRPr="001549A4">
        <w:rPr>
          <w:rFonts w:eastAsia="Arial" w:cs="Times New Roman"/>
        </w:rPr>
        <w:t>This follows high electricity spot prices in South Australia on 7 July 2016, and scheduled network outages that reduced the capacity of the Heywood interconnector on this day.</w:t>
      </w:r>
    </w:p>
    <w:p w:rsidR="00F70DAB" w:rsidRDefault="00F70DAB" w:rsidP="00D12152">
      <w:pPr>
        <w:spacing w:before="0"/>
        <w:rPr>
          <w:b/>
        </w:rPr>
      </w:pPr>
    </w:p>
    <w:p w:rsidR="006C7B29" w:rsidRPr="006C7B29" w:rsidRDefault="006C7B29" w:rsidP="00D12152">
      <w:pPr>
        <w:spacing w:before="0"/>
        <w:rPr>
          <w:b/>
        </w:rPr>
      </w:pPr>
      <w:r w:rsidRPr="006C7B29">
        <w:rPr>
          <w:b/>
        </w:rPr>
        <w:t>Black</w:t>
      </w:r>
      <w:r w:rsidR="004B3CC9">
        <w:rPr>
          <w:b/>
        </w:rPr>
        <w:t xml:space="preserve"> System</w:t>
      </w:r>
      <w:r w:rsidR="00B44088">
        <w:rPr>
          <w:b/>
        </w:rPr>
        <w:t xml:space="preserve"> Event in South Australia</w:t>
      </w:r>
    </w:p>
    <w:p w:rsidR="006C7B29" w:rsidRDefault="00DB2A20" w:rsidP="00D12152">
      <w:pPr>
        <w:spacing w:before="0"/>
      </w:pPr>
      <w:r>
        <w:t>O</w:t>
      </w:r>
      <w:r w:rsidR="006C7B29" w:rsidRPr="006C7B29">
        <w:t xml:space="preserve">n </w:t>
      </w:r>
      <w:r>
        <w:t xml:space="preserve">the afternoon of </w:t>
      </w:r>
      <w:r w:rsidR="006C7B29" w:rsidRPr="006C7B29">
        <w:t>28 September, South Australia experienced a state wide power outage (referred to as a black system). The outage was triggered by a severe storm damaging transmission electricity assets. Power was progressively restored to the majority of the state, with all load back online by 18:25 AEST on 29 September (excluding that supplied by damaged infrastructure</w:t>
      </w:r>
      <w:r w:rsidR="00D70CE0">
        <w:t xml:space="preserve"> to</w:t>
      </w:r>
      <w:r w:rsidR="001A0C18">
        <w:t xml:space="preserve"> </w:t>
      </w:r>
      <w:r w:rsidR="00520A50">
        <w:t>parts</w:t>
      </w:r>
      <w:r w:rsidR="001A0C18">
        <w:t xml:space="preserve"> of the state</w:t>
      </w:r>
      <w:r w:rsidR="006C7B29" w:rsidRPr="006C7B29">
        <w:t>).  AEMO suspended the market during the black out,</w:t>
      </w:r>
      <w:r w:rsidR="009A6244">
        <w:t xml:space="preserve"> and</w:t>
      </w:r>
      <w:r w:rsidR="006C7B29" w:rsidRPr="006C7B29">
        <w:t xml:space="preserve"> this</w:t>
      </w:r>
      <w:r w:rsidR="009A6244">
        <w:t xml:space="preserve"> suspension</w:t>
      </w:r>
      <w:r w:rsidR="006C7B29" w:rsidRPr="006C7B29">
        <w:t xml:space="preserve"> was extended by South Australian government direction until 22:30 AEST on 11 October.</w:t>
      </w:r>
    </w:p>
    <w:p w:rsidR="00967D56" w:rsidRPr="006C7B29" w:rsidRDefault="00967D56" w:rsidP="00D12152">
      <w:pPr>
        <w:spacing w:before="0"/>
      </w:pPr>
    </w:p>
    <w:p w:rsidR="00274CC2" w:rsidRDefault="00274CC2" w:rsidP="00274CC2">
      <w:pPr>
        <w:spacing w:before="0"/>
      </w:pPr>
      <w:r>
        <w:t>The event</w:t>
      </w:r>
      <w:r w:rsidRPr="00274CC2">
        <w:t xml:space="preserve"> in South Australia has triggered a number of investigations and reviews</w:t>
      </w:r>
      <w:r>
        <w:t>. The market operator (</w:t>
      </w:r>
      <w:r w:rsidRPr="006C7B29">
        <w:t>AEMO</w:t>
      </w:r>
      <w:r>
        <w:t>)</w:t>
      </w:r>
      <w:r w:rsidRPr="006C7B29">
        <w:t xml:space="preserve"> is </w:t>
      </w:r>
      <w:r>
        <w:t xml:space="preserve">required to </w:t>
      </w:r>
      <w:r w:rsidRPr="006C7B29">
        <w:t>conduct an investigation into the black system events</w:t>
      </w:r>
      <w:r>
        <w:t>, p</w:t>
      </w:r>
      <w:r w:rsidRPr="006C7B29">
        <w:t>ursuant to various obligations</w:t>
      </w:r>
      <w:r>
        <w:t xml:space="preserve"> in the </w:t>
      </w:r>
      <w:r w:rsidR="00840C83">
        <w:t xml:space="preserve">Electricity </w:t>
      </w:r>
      <w:r>
        <w:t>Rules</w:t>
      </w:r>
      <w:r w:rsidRPr="006C7B29">
        <w:t xml:space="preserve">. The Essential Services Commission of South Australia (ESCOSA) is also conducting a review of whether South Australian participants complied with the terms of </w:t>
      </w:r>
      <w:r>
        <w:t xml:space="preserve">state based </w:t>
      </w:r>
      <w:r w:rsidRPr="006C7B29">
        <w:t xml:space="preserve">electricity licence </w:t>
      </w:r>
      <w:r>
        <w:t>requirements</w:t>
      </w:r>
      <w:r w:rsidRPr="006C7B29">
        <w:t xml:space="preserve">. </w:t>
      </w:r>
    </w:p>
    <w:p w:rsidR="00840C83" w:rsidRDefault="00840C83" w:rsidP="00274CC2">
      <w:pPr>
        <w:spacing w:before="0"/>
      </w:pPr>
    </w:p>
    <w:p w:rsidR="00274CC2" w:rsidRDefault="00274CC2" w:rsidP="00274CC2">
      <w:pPr>
        <w:spacing w:before="0"/>
      </w:pPr>
      <w:r>
        <w:t>More broadly</w:t>
      </w:r>
      <w:r w:rsidR="00840C83">
        <w:t>,</w:t>
      </w:r>
      <w:r>
        <w:t xml:space="preserve"> the South Australian Government has initiated a review to </w:t>
      </w:r>
      <w:r w:rsidRPr="00274CC2">
        <w:t>investigate the event and the adequacy of the State’s prevention, preparedness, response and recovery plans</w:t>
      </w:r>
      <w:r>
        <w:t>, while the COAG E</w:t>
      </w:r>
      <w:r w:rsidR="00DB2A20">
        <w:t xml:space="preserve">nergy </w:t>
      </w:r>
      <w:r>
        <w:t>C</w:t>
      </w:r>
      <w:r w:rsidR="00DB2A20">
        <w:t>ouncil</w:t>
      </w:r>
      <w:r>
        <w:t xml:space="preserve"> </w:t>
      </w:r>
      <w:r w:rsidR="00DB2A20">
        <w:t xml:space="preserve">has </w:t>
      </w:r>
      <w:r>
        <w:t>ask</w:t>
      </w:r>
      <w:r w:rsidR="00DB2A20">
        <w:t>ed</w:t>
      </w:r>
      <w:r>
        <w:t xml:space="preserve"> the Chief Scientist to </w:t>
      </w:r>
      <w:r w:rsidR="00DB2A20">
        <w:t xml:space="preserve">bring together a number of current initiatives to </w:t>
      </w:r>
      <w:r w:rsidRPr="00274CC2">
        <w:t>develop a national reform blueprint to maintain energy security and reliability in the NEM</w:t>
      </w:r>
      <w:r>
        <w:t>.</w:t>
      </w:r>
    </w:p>
    <w:p w:rsidR="00274CC2" w:rsidRDefault="00274CC2" w:rsidP="00F70DAB">
      <w:pPr>
        <w:spacing w:before="0"/>
      </w:pPr>
    </w:p>
    <w:p w:rsidR="006C7B29" w:rsidRPr="00C37E80" w:rsidRDefault="00274CC2" w:rsidP="00F70DAB">
      <w:pPr>
        <w:spacing w:before="0"/>
      </w:pPr>
      <w:r w:rsidRPr="00C37E80">
        <w:t xml:space="preserve">The AER is </w:t>
      </w:r>
      <w:r w:rsidR="00DB2A20" w:rsidRPr="00C37E80">
        <w:t xml:space="preserve">the national enforcement agency </w:t>
      </w:r>
      <w:r w:rsidRPr="00C37E80">
        <w:t>responsible for ensuring that registered participants</w:t>
      </w:r>
      <w:r w:rsidR="00DB2A20" w:rsidRPr="00C37E80">
        <w:t>, including AEMO</w:t>
      </w:r>
      <w:r w:rsidR="006B5905" w:rsidRPr="00C37E80">
        <w:t>,</w:t>
      </w:r>
      <w:r w:rsidRPr="00C37E80">
        <w:t xml:space="preserve"> </w:t>
      </w:r>
      <w:r w:rsidR="006B7C59" w:rsidRPr="00C37E80">
        <w:t>comply with</w:t>
      </w:r>
      <w:r w:rsidRPr="00C37E80">
        <w:t xml:space="preserve"> the req</w:t>
      </w:r>
      <w:r w:rsidR="00D70CE0" w:rsidRPr="00C37E80">
        <w:t xml:space="preserve">uirements of the </w:t>
      </w:r>
      <w:r w:rsidR="00DB2A20" w:rsidRPr="00C37E80">
        <w:t>E</w:t>
      </w:r>
      <w:r w:rsidRPr="00C37E80">
        <w:t xml:space="preserve">lectricity Rules.  </w:t>
      </w:r>
      <w:r w:rsidR="00DB2A20" w:rsidRPr="00C37E80">
        <w:t xml:space="preserve">We </w:t>
      </w:r>
      <w:r w:rsidR="00C37E80" w:rsidRPr="00C37E80">
        <w:t>have commenced</w:t>
      </w:r>
      <w:r w:rsidR="006C7B29" w:rsidRPr="00C37E80">
        <w:t xml:space="preserve"> an assessment of compliance levels during the black system event and the subsequent period of market suspension. </w:t>
      </w:r>
      <w:r w:rsidR="00CC53BE" w:rsidRPr="00C37E80">
        <w:t xml:space="preserve">The </w:t>
      </w:r>
      <w:r w:rsidR="006C7B29" w:rsidRPr="00C37E80">
        <w:t>review cover</w:t>
      </w:r>
      <w:r w:rsidR="00CC53BE" w:rsidRPr="00C37E80">
        <w:t>s</w:t>
      </w:r>
      <w:r w:rsidR="006C7B29" w:rsidRPr="00C37E80">
        <w:t xml:space="preserve"> a range of issues including, but not limited to, plant compliance with performance requirements, participant compliance with AEMO directions and/or instructions and the overall management of the power system and market in line with the Electricity Rules. The outcome of the AER's investigation will be the subject of a public report.</w:t>
      </w:r>
      <w:r w:rsidR="00CC53BE" w:rsidRPr="00C37E80">
        <w:t xml:space="preserve"> We expect to establish a preliminary view of compliance levels, during the black system event, by the end of the year.</w:t>
      </w:r>
    </w:p>
    <w:p w:rsidR="00967D56" w:rsidRPr="00C37E80" w:rsidRDefault="00967D56" w:rsidP="00F70DAB">
      <w:pPr>
        <w:spacing w:before="0"/>
      </w:pPr>
    </w:p>
    <w:p w:rsidR="006C7B29" w:rsidRPr="00C37E80" w:rsidRDefault="006C7B29" w:rsidP="00D12152">
      <w:pPr>
        <w:spacing w:before="0"/>
      </w:pPr>
      <w:r w:rsidRPr="00C37E80">
        <w:t xml:space="preserve">The AER is working collaboratively with </w:t>
      </w:r>
      <w:r w:rsidR="00E84868" w:rsidRPr="00C37E80">
        <w:t xml:space="preserve">industry participants, </w:t>
      </w:r>
      <w:r w:rsidRPr="00C37E80">
        <w:t>AEMO</w:t>
      </w:r>
      <w:r w:rsidR="00DB2A20" w:rsidRPr="00C37E80">
        <w:t>,</w:t>
      </w:r>
      <w:r w:rsidRPr="00C37E80">
        <w:t xml:space="preserve"> ESCOSA</w:t>
      </w:r>
      <w:r w:rsidR="00DB2A20" w:rsidRPr="00C37E80">
        <w:t xml:space="preserve"> and the other review bodies</w:t>
      </w:r>
      <w:r w:rsidRPr="00C37E80">
        <w:t xml:space="preserve"> </w:t>
      </w:r>
      <w:r w:rsidR="00DB2A20" w:rsidRPr="00C37E80">
        <w:t xml:space="preserve">and agencies </w:t>
      </w:r>
      <w:r w:rsidRPr="00C37E80">
        <w:t xml:space="preserve">on their respective </w:t>
      </w:r>
      <w:r w:rsidR="00DB2A20" w:rsidRPr="00C37E80">
        <w:t>tasks</w:t>
      </w:r>
      <w:r w:rsidRPr="00C37E80">
        <w:t>.</w:t>
      </w:r>
    </w:p>
    <w:p w:rsidR="006C7B29" w:rsidRPr="00C730B0" w:rsidRDefault="006C7B29" w:rsidP="00F70DAB">
      <w:pPr>
        <w:keepNext/>
        <w:spacing w:before="0"/>
        <w:jc w:val="both"/>
        <w:rPr>
          <w:rStyle w:val="Strong"/>
          <w:b w:val="0"/>
          <w:noProof/>
          <w:color w:val="70635A" w:themeColor="text2"/>
          <w:sz w:val="24"/>
          <w:lang w:val="en-US" w:eastAsia="ja-JP"/>
        </w:rPr>
      </w:pPr>
    </w:p>
    <w:p w:rsidR="00842867" w:rsidRPr="000F2714" w:rsidRDefault="00842867" w:rsidP="00842867">
      <w:pPr>
        <w:pStyle w:val="Heading1"/>
        <w:numPr>
          <w:ilvl w:val="0"/>
          <w:numId w:val="0"/>
        </w:numPr>
      </w:pPr>
      <w:bookmarkStart w:id="2" w:name="_Toc466452011"/>
      <w:r w:rsidRPr="000F2714">
        <w:lastRenderedPageBreak/>
        <w:t>Background</w:t>
      </w:r>
      <w:bookmarkEnd w:id="2"/>
    </w:p>
    <w:p w:rsidR="00842867" w:rsidRPr="000F2714" w:rsidRDefault="00842867" w:rsidP="003974F8">
      <w:pPr>
        <w:jc w:val="both"/>
      </w:pPr>
      <w:r w:rsidRPr="000F2714">
        <w:t xml:space="preserve">The AER is responsible for monitoring compliance and enforcement under legislation and rules governing Australia’s wholesale energy markets, including those applying to </w:t>
      </w:r>
      <w:r w:rsidR="00002146">
        <w:t>network service providers (</w:t>
      </w:r>
      <w:r w:rsidR="001156E6">
        <w:t>NSPs</w:t>
      </w:r>
      <w:r w:rsidR="00002146">
        <w:t>)</w:t>
      </w:r>
      <w:r w:rsidRPr="000F2714">
        <w:t>. Section 15 of the Electricity Law and section 27 of the Gas Law set out our functions and powers, which include:</w:t>
      </w:r>
    </w:p>
    <w:p w:rsidR="003974F8" w:rsidRPr="000F2714" w:rsidRDefault="003974F8" w:rsidP="00663C98">
      <w:pPr>
        <w:pStyle w:val="ListParagraph"/>
        <w:numPr>
          <w:ilvl w:val="0"/>
          <w:numId w:val="24"/>
        </w:numPr>
        <w:jc w:val="both"/>
      </w:pPr>
      <w:r w:rsidRPr="000F2714">
        <w:t>monitoring compliance by energy industry participants</w:t>
      </w:r>
      <w:r w:rsidRPr="000F2714">
        <w:rPr>
          <w:rStyle w:val="FootnoteReference"/>
        </w:rPr>
        <w:footnoteReference w:id="1"/>
      </w:r>
      <w:r w:rsidRPr="000F2714">
        <w:t xml:space="preserve"> and other persons</w:t>
      </w:r>
    </w:p>
    <w:p w:rsidR="003974F8" w:rsidRPr="000F2714" w:rsidRDefault="003974F8" w:rsidP="00663C98">
      <w:pPr>
        <w:pStyle w:val="ListParagraph"/>
        <w:numPr>
          <w:ilvl w:val="0"/>
          <w:numId w:val="24"/>
        </w:numPr>
        <w:jc w:val="both"/>
      </w:pPr>
      <w:r w:rsidRPr="000F2714">
        <w:t>investigating breaches, or possible breaches, of provisions of the legislative instruments under our jurisdiction.</w:t>
      </w:r>
    </w:p>
    <w:p w:rsidR="00842867" w:rsidRPr="000F2714" w:rsidRDefault="00842867" w:rsidP="003974F8">
      <w:pPr>
        <w:jc w:val="both"/>
      </w:pPr>
      <w:r w:rsidRPr="000F2714">
        <w:t>Consistent with our statement of approach</w:t>
      </w:r>
      <w:r w:rsidR="00EA2181">
        <w:t>,</w:t>
      </w:r>
      <w:r w:rsidR="000410DE" w:rsidRPr="000F2714">
        <w:rPr>
          <w:rStyle w:val="FootnoteReference"/>
        </w:rPr>
        <w:footnoteReference w:id="2"/>
      </w:r>
      <w:r w:rsidRPr="000F2714">
        <w:t xml:space="preserve"> we aim to promote high levels of compliance, and seek to build a culture of compliance in the energy industry. A culture of compliance will:</w:t>
      </w:r>
    </w:p>
    <w:p w:rsidR="00842867" w:rsidRPr="000F2714" w:rsidRDefault="00842867" w:rsidP="00663C98">
      <w:pPr>
        <w:pStyle w:val="ListParagraph"/>
        <w:numPr>
          <w:ilvl w:val="0"/>
          <w:numId w:val="24"/>
        </w:numPr>
        <w:jc w:val="both"/>
      </w:pPr>
      <w:r w:rsidRPr="000F2714">
        <w:t>reduce the risk of industry participants breaching their regulatory obligations</w:t>
      </w:r>
    </w:p>
    <w:p w:rsidR="00842867" w:rsidRPr="000F2714" w:rsidRDefault="00842867" w:rsidP="00663C98">
      <w:pPr>
        <w:pStyle w:val="ListParagraph"/>
        <w:numPr>
          <w:ilvl w:val="0"/>
          <w:numId w:val="24"/>
        </w:numPr>
        <w:jc w:val="both"/>
      </w:pPr>
      <w:r w:rsidRPr="000F2714">
        <w:t>assist in ensuring industry participants can engage confidently in efficient energy markets.</w:t>
      </w:r>
    </w:p>
    <w:p w:rsidR="00842867" w:rsidRPr="000F2714" w:rsidRDefault="00842867" w:rsidP="007D2ED8">
      <w:pPr>
        <w:jc w:val="both"/>
      </w:pPr>
      <w:r w:rsidRPr="000F2714">
        <w:t>As part of this process, we undertake a</w:t>
      </w:r>
      <w:r w:rsidR="00FF4394">
        <w:t>n</w:t>
      </w:r>
      <w:r w:rsidRPr="000F2714">
        <w:t xml:space="preserve"> </w:t>
      </w:r>
      <w:r w:rsidR="00FF4394">
        <w:t>ongoing</w:t>
      </w:r>
      <w:r w:rsidR="00FF4394" w:rsidRPr="000F2714">
        <w:t xml:space="preserve"> </w:t>
      </w:r>
      <w:r w:rsidRPr="000F2714">
        <w:t>compliance risk assessment of the Electricity and Gas Rules to identify appropriate focus areas and monitoring/compliance mechanisms. These mechanisms include our strategic compliance projects, audits, reporting requirements, market monitoring, and targeted compliance reviews.</w:t>
      </w:r>
    </w:p>
    <w:p w:rsidR="00842867" w:rsidRPr="000F2714" w:rsidRDefault="00842867" w:rsidP="003974F8">
      <w:pPr>
        <w:jc w:val="both"/>
      </w:pPr>
      <w:r w:rsidRPr="000F2714">
        <w:t>In selecting the areas for review, we adopt the following principles:</w:t>
      </w:r>
    </w:p>
    <w:p w:rsidR="00842867" w:rsidRPr="000F2714" w:rsidRDefault="00842867" w:rsidP="00663C98">
      <w:pPr>
        <w:pStyle w:val="ListParagraph"/>
        <w:numPr>
          <w:ilvl w:val="0"/>
          <w:numId w:val="24"/>
        </w:numPr>
        <w:jc w:val="both"/>
      </w:pPr>
      <w:r w:rsidRPr="000F2714">
        <w:t>consideration of risk (the greater the risk, the higher the priority)</w:t>
      </w:r>
    </w:p>
    <w:p w:rsidR="00842867" w:rsidRPr="000F2714" w:rsidRDefault="00842867" w:rsidP="00663C98">
      <w:pPr>
        <w:pStyle w:val="ListParagraph"/>
        <w:numPr>
          <w:ilvl w:val="0"/>
          <w:numId w:val="24"/>
        </w:numPr>
        <w:jc w:val="both"/>
      </w:pPr>
      <w:r w:rsidRPr="000F2714">
        <w:t>a commitment to ensuring that both systemic issues and those with the potential for isolated but significant impact are addressed.</w:t>
      </w:r>
    </w:p>
    <w:p w:rsidR="00842867" w:rsidRPr="000F2714" w:rsidRDefault="00842867" w:rsidP="003974F8">
      <w:pPr>
        <w:jc w:val="both"/>
      </w:pPr>
      <w:r w:rsidRPr="000F2714">
        <w:t>In carrying out our monitoring functions, we aim for:</w:t>
      </w:r>
    </w:p>
    <w:p w:rsidR="00842867" w:rsidRPr="000F2714" w:rsidRDefault="00842867" w:rsidP="00663C98">
      <w:pPr>
        <w:pStyle w:val="ListParagraph"/>
        <w:numPr>
          <w:ilvl w:val="0"/>
          <w:numId w:val="24"/>
        </w:numPr>
        <w:jc w:val="both"/>
      </w:pPr>
      <w:r w:rsidRPr="000F2714">
        <w:t>cost effectiveness for energy industry participants and the AER</w:t>
      </w:r>
    </w:p>
    <w:p w:rsidR="00842867" w:rsidRPr="000F2714" w:rsidRDefault="00842867" w:rsidP="00663C98">
      <w:pPr>
        <w:pStyle w:val="ListParagraph"/>
        <w:numPr>
          <w:ilvl w:val="0"/>
          <w:numId w:val="24"/>
        </w:numPr>
        <w:jc w:val="both"/>
      </w:pPr>
      <w:r w:rsidRPr="000F2714">
        <w:t>transparency (subject to confidentiality requirements).</w:t>
      </w:r>
    </w:p>
    <w:p w:rsidR="00842867" w:rsidRPr="000F2714" w:rsidRDefault="00842867" w:rsidP="003974F8">
      <w:pPr>
        <w:jc w:val="both"/>
      </w:pPr>
      <w:r w:rsidRPr="000F2714">
        <w:t>While most obligations under the Electricity and Gas Rules do not require registered participants to establish specific compliance programs, we take into account a participant’s compliance framework when determining our response to potential breaches. In assessing compliance culture, we consider whether compliance programs and processes are effectively applied, up-to-date and tested regularly.</w:t>
      </w:r>
    </w:p>
    <w:p w:rsidR="00842867" w:rsidRDefault="00842867" w:rsidP="00842867">
      <w:pPr>
        <w:pStyle w:val="Heading1"/>
      </w:pPr>
      <w:bookmarkStart w:id="3" w:name="_Toc426539186"/>
      <w:bookmarkStart w:id="4" w:name="_Toc466452012"/>
      <w:bookmarkEnd w:id="0"/>
      <w:bookmarkEnd w:id="3"/>
      <w:r w:rsidRPr="00765147">
        <w:lastRenderedPageBreak/>
        <w:t>Gas</w:t>
      </w:r>
      <w:bookmarkEnd w:id="4"/>
    </w:p>
    <w:p w:rsidR="00C66C6F" w:rsidRDefault="00C66C6F" w:rsidP="00C66C6F">
      <w:r>
        <w:t>We are responsible for monitoring, investigating and enforcing compliance with the Gas Law and Rules, including but not limited to the STTM, the Bulletin Board, the Victorian gas market and the Gas Supply Hub (GSH)</w:t>
      </w:r>
    </w:p>
    <w:p w:rsidR="00C66C6F" w:rsidRPr="00C66C6F" w:rsidRDefault="00C66C6F" w:rsidP="00C66C6F">
      <w:r>
        <w:t>This part of the report provides an update on investigations, compliance matters and projects in the gas markets.</w:t>
      </w:r>
    </w:p>
    <w:p w:rsidR="00842867" w:rsidRPr="00C77892" w:rsidRDefault="00842867" w:rsidP="00CE11FA">
      <w:pPr>
        <w:pStyle w:val="Heading2"/>
        <w:keepNext/>
        <w:tabs>
          <w:tab w:val="clear" w:pos="680"/>
          <w:tab w:val="left" w:pos="709"/>
        </w:tabs>
        <w:spacing w:before="240"/>
        <w:ind w:left="709" w:hanging="709"/>
      </w:pPr>
      <w:bookmarkStart w:id="5" w:name="_Toc426539190"/>
      <w:bookmarkStart w:id="6" w:name="_Toc426539191"/>
      <w:bookmarkStart w:id="7" w:name="_Toc403477269"/>
      <w:bookmarkStart w:id="8" w:name="_Toc466452013"/>
      <w:bookmarkEnd w:id="5"/>
      <w:bookmarkEnd w:id="6"/>
      <w:r w:rsidRPr="00C77892">
        <w:t>Natural Gas Services Bulletin Board</w:t>
      </w:r>
      <w:bookmarkEnd w:id="7"/>
      <w:bookmarkEnd w:id="8"/>
    </w:p>
    <w:p w:rsidR="00B35FE2" w:rsidRDefault="00B35FE2" w:rsidP="00C62498">
      <w:pPr>
        <w:spacing w:before="120"/>
      </w:pPr>
      <w:bookmarkStart w:id="9" w:name="_Toc427327904"/>
      <w:r>
        <w:t xml:space="preserve">In December 2015, the </w:t>
      </w:r>
      <w:r w:rsidR="004B4058">
        <w:t>Australian Energy Market Commission (</w:t>
      </w:r>
      <w:r>
        <w:t>AEMC</w:t>
      </w:r>
      <w:r w:rsidR="004B4058">
        <w:t>)</w:t>
      </w:r>
      <w:r>
        <w:t xml:space="preserve"> released its final rule determination to improve information provided to the east coast gas market via the Natural Gas Services Bulletin Board. The </w:t>
      </w:r>
      <w:r w:rsidRPr="00F90A7E">
        <w:rPr>
          <w:i/>
        </w:rPr>
        <w:t>National Gas Amendment (Enhanced Information for Gas Transmi</w:t>
      </w:r>
      <w:r>
        <w:rPr>
          <w:i/>
        </w:rPr>
        <w:t>ssion Pipeline Capacity Trading</w:t>
      </w:r>
      <w:r w:rsidR="004B4058">
        <w:rPr>
          <w:i/>
        </w:rPr>
        <w:t>) Rule 2015</w:t>
      </w:r>
      <w:r>
        <w:t xml:space="preserve"> required registered Gas Bulletin Board Facilities to commence providing additional information, for publication on the Bulletin Board, from 6 October 2016. The </w:t>
      </w:r>
      <w:r w:rsidR="004B4058">
        <w:t xml:space="preserve">Bulletin Board </w:t>
      </w:r>
      <w:r>
        <w:t>requirements are set out in Chapter 7 of the Gas Law and Part 18 of the Gas Rules.</w:t>
      </w:r>
    </w:p>
    <w:p w:rsidR="00B35FE2" w:rsidRDefault="00B35FE2" w:rsidP="00B35FE2">
      <w:pPr>
        <w:spacing w:before="0"/>
      </w:pPr>
    </w:p>
    <w:p w:rsidR="00B35FE2" w:rsidRDefault="00B35FE2" w:rsidP="00B35FE2">
      <w:pPr>
        <w:spacing w:before="0"/>
      </w:pPr>
      <w:r>
        <w:t>New information required from pipeline operators, storage facilities and production facilities includes:</w:t>
      </w:r>
    </w:p>
    <w:p w:rsidR="00B35FE2" w:rsidRDefault="00B35FE2" w:rsidP="00B35FE2">
      <w:pPr>
        <w:spacing w:before="0"/>
      </w:pPr>
    </w:p>
    <w:p w:rsidR="00B35FE2" w:rsidRDefault="00B35FE2" w:rsidP="00663C98">
      <w:pPr>
        <w:pStyle w:val="ListParagraph"/>
        <w:numPr>
          <w:ilvl w:val="0"/>
          <w:numId w:val="27"/>
        </w:numPr>
        <w:spacing w:before="0" w:after="120" w:line="240" w:lineRule="auto"/>
        <w:ind w:left="714" w:hanging="357"/>
      </w:pPr>
      <w:r>
        <w:t>detailed facility information; and</w:t>
      </w:r>
    </w:p>
    <w:p w:rsidR="00B35FE2" w:rsidRDefault="00B35FE2" w:rsidP="00663C98">
      <w:pPr>
        <w:pStyle w:val="ListParagraph"/>
        <w:numPr>
          <w:ilvl w:val="0"/>
          <w:numId w:val="27"/>
        </w:numPr>
        <w:spacing w:before="0" w:line="240" w:lineRule="auto"/>
      </w:pPr>
      <w:r>
        <w:t>medium term capacity outlooks.</w:t>
      </w:r>
    </w:p>
    <w:p w:rsidR="00B35FE2" w:rsidRDefault="00B35FE2" w:rsidP="00B35FE2">
      <w:pPr>
        <w:spacing w:before="0"/>
      </w:pPr>
    </w:p>
    <w:p w:rsidR="00B35FE2" w:rsidRPr="00C75A2F" w:rsidRDefault="00B35FE2" w:rsidP="00B35FE2">
      <w:pPr>
        <w:spacing w:before="0"/>
      </w:pPr>
      <w:r>
        <w:t>New information required from pipeline operators includes:</w:t>
      </w:r>
    </w:p>
    <w:p w:rsidR="00B35FE2" w:rsidRPr="00255862" w:rsidRDefault="00B35FE2" w:rsidP="00663C98">
      <w:pPr>
        <w:numPr>
          <w:ilvl w:val="0"/>
          <w:numId w:val="26"/>
        </w:numPr>
        <w:spacing w:before="120" w:line="240" w:lineRule="auto"/>
        <w:rPr>
          <w:rFonts w:asciiTheme="minorHAnsi" w:hAnsiTheme="minorHAnsi" w:cstheme="minorHAnsi"/>
        </w:rPr>
      </w:pPr>
      <w:r>
        <w:rPr>
          <w:rFonts w:asciiTheme="minorHAnsi" w:hAnsiTheme="minorHAnsi" w:cstheme="minorHAnsi"/>
        </w:rPr>
        <w:t>information</w:t>
      </w:r>
      <w:r w:rsidRPr="00255862">
        <w:rPr>
          <w:rFonts w:asciiTheme="minorHAnsi" w:hAnsiTheme="minorHAnsi" w:cstheme="minorHAnsi"/>
        </w:rPr>
        <w:t xml:space="preserve"> </w:t>
      </w:r>
      <w:r>
        <w:rPr>
          <w:rFonts w:asciiTheme="minorHAnsi" w:hAnsiTheme="minorHAnsi" w:cstheme="minorHAnsi"/>
        </w:rPr>
        <w:t xml:space="preserve">on </w:t>
      </w:r>
      <w:r w:rsidRPr="00255862">
        <w:rPr>
          <w:rFonts w:asciiTheme="minorHAnsi" w:hAnsiTheme="minorHAnsi" w:cstheme="minorHAnsi"/>
        </w:rPr>
        <w:t>B</w:t>
      </w:r>
      <w:r>
        <w:rPr>
          <w:rFonts w:asciiTheme="minorHAnsi" w:hAnsiTheme="minorHAnsi" w:cstheme="minorHAnsi"/>
        </w:rPr>
        <w:t xml:space="preserve">ulletin </w:t>
      </w:r>
      <w:r w:rsidRPr="00255862">
        <w:rPr>
          <w:rFonts w:asciiTheme="minorHAnsi" w:hAnsiTheme="minorHAnsi" w:cstheme="minorHAnsi"/>
        </w:rPr>
        <w:t>B</w:t>
      </w:r>
      <w:r>
        <w:rPr>
          <w:rFonts w:asciiTheme="minorHAnsi" w:hAnsiTheme="minorHAnsi" w:cstheme="minorHAnsi"/>
        </w:rPr>
        <w:t>oard</w:t>
      </w:r>
      <w:r w:rsidRPr="00255862">
        <w:rPr>
          <w:rFonts w:asciiTheme="minorHAnsi" w:hAnsiTheme="minorHAnsi" w:cstheme="minorHAnsi"/>
        </w:rPr>
        <w:t xml:space="preserve"> shippers that have contracted capacity</w:t>
      </w:r>
      <w:r>
        <w:rPr>
          <w:rFonts w:asciiTheme="minorHAnsi" w:hAnsiTheme="minorHAnsi" w:cstheme="minorHAnsi"/>
        </w:rPr>
        <w:t>;</w:t>
      </w:r>
    </w:p>
    <w:p w:rsidR="00B35FE2" w:rsidRPr="00255862" w:rsidRDefault="00B35FE2" w:rsidP="00663C98">
      <w:pPr>
        <w:numPr>
          <w:ilvl w:val="0"/>
          <w:numId w:val="26"/>
        </w:numPr>
        <w:spacing w:before="120" w:line="240" w:lineRule="auto"/>
        <w:rPr>
          <w:rFonts w:asciiTheme="minorHAnsi" w:hAnsiTheme="minorHAnsi" w:cstheme="minorHAnsi"/>
        </w:rPr>
      </w:pPr>
      <w:r w:rsidRPr="00255862">
        <w:rPr>
          <w:rFonts w:asciiTheme="minorHAnsi" w:hAnsiTheme="minorHAnsi" w:cstheme="minorHAnsi"/>
        </w:rPr>
        <w:t>secondary trad</w:t>
      </w:r>
      <w:r>
        <w:rPr>
          <w:rFonts w:asciiTheme="minorHAnsi" w:hAnsiTheme="minorHAnsi" w:cstheme="minorHAnsi"/>
        </w:rPr>
        <w:t>e data</w:t>
      </w:r>
      <w:r w:rsidR="00F5464E" w:rsidRPr="00F5464E">
        <w:rPr>
          <w:rStyle w:val="FootnoteReference"/>
          <w:rFonts w:asciiTheme="minorHAnsi" w:hAnsiTheme="minorHAnsi" w:cstheme="minorHAnsi"/>
        </w:rPr>
        <w:footnoteReference w:id="3"/>
      </w:r>
      <w:r>
        <w:rPr>
          <w:rFonts w:asciiTheme="minorHAnsi" w:hAnsiTheme="minorHAnsi" w:cstheme="minorHAnsi"/>
        </w:rPr>
        <w:t>;</w:t>
      </w:r>
    </w:p>
    <w:p w:rsidR="00B35FE2" w:rsidRPr="00255862" w:rsidRDefault="00B35FE2" w:rsidP="00663C98">
      <w:pPr>
        <w:numPr>
          <w:ilvl w:val="0"/>
          <w:numId w:val="26"/>
        </w:numPr>
        <w:spacing w:before="120" w:line="240" w:lineRule="auto"/>
        <w:rPr>
          <w:rFonts w:asciiTheme="minorHAnsi" w:hAnsiTheme="minorHAnsi" w:cstheme="minorHAnsi"/>
        </w:rPr>
      </w:pPr>
      <w:r w:rsidRPr="00255862">
        <w:rPr>
          <w:rFonts w:asciiTheme="minorHAnsi" w:hAnsiTheme="minorHAnsi" w:cstheme="minorHAnsi"/>
        </w:rPr>
        <w:t>12 month outlook</w:t>
      </w:r>
      <w:r>
        <w:rPr>
          <w:rFonts w:asciiTheme="minorHAnsi" w:hAnsiTheme="minorHAnsi" w:cstheme="minorHAnsi"/>
        </w:rPr>
        <w:t>s on</w:t>
      </w:r>
      <w:r w:rsidRPr="00255862">
        <w:rPr>
          <w:rFonts w:asciiTheme="minorHAnsi" w:hAnsiTheme="minorHAnsi" w:cstheme="minorHAnsi"/>
        </w:rPr>
        <w:t xml:space="preserve"> uncontracted primary pipeline c</w:t>
      </w:r>
      <w:r>
        <w:rPr>
          <w:rFonts w:asciiTheme="minorHAnsi" w:hAnsiTheme="minorHAnsi" w:cstheme="minorHAnsi"/>
        </w:rPr>
        <w:t>apacity;</w:t>
      </w:r>
    </w:p>
    <w:p w:rsidR="00B35FE2" w:rsidRPr="00255862" w:rsidRDefault="00B35FE2" w:rsidP="00663C98">
      <w:pPr>
        <w:numPr>
          <w:ilvl w:val="0"/>
          <w:numId w:val="26"/>
        </w:numPr>
        <w:spacing w:before="120" w:line="240" w:lineRule="auto"/>
        <w:rPr>
          <w:rFonts w:asciiTheme="minorHAnsi" w:hAnsiTheme="minorHAnsi" w:cstheme="minorHAnsi"/>
        </w:rPr>
      </w:pPr>
      <w:r w:rsidRPr="00255862">
        <w:rPr>
          <w:rFonts w:asciiTheme="minorHAnsi" w:hAnsiTheme="minorHAnsi" w:cstheme="minorHAnsi"/>
        </w:rPr>
        <w:t>actual rec</w:t>
      </w:r>
      <w:r>
        <w:rPr>
          <w:rFonts w:asciiTheme="minorHAnsi" w:hAnsiTheme="minorHAnsi" w:cstheme="minorHAnsi"/>
        </w:rPr>
        <w:t xml:space="preserve">eipts and deliveries of gas from the </w:t>
      </w:r>
      <w:r w:rsidRPr="00255862">
        <w:rPr>
          <w:rFonts w:asciiTheme="minorHAnsi" w:hAnsiTheme="minorHAnsi" w:cstheme="minorHAnsi"/>
        </w:rPr>
        <w:t>pipeline to each demand and/or</w:t>
      </w:r>
      <w:r>
        <w:rPr>
          <w:rFonts w:asciiTheme="minorHAnsi" w:hAnsiTheme="minorHAnsi" w:cstheme="minorHAnsi"/>
        </w:rPr>
        <w:t xml:space="preserve"> production zone; and</w:t>
      </w:r>
    </w:p>
    <w:p w:rsidR="00B35FE2" w:rsidRPr="00255862" w:rsidRDefault="00B35FE2" w:rsidP="00663C98">
      <w:pPr>
        <w:numPr>
          <w:ilvl w:val="0"/>
          <w:numId w:val="26"/>
        </w:numPr>
        <w:spacing w:before="120" w:line="240" w:lineRule="auto"/>
        <w:rPr>
          <w:rFonts w:asciiTheme="minorHAnsi" w:hAnsiTheme="minorHAnsi" w:cstheme="minorHAnsi"/>
        </w:rPr>
      </w:pPr>
      <w:r w:rsidRPr="00255862">
        <w:rPr>
          <w:rFonts w:asciiTheme="minorHAnsi" w:hAnsiTheme="minorHAnsi" w:cstheme="minorHAnsi"/>
        </w:rPr>
        <w:t xml:space="preserve">actual </w:t>
      </w:r>
      <w:r>
        <w:rPr>
          <w:rFonts w:asciiTheme="minorHAnsi" w:hAnsiTheme="minorHAnsi" w:cstheme="minorHAnsi"/>
        </w:rPr>
        <w:t xml:space="preserve">daily </w:t>
      </w:r>
      <w:r w:rsidRPr="00255862">
        <w:rPr>
          <w:rFonts w:asciiTheme="minorHAnsi" w:hAnsiTheme="minorHAnsi" w:cstheme="minorHAnsi"/>
        </w:rPr>
        <w:t>receipts and deliveries of gas for each rec</w:t>
      </w:r>
      <w:r>
        <w:rPr>
          <w:rFonts w:asciiTheme="minorHAnsi" w:hAnsiTheme="minorHAnsi" w:cstheme="minorHAnsi"/>
        </w:rPr>
        <w:t>eipt or delivery point.</w:t>
      </w:r>
    </w:p>
    <w:p w:rsidR="00B35FE2" w:rsidRDefault="00B35FE2" w:rsidP="00B35FE2">
      <w:pPr>
        <w:spacing w:before="0"/>
        <w:rPr>
          <w:rFonts w:asciiTheme="minorHAnsi" w:hAnsiTheme="minorHAnsi" w:cstheme="minorHAnsi"/>
        </w:rPr>
      </w:pPr>
    </w:p>
    <w:p w:rsidR="00B35FE2" w:rsidRPr="00255862" w:rsidRDefault="00B35FE2" w:rsidP="00B35FE2">
      <w:pPr>
        <w:spacing w:before="0"/>
        <w:rPr>
          <w:rFonts w:asciiTheme="minorHAnsi" w:hAnsiTheme="minorHAnsi" w:cstheme="minorHAnsi"/>
        </w:rPr>
      </w:pPr>
      <w:r>
        <w:rPr>
          <w:rFonts w:asciiTheme="minorHAnsi" w:hAnsiTheme="minorHAnsi" w:cstheme="minorHAnsi"/>
        </w:rPr>
        <w:t>New information required from storage providers includes</w:t>
      </w:r>
      <w:r w:rsidRPr="00255862">
        <w:rPr>
          <w:rFonts w:asciiTheme="minorHAnsi" w:hAnsiTheme="minorHAnsi" w:cstheme="minorHAnsi"/>
        </w:rPr>
        <w:t>:</w:t>
      </w:r>
    </w:p>
    <w:p w:rsidR="00B35FE2" w:rsidRPr="00255862" w:rsidRDefault="00B35FE2" w:rsidP="00663C98">
      <w:pPr>
        <w:numPr>
          <w:ilvl w:val="0"/>
          <w:numId w:val="26"/>
        </w:numPr>
        <w:spacing w:before="120" w:line="240" w:lineRule="auto"/>
        <w:rPr>
          <w:rFonts w:asciiTheme="minorHAnsi" w:hAnsiTheme="minorHAnsi" w:cstheme="minorHAnsi"/>
        </w:rPr>
      </w:pPr>
      <w:r w:rsidRPr="00255862">
        <w:rPr>
          <w:rFonts w:asciiTheme="minorHAnsi" w:hAnsiTheme="minorHAnsi" w:cstheme="minorHAnsi"/>
        </w:rPr>
        <w:t>12 month outlook</w:t>
      </w:r>
      <w:r>
        <w:rPr>
          <w:rFonts w:asciiTheme="minorHAnsi" w:hAnsiTheme="minorHAnsi" w:cstheme="minorHAnsi"/>
        </w:rPr>
        <w:t>s</w:t>
      </w:r>
      <w:r w:rsidRPr="00255862">
        <w:rPr>
          <w:rFonts w:asciiTheme="minorHAnsi" w:hAnsiTheme="minorHAnsi" w:cstheme="minorHAnsi"/>
        </w:rPr>
        <w:t xml:space="preserve"> of uncontracted storage c</w:t>
      </w:r>
      <w:r>
        <w:rPr>
          <w:rFonts w:asciiTheme="minorHAnsi" w:hAnsiTheme="minorHAnsi" w:cstheme="minorHAnsi"/>
        </w:rPr>
        <w:t>apacity;</w:t>
      </w:r>
    </w:p>
    <w:p w:rsidR="00B35FE2" w:rsidRPr="00255862" w:rsidRDefault="00B35FE2" w:rsidP="00663C98">
      <w:pPr>
        <w:numPr>
          <w:ilvl w:val="0"/>
          <w:numId w:val="26"/>
        </w:numPr>
        <w:spacing w:before="120" w:line="240" w:lineRule="auto"/>
        <w:rPr>
          <w:rFonts w:asciiTheme="minorHAnsi" w:hAnsiTheme="minorHAnsi" w:cstheme="minorHAnsi"/>
        </w:rPr>
      </w:pPr>
      <w:r>
        <w:rPr>
          <w:rFonts w:asciiTheme="minorHAnsi" w:hAnsiTheme="minorHAnsi" w:cstheme="minorHAnsi"/>
        </w:rPr>
        <w:t xml:space="preserve">the </w:t>
      </w:r>
      <w:r w:rsidRPr="00255862">
        <w:rPr>
          <w:rFonts w:asciiTheme="minorHAnsi" w:hAnsiTheme="minorHAnsi" w:cstheme="minorHAnsi"/>
        </w:rPr>
        <w:t xml:space="preserve">actual </w:t>
      </w:r>
      <w:r>
        <w:rPr>
          <w:rFonts w:asciiTheme="minorHAnsi" w:hAnsiTheme="minorHAnsi" w:cstheme="minorHAnsi"/>
        </w:rPr>
        <w:t xml:space="preserve">daily </w:t>
      </w:r>
      <w:r w:rsidRPr="00255862">
        <w:rPr>
          <w:rFonts w:asciiTheme="minorHAnsi" w:hAnsiTheme="minorHAnsi" w:cstheme="minorHAnsi"/>
        </w:rPr>
        <w:t xml:space="preserve">quantity of natural gas </w:t>
      </w:r>
      <w:r>
        <w:rPr>
          <w:rFonts w:asciiTheme="minorHAnsi" w:hAnsiTheme="minorHAnsi" w:cstheme="minorHAnsi"/>
        </w:rPr>
        <w:t>held in storage; and</w:t>
      </w:r>
    </w:p>
    <w:p w:rsidR="00B35FE2" w:rsidRPr="00255862" w:rsidRDefault="00B35FE2" w:rsidP="00663C98">
      <w:pPr>
        <w:numPr>
          <w:ilvl w:val="0"/>
          <w:numId w:val="26"/>
        </w:numPr>
        <w:spacing w:before="120" w:line="240" w:lineRule="auto"/>
        <w:rPr>
          <w:rFonts w:asciiTheme="minorHAnsi" w:hAnsiTheme="minorHAnsi" w:cstheme="minorHAnsi"/>
        </w:rPr>
      </w:pPr>
      <w:r w:rsidRPr="00255862">
        <w:rPr>
          <w:rFonts w:asciiTheme="minorHAnsi" w:hAnsiTheme="minorHAnsi" w:cstheme="minorHAnsi"/>
        </w:rPr>
        <w:t>nominated and forecast storage injections and withdraw</w:t>
      </w:r>
      <w:r>
        <w:rPr>
          <w:rFonts w:asciiTheme="minorHAnsi" w:hAnsiTheme="minorHAnsi" w:cstheme="minorHAnsi"/>
        </w:rPr>
        <w:t xml:space="preserve">als (daily and during </w:t>
      </w:r>
      <w:r w:rsidR="00F5464E">
        <w:rPr>
          <w:rFonts w:asciiTheme="minorHAnsi" w:hAnsiTheme="minorHAnsi" w:cstheme="minorHAnsi"/>
        </w:rPr>
        <w:t xml:space="preserve">the </w:t>
      </w:r>
      <w:r w:rsidRPr="00255862">
        <w:rPr>
          <w:rFonts w:asciiTheme="minorHAnsi" w:hAnsiTheme="minorHAnsi" w:cstheme="minorHAnsi"/>
        </w:rPr>
        <w:t>day if information changes)</w:t>
      </w:r>
      <w:r>
        <w:rPr>
          <w:rFonts w:asciiTheme="minorHAnsi" w:hAnsiTheme="minorHAnsi" w:cstheme="minorHAnsi"/>
        </w:rPr>
        <w:t>.</w:t>
      </w:r>
    </w:p>
    <w:p w:rsidR="00C62498" w:rsidRPr="00C77892" w:rsidRDefault="00C62498" w:rsidP="00C66C6F">
      <w:pPr>
        <w:pStyle w:val="Heading3"/>
        <w:numPr>
          <w:ilvl w:val="2"/>
          <w:numId w:val="33"/>
        </w:numPr>
        <w:spacing w:line="240" w:lineRule="auto"/>
      </w:pPr>
      <w:bookmarkStart w:id="10" w:name="_Toc466452014"/>
      <w:r>
        <w:t>Bulletin Board Monitoring</w:t>
      </w:r>
      <w:bookmarkEnd w:id="10"/>
    </w:p>
    <w:p w:rsidR="00B35FE2" w:rsidRDefault="00B35FE2" w:rsidP="00C62498">
      <w:pPr>
        <w:spacing w:before="120"/>
      </w:pPr>
      <w:r>
        <w:t xml:space="preserve">The AER has continued to focus on Bulletin Board reporting in 2016. This work took on renewed emphasis during the September quarter, with the impending commencement of the </w:t>
      </w:r>
      <w:r>
        <w:lastRenderedPageBreak/>
        <w:t>new reporting requirements. In advan</w:t>
      </w:r>
      <w:r w:rsidR="007E5D9D">
        <w:t>ce of October 6, the AER approached gas market participants</w:t>
      </w:r>
      <w:r>
        <w:t xml:space="preserve"> to examine the</w:t>
      </w:r>
      <w:r w:rsidR="00416005">
        <w:t>ir</w:t>
      </w:r>
      <w:r>
        <w:t xml:space="preserve"> prepare</w:t>
      </w:r>
      <w:r w:rsidR="007E5D9D">
        <w:t>dness</w:t>
      </w:r>
      <w:r>
        <w:t xml:space="preserve"> </w:t>
      </w:r>
      <w:r w:rsidR="005B6ABF">
        <w:t>to report</w:t>
      </w:r>
      <w:r>
        <w:t xml:space="preserve">. </w:t>
      </w:r>
    </w:p>
    <w:p w:rsidR="00B35FE2" w:rsidRDefault="00B35FE2" w:rsidP="00B35FE2">
      <w:pPr>
        <w:spacing w:before="0"/>
      </w:pPr>
    </w:p>
    <w:p w:rsidR="00C62498" w:rsidRPr="009A499A" w:rsidRDefault="00B35FE2" w:rsidP="00B35FE2">
      <w:pPr>
        <w:spacing w:before="0"/>
      </w:pPr>
      <w:r>
        <w:t>The new reporting requirements follow the</w:t>
      </w:r>
      <w:r w:rsidRPr="00F02E63">
        <w:t xml:space="preserve"> introduction of </w:t>
      </w:r>
      <w:r>
        <w:t xml:space="preserve">a new Bulletin Board demand </w:t>
      </w:r>
      <w:r w:rsidRPr="00B74355">
        <w:t xml:space="preserve">zone at Wallumbilla on 1 June 2016. The introduction of this zone has captured more facilities under the reporting framework, including transmission pipelines that ship gas between Wallumbilla and the </w:t>
      </w:r>
      <w:r w:rsidR="00416005">
        <w:t>liquefied natural gas (</w:t>
      </w:r>
      <w:r w:rsidRPr="00B74355">
        <w:t>LNG</w:t>
      </w:r>
      <w:r w:rsidR="00416005">
        <w:t>)</w:t>
      </w:r>
      <w:r w:rsidRPr="00B74355">
        <w:t xml:space="preserve"> export facilities at Gladstone and Curtis Island (introduced as demand zones on 16 and 26 October 2015 respectively). This has broadened the scope of the AER’s </w:t>
      </w:r>
      <w:r w:rsidR="00937A33">
        <w:t xml:space="preserve">engagement </w:t>
      </w:r>
      <w:r w:rsidR="007E5D9D">
        <w:t>to include the operators of</w:t>
      </w:r>
      <w:r w:rsidRPr="00B74355">
        <w:t xml:space="preserve"> transmission pipelines, storage facilities and production facilities </w:t>
      </w:r>
      <w:r>
        <w:t>associated with the LNG export industry. Facilities that did not formerly report to the Bulletin Board have been</w:t>
      </w:r>
      <w:r w:rsidRPr="00B74355">
        <w:t xml:space="preserve"> captured t</w:t>
      </w:r>
      <w:r>
        <w:t>hrough the introduction of</w:t>
      </w:r>
      <w:r w:rsidRPr="00B74355">
        <w:t xml:space="preserve"> </w:t>
      </w:r>
      <w:r>
        <w:t xml:space="preserve">the </w:t>
      </w:r>
      <w:r w:rsidRPr="00B74355">
        <w:t xml:space="preserve">new </w:t>
      </w:r>
      <w:r>
        <w:t xml:space="preserve">zones and the new reporting requirements </w:t>
      </w:r>
      <w:r w:rsidR="00416005">
        <w:t xml:space="preserve">that took effect </w:t>
      </w:r>
      <w:r>
        <w:t>from October 6.</w:t>
      </w:r>
    </w:p>
    <w:p w:rsidR="00C62498" w:rsidRPr="00C77892" w:rsidRDefault="00C62498" w:rsidP="00C62498">
      <w:pPr>
        <w:pStyle w:val="Heading3"/>
      </w:pPr>
      <w:bookmarkStart w:id="11" w:name="_Toc466452015"/>
      <w:r>
        <w:t>Exemptions</w:t>
      </w:r>
      <w:bookmarkEnd w:id="11"/>
    </w:p>
    <w:p w:rsidR="00B35FE2" w:rsidRPr="00AC2CD1" w:rsidRDefault="00B35FE2" w:rsidP="00C62498">
      <w:pPr>
        <w:spacing w:before="120"/>
        <w:rPr>
          <w:color w:val="FF0000"/>
        </w:rPr>
      </w:pPr>
      <w:r>
        <w:t xml:space="preserve">Market participants may seek exemptions </w:t>
      </w:r>
      <w:r w:rsidR="00416005">
        <w:t>from</w:t>
      </w:r>
      <w:r>
        <w:t xml:space="preserve"> their obligation to report according to exemption criteria outlined in the Gas Rules. AEMO is responsible for granting exemptions and has outlined its exemption application process in the </w:t>
      </w:r>
      <w:r w:rsidRPr="00397A0E">
        <w:rPr>
          <w:i/>
        </w:rPr>
        <w:t>Natural Gas Bulletin Board Procedure</w:t>
      </w:r>
      <w:r>
        <w:rPr>
          <w:i/>
        </w:rPr>
        <w:t>s</w:t>
      </w:r>
      <w:r>
        <w:t>.</w:t>
      </w:r>
    </w:p>
    <w:p w:rsidR="00B35FE2" w:rsidRDefault="00B35FE2" w:rsidP="00B35FE2">
      <w:pPr>
        <w:spacing w:before="0"/>
      </w:pPr>
    </w:p>
    <w:p w:rsidR="00B35FE2" w:rsidRPr="008E6E17" w:rsidRDefault="00B35FE2" w:rsidP="00B35FE2">
      <w:pPr>
        <w:spacing w:before="0"/>
        <w:rPr>
          <w:i/>
        </w:rPr>
      </w:pPr>
      <w:r>
        <w:t xml:space="preserve">The AER does not have a formal role in the exemption application process unless a participant contests an AEMO decision and seeks to progress matters under the dispute resolution processes outlined in the Gas Rules. </w:t>
      </w:r>
      <w:r w:rsidRPr="00645FDE">
        <w:t>Participants sometimes seek the view of the AER on exemption app</w:t>
      </w:r>
      <w:r w:rsidR="00645FDE" w:rsidRPr="00645FDE">
        <w:t>lications, and did so during an</w:t>
      </w:r>
      <w:r w:rsidRPr="00645FDE">
        <w:t xml:space="preserve"> industry consultation process</w:t>
      </w:r>
      <w:r w:rsidR="00645FDE" w:rsidRPr="00645FDE">
        <w:t xml:space="preserve"> that was initiated by the AER in advance of October 6</w:t>
      </w:r>
      <w:r w:rsidRPr="00645FDE">
        <w:t>. In such cases, it is the AER’s role to examine an exemption application in the context of compliance with the Gas Rules.</w:t>
      </w:r>
    </w:p>
    <w:p w:rsidR="00B35FE2" w:rsidRPr="00FF44CA" w:rsidRDefault="00B35FE2" w:rsidP="00B35FE2">
      <w:pPr>
        <w:spacing w:before="0"/>
        <w:rPr>
          <w:u w:val="single"/>
        </w:rPr>
      </w:pPr>
    </w:p>
    <w:p w:rsidR="00B35FE2" w:rsidRDefault="00B35FE2" w:rsidP="00B35FE2">
      <w:pPr>
        <w:spacing w:before="0"/>
      </w:pPr>
      <w:r>
        <w:t xml:space="preserve">Reporting exemptions currently apply to a number of transmission pipelines, storage facilities and production </w:t>
      </w:r>
      <w:r w:rsidRPr="00F94B11">
        <w:t>facilities.</w:t>
      </w:r>
      <w:r>
        <w:t xml:space="preserve"> This is principally the result of the zonal model used for Bulletin Board reporting, which is based on gas flows between production and demand zones. Under this model, exemptions may apply to transmission pipelines that do not transport gas between zones; and to storage facilities and production facilities that are not directly connected to these pipelines. Accordingly, various lateral pipelines and storage and production facilities do not appear on the Bulletin Board.</w:t>
      </w:r>
    </w:p>
    <w:p w:rsidR="00B35FE2" w:rsidRDefault="00B35FE2" w:rsidP="00B35FE2">
      <w:pPr>
        <w:spacing w:before="0"/>
      </w:pPr>
    </w:p>
    <w:p w:rsidR="00B35FE2" w:rsidRPr="009A499A" w:rsidRDefault="00B35FE2" w:rsidP="00B35FE2">
      <w:pPr>
        <w:spacing w:before="0"/>
      </w:pPr>
      <w:r>
        <w:t>Figure 1 depicts the east coast gas grid and the zonal model used for Bulletin Board reporting. Key facilities that are currently exempt from reporting are identified.</w:t>
      </w:r>
    </w:p>
    <w:p w:rsidR="009A499A" w:rsidRDefault="009A499A">
      <w:pPr>
        <w:spacing w:line="240" w:lineRule="auto"/>
      </w:pPr>
      <w:r>
        <w:br w:type="page"/>
      </w:r>
    </w:p>
    <w:p w:rsidR="00AA3006" w:rsidRDefault="00AA3006" w:rsidP="00AA3006">
      <w:pPr>
        <w:pStyle w:val="Caption"/>
        <w:keepNext/>
      </w:pPr>
      <w:bookmarkStart w:id="12" w:name="_Ref466461002"/>
      <w:r>
        <w:lastRenderedPageBreak/>
        <w:t xml:space="preserve">Figure </w:t>
      </w:r>
      <w:fldSimple w:instr=" SEQ Figure \* ARABIC ">
        <w:r w:rsidR="000103CF">
          <w:rPr>
            <w:noProof/>
          </w:rPr>
          <w:t>1</w:t>
        </w:r>
      </w:fldSimple>
      <w:bookmarkEnd w:id="12"/>
      <w:r>
        <w:t xml:space="preserve">: </w:t>
      </w:r>
      <w:r w:rsidRPr="00AA3006">
        <w:t>Natural Gas Services Bulletin Board (October 2016)</w:t>
      </w:r>
    </w:p>
    <w:p w:rsidR="00B35FE2" w:rsidRDefault="00EB6484" w:rsidP="00B35FE2">
      <w:pPr>
        <w:spacing w:before="0"/>
      </w:pPr>
      <w:r>
        <w:rPr>
          <w:noProof/>
          <w:lang w:eastAsia="en-A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9.5pt;height:480pt" o:bordertopcolor="this" o:borderleftcolor="this" o:borderbottomcolor="this" o:borderrightcolor="this">
            <v:imagedata r:id="rId13" o:title="1131_Gas Pipeline Map_FA"/>
            <w10:bordertop type="single" width="8"/>
            <w10:borderleft type="single" width="8"/>
            <w10:borderbottom type="single" width="8"/>
            <w10:borderright type="single" width="8"/>
          </v:shape>
        </w:pict>
      </w:r>
    </w:p>
    <w:p w:rsidR="00C62498" w:rsidRPr="00C77892" w:rsidRDefault="00C62498" w:rsidP="00C62498">
      <w:pPr>
        <w:pStyle w:val="Heading3"/>
      </w:pPr>
      <w:bookmarkStart w:id="13" w:name="_Toc466452016"/>
      <w:r>
        <w:t xml:space="preserve">Compliance with </w:t>
      </w:r>
      <w:r w:rsidR="00937A33">
        <w:t>n</w:t>
      </w:r>
      <w:r>
        <w:t xml:space="preserve">ew </w:t>
      </w:r>
      <w:r w:rsidR="00937A33">
        <w:t>r</w:t>
      </w:r>
      <w:r>
        <w:t>equirements</w:t>
      </w:r>
      <w:bookmarkEnd w:id="13"/>
    </w:p>
    <w:p w:rsidR="00B35FE2" w:rsidRDefault="00297245" w:rsidP="00C62498">
      <w:pPr>
        <w:spacing w:before="120"/>
      </w:pPr>
      <w:r>
        <w:t>Gas market</w:t>
      </w:r>
      <w:r w:rsidR="00B35FE2">
        <w:t xml:space="preserve"> participants were identified as being in varying states of preparedness in advance of October 6. While most participants expected to be fully compliant, some were underprepared and sought </w:t>
      </w:r>
      <w:r w:rsidR="005B6ABF">
        <w:t xml:space="preserve">a </w:t>
      </w:r>
      <w:r w:rsidR="00B35FE2">
        <w:t xml:space="preserve">temporary </w:t>
      </w:r>
      <w:r w:rsidR="005B6ABF">
        <w:t xml:space="preserve">exemption </w:t>
      </w:r>
      <w:r w:rsidR="00B35FE2">
        <w:t xml:space="preserve">or transitional arrangements. This has contributed to inconsistencies across the reporting landscape. In addition to receiving exemptions on the requirement to report, participants have sought to report under interim arrangements </w:t>
      </w:r>
      <w:r w:rsidR="00937A33">
        <w:t xml:space="preserve">or </w:t>
      </w:r>
      <w:r w:rsidR="00B35FE2">
        <w:t>alternative reporting methodologies.</w:t>
      </w:r>
    </w:p>
    <w:p w:rsidR="00B35FE2" w:rsidRDefault="00B35FE2" w:rsidP="00A63D38">
      <w:pPr>
        <w:spacing w:before="240"/>
      </w:pPr>
      <w:r>
        <w:t>Several gas market participants were identified</w:t>
      </w:r>
      <w:r w:rsidR="005B6ABF">
        <w:t xml:space="preserve"> by the AER</w:t>
      </w:r>
      <w:r>
        <w:t xml:space="preserve"> as not ready to report </w:t>
      </w:r>
      <w:r w:rsidR="00937A33">
        <w:t>from the commencement date</w:t>
      </w:r>
      <w:r>
        <w:t>. While some participants declared difficulty in implementing reporting systems by the due date, others sought alternative reporting arrangements due to specific circumstances.</w:t>
      </w:r>
    </w:p>
    <w:p w:rsidR="00B35FE2" w:rsidRPr="00035582" w:rsidRDefault="00B35FE2" w:rsidP="00B35FE2">
      <w:pPr>
        <w:spacing w:before="0"/>
        <w:rPr>
          <w:b/>
        </w:rPr>
      </w:pPr>
    </w:p>
    <w:p w:rsidR="00B35FE2" w:rsidRPr="00C62498" w:rsidRDefault="00691074" w:rsidP="009C52B9">
      <w:pPr>
        <w:spacing w:before="0"/>
        <w:rPr>
          <w:b/>
        </w:rPr>
      </w:pPr>
      <w:r>
        <w:rPr>
          <w:b/>
        </w:rPr>
        <w:t xml:space="preserve">Issues </w:t>
      </w:r>
      <w:r w:rsidR="00937A33">
        <w:rPr>
          <w:b/>
        </w:rPr>
        <w:t>s</w:t>
      </w:r>
      <w:r w:rsidRPr="00AA49A1">
        <w:rPr>
          <w:b/>
        </w:rPr>
        <w:t xml:space="preserve">pecific to Victorian </w:t>
      </w:r>
      <w:r w:rsidR="00937A33">
        <w:rPr>
          <w:b/>
        </w:rPr>
        <w:t>r</w:t>
      </w:r>
      <w:r w:rsidRPr="00AA49A1">
        <w:rPr>
          <w:b/>
        </w:rPr>
        <w:t>eporting</w:t>
      </w:r>
      <w:r>
        <w:rPr>
          <w:b/>
        </w:rPr>
        <w:t xml:space="preserve"> </w:t>
      </w:r>
    </w:p>
    <w:p w:rsidR="001C3E7D" w:rsidRDefault="00B35FE2" w:rsidP="009C52B9">
      <w:pPr>
        <w:spacing w:before="0"/>
      </w:pPr>
      <w:r>
        <w:t>Under Victorian arrangements, APA’s Dandenong LNG storage facility</w:t>
      </w:r>
      <w:r w:rsidR="00691074">
        <w:t xml:space="preserve"> receives</w:t>
      </w:r>
      <w:r>
        <w:t xml:space="preserve"> </w:t>
      </w:r>
      <w:r w:rsidR="00691074">
        <w:t xml:space="preserve">scheduling </w:t>
      </w:r>
      <w:r>
        <w:t>data by fax</w:t>
      </w:r>
      <w:r w:rsidR="00691074">
        <w:t xml:space="preserve"> from AEMO</w:t>
      </w:r>
      <w:r>
        <w:t xml:space="preserve">. </w:t>
      </w:r>
      <w:r w:rsidR="00691074">
        <w:t xml:space="preserve"> APA</w:t>
      </w:r>
      <w:r w:rsidR="006F5BA6">
        <w:t xml:space="preserve"> </w:t>
      </w:r>
      <w:r>
        <w:t xml:space="preserve">must </w:t>
      </w:r>
      <w:r w:rsidR="00691074">
        <w:t xml:space="preserve">then </w:t>
      </w:r>
      <w:r>
        <w:t xml:space="preserve">manually upload this data </w:t>
      </w:r>
      <w:r w:rsidR="00691074">
        <w:t>in</w:t>
      </w:r>
      <w:r>
        <w:t>to its systems and to the Bulletin Board.  No compliance issues were identified in relation to Dandenong LNG storage but APA has indicated that the arrangement could become onerous with more ad hoc reporting. Given the introduction of more detailed reporting requirements (including intra-day reporting of nomination changes) the AER will continue to monitor this arrangement for data accuracy</w:t>
      </w:r>
      <w:r w:rsidR="00691074">
        <w:t xml:space="preserve">. The AER is working with AEMO and APA to identify whether AEMO has </w:t>
      </w:r>
      <w:r w:rsidR="006B7C59">
        <w:t xml:space="preserve">information </w:t>
      </w:r>
      <w:r w:rsidR="00313C43">
        <w:t xml:space="preserve">that could be </w:t>
      </w:r>
      <w:r w:rsidR="006B7C59">
        <w:t xml:space="preserve">available </w:t>
      </w:r>
      <w:r w:rsidR="00313C43">
        <w:t xml:space="preserve">to APA </w:t>
      </w:r>
      <w:r w:rsidR="00691074">
        <w:t>to facilitate automation of APA’s reporting</w:t>
      </w:r>
      <w:r w:rsidR="0008239B">
        <w:t>.</w:t>
      </w:r>
      <w:r w:rsidR="005A30C3">
        <w:rPr>
          <w:rStyle w:val="FootnoteReference"/>
        </w:rPr>
        <w:footnoteReference w:id="4"/>
      </w:r>
    </w:p>
    <w:p w:rsidR="00B35FE2" w:rsidRDefault="00B35FE2" w:rsidP="00B35FE2">
      <w:pPr>
        <w:spacing w:before="0"/>
      </w:pPr>
    </w:p>
    <w:p w:rsidR="00B35FE2" w:rsidRPr="00C62498" w:rsidRDefault="00B35FE2" w:rsidP="009C52B9">
      <w:pPr>
        <w:spacing w:before="0"/>
        <w:rPr>
          <w:b/>
        </w:rPr>
      </w:pPr>
      <w:r w:rsidRPr="00C62498">
        <w:rPr>
          <w:b/>
        </w:rPr>
        <w:t>APLNG</w:t>
      </w:r>
    </w:p>
    <w:p w:rsidR="00B35FE2" w:rsidRDefault="00B35FE2" w:rsidP="00B35FE2">
      <w:pPr>
        <w:spacing w:before="0"/>
      </w:pPr>
      <w:r>
        <w:t xml:space="preserve">APLNG cited some difficulty implementing automated reporting by October 6. It will report manually for a short period while it puts automated systems in place. APLNG expects to be fully compliant with the new rules during this interim period. </w:t>
      </w:r>
    </w:p>
    <w:p w:rsidR="00B35FE2" w:rsidRDefault="00B35FE2" w:rsidP="00B35FE2">
      <w:pPr>
        <w:spacing w:before="0"/>
      </w:pPr>
    </w:p>
    <w:p w:rsidR="00B35FE2" w:rsidRPr="00C62498" w:rsidRDefault="00B35FE2" w:rsidP="009C52B9">
      <w:pPr>
        <w:spacing w:before="0"/>
        <w:rPr>
          <w:b/>
        </w:rPr>
      </w:pPr>
      <w:r w:rsidRPr="00C62498">
        <w:rPr>
          <w:b/>
        </w:rPr>
        <w:t>Lochard Energy</w:t>
      </w:r>
    </w:p>
    <w:p w:rsidR="00B35FE2" w:rsidRPr="00C62692" w:rsidRDefault="00B35FE2" w:rsidP="00B35FE2">
      <w:pPr>
        <w:spacing w:before="0"/>
      </w:pPr>
      <w:r>
        <w:t>Lochard Energy operates the Iona Underground Gas Storage facility at Port Campbell in Victoria. The Iona facility is part of the Port Campbell production zone and is directly connected to Bulletin Board pipelines. From October 6, such facilities are required to report (daily) their aggregated injections and withdrawals for that gas day</w:t>
      </w:r>
      <w:r w:rsidR="002C6696">
        <w:t>,</w:t>
      </w:r>
      <w:r w:rsidR="00691074">
        <w:t xml:space="preserve"> along with</w:t>
      </w:r>
      <w:r>
        <w:t xml:space="preserve"> 7 day forecasts of their injections and withdrawals</w:t>
      </w:r>
      <w:r w:rsidR="002C6696">
        <w:t>,</w:t>
      </w:r>
      <w:r>
        <w:t xml:space="preserve"> and timely updates on changes to this </w:t>
      </w:r>
      <w:r w:rsidRPr="00C62692">
        <w:t>information (Rule 169C).</w:t>
      </w:r>
    </w:p>
    <w:p w:rsidR="00B35FE2" w:rsidRPr="00C62692" w:rsidRDefault="00B35FE2" w:rsidP="00B35FE2">
      <w:pPr>
        <w:spacing w:before="0"/>
      </w:pPr>
    </w:p>
    <w:p w:rsidR="00B35FE2" w:rsidRPr="00C62692" w:rsidRDefault="00B35FE2" w:rsidP="00B35FE2">
      <w:pPr>
        <w:spacing w:before="0"/>
      </w:pPr>
      <w:r w:rsidRPr="00C62692">
        <w:t xml:space="preserve">Lochard </w:t>
      </w:r>
      <w:r w:rsidR="00691074" w:rsidRPr="00C62692">
        <w:t xml:space="preserve">is </w:t>
      </w:r>
      <w:r w:rsidR="00EE10A9">
        <w:t>currently</w:t>
      </w:r>
      <w:r w:rsidR="00691074" w:rsidRPr="00C62692">
        <w:t xml:space="preserve"> transition</w:t>
      </w:r>
      <w:r w:rsidR="00EE10A9">
        <w:t>ing</w:t>
      </w:r>
      <w:r w:rsidR="00691074" w:rsidRPr="00C62692">
        <w:t xml:space="preserve"> </w:t>
      </w:r>
      <w:r w:rsidR="00EE10A9">
        <w:t xml:space="preserve">away </w:t>
      </w:r>
      <w:r w:rsidR="00691074" w:rsidRPr="00C62692">
        <w:t>from</w:t>
      </w:r>
      <w:r w:rsidRPr="00C62692">
        <w:t xml:space="preserve"> manual systems </w:t>
      </w:r>
      <w:r w:rsidR="00691074" w:rsidRPr="00C62692">
        <w:t>for</w:t>
      </w:r>
      <w:r w:rsidR="006F5BA6" w:rsidRPr="00C62692">
        <w:t xml:space="preserve"> reporting</w:t>
      </w:r>
      <w:r w:rsidRPr="00C62692">
        <w:t xml:space="preserve"> the Iona storage facility</w:t>
      </w:r>
      <w:r w:rsidR="00A63D38" w:rsidRPr="00C62692">
        <w:t>,</w:t>
      </w:r>
      <w:r w:rsidRPr="00C62692">
        <w:t xml:space="preserve"> and cannot </w:t>
      </w:r>
      <w:r w:rsidR="00691074" w:rsidRPr="00C62692">
        <w:t>gu</w:t>
      </w:r>
      <w:r w:rsidR="006F5BA6" w:rsidRPr="00C62692">
        <w:t>a</w:t>
      </w:r>
      <w:r w:rsidR="00691074" w:rsidRPr="00C62692">
        <w:t xml:space="preserve">rantee </w:t>
      </w:r>
      <w:r w:rsidRPr="00C62692">
        <w:t>fully meet</w:t>
      </w:r>
      <w:r w:rsidR="00691074" w:rsidRPr="00C62692">
        <w:t>ing</w:t>
      </w:r>
      <w:r w:rsidRPr="00C62692">
        <w:t xml:space="preserve"> the requirements of</w:t>
      </w:r>
      <w:r w:rsidR="00B30C29">
        <w:t xml:space="preserve"> Rule</w:t>
      </w:r>
      <w:r w:rsidRPr="00C62692">
        <w:t xml:space="preserve"> 169C until its </w:t>
      </w:r>
      <w:r w:rsidR="006F5BA6" w:rsidRPr="00C62692">
        <w:t xml:space="preserve">reporting </w:t>
      </w:r>
      <w:r w:rsidRPr="00C62692">
        <w:t xml:space="preserve">systems are automated. </w:t>
      </w:r>
      <w:r w:rsidR="002A0F5C" w:rsidRPr="00C62692">
        <w:t>A</w:t>
      </w:r>
      <w:r w:rsidRPr="00C62692">
        <w:t>ccording to Lochard,</w:t>
      </w:r>
      <w:r w:rsidR="00691074" w:rsidRPr="00C62692">
        <w:t xml:space="preserve"> </w:t>
      </w:r>
      <w:r w:rsidR="002A0F5C" w:rsidRPr="00C62692">
        <w:t xml:space="preserve">this is principally </w:t>
      </w:r>
      <w:r w:rsidR="00691074" w:rsidRPr="00C62692">
        <w:t>because</w:t>
      </w:r>
      <w:r w:rsidRPr="00C62692">
        <w:t xml:space="preserve"> it </w:t>
      </w:r>
      <w:r w:rsidR="00691074" w:rsidRPr="00C62692">
        <w:t xml:space="preserve">is </w:t>
      </w:r>
      <w:r w:rsidRPr="00C62692">
        <w:t>difficult</w:t>
      </w:r>
      <w:r w:rsidR="00691074" w:rsidRPr="00C62692">
        <w:t xml:space="preserve"> </w:t>
      </w:r>
      <w:r w:rsidRPr="00C62692">
        <w:t>to provide timely updates</w:t>
      </w:r>
      <w:r w:rsidR="002A0F5C" w:rsidRPr="00C62692">
        <w:t xml:space="preserve"> </w:t>
      </w:r>
      <w:r w:rsidRPr="00C62692">
        <w:t>on all gas days, over a 24 hour period</w:t>
      </w:r>
      <w:r w:rsidR="001C3E7D">
        <w:t>,</w:t>
      </w:r>
      <w:r w:rsidR="002A0F5C" w:rsidRPr="00C62692">
        <w:t xml:space="preserve"> using manual systems</w:t>
      </w:r>
      <w:r w:rsidRPr="00C62692">
        <w:t>.</w:t>
      </w:r>
    </w:p>
    <w:p w:rsidR="00B35FE2" w:rsidRPr="00C62692" w:rsidRDefault="00B35FE2" w:rsidP="00B35FE2">
      <w:pPr>
        <w:spacing w:before="0"/>
      </w:pPr>
    </w:p>
    <w:p w:rsidR="00B35FE2" w:rsidRPr="00C62692" w:rsidRDefault="00B35FE2" w:rsidP="00B35FE2">
      <w:pPr>
        <w:spacing w:before="0"/>
      </w:pPr>
      <w:r w:rsidRPr="00C62692">
        <w:t>The AER has accepted</w:t>
      </w:r>
      <w:r w:rsidR="00691074" w:rsidRPr="00C62692">
        <w:t xml:space="preserve"> </w:t>
      </w:r>
      <w:r w:rsidRPr="00C62692">
        <w:t>interim arrangements</w:t>
      </w:r>
      <w:r w:rsidR="00A63D38" w:rsidRPr="00C62692">
        <w:t xml:space="preserve"> for the Iona storage facility</w:t>
      </w:r>
      <w:r w:rsidRPr="00C62692">
        <w:t xml:space="preserve"> (i.e. additional reporting directe</w:t>
      </w:r>
      <w:r w:rsidR="00297245" w:rsidRPr="00C62692">
        <w:t>d at partial compliance with</w:t>
      </w:r>
      <w:r w:rsidRPr="00C62692">
        <w:t xml:space="preserve"> Rule 169C)</w:t>
      </w:r>
      <w:r w:rsidR="006F5BA6" w:rsidRPr="00C62692">
        <w:t xml:space="preserve"> until Lochard’s systems are automated</w:t>
      </w:r>
      <w:r w:rsidRPr="00C62692">
        <w:t xml:space="preserve">. The AER will monitor Lochard’s progress toward full compliance </w:t>
      </w:r>
      <w:r w:rsidR="006F5BA6" w:rsidRPr="00C62692">
        <w:t xml:space="preserve">through receipt of progress reports from Lochard </w:t>
      </w:r>
      <w:r w:rsidRPr="00C62692">
        <w:t>in collaboration with</w:t>
      </w:r>
      <w:r w:rsidR="00691074" w:rsidRPr="00C62692">
        <w:t xml:space="preserve"> AEMO</w:t>
      </w:r>
      <w:r w:rsidRPr="00C62692">
        <w:t>.</w:t>
      </w:r>
    </w:p>
    <w:p w:rsidR="00B35FE2" w:rsidRDefault="00B35FE2" w:rsidP="00B35FE2">
      <w:pPr>
        <w:spacing w:before="0"/>
      </w:pPr>
    </w:p>
    <w:p w:rsidR="00B35FE2" w:rsidRPr="00C62498" w:rsidRDefault="00B35FE2" w:rsidP="009C52B9">
      <w:pPr>
        <w:spacing w:before="0"/>
        <w:rPr>
          <w:b/>
        </w:rPr>
      </w:pPr>
      <w:r w:rsidRPr="00C62498">
        <w:rPr>
          <w:b/>
        </w:rPr>
        <w:t>Santos GLNG</w:t>
      </w:r>
    </w:p>
    <w:p w:rsidR="00B35FE2" w:rsidRDefault="00B35FE2" w:rsidP="00B35FE2">
      <w:pPr>
        <w:spacing w:before="0"/>
      </w:pPr>
      <w:r>
        <w:t>Santos GLNG produces gas within the Roma production zone and operates the Comet Ridge to Wallumbilla Pipeline (CRWP) and the</w:t>
      </w:r>
      <w:r w:rsidRPr="008A3CDD">
        <w:t xml:space="preserve"> </w:t>
      </w:r>
      <w:r>
        <w:t>GLNG Gas Transmission Pipeline (GTP). The CRWP and GTP are both Bulletin Board pipelines and connect to create a major transmission flow-path through the Roma production zone. From Roma, the CRWP runs south to the Wallumbilla gas supply hub and the GTP runs north to Santos GLNG’s export facilities at Curtis Island. This represents a transmission flow-path between three Bulletin Board zones.</w:t>
      </w:r>
    </w:p>
    <w:p w:rsidR="00B35FE2" w:rsidRDefault="00B35FE2" w:rsidP="00B35FE2">
      <w:pPr>
        <w:spacing w:before="0"/>
      </w:pPr>
    </w:p>
    <w:p w:rsidR="00B35FE2" w:rsidRPr="0046758B" w:rsidRDefault="00EE10A9" w:rsidP="00B35FE2">
      <w:pPr>
        <w:spacing w:before="0"/>
      </w:pPr>
      <w:r>
        <w:lastRenderedPageBreak/>
        <w:t>T</w:t>
      </w:r>
      <w:r w:rsidR="00B35FE2" w:rsidRPr="0046758B">
        <w:t xml:space="preserve">he new obligations require reporting of receipt and delivery point data for the Roma production zone. </w:t>
      </w:r>
      <w:r w:rsidR="00840C83">
        <w:t>However, t</w:t>
      </w:r>
      <w:r w:rsidR="00B35FE2" w:rsidRPr="0046758B">
        <w:t>he metering of this data</w:t>
      </w:r>
      <w:r w:rsidR="00840C83">
        <w:t xml:space="preserve"> </w:t>
      </w:r>
      <w:r w:rsidR="00B35FE2" w:rsidRPr="0046758B">
        <w:t xml:space="preserve">is problematic due to Roma’s involved network of lateral pipelines. The network integrates the CRWP and GTP with Santos GLNG’s production and storage facilities within the Roma zone. </w:t>
      </w:r>
      <w:r w:rsidR="005A30C3">
        <w:t>This network configuration</w:t>
      </w:r>
      <w:r w:rsidR="00B35FE2" w:rsidRPr="0046758B">
        <w:t xml:space="preserve"> complicates </w:t>
      </w:r>
      <w:r w:rsidR="00B35FE2">
        <w:t>the</w:t>
      </w:r>
      <w:r w:rsidR="00B35FE2" w:rsidRPr="0046758B">
        <w:t xml:space="preserve"> ability to report receipt </w:t>
      </w:r>
      <w:r w:rsidR="00B35FE2">
        <w:t>and delivery point data</w:t>
      </w:r>
      <w:r w:rsidR="005A30C3">
        <w:t xml:space="preserve"> for the CRWP and GTP</w:t>
      </w:r>
      <w:r w:rsidR="00B35FE2">
        <w:t xml:space="preserve"> </w:t>
      </w:r>
      <w:r w:rsidR="00B35FE2" w:rsidRPr="0046758B">
        <w:t>such that gas flows</w:t>
      </w:r>
      <w:r w:rsidR="00840C83">
        <w:t>,</w:t>
      </w:r>
      <w:r w:rsidR="00B35FE2">
        <w:t xml:space="preserve"> between </w:t>
      </w:r>
      <w:r w:rsidR="00840C83">
        <w:t xml:space="preserve">the respective </w:t>
      </w:r>
      <w:r w:rsidR="00B35FE2">
        <w:t>zones</w:t>
      </w:r>
      <w:r w:rsidR="00840C83">
        <w:t>,</w:t>
      </w:r>
      <w:r w:rsidR="00B35FE2">
        <w:t xml:space="preserve"> </w:t>
      </w:r>
      <w:r w:rsidR="005A30C3">
        <w:t>are</w:t>
      </w:r>
      <w:r w:rsidR="00B35FE2">
        <w:t xml:space="preserve"> accurately </w:t>
      </w:r>
      <w:r w:rsidR="005A30C3">
        <w:t>measured</w:t>
      </w:r>
      <w:r w:rsidR="00B35FE2" w:rsidRPr="0046758B">
        <w:t>.</w:t>
      </w:r>
    </w:p>
    <w:p w:rsidR="00B35FE2" w:rsidRDefault="00B35FE2" w:rsidP="00B35FE2">
      <w:pPr>
        <w:spacing w:before="0"/>
      </w:pPr>
    </w:p>
    <w:p w:rsidR="00B35FE2" w:rsidRDefault="00B35FE2" w:rsidP="00B35FE2">
      <w:pPr>
        <w:spacing w:before="0"/>
      </w:pPr>
      <w:r>
        <w:t>Given the</w:t>
      </w:r>
      <w:r w:rsidR="005A30C3">
        <w:t xml:space="preserve"> idiosyncrasies</w:t>
      </w:r>
      <w:r>
        <w:t xml:space="preserve"> associated with the Roma production zone, Santos GLNG proposed </w:t>
      </w:r>
      <w:r w:rsidR="004E525F">
        <w:t xml:space="preserve">an </w:t>
      </w:r>
      <w:r>
        <w:t>alternative reporting arrangement. This includes data reporting not required by the Gas Rules. This approach is intended to enable AEMO to build a mass balance of gas flows to and from the Roma production zone.</w:t>
      </w:r>
    </w:p>
    <w:p w:rsidR="00B35FE2" w:rsidRDefault="00B35FE2" w:rsidP="00B35FE2">
      <w:pPr>
        <w:spacing w:before="0"/>
      </w:pPr>
    </w:p>
    <w:p w:rsidR="00B35FE2" w:rsidRDefault="00B35FE2" w:rsidP="00B35FE2">
      <w:pPr>
        <w:spacing w:before="0"/>
      </w:pPr>
      <w:r>
        <w:t>Santos GLNG discussed its proposed data reporting arrangement in detail with AEMO and the AER in advance of October 6. AEMO and the AER accepted the arrangement, with the understanding that it is does not strictly comply with the Gas Rules. The AER will monitor Santos GLNG’s reporting and confer with AEMO to verify the accuracy of data over time.</w:t>
      </w:r>
      <w:r w:rsidR="00380765">
        <w:t xml:space="preserve"> </w:t>
      </w:r>
      <w:r w:rsidR="00380765" w:rsidRPr="00380765">
        <w:t>The AER will also consider Santos GLNG’s circumstances in response to industry feedback.</w:t>
      </w:r>
    </w:p>
    <w:p w:rsidR="00C62498" w:rsidRPr="00C77892" w:rsidRDefault="00BC6D12" w:rsidP="00C62498">
      <w:pPr>
        <w:pStyle w:val="Heading3"/>
      </w:pPr>
      <w:bookmarkStart w:id="14" w:name="_Toc466452017"/>
      <w:r>
        <w:t>Observations and Future Reporting</w:t>
      </w:r>
      <w:bookmarkEnd w:id="14"/>
    </w:p>
    <w:p w:rsidR="006F5BA6" w:rsidRDefault="0018455F" w:rsidP="0018455F">
      <w:pPr>
        <w:spacing w:before="120"/>
      </w:pPr>
      <w:r>
        <w:t>The AER has monitored the initial reporting of Bulletin Board participants</w:t>
      </w:r>
      <w:r w:rsidR="00B35FE2" w:rsidRPr="003512CE">
        <w:t xml:space="preserve"> (during the two weeks that followed c</w:t>
      </w:r>
      <w:r>
        <w:t>ommencement of the new requirements) and considers that the additional data</w:t>
      </w:r>
      <w:r w:rsidR="00902B01">
        <w:t xml:space="preserve"> </w:t>
      </w:r>
      <w:r w:rsidR="00B35FE2" w:rsidRPr="003512CE">
        <w:t>has enhanced the scope and utility of information provided to the market.</w:t>
      </w:r>
      <w:r w:rsidR="00A95847">
        <w:t xml:space="preserve"> </w:t>
      </w:r>
      <w:r w:rsidR="005F1AB2">
        <w:t xml:space="preserve">AEMO has indicated that </w:t>
      </w:r>
      <w:r w:rsidR="005F1AB2" w:rsidRPr="0060780C">
        <w:t>d</w:t>
      </w:r>
      <w:r w:rsidR="0034283C" w:rsidRPr="0060780C">
        <w:t>ata</w:t>
      </w:r>
      <w:r w:rsidR="00A95847" w:rsidRPr="0060780C">
        <w:t xml:space="preserve"> submission errors have occurred</w:t>
      </w:r>
      <w:r w:rsidR="00266E40" w:rsidRPr="0060780C">
        <w:t>,</w:t>
      </w:r>
      <w:r w:rsidR="005F1AB2" w:rsidRPr="0060780C">
        <w:t xml:space="preserve"> but are expected</w:t>
      </w:r>
      <w:r w:rsidR="00266E40" w:rsidRPr="0060780C">
        <w:t>,</w:t>
      </w:r>
      <w:r w:rsidR="005F1AB2" w:rsidRPr="0060780C">
        <w:t xml:space="preserve"> as participants adjust to the new requirements.</w:t>
      </w:r>
      <w:r w:rsidRPr="0060780C">
        <w:t xml:space="preserve"> </w:t>
      </w:r>
      <w:r w:rsidR="00EE10A9">
        <w:t>W</w:t>
      </w:r>
      <w:r w:rsidR="006F5BA6" w:rsidRPr="0060780C">
        <w:t xml:space="preserve">here errors have occurred they </w:t>
      </w:r>
      <w:r w:rsidR="00EE10A9">
        <w:t xml:space="preserve">appear to </w:t>
      </w:r>
      <w:r w:rsidR="006F5BA6" w:rsidRPr="0060780C">
        <w:t>have been</w:t>
      </w:r>
      <w:r w:rsidR="001541FC">
        <w:t xml:space="preserve"> promptly</w:t>
      </w:r>
      <w:r w:rsidR="006F5BA6" w:rsidRPr="0060780C">
        <w:t xml:space="preserve"> rectified</w:t>
      </w:r>
      <w:r w:rsidR="00C62692">
        <w:t>.</w:t>
      </w:r>
      <w:r w:rsidR="006F5BA6" w:rsidRPr="0060780C">
        <w:t xml:space="preserve"> </w:t>
      </w:r>
    </w:p>
    <w:p w:rsidR="001541FC" w:rsidRDefault="001541FC" w:rsidP="001541FC">
      <w:pPr>
        <w:spacing w:before="0"/>
      </w:pPr>
    </w:p>
    <w:p w:rsidR="00B35FE2" w:rsidRPr="003512CE" w:rsidRDefault="006F5BA6" w:rsidP="001541FC">
      <w:pPr>
        <w:spacing w:before="0"/>
      </w:pPr>
      <w:r>
        <w:t xml:space="preserve">The AER </w:t>
      </w:r>
      <w:r w:rsidR="0034283C">
        <w:t xml:space="preserve">will continue to monitor participant reporting, </w:t>
      </w:r>
      <w:r w:rsidR="00B35FE2" w:rsidRPr="003512CE">
        <w:t>for compliance and accuracy</w:t>
      </w:r>
      <w:r w:rsidR="0034283C">
        <w:t xml:space="preserve">, </w:t>
      </w:r>
      <w:r w:rsidR="0018455F">
        <w:t>in forthcoming</w:t>
      </w:r>
      <w:r w:rsidR="00A95847">
        <w:t xml:space="preserve"> </w:t>
      </w:r>
      <w:r w:rsidR="0018455F">
        <w:t>months</w:t>
      </w:r>
      <w:r w:rsidR="00A95847">
        <w:t>.</w:t>
      </w:r>
    </w:p>
    <w:p w:rsidR="00B35FE2" w:rsidRPr="005405C2" w:rsidRDefault="00B35FE2" w:rsidP="00902B01">
      <w:pPr>
        <w:spacing w:before="0"/>
        <w:rPr>
          <w:color w:val="FF0000"/>
        </w:rPr>
      </w:pPr>
    </w:p>
    <w:p w:rsidR="00902B01" w:rsidRPr="00C8040D" w:rsidRDefault="006F5BA6" w:rsidP="00902B01">
      <w:pPr>
        <w:spacing w:before="0"/>
      </w:pPr>
      <w:r>
        <w:t xml:space="preserve">Although </w:t>
      </w:r>
      <w:r w:rsidR="00266E40">
        <w:t>new Bulletin Board data has</w:t>
      </w:r>
      <w:r w:rsidR="00F2561B">
        <w:t xml:space="preserve"> improved </w:t>
      </w:r>
      <w:r w:rsidR="00266E40">
        <w:t xml:space="preserve">the </w:t>
      </w:r>
      <w:r w:rsidR="00F2561B">
        <w:t>transparency</w:t>
      </w:r>
      <w:r w:rsidR="00266E40">
        <w:t xml:space="preserve"> of the east coast wholesale gas market</w:t>
      </w:r>
      <w:r w:rsidR="00297245">
        <w:t>,</w:t>
      </w:r>
      <w:r w:rsidR="00C8040D">
        <w:t xml:space="preserve"> t</w:t>
      </w:r>
      <w:r w:rsidR="00C8040D" w:rsidRPr="00C8040D">
        <w:rPr>
          <w:rFonts w:cs="Arial"/>
        </w:rPr>
        <w:t>he reporting arr</w:t>
      </w:r>
      <w:r w:rsidR="00C8040D">
        <w:rPr>
          <w:rFonts w:cs="Arial"/>
        </w:rPr>
        <w:t>angements</w:t>
      </w:r>
      <w:r w:rsidR="00C8040D" w:rsidRPr="00C8040D">
        <w:rPr>
          <w:rFonts w:cs="Arial"/>
        </w:rPr>
        <w:t xml:space="preserve"> </w:t>
      </w:r>
      <w:r>
        <w:rPr>
          <w:rFonts w:cs="Arial"/>
        </w:rPr>
        <w:t xml:space="preserve">continue to </w:t>
      </w:r>
      <w:r w:rsidR="00C8040D" w:rsidRPr="00C8040D">
        <w:rPr>
          <w:rFonts w:cs="Arial"/>
        </w:rPr>
        <w:t>incorporate various exemptions, as well as interim reporting arrangements and alternative reporting methodologies.</w:t>
      </w:r>
      <w:r w:rsidR="00C8040D">
        <w:t xml:space="preserve"> </w:t>
      </w:r>
      <w:r w:rsidR="00F2561B">
        <w:t>Th</w:t>
      </w:r>
      <w:r w:rsidR="00C8040D">
        <w:t xml:space="preserve">is creates information gaps that </w:t>
      </w:r>
      <w:r w:rsidR="00F2561B">
        <w:t>t</w:t>
      </w:r>
      <w:r w:rsidR="00C8040D">
        <w:t>he AER will consider</w:t>
      </w:r>
      <w:r w:rsidR="00F2561B">
        <w:t xml:space="preserve"> as part of</w:t>
      </w:r>
      <w:r w:rsidR="00266E40">
        <w:t xml:space="preserve"> its</w:t>
      </w:r>
      <w:r w:rsidR="00F2561B">
        <w:t xml:space="preserve"> feedback to future Bulletin Board </w:t>
      </w:r>
      <w:r w:rsidR="00F2561B" w:rsidRPr="00C8040D">
        <w:rPr>
          <w:rFonts w:cs="Arial"/>
        </w:rPr>
        <w:t>reform</w:t>
      </w:r>
      <w:r w:rsidR="00266E40" w:rsidRPr="00C8040D">
        <w:rPr>
          <w:rFonts w:cs="Arial"/>
        </w:rPr>
        <w:t xml:space="preserve"> processes.</w:t>
      </w:r>
    </w:p>
    <w:p w:rsidR="00C8040D" w:rsidRPr="00BC6D12" w:rsidRDefault="00C8040D" w:rsidP="00B35FE2">
      <w:pPr>
        <w:pStyle w:val="NormalWeb"/>
        <w:spacing w:before="0" w:beforeAutospacing="0" w:after="0" w:afterAutospacing="0"/>
        <w:rPr>
          <w:rFonts w:asciiTheme="minorHAnsi" w:hAnsiTheme="minorHAnsi" w:cstheme="minorHAnsi"/>
          <w:sz w:val="22"/>
          <w:szCs w:val="22"/>
        </w:rPr>
      </w:pPr>
    </w:p>
    <w:p w:rsidR="00B51F1E" w:rsidRDefault="00B51F1E" w:rsidP="00B51F1E">
      <w:pPr>
        <w:spacing w:before="0"/>
      </w:pPr>
      <w:r>
        <w:t xml:space="preserve">Facilities that could lose their current exemption status under the AEMC’s </w:t>
      </w:r>
      <w:r w:rsidR="000C0A7E">
        <w:t xml:space="preserve">stage 2 </w:t>
      </w:r>
      <w:r>
        <w:t xml:space="preserve">recommendations </w:t>
      </w:r>
      <w:r w:rsidR="006F5BA6">
        <w:t xml:space="preserve">from its </w:t>
      </w:r>
      <w:r w:rsidR="006F5BA6" w:rsidRPr="00C62692">
        <w:t xml:space="preserve">2016 </w:t>
      </w:r>
      <w:r w:rsidR="00C62692" w:rsidRPr="00C62692">
        <w:t>g</w:t>
      </w:r>
      <w:r w:rsidR="006F5BA6" w:rsidRPr="00C62692">
        <w:t xml:space="preserve">as </w:t>
      </w:r>
      <w:r w:rsidR="00C62692" w:rsidRPr="00C62692">
        <w:t>m</w:t>
      </w:r>
      <w:r w:rsidR="006F5BA6" w:rsidRPr="00C62692">
        <w:t xml:space="preserve">arket </w:t>
      </w:r>
      <w:r w:rsidR="00C62692" w:rsidRPr="00C62692">
        <w:t>r</w:t>
      </w:r>
      <w:r w:rsidR="006F5BA6" w:rsidRPr="00C62692">
        <w:t xml:space="preserve">eview </w:t>
      </w:r>
      <w:r w:rsidR="00C62692" w:rsidRPr="00C62692">
        <w:t>r</w:t>
      </w:r>
      <w:r w:rsidR="006F5BA6" w:rsidRPr="00C62692">
        <w:t>eport</w:t>
      </w:r>
      <w:r w:rsidR="006F5BA6" w:rsidRPr="00C62692">
        <w:rPr>
          <w:rStyle w:val="FootnoteReference"/>
        </w:rPr>
        <w:footnoteReference w:id="5"/>
      </w:r>
      <w:r w:rsidR="006F5BA6" w:rsidRPr="00C62692">
        <w:t xml:space="preserve"> </w:t>
      </w:r>
      <w:r w:rsidRPr="00C62692">
        <w:t>include</w:t>
      </w:r>
      <w:r>
        <w:t xml:space="preserve"> </w:t>
      </w:r>
      <w:r w:rsidR="006F5BA6">
        <w:t xml:space="preserve">smaller volume </w:t>
      </w:r>
      <w:r>
        <w:t xml:space="preserve">lateral pipelines and </w:t>
      </w:r>
      <w:r w:rsidR="006F5BA6">
        <w:t xml:space="preserve">currently exempt </w:t>
      </w:r>
      <w:r>
        <w:t xml:space="preserve">storage facilities </w:t>
      </w:r>
      <w:r w:rsidR="001541FC">
        <w:t>(</w:t>
      </w:r>
      <w:r w:rsidR="006F5BA6">
        <w:t>as shown in Figure 1</w:t>
      </w:r>
      <w:r w:rsidR="001541FC">
        <w:t>)</w:t>
      </w:r>
      <w:r>
        <w:t>. These facilities may be required to report detailed activity data from October 2018. Accordingly, gas market participants may be required to transition from any current arrangement within 18 months.</w:t>
      </w:r>
    </w:p>
    <w:p w:rsidR="00B51F1E" w:rsidRDefault="00B51F1E" w:rsidP="00CE11FA">
      <w:pPr>
        <w:pStyle w:val="NormalWeb"/>
        <w:spacing w:before="0" w:beforeAutospacing="0" w:after="0" w:afterAutospacing="0" w:line="276" w:lineRule="auto"/>
        <w:rPr>
          <w:rFonts w:asciiTheme="minorHAnsi" w:hAnsiTheme="minorHAnsi" w:cstheme="minorHAnsi"/>
          <w:sz w:val="22"/>
          <w:szCs w:val="22"/>
        </w:rPr>
      </w:pPr>
    </w:p>
    <w:p w:rsidR="00B960AE" w:rsidRPr="00B51F1E" w:rsidRDefault="00840C83" w:rsidP="00B51F1E">
      <w:pPr>
        <w:pStyle w:val="NormalWeb"/>
        <w:spacing w:before="0" w:beforeAutospacing="0" w:after="0" w:afterAutospacing="0" w:line="276" w:lineRule="auto"/>
        <w:rPr>
          <w:rFonts w:asciiTheme="minorHAnsi" w:hAnsiTheme="minorHAnsi" w:cstheme="minorHAnsi"/>
          <w:sz w:val="22"/>
          <w:szCs w:val="22"/>
        </w:rPr>
      </w:pPr>
      <w:r>
        <w:rPr>
          <w:rFonts w:asciiTheme="minorHAnsi" w:hAnsiTheme="minorHAnsi" w:cstheme="minorHAnsi"/>
          <w:sz w:val="22"/>
          <w:szCs w:val="22"/>
        </w:rPr>
        <w:t>Finally, the</w:t>
      </w:r>
      <w:r w:rsidR="00B35FE2" w:rsidRPr="007B335E">
        <w:rPr>
          <w:rFonts w:asciiTheme="minorHAnsi" w:hAnsiTheme="minorHAnsi" w:cstheme="minorHAnsi"/>
          <w:sz w:val="22"/>
          <w:szCs w:val="22"/>
        </w:rPr>
        <w:t xml:space="preserve"> AER</w:t>
      </w:r>
      <w:r>
        <w:rPr>
          <w:rFonts w:asciiTheme="minorHAnsi" w:hAnsiTheme="minorHAnsi" w:cstheme="minorHAnsi"/>
          <w:sz w:val="22"/>
          <w:szCs w:val="22"/>
        </w:rPr>
        <w:t xml:space="preserve"> takes this opportunity to highlight</w:t>
      </w:r>
      <w:r w:rsidR="002A46C9">
        <w:rPr>
          <w:rFonts w:asciiTheme="minorHAnsi" w:hAnsiTheme="minorHAnsi" w:cstheme="minorHAnsi"/>
          <w:sz w:val="22"/>
          <w:szCs w:val="22"/>
        </w:rPr>
        <w:t xml:space="preserve"> one area of information which neither the </w:t>
      </w:r>
      <w:r w:rsidR="00EE10A9">
        <w:rPr>
          <w:rFonts w:asciiTheme="minorHAnsi" w:hAnsiTheme="minorHAnsi" w:cstheme="minorHAnsi"/>
          <w:sz w:val="22"/>
          <w:szCs w:val="22"/>
        </w:rPr>
        <w:t>recent</w:t>
      </w:r>
      <w:r w:rsidR="002A46C9">
        <w:rPr>
          <w:rFonts w:asciiTheme="minorHAnsi" w:hAnsiTheme="minorHAnsi" w:cstheme="minorHAnsi"/>
          <w:sz w:val="22"/>
          <w:szCs w:val="22"/>
        </w:rPr>
        <w:t xml:space="preserve"> </w:t>
      </w:r>
      <w:r>
        <w:rPr>
          <w:rFonts w:asciiTheme="minorHAnsi" w:hAnsiTheme="minorHAnsi" w:cstheme="minorHAnsi"/>
          <w:sz w:val="22"/>
          <w:szCs w:val="22"/>
        </w:rPr>
        <w:t xml:space="preserve">Bulletin Board </w:t>
      </w:r>
      <w:r w:rsidR="002A46C9">
        <w:rPr>
          <w:rFonts w:asciiTheme="minorHAnsi" w:hAnsiTheme="minorHAnsi" w:cstheme="minorHAnsi"/>
          <w:sz w:val="22"/>
          <w:szCs w:val="22"/>
        </w:rPr>
        <w:t xml:space="preserve">changes </w:t>
      </w:r>
      <w:r w:rsidR="00265184">
        <w:rPr>
          <w:rFonts w:asciiTheme="minorHAnsi" w:hAnsiTheme="minorHAnsi" w:cstheme="minorHAnsi"/>
          <w:sz w:val="22"/>
          <w:szCs w:val="22"/>
        </w:rPr>
        <w:t>n</w:t>
      </w:r>
      <w:r w:rsidR="002A46C9">
        <w:rPr>
          <w:rFonts w:asciiTheme="minorHAnsi" w:hAnsiTheme="minorHAnsi" w:cstheme="minorHAnsi"/>
          <w:sz w:val="22"/>
          <w:szCs w:val="22"/>
        </w:rPr>
        <w:t xml:space="preserve">or the AEMC’s stage 2 recommendations </w:t>
      </w:r>
      <w:r w:rsidR="00B56A8F">
        <w:rPr>
          <w:rFonts w:asciiTheme="minorHAnsi" w:hAnsiTheme="minorHAnsi" w:cstheme="minorHAnsi"/>
          <w:sz w:val="22"/>
          <w:szCs w:val="22"/>
        </w:rPr>
        <w:t xml:space="preserve">appear to </w:t>
      </w:r>
      <w:r w:rsidR="002A46C9">
        <w:rPr>
          <w:rFonts w:asciiTheme="minorHAnsi" w:hAnsiTheme="minorHAnsi" w:cstheme="minorHAnsi"/>
          <w:sz w:val="22"/>
          <w:szCs w:val="22"/>
        </w:rPr>
        <w:t>address</w:t>
      </w:r>
      <w:r w:rsidR="001541FC">
        <w:rPr>
          <w:rFonts w:asciiTheme="minorHAnsi" w:hAnsiTheme="minorHAnsi" w:cstheme="minorHAnsi"/>
          <w:sz w:val="22"/>
          <w:szCs w:val="22"/>
        </w:rPr>
        <w:t>;</w:t>
      </w:r>
      <w:r w:rsidR="00B56A8F">
        <w:rPr>
          <w:rFonts w:asciiTheme="minorHAnsi" w:hAnsiTheme="minorHAnsi" w:cstheme="minorHAnsi"/>
          <w:sz w:val="22"/>
          <w:szCs w:val="22"/>
        </w:rPr>
        <w:t xml:space="preserve"> that is</w:t>
      </w:r>
      <w:r w:rsidR="001541FC">
        <w:rPr>
          <w:rFonts w:asciiTheme="minorHAnsi" w:hAnsiTheme="minorHAnsi" w:cstheme="minorHAnsi"/>
          <w:sz w:val="22"/>
          <w:szCs w:val="22"/>
        </w:rPr>
        <w:t>,</w:t>
      </w:r>
      <w:r w:rsidR="00B56A8F">
        <w:rPr>
          <w:rFonts w:asciiTheme="minorHAnsi" w:hAnsiTheme="minorHAnsi" w:cstheme="minorHAnsi"/>
          <w:sz w:val="22"/>
          <w:szCs w:val="22"/>
        </w:rPr>
        <w:t xml:space="preserve"> </w:t>
      </w:r>
      <w:r w:rsidR="002A46C9">
        <w:rPr>
          <w:rFonts w:asciiTheme="minorHAnsi" w:hAnsiTheme="minorHAnsi" w:cstheme="minorHAnsi"/>
          <w:sz w:val="22"/>
          <w:szCs w:val="22"/>
        </w:rPr>
        <w:t xml:space="preserve">when </w:t>
      </w:r>
      <w:r w:rsidR="00B35FE2" w:rsidRPr="007B335E">
        <w:rPr>
          <w:rFonts w:asciiTheme="minorHAnsi" w:hAnsiTheme="minorHAnsi" w:cstheme="minorHAnsi"/>
          <w:sz w:val="22"/>
          <w:szCs w:val="22"/>
        </w:rPr>
        <w:t xml:space="preserve">pipelines </w:t>
      </w:r>
      <w:r w:rsidR="002A46C9">
        <w:rPr>
          <w:rFonts w:asciiTheme="minorHAnsi" w:hAnsiTheme="minorHAnsi" w:cstheme="minorHAnsi"/>
          <w:sz w:val="22"/>
          <w:szCs w:val="22"/>
        </w:rPr>
        <w:t>are</w:t>
      </w:r>
      <w:r w:rsidR="00E842BF">
        <w:rPr>
          <w:rFonts w:asciiTheme="minorHAnsi" w:hAnsiTheme="minorHAnsi" w:cstheme="minorHAnsi"/>
          <w:sz w:val="22"/>
          <w:szCs w:val="22"/>
        </w:rPr>
        <w:t xml:space="preserve"> also</w:t>
      </w:r>
      <w:r w:rsidR="002A46C9">
        <w:rPr>
          <w:rFonts w:asciiTheme="minorHAnsi" w:hAnsiTheme="minorHAnsi" w:cstheme="minorHAnsi"/>
          <w:sz w:val="22"/>
          <w:szCs w:val="22"/>
        </w:rPr>
        <w:t xml:space="preserve"> substantively </w:t>
      </w:r>
      <w:r w:rsidR="00B35FE2" w:rsidRPr="007B335E">
        <w:rPr>
          <w:rFonts w:asciiTheme="minorHAnsi" w:hAnsiTheme="minorHAnsi" w:cstheme="minorHAnsi"/>
          <w:sz w:val="22"/>
          <w:szCs w:val="22"/>
        </w:rPr>
        <w:t xml:space="preserve">used as </w:t>
      </w:r>
      <w:r w:rsidR="002A46C9">
        <w:rPr>
          <w:rFonts w:asciiTheme="minorHAnsi" w:hAnsiTheme="minorHAnsi" w:cstheme="minorHAnsi"/>
          <w:sz w:val="22"/>
          <w:szCs w:val="22"/>
        </w:rPr>
        <w:t xml:space="preserve">a </w:t>
      </w:r>
      <w:r w:rsidR="00B35FE2" w:rsidRPr="007B335E">
        <w:rPr>
          <w:rFonts w:asciiTheme="minorHAnsi" w:hAnsiTheme="minorHAnsi" w:cstheme="minorHAnsi"/>
          <w:sz w:val="22"/>
          <w:szCs w:val="22"/>
        </w:rPr>
        <w:t>storage</w:t>
      </w:r>
      <w:r w:rsidR="002A46C9">
        <w:rPr>
          <w:rFonts w:asciiTheme="minorHAnsi" w:hAnsiTheme="minorHAnsi" w:cstheme="minorHAnsi"/>
          <w:sz w:val="22"/>
          <w:szCs w:val="22"/>
        </w:rPr>
        <w:t xml:space="preserve"> facility. </w:t>
      </w:r>
      <w:r w:rsidR="00B56A8F">
        <w:rPr>
          <w:rFonts w:asciiTheme="minorHAnsi" w:hAnsiTheme="minorHAnsi" w:cstheme="minorHAnsi"/>
          <w:sz w:val="22"/>
          <w:szCs w:val="22"/>
        </w:rPr>
        <w:t>T</w:t>
      </w:r>
      <w:r w:rsidR="00B35FE2" w:rsidRPr="007B335E">
        <w:rPr>
          <w:rFonts w:asciiTheme="minorHAnsi" w:hAnsiTheme="minorHAnsi" w:cstheme="minorHAnsi"/>
          <w:sz w:val="22"/>
          <w:szCs w:val="22"/>
        </w:rPr>
        <w:t>he Tasmanian Gas Pipeline (TGP</w:t>
      </w:r>
      <w:r w:rsidR="00B56A8F">
        <w:rPr>
          <w:rFonts w:asciiTheme="minorHAnsi" w:hAnsiTheme="minorHAnsi" w:cstheme="minorHAnsi"/>
          <w:sz w:val="22"/>
          <w:szCs w:val="22"/>
        </w:rPr>
        <w:t xml:space="preserve">) </w:t>
      </w:r>
      <w:r w:rsidR="00B35FE2" w:rsidRPr="007B335E">
        <w:rPr>
          <w:rFonts w:asciiTheme="minorHAnsi" w:hAnsiTheme="minorHAnsi" w:cstheme="minorHAnsi"/>
          <w:sz w:val="22"/>
          <w:szCs w:val="22"/>
        </w:rPr>
        <w:t xml:space="preserve">is </w:t>
      </w:r>
      <w:r w:rsidR="002A46C9">
        <w:rPr>
          <w:rFonts w:asciiTheme="minorHAnsi" w:hAnsiTheme="minorHAnsi" w:cstheme="minorHAnsi"/>
          <w:sz w:val="22"/>
          <w:szCs w:val="22"/>
        </w:rPr>
        <w:t xml:space="preserve">advertising </w:t>
      </w:r>
      <w:r w:rsidR="00B35FE2" w:rsidRPr="007B335E">
        <w:rPr>
          <w:rFonts w:asciiTheme="minorHAnsi" w:hAnsiTheme="minorHAnsi" w:cstheme="minorHAnsi"/>
          <w:sz w:val="22"/>
          <w:szCs w:val="22"/>
        </w:rPr>
        <w:t xml:space="preserve">a </w:t>
      </w:r>
      <w:r w:rsidR="00E842BF">
        <w:rPr>
          <w:rFonts w:asciiTheme="minorHAnsi" w:hAnsiTheme="minorHAnsi" w:cstheme="minorHAnsi"/>
          <w:sz w:val="22"/>
          <w:szCs w:val="22"/>
        </w:rPr>
        <w:t xml:space="preserve">gas </w:t>
      </w:r>
      <w:r w:rsidR="00B35FE2" w:rsidRPr="007B335E">
        <w:rPr>
          <w:rFonts w:asciiTheme="minorHAnsi" w:hAnsiTheme="minorHAnsi" w:cstheme="minorHAnsi"/>
          <w:sz w:val="22"/>
          <w:szCs w:val="22"/>
        </w:rPr>
        <w:t xml:space="preserve">storage facility </w:t>
      </w:r>
      <w:r w:rsidR="002A46C9">
        <w:rPr>
          <w:rFonts w:asciiTheme="minorHAnsi" w:hAnsiTheme="minorHAnsi" w:cstheme="minorHAnsi"/>
          <w:sz w:val="22"/>
          <w:szCs w:val="22"/>
        </w:rPr>
        <w:t xml:space="preserve">for </w:t>
      </w:r>
      <w:r w:rsidR="00B35FE2" w:rsidRPr="007B335E">
        <w:rPr>
          <w:rFonts w:asciiTheme="minorHAnsi" w:hAnsiTheme="minorHAnsi" w:cstheme="minorHAnsi"/>
          <w:sz w:val="22"/>
          <w:szCs w:val="22"/>
        </w:rPr>
        <w:t xml:space="preserve">the Victorian </w:t>
      </w:r>
      <w:r w:rsidR="002A46C9">
        <w:rPr>
          <w:rFonts w:asciiTheme="minorHAnsi" w:hAnsiTheme="minorHAnsi" w:cstheme="minorHAnsi"/>
          <w:sz w:val="22"/>
          <w:szCs w:val="22"/>
        </w:rPr>
        <w:t xml:space="preserve">(or Tasmanian) </w:t>
      </w:r>
      <w:r w:rsidR="00B35FE2" w:rsidRPr="007B335E">
        <w:rPr>
          <w:rFonts w:asciiTheme="minorHAnsi" w:hAnsiTheme="minorHAnsi" w:cstheme="minorHAnsi"/>
          <w:sz w:val="22"/>
          <w:szCs w:val="22"/>
        </w:rPr>
        <w:t>market</w:t>
      </w:r>
      <w:r w:rsidR="00E842BF">
        <w:rPr>
          <w:rFonts w:asciiTheme="minorHAnsi" w:hAnsiTheme="minorHAnsi" w:cstheme="minorHAnsi"/>
          <w:sz w:val="22"/>
          <w:szCs w:val="22"/>
        </w:rPr>
        <w:t>,</w:t>
      </w:r>
      <w:r w:rsidR="002A46C9">
        <w:rPr>
          <w:rFonts w:asciiTheme="minorHAnsi" w:hAnsiTheme="minorHAnsi" w:cstheme="minorHAnsi"/>
          <w:sz w:val="22"/>
          <w:szCs w:val="22"/>
        </w:rPr>
        <w:t xml:space="preserve"> </w:t>
      </w:r>
      <w:r w:rsidR="00B56A8F">
        <w:rPr>
          <w:rFonts w:asciiTheme="minorHAnsi" w:hAnsiTheme="minorHAnsi" w:cstheme="minorHAnsi"/>
          <w:sz w:val="22"/>
          <w:szCs w:val="22"/>
        </w:rPr>
        <w:lastRenderedPageBreak/>
        <w:t>which is in such</w:t>
      </w:r>
      <w:r w:rsidR="00B56A8F" w:rsidRPr="00E842BF">
        <w:rPr>
          <w:rFonts w:asciiTheme="minorHAnsi" w:hAnsiTheme="minorHAnsi" w:cstheme="minorHAnsi"/>
          <w:sz w:val="22"/>
          <w:szCs w:val="22"/>
        </w:rPr>
        <w:t xml:space="preserve"> volumes</w:t>
      </w:r>
      <w:r w:rsidR="00B56A8F">
        <w:rPr>
          <w:rFonts w:asciiTheme="minorHAnsi" w:hAnsiTheme="minorHAnsi" w:cstheme="minorHAnsi"/>
          <w:sz w:val="22"/>
          <w:szCs w:val="22"/>
        </w:rPr>
        <w:t xml:space="preserve"> </w:t>
      </w:r>
      <w:r w:rsidR="00E842BF">
        <w:rPr>
          <w:rFonts w:asciiTheme="minorHAnsi" w:hAnsiTheme="minorHAnsi" w:cstheme="minorHAnsi"/>
          <w:sz w:val="22"/>
          <w:szCs w:val="22"/>
        </w:rPr>
        <w:t xml:space="preserve">that </w:t>
      </w:r>
      <w:r w:rsidR="00B56A8F">
        <w:rPr>
          <w:rFonts w:asciiTheme="minorHAnsi" w:hAnsiTheme="minorHAnsi" w:cstheme="minorHAnsi"/>
          <w:sz w:val="22"/>
          <w:szCs w:val="22"/>
        </w:rPr>
        <w:t xml:space="preserve">it significantly utilises </w:t>
      </w:r>
      <w:r w:rsidR="002A46C9">
        <w:rPr>
          <w:rFonts w:asciiTheme="minorHAnsi" w:hAnsiTheme="minorHAnsi" w:cstheme="minorHAnsi"/>
          <w:sz w:val="22"/>
          <w:szCs w:val="22"/>
        </w:rPr>
        <w:t xml:space="preserve">capacity </w:t>
      </w:r>
      <w:r w:rsidR="00E842BF">
        <w:rPr>
          <w:rFonts w:asciiTheme="minorHAnsi" w:hAnsiTheme="minorHAnsi" w:cstheme="minorHAnsi"/>
          <w:sz w:val="22"/>
          <w:szCs w:val="22"/>
        </w:rPr>
        <w:t>that</w:t>
      </w:r>
      <w:r w:rsidR="00B56A8F">
        <w:rPr>
          <w:rFonts w:asciiTheme="minorHAnsi" w:hAnsiTheme="minorHAnsi" w:cstheme="minorHAnsi"/>
          <w:sz w:val="22"/>
          <w:szCs w:val="22"/>
        </w:rPr>
        <w:t xml:space="preserve"> may otherwise be available for </w:t>
      </w:r>
      <w:r w:rsidR="002A46C9">
        <w:rPr>
          <w:rFonts w:asciiTheme="minorHAnsi" w:hAnsiTheme="minorHAnsi" w:cstheme="minorHAnsi"/>
          <w:sz w:val="22"/>
          <w:szCs w:val="22"/>
        </w:rPr>
        <w:t>transportation</w:t>
      </w:r>
      <w:r w:rsidR="00B56A8F">
        <w:rPr>
          <w:rFonts w:asciiTheme="minorHAnsi" w:hAnsiTheme="minorHAnsi" w:cstheme="minorHAnsi"/>
          <w:sz w:val="22"/>
          <w:szCs w:val="22"/>
        </w:rPr>
        <w:t xml:space="preserve"> (as opposed to being a small ancillary service)</w:t>
      </w:r>
      <w:r w:rsidR="00B35FE2" w:rsidRPr="007B335E">
        <w:rPr>
          <w:rFonts w:asciiTheme="minorHAnsi" w:hAnsiTheme="minorHAnsi" w:cstheme="minorHAnsi"/>
          <w:sz w:val="22"/>
          <w:szCs w:val="22"/>
        </w:rPr>
        <w:t>. St</w:t>
      </w:r>
      <w:r w:rsidR="003512CE">
        <w:rPr>
          <w:rFonts w:asciiTheme="minorHAnsi" w:hAnsiTheme="minorHAnsi" w:cstheme="minorHAnsi"/>
          <w:sz w:val="22"/>
          <w:szCs w:val="22"/>
        </w:rPr>
        <w:t>orage of this type is not captured by</w:t>
      </w:r>
      <w:r w:rsidR="00B35FE2" w:rsidRPr="007B335E">
        <w:rPr>
          <w:rFonts w:asciiTheme="minorHAnsi" w:hAnsiTheme="minorHAnsi" w:cstheme="minorHAnsi"/>
          <w:sz w:val="22"/>
          <w:szCs w:val="22"/>
        </w:rPr>
        <w:t xml:space="preserve"> the </w:t>
      </w:r>
      <w:r w:rsidR="003512CE">
        <w:rPr>
          <w:rFonts w:asciiTheme="minorHAnsi" w:hAnsiTheme="minorHAnsi" w:cstheme="minorHAnsi"/>
          <w:sz w:val="22"/>
          <w:szCs w:val="22"/>
        </w:rPr>
        <w:t xml:space="preserve">current </w:t>
      </w:r>
      <w:r w:rsidR="00B35FE2" w:rsidRPr="007B335E">
        <w:rPr>
          <w:rFonts w:asciiTheme="minorHAnsi" w:hAnsiTheme="minorHAnsi" w:cstheme="minorHAnsi"/>
          <w:sz w:val="22"/>
          <w:szCs w:val="22"/>
        </w:rPr>
        <w:t>reporting framework</w:t>
      </w:r>
      <w:r w:rsidR="002A46C9">
        <w:rPr>
          <w:rFonts w:asciiTheme="minorHAnsi" w:hAnsiTheme="minorHAnsi" w:cstheme="minorHAnsi"/>
          <w:sz w:val="22"/>
          <w:szCs w:val="22"/>
        </w:rPr>
        <w:t xml:space="preserve"> for pipelines</w:t>
      </w:r>
      <w:r w:rsidR="007B335E">
        <w:rPr>
          <w:rFonts w:asciiTheme="minorHAnsi" w:hAnsiTheme="minorHAnsi" w:cstheme="minorHAnsi"/>
          <w:sz w:val="22"/>
          <w:szCs w:val="22"/>
        </w:rPr>
        <w:t xml:space="preserve">. In </w:t>
      </w:r>
      <w:r w:rsidR="003E0963">
        <w:rPr>
          <w:rFonts w:asciiTheme="minorHAnsi" w:hAnsiTheme="minorHAnsi" w:cstheme="minorHAnsi"/>
          <w:sz w:val="22"/>
          <w:szCs w:val="22"/>
        </w:rPr>
        <w:t xml:space="preserve">the absence of data on a pipeline’s </w:t>
      </w:r>
      <w:r w:rsidR="007B335E">
        <w:rPr>
          <w:rFonts w:asciiTheme="minorHAnsi" w:hAnsiTheme="minorHAnsi" w:cstheme="minorHAnsi"/>
          <w:sz w:val="22"/>
          <w:szCs w:val="22"/>
        </w:rPr>
        <w:t>uncontracted storage capacity</w:t>
      </w:r>
      <w:r w:rsidR="005A30C3">
        <w:rPr>
          <w:rFonts w:asciiTheme="minorHAnsi" w:hAnsiTheme="minorHAnsi" w:cstheme="minorHAnsi"/>
          <w:sz w:val="22"/>
          <w:szCs w:val="22"/>
        </w:rPr>
        <w:t xml:space="preserve"> being available in conjunction with information on its</w:t>
      </w:r>
      <w:r w:rsidR="002A46C9">
        <w:rPr>
          <w:rFonts w:asciiTheme="minorHAnsi" w:hAnsiTheme="minorHAnsi" w:cstheme="minorHAnsi"/>
          <w:sz w:val="22"/>
          <w:szCs w:val="22"/>
        </w:rPr>
        <w:t xml:space="preserve"> uncontracted transportation capacity</w:t>
      </w:r>
      <w:r w:rsidR="005A30C3">
        <w:rPr>
          <w:rFonts w:asciiTheme="minorHAnsi" w:hAnsiTheme="minorHAnsi" w:cstheme="minorHAnsi"/>
          <w:sz w:val="22"/>
          <w:szCs w:val="22"/>
        </w:rPr>
        <w:t xml:space="preserve">, </w:t>
      </w:r>
      <w:r w:rsidR="007B335E">
        <w:rPr>
          <w:rFonts w:asciiTheme="minorHAnsi" w:hAnsiTheme="minorHAnsi" w:cstheme="minorHAnsi"/>
          <w:sz w:val="22"/>
          <w:szCs w:val="22"/>
        </w:rPr>
        <w:t xml:space="preserve">there </w:t>
      </w:r>
      <w:r w:rsidR="00B56A8F">
        <w:rPr>
          <w:rFonts w:asciiTheme="minorHAnsi" w:hAnsiTheme="minorHAnsi" w:cstheme="minorHAnsi"/>
          <w:sz w:val="22"/>
          <w:szCs w:val="22"/>
        </w:rPr>
        <w:t xml:space="preserve">appears </w:t>
      </w:r>
      <w:r w:rsidR="00E842BF">
        <w:rPr>
          <w:rFonts w:asciiTheme="minorHAnsi" w:hAnsiTheme="minorHAnsi" w:cstheme="minorHAnsi"/>
          <w:sz w:val="22"/>
          <w:szCs w:val="22"/>
        </w:rPr>
        <w:t xml:space="preserve">to be </w:t>
      </w:r>
      <w:r w:rsidR="007B335E">
        <w:rPr>
          <w:rFonts w:asciiTheme="minorHAnsi" w:hAnsiTheme="minorHAnsi" w:cstheme="minorHAnsi"/>
          <w:sz w:val="22"/>
          <w:szCs w:val="22"/>
        </w:rPr>
        <w:t>no cl</w:t>
      </w:r>
      <w:r w:rsidR="00CE11FA">
        <w:rPr>
          <w:rFonts w:asciiTheme="minorHAnsi" w:hAnsiTheme="minorHAnsi" w:cstheme="minorHAnsi"/>
          <w:sz w:val="22"/>
          <w:szCs w:val="22"/>
        </w:rPr>
        <w:t>ear indication of</w:t>
      </w:r>
      <w:r w:rsidR="003E0963">
        <w:rPr>
          <w:rFonts w:asciiTheme="minorHAnsi" w:hAnsiTheme="minorHAnsi" w:cstheme="minorHAnsi"/>
          <w:sz w:val="22"/>
          <w:szCs w:val="22"/>
        </w:rPr>
        <w:t xml:space="preserve"> </w:t>
      </w:r>
      <w:r w:rsidR="00B56A8F">
        <w:rPr>
          <w:rFonts w:asciiTheme="minorHAnsi" w:hAnsiTheme="minorHAnsi" w:cstheme="minorHAnsi"/>
          <w:sz w:val="22"/>
          <w:szCs w:val="22"/>
        </w:rPr>
        <w:t xml:space="preserve">overall </w:t>
      </w:r>
      <w:r w:rsidR="003E0963">
        <w:rPr>
          <w:rFonts w:asciiTheme="minorHAnsi" w:hAnsiTheme="minorHAnsi" w:cstheme="minorHAnsi"/>
          <w:sz w:val="22"/>
          <w:szCs w:val="22"/>
        </w:rPr>
        <w:t xml:space="preserve">spare </w:t>
      </w:r>
      <w:r w:rsidR="00B56A8F">
        <w:rPr>
          <w:rFonts w:asciiTheme="minorHAnsi" w:hAnsiTheme="minorHAnsi" w:cstheme="minorHAnsi"/>
          <w:sz w:val="22"/>
          <w:szCs w:val="22"/>
        </w:rPr>
        <w:t xml:space="preserve">pipeline </w:t>
      </w:r>
      <w:r w:rsidR="003E0963">
        <w:rPr>
          <w:rFonts w:asciiTheme="minorHAnsi" w:hAnsiTheme="minorHAnsi" w:cstheme="minorHAnsi"/>
          <w:sz w:val="22"/>
          <w:szCs w:val="22"/>
        </w:rPr>
        <w:t>capacity</w:t>
      </w:r>
      <w:r w:rsidR="007B335E">
        <w:rPr>
          <w:rFonts w:asciiTheme="minorHAnsi" w:hAnsiTheme="minorHAnsi" w:cstheme="minorHAnsi"/>
          <w:sz w:val="22"/>
          <w:szCs w:val="22"/>
        </w:rPr>
        <w:t>.</w:t>
      </w:r>
    </w:p>
    <w:p w:rsidR="009C52B9" w:rsidRDefault="009C52B9" w:rsidP="00983BD1">
      <w:pPr>
        <w:pStyle w:val="Heading2"/>
        <w:keepNext/>
        <w:ind w:left="680" w:hanging="680"/>
      </w:pPr>
      <w:bookmarkStart w:id="15" w:name="_Toc466452018"/>
      <w:r>
        <w:t>S</w:t>
      </w:r>
      <w:r w:rsidR="002C3C12">
        <w:t xml:space="preserve">hort </w:t>
      </w:r>
      <w:r>
        <w:t>T</w:t>
      </w:r>
      <w:r w:rsidR="002C3C12">
        <w:t xml:space="preserve">erm </w:t>
      </w:r>
      <w:r>
        <w:t>T</w:t>
      </w:r>
      <w:r w:rsidR="002C3C12">
        <w:t xml:space="preserve">rading </w:t>
      </w:r>
      <w:r>
        <w:t>M</w:t>
      </w:r>
      <w:r w:rsidR="002C3C12">
        <w:t>arket</w:t>
      </w:r>
      <w:bookmarkEnd w:id="15"/>
    </w:p>
    <w:p w:rsidR="00C96D38" w:rsidRDefault="001C022A" w:rsidP="00C66C6F">
      <w:pPr>
        <w:pStyle w:val="Heading3"/>
        <w:numPr>
          <w:ilvl w:val="2"/>
          <w:numId w:val="34"/>
        </w:numPr>
      </w:pPr>
      <w:bookmarkStart w:id="16" w:name="_Toc466452019"/>
      <w:r>
        <w:t>Sydney STTM Demand Forecasting E</w:t>
      </w:r>
      <w:r w:rsidR="00C96D38">
        <w:t>rrors</w:t>
      </w:r>
      <w:bookmarkEnd w:id="16"/>
    </w:p>
    <w:p w:rsidR="00D04B68" w:rsidRDefault="00D04B68" w:rsidP="00C96D38">
      <w:pPr>
        <w:spacing w:before="0"/>
        <w:jc w:val="both"/>
      </w:pPr>
      <w:r>
        <w:t>Demand forecasts are the primar</w:t>
      </w:r>
      <w:r w:rsidR="00B960AE">
        <w:t>y input for scheduling and form the basis for calculating ex-</w:t>
      </w:r>
      <w:r>
        <w:t xml:space="preserve">ante prices in the STTM. Poor demand forecasting leads to inefficiencies in dispatch whereby the </w:t>
      </w:r>
      <w:r w:rsidR="00B960AE">
        <w:t>ex-</w:t>
      </w:r>
      <w:r>
        <w:t>ante price is set on the basis of a higher or lower quantity of g</w:t>
      </w:r>
      <w:r w:rsidR="000C0A7E">
        <w:t>as than is required. It can</w:t>
      </w:r>
      <w:r>
        <w:t xml:space="preserve"> lead to higher </w:t>
      </w:r>
      <w:r w:rsidR="000E0855">
        <w:t xml:space="preserve">Market </w:t>
      </w:r>
      <w:r w:rsidR="005A30C3">
        <w:t>O</w:t>
      </w:r>
      <w:r w:rsidR="000E0855">
        <w:t xml:space="preserve">perator </w:t>
      </w:r>
      <w:r w:rsidR="005A30C3">
        <w:t>S</w:t>
      </w:r>
      <w:r w:rsidR="000E0855">
        <w:t>ervice (</w:t>
      </w:r>
      <w:r>
        <w:t>MOS</w:t>
      </w:r>
      <w:r w:rsidR="000E0855">
        <w:t>)</w:t>
      </w:r>
      <w:r>
        <w:t xml:space="preserve"> payments in the STTM, whereby large amounts of gas are required to address the imbalance caused by inaccurate forecasts.</w:t>
      </w:r>
    </w:p>
    <w:p w:rsidR="00D04B68" w:rsidRDefault="000C0A7E" w:rsidP="00D04B68">
      <w:pPr>
        <w:jc w:val="both"/>
      </w:pPr>
      <w:r>
        <w:t>The Gas Rules</w:t>
      </w:r>
      <w:r>
        <w:rPr>
          <w:rStyle w:val="FootnoteReference"/>
        </w:rPr>
        <w:footnoteReference w:id="6"/>
      </w:r>
      <w:r>
        <w:t xml:space="preserve"> require</w:t>
      </w:r>
      <w:r w:rsidR="00D04B68">
        <w:t xml:space="preserve"> each STTM trading participant</w:t>
      </w:r>
      <w:r>
        <w:t>,</w:t>
      </w:r>
      <w:r w:rsidR="00D04B68">
        <w:t xml:space="preserve"> who expects to withdraw quantities of natural gas from a hub on a gas day</w:t>
      </w:r>
      <w:r>
        <w:t>,</w:t>
      </w:r>
      <w:r w:rsidR="00D04B68">
        <w:t xml:space="preserve"> to submit in good faith</w:t>
      </w:r>
      <w:r>
        <w:t>,</w:t>
      </w:r>
      <w:r w:rsidR="00D04B68">
        <w:t xml:space="preserve"> ex ante bids or price taker bids (and</w:t>
      </w:r>
      <w:r>
        <w:t xml:space="preserve"> any revisions to those bids) that</w:t>
      </w:r>
      <w:r w:rsidR="00D04B68">
        <w:t xml:space="preserve"> reflect the participant</w:t>
      </w:r>
      <w:r>
        <w:t>’s best estimate of the volume</w:t>
      </w:r>
      <w:r w:rsidR="00D04B68">
        <w:t xml:space="preserve"> it expects to withdraw on that gas day</w:t>
      </w:r>
      <w:r w:rsidR="000E0855">
        <w:t>.</w:t>
      </w:r>
      <w:r w:rsidR="00ED749C">
        <w:t xml:space="preserve"> These bids</w:t>
      </w:r>
      <w:r w:rsidR="00D04B68">
        <w:t xml:space="preserve"> in effect reflect each participant’s demand forecast. </w:t>
      </w:r>
    </w:p>
    <w:p w:rsidR="00D04B68" w:rsidRDefault="00D04B68" w:rsidP="00D04B68">
      <w:pPr>
        <w:jc w:val="both"/>
      </w:pPr>
      <w:r>
        <w:t>In 2012, the AER commenced a project in response to ongoing occurrences of inaccurate demand forecasts from a number of STTM participants. A particular concern was the uneven distribution, or bias of under and over forecasting of demand. We were also concerned by large a</w:t>
      </w:r>
      <w:r w:rsidR="000C0A7E">
        <w:t>voidable demand forecast errors;</w:t>
      </w:r>
      <w:r>
        <w:t xml:space="preserve"> for example, those caused by system errors.</w:t>
      </w:r>
    </w:p>
    <w:p w:rsidR="00D04B68" w:rsidRDefault="00D04B68" w:rsidP="00D04B68">
      <w:pPr>
        <w:jc w:val="both"/>
      </w:pPr>
      <w:r>
        <w:t xml:space="preserve">Accordingly, throughout 2013, we </w:t>
      </w:r>
      <w:r w:rsidR="00EE10A9">
        <w:t xml:space="preserve">developed </w:t>
      </w:r>
      <w:r w:rsidR="0010056A">
        <w:t>metrics for</w:t>
      </w:r>
      <w:r>
        <w:t xml:space="preserve"> each STTM hub to identify patterns in demand forecasting errors</w:t>
      </w:r>
      <w:r w:rsidR="0010056A">
        <w:t>. We</w:t>
      </w:r>
      <w:r>
        <w:t xml:space="preserve"> contacted participants regarding forecasting performance, addressing areas of concern and any relevant system changes which could minimise these errors. Our previous monitoring of forecasting metrics and MOS trends</w:t>
      </w:r>
      <w:r w:rsidR="00840C83">
        <w:t>,</w:t>
      </w:r>
      <w:r>
        <w:t xml:space="preserve"> following these exchanges</w:t>
      </w:r>
      <w:r w:rsidR="00840C83">
        <w:t>,</w:t>
      </w:r>
      <w:r>
        <w:t xml:space="preserve"> id</w:t>
      </w:r>
      <w:r w:rsidR="0010056A">
        <w:t>entified reductions to trends in</w:t>
      </w:r>
      <w:r>
        <w:t xml:space="preserve"> over forecasting bias and lower MOS balancing gas requirements over 2013/14.</w:t>
      </w:r>
    </w:p>
    <w:p w:rsidR="00D04B68" w:rsidRDefault="008144D5" w:rsidP="00D04B68">
      <w:pPr>
        <w:jc w:val="both"/>
      </w:pPr>
      <w:r>
        <w:t>More recently, our June</w:t>
      </w:r>
      <w:r w:rsidR="00986EE0">
        <w:t xml:space="preserve"> 2016</w:t>
      </w:r>
      <w:r>
        <w:t xml:space="preserve"> </w:t>
      </w:r>
      <w:r w:rsidRPr="008144D5">
        <w:rPr>
          <w:i/>
        </w:rPr>
        <w:t>Quarterly Compliance R</w:t>
      </w:r>
      <w:r w:rsidR="00D04B68" w:rsidRPr="008144D5">
        <w:rPr>
          <w:i/>
        </w:rPr>
        <w:t>eport</w:t>
      </w:r>
      <w:r w:rsidR="00D04B68">
        <w:t xml:space="preserve"> identified a recurrence of the over forecasting trend in the Sydney hub from mid-2015. This has resulted in the long-term average proportion</w:t>
      </w:r>
      <w:r w:rsidR="00F625AA">
        <w:t xml:space="preserve"> </w:t>
      </w:r>
      <w:r w:rsidR="00D04B68">
        <w:t xml:space="preserve">of </w:t>
      </w:r>
      <w:r w:rsidR="00F625AA">
        <w:t>over forecast days,</w:t>
      </w:r>
      <w:r w:rsidR="00D04B68">
        <w:t xml:space="preserve"> each month</w:t>
      </w:r>
      <w:r w:rsidR="00F625AA">
        <w:t>,</w:t>
      </w:r>
      <w:r w:rsidR="00D04B68">
        <w:t xml:space="preserve"> climbing past 70 per</w:t>
      </w:r>
      <w:r w:rsidR="00F625AA">
        <w:t xml:space="preserve"> cent</w:t>
      </w:r>
      <w:r w:rsidR="000C0A7E">
        <w:rPr>
          <w:rStyle w:val="FootnoteReference"/>
        </w:rPr>
        <w:footnoteReference w:id="7"/>
      </w:r>
      <w:r w:rsidR="00D04B68">
        <w:t>. Despite a reduction during the month of June, there was a high proportion of over forecast demand in the Sydney hub over June an</w:t>
      </w:r>
      <w:r w:rsidR="000C0A7E">
        <w:t>d July 2016 (notably, in July</w:t>
      </w:r>
      <w:r w:rsidR="00D04B68">
        <w:t>) driving this increase.</w:t>
      </w:r>
    </w:p>
    <w:p w:rsidR="00D04B68" w:rsidRDefault="00D04B68" w:rsidP="00D04B68">
      <w:pPr>
        <w:jc w:val="both"/>
      </w:pPr>
      <w:r>
        <w:t xml:space="preserve">As set out below </w:t>
      </w:r>
      <w:r w:rsidRPr="004526DE">
        <w:t xml:space="preserve">in </w:t>
      </w:r>
      <w:r w:rsidR="0060212D" w:rsidRPr="004526DE">
        <w:t>Figure 2</w:t>
      </w:r>
      <w:r w:rsidRPr="004526DE">
        <w:t>, the</w:t>
      </w:r>
      <w:r>
        <w:t xml:space="preserve"> level of over forecast demand in July averaged around 11.5 TJ per day across 90 per cent of t</w:t>
      </w:r>
      <w:r w:rsidR="000C0A7E">
        <w:t>he gas days in that month. T</w:t>
      </w:r>
      <w:r>
        <w:t>he over forecasting trend remained above 80 per cent for the month of August.</w:t>
      </w:r>
    </w:p>
    <w:p w:rsidR="00AA3006" w:rsidRDefault="00AA3006" w:rsidP="00AA3006">
      <w:pPr>
        <w:pStyle w:val="Caption"/>
        <w:keepNext/>
      </w:pPr>
      <w:bookmarkStart w:id="17" w:name="_Ref456787302"/>
      <w:r>
        <w:lastRenderedPageBreak/>
        <w:t xml:space="preserve">Figure </w:t>
      </w:r>
      <w:fldSimple w:instr=" SEQ Figure \* ARABIC ">
        <w:r w:rsidR="00EB6484">
          <w:rPr>
            <w:noProof/>
          </w:rPr>
          <w:t>2</w:t>
        </w:r>
      </w:fldSimple>
      <w:bookmarkEnd w:id="17"/>
      <w:r>
        <w:t>: Sydney Hub forecasting performance metric (since July 2014)</w:t>
      </w:r>
    </w:p>
    <w:p w:rsidR="00D04B68" w:rsidRDefault="00AA3006" w:rsidP="00D04B68">
      <w:pPr>
        <w:jc w:val="both"/>
      </w:pPr>
      <w:r w:rsidRPr="00AA3006">
        <w:rPr>
          <w:noProof/>
          <w:lang w:eastAsia="en-AU"/>
        </w:rPr>
        <w:drawing>
          <wp:inline distT="0" distB="0" distL="0" distR="0" wp14:anchorId="41017403" wp14:editId="6FCC7306">
            <wp:extent cx="5731510" cy="279449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1510" cy="2794498"/>
                    </a:xfrm>
                    <a:prstGeom prst="rect">
                      <a:avLst/>
                    </a:prstGeom>
                    <a:noFill/>
                    <a:ln>
                      <a:noFill/>
                    </a:ln>
                  </pic:spPr>
                </pic:pic>
              </a:graphicData>
            </a:graphic>
          </wp:inline>
        </w:drawing>
      </w:r>
    </w:p>
    <w:p w:rsidR="00D04B68" w:rsidRDefault="00F34C8D" w:rsidP="00D04B68">
      <w:pPr>
        <w:jc w:val="both"/>
      </w:pPr>
      <w:r>
        <w:t>T</w:t>
      </w:r>
      <w:r w:rsidR="00D04B68">
        <w:t>he highest contributions to the a</w:t>
      </w:r>
      <w:r>
        <w:t xml:space="preserve">ggregate error in the Sydney STTM were made by the hub’s </w:t>
      </w:r>
      <w:r w:rsidR="008A74EE">
        <w:t>three largest participants. These participants</w:t>
      </w:r>
      <w:r>
        <w:t xml:space="preserve"> </w:t>
      </w:r>
      <w:r w:rsidR="00D04B68">
        <w:t>over forecast their demand across 17 per cent, 84 per cent and 90 per cent of the days in July (their average daily error quantities were up to 8.2 per cent of each participant’s actual demand, while the highest over forecast errors on individual days in July ranged between 10-16 per </w:t>
      </w:r>
      <w:r>
        <w:t>cent of total demand across th</w:t>
      </w:r>
      <w:r w:rsidR="00D04B68">
        <w:t>e three</w:t>
      </w:r>
      <w:r>
        <w:t xml:space="preserve"> participants</w:t>
      </w:r>
      <w:r w:rsidR="00D04B68">
        <w:t xml:space="preserve">). </w:t>
      </w:r>
      <w:r w:rsidR="00E842BF">
        <w:t>T</w:t>
      </w:r>
      <w:r w:rsidR="005D32AC">
        <w:t>he AER’s</w:t>
      </w:r>
      <w:r w:rsidR="002A46C9">
        <w:t xml:space="preserve"> July </w:t>
      </w:r>
      <w:r w:rsidR="005D32AC">
        <w:t xml:space="preserve">and August </w:t>
      </w:r>
      <w:r w:rsidR="007F13A3">
        <w:t>Significant Price Variation (</w:t>
      </w:r>
      <w:r w:rsidR="002A46C9">
        <w:t>SPV</w:t>
      </w:r>
      <w:r w:rsidR="007F13A3">
        <w:t>)</w:t>
      </w:r>
      <w:r w:rsidR="002A46C9">
        <w:t xml:space="preserve"> report</w:t>
      </w:r>
      <w:r w:rsidR="005D32AC">
        <w:rPr>
          <w:rStyle w:val="FootnoteReference"/>
        </w:rPr>
        <w:footnoteReference w:id="8"/>
      </w:r>
      <w:r w:rsidR="002A46C9">
        <w:t xml:space="preserve"> </w:t>
      </w:r>
      <w:r w:rsidR="005D32AC">
        <w:t>noted th</w:t>
      </w:r>
      <w:r w:rsidR="00E842BF">
        <w:t>at</w:t>
      </w:r>
      <w:r w:rsidR="005D32AC">
        <w:t xml:space="preserve"> poor July forecasting significantly contributed to the highest level of balancing gas payments in Sydney on record.</w:t>
      </w:r>
    </w:p>
    <w:p w:rsidR="00E842BF" w:rsidRDefault="00E842BF" w:rsidP="00E842BF">
      <w:pPr>
        <w:spacing w:before="0"/>
        <w:jc w:val="both"/>
      </w:pPr>
    </w:p>
    <w:p w:rsidR="00D04B68" w:rsidRDefault="00D04B68" w:rsidP="00E842BF">
      <w:pPr>
        <w:spacing w:before="0"/>
        <w:jc w:val="both"/>
      </w:pPr>
      <w:r>
        <w:t>The AER has received initial comments from a number of participants submitting demand fo</w:t>
      </w:r>
      <w:r w:rsidR="00F34C8D">
        <w:t>recasts for the Sydney STTM hub</w:t>
      </w:r>
      <w:r>
        <w:t xml:space="preserve">. There has been some contention that apparent </w:t>
      </w:r>
      <w:r w:rsidR="00ED749C">
        <w:t xml:space="preserve">poor </w:t>
      </w:r>
      <w:r>
        <w:t>forecasts may be impacted by changes to allocation data throughout revised settlement runs</w:t>
      </w:r>
      <w:r w:rsidR="00F34C8D">
        <w:t>,</w:t>
      </w:r>
      <w:r>
        <w:t xml:space="preserve"> including revisions</w:t>
      </w:r>
      <w:r w:rsidR="00ED749C">
        <w:t xml:space="preserve"> 9 months later</w:t>
      </w:r>
      <w:r>
        <w:t>. These revisions may influence the proportional split of gas allocations bet</w:t>
      </w:r>
      <w:r w:rsidR="00857E0C">
        <w:t xml:space="preserve">ween hub participants. The AER will continue to assess these claims in </w:t>
      </w:r>
      <w:r w:rsidR="00857E0C" w:rsidRPr="00D74D35">
        <w:t xml:space="preserve">detail, </w:t>
      </w:r>
      <w:r w:rsidRPr="00D74D35">
        <w:t>along w</w:t>
      </w:r>
      <w:r w:rsidR="00857E0C" w:rsidRPr="00D74D35">
        <w:t>ith</w:t>
      </w:r>
      <w:r w:rsidRPr="00D74D35">
        <w:t xml:space="preserve"> the </w:t>
      </w:r>
      <w:r w:rsidRPr="00C37E80">
        <w:t xml:space="preserve">degree to which short-term forecasting is being monitored to the required standard under the </w:t>
      </w:r>
      <w:r w:rsidR="006156A0" w:rsidRPr="00C37E80">
        <w:t>Gas Rules</w:t>
      </w:r>
      <w:r w:rsidR="004526DE" w:rsidRPr="00C37E80">
        <w:rPr>
          <w:rStyle w:val="FootnoteReference"/>
        </w:rPr>
        <w:footnoteReference w:id="9"/>
      </w:r>
      <w:r w:rsidRPr="00C37E80">
        <w:t xml:space="preserve">. </w:t>
      </w:r>
      <w:r w:rsidR="00D21FBA" w:rsidRPr="00C37E80">
        <w:t xml:space="preserve">The AER will </w:t>
      </w:r>
      <w:r w:rsidR="00560D57" w:rsidRPr="00C37E80">
        <w:t>also analyse</w:t>
      </w:r>
      <w:r w:rsidR="00D21FBA" w:rsidRPr="00C37E80">
        <w:t xml:space="preserve"> the </w:t>
      </w:r>
      <w:r w:rsidR="00F06502" w:rsidRPr="00C37E80">
        <w:t xml:space="preserve">demand </w:t>
      </w:r>
      <w:r w:rsidR="00D21FBA" w:rsidRPr="00C37E80">
        <w:t xml:space="preserve">forecasting of participants </w:t>
      </w:r>
      <w:r w:rsidR="00F06502" w:rsidRPr="00C37E80">
        <w:t>against long range</w:t>
      </w:r>
      <w:r w:rsidR="00D21FBA" w:rsidRPr="00C37E80">
        <w:t xml:space="preserve"> data and will meet with market par</w:t>
      </w:r>
      <w:r w:rsidR="00560D57" w:rsidRPr="00C37E80">
        <w:t>ticipants to gain more insight. As shown in figure 2, over forecasting is now a long term trend for the Sydney hub</w:t>
      </w:r>
      <w:r w:rsidR="00560D57" w:rsidRPr="00C37E80">
        <w:rPr>
          <w:rStyle w:val="FootnoteReference"/>
        </w:rPr>
        <w:footnoteReference w:id="10"/>
      </w:r>
      <w:r w:rsidR="00560D57" w:rsidRPr="00C37E80">
        <w:t>.</w:t>
      </w:r>
    </w:p>
    <w:p w:rsidR="00126851" w:rsidRDefault="00D04B68" w:rsidP="00857E0C">
      <w:pPr>
        <w:jc w:val="both"/>
      </w:pPr>
      <w:r>
        <w:t>Any compliance matters which may arise from our investigations will be reported in upcoming QCRs.</w:t>
      </w:r>
    </w:p>
    <w:p w:rsidR="00C66C6F" w:rsidRDefault="00C66C6F" w:rsidP="00C66C6F">
      <w:pPr>
        <w:pStyle w:val="Heading3"/>
        <w:numPr>
          <w:ilvl w:val="2"/>
          <w:numId w:val="34"/>
        </w:numPr>
      </w:pPr>
      <w:bookmarkStart w:id="18" w:name="_Toc466452020"/>
      <w:r w:rsidRPr="00C96D38">
        <w:rPr>
          <w:szCs w:val="28"/>
        </w:rPr>
        <w:t xml:space="preserve">Significant Price Variations over </w:t>
      </w:r>
      <w:r>
        <w:rPr>
          <w:szCs w:val="28"/>
        </w:rPr>
        <w:t>w</w:t>
      </w:r>
      <w:r w:rsidRPr="00C96D38">
        <w:rPr>
          <w:szCs w:val="28"/>
        </w:rPr>
        <w:t>inter</w:t>
      </w:r>
      <w:r>
        <w:rPr>
          <w:szCs w:val="28"/>
        </w:rPr>
        <w:t xml:space="preserve"> 2016</w:t>
      </w:r>
      <w:bookmarkEnd w:id="18"/>
    </w:p>
    <w:p w:rsidR="002D08ED" w:rsidRDefault="002D08ED" w:rsidP="00C96D38">
      <w:pPr>
        <w:jc w:val="both"/>
      </w:pPr>
      <w:r>
        <w:t>The AER identified 11</w:t>
      </w:r>
      <w:r w:rsidRPr="00AA07FF">
        <w:t xml:space="preserve"> </w:t>
      </w:r>
      <w:r>
        <w:t>Significant Price Variations (SPVs) across</w:t>
      </w:r>
      <w:r w:rsidR="008146B3">
        <w:t xml:space="preserve"> the STTM’s three hubs (Adelaide, Sydney and Brisbane)</w:t>
      </w:r>
      <w:r>
        <w:t xml:space="preserve"> during July</w:t>
      </w:r>
      <w:r w:rsidR="008146B3">
        <w:t xml:space="preserve"> and August 26</w:t>
      </w:r>
      <w:r>
        <w:t xml:space="preserve">. No compliance issues have </w:t>
      </w:r>
      <w:r>
        <w:lastRenderedPageBreak/>
        <w:t>been identified but the AER is analysing the SPV events and will publish a report in accordance with its obligation under the Gas Rules.</w:t>
      </w:r>
    </w:p>
    <w:p w:rsidR="00C96D38" w:rsidRPr="00C37E80" w:rsidRDefault="00F34C8D" w:rsidP="00C96D38">
      <w:pPr>
        <w:jc w:val="both"/>
      </w:pPr>
      <w:r>
        <w:t>The</w:t>
      </w:r>
      <w:r w:rsidR="00C96D38">
        <w:t xml:space="preserve"> </w:t>
      </w:r>
      <w:r w:rsidR="002D08ED">
        <w:t xml:space="preserve">July </w:t>
      </w:r>
      <w:r w:rsidR="008146B3">
        <w:t xml:space="preserve">and August </w:t>
      </w:r>
      <w:r w:rsidR="00C96D38">
        <w:t>forecasting error trends</w:t>
      </w:r>
      <w:r w:rsidR="002D08ED">
        <w:t>,</w:t>
      </w:r>
      <w:r w:rsidR="00C96D38">
        <w:t xml:space="preserve"> for </w:t>
      </w:r>
      <w:r>
        <w:t xml:space="preserve">the </w:t>
      </w:r>
      <w:r w:rsidR="00C96D38">
        <w:t xml:space="preserve">Sydney </w:t>
      </w:r>
      <w:r w:rsidR="008146B3">
        <w:t>hub</w:t>
      </w:r>
      <w:r w:rsidR="002D08ED">
        <w:t>,</w:t>
      </w:r>
      <w:r>
        <w:t xml:space="preserve"> </w:t>
      </w:r>
      <w:r w:rsidR="002D08ED">
        <w:t xml:space="preserve">will be covered in the </w:t>
      </w:r>
      <w:r w:rsidR="00C96D38">
        <w:t>upcomi</w:t>
      </w:r>
      <w:r w:rsidR="002D08ED">
        <w:t>ng SPV</w:t>
      </w:r>
      <w:r w:rsidR="008146B3">
        <w:t xml:space="preserve"> report. </w:t>
      </w:r>
      <w:r w:rsidR="00C96D38">
        <w:t>Analysis i</w:t>
      </w:r>
      <w:r w:rsidR="002D08ED">
        <w:t>ncluded in the report will highlight</w:t>
      </w:r>
      <w:r w:rsidR="00C96D38">
        <w:t xml:space="preserve"> the significant MOS requirements and increased service costs </w:t>
      </w:r>
      <w:r w:rsidR="008146B3">
        <w:t>(</w:t>
      </w:r>
      <w:r w:rsidR="00C96D38">
        <w:t>over July and August</w:t>
      </w:r>
      <w:r w:rsidR="008146B3">
        <w:t xml:space="preserve">) </w:t>
      </w:r>
      <w:r w:rsidR="0010056A">
        <w:t>and how these were</w:t>
      </w:r>
      <w:r w:rsidR="00C96D38">
        <w:t xml:space="preserve"> </w:t>
      </w:r>
      <w:r w:rsidR="00C96D38" w:rsidRPr="00C37E80">
        <w:t xml:space="preserve">associated with demand forecasting errors (among other factors). </w:t>
      </w:r>
    </w:p>
    <w:p w:rsidR="00D81951" w:rsidRPr="00C37E80" w:rsidRDefault="00D81951" w:rsidP="00C96D38">
      <w:pPr>
        <w:jc w:val="both"/>
      </w:pPr>
      <w:r w:rsidRPr="00C37E80">
        <w:t xml:space="preserve">We note that the AER endeavours to </w:t>
      </w:r>
      <w:r w:rsidR="00E84868" w:rsidRPr="00C37E80">
        <w:t>publish its SPV reports for</w:t>
      </w:r>
      <w:r w:rsidRPr="00C37E80">
        <w:t xml:space="preserve"> gas and </w:t>
      </w:r>
      <w:r w:rsidR="00E84868" w:rsidRPr="00C37E80">
        <w:t xml:space="preserve">$5000/MWh reports for </w:t>
      </w:r>
      <w:r w:rsidRPr="00C37E80">
        <w:t>electricity in a timely manner</w:t>
      </w:r>
      <w:r w:rsidR="00B4051D" w:rsidRPr="00C37E80">
        <w:t xml:space="preserve">. </w:t>
      </w:r>
      <w:r w:rsidR="00BB2F6A" w:rsidRPr="00C37E80">
        <w:t>Whilst the AE</w:t>
      </w:r>
      <w:r w:rsidR="00E84868" w:rsidRPr="00C37E80">
        <w:t>R is required to publish these</w:t>
      </w:r>
      <w:r w:rsidR="00BB2F6A" w:rsidRPr="00C37E80">
        <w:t xml:space="preserve"> reports within given timeframes (as required by the Gas Rules and Electricity Rules), the </w:t>
      </w:r>
      <w:r w:rsidR="0020552D" w:rsidRPr="00C37E80">
        <w:t>significant lead times</w:t>
      </w:r>
      <w:r w:rsidR="00EF03DD" w:rsidRPr="00C37E80">
        <w:t xml:space="preserve"> are indicative of</w:t>
      </w:r>
      <w:r w:rsidR="0020552D" w:rsidRPr="00C37E80">
        <w:t xml:space="preserve"> the complexity of the research and analysis involved. The AER sometimes makes full </w:t>
      </w:r>
      <w:r w:rsidR="00EF03DD" w:rsidRPr="00C37E80">
        <w:t xml:space="preserve">use </w:t>
      </w:r>
      <w:r w:rsidR="0020552D" w:rsidRPr="00C37E80">
        <w:t>of thes</w:t>
      </w:r>
      <w:r w:rsidR="00E84868" w:rsidRPr="00C37E80">
        <w:t>e timeframes to ensure that these</w:t>
      </w:r>
      <w:r w:rsidR="00EF03DD" w:rsidRPr="00C37E80">
        <w:t xml:space="preserve"> </w:t>
      </w:r>
      <w:r w:rsidR="00E84868" w:rsidRPr="00C37E80">
        <w:t>reports</w:t>
      </w:r>
      <w:r w:rsidR="00EF03DD" w:rsidRPr="00C37E80">
        <w:t xml:space="preserve"> </w:t>
      </w:r>
      <w:r w:rsidR="00E84868" w:rsidRPr="00C37E80">
        <w:t>are accurate,</w:t>
      </w:r>
      <w:r w:rsidR="0020552D" w:rsidRPr="00C37E80">
        <w:t xml:space="preserve"> comprehensive</w:t>
      </w:r>
      <w:r w:rsidR="00EF03DD" w:rsidRPr="00C37E80">
        <w:t xml:space="preserve"> and reflective of consultations with market participants.</w:t>
      </w:r>
    </w:p>
    <w:p w:rsidR="00C66C6F" w:rsidRDefault="00C66C6F" w:rsidP="00C66C6F">
      <w:pPr>
        <w:pStyle w:val="Heading3"/>
        <w:numPr>
          <w:ilvl w:val="2"/>
          <w:numId w:val="34"/>
        </w:numPr>
      </w:pPr>
      <w:bookmarkStart w:id="19" w:name="_Toc466452021"/>
      <w:r>
        <w:rPr>
          <w:szCs w:val="28"/>
        </w:rPr>
        <w:t xml:space="preserve">Allocations Data Submissions - </w:t>
      </w:r>
      <w:r w:rsidRPr="00126851">
        <w:rPr>
          <w:szCs w:val="28"/>
        </w:rPr>
        <w:t>APA Group</w:t>
      </w:r>
      <w:bookmarkEnd w:id="19"/>
    </w:p>
    <w:p w:rsidR="00F32032" w:rsidRDefault="00126851" w:rsidP="00C66C6F">
      <w:r>
        <w:t>A</w:t>
      </w:r>
      <w:r w:rsidRPr="002812B0">
        <w:t xml:space="preserve"> compliance matter arose on </w:t>
      </w:r>
      <w:r>
        <w:t xml:space="preserve">8 July, with respect to price outcomes at the Brisbane hub. APA Group failed to provide AEMO with gas allocations for the Roma to Brisbane Pipeline (for the previous day) by the required cut-off time (the allocation data is used to determine prices for the Brisbane hub for the previous day). AEMO extended the cut-off time but was required to use a provisional price until APA Group submitted its allocations later in the day. </w:t>
      </w:r>
      <w:r w:rsidRPr="00CB1AE1">
        <w:t xml:space="preserve">The </w:t>
      </w:r>
      <w:r>
        <w:t>provisional and delayed prices were</w:t>
      </w:r>
      <w:r w:rsidRPr="00CB1AE1">
        <w:t xml:space="preserve"> </w:t>
      </w:r>
      <w:r>
        <w:t xml:space="preserve">ultimately </w:t>
      </w:r>
      <w:r w:rsidRPr="00CB1AE1">
        <w:t>the same</w:t>
      </w:r>
      <w:r>
        <w:t xml:space="preserve"> and there was no market impact.</w:t>
      </w:r>
    </w:p>
    <w:p w:rsidR="00126851" w:rsidRDefault="00F32032" w:rsidP="00F32032">
      <w:pPr>
        <w:spacing w:before="240"/>
      </w:pPr>
      <w:r>
        <w:t>AEMO’s STTM event notice attributes the</w:t>
      </w:r>
      <w:r w:rsidR="002A0F5C">
        <w:t xml:space="preserve"> incident to an</w:t>
      </w:r>
      <w:r w:rsidR="00126851">
        <w:t xml:space="preserve"> IT systems error, namely a data-entry oversight. Whilst such mistakes may arise from time-to-time, the AER stresses the importance of accurate allocations data to avoid providing misleading price information to market participants and to preserve confidence in market settlement processes. All participants should regularly review their IT systems and periodically re-train operations staff.</w:t>
      </w:r>
    </w:p>
    <w:p w:rsidR="00126851" w:rsidRPr="002C3C12" w:rsidRDefault="00126851" w:rsidP="00126851">
      <w:pPr>
        <w:spacing w:before="0"/>
      </w:pPr>
    </w:p>
    <w:p w:rsidR="00856EBC" w:rsidRDefault="00856EBC" w:rsidP="00C96D38">
      <w:pPr>
        <w:pStyle w:val="Heading2"/>
        <w:keepNext/>
        <w:spacing w:before="0"/>
        <w:ind w:left="680" w:hanging="680"/>
      </w:pPr>
      <w:bookmarkStart w:id="20" w:name="_Toc466452022"/>
      <w:r>
        <w:t>Victor</w:t>
      </w:r>
      <w:r w:rsidRPr="00F00D3B">
        <w:t>ian Gas Market</w:t>
      </w:r>
      <w:bookmarkEnd w:id="20"/>
    </w:p>
    <w:p w:rsidR="00C66C6F" w:rsidRDefault="00C66C6F" w:rsidP="00C66C6F">
      <w:pPr>
        <w:pStyle w:val="Heading3"/>
        <w:numPr>
          <w:ilvl w:val="2"/>
          <w:numId w:val="32"/>
        </w:numPr>
      </w:pPr>
      <w:bookmarkStart w:id="21" w:name="_Toc466452023"/>
      <w:r w:rsidRPr="00C66C6F">
        <w:rPr>
          <w:rFonts w:asciiTheme="majorHAnsi" w:eastAsia="Calibri" w:hAnsiTheme="majorHAnsi" w:cstheme="majorHAnsi"/>
          <w:szCs w:val="28"/>
        </w:rPr>
        <w:t>Longford Gas Plant Outage</w:t>
      </w:r>
      <w:bookmarkEnd w:id="21"/>
    </w:p>
    <w:p w:rsidR="00126527" w:rsidRDefault="00126527" w:rsidP="00126527">
      <w:pPr>
        <w:spacing w:before="120"/>
      </w:pPr>
      <w:r w:rsidRPr="00AB7360">
        <w:rPr>
          <w:rFonts w:asciiTheme="minorHAnsi" w:eastAsia="Calibri" w:hAnsiTheme="minorHAnsi" w:cstheme="minorHAnsi"/>
        </w:rPr>
        <w:t>On 1 October</w:t>
      </w:r>
      <w:r w:rsidR="008146B3">
        <w:rPr>
          <w:rFonts w:asciiTheme="minorHAnsi" w:eastAsia="Calibri" w:hAnsiTheme="minorHAnsi" w:cstheme="minorHAnsi"/>
        </w:rPr>
        <w:t xml:space="preserve"> 2016</w:t>
      </w:r>
      <w:r w:rsidRPr="00AB7360">
        <w:rPr>
          <w:rFonts w:asciiTheme="minorHAnsi" w:eastAsia="Calibri" w:hAnsiTheme="minorHAnsi" w:cstheme="minorHAnsi"/>
        </w:rPr>
        <w:t xml:space="preserve">, a Significant Price Variation (SPV) occurred </w:t>
      </w:r>
      <w:r>
        <w:rPr>
          <w:rFonts w:asciiTheme="minorHAnsi" w:eastAsia="Calibri" w:hAnsiTheme="minorHAnsi" w:cstheme="minorHAnsi"/>
        </w:rPr>
        <w:t xml:space="preserve">in Victoria’s </w:t>
      </w:r>
      <w:r>
        <w:t>Declared Wholesale Gas Market (DWGM)</w:t>
      </w:r>
      <w:r w:rsidRPr="00AB7360">
        <w:rPr>
          <w:rFonts w:asciiTheme="minorHAnsi" w:eastAsia="Calibri" w:hAnsiTheme="minorHAnsi" w:cstheme="minorHAnsi"/>
        </w:rPr>
        <w:t>. The SPV followed an unscheduled</w:t>
      </w:r>
      <w:r>
        <w:rPr>
          <w:rFonts w:asciiTheme="minorHAnsi" w:eastAsia="Calibri" w:hAnsiTheme="minorHAnsi" w:cstheme="minorHAnsi"/>
        </w:rPr>
        <w:t xml:space="preserve"> </w:t>
      </w:r>
      <w:r w:rsidRPr="00AB7360">
        <w:rPr>
          <w:rFonts w:asciiTheme="minorHAnsi" w:eastAsia="Calibri" w:hAnsiTheme="minorHAnsi" w:cstheme="minorHAnsi"/>
        </w:rPr>
        <w:t xml:space="preserve">outage at the Longford </w:t>
      </w:r>
      <w:r>
        <w:rPr>
          <w:rFonts w:asciiTheme="minorHAnsi" w:eastAsia="Calibri" w:hAnsiTheme="minorHAnsi" w:cstheme="minorHAnsi"/>
        </w:rPr>
        <w:t>gas plant at 4:26AM. T</w:t>
      </w:r>
      <w:r w:rsidRPr="00AB7360">
        <w:rPr>
          <w:rFonts w:asciiTheme="minorHAnsi" w:eastAsia="Calibri" w:hAnsiTheme="minorHAnsi" w:cstheme="minorHAnsi"/>
        </w:rPr>
        <w:t xml:space="preserve">otal production </w:t>
      </w:r>
      <w:r>
        <w:rPr>
          <w:rFonts w:asciiTheme="minorHAnsi" w:eastAsia="Calibri" w:hAnsiTheme="minorHAnsi" w:cstheme="minorHAnsi"/>
        </w:rPr>
        <w:t xml:space="preserve">ceased </w:t>
      </w:r>
      <w:r w:rsidRPr="00AB7360">
        <w:rPr>
          <w:rFonts w:asciiTheme="minorHAnsi" w:eastAsia="Calibri" w:hAnsiTheme="minorHAnsi" w:cstheme="minorHAnsi"/>
        </w:rPr>
        <w:t>across Longf</w:t>
      </w:r>
      <w:r>
        <w:rPr>
          <w:rFonts w:asciiTheme="minorHAnsi" w:eastAsia="Calibri" w:hAnsiTheme="minorHAnsi" w:cstheme="minorHAnsi"/>
        </w:rPr>
        <w:t>ord’s three independent plants, requiring AEMO to issue</w:t>
      </w:r>
      <w:r w:rsidRPr="00AB7360">
        <w:rPr>
          <w:rFonts w:asciiTheme="minorHAnsi" w:eastAsia="Calibri" w:hAnsiTheme="minorHAnsi" w:cstheme="minorHAnsi"/>
        </w:rPr>
        <w:t xml:space="preserve"> a "declaration of t</w:t>
      </w:r>
      <w:r>
        <w:rPr>
          <w:rFonts w:asciiTheme="minorHAnsi" w:eastAsia="Calibri" w:hAnsiTheme="minorHAnsi" w:cstheme="minorHAnsi"/>
        </w:rPr>
        <w:t>hreat to system security" in Victoria</w:t>
      </w:r>
      <w:r w:rsidRPr="00AB7360">
        <w:rPr>
          <w:rFonts w:asciiTheme="minorHAnsi" w:eastAsia="Calibri" w:hAnsiTheme="minorHAnsi" w:cstheme="minorHAnsi"/>
        </w:rPr>
        <w:t>.</w:t>
      </w:r>
      <w:r>
        <w:rPr>
          <w:rFonts w:asciiTheme="minorHAnsi" w:eastAsia="Calibri" w:hAnsiTheme="minorHAnsi" w:cstheme="minorHAnsi"/>
        </w:rPr>
        <w:t xml:space="preserve"> Scheduled prices on the day, </w:t>
      </w:r>
      <w:r w:rsidRPr="008B61A6">
        <w:rPr>
          <w:rFonts w:asciiTheme="minorHAnsi" w:eastAsia="Calibri" w:hAnsiTheme="minorHAnsi" w:cstheme="minorHAnsi"/>
        </w:rPr>
        <w:t>ranged between $9.99/GJ and</w:t>
      </w:r>
      <w:r>
        <w:rPr>
          <w:rFonts w:asciiTheme="minorHAnsi" w:eastAsia="Calibri" w:hAnsiTheme="minorHAnsi" w:cstheme="minorHAnsi"/>
        </w:rPr>
        <w:t xml:space="preserve"> $33.75/GJ and </w:t>
      </w:r>
      <w:r w:rsidRPr="008B61A6">
        <w:rPr>
          <w:rFonts w:asciiTheme="minorHAnsi" w:hAnsiTheme="minorHAnsi" w:cstheme="minorHAnsi"/>
        </w:rPr>
        <w:t>approximately $3.1 million in ancillary payments were generated across the market.</w:t>
      </w:r>
      <w:r w:rsidRPr="00F8440C">
        <w:t xml:space="preserve"> </w:t>
      </w:r>
      <w:r>
        <w:t>AEMO subsequently published a market intervention report on 14 October.</w:t>
      </w:r>
    </w:p>
    <w:p w:rsidR="00126527" w:rsidRPr="00AB7360" w:rsidRDefault="00126527" w:rsidP="00126527">
      <w:pPr>
        <w:spacing w:before="0"/>
        <w:rPr>
          <w:rFonts w:asciiTheme="minorHAnsi" w:eastAsia="Calibri" w:hAnsiTheme="minorHAnsi" w:cstheme="minorHAnsi"/>
        </w:rPr>
      </w:pPr>
    </w:p>
    <w:p w:rsidR="00126527" w:rsidRDefault="00126527" w:rsidP="00126527">
      <w:pPr>
        <w:spacing w:before="0"/>
      </w:pPr>
      <w:r>
        <w:t>In accordance with its obligations under the Gas Rules, the AER will publish a report on the Victorian SPV event. No compliance issues have been identified at this stage but questions have been raised concerning the timeliness of the information provided to both AEMO and the market. This includes notifications on the outage and subsequent notices on plant re-start schedules. The AER will examine these issues further and any findings will be published as part of the SPV report.</w:t>
      </w:r>
    </w:p>
    <w:p w:rsidR="00C96D38" w:rsidRDefault="001C022A" w:rsidP="00C66C6F">
      <w:pPr>
        <w:pStyle w:val="Heading3"/>
      </w:pPr>
      <w:bookmarkStart w:id="22" w:name="_Toc466452024"/>
      <w:r>
        <w:lastRenderedPageBreak/>
        <w:t>Demand F</w:t>
      </w:r>
      <w:r w:rsidR="00C96D38">
        <w:t>orecasting in Victoria</w:t>
      </w:r>
      <w:bookmarkEnd w:id="22"/>
    </w:p>
    <w:p w:rsidR="00C96D38" w:rsidRDefault="008146B3" w:rsidP="00C96D38">
      <w:pPr>
        <w:jc w:val="both"/>
      </w:pPr>
      <w:r>
        <w:t>The Gas Rules</w:t>
      </w:r>
      <w:r>
        <w:rPr>
          <w:rStyle w:val="FootnoteReference"/>
        </w:rPr>
        <w:footnoteReference w:id="11"/>
      </w:r>
      <w:r>
        <w:t xml:space="preserve"> require</w:t>
      </w:r>
      <w:r w:rsidR="00C96D38">
        <w:t xml:space="preserve"> each Victorian Declared Wholesale Gas Market (DWGM) trading participant</w:t>
      </w:r>
      <w:r w:rsidR="00034CD8">
        <w:t>,</w:t>
      </w:r>
      <w:r w:rsidR="00C96D38">
        <w:t xml:space="preserve"> who expects to withdraw quantities of natural gas from the DWGM on a gas day</w:t>
      </w:r>
      <w:r w:rsidR="00034CD8">
        <w:t>,</w:t>
      </w:r>
      <w:r w:rsidR="00C96D38">
        <w:t xml:space="preserve"> to submit</w:t>
      </w:r>
      <w:r w:rsidR="00034CD8">
        <w:t>,</w:t>
      </w:r>
      <w:r w:rsidR="00C96D38">
        <w:t xml:space="preserve"> in good faith</w:t>
      </w:r>
      <w:r w:rsidR="00034CD8">
        <w:t>,</w:t>
      </w:r>
      <w:r w:rsidR="00C96D38">
        <w:t xml:space="preserve"> demand quantities which represent the participant’s best estimate of the quantity it expects to withdraw</w:t>
      </w:r>
      <w:r w:rsidR="00034CD8">
        <w:t>,</w:t>
      </w:r>
      <w:r w:rsidR="00C96D38">
        <w:t xml:space="preserve"> in each hour</w:t>
      </w:r>
      <w:r w:rsidR="00034CD8">
        <w:t>,</w:t>
      </w:r>
      <w:r w:rsidR="00C96D38">
        <w:t xml:space="preserve"> of the relevant scheduling horizon.</w:t>
      </w:r>
    </w:p>
    <w:p w:rsidR="00C96D38" w:rsidRDefault="00C96D38" w:rsidP="00C96D38">
      <w:pPr>
        <w:jc w:val="both"/>
      </w:pPr>
      <w:r>
        <w:t xml:space="preserve">The AER </w:t>
      </w:r>
      <w:r w:rsidR="00034CD8">
        <w:t>has identified a DWGM</w:t>
      </w:r>
      <w:r>
        <w:t xml:space="preserve"> participant that displayed a consistent over forecasting bias which we believe did not meet the required standard under part 19 of the Gas Rules. The participant’s deman</w:t>
      </w:r>
      <w:r w:rsidR="00034CD8">
        <w:t>d forecast consistently exceeded</w:t>
      </w:r>
      <w:r>
        <w:t xml:space="preserve"> its actual demand</w:t>
      </w:r>
      <w:r w:rsidR="00034CD8">
        <w:t xml:space="preserve"> by more than 20 per cent</w:t>
      </w:r>
      <w:r>
        <w:t>. While the level of demand for the participant was relatively low, the potential to impact price outcomes over the winter period</w:t>
      </w:r>
      <w:r w:rsidR="00034CD8">
        <w:t>,</w:t>
      </w:r>
      <w:r>
        <w:t xml:space="preserve"> during a period of inelastic supply</w:t>
      </w:r>
      <w:r w:rsidR="00034CD8">
        <w:t>, was exacerbated.</w:t>
      </w:r>
    </w:p>
    <w:p w:rsidR="00126851" w:rsidRDefault="00C96D38" w:rsidP="00A842E7">
      <w:pPr>
        <w:jc w:val="both"/>
      </w:pPr>
      <w:r>
        <w:t>The participant was contacted and subsequent correspondence sought commitments</w:t>
      </w:r>
      <w:r w:rsidR="00034CD8">
        <w:t>,</w:t>
      </w:r>
      <w:r>
        <w:t xml:space="preserve"> including the revision of its forecasting methodology and monitoring systems</w:t>
      </w:r>
      <w:r w:rsidR="00034CD8">
        <w:t>,</w:t>
      </w:r>
      <w:r w:rsidR="006E4D71">
        <w:t xml:space="preserve"> to detect forecasting errors. Th</w:t>
      </w:r>
      <w:r>
        <w:t xml:space="preserve">e participant has since given assurances </w:t>
      </w:r>
      <w:r w:rsidR="00217084">
        <w:t xml:space="preserve">to the AER </w:t>
      </w:r>
      <w:r>
        <w:t>regarding these requests and is revi</w:t>
      </w:r>
      <w:r w:rsidR="0010056A">
        <w:t>ewing the performance of its</w:t>
      </w:r>
      <w:r>
        <w:t xml:space="preserve"> systems.</w:t>
      </w:r>
    </w:p>
    <w:p w:rsidR="00C96D38" w:rsidRPr="00CE11FA" w:rsidRDefault="00C96D38" w:rsidP="00C96D38">
      <w:pPr>
        <w:spacing w:before="0"/>
      </w:pPr>
    </w:p>
    <w:p w:rsidR="00AC2CEC" w:rsidRDefault="00AC2CEC" w:rsidP="001A2845">
      <w:pPr>
        <w:pStyle w:val="Heading2"/>
        <w:keepNext/>
        <w:spacing w:before="0"/>
        <w:ind w:left="680" w:hanging="680"/>
      </w:pPr>
      <w:bookmarkStart w:id="23" w:name="_Toc466452025"/>
      <w:r w:rsidRPr="007D2ED8">
        <w:t>Gas Supply Hub</w:t>
      </w:r>
      <w:bookmarkEnd w:id="9"/>
      <w:bookmarkEnd w:id="23"/>
    </w:p>
    <w:p w:rsidR="00C96D38" w:rsidRDefault="001C022A" w:rsidP="00AA3006">
      <w:pPr>
        <w:pStyle w:val="Heading3"/>
        <w:numPr>
          <w:ilvl w:val="2"/>
          <w:numId w:val="35"/>
        </w:numPr>
      </w:pPr>
      <w:bookmarkStart w:id="24" w:name="_Toc466452026"/>
      <w:r>
        <w:t>Wallumbilla Single Market P</w:t>
      </w:r>
      <w:r w:rsidR="00C96D38">
        <w:t>roduct (optional hub services)</w:t>
      </w:r>
      <w:bookmarkEnd w:id="24"/>
    </w:p>
    <w:p w:rsidR="00C96D38" w:rsidRPr="00034CD8" w:rsidRDefault="00C96D38" w:rsidP="00C96D38">
      <w:pPr>
        <w:jc w:val="both"/>
      </w:pPr>
      <w:r w:rsidRPr="00034CD8">
        <w:t>The Wallumbilla Compression Product</w:t>
      </w:r>
      <w:r w:rsidR="00AF58D2">
        <w:t xml:space="preserve"> (optional hub services)</w:t>
      </w:r>
      <w:r w:rsidRPr="00034CD8">
        <w:t xml:space="preserve"> </w:t>
      </w:r>
      <w:r w:rsidR="00AF58D2">
        <w:t xml:space="preserve">for the Wallumbilla Gas Supply Hub Exchange (Wallumbilla Exchange) </w:t>
      </w:r>
      <w:r w:rsidRPr="00034CD8">
        <w:t xml:space="preserve">commenced from 26 October 2016. The Hub Service trading product was implemented as part of the transition to a single </w:t>
      </w:r>
      <w:r w:rsidR="005D32AC">
        <w:t xml:space="preserve">(commodity) </w:t>
      </w:r>
      <w:r w:rsidRPr="00034CD8">
        <w:t>gas</w:t>
      </w:r>
      <w:r w:rsidR="005D32AC">
        <w:t xml:space="preserve"> product </w:t>
      </w:r>
      <w:r w:rsidR="00635EA7">
        <w:t xml:space="preserve">at </w:t>
      </w:r>
      <w:r w:rsidR="00AF58D2">
        <w:t xml:space="preserve">the </w:t>
      </w:r>
      <w:r w:rsidR="00635EA7">
        <w:t>Wallumbilla</w:t>
      </w:r>
      <w:r w:rsidR="00AF58D2">
        <w:t xml:space="preserve"> Exchange</w:t>
      </w:r>
      <w:r w:rsidR="00635EA7">
        <w:t xml:space="preserve">, which </w:t>
      </w:r>
      <w:r w:rsidR="00196C60">
        <w:t>is expected</w:t>
      </w:r>
      <w:r w:rsidRPr="00034CD8">
        <w:t xml:space="preserve"> to go live in March 2017.</w:t>
      </w:r>
      <w:r w:rsidR="005D32AC">
        <w:t xml:space="preserve"> </w:t>
      </w:r>
      <w:r w:rsidR="00AF58D2">
        <w:t>Currently</w:t>
      </w:r>
      <w:r w:rsidR="006C7B29">
        <w:t>,</w:t>
      </w:r>
      <w:r w:rsidR="00AF58D2">
        <w:t xml:space="preserve"> the Wallumbilla Exchange’s liqui</w:t>
      </w:r>
      <w:bookmarkStart w:id="25" w:name="_GoBack"/>
      <w:bookmarkEnd w:id="25"/>
      <w:r w:rsidR="00AF58D2">
        <w:t>dity is spread across three points at the QGP, SWQP and RBP (see figure 1 above).</w:t>
      </w:r>
    </w:p>
    <w:p w:rsidR="00C96D38" w:rsidRPr="00034CD8" w:rsidRDefault="00AF58D2" w:rsidP="00C96D38">
      <w:pPr>
        <w:jc w:val="both"/>
      </w:pPr>
      <w:r>
        <w:t>From October</w:t>
      </w:r>
      <w:r w:rsidR="005E2E90">
        <w:t>,</w:t>
      </w:r>
      <w:r>
        <w:t xml:space="preserve"> t</w:t>
      </w:r>
      <w:r w:rsidR="00C96D38" w:rsidRPr="00034CD8">
        <w:t xml:space="preserve">he hub service </w:t>
      </w:r>
      <w:r>
        <w:t xml:space="preserve">will be </w:t>
      </w:r>
      <w:r w:rsidR="00C96D38" w:rsidRPr="00034CD8">
        <w:t xml:space="preserve">traded </w:t>
      </w:r>
      <w:r>
        <w:t xml:space="preserve">at the Wallumbilla hub on </w:t>
      </w:r>
      <w:r w:rsidR="00C96D38" w:rsidRPr="00034CD8">
        <w:t xml:space="preserve">the </w:t>
      </w:r>
      <w:r>
        <w:t xml:space="preserve">Wallumbilla </w:t>
      </w:r>
      <w:r w:rsidR="00C96D38" w:rsidRPr="00034CD8">
        <w:t>Exchange</w:t>
      </w:r>
      <w:r w:rsidR="005E2E90">
        <w:t>,</w:t>
      </w:r>
      <w:r>
        <w:t xml:space="preserve"> </w:t>
      </w:r>
      <w:r w:rsidR="00C96D38" w:rsidRPr="00034CD8">
        <w:t>where market participants can access compression and redirection services</w:t>
      </w:r>
      <w:r>
        <w:t xml:space="preserve"> (and</w:t>
      </w:r>
      <w:r w:rsidR="005E2E90">
        <w:t>,</w:t>
      </w:r>
      <w:r>
        <w:t xml:space="preserve"> in the case of compression</w:t>
      </w:r>
      <w:r w:rsidR="005E2E90">
        <w:t>,</w:t>
      </w:r>
      <w:r>
        <w:t xml:space="preserve"> where the hub owner or existing contracted shippers may have spare compression for sale)</w:t>
      </w:r>
      <w:r w:rsidR="00C96D38" w:rsidRPr="00034CD8">
        <w:t xml:space="preserve">. </w:t>
      </w:r>
      <w:r>
        <w:t xml:space="preserve">Trades </w:t>
      </w:r>
      <w:r w:rsidRPr="005E2E90">
        <w:t>can</w:t>
      </w:r>
      <w:r>
        <w:t xml:space="preserve"> </w:t>
      </w:r>
      <w:r w:rsidR="00C96D38" w:rsidRPr="00034CD8">
        <w:t>take the form of a location swap, where the seller takes receipt of gas at a low pressure location and then delivers the gas to a high pressure location (via a bare transfer, line pack adjustment or flow offset).</w:t>
      </w:r>
    </w:p>
    <w:p w:rsidR="00E61060" w:rsidRDefault="00AF58D2" w:rsidP="00196C60">
      <w:pPr>
        <w:spacing w:after="240"/>
        <w:jc w:val="both"/>
      </w:pPr>
      <w:r>
        <w:t>We understand</w:t>
      </w:r>
      <w:r w:rsidRPr="00034CD8">
        <w:t xml:space="preserve"> that, in preparation for the new hub service, the low pressure notional point will be available by the end of October and shippers and </w:t>
      </w:r>
      <w:r>
        <w:t xml:space="preserve">the </w:t>
      </w:r>
      <w:r w:rsidRPr="00034CD8">
        <w:t>APA are progressing contract amendments</w:t>
      </w:r>
    </w:p>
    <w:p w:rsidR="00560D57" w:rsidRDefault="00E61060" w:rsidP="00A842E7">
      <w:pPr>
        <w:jc w:val="both"/>
      </w:pPr>
      <w:r>
        <w:t>In accordance with its requirements under the Gas Rules, the AER will monitor trading on the exchange with a view to ensuring that members are compliant with their market conduct obligations.</w:t>
      </w:r>
    </w:p>
    <w:p w:rsidR="00C37E80" w:rsidRDefault="00C37E80">
      <w:pPr>
        <w:spacing w:line="240" w:lineRule="auto"/>
        <w:rPr>
          <w:rFonts w:eastAsiaTheme="majorEastAsia" w:cstheme="majorBidi"/>
          <w:b/>
          <w:bCs/>
          <w:color w:val="70635A" w:themeColor="text2"/>
          <w:sz w:val="28"/>
        </w:rPr>
      </w:pPr>
      <w:r>
        <w:br w:type="page"/>
      </w:r>
    </w:p>
    <w:p w:rsidR="00C96D38" w:rsidRDefault="001C022A" w:rsidP="00134C83">
      <w:pPr>
        <w:pStyle w:val="Heading3"/>
      </w:pPr>
      <w:bookmarkStart w:id="26" w:name="_Toc466452027"/>
      <w:r>
        <w:lastRenderedPageBreak/>
        <w:t>The Moomba H</w:t>
      </w:r>
      <w:r w:rsidR="00C96D38">
        <w:t>ub</w:t>
      </w:r>
      <w:bookmarkEnd w:id="26"/>
    </w:p>
    <w:p w:rsidR="002C3C12" w:rsidRDefault="00635EA7" w:rsidP="001A2845">
      <w:pPr>
        <w:jc w:val="both"/>
      </w:pPr>
      <w:r>
        <w:t>While there has</w:t>
      </w:r>
      <w:r w:rsidR="00C96D38" w:rsidRPr="00034CD8">
        <w:t xml:space="preserve"> been a number of offers and some bidding for gas at the recently int</w:t>
      </w:r>
      <w:r>
        <w:t>roduced Moomba hub, there</w:t>
      </w:r>
      <w:r w:rsidR="00C96D38" w:rsidRPr="00034CD8">
        <w:t xml:space="preserve"> have been no participant transactions facilitating trading of the spread product</w:t>
      </w:r>
      <w:r w:rsidR="00C96D38" w:rsidRPr="00034CD8">
        <w:rPr>
          <w:rStyle w:val="FootnoteReference"/>
        </w:rPr>
        <w:footnoteReference w:id="12"/>
      </w:r>
      <w:r w:rsidR="001A2845">
        <w:t xml:space="preserve"> or gas at Moomba.</w:t>
      </w:r>
    </w:p>
    <w:p w:rsidR="001A2845" w:rsidRPr="00034CD8" w:rsidRDefault="001A2845" w:rsidP="001A2845">
      <w:pPr>
        <w:spacing w:before="0"/>
        <w:jc w:val="both"/>
      </w:pPr>
    </w:p>
    <w:p w:rsidR="00305FCF" w:rsidRDefault="00305FCF" w:rsidP="001A2845">
      <w:pPr>
        <w:pStyle w:val="Heading2"/>
        <w:keepNext/>
        <w:spacing w:before="0"/>
        <w:ind w:left="680" w:hanging="680"/>
      </w:pPr>
      <w:bookmarkStart w:id="27" w:name="_Toc466452028"/>
      <w:r>
        <w:t xml:space="preserve">Retail Market </w:t>
      </w:r>
      <w:r w:rsidR="00D2179B">
        <w:t>P</w:t>
      </w:r>
      <w:r>
        <w:t>rocedures</w:t>
      </w:r>
      <w:bookmarkEnd w:id="27"/>
    </w:p>
    <w:p w:rsidR="002C3C12" w:rsidRPr="0025452E" w:rsidRDefault="002C3C12" w:rsidP="002C3C12">
      <w:r w:rsidRPr="0025452E">
        <w:t>Under the Gas Law, AEMO has the ability to make procedures regulating a retail gas market (Retail Market Procedures).</w:t>
      </w:r>
      <w:r w:rsidRPr="0025452E">
        <w:rPr>
          <w:vertAlign w:val="superscript"/>
        </w:rPr>
        <w:footnoteReference w:id="13"/>
      </w:r>
      <w:r w:rsidRPr="0025452E">
        <w:t xml:space="preserve"> There are four sets of Retail Market Procedures covering Queensland, Victoria, New South Wales and the ACT and South Australia respectively. The procedures impose a number of obligations on participants including in relation to the provision of metering data, the Gas Interface Protocol, customer transfer processes and settlements. Section 91MB of the Gas Law requires compliance with the Retail Market Procedures. </w:t>
      </w:r>
    </w:p>
    <w:p w:rsidR="002C3C12" w:rsidRPr="0025452E" w:rsidRDefault="002C3C12" w:rsidP="002C3C12">
      <w:r w:rsidRPr="00E93F24">
        <w:t>In the event that AEMO has reasonable grounds to suspect a breach of the Retail Market Procedures, it is required under the Gas Law to determine if the breach is material. If AEMO decides the breach is material, AEMO must publish the decision and the reasons for it on its website. AEMO may direct the person suspected of the breach to rectify it or to take specified measures to ensure future compliance (or both). AEMO may also decide to refer the breach to the AER. The obligation to comply with AEMO’s direction is a civil penalty provision.</w:t>
      </w:r>
      <w:r w:rsidRPr="0025452E">
        <w:t xml:space="preserve"> </w:t>
      </w:r>
    </w:p>
    <w:p w:rsidR="002C3C12" w:rsidRDefault="002C3C12" w:rsidP="002C3C12">
      <w:pPr>
        <w:jc w:val="both"/>
      </w:pPr>
      <w:r w:rsidRPr="0025452E">
        <w:t>This quarte</w:t>
      </w:r>
      <w:r>
        <w:t xml:space="preserve">r, AEMO reported the following immaterial breaches of the </w:t>
      </w:r>
      <w:r w:rsidRPr="007818B3">
        <w:t>Retail Market Procedures</w:t>
      </w:r>
      <w:r>
        <w:t>:</w:t>
      </w:r>
    </w:p>
    <w:p w:rsidR="002C3C12" w:rsidRPr="00AB4933" w:rsidRDefault="002C3C12" w:rsidP="00663C98">
      <w:pPr>
        <w:pStyle w:val="ListParagraph"/>
        <w:numPr>
          <w:ilvl w:val="0"/>
          <w:numId w:val="24"/>
        </w:numPr>
      </w:pPr>
      <w:r>
        <w:t xml:space="preserve">AEMO’s, Jemena Gas Networks’ (Jemena) and ActewAGL Distribution’s delay on 2 and 3 May 2016 in providing various required files and reports. </w:t>
      </w:r>
      <w:r w:rsidRPr="005D452D">
        <w:t xml:space="preserve">The late delivery of </w:t>
      </w:r>
      <w:r>
        <w:t>data</w:t>
      </w:r>
      <w:r w:rsidRPr="005D452D">
        <w:t xml:space="preserve"> occurred at the time of a major sy</w:t>
      </w:r>
      <w:r>
        <w:t>stem and process transformation</w:t>
      </w:r>
      <w:r w:rsidRPr="000220D4">
        <w:t xml:space="preserve"> </w:t>
      </w:r>
      <w:r>
        <w:t>following the commencement of the new NSW and ACT retail market arrangements</w:t>
      </w:r>
      <w:r w:rsidR="009272FF">
        <w:t xml:space="preserve"> (NARGP</w:t>
      </w:r>
      <w:r w:rsidR="00196C60">
        <w:rPr>
          <w:rStyle w:val="FootnoteReference"/>
        </w:rPr>
        <w:footnoteReference w:id="14"/>
      </w:r>
      <w:r w:rsidR="009272FF">
        <w:t>)</w:t>
      </w:r>
      <w:r>
        <w:t xml:space="preserve">, which went live on Monday 2 May 2016. </w:t>
      </w:r>
      <w:r>
        <w:br/>
      </w:r>
    </w:p>
    <w:p w:rsidR="002C3C12" w:rsidRPr="002A0D9C" w:rsidRDefault="002C3C12" w:rsidP="00663C98">
      <w:pPr>
        <w:pStyle w:val="NormalWeb"/>
        <w:numPr>
          <w:ilvl w:val="0"/>
          <w:numId w:val="24"/>
        </w:numPr>
        <w:spacing w:line="276" w:lineRule="auto"/>
        <w:rPr>
          <w:rFonts w:asciiTheme="minorHAnsi" w:hAnsiTheme="minorHAnsi" w:cstheme="minorHAnsi"/>
          <w:sz w:val="22"/>
          <w:szCs w:val="22"/>
        </w:rPr>
      </w:pPr>
      <w:r w:rsidRPr="00E93F24">
        <w:rPr>
          <w:rFonts w:asciiTheme="minorHAnsi" w:hAnsiTheme="minorHAnsi" w:cstheme="minorHAnsi"/>
          <w:sz w:val="22"/>
          <w:szCs w:val="22"/>
        </w:rPr>
        <w:t xml:space="preserve">A failure by various retailers including ActewAGL Retail, AGL Energy, Energy Australia, Lumo Energy, Red Energy and TRU </w:t>
      </w:r>
      <w:r w:rsidRPr="00196C60">
        <w:rPr>
          <w:rFonts w:asciiTheme="minorHAnsi" w:hAnsiTheme="minorHAnsi" w:cstheme="minorHAnsi"/>
          <w:sz w:val="22"/>
          <w:szCs w:val="22"/>
        </w:rPr>
        <w:t>Energy</w:t>
      </w:r>
      <w:r w:rsidR="00196C60" w:rsidRPr="00196C60">
        <w:rPr>
          <w:rStyle w:val="FootnoteReference"/>
          <w:rFonts w:asciiTheme="minorHAnsi" w:hAnsiTheme="minorHAnsi" w:cstheme="minorHAnsi"/>
          <w:szCs w:val="22"/>
        </w:rPr>
        <w:footnoteReference w:id="15"/>
      </w:r>
      <w:r w:rsidRPr="00196C60">
        <w:rPr>
          <w:rFonts w:asciiTheme="minorHAnsi" w:hAnsiTheme="minorHAnsi" w:cstheme="minorHAnsi"/>
          <w:sz w:val="22"/>
          <w:szCs w:val="22"/>
        </w:rPr>
        <w:t>,</w:t>
      </w:r>
      <w:r w:rsidRPr="00E93F24">
        <w:rPr>
          <w:rFonts w:asciiTheme="minorHAnsi" w:hAnsiTheme="minorHAnsi" w:cstheme="minorHAnsi"/>
          <w:sz w:val="22"/>
          <w:szCs w:val="22"/>
        </w:rPr>
        <w:t xml:space="preserve"> to advise AEMO </w:t>
      </w:r>
      <w:r>
        <w:rPr>
          <w:rFonts w:asciiTheme="minorHAnsi" w:hAnsiTheme="minorHAnsi" w:cstheme="minorHAnsi"/>
          <w:sz w:val="22"/>
          <w:szCs w:val="22"/>
        </w:rPr>
        <w:t>of</w:t>
      </w:r>
      <w:r w:rsidRPr="00E93F24">
        <w:rPr>
          <w:rFonts w:asciiTheme="minorHAnsi" w:hAnsiTheme="minorHAnsi" w:cstheme="minorHAnsi"/>
          <w:sz w:val="22"/>
          <w:szCs w:val="22"/>
        </w:rPr>
        <w:t xml:space="preserve"> some new connection requests prior to the start of the new NSW and ACT market arrangement</w:t>
      </w:r>
      <w:r>
        <w:rPr>
          <w:rFonts w:asciiTheme="minorHAnsi" w:hAnsiTheme="minorHAnsi" w:cstheme="minorHAnsi"/>
          <w:sz w:val="22"/>
          <w:szCs w:val="22"/>
        </w:rPr>
        <w:t>s</w:t>
      </w:r>
      <w:r w:rsidRPr="00E93F24">
        <w:rPr>
          <w:rFonts w:asciiTheme="minorHAnsi" w:hAnsiTheme="minorHAnsi" w:cstheme="minorHAnsi"/>
          <w:sz w:val="22"/>
          <w:szCs w:val="22"/>
        </w:rPr>
        <w:t>.</w:t>
      </w:r>
      <w:r>
        <w:rPr>
          <w:rFonts w:asciiTheme="minorHAnsi" w:hAnsiTheme="minorHAnsi" w:cstheme="minorHAnsi"/>
          <w:sz w:val="22"/>
          <w:szCs w:val="22"/>
        </w:rPr>
        <w:t xml:space="preserve"> A</w:t>
      </w:r>
      <w:r w:rsidRPr="002A0D9C">
        <w:rPr>
          <w:rFonts w:asciiTheme="minorHAnsi" w:hAnsiTheme="minorHAnsi" w:cstheme="minorHAnsi"/>
          <w:sz w:val="22"/>
          <w:szCs w:val="22"/>
        </w:rPr>
        <w:t>ll th</w:t>
      </w:r>
      <w:r>
        <w:rPr>
          <w:rFonts w:asciiTheme="minorHAnsi" w:hAnsiTheme="minorHAnsi" w:cstheme="minorHAnsi"/>
          <w:sz w:val="22"/>
          <w:szCs w:val="22"/>
        </w:rPr>
        <w:t>ose</w:t>
      </w:r>
      <w:r w:rsidRPr="002A0D9C">
        <w:rPr>
          <w:rFonts w:asciiTheme="minorHAnsi" w:hAnsiTheme="minorHAnsi" w:cstheme="minorHAnsi"/>
          <w:sz w:val="22"/>
          <w:szCs w:val="22"/>
        </w:rPr>
        <w:t xml:space="preserve"> </w:t>
      </w:r>
      <w:r w:rsidR="008A74EE">
        <w:rPr>
          <w:rFonts w:asciiTheme="minorHAnsi" w:hAnsiTheme="minorHAnsi" w:cstheme="minorHAnsi"/>
          <w:sz w:val="22"/>
          <w:szCs w:val="22"/>
        </w:rPr>
        <w:t>Meter Installation Registration Numbers (</w:t>
      </w:r>
      <w:r w:rsidRPr="002A0D9C">
        <w:rPr>
          <w:rFonts w:asciiTheme="minorHAnsi" w:hAnsiTheme="minorHAnsi" w:cstheme="minorHAnsi"/>
          <w:sz w:val="22"/>
          <w:szCs w:val="22"/>
        </w:rPr>
        <w:t>MIRNs</w:t>
      </w:r>
      <w:r w:rsidR="008A74EE">
        <w:rPr>
          <w:rFonts w:asciiTheme="minorHAnsi" w:hAnsiTheme="minorHAnsi" w:cstheme="minorHAnsi"/>
          <w:sz w:val="22"/>
          <w:szCs w:val="22"/>
        </w:rPr>
        <w:t>)</w:t>
      </w:r>
      <w:r w:rsidRPr="002A0D9C">
        <w:rPr>
          <w:rFonts w:asciiTheme="minorHAnsi" w:hAnsiTheme="minorHAnsi" w:cstheme="minorHAnsi"/>
          <w:sz w:val="22"/>
          <w:szCs w:val="22"/>
        </w:rPr>
        <w:t xml:space="preserve"> have now been registered in AEMO</w:t>
      </w:r>
      <w:r>
        <w:rPr>
          <w:rFonts w:asciiTheme="minorHAnsi" w:hAnsiTheme="minorHAnsi" w:cstheme="minorHAnsi"/>
          <w:sz w:val="22"/>
          <w:szCs w:val="22"/>
        </w:rPr>
        <w:t>’s</w:t>
      </w:r>
      <w:r w:rsidRPr="002A0D9C">
        <w:rPr>
          <w:rFonts w:asciiTheme="minorHAnsi" w:hAnsiTheme="minorHAnsi" w:cstheme="minorHAnsi"/>
          <w:sz w:val="22"/>
          <w:szCs w:val="22"/>
        </w:rPr>
        <w:t xml:space="preserve"> Gas Retail Market Business System (GRMBS). </w:t>
      </w:r>
    </w:p>
    <w:p w:rsidR="00775776" w:rsidRDefault="002C3C12" w:rsidP="00F50F59">
      <w:pPr>
        <w:pStyle w:val="ListParagraph"/>
        <w:numPr>
          <w:ilvl w:val="0"/>
          <w:numId w:val="24"/>
        </w:numPr>
      </w:pPr>
      <w:r>
        <w:t>AEMO’s delay</w:t>
      </w:r>
      <w:r w:rsidR="00034052">
        <w:t>,</w:t>
      </w:r>
      <w:r>
        <w:t xml:space="preserve"> o</w:t>
      </w:r>
      <w:r w:rsidRPr="005D452D">
        <w:t>n 16 May 2016</w:t>
      </w:r>
      <w:r w:rsidR="00034052">
        <w:t>,</w:t>
      </w:r>
      <w:r>
        <w:t xml:space="preserve"> in providing the </w:t>
      </w:r>
      <w:r w:rsidRPr="005D452D">
        <w:t>STTM Network Allocation Data (NAD) file for th</w:t>
      </w:r>
      <w:r>
        <w:t xml:space="preserve">e NSW and ACT Gas Retail Market. This delay occurred </w:t>
      </w:r>
      <w:r w:rsidRPr="005D452D">
        <w:t>due to two large Basic Meter Reading Data (BSCMR) files having commenced processing prior to the start of the daily calculation process.</w:t>
      </w:r>
      <w:r>
        <w:t xml:space="preserve"> </w:t>
      </w:r>
      <w:r w:rsidRPr="00AB4933">
        <w:t xml:space="preserve">AEMO has taken </w:t>
      </w:r>
      <w:r>
        <w:t>a series of</w:t>
      </w:r>
      <w:r w:rsidRPr="00AB4933">
        <w:t xml:space="preserve"> actions to </w:t>
      </w:r>
      <w:r>
        <w:t xml:space="preserve">ensure the timely submission of relevant files to </w:t>
      </w:r>
      <w:r w:rsidRPr="00AB4933">
        <w:t>avoid delay of the daily calculation process.</w:t>
      </w:r>
      <w:r w:rsidRPr="006322BE">
        <w:t xml:space="preserve"> </w:t>
      </w:r>
    </w:p>
    <w:p w:rsidR="002C3C12" w:rsidRPr="001C4288" w:rsidRDefault="002C3C12" w:rsidP="00663C98">
      <w:pPr>
        <w:pStyle w:val="ListParagraph"/>
        <w:numPr>
          <w:ilvl w:val="0"/>
          <w:numId w:val="24"/>
        </w:numPr>
        <w:ind w:left="714" w:hanging="357"/>
      </w:pPr>
      <w:r w:rsidRPr="001C4288">
        <w:lastRenderedPageBreak/>
        <w:t>AEMO’s delay</w:t>
      </w:r>
      <w:r w:rsidR="003810BA">
        <w:t>,</w:t>
      </w:r>
      <w:r w:rsidRPr="001C4288">
        <w:t xml:space="preserve"> on </w:t>
      </w:r>
      <w:r w:rsidR="0024138B" w:rsidRPr="001C4288">
        <w:t xml:space="preserve">19, 20 and </w:t>
      </w:r>
      <w:r w:rsidRPr="001C4288">
        <w:t>28</w:t>
      </w:r>
      <w:r w:rsidR="00616CF3" w:rsidRPr="001C4288">
        <w:t xml:space="preserve"> May 2016;</w:t>
      </w:r>
      <w:r w:rsidRPr="001C4288">
        <w:t xml:space="preserve"> 2</w:t>
      </w:r>
      <w:r w:rsidR="00616CF3" w:rsidRPr="001C4288">
        <w:t xml:space="preserve"> and 15</w:t>
      </w:r>
      <w:r w:rsidRPr="001C4288">
        <w:t xml:space="preserve"> June</w:t>
      </w:r>
      <w:r w:rsidR="00616CF3" w:rsidRPr="001C4288">
        <w:t xml:space="preserve"> 2016; and 17 July</w:t>
      </w:r>
      <w:r w:rsidRPr="001C4288">
        <w:t xml:space="preserve"> 2016</w:t>
      </w:r>
      <w:r w:rsidR="003810BA">
        <w:t>,</w:t>
      </w:r>
      <w:r w:rsidRPr="001C4288">
        <w:t xml:space="preserve"> in providing the STTM NAD file for the NSW and ACT Gas Retail Market.</w:t>
      </w:r>
      <w:r w:rsidRPr="001C4288">
        <w:rPr>
          <w:rFonts w:cs="Arial"/>
        </w:rPr>
        <w:t xml:space="preserve"> The</w:t>
      </w:r>
      <w:r w:rsidR="00616CF3" w:rsidRPr="001C4288">
        <w:rPr>
          <w:rFonts w:cs="Arial"/>
        </w:rPr>
        <w:t>se</w:t>
      </w:r>
      <w:r w:rsidRPr="001C4288">
        <w:rPr>
          <w:rFonts w:cs="Arial"/>
        </w:rPr>
        <w:t xml:space="preserve"> incident</w:t>
      </w:r>
      <w:r w:rsidR="0024138B" w:rsidRPr="001C4288">
        <w:rPr>
          <w:rFonts w:cs="Arial"/>
        </w:rPr>
        <w:t xml:space="preserve">s were caused </w:t>
      </w:r>
      <w:r w:rsidR="00616CF3" w:rsidRPr="001C4288">
        <w:rPr>
          <w:rFonts w:cs="Arial"/>
        </w:rPr>
        <w:t>by data processing factors, including</w:t>
      </w:r>
      <w:r w:rsidRPr="001C4288">
        <w:rPr>
          <w:rFonts w:cs="Arial"/>
        </w:rPr>
        <w:t xml:space="preserve"> </w:t>
      </w:r>
      <w:r w:rsidR="001C4288" w:rsidRPr="001C4288">
        <w:rPr>
          <w:rFonts w:cs="Arial"/>
        </w:rPr>
        <w:t>a data allocation error (15 June</w:t>
      </w:r>
      <w:r w:rsidR="00616CF3" w:rsidRPr="001C4288">
        <w:rPr>
          <w:rFonts w:cs="Arial"/>
        </w:rPr>
        <w:t xml:space="preserve">) and </w:t>
      </w:r>
      <w:r w:rsidR="00F50F59" w:rsidRPr="001C4288">
        <w:rPr>
          <w:rFonts w:cs="Arial"/>
        </w:rPr>
        <w:t>a</w:t>
      </w:r>
      <w:r w:rsidRPr="001C4288">
        <w:rPr>
          <w:rFonts w:cs="Arial"/>
        </w:rPr>
        <w:t xml:space="preserve"> large number of estimated </w:t>
      </w:r>
      <w:r w:rsidR="00F50F59" w:rsidRPr="001C4288">
        <w:rPr>
          <w:rFonts w:cs="Arial"/>
        </w:rPr>
        <w:t xml:space="preserve">basic </w:t>
      </w:r>
      <w:r w:rsidRPr="001C4288">
        <w:rPr>
          <w:rFonts w:cs="Arial"/>
        </w:rPr>
        <w:t>meter reads received by the GRMBS</w:t>
      </w:r>
      <w:r w:rsidR="00F50F59" w:rsidRPr="001C4288">
        <w:rPr>
          <w:rFonts w:cs="Arial"/>
        </w:rPr>
        <w:t xml:space="preserve"> on these days</w:t>
      </w:r>
      <w:r w:rsidR="001C4288">
        <w:rPr>
          <w:rFonts w:cs="Arial"/>
        </w:rPr>
        <w:t>; the latter</w:t>
      </w:r>
      <w:r w:rsidR="001C4288" w:rsidRPr="001C4288">
        <w:rPr>
          <w:rFonts w:cs="Arial"/>
        </w:rPr>
        <w:t xml:space="preserve"> leading to </w:t>
      </w:r>
      <w:r w:rsidR="00F50F59" w:rsidRPr="001C4288">
        <w:rPr>
          <w:rFonts w:cs="Arial"/>
        </w:rPr>
        <w:t>extended</w:t>
      </w:r>
      <w:r w:rsidRPr="001C4288">
        <w:rPr>
          <w:rFonts w:cs="Arial"/>
        </w:rPr>
        <w:t xml:space="preserve"> processing time</w:t>
      </w:r>
      <w:r w:rsidR="00F50F59" w:rsidRPr="001C4288">
        <w:rPr>
          <w:rFonts w:cs="Arial"/>
        </w:rPr>
        <w:t xml:space="preserve">s. </w:t>
      </w:r>
      <w:r w:rsidRPr="001C4288">
        <w:rPr>
          <w:rFonts w:cs="Arial"/>
        </w:rPr>
        <w:t xml:space="preserve">AEMO </w:t>
      </w:r>
      <w:r w:rsidR="001C4288" w:rsidRPr="001C4288">
        <w:rPr>
          <w:rFonts w:cs="Arial"/>
        </w:rPr>
        <w:t xml:space="preserve">has manually corrected the error in its GRMBS (15 June event) and has advised that it will continue to identify improvements to its data handling system, including the continued implementation of </w:t>
      </w:r>
      <w:r w:rsidRPr="001C4288">
        <w:rPr>
          <w:rFonts w:cs="Arial"/>
        </w:rPr>
        <w:t>workarounds to process large number</w:t>
      </w:r>
      <w:r w:rsidR="00616CF3" w:rsidRPr="001C4288">
        <w:rPr>
          <w:rFonts w:cs="Arial"/>
        </w:rPr>
        <w:t>s</w:t>
      </w:r>
      <w:r w:rsidRPr="001C4288">
        <w:rPr>
          <w:rFonts w:cs="Arial"/>
        </w:rPr>
        <w:t xml:space="preserve"> of estimated basic meter reads.</w:t>
      </w:r>
    </w:p>
    <w:p w:rsidR="002C3C12" w:rsidRDefault="002C3C12" w:rsidP="005E2E90">
      <w:pPr>
        <w:spacing w:before="120"/>
      </w:pPr>
      <w:r w:rsidRPr="000220D4">
        <w:t xml:space="preserve">In </w:t>
      </w:r>
      <w:r>
        <w:t>previous</w:t>
      </w:r>
      <w:r w:rsidRPr="000220D4">
        <w:t xml:space="preserve"> QCR</w:t>
      </w:r>
      <w:r>
        <w:t>s</w:t>
      </w:r>
      <w:r w:rsidRPr="000220D4">
        <w:t xml:space="preserve"> we reported </w:t>
      </w:r>
      <w:r>
        <w:t xml:space="preserve">on Jemena’s material </w:t>
      </w:r>
      <w:r w:rsidRPr="000220D4">
        <w:t>failure to provide metering data within timeframes specified under clause 21.1 of the NSW and ACT Retail Market Procedures</w:t>
      </w:r>
      <w:r w:rsidR="001A1E50">
        <w:rPr>
          <w:rStyle w:val="FootnoteReference"/>
        </w:rPr>
        <w:footnoteReference w:id="16"/>
      </w:r>
      <w:r w:rsidRPr="000220D4">
        <w:t xml:space="preserve"> between January to July 2015 and September 2015 to January 2016.</w:t>
      </w:r>
      <w:r>
        <w:rPr>
          <w:rStyle w:val="FootnoteReference"/>
        </w:rPr>
        <w:footnoteReference w:id="17"/>
      </w:r>
      <w:r w:rsidRPr="000220D4">
        <w:t xml:space="preserve"> </w:t>
      </w:r>
      <w:r>
        <w:t xml:space="preserve">We indicated that </w:t>
      </w:r>
      <w:r w:rsidRPr="000220D4">
        <w:t xml:space="preserve">Jemena subsequently entered into a reporting arrangement with the AER </w:t>
      </w:r>
      <w:r>
        <w:t>which was due to expire in August 2016. In light of Jemena’s recent performance and related issues, Jemena will continue to report to the AER and AEMO on a monthly basis until the AER is satisfied that this is no longer required.</w:t>
      </w:r>
    </w:p>
    <w:p w:rsidR="002C3C12" w:rsidRPr="002C3C12" w:rsidRDefault="002C3C12" w:rsidP="002C3C12"/>
    <w:p w:rsidR="007F6D06" w:rsidRPr="001C4288" w:rsidRDefault="007F6D06" w:rsidP="007F6D06">
      <w:pPr>
        <w:pStyle w:val="Heading1"/>
      </w:pPr>
      <w:bookmarkStart w:id="28" w:name="_Toc466452029"/>
      <w:r w:rsidRPr="001C4288">
        <w:lastRenderedPageBreak/>
        <w:t>Electricity</w:t>
      </w:r>
      <w:bookmarkEnd w:id="28"/>
    </w:p>
    <w:p w:rsidR="0029310E" w:rsidRPr="001C4288" w:rsidRDefault="0029310E" w:rsidP="0029310E">
      <w:pPr>
        <w:jc w:val="both"/>
      </w:pPr>
      <w:r w:rsidRPr="001C4288">
        <w:t xml:space="preserve">We are responsible for monitoring, investigating and enforcing compliance under the Electricity Law and Rules. This part of the report provides an update on investigations, compliance matters and projects in the electricity market. </w:t>
      </w:r>
    </w:p>
    <w:p w:rsidR="0029310E" w:rsidRPr="00C37E80" w:rsidRDefault="0029310E" w:rsidP="00C66C6F">
      <w:pPr>
        <w:pStyle w:val="Heading2"/>
        <w:keepNext/>
        <w:spacing w:after="240"/>
        <w:ind w:left="578" w:hanging="578"/>
        <w:rPr>
          <w:szCs w:val="32"/>
        </w:rPr>
      </w:pPr>
      <w:bookmarkStart w:id="29" w:name="_Toc466452030"/>
      <w:r w:rsidRPr="00C37E80">
        <w:rPr>
          <w:szCs w:val="32"/>
        </w:rPr>
        <w:t>Rebidding</w:t>
      </w:r>
      <w:bookmarkEnd w:id="29"/>
    </w:p>
    <w:p w:rsidR="0029310E" w:rsidRPr="001C4288" w:rsidRDefault="0029310E" w:rsidP="0029310E">
      <w:pPr>
        <w:jc w:val="both"/>
      </w:pPr>
      <w:r w:rsidRPr="001C4288">
        <w:t>Scheduled generators and market participants operating in the NEM submit offers and bids for each half hour trading interval. The offers and bids include available capacity for up to 10 price bands, and can be varied through rebidding.</w:t>
      </w:r>
      <w:r w:rsidRPr="001C4288">
        <w:rPr>
          <w:rStyle w:val="FootnoteReference"/>
        </w:rPr>
        <w:footnoteReference w:id="18"/>
      </w:r>
    </w:p>
    <w:p w:rsidR="0029310E" w:rsidRPr="001C4288" w:rsidRDefault="0029310E" w:rsidP="0029310E">
      <w:pPr>
        <w:jc w:val="both"/>
      </w:pPr>
      <w:r w:rsidRPr="001C4288">
        <w:t>According to the ‘three stage process’ introduced in late 2010 (updated in 2012),</w:t>
      </w:r>
      <w:r w:rsidRPr="001C4288">
        <w:rPr>
          <w:rStyle w:val="FootnoteReference"/>
        </w:rPr>
        <w:footnoteReference w:id="19"/>
      </w:r>
      <w:r w:rsidRPr="001C4288">
        <w:t xml:space="preserve"> we will consider issuing an infringement notice if we issue three notifications within a six month period to generators who submit offer, bid and/or rebid information that does not meet the requirements of the Electricity Rules. The warning count for a participant is set to zero after six months of the first warning being issued. </w:t>
      </w:r>
    </w:p>
    <w:p w:rsidR="0029310E" w:rsidRPr="000F2714" w:rsidRDefault="0029310E" w:rsidP="0029310E">
      <w:pPr>
        <w:jc w:val="both"/>
      </w:pPr>
      <w:r w:rsidRPr="001C4288">
        <w:t xml:space="preserve">As shown below in </w:t>
      </w:r>
      <w:r w:rsidR="00EB6484">
        <w:fldChar w:fldCharType="begin"/>
      </w:r>
      <w:r w:rsidR="00EB6484">
        <w:instrText xml:space="preserve"> REF _Ref466461009 \h </w:instrText>
      </w:r>
      <w:r w:rsidR="00EB6484">
        <w:fldChar w:fldCharType="separate"/>
      </w:r>
      <w:r w:rsidR="00EB6484">
        <w:t xml:space="preserve">Figure </w:t>
      </w:r>
      <w:r w:rsidR="00EB6484">
        <w:rPr>
          <w:noProof/>
        </w:rPr>
        <w:t>3</w:t>
      </w:r>
      <w:r w:rsidR="00EB6484">
        <w:fldChar w:fldCharType="end"/>
      </w:r>
      <w:r w:rsidRPr="001C4288">
        <w:t>, the number of rebids automatically triggered as requiring initial examination (indicated by the blue area) has fallen markedly since 2011.</w:t>
      </w:r>
      <w:r>
        <w:t xml:space="preserve"> </w:t>
      </w:r>
    </w:p>
    <w:p w:rsidR="00EB6484" w:rsidRDefault="00EB6484" w:rsidP="00EB6484">
      <w:pPr>
        <w:pStyle w:val="Caption"/>
        <w:keepNext/>
      </w:pPr>
      <w:bookmarkStart w:id="30" w:name="_Ref466461009"/>
      <w:r>
        <w:t xml:space="preserve">Figure </w:t>
      </w:r>
      <w:r>
        <w:fldChar w:fldCharType="begin"/>
      </w:r>
      <w:r>
        <w:instrText xml:space="preserve"> SEQ Figure \* ARABIC </w:instrText>
      </w:r>
      <w:r>
        <w:fldChar w:fldCharType="separate"/>
      </w:r>
      <w:r>
        <w:rPr>
          <w:noProof/>
        </w:rPr>
        <w:t>3</w:t>
      </w:r>
      <w:r>
        <w:rPr>
          <w:noProof/>
        </w:rPr>
        <w:fldChar w:fldCharType="end"/>
      </w:r>
      <w:bookmarkEnd w:id="30"/>
      <w:r>
        <w:t xml:space="preserve">: </w:t>
      </w:r>
      <w:r w:rsidRPr="000F2714">
        <w:t>Rebids auto-triggered and reviewed per week (adjusted</w:t>
      </w:r>
      <w:r w:rsidRPr="000F2714">
        <w:rPr>
          <w:rStyle w:val="FootnoteReference"/>
        </w:rPr>
        <w:footnoteReference w:id="20"/>
      </w:r>
      <w:r w:rsidRPr="000F2714">
        <w:t>)</w:t>
      </w:r>
    </w:p>
    <w:p w:rsidR="0029310E" w:rsidRDefault="0029310E" w:rsidP="0029310E">
      <w:pPr>
        <w:jc w:val="both"/>
      </w:pPr>
      <w:r w:rsidRPr="006A1F64">
        <w:rPr>
          <w:noProof/>
          <w:lang w:eastAsia="en-AU"/>
        </w:rPr>
        <w:drawing>
          <wp:inline distT="0" distB="0" distL="0" distR="0" wp14:anchorId="7BE4F722" wp14:editId="19E9CBEA">
            <wp:extent cx="5731510" cy="2498799"/>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1510" cy="2498799"/>
                    </a:xfrm>
                    <a:prstGeom prst="rect">
                      <a:avLst/>
                    </a:prstGeom>
                    <a:noFill/>
                    <a:ln>
                      <a:noFill/>
                    </a:ln>
                  </pic:spPr>
                </pic:pic>
              </a:graphicData>
            </a:graphic>
          </wp:inline>
        </w:drawing>
      </w:r>
    </w:p>
    <w:p w:rsidR="0029310E" w:rsidRPr="0029310E" w:rsidRDefault="0029310E" w:rsidP="0029310E">
      <w:pPr>
        <w:jc w:val="both"/>
      </w:pPr>
      <w:r w:rsidRPr="001C4288">
        <w:lastRenderedPageBreak/>
        <w:t>This quarter there were no warnings issued and one participant had their warning count reset to zero. We received 6 self-reporting notices from participants regarding errors in their rebids during the quarter</w:t>
      </w:r>
      <w:r w:rsidR="00DC4CEA" w:rsidRPr="001C4288">
        <w:t>,</w:t>
      </w:r>
      <w:r w:rsidRPr="001C4288">
        <w:t xml:space="preserve"> which we took no further action on.</w:t>
      </w:r>
    </w:p>
    <w:p w:rsidR="0029310E" w:rsidRDefault="00F3126D" w:rsidP="00C66C6F">
      <w:pPr>
        <w:pStyle w:val="Heading2"/>
        <w:keepNext/>
        <w:spacing w:after="240"/>
        <w:ind w:left="578" w:hanging="578"/>
        <w:rPr>
          <w:szCs w:val="32"/>
        </w:rPr>
      </w:pPr>
      <w:bookmarkStart w:id="31" w:name="_Toc466452031"/>
      <w:r>
        <w:rPr>
          <w:szCs w:val="32"/>
        </w:rPr>
        <w:t>Rebidding and T</w:t>
      </w:r>
      <w:r w:rsidR="0029310E">
        <w:rPr>
          <w:szCs w:val="32"/>
        </w:rPr>
        <w:t>echnical Parameters Guideline</w:t>
      </w:r>
      <w:bookmarkEnd w:id="31"/>
    </w:p>
    <w:p w:rsidR="0029310E" w:rsidRDefault="0029310E" w:rsidP="0029310E">
      <w:r>
        <w:t xml:space="preserve">The Bidding in Good Faith (also known as or False or Misleading) and Generator Ramp Rate rule changes came into effect on 1 July 2016. In response to these rule changes we are required to make consequential amendments to our Rebidding and Technical Parameters Guideline. As the first step in the consultation process, in late September we published a draft Guideline seeking stakeholder comment by 7 November. We received </w:t>
      </w:r>
      <w:r w:rsidR="008A74EE" w:rsidRPr="008A74EE">
        <w:t>several</w:t>
      </w:r>
      <w:r w:rsidRPr="008A74EE">
        <w:t xml:space="preserve"> submissions which</w:t>
      </w:r>
      <w:r>
        <w:t xml:space="preserve"> we will take into account in drafting our next draft Guideline to be published in early December. The final revised Guideline will be published in early 2017.</w:t>
      </w:r>
    </w:p>
    <w:p w:rsidR="0029310E" w:rsidRPr="0029310E" w:rsidRDefault="0029310E" w:rsidP="0029310E">
      <w:r w:rsidRPr="00E93B90">
        <w:t>We note that during this quarter there have been a number of high price events in energy and frequency control ancillary services. The behaviour of the participants during these events will be assessed</w:t>
      </w:r>
      <w:r>
        <w:t xml:space="preserve"> in line with the new rules</w:t>
      </w:r>
      <w:r w:rsidRPr="00E93B90">
        <w:t>.</w:t>
      </w:r>
    </w:p>
    <w:p w:rsidR="00C66C6F" w:rsidRPr="00C66C6F" w:rsidRDefault="00C66C6F" w:rsidP="00C66C6F">
      <w:pPr>
        <w:pStyle w:val="Heading2"/>
        <w:keepNext/>
        <w:spacing w:after="240"/>
        <w:ind w:left="578" w:hanging="578"/>
        <w:rPr>
          <w:szCs w:val="32"/>
        </w:rPr>
      </w:pPr>
      <w:bookmarkStart w:id="32" w:name="_Toc466452032"/>
      <w:r w:rsidRPr="00E51769">
        <w:rPr>
          <w:szCs w:val="32"/>
        </w:rPr>
        <w:t xml:space="preserve">Technical </w:t>
      </w:r>
      <w:r>
        <w:rPr>
          <w:szCs w:val="32"/>
        </w:rPr>
        <w:t>c</w:t>
      </w:r>
      <w:r w:rsidRPr="00E51769">
        <w:rPr>
          <w:szCs w:val="32"/>
        </w:rPr>
        <w:t>ompliance</w:t>
      </w:r>
      <w:r w:rsidRPr="009554C5">
        <w:rPr>
          <w:szCs w:val="32"/>
        </w:rPr>
        <w:t xml:space="preserve"> </w:t>
      </w:r>
      <w:r>
        <w:rPr>
          <w:szCs w:val="32"/>
        </w:rPr>
        <w:t>a</w:t>
      </w:r>
      <w:r w:rsidRPr="009554C5">
        <w:rPr>
          <w:szCs w:val="32"/>
        </w:rPr>
        <w:t>udits – Uranquinty Power Station</w:t>
      </w:r>
      <w:bookmarkEnd w:id="32"/>
    </w:p>
    <w:p w:rsidR="00E056BA" w:rsidRPr="00E056BA" w:rsidRDefault="00E056BA" w:rsidP="00E056BA">
      <w:pPr>
        <w:pStyle w:val="AERbodytextCharCharChar"/>
        <w:spacing w:line="276" w:lineRule="auto"/>
        <w:rPr>
          <w:rFonts w:ascii="Arial" w:hAnsi="Arial" w:cs="Arial"/>
          <w:sz w:val="22"/>
          <w:szCs w:val="22"/>
        </w:rPr>
      </w:pPr>
      <w:r w:rsidRPr="00E056BA">
        <w:rPr>
          <w:rFonts w:ascii="Arial" w:hAnsi="Arial" w:cs="Arial"/>
          <w:sz w:val="22"/>
          <w:szCs w:val="22"/>
        </w:rPr>
        <w:t>Under clause 4.15 (and, specifically, sub-clauses (b) and (c)) of the</w:t>
      </w:r>
      <w:r w:rsidR="007F2CE7">
        <w:rPr>
          <w:rFonts w:ascii="Arial" w:hAnsi="Arial" w:cs="Arial"/>
          <w:sz w:val="22"/>
          <w:szCs w:val="22"/>
        </w:rPr>
        <w:t xml:space="preserve"> Electricity</w:t>
      </w:r>
      <w:r w:rsidRPr="00E056BA">
        <w:rPr>
          <w:rFonts w:ascii="Arial" w:hAnsi="Arial" w:cs="Arial"/>
          <w:sz w:val="22"/>
          <w:szCs w:val="22"/>
        </w:rPr>
        <w:t xml:space="preserve"> Rules, NEM participants responsible for Generators are required to establish and maintain a Generator Performance Standards (</w:t>
      </w:r>
      <w:r w:rsidRPr="00E056BA">
        <w:rPr>
          <w:rFonts w:ascii="Arial" w:hAnsi="Arial" w:cs="Arial"/>
          <w:bCs/>
          <w:sz w:val="22"/>
          <w:szCs w:val="22"/>
        </w:rPr>
        <w:t>GPS</w:t>
      </w:r>
      <w:r w:rsidRPr="00E056BA">
        <w:rPr>
          <w:rFonts w:ascii="Arial" w:hAnsi="Arial" w:cs="Arial"/>
          <w:sz w:val="22"/>
          <w:szCs w:val="22"/>
        </w:rPr>
        <w:t>) compliance program that is, among other things, consistent with the Template issued by the AEMC Reliability Panel and good electricity industry practice.</w:t>
      </w:r>
    </w:p>
    <w:p w:rsidR="00E056BA" w:rsidRPr="00E056BA" w:rsidRDefault="00E056BA" w:rsidP="00E056BA">
      <w:pPr>
        <w:pStyle w:val="AERbodytextCharCharChar"/>
        <w:spacing w:line="276" w:lineRule="auto"/>
        <w:rPr>
          <w:rFonts w:ascii="Arial" w:hAnsi="Arial" w:cs="Arial"/>
          <w:sz w:val="22"/>
          <w:szCs w:val="22"/>
        </w:rPr>
      </w:pPr>
      <w:r w:rsidRPr="00E056BA">
        <w:rPr>
          <w:rFonts w:ascii="Arial" w:hAnsi="Arial" w:cs="Arial"/>
          <w:sz w:val="22"/>
          <w:szCs w:val="22"/>
        </w:rPr>
        <w:t>Since 2007, the AER has been verifying compliance with this obligation by conducting technical compliance audits. The AER has recently concluded its review of the GPS compliance program in place for the Uranquinty Power Station for which Origin Energy is responsible. Key findings and observations include that:</w:t>
      </w:r>
    </w:p>
    <w:p w:rsidR="00E056BA" w:rsidRPr="00E056BA" w:rsidRDefault="00E056BA" w:rsidP="00E056BA">
      <w:pPr>
        <w:pStyle w:val="AERbodytextCharCharChar"/>
        <w:numPr>
          <w:ilvl w:val="0"/>
          <w:numId w:val="30"/>
        </w:numPr>
        <w:spacing w:line="276" w:lineRule="auto"/>
        <w:rPr>
          <w:rFonts w:ascii="Arial" w:hAnsi="Arial" w:cs="Arial"/>
          <w:sz w:val="22"/>
          <w:szCs w:val="22"/>
        </w:rPr>
      </w:pPr>
      <w:r w:rsidRPr="00E056BA">
        <w:rPr>
          <w:rFonts w:ascii="Arial" w:hAnsi="Arial" w:cs="Arial"/>
          <w:sz w:val="22"/>
          <w:szCs w:val="22"/>
        </w:rPr>
        <w:t xml:space="preserve">the GPS framework in place is characterized by clear and logical linkages between technical requirements and the systems and processes, and </w:t>
      </w:r>
    </w:p>
    <w:p w:rsidR="00E056BA" w:rsidRPr="00E056BA" w:rsidRDefault="00E056BA" w:rsidP="00E056BA">
      <w:pPr>
        <w:pStyle w:val="AERbodytextCharCharChar"/>
        <w:numPr>
          <w:ilvl w:val="0"/>
          <w:numId w:val="30"/>
        </w:numPr>
        <w:spacing w:line="276" w:lineRule="auto"/>
        <w:rPr>
          <w:rFonts w:ascii="Arial" w:hAnsi="Arial" w:cs="Arial"/>
          <w:sz w:val="22"/>
          <w:szCs w:val="22"/>
        </w:rPr>
      </w:pPr>
      <w:r w:rsidRPr="00E056BA">
        <w:rPr>
          <w:rFonts w:ascii="Arial" w:hAnsi="Arial" w:cs="Arial"/>
          <w:sz w:val="22"/>
          <w:szCs w:val="22"/>
        </w:rPr>
        <w:t>Uranquinty’s GPS compliance program contains relevant granular information and clearly assigns roles and responsibilities.</w:t>
      </w:r>
    </w:p>
    <w:p w:rsidR="00E056BA" w:rsidRPr="00E056BA" w:rsidRDefault="00E056BA" w:rsidP="00E056BA">
      <w:pPr>
        <w:pStyle w:val="AERbodytextCharCharChar"/>
        <w:spacing w:line="276" w:lineRule="auto"/>
        <w:rPr>
          <w:rFonts w:ascii="Arial" w:hAnsi="Arial" w:cs="Arial"/>
          <w:sz w:val="22"/>
          <w:szCs w:val="22"/>
        </w:rPr>
      </w:pPr>
      <w:r w:rsidRPr="00E056BA">
        <w:rPr>
          <w:rFonts w:ascii="Arial" w:hAnsi="Arial" w:cs="Arial"/>
          <w:sz w:val="22"/>
          <w:szCs w:val="22"/>
        </w:rPr>
        <w:t>In terms of areas for improvement or best practice:</w:t>
      </w:r>
    </w:p>
    <w:p w:rsidR="00E056BA" w:rsidRPr="00E056BA" w:rsidRDefault="00E056BA" w:rsidP="00E056BA">
      <w:pPr>
        <w:pStyle w:val="AERbodytextCharCharChar"/>
        <w:numPr>
          <w:ilvl w:val="0"/>
          <w:numId w:val="30"/>
        </w:numPr>
        <w:spacing w:line="276" w:lineRule="auto"/>
        <w:rPr>
          <w:rFonts w:ascii="Arial" w:hAnsi="Arial" w:cs="Arial"/>
          <w:sz w:val="22"/>
          <w:szCs w:val="22"/>
        </w:rPr>
      </w:pPr>
      <w:r w:rsidRPr="00E056BA">
        <w:rPr>
          <w:rFonts w:ascii="Arial" w:hAnsi="Arial" w:cs="Arial"/>
          <w:sz w:val="22"/>
          <w:szCs w:val="22"/>
        </w:rPr>
        <w:t>all underpinning processes should be integrated in the overarching GPS framework;</w:t>
      </w:r>
    </w:p>
    <w:p w:rsidR="00E056BA" w:rsidRPr="00E056BA" w:rsidRDefault="00E056BA" w:rsidP="00E056BA">
      <w:pPr>
        <w:pStyle w:val="AERbodytextCharCharChar"/>
        <w:numPr>
          <w:ilvl w:val="0"/>
          <w:numId w:val="30"/>
        </w:numPr>
        <w:spacing w:line="276" w:lineRule="auto"/>
        <w:rPr>
          <w:rFonts w:ascii="Arial" w:hAnsi="Arial" w:cs="Arial"/>
          <w:sz w:val="22"/>
          <w:szCs w:val="22"/>
        </w:rPr>
      </w:pPr>
      <w:r w:rsidRPr="00E056BA">
        <w:rPr>
          <w:rFonts w:ascii="Arial" w:hAnsi="Arial" w:cs="Arial"/>
          <w:sz w:val="22"/>
          <w:szCs w:val="22"/>
        </w:rPr>
        <w:t>similarly, all GPS should be part of any risk assessment process in place.</w:t>
      </w:r>
    </w:p>
    <w:p w:rsidR="00E056BA" w:rsidRPr="00E056BA" w:rsidRDefault="00E056BA" w:rsidP="00E056BA">
      <w:pPr>
        <w:pStyle w:val="AERbodytextCharCharChar"/>
        <w:spacing w:line="276" w:lineRule="auto"/>
        <w:rPr>
          <w:rFonts w:ascii="Arial" w:hAnsi="Arial" w:cs="Arial"/>
          <w:sz w:val="22"/>
          <w:szCs w:val="22"/>
        </w:rPr>
      </w:pPr>
      <w:r w:rsidRPr="00E056BA">
        <w:rPr>
          <w:rFonts w:ascii="Arial" w:hAnsi="Arial" w:cs="Arial"/>
          <w:sz w:val="22"/>
          <w:szCs w:val="22"/>
        </w:rPr>
        <w:t>Overall, the AER has found that, thanks to the type of GPS framework and internal expertise in place, Origin Energy appears to have adequate system</w:t>
      </w:r>
      <w:r>
        <w:rPr>
          <w:rFonts w:ascii="Arial" w:hAnsi="Arial" w:cs="Arial"/>
          <w:sz w:val="22"/>
          <w:szCs w:val="22"/>
        </w:rPr>
        <w:t>s</w:t>
      </w:r>
      <w:r w:rsidRPr="00E056BA">
        <w:rPr>
          <w:rFonts w:ascii="Arial" w:hAnsi="Arial" w:cs="Arial"/>
          <w:sz w:val="22"/>
          <w:szCs w:val="22"/>
        </w:rPr>
        <w:t xml:space="preserve"> and procedures that are consistent with the requirements under the </w:t>
      </w:r>
      <w:r w:rsidR="00B03905">
        <w:rPr>
          <w:rFonts w:ascii="Arial" w:hAnsi="Arial" w:cs="Arial"/>
          <w:sz w:val="22"/>
          <w:szCs w:val="22"/>
        </w:rPr>
        <w:t xml:space="preserve">Electricity </w:t>
      </w:r>
      <w:r w:rsidRPr="00E056BA">
        <w:rPr>
          <w:rFonts w:ascii="Arial" w:hAnsi="Arial" w:cs="Arial"/>
          <w:sz w:val="22"/>
          <w:szCs w:val="22"/>
        </w:rPr>
        <w:t>Rules and good electricity industry practice.</w:t>
      </w:r>
    </w:p>
    <w:p w:rsidR="00D72DF0" w:rsidRPr="00D72DF0" w:rsidRDefault="00E056BA" w:rsidP="00E056BA">
      <w:pPr>
        <w:pStyle w:val="AERbodytextCharCharChar"/>
        <w:spacing w:line="276" w:lineRule="auto"/>
        <w:rPr>
          <w:rFonts w:ascii="Arial" w:hAnsi="Arial" w:cs="Arial"/>
          <w:sz w:val="22"/>
          <w:szCs w:val="22"/>
        </w:rPr>
      </w:pPr>
      <w:r w:rsidRPr="00E056BA">
        <w:rPr>
          <w:rFonts w:ascii="Arial" w:hAnsi="Arial" w:cs="Arial"/>
          <w:sz w:val="22"/>
          <w:szCs w:val="22"/>
        </w:rPr>
        <w:lastRenderedPageBreak/>
        <w:t xml:space="preserve">This technical </w:t>
      </w:r>
      <w:r>
        <w:rPr>
          <w:rFonts w:ascii="Arial" w:hAnsi="Arial" w:cs="Arial"/>
          <w:sz w:val="22"/>
          <w:szCs w:val="22"/>
        </w:rPr>
        <w:t>audit also identified the issue</w:t>
      </w:r>
      <w:r w:rsidRPr="00E056BA">
        <w:rPr>
          <w:rFonts w:ascii="Arial" w:hAnsi="Arial" w:cs="Arial"/>
          <w:sz w:val="22"/>
          <w:szCs w:val="22"/>
        </w:rPr>
        <w:t xml:space="preserve"> of the intellectual property held by Original Equipment Manufacturers (OEM), which may constrain a participant’s GPS testing and compliance monitoring activities. Participants in this position are reminded that, under the Electricity Rules, they are the entity ultimately responsible for compliance in this area. To the extent possible, Generators should therefore ensure that the OEM is aware of, and can assist with, all applicable obligations</w:t>
      </w:r>
      <w:r w:rsidR="008A74EE">
        <w:rPr>
          <w:rFonts w:ascii="Arial" w:hAnsi="Arial" w:cs="Arial"/>
          <w:sz w:val="22"/>
          <w:szCs w:val="22"/>
        </w:rPr>
        <w:t>. Generators should</w:t>
      </w:r>
      <w:r w:rsidRPr="00E056BA">
        <w:rPr>
          <w:rFonts w:ascii="Arial" w:hAnsi="Arial" w:cs="Arial"/>
          <w:sz w:val="22"/>
          <w:szCs w:val="22"/>
        </w:rPr>
        <w:t xml:space="preserve"> otherwise consider</w:t>
      </w:r>
      <w:r w:rsidR="008A74EE">
        <w:rPr>
          <w:rFonts w:ascii="Arial" w:hAnsi="Arial" w:cs="Arial"/>
          <w:sz w:val="22"/>
          <w:szCs w:val="22"/>
        </w:rPr>
        <w:t xml:space="preserve"> devising</w:t>
      </w:r>
      <w:r w:rsidRPr="00E056BA">
        <w:rPr>
          <w:rFonts w:ascii="Arial" w:hAnsi="Arial" w:cs="Arial"/>
          <w:sz w:val="22"/>
          <w:szCs w:val="22"/>
        </w:rPr>
        <w:t>—as Origin Energy has sought to do at Ura</w:t>
      </w:r>
      <w:r w:rsidR="008A74EE">
        <w:rPr>
          <w:rFonts w:ascii="Arial" w:hAnsi="Arial" w:cs="Arial"/>
          <w:sz w:val="22"/>
          <w:szCs w:val="22"/>
        </w:rPr>
        <w:t>nquinty Power Station—</w:t>
      </w:r>
      <w:r w:rsidRPr="00E056BA">
        <w:rPr>
          <w:rFonts w:ascii="Arial" w:hAnsi="Arial" w:cs="Arial"/>
          <w:sz w:val="22"/>
          <w:szCs w:val="22"/>
        </w:rPr>
        <w:t>their own testing and compliance monitoring arrangements.</w:t>
      </w:r>
    </w:p>
    <w:p w:rsidR="00C66C6F" w:rsidRPr="00C66C6F" w:rsidRDefault="00C66C6F" w:rsidP="00C66C6F">
      <w:pPr>
        <w:pStyle w:val="Heading2"/>
        <w:keepNext/>
        <w:spacing w:after="240"/>
        <w:ind w:left="578" w:hanging="578"/>
        <w:rPr>
          <w:szCs w:val="32"/>
        </w:rPr>
      </w:pPr>
      <w:bookmarkStart w:id="33" w:name="_Toc426539183"/>
      <w:bookmarkStart w:id="34" w:name="_Toc426539184"/>
      <w:bookmarkStart w:id="35" w:name="_Toc456869890"/>
      <w:bookmarkStart w:id="36" w:name="_Toc456869891"/>
      <w:bookmarkStart w:id="37" w:name="_Toc456869892"/>
      <w:bookmarkStart w:id="38" w:name="_Toc456869893"/>
      <w:bookmarkStart w:id="39" w:name="_Toc466452033"/>
      <w:bookmarkEnd w:id="33"/>
      <w:bookmarkEnd w:id="34"/>
      <w:bookmarkEnd w:id="35"/>
      <w:bookmarkEnd w:id="36"/>
      <w:bookmarkEnd w:id="37"/>
      <w:bookmarkEnd w:id="38"/>
      <w:r w:rsidRPr="00C66C6F">
        <w:rPr>
          <w:szCs w:val="32"/>
        </w:rPr>
        <w:t>Projected Assessment of System Adequacy – Heywood Interconnector</w:t>
      </w:r>
      <w:bookmarkEnd w:id="39"/>
    </w:p>
    <w:p w:rsidR="003F1DA5" w:rsidRDefault="0087150B" w:rsidP="009554C5">
      <w:pPr>
        <w:spacing w:before="0"/>
      </w:pPr>
      <w:r w:rsidRPr="009272FF">
        <w:t xml:space="preserve">On 13 September 2016, the AER published its report on </w:t>
      </w:r>
      <w:r w:rsidR="00893835">
        <w:t>prices above $5000/MWh</w:t>
      </w:r>
      <w:r w:rsidRPr="009272FF">
        <w:t xml:space="preserve"> in South Australia on 7 July 2016. On the day, the electricity spot price in South Australia reached $8879/MWh. Among the factors that contributed to the high spot price were </w:t>
      </w:r>
      <w:r w:rsidR="00091A5A" w:rsidRPr="009272FF">
        <w:t xml:space="preserve">scheduled </w:t>
      </w:r>
      <w:r w:rsidRPr="009272FF">
        <w:t>n</w:t>
      </w:r>
      <w:r w:rsidR="002C7C45" w:rsidRPr="009272FF">
        <w:t>etwork outages to complete augmentation works on the Heywood interconnector</w:t>
      </w:r>
      <w:r w:rsidRPr="009272FF">
        <w:t xml:space="preserve"> between</w:t>
      </w:r>
      <w:r w:rsidR="002C7C45" w:rsidRPr="009272FF">
        <w:t xml:space="preserve"> Victoria and South Australia</w:t>
      </w:r>
      <w:r w:rsidRPr="009272FF">
        <w:t xml:space="preserve">. The outages </w:t>
      </w:r>
      <w:r w:rsidR="003F1DA5" w:rsidRPr="009272FF">
        <w:t>reduced South Australia’s ability to import power</w:t>
      </w:r>
      <w:r w:rsidR="00525DC6" w:rsidRPr="009272FF">
        <w:t xml:space="preserve"> a</w:t>
      </w:r>
      <w:r w:rsidR="003F1DA5" w:rsidRPr="009272FF">
        <w:t xml:space="preserve">nd raised questions regarding the timing of scheduled network outages </w:t>
      </w:r>
      <w:r w:rsidR="00525DC6" w:rsidRPr="009272FF">
        <w:t>alongside other energy supply constraints. This included questions regarding the forecasting of supply/demand conditions in the NEM.</w:t>
      </w:r>
    </w:p>
    <w:p w:rsidR="003F1DA5" w:rsidRDefault="003F1DA5" w:rsidP="009554C5">
      <w:pPr>
        <w:spacing w:before="0"/>
      </w:pPr>
    </w:p>
    <w:p w:rsidR="00DB4E0B" w:rsidRDefault="00DB4E0B" w:rsidP="009554C5">
      <w:pPr>
        <w:spacing w:before="0"/>
      </w:pPr>
      <w:r>
        <w:t xml:space="preserve">In its role as market operator, AEMO publishes a range of information to assist participants and </w:t>
      </w:r>
      <w:r w:rsidR="00804AF3">
        <w:t>other parties to make</w:t>
      </w:r>
      <w:r>
        <w:t xml:space="preserve"> decisions about </w:t>
      </w:r>
      <w:r w:rsidR="00804AF3">
        <w:t xml:space="preserve">their </w:t>
      </w:r>
      <w:r>
        <w:t xml:space="preserve">participation in the market. This includes the Projected Assessment of System Adequacy (PASA), which forecasts supply/demand conditions in each region of the NEM over different timeframes. The medium term PASA (MTPASA) covers daily reserve conditions over the next two years. The MTPASA is published every week, with materially significant updates published in the interim. </w:t>
      </w:r>
    </w:p>
    <w:p w:rsidR="00DB4E0B" w:rsidRDefault="00DB4E0B" w:rsidP="009554C5">
      <w:pPr>
        <w:spacing w:before="0"/>
      </w:pPr>
    </w:p>
    <w:p w:rsidR="009554C5" w:rsidRDefault="00DB4E0B">
      <w:pPr>
        <w:spacing w:before="0"/>
      </w:pPr>
      <w:r>
        <w:t>In preparing and publishing the MTPASA, AEMO is required to include a range of information including peak demand forecasts, forecast contribution of non-scheduled generation, aggregate regional capacity (including generator availability, forecasts of output from semi-scheduled generators and energy constrained generation), reserve shortfalls and forecast interconnector flow capabilities with and without planned network outages as listed in the Network Outage Schedule (NOS).</w:t>
      </w:r>
    </w:p>
    <w:p w:rsidR="009554C5" w:rsidRDefault="009554C5">
      <w:pPr>
        <w:spacing w:before="0"/>
      </w:pPr>
    </w:p>
    <w:p w:rsidR="00007462" w:rsidRDefault="00007462" w:rsidP="0029310E">
      <w:pPr>
        <w:spacing w:before="0"/>
      </w:pPr>
      <w:r w:rsidRPr="001C4288">
        <w:t>PASA is predominantly used by participants and consumers as an indicator of future supply demand conditions; it is, in conjunction with other information available to the market, of increasing importance given the changing mix of generation technologies. While the intended purpose of MTPASA is about system adequacy (effectively power system security and reliability with and without network outages), some participants use PASA information to support risk/financial decisions.</w:t>
      </w:r>
    </w:p>
    <w:p w:rsidR="00007462" w:rsidRDefault="00007462" w:rsidP="0029310E">
      <w:pPr>
        <w:spacing w:before="0"/>
      </w:pPr>
    </w:p>
    <w:p w:rsidR="00804AF3" w:rsidRPr="00C37E80" w:rsidRDefault="00DB4E0B" w:rsidP="00804AF3">
      <w:pPr>
        <w:spacing w:before="0"/>
      </w:pPr>
      <w:r>
        <w:t>In the AER’s analysis of the events of 7 July 2016</w:t>
      </w:r>
      <w:r w:rsidR="009554C5">
        <w:t>,</w:t>
      </w:r>
      <w:r>
        <w:t xml:space="preserve"> we noted that w</w:t>
      </w:r>
      <w:r w:rsidRPr="00A70D89">
        <w:t xml:space="preserve">hile </w:t>
      </w:r>
      <w:r>
        <w:t xml:space="preserve">the </w:t>
      </w:r>
      <w:r w:rsidRPr="00A70D89">
        <w:t xml:space="preserve">major upgrade </w:t>
      </w:r>
      <w:r>
        <w:t xml:space="preserve">had been </w:t>
      </w:r>
      <w:r w:rsidRPr="00A70D89">
        <w:t>flagged to the market</w:t>
      </w:r>
      <w:r>
        <w:t xml:space="preserve"> in systems such as the NOS, </w:t>
      </w:r>
      <w:r w:rsidRPr="00A70D89">
        <w:t>its impact on Heywood’s operating capability was</w:t>
      </w:r>
      <w:r>
        <w:t>,</w:t>
      </w:r>
      <w:r w:rsidRPr="00A70D89">
        <w:t xml:space="preserve"> at times</w:t>
      </w:r>
      <w:r>
        <w:t>,</w:t>
      </w:r>
      <w:r w:rsidRPr="00A70D89">
        <w:t xml:space="preserve"> </w:t>
      </w:r>
      <w:r>
        <w:t>un</w:t>
      </w:r>
      <w:r w:rsidRPr="00A70D89">
        <w:t>clear</w:t>
      </w:r>
      <w:r>
        <w:t xml:space="preserve">. The </w:t>
      </w:r>
      <w:r w:rsidRPr="00C37E80">
        <w:t>AER has worked with AEMO to clarify the specifics of some of the information obligations for the PASA</w:t>
      </w:r>
      <w:r w:rsidR="004B3CC9" w:rsidRPr="00C37E80">
        <w:t xml:space="preserve">. AEMO has since adjusted its </w:t>
      </w:r>
      <w:r w:rsidR="004B3CC9" w:rsidRPr="00C37E80">
        <w:lastRenderedPageBreak/>
        <w:t xml:space="preserve">approach to ensure </w:t>
      </w:r>
      <w:r w:rsidRPr="00C37E80">
        <w:t>that this mechanism can provide a cleare</w:t>
      </w:r>
      <w:r w:rsidR="004B3CC9" w:rsidRPr="00C37E80">
        <w:t>r indication of system adequacy.</w:t>
      </w:r>
    </w:p>
    <w:p w:rsidR="00804AF3" w:rsidRPr="00C37E80" w:rsidRDefault="00804AF3" w:rsidP="00804AF3">
      <w:pPr>
        <w:spacing w:before="0"/>
      </w:pPr>
    </w:p>
    <w:p w:rsidR="00B70FA6" w:rsidRPr="00C37E80" w:rsidRDefault="00CE589A" w:rsidP="00007462">
      <w:pPr>
        <w:spacing w:before="0"/>
      </w:pPr>
      <w:r w:rsidRPr="00C37E80">
        <w:t>On</w:t>
      </w:r>
      <w:r w:rsidR="00804AF3" w:rsidRPr="00C37E80">
        <w:t xml:space="preserve"> 11 October 2016, the AER published a further two reports on prices above $5000/MWh in South Aus</w:t>
      </w:r>
      <w:r w:rsidR="00153604" w:rsidRPr="00C37E80">
        <w:t>tralia on 13 and 14 July 2016. While p</w:t>
      </w:r>
      <w:r w:rsidR="00804AF3" w:rsidRPr="00C37E80">
        <w:t>la</w:t>
      </w:r>
      <w:r w:rsidR="00153604" w:rsidRPr="00C37E80">
        <w:t>nned network outages for</w:t>
      </w:r>
      <w:r w:rsidR="00804AF3" w:rsidRPr="00C37E80">
        <w:t xml:space="preserve"> augmentation works on the Heywood Interconnector were ag</w:t>
      </w:r>
      <w:r w:rsidR="00153604" w:rsidRPr="00C37E80">
        <w:t>ain a contributing factor</w:t>
      </w:r>
      <w:r w:rsidR="00804AF3" w:rsidRPr="00C37E80">
        <w:t>, other factors have contributed to all three price events, including scheduled generation plant outages</w:t>
      </w:r>
      <w:r w:rsidR="004B3CC9" w:rsidRPr="00C37E80">
        <w:t>, under forecasting of the contribution of wind power</w:t>
      </w:r>
      <w:r w:rsidR="00153604" w:rsidRPr="00C37E80">
        <w:t>,</w:t>
      </w:r>
      <w:r w:rsidR="00804AF3" w:rsidRPr="00C37E80">
        <w:t xml:space="preserve"> and changes to the generation mix in South Australia fol</w:t>
      </w:r>
      <w:r w:rsidR="004B3CC9" w:rsidRPr="00C37E80">
        <w:t>lowing closure of the</w:t>
      </w:r>
      <w:r w:rsidR="00804AF3" w:rsidRPr="00C37E80">
        <w:t xml:space="preserve"> Northern Power Station in May 2016.</w:t>
      </w:r>
    </w:p>
    <w:p w:rsidR="00F3126D" w:rsidRPr="00C37E80" w:rsidRDefault="00F3126D" w:rsidP="00F3126D">
      <w:pPr>
        <w:pStyle w:val="Heading2"/>
      </w:pPr>
      <w:bookmarkStart w:id="40" w:name="_Toc466452034"/>
      <w:r w:rsidRPr="00C37E80">
        <w:t>Jurisdictional derogations</w:t>
      </w:r>
      <w:bookmarkEnd w:id="40"/>
    </w:p>
    <w:p w:rsidR="00F3126D" w:rsidRPr="001C4288" w:rsidRDefault="00F3126D" w:rsidP="00F3126D">
      <w:pPr>
        <w:jc w:val="both"/>
      </w:pPr>
      <w:r w:rsidRPr="001C4288">
        <w:t xml:space="preserve">Chapter 9 derogations exempt Victorian smelter traders, New South Wales power traders and Queensland nominated generators (for the purposes of exempted generator agreements) from complying with the Electricity Rules to the extent there exists: </w:t>
      </w:r>
    </w:p>
    <w:p w:rsidR="00F3126D" w:rsidRPr="001C4288" w:rsidRDefault="00F3126D" w:rsidP="00F3126D">
      <w:pPr>
        <w:numPr>
          <w:ilvl w:val="0"/>
          <w:numId w:val="36"/>
        </w:numPr>
        <w:tabs>
          <w:tab w:val="left" w:pos="340"/>
        </w:tabs>
        <w:spacing w:before="120"/>
        <w:jc w:val="both"/>
      </w:pPr>
      <w:r w:rsidRPr="001C4288">
        <w:t>any inconsistency between the Rules and a contractual requirement under the relevant agreement between the government and other entities</w:t>
      </w:r>
    </w:p>
    <w:p w:rsidR="00F3126D" w:rsidRPr="001C4288" w:rsidRDefault="00F3126D" w:rsidP="00F3126D">
      <w:pPr>
        <w:numPr>
          <w:ilvl w:val="0"/>
          <w:numId w:val="36"/>
        </w:numPr>
        <w:tabs>
          <w:tab w:val="left" w:pos="340"/>
        </w:tabs>
        <w:spacing w:before="120"/>
        <w:jc w:val="both"/>
      </w:pPr>
      <w:r w:rsidRPr="001C4288">
        <w:t xml:space="preserve">any other specified exemption in the jurisdictional derogations. </w:t>
      </w:r>
    </w:p>
    <w:p w:rsidR="00F3126D" w:rsidRPr="001C4288" w:rsidRDefault="00F3126D" w:rsidP="00F3126D">
      <w:pPr>
        <w:jc w:val="both"/>
      </w:pPr>
      <w:r w:rsidRPr="001C4288">
        <w:t xml:space="preserve">Relevant participants must notify the AER at </w:t>
      </w:r>
      <w:hyperlink r:id="rId16" w:history="1">
        <w:r w:rsidRPr="001C4288">
          <w:rPr>
            <w:color w:val="0000FF"/>
            <w:u w:val="single"/>
          </w:rPr>
          <w:t>AERinquiry@aer.gov.au</w:t>
        </w:r>
      </w:hyperlink>
      <w:r w:rsidRPr="001C4288">
        <w:t xml:space="preserve"> of any act or omission which partly or wholly constitutes non-compliance with the Electricity Rules. </w:t>
      </w:r>
    </w:p>
    <w:p w:rsidR="00F3126D" w:rsidRPr="00F3126D" w:rsidDel="0013132E" w:rsidRDefault="00F3126D" w:rsidP="00F3126D">
      <w:pPr>
        <w:jc w:val="both"/>
      </w:pPr>
      <w:r w:rsidRPr="001C4288">
        <w:t>No non-compliances were reported this quarter.</w:t>
      </w:r>
      <w:r w:rsidRPr="00F3126D">
        <w:t xml:space="preserve"> </w:t>
      </w:r>
    </w:p>
    <w:p w:rsidR="00F3126D" w:rsidRPr="0029310E" w:rsidRDefault="00F3126D" w:rsidP="0029310E">
      <w:pPr>
        <w:spacing w:before="0"/>
      </w:pPr>
    </w:p>
    <w:p w:rsidR="007F6D06" w:rsidRPr="008611E9" w:rsidDel="0013132E" w:rsidRDefault="007F6D06" w:rsidP="008611E9">
      <w:pPr>
        <w:jc w:val="both"/>
      </w:pPr>
    </w:p>
    <w:sectPr w:rsidR="007F6D06" w:rsidRPr="008611E9" w:rsidDel="0013132E" w:rsidSect="00842867">
      <w:footerReference w:type="even" r:id="rId17"/>
      <w:footerReference w:type="default" r:id="rId18"/>
      <w:footerReference w:type="first" r:id="rId19"/>
      <w:pgSz w:w="11906" w:h="16838"/>
      <w:pgMar w:top="1440" w:right="1440" w:bottom="1440" w:left="1440" w:header="708" w:footer="8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76376" w:rsidRDefault="00076376">
      <w:pPr>
        <w:spacing w:before="0" w:line="240" w:lineRule="auto"/>
      </w:pPr>
      <w:r>
        <w:separator/>
      </w:r>
    </w:p>
  </w:endnote>
  <w:endnote w:type="continuationSeparator" w:id="0">
    <w:p w:rsidR="00076376" w:rsidRDefault="00076376">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autami">
    <w:panose1 w:val="020B0502040204020203"/>
    <w:charset w:val="00"/>
    <w:family w:val="swiss"/>
    <w:pitch w:val="variable"/>
    <w:sig w:usb0="002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Segoe UI, Microsoft Sans Serif">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6376" w:rsidRDefault="00076376" w:rsidP="00114BC3">
    <w:pPr>
      <w:tabs>
        <w:tab w:val="left" w:pos="1623"/>
        <w:tab w:val="center" w:pos="4513"/>
        <w:tab w:val="right" w:pos="8222"/>
      </w:tabs>
      <w:spacing w:after="120"/>
      <w:ind w:left="-284"/>
    </w:pPr>
    <w:r>
      <w:rPr>
        <w:rFonts w:eastAsia="Arial" w:cs="Times New Roman"/>
        <w:color w:val="076A92" w:themeColor="text1"/>
        <w:sz w:val="18"/>
      </w:rPr>
      <w:fldChar w:fldCharType="begin"/>
    </w:r>
    <w:r>
      <w:rPr>
        <w:rFonts w:eastAsia="Arial" w:cs="Times New Roman"/>
        <w:color w:val="076A92" w:themeColor="text1"/>
        <w:sz w:val="18"/>
      </w:rPr>
      <w:instrText xml:space="preserve"> STYLEREF  "Report Title"  \* MERGEFORMAT </w:instrText>
    </w:r>
    <w:r w:rsidR="00EB6484">
      <w:rPr>
        <w:rFonts w:eastAsia="Arial" w:cs="Times New Roman"/>
        <w:color w:val="076A92" w:themeColor="text1"/>
        <w:sz w:val="18"/>
      </w:rPr>
      <w:fldChar w:fldCharType="separate"/>
    </w:r>
    <w:r w:rsidR="00EB6484">
      <w:rPr>
        <w:rFonts w:eastAsia="Arial" w:cs="Times New Roman"/>
        <w:noProof/>
        <w:color w:val="076A92" w:themeColor="text1"/>
        <w:sz w:val="18"/>
      </w:rPr>
      <w:t>Quarterly Compliance Report:</w:t>
    </w:r>
    <w:r>
      <w:rPr>
        <w:rFonts w:eastAsia="Arial" w:cs="Times New Roman"/>
        <w:color w:val="076A92" w:themeColor="text1"/>
        <w:sz w:val="18"/>
      </w:rPr>
      <w:fldChar w:fldCharType="end"/>
    </w:r>
    <w:r>
      <w:rPr>
        <w:rFonts w:eastAsia="Arial" w:cs="Times New Roman"/>
        <w:color w:val="076A92" w:themeColor="text1"/>
        <w:sz w:val="18"/>
      </w:rPr>
      <w:t xml:space="preserve"> September 2016</w:t>
    </w:r>
    <w:r w:rsidRPr="007A4D1F">
      <w:rPr>
        <w:rFonts w:eastAsia="Arial" w:cs="Times New Roman"/>
        <w:color w:val="076A92" w:themeColor="text1"/>
        <w:sz w:val="18"/>
      </w:rPr>
      <w:tab/>
    </w:r>
    <w:r>
      <w:rPr>
        <w:rFonts w:eastAsia="Arial" w:cs="Times New Roman"/>
        <w:color w:val="076A92" w:themeColor="text1"/>
        <w:sz w:val="18"/>
      </w:rPr>
      <w:tab/>
    </w:r>
    <w:r w:rsidRPr="007A4D1F">
      <w:rPr>
        <w:rFonts w:eastAsia="Arial" w:cs="Times New Roman"/>
        <w:color w:val="076A92" w:themeColor="text1"/>
        <w:sz w:val="18"/>
      </w:rPr>
      <w:fldChar w:fldCharType="begin"/>
    </w:r>
    <w:r w:rsidRPr="007A4D1F">
      <w:rPr>
        <w:rFonts w:eastAsia="Arial" w:cs="Times New Roman"/>
        <w:color w:val="076A92" w:themeColor="text1"/>
        <w:sz w:val="18"/>
      </w:rPr>
      <w:instrText xml:space="preserve"> PAGE   \* MERGEFORMAT </w:instrText>
    </w:r>
    <w:r w:rsidRPr="007A4D1F">
      <w:rPr>
        <w:rFonts w:eastAsia="Arial" w:cs="Times New Roman"/>
        <w:color w:val="076A92" w:themeColor="text1"/>
        <w:sz w:val="18"/>
      </w:rPr>
      <w:fldChar w:fldCharType="separate"/>
    </w:r>
    <w:r w:rsidR="00EB6484">
      <w:rPr>
        <w:rFonts w:eastAsia="Arial" w:cs="Times New Roman"/>
        <w:noProof/>
        <w:color w:val="076A92" w:themeColor="text1"/>
        <w:sz w:val="18"/>
      </w:rPr>
      <w:t>iii</w:t>
    </w:r>
    <w:r w:rsidRPr="007A4D1F">
      <w:rPr>
        <w:rFonts w:eastAsia="Arial" w:cs="Times New Roman"/>
        <w:noProof/>
        <w:color w:val="076A92" w:themeColor="text1"/>
        <w:sz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6376" w:rsidRPr="00A91A9E" w:rsidRDefault="00076376" w:rsidP="00842867">
    <w:pPr>
      <w:pBdr>
        <w:top w:val="single" w:sz="2" w:space="1" w:color="auto"/>
      </w:pBdr>
      <w:tabs>
        <w:tab w:val="right" w:pos="8448"/>
      </w:tabs>
      <w:rPr>
        <w:rStyle w:val="PageNumber"/>
      </w:rPr>
    </w:pPr>
    <w:r w:rsidRPr="00A91A9E">
      <w:rPr>
        <w:rStyle w:val="PageNumber"/>
      </w:rPr>
      <w:fldChar w:fldCharType="begin"/>
    </w:r>
    <w:r w:rsidRPr="00A91A9E">
      <w:rPr>
        <w:rStyle w:val="PageNumber"/>
      </w:rPr>
      <w:instrText xml:space="preserve"> PAGE   \* MERGEFORMAT </w:instrText>
    </w:r>
    <w:r w:rsidRPr="00A91A9E">
      <w:rPr>
        <w:rStyle w:val="PageNumber"/>
      </w:rPr>
      <w:fldChar w:fldCharType="separate"/>
    </w:r>
    <w:r>
      <w:rPr>
        <w:rStyle w:val="PageNumber"/>
        <w:noProof/>
      </w:rPr>
      <w:t>2</w:t>
    </w:r>
    <w:r w:rsidRPr="00A91A9E">
      <w:rPr>
        <w:rStyle w:val="PageNumber"/>
      </w:rPr>
      <w:fldChar w:fldCharType="end"/>
    </w:r>
    <w:r w:rsidRPr="00A91A9E">
      <w:rPr>
        <w:rStyle w:val="PageNumber"/>
      </w:rPr>
      <w:tab/>
      <w:t>Xxx report—month/year</w:t>
    </w:r>
  </w:p>
  <w:p w:rsidR="00076376" w:rsidRDefault="00076376"/>
  <w:p w:rsidR="00076376" w:rsidRDefault="00076376"/>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6376" w:rsidRDefault="00291C77" w:rsidP="00842867">
    <w:pPr>
      <w:pStyle w:val="Footer"/>
      <w:tabs>
        <w:tab w:val="clear" w:pos="9026"/>
        <w:tab w:val="right" w:pos="8505"/>
      </w:tabs>
    </w:pPr>
    <w:fldSimple w:instr=" STYLEREF  &quot;Report Title&quot;  \* MERGEFORMAT ">
      <w:r w:rsidR="00F74611">
        <w:rPr>
          <w:noProof/>
        </w:rPr>
        <w:t>Quarterly Compliance Report:</w:t>
      </w:r>
    </w:fldSimple>
    <w:r w:rsidR="00076376">
      <w:t xml:space="preserve"> September 2016</w:t>
    </w:r>
    <w:r w:rsidR="00076376">
      <w:tab/>
    </w:r>
    <w:r w:rsidR="00076376">
      <w:tab/>
    </w:r>
    <w:r w:rsidR="00076376">
      <w:fldChar w:fldCharType="begin"/>
    </w:r>
    <w:r w:rsidR="00076376">
      <w:instrText xml:space="preserve"> PAGE   \* MERGEFORMAT </w:instrText>
    </w:r>
    <w:r w:rsidR="00076376">
      <w:fldChar w:fldCharType="separate"/>
    </w:r>
    <w:r w:rsidR="00F74611">
      <w:rPr>
        <w:noProof/>
      </w:rPr>
      <w:t>13</w:t>
    </w:r>
    <w:r w:rsidR="00076376">
      <w:rPr>
        <w:noProof/>
      </w:rPr>
      <w:fldChar w:fldCharType="end"/>
    </w:r>
  </w:p>
  <w:p w:rsidR="00076376" w:rsidRDefault="00076376"/>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6376" w:rsidRDefault="00291C77" w:rsidP="00114BC3">
    <w:pPr>
      <w:pStyle w:val="Footer"/>
      <w:tabs>
        <w:tab w:val="clear" w:pos="9026"/>
        <w:tab w:val="right" w:pos="8505"/>
      </w:tabs>
    </w:pPr>
    <w:fldSimple w:instr=" STYLEREF  &quot;Report Title&quot;  \* MERGEFORMAT ">
      <w:r w:rsidR="00EB6484">
        <w:rPr>
          <w:noProof/>
        </w:rPr>
        <w:t>Quarterly Compliance Report:</w:t>
      </w:r>
    </w:fldSimple>
    <w:r w:rsidR="00076376">
      <w:rPr>
        <w:noProof/>
      </w:rPr>
      <w:t xml:space="preserve"> September 2016</w:t>
    </w:r>
    <w:r w:rsidR="00076376">
      <w:tab/>
    </w:r>
    <w:r w:rsidR="00076376">
      <w:tab/>
    </w:r>
    <w:r w:rsidR="00076376">
      <w:fldChar w:fldCharType="begin"/>
    </w:r>
    <w:r w:rsidR="00076376">
      <w:instrText xml:space="preserve"> PAGE   \* MERGEFORMAT </w:instrText>
    </w:r>
    <w:r w:rsidR="00076376">
      <w:fldChar w:fldCharType="separate"/>
    </w:r>
    <w:r w:rsidR="00EB6484">
      <w:rPr>
        <w:noProof/>
      </w:rPr>
      <w:t>1</w:t>
    </w:r>
    <w:r w:rsidR="00076376">
      <w:fldChar w:fldCharType="end"/>
    </w:r>
  </w:p>
  <w:p w:rsidR="00076376" w:rsidRDefault="00076376"/>
  <w:p w:rsidR="00076376" w:rsidRDefault="00076376"/>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76376" w:rsidRDefault="00076376">
      <w:pPr>
        <w:spacing w:before="0" w:line="240" w:lineRule="auto"/>
      </w:pPr>
      <w:r>
        <w:separator/>
      </w:r>
    </w:p>
  </w:footnote>
  <w:footnote w:type="continuationSeparator" w:id="0">
    <w:p w:rsidR="00076376" w:rsidRDefault="00076376">
      <w:pPr>
        <w:spacing w:before="0" w:line="240" w:lineRule="auto"/>
      </w:pPr>
      <w:r>
        <w:continuationSeparator/>
      </w:r>
    </w:p>
  </w:footnote>
  <w:footnote w:id="1">
    <w:p w:rsidR="00076376" w:rsidRDefault="00076376" w:rsidP="00870FB2">
      <w:pPr>
        <w:pStyle w:val="FootnoteText"/>
        <w:jc w:val="both"/>
      </w:pPr>
      <w:r>
        <w:rPr>
          <w:rStyle w:val="FootnoteReference"/>
        </w:rPr>
        <w:footnoteRef/>
      </w:r>
      <w:r>
        <w:t xml:space="preserve"> </w:t>
      </w:r>
      <w:r>
        <w:tab/>
      </w:r>
      <w:r w:rsidRPr="000410DE">
        <w:t>Entities registered by AEMO under Chapter 2 of the Electricity Rules or in accordance with Part 15A of the Gas Rules.</w:t>
      </w:r>
    </w:p>
  </w:footnote>
  <w:footnote w:id="2">
    <w:p w:rsidR="00076376" w:rsidRDefault="00076376" w:rsidP="0015165A">
      <w:pPr>
        <w:pStyle w:val="FootnoteText"/>
        <w:ind w:left="284" w:hanging="284"/>
        <w:jc w:val="both"/>
      </w:pPr>
      <w:r>
        <w:rPr>
          <w:rStyle w:val="FootnoteReference"/>
        </w:rPr>
        <w:footnoteRef/>
      </w:r>
      <w:r>
        <w:t xml:space="preserve"> </w:t>
      </w:r>
      <w:r>
        <w:tab/>
        <w:t xml:space="preserve">The Statement of Approach is published on the </w:t>
      </w:r>
      <w:hyperlink r:id="rId1" w:history="1">
        <w:r>
          <w:rPr>
            <w:rStyle w:val="Hyperlink"/>
            <w:sz w:val="16"/>
          </w:rPr>
          <w:t>AER's website</w:t>
        </w:r>
      </w:hyperlink>
      <w:r>
        <w:t xml:space="preserve">. </w:t>
      </w:r>
      <w:r w:rsidRPr="000410DE">
        <w:t>In April 2014, the AER released a combined Enforcement and Compliance Statement of Approach covering our functions under the Gas Law, Electricity Law and National Energy Retail Law. The document reflects the consistent approach taken by the AER to enforcing the energy laws across all markets.</w:t>
      </w:r>
    </w:p>
  </w:footnote>
  <w:footnote w:id="3">
    <w:p w:rsidR="00076376" w:rsidRPr="00F5464E" w:rsidRDefault="00076376">
      <w:pPr>
        <w:pStyle w:val="FootnoteText"/>
      </w:pPr>
      <w:r w:rsidRPr="00F5464E">
        <w:rPr>
          <w:rStyle w:val="FootnoteReference"/>
        </w:rPr>
        <w:footnoteRef/>
      </w:r>
      <w:r w:rsidRPr="00F5464E">
        <w:t xml:space="preserve"> Pipeline operators to provide secondary capacity trading information from their trading platforms.</w:t>
      </w:r>
    </w:p>
  </w:footnote>
  <w:footnote w:id="4">
    <w:p w:rsidR="00076376" w:rsidRDefault="00076376" w:rsidP="005A30C3">
      <w:pPr>
        <w:spacing w:before="0"/>
      </w:pPr>
      <w:r>
        <w:rPr>
          <w:rStyle w:val="FootnoteReference"/>
        </w:rPr>
        <w:footnoteRef/>
      </w:r>
      <w:r>
        <w:t xml:space="preserve"> </w:t>
      </w:r>
      <w:r w:rsidRPr="005A30C3">
        <w:rPr>
          <w:sz w:val="16"/>
          <w:szCs w:val="16"/>
        </w:rPr>
        <w:t>Whilst participants do not require automated reporting systems to be compliant from October 6, the more detailed nature of the reporting will make compliance more onerous if participants continue to report using manual systems.</w:t>
      </w:r>
    </w:p>
    <w:p w:rsidR="00076376" w:rsidRDefault="00076376">
      <w:pPr>
        <w:pStyle w:val="FootnoteText"/>
      </w:pPr>
    </w:p>
  </w:footnote>
  <w:footnote w:id="5">
    <w:p w:rsidR="00076376" w:rsidRDefault="00076376">
      <w:pPr>
        <w:pStyle w:val="FootnoteText"/>
      </w:pPr>
      <w:r>
        <w:rPr>
          <w:rStyle w:val="FootnoteReference"/>
        </w:rPr>
        <w:footnoteRef/>
      </w:r>
      <w:r>
        <w:t xml:space="preserve"> Stage 2 Final Report, East Coast Wholesale Gas Market and Pipeline Frameworks Review.</w:t>
      </w:r>
    </w:p>
  </w:footnote>
  <w:footnote w:id="6">
    <w:p w:rsidR="00076376" w:rsidRDefault="00076376">
      <w:pPr>
        <w:pStyle w:val="FootnoteText"/>
      </w:pPr>
      <w:r>
        <w:rPr>
          <w:rStyle w:val="FootnoteReference"/>
        </w:rPr>
        <w:footnoteRef/>
      </w:r>
      <w:r>
        <w:t xml:space="preserve"> Rule 410(1)</w:t>
      </w:r>
    </w:p>
  </w:footnote>
  <w:footnote w:id="7">
    <w:p w:rsidR="00076376" w:rsidRDefault="00076376">
      <w:pPr>
        <w:pStyle w:val="FootnoteText"/>
      </w:pPr>
      <w:r>
        <w:rPr>
          <w:rStyle w:val="FootnoteReference"/>
        </w:rPr>
        <w:footnoteRef/>
      </w:r>
      <w:r>
        <w:t xml:space="preserve"> The rolling average proportion, for the Sydney hub, over the previous 12 months.</w:t>
      </w:r>
    </w:p>
  </w:footnote>
  <w:footnote w:id="8">
    <w:p w:rsidR="00076376" w:rsidRDefault="00076376">
      <w:pPr>
        <w:pStyle w:val="FootnoteText"/>
      </w:pPr>
      <w:r>
        <w:rPr>
          <w:rStyle w:val="FootnoteReference"/>
        </w:rPr>
        <w:footnoteRef/>
      </w:r>
      <w:r>
        <w:t xml:space="preserve"> </w:t>
      </w:r>
      <w:r>
        <w:rPr>
          <w:rFonts w:ascii="Segoe UI, Microsoft Sans Serif" w:hAnsi="Segoe UI, Microsoft Sans Serif" w:cs="Segoe UI, Microsoft Sans Serif"/>
          <w:color w:val="0066CC"/>
          <w:sz w:val="18"/>
          <w:szCs w:val="18"/>
          <w:u w:val="single"/>
          <w:lang w:val="en-US"/>
        </w:rPr>
        <w:t>https://www.aer.gov.au/wholesale-markets/market-performance</w:t>
      </w:r>
    </w:p>
  </w:footnote>
  <w:footnote w:id="9">
    <w:p w:rsidR="00076376" w:rsidRDefault="00076376">
      <w:pPr>
        <w:pStyle w:val="FootnoteText"/>
      </w:pPr>
      <w:r>
        <w:rPr>
          <w:rStyle w:val="FootnoteReference"/>
        </w:rPr>
        <w:footnoteRef/>
      </w:r>
      <w:r>
        <w:t xml:space="preserve"> Part 20, Rule 498 of the Gas Rules</w:t>
      </w:r>
    </w:p>
  </w:footnote>
  <w:footnote w:id="10">
    <w:p w:rsidR="00560D57" w:rsidRDefault="00560D57" w:rsidP="00560D57">
      <w:pPr>
        <w:pStyle w:val="FootnoteText"/>
      </w:pPr>
      <w:r>
        <w:rPr>
          <w:rStyle w:val="FootnoteReference"/>
        </w:rPr>
        <w:footnoteRef/>
      </w:r>
      <w:r>
        <w:t xml:space="preserve"> Allocations at hub level do not change between settlement revisions.</w:t>
      </w:r>
    </w:p>
  </w:footnote>
  <w:footnote w:id="11">
    <w:p w:rsidR="00076376" w:rsidRDefault="00076376">
      <w:pPr>
        <w:pStyle w:val="FootnoteText"/>
      </w:pPr>
      <w:r>
        <w:rPr>
          <w:rStyle w:val="FootnoteReference"/>
        </w:rPr>
        <w:footnoteRef/>
      </w:r>
      <w:r>
        <w:t xml:space="preserve"> Rule 213(2)(a)</w:t>
      </w:r>
    </w:p>
  </w:footnote>
  <w:footnote w:id="12">
    <w:p w:rsidR="00076376" w:rsidRDefault="00076376" w:rsidP="00C96D38">
      <w:pPr>
        <w:pStyle w:val="FootnoteText"/>
      </w:pPr>
      <w:r>
        <w:rPr>
          <w:rStyle w:val="FootnoteReference"/>
        </w:rPr>
        <w:footnoteRef/>
      </w:r>
      <w:r>
        <w:t xml:space="preserve"> </w:t>
      </w:r>
      <w:r>
        <w:tab/>
        <w:t>The spread product facilitates trading between Moomba and Wallumbilla</w:t>
      </w:r>
    </w:p>
  </w:footnote>
  <w:footnote w:id="13">
    <w:p w:rsidR="00076376" w:rsidRDefault="00076376" w:rsidP="002C3C12">
      <w:pPr>
        <w:pStyle w:val="FootnoteText"/>
      </w:pPr>
      <w:r>
        <w:rPr>
          <w:rStyle w:val="FootnoteReference"/>
        </w:rPr>
        <w:footnoteRef/>
      </w:r>
      <w:r>
        <w:t xml:space="preserve"> See sections 91M and 91MB of the National Gas Law</w:t>
      </w:r>
    </w:p>
  </w:footnote>
  <w:footnote w:id="14">
    <w:p w:rsidR="00076376" w:rsidRDefault="00076376">
      <w:pPr>
        <w:pStyle w:val="FootnoteText"/>
      </w:pPr>
      <w:r>
        <w:rPr>
          <w:rStyle w:val="FootnoteReference"/>
        </w:rPr>
        <w:footnoteRef/>
      </w:r>
      <w:r>
        <w:t xml:space="preserve"> NSW/ACT Retail Gas Project</w:t>
      </w:r>
    </w:p>
  </w:footnote>
  <w:footnote w:id="15">
    <w:p w:rsidR="00076376" w:rsidRDefault="00076376">
      <w:pPr>
        <w:pStyle w:val="FootnoteText"/>
      </w:pPr>
      <w:r>
        <w:rPr>
          <w:rStyle w:val="FootnoteReference"/>
        </w:rPr>
        <w:footnoteRef/>
      </w:r>
      <w:r>
        <w:t xml:space="preserve"> Now Energy Australia</w:t>
      </w:r>
    </w:p>
  </w:footnote>
  <w:footnote w:id="16">
    <w:p w:rsidR="001A1E50" w:rsidRDefault="001A1E50">
      <w:pPr>
        <w:pStyle w:val="FootnoteText"/>
      </w:pPr>
      <w:r>
        <w:rPr>
          <w:rStyle w:val="FootnoteReference"/>
        </w:rPr>
        <w:footnoteRef/>
      </w:r>
      <w:r>
        <w:t xml:space="preserve"> Previous QCRs refer to clause 21.1 of version 14 of the NSW-ACT RMP. These requirements are now outlined under clause 3.5 of version 15 of the NSW-ACT RMP.</w:t>
      </w:r>
    </w:p>
  </w:footnote>
  <w:footnote w:id="17">
    <w:p w:rsidR="00076376" w:rsidRDefault="00076376" w:rsidP="002C3C12">
      <w:pPr>
        <w:pStyle w:val="FootnoteText"/>
      </w:pPr>
      <w:r>
        <w:rPr>
          <w:rStyle w:val="FootnoteReference"/>
        </w:rPr>
        <w:footnoteRef/>
      </w:r>
      <w:r>
        <w:t xml:space="preserve"> </w:t>
      </w:r>
      <w:r w:rsidRPr="00441F24">
        <w:t xml:space="preserve">This matter had been referred to the AER by AEMO.  </w:t>
      </w:r>
    </w:p>
  </w:footnote>
  <w:footnote w:id="18">
    <w:p w:rsidR="0029310E" w:rsidRDefault="0029310E" w:rsidP="0029310E">
      <w:pPr>
        <w:pStyle w:val="FootnoteText"/>
        <w:jc w:val="both"/>
      </w:pPr>
      <w:r>
        <w:rPr>
          <w:rStyle w:val="FootnoteReference"/>
        </w:rPr>
        <w:footnoteRef/>
      </w:r>
      <w:r>
        <w:t xml:space="preserve"> </w:t>
      </w:r>
      <w:r>
        <w:tab/>
      </w:r>
      <w:r w:rsidRPr="00962E95">
        <w:t>Market participants must provide to AEMO, at the same time as a rebid is made, a brief, verifiable and specific reason for the rebid, plus the time at which the reason for the rebid occurred. Equivalent requirements apply where AEMO is advised, under clause 3.8.19 of the Electricity Rules, that a unit, service or load is inflexible. Clause 3.8.22A of the Electricity Rules requires that dispatch offers, dispatch bids and rebids are made in ‘good faith’.</w:t>
      </w:r>
    </w:p>
  </w:footnote>
  <w:footnote w:id="19">
    <w:p w:rsidR="0029310E" w:rsidRDefault="0029310E" w:rsidP="0029310E">
      <w:pPr>
        <w:pStyle w:val="FootnoteText"/>
        <w:jc w:val="both"/>
      </w:pPr>
      <w:r>
        <w:rPr>
          <w:rStyle w:val="FootnoteReference"/>
        </w:rPr>
        <w:footnoteRef/>
      </w:r>
      <w:r>
        <w:t xml:space="preserve"> </w:t>
      </w:r>
      <w:r>
        <w:tab/>
      </w:r>
      <w:r w:rsidRPr="00962E95">
        <w:t xml:space="preserve">In June 2012, we published an updated </w:t>
      </w:r>
      <w:hyperlink r:id="rId2" w:history="1">
        <w:r w:rsidRPr="001D0C57">
          <w:rPr>
            <w:rStyle w:val="Hyperlink"/>
          </w:rPr>
          <w:t>Compliance Bulletin No. 3</w:t>
        </w:r>
      </w:hyperlink>
      <w:r>
        <w:rPr>
          <w:szCs w:val="16"/>
        </w:rPr>
        <w:t xml:space="preserve"> t</w:t>
      </w:r>
      <w:r w:rsidRPr="002B7FDE">
        <w:rPr>
          <w:szCs w:val="16"/>
        </w:rPr>
        <w:t>o</w:t>
      </w:r>
      <w:r w:rsidRPr="00962E95">
        <w:t xml:space="preserve"> make it clear that, for the purposes of administering the three stage process and issuing warnings, we will rely on the cumulative count of non-compliant bids for all generating units under the same portfolio. In other words, where a parent company employs a common trading team for the bidding of multiple generating units in its portfolio, irrespective of whether these generators are different registered participants, we will count any non-compliant bids by that trading team together.</w:t>
      </w:r>
    </w:p>
  </w:footnote>
  <w:footnote w:id="20">
    <w:p w:rsidR="00EB6484" w:rsidRDefault="00EB6484" w:rsidP="00EB6484">
      <w:pPr>
        <w:pStyle w:val="FootnoteText"/>
        <w:jc w:val="both"/>
      </w:pPr>
      <w:r w:rsidRPr="006815F4">
        <w:rPr>
          <w:rStyle w:val="FootnoteReference"/>
        </w:rPr>
        <w:footnoteRef/>
      </w:r>
      <w:r w:rsidRPr="006815F4">
        <w:t xml:space="preserve"> </w:t>
      </w:r>
      <w:r w:rsidRPr="006815F4">
        <w:tab/>
        <w:t xml:space="preserve">There was a significant increase in automatically triggered rebids from August to November 2014 when one participant’s automated bidding system submitted rebids without including a time adduced </w:t>
      </w:r>
      <w:r>
        <w:t xml:space="preserve">which was subsequently </w:t>
      </w:r>
      <w:r w:rsidRPr="006815F4">
        <w:t xml:space="preserve">corrected. </w:t>
      </w:r>
      <w:r>
        <w:t xml:space="preserve">This has been detailed in a </w:t>
      </w:r>
      <w:hyperlink r:id="rId3" w:history="1">
        <w:r>
          <w:rPr>
            <w:rStyle w:val="Hyperlink"/>
          </w:rPr>
          <w:t>previous QCR</w:t>
        </w:r>
      </w:hyperlink>
      <w:r>
        <w:t xml:space="preserve">. </w:t>
      </w:r>
      <w:r>
        <w:fldChar w:fldCharType="begin"/>
      </w:r>
      <w:r>
        <w:instrText xml:space="preserve"> REF _Ref466461009 \h </w:instrText>
      </w:r>
      <w:r>
        <w:fldChar w:fldCharType="separate"/>
      </w:r>
      <w:r>
        <w:t xml:space="preserve">Figure </w:t>
      </w:r>
      <w:r>
        <w:rPr>
          <w:noProof/>
        </w:rPr>
        <w:t>3</w:t>
      </w:r>
      <w:r>
        <w:fldChar w:fldCharType="end"/>
      </w:r>
      <w:r w:rsidRPr="006815F4">
        <w:t xml:space="preserve"> has been adjusted by removing the erroneous rebids.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80E8D0B0"/>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756075BE"/>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7D84C18C"/>
    <w:lvl w:ilvl="0">
      <w:start w:val="1"/>
      <w:numFmt w:val="decimal"/>
      <w:pStyle w:val="ListNumber3"/>
      <w:lvlText w:val="%1."/>
      <w:lvlJc w:val="left"/>
      <w:pPr>
        <w:tabs>
          <w:tab w:val="num" w:pos="1021"/>
        </w:tabs>
        <w:ind w:left="1021" w:hanging="341"/>
      </w:pPr>
      <w:rPr>
        <w:rFonts w:hint="default"/>
      </w:rPr>
    </w:lvl>
  </w:abstractNum>
  <w:abstractNum w:abstractNumId="3">
    <w:nsid w:val="FFFFFF7F"/>
    <w:multiLevelType w:val="singleLevel"/>
    <w:tmpl w:val="C9043968"/>
    <w:lvl w:ilvl="0">
      <w:start w:val="1"/>
      <w:numFmt w:val="decimal"/>
      <w:pStyle w:val="ListNumber2"/>
      <w:lvlText w:val="%1."/>
      <w:lvlJc w:val="left"/>
      <w:pPr>
        <w:ind w:left="700" w:hanging="360"/>
      </w:pPr>
    </w:lvl>
  </w:abstractNum>
  <w:abstractNum w:abstractNumId="4">
    <w:nsid w:val="FFFFFF80"/>
    <w:multiLevelType w:val="singleLevel"/>
    <w:tmpl w:val="E38619F2"/>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93BE8B62"/>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E46A7DC6"/>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5C827314"/>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8B026C3A"/>
    <w:lvl w:ilvl="0">
      <w:start w:val="1"/>
      <w:numFmt w:val="decimal"/>
      <w:pStyle w:val="ListNumber"/>
      <w:lvlText w:val="%1."/>
      <w:lvlJc w:val="left"/>
      <w:pPr>
        <w:tabs>
          <w:tab w:val="num" w:pos="360"/>
        </w:tabs>
        <w:ind w:left="360" w:hanging="360"/>
      </w:pPr>
    </w:lvl>
  </w:abstractNum>
  <w:abstractNum w:abstractNumId="9">
    <w:nsid w:val="03BE4FB3"/>
    <w:multiLevelType w:val="hybridMultilevel"/>
    <w:tmpl w:val="D74ADE0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nsid w:val="041F530A"/>
    <w:multiLevelType w:val="multilevel"/>
    <w:tmpl w:val="CBD8C74A"/>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2"/>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1">
    <w:nsid w:val="0C4312B0"/>
    <w:multiLevelType w:val="hybridMultilevel"/>
    <w:tmpl w:val="C1266B52"/>
    <w:lvl w:ilvl="0" w:tplc="990A9FAA">
      <w:start w:val="1"/>
      <w:numFmt w:val="lowerLetter"/>
      <w:pStyle w:val="Listalphabet"/>
      <w:lvlText w:val="(%1)"/>
      <w:lvlJc w:val="left"/>
      <w:pPr>
        <w:ind w:left="1040" w:hanging="360"/>
      </w:pPr>
      <w:rPr>
        <w:rFonts w:hint="default"/>
      </w:rPr>
    </w:lvl>
    <w:lvl w:ilvl="1" w:tplc="0C090019" w:tentative="1">
      <w:start w:val="1"/>
      <w:numFmt w:val="lowerLetter"/>
      <w:lvlText w:val="%2."/>
      <w:lvlJc w:val="left"/>
      <w:pPr>
        <w:ind w:left="1760" w:hanging="360"/>
      </w:pPr>
    </w:lvl>
    <w:lvl w:ilvl="2" w:tplc="0C09001B" w:tentative="1">
      <w:start w:val="1"/>
      <w:numFmt w:val="lowerRoman"/>
      <w:lvlText w:val="%3."/>
      <w:lvlJc w:val="right"/>
      <w:pPr>
        <w:ind w:left="2480" w:hanging="180"/>
      </w:pPr>
    </w:lvl>
    <w:lvl w:ilvl="3" w:tplc="0C09000F" w:tentative="1">
      <w:start w:val="1"/>
      <w:numFmt w:val="decimal"/>
      <w:lvlText w:val="%4."/>
      <w:lvlJc w:val="left"/>
      <w:pPr>
        <w:ind w:left="3200" w:hanging="360"/>
      </w:pPr>
    </w:lvl>
    <w:lvl w:ilvl="4" w:tplc="0C090019" w:tentative="1">
      <w:start w:val="1"/>
      <w:numFmt w:val="lowerLetter"/>
      <w:lvlText w:val="%5."/>
      <w:lvlJc w:val="left"/>
      <w:pPr>
        <w:ind w:left="3920" w:hanging="360"/>
      </w:pPr>
    </w:lvl>
    <w:lvl w:ilvl="5" w:tplc="0C09001B" w:tentative="1">
      <w:start w:val="1"/>
      <w:numFmt w:val="lowerRoman"/>
      <w:lvlText w:val="%6."/>
      <w:lvlJc w:val="right"/>
      <w:pPr>
        <w:ind w:left="4640" w:hanging="180"/>
      </w:pPr>
    </w:lvl>
    <w:lvl w:ilvl="6" w:tplc="0C09000F" w:tentative="1">
      <w:start w:val="1"/>
      <w:numFmt w:val="decimal"/>
      <w:lvlText w:val="%7."/>
      <w:lvlJc w:val="left"/>
      <w:pPr>
        <w:ind w:left="5360" w:hanging="360"/>
      </w:pPr>
    </w:lvl>
    <w:lvl w:ilvl="7" w:tplc="0C090019" w:tentative="1">
      <w:start w:val="1"/>
      <w:numFmt w:val="lowerLetter"/>
      <w:lvlText w:val="%8."/>
      <w:lvlJc w:val="left"/>
      <w:pPr>
        <w:ind w:left="6080" w:hanging="360"/>
      </w:pPr>
    </w:lvl>
    <w:lvl w:ilvl="8" w:tplc="0C09001B" w:tentative="1">
      <w:start w:val="1"/>
      <w:numFmt w:val="lowerRoman"/>
      <w:lvlText w:val="%9."/>
      <w:lvlJc w:val="right"/>
      <w:pPr>
        <w:ind w:left="6800" w:hanging="180"/>
      </w:pPr>
    </w:lvl>
  </w:abstractNum>
  <w:abstractNum w:abstractNumId="12">
    <w:nsid w:val="0DD2542B"/>
    <w:multiLevelType w:val="hybridMultilevel"/>
    <w:tmpl w:val="60FAC388"/>
    <w:lvl w:ilvl="0" w:tplc="50264BE2">
      <w:start w:val="1"/>
      <w:numFmt w:val="decimal"/>
      <w:pStyle w:val="ListParagraph"/>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nsid w:val="133E73B6"/>
    <w:multiLevelType w:val="hybridMultilevel"/>
    <w:tmpl w:val="80220B84"/>
    <w:lvl w:ilvl="0" w:tplc="F5987420">
      <w:start w:val="1"/>
      <w:numFmt w:val="decimal"/>
      <w:pStyle w:val="Numberedparagraph"/>
      <w:lvlText w:val="%1."/>
      <w:lvlJc w:val="left"/>
      <w:pPr>
        <w:ind w:left="360" w:hanging="360"/>
      </w:pPr>
      <w:rPr>
        <w:rFonts w:hint="default"/>
      </w:rPr>
    </w:lvl>
    <w:lvl w:ilvl="1" w:tplc="A5728FDE" w:tentative="1">
      <w:start w:val="1"/>
      <w:numFmt w:val="bullet"/>
      <w:lvlText w:val="o"/>
      <w:lvlJc w:val="left"/>
      <w:pPr>
        <w:ind w:left="2520" w:hanging="360"/>
      </w:pPr>
      <w:rPr>
        <w:rFonts w:ascii="Courier New" w:hAnsi="Courier New" w:cs="Courier New" w:hint="default"/>
      </w:rPr>
    </w:lvl>
    <w:lvl w:ilvl="2" w:tplc="B6B8266A" w:tentative="1">
      <w:start w:val="1"/>
      <w:numFmt w:val="bullet"/>
      <w:lvlText w:val=""/>
      <w:lvlJc w:val="left"/>
      <w:pPr>
        <w:ind w:left="3240" w:hanging="360"/>
      </w:pPr>
      <w:rPr>
        <w:rFonts w:ascii="Wingdings" w:hAnsi="Wingdings" w:hint="default"/>
      </w:rPr>
    </w:lvl>
    <w:lvl w:ilvl="3" w:tplc="0E067E3E" w:tentative="1">
      <w:start w:val="1"/>
      <w:numFmt w:val="bullet"/>
      <w:lvlText w:val=""/>
      <w:lvlJc w:val="left"/>
      <w:pPr>
        <w:ind w:left="3960" w:hanging="360"/>
      </w:pPr>
      <w:rPr>
        <w:rFonts w:ascii="Symbol" w:hAnsi="Symbol" w:hint="default"/>
      </w:rPr>
    </w:lvl>
    <w:lvl w:ilvl="4" w:tplc="9D8444DE" w:tentative="1">
      <w:start w:val="1"/>
      <w:numFmt w:val="bullet"/>
      <w:lvlText w:val="o"/>
      <w:lvlJc w:val="left"/>
      <w:pPr>
        <w:ind w:left="4680" w:hanging="360"/>
      </w:pPr>
      <w:rPr>
        <w:rFonts w:ascii="Courier New" w:hAnsi="Courier New" w:cs="Courier New" w:hint="default"/>
      </w:rPr>
    </w:lvl>
    <w:lvl w:ilvl="5" w:tplc="47DE7D34" w:tentative="1">
      <w:start w:val="1"/>
      <w:numFmt w:val="bullet"/>
      <w:lvlText w:val=""/>
      <w:lvlJc w:val="left"/>
      <w:pPr>
        <w:ind w:left="5400" w:hanging="360"/>
      </w:pPr>
      <w:rPr>
        <w:rFonts w:ascii="Wingdings" w:hAnsi="Wingdings" w:hint="default"/>
      </w:rPr>
    </w:lvl>
    <w:lvl w:ilvl="6" w:tplc="9D0AFFEA" w:tentative="1">
      <w:start w:val="1"/>
      <w:numFmt w:val="bullet"/>
      <w:lvlText w:val=""/>
      <w:lvlJc w:val="left"/>
      <w:pPr>
        <w:ind w:left="6120" w:hanging="360"/>
      </w:pPr>
      <w:rPr>
        <w:rFonts w:ascii="Symbol" w:hAnsi="Symbol" w:hint="default"/>
      </w:rPr>
    </w:lvl>
    <w:lvl w:ilvl="7" w:tplc="663EE25A" w:tentative="1">
      <w:start w:val="1"/>
      <w:numFmt w:val="bullet"/>
      <w:lvlText w:val="o"/>
      <w:lvlJc w:val="left"/>
      <w:pPr>
        <w:ind w:left="6840" w:hanging="360"/>
      </w:pPr>
      <w:rPr>
        <w:rFonts w:ascii="Courier New" w:hAnsi="Courier New" w:cs="Courier New" w:hint="default"/>
      </w:rPr>
    </w:lvl>
    <w:lvl w:ilvl="8" w:tplc="2DD24F62" w:tentative="1">
      <w:start w:val="1"/>
      <w:numFmt w:val="bullet"/>
      <w:lvlText w:val=""/>
      <w:lvlJc w:val="left"/>
      <w:pPr>
        <w:ind w:left="7560" w:hanging="360"/>
      </w:pPr>
      <w:rPr>
        <w:rFonts w:ascii="Wingdings" w:hAnsi="Wingdings" w:hint="default"/>
      </w:rPr>
    </w:lvl>
  </w:abstractNum>
  <w:abstractNum w:abstractNumId="14">
    <w:nsid w:val="18E65396"/>
    <w:multiLevelType w:val="hybridMultilevel"/>
    <w:tmpl w:val="07384C54"/>
    <w:lvl w:ilvl="0" w:tplc="8530271E">
      <w:start w:val="1"/>
      <w:numFmt w:val="decimal"/>
      <w:pStyle w:val="NumberedChapterTitle"/>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nsid w:val="1A3A6266"/>
    <w:multiLevelType w:val="multilevel"/>
    <w:tmpl w:val="4FAAC634"/>
    <w:lvl w:ilvl="0">
      <w:start w:val="1"/>
      <w:numFmt w:val="bullet"/>
      <w:pStyle w:val="AERbulletlistsecondstyle"/>
      <w:lvlText w:val=""/>
      <w:lvlJc w:val="left"/>
      <w:pPr>
        <w:ind w:left="717" w:hanging="360"/>
      </w:pPr>
      <w:rPr>
        <w:rFonts w:ascii="Wingdings 2" w:hAnsi="Wingdings 2" w:hint="default"/>
        <w:b w:val="0"/>
        <w:bCs w:val="0"/>
        <w:i w:val="0"/>
        <w:iCs w:val="0"/>
        <w:caps w:val="0"/>
        <w:strike w:val="0"/>
        <w:dstrike w:val="0"/>
        <w:outline w:val="0"/>
        <w:shadow w:val="0"/>
        <w:emboss w:val="0"/>
        <w:imprint w:val="0"/>
        <w:vanish w:val="0"/>
        <w:spacing w:val="0"/>
        <w:kern w:val="0"/>
        <w:position w:val="0"/>
        <w:sz w:val="18"/>
        <w:u w:val="none"/>
        <w:vertAlign w:val="baseline"/>
        <w:em w:val="none"/>
      </w:rPr>
    </w:lvl>
    <w:lvl w:ilvl="1">
      <w:start w:val="1"/>
      <w:numFmt w:val="bullet"/>
      <w:lvlText w:val=""/>
      <w:lvlJc w:val="left"/>
      <w:pPr>
        <w:tabs>
          <w:tab w:val="num" w:pos="1080"/>
        </w:tabs>
        <w:ind w:left="1080" w:hanging="360"/>
      </w:pPr>
      <w:rPr>
        <w:rFonts w:ascii="Wingdings" w:hAnsi="Wingdings" w:hint="default"/>
      </w:rPr>
    </w:lvl>
    <w:lvl w:ilvl="2">
      <w:start w:val="1"/>
      <w:numFmt w:val="bullet"/>
      <w:lvlText w:val=""/>
      <w:lvlJc w:val="left"/>
      <w:pPr>
        <w:tabs>
          <w:tab w:val="num" w:pos="1800"/>
        </w:tabs>
        <w:ind w:left="1800" w:hanging="360"/>
      </w:pPr>
      <w:rPr>
        <w:rFonts w:ascii="Wingdings" w:hAnsi="Wingdings" w:hint="default"/>
        <w:sz w:val="20"/>
        <w:szCs w:val="20"/>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16">
    <w:nsid w:val="1CF519CE"/>
    <w:multiLevelType w:val="multilevel"/>
    <w:tmpl w:val="FDC07CAE"/>
    <w:lvl w:ilvl="0">
      <w:start w:val="1"/>
      <w:numFmt w:val="decimal"/>
      <w:lvlText w:val="%1."/>
      <w:lvlJc w:val="left"/>
      <w:pPr>
        <w:ind w:left="360" w:hanging="360"/>
      </w:pPr>
    </w:lvl>
    <w:lvl w:ilvl="1">
      <w:start w:val="1"/>
      <w:numFmt w:val="decimal"/>
      <w:pStyle w:val="Numberedparagraph11"/>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1D25569F"/>
    <w:multiLevelType w:val="hybridMultilevel"/>
    <w:tmpl w:val="BFF477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28200BC4"/>
    <w:multiLevelType w:val="hybridMultilevel"/>
    <w:tmpl w:val="3B2C62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28865DF8"/>
    <w:multiLevelType w:val="hybridMultilevel"/>
    <w:tmpl w:val="EC0E5568"/>
    <w:lvl w:ilvl="0" w:tplc="D90E7D7A">
      <w:start w:val="1"/>
      <w:numFmt w:val="lowerLetter"/>
      <w:pStyle w:val="Listalphabet2"/>
      <w:lvlText w:val="(%1)"/>
      <w:lvlJc w:val="left"/>
      <w:pPr>
        <w:ind w:left="1040" w:hanging="360"/>
      </w:pPr>
      <w:rPr>
        <w:rFonts w:hint="default"/>
      </w:rPr>
    </w:lvl>
    <w:lvl w:ilvl="1" w:tplc="0C090019" w:tentative="1">
      <w:start w:val="1"/>
      <w:numFmt w:val="lowerLetter"/>
      <w:lvlText w:val="%2."/>
      <w:lvlJc w:val="left"/>
      <w:pPr>
        <w:ind w:left="1760" w:hanging="360"/>
      </w:pPr>
    </w:lvl>
    <w:lvl w:ilvl="2" w:tplc="0C09001B" w:tentative="1">
      <w:start w:val="1"/>
      <w:numFmt w:val="lowerRoman"/>
      <w:lvlText w:val="%3."/>
      <w:lvlJc w:val="right"/>
      <w:pPr>
        <w:ind w:left="2480" w:hanging="180"/>
      </w:pPr>
    </w:lvl>
    <w:lvl w:ilvl="3" w:tplc="0C09000F" w:tentative="1">
      <w:start w:val="1"/>
      <w:numFmt w:val="decimal"/>
      <w:lvlText w:val="%4."/>
      <w:lvlJc w:val="left"/>
      <w:pPr>
        <w:ind w:left="3200" w:hanging="360"/>
      </w:pPr>
    </w:lvl>
    <w:lvl w:ilvl="4" w:tplc="0C090019" w:tentative="1">
      <w:start w:val="1"/>
      <w:numFmt w:val="lowerLetter"/>
      <w:lvlText w:val="%5."/>
      <w:lvlJc w:val="left"/>
      <w:pPr>
        <w:ind w:left="3920" w:hanging="360"/>
      </w:pPr>
    </w:lvl>
    <w:lvl w:ilvl="5" w:tplc="0C09001B" w:tentative="1">
      <w:start w:val="1"/>
      <w:numFmt w:val="lowerRoman"/>
      <w:lvlText w:val="%6."/>
      <w:lvlJc w:val="right"/>
      <w:pPr>
        <w:ind w:left="4640" w:hanging="180"/>
      </w:pPr>
    </w:lvl>
    <w:lvl w:ilvl="6" w:tplc="0C09000F" w:tentative="1">
      <w:start w:val="1"/>
      <w:numFmt w:val="decimal"/>
      <w:lvlText w:val="%7."/>
      <w:lvlJc w:val="left"/>
      <w:pPr>
        <w:ind w:left="5360" w:hanging="360"/>
      </w:pPr>
    </w:lvl>
    <w:lvl w:ilvl="7" w:tplc="0C090019" w:tentative="1">
      <w:start w:val="1"/>
      <w:numFmt w:val="lowerLetter"/>
      <w:lvlText w:val="%8."/>
      <w:lvlJc w:val="left"/>
      <w:pPr>
        <w:ind w:left="6080" w:hanging="360"/>
      </w:pPr>
    </w:lvl>
    <w:lvl w:ilvl="8" w:tplc="0C09001B" w:tentative="1">
      <w:start w:val="1"/>
      <w:numFmt w:val="lowerRoman"/>
      <w:lvlText w:val="%9."/>
      <w:lvlJc w:val="right"/>
      <w:pPr>
        <w:ind w:left="6800" w:hanging="180"/>
      </w:pPr>
    </w:lvl>
  </w:abstractNum>
  <w:abstractNum w:abstractNumId="20">
    <w:nsid w:val="361745DC"/>
    <w:multiLevelType w:val="hybridMultilevel"/>
    <w:tmpl w:val="96B2B91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3923347D"/>
    <w:multiLevelType w:val="hybridMultilevel"/>
    <w:tmpl w:val="D45C48E2"/>
    <w:lvl w:ilvl="0" w:tplc="D66A534E">
      <w:start w:val="1"/>
      <w:numFmt w:val="bullet"/>
      <w:pStyle w:val="ListBullet"/>
      <w:lvlText w:val=""/>
      <w:lvlJc w:val="left"/>
      <w:pPr>
        <w:ind w:left="720" w:hanging="360"/>
      </w:pPr>
      <w:rPr>
        <w:rFonts w:ascii="Symbol" w:hAnsi="Symbol"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3CF07D5F"/>
    <w:multiLevelType w:val="hybridMultilevel"/>
    <w:tmpl w:val="D6DC675A"/>
    <w:lvl w:ilvl="0" w:tplc="6C6CF7F2">
      <w:start w:val="1"/>
      <w:numFmt w:val="lowerLetter"/>
      <w:lvlText w:val="(%1)"/>
      <w:lvlJc w:val="left"/>
      <w:pPr>
        <w:ind w:left="1361" w:hanging="340"/>
      </w:pPr>
      <w:rPr>
        <w:rFonts w:hint="default"/>
      </w:rPr>
    </w:lvl>
    <w:lvl w:ilvl="1" w:tplc="0C090019" w:tentative="1">
      <w:start w:val="1"/>
      <w:numFmt w:val="lowerLetter"/>
      <w:lvlText w:val="%2."/>
      <w:lvlJc w:val="left"/>
      <w:pPr>
        <w:ind w:left="2101" w:hanging="360"/>
      </w:pPr>
    </w:lvl>
    <w:lvl w:ilvl="2" w:tplc="0C09001B" w:tentative="1">
      <w:start w:val="1"/>
      <w:numFmt w:val="lowerRoman"/>
      <w:lvlText w:val="%3."/>
      <w:lvlJc w:val="right"/>
      <w:pPr>
        <w:ind w:left="2821" w:hanging="180"/>
      </w:pPr>
    </w:lvl>
    <w:lvl w:ilvl="3" w:tplc="0C09000F" w:tentative="1">
      <w:start w:val="1"/>
      <w:numFmt w:val="decimal"/>
      <w:lvlText w:val="%4."/>
      <w:lvlJc w:val="left"/>
      <w:pPr>
        <w:ind w:left="3541" w:hanging="360"/>
      </w:pPr>
    </w:lvl>
    <w:lvl w:ilvl="4" w:tplc="0C090019" w:tentative="1">
      <w:start w:val="1"/>
      <w:numFmt w:val="lowerLetter"/>
      <w:lvlText w:val="%5."/>
      <w:lvlJc w:val="left"/>
      <w:pPr>
        <w:ind w:left="4261" w:hanging="360"/>
      </w:pPr>
    </w:lvl>
    <w:lvl w:ilvl="5" w:tplc="0C09001B" w:tentative="1">
      <w:start w:val="1"/>
      <w:numFmt w:val="lowerRoman"/>
      <w:lvlText w:val="%6."/>
      <w:lvlJc w:val="right"/>
      <w:pPr>
        <w:ind w:left="4981" w:hanging="180"/>
      </w:pPr>
    </w:lvl>
    <w:lvl w:ilvl="6" w:tplc="0C09000F" w:tentative="1">
      <w:start w:val="1"/>
      <w:numFmt w:val="decimal"/>
      <w:lvlText w:val="%7."/>
      <w:lvlJc w:val="left"/>
      <w:pPr>
        <w:ind w:left="5701" w:hanging="360"/>
      </w:pPr>
    </w:lvl>
    <w:lvl w:ilvl="7" w:tplc="0C090019" w:tentative="1">
      <w:start w:val="1"/>
      <w:numFmt w:val="lowerLetter"/>
      <w:lvlText w:val="%8."/>
      <w:lvlJc w:val="left"/>
      <w:pPr>
        <w:ind w:left="6421" w:hanging="360"/>
      </w:pPr>
    </w:lvl>
    <w:lvl w:ilvl="8" w:tplc="0C09001B" w:tentative="1">
      <w:start w:val="1"/>
      <w:numFmt w:val="lowerRoman"/>
      <w:lvlText w:val="%9."/>
      <w:lvlJc w:val="right"/>
      <w:pPr>
        <w:ind w:left="7141" w:hanging="180"/>
      </w:pPr>
    </w:lvl>
  </w:abstractNum>
  <w:abstractNum w:abstractNumId="23">
    <w:nsid w:val="43F559A7"/>
    <w:multiLevelType w:val="hybridMultilevel"/>
    <w:tmpl w:val="3D7E8A1C"/>
    <w:lvl w:ilvl="0" w:tplc="0C090005">
      <w:start w:val="1"/>
      <w:numFmt w:val="bullet"/>
      <w:lvlText w:val=""/>
      <w:lvlJc w:val="left"/>
      <w:pPr>
        <w:tabs>
          <w:tab w:val="num" w:pos="360"/>
        </w:tabs>
        <w:ind w:left="360" w:hanging="360"/>
      </w:pPr>
      <w:rPr>
        <w:rFonts w:ascii="Wingdings" w:hAnsi="Wingdings" w:cs="Wingdings" w:hint="default"/>
      </w:rPr>
    </w:lvl>
    <w:lvl w:ilvl="1" w:tplc="0C090003">
      <w:start w:val="1"/>
      <w:numFmt w:val="bullet"/>
      <w:lvlText w:val="o"/>
      <w:lvlJc w:val="left"/>
      <w:pPr>
        <w:tabs>
          <w:tab w:val="num" w:pos="1080"/>
        </w:tabs>
        <w:ind w:left="1080" w:hanging="360"/>
      </w:pPr>
      <w:rPr>
        <w:rFonts w:ascii="Courier New" w:hAnsi="Courier New" w:cs="Courier New" w:hint="default"/>
      </w:rPr>
    </w:lvl>
    <w:lvl w:ilvl="2" w:tplc="CB9CDEEE">
      <w:numFmt w:val="bullet"/>
      <w:lvlText w:val="-"/>
      <w:lvlJc w:val="left"/>
      <w:pPr>
        <w:tabs>
          <w:tab w:val="num" w:pos="1800"/>
        </w:tabs>
        <w:ind w:left="1800" w:hanging="360"/>
      </w:pPr>
      <w:rPr>
        <w:rFonts w:ascii="Times New Roman" w:eastAsia="Times New Roman" w:hAnsi="Times New Roman" w:hint="default"/>
      </w:rPr>
    </w:lvl>
    <w:lvl w:ilvl="3" w:tplc="0C090001" w:tentative="1">
      <w:start w:val="1"/>
      <w:numFmt w:val="bullet"/>
      <w:lvlText w:val=""/>
      <w:lvlJc w:val="left"/>
      <w:pPr>
        <w:tabs>
          <w:tab w:val="num" w:pos="2520"/>
        </w:tabs>
        <w:ind w:left="2520" w:hanging="360"/>
      </w:pPr>
      <w:rPr>
        <w:rFonts w:ascii="Symbol" w:hAnsi="Symbol" w:cs="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cs="Wingdings" w:hint="default"/>
      </w:rPr>
    </w:lvl>
    <w:lvl w:ilvl="6" w:tplc="0C090001" w:tentative="1">
      <w:start w:val="1"/>
      <w:numFmt w:val="bullet"/>
      <w:lvlText w:val=""/>
      <w:lvlJc w:val="left"/>
      <w:pPr>
        <w:tabs>
          <w:tab w:val="num" w:pos="4680"/>
        </w:tabs>
        <w:ind w:left="4680" w:hanging="360"/>
      </w:pPr>
      <w:rPr>
        <w:rFonts w:ascii="Symbol" w:hAnsi="Symbol" w:cs="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cs="Wingdings" w:hint="default"/>
      </w:rPr>
    </w:lvl>
  </w:abstractNum>
  <w:abstractNum w:abstractNumId="24">
    <w:nsid w:val="499F124F"/>
    <w:multiLevelType w:val="multilevel"/>
    <w:tmpl w:val="5666D91E"/>
    <w:styleLink w:val="AlphanumericList"/>
    <w:lvl w:ilvl="0">
      <w:start w:val="1"/>
      <w:numFmt w:val="decimal"/>
      <w:lvlText w:val="A.%1"/>
      <w:lvlJc w:val="left"/>
      <w:pPr>
        <w:ind w:left="360" w:hanging="360"/>
      </w:pPr>
      <w:rPr>
        <w:rFonts w:ascii="Arial" w:hAnsi="Arial" w:hint="default"/>
        <w:sz w:val="22"/>
      </w:rPr>
    </w:lvl>
    <w:lvl w:ilvl="1">
      <w:start w:val="1"/>
      <w:numFmt w:val="decimal"/>
      <w:lvlRestart w:val="0"/>
      <w:lvlText w:val="A.%1.%2"/>
      <w:lvlJc w:val="left"/>
      <w:pPr>
        <w:ind w:left="720" w:hanging="360"/>
      </w:pPr>
      <w:rPr>
        <w:rFonts w:hint="default"/>
      </w:rPr>
    </w:lvl>
    <w:lvl w:ilvl="2">
      <w:start w:val="1"/>
      <w:numFmt w:val="decimal"/>
      <w:lvlRestart w:val="0"/>
      <w:lvlText w:val="A.%1.%2.%3"/>
      <w:lvlJc w:val="left"/>
      <w:pPr>
        <w:ind w:left="1080" w:hanging="360"/>
      </w:pPr>
      <w:rPr>
        <w:rFonts w:hint="default"/>
      </w:rPr>
    </w:lvl>
    <w:lvl w:ilvl="3">
      <w:start w:val="1"/>
      <w:numFmt w:val="none"/>
      <w:lvlText w:val="(1)"/>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nsid w:val="49E52C90"/>
    <w:multiLevelType w:val="hybridMultilevel"/>
    <w:tmpl w:val="8C0ACE80"/>
    <w:lvl w:ilvl="0" w:tplc="9D00B0D8">
      <w:start w:val="1"/>
      <w:numFmt w:val="lowerRoman"/>
      <w:pStyle w:val="ListLegal"/>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nsid w:val="541D2296"/>
    <w:multiLevelType w:val="hybridMultilevel"/>
    <w:tmpl w:val="BBD44BB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Times New Roman"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Times New Roman"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Times New Roman" w:hint="default"/>
      </w:rPr>
    </w:lvl>
    <w:lvl w:ilvl="8" w:tplc="0C090005">
      <w:start w:val="1"/>
      <w:numFmt w:val="bullet"/>
      <w:lvlText w:val=""/>
      <w:lvlJc w:val="left"/>
      <w:pPr>
        <w:ind w:left="6480" w:hanging="360"/>
      </w:pPr>
      <w:rPr>
        <w:rFonts w:ascii="Wingdings" w:hAnsi="Wingdings" w:hint="default"/>
      </w:rPr>
    </w:lvl>
  </w:abstractNum>
  <w:abstractNum w:abstractNumId="27">
    <w:nsid w:val="59474DF1"/>
    <w:multiLevelType w:val="multilevel"/>
    <w:tmpl w:val="5BC065FC"/>
    <w:lvl w:ilvl="0">
      <w:start w:val="1"/>
      <w:numFmt w:val="decimal"/>
      <w:pStyle w:val="LegalNumbering"/>
      <w:isLgl/>
      <w:lvlText w:val="%1)"/>
      <w:lvlJc w:val="left"/>
      <w:pPr>
        <w:ind w:left="340" w:hanging="340"/>
      </w:pPr>
      <w:rPr>
        <w:rFonts w:hint="default"/>
      </w:rPr>
    </w:lvl>
    <w:lvl w:ilvl="1">
      <w:start w:val="1"/>
      <w:numFmt w:val="lowerLetter"/>
      <w:lvlText w:val="%2) "/>
      <w:lvlJc w:val="left"/>
      <w:pPr>
        <w:ind w:left="680" w:hanging="340"/>
      </w:pPr>
      <w:rPr>
        <w:rFonts w:hint="default"/>
      </w:rPr>
    </w:lvl>
    <w:lvl w:ilvl="2">
      <w:start w:val="1"/>
      <w:numFmt w:val="lowerRoman"/>
      <w:lvlText w:val="%3)"/>
      <w:lvlJc w:val="left"/>
      <w:pPr>
        <w:tabs>
          <w:tab w:val="num" w:pos="1701"/>
        </w:tabs>
        <w:ind w:left="1021" w:hanging="341"/>
      </w:pPr>
      <w:rPr>
        <w:rFonts w:hint="default"/>
      </w:rPr>
    </w:lvl>
    <w:lvl w:ilvl="3">
      <w:start w:val="1"/>
      <w:numFmt w:val="decimal"/>
      <w:lvlText w:val="(%4) "/>
      <w:lvlJc w:val="left"/>
      <w:pPr>
        <w:tabs>
          <w:tab w:val="num" w:pos="1758"/>
        </w:tabs>
        <w:ind w:left="1361" w:hanging="340"/>
      </w:pPr>
      <w:rPr>
        <w:rFonts w:hint="default"/>
      </w:rPr>
    </w:lvl>
    <w:lvl w:ilvl="4">
      <w:start w:val="1"/>
      <w:numFmt w:val="lowerLetter"/>
      <w:lvlText w:val="(%5)"/>
      <w:lvlJc w:val="left"/>
      <w:pPr>
        <w:ind w:left="1701" w:hanging="340"/>
      </w:pPr>
      <w:rPr>
        <w:rFonts w:hint="default"/>
      </w:rPr>
    </w:lvl>
    <w:lvl w:ilvl="5">
      <w:start w:val="1"/>
      <w:numFmt w:val="lowerRoman"/>
      <w:lvlText w:val="(%6)"/>
      <w:lvlJc w:val="left"/>
      <w:pPr>
        <w:tabs>
          <w:tab w:val="num" w:pos="2608"/>
        </w:tabs>
        <w:ind w:left="2041" w:hanging="340"/>
      </w:pPr>
      <w:rPr>
        <w:rFonts w:hint="default"/>
      </w:rPr>
    </w:lvl>
    <w:lvl w:ilvl="6">
      <w:start w:val="1"/>
      <w:numFmt w:val="decimal"/>
      <w:lvlText w:val="%7."/>
      <w:lvlJc w:val="left"/>
      <w:pPr>
        <w:tabs>
          <w:tab w:val="num" w:pos="3175"/>
        </w:tabs>
        <w:ind w:left="2381" w:hanging="340"/>
      </w:pPr>
      <w:rPr>
        <w:rFonts w:hint="default"/>
      </w:rPr>
    </w:lvl>
    <w:lvl w:ilvl="7">
      <w:start w:val="1"/>
      <w:numFmt w:val="lowerLetter"/>
      <w:lvlText w:val="%8."/>
      <w:lvlJc w:val="left"/>
      <w:pPr>
        <w:tabs>
          <w:tab w:val="num" w:pos="3799"/>
        </w:tabs>
        <w:ind w:left="2722" w:hanging="341"/>
      </w:pPr>
      <w:rPr>
        <w:rFonts w:hint="default"/>
      </w:rPr>
    </w:lvl>
    <w:lvl w:ilvl="8">
      <w:start w:val="1"/>
      <w:numFmt w:val="lowerRoman"/>
      <w:lvlText w:val="%9."/>
      <w:lvlJc w:val="left"/>
      <w:pPr>
        <w:ind w:left="3062" w:hanging="340"/>
      </w:pPr>
      <w:rPr>
        <w:rFonts w:hint="default"/>
      </w:rPr>
    </w:lvl>
  </w:abstractNum>
  <w:abstractNum w:abstractNumId="28">
    <w:nsid w:val="6726588A"/>
    <w:multiLevelType w:val="hybridMultilevel"/>
    <w:tmpl w:val="CC927964"/>
    <w:lvl w:ilvl="0" w:tplc="0C09000F">
      <w:start w:val="1"/>
      <w:numFmt w:val="bullet"/>
      <w:pStyle w:val="Bulletpoint2"/>
      <w:lvlText w:val="o"/>
      <w:lvlJc w:val="left"/>
      <w:pPr>
        <w:ind w:left="1003" w:hanging="360"/>
      </w:pPr>
      <w:rPr>
        <w:rFonts w:ascii="Courier New" w:hAnsi="Courier New" w:cs="Courier New" w:hint="default"/>
      </w:rPr>
    </w:lvl>
    <w:lvl w:ilvl="1" w:tplc="0C090019" w:tentative="1">
      <w:start w:val="1"/>
      <w:numFmt w:val="bullet"/>
      <w:lvlText w:val="o"/>
      <w:lvlJc w:val="left"/>
      <w:pPr>
        <w:ind w:left="1723" w:hanging="360"/>
      </w:pPr>
      <w:rPr>
        <w:rFonts w:ascii="Courier New" w:hAnsi="Courier New" w:cs="Courier New" w:hint="default"/>
      </w:rPr>
    </w:lvl>
    <w:lvl w:ilvl="2" w:tplc="0C09001B" w:tentative="1">
      <w:start w:val="1"/>
      <w:numFmt w:val="bullet"/>
      <w:lvlText w:val=""/>
      <w:lvlJc w:val="left"/>
      <w:pPr>
        <w:ind w:left="2443" w:hanging="360"/>
      </w:pPr>
      <w:rPr>
        <w:rFonts w:ascii="Wingdings" w:hAnsi="Wingdings" w:hint="default"/>
      </w:rPr>
    </w:lvl>
    <w:lvl w:ilvl="3" w:tplc="0C09000F" w:tentative="1">
      <w:start w:val="1"/>
      <w:numFmt w:val="bullet"/>
      <w:lvlText w:val=""/>
      <w:lvlJc w:val="left"/>
      <w:pPr>
        <w:ind w:left="3163" w:hanging="360"/>
      </w:pPr>
      <w:rPr>
        <w:rFonts w:ascii="Symbol" w:hAnsi="Symbol" w:hint="default"/>
      </w:rPr>
    </w:lvl>
    <w:lvl w:ilvl="4" w:tplc="0C090019" w:tentative="1">
      <w:start w:val="1"/>
      <w:numFmt w:val="bullet"/>
      <w:lvlText w:val="o"/>
      <w:lvlJc w:val="left"/>
      <w:pPr>
        <w:ind w:left="3883" w:hanging="360"/>
      </w:pPr>
      <w:rPr>
        <w:rFonts w:ascii="Courier New" w:hAnsi="Courier New" w:cs="Courier New" w:hint="default"/>
      </w:rPr>
    </w:lvl>
    <w:lvl w:ilvl="5" w:tplc="0C09001B" w:tentative="1">
      <w:start w:val="1"/>
      <w:numFmt w:val="bullet"/>
      <w:lvlText w:val=""/>
      <w:lvlJc w:val="left"/>
      <w:pPr>
        <w:ind w:left="4603" w:hanging="360"/>
      </w:pPr>
      <w:rPr>
        <w:rFonts w:ascii="Wingdings" w:hAnsi="Wingdings" w:hint="default"/>
      </w:rPr>
    </w:lvl>
    <w:lvl w:ilvl="6" w:tplc="0C09000F" w:tentative="1">
      <w:start w:val="1"/>
      <w:numFmt w:val="bullet"/>
      <w:lvlText w:val=""/>
      <w:lvlJc w:val="left"/>
      <w:pPr>
        <w:ind w:left="5323" w:hanging="360"/>
      </w:pPr>
      <w:rPr>
        <w:rFonts w:ascii="Symbol" w:hAnsi="Symbol" w:hint="default"/>
      </w:rPr>
    </w:lvl>
    <w:lvl w:ilvl="7" w:tplc="0C090019" w:tentative="1">
      <w:start w:val="1"/>
      <w:numFmt w:val="bullet"/>
      <w:lvlText w:val="o"/>
      <w:lvlJc w:val="left"/>
      <w:pPr>
        <w:ind w:left="6043" w:hanging="360"/>
      </w:pPr>
      <w:rPr>
        <w:rFonts w:ascii="Courier New" w:hAnsi="Courier New" w:cs="Courier New" w:hint="default"/>
      </w:rPr>
    </w:lvl>
    <w:lvl w:ilvl="8" w:tplc="0C09001B" w:tentative="1">
      <w:start w:val="1"/>
      <w:numFmt w:val="bullet"/>
      <w:lvlText w:val=""/>
      <w:lvlJc w:val="left"/>
      <w:pPr>
        <w:ind w:left="6763" w:hanging="360"/>
      </w:pPr>
      <w:rPr>
        <w:rFonts w:ascii="Wingdings" w:hAnsi="Wingdings" w:hint="default"/>
      </w:rPr>
    </w:lvl>
  </w:abstractNum>
  <w:abstractNum w:abstractNumId="29">
    <w:nsid w:val="71052EFE"/>
    <w:multiLevelType w:val="hybridMultilevel"/>
    <w:tmpl w:val="52FCFAA8"/>
    <w:lvl w:ilvl="0" w:tplc="C846CA5C">
      <w:start w:val="1"/>
      <w:numFmt w:val="lowerRoman"/>
      <w:pStyle w:val="ListLegal3"/>
      <w:lvlText w:val="%1."/>
      <w:lvlJc w:val="righ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nsid w:val="7E2819EC"/>
    <w:multiLevelType w:val="multilevel"/>
    <w:tmpl w:val="1250F310"/>
    <w:lvl w:ilvl="0">
      <w:start w:val="1"/>
      <w:numFmt w:val="bullet"/>
      <w:pStyle w:val="Bulletpoint"/>
      <w:lvlText w:val=""/>
      <w:lvlJc w:val="left"/>
      <w:pPr>
        <w:ind w:left="1380" w:hanging="360"/>
      </w:pPr>
      <w:rPr>
        <w:rFonts w:ascii="Symbol" w:hAnsi="Symbol" w:hint="default"/>
      </w:rPr>
    </w:lvl>
    <w:lvl w:ilvl="1">
      <w:start w:val="1"/>
      <w:numFmt w:val="decimal"/>
      <w:lvlText w:val="%1.%2."/>
      <w:lvlJc w:val="left"/>
      <w:pPr>
        <w:ind w:left="1812" w:hanging="432"/>
      </w:pPr>
      <w:rPr>
        <w:rFonts w:hint="default"/>
      </w:rPr>
    </w:lvl>
    <w:lvl w:ilvl="2">
      <w:start w:val="1"/>
      <w:numFmt w:val="decimal"/>
      <w:lvlText w:val="%1.%2.%3."/>
      <w:lvlJc w:val="left"/>
      <w:pPr>
        <w:ind w:left="2244" w:hanging="504"/>
      </w:pPr>
      <w:rPr>
        <w:rFonts w:hint="default"/>
      </w:rPr>
    </w:lvl>
    <w:lvl w:ilvl="3">
      <w:start w:val="1"/>
      <w:numFmt w:val="decimal"/>
      <w:lvlText w:val="%1.%2.%3.%4."/>
      <w:lvlJc w:val="left"/>
      <w:pPr>
        <w:ind w:left="2748" w:hanging="648"/>
      </w:pPr>
      <w:rPr>
        <w:rFonts w:hint="default"/>
      </w:rPr>
    </w:lvl>
    <w:lvl w:ilvl="4">
      <w:start w:val="1"/>
      <w:numFmt w:val="decimal"/>
      <w:lvlText w:val="%1.%2.%3.%4.%5."/>
      <w:lvlJc w:val="left"/>
      <w:pPr>
        <w:ind w:left="3252" w:hanging="792"/>
      </w:pPr>
      <w:rPr>
        <w:rFonts w:hint="default"/>
      </w:rPr>
    </w:lvl>
    <w:lvl w:ilvl="5">
      <w:start w:val="1"/>
      <w:numFmt w:val="decimal"/>
      <w:lvlText w:val="%1.%2.%3.%4.%5.%6."/>
      <w:lvlJc w:val="left"/>
      <w:pPr>
        <w:ind w:left="3756" w:hanging="936"/>
      </w:pPr>
      <w:rPr>
        <w:rFonts w:hint="default"/>
      </w:rPr>
    </w:lvl>
    <w:lvl w:ilvl="6">
      <w:start w:val="1"/>
      <w:numFmt w:val="decimal"/>
      <w:lvlText w:val="%1.%2.%3.%4.%5.%6.%7."/>
      <w:lvlJc w:val="left"/>
      <w:pPr>
        <w:ind w:left="4260" w:hanging="1080"/>
      </w:pPr>
      <w:rPr>
        <w:rFonts w:hint="default"/>
      </w:rPr>
    </w:lvl>
    <w:lvl w:ilvl="7">
      <w:start w:val="1"/>
      <w:numFmt w:val="decimal"/>
      <w:lvlText w:val="%1.%2.%3.%4.%5.%6.%7.%8."/>
      <w:lvlJc w:val="left"/>
      <w:pPr>
        <w:ind w:left="4764" w:hanging="1224"/>
      </w:pPr>
      <w:rPr>
        <w:rFonts w:hint="default"/>
      </w:rPr>
    </w:lvl>
    <w:lvl w:ilvl="8">
      <w:start w:val="1"/>
      <w:numFmt w:val="decimal"/>
      <w:lvlText w:val="%1.%2.%3.%4.%5.%6.%7.%8.%9."/>
      <w:lvlJc w:val="left"/>
      <w:pPr>
        <w:ind w:left="5340" w:hanging="1440"/>
      </w:pPr>
      <w:rPr>
        <w:rFonts w:hint="default"/>
      </w:rPr>
    </w:lvl>
  </w:abstractNum>
  <w:num w:numId="1">
    <w:abstractNumId w:val="13"/>
  </w:num>
  <w:num w:numId="2">
    <w:abstractNumId w:val="30"/>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28"/>
  </w:num>
  <w:num w:numId="13">
    <w:abstractNumId w:val="21"/>
  </w:num>
  <w:num w:numId="14">
    <w:abstractNumId w:val="12"/>
  </w:num>
  <w:num w:numId="15">
    <w:abstractNumId w:val="16"/>
  </w:num>
  <w:num w:numId="16">
    <w:abstractNumId w:val="24"/>
  </w:num>
  <w:num w:numId="17">
    <w:abstractNumId w:val="11"/>
  </w:num>
  <w:num w:numId="18">
    <w:abstractNumId w:val="19"/>
  </w:num>
  <w:num w:numId="19">
    <w:abstractNumId w:val="25"/>
  </w:num>
  <w:num w:numId="20">
    <w:abstractNumId w:val="29"/>
  </w:num>
  <w:num w:numId="21">
    <w:abstractNumId w:val="27"/>
  </w:num>
  <w:num w:numId="22">
    <w:abstractNumId w:val="9"/>
  </w:num>
  <w:num w:numId="23">
    <w:abstractNumId w:val="14"/>
  </w:num>
  <w:num w:numId="24">
    <w:abstractNumId w:val="20"/>
  </w:num>
  <w:num w:numId="25">
    <w:abstractNumId w:val="15"/>
  </w:num>
  <w:num w:numId="26">
    <w:abstractNumId w:val="26"/>
  </w:num>
  <w:num w:numId="27">
    <w:abstractNumId w:val="18"/>
  </w:num>
  <w:num w:numId="28">
    <w:abstractNumId w:val="10"/>
  </w:num>
  <w:num w:numId="29">
    <w:abstractNumId w:val="10"/>
    <w:lvlOverride w:ilvl="0">
      <w:startOverride w:val="1"/>
    </w:lvlOverride>
    <w:lvlOverride w:ilvl="1">
      <w:startOverride w:val="1"/>
    </w:lvlOverride>
    <w:lvlOverride w:ilvl="2">
      <w:startOverride w:val="2"/>
    </w:lvlOverride>
  </w:num>
  <w:num w:numId="30">
    <w:abstractNumId w:val="23"/>
  </w:num>
  <w:num w:numId="31">
    <w:abstractNumId w:val="22"/>
  </w:num>
  <w:num w:numId="32">
    <w:abstractNumId w:val="10"/>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0"/>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0"/>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7"/>
  </w:num>
  <w:num w:numId="37">
    <w:abstractNumId w:val="10"/>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382977"/>
  </w:hdrShapeDefaults>
  <w:footnotePr>
    <w:footnote w:id="-1"/>
    <w:footnote w:id="0"/>
  </w:footnotePr>
  <w:endnotePr>
    <w:endnote w:id="-1"/>
    <w:endnote w:id="0"/>
  </w:endnotePr>
  <w:compat>
    <w:compatSetting w:name="compatibilityMode" w:uri="http://schemas.microsoft.com/office/word" w:val="12"/>
  </w:compat>
  <w:docVars>
    <w:docVar w:name="currentname" w:val="H:\trimdata\TRIM\TEMP\HPTRIM.7776\D16 133222  Quarterly Compliance Report July - Sept 2016.DOCX"/>
  </w:docVars>
  <w:rsids>
    <w:rsidRoot w:val="003974F8"/>
    <w:rsid w:val="00002146"/>
    <w:rsid w:val="0000266C"/>
    <w:rsid w:val="00002AEC"/>
    <w:rsid w:val="000051CB"/>
    <w:rsid w:val="00006AD4"/>
    <w:rsid w:val="00007462"/>
    <w:rsid w:val="000079FB"/>
    <w:rsid w:val="00007C8B"/>
    <w:rsid w:val="000103CF"/>
    <w:rsid w:val="0001075A"/>
    <w:rsid w:val="00013A09"/>
    <w:rsid w:val="00014ADF"/>
    <w:rsid w:val="000200DD"/>
    <w:rsid w:val="0002010B"/>
    <w:rsid w:val="000211B3"/>
    <w:rsid w:val="00025D74"/>
    <w:rsid w:val="00025ED3"/>
    <w:rsid w:val="00027B50"/>
    <w:rsid w:val="000305EA"/>
    <w:rsid w:val="000313AD"/>
    <w:rsid w:val="00034052"/>
    <w:rsid w:val="00034CD8"/>
    <w:rsid w:val="00034E89"/>
    <w:rsid w:val="0003584A"/>
    <w:rsid w:val="00036B6C"/>
    <w:rsid w:val="000410DE"/>
    <w:rsid w:val="00041C53"/>
    <w:rsid w:val="00042F76"/>
    <w:rsid w:val="0004306F"/>
    <w:rsid w:val="000430A2"/>
    <w:rsid w:val="00043BC7"/>
    <w:rsid w:val="0004576C"/>
    <w:rsid w:val="00047F90"/>
    <w:rsid w:val="000500D9"/>
    <w:rsid w:val="0005081A"/>
    <w:rsid w:val="000565B8"/>
    <w:rsid w:val="000574C6"/>
    <w:rsid w:val="0005764A"/>
    <w:rsid w:val="00060A6A"/>
    <w:rsid w:val="000611C9"/>
    <w:rsid w:val="00063595"/>
    <w:rsid w:val="00065701"/>
    <w:rsid w:val="00072507"/>
    <w:rsid w:val="00072B11"/>
    <w:rsid w:val="00075721"/>
    <w:rsid w:val="00076376"/>
    <w:rsid w:val="00076A00"/>
    <w:rsid w:val="00080F4D"/>
    <w:rsid w:val="0008239B"/>
    <w:rsid w:val="00091A5A"/>
    <w:rsid w:val="000938EC"/>
    <w:rsid w:val="0009432B"/>
    <w:rsid w:val="000A44E9"/>
    <w:rsid w:val="000A4D0C"/>
    <w:rsid w:val="000A7113"/>
    <w:rsid w:val="000B05D0"/>
    <w:rsid w:val="000B0A8A"/>
    <w:rsid w:val="000B150D"/>
    <w:rsid w:val="000B19C9"/>
    <w:rsid w:val="000B2EF1"/>
    <w:rsid w:val="000B3A3E"/>
    <w:rsid w:val="000C0A7E"/>
    <w:rsid w:val="000C228E"/>
    <w:rsid w:val="000C58E7"/>
    <w:rsid w:val="000C74CA"/>
    <w:rsid w:val="000C78E9"/>
    <w:rsid w:val="000C7F48"/>
    <w:rsid w:val="000D0265"/>
    <w:rsid w:val="000D2224"/>
    <w:rsid w:val="000D2BF0"/>
    <w:rsid w:val="000D357B"/>
    <w:rsid w:val="000D5C8A"/>
    <w:rsid w:val="000D691D"/>
    <w:rsid w:val="000D6AC5"/>
    <w:rsid w:val="000D6CD3"/>
    <w:rsid w:val="000D718C"/>
    <w:rsid w:val="000D7379"/>
    <w:rsid w:val="000E0855"/>
    <w:rsid w:val="000E0B34"/>
    <w:rsid w:val="000E19F7"/>
    <w:rsid w:val="000E24F5"/>
    <w:rsid w:val="000E2CBE"/>
    <w:rsid w:val="000E2D61"/>
    <w:rsid w:val="000E5114"/>
    <w:rsid w:val="000E5561"/>
    <w:rsid w:val="000E6207"/>
    <w:rsid w:val="000E65D3"/>
    <w:rsid w:val="000F11F3"/>
    <w:rsid w:val="000F2714"/>
    <w:rsid w:val="000F286B"/>
    <w:rsid w:val="000F43C8"/>
    <w:rsid w:val="000F542B"/>
    <w:rsid w:val="000F5B5E"/>
    <w:rsid w:val="000F6F9A"/>
    <w:rsid w:val="000F7AA4"/>
    <w:rsid w:val="0010042D"/>
    <w:rsid w:val="0010056A"/>
    <w:rsid w:val="001025FF"/>
    <w:rsid w:val="00111CF3"/>
    <w:rsid w:val="00113037"/>
    <w:rsid w:val="001146FC"/>
    <w:rsid w:val="00114BC3"/>
    <w:rsid w:val="001156E6"/>
    <w:rsid w:val="00115BE0"/>
    <w:rsid w:val="00115CC4"/>
    <w:rsid w:val="001175E5"/>
    <w:rsid w:val="0012083B"/>
    <w:rsid w:val="001213C4"/>
    <w:rsid w:val="001215A6"/>
    <w:rsid w:val="001218DE"/>
    <w:rsid w:val="001218FC"/>
    <w:rsid w:val="00122B76"/>
    <w:rsid w:val="001263D2"/>
    <w:rsid w:val="00126527"/>
    <w:rsid w:val="00126851"/>
    <w:rsid w:val="001270BF"/>
    <w:rsid w:val="0013132E"/>
    <w:rsid w:val="00131897"/>
    <w:rsid w:val="00134C83"/>
    <w:rsid w:val="0013527D"/>
    <w:rsid w:val="001373DF"/>
    <w:rsid w:val="00137EE4"/>
    <w:rsid w:val="001429FF"/>
    <w:rsid w:val="001431ED"/>
    <w:rsid w:val="00144299"/>
    <w:rsid w:val="00144C3D"/>
    <w:rsid w:val="00146B76"/>
    <w:rsid w:val="00147F15"/>
    <w:rsid w:val="00150C72"/>
    <w:rsid w:val="001510E3"/>
    <w:rsid w:val="001510F6"/>
    <w:rsid w:val="0015165A"/>
    <w:rsid w:val="001527B9"/>
    <w:rsid w:val="00153604"/>
    <w:rsid w:val="00153B11"/>
    <w:rsid w:val="00154066"/>
    <w:rsid w:val="001541FC"/>
    <w:rsid w:val="00154387"/>
    <w:rsid w:val="001549A4"/>
    <w:rsid w:val="0015569B"/>
    <w:rsid w:val="00157A89"/>
    <w:rsid w:val="001630D7"/>
    <w:rsid w:val="00165471"/>
    <w:rsid w:val="001706A9"/>
    <w:rsid w:val="00170FC5"/>
    <w:rsid w:val="00171347"/>
    <w:rsid w:val="00172463"/>
    <w:rsid w:val="00172E34"/>
    <w:rsid w:val="0017338D"/>
    <w:rsid w:val="00175152"/>
    <w:rsid w:val="001767B5"/>
    <w:rsid w:val="00180D1D"/>
    <w:rsid w:val="0018455F"/>
    <w:rsid w:val="00184BAB"/>
    <w:rsid w:val="00193532"/>
    <w:rsid w:val="00194AC7"/>
    <w:rsid w:val="001963A4"/>
    <w:rsid w:val="00196C60"/>
    <w:rsid w:val="00196F33"/>
    <w:rsid w:val="001978F9"/>
    <w:rsid w:val="0019799D"/>
    <w:rsid w:val="001A022D"/>
    <w:rsid w:val="001A0C18"/>
    <w:rsid w:val="001A1E50"/>
    <w:rsid w:val="001A1FED"/>
    <w:rsid w:val="001A2845"/>
    <w:rsid w:val="001A338A"/>
    <w:rsid w:val="001A6922"/>
    <w:rsid w:val="001A7ECA"/>
    <w:rsid w:val="001B1525"/>
    <w:rsid w:val="001B33B4"/>
    <w:rsid w:val="001B5A58"/>
    <w:rsid w:val="001B6913"/>
    <w:rsid w:val="001C022A"/>
    <w:rsid w:val="001C081F"/>
    <w:rsid w:val="001C0A14"/>
    <w:rsid w:val="001C16F8"/>
    <w:rsid w:val="001C1C6F"/>
    <w:rsid w:val="001C3E7D"/>
    <w:rsid w:val="001C4288"/>
    <w:rsid w:val="001C43A1"/>
    <w:rsid w:val="001C4F79"/>
    <w:rsid w:val="001C765A"/>
    <w:rsid w:val="001D0217"/>
    <w:rsid w:val="001D0635"/>
    <w:rsid w:val="001D0C57"/>
    <w:rsid w:val="001D3A1C"/>
    <w:rsid w:val="001D4EF0"/>
    <w:rsid w:val="001D590F"/>
    <w:rsid w:val="001E0549"/>
    <w:rsid w:val="001E64CB"/>
    <w:rsid w:val="001E7721"/>
    <w:rsid w:val="001F017A"/>
    <w:rsid w:val="001F26DC"/>
    <w:rsid w:val="001F2915"/>
    <w:rsid w:val="001F35EA"/>
    <w:rsid w:val="001F4800"/>
    <w:rsid w:val="001F5848"/>
    <w:rsid w:val="001F5CBE"/>
    <w:rsid w:val="001F5E7B"/>
    <w:rsid w:val="001F6621"/>
    <w:rsid w:val="001F6748"/>
    <w:rsid w:val="001F7D19"/>
    <w:rsid w:val="002051B2"/>
    <w:rsid w:val="00205293"/>
    <w:rsid w:val="0020552D"/>
    <w:rsid w:val="002121E6"/>
    <w:rsid w:val="00212AAD"/>
    <w:rsid w:val="002131FE"/>
    <w:rsid w:val="00213AD6"/>
    <w:rsid w:val="00213D0B"/>
    <w:rsid w:val="00216DB0"/>
    <w:rsid w:val="00217084"/>
    <w:rsid w:val="00217CDB"/>
    <w:rsid w:val="00226070"/>
    <w:rsid w:val="00226637"/>
    <w:rsid w:val="002302B4"/>
    <w:rsid w:val="00230C9E"/>
    <w:rsid w:val="00231569"/>
    <w:rsid w:val="00232CF7"/>
    <w:rsid w:val="00235A06"/>
    <w:rsid w:val="00235CF6"/>
    <w:rsid w:val="002403CF"/>
    <w:rsid w:val="0024138B"/>
    <w:rsid w:val="00245952"/>
    <w:rsid w:val="00246047"/>
    <w:rsid w:val="00246506"/>
    <w:rsid w:val="002502AE"/>
    <w:rsid w:val="002507BE"/>
    <w:rsid w:val="00253C98"/>
    <w:rsid w:val="00256610"/>
    <w:rsid w:val="00256938"/>
    <w:rsid w:val="002572C1"/>
    <w:rsid w:val="0025735D"/>
    <w:rsid w:val="00260B72"/>
    <w:rsid w:val="0026194C"/>
    <w:rsid w:val="00261A94"/>
    <w:rsid w:val="00261B5A"/>
    <w:rsid w:val="00262093"/>
    <w:rsid w:val="002625AD"/>
    <w:rsid w:val="00265184"/>
    <w:rsid w:val="00266BF1"/>
    <w:rsid w:val="00266E40"/>
    <w:rsid w:val="00273C5A"/>
    <w:rsid w:val="00273CFE"/>
    <w:rsid w:val="00274CC2"/>
    <w:rsid w:val="00275AAA"/>
    <w:rsid w:val="00277AC2"/>
    <w:rsid w:val="00286B49"/>
    <w:rsid w:val="00290CF8"/>
    <w:rsid w:val="00291C77"/>
    <w:rsid w:val="002928D1"/>
    <w:rsid w:val="0029310E"/>
    <w:rsid w:val="00293276"/>
    <w:rsid w:val="00296107"/>
    <w:rsid w:val="002968CC"/>
    <w:rsid w:val="00297245"/>
    <w:rsid w:val="002A0F5C"/>
    <w:rsid w:val="002A19D8"/>
    <w:rsid w:val="002A1A51"/>
    <w:rsid w:val="002A260C"/>
    <w:rsid w:val="002A27FC"/>
    <w:rsid w:val="002A280C"/>
    <w:rsid w:val="002A2F52"/>
    <w:rsid w:val="002A3452"/>
    <w:rsid w:val="002A46C9"/>
    <w:rsid w:val="002A6D7D"/>
    <w:rsid w:val="002B1938"/>
    <w:rsid w:val="002B35E4"/>
    <w:rsid w:val="002B4A18"/>
    <w:rsid w:val="002B79DC"/>
    <w:rsid w:val="002B7FDE"/>
    <w:rsid w:val="002C0D7C"/>
    <w:rsid w:val="002C1408"/>
    <w:rsid w:val="002C1A16"/>
    <w:rsid w:val="002C3C12"/>
    <w:rsid w:val="002C509B"/>
    <w:rsid w:val="002C6696"/>
    <w:rsid w:val="002C6A7D"/>
    <w:rsid w:val="002C7C45"/>
    <w:rsid w:val="002D08ED"/>
    <w:rsid w:val="002D1317"/>
    <w:rsid w:val="002D4725"/>
    <w:rsid w:val="002D5735"/>
    <w:rsid w:val="002D6065"/>
    <w:rsid w:val="002D646A"/>
    <w:rsid w:val="002E22FD"/>
    <w:rsid w:val="002E267C"/>
    <w:rsid w:val="002E2E56"/>
    <w:rsid w:val="002E30A1"/>
    <w:rsid w:val="002E36B3"/>
    <w:rsid w:val="002E3D60"/>
    <w:rsid w:val="002E4D0E"/>
    <w:rsid w:val="002E52D2"/>
    <w:rsid w:val="002E552C"/>
    <w:rsid w:val="002E5CC1"/>
    <w:rsid w:val="002E7432"/>
    <w:rsid w:val="002E781E"/>
    <w:rsid w:val="002F1206"/>
    <w:rsid w:val="002F1775"/>
    <w:rsid w:val="002F4C68"/>
    <w:rsid w:val="002F4F5E"/>
    <w:rsid w:val="002F56EC"/>
    <w:rsid w:val="002F66F9"/>
    <w:rsid w:val="002F74A9"/>
    <w:rsid w:val="002F7BE1"/>
    <w:rsid w:val="00300304"/>
    <w:rsid w:val="00301038"/>
    <w:rsid w:val="003034A0"/>
    <w:rsid w:val="003045BD"/>
    <w:rsid w:val="00305FCF"/>
    <w:rsid w:val="00306BF2"/>
    <w:rsid w:val="0030700A"/>
    <w:rsid w:val="00307F87"/>
    <w:rsid w:val="0031218E"/>
    <w:rsid w:val="0031270B"/>
    <w:rsid w:val="00313C43"/>
    <w:rsid w:val="0031406F"/>
    <w:rsid w:val="00314C2D"/>
    <w:rsid w:val="003152B7"/>
    <w:rsid w:val="00315783"/>
    <w:rsid w:val="003162F3"/>
    <w:rsid w:val="0031668D"/>
    <w:rsid w:val="00320CF3"/>
    <w:rsid w:val="00321D57"/>
    <w:rsid w:val="003240FA"/>
    <w:rsid w:val="00327F42"/>
    <w:rsid w:val="00334562"/>
    <w:rsid w:val="00335993"/>
    <w:rsid w:val="0033715E"/>
    <w:rsid w:val="003411F0"/>
    <w:rsid w:val="00341D36"/>
    <w:rsid w:val="0034283C"/>
    <w:rsid w:val="003512CE"/>
    <w:rsid w:val="0035257B"/>
    <w:rsid w:val="003557F4"/>
    <w:rsid w:val="003570F5"/>
    <w:rsid w:val="00360FF2"/>
    <w:rsid w:val="00361F92"/>
    <w:rsid w:val="00362961"/>
    <w:rsid w:val="0036325B"/>
    <w:rsid w:val="00365FD6"/>
    <w:rsid w:val="00366D51"/>
    <w:rsid w:val="003672E5"/>
    <w:rsid w:val="0036771C"/>
    <w:rsid w:val="00372BEA"/>
    <w:rsid w:val="00373C71"/>
    <w:rsid w:val="003741CC"/>
    <w:rsid w:val="00375B6D"/>
    <w:rsid w:val="00377029"/>
    <w:rsid w:val="00380765"/>
    <w:rsid w:val="003810BA"/>
    <w:rsid w:val="003814F8"/>
    <w:rsid w:val="003834E5"/>
    <w:rsid w:val="00383A73"/>
    <w:rsid w:val="003851A9"/>
    <w:rsid w:val="003864B1"/>
    <w:rsid w:val="00387ABE"/>
    <w:rsid w:val="00390497"/>
    <w:rsid w:val="003908B3"/>
    <w:rsid w:val="00390C0D"/>
    <w:rsid w:val="00391700"/>
    <w:rsid w:val="00392F76"/>
    <w:rsid w:val="0039393A"/>
    <w:rsid w:val="00393F27"/>
    <w:rsid w:val="00394684"/>
    <w:rsid w:val="00396841"/>
    <w:rsid w:val="003974F8"/>
    <w:rsid w:val="003A06C7"/>
    <w:rsid w:val="003A13C3"/>
    <w:rsid w:val="003A1853"/>
    <w:rsid w:val="003A2A8A"/>
    <w:rsid w:val="003A5C7A"/>
    <w:rsid w:val="003B19F4"/>
    <w:rsid w:val="003B342F"/>
    <w:rsid w:val="003B3B83"/>
    <w:rsid w:val="003B3E73"/>
    <w:rsid w:val="003B4AE8"/>
    <w:rsid w:val="003B5EAA"/>
    <w:rsid w:val="003B6C61"/>
    <w:rsid w:val="003C18D4"/>
    <w:rsid w:val="003C4259"/>
    <w:rsid w:val="003C6CBE"/>
    <w:rsid w:val="003D04C0"/>
    <w:rsid w:val="003D0A07"/>
    <w:rsid w:val="003D1876"/>
    <w:rsid w:val="003D1C94"/>
    <w:rsid w:val="003D204E"/>
    <w:rsid w:val="003D2272"/>
    <w:rsid w:val="003D3089"/>
    <w:rsid w:val="003D37D4"/>
    <w:rsid w:val="003D6762"/>
    <w:rsid w:val="003D7E9C"/>
    <w:rsid w:val="003E0963"/>
    <w:rsid w:val="003E27CA"/>
    <w:rsid w:val="003E2D00"/>
    <w:rsid w:val="003E374E"/>
    <w:rsid w:val="003E7671"/>
    <w:rsid w:val="003E7B75"/>
    <w:rsid w:val="003F1DA5"/>
    <w:rsid w:val="003F4659"/>
    <w:rsid w:val="003F54A1"/>
    <w:rsid w:val="003F61F0"/>
    <w:rsid w:val="003F62D8"/>
    <w:rsid w:val="0040013B"/>
    <w:rsid w:val="00402E2F"/>
    <w:rsid w:val="004033A3"/>
    <w:rsid w:val="00406CC6"/>
    <w:rsid w:val="00410246"/>
    <w:rsid w:val="00410B7C"/>
    <w:rsid w:val="004114C0"/>
    <w:rsid w:val="004126B7"/>
    <w:rsid w:val="00412828"/>
    <w:rsid w:val="00416005"/>
    <w:rsid w:val="004161A6"/>
    <w:rsid w:val="004178CB"/>
    <w:rsid w:val="004205BE"/>
    <w:rsid w:val="0042067D"/>
    <w:rsid w:val="0042102B"/>
    <w:rsid w:val="00421B00"/>
    <w:rsid w:val="00423452"/>
    <w:rsid w:val="0042663E"/>
    <w:rsid w:val="00426E0E"/>
    <w:rsid w:val="00427105"/>
    <w:rsid w:val="004317C3"/>
    <w:rsid w:val="00431A17"/>
    <w:rsid w:val="00431B02"/>
    <w:rsid w:val="00431C8D"/>
    <w:rsid w:val="00433BCB"/>
    <w:rsid w:val="0043456A"/>
    <w:rsid w:val="00434B8B"/>
    <w:rsid w:val="00437746"/>
    <w:rsid w:val="00437839"/>
    <w:rsid w:val="00437AAB"/>
    <w:rsid w:val="00441617"/>
    <w:rsid w:val="004434E2"/>
    <w:rsid w:val="00443911"/>
    <w:rsid w:val="00444180"/>
    <w:rsid w:val="00444D5B"/>
    <w:rsid w:val="0044504D"/>
    <w:rsid w:val="004455B9"/>
    <w:rsid w:val="0044600C"/>
    <w:rsid w:val="0044638B"/>
    <w:rsid w:val="00447220"/>
    <w:rsid w:val="00447C2A"/>
    <w:rsid w:val="00450D55"/>
    <w:rsid w:val="004526A6"/>
    <w:rsid w:val="004526DE"/>
    <w:rsid w:val="004526E3"/>
    <w:rsid w:val="004547ED"/>
    <w:rsid w:val="00456A6C"/>
    <w:rsid w:val="00456B99"/>
    <w:rsid w:val="00456C64"/>
    <w:rsid w:val="004579D9"/>
    <w:rsid w:val="004639E2"/>
    <w:rsid w:val="00464FDF"/>
    <w:rsid w:val="0046553B"/>
    <w:rsid w:val="00465CB4"/>
    <w:rsid w:val="004660E8"/>
    <w:rsid w:val="00466340"/>
    <w:rsid w:val="00466AAE"/>
    <w:rsid w:val="00467DC5"/>
    <w:rsid w:val="00470E7C"/>
    <w:rsid w:val="00472511"/>
    <w:rsid w:val="004736CA"/>
    <w:rsid w:val="00473ADF"/>
    <w:rsid w:val="00473D44"/>
    <w:rsid w:val="00474806"/>
    <w:rsid w:val="0047520D"/>
    <w:rsid w:val="00475435"/>
    <w:rsid w:val="00476493"/>
    <w:rsid w:val="00476A6E"/>
    <w:rsid w:val="00476DF9"/>
    <w:rsid w:val="0048014E"/>
    <w:rsid w:val="00480B1F"/>
    <w:rsid w:val="00480CC6"/>
    <w:rsid w:val="004826CC"/>
    <w:rsid w:val="004859A2"/>
    <w:rsid w:val="00492CBB"/>
    <w:rsid w:val="00494F12"/>
    <w:rsid w:val="004A00DB"/>
    <w:rsid w:val="004A1FF4"/>
    <w:rsid w:val="004A2CD9"/>
    <w:rsid w:val="004A3835"/>
    <w:rsid w:val="004A7F1C"/>
    <w:rsid w:val="004B0C04"/>
    <w:rsid w:val="004B3CC9"/>
    <w:rsid w:val="004B4058"/>
    <w:rsid w:val="004B4764"/>
    <w:rsid w:val="004B4881"/>
    <w:rsid w:val="004B6A0E"/>
    <w:rsid w:val="004C01DC"/>
    <w:rsid w:val="004C14D5"/>
    <w:rsid w:val="004C1A28"/>
    <w:rsid w:val="004C36E0"/>
    <w:rsid w:val="004C3809"/>
    <w:rsid w:val="004C3FD8"/>
    <w:rsid w:val="004C4098"/>
    <w:rsid w:val="004C6F64"/>
    <w:rsid w:val="004C7CFD"/>
    <w:rsid w:val="004D0619"/>
    <w:rsid w:val="004D1282"/>
    <w:rsid w:val="004D145B"/>
    <w:rsid w:val="004D1AE3"/>
    <w:rsid w:val="004D393C"/>
    <w:rsid w:val="004D41D0"/>
    <w:rsid w:val="004D42C4"/>
    <w:rsid w:val="004D4A39"/>
    <w:rsid w:val="004D72C4"/>
    <w:rsid w:val="004E09D3"/>
    <w:rsid w:val="004E0E97"/>
    <w:rsid w:val="004E0F73"/>
    <w:rsid w:val="004E23C0"/>
    <w:rsid w:val="004E4661"/>
    <w:rsid w:val="004E525F"/>
    <w:rsid w:val="004F0A75"/>
    <w:rsid w:val="004F10CF"/>
    <w:rsid w:val="004F2BC0"/>
    <w:rsid w:val="004F3120"/>
    <w:rsid w:val="004F34BA"/>
    <w:rsid w:val="004F4DBB"/>
    <w:rsid w:val="004F6808"/>
    <w:rsid w:val="004F772A"/>
    <w:rsid w:val="004F7939"/>
    <w:rsid w:val="004F7A0B"/>
    <w:rsid w:val="005005DD"/>
    <w:rsid w:val="00502404"/>
    <w:rsid w:val="00503EF4"/>
    <w:rsid w:val="0050433A"/>
    <w:rsid w:val="0050529C"/>
    <w:rsid w:val="00506F59"/>
    <w:rsid w:val="00507A5C"/>
    <w:rsid w:val="005100F5"/>
    <w:rsid w:val="005120C3"/>
    <w:rsid w:val="0051284D"/>
    <w:rsid w:val="00513ABB"/>
    <w:rsid w:val="00514255"/>
    <w:rsid w:val="00514377"/>
    <w:rsid w:val="005144ED"/>
    <w:rsid w:val="00515C13"/>
    <w:rsid w:val="00515DD3"/>
    <w:rsid w:val="00517502"/>
    <w:rsid w:val="00520012"/>
    <w:rsid w:val="00520A50"/>
    <w:rsid w:val="00520F18"/>
    <w:rsid w:val="00521045"/>
    <w:rsid w:val="00521B35"/>
    <w:rsid w:val="0052487D"/>
    <w:rsid w:val="00524971"/>
    <w:rsid w:val="00525DC6"/>
    <w:rsid w:val="00527504"/>
    <w:rsid w:val="00530DDC"/>
    <w:rsid w:val="00533C85"/>
    <w:rsid w:val="005360B3"/>
    <w:rsid w:val="005360C8"/>
    <w:rsid w:val="00537BD4"/>
    <w:rsid w:val="00541509"/>
    <w:rsid w:val="005417CC"/>
    <w:rsid w:val="005420EF"/>
    <w:rsid w:val="00543C29"/>
    <w:rsid w:val="005454D9"/>
    <w:rsid w:val="005478FC"/>
    <w:rsid w:val="00547BBE"/>
    <w:rsid w:val="005519A0"/>
    <w:rsid w:val="00551D63"/>
    <w:rsid w:val="00552C94"/>
    <w:rsid w:val="005531BB"/>
    <w:rsid w:val="00553A62"/>
    <w:rsid w:val="005548C5"/>
    <w:rsid w:val="00555198"/>
    <w:rsid w:val="00555FD0"/>
    <w:rsid w:val="00556009"/>
    <w:rsid w:val="00557474"/>
    <w:rsid w:val="00560689"/>
    <w:rsid w:val="00560D57"/>
    <w:rsid w:val="0056287B"/>
    <w:rsid w:val="00562B50"/>
    <w:rsid w:val="0056316D"/>
    <w:rsid w:val="00563362"/>
    <w:rsid w:val="00565193"/>
    <w:rsid w:val="00567F59"/>
    <w:rsid w:val="005719E6"/>
    <w:rsid w:val="00572FFB"/>
    <w:rsid w:val="00573270"/>
    <w:rsid w:val="00573351"/>
    <w:rsid w:val="005742DE"/>
    <w:rsid w:val="00574D41"/>
    <w:rsid w:val="0057628C"/>
    <w:rsid w:val="0057721D"/>
    <w:rsid w:val="00582962"/>
    <w:rsid w:val="005832AB"/>
    <w:rsid w:val="00585E66"/>
    <w:rsid w:val="005866DD"/>
    <w:rsid w:val="005876FA"/>
    <w:rsid w:val="0059079E"/>
    <w:rsid w:val="005916FA"/>
    <w:rsid w:val="00591BB3"/>
    <w:rsid w:val="00595237"/>
    <w:rsid w:val="005955DF"/>
    <w:rsid w:val="00595EF4"/>
    <w:rsid w:val="005962DA"/>
    <w:rsid w:val="005A1600"/>
    <w:rsid w:val="005A30C3"/>
    <w:rsid w:val="005A3A3A"/>
    <w:rsid w:val="005A3F35"/>
    <w:rsid w:val="005A795A"/>
    <w:rsid w:val="005B0B1C"/>
    <w:rsid w:val="005B0FAE"/>
    <w:rsid w:val="005B49B2"/>
    <w:rsid w:val="005B6ABF"/>
    <w:rsid w:val="005C08CC"/>
    <w:rsid w:val="005C4533"/>
    <w:rsid w:val="005C6579"/>
    <w:rsid w:val="005C6846"/>
    <w:rsid w:val="005C7D92"/>
    <w:rsid w:val="005D2347"/>
    <w:rsid w:val="005D32AC"/>
    <w:rsid w:val="005D37AF"/>
    <w:rsid w:val="005D4169"/>
    <w:rsid w:val="005D7D2B"/>
    <w:rsid w:val="005E124B"/>
    <w:rsid w:val="005E21D6"/>
    <w:rsid w:val="005E2E90"/>
    <w:rsid w:val="005E3C24"/>
    <w:rsid w:val="005E3FD4"/>
    <w:rsid w:val="005E4DAC"/>
    <w:rsid w:val="005E54FC"/>
    <w:rsid w:val="005E749B"/>
    <w:rsid w:val="005F1676"/>
    <w:rsid w:val="005F1AB2"/>
    <w:rsid w:val="005F212D"/>
    <w:rsid w:val="005F450A"/>
    <w:rsid w:val="005F494D"/>
    <w:rsid w:val="005F50A1"/>
    <w:rsid w:val="005F5FE3"/>
    <w:rsid w:val="005F6216"/>
    <w:rsid w:val="005F73CC"/>
    <w:rsid w:val="006007F2"/>
    <w:rsid w:val="00601474"/>
    <w:rsid w:val="006015FD"/>
    <w:rsid w:val="00602057"/>
    <w:rsid w:val="0060212D"/>
    <w:rsid w:val="006021B2"/>
    <w:rsid w:val="00602D0E"/>
    <w:rsid w:val="006044D9"/>
    <w:rsid w:val="0060780C"/>
    <w:rsid w:val="00607B02"/>
    <w:rsid w:val="006116CE"/>
    <w:rsid w:val="006121F4"/>
    <w:rsid w:val="0061429B"/>
    <w:rsid w:val="0061469D"/>
    <w:rsid w:val="006156A0"/>
    <w:rsid w:val="0061606A"/>
    <w:rsid w:val="00616CF3"/>
    <w:rsid w:val="00621447"/>
    <w:rsid w:val="0062214B"/>
    <w:rsid w:val="0062278A"/>
    <w:rsid w:val="00624279"/>
    <w:rsid w:val="00624BD8"/>
    <w:rsid w:val="00627018"/>
    <w:rsid w:val="00632B98"/>
    <w:rsid w:val="0063490E"/>
    <w:rsid w:val="00635EA7"/>
    <w:rsid w:val="00641D8F"/>
    <w:rsid w:val="006429BC"/>
    <w:rsid w:val="00642C0D"/>
    <w:rsid w:val="00642E73"/>
    <w:rsid w:val="00643E2C"/>
    <w:rsid w:val="00645FDE"/>
    <w:rsid w:val="0064652F"/>
    <w:rsid w:val="006500EF"/>
    <w:rsid w:val="006516E6"/>
    <w:rsid w:val="006527E0"/>
    <w:rsid w:val="00653A92"/>
    <w:rsid w:val="00653C30"/>
    <w:rsid w:val="00655111"/>
    <w:rsid w:val="00655C45"/>
    <w:rsid w:val="006566D6"/>
    <w:rsid w:val="006577A5"/>
    <w:rsid w:val="00661DD6"/>
    <w:rsid w:val="00662286"/>
    <w:rsid w:val="00662EF0"/>
    <w:rsid w:val="00663099"/>
    <w:rsid w:val="006636F6"/>
    <w:rsid w:val="00663C98"/>
    <w:rsid w:val="00665465"/>
    <w:rsid w:val="00667387"/>
    <w:rsid w:val="006674D7"/>
    <w:rsid w:val="00667D90"/>
    <w:rsid w:val="00670323"/>
    <w:rsid w:val="00673A41"/>
    <w:rsid w:val="00674FA1"/>
    <w:rsid w:val="0067748F"/>
    <w:rsid w:val="00680CA8"/>
    <w:rsid w:val="00680D22"/>
    <w:rsid w:val="006815F4"/>
    <w:rsid w:val="00681F19"/>
    <w:rsid w:val="00682304"/>
    <w:rsid w:val="0068349D"/>
    <w:rsid w:val="00684EFD"/>
    <w:rsid w:val="00691074"/>
    <w:rsid w:val="006912F3"/>
    <w:rsid w:val="006919C8"/>
    <w:rsid w:val="00693255"/>
    <w:rsid w:val="006942FE"/>
    <w:rsid w:val="0069435A"/>
    <w:rsid w:val="006947E3"/>
    <w:rsid w:val="00694E6F"/>
    <w:rsid w:val="0069623A"/>
    <w:rsid w:val="00696485"/>
    <w:rsid w:val="006A0179"/>
    <w:rsid w:val="006A64DE"/>
    <w:rsid w:val="006A6B01"/>
    <w:rsid w:val="006A7F4E"/>
    <w:rsid w:val="006B02F8"/>
    <w:rsid w:val="006B04A7"/>
    <w:rsid w:val="006B08BA"/>
    <w:rsid w:val="006B2512"/>
    <w:rsid w:val="006B49B7"/>
    <w:rsid w:val="006B5905"/>
    <w:rsid w:val="006B7C59"/>
    <w:rsid w:val="006C7AFC"/>
    <w:rsid w:val="006C7B29"/>
    <w:rsid w:val="006D0C22"/>
    <w:rsid w:val="006D18ED"/>
    <w:rsid w:val="006D520A"/>
    <w:rsid w:val="006D5BC5"/>
    <w:rsid w:val="006E0D6E"/>
    <w:rsid w:val="006E1E33"/>
    <w:rsid w:val="006E25CF"/>
    <w:rsid w:val="006E3ADA"/>
    <w:rsid w:val="006E3C9A"/>
    <w:rsid w:val="006E4A2A"/>
    <w:rsid w:val="006E4D71"/>
    <w:rsid w:val="006E4D9D"/>
    <w:rsid w:val="006E598D"/>
    <w:rsid w:val="006E7138"/>
    <w:rsid w:val="006F0167"/>
    <w:rsid w:val="006F04F3"/>
    <w:rsid w:val="006F17A2"/>
    <w:rsid w:val="006F1DEF"/>
    <w:rsid w:val="006F2BEB"/>
    <w:rsid w:val="006F4A56"/>
    <w:rsid w:val="006F5A63"/>
    <w:rsid w:val="006F5B56"/>
    <w:rsid w:val="006F5BA6"/>
    <w:rsid w:val="00700816"/>
    <w:rsid w:val="00701B07"/>
    <w:rsid w:val="0070393D"/>
    <w:rsid w:val="00703E2B"/>
    <w:rsid w:val="00703FC7"/>
    <w:rsid w:val="00703FEE"/>
    <w:rsid w:val="00705F4A"/>
    <w:rsid w:val="00706F77"/>
    <w:rsid w:val="00707558"/>
    <w:rsid w:val="00707CA8"/>
    <w:rsid w:val="007111E3"/>
    <w:rsid w:val="00711620"/>
    <w:rsid w:val="00711D33"/>
    <w:rsid w:val="00716F9A"/>
    <w:rsid w:val="0072196A"/>
    <w:rsid w:val="0073389E"/>
    <w:rsid w:val="00733E33"/>
    <w:rsid w:val="0074165D"/>
    <w:rsid w:val="00743090"/>
    <w:rsid w:val="00744D47"/>
    <w:rsid w:val="00750F68"/>
    <w:rsid w:val="00753117"/>
    <w:rsid w:val="00757C56"/>
    <w:rsid w:val="0076006E"/>
    <w:rsid w:val="00761AA9"/>
    <w:rsid w:val="00761DFC"/>
    <w:rsid w:val="007638DB"/>
    <w:rsid w:val="00764DB9"/>
    <w:rsid w:val="00765147"/>
    <w:rsid w:val="00766D5E"/>
    <w:rsid w:val="00771264"/>
    <w:rsid w:val="0077442B"/>
    <w:rsid w:val="00774583"/>
    <w:rsid w:val="00774D6A"/>
    <w:rsid w:val="00775776"/>
    <w:rsid w:val="007765E4"/>
    <w:rsid w:val="007774C6"/>
    <w:rsid w:val="00781393"/>
    <w:rsid w:val="007818B3"/>
    <w:rsid w:val="00786B22"/>
    <w:rsid w:val="00787B90"/>
    <w:rsid w:val="00790EDA"/>
    <w:rsid w:val="007911A9"/>
    <w:rsid w:val="0079309A"/>
    <w:rsid w:val="007949B2"/>
    <w:rsid w:val="00794F0B"/>
    <w:rsid w:val="007A08A1"/>
    <w:rsid w:val="007A1F6F"/>
    <w:rsid w:val="007A314F"/>
    <w:rsid w:val="007A542A"/>
    <w:rsid w:val="007A56B5"/>
    <w:rsid w:val="007A63CA"/>
    <w:rsid w:val="007B168A"/>
    <w:rsid w:val="007B335E"/>
    <w:rsid w:val="007B3D4E"/>
    <w:rsid w:val="007B4AD3"/>
    <w:rsid w:val="007B5CEF"/>
    <w:rsid w:val="007B5D3B"/>
    <w:rsid w:val="007B63A4"/>
    <w:rsid w:val="007B6D7D"/>
    <w:rsid w:val="007C1058"/>
    <w:rsid w:val="007C7EAD"/>
    <w:rsid w:val="007D2ED8"/>
    <w:rsid w:val="007D30E8"/>
    <w:rsid w:val="007D4627"/>
    <w:rsid w:val="007D765E"/>
    <w:rsid w:val="007E089E"/>
    <w:rsid w:val="007E113B"/>
    <w:rsid w:val="007E2343"/>
    <w:rsid w:val="007E471E"/>
    <w:rsid w:val="007E5D47"/>
    <w:rsid w:val="007E5D9D"/>
    <w:rsid w:val="007F13A3"/>
    <w:rsid w:val="007F2CE7"/>
    <w:rsid w:val="007F2FC2"/>
    <w:rsid w:val="007F308E"/>
    <w:rsid w:val="007F33C8"/>
    <w:rsid w:val="007F363A"/>
    <w:rsid w:val="007F67C0"/>
    <w:rsid w:val="007F6D06"/>
    <w:rsid w:val="0080037A"/>
    <w:rsid w:val="00800B5E"/>
    <w:rsid w:val="00800E9F"/>
    <w:rsid w:val="00800ECE"/>
    <w:rsid w:val="00801309"/>
    <w:rsid w:val="008041D8"/>
    <w:rsid w:val="00804AF3"/>
    <w:rsid w:val="00804D70"/>
    <w:rsid w:val="00805A9C"/>
    <w:rsid w:val="00805D2E"/>
    <w:rsid w:val="00805D72"/>
    <w:rsid w:val="00806D67"/>
    <w:rsid w:val="00812B56"/>
    <w:rsid w:val="00812DC0"/>
    <w:rsid w:val="008144D5"/>
    <w:rsid w:val="008146B3"/>
    <w:rsid w:val="00815468"/>
    <w:rsid w:val="00815D89"/>
    <w:rsid w:val="00816288"/>
    <w:rsid w:val="008164FF"/>
    <w:rsid w:val="008170A3"/>
    <w:rsid w:val="00817603"/>
    <w:rsid w:val="00817BE4"/>
    <w:rsid w:val="00817EEA"/>
    <w:rsid w:val="0082058A"/>
    <w:rsid w:val="008212C1"/>
    <w:rsid w:val="0082143F"/>
    <w:rsid w:val="00822E95"/>
    <w:rsid w:val="00822F45"/>
    <w:rsid w:val="00825775"/>
    <w:rsid w:val="00825DA9"/>
    <w:rsid w:val="00832B4B"/>
    <w:rsid w:val="00835AA0"/>
    <w:rsid w:val="008374C3"/>
    <w:rsid w:val="00837BFD"/>
    <w:rsid w:val="00837FD9"/>
    <w:rsid w:val="00840C83"/>
    <w:rsid w:val="00842435"/>
    <w:rsid w:val="008425EB"/>
    <w:rsid w:val="00842867"/>
    <w:rsid w:val="00842B78"/>
    <w:rsid w:val="008437D0"/>
    <w:rsid w:val="00843AD7"/>
    <w:rsid w:val="008455E8"/>
    <w:rsid w:val="00845DB5"/>
    <w:rsid w:val="00846584"/>
    <w:rsid w:val="008503AE"/>
    <w:rsid w:val="008567DD"/>
    <w:rsid w:val="00856EBC"/>
    <w:rsid w:val="008576A9"/>
    <w:rsid w:val="00857E0C"/>
    <w:rsid w:val="008611E9"/>
    <w:rsid w:val="00863F1B"/>
    <w:rsid w:val="008652FF"/>
    <w:rsid w:val="008708DD"/>
    <w:rsid w:val="00870FB2"/>
    <w:rsid w:val="0087150B"/>
    <w:rsid w:val="00871785"/>
    <w:rsid w:val="00873CF3"/>
    <w:rsid w:val="00875C67"/>
    <w:rsid w:val="0088075D"/>
    <w:rsid w:val="008823A8"/>
    <w:rsid w:val="00882F9D"/>
    <w:rsid w:val="00884BD5"/>
    <w:rsid w:val="0088648A"/>
    <w:rsid w:val="0088671D"/>
    <w:rsid w:val="0088708F"/>
    <w:rsid w:val="00887B92"/>
    <w:rsid w:val="00890756"/>
    <w:rsid w:val="00891336"/>
    <w:rsid w:val="00893835"/>
    <w:rsid w:val="008A0531"/>
    <w:rsid w:val="008A1132"/>
    <w:rsid w:val="008A1D09"/>
    <w:rsid w:val="008A20D4"/>
    <w:rsid w:val="008A429F"/>
    <w:rsid w:val="008A5752"/>
    <w:rsid w:val="008A6799"/>
    <w:rsid w:val="008A74EE"/>
    <w:rsid w:val="008B0EF6"/>
    <w:rsid w:val="008B61C5"/>
    <w:rsid w:val="008C0C2D"/>
    <w:rsid w:val="008C12C5"/>
    <w:rsid w:val="008C16F1"/>
    <w:rsid w:val="008C3400"/>
    <w:rsid w:val="008C3B95"/>
    <w:rsid w:val="008C3C62"/>
    <w:rsid w:val="008C3EBF"/>
    <w:rsid w:val="008C4A14"/>
    <w:rsid w:val="008C5933"/>
    <w:rsid w:val="008D2788"/>
    <w:rsid w:val="008D3D47"/>
    <w:rsid w:val="008D4C0B"/>
    <w:rsid w:val="008E1035"/>
    <w:rsid w:val="008E1C36"/>
    <w:rsid w:val="008E3785"/>
    <w:rsid w:val="008E3D10"/>
    <w:rsid w:val="008E65FD"/>
    <w:rsid w:val="008E74A9"/>
    <w:rsid w:val="008F1808"/>
    <w:rsid w:val="008F20B1"/>
    <w:rsid w:val="008F2890"/>
    <w:rsid w:val="008F3ADD"/>
    <w:rsid w:val="008F3E0D"/>
    <w:rsid w:val="008F4E30"/>
    <w:rsid w:val="008F5B95"/>
    <w:rsid w:val="008F7ED7"/>
    <w:rsid w:val="00900EDC"/>
    <w:rsid w:val="009016FC"/>
    <w:rsid w:val="00902A2A"/>
    <w:rsid w:val="00902B01"/>
    <w:rsid w:val="00903E97"/>
    <w:rsid w:val="00904A68"/>
    <w:rsid w:val="0090719F"/>
    <w:rsid w:val="00910ACE"/>
    <w:rsid w:val="00912117"/>
    <w:rsid w:val="0091348D"/>
    <w:rsid w:val="00915E63"/>
    <w:rsid w:val="00917AE2"/>
    <w:rsid w:val="00920E5E"/>
    <w:rsid w:val="00922D32"/>
    <w:rsid w:val="0092322F"/>
    <w:rsid w:val="009235D4"/>
    <w:rsid w:val="009247D4"/>
    <w:rsid w:val="00924995"/>
    <w:rsid w:val="009272FF"/>
    <w:rsid w:val="00930C48"/>
    <w:rsid w:val="009336CD"/>
    <w:rsid w:val="0093743D"/>
    <w:rsid w:val="00937A33"/>
    <w:rsid w:val="0094166D"/>
    <w:rsid w:val="00941A67"/>
    <w:rsid w:val="00943683"/>
    <w:rsid w:val="00944842"/>
    <w:rsid w:val="009462FB"/>
    <w:rsid w:val="0094786A"/>
    <w:rsid w:val="0095069D"/>
    <w:rsid w:val="009524D9"/>
    <w:rsid w:val="00952A03"/>
    <w:rsid w:val="00953D44"/>
    <w:rsid w:val="0095458E"/>
    <w:rsid w:val="009545F0"/>
    <w:rsid w:val="009554C5"/>
    <w:rsid w:val="00956490"/>
    <w:rsid w:val="00956DE2"/>
    <w:rsid w:val="00960570"/>
    <w:rsid w:val="00960FEA"/>
    <w:rsid w:val="00961491"/>
    <w:rsid w:val="009639CA"/>
    <w:rsid w:val="00963FF5"/>
    <w:rsid w:val="009659B1"/>
    <w:rsid w:val="00965CF9"/>
    <w:rsid w:val="00965E21"/>
    <w:rsid w:val="00967D56"/>
    <w:rsid w:val="0097075B"/>
    <w:rsid w:val="00971E00"/>
    <w:rsid w:val="00972A47"/>
    <w:rsid w:val="00973EB9"/>
    <w:rsid w:val="009740EA"/>
    <w:rsid w:val="00974446"/>
    <w:rsid w:val="00976E47"/>
    <w:rsid w:val="009807E6"/>
    <w:rsid w:val="00980DFD"/>
    <w:rsid w:val="00982C15"/>
    <w:rsid w:val="00982F63"/>
    <w:rsid w:val="009835F6"/>
    <w:rsid w:val="00983BD1"/>
    <w:rsid w:val="00986EE0"/>
    <w:rsid w:val="00992D66"/>
    <w:rsid w:val="009946B0"/>
    <w:rsid w:val="00996211"/>
    <w:rsid w:val="00997061"/>
    <w:rsid w:val="00997AEC"/>
    <w:rsid w:val="00997C78"/>
    <w:rsid w:val="009A000A"/>
    <w:rsid w:val="009A1087"/>
    <w:rsid w:val="009A16EB"/>
    <w:rsid w:val="009A3452"/>
    <w:rsid w:val="009A3BDD"/>
    <w:rsid w:val="009A499A"/>
    <w:rsid w:val="009A4EAA"/>
    <w:rsid w:val="009A5ECB"/>
    <w:rsid w:val="009A6244"/>
    <w:rsid w:val="009A7954"/>
    <w:rsid w:val="009B292F"/>
    <w:rsid w:val="009B32A6"/>
    <w:rsid w:val="009B3792"/>
    <w:rsid w:val="009B62C2"/>
    <w:rsid w:val="009B7302"/>
    <w:rsid w:val="009B74D5"/>
    <w:rsid w:val="009C34A2"/>
    <w:rsid w:val="009C3EF9"/>
    <w:rsid w:val="009C51E6"/>
    <w:rsid w:val="009C5205"/>
    <w:rsid w:val="009C52B9"/>
    <w:rsid w:val="009C558E"/>
    <w:rsid w:val="009C5B05"/>
    <w:rsid w:val="009C75E7"/>
    <w:rsid w:val="009D112D"/>
    <w:rsid w:val="009D181E"/>
    <w:rsid w:val="009D2658"/>
    <w:rsid w:val="009D2A4C"/>
    <w:rsid w:val="009D432A"/>
    <w:rsid w:val="009D54F6"/>
    <w:rsid w:val="009D5D60"/>
    <w:rsid w:val="009E0570"/>
    <w:rsid w:val="009E22C6"/>
    <w:rsid w:val="009E2519"/>
    <w:rsid w:val="009E55EA"/>
    <w:rsid w:val="009E5C8A"/>
    <w:rsid w:val="009E7EF4"/>
    <w:rsid w:val="009F047D"/>
    <w:rsid w:val="009F364E"/>
    <w:rsid w:val="009F3FCB"/>
    <w:rsid w:val="009F571A"/>
    <w:rsid w:val="009F7ED3"/>
    <w:rsid w:val="00A0052A"/>
    <w:rsid w:val="00A00CEB"/>
    <w:rsid w:val="00A00CEC"/>
    <w:rsid w:val="00A02B2A"/>
    <w:rsid w:val="00A02BA6"/>
    <w:rsid w:val="00A045F5"/>
    <w:rsid w:val="00A04D3F"/>
    <w:rsid w:val="00A0661C"/>
    <w:rsid w:val="00A071DD"/>
    <w:rsid w:val="00A073D1"/>
    <w:rsid w:val="00A119B6"/>
    <w:rsid w:val="00A143D7"/>
    <w:rsid w:val="00A17856"/>
    <w:rsid w:val="00A23228"/>
    <w:rsid w:val="00A23505"/>
    <w:rsid w:val="00A23FFB"/>
    <w:rsid w:val="00A24B49"/>
    <w:rsid w:val="00A2562F"/>
    <w:rsid w:val="00A2563B"/>
    <w:rsid w:val="00A33D13"/>
    <w:rsid w:val="00A345E2"/>
    <w:rsid w:val="00A349B7"/>
    <w:rsid w:val="00A36BE1"/>
    <w:rsid w:val="00A3798F"/>
    <w:rsid w:val="00A37E60"/>
    <w:rsid w:val="00A4224C"/>
    <w:rsid w:val="00A4252E"/>
    <w:rsid w:val="00A43095"/>
    <w:rsid w:val="00A47252"/>
    <w:rsid w:val="00A47880"/>
    <w:rsid w:val="00A501F7"/>
    <w:rsid w:val="00A530AC"/>
    <w:rsid w:val="00A57ED4"/>
    <w:rsid w:val="00A60636"/>
    <w:rsid w:val="00A60D6D"/>
    <w:rsid w:val="00A61A1E"/>
    <w:rsid w:val="00A63D38"/>
    <w:rsid w:val="00A64640"/>
    <w:rsid w:val="00A65394"/>
    <w:rsid w:val="00A65E49"/>
    <w:rsid w:val="00A65FFA"/>
    <w:rsid w:val="00A675B2"/>
    <w:rsid w:val="00A720BB"/>
    <w:rsid w:val="00A81849"/>
    <w:rsid w:val="00A81CF1"/>
    <w:rsid w:val="00A839D6"/>
    <w:rsid w:val="00A842E7"/>
    <w:rsid w:val="00A86191"/>
    <w:rsid w:val="00A86772"/>
    <w:rsid w:val="00A87E1C"/>
    <w:rsid w:val="00A90E39"/>
    <w:rsid w:val="00A92B89"/>
    <w:rsid w:val="00A95847"/>
    <w:rsid w:val="00A96106"/>
    <w:rsid w:val="00AA121C"/>
    <w:rsid w:val="00AA3006"/>
    <w:rsid w:val="00AA49A1"/>
    <w:rsid w:val="00AA696A"/>
    <w:rsid w:val="00AA6CAC"/>
    <w:rsid w:val="00AA76CE"/>
    <w:rsid w:val="00AB008A"/>
    <w:rsid w:val="00AB16C9"/>
    <w:rsid w:val="00AB1DCE"/>
    <w:rsid w:val="00AB3110"/>
    <w:rsid w:val="00AB3656"/>
    <w:rsid w:val="00AB3683"/>
    <w:rsid w:val="00AB3F81"/>
    <w:rsid w:val="00AB540D"/>
    <w:rsid w:val="00AB6577"/>
    <w:rsid w:val="00AB7077"/>
    <w:rsid w:val="00AC1B07"/>
    <w:rsid w:val="00AC1F60"/>
    <w:rsid w:val="00AC26B8"/>
    <w:rsid w:val="00AC2CEC"/>
    <w:rsid w:val="00AC4A88"/>
    <w:rsid w:val="00AC56DF"/>
    <w:rsid w:val="00AC5FA1"/>
    <w:rsid w:val="00AC6734"/>
    <w:rsid w:val="00AD10ED"/>
    <w:rsid w:val="00AD12A6"/>
    <w:rsid w:val="00AD14EE"/>
    <w:rsid w:val="00AD22FF"/>
    <w:rsid w:val="00AD2D77"/>
    <w:rsid w:val="00AD2F41"/>
    <w:rsid w:val="00AD375F"/>
    <w:rsid w:val="00AD4402"/>
    <w:rsid w:val="00AD4484"/>
    <w:rsid w:val="00AE0A03"/>
    <w:rsid w:val="00AE4593"/>
    <w:rsid w:val="00AE4DDF"/>
    <w:rsid w:val="00AE569F"/>
    <w:rsid w:val="00AE707C"/>
    <w:rsid w:val="00AE7DED"/>
    <w:rsid w:val="00AF05A3"/>
    <w:rsid w:val="00AF270D"/>
    <w:rsid w:val="00AF3DEC"/>
    <w:rsid w:val="00AF4C79"/>
    <w:rsid w:val="00AF58D2"/>
    <w:rsid w:val="00AF59D0"/>
    <w:rsid w:val="00AF59E9"/>
    <w:rsid w:val="00AF5F64"/>
    <w:rsid w:val="00AF7DB6"/>
    <w:rsid w:val="00B001C8"/>
    <w:rsid w:val="00B01530"/>
    <w:rsid w:val="00B01CD5"/>
    <w:rsid w:val="00B02379"/>
    <w:rsid w:val="00B03905"/>
    <w:rsid w:val="00B07182"/>
    <w:rsid w:val="00B071D4"/>
    <w:rsid w:val="00B07468"/>
    <w:rsid w:val="00B11A97"/>
    <w:rsid w:val="00B12DE0"/>
    <w:rsid w:val="00B14727"/>
    <w:rsid w:val="00B21F3F"/>
    <w:rsid w:val="00B2417D"/>
    <w:rsid w:val="00B24DD9"/>
    <w:rsid w:val="00B2544C"/>
    <w:rsid w:val="00B26C5B"/>
    <w:rsid w:val="00B270F5"/>
    <w:rsid w:val="00B30C29"/>
    <w:rsid w:val="00B33C44"/>
    <w:rsid w:val="00B35FE2"/>
    <w:rsid w:val="00B4051D"/>
    <w:rsid w:val="00B405E6"/>
    <w:rsid w:val="00B41400"/>
    <w:rsid w:val="00B43494"/>
    <w:rsid w:val="00B44088"/>
    <w:rsid w:val="00B4772F"/>
    <w:rsid w:val="00B51F1E"/>
    <w:rsid w:val="00B52A24"/>
    <w:rsid w:val="00B52AB5"/>
    <w:rsid w:val="00B53CD2"/>
    <w:rsid w:val="00B53F8D"/>
    <w:rsid w:val="00B53F8F"/>
    <w:rsid w:val="00B545A3"/>
    <w:rsid w:val="00B56A2E"/>
    <w:rsid w:val="00B56A8F"/>
    <w:rsid w:val="00B57A38"/>
    <w:rsid w:val="00B57DCB"/>
    <w:rsid w:val="00B64347"/>
    <w:rsid w:val="00B6609C"/>
    <w:rsid w:val="00B66BF2"/>
    <w:rsid w:val="00B66FC0"/>
    <w:rsid w:val="00B70091"/>
    <w:rsid w:val="00B70FA6"/>
    <w:rsid w:val="00B728B0"/>
    <w:rsid w:val="00B73F4D"/>
    <w:rsid w:val="00B747B4"/>
    <w:rsid w:val="00B75B1E"/>
    <w:rsid w:val="00B76674"/>
    <w:rsid w:val="00B7760F"/>
    <w:rsid w:val="00B80E52"/>
    <w:rsid w:val="00B813CB"/>
    <w:rsid w:val="00B81A30"/>
    <w:rsid w:val="00B84FD7"/>
    <w:rsid w:val="00B85F5D"/>
    <w:rsid w:val="00B87EE6"/>
    <w:rsid w:val="00B92281"/>
    <w:rsid w:val="00B9397A"/>
    <w:rsid w:val="00B946F3"/>
    <w:rsid w:val="00B960AE"/>
    <w:rsid w:val="00B96B0F"/>
    <w:rsid w:val="00B973CD"/>
    <w:rsid w:val="00BA0D0E"/>
    <w:rsid w:val="00BA0D47"/>
    <w:rsid w:val="00BA1785"/>
    <w:rsid w:val="00BA354E"/>
    <w:rsid w:val="00BA3B70"/>
    <w:rsid w:val="00BA4652"/>
    <w:rsid w:val="00BA5CBC"/>
    <w:rsid w:val="00BA6989"/>
    <w:rsid w:val="00BA7F72"/>
    <w:rsid w:val="00BB04D1"/>
    <w:rsid w:val="00BB2F6A"/>
    <w:rsid w:val="00BC0013"/>
    <w:rsid w:val="00BC0A8B"/>
    <w:rsid w:val="00BC2EBB"/>
    <w:rsid w:val="00BC314C"/>
    <w:rsid w:val="00BC33DA"/>
    <w:rsid w:val="00BC34EF"/>
    <w:rsid w:val="00BC381B"/>
    <w:rsid w:val="00BC433D"/>
    <w:rsid w:val="00BC4C53"/>
    <w:rsid w:val="00BC5A7D"/>
    <w:rsid w:val="00BC6D12"/>
    <w:rsid w:val="00BC7E9F"/>
    <w:rsid w:val="00BD0EF2"/>
    <w:rsid w:val="00BD1F4F"/>
    <w:rsid w:val="00BD21D5"/>
    <w:rsid w:val="00BD5595"/>
    <w:rsid w:val="00BD5AD7"/>
    <w:rsid w:val="00BE1359"/>
    <w:rsid w:val="00BE50ED"/>
    <w:rsid w:val="00BE6365"/>
    <w:rsid w:val="00BF1DE4"/>
    <w:rsid w:val="00BF1F2E"/>
    <w:rsid w:val="00BF20FD"/>
    <w:rsid w:val="00BF4313"/>
    <w:rsid w:val="00BF480D"/>
    <w:rsid w:val="00BF54B7"/>
    <w:rsid w:val="00BF566C"/>
    <w:rsid w:val="00C00B61"/>
    <w:rsid w:val="00C0328C"/>
    <w:rsid w:val="00C04291"/>
    <w:rsid w:val="00C054BE"/>
    <w:rsid w:val="00C05958"/>
    <w:rsid w:val="00C06D77"/>
    <w:rsid w:val="00C10383"/>
    <w:rsid w:val="00C10904"/>
    <w:rsid w:val="00C11A31"/>
    <w:rsid w:val="00C11FCC"/>
    <w:rsid w:val="00C14EC6"/>
    <w:rsid w:val="00C21294"/>
    <w:rsid w:val="00C21916"/>
    <w:rsid w:val="00C22616"/>
    <w:rsid w:val="00C2306F"/>
    <w:rsid w:val="00C259A0"/>
    <w:rsid w:val="00C271DC"/>
    <w:rsid w:val="00C3037E"/>
    <w:rsid w:val="00C3103F"/>
    <w:rsid w:val="00C32831"/>
    <w:rsid w:val="00C34CE6"/>
    <w:rsid w:val="00C36988"/>
    <w:rsid w:val="00C3749F"/>
    <w:rsid w:val="00C37592"/>
    <w:rsid w:val="00C37E80"/>
    <w:rsid w:val="00C37F34"/>
    <w:rsid w:val="00C40311"/>
    <w:rsid w:val="00C40603"/>
    <w:rsid w:val="00C40C88"/>
    <w:rsid w:val="00C41881"/>
    <w:rsid w:val="00C41F38"/>
    <w:rsid w:val="00C4236C"/>
    <w:rsid w:val="00C458EE"/>
    <w:rsid w:val="00C45B06"/>
    <w:rsid w:val="00C45EA7"/>
    <w:rsid w:val="00C473B6"/>
    <w:rsid w:val="00C50026"/>
    <w:rsid w:val="00C50CB7"/>
    <w:rsid w:val="00C50CFF"/>
    <w:rsid w:val="00C5150D"/>
    <w:rsid w:val="00C51733"/>
    <w:rsid w:val="00C528C3"/>
    <w:rsid w:val="00C53CD6"/>
    <w:rsid w:val="00C55FC2"/>
    <w:rsid w:val="00C5602A"/>
    <w:rsid w:val="00C5737E"/>
    <w:rsid w:val="00C61353"/>
    <w:rsid w:val="00C615C2"/>
    <w:rsid w:val="00C616E0"/>
    <w:rsid w:val="00C62498"/>
    <w:rsid w:val="00C62692"/>
    <w:rsid w:val="00C62A8D"/>
    <w:rsid w:val="00C63D22"/>
    <w:rsid w:val="00C6626B"/>
    <w:rsid w:val="00C66C6F"/>
    <w:rsid w:val="00C67500"/>
    <w:rsid w:val="00C6782A"/>
    <w:rsid w:val="00C730B0"/>
    <w:rsid w:val="00C74873"/>
    <w:rsid w:val="00C74BF7"/>
    <w:rsid w:val="00C7541F"/>
    <w:rsid w:val="00C75E74"/>
    <w:rsid w:val="00C77892"/>
    <w:rsid w:val="00C77A0B"/>
    <w:rsid w:val="00C8040D"/>
    <w:rsid w:val="00C81AA6"/>
    <w:rsid w:val="00C82FA3"/>
    <w:rsid w:val="00C84B83"/>
    <w:rsid w:val="00C84F2E"/>
    <w:rsid w:val="00C871A8"/>
    <w:rsid w:val="00C91D82"/>
    <w:rsid w:val="00C94909"/>
    <w:rsid w:val="00C95026"/>
    <w:rsid w:val="00C950E5"/>
    <w:rsid w:val="00C96D38"/>
    <w:rsid w:val="00C97100"/>
    <w:rsid w:val="00C97678"/>
    <w:rsid w:val="00C97E9F"/>
    <w:rsid w:val="00CA0304"/>
    <w:rsid w:val="00CA03F9"/>
    <w:rsid w:val="00CA1491"/>
    <w:rsid w:val="00CA1F1B"/>
    <w:rsid w:val="00CA4A92"/>
    <w:rsid w:val="00CA4DDD"/>
    <w:rsid w:val="00CA52BA"/>
    <w:rsid w:val="00CB1A83"/>
    <w:rsid w:val="00CB34AC"/>
    <w:rsid w:val="00CB3680"/>
    <w:rsid w:val="00CB54E0"/>
    <w:rsid w:val="00CB60FA"/>
    <w:rsid w:val="00CC014A"/>
    <w:rsid w:val="00CC36CF"/>
    <w:rsid w:val="00CC3C83"/>
    <w:rsid w:val="00CC3E50"/>
    <w:rsid w:val="00CC480E"/>
    <w:rsid w:val="00CC527D"/>
    <w:rsid w:val="00CC53BE"/>
    <w:rsid w:val="00CC6507"/>
    <w:rsid w:val="00CC66FC"/>
    <w:rsid w:val="00CC7924"/>
    <w:rsid w:val="00CD17B8"/>
    <w:rsid w:val="00CD19AA"/>
    <w:rsid w:val="00CD2C5D"/>
    <w:rsid w:val="00CD31DC"/>
    <w:rsid w:val="00CD539D"/>
    <w:rsid w:val="00CD5D6B"/>
    <w:rsid w:val="00CD676E"/>
    <w:rsid w:val="00CE11FA"/>
    <w:rsid w:val="00CE188C"/>
    <w:rsid w:val="00CE1B81"/>
    <w:rsid w:val="00CE2FE9"/>
    <w:rsid w:val="00CE423A"/>
    <w:rsid w:val="00CE589A"/>
    <w:rsid w:val="00CE6014"/>
    <w:rsid w:val="00CE78E0"/>
    <w:rsid w:val="00CF07FC"/>
    <w:rsid w:val="00CF0A82"/>
    <w:rsid w:val="00CF139D"/>
    <w:rsid w:val="00CF18A5"/>
    <w:rsid w:val="00CF2E4E"/>
    <w:rsid w:val="00CF6F04"/>
    <w:rsid w:val="00CF7149"/>
    <w:rsid w:val="00D005D9"/>
    <w:rsid w:val="00D04B68"/>
    <w:rsid w:val="00D06254"/>
    <w:rsid w:val="00D07ED3"/>
    <w:rsid w:val="00D112B4"/>
    <w:rsid w:val="00D11EAD"/>
    <w:rsid w:val="00D12152"/>
    <w:rsid w:val="00D1315E"/>
    <w:rsid w:val="00D13381"/>
    <w:rsid w:val="00D14C68"/>
    <w:rsid w:val="00D161B6"/>
    <w:rsid w:val="00D16651"/>
    <w:rsid w:val="00D16AB5"/>
    <w:rsid w:val="00D17D95"/>
    <w:rsid w:val="00D212D7"/>
    <w:rsid w:val="00D2179B"/>
    <w:rsid w:val="00D217F5"/>
    <w:rsid w:val="00D21FBA"/>
    <w:rsid w:val="00D2233A"/>
    <w:rsid w:val="00D25507"/>
    <w:rsid w:val="00D259A7"/>
    <w:rsid w:val="00D2620B"/>
    <w:rsid w:val="00D321E5"/>
    <w:rsid w:val="00D32A1E"/>
    <w:rsid w:val="00D347C5"/>
    <w:rsid w:val="00D35228"/>
    <w:rsid w:val="00D36013"/>
    <w:rsid w:val="00D361FD"/>
    <w:rsid w:val="00D42C48"/>
    <w:rsid w:val="00D47314"/>
    <w:rsid w:val="00D47955"/>
    <w:rsid w:val="00D47B54"/>
    <w:rsid w:val="00D5061A"/>
    <w:rsid w:val="00D542CB"/>
    <w:rsid w:val="00D57254"/>
    <w:rsid w:val="00D575A5"/>
    <w:rsid w:val="00D609E9"/>
    <w:rsid w:val="00D62CC2"/>
    <w:rsid w:val="00D63BAD"/>
    <w:rsid w:val="00D6741F"/>
    <w:rsid w:val="00D70CB6"/>
    <w:rsid w:val="00D70CE0"/>
    <w:rsid w:val="00D70CED"/>
    <w:rsid w:val="00D72DF0"/>
    <w:rsid w:val="00D73C2C"/>
    <w:rsid w:val="00D74361"/>
    <w:rsid w:val="00D74D35"/>
    <w:rsid w:val="00D754D6"/>
    <w:rsid w:val="00D755A7"/>
    <w:rsid w:val="00D76248"/>
    <w:rsid w:val="00D81236"/>
    <w:rsid w:val="00D81951"/>
    <w:rsid w:val="00D822DB"/>
    <w:rsid w:val="00D87659"/>
    <w:rsid w:val="00D93609"/>
    <w:rsid w:val="00D93FEA"/>
    <w:rsid w:val="00D94D5C"/>
    <w:rsid w:val="00D95FDF"/>
    <w:rsid w:val="00D9666B"/>
    <w:rsid w:val="00D97C7C"/>
    <w:rsid w:val="00DA16CB"/>
    <w:rsid w:val="00DA240D"/>
    <w:rsid w:val="00DA609B"/>
    <w:rsid w:val="00DB2A20"/>
    <w:rsid w:val="00DB37B2"/>
    <w:rsid w:val="00DB4E0B"/>
    <w:rsid w:val="00DB6049"/>
    <w:rsid w:val="00DB67E3"/>
    <w:rsid w:val="00DB70EB"/>
    <w:rsid w:val="00DB7DD0"/>
    <w:rsid w:val="00DC0212"/>
    <w:rsid w:val="00DC091A"/>
    <w:rsid w:val="00DC15A5"/>
    <w:rsid w:val="00DC319F"/>
    <w:rsid w:val="00DC38FB"/>
    <w:rsid w:val="00DC3B59"/>
    <w:rsid w:val="00DC3DB0"/>
    <w:rsid w:val="00DC4CEA"/>
    <w:rsid w:val="00DD2527"/>
    <w:rsid w:val="00DD4506"/>
    <w:rsid w:val="00DD6214"/>
    <w:rsid w:val="00DD6911"/>
    <w:rsid w:val="00DE03B3"/>
    <w:rsid w:val="00DE11EF"/>
    <w:rsid w:val="00DE21ED"/>
    <w:rsid w:val="00DE32E2"/>
    <w:rsid w:val="00DE6537"/>
    <w:rsid w:val="00DF16BF"/>
    <w:rsid w:val="00DF3191"/>
    <w:rsid w:val="00DF4826"/>
    <w:rsid w:val="00DF4CCA"/>
    <w:rsid w:val="00DF7A2A"/>
    <w:rsid w:val="00E00278"/>
    <w:rsid w:val="00E00B32"/>
    <w:rsid w:val="00E01CCC"/>
    <w:rsid w:val="00E0218F"/>
    <w:rsid w:val="00E022F1"/>
    <w:rsid w:val="00E0397D"/>
    <w:rsid w:val="00E056BA"/>
    <w:rsid w:val="00E06CBF"/>
    <w:rsid w:val="00E070AC"/>
    <w:rsid w:val="00E074F8"/>
    <w:rsid w:val="00E07F2F"/>
    <w:rsid w:val="00E1012A"/>
    <w:rsid w:val="00E10306"/>
    <w:rsid w:val="00E10600"/>
    <w:rsid w:val="00E107E4"/>
    <w:rsid w:val="00E14814"/>
    <w:rsid w:val="00E16B2C"/>
    <w:rsid w:val="00E17031"/>
    <w:rsid w:val="00E178F2"/>
    <w:rsid w:val="00E23C19"/>
    <w:rsid w:val="00E24779"/>
    <w:rsid w:val="00E261D4"/>
    <w:rsid w:val="00E31286"/>
    <w:rsid w:val="00E31795"/>
    <w:rsid w:val="00E317F5"/>
    <w:rsid w:val="00E32181"/>
    <w:rsid w:val="00E36CA8"/>
    <w:rsid w:val="00E36DBF"/>
    <w:rsid w:val="00E50F30"/>
    <w:rsid w:val="00E513C0"/>
    <w:rsid w:val="00E51769"/>
    <w:rsid w:val="00E51AB0"/>
    <w:rsid w:val="00E51DC0"/>
    <w:rsid w:val="00E52151"/>
    <w:rsid w:val="00E542F0"/>
    <w:rsid w:val="00E5459F"/>
    <w:rsid w:val="00E57AB5"/>
    <w:rsid w:val="00E57E14"/>
    <w:rsid w:val="00E61060"/>
    <w:rsid w:val="00E61A88"/>
    <w:rsid w:val="00E633EB"/>
    <w:rsid w:val="00E63C8E"/>
    <w:rsid w:val="00E6627C"/>
    <w:rsid w:val="00E71645"/>
    <w:rsid w:val="00E72423"/>
    <w:rsid w:val="00E728FB"/>
    <w:rsid w:val="00E7329A"/>
    <w:rsid w:val="00E737A7"/>
    <w:rsid w:val="00E740F9"/>
    <w:rsid w:val="00E76FE9"/>
    <w:rsid w:val="00E80DFC"/>
    <w:rsid w:val="00E83546"/>
    <w:rsid w:val="00E83FB2"/>
    <w:rsid w:val="00E842BF"/>
    <w:rsid w:val="00E84868"/>
    <w:rsid w:val="00E856CF"/>
    <w:rsid w:val="00E857F6"/>
    <w:rsid w:val="00E8769C"/>
    <w:rsid w:val="00E902BB"/>
    <w:rsid w:val="00E92221"/>
    <w:rsid w:val="00E93B90"/>
    <w:rsid w:val="00E958C1"/>
    <w:rsid w:val="00E95CEC"/>
    <w:rsid w:val="00EA08DC"/>
    <w:rsid w:val="00EA0F26"/>
    <w:rsid w:val="00EA1438"/>
    <w:rsid w:val="00EA19AC"/>
    <w:rsid w:val="00EA2181"/>
    <w:rsid w:val="00EA3723"/>
    <w:rsid w:val="00EA4113"/>
    <w:rsid w:val="00EA49D9"/>
    <w:rsid w:val="00EB0729"/>
    <w:rsid w:val="00EB163D"/>
    <w:rsid w:val="00EB2196"/>
    <w:rsid w:val="00EB31D5"/>
    <w:rsid w:val="00EB6448"/>
    <w:rsid w:val="00EB6484"/>
    <w:rsid w:val="00EB6D10"/>
    <w:rsid w:val="00EB7FCF"/>
    <w:rsid w:val="00EC1B96"/>
    <w:rsid w:val="00EC2A5D"/>
    <w:rsid w:val="00EC4393"/>
    <w:rsid w:val="00EC49E6"/>
    <w:rsid w:val="00EC60FE"/>
    <w:rsid w:val="00ED093A"/>
    <w:rsid w:val="00ED28C9"/>
    <w:rsid w:val="00ED48DA"/>
    <w:rsid w:val="00ED4AF8"/>
    <w:rsid w:val="00ED6F37"/>
    <w:rsid w:val="00ED749C"/>
    <w:rsid w:val="00EE01A1"/>
    <w:rsid w:val="00EE10A9"/>
    <w:rsid w:val="00EE201A"/>
    <w:rsid w:val="00EE211D"/>
    <w:rsid w:val="00EE2642"/>
    <w:rsid w:val="00EE2AD7"/>
    <w:rsid w:val="00EE4CBD"/>
    <w:rsid w:val="00EF015E"/>
    <w:rsid w:val="00EF03DD"/>
    <w:rsid w:val="00EF520F"/>
    <w:rsid w:val="00EF6257"/>
    <w:rsid w:val="00EF64C3"/>
    <w:rsid w:val="00EF72CD"/>
    <w:rsid w:val="00F00D3B"/>
    <w:rsid w:val="00F0329C"/>
    <w:rsid w:val="00F04941"/>
    <w:rsid w:val="00F04DDA"/>
    <w:rsid w:val="00F06502"/>
    <w:rsid w:val="00F07E25"/>
    <w:rsid w:val="00F10580"/>
    <w:rsid w:val="00F13A40"/>
    <w:rsid w:val="00F1578F"/>
    <w:rsid w:val="00F168F2"/>
    <w:rsid w:val="00F2561B"/>
    <w:rsid w:val="00F3126D"/>
    <w:rsid w:val="00F3133B"/>
    <w:rsid w:val="00F31D7E"/>
    <w:rsid w:val="00F32032"/>
    <w:rsid w:val="00F32720"/>
    <w:rsid w:val="00F34267"/>
    <w:rsid w:val="00F34C8D"/>
    <w:rsid w:val="00F351B9"/>
    <w:rsid w:val="00F407CE"/>
    <w:rsid w:val="00F408A7"/>
    <w:rsid w:val="00F40BE1"/>
    <w:rsid w:val="00F40F5E"/>
    <w:rsid w:val="00F411CF"/>
    <w:rsid w:val="00F41BE2"/>
    <w:rsid w:val="00F41F10"/>
    <w:rsid w:val="00F441DA"/>
    <w:rsid w:val="00F44A5D"/>
    <w:rsid w:val="00F44A96"/>
    <w:rsid w:val="00F44BD1"/>
    <w:rsid w:val="00F451FB"/>
    <w:rsid w:val="00F50F59"/>
    <w:rsid w:val="00F531CF"/>
    <w:rsid w:val="00F544C0"/>
    <w:rsid w:val="00F5464E"/>
    <w:rsid w:val="00F56186"/>
    <w:rsid w:val="00F57098"/>
    <w:rsid w:val="00F62272"/>
    <w:rsid w:val="00F625AA"/>
    <w:rsid w:val="00F64981"/>
    <w:rsid w:val="00F65377"/>
    <w:rsid w:val="00F659A2"/>
    <w:rsid w:val="00F661CA"/>
    <w:rsid w:val="00F702CE"/>
    <w:rsid w:val="00F70DAB"/>
    <w:rsid w:val="00F73072"/>
    <w:rsid w:val="00F74611"/>
    <w:rsid w:val="00F75824"/>
    <w:rsid w:val="00F773E0"/>
    <w:rsid w:val="00F80875"/>
    <w:rsid w:val="00F81C92"/>
    <w:rsid w:val="00F82A50"/>
    <w:rsid w:val="00F83928"/>
    <w:rsid w:val="00F86D74"/>
    <w:rsid w:val="00F87D36"/>
    <w:rsid w:val="00F921A7"/>
    <w:rsid w:val="00F93DD9"/>
    <w:rsid w:val="00F94A98"/>
    <w:rsid w:val="00FA0491"/>
    <w:rsid w:val="00FA0CA0"/>
    <w:rsid w:val="00FA21CD"/>
    <w:rsid w:val="00FA31F4"/>
    <w:rsid w:val="00FA349C"/>
    <w:rsid w:val="00FA5E30"/>
    <w:rsid w:val="00FA6433"/>
    <w:rsid w:val="00FA6505"/>
    <w:rsid w:val="00FA6CEF"/>
    <w:rsid w:val="00FA6E46"/>
    <w:rsid w:val="00FB00F6"/>
    <w:rsid w:val="00FB0618"/>
    <w:rsid w:val="00FB2CBA"/>
    <w:rsid w:val="00FB6BFB"/>
    <w:rsid w:val="00FB7647"/>
    <w:rsid w:val="00FC40EC"/>
    <w:rsid w:val="00FC42C7"/>
    <w:rsid w:val="00FC518D"/>
    <w:rsid w:val="00FC6033"/>
    <w:rsid w:val="00FC7C6E"/>
    <w:rsid w:val="00FD40D6"/>
    <w:rsid w:val="00FD4439"/>
    <w:rsid w:val="00FD4A30"/>
    <w:rsid w:val="00FD4FF8"/>
    <w:rsid w:val="00FD5B21"/>
    <w:rsid w:val="00FD66A1"/>
    <w:rsid w:val="00FE1DD3"/>
    <w:rsid w:val="00FE26AC"/>
    <w:rsid w:val="00FE5CDD"/>
    <w:rsid w:val="00FE7AE7"/>
    <w:rsid w:val="00FF0289"/>
    <w:rsid w:val="00FF0D13"/>
    <w:rsid w:val="00FF3719"/>
    <w:rsid w:val="00FF4394"/>
    <w:rsid w:val="00FF5F39"/>
    <w:rsid w:val="00FF7E2B"/>
    <w:rsid w:val="00FF7E6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38297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before="20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2" w:qFormat="1"/>
    <w:lsdException w:name="heading 6" w:uiPriority="2" w:qFormat="1"/>
    <w:lsdException w:name="heading 7" w:uiPriority="2" w:qFormat="1"/>
    <w:lsdException w:name="heading 8" w:uiPriority="2" w:qFormat="1"/>
    <w:lsdException w:name="heading 9" w:uiPriority="2" w:qFormat="1"/>
    <w:lsdException w:name="toc 1" w:semiHidden="0" w:uiPriority="39" w:unhideWhenUsed="0"/>
    <w:lsdException w:name="toc 2" w:semiHidden="0" w:uiPriority="39" w:unhideWhenUsed="0"/>
    <w:lsdException w:name="toc 3" w:semiHidden="0" w:uiPriority="39" w:unhideWhenUsed="0"/>
    <w:lsdException w:name="toc 4" w:semiHidden="0" w:uiPriority="39" w:unhideWhenUsed="0"/>
    <w:lsdException w:name="toc 5" w:semiHidden="0" w:uiPriority="39" w:unhideWhenUsed="0"/>
    <w:lsdException w:name="toc 6" w:semiHidden="0" w:uiPriority="39" w:unhideWhenUsed="0"/>
    <w:lsdException w:name="toc 7" w:semiHidden="0" w:uiPriority="39" w:unhideWhenUsed="0"/>
    <w:lsdException w:name="toc 8" w:semiHidden="0" w:uiPriority="39" w:unhideWhenUsed="0"/>
    <w:lsdException w:name="toc 9" w:semiHidden="0" w:uiPriority="39" w:unhideWhenUsed="0"/>
    <w:lsdException w:name="Normal Indent" w:semiHidden="0" w:unhideWhenUsed="0"/>
    <w:lsdException w:name="footnote text" w:uiPriority="2" w:qFormat="1"/>
    <w:lsdException w:name="header" w:qFormat="1"/>
    <w:lsdException w:name="footer" w:qFormat="1"/>
    <w:lsdException w:name="caption" w:uiPriority="35" w:qFormat="1"/>
    <w:lsdException w:name="page number" w:uiPriority="0"/>
    <w:lsdException w:name="List" w:qFormat="1"/>
    <w:lsdException w:name="List Number" w:qFormat="1"/>
    <w:lsdException w:name="Title" w:semiHidden="0" w:uiPriority="10" w:unhideWhenUsed="0"/>
    <w:lsdException w:name="Default Paragraph Font" w:uiPriority="1"/>
    <w:lsdException w:name="List Continue" w:qFormat="1"/>
    <w:lsdException w:name="Subtitle" w:semiHidden="0" w:uiPriority="11" w:unhideWhenUsed="0"/>
    <w:lsdException w:name="Hyperlink"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uiPriority="3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lsdException w:name="Intense Emphasis" w:uiPriority="21"/>
    <w:lsdException w:name="Subtle Reference" w:uiPriority="31"/>
    <w:lsdException w:name="Intense Reference" w:uiPriority="32"/>
    <w:lsdException w:name="Book Title" w:semiHidden="0" w:uiPriority="33" w:unhideWhenUsed="0"/>
    <w:lsdException w:name="Bibliography" w:uiPriority="37"/>
    <w:lsdException w:name="TOC Heading" w:uiPriority="39"/>
  </w:latentStyles>
  <w:style w:type="paragraph" w:default="1" w:styleId="Normal">
    <w:name w:val="Normal"/>
    <w:qFormat/>
    <w:rsid w:val="00BA3C98"/>
    <w:pPr>
      <w:spacing w:line="276" w:lineRule="auto"/>
    </w:pPr>
    <w:rPr>
      <w:rFonts w:ascii="Arial" w:hAnsi="Arial"/>
    </w:rPr>
  </w:style>
  <w:style w:type="paragraph" w:styleId="Heading1">
    <w:name w:val="heading 1"/>
    <w:basedOn w:val="Normal"/>
    <w:next w:val="Normal"/>
    <w:link w:val="Heading1Char"/>
    <w:qFormat/>
    <w:rsid w:val="00B927D8"/>
    <w:pPr>
      <w:pageBreakBefore/>
      <w:numPr>
        <w:numId w:val="28"/>
      </w:numPr>
      <w:tabs>
        <w:tab w:val="left" w:pos="680"/>
      </w:tabs>
      <w:spacing w:before="240"/>
      <w:outlineLvl w:val="0"/>
    </w:pPr>
    <w:rPr>
      <w:rFonts w:eastAsiaTheme="majorEastAsia" w:cstheme="majorBidi"/>
      <w:b/>
      <w:bCs/>
      <w:color w:val="70635A"/>
      <w:sz w:val="36"/>
      <w:szCs w:val="28"/>
    </w:rPr>
  </w:style>
  <w:style w:type="paragraph" w:styleId="Heading2">
    <w:name w:val="heading 2"/>
    <w:next w:val="Normal"/>
    <w:link w:val="Heading2Char"/>
    <w:qFormat/>
    <w:rsid w:val="00B927D8"/>
    <w:pPr>
      <w:numPr>
        <w:ilvl w:val="1"/>
        <w:numId w:val="28"/>
      </w:numPr>
      <w:tabs>
        <w:tab w:val="left" w:pos="680"/>
      </w:tabs>
      <w:spacing w:line="240" w:lineRule="atLeast"/>
      <w:outlineLvl w:val="1"/>
    </w:pPr>
    <w:rPr>
      <w:rFonts w:ascii="Arial" w:eastAsiaTheme="majorEastAsia" w:hAnsi="Arial" w:cstheme="majorBidi"/>
      <w:b/>
      <w:bCs/>
      <w:color w:val="70635A" w:themeColor="text2"/>
      <w:sz w:val="32"/>
      <w:szCs w:val="26"/>
    </w:rPr>
  </w:style>
  <w:style w:type="paragraph" w:styleId="Heading3">
    <w:name w:val="heading 3"/>
    <w:basedOn w:val="Normal"/>
    <w:next w:val="Normal"/>
    <w:link w:val="Heading3Char"/>
    <w:qFormat/>
    <w:rsid w:val="00B927D8"/>
    <w:pPr>
      <w:numPr>
        <w:ilvl w:val="2"/>
        <w:numId w:val="28"/>
      </w:numPr>
      <w:tabs>
        <w:tab w:val="left" w:pos="1021"/>
      </w:tabs>
      <w:spacing w:before="240"/>
      <w:outlineLvl w:val="2"/>
    </w:pPr>
    <w:rPr>
      <w:rFonts w:eastAsiaTheme="majorEastAsia" w:cstheme="majorBidi"/>
      <w:b/>
      <w:bCs/>
      <w:color w:val="70635A" w:themeColor="text2"/>
      <w:sz w:val="28"/>
    </w:rPr>
  </w:style>
  <w:style w:type="paragraph" w:styleId="Heading4">
    <w:name w:val="heading 4"/>
    <w:basedOn w:val="Normal"/>
    <w:next w:val="Normal"/>
    <w:link w:val="Heading4Char"/>
    <w:qFormat/>
    <w:rsid w:val="00B927D8"/>
    <w:pPr>
      <w:numPr>
        <w:ilvl w:val="3"/>
        <w:numId w:val="28"/>
      </w:numPr>
      <w:tabs>
        <w:tab w:val="left" w:pos="1021"/>
      </w:tabs>
      <w:spacing w:before="240"/>
      <w:outlineLvl w:val="3"/>
    </w:pPr>
    <w:rPr>
      <w:rFonts w:eastAsiaTheme="majorEastAsia" w:cstheme="majorBidi"/>
      <w:b/>
      <w:bCs/>
      <w:iCs/>
      <w:color w:val="51626F"/>
      <w:sz w:val="24"/>
    </w:rPr>
  </w:style>
  <w:style w:type="paragraph" w:styleId="Heading5">
    <w:name w:val="heading 5"/>
    <w:next w:val="Normal"/>
    <w:link w:val="Heading5Char"/>
    <w:uiPriority w:val="2"/>
    <w:qFormat/>
    <w:rsid w:val="00B927D8"/>
    <w:pPr>
      <w:numPr>
        <w:ilvl w:val="4"/>
        <w:numId w:val="28"/>
      </w:numPr>
      <w:tabs>
        <w:tab w:val="left" w:pos="1361"/>
      </w:tabs>
      <w:spacing w:line="240" w:lineRule="atLeast"/>
      <w:outlineLvl w:val="4"/>
    </w:pPr>
    <w:rPr>
      <w:rFonts w:ascii="Arial" w:eastAsiaTheme="majorEastAsia" w:hAnsi="Arial" w:cstheme="majorBidi"/>
      <w:b/>
      <w:color w:val="170017" w:themeColor="accent1" w:themeShade="7F"/>
    </w:rPr>
  </w:style>
  <w:style w:type="paragraph" w:styleId="Heading6">
    <w:name w:val="heading 6"/>
    <w:basedOn w:val="Normal"/>
    <w:next w:val="Normal"/>
    <w:link w:val="Heading6Char"/>
    <w:uiPriority w:val="2"/>
    <w:qFormat/>
    <w:rsid w:val="00B37E38"/>
    <w:pPr>
      <w:numPr>
        <w:ilvl w:val="5"/>
        <w:numId w:val="28"/>
      </w:numPr>
      <w:tabs>
        <w:tab w:val="left" w:pos="1361"/>
      </w:tabs>
      <w:spacing w:before="240"/>
      <w:outlineLvl w:val="5"/>
    </w:pPr>
    <w:rPr>
      <w:rFonts w:eastAsiaTheme="majorEastAsia" w:cstheme="majorBidi"/>
      <w:b/>
      <w:i/>
      <w:iCs/>
      <w:color w:val="076A92" w:themeColor="text1"/>
    </w:rPr>
  </w:style>
  <w:style w:type="paragraph" w:styleId="Heading7">
    <w:name w:val="heading 7"/>
    <w:basedOn w:val="Normal"/>
    <w:next w:val="Normal"/>
    <w:link w:val="Heading7Char"/>
    <w:uiPriority w:val="2"/>
    <w:qFormat/>
    <w:rsid w:val="00B927D8"/>
    <w:pPr>
      <w:numPr>
        <w:ilvl w:val="6"/>
        <w:numId w:val="28"/>
      </w:numPr>
      <w:tabs>
        <w:tab w:val="left" w:pos="1701"/>
      </w:tabs>
      <w:spacing w:before="240"/>
      <w:outlineLvl w:val="6"/>
    </w:pPr>
    <w:rPr>
      <w:rFonts w:eastAsiaTheme="majorEastAsia" w:cstheme="majorBidi"/>
      <w:i/>
      <w:iCs/>
    </w:rPr>
  </w:style>
  <w:style w:type="paragraph" w:styleId="Heading8">
    <w:name w:val="heading 8"/>
    <w:basedOn w:val="Normal"/>
    <w:next w:val="Normal"/>
    <w:link w:val="Heading8Char"/>
    <w:uiPriority w:val="2"/>
    <w:qFormat/>
    <w:rsid w:val="00B927D8"/>
    <w:pPr>
      <w:numPr>
        <w:ilvl w:val="7"/>
        <w:numId w:val="28"/>
      </w:numPr>
      <w:tabs>
        <w:tab w:val="left" w:pos="1701"/>
      </w:tabs>
      <w:spacing w:before="240"/>
      <w:outlineLvl w:val="7"/>
    </w:pPr>
    <w:rPr>
      <w:rFonts w:eastAsiaTheme="majorEastAsia" w:cstheme="majorBidi"/>
      <w:color w:val="2F002F" w:themeColor="accent1"/>
      <w:szCs w:val="20"/>
    </w:rPr>
  </w:style>
  <w:style w:type="paragraph" w:styleId="Heading9">
    <w:name w:val="heading 9"/>
    <w:basedOn w:val="Normal"/>
    <w:next w:val="Normal"/>
    <w:link w:val="Heading9Char"/>
    <w:uiPriority w:val="2"/>
    <w:qFormat/>
    <w:rsid w:val="00B927D8"/>
    <w:pPr>
      <w:numPr>
        <w:ilvl w:val="8"/>
        <w:numId w:val="28"/>
      </w:numPr>
      <w:tabs>
        <w:tab w:val="left" w:pos="1701"/>
      </w:tabs>
      <w:spacing w:before="240"/>
      <w:outlineLvl w:val="8"/>
    </w:pPr>
    <w:rPr>
      <w:rFonts w:eastAsiaTheme="majorEastAsia" w:cstheme="majorBidi"/>
      <w:i/>
      <w:i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927D8"/>
    <w:rPr>
      <w:rFonts w:ascii="Arial" w:eastAsiaTheme="majorEastAsia" w:hAnsi="Arial" w:cstheme="majorBidi"/>
      <w:b/>
      <w:bCs/>
      <w:color w:val="70635A"/>
      <w:sz w:val="36"/>
      <w:szCs w:val="28"/>
    </w:rPr>
  </w:style>
  <w:style w:type="character" w:customStyle="1" w:styleId="Heading2Char">
    <w:name w:val="Heading 2 Char"/>
    <w:basedOn w:val="DefaultParagraphFont"/>
    <w:link w:val="Heading2"/>
    <w:rsid w:val="00B927D8"/>
    <w:rPr>
      <w:rFonts w:ascii="Arial" w:eastAsiaTheme="majorEastAsia" w:hAnsi="Arial" w:cstheme="majorBidi"/>
      <w:b/>
      <w:bCs/>
      <w:color w:val="70635A" w:themeColor="text2"/>
      <w:sz w:val="32"/>
      <w:szCs w:val="26"/>
    </w:rPr>
  </w:style>
  <w:style w:type="character" w:customStyle="1" w:styleId="Heading3Char">
    <w:name w:val="Heading 3 Char"/>
    <w:basedOn w:val="DefaultParagraphFont"/>
    <w:link w:val="Heading3"/>
    <w:rsid w:val="00B927D8"/>
    <w:rPr>
      <w:rFonts w:ascii="Arial" w:eastAsiaTheme="majorEastAsia" w:hAnsi="Arial" w:cstheme="majorBidi"/>
      <w:b/>
      <w:bCs/>
      <w:color w:val="70635A" w:themeColor="text2"/>
      <w:sz w:val="28"/>
    </w:rPr>
  </w:style>
  <w:style w:type="character" w:customStyle="1" w:styleId="Heading4Char">
    <w:name w:val="Heading 4 Char"/>
    <w:basedOn w:val="DefaultParagraphFont"/>
    <w:link w:val="Heading4"/>
    <w:rsid w:val="00B927D8"/>
    <w:rPr>
      <w:rFonts w:ascii="Arial" w:eastAsiaTheme="majorEastAsia" w:hAnsi="Arial" w:cstheme="majorBidi"/>
      <w:b/>
      <w:bCs/>
      <w:iCs/>
      <w:color w:val="51626F"/>
      <w:sz w:val="24"/>
    </w:rPr>
  </w:style>
  <w:style w:type="character" w:customStyle="1" w:styleId="Heading5Char">
    <w:name w:val="Heading 5 Char"/>
    <w:basedOn w:val="DefaultParagraphFont"/>
    <w:link w:val="Heading5"/>
    <w:uiPriority w:val="2"/>
    <w:rsid w:val="00B927D8"/>
    <w:rPr>
      <w:rFonts w:ascii="Arial" w:eastAsiaTheme="majorEastAsia" w:hAnsi="Arial" w:cstheme="majorBidi"/>
      <w:b/>
      <w:color w:val="170017" w:themeColor="accent1" w:themeShade="7F"/>
    </w:rPr>
  </w:style>
  <w:style w:type="character" w:customStyle="1" w:styleId="Heading6Char">
    <w:name w:val="Heading 6 Char"/>
    <w:basedOn w:val="DefaultParagraphFont"/>
    <w:link w:val="Heading6"/>
    <w:uiPriority w:val="2"/>
    <w:rsid w:val="00B37E38"/>
    <w:rPr>
      <w:rFonts w:ascii="Arial" w:eastAsiaTheme="majorEastAsia" w:hAnsi="Arial" w:cstheme="majorBidi"/>
      <w:b/>
      <w:i/>
      <w:iCs/>
      <w:color w:val="076A92" w:themeColor="text1"/>
    </w:rPr>
  </w:style>
  <w:style w:type="paragraph" w:customStyle="1" w:styleId="Chaptertitle">
    <w:name w:val="Chapter title"/>
    <w:basedOn w:val="Normal"/>
    <w:link w:val="ChaptertitleChar"/>
    <w:rsid w:val="00F835C9"/>
    <w:pPr>
      <w:pageBreakBefore/>
      <w:spacing w:before="520" w:after="120"/>
      <w:outlineLvl w:val="0"/>
    </w:pPr>
    <w:rPr>
      <w:color w:val="076A92" w:themeColor="text1"/>
      <w:sz w:val="52"/>
      <w:szCs w:val="52"/>
    </w:rPr>
  </w:style>
  <w:style w:type="character" w:customStyle="1" w:styleId="ChaptertitleChar">
    <w:name w:val="Chapter title Char"/>
    <w:basedOn w:val="DefaultParagraphFont"/>
    <w:link w:val="Chaptertitle"/>
    <w:rsid w:val="00F835C9"/>
    <w:rPr>
      <w:rFonts w:ascii="Arial" w:hAnsi="Arial"/>
      <w:color w:val="076A92" w:themeColor="text1"/>
      <w:sz w:val="52"/>
      <w:szCs w:val="52"/>
    </w:rPr>
  </w:style>
  <w:style w:type="paragraph" w:customStyle="1" w:styleId="Tabletext">
    <w:name w:val="Table text"/>
    <w:basedOn w:val="Normal"/>
    <w:link w:val="TabletextChar"/>
    <w:uiPriority w:val="1"/>
    <w:qFormat/>
    <w:rsid w:val="00584D8F"/>
    <w:pPr>
      <w:spacing w:before="120" w:after="60"/>
    </w:pPr>
    <w:rPr>
      <w:sz w:val="20"/>
    </w:rPr>
  </w:style>
  <w:style w:type="paragraph" w:styleId="TOC8">
    <w:name w:val="toc 8"/>
    <w:basedOn w:val="Normal"/>
    <w:next w:val="Normal"/>
    <w:uiPriority w:val="39"/>
    <w:rsid w:val="00EB505D"/>
    <w:pPr>
      <w:tabs>
        <w:tab w:val="right" w:leader="dot" w:pos="8363"/>
      </w:tabs>
      <w:spacing w:after="100"/>
      <w:ind w:left="2977"/>
    </w:pPr>
    <w:rPr>
      <w:noProof/>
    </w:rPr>
  </w:style>
  <w:style w:type="paragraph" w:styleId="TOC9">
    <w:name w:val="toc 9"/>
    <w:basedOn w:val="Normal"/>
    <w:next w:val="Normal"/>
    <w:uiPriority w:val="39"/>
    <w:rsid w:val="00EB505D"/>
    <w:pPr>
      <w:tabs>
        <w:tab w:val="right" w:leader="dot" w:pos="8363"/>
      </w:tabs>
      <w:spacing w:after="100"/>
      <w:ind w:left="3402"/>
    </w:pPr>
    <w:rPr>
      <w:noProof/>
    </w:rPr>
  </w:style>
  <w:style w:type="paragraph" w:customStyle="1" w:styleId="Heading1notnumber">
    <w:name w:val="Heading 1 not number"/>
    <w:basedOn w:val="Heading1"/>
    <w:qFormat/>
    <w:rsid w:val="00130C3C"/>
    <w:pPr>
      <w:numPr>
        <w:numId w:val="0"/>
      </w:numPr>
    </w:pPr>
  </w:style>
  <w:style w:type="paragraph" w:customStyle="1" w:styleId="Heading2notnumbered">
    <w:name w:val="Heading 2 not numbered"/>
    <w:basedOn w:val="Heading2"/>
    <w:rsid w:val="00130C3C"/>
    <w:pPr>
      <w:numPr>
        <w:ilvl w:val="0"/>
        <w:numId w:val="0"/>
      </w:numPr>
    </w:pPr>
    <w:rPr>
      <w:rFonts w:eastAsia="Times New Roman" w:cs="Times New Roman"/>
      <w:szCs w:val="20"/>
    </w:rPr>
  </w:style>
  <w:style w:type="paragraph" w:customStyle="1" w:styleId="Heading3notnumbered">
    <w:name w:val="Heading 3 not numbered"/>
    <w:basedOn w:val="Heading3"/>
    <w:rsid w:val="00130C3C"/>
    <w:pPr>
      <w:numPr>
        <w:ilvl w:val="0"/>
        <w:numId w:val="0"/>
      </w:numPr>
    </w:pPr>
    <w:rPr>
      <w:rFonts w:eastAsia="Times New Roman" w:cs="Times New Roman"/>
      <w:szCs w:val="20"/>
    </w:rPr>
  </w:style>
  <w:style w:type="paragraph" w:customStyle="1" w:styleId="Heading4notnumbered">
    <w:name w:val="Heading 4 not numbered"/>
    <w:basedOn w:val="Heading4"/>
    <w:rsid w:val="00130C3C"/>
    <w:pPr>
      <w:numPr>
        <w:ilvl w:val="0"/>
        <w:numId w:val="0"/>
      </w:numPr>
    </w:pPr>
    <w:rPr>
      <w:rFonts w:eastAsia="Times New Roman" w:cs="Times New Roman"/>
      <w:iCs w:val="0"/>
      <w:szCs w:val="20"/>
    </w:rPr>
  </w:style>
  <w:style w:type="paragraph" w:customStyle="1" w:styleId="Heading5notnumbered">
    <w:name w:val="Heading 5 not numbered"/>
    <w:basedOn w:val="Heading5"/>
    <w:rsid w:val="00130C3C"/>
    <w:pPr>
      <w:numPr>
        <w:ilvl w:val="0"/>
        <w:numId w:val="0"/>
      </w:numPr>
    </w:pPr>
    <w:rPr>
      <w:rFonts w:eastAsia="Times New Roman" w:cs="Times New Roman"/>
      <w:bCs/>
      <w:szCs w:val="20"/>
    </w:rPr>
  </w:style>
  <w:style w:type="paragraph" w:customStyle="1" w:styleId="Heading6notnumbered">
    <w:name w:val="Heading 6 not numbered"/>
    <w:basedOn w:val="Heading6"/>
    <w:rsid w:val="00130C3C"/>
    <w:pPr>
      <w:numPr>
        <w:ilvl w:val="0"/>
        <w:numId w:val="0"/>
      </w:numPr>
    </w:pPr>
    <w:rPr>
      <w:rFonts w:eastAsia="Times New Roman" w:cs="Times New Roman"/>
      <w:bCs/>
      <w:szCs w:val="20"/>
    </w:rPr>
  </w:style>
  <w:style w:type="paragraph" w:styleId="Header">
    <w:name w:val="header"/>
    <w:basedOn w:val="Normal"/>
    <w:link w:val="HeaderChar"/>
    <w:uiPriority w:val="99"/>
    <w:unhideWhenUsed/>
    <w:qFormat/>
    <w:rsid w:val="008344F6"/>
    <w:pPr>
      <w:tabs>
        <w:tab w:val="center" w:pos="4513"/>
        <w:tab w:val="right" w:pos="9026"/>
      </w:tabs>
      <w:spacing w:after="120"/>
    </w:pPr>
    <w:rPr>
      <w:color w:val="2F002F" w:themeColor="accent1"/>
      <w:sz w:val="18"/>
    </w:rPr>
  </w:style>
  <w:style w:type="character" w:customStyle="1" w:styleId="HeaderChar">
    <w:name w:val="Header Char"/>
    <w:basedOn w:val="DefaultParagraphFont"/>
    <w:link w:val="Header"/>
    <w:uiPriority w:val="99"/>
    <w:rsid w:val="008344F6"/>
    <w:rPr>
      <w:rFonts w:ascii="Arial" w:hAnsi="Arial"/>
      <w:color w:val="2F002F" w:themeColor="accent1"/>
      <w:sz w:val="18"/>
    </w:rPr>
  </w:style>
  <w:style w:type="paragraph" w:styleId="NoSpacing">
    <w:name w:val="No Spacing"/>
    <w:uiPriority w:val="1"/>
    <w:qFormat/>
    <w:rsid w:val="00724A37"/>
    <w:pPr>
      <w:spacing w:before="0"/>
    </w:pPr>
    <w:rPr>
      <w:rFonts w:ascii="Arial" w:hAnsi="Arial"/>
    </w:rPr>
  </w:style>
  <w:style w:type="paragraph" w:customStyle="1" w:styleId="Tabletitle">
    <w:name w:val="Table title"/>
    <w:basedOn w:val="Normal"/>
    <w:link w:val="TabletitleChar"/>
    <w:qFormat/>
    <w:rsid w:val="00C67A92"/>
    <w:pPr>
      <w:spacing w:before="240" w:after="120"/>
    </w:pPr>
    <w:rPr>
      <w:b/>
      <w:color w:val="076A92" w:themeColor="text1"/>
      <w:sz w:val="24"/>
      <w:szCs w:val="20"/>
    </w:rPr>
  </w:style>
  <w:style w:type="character" w:customStyle="1" w:styleId="TabletitleChar">
    <w:name w:val="Table title Char"/>
    <w:basedOn w:val="DefaultParagraphFont"/>
    <w:link w:val="Tabletitle"/>
    <w:rsid w:val="00C67A92"/>
    <w:rPr>
      <w:rFonts w:ascii="Arial" w:hAnsi="Arial"/>
      <w:b/>
      <w:color w:val="076A92" w:themeColor="text1"/>
      <w:sz w:val="24"/>
      <w:szCs w:val="20"/>
    </w:rPr>
  </w:style>
  <w:style w:type="paragraph" w:customStyle="1" w:styleId="Charttitle">
    <w:name w:val="Chart title"/>
    <w:basedOn w:val="Tabletitle"/>
    <w:rsid w:val="00C67A92"/>
  </w:style>
  <w:style w:type="paragraph" w:styleId="EndnoteText">
    <w:name w:val="endnote text"/>
    <w:basedOn w:val="Normal"/>
    <w:link w:val="EndnoteTextChar"/>
    <w:uiPriority w:val="99"/>
    <w:rsid w:val="00263AC0"/>
    <w:pPr>
      <w:spacing w:before="0"/>
    </w:pPr>
    <w:rPr>
      <w:sz w:val="20"/>
      <w:szCs w:val="20"/>
    </w:rPr>
  </w:style>
  <w:style w:type="paragraph" w:customStyle="1" w:styleId="Boxedtext">
    <w:name w:val="Boxed text"/>
    <w:basedOn w:val="Normal"/>
    <w:link w:val="BoxedtextChar"/>
    <w:uiPriority w:val="1"/>
    <w:rsid w:val="00180157"/>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F2F2F2" w:themeFill="background1" w:themeFillShade="F2"/>
      <w:spacing w:after="240"/>
    </w:pPr>
    <w:rPr>
      <w:szCs w:val="20"/>
    </w:rPr>
  </w:style>
  <w:style w:type="character" w:customStyle="1" w:styleId="BoxedtextChar">
    <w:name w:val="Boxed text Char"/>
    <w:basedOn w:val="DefaultParagraphFont"/>
    <w:link w:val="Boxedtext"/>
    <w:uiPriority w:val="1"/>
    <w:rsid w:val="00AE1BF1"/>
    <w:rPr>
      <w:rFonts w:ascii="Arial" w:hAnsi="Arial"/>
      <w:szCs w:val="20"/>
      <w:shd w:val="clear" w:color="auto" w:fill="F2F2F2" w:themeFill="background1" w:themeFillShade="F2"/>
    </w:rPr>
  </w:style>
  <w:style w:type="paragraph" w:customStyle="1" w:styleId="Pullquoteheading">
    <w:name w:val="Pull quote heading"/>
    <w:basedOn w:val="Normal"/>
    <w:link w:val="PullquoteheadingChar"/>
    <w:uiPriority w:val="1"/>
    <w:rsid w:val="00CA489E"/>
    <w:pPr>
      <w:spacing w:after="120"/>
      <w:contextualSpacing/>
    </w:pPr>
    <w:rPr>
      <w:b/>
      <w:color w:val="C14E00" w:themeColor="accent2"/>
      <w:sz w:val="24"/>
      <w:szCs w:val="24"/>
    </w:rPr>
  </w:style>
  <w:style w:type="character" w:customStyle="1" w:styleId="PullquoteheadingChar">
    <w:name w:val="Pull quote heading Char"/>
    <w:basedOn w:val="DefaultParagraphFont"/>
    <w:link w:val="Pullquoteheading"/>
    <w:uiPriority w:val="1"/>
    <w:rsid w:val="00CA489E"/>
    <w:rPr>
      <w:rFonts w:ascii="Arial" w:hAnsi="Arial"/>
      <w:b/>
      <w:color w:val="C14E00" w:themeColor="accent2"/>
      <w:sz w:val="24"/>
      <w:szCs w:val="24"/>
    </w:rPr>
  </w:style>
  <w:style w:type="paragraph" w:customStyle="1" w:styleId="Pullquotetext">
    <w:name w:val="Pull quote text"/>
    <w:link w:val="PullquotetextChar"/>
    <w:uiPriority w:val="1"/>
    <w:rsid w:val="00CA489E"/>
    <w:pPr>
      <w:spacing w:before="120"/>
    </w:pPr>
    <w:rPr>
      <w:rFonts w:ascii="Arial" w:hAnsi="Arial"/>
      <w:color w:val="DC5034"/>
      <w:szCs w:val="24"/>
    </w:rPr>
  </w:style>
  <w:style w:type="character" w:customStyle="1" w:styleId="PullquotetextChar">
    <w:name w:val="Pull quote text Char"/>
    <w:basedOn w:val="PullquoteheadingChar"/>
    <w:link w:val="Pullquotetext"/>
    <w:uiPriority w:val="1"/>
    <w:rsid w:val="00CA489E"/>
    <w:rPr>
      <w:rFonts w:ascii="Arial" w:hAnsi="Arial"/>
      <w:b w:val="0"/>
      <w:color w:val="DC5034"/>
      <w:sz w:val="24"/>
      <w:szCs w:val="24"/>
    </w:rPr>
  </w:style>
  <w:style w:type="paragraph" w:customStyle="1" w:styleId="Note">
    <w:name w:val="Note"/>
    <w:basedOn w:val="Normal"/>
    <w:next w:val="Normal"/>
    <w:link w:val="NoteChar"/>
    <w:rsid w:val="00085663"/>
    <w:pPr>
      <w:spacing w:after="120"/>
    </w:pPr>
    <w:rPr>
      <w:i/>
      <w:sz w:val="16"/>
      <w:szCs w:val="16"/>
    </w:rPr>
  </w:style>
  <w:style w:type="character" w:customStyle="1" w:styleId="NoteChar">
    <w:name w:val="Note Char"/>
    <w:basedOn w:val="DefaultParagraphFont"/>
    <w:link w:val="Note"/>
    <w:rsid w:val="00085663"/>
    <w:rPr>
      <w:rFonts w:ascii="Arial" w:hAnsi="Arial"/>
      <w:i/>
      <w:sz w:val="16"/>
      <w:szCs w:val="16"/>
    </w:rPr>
  </w:style>
  <w:style w:type="paragraph" w:customStyle="1" w:styleId="Source">
    <w:name w:val="Source"/>
    <w:basedOn w:val="Normal"/>
    <w:next w:val="Normal"/>
    <w:link w:val="SourceChar"/>
    <w:rsid w:val="00085663"/>
    <w:pPr>
      <w:spacing w:after="60"/>
    </w:pPr>
    <w:rPr>
      <w:sz w:val="16"/>
      <w:szCs w:val="16"/>
    </w:rPr>
  </w:style>
  <w:style w:type="character" w:customStyle="1" w:styleId="SourceChar">
    <w:name w:val="Source Char"/>
    <w:basedOn w:val="DefaultParagraphFont"/>
    <w:link w:val="Source"/>
    <w:rsid w:val="00085663"/>
    <w:rPr>
      <w:rFonts w:ascii="Arial" w:hAnsi="Arial"/>
      <w:sz w:val="16"/>
      <w:szCs w:val="16"/>
    </w:rPr>
  </w:style>
  <w:style w:type="paragraph" w:styleId="Index1">
    <w:name w:val="index 1"/>
    <w:basedOn w:val="Normal"/>
    <w:next w:val="Normal"/>
    <w:autoRedefine/>
    <w:uiPriority w:val="99"/>
    <w:unhideWhenUsed/>
    <w:rsid w:val="00F171E0"/>
    <w:pPr>
      <w:spacing w:before="0" w:line="240" w:lineRule="auto"/>
      <w:ind w:left="220" w:hanging="220"/>
    </w:pPr>
  </w:style>
  <w:style w:type="paragraph" w:styleId="Index2">
    <w:name w:val="index 2"/>
    <w:basedOn w:val="Normal"/>
    <w:next w:val="Normal"/>
    <w:autoRedefine/>
    <w:uiPriority w:val="99"/>
    <w:unhideWhenUsed/>
    <w:rsid w:val="00F171E0"/>
    <w:pPr>
      <w:spacing w:before="0" w:line="240" w:lineRule="auto"/>
      <w:ind w:left="440" w:hanging="220"/>
    </w:pPr>
  </w:style>
  <w:style w:type="paragraph" w:styleId="Quote">
    <w:name w:val="Quote"/>
    <w:basedOn w:val="Normal"/>
    <w:next w:val="Normal"/>
    <w:link w:val="QuoteChar"/>
    <w:uiPriority w:val="29"/>
    <w:rsid w:val="00C67A92"/>
    <w:pPr>
      <w:ind w:left="680"/>
    </w:pPr>
    <w:rPr>
      <w:i/>
      <w:iCs/>
      <w:color w:val="076A92" w:themeColor="text1"/>
    </w:rPr>
  </w:style>
  <w:style w:type="character" w:customStyle="1" w:styleId="QuoteChar">
    <w:name w:val="Quote Char"/>
    <w:basedOn w:val="DefaultParagraphFont"/>
    <w:link w:val="Quote"/>
    <w:uiPriority w:val="29"/>
    <w:rsid w:val="00C67A92"/>
    <w:rPr>
      <w:rFonts w:ascii="Arial" w:hAnsi="Arial"/>
      <w:i/>
      <w:iCs/>
      <w:color w:val="076A92" w:themeColor="text1"/>
    </w:rPr>
  </w:style>
  <w:style w:type="paragraph" w:customStyle="1" w:styleId="Bulletpoint">
    <w:name w:val="Bullet point"/>
    <w:basedOn w:val="ListBullet"/>
    <w:qFormat/>
    <w:rsid w:val="00FE64AE"/>
    <w:pPr>
      <w:numPr>
        <w:numId w:val="2"/>
      </w:numPr>
    </w:pPr>
    <w:rPr>
      <w:rFonts w:cs="Times New Roman"/>
    </w:rPr>
  </w:style>
  <w:style w:type="paragraph" w:styleId="ListBullet">
    <w:name w:val="List Bullet"/>
    <w:basedOn w:val="Normal"/>
    <w:uiPriority w:val="99"/>
    <w:unhideWhenUsed/>
    <w:rsid w:val="00DB5074"/>
    <w:pPr>
      <w:numPr>
        <w:numId w:val="13"/>
      </w:numPr>
      <w:tabs>
        <w:tab w:val="left" w:pos="340"/>
      </w:tabs>
      <w:spacing w:before="120"/>
      <w:ind w:left="340" w:hanging="340"/>
    </w:pPr>
  </w:style>
  <w:style w:type="paragraph" w:customStyle="1" w:styleId="Bulletpoint2">
    <w:name w:val="Bullet point 2"/>
    <w:basedOn w:val="ListBullet2"/>
    <w:uiPriority w:val="1"/>
    <w:qFormat/>
    <w:rsid w:val="008033C4"/>
    <w:pPr>
      <w:numPr>
        <w:numId w:val="12"/>
      </w:numPr>
      <w:ind w:left="998" w:hanging="357"/>
    </w:pPr>
  </w:style>
  <w:style w:type="paragraph" w:styleId="ListNumber">
    <w:name w:val="List Number"/>
    <w:basedOn w:val="Normal"/>
    <w:uiPriority w:val="99"/>
    <w:qFormat/>
    <w:rsid w:val="00CA489E"/>
    <w:pPr>
      <w:numPr>
        <w:numId w:val="7"/>
      </w:numPr>
      <w:spacing w:before="120"/>
    </w:pPr>
  </w:style>
  <w:style w:type="paragraph" w:styleId="ListBullet2">
    <w:name w:val="List Bullet 2"/>
    <w:basedOn w:val="Normal"/>
    <w:uiPriority w:val="99"/>
    <w:unhideWhenUsed/>
    <w:rsid w:val="00DB5074"/>
    <w:pPr>
      <w:numPr>
        <w:numId w:val="3"/>
      </w:numPr>
      <w:tabs>
        <w:tab w:val="clear" w:pos="643"/>
        <w:tab w:val="num" w:pos="680"/>
      </w:tabs>
      <w:spacing w:before="120"/>
      <w:ind w:left="680" w:hanging="340"/>
    </w:pPr>
  </w:style>
  <w:style w:type="paragraph" w:styleId="TOCHeading">
    <w:name w:val="TOC Heading"/>
    <w:basedOn w:val="Normal"/>
    <w:next w:val="Normal"/>
    <w:uiPriority w:val="39"/>
    <w:rsid w:val="00327A1E"/>
    <w:pPr>
      <w:spacing w:before="480" w:after="120"/>
    </w:pPr>
    <w:rPr>
      <w:rFonts w:eastAsiaTheme="majorEastAsia" w:cstheme="majorBidi"/>
      <w:b/>
      <w:bCs/>
      <w:color w:val="076A92" w:themeColor="text1"/>
      <w:sz w:val="36"/>
      <w:szCs w:val="28"/>
      <w:lang w:val="en-US" w:eastAsia="ja-JP"/>
    </w:rPr>
  </w:style>
  <w:style w:type="paragraph" w:customStyle="1" w:styleId="Listalphabet">
    <w:name w:val="List alphabet"/>
    <w:basedOn w:val="List"/>
    <w:qFormat/>
    <w:rsid w:val="00DB5074"/>
    <w:pPr>
      <w:numPr>
        <w:numId w:val="17"/>
      </w:numPr>
      <w:ind w:left="340" w:hanging="340"/>
    </w:pPr>
  </w:style>
  <w:style w:type="character" w:styleId="Hyperlink">
    <w:name w:val="Hyperlink"/>
    <w:basedOn w:val="DefaultParagraphFont"/>
    <w:uiPriority w:val="99"/>
    <w:qFormat/>
    <w:rsid w:val="00BE1F1B"/>
    <w:rPr>
      <w:rFonts w:ascii="Arial" w:hAnsi="Arial"/>
      <w:color w:val="0000FF"/>
      <w:sz w:val="22"/>
      <w:u w:val="single"/>
    </w:rPr>
  </w:style>
  <w:style w:type="paragraph" w:styleId="BalloonText">
    <w:name w:val="Balloon Text"/>
    <w:basedOn w:val="Normal"/>
    <w:link w:val="BalloonTextChar"/>
    <w:uiPriority w:val="99"/>
    <w:semiHidden/>
    <w:unhideWhenUsed/>
    <w:rsid w:val="003518B3"/>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18B3"/>
    <w:rPr>
      <w:rFonts w:ascii="Tahoma" w:hAnsi="Tahoma" w:cs="Tahoma"/>
      <w:sz w:val="16"/>
      <w:szCs w:val="16"/>
    </w:rPr>
  </w:style>
  <w:style w:type="paragraph" w:styleId="Footer">
    <w:name w:val="footer"/>
    <w:basedOn w:val="Normal"/>
    <w:link w:val="FooterChar"/>
    <w:uiPriority w:val="99"/>
    <w:unhideWhenUsed/>
    <w:qFormat/>
    <w:rsid w:val="00F835C9"/>
    <w:pPr>
      <w:tabs>
        <w:tab w:val="center" w:pos="4513"/>
        <w:tab w:val="right" w:pos="9026"/>
      </w:tabs>
      <w:spacing w:after="120"/>
    </w:pPr>
    <w:rPr>
      <w:color w:val="076A92" w:themeColor="text1"/>
      <w:sz w:val="18"/>
    </w:rPr>
  </w:style>
  <w:style w:type="character" w:customStyle="1" w:styleId="FooterChar">
    <w:name w:val="Footer Char"/>
    <w:basedOn w:val="DefaultParagraphFont"/>
    <w:link w:val="Footer"/>
    <w:uiPriority w:val="99"/>
    <w:rsid w:val="00F835C9"/>
    <w:rPr>
      <w:rFonts w:ascii="Arial" w:hAnsi="Arial"/>
      <w:color w:val="076A92" w:themeColor="text1"/>
      <w:sz w:val="18"/>
    </w:rPr>
  </w:style>
  <w:style w:type="paragraph" w:styleId="ListParagraph">
    <w:name w:val="List Paragraph"/>
    <w:basedOn w:val="Normal"/>
    <w:uiPriority w:val="34"/>
    <w:qFormat/>
    <w:rsid w:val="00567BA5"/>
    <w:pPr>
      <w:numPr>
        <w:numId w:val="14"/>
      </w:numPr>
      <w:tabs>
        <w:tab w:val="left" w:pos="340"/>
      </w:tabs>
      <w:spacing w:before="120"/>
    </w:pPr>
  </w:style>
  <w:style w:type="character" w:customStyle="1" w:styleId="Heading7Char">
    <w:name w:val="Heading 7 Char"/>
    <w:basedOn w:val="DefaultParagraphFont"/>
    <w:link w:val="Heading7"/>
    <w:uiPriority w:val="2"/>
    <w:rsid w:val="00B927D8"/>
    <w:rPr>
      <w:rFonts w:ascii="Arial" w:eastAsiaTheme="majorEastAsia" w:hAnsi="Arial" w:cstheme="majorBidi"/>
      <w:i/>
      <w:iCs/>
    </w:rPr>
  </w:style>
  <w:style w:type="character" w:customStyle="1" w:styleId="Heading8Char">
    <w:name w:val="Heading 8 Char"/>
    <w:basedOn w:val="DefaultParagraphFont"/>
    <w:link w:val="Heading8"/>
    <w:uiPriority w:val="2"/>
    <w:rsid w:val="00B927D8"/>
    <w:rPr>
      <w:rFonts w:ascii="Arial" w:eastAsiaTheme="majorEastAsia" w:hAnsi="Arial" w:cstheme="majorBidi"/>
      <w:color w:val="2F002F" w:themeColor="accent1"/>
      <w:szCs w:val="20"/>
    </w:rPr>
  </w:style>
  <w:style w:type="character" w:customStyle="1" w:styleId="Heading9Char">
    <w:name w:val="Heading 9 Char"/>
    <w:basedOn w:val="DefaultParagraphFont"/>
    <w:link w:val="Heading9"/>
    <w:uiPriority w:val="2"/>
    <w:rsid w:val="00B927D8"/>
    <w:rPr>
      <w:rFonts w:ascii="Arial" w:eastAsiaTheme="majorEastAsia" w:hAnsi="Arial" w:cstheme="majorBidi"/>
      <w:i/>
      <w:iCs/>
      <w:szCs w:val="20"/>
    </w:rPr>
  </w:style>
  <w:style w:type="paragraph" w:customStyle="1" w:styleId="Heading7notnumbered">
    <w:name w:val="Heading 7 not numbered"/>
    <w:basedOn w:val="Heading7"/>
    <w:rsid w:val="00130C3C"/>
    <w:pPr>
      <w:numPr>
        <w:ilvl w:val="0"/>
        <w:numId w:val="0"/>
      </w:numPr>
    </w:pPr>
    <w:rPr>
      <w:rFonts w:eastAsia="Times New Roman" w:cs="Times New Roman"/>
      <w:szCs w:val="20"/>
    </w:rPr>
  </w:style>
  <w:style w:type="paragraph" w:customStyle="1" w:styleId="Heading8notnumbered">
    <w:name w:val="Heading 8 not numbered"/>
    <w:basedOn w:val="Heading8"/>
    <w:rsid w:val="00130C3C"/>
    <w:pPr>
      <w:numPr>
        <w:ilvl w:val="0"/>
        <w:numId w:val="0"/>
      </w:numPr>
    </w:pPr>
    <w:rPr>
      <w:rFonts w:eastAsia="Times New Roman" w:cs="Times New Roman"/>
    </w:rPr>
  </w:style>
  <w:style w:type="table" w:styleId="TableGrid">
    <w:name w:val="Table Grid"/>
    <w:aliases w:val="ACCC Table"/>
    <w:basedOn w:val="TableNormal"/>
    <w:uiPriority w:val="59"/>
    <w:rsid w:val="00C53B5A"/>
    <w:pPr>
      <w:spacing w:before="60" w:after="60"/>
    </w:pPr>
    <w:rPr>
      <w:rFonts w:ascii="Arial" w:hAnsi="Arial"/>
      <w:sz w:val="20"/>
    </w:rPr>
    <w:tblPr>
      <w:tblBorders>
        <w:top w:val="single" w:sz="4" w:space="0" w:color="BFBFBF" w:themeColor="background1" w:themeShade="BF"/>
        <w:bottom w:val="single" w:sz="4" w:space="0" w:color="BFBFBF" w:themeColor="background1" w:themeShade="BF"/>
      </w:tblBorders>
    </w:tblPr>
    <w:tcPr>
      <w:shd w:val="clear" w:color="auto" w:fill="auto"/>
    </w:tcPr>
    <w:tblStylePr w:type="firstRow">
      <w:pPr>
        <w:wordWrap/>
        <w:spacing w:beforeLines="0" w:before="120" w:beforeAutospacing="0" w:afterLines="0" w:after="120" w:afterAutospacing="0"/>
      </w:pPr>
      <w:rPr>
        <w:rFonts w:ascii="Arial" w:hAnsi="Arial"/>
        <w:b/>
        <w:sz w:val="20"/>
      </w:rPr>
      <w:tblPr/>
      <w:tcPr>
        <w:tcBorders>
          <w:top w:val="single" w:sz="4" w:space="0" w:color="BFBFBF" w:themeColor="background1" w:themeShade="BF"/>
          <w:left w:val="nil"/>
          <w:bottom w:val="single" w:sz="4" w:space="0" w:color="BFBFBF" w:themeColor="background1" w:themeShade="BF"/>
          <w:right w:val="nil"/>
          <w:insideH w:val="nil"/>
          <w:insideV w:val="nil"/>
          <w:tl2br w:val="nil"/>
          <w:tr2bl w:val="nil"/>
        </w:tcBorders>
        <w:shd w:val="clear" w:color="auto" w:fill="auto"/>
      </w:tcPr>
    </w:tblStylePr>
    <w:tblStylePr w:type="lastRow">
      <w:pPr>
        <w:wordWrap/>
        <w:spacing w:beforeLines="0" w:before="120" w:beforeAutospacing="0" w:afterLines="0" w:after="120" w:afterAutospacing="0" w:line="240" w:lineRule="auto"/>
      </w:pPr>
      <w:rPr>
        <w:rFonts w:ascii="Arial" w:hAnsi="Arial"/>
        <w:b/>
        <w:sz w:val="20"/>
      </w:rPr>
    </w:tblStylePr>
    <w:tblStylePr w:type="firstCol">
      <w:rPr>
        <w:rFonts w:ascii="Arial" w:hAnsi="Arial"/>
        <w:b/>
        <w:sz w:val="20"/>
      </w:rPr>
    </w:tblStylePr>
  </w:style>
  <w:style w:type="table" w:styleId="LightShading">
    <w:name w:val="Light Shading"/>
    <w:basedOn w:val="TableNormal"/>
    <w:uiPriority w:val="60"/>
    <w:rsid w:val="00C53B5A"/>
    <w:pPr>
      <w:spacing w:before="120" w:after="120"/>
    </w:pPr>
    <w:rPr>
      <w:sz w:val="20"/>
    </w:rPr>
    <w:tblPr>
      <w:tbl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blBorders>
    </w:tblPr>
    <w:tcPr>
      <w:shd w:val="clear" w:color="auto" w:fill="auto"/>
      <w:vAlign w:val="center"/>
    </w:tcPr>
    <w:tblStylePr w:type="firstRow">
      <w:pPr>
        <w:wordWrap/>
        <w:spacing w:beforeLines="0" w:before="120" w:beforeAutospacing="0" w:afterLines="0" w:after="120" w:afterAutospacing="0" w:line="240" w:lineRule="auto"/>
      </w:pPr>
      <w:rPr>
        <w:rFonts w:asciiTheme="minorHAnsi" w:hAnsiTheme="minorHAnsi"/>
        <w:b/>
        <w:bCs/>
        <w:sz w:val="20"/>
      </w:rPr>
      <w:tblPr/>
      <w:tcPr>
        <w:tc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cBorders>
        <w:shd w:val="clear" w:color="auto" w:fill="auto"/>
      </w:tcPr>
    </w:tblStylePr>
    <w:tblStylePr w:type="lastRow">
      <w:pPr>
        <w:wordWrap/>
        <w:spacing w:beforeLines="0" w:before="120" w:beforeAutospacing="0" w:afterLines="0" w:after="120" w:afterAutospacing="0" w:line="240" w:lineRule="auto"/>
      </w:pPr>
      <w:rPr>
        <w:b/>
        <w:bCs/>
        <w:sz w:val="20"/>
      </w:rPr>
      <w:tblPr/>
      <w:tcPr>
        <w:tc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cBorders>
      </w:tcPr>
    </w:tblStylePr>
    <w:tblStylePr w:type="firstCol">
      <w:rPr>
        <w:b/>
        <w:bCs/>
        <w:sz w:val="20"/>
      </w:rPr>
    </w:tblStylePr>
    <w:tblStylePr w:type="lastCol">
      <w:rPr>
        <w:b/>
        <w:bCs/>
      </w:rPr>
    </w:tblStylePr>
  </w:style>
  <w:style w:type="table" w:styleId="LightShading-Accent1">
    <w:name w:val="Light Shading Accent 1"/>
    <w:basedOn w:val="TableNormal"/>
    <w:uiPriority w:val="60"/>
    <w:rsid w:val="002010BC"/>
    <w:pPr>
      <w:spacing w:before="0"/>
    </w:pPr>
    <w:rPr>
      <w:color w:val="230023" w:themeColor="accent1" w:themeShade="BF"/>
    </w:rPr>
    <w:tblPr>
      <w:tblStyleRowBandSize w:val="1"/>
      <w:tblStyleColBandSize w:val="1"/>
      <w:tblBorders>
        <w:top w:val="single" w:sz="8" w:space="0" w:color="2F002F" w:themeColor="accent1"/>
        <w:bottom w:val="single" w:sz="8" w:space="0" w:color="2F002F" w:themeColor="accent1"/>
      </w:tblBorders>
    </w:tblPr>
    <w:tblStylePr w:type="firstRow">
      <w:pPr>
        <w:spacing w:before="0" w:after="0" w:line="240" w:lineRule="auto"/>
      </w:pPr>
      <w:rPr>
        <w:b/>
        <w:bCs/>
      </w:rPr>
      <w:tblPr/>
      <w:tcPr>
        <w:tcBorders>
          <w:top w:val="single" w:sz="8" w:space="0" w:color="2F002F" w:themeColor="accent1"/>
          <w:left w:val="nil"/>
          <w:bottom w:val="single" w:sz="8" w:space="0" w:color="2F002F" w:themeColor="accent1"/>
          <w:right w:val="nil"/>
          <w:insideH w:val="nil"/>
          <w:insideV w:val="nil"/>
        </w:tcBorders>
      </w:tcPr>
    </w:tblStylePr>
    <w:tblStylePr w:type="lastRow">
      <w:pPr>
        <w:spacing w:before="0" w:after="0" w:line="240" w:lineRule="auto"/>
      </w:pPr>
      <w:rPr>
        <w:b/>
        <w:bCs/>
      </w:rPr>
      <w:tblPr/>
      <w:tcPr>
        <w:tcBorders>
          <w:top w:val="single" w:sz="8" w:space="0" w:color="2F002F" w:themeColor="accent1"/>
          <w:left w:val="nil"/>
          <w:bottom w:val="single" w:sz="8" w:space="0" w:color="2F002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8CFF" w:themeFill="accent1" w:themeFillTint="3F"/>
      </w:tcPr>
    </w:tblStylePr>
    <w:tblStylePr w:type="band1Horz">
      <w:tblPr/>
      <w:tcPr>
        <w:tcBorders>
          <w:left w:val="nil"/>
          <w:right w:val="nil"/>
          <w:insideH w:val="nil"/>
          <w:insideV w:val="nil"/>
        </w:tcBorders>
        <w:shd w:val="clear" w:color="auto" w:fill="FF8CFF" w:themeFill="accent1" w:themeFillTint="3F"/>
      </w:tcPr>
    </w:tblStylePr>
  </w:style>
  <w:style w:type="table" w:styleId="LightShading-Accent2">
    <w:name w:val="Light Shading Accent 2"/>
    <w:basedOn w:val="TableNormal"/>
    <w:uiPriority w:val="60"/>
    <w:rsid w:val="00746E01"/>
    <w:pPr>
      <w:spacing w:before="0"/>
    </w:pPr>
    <w:rPr>
      <w:rFonts w:ascii="Arial" w:hAnsi="Arial"/>
      <w:color w:val="000000"/>
    </w:rPr>
    <w:tblPr>
      <w:tbl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blBorders>
    </w:tblPr>
    <w:tcPr>
      <w:vAlign w:val="center"/>
    </w:tcPr>
    <w:tblStylePr w:type="firstRow">
      <w:pPr>
        <w:spacing w:before="0" w:after="0" w:line="240" w:lineRule="auto"/>
      </w:pPr>
      <w:rPr>
        <w:b w:val="0"/>
        <w:bCs/>
      </w:rPr>
      <w:tblPr/>
      <w:tcPr>
        <w:tc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l2br w:val="nil"/>
          <w:tr2bl w:val="nil"/>
        </w:tcBorders>
      </w:tcPr>
    </w:tblStylePr>
    <w:tblStylePr w:type="lastRow">
      <w:pPr>
        <w:spacing w:before="0" w:after="0" w:line="240" w:lineRule="auto"/>
      </w:pPr>
      <w:rPr>
        <w:b w:val="0"/>
        <w:bCs/>
      </w:rPr>
      <w:tblPr/>
      <w:tcPr>
        <w:tc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cBorders>
      </w:tcPr>
    </w:tblStylePr>
    <w:tblStylePr w:type="firstCol">
      <w:rPr>
        <w:b w:val="0"/>
        <w:bCs/>
      </w:rPr>
    </w:tblStylePr>
    <w:tblStylePr w:type="lastCol">
      <w:rPr>
        <w:b w:val="0"/>
        <w:bCs/>
      </w:rPr>
    </w:tblStylePr>
  </w:style>
  <w:style w:type="table" w:styleId="LightShading-Accent3">
    <w:name w:val="Light Shading Accent 3"/>
    <w:basedOn w:val="TableNormal"/>
    <w:uiPriority w:val="60"/>
    <w:rsid w:val="00A871F4"/>
    <w:pPr>
      <w:spacing w:before="0"/>
    </w:pPr>
    <w:rPr>
      <w:color w:val="001747" w:themeColor="accent3" w:themeShade="BF"/>
    </w:rPr>
    <w:tblPr>
      <w:tblStyleRowBandSize w:val="1"/>
      <w:tblStyleColBandSize w:val="1"/>
      <w:tblBorders>
        <w:top w:val="single" w:sz="8" w:space="0" w:color="002060" w:themeColor="accent3"/>
        <w:bottom w:val="single" w:sz="8" w:space="0" w:color="002060" w:themeColor="accent3"/>
      </w:tblBorders>
    </w:tblPr>
    <w:tblStylePr w:type="firstRow">
      <w:pPr>
        <w:spacing w:before="0" w:after="0" w:line="240" w:lineRule="auto"/>
      </w:pPr>
      <w:rPr>
        <w:b/>
        <w:bCs/>
      </w:rPr>
      <w:tblPr/>
      <w:tcPr>
        <w:tcBorders>
          <w:top w:val="single" w:sz="8" w:space="0" w:color="002060" w:themeColor="accent3"/>
          <w:left w:val="nil"/>
          <w:bottom w:val="single" w:sz="8" w:space="0" w:color="002060" w:themeColor="accent3"/>
          <w:right w:val="nil"/>
          <w:insideH w:val="nil"/>
          <w:insideV w:val="nil"/>
        </w:tcBorders>
      </w:tcPr>
    </w:tblStylePr>
    <w:tblStylePr w:type="lastRow">
      <w:pPr>
        <w:spacing w:before="0" w:after="0" w:line="240" w:lineRule="auto"/>
      </w:pPr>
      <w:rPr>
        <w:b/>
        <w:bCs/>
      </w:rPr>
      <w:tblPr/>
      <w:tcPr>
        <w:tcBorders>
          <w:top w:val="single" w:sz="8" w:space="0" w:color="002060" w:themeColor="accent3"/>
          <w:left w:val="nil"/>
          <w:bottom w:val="single" w:sz="8" w:space="0" w:color="00206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8BAFF" w:themeFill="accent3" w:themeFillTint="3F"/>
      </w:tcPr>
    </w:tblStylePr>
    <w:tblStylePr w:type="band1Horz">
      <w:tblPr/>
      <w:tcPr>
        <w:tcBorders>
          <w:left w:val="nil"/>
          <w:right w:val="nil"/>
          <w:insideH w:val="nil"/>
          <w:insideV w:val="nil"/>
        </w:tcBorders>
        <w:shd w:val="clear" w:color="auto" w:fill="98BAFF" w:themeFill="accent3" w:themeFillTint="3F"/>
      </w:tcPr>
    </w:tblStylePr>
  </w:style>
  <w:style w:type="table" w:styleId="LightGrid-Accent6">
    <w:name w:val="Light Grid Accent 6"/>
    <w:basedOn w:val="TableNormal"/>
    <w:uiPriority w:val="62"/>
    <w:rsid w:val="00A871F4"/>
    <w:pPr>
      <w:spacing w:before="0"/>
    </w:pPr>
    <w:tblPr>
      <w:tblStyleRowBandSize w:val="1"/>
      <w:tblStyleColBandSize w:val="1"/>
      <w:tblBorders>
        <w:top w:val="single" w:sz="8" w:space="0" w:color="70303C" w:themeColor="accent6"/>
        <w:left w:val="single" w:sz="8" w:space="0" w:color="70303C" w:themeColor="accent6"/>
        <w:bottom w:val="single" w:sz="8" w:space="0" w:color="70303C" w:themeColor="accent6"/>
        <w:right w:val="single" w:sz="8" w:space="0" w:color="70303C" w:themeColor="accent6"/>
        <w:insideH w:val="single" w:sz="8" w:space="0" w:color="70303C" w:themeColor="accent6"/>
        <w:insideV w:val="single" w:sz="8" w:space="0" w:color="70303C"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303C" w:themeColor="accent6"/>
          <w:left w:val="single" w:sz="8" w:space="0" w:color="70303C" w:themeColor="accent6"/>
          <w:bottom w:val="single" w:sz="18" w:space="0" w:color="70303C" w:themeColor="accent6"/>
          <w:right w:val="single" w:sz="8" w:space="0" w:color="70303C" w:themeColor="accent6"/>
          <w:insideH w:val="nil"/>
          <w:insideV w:val="single" w:sz="8" w:space="0" w:color="70303C"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303C" w:themeColor="accent6"/>
          <w:left w:val="single" w:sz="8" w:space="0" w:color="70303C" w:themeColor="accent6"/>
          <w:bottom w:val="single" w:sz="8" w:space="0" w:color="70303C" w:themeColor="accent6"/>
          <w:right w:val="single" w:sz="8" w:space="0" w:color="70303C" w:themeColor="accent6"/>
          <w:insideH w:val="nil"/>
          <w:insideV w:val="single" w:sz="8" w:space="0" w:color="70303C"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tblStylePr w:type="band1Vert">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shd w:val="clear" w:color="auto" w:fill="E5C2C8" w:themeFill="accent6" w:themeFillTint="3F"/>
      </w:tcPr>
    </w:tblStylePr>
    <w:tblStylePr w:type="band1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insideV w:val="single" w:sz="8" w:space="0" w:color="70303C" w:themeColor="accent6"/>
        </w:tcBorders>
        <w:shd w:val="clear" w:color="auto" w:fill="E5C2C8" w:themeFill="accent6" w:themeFillTint="3F"/>
      </w:tcPr>
    </w:tblStylePr>
    <w:tblStylePr w:type="band2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insideV w:val="single" w:sz="8" w:space="0" w:color="70303C" w:themeColor="accent6"/>
        </w:tcBorders>
      </w:tcPr>
    </w:tblStylePr>
  </w:style>
  <w:style w:type="table" w:styleId="MediumShading1">
    <w:name w:val="Medium Shading 1"/>
    <w:basedOn w:val="TableNormal"/>
    <w:uiPriority w:val="63"/>
    <w:rsid w:val="00A871F4"/>
    <w:pPr>
      <w:spacing w:before="0"/>
    </w:pPr>
    <w:tblPr>
      <w:tblStyleRowBandSize w:val="1"/>
      <w:tblStyleColBandSize w:val="1"/>
      <w:tblBorders>
        <w:top w:val="single" w:sz="8"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single" w:sz="8" w:space="0" w:color="0BA7E7" w:themeColor="text1" w:themeTint="BF"/>
      </w:tblBorders>
    </w:tblPr>
    <w:tblStylePr w:type="firstRow">
      <w:pPr>
        <w:spacing w:before="0" w:after="0" w:line="240" w:lineRule="auto"/>
      </w:pPr>
      <w:rPr>
        <w:b/>
        <w:bCs/>
        <w:color w:val="FFFFFF" w:themeColor="background1"/>
      </w:rPr>
      <w:tblPr/>
      <w:tcPr>
        <w:tcBorders>
          <w:top w:val="single" w:sz="8"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nil"/>
          <w:insideV w:val="nil"/>
        </w:tcBorders>
        <w:shd w:val="clear" w:color="auto" w:fill="076A92" w:themeFill="text1"/>
      </w:tcPr>
    </w:tblStylePr>
    <w:tblStylePr w:type="lastRow">
      <w:pPr>
        <w:spacing w:before="0" w:after="0" w:line="240" w:lineRule="auto"/>
      </w:pPr>
      <w:rPr>
        <w:b/>
        <w:bCs/>
      </w:rPr>
      <w:tblPr/>
      <w:tcPr>
        <w:tcBorders>
          <w:top w:val="double" w:sz="6"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nil"/>
          <w:insideV w:val="nil"/>
        </w:tcBorders>
      </w:tcPr>
    </w:tblStylePr>
    <w:tblStylePr w:type="firstCol">
      <w:rPr>
        <w:b/>
        <w:bCs/>
      </w:rPr>
    </w:tblStylePr>
    <w:tblStylePr w:type="lastCol">
      <w:rPr>
        <w:b/>
        <w:bCs/>
      </w:rPr>
    </w:tblStylePr>
    <w:tblStylePr w:type="band1Vert">
      <w:tblPr/>
      <w:tcPr>
        <w:shd w:val="clear" w:color="auto" w:fill="AAE3FB" w:themeFill="text1" w:themeFillTint="3F"/>
      </w:tcPr>
    </w:tblStylePr>
    <w:tblStylePr w:type="band1Horz">
      <w:tblPr/>
      <w:tcPr>
        <w:tcBorders>
          <w:insideH w:val="nil"/>
          <w:insideV w:val="nil"/>
        </w:tcBorders>
        <w:shd w:val="clear" w:color="auto" w:fill="AAE3FB"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A871F4"/>
    <w:pPr>
      <w:spacing w:before="0"/>
    </w:pPr>
    <w:tblPr>
      <w:tblStyleRowBandSize w:val="1"/>
      <w:tblStyleColBandSize w:val="1"/>
      <w:tblBorders>
        <w:top w:val="single" w:sz="8"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single" w:sz="8" w:space="0" w:color="A300A3" w:themeColor="accent1" w:themeTint="BF"/>
      </w:tblBorders>
    </w:tblPr>
    <w:tblStylePr w:type="firstRow">
      <w:pPr>
        <w:spacing w:before="0" w:after="0" w:line="240" w:lineRule="auto"/>
      </w:pPr>
      <w:rPr>
        <w:b/>
        <w:bCs/>
        <w:color w:val="FFFFFF" w:themeColor="background1"/>
      </w:rPr>
      <w:tblPr/>
      <w:tcPr>
        <w:tcBorders>
          <w:top w:val="single" w:sz="8"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nil"/>
          <w:insideV w:val="nil"/>
        </w:tcBorders>
        <w:shd w:val="clear" w:color="auto" w:fill="2F002F" w:themeFill="accent1"/>
      </w:tcPr>
    </w:tblStylePr>
    <w:tblStylePr w:type="lastRow">
      <w:pPr>
        <w:spacing w:before="0" w:after="0" w:line="240" w:lineRule="auto"/>
      </w:pPr>
      <w:rPr>
        <w:b/>
        <w:bCs/>
      </w:rPr>
      <w:tblPr/>
      <w:tcPr>
        <w:tcBorders>
          <w:top w:val="double" w:sz="6"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nil"/>
          <w:insideV w:val="nil"/>
        </w:tcBorders>
      </w:tcPr>
    </w:tblStylePr>
    <w:tblStylePr w:type="firstCol">
      <w:rPr>
        <w:b/>
        <w:bCs/>
      </w:rPr>
    </w:tblStylePr>
    <w:tblStylePr w:type="lastCol">
      <w:rPr>
        <w:b/>
        <w:bCs/>
      </w:rPr>
    </w:tblStylePr>
    <w:tblStylePr w:type="band1Vert">
      <w:tblPr/>
      <w:tcPr>
        <w:shd w:val="clear" w:color="auto" w:fill="FF8CFF" w:themeFill="accent1" w:themeFillTint="3F"/>
      </w:tcPr>
    </w:tblStylePr>
    <w:tblStylePr w:type="band1Horz">
      <w:tblPr/>
      <w:tcPr>
        <w:tcBorders>
          <w:insideH w:val="nil"/>
          <w:insideV w:val="nil"/>
        </w:tcBorders>
        <w:shd w:val="clear" w:color="auto" w:fill="FF8CF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A871F4"/>
    <w:pPr>
      <w:spacing w:before="0"/>
    </w:pPr>
    <w:tblPr>
      <w:tblStyleRowBandSize w:val="1"/>
      <w:tblStyleColBandSize w:val="1"/>
      <w:tblBorders>
        <w:top w:val="single" w:sz="8"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single" w:sz="8" w:space="0" w:color="FF7111" w:themeColor="accent2" w:themeTint="BF"/>
      </w:tblBorders>
    </w:tblPr>
    <w:tblStylePr w:type="firstRow">
      <w:pPr>
        <w:spacing w:before="0" w:after="0" w:line="240" w:lineRule="auto"/>
      </w:pPr>
      <w:rPr>
        <w:b/>
        <w:bCs/>
        <w:color w:val="FFFFFF" w:themeColor="background1"/>
      </w:rPr>
      <w:tblPr/>
      <w:tcPr>
        <w:tcBorders>
          <w:top w:val="single" w:sz="8"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nil"/>
          <w:insideV w:val="nil"/>
        </w:tcBorders>
        <w:shd w:val="clear" w:color="auto" w:fill="C14E00" w:themeFill="accent2"/>
      </w:tcPr>
    </w:tblStylePr>
    <w:tblStylePr w:type="lastRow">
      <w:pPr>
        <w:spacing w:before="0" w:after="0" w:line="240" w:lineRule="auto"/>
      </w:pPr>
      <w:rPr>
        <w:b/>
        <w:bCs/>
      </w:rPr>
      <w:tblPr/>
      <w:tcPr>
        <w:tcBorders>
          <w:top w:val="double" w:sz="6"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nil"/>
          <w:insideV w:val="nil"/>
        </w:tcBorders>
      </w:tcPr>
    </w:tblStylePr>
    <w:tblStylePr w:type="firstCol">
      <w:rPr>
        <w:b/>
        <w:bCs/>
      </w:rPr>
    </w:tblStylePr>
    <w:tblStylePr w:type="lastCol">
      <w:rPr>
        <w:b/>
        <w:bCs/>
      </w:rPr>
    </w:tblStylePr>
    <w:tblStylePr w:type="band1Vert">
      <w:tblPr/>
      <w:tcPr>
        <w:shd w:val="clear" w:color="auto" w:fill="FFD0B0" w:themeFill="accent2" w:themeFillTint="3F"/>
      </w:tcPr>
    </w:tblStylePr>
    <w:tblStylePr w:type="band1Horz">
      <w:tblPr/>
      <w:tcPr>
        <w:tcBorders>
          <w:insideH w:val="nil"/>
          <w:insideV w:val="nil"/>
        </w:tcBorders>
        <w:shd w:val="clear" w:color="auto" w:fill="FFD0B0"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A871F4"/>
    <w:pPr>
      <w:spacing w:before="0"/>
    </w:pPr>
    <w:tblPr>
      <w:tblStyleRowBandSize w:val="1"/>
      <w:tblStyleColBandSize w:val="1"/>
      <w:tblBorders>
        <w:top w:val="single" w:sz="8"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single" w:sz="8" w:space="0" w:color="0042C7" w:themeColor="accent3" w:themeTint="BF"/>
      </w:tblBorders>
    </w:tblPr>
    <w:tblStylePr w:type="firstRow">
      <w:pPr>
        <w:spacing w:before="0" w:after="0" w:line="240" w:lineRule="auto"/>
      </w:pPr>
      <w:rPr>
        <w:b/>
        <w:bCs/>
        <w:color w:val="FFFFFF" w:themeColor="background1"/>
      </w:rPr>
      <w:tblPr/>
      <w:tcPr>
        <w:tcBorders>
          <w:top w:val="single" w:sz="8"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nil"/>
          <w:insideV w:val="nil"/>
        </w:tcBorders>
        <w:shd w:val="clear" w:color="auto" w:fill="002060" w:themeFill="accent3"/>
      </w:tcPr>
    </w:tblStylePr>
    <w:tblStylePr w:type="lastRow">
      <w:pPr>
        <w:spacing w:before="0" w:after="0" w:line="240" w:lineRule="auto"/>
      </w:pPr>
      <w:rPr>
        <w:b/>
        <w:bCs/>
      </w:rPr>
      <w:tblPr/>
      <w:tcPr>
        <w:tcBorders>
          <w:top w:val="double" w:sz="6"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nil"/>
          <w:insideV w:val="nil"/>
        </w:tcBorders>
      </w:tcPr>
    </w:tblStylePr>
    <w:tblStylePr w:type="firstCol">
      <w:rPr>
        <w:b/>
        <w:bCs/>
      </w:rPr>
    </w:tblStylePr>
    <w:tblStylePr w:type="lastCol">
      <w:rPr>
        <w:b/>
        <w:bCs/>
      </w:rPr>
    </w:tblStylePr>
    <w:tblStylePr w:type="band1Vert">
      <w:tblPr/>
      <w:tcPr>
        <w:shd w:val="clear" w:color="auto" w:fill="98BAFF" w:themeFill="accent3" w:themeFillTint="3F"/>
      </w:tcPr>
    </w:tblStylePr>
    <w:tblStylePr w:type="band1Horz">
      <w:tblPr/>
      <w:tcPr>
        <w:tcBorders>
          <w:insideH w:val="nil"/>
          <w:insideV w:val="nil"/>
        </w:tcBorders>
        <w:shd w:val="clear" w:color="auto" w:fill="98BA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A871F4"/>
    <w:pPr>
      <w:spacing w:before="0"/>
    </w:pPr>
    <w:tblPr>
      <w:tblStyleRowBandSize w:val="1"/>
      <w:tblStyleColBandSize w:val="1"/>
      <w:tblBorders>
        <w:top w:val="single" w:sz="8"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single" w:sz="8" w:space="0" w:color="FF1010" w:themeColor="accent4" w:themeTint="BF"/>
      </w:tblBorders>
    </w:tblPr>
    <w:tblStylePr w:type="firstRow">
      <w:pPr>
        <w:spacing w:before="0" w:after="0" w:line="240" w:lineRule="auto"/>
      </w:pPr>
      <w:rPr>
        <w:b/>
        <w:bCs/>
        <w:color w:val="FFFFFF" w:themeColor="background1"/>
      </w:rPr>
      <w:tblPr/>
      <w:tcPr>
        <w:tcBorders>
          <w:top w:val="single" w:sz="8"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nil"/>
          <w:insideV w:val="nil"/>
        </w:tcBorders>
        <w:shd w:val="clear" w:color="auto" w:fill="C00000" w:themeFill="accent4"/>
      </w:tcPr>
    </w:tblStylePr>
    <w:tblStylePr w:type="lastRow">
      <w:pPr>
        <w:spacing w:before="0" w:after="0" w:line="240" w:lineRule="auto"/>
      </w:pPr>
      <w:rPr>
        <w:b/>
        <w:bCs/>
      </w:rPr>
      <w:tblPr/>
      <w:tcPr>
        <w:tcBorders>
          <w:top w:val="double" w:sz="6"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B0B0" w:themeFill="accent4" w:themeFillTint="3F"/>
      </w:tcPr>
    </w:tblStylePr>
    <w:tblStylePr w:type="band1Horz">
      <w:tblPr/>
      <w:tcPr>
        <w:tcBorders>
          <w:insideH w:val="nil"/>
          <w:insideV w:val="nil"/>
        </w:tcBorders>
        <w:shd w:val="clear" w:color="auto" w:fill="FFB0B0"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A871F4"/>
    <w:pPr>
      <w:spacing w:before="0"/>
    </w:pPr>
    <w:tblPr>
      <w:tblStyleRowBandSize w:val="1"/>
      <w:tblStyleColBandSize w:val="1"/>
      <w:tblBorders>
        <w:top w:val="single" w:sz="8"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single" w:sz="8" w:space="0" w:color="404040" w:themeColor="accent5" w:themeTint="BF"/>
      </w:tblBorders>
    </w:tblPr>
    <w:tblStylePr w:type="firstRow">
      <w:pPr>
        <w:spacing w:before="0" w:after="0" w:line="240" w:lineRule="auto"/>
      </w:pPr>
      <w:rPr>
        <w:b/>
        <w:bCs/>
        <w:color w:val="FFFFFF" w:themeColor="background1"/>
      </w:rPr>
      <w:tblPr/>
      <w:tcPr>
        <w:tcBorders>
          <w:top w:val="single" w:sz="8"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nil"/>
          <w:insideV w:val="nil"/>
        </w:tcBorders>
        <w:shd w:val="clear" w:color="auto" w:fill="000000" w:themeFill="accent5"/>
      </w:tcPr>
    </w:tblStylePr>
    <w:tblStylePr w:type="lastRow">
      <w:pPr>
        <w:spacing w:before="0" w:after="0" w:line="240" w:lineRule="auto"/>
      </w:pPr>
      <w:rPr>
        <w:b/>
        <w:bCs/>
      </w:rPr>
      <w:tblPr/>
      <w:tcPr>
        <w:tcBorders>
          <w:top w:val="double" w:sz="6"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nil"/>
          <w:insideV w:val="nil"/>
        </w:tcBorders>
      </w:tcPr>
    </w:tblStylePr>
    <w:tblStylePr w:type="firstCol">
      <w:rPr>
        <w:b/>
        <w:bCs/>
      </w:rPr>
    </w:tblStylePr>
    <w:tblStylePr w:type="lastCol">
      <w:rPr>
        <w:b/>
        <w:bCs/>
      </w:rPr>
    </w:tblStylePr>
    <w:tblStylePr w:type="band1Vert">
      <w:tblPr/>
      <w:tcPr>
        <w:shd w:val="clear" w:color="auto" w:fill="C0C0C0" w:themeFill="accent5" w:themeFillTint="3F"/>
      </w:tcPr>
    </w:tblStylePr>
    <w:tblStylePr w:type="band1Horz">
      <w:tblPr/>
      <w:tcPr>
        <w:tcBorders>
          <w:insideH w:val="nil"/>
          <w:insideV w:val="nil"/>
        </w:tcBorders>
        <w:shd w:val="clear" w:color="auto" w:fill="C0C0C0" w:themeFill="accent5" w:themeFillTint="3F"/>
      </w:tcPr>
    </w:tblStylePr>
    <w:tblStylePr w:type="band2Horz">
      <w:tblPr/>
      <w:tcPr>
        <w:tcBorders>
          <w:insideH w:val="nil"/>
          <w:insideV w:val="nil"/>
        </w:tcBorders>
      </w:tcPr>
    </w:tblStylePr>
  </w:style>
  <w:style w:type="table" w:styleId="LightList">
    <w:name w:val="Light List"/>
    <w:basedOn w:val="TableNormal"/>
    <w:uiPriority w:val="61"/>
    <w:rsid w:val="00A871F4"/>
    <w:pPr>
      <w:spacing w:before="0"/>
    </w:pPr>
    <w:tblPr>
      <w:tblStyleRowBandSize w:val="1"/>
      <w:tblStyleColBandSize w:val="1"/>
      <w:tblBorders>
        <w:top w:val="single" w:sz="8" w:space="0" w:color="076A92" w:themeColor="text1"/>
        <w:left w:val="single" w:sz="8" w:space="0" w:color="076A92" w:themeColor="text1"/>
        <w:bottom w:val="single" w:sz="8" w:space="0" w:color="076A92" w:themeColor="text1"/>
        <w:right w:val="single" w:sz="8" w:space="0" w:color="076A92" w:themeColor="text1"/>
      </w:tblBorders>
    </w:tblPr>
    <w:tblStylePr w:type="firstRow">
      <w:pPr>
        <w:spacing w:before="0" w:after="0" w:line="240" w:lineRule="auto"/>
      </w:pPr>
      <w:rPr>
        <w:b/>
        <w:bCs/>
        <w:color w:val="FFFFFF" w:themeColor="background1"/>
      </w:rPr>
      <w:tblPr/>
      <w:tcPr>
        <w:shd w:val="clear" w:color="auto" w:fill="076A92" w:themeFill="text1"/>
      </w:tcPr>
    </w:tblStylePr>
    <w:tblStylePr w:type="lastRow">
      <w:pPr>
        <w:spacing w:before="0" w:after="0" w:line="240" w:lineRule="auto"/>
      </w:pPr>
      <w:rPr>
        <w:b/>
        <w:bCs/>
      </w:rPr>
      <w:tblPr/>
      <w:tcPr>
        <w:tcBorders>
          <w:top w:val="double" w:sz="6" w:space="0" w:color="076A92" w:themeColor="text1"/>
          <w:left w:val="single" w:sz="8" w:space="0" w:color="076A92" w:themeColor="text1"/>
          <w:bottom w:val="single" w:sz="8" w:space="0" w:color="076A92" w:themeColor="text1"/>
          <w:right w:val="single" w:sz="8" w:space="0" w:color="076A92" w:themeColor="text1"/>
        </w:tcBorders>
      </w:tcPr>
    </w:tblStylePr>
    <w:tblStylePr w:type="firstCol">
      <w:rPr>
        <w:b/>
        <w:bCs/>
      </w:rPr>
    </w:tblStylePr>
    <w:tblStylePr w:type="lastCol">
      <w:rPr>
        <w:b/>
        <w:bCs/>
      </w:rPr>
    </w:tblStylePr>
    <w:tblStylePr w:type="band1Vert">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tblStylePr w:type="band1Horz">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style>
  <w:style w:type="table" w:styleId="LightShading-Accent5">
    <w:name w:val="Light Shading Accent 5"/>
    <w:basedOn w:val="TableNormal"/>
    <w:uiPriority w:val="60"/>
    <w:rsid w:val="00A871F4"/>
    <w:pPr>
      <w:spacing w:before="0"/>
    </w:pPr>
    <w:rPr>
      <w:color w:val="000000" w:themeColor="accent5" w:themeShade="BF"/>
    </w:rPr>
    <w:tblPr>
      <w:tblStyleRowBandSize w:val="1"/>
      <w:tblStyleColBandSize w:val="1"/>
      <w:tblBorders>
        <w:top w:val="single" w:sz="8" w:space="0" w:color="000000" w:themeColor="accent5"/>
        <w:bottom w:val="single" w:sz="8" w:space="0" w:color="000000" w:themeColor="accent5"/>
      </w:tblBorders>
    </w:tblPr>
    <w:tblStylePr w:type="firstRow">
      <w:pPr>
        <w:spacing w:before="0" w:after="0" w:line="240" w:lineRule="auto"/>
      </w:pPr>
      <w:rPr>
        <w:b/>
        <w:bCs/>
      </w:rPr>
      <w:tblPr/>
      <w:tcPr>
        <w:tcBorders>
          <w:top w:val="single" w:sz="8" w:space="0" w:color="000000" w:themeColor="accent5"/>
          <w:left w:val="nil"/>
          <w:bottom w:val="single" w:sz="8" w:space="0" w:color="000000" w:themeColor="accent5"/>
          <w:right w:val="nil"/>
          <w:insideH w:val="nil"/>
          <w:insideV w:val="nil"/>
        </w:tcBorders>
      </w:tcPr>
    </w:tblStylePr>
    <w:tblStylePr w:type="lastRow">
      <w:pPr>
        <w:spacing w:before="0" w:after="0" w:line="240" w:lineRule="auto"/>
      </w:pPr>
      <w:rPr>
        <w:b/>
        <w:bCs/>
      </w:rPr>
      <w:tblPr/>
      <w:tcPr>
        <w:tcBorders>
          <w:top w:val="single" w:sz="8" w:space="0" w:color="000000" w:themeColor="accent5"/>
          <w:left w:val="nil"/>
          <w:bottom w:val="single" w:sz="8" w:space="0" w:color="000000"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accent5" w:themeFillTint="3F"/>
      </w:tcPr>
    </w:tblStylePr>
    <w:tblStylePr w:type="band1Horz">
      <w:tblPr/>
      <w:tcPr>
        <w:tcBorders>
          <w:left w:val="nil"/>
          <w:right w:val="nil"/>
          <w:insideH w:val="nil"/>
          <w:insideV w:val="nil"/>
        </w:tcBorders>
        <w:shd w:val="clear" w:color="auto" w:fill="C0C0C0" w:themeFill="accent5" w:themeFillTint="3F"/>
      </w:tcPr>
    </w:tblStylePr>
  </w:style>
  <w:style w:type="table" w:styleId="LightGrid-Accent3">
    <w:name w:val="Light Grid Accent 3"/>
    <w:basedOn w:val="TableNormal"/>
    <w:uiPriority w:val="62"/>
    <w:rsid w:val="00A871F4"/>
    <w:pPr>
      <w:spacing w:before="0"/>
    </w:pPr>
    <w:tblPr>
      <w:tblStyleRowBandSize w:val="1"/>
      <w:tblStyleColBandSize w:val="1"/>
      <w:tblBorders>
        <w:top w:val="single" w:sz="8" w:space="0" w:color="002060" w:themeColor="accent3"/>
        <w:left w:val="single" w:sz="8" w:space="0" w:color="002060" w:themeColor="accent3"/>
        <w:bottom w:val="single" w:sz="8" w:space="0" w:color="002060" w:themeColor="accent3"/>
        <w:right w:val="single" w:sz="8" w:space="0" w:color="002060" w:themeColor="accent3"/>
        <w:insideH w:val="single" w:sz="8" w:space="0" w:color="002060" w:themeColor="accent3"/>
        <w:insideV w:val="single" w:sz="8" w:space="0" w:color="002060"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2060" w:themeColor="accent3"/>
          <w:left w:val="single" w:sz="8" w:space="0" w:color="002060" w:themeColor="accent3"/>
          <w:bottom w:val="single" w:sz="18" w:space="0" w:color="002060" w:themeColor="accent3"/>
          <w:right w:val="single" w:sz="8" w:space="0" w:color="002060" w:themeColor="accent3"/>
          <w:insideH w:val="nil"/>
          <w:insideV w:val="single" w:sz="8" w:space="0" w:color="00206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2060" w:themeColor="accent3"/>
          <w:left w:val="single" w:sz="8" w:space="0" w:color="002060" w:themeColor="accent3"/>
          <w:bottom w:val="single" w:sz="8" w:space="0" w:color="002060" w:themeColor="accent3"/>
          <w:right w:val="single" w:sz="8" w:space="0" w:color="002060" w:themeColor="accent3"/>
          <w:insideH w:val="nil"/>
          <w:insideV w:val="single" w:sz="8" w:space="0" w:color="00206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tblStylePr w:type="band1Vert">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shd w:val="clear" w:color="auto" w:fill="98BAFF" w:themeFill="accent3" w:themeFillTint="3F"/>
      </w:tcPr>
    </w:tblStylePr>
    <w:tblStylePr w:type="band1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insideV w:val="single" w:sz="8" w:space="0" w:color="002060" w:themeColor="accent3"/>
        </w:tcBorders>
        <w:shd w:val="clear" w:color="auto" w:fill="98BAFF" w:themeFill="accent3" w:themeFillTint="3F"/>
      </w:tcPr>
    </w:tblStylePr>
    <w:tblStylePr w:type="band2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insideV w:val="single" w:sz="8" w:space="0" w:color="002060" w:themeColor="accent3"/>
        </w:tcBorders>
      </w:tcPr>
    </w:tblStylePr>
  </w:style>
  <w:style w:type="paragraph" w:styleId="Bibliography">
    <w:name w:val="Bibliography"/>
    <w:basedOn w:val="Normal"/>
    <w:next w:val="Normal"/>
    <w:uiPriority w:val="37"/>
    <w:semiHidden/>
    <w:rsid w:val="00EE28F3"/>
  </w:style>
  <w:style w:type="paragraph" w:styleId="BodyText3">
    <w:name w:val="Body Text 3"/>
    <w:basedOn w:val="Normal"/>
    <w:link w:val="BodyText3Char"/>
    <w:uiPriority w:val="99"/>
    <w:unhideWhenUsed/>
    <w:rsid w:val="005C26CC"/>
    <w:pPr>
      <w:spacing w:after="120"/>
    </w:pPr>
    <w:rPr>
      <w:szCs w:val="16"/>
    </w:rPr>
  </w:style>
  <w:style w:type="character" w:customStyle="1" w:styleId="BodyText3Char">
    <w:name w:val="Body Text 3 Char"/>
    <w:basedOn w:val="DefaultParagraphFont"/>
    <w:link w:val="BodyText3"/>
    <w:uiPriority w:val="99"/>
    <w:rsid w:val="005C26CC"/>
    <w:rPr>
      <w:rFonts w:ascii="Arial" w:hAnsi="Arial"/>
      <w:szCs w:val="16"/>
    </w:rPr>
  </w:style>
  <w:style w:type="paragraph" w:styleId="TOC1">
    <w:name w:val="toc 1"/>
    <w:basedOn w:val="Normal"/>
    <w:next w:val="Normal"/>
    <w:autoRedefine/>
    <w:uiPriority w:val="39"/>
    <w:rsid w:val="00D7168E"/>
    <w:pPr>
      <w:tabs>
        <w:tab w:val="left" w:pos="426"/>
        <w:tab w:val="right" w:leader="dot" w:pos="8364"/>
      </w:tabs>
      <w:spacing w:after="100"/>
    </w:pPr>
    <w:rPr>
      <w:b/>
      <w:noProof/>
      <w:color w:val="70635A" w:themeColor="text2"/>
      <w:sz w:val="24"/>
      <w:lang w:val="en-US" w:eastAsia="ja-JP"/>
    </w:rPr>
  </w:style>
  <w:style w:type="paragraph" w:styleId="TOC2">
    <w:name w:val="toc 2"/>
    <w:basedOn w:val="Normal"/>
    <w:next w:val="Normal"/>
    <w:uiPriority w:val="39"/>
    <w:rsid w:val="00EB505D"/>
    <w:pPr>
      <w:tabs>
        <w:tab w:val="left" w:leader="dot" w:pos="880"/>
        <w:tab w:val="right" w:leader="dot" w:pos="8363"/>
      </w:tabs>
      <w:spacing w:after="100"/>
      <w:ind w:left="425"/>
    </w:pPr>
    <w:rPr>
      <w:b/>
      <w:noProof/>
      <w:color w:val="70635A" w:themeColor="text2"/>
      <w:sz w:val="24"/>
    </w:rPr>
  </w:style>
  <w:style w:type="paragraph" w:styleId="TOC3">
    <w:name w:val="toc 3"/>
    <w:basedOn w:val="Normal"/>
    <w:next w:val="Normal"/>
    <w:uiPriority w:val="39"/>
    <w:rsid w:val="00EB505D"/>
    <w:pPr>
      <w:tabs>
        <w:tab w:val="left" w:pos="1760"/>
        <w:tab w:val="right" w:leader="dot" w:pos="8363"/>
      </w:tabs>
      <w:spacing w:after="100"/>
      <w:ind w:left="851"/>
    </w:pPr>
    <w:rPr>
      <w:noProof/>
    </w:rPr>
  </w:style>
  <w:style w:type="character" w:styleId="BookTitle">
    <w:name w:val="Book Title"/>
    <w:uiPriority w:val="33"/>
    <w:rsid w:val="0081034E"/>
    <w:rPr>
      <w:rFonts w:ascii="Arial" w:hAnsi="Arial"/>
      <w:bCs/>
      <w:i/>
      <w:caps w:val="0"/>
      <w:smallCaps w:val="0"/>
      <w:spacing w:val="0"/>
      <w:sz w:val="22"/>
    </w:rPr>
  </w:style>
  <w:style w:type="table" w:styleId="LightList-Accent1">
    <w:name w:val="Light List Accent 1"/>
    <w:basedOn w:val="TableNormal"/>
    <w:uiPriority w:val="61"/>
    <w:rsid w:val="0081034E"/>
    <w:pPr>
      <w:spacing w:before="0"/>
    </w:pPr>
    <w:tblPr>
      <w:tblStyleRowBandSize w:val="1"/>
      <w:tblStyleColBandSize w:val="1"/>
      <w:tblBorders>
        <w:top w:val="single" w:sz="8" w:space="0" w:color="2F002F" w:themeColor="accent1"/>
        <w:left w:val="single" w:sz="8" w:space="0" w:color="2F002F" w:themeColor="accent1"/>
        <w:bottom w:val="single" w:sz="8" w:space="0" w:color="2F002F" w:themeColor="accent1"/>
        <w:right w:val="single" w:sz="8" w:space="0" w:color="2F002F" w:themeColor="accent1"/>
      </w:tblBorders>
    </w:tblPr>
    <w:tblStylePr w:type="firstRow">
      <w:pPr>
        <w:spacing w:before="0" w:after="0" w:line="240" w:lineRule="auto"/>
      </w:pPr>
      <w:rPr>
        <w:b/>
        <w:bCs/>
        <w:color w:val="FFFFFF" w:themeColor="background1"/>
      </w:rPr>
      <w:tblPr/>
      <w:tcPr>
        <w:shd w:val="clear" w:color="auto" w:fill="2F002F" w:themeFill="accent1"/>
      </w:tcPr>
    </w:tblStylePr>
    <w:tblStylePr w:type="lastRow">
      <w:pPr>
        <w:spacing w:before="0" w:after="0" w:line="240" w:lineRule="auto"/>
      </w:pPr>
      <w:rPr>
        <w:b/>
        <w:bCs/>
      </w:rPr>
      <w:tblPr/>
      <w:tcPr>
        <w:tcBorders>
          <w:top w:val="double" w:sz="6" w:space="0" w:color="2F002F" w:themeColor="accent1"/>
          <w:left w:val="single" w:sz="8" w:space="0" w:color="2F002F" w:themeColor="accent1"/>
          <w:bottom w:val="single" w:sz="8" w:space="0" w:color="2F002F" w:themeColor="accent1"/>
          <w:right w:val="single" w:sz="8" w:space="0" w:color="2F002F" w:themeColor="accent1"/>
        </w:tcBorders>
      </w:tcPr>
    </w:tblStylePr>
    <w:tblStylePr w:type="firstCol">
      <w:rPr>
        <w:b/>
        <w:bCs/>
      </w:rPr>
    </w:tblStylePr>
    <w:tblStylePr w:type="lastCol">
      <w:rPr>
        <w:b/>
        <w:bCs/>
      </w:rPr>
    </w:tblStylePr>
    <w:tblStylePr w:type="band1Vert">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tblStylePr w:type="band1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style>
  <w:style w:type="table" w:styleId="LightList-Accent3">
    <w:name w:val="Light List Accent 3"/>
    <w:basedOn w:val="TableNormal"/>
    <w:uiPriority w:val="61"/>
    <w:rsid w:val="0081034E"/>
    <w:pPr>
      <w:spacing w:before="0"/>
    </w:pPr>
    <w:tblPr>
      <w:tblStyleRowBandSize w:val="1"/>
      <w:tblStyleColBandSize w:val="1"/>
      <w:tblBorders>
        <w:top w:val="single" w:sz="8" w:space="0" w:color="002060" w:themeColor="accent3"/>
        <w:left w:val="single" w:sz="8" w:space="0" w:color="002060" w:themeColor="accent3"/>
        <w:bottom w:val="single" w:sz="8" w:space="0" w:color="002060" w:themeColor="accent3"/>
        <w:right w:val="single" w:sz="8" w:space="0" w:color="002060" w:themeColor="accent3"/>
      </w:tblBorders>
    </w:tblPr>
    <w:tblStylePr w:type="firstRow">
      <w:pPr>
        <w:spacing w:before="0" w:after="0" w:line="240" w:lineRule="auto"/>
      </w:pPr>
      <w:rPr>
        <w:b/>
        <w:bCs/>
        <w:color w:val="FFFFFF" w:themeColor="background1"/>
      </w:rPr>
      <w:tblPr/>
      <w:tcPr>
        <w:shd w:val="clear" w:color="auto" w:fill="002060" w:themeFill="accent3"/>
      </w:tcPr>
    </w:tblStylePr>
    <w:tblStylePr w:type="lastRow">
      <w:pPr>
        <w:spacing w:before="0" w:after="0" w:line="240" w:lineRule="auto"/>
      </w:pPr>
      <w:rPr>
        <w:b/>
        <w:bCs/>
      </w:rPr>
      <w:tblPr/>
      <w:tcPr>
        <w:tcBorders>
          <w:top w:val="double" w:sz="6" w:space="0" w:color="002060" w:themeColor="accent3"/>
          <w:left w:val="single" w:sz="8" w:space="0" w:color="002060" w:themeColor="accent3"/>
          <w:bottom w:val="single" w:sz="8" w:space="0" w:color="002060" w:themeColor="accent3"/>
          <w:right w:val="single" w:sz="8" w:space="0" w:color="002060" w:themeColor="accent3"/>
        </w:tcBorders>
      </w:tcPr>
    </w:tblStylePr>
    <w:tblStylePr w:type="firstCol">
      <w:rPr>
        <w:b/>
        <w:bCs/>
      </w:rPr>
    </w:tblStylePr>
    <w:tblStylePr w:type="lastCol">
      <w:rPr>
        <w:b/>
        <w:bCs/>
      </w:rPr>
    </w:tblStylePr>
    <w:tblStylePr w:type="band1Vert">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tblStylePr w:type="band1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style>
  <w:style w:type="table" w:styleId="LightList-Accent5">
    <w:name w:val="Light List Accent 5"/>
    <w:basedOn w:val="TableNormal"/>
    <w:uiPriority w:val="61"/>
    <w:rsid w:val="005B1E3C"/>
    <w:pPr>
      <w:spacing w:before="0"/>
    </w:pPr>
    <w:tblPr>
      <w:tblStyleRowBandSize w:val="1"/>
      <w:tblStyleColBandSize w:val="1"/>
      <w:tblBorders>
        <w:top w:val="single" w:sz="8" w:space="0" w:color="000000" w:themeColor="accent5"/>
        <w:left w:val="single" w:sz="8" w:space="0" w:color="000000" w:themeColor="accent5"/>
        <w:bottom w:val="single" w:sz="8" w:space="0" w:color="000000" w:themeColor="accent5"/>
        <w:right w:val="single" w:sz="8" w:space="0" w:color="000000" w:themeColor="accent5"/>
      </w:tblBorders>
    </w:tblPr>
    <w:tblStylePr w:type="firstRow">
      <w:pPr>
        <w:spacing w:before="0" w:after="0" w:line="240" w:lineRule="auto"/>
      </w:pPr>
      <w:rPr>
        <w:b/>
        <w:bCs/>
        <w:color w:val="auto"/>
      </w:rPr>
      <w:tblPr/>
      <w:tcPr>
        <w:shd w:val="clear" w:color="auto" w:fill="000000" w:themeFill="accent5"/>
      </w:tcPr>
    </w:tblStylePr>
    <w:tblStylePr w:type="lastRow">
      <w:pPr>
        <w:spacing w:before="0" w:after="0" w:line="240" w:lineRule="auto"/>
      </w:pPr>
      <w:rPr>
        <w:b/>
        <w:bCs/>
      </w:rPr>
      <w:tblPr/>
      <w:tcPr>
        <w:tcBorders>
          <w:top w:val="double" w:sz="6" w:space="0" w:color="000000" w:themeColor="accent5"/>
          <w:left w:val="single" w:sz="8" w:space="0" w:color="000000" w:themeColor="accent5"/>
          <w:bottom w:val="single" w:sz="8" w:space="0" w:color="000000" w:themeColor="accent5"/>
          <w:right w:val="single" w:sz="8" w:space="0" w:color="000000" w:themeColor="accent5"/>
        </w:tcBorders>
      </w:tcPr>
    </w:tblStylePr>
    <w:tblStylePr w:type="firstCol">
      <w:rPr>
        <w:b/>
        <w:bCs/>
      </w:rPr>
    </w:tblStylePr>
    <w:tblStylePr w:type="lastCol">
      <w:rPr>
        <w:b/>
        <w:bCs/>
      </w:rPr>
    </w:tblStylePr>
    <w:tblStylePr w:type="band1Vert">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tblStylePr w:type="band1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style>
  <w:style w:type="character" w:styleId="Emphasis">
    <w:name w:val="Emphasis"/>
    <w:basedOn w:val="DefaultParagraphFont"/>
    <w:uiPriority w:val="20"/>
    <w:qFormat/>
    <w:rsid w:val="00701CAB"/>
    <w:rPr>
      <w:i/>
      <w:iCs/>
    </w:rPr>
  </w:style>
  <w:style w:type="paragraph" w:styleId="NormalIndent">
    <w:name w:val="Normal Indent"/>
    <w:basedOn w:val="Normal"/>
    <w:uiPriority w:val="1"/>
    <w:rsid w:val="00202E03"/>
    <w:pPr>
      <w:tabs>
        <w:tab w:val="left" w:pos="680"/>
      </w:tabs>
      <w:ind w:left="680"/>
    </w:pPr>
  </w:style>
  <w:style w:type="paragraph" w:styleId="FootnoteText">
    <w:name w:val="footnote text"/>
    <w:aliases w:val="ALTS FOOTNOTE,(NECG) Footnote Text,Footnote text,AR Footnote Text,AR Footnote Text Char Char Char Char Char,ALTS FOOTNOTE Char1,Footnote Text Char1 Char,Footnote Text Char Char Char,Footnote Text Char1 Char Char Char,fn,Footnote Text1,f"/>
    <w:basedOn w:val="Normal"/>
    <w:link w:val="FootnoteTextChar"/>
    <w:uiPriority w:val="2"/>
    <w:unhideWhenUsed/>
    <w:qFormat/>
    <w:rsid w:val="00182906"/>
    <w:pPr>
      <w:widowControl w:val="0"/>
      <w:tabs>
        <w:tab w:val="left" w:pos="340"/>
      </w:tabs>
      <w:spacing w:before="0" w:line="240" w:lineRule="exact"/>
      <w:ind w:left="340" w:hanging="340"/>
    </w:pPr>
    <w:rPr>
      <w:sz w:val="16"/>
      <w:szCs w:val="20"/>
    </w:rPr>
  </w:style>
  <w:style w:type="character" w:customStyle="1" w:styleId="FootnoteTextChar">
    <w:name w:val="Footnote Text Char"/>
    <w:aliases w:val="ALTS FOOTNOTE Char,(NECG) Footnote Text Char,Footnote text Char,AR Footnote Text Char,AR Footnote Text Char Char Char Char Char Char,ALTS FOOTNOTE Char1 Char,Footnote Text Char1 Char Char,Footnote Text Char Char Char Char,fn Char"/>
    <w:basedOn w:val="DefaultParagraphFont"/>
    <w:link w:val="FootnoteText"/>
    <w:uiPriority w:val="2"/>
    <w:rsid w:val="00182906"/>
    <w:rPr>
      <w:rFonts w:ascii="Arial" w:hAnsi="Arial"/>
      <w:sz w:val="16"/>
      <w:szCs w:val="20"/>
    </w:rPr>
  </w:style>
  <w:style w:type="character" w:styleId="FootnoteReference">
    <w:name w:val="footnote reference"/>
    <w:aliases w:val="(NECG) Footnote Reference,(NECG) Footnote Reference1,(NECG) Footnote Reference2,(NECG) Footnote Reference3,(NECG) Footnote Reference4,(NECG) Footnote Reference5,(NECG) Footnote Reference6,(NECG) Footnote Reference7,o,Style 3,Style 12"/>
    <w:basedOn w:val="DefaultParagraphFont"/>
    <w:uiPriority w:val="99"/>
    <w:unhideWhenUsed/>
    <w:rsid w:val="00B37E38"/>
    <w:rPr>
      <w:sz w:val="24"/>
      <w:vertAlign w:val="superscript"/>
    </w:rPr>
  </w:style>
  <w:style w:type="character" w:styleId="Strong">
    <w:name w:val="Strong"/>
    <w:basedOn w:val="DefaultParagraphFont"/>
    <w:uiPriority w:val="22"/>
    <w:qFormat/>
    <w:rsid w:val="00EF5110"/>
    <w:rPr>
      <w:b/>
      <w:bCs/>
    </w:rPr>
  </w:style>
  <w:style w:type="paragraph" w:styleId="Subtitle">
    <w:name w:val="Subtitle"/>
    <w:basedOn w:val="Normal"/>
    <w:next w:val="Normal"/>
    <w:link w:val="SubtitleChar"/>
    <w:uiPriority w:val="11"/>
    <w:rsid w:val="00CA489E"/>
    <w:pPr>
      <w:numPr>
        <w:ilvl w:val="1"/>
      </w:numPr>
    </w:pPr>
    <w:rPr>
      <w:rFonts w:asciiTheme="majorHAnsi" w:eastAsiaTheme="majorEastAsia" w:hAnsiTheme="majorHAnsi" w:cstheme="majorBidi"/>
      <w:i/>
      <w:iCs/>
      <w:color w:val="2F002F" w:themeColor="accent1"/>
      <w:spacing w:val="15"/>
      <w:sz w:val="24"/>
      <w:szCs w:val="24"/>
    </w:rPr>
  </w:style>
  <w:style w:type="character" w:customStyle="1" w:styleId="SubtitleChar">
    <w:name w:val="Subtitle Char"/>
    <w:basedOn w:val="DefaultParagraphFont"/>
    <w:link w:val="Subtitle"/>
    <w:uiPriority w:val="11"/>
    <w:rsid w:val="00CA489E"/>
    <w:rPr>
      <w:rFonts w:asciiTheme="majorHAnsi" w:eastAsiaTheme="majorEastAsia" w:hAnsiTheme="majorHAnsi" w:cstheme="majorBidi"/>
      <w:i/>
      <w:iCs/>
      <w:color w:val="2F002F" w:themeColor="accent1"/>
      <w:spacing w:val="15"/>
      <w:sz w:val="24"/>
      <w:szCs w:val="24"/>
    </w:rPr>
  </w:style>
  <w:style w:type="table" w:styleId="LightShading-Accent4">
    <w:name w:val="Light Shading Accent 4"/>
    <w:basedOn w:val="TableNormal"/>
    <w:uiPriority w:val="60"/>
    <w:rsid w:val="00746E01"/>
    <w:pPr>
      <w:spacing w:before="0"/>
    </w:pPr>
    <w:rPr>
      <w:color w:val="8F0000" w:themeColor="accent4" w:themeShade="BF"/>
    </w:rPr>
    <w:tblPr>
      <w:tblStyleRowBandSize w:val="1"/>
      <w:tblStyleColBandSize w:val="1"/>
      <w:tblBorders>
        <w:top w:val="single" w:sz="8" w:space="0" w:color="C00000" w:themeColor="accent4"/>
        <w:bottom w:val="single" w:sz="8" w:space="0" w:color="C00000" w:themeColor="accent4"/>
      </w:tblBorders>
    </w:tblPr>
    <w:tblStylePr w:type="firstRow">
      <w:pPr>
        <w:spacing w:before="0" w:after="0" w:line="240" w:lineRule="auto"/>
      </w:pPr>
      <w:rPr>
        <w:b/>
        <w:bCs/>
      </w:rPr>
      <w:tblPr/>
      <w:tcPr>
        <w:tcBorders>
          <w:top w:val="single" w:sz="8" w:space="0" w:color="C00000" w:themeColor="accent4"/>
          <w:left w:val="nil"/>
          <w:bottom w:val="single" w:sz="8" w:space="0" w:color="C00000" w:themeColor="accent4"/>
          <w:right w:val="nil"/>
          <w:insideH w:val="nil"/>
          <w:insideV w:val="nil"/>
        </w:tcBorders>
      </w:tcPr>
    </w:tblStylePr>
    <w:tblStylePr w:type="lastRow">
      <w:pPr>
        <w:spacing w:before="0" w:after="0" w:line="240" w:lineRule="auto"/>
      </w:pPr>
      <w:rPr>
        <w:b/>
        <w:bCs/>
      </w:rPr>
      <w:tblPr/>
      <w:tcPr>
        <w:tcBorders>
          <w:top w:val="single" w:sz="8" w:space="0" w:color="C00000" w:themeColor="accent4"/>
          <w:left w:val="nil"/>
          <w:bottom w:val="single" w:sz="8" w:space="0" w:color="C00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B0B0" w:themeFill="accent4" w:themeFillTint="3F"/>
      </w:tcPr>
    </w:tblStylePr>
    <w:tblStylePr w:type="band1Horz">
      <w:tblPr/>
      <w:tcPr>
        <w:tcBorders>
          <w:left w:val="nil"/>
          <w:right w:val="nil"/>
          <w:insideH w:val="nil"/>
          <w:insideV w:val="nil"/>
        </w:tcBorders>
        <w:shd w:val="clear" w:color="auto" w:fill="FFB0B0" w:themeFill="accent4" w:themeFillTint="3F"/>
      </w:tcPr>
    </w:tblStylePr>
  </w:style>
  <w:style w:type="table" w:styleId="LightShading-Accent6">
    <w:name w:val="Light Shading Accent 6"/>
    <w:basedOn w:val="TableNormal"/>
    <w:uiPriority w:val="60"/>
    <w:rsid w:val="00746E01"/>
    <w:pPr>
      <w:spacing w:before="0"/>
    </w:pPr>
    <w:rPr>
      <w:color w:val="53242C" w:themeColor="accent6" w:themeShade="BF"/>
    </w:rPr>
    <w:tblPr>
      <w:tblStyleRowBandSize w:val="1"/>
      <w:tblStyleColBandSize w:val="1"/>
      <w:tblBorders>
        <w:top w:val="single" w:sz="8" w:space="0" w:color="70303C" w:themeColor="accent6"/>
        <w:bottom w:val="single" w:sz="8" w:space="0" w:color="70303C" w:themeColor="accent6"/>
      </w:tblBorders>
    </w:tblPr>
    <w:tblStylePr w:type="firstRow">
      <w:pPr>
        <w:spacing w:before="0" w:after="0" w:line="240" w:lineRule="auto"/>
      </w:pPr>
      <w:rPr>
        <w:b/>
        <w:bCs/>
      </w:rPr>
      <w:tblPr/>
      <w:tcPr>
        <w:tcBorders>
          <w:top w:val="single" w:sz="8" w:space="0" w:color="70303C" w:themeColor="accent6"/>
          <w:left w:val="nil"/>
          <w:bottom w:val="single" w:sz="8" w:space="0" w:color="70303C" w:themeColor="accent6"/>
          <w:right w:val="nil"/>
          <w:insideH w:val="nil"/>
          <w:insideV w:val="nil"/>
        </w:tcBorders>
      </w:tcPr>
    </w:tblStylePr>
    <w:tblStylePr w:type="lastRow">
      <w:pPr>
        <w:spacing w:before="0" w:after="0" w:line="240" w:lineRule="auto"/>
      </w:pPr>
      <w:rPr>
        <w:b/>
        <w:bCs/>
      </w:rPr>
      <w:tblPr/>
      <w:tcPr>
        <w:tcBorders>
          <w:top w:val="single" w:sz="8" w:space="0" w:color="70303C" w:themeColor="accent6"/>
          <w:left w:val="nil"/>
          <w:bottom w:val="single" w:sz="8" w:space="0" w:color="70303C"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C2C8" w:themeFill="accent6" w:themeFillTint="3F"/>
      </w:tcPr>
    </w:tblStylePr>
    <w:tblStylePr w:type="band1Horz">
      <w:tblPr/>
      <w:tcPr>
        <w:tcBorders>
          <w:left w:val="nil"/>
          <w:right w:val="nil"/>
          <w:insideH w:val="nil"/>
          <w:insideV w:val="nil"/>
        </w:tcBorders>
        <w:shd w:val="clear" w:color="auto" w:fill="E5C2C8" w:themeFill="accent6" w:themeFillTint="3F"/>
      </w:tcPr>
    </w:tblStylePr>
  </w:style>
  <w:style w:type="paragraph" w:styleId="TOC4">
    <w:name w:val="toc 4"/>
    <w:basedOn w:val="Normal"/>
    <w:next w:val="Normal"/>
    <w:uiPriority w:val="39"/>
    <w:rsid w:val="00EB505D"/>
    <w:pPr>
      <w:tabs>
        <w:tab w:val="right" w:leader="dot" w:pos="8363"/>
      </w:tabs>
      <w:spacing w:after="100"/>
      <w:ind w:left="1276"/>
    </w:pPr>
    <w:rPr>
      <w:noProof/>
    </w:rPr>
  </w:style>
  <w:style w:type="paragraph" w:styleId="TOC5">
    <w:name w:val="toc 5"/>
    <w:basedOn w:val="Normal"/>
    <w:next w:val="Normal"/>
    <w:uiPriority w:val="39"/>
    <w:rsid w:val="00EB505D"/>
    <w:pPr>
      <w:tabs>
        <w:tab w:val="right" w:leader="dot" w:pos="8363"/>
      </w:tabs>
      <w:spacing w:after="100"/>
      <w:ind w:left="1701"/>
    </w:pPr>
    <w:rPr>
      <w:noProof/>
    </w:rPr>
  </w:style>
  <w:style w:type="paragraph" w:styleId="TOC6">
    <w:name w:val="toc 6"/>
    <w:basedOn w:val="Normal"/>
    <w:next w:val="Normal"/>
    <w:uiPriority w:val="39"/>
    <w:rsid w:val="009F4940"/>
    <w:pPr>
      <w:tabs>
        <w:tab w:val="right" w:leader="dot" w:pos="9016"/>
      </w:tabs>
      <w:spacing w:after="100"/>
      <w:ind w:left="2127"/>
    </w:pPr>
    <w:rPr>
      <w:noProof/>
    </w:rPr>
  </w:style>
  <w:style w:type="paragraph" w:styleId="TOC7">
    <w:name w:val="toc 7"/>
    <w:basedOn w:val="Normal"/>
    <w:next w:val="Normal"/>
    <w:uiPriority w:val="39"/>
    <w:rsid w:val="00EB505D"/>
    <w:pPr>
      <w:tabs>
        <w:tab w:val="right" w:leader="dot" w:pos="8363"/>
      </w:tabs>
      <w:spacing w:after="100"/>
      <w:ind w:left="2552"/>
    </w:pPr>
    <w:rPr>
      <w:noProof/>
    </w:rPr>
  </w:style>
  <w:style w:type="paragraph" w:styleId="Salutation">
    <w:name w:val="Salutation"/>
    <w:basedOn w:val="Normal"/>
    <w:next w:val="Normal"/>
    <w:link w:val="SalutationChar"/>
    <w:uiPriority w:val="99"/>
    <w:unhideWhenUsed/>
    <w:rsid w:val="00CA489E"/>
  </w:style>
  <w:style w:type="table" w:customStyle="1" w:styleId="LightShading1">
    <w:name w:val="Light Shading1"/>
    <w:basedOn w:val="TableNormal"/>
    <w:next w:val="LightShading"/>
    <w:uiPriority w:val="60"/>
    <w:rsid w:val="00C53B5A"/>
    <w:pPr>
      <w:spacing w:before="120" w:after="120"/>
    </w:pPr>
    <w:rPr>
      <w:color w:val="054E6D" w:themeColor="text1" w:themeShade="BF"/>
      <w:sz w:val="20"/>
    </w:rPr>
    <w:tblPr>
      <w:tblBorders>
        <w:top w:val="single" w:sz="4" w:space="0" w:color="FFFFFF" w:themeColor="background2"/>
        <w:bottom w:val="single" w:sz="4" w:space="0" w:color="FFFFFF" w:themeColor="background2"/>
        <w:insideH w:val="single" w:sz="4" w:space="0" w:color="FFFFFF" w:themeColor="background2"/>
      </w:tblBorders>
    </w:tblPr>
    <w:tcPr>
      <w:shd w:val="clear" w:color="auto" w:fill="auto"/>
    </w:tcPr>
    <w:tblStylePr w:type="firstRow">
      <w:pPr>
        <w:wordWrap/>
        <w:spacing w:beforeLines="0" w:before="120" w:beforeAutospacing="0" w:afterLines="0" w:after="120" w:afterAutospacing="0" w:line="240" w:lineRule="auto"/>
      </w:pPr>
      <w:rPr>
        <w:rFonts w:ascii="Arial" w:hAnsi="Arial"/>
        <w:b/>
        <w:bCs/>
        <w:sz w:val="20"/>
      </w:rPr>
      <w:tblPr/>
      <w:tcPr>
        <w:tcBorders>
          <w:top w:val="single" w:sz="8" w:space="0" w:color="076A92" w:themeColor="text1"/>
          <w:left w:val="nil"/>
          <w:bottom w:val="single" w:sz="8" w:space="0" w:color="076A92" w:themeColor="text1"/>
          <w:right w:val="nil"/>
          <w:insideH w:val="nil"/>
          <w:insideV w:val="nil"/>
        </w:tcBorders>
        <w:shd w:val="clear" w:color="auto" w:fill="auto"/>
      </w:tcPr>
    </w:tblStylePr>
    <w:tblStylePr w:type="lastRow">
      <w:pPr>
        <w:wordWrap/>
        <w:spacing w:beforeLines="0" w:before="120" w:beforeAutospacing="0" w:afterLines="0" w:after="120" w:afterAutospacing="0" w:line="240" w:lineRule="auto"/>
      </w:pPr>
      <w:rPr>
        <w:rFonts w:ascii="Arial" w:hAnsi="Arial"/>
        <w:b/>
        <w:bCs/>
        <w:sz w:val="20"/>
      </w:rPr>
      <w:tblPr/>
      <w:tcPr>
        <w:tcBorders>
          <w:top w:val="single" w:sz="8" w:space="0" w:color="076A92" w:themeColor="text1"/>
          <w:left w:val="nil"/>
          <w:bottom w:val="single" w:sz="8" w:space="0" w:color="076A92" w:themeColor="text1"/>
          <w:right w:val="nil"/>
          <w:insideH w:val="nil"/>
          <w:insideV w:val="nil"/>
        </w:tcBorders>
        <w:vAlign w:val="center"/>
      </w:tcPr>
    </w:tblStylePr>
    <w:tblStylePr w:type="firstCol">
      <w:rPr>
        <w:b/>
        <w:bCs/>
        <w:sz w:val="20"/>
      </w:rPr>
    </w:tblStylePr>
    <w:tblStylePr w:type="lastCol">
      <w:rPr>
        <w:b/>
        <w:bCs/>
      </w:rPr>
    </w:tblStylePr>
  </w:style>
  <w:style w:type="table" w:styleId="LightList-Accent2">
    <w:name w:val="Light List Accent 2"/>
    <w:basedOn w:val="TableNormal"/>
    <w:uiPriority w:val="61"/>
    <w:rsid w:val="009661DE"/>
    <w:pPr>
      <w:spacing w:before="0"/>
    </w:pPr>
    <w:tblPr>
      <w:tblStyleRowBandSize w:val="1"/>
      <w:tblStyleColBandSize w:val="1"/>
      <w:tblBorders>
        <w:top w:val="single" w:sz="8" w:space="0" w:color="C14E00" w:themeColor="accent2"/>
        <w:left w:val="single" w:sz="8" w:space="0" w:color="C14E00" w:themeColor="accent2"/>
        <w:bottom w:val="single" w:sz="8" w:space="0" w:color="C14E00" w:themeColor="accent2"/>
        <w:right w:val="single" w:sz="8" w:space="0" w:color="C14E00" w:themeColor="accent2"/>
      </w:tblBorders>
    </w:tblPr>
    <w:tblStylePr w:type="firstRow">
      <w:pPr>
        <w:spacing w:before="0" w:after="0" w:line="240" w:lineRule="auto"/>
      </w:pPr>
      <w:rPr>
        <w:b/>
        <w:bCs/>
        <w:color w:val="FFFFFF" w:themeColor="background1"/>
      </w:rPr>
      <w:tblPr/>
      <w:tcPr>
        <w:shd w:val="clear" w:color="auto" w:fill="C14E00" w:themeFill="accent2"/>
      </w:tcPr>
    </w:tblStylePr>
    <w:tblStylePr w:type="lastRow">
      <w:pPr>
        <w:spacing w:before="0" w:after="0" w:line="240" w:lineRule="auto"/>
      </w:pPr>
      <w:rPr>
        <w:b/>
        <w:bCs/>
      </w:rPr>
      <w:tblPr/>
      <w:tcPr>
        <w:tcBorders>
          <w:top w:val="double" w:sz="6" w:space="0" w:color="C14E00" w:themeColor="accent2"/>
          <w:left w:val="single" w:sz="8" w:space="0" w:color="C14E00" w:themeColor="accent2"/>
          <w:bottom w:val="single" w:sz="8" w:space="0" w:color="C14E00" w:themeColor="accent2"/>
          <w:right w:val="single" w:sz="8" w:space="0" w:color="C14E00" w:themeColor="accent2"/>
        </w:tcBorders>
      </w:tcPr>
    </w:tblStylePr>
    <w:tblStylePr w:type="firstCol">
      <w:rPr>
        <w:b/>
        <w:bCs/>
      </w:rPr>
    </w:tblStylePr>
    <w:tblStylePr w:type="lastCol">
      <w:rPr>
        <w:b/>
        <w:bCs/>
      </w:rPr>
    </w:tblStylePr>
    <w:tblStylePr w:type="band1Vert">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tblStylePr w:type="band1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style>
  <w:style w:type="table" w:styleId="LightList-Accent4">
    <w:name w:val="Light List Accent 4"/>
    <w:basedOn w:val="TableNormal"/>
    <w:uiPriority w:val="61"/>
    <w:rsid w:val="009661DE"/>
    <w:pPr>
      <w:spacing w:before="0"/>
    </w:pPr>
    <w:tblPr>
      <w:tblStyleRowBandSize w:val="1"/>
      <w:tblStyleColBandSize w:val="1"/>
      <w:tblBorders>
        <w:top w:val="single" w:sz="8" w:space="0" w:color="C00000" w:themeColor="accent4"/>
        <w:left w:val="single" w:sz="8" w:space="0" w:color="C00000" w:themeColor="accent4"/>
        <w:bottom w:val="single" w:sz="8" w:space="0" w:color="C00000" w:themeColor="accent4"/>
        <w:right w:val="single" w:sz="8" w:space="0" w:color="C00000" w:themeColor="accent4"/>
      </w:tblBorders>
    </w:tblPr>
    <w:tblStylePr w:type="firstRow">
      <w:pPr>
        <w:spacing w:before="0" w:after="0" w:line="240" w:lineRule="auto"/>
      </w:pPr>
      <w:rPr>
        <w:b/>
        <w:bCs/>
        <w:color w:val="FFFFFF" w:themeColor="background1"/>
      </w:rPr>
      <w:tblPr/>
      <w:tcPr>
        <w:shd w:val="clear" w:color="auto" w:fill="C00000" w:themeFill="accent4"/>
      </w:tcPr>
    </w:tblStylePr>
    <w:tblStylePr w:type="lastRow">
      <w:pPr>
        <w:spacing w:before="0" w:after="0" w:line="240" w:lineRule="auto"/>
      </w:pPr>
      <w:rPr>
        <w:b/>
        <w:bCs/>
      </w:rPr>
      <w:tblPr/>
      <w:tcPr>
        <w:tcBorders>
          <w:top w:val="double" w:sz="6" w:space="0" w:color="C00000" w:themeColor="accent4"/>
          <w:left w:val="single" w:sz="8" w:space="0" w:color="C00000" w:themeColor="accent4"/>
          <w:bottom w:val="single" w:sz="8" w:space="0" w:color="C00000" w:themeColor="accent4"/>
          <w:right w:val="single" w:sz="8" w:space="0" w:color="C00000" w:themeColor="accent4"/>
        </w:tcBorders>
      </w:tcPr>
    </w:tblStylePr>
    <w:tblStylePr w:type="firstCol">
      <w:rPr>
        <w:b/>
        <w:bCs/>
      </w:rPr>
    </w:tblStylePr>
    <w:tblStylePr w:type="lastCol">
      <w:rPr>
        <w:b/>
        <w:bCs/>
      </w:rPr>
    </w:tblStylePr>
    <w:tblStylePr w:type="band1Vert">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tblStylePr w:type="band1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style>
  <w:style w:type="table" w:styleId="LightList-Accent6">
    <w:name w:val="Light List Accent 6"/>
    <w:basedOn w:val="TableNormal"/>
    <w:uiPriority w:val="61"/>
    <w:rsid w:val="009661DE"/>
    <w:pPr>
      <w:spacing w:before="0"/>
    </w:pPr>
    <w:tblPr>
      <w:tblStyleRowBandSize w:val="1"/>
      <w:tblStyleColBandSize w:val="1"/>
      <w:tblBorders>
        <w:top w:val="single" w:sz="8" w:space="0" w:color="70303C" w:themeColor="accent6"/>
        <w:left w:val="single" w:sz="8" w:space="0" w:color="70303C" w:themeColor="accent6"/>
        <w:bottom w:val="single" w:sz="8" w:space="0" w:color="70303C" w:themeColor="accent6"/>
        <w:right w:val="single" w:sz="8" w:space="0" w:color="70303C" w:themeColor="accent6"/>
      </w:tblBorders>
    </w:tblPr>
    <w:tblStylePr w:type="firstRow">
      <w:pPr>
        <w:spacing w:before="0" w:after="0" w:line="240" w:lineRule="auto"/>
      </w:pPr>
      <w:rPr>
        <w:b/>
        <w:bCs/>
        <w:color w:val="FFFFFF" w:themeColor="background1"/>
      </w:rPr>
      <w:tblPr/>
      <w:tcPr>
        <w:shd w:val="clear" w:color="auto" w:fill="70303C" w:themeFill="accent6"/>
      </w:tcPr>
    </w:tblStylePr>
    <w:tblStylePr w:type="lastRow">
      <w:pPr>
        <w:spacing w:before="0" w:after="0" w:line="240" w:lineRule="auto"/>
      </w:pPr>
      <w:rPr>
        <w:b/>
        <w:bCs/>
      </w:rPr>
      <w:tblPr/>
      <w:tcPr>
        <w:tcBorders>
          <w:top w:val="double" w:sz="6" w:space="0" w:color="70303C" w:themeColor="accent6"/>
          <w:left w:val="single" w:sz="8" w:space="0" w:color="70303C" w:themeColor="accent6"/>
          <w:bottom w:val="single" w:sz="8" w:space="0" w:color="70303C" w:themeColor="accent6"/>
          <w:right w:val="single" w:sz="8" w:space="0" w:color="70303C" w:themeColor="accent6"/>
        </w:tcBorders>
      </w:tcPr>
    </w:tblStylePr>
    <w:tblStylePr w:type="firstCol">
      <w:rPr>
        <w:b/>
        <w:bCs/>
      </w:rPr>
    </w:tblStylePr>
    <w:tblStylePr w:type="lastCol">
      <w:rPr>
        <w:b/>
        <w:bCs/>
      </w:rPr>
    </w:tblStylePr>
    <w:tblStylePr w:type="band1Vert">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tblStylePr w:type="band1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style>
  <w:style w:type="table" w:styleId="LightGrid">
    <w:name w:val="Light Grid"/>
    <w:basedOn w:val="TableNormal"/>
    <w:uiPriority w:val="62"/>
    <w:rsid w:val="009661DE"/>
    <w:pPr>
      <w:spacing w:before="0"/>
    </w:pPr>
    <w:tblPr>
      <w:tblStyleRowBandSize w:val="1"/>
      <w:tblStyleColBandSize w:val="1"/>
      <w:tblBorders>
        <w:top w:val="single" w:sz="8" w:space="0" w:color="076A92" w:themeColor="text1"/>
        <w:left w:val="single" w:sz="8" w:space="0" w:color="076A92" w:themeColor="text1"/>
        <w:bottom w:val="single" w:sz="8" w:space="0" w:color="076A92" w:themeColor="text1"/>
        <w:right w:val="single" w:sz="8" w:space="0" w:color="076A92" w:themeColor="text1"/>
        <w:insideH w:val="single" w:sz="8" w:space="0" w:color="076A92" w:themeColor="text1"/>
        <w:insideV w:val="single" w:sz="8" w:space="0" w:color="076A92"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76A92" w:themeColor="text1"/>
          <w:left w:val="single" w:sz="8" w:space="0" w:color="076A92" w:themeColor="text1"/>
          <w:bottom w:val="single" w:sz="18" w:space="0" w:color="076A92" w:themeColor="text1"/>
          <w:right w:val="single" w:sz="8" w:space="0" w:color="076A92" w:themeColor="text1"/>
          <w:insideH w:val="nil"/>
          <w:insideV w:val="single" w:sz="8" w:space="0" w:color="076A92"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76A92" w:themeColor="text1"/>
          <w:left w:val="single" w:sz="8" w:space="0" w:color="076A92" w:themeColor="text1"/>
          <w:bottom w:val="single" w:sz="8" w:space="0" w:color="076A92" w:themeColor="text1"/>
          <w:right w:val="single" w:sz="8" w:space="0" w:color="076A92" w:themeColor="text1"/>
          <w:insideH w:val="nil"/>
          <w:insideV w:val="single" w:sz="8" w:space="0" w:color="076A92"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tblStylePr w:type="band1Vert">
      <w:tblPr/>
      <w:tcPr>
        <w:tcBorders>
          <w:top w:val="single" w:sz="8" w:space="0" w:color="076A92" w:themeColor="text1"/>
          <w:left w:val="single" w:sz="8" w:space="0" w:color="076A92" w:themeColor="text1"/>
          <w:bottom w:val="single" w:sz="8" w:space="0" w:color="076A92" w:themeColor="text1"/>
          <w:right w:val="single" w:sz="8" w:space="0" w:color="076A92" w:themeColor="text1"/>
        </w:tcBorders>
        <w:shd w:val="clear" w:color="auto" w:fill="AAE3FB" w:themeFill="text1" w:themeFillTint="3F"/>
      </w:tcPr>
    </w:tblStylePr>
    <w:tblStylePr w:type="band1Horz">
      <w:tblPr/>
      <w:tcPr>
        <w:tcBorders>
          <w:top w:val="single" w:sz="8" w:space="0" w:color="076A92" w:themeColor="text1"/>
          <w:left w:val="single" w:sz="8" w:space="0" w:color="076A92" w:themeColor="text1"/>
          <w:bottom w:val="single" w:sz="8" w:space="0" w:color="076A92" w:themeColor="text1"/>
          <w:right w:val="single" w:sz="8" w:space="0" w:color="076A92" w:themeColor="text1"/>
          <w:insideV w:val="single" w:sz="8" w:space="0" w:color="076A92" w:themeColor="text1"/>
        </w:tcBorders>
        <w:shd w:val="clear" w:color="auto" w:fill="AAE3FB" w:themeFill="text1" w:themeFillTint="3F"/>
      </w:tcPr>
    </w:tblStylePr>
    <w:tblStylePr w:type="band2Horz">
      <w:tblPr/>
      <w:tcPr>
        <w:tcBorders>
          <w:top w:val="single" w:sz="8" w:space="0" w:color="076A92" w:themeColor="text1"/>
          <w:left w:val="single" w:sz="8" w:space="0" w:color="076A92" w:themeColor="text1"/>
          <w:bottom w:val="single" w:sz="8" w:space="0" w:color="076A92" w:themeColor="text1"/>
          <w:right w:val="single" w:sz="8" w:space="0" w:color="076A92" w:themeColor="text1"/>
          <w:insideV w:val="single" w:sz="8" w:space="0" w:color="076A92" w:themeColor="text1"/>
        </w:tcBorders>
      </w:tcPr>
    </w:tblStylePr>
  </w:style>
  <w:style w:type="table" w:styleId="LightGrid-Accent1">
    <w:name w:val="Light Grid Accent 1"/>
    <w:basedOn w:val="TableNormal"/>
    <w:uiPriority w:val="62"/>
    <w:rsid w:val="009661DE"/>
    <w:pPr>
      <w:spacing w:before="0"/>
    </w:pPr>
    <w:tblPr>
      <w:tblStyleRowBandSize w:val="1"/>
      <w:tblStyleColBandSize w:val="1"/>
      <w:tblBorders>
        <w:top w:val="single" w:sz="8" w:space="0" w:color="2F002F" w:themeColor="accent1"/>
        <w:left w:val="single" w:sz="8" w:space="0" w:color="2F002F" w:themeColor="accent1"/>
        <w:bottom w:val="single" w:sz="8" w:space="0" w:color="2F002F" w:themeColor="accent1"/>
        <w:right w:val="single" w:sz="8" w:space="0" w:color="2F002F" w:themeColor="accent1"/>
        <w:insideH w:val="single" w:sz="8" w:space="0" w:color="2F002F" w:themeColor="accent1"/>
        <w:insideV w:val="single" w:sz="8" w:space="0" w:color="2F002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F002F" w:themeColor="accent1"/>
          <w:left w:val="single" w:sz="8" w:space="0" w:color="2F002F" w:themeColor="accent1"/>
          <w:bottom w:val="single" w:sz="18" w:space="0" w:color="2F002F" w:themeColor="accent1"/>
          <w:right w:val="single" w:sz="8" w:space="0" w:color="2F002F" w:themeColor="accent1"/>
          <w:insideH w:val="nil"/>
          <w:insideV w:val="single" w:sz="8" w:space="0" w:color="2F002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F002F" w:themeColor="accent1"/>
          <w:left w:val="single" w:sz="8" w:space="0" w:color="2F002F" w:themeColor="accent1"/>
          <w:bottom w:val="single" w:sz="8" w:space="0" w:color="2F002F" w:themeColor="accent1"/>
          <w:right w:val="single" w:sz="8" w:space="0" w:color="2F002F" w:themeColor="accent1"/>
          <w:insideH w:val="nil"/>
          <w:insideV w:val="single" w:sz="8" w:space="0" w:color="2F002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tblStylePr w:type="band1Vert">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shd w:val="clear" w:color="auto" w:fill="FF8CFF" w:themeFill="accent1" w:themeFillTint="3F"/>
      </w:tcPr>
    </w:tblStylePr>
    <w:tblStylePr w:type="band1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insideV w:val="single" w:sz="8" w:space="0" w:color="2F002F" w:themeColor="accent1"/>
        </w:tcBorders>
        <w:shd w:val="clear" w:color="auto" w:fill="FF8CFF" w:themeFill="accent1" w:themeFillTint="3F"/>
      </w:tcPr>
    </w:tblStylePr>
    <w:tblStylePr w:type="band2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insideV w:val="single" w:sz="8" w:space="0" w:color="2F002F" w:themeColor="accent1"/>
        </w:tcBorders>
      </w:tcPr>
    </w:tblStylePr>
  </w:style>
  <w:style w:type="table" w:styleId="LightGrid-Accent2">
    <w:name w:val="Light Grid Accent 2"/>
    <w:basedOn w:val="TableNormal"/>
    <w:uiPriority w:val="62"/>
    <w:rsid w:val="009661DE"/>
    <w:pPr>
      <w:spacing w:before="0"/>
    </w:pPr>
    <w:tblPr>
      <w:tblStyleRowBandSize w:val="1"/>
      <w:tblStyleColBandSize w:val="1"/>
      <w:tblBorders>
        <w:top w:val="single" w:sz="8" w:space="0" w:color="C14E00" w:themeColor="accent2"/>
        <w:left w:val="single" w:sz="8" w:space="0" w:color="C14E00" w:themeColor="accent2"/>
        <w:bottom w:val="single" w:sz="8" w:space="0" w:color="C14E00" w:themeColor="accent2"/>
        <w:right w:val="single" w:sz="8" w:space="0" w:color="C14E00" w:themeColor="accent2"/>
        <w:insideH w:val="single" w:sz="8" w:space="0" w:color="C14E00" w:themeColor="accent2"/>
        <w:insideV w:val="single" w:sz="8" w:space="0" w:color="C14E00"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14E00" w:themeColor="accent2"/>
          <w:left w:val="single" w:sz="8" w:space="0" w:color="C14E00" w:themeColor="accent2"/>
          <w:bottom w:val="single" w:sz="18" w:space="0" w:color="C14E00" w:themeColor="accent2"/>
          <w:right w:val="single" w:sz="8" w:space="0" w:color="C14E00" w:themeColor="accent2"/>
          <w:insideH w:val="nil"/>
          <w:insideV w:val="single" w:sz="8" w:space="0" w:color="C14E0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14E00" w:themeColor="accent2"/>
          <w:left w:val="single" w:sz="8" w:space="0" w:color="C14E00" w:themeColor="accent2"/>
          <w:bottom w:val="single" w:sz="8" w:space="0" w:color="C14E00" w:themeColor="accent2"/>
          <w:right w:val="single" w:sz="8" w:space="0" w:color="C14E00" w:themeColor="accent2"/>
          <w:insideH w:val="nil"/>
          <w:insideV w:val="single" w:sz="8" w:space="0" w:color="C14E0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tblStylePr w:type="band1Vert">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shd w:val="clear" w:color="auto" w:fill="FFD0B0" w:themeFill="accent2" w:themeFillTint="3F"/>
      </w:tcPr>
    </w:tblStylePr>
    <w:tblStylePr w:type="band1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insideV w:val="single" w:sz="8" w:space="0" w:color="C14E00" w:themeColor="accent2"/>
        </w:tcBorders>
        <w:shd w:val="clear" w:color="auto" w:fill="FFD0B0" w:themeFill="accent2" w:themeFillTint="3F"/>
      </w:tcPr>
    </w:tblStylePr>
    <w:tblStylePr w:type="band2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insideV w:val="single" w:sz="8" w:space="0" w:color="C14E00" w:themeColor="accent2"/>
        </w:tcBorders>
      </w:tcPr>
    </w:tblStylePr>
  </w:style>
  <w:style w:type="table" w:styleId="LightGrid-Accent4">
    <w:name w:val="Light Grid Accent 4"/>
    <w:basedOn w:val="TableNormal"/>
    <w:uiPriority w:val="62"/>
    <w:rsid w:val="009661DE"/>
    <w:pPr>
      <w:spacing w:before="0"/>
    </w:pPr>
    <w:tblPr>
      <w:tblStyleRowBandSize w:val="1"/>
      <w:tblStyleColBandSize w:val="1"/>
      <w:tblBorders>
        <w:top w:val="single" w:sz="8" w:space="0" w:color="C00000" w:themeColor="accent4"/>
        <w:left w:val="single" w:sz="8" w:space="0" w:color="C00000" w:themeColor="accent4"/>
        <w:bottom w:val="single" w:sz="8" w:space="0" w:color="C00000" w:themeColor="accent4"/>
        <w:right w:val="single" w:sz="8" w:space="0" w:color="C00000" w:themeColor="accent4"/>
        <w:insideH w:val="single" w:sz="8" w:space="0" w:color="C00000" w:themeColor="accent4"/>
        <w:insideV w:val="single" w:sz="8" w:space="0" w:color="C00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0000" w:themeColor="accent4"/>
          <w:left w:val="single" w:sz="8" w:space="0" w:color="C00000" w:themeColor="accent4"/>
          <w:bottom w:val="single" w:sz="18" w:space="0" w:color="C00000" w:themeColor="accent4"/>
          <w:right w:val="single" w:sz="8" w:space="0" w:color="C00000" w:themeColor="accent4"/>
          <w:insideH w:val="nil"/>
          <w:insideV w:val="single" w:sz="8" w:space="0" w:color="C00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0000" w:themeColor="accent4"/>
          <w:left w:val="single" w:sz="8" w:space="0" w:color="C00000" w:themeColor="accent4"/>
          <w:bottom w:val="single" w:sz="8" w:space="0" w:color="C00000" w:themeColor="accent4"/>
          <w:right w:val="single" w:sz="8" w:space="0" w:color="C00000" w:themeColor="accent4"/>
          <w:insideH w:val="nil"/>
          <w:insideV w:val="single" w:sz="8" w:space="0" w:color="C00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tblStylePr w:type="band1Vert">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shd w:val="clear" w:color="auto" w:fill="FFB0B0" w:themeFill="accent4" w:themeFillTint="3F"/>
      </w:tcPr>
    </w:tblStylePr>
    <w:tblStylePr w:type="band1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insideV w:val="single" w:sz="8" w:space="0" w:color="C00000" w:themeColor="accent4"/>
        </w:tcBorders>
        <w:shd w:val="clear" w:color="auto" w:fill="FFB0B0" w:themeFill="accent4" w:themeFillTint="3F"/>
      </w:tcPr>
    </w:tblStylePr>
    <w:tblStylePr w:type="band2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insideV w:val="single" w:sz="8" w:space="0" w:color="C00000" w:themeColor="accent4"/>
        </w:tcBorders>
      </w:tcPr>
    </w:tblStylePr>
  </w:style>
  <w:style w:type="table" w:styleId="LightGrid-Accent5">
    <w:name w:val="Light Grid Accent 5"/>
    <w:basedOn w:val="TableNormal"/>
    <w:uiPriority w:val="62"/>
    <w:rsid w:val="009661DE"/>
    <w:pPr>
      <w:spacing w:before="0"/>
    </w:pPr>
    <w:tblPr>
      <w:tblStyleRowBandSize w:val="1"/>
      <w:tblStyleColBandSize w:val="1"/>
      <w:tblBorders>
        <w:top w:val="single" w:sz="8" w:space="0" w:color="000000" w:themeColor="accent5"/>
        <w:left w:val="single" w:sz="8" w:space="0" w:color="000000" w:themeColor="accent5"/>
        <w:bottom w:val="single" w:sz="8" w:space="0" w:color="000000" w:themeColor="accent5"/>
        <w:right w:val="single" w:sz="8" w:space="0" w:color="000000" w:themeColor="accent5"/>
        <w:insideH w:val="single" w:sz="8" w:space="0" w:color="000000" w:themeColor="accent5"/>
        <w:insideV w:val="single" w:sz="8" w:space="0" w:color="000000"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accent5"/>
          <w:left w:val="single" w:sz="8" w:space="0" w:color="000000" w:themeColor="accent5"/>
          <w:bottom w:val="single" w:sz="18" w:space="0" w:color="000000" w:themeColor="accent5"/>
          <w:right w:val="single" w:sz="8" w:space="0" w:color="000000" w:themeColor="accent5"/>
          <w:insideH w:val="nil"/>
          <w:insideV w:val="single" w:sz="8" w:space="0" w:color="000000"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accent5"/>
          <w:left w:val="single" w:sz="8" w:space="0" w:color="000000" w:themeColor="accent5"/>
          <w:bottom w:val="single" w:sz="8" w:space="0" w:color="000000" w:themeColor="accent5"/>
          <w:right w:val="single" w:sz="8" w:space="0" w:color="000000" w:themeColor="accent5"/>
          <w:insideH w:val="nil"/>
          <w:insideV w:val="single" w:sz="8" w:space="0" w:color="000000"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tblStylePr w:type="band1Vert">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shd w:val="clear" w:color="auto" w:fill="C0C0C0" w:themeFill="accent5" w:themeFillTint="3F"/>
      </w:tcPr>
    </w:tblStylePr>
    <w:tblStylePr w:type="band1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insideV w:val="single" w:sz="8" w:space="0" w:color="000000" w:themeColor="accent5"/>
        </w:tcBorders>
        <w:shd w:val="clear" w:color="auto" w:fill="C0C0C0" w:themeFill="accent5" w:themeFillTint="3F"/>
      </w:tcPr>
    </w:tblStylePr>
    <w:tblStylePr w:type="band2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insideV w:val="single" w:sz="8" w:space="0" w:color="000000" w:themeColor="accent5"/>
        </w:tcBorders>
      </w:tcPr>
    </w:tblStylePr>
  </w:style>
  <w:style w:type="paragraph" w:customStyle="1" w:styleId="HeaderRight">
    <w:name w:val="Header Right"/>
    <w:basedOn w:val="Header"/>
    <w:uiPriority w:val="35"/>
    <w:qFormat/>
    <w:rsid w:val="00A84F46"/>
    <w:pPr>
      <w:tabs>
        <w:tab w:val="clear" w:pos="4513"/>
        <w:tab w:val="clear" w:pos="9026"/>
        <w:tab w:val="center" w:pos="4320"/>
        <w:tab w:val="right" w:pos="8640"/>
      </w:tabs>
      <w:spacing w:before="0" w:after="200"/>
      <w:jc w:val="right"/>
    </w:pPr>
    <w:rPr>
      <w:rFonts w:asciiTheme="minorHAnsi" w:hAnsiTheme="minorHAnsi" w:cs="Times New Roman"/>
      <w:szCs w:val="20"/>
      <w:lang w:val="en-US" w:eastAsia="ja-JP"/>
    </w:rPr>
  </w:style>
  <w:style w:type="paragraph" w:customStyle="1" w:styleId="Heading9notnumbered">
    <w:name w:val="Heading 9 not numbered"/>
    <w:basedOn w:val="Heading9"/>
    <w:rsid w:val="00130C3C"/>
    <w:pPr>
      <w:numPr>
        <w:ilvl w:val="0"/>
        <w:numId w:val="0"/>
      </w:numPr>
    </w:pPr>
    <w:rPr>
      <w:rFonts w:eastAsia="Times New Roman" w:cs="Times New Roman"/>
    </w:rPr>
  </w:style>
  <w:style w:type="paragraph" w:styleId="Caption">
    <w:name w:val="caption"/>
    <w:basedOn w:val="Normal"/>
    <w:next w:val="Normal"/>
    <w:uiPriority w:val="35"/>
    <w:unhideWhenUsed/>
    <w:qFormat/>
    <w:rsid w:val="002E1BE5"/>
    <w:pPr>
      <w:spacing w:before="240" w:after="120"/>
    </w:pPr>
    <w:rPr>
      <w:b/>
      <w:bCs/>
      <w:color w:val="076A92" w:themeColor="text1"/>
      <w:sz w:val="24"/>
      <w:szCs w:val="18"/>
    </w:rPr>
  </w:style>
  <w:style w:type="paragraph" w:styleId="List">
    <w:name w:val="List"/>
    <w:basedOn w:val="Normal"/>
    <w:uiPriority w:val="99"/>
    <w:unhideWhenUsed/>
    <w:qFormat/>
    <w:rsid w:val="00B514DD"/>
    <w:pPr>
      <w:tabs>
        <w:tab w:val="left" w:pos="340"/>
      </w:tabs>
      <w:spacing w:before="120"/>
      <w:ind w:left="340" w:hanging="340"/>
    </w:pPr>
  </w:style>
  <w:style w:type="paragraph" w:styleId="List2">
    <w:name w:val="List 2"/>
    <w:basedOn w:val="Normal"/>
    <w:uiPriority w:val="99"/>
    <w:unhideWhenUsed/>
    <w:rsid w:val="00F171E0"/>
    <w:pPr>
      <w:tabs>
        <w:tab w:val="left" w:pos="680"/>
      </w:tabs>
      <w:spacing w:before="120"/>
      <w:ind w:left="680" w:hanging="340"/>
    </w:pPr>
  </w:style>
  <w:style w:type="paragraph" w:styleId="List3">
    <w:name w:val="List 3"/>
    <w:basedOn w:val="Normal"/>
    <w:uiPriority w:val="99"/>
    <w:unhideWhenUsed/>
    <w:rsid w:val="00F171E0"/>
    <w:pPr>
      <w:tabs>
        <w:tab w:val="left" w:pos="1021"/>
      </w:tabs>
      <w:spacing w:before="120"/>
      <w:ind w:left="1020" w:hanging="340"/>
    </w:pPr>
  </w:style>
  <w:style w:type="paragraph" w:styleId="List4">
    <w:name w:val="List 4"/>
    <w:basedOn w:val="Normal"/>
    <w:uiPriority w:val="99"/>
    <w:unhideWhenUsed/>
    <w:rsid w:val="00F171E0"/>
    <w:pPr>
      <w:tabs>
        <w:tab w:val="left" w:pos="1361"/>
      </w:tabs>
      <w:spacing w:before="120"/>
      <w:ind w:left="1361" w:hanging="340"/>
    </w:pPr>
  </w:style>
  <w:style w:type="paragraph" w:styleId="List5">
    <w:name w:val="List 5"/>
    <w:basedOn w:val="Normal"/>
    <w:uiPriority w:val="99"/>
    <w:unhideWhenUsed/>
    <w:rsid w:val="00F171E0"/>
    <w:pPr>
      <w:tabs>
        <w:tab w:val="left" w:pos="1701"/>
      </w:tabs>
      <w:spacing w:before="120"/>
      <w:ind w:left="1701" w:hanging="340"/>
    </w:pPr>
  </w:style>
  <w:style w:type="paragraph" w:styleId="ListBullet3">
    <w:name w:val="List Bullet 3"/>
    <w:basedOn w:val="Normal"/>
    <w:uiPriority w:val="99"/>
    <w:unhideWhenUsed/>
    <w:rsid w:val="00DB5074"/>
    <w:pPr>
      <w:numPr>
        <w:numId w:val="4"/>
      </w:numPr>
      <w:tabs>
        <w:tab w:val="clear" w:pos="926"/>
        <w:tab w:val="num" w:pos="1021"/>
      </w:tabs>
      <w:spacing w:before="120"/>
      <w:ind w:left="1020" w:hanging="340"/>
    </w:pPr>
  </w:style>
  <w:style w:type="paragraph" w:styleId="ListBullet4">
    <w:name w:val="List Bullet 4"/>
    <w:basedOn w:val="Normal"/>
    <w:uiPriority w:val="99"/>
    <w:unhideWhenUsed/>
    <w:rsid w:val="00DB5074"/>
    <w:pPr>
      <w:numPr>
        <w:numId w:val="5"/>
      </w:numPr>
      <w:tabs>
        <w:tab w:val="clear" w:pos="1209"/>
        <w:tab w:val="num" w:pos="1361"/>
      </w:tabs>
      <w:spacing w:before="120"/>
      <w:ind w:left="1378" w:hanging="357"/>
    </w:pPr>
  </w:style>
  <w:style w:type="paragraph" w:styleId="ListBullet5">
    <w:name w:val="List Bullet 5"/>
    <w:basedOn w:val="Normal"/>
    <w:uiPriority w:val="99"/>
    <w:unhideWhenUsed/>
    <w:rsid w:val="00DB5074"/>
    <w:pPr>
      <w:numPr>
        <w:numId w:val="6"/>
      </w:numPr>
      <w:tabs>
        <w:tab w:val="clear" w:pos="1492"/>
        <w:tab w:val="num" w:pos="1701"/>
      </w:tabs>
      <w:spacing w:before="120"/>
      <w:ind w:left="1701" w:hanging="340"/>
    </w:pPr>
  </w:style>
  <w:style w:type="paragraph" w:styleId="ListContinue">
    <w:name w:val="List Continue"/>
    <w:basedOn w:val="Normal"/>
    <w:uiPriority w:val="99"/>
    <w:unhideWhenUsed/>
    <w:qFormat/>
    <w:rsid w:val="00DB5074"/>
    <w:pPr>
      <w:tabs>
        <w:tab w:val="left" w:pos="340"/>
      </w:tabs>
      <w:spacing w:before="120"/>
      <w:ind w:left="340"/>
    </w:pPr>
  </w:style>
  <w:style w:type="paragraph" w:styleId="ListContinue2">
    <w:name w:val="List Continue 2"/>
    <w:basedOn w:val="Normal"/>
    <w:uiPriority w:val="99"/>
    <w:unhideWhenUsed/>
    <w:rsid w:val="00567BA5"/>
    <w:pPr>
      <w:tabs>
        <w:tab w:val="left" w:pos="680"/>
      </w:tabs>
      <w:spacing w:before="120"/>
      <w:ind w:left="680"/>
    </w:pPr>
  </w:style>
  <w:style w:type="paragraph" w:styleId="ListContinue3">
    <w:name w:val="List Continue 3"/>
    <w:basedOn w:val="Normal"/>
    <w:uiPriority w:val="99"/>
    <w:unhideWhenUsed/>
    <w:rsid w:val="00DB5074"/>
    <w:pPr>
      <w:tabs>
        <w:tab w:val="left" w:pos="1021"/>
      </w:tabs>
      <w:spacing w:before="120"/>
      <w:ind w:left="1021"/>
    </w:pPr>
  </w:style>
  <w:style w:type="paragraph" w:styleId="ListContinue4">
    <w:name w:val="List Continue 4"/>
    <w:basedOn w:val="Normal"/>
    <w:uiPriority w:val="99"/>
    <w:unhideWhenUsed/>
    <w:rsid w:val="00DB5074"/>
    <w:pPr>
      <w:tabs>
        <w:tab w:val="left" w:pos="1361"/>
      </w:tabs>
      <w:spacing w:before="120"/>
      <w:ind w:left="1361"/>
    </w:pPr>
  </w:style>
  <w:style w:type="paragraph" w:styleId="ListNumber3">
    <w:name w:val="List Number 3"/>
    <w:basedOn w:val="Normal"/>
    <w:uiPriority w:val="99"/>
    <w:unhideWhenUsed/>
    <w:rsid w:val="00567BA5"/>
    <w:pPr>
      <w:numPr>
        <w:numId w:val="9"/>
      </w:numPr>
      <w:spacing w:before="120"/>
    </w:pPr>
  </w:style>
  <w:style w:type="paragraph" w:styleId="ListNumber4">
    <w:name w:val="List Number 4"/>
    <w:basedOn w:val="Normal"/>
    <w:uiPriority w:val="99"/>
    <w:unhideWhenUsed/>
    <w:rsid w:val="00567BA5"/>
    <w:pPr>
      <w:numPr>
        <w:numId w:val="10"/>
      </w:numPr>
      <w:tabs>
        <w:tab w:val="clear" w:pos="1209"/>
        <w:tab w:val="num" w:pos="1361"/>
      </w:tabs>
      <w:spacing w:before="120"/>
      <w:ind w:left="1361" w:hanging="340"/>
    </w:pPr>
  </w:style>
  <w:style w:type="paragraph" w:styleId="ListNumber5">
    <w:name w:val="List Number 5"/>
    <w:basedOn w:val="Normal"/>
    <w:uiPriority w:val="99"/>
    <w:unhideWhenUsed/>
    <w:rsid w:val="00567BA5"/>
    <w:pPr>
      <w:numPr>
        <w:numId w:val="11"/>
      </w:numPr>
      <w:tabs>
        <w:tab w:val="clear" w:pos="1492"/>
        <w:tab w:val="num" w:pos="1701"/>
      </w:tabs>
      <w:spacing w:before="120"/>
      <w:ind w:left="1701" w:hanging="340"/>
    </w:pPr>
  </w:style>
  <w:style w:type="paragraph" w:customStyle="1" w:styleId="TableHeading">
    <w:name w:val="Table Heading"/>
    <w:basedOn w:val="Normal"/>
    <w:link w:val="TableHeadingChar"/>
    <w:qFormat/>
    <w:rsid w:val="00185CB9"/>
    <w:pPr>
      <w:spacing w:before="240" w:after="120"/>
    </w:pPr>
    <w:rPr>
      <w:color w:val="FFFFFF" w:themeColor="background1"/>
      <w:sz w:val="24"/>
    </w:rPr>
  </w:style>
  <w:style w:type="paragraph" w:customStyle="1" w:styleId="Tabletext-right">
    <w:name w:val="Table text - right"/>
    <w:basedOn w:val="Tabletext"/>
    <w:link w:val="Tabletext-rightChar"/>
    <w:rsid w:val="00063247"/>
    <w:pPr>
      <w:jc w:val="right"/>
    </w:pPr>
    <w:rPr>
      <w:rFonts w:eastAsia="Times New Roman" w:cs="Times New Roman"/>
      <w:szCs w:val="20"/>
    </w:rPr>
  </w:style>
  <w:style w:type="paragraph" w:customStyle="1" w:styleId="Tabletext-centred">
    <w:name w:val="Table text - centred"/>
    <w:basedOn w:val="Tabletext-right"/>
    <w:link w:val="Tabletext-centredChar"/>
    <w:rsid w:val="00063247"/>
    <w:pPr>
      <w:jc w:val="center"/>
    </w:pPr>
  </w:style>
  <w:style w:type="paragraph" w:customStyle="1" w:styleId="TableHeading-right">
    <w:name w:val="Table Heading - right"/>
    <w:basedOn w:val="TableHeading"/>
    <w:link w:val="TableHeading-rightChar"/>
    <w:rsid w:val="00185CB9"/>
    <w:pPr>
      <w:jc w:val="right"/>
    </w:pPr>
    <w:rPr>
      <w:rFonts w:eastAsia="Times New Roman" w:cs="Times New Roman"/>
      <w:bCs/>
      <w:szCs w:val="20"/>
    </w:rPr>
  </w:style>
  <w:style w:type="character" w:customStyle="1" w:styleId="Tabletext-rightChar">
    <w:name w:val="Table text - right Char"/>
    <w:basedOn w:val="TabletextChar"/>
    <w:link w:val="Tabletext-right"/>
    <w:rsid w:val="00063247"/>
    <w:rPr>
      <w:rFonts w:ascii="Arial" w:eastAsia="Times New Roman" w:hAnsi="Arial" w:cs="Times New Roman"/>
      <w:sz w:val="20"/>
      <w:szCs w:val="20"/>
    </w:rPr>
  </w:style>
  <w:style w:type="character" w:customStyle="1" w:styleId="TabletextChar">
    <w:name w:val="Table text Char"/>
    <w:basedOn w:val="DefaultParagraphFont"/>
    <w:link w:val="Tabletext"/>
    <w:uiPriority w:val="1"/>
    <w:rsid w:val="00584D8F"/>
    <w:rPr>
      <w:rFonts w:ascii="Arial" w:hAnsi="Arial"/>
      <w:sz w:val="20"/>
    </w:rPr>
  </w:style>
  <w:style w:type="character" w:customStyle="1" w:styleId="TableHeadingChar">
    <w:name w:val="Table Heading Char"/>
    <w:basedOn w:val="TabletextChar"/>
    <w:link w:val="TableHeading"/>
    <w:rsid w:val="00185CB9"/>
    <w:rPr>
      <w:rFonts w:ascii="Arial" w:hAnsi="Arial"/>
      <w:color w:val="FFFFFF" w:themeColor="background1"/>
      <w:sz w:val="24"/>
    </w:rPr>
  </w:style>
  <w:style w:type="character" w:customStyle="1" w:styleId="TableHeading-rightChar">
    <w:name w:val="Table Heading - right Char"/>
    <w:basedOn w:val="TableHeadingChar"/>
    <w:link w:val="TableHeading-right"/>
    <w:rsid w:val="00185CB9"/>
    <w:rPr>
      <w:rFonts w:ascii="Arial" w:eastAsia="Times New Roman" w:hAnsi="Arial" w:cs="Times New Roman"/>
      <w:bCs/>
      <w:color w:val="FFFFFF" w:themeColor="background1"/>
      <w:sz w:val="24"/>
      <w:szCs w:val="20"/>
    </w:rPr>
  </w:style>
  <w:style w:type="character" w:customStyle="1" w:styleId="Tabletext-centredChar">
    <w:name w:val="Table text - centred Char"/>
    <w:basedOn w:val="Tabletext-rightChar"/>
    <w:link w:val="Tabletext-centred"/>
    <w:rsid w:val="00063247"/>
    <w:rPr>
      <w:rFonts w:ascii="Arial" w:eastAsia="Times New Roman" w:hAnsi="Arial" w:cs="Times New Roman"/>
      <w:sz w:val="20"/>
      <w:szCs w:val="20"/>
    </w:rPr>
  </w:style>
  <w:style w:type="paragraph" w:customStyle="1" w:styleId="TableHeading-centred">
    <w:name w:val="Table Heading - centred"/>
    <w:basedOn w:val="TableHeading"/>
    <w:rsid w:val="00185CB9"/>
    <w:pPr>
      <w:jc w:val="center"/>
    </w:pPr>
    <w:rPr>
      <w:rFonts w:eastAsia="Times New Roman" w:cs="Times New Roman"/>
      <w:bCs/>
      <w:szCs w:val="20"/>
    </w:rPr>
  </w:style>
  <w:style w:type="character" w:customStyle="1" w:styleId="EndnoteTextChar">
    <w:name w:val="Endnote Text Char"/>
    <w:basedOn w:val="DefaultParagraphFont"/>
    <w:link w:val="EndnoteText"/>
    <w:uiPriority w:val="99"/>
    <w:rsid w:val="00334C8D"/>
    <w:rPr>
      <w:rFonts w:ascii="Arial" w:hAnsi="Arial"/>
      <w:sz w:val="20"/>
      <w:szCs w:val="20"/>
    </w:rPr>
  </w:style>
  <w:style w:type="paragraph" w:styleId="TableofFigures">
    <w:name w:val="table of figures"/>
    <w:basedOn w:val="Normal"/>
    <w:next w:val="Normal"/>
    <w:uiPriority w:val="99"/>
    <w:unhideWhenUsed/>
    <w:rsid w:val="00676679"/>
    <w:pPr>
      <w:spacing w:before="240" w:after="120"/>
    </w:pPr>
  </w:style>
  <w:style w:type="table" w:customStyle="1" w:styleId="ACCCTable3">
    <w:name w:val="ACCC Table 3"/>
    <w:basedOn w:val="TableNormal"/>
    <w:uiPriority w:val="99"/>
    <w:rsid w:val="00C53B5A"/>
    <w:pPr>
      <w:spacing w:before="0"/>
    </w:pPr>
    <w:rPr>
      <w:sz w:val="20"/>
    </w:rPr>
    <w:tblPr>
      <w:tblBorders>
        <w:insideV w:val="single" w:sz="4" w:space="0" w:color="FFFFFF" w:themeColor="background2"/>
      </w:tblBorders>
    </w:tblPr>
    <w:tblStylePr w:type="firstRow">
      <w:rPr>
        <w:rFonts w:asciiTheme="minorHAnsi" w:hAnsiTheme="minorHAnsi"/>
        <w:b/>
        <w:sz w:val="20"/>
      </w:rPr>
    </w:tblStylePr>
    <w:tblStylePr w:type="lastRow">
      <w:rPr>
        <w:rFonts w:ascii="Arial" w:hAnsi="Arial"/>
        <w:b/>
        <w:sz w:val="20"/>
      </w:rPr>
    </w:tblStylePr>
    <w:tblStylePr w:type="firstCol">
      <w:rPr>
        <w:rFonts w:ascii="Arial" w:hAnsi="Arial"/>
        <w:b/>
        <w:sz w:val="20"/>
      </w:rPr>
    </w:tblStylePr>
  </w:style>
  <w:style w:type="character" w:styleId="EndnoteReference">
    <w:name w:val="endnote reference"/>
    <w:basedOn w:val="DefaultParagraphFont"/>
    <w:uiPriority w:val="99"/>
    <w:rsid w:val="00263AC0"/>
    <w:rPr>
      <w:vertAlign w:val="superscript"/>
    </w:rPr>
  </w:style>
  <w:style w:type="paragraph" w:customStyle="1" w:styleId="Numberedparagraph11">
    <w:name w:val="Numbered paragraph 1.1"/>
    <w:basedOn w:val="Normal"/>
    <w:autoRedefine/>
    <w:qFormat/>
    <w:rsid w:val="00562632"/>
    <w:pPr>
      <w:numPr>
        <w:ilvl w:val="1"/>
        <w:numId w:val="15"/>
      </w:numPr>
      <w:tabs>
        <w:tab w:val="left" w:pos="1021"/>
      </w:tabs>
      <w:spacing w:line="240" w:lineRule="atLeast"/>
      <w:ind w:left="680" w:hanging="680"/>
    </w:pPr>
    <w:rPr>
      <w:rFonts w:eastAsiaTheme="majorEastAsia" w:cs="Arial"/>
      <w:bCs/>
      <w:szCs w:val="26"/>
    </w:rPr>
  </w:style>
  <w:style w:type="paragraph" w:customStyle="1" w:styleId="Numberedparagraph">
    <w:name w:val="Numbered paragraph"/>
    <w:basedOn w:val="Normal"/>
    <w:rsid w:val="00C67A92"/>
    <w:pPr>
      <w:numPr>
        <w:numId w:val="1"/>
      </w:numPr>
      <w:tabs>
        <w:tab w:val="left" w:pos="680"/>
      </w:tabs>
      <w:ind w:left="680" w:hanging="680"/>
    </w:pPr>
    <w:rPr>
      <w:rFonts w:eastAsia="Times New Roman" w:cs="Times New Roman"/>
      <w:szCs w:val="20"/>
    </w:rPr>
  </w:style>
  <w:style w:type="paragraph" w:customStyle="1" w:styleId="Copyright">
    <w:name w:val="Copyright"/>
    <w:basedOn w:val="Normal"/>
    <w:next w:val="Normal"/>
    <w:link w:val="CopyrightChar"/>
    <w:rsid w:val="00951978"/>
    <w:pPr>
      <w:spacing w:line="288" w:lineRule="auto"/>
    </w:pPr>
    <w:rPr>
      <w:sz w:val="20"/>
      <w:szCs w:val="20"/>
    </w:rPr>
  </w:style>
  <w:style w:type="paragraph" w:customStyle="1" w:styleId="ReportTitle">
    <w:name w:val="Report Title"/>
    <w:basedOn w:val="Normal"/>
    <w:next w:val="Normal"/>
    <w:link w:val="ReportTitleChar"/>
    <w:rsid w:val="00327A1E"/>
    <w:pPr>
      <w:tabs>
        <w:tab w:val="center" w:pos="4598"/>
        <w:tab w:val="right" w:pos="9026"/>
      </w:tabs>
      <w:spacing w:before="240"/>
      <w:contextualSpacing/>
      <w:jc w:val="center"/>
    </w:pPr>
    <w:rPr>
      <w:rFonts w:eastAsiaTheme="majorEastAsia" w:cstheme="majorBidi"/>
      <w:b/>
      <w:noProof/>
      <w:sz w:val="72"/>
      <w:szCs w:val="72"/>
      <w:lang w:eastAsia="en-AU"/>
    </w:rPr>
  </w:style>
  <w:style w:type="numbering" w:customStyle="1" w:styleId="AlphanumericList">
    <w:name w:val="Alphanumeric List"/>
    <w:uiPriority w:val="99"/>
    <w:rsid w:val="000A6C7B"/>
    <w:pPr>
      <w:numPr>
        <w:numId w:val="16"/>
      </w:numPr>
    </w:pPr>
  </w:style>
  <w:style w:type="table" w:customStyle="1" w:styleId="AERTable-Text">
    <w:name w:val="AER Table - Text"/>
    <w:basedOn w:val="TableNormal"/>
    <w:uiPriority w:val="99"/>
    <w:rsid w:val="00A22495"/>
    <w:pPr>
      <w:spacing w:before="120" w:after="120"/>
    </w:pPr>
    <w:rPr>
      <w:rFonts w:ascii="Arial" w:hAnsi="Arial"/>
      <w:sz w:val="20"/>
    </w:rPr>
    <w:tblPr>
      <w:tblStyleRowBandSize w:val="1"/>
      <w:tblBorders>
        <w:bottom w:val="single" w:sz="4" w:space="0" w:color="auto"/>
      </w:tblBorders>
    </w:tblPr>
    <w:tblStylePr w:type="firstRow">
      <w:pPr>
        <w:wordWrap/>
        <w:spacing w:beforeLines="0" w:before="240" w:beforeAutospacing="0" w:afterLines="0" w:after="120" w:afterAutospacing="0"/>
      </w:pPr>
      <w:rPr>
        <w:rFonts w:ascii="Arial" w:hAnsi="Arial"/>
        <w:b/>
        <w:color w:val="FFFFFF" w:themeColor="background1"/>
        <w:sz w:val="24"/>
      </w:rPr>
      <w:tblPr/>
      <w:tcPr>
        <w:shd w:val="clear" w:color="auto" w:fill="076A92"/>
      </w:tcPr>
    </w:tblStylePr>
    <w:tblStylePr w:type="band2Horz">
      <w:rPr>
        <w:rFonts w:ascii="Arial" w:hAnsi="Arial"/>
        <w:sz w:val="20"/>
      </w:rPr>
      <w:tblPr/>
      <w:tcPr>
        <w:shd w:val="clear" w:color="auto" w:fill="DBE5F1"/>
      </w:tcPr>
    </w:tblStylePr>
  </w:style>
  <w:style w:type="paragraph" w:customStyle="1" w:styleId="ReportDate">
    <w:name w:val="Report Date"/>
    <w:basedOn w:val="ReportTitle"/>
    <w:link w:val="ReportDateChar"/>
    <w:rsid w:val="000A6C7B"/>
    <w:rPr>
      <w:b w:val="0"/>
      <w:sz w:val="36"/>
      <w:szCs w:val="36"/>
    </w:rPr>
  </w:style>
  <w:style w:type="paragraph" w:customStyle="1" w:styleId="ReportSubtitle">
    <w:name w:val="Report Subtitle"/>
    <w:basedOn w:val="ReportTitle"/>
    <w:link w:val="ReportSubtitleChar"/>
    <w:rsid w:val="00327A1E"/>
    <w:rPr>
      <w:sz w:val="56"/>
      <w:szCs w:val="56"/>
    </w:rPr>
  </w:style>
  <w:style w:type="character" w:customStyle="1" w:styleId="ReportTitleChar">
    <w:name w:val="Report Title Char"/>
    <w:basedOn w:val="Heading1Char"/>
    <w:link w:val="ReportTitle"/>
    <w:rsid w:val="00327A1E"/>
    <w:rPr>
      <w:rFonts w:ascii="Arial" w:eastAsiaTheme="majorEastAsia" w:hAnsi="Arial" w:cstheme="majorBidi"/>
      <w:b w:val="0"/>
      <w:bCs w:val="0"/>
      <w:noProof/>
      <w:color w:val="70635A"/>
      <w:sz w:val="72"/>
      <w:szCs w:val="72"/>
      <w:lang w:eastAsia="en-AU"/>
    </w:rPr>
  </w:style>
  <w:style w:type="character" w:customStyle="1" w:styleId="ReportDateChar">
    <w:name w:val="Report Date Char"/>
    <w:basedOn w:val="ReportTitleChar"/>
    <w:link w:val="ReportDate"/>
    <w:rsid w:val="000A6C7B"/>
    <w:rPr>
      <w:rFonts w:ascii="Arial" w:eastAsiaTheme="majorEastAsia" w:hAnsi="Arial" w:cstheme="majorBidi"/>
      <w:b/>
      <w:bCs w:val="0"/>
      <w:noProof/>
      <w:color w:val="70635A"/>
      <w:sz w:val="36"/>
      <w:szCs w:val="36"/>
      <w:lang w:eastAsia="en-AU"/>
    </w:rPr>
  </w:style>
  <w:style w:type="character" w:customStyle="1" w:styleId="ReportSubtitleChar">
    <w:name w:val="Report Subtitle Char"/>
    <w:basedOn w:val="ReportTitleChar"/>
    <w:link w:val="ReportSubtitle"/>
    <w:rsid w:val="00327A1E"/>
    <w:rPr>
      <w:rFonts w:ascii="Arial" w:eastAsiaTheme="majorEastAsia" w:hAnsi="Arial" w:cstheme="majorBidi"/>
      <w:b w:val="0"/>
      <w:bCs w:val="0"/>
      <w:noProof/>
      <w:color w:val="70635A"/>
      <w:sz w:val="56"/>
      <w:szCs w:val="56"/>
      <w:lang w:eastAsia="en-AU"/>
    </w:rPr>
  </w:style>
  <w:style w:type="character" w:customStyle="1" w:styleId="CopyrightChar">
    <w:name w:val="Copyright Char"/>
    <w:basedOn w:val="DefaultParagraphFont"/>
    <w:link w:val="Copyright"/>
    <w:rsid w:val="00951978"/>
    <w:rPr>
      <w:rFonts w:ascii="Arial" w:hAnsi="Arial"/>
      <w:sz w:val="20"/>
      <w:szCs w:val="20"/>
    </w:rPr>
  </w:style>
  <w:style w:type="paragraph" w:styleId="BodyTextIndent">
    <w:name w:val="Body Text Indent"/>
    <w:basedOn w:val="Normal"/>
    <w:link w:val="BodyTextIndentChar"/>
    <w:uiPriority w:val="99"/>
    <w:semiHidden/>
    <w:unhideWhenUsed/>
    <w:rsid w:val="00F171E0"/>
    <w:pPr>
      <w:spacing w:after="120"/>
      <w:ind w:left="283"/>
    </w:pPr>
  </w:style>
  <w:style w:type="character" w:customStyle="1" w:styleId="BodyTextIndentChar">
    <w:name w:val="Body Text Indent Char"/>
    <w:basedOn w:val="DefaultParagraphFont"/>
    <w:link w:val="BodyTextIndent"/>
    <w:uiPriority w:val="99"/>
    <w:semiHidden/>
    <w:rsid w:val="00F171E0"/>
    <w:rPr>
      <w:rFonts w:ascii="Arial" w:hAnsi="Arial"/>
    </w:rPr>
  </w:style>
  <w:style w:type="paragraph" w:styleId="BodyTextFirstIndent2">
    <w:name w:val="Body Text First Indent 2"/>
    <w:basedOn w:val="BodyTextIndent"/>
    <w:link w:val="BodyTextFirstIndent2Char"/>
    <w:uiPriority w:val="99"/>
    <w:unhideWhenUsed/>
    <w:rsid w:val="00F171E0"/>
    <w:pPr>
      <w:spacing w:after="0"/>
      <w:ind w:left="360" w:firstLine="360"/>
    </w:pPr>
  </w:style>
  <w:style w:type="character" w:customStyle="1" w:styleId="BodyTextFirstIndent2Char">
    <w:name w:val="Body Text First Indent 2 Char"/>
    <w:basedOn w:val="BodyTextIndentChar"/>
    <w:link w:val="BodyTextFirstIndent2"/>
    <w:uiPriority w:val="99"/>
    <w:rsid w:val="00F171E0"/>
    <w:rPr>
      <w:rFonts w:ascii="Arial" w:hAnsi="Arial"/>
    </w:rPr>
  </w:style>
  <w:style w:type="paragraph" w:styleId="Closing">
    <w:name w:val="Closing"/>
    <w:basedOn w:val="Normal"/>
    <w:link w:val="ClosingChar"/>
    <w:uiPriority w:val="99"/>
    <w:unhideWhenUsed/>
    <w:rsid w:val="00F171E0"/>
    <w:pPr>
      <w:spacing w:before="0" w:line="240" w:lineRule="auto"/>
      <w:ind w:left="4252"/>
    </w:pPr>
  </w:style>
  <w:style w:type="character" w:customStyle="1" w:styleId="ClosingChar">
    <w:name w:val="Closing Char"/>
    <w:basedOn w:val="DefaultParagraphFont"/>
    <w:link w:val="Closing"/>
    <w:uiPriority w:val="99"/>
    <w:rsid w:val="00F171E0"/>
    <w:rPr>
      <w:rFonts w:ascii="Arial" w:hAnsi="Arial"/>
    </w:rPr>
  </w:style>
  <w:style w:type="paragraph" w:styleId="BodyTextFirstIndent">
    <w:name w:val="Body Text First Indent"/>
    <w:basedOn w:val="Normal"/>
    <w:link w:val="BodyTextFirstIndentChar"/>
    <w:uiPriority w:val="99"/>
    <w:unhideWhenUsed/>
    <w:rsid w:val="00F171E0"/>
    <w:pPr>
      <w:ind w:firstLine="360"/>
    </w:pPr>
  </w:style>
  <w:style w:type="character" w:customStyle="1" w:styleId="BodyTextFirstIndentChar">
    <w:name w:val="Body Text First Indent Char"/>
    <w:basedOn w:val="DefaultParagraphFont"/>
    <w:link w:val="BodyTextFirstIndent"/>
    <w:uiPriority w:val="99"/>
    <w:rsid w:val="00F171E0"/>
    <w:rPr>
      <w:rFonts w:ascii="Arial" w:hAnsi="Arial"/>
    </w:rPr>
  </w:style>
  <w:style w:type="paragraph" w:styleId="BodyText2">
    <w:name w:val="Body Text 2"/>
    <w:basedOn w:val="Normal"/>
    <w:link w:val="BodyText2Char"/>
    <w:uiPriority w:val="99"/>
    <w:unhideWhenUsed/>
    <w:rsid w:val="00F171E0"/>
    <w:pPr>
      <w:spacing w:after="120" w:line="480" w:lineRule="auto"/>
    </w:pPr>
  </w:style>
  <w:style w:type="character" w:customStyle="1" w:styleId="BodyText2Char">
    <w:name w:val="Body Text 2 Char"/>
    <w:basedOn w:val="DefaultParagraphFont"/>
    <w:link w:val="BodyText2"/>
    <w:uiPriority w:val="99"/>
    <w:rsid w:val="00F171E0"/>
    <w:rPr>
      <w:rFonts w:ascii="Arial" w:hAnsi="Arial"/>
    </w:rPr>
  </w:style>
  <w:style w:type="paragraph" w:customStyle="1" w:styleId="ListLegal">
    <w:name w:val="List Legal"/>
    <w:basedOn w:val="ListParagraph"/>
    <w:rsid w:val="00301B40"/>
    <w:pPr>
      <w:numPr>
        <w:numId w:val="19"/>
      </w:numPr>
      <w:tabs>
        <w:tab w:val="clear" w:pos="340"/>
        <w:tab w:val="left" w:pos="680"/>
      </w:tabs>
      <w:ind w:left="680" w:hanging="340"/>
    </w:pPr>
  </w:style>
  <w:style w:type="character" w:styleId="CommentReference">
    <w:name w:val="annotation reference"/>
    <w:basedOn w:val="DefaultParagraphFont"/>
    <w:uiPriority w:val="99"/>
    <w:unhideWhenUsed/>
    <w:rsid w:val="00F171E0"/>
    <w:rPr>
      <w:sz w:val="16"/>
      <w:szCs w:val="16"/>
    </w:rPr>
  </w:style>
  <w:style w:type="paragraph" w:customStyle="1" w:styleId="ListLegal2">
    <w:name w:val="List Legal 2"/>
    <w:basedOn w:val="ListLegal"/>
    <w:rsid w:val="00301B40"/>
    <w:pPr>
      <w:tabs>
        <w:tab w:val="clear" w:pos="680"/>
        <w:tab w:val="left" w:pos="1021"/>
      </w:tabs>
      <w:ind w:left="1020"/>
    </w:pPr>
  </w:style>
  <w:style w:type="paragraph" w:customStyle="1" w:styleId="ListLegal3">
    <w:name w:val="List Legal 3"/>
    <w:basedOn w:val="ListNumber3"/>
    <w:rsid w:val="00571D57"/>
    <w:pPr>
      <w:numPr>
        <w:numId w:val="20"/>
      </w:numPr>
      <w:tabs>
        <w:tab w:val="left" w:pos="1361"/>
      </w:tabs>
      <w:ind w:left="1361" w:hanging="340"/>
    </w:pPr>
  </w:style>
  <w:style w:type="paragraph" w:customStyle="1" w:styleId="ListLegal4">
    <w:name w:val="List Legal 4"/>
    <w:basedOn w:val="ListLegal3"/>
    <w:rsid w:val="00571D57"/>
    <w:pPr>
      <w:tabs>
        <w:tab w:val="clear" w:pos="1361"/>
        <w:tab w:val="left" w:pos="1701"/>
      </w:tabs>
      <w:ind w:left="1701"/>
    </w:pPr>
  </w:style>
  <w:style w:type="paragraph" w:customStyle="1" w:styleId="ListLegal5">
    <w:name w:val="List Legal 5"/>
    <w:basedOn w:val="ListLegal4"/>
    <w:rsid w:val="00571D57"/>
    <w:pPr>
      <w:tabs>
        <w:tab w:val="clear" w:pos="1701"/>
        <w:tab w:val="left" w:pos="2041"/>
      </w:tabs>
      <w:ind w:left="2041"/>
    </w:pPr>
  </w:style>
  <w:style w:type="paragraph" w:styleId="Date">
    <w:name w:val="Date"/>
    <w:basedOn w:val="Normal"/>
    <w:next w:val="Normal"/>
    <w:link w:val="DateChar"/>
    <w:uiPriority w:val="99"/>
    <w:unhideWhenUsed/>
    <w:rsid w:val="00F171E0"/>
  </w:style>
  <w:style w:type="character" w:customStyle="1" w:styleId="DateChar">
    <w:name w:val="Date Char"/>
    <w:basedOn w:val="DefaultParagraphFont"/>
    <w:link w:val="Date"/>
    <w:uiPriority w:val="99"/>
    <w:rsid w:val="00F171E0"/>
    <w:rPr>
      <w:rFonts w:ascii="Arial" w:hAnsi="Arial"/>
    </w:rPr>
  </w:style>
  <w:style w:type="paragraph" w:styleId="DocumentMap">
    <w:name w:val="Document Map"/>
    <w:basedOn w:val="Normal"/>
    <w:link w:val="DocumentMapChar"/>
    <w:uiPriority w:val="99"/>
    <w:unhideWhenUsed/>
    <w:rsid w:val="00F171E0"/>
    <w:pPr>
      <w:spacing w:before="0" w:line="240" w:lineRule="auto"/>
    </w:pPr>
    <w:rPr>
      <w:rFonts w:ascii="Tahoma" w:hAnsi="Tahoma" w:cs="Tahoma"/>
      <w:sz w:val="16"/>
      <w:szCs w:val="16"/>
    </w:rPr>
  </w:style>
  <w:style w:type="character" w:customStyle="1" w:styleId="DocumentMapChar">
    <w:name w:val="Document Map Char"/>
    <w:basedOn w:val="DefaultParagraphFont"/>
    <w:link w:val="DocumentMap"/>
    <w:uiPriority w:val="99"/>
    <w:rsid w:val="00F171E0"/>
    <w:rPr>
      <w:rFonts w:ascii="Tahoma" w:hAnsi="Tahoma" w:cs="Tahoma"/>
      <w:sz w:val="16"/>
      <w:szCs w:val="16"/>
    </w:rPr>
  </w:style>
  <w:style w:type="paragraph" w:styleId="E-mailSignature">
    <w:name w:val="E-mail Signature"/>
    <w:basedOn w:val="Normal"/>
    <w:link w:val="E-mailSignatureChar"/>
    <w:uiPriority w:val="99"/>
    <w:unhideWhenUsed/>
    <w:rsid w:val="00F171E0"/>
    <w:pPr>
      <w:spacing w:before="0" w:line="240" w:lineRule="auto"/>
    </w:pPr>
  </w:style>
  <w:style w:type="character" w:customStyle="1" w:styleId="E-mailSignatureChar">
    <w:name w:val="E-mail Signature Char"/>
    <w:basedOn w:val="DefaultParagraphFont"/>
    <w:link w:val="E-mailSignature"/>
    <w:uiPriority w:val="99"/>
    <w:rsid w:val="00F171E0"/>
    <w:rPr>
      <w:rFonts w:ascii="Arial" w:hAnsi="Arial"/>
    </w:rPr>
  </w:style>
  <w:style w:type="paragraph" w:styleId="EnvelopeAddress">
    <w:name w:val="envelope address"/>
    <w:basedOn w:val="Normal"/>
    <w:uiPriority w:val="99"/>
    <w:unhideWhenUsed/>
    <w:rsid w:val="00F171E0"/>
    <w:pPr>
      <w:framePr w:w="7920" w:h="1980" w:hRule="exact" w:hSpace="180" w:wrap="auto" w:hAnchor="page" w:xAlign="center" w:yAlign="bottom"/>
      <w:spacing w:before="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unhideWhenUsed/>
    <w:rsid w:val="00F171E0"/>
    <w:pPr>
      <w:spacing w:before="0" w:line="240" w:lineRule="auto"/>
    </w:pPr>
    <w:rPr>
      <w:rFonts w:asciiTheme="majorHAnsi" w:eastAsiaTheme="majorEastAsia" w:hAnsiTheme="majorHAnsi" w:cstheme="majorBidi"/>
      <w:sz w:val="20"/>
      <w:szCs w:val="20"/>
    </w:rPr>
  </w:style>
  <w:style w:type="character" w:styleId="FollowedHyperlink">
    <w:name w:val="FollowedHyperlink"/>
    <w:basedOn w:val="DefaultParagraphFont"/>
    <w:uiPriority w:val="99"/>
    <w:unhideWhenUsed/>
    <w:rsid w:val="00F171E0"/>
    <w:rPr>
      <w:color w:val="800080" w:themeColor="followedHyperlink"/>
      <w:u w:val="single"/>
    </w:rPr>
  </w:style>
  <w:style w:type="paragraph" w:styleId="Index3">
    <w:name w:val="index 3"/>
    <w:basedOn w:val="Normal"/>
    <w:next w:val="Normal"/>
    <w:autoRedefine/>
    <w:uiPriority w:val="99"/>
    <w:unhideWhenUsed/>
    <w:rsid w:val="00F171E0"/>
    <w:pPr>
      <w:spacing w:before="0" w:line="240" w:lineRule="auto"/>
      <w:ind w:left="660" w:hanging="220"/>
    </w:pPr>
  </w:style>
  <w:style w:type="paragraph" w:styleId="Index4">
    <w:name w:val="index 4"/>
    <w:basedOn w:val="Normal"/>
    <w:next w:val="Normal"/>
    <w:autoRedefine/>
    <w:uiPriority w:val="99"/>
    <w:unhideWhenUsed/>
    <w:rsid w:val="00F171E0"/>
    <w:pPr>
      <w:spacing w:before="0" w:line="240" w:lineRule="auto"/>
      <w:ind w:left="880" w:hanging="220"/>
    </w:pPr>
  </w:style>
  <w:style w:type="paragraph" w:styleId="Index5">
    <w:name w:val="index 5"/>
    <w:basedOn w:val="Normal"/>
    <w:next w:val="Normal"/>
    <w:autoRedefine/>
    <w:uiPriority w:val="99"/>
    <w:unhideWhenUsed/>
    <w:rsid w:val="00F171E0"/>
    <w:pPr>
      <w:spacing w:before="0" w:line="240" w:lineRule="auto"/>
      <w:ind w:left="1100" w:hanging="220"/>
    </w:pPr>
  </w:style>
  <w:style w:type="paragraph" w:styleId="IndexHeading">
    <w:name w:val="index heading"/>
    <w:basedOn w:val="Normal"/>
    <w:next w:val="Index1"/>
    <w:uiPriority w:val="99"/>
    <w:unhideWhenUsed/>
    <w:rsid w:val="00F171E0"/>
    <w:rPr>
      <w:rFonts w:asciiTheme="majorHAnsi" w:eastAsiaTheme="majorEastAsia" w:hAnsiTheme="majorHAnsi" w:cstheme="majorBidi"/>
      <w:b/>
      <w:bCs/>
    </w:rPr>
  </w:style>
  <w:style w:type="character" w:styleId="IntenseEmphasis">
    <w:name w:val="Intense Emphasis"/>
    <w:basedOn w:val="DefaultParagraphFont"/>
    <w:uiPriority w:val="21"/>
    <w:unhideWhenUsed/>
    <w:rsid w:val="00F171E0"/>
    <w:rPr>
      <w:b/>
      <w:bCs/>
      <w:i/>
      <w:iCs/>
      <w:color w:val="2F002F" w:themeColor="accent1"/>
    </w:rPr>
  </w:style>
  <w:style w:type="paragraph" w:styleId="IntenseQuote">
    <w:name w:val="Intense Quote"/>
    <w:basedOn w:val="Normal"/>
    <w:next w:val="Normal"/>
    <w:link w:val="IntenseQuoteChar"/>
    <w:uiPriority w:val="30"/>
    <w:unhideWhenUsed/>
    <w:rsid w:val="00F171E0"/>
    <w:pPr>
      <w:pBdr>
        <w:bottom w:val="single" w:sz="4" w:space="4" w:color="2F002F" w:themeColor="accent1"/>
      </w:pBdr>
      <w:spacing w:after="280"/>
      <w:ind w:left="936" w:right="936"/>
    </w:pPr>
    <w:rPr>
      <w:b/>
      <w:bCs/>
      <w:i/>
      <w:iCs/>
      <w:color w:val="2F002F" w:themeColor="accent1"/>
    </w:rPr>
  </w:style>
  <w:style w:type="character" w:customStyle="1" w:styleId="IntenseQuoteChar">
    <w:name w:val="Intense Quote Char"/>
    <w:basedOn w:val="DefaultParagraphFont"/>
    <w:link w:val="IntenseQuote"/>
    <w:uiPriority w:val="30"/>
    <w:rsid w:val="00F171E0"/>
    <w:rPr>
      <w:rFonts w:ascii="Arial" w:hAnsi="Arial"/>
      <w:b/>
      <w:bCs/>
      <w:i/>
      <w:iCs/>
      <w:color w:val="2F002F" w:themeColor="accent1"/>
    </w:rPr>
  </w:style>
  <w:style w:type="character" w:styleId="IntenseReference">
    <w:name w:val="Intense Reference"/>
    <w:basedOn w:val="DefaultParagraphFont"/>
    <w:uiPriority w:val="32"/>
    <w:unhideWhenUsed/>
    <w:rsid w:val="00F171E0"/>
    <w:rPr>
      <w:b/>
      <w:bCs/>
      <w:smallCaps/>
      <w:color w:val="C14E00" w:themeColor="accent2"/>
      <w:spacing w:val="5"/>
      <w:u w:val="single"/>
    </w:rPr>
  </w:style>
  <w:style w:type="character" w:styleId="LineNumber">
    <w:name w:val="line number"/>
    <w:basedOn w:val="DefaultParagraphFont"/>
    <w:uiPriority w:val="99"/>
    <w:unhideWhenUsed/>
    <w:rsid w:val="00F171E0"/>
  </w:style>
  <w:style w:type="paragraph" w:customStyle="1" w:styleId="Listalphabet2">
    <w:name w:val="List alphabet 2"/>
    <w:basedOn w:val="Listalphabet"/>
    <w:rsid w:val="00DB5074"/>
    <w:pPr>
      <w:numPr>
        <w:numId w:val="18"/>
      </w:numPr>
      <w:tabs>
        <w:tab w:val="clear" w:pos="340"/>
        <w:tab w:val="left" w:pos="680"/>
      </w:tabs>
      <w:ind w:left="680" w:hanging="340"/>
    </w:pPr>
  </w:style>
  <w:style w:type="paragraph" w:customStyle="1" w:styleId="Listalphabet3">
    <w:name w:val="List alphabet 3"/>
    <w:basedOn w:val="Listalphabet2"/>
    <w:rsid w:val="00DB5074"/>
    <w:pPr>
      <w:tabs>
        <w:tab w:val="clear" w:pos="680"/>
        <w:tab w:val="left" w:pos="1021"/>
      </w:tabs>
      <w:ind w:left="1020"/>
    </w:pPr>
  </w:style>
  <w:style w:type="paragraph" w:customStyle="1" w:styleId="Listalphabet4">
    <w:name w:val="List alphabet 4"/>
    <w:basedOn w:val="Listalphabet3"/>
    <w:rsid w:val="00DB5074"/>
    <w:pPr>
      <w:tabs>
        <w:tab w:val="clear" w:pos="1021"/>
        <w:tab w:val="left" w:pos="1361"/>
      </w:tabs>
      <w:ind w:left="1361"/>
    </w:pPr>
  </w:style>
  <w:style w:type="paragraph" w:customStyle="1" w:styleId="Listalphabet5">
    <w:name w:val="List alphabet 5"/>
    <w:basedOn w:val="Listalphabet4"/>
    <w:rsid w:val="00DB5074"/>
    <w:pPr>
      <w:tabs>
        <w:tab w:val="clear" w:pos="1361"/>
        <w:tab w:val="left" w:pos="1701"/>
      </w:tabs>
      <w:ind w:left="1701"/>
    </w:pPr>
  </w:style>
  <w:style w:type="paragraph" w:styleId="ListContinue5">
    <w:name w:val="List Continue 5"/>
    <w:basedOn w:val="Normal"/>
    <w:uiPriority w:val="99"/>
    <w:unhideWhenUsed/>
    <w:rsid w:val="00DB5074"/>
    <w:pPr>
      <w:tabs>
        <w:tab w:val="left" w:pos="1701"/>
      </w:tabs>
      <w:spacing w:after="120"/>
      <w:ind w:left="1701"/>
      <w:contextualSpacing/>
    </w:pPr>
  </w:style>
  <w:style w:type="paragraph" w:styleId="ListNumber2">
    <w:name w:val="List Number 2"/>
    <w:basedOn w:val="Normal"/>
    <w:uiPriority w:val="99"/>
    <w:unhideWhenUsed/>
    <w:rsid w:val="00571D57"/>
    <w:pPr>
      <w:numPr>
        <w:numId w:val="8"/>
      </w:numPr>
      <w:tabs>
        <w:tab w:val="left" w:pos="680"/>
      </w:tabs>
      <w:spacing w:before="80" w:line="360" w:lineRule="auto"/>
      <w:ind w:left="680" w:hanging="340"/>
      <w:contextualSpacing/>
    </w:pPr>
  </w:style>
  <w:style w:type="character" w:customStyle="1" w:styleId="SalutationChar">
    <w:name w:val="Salutation Char"/>
    <w:basedOn w:val="DefaultParagraphFont"/>
    <w:link w:val="Salutation"/>
    <w:uiPriority w:val="99"/>
    <w:rsid w:val="00CA489E"/>
    <w:rPr>
      <w:rFonts w:ascii="Arial" w:hAnsi="Arial"/>
    </w:rPr>
  </w:style>
  <w:style w:type="paragraph" w:styleId="Signature">
    <w:name w:val="Signature"/>
    <w:basedOn w:val="Normal"/>
    <w:link w:val="SignatureChar"/>
    <w:uiPriority w:val="99"/>
    <w:unhideWhenUsed/>
    <w:rsid w:val="00CA489E"/>
    <w:pPr>
      <w:spacing w:before="0" w:line="240" w:lineRule="auto"/>
      <w:ind w:left="4252"/>
    </w:pPr>
  </w:style>
  <w:style w:type="character" w:customStyle="1" w:styleId="SignatureChar">
    <w:name w:val="Signature Char"/>
    <w:basedOn w:val="DefaultParagraphFont"/>
    <w:link w:val="Signature"/>
    <w:uiPriority w:val="99"/>
    <w:rsid w:val="00CA489E"/>
    <w:rPr>
      <w:rFonts w:ascii="Arial" w:hAnsi="Arial"/>
    </w:rPr>
  </w:style>
  <w:style w:type="character" w:styleId="SubtleEmphasis">
    <w:name w:val="Subtle Emphasis"/>
    <w:basedOn w:val="DefaultParagraphFont"/>
    <w:uiPriority w:val="19"/>
    <w:unhideWhenUsed/>
    <w:rsid w:val="00CA489E"/>
    <w:rPr>
      <w:b/>
      <w:i/>
      <w:iCs/>
      <w:color w:val="2F002F" w:themeColor="accent1"/>
    </w:rPr>
  </w:style>
  <w:style w:type="character" w:styleId="SubtleReference">
    <w:name w:val="Subtle Reference"/>
    <w:basedOn w:val="DefaultParagraphFont"/>
    <w:uiPriority w:val="31"/>
    <w:unhideWhenUsed/>
    <w:rsid w:val="00CA489E"/>
    <w:rPr>
      <w:smallCaps/>
      <w:color w:val="C14E00" w:themeColor="accent2"/>
      <w:u w:val="single"/>
    </w:rPr>
  </w:style>
  <w:style w:type="paragraph" w:customStyle="1" w:styleId="Quotes">
    <w:name w:val="Quotes"/>
    <w:basedOn w:val="Normal"/>
    <w:rsid w:val="0020492C"/>
    <w:pPr>
      <w:spacing w:before="120" w:after="120" w:line="240" w:lineRule="auto"/>
      <w:ind w:left="567" w:right="793"/>
    </w:pPr>
    <w:rPr>
      <w:rFonts w:eastAsia="Times New Roman" w:cs="Times New Roman"/>
      <w:sz w:val="20"/>
      <w:szCs w:val="20"/>
      <w:lang w:eastAsia="en-AU"/>
    </w:rPr>
  </w:style>
  <w:style w:type="character" w:styleId="PageNumber">
    <w:name w:val="page number"/>
    <w:basedOn w:val="DefaultParagraphFont"/>
    <w:rsid w:val="0020492C"/>
  </w:style>
  <w:style w:type="character" w:styleId="PlaceholderText">
    <w:name w:val="Placeholder Text"/>
    <w:basedOn w:val="DefaultParagraphFont"/>
    <w:uiPriority w:val="99"/>
    <w:semiHidden/>
    <w:rsid w:val="008D1661"/>
    <w:rPr>
      <w:color w:val="808080"/>
    </w:rPr>
  </w:style>
  <w:style w:type="paragraph" w:customStyle="1" w:styleId="StyleCopyrightBefore0pt">
    <w:name w:val="Style Copyright + Before:  0 pt"/>
    <w:basedOn w:val="Copyright"/>
    <w:rsid w:val="00185CB9"/>
    <w:pPr>
      <w:spacing w:before="120"/>
    </w:pPr>
    <w:rPr>
      <w:rFonts w:eastAsia="Times New Roman" w:cs="Times New Roman"/>
    </w:rPr>
  </w:style>
  <w:style w:type="character" w:customStyle="1" w:styleId="Bold">
    <w:name w:val="Bold"/>
    <w:basedOn w:val="DefaultParagraphFont"/>
    <w:rsid w:val="0020492C"/>
    <w:rPr>
      <w:b/>
      <w:bCs/>
    </w:rPr>
  </w:style>
  <w:style w:type="paragraph" w:customStyle="1" w:styleId="LegalNumbering">
    <w:name w:val="Legal Numbering"/>
    <w:basedOn w:val="Normal"/>
    <w:rsid w:val="005829C2"/>
    <w:pPr>
      <w:numPr>
        <w:numId w:val="21"/>
      </w:numPr>
      <w:tabs>
        <w:tab w:val="left" w:pos="680"/>
        <w:tab w:val="left" w:pos="1021"/>
        <w:tab w:val="left" w:pos="1361"/>
      </w:tabs>
      <w:spacing w:line="240" w:lineRule="auto"/>
    </w:pPr>
  </w:style>
  <w:style w:type="character" w:customStyle="1" w:styleId="AERtextsize8">
    <w:name w:val="AER text size 8"/>
    <w:basedOn w:val="DefaultParagraphFont"/>
    <w:uiPriority w:val="1"/>
    <w:qFormat/>
    <w:rsid w:val="00CC213C"/>
    <w:rPr>
      <w:rFonts w:ascii="Arial" w:hAnsi="Arial"/>
      <w:color w:val="auto"/>
      <w:sz w:val="16"/>
    </w:rPr>
  </w:style>
  <w:style w:type="paragraph" w:customStyle="1" w:styleId="NumberedChapterTitle">
    <w:name w:val="Numbered Chapter Title"/>
    <w:basedOn w:val="Chaptertitle"/>
    <w:qFormat/>
    <w:rsid w:val="00EB505D"/>
    <w:pPr>
      <w:numPr>
        <w:numId w:val="23"/>
      </w:numPr>
      <w:tabs>
        <w:tab w:val="left" w:pos="680"/>
      </w:tabs>
      <w:ind w:left="680" w:hanging="680"/>
    </w:pPr>
  </w:style>
  <w:style w:type="paragraph" w:styleId="Revision">
    <w:name w:val="Revision"/>
    <w:hidden/>
    <w:uiPriority w:val="99"/>
    <w:semiHidden/>
    <w:rsid w:val="00182906"/>
    <w:pPr>
      <w:spacing w:before="0"/>
    </w:pPr>
    <w:rPr>
      <w:rFonts w:ascii="Arial" w:hAnsi="Arial"/>
    </w:rPr>
  </w:style>
  <w:style w:type="paragraph" w:styleId="CommentText">
    <w:name w:val="annotation text"/>
    <w:basedOn w:val="Normal"/>
    <w:link w:val="CommentTextChar"/>
    <w:uiPriority w:val="99"/>
    <w:semiHidden/>
    <w:unhideWhenUsed/>
    <w:rsid w:val="00EC6B12"/>
    <w:pPr>
      <w:spacing w:line="240" w:lineRule="auto"/>
    </w:pPr>
    <w:rPr>
      <w:sz w:val="20"/>
      <w:szCs w:val="20"/>
    </w:rPr>
  </w:style>
  <w:style w:type="character" w:customStyle="1" w:styleId="CommentTextChar">
    <w:name w:val="Comment Text Char"/>
    <w:basedOn w:val="DefaultParagraphFont"/>
    <w:link w:val="CommentText"/>
    <w:uiPriority w:val="99"/>
    <w:semiHidden/>
    <w:rsid w:val="00EC6B12"/>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EC6B12"/>
    <w:rPr>
      <w:b/>
      <w:bCs/>
    </w:rPr>
  </w:style>
  <w:style w:type="character" w:customStyle="1" w:styleId="CommentSubjectChar">
    <w:name w:val="Comment Subject Char"/>
    <w:basedOn w:val="CommentTextChar"/>
    <w:link w:val="CommentSubject"/>
    <w:uiPriority w:val="99"/>
    <w:semiHidden/>
    <w:rsid w:val="00EC6B12"/>
    <w:rPr>
      <w:rFonts w:ascii="Arial" w:hAnsi="Arial"/>
      <w:b/>
      <w:bCs/>
      <w:sz w:val="20"/>
      <w:szCs w:val="20"/>
    </w:rPr>
  </w:style>
  <w:style w:type="paragraph" w:customStyle="1" w:styleId="LetterAuthor">
    <w:name w:val="Letter Author"/>
    <w:basedOn w:val="Normal"/>
    <w:link w:val="LetterAuthorChar"/>
    <w:qFormat/>
    <w:rsid w:val="00EA2181"/>
    <w:pPr>
      <w:spacing w:before="0" w:line="240" w:lineRule="auto"/>
      <w:ind w:right="567"/>
    </w:pPr>
    <w:rPr>
      <w:rFonts w:eastAsia="Times New Roman" w:cs="Times New Roman"/>
      <w:szCs w:val="24"/>
      <w:lang w:eastAsia="en-AU"/>
    </w:rPr>
  </w:style>
  <w:style w:type="character" w:customStyle="1" w:styleId="LetterAuthorChar">
    <w:name w:val="Letter Author Char"/>
    <w:basedOn w:val="DefaultParagraphFont"/>
    <w:link w:val="LetterAuthor"/>
    <w:rsid w:val="00EA2181"/>
    <w:rPr>
      <w:rFonts w:ascii="Arial" w:eastAsia="Times New Roman" w:hAnsi="Arial" w:cs="Times New Roman"/>
      <w:szCs w:val="24"/>
      <w:lang w:eastAsia="en-AU"/>
    </w:rPr>
  </w:style>
  <w:style w:type="paragraph" w:customStyle="1" w:styleId="AERbodytext">
    <w:name w:val="AER body text"/>
    <w:basedOn w:val="Normal"/>
    <w:link w:val="AERbodytextChar"/>
    <w:qFormat/>
    <w:rsid w:val="00EA2181"/>
    <w:pPr>
      <w:spacing w:before="0" w:line="240" w:lineRule="atLeast"/>
      <w:ind w:right="567"/>
    </w:pPr>
    <w:rPr>
      <w:rFonts w:eastAsia="Times New Roman" w:cs="Times New Roman"/>
      <w:szCs w:val="20"/>
      <w:lang w:eastAsia="en-AU"/>
    </w:rPr>
  </w:style>
  <w:style w:type="character" w:customStyle="1" w:styleId="AERbodytextChar">
    <w:name w:val="AER body text Char"/>
    <w:basedOn w:val="DefaultParagraphFont"/>
    <w:link w:val="AERbodytext"/>
    <w:rsid w:val="00EA2181"/>
    <w:rPr>
      <w:rFonts w:ascii="Arial" w:eastAsia="Times New Roman" w:hAnsi="Arial" w:cs="Times New Roman"/>
      <w:szCs w:val="20"/>
      <w:lang w:eastAsia="en-AU"/>
    </w:rPr>
  </w:style>
  <w:style w:type="paragraph" w:customStyle="1" w:styleId="AERbulletlistsecondstyle">
    <w:name w:val="AER bullet list (second style)"/>
    <w:basedOn w:val="AERbodytext"/>
    <w:qFormat/>
    <w:rsid w:val="006527E0"/>
    <w:pPr>
      <w:numPr>
        <w:numId w:val="25"/>
      </w:numPr>
      <w:spacing w:after="200" w:line="288" w:lineRule="auto"/>
      <w:ind w:right="0"/>
      <w:jc w:val="both"/>
    </w:pPr>
    <w:rPr>
      <w:rFonts w:ascii="Gautami" w:hAnsi="Gautami"/>
      <w:sz w:val="20"/>
      <w:szCs w:val="24"/>
      <w:lang w:eastAsia="en-US"/>
    </w:rPr>
  </w:style>
  <w:style w:type="paragraph" w:styleId="NormalWeb">
    <w:name w:val="Normal (Web)"/>
    <w:basedOn w:val="Normal"/>
    <w:uiPriority w:val="99"/>
    <w:unhideWhenUsed/>
    <w:rsid w:val="001F7D19"/>
    <w:pPr>
      <w:spacing w:before="100" w:beforeAutospacing="1" w:after="100" w:afterAutospacing="1" w:line="240" w:lineRule="auto"/>
    </w:pPr>
    <w:rPr>
      <w:rFonts w:ascii="Times New Roman" w:hAnsi="Times New Roman" w:cs="Times New Roman"/>
      <w:sz w:val="24"/>
      <w:szCs w:val="24"/>
      <w:lang w:eastAsia="en-AU"/>
    </w:rPr>
  </w:style>
  <w:style w:type="paragraph" w:customStyle="1" w:styleId="AERbodytextCharCharChar">
    <w:name w:val="AER body text Char Char Char"/>
    <w:link w:val="AERbodytextCharCharCharChar"/>
    <w:uiPriority w:val="99"/>
    <w:rsid w:val="00D12152"/>
    <w:pPr>
      <w:spacing w:before="0" w:after="240"/>
    </w:pPr>
    <w:rPr>
      <w:rFonts w:ascii="Times New Roman" w:eastAsia="Times New Roman" w:hAnsi="Times New Roman" w:cs="Times New Roman"/>
      <w:sz w:val="24"/>
      <w:szCs w:val="24"/>
    </w:rPr>
  </w:style>
  <w:style w:type="character" w:customStyle="1" w:styleId="AERbodytextCharCharCharChar">
    <w:name w:val="AER body text Char Char Char Char"/>
    <w:basedOn w:val="DefaultParagraphFont"/>
    <w:link w:val="AERbodytextCharCharChar"/>
    <w:uiPriority w:val="99"/>
    <w:rsid w:val="00D12152"/>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Heading1Char">
    <w:name w:val="AlphanumericList"/>
    <w:pPr>
      <w:numPr>
        <w:numId w:val="1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8639384">
      <w:bodyDiv w:val="1"/>
      <w:marLeft w:val="0"/>
      <w:marRight w:val="0"/>
      <w:marTop w:val="0"/>
      <w:marBottom w:val="0"/>
      <w:divBdr>
        <w:top w:val="none" w:sz="0" w:space="0" w:color="auto"/>
        <w:left w:val="none" w:sz="0" w:space="0" w:color="auto"/>
        <w:bottom w:val="none" w:sz="0" w:space="0" w:color="auto"/>
        <w:right w:val="none" w:sz="0" w:space="0" w:color="auto"/>
      </w:divBdr>
    </w:div>
    <w:div w:id="260573031">
      <w:bodyDiv w:val="1"/>
      <w:marLeft w:val="0"/>
      <w:marRight w:val="0"/>
      <w:marTop w:val="0"/>
      <w:marBottom w:val="0"/>
      <w:divBdr>
        <w:top w:val="none" w:sz="0" w:space="0" w:color="auto"/>
        <w:left w:val="none" w:sz="0" w:space="0" w:color="auto"/>
        <w:bottom w:val="none" w:sz="0" w:space="0" w:color="auto"/>
        <w:right w:val="none" w:sz="0" w:space="0" w:color="auto"/>
      </w:divBdr>
    </w:div>
    <w:div w:id="277221644">
      <w:bodyDiv w:val="1"/>
      <w:marLeft w:val="0"/>
      <w:marRight w:val="0"/>
      <w:marTop w:val="0"/>
      <w:marBottom w:val="0"/>
      <w:divBdr>
        <w:top w:val="none" w:sz="0" w:space="0" w:color="auto"/>
        <w:left w:val="none" w:sz="0" w:space="0" w:color="auto"/>
        <w:bottom w:val="none" w:sz="0" w:space="0" w:color="auto"/>
        <w:right w:val="none" w:sz="0" w:space="0" w:color="auto"/>
      </w:divBdr>
    </w:div>
    <w:div w:id="364988706">
      <w:bodyDiv w:val="1"/>
      <w:marLeft w:val="0"/>
      <w:marRight w:val="0"/>
      <w:marTop w:val="0"/>
      <w:marBottom w:val="0"/>
      <w:divBdr>
        <w:top w:val="none" w:sz="0" w:space="0" w:color="auto"/>
        <w:left w:val="none" w:sz="0" w:space="0" w:color="auto"/>
        <w:bottom w:val="none" w:sz="0" w:space="0" w:color="auto"/>
        <w:right w:val="none" w:sz="0" w:space="0" w:color="auto"/>
      </w:divBdr>
    </w:div>
    <w:div w:id="440224734">
      <w:bodyDiv w:val="1"/>
      <w:marLeft w:val="0"/>
      <w:marRight w:val="0"/>
      <w:marTop w:val="0"/>
      <w:marBottom w:val="0"/>
      <w:divBdr>
        <w:top w:val="none" w:sz="0" w:space="0" w:color="auto"/>
        <w:left w:val="none" w:sz="0" w:space="0" w:color="auto"/>
        <w:bottom w:val="none" w:sz="0" w:space="0" w:color="auto"/>
        <w:right w:val="none" w:sz="0" w:space="0" w:color="auto"/>
      </w:divBdr>
    </w:div>
    <w:div w:id="443161696">
      <w:bodyDiv w:val="1"/>
      <w:marLeft w:val="0"/>
      <w:marRight w:val="0"/>
      <w:marTop w:val="0"/>
      <w:marBottom w:val="0"/>
      <w:divBdr>
        <w:top w:val="none" w:sz="0" w:space="0" w:color="auto"/>
        <w:left w:val="none" w:sz="0" w:space="0" w:color="auto"/>
        <w:bottom w:val="none" w:sz="0" w:space="0" w:color="auto"/>
        <w:right w:val="none" w:sz="0" w:space="0" w:color="auto"/>
      </w:divBdr>
    </w:div>
    <w:div w:id="460463153">
      <w:bodyDiv w:val="1"/>
      <w:marLeft w:val="0"/>
      <w:marRight w:val="0"/>
      <w:marTop w:val="0"/>
      <w:marBottom w:val="0"/>
      <w:divBdr>
        <w:top w:val="none" w:sz="0" w:space="0" w:color="auto"/>
        <w:left w:val="none" w:sz="0" w:space="0" w:color="auto"/>
        <w:bottom w:val="none" w:sz="0" w:space="0" w:color="auto"/>
        <w:right w:val="none" w:sz="0" w:space="0" w:color="auto"/>
      </w:divBdr>
    </w:div>
    <w:div w:id="464549839">
      <w:bodyDiv w:val="1"/>
      <w:marLeft w:val="0"/>
      <w:marRight w:val="0"/>
      <w:marTop w:val="0"/>
      <w:marBottom w:val="0"/>
      <w:divBdr>
        <w:top w:val="none" w:sz="0" w:space="0" w:color="auto"/>
        <w:left w:val="none" w:sz="0" w:space="0" w:color="auto"/>
        <w:bottom w:val="none" w:sz="0" w:space="0" w:color="auto"/>
        <w:right w:val="none" w:sz="0" w:space="0" w:color="auto"/>
      </w:divBdr>
    </w:div>
    <w:div w:id="522279341">
      <w:bodyDiv w:val="1"/>
      <w:marLeft w:val="0"/>
      <w:marRight w:val="0"/>
      <w:marTop w:val="0"/>
      <w:marBottom w:val="0"/>
      <w:divBdr>
        <w:top w:val="none" w:sz="0" w:space="0" w:color="auto"/>
        <w:left w:val="none" w:sz="0" w:space="0" w:color="auto"/>
        <w:bottom w:val="none" w:sz="0" w:space="0" w:color="auto"/>
        <w:right w:val="none" w:sz="0" w:space="0" w:color="auto"/>
      </w:divBdr>
    </w:div>
    <w:div w:id="606350204">
      <w:bodyDiv w:val="1"/>
      <w:marLeft w:val="0"/>
      <w:marRight w:val="0"/>
      <w:marTop w:val="0"/>
      <w:marBottom w:val="0"/>
      <w:divBdr>
        <w:top w:val="none" w:sz="0" w:space="0" w:color="auto"/>
        <w:left w:val="none" w:sz="0" w:space="0" w:color="auto"/>
        <w:bottom w:val="none" w:sz="0" w:space="0" w:color="auto"/>
        <w:right w:val="none" w:sz="0" w:space="0" w:color="auto"/>
      </w:divBdr>
    </w:div>
    <w:div w:id="613559040">
      <w:bodyDiv w:val="1"/>
      <w:marLeft w:val="0"/>
      <w:marRight w:val="0"/>
      <w:marTop w:val="0"/>
      <w:marBottom w:val="0"/>
      <w:divBdr>
        <w:top w:val="none" w:sz="0" w:space="0" w:color="auto"/>
        <w:left w:val="none" w:sz="0" w:space="0" w:color="auto"/>
        <w:bottom w:val="none" w:sz="0" w:space="0" w:color="auto"/>
        <w:right w:val="none" w:sz="0" w:space="0" w:color="auto"/>
      </w:divBdr>
    </w:div>
    <w:div w:id="642926293">
      <w:bodyDiv w:val="1"/>
      <w:marLeft w:val="0"/>
      <w:marRight w:val="0"/>
      <w:marTop w:val="0"/>
      <w:marBottom w:val="0"/>
      <w:divBdr>
        <w:top w:val="none" w:sz="0" w:space="0" w:color="auto"/>
        <w:left w:val="none" w:sz="0" w:space="0" w:color="auto"/>
        <w:bottom w:val="none" w:sz="0" w:space="0" w:color="auto"/>
        <w:right w:val="none" w:sz="0" w:space="0" w:color="auto"/>
      </w:divBdr>
    </w:div>
    <w:div w:id="655960067">
      <w:bodyDiv w:val="1"/>
      <w:marLeft w:val="0"/>
      <w:marRight w:val="0"/>
      <w:marTop w:val="0"/>
      <w:marBottom w:val="0"/>
      <w:divBdr>
        <w:top w:val="none" w:sz="0" w:space="0" w:color="auto"/>
        <w:left w:val="none" w:sz="0" w:space="0" w:color="auto"/>
        <w:bottom w:val="none" w:sz="0" w:space="0" w:color="auto"/>
        <w:right w:val="none" w:sz="0" w:space="0" w:color="auto"/>
      </w:divBdr>
    </w:div>
    <w:div w:id="690379081">
      <w:bodyDiv w:val="1"/>
      <w:marLeft w:val="0"/>
      <w:marRight w:val="0"/>
      <w:marTop w:val="0"/>
      <w:marBottom w:val="0"/>
      <w:divBdr>
        <w:top w:val="none" w:sz="0" w:space="0" w:color="auto"/>
        <w:left w:val="none" w:sz="0" w:space="0" w:color="auto"/>
        <w:bottom w:val="none" w:sz="0" w:space="0" w:color="auto"/>
        <w:right w:val="none" w:sz="0" w:space="0" w:color="auto"/>
      </w:divBdr>
    </w:div>
    <w:div w:id="833572396">
      <w:bodyDiv w:val="1"/>
      <w:marLeft w:val="0"/>
      <w:marRight w:val="0"/>
      <w:marTop w:val="0"/>
      <w:marBottom w:val="0"/>
      <w:divBdr>
        <w:top w:val="none" w:sz="0" w:space="0" w:color="auto"/>
        <w:left w:val="none" w:sz="0" w:space="0" w:color="auto"/>
        <w:bottom w:val="none" w:sz="0" w:space="0" w:color="auto"/>
        <w:right w:val="none" w:sz="0" w:space="0" w:color="auto"/>
      </w:divBdr>
    </w:div>
    <w:div w:id="841286235">
      <w:bodyDiv w:val="1"/>
      <w:marLeft w:val="0"/>
      <w:marRight w:val="0"/>
      <w:marTop w:val="0"/>
      <w:marBottom w:val="0"/>
      <w:divBdr>
        <w:top w:val="none" w:sz="0" w:space="0" w:color="auto"/>
        <w:left w:val="none" w:sz="0" w:space="0" w:color="auto"/>
        <w:bottom w:val="none" w:sz="0" w:space="0" w:color="auto"/>
        <w:right w:val="none" w:sz="0" w:space="0" w:color="auto"/>
      </w:divBdr>
    </w:div>
    <w:div w:id="909120428">
      <w:bodyDiv w:val="1"/>
      <w:marLeft w:val="0"/>
      <w:marRight w:val="0"/>
      <w:marTop w:val="0"/>
      <w:marBottom w:val="0"/>
      <w:divBdr>
        <w:top w:val="none" w:sz="0" w:space="0" w:color="auto"/>
        <w:left w:val="none" w:sz="0" w:space="0" w:color="auto"/>
        <w:bottom w:val="none" w:sz="0" w:space="0" w:color="auto"/>
        <w:right w:val="none" w:sz="0" w:space="0" w:color="auto"/>
      </w:divBdr>
    </w:div>
    <w:div w:id="937517988">
      <w:bodyDiv w:val="1"/>
      <w:marLeft w:val="0"/>
      <w:marRight w:val="0"/>
      <w:marTop w:val="0"/>
      <w:marBottom w:val="0"/>
      <w:divBdr>
        <w:top w:val="none" w:sz="0" w:space="0" w:color="auto"/>
        <w:left w:val="none" w:sz="0" w:space="0" w:color="auto"/>
        <w:bottom w:val="none" w:sz="0" w:space="0" w:color="auto"/>
        <w:right w:val="none" w:sz="0" w:space="0" w:color="auto"/>
      </w:divBdr>
    </w:div>
    <w:div w:id="953436445">
      <w:bodyDiv w:val="1"/>
      <w:marLeft w:val="0"/>
      <w:marRight w:val="0"/>
      <w:marTop w:val="0"/>
      <w:marBottom w:val="0"/>
      <w:divBdr>
        <w:top w:val="none" w:sz="0" w:space="0" w:color="auto"/>
        <w:left w:val="none" w:sz="0" w:space="0" w:color="auto"/>
        <w:bottom w:val="none" w:sz="0" w:space="0" w:color="auto"/>
        <w:right w:val="none" w:sz="0" w:space="0" w:color="auto"/>
      </w:divBdr>
    </w:div>
    <w:div w:id="1043292825">
      <w:bodyDiv w:val="1"/>
      <w:marLeft w:val="0"/>
      <w:marRight w:val="0"/>
      <w:marTop w:val="0"/>
      <w:marBottom w:val="0"/>
      <w:divBdr>
        <w:top w:val="none" w:sz="0" w:space="0" w:color="auto"/>
        <w:left w:val="none" w:sz="0" w:space="0" w:color="auto"/>
        <w:bottom w:val="none" w:sz="0" w:space="0" w:color="auto"/>
        <w:right w:val="none" w:sz="0" w:space="0" w:color="auto"/>
      </w:divBdr>
    </w:div>
    <w:div w:id="1045834519">
      <w:bodyDiv w:val="1"/>
      <w:marLeft w:val="0"/>
      <w:marRight w:val="0"/>
      <w:marTop w:val="0"/>
      <w:marBottom w:val="0"/>
      <w:divBdr>
        <w:top w:val="none" w:sz="0" w:space="0" w:color="auto"/>
        <w:left w:val="none" w:sz="0" w:space="0" w:color="auto"/>
        <w:bottom w:val="none" w:sz="0" w:space="0" w:color="auto"/>
        <w:right w:val="none" w:sz="0" w:space="0" w:color="auto"/>
      </w:divBdr>
    </w:div>
    <w:div w:id="1054887357">
      <w:bodyDiv w:val="1"/>
      <w:marLeft w:val="0"/>
      <w:marRight w:val="0"/>
      <w:marTop w:val="0"/>
      <w:marBottom w:val="0"/>
      <w:divBdr>
        <w:top w:val="none" w:sz="0" w:space="0" w:color="auto"/>
        <w:left w:val="none" w:sz="0" w:space="0" w:color="auto"/>
        <w:bottom w:val="none" w:sz="0" w:space="0" w:color="auto"/>
        <w:right w:val="none" w:sz="0" w:space="0" w:color="auto"/>
      </w:divBdr>
    </w:div>
    <w:div w:id="1072197191">
      <w:bodyDiv w:val="1"/>
      <w:marLeft w:val="0"/>
      <w:marRight w:val="0"/>
      <w:marTop w:val="0"/>
      <w:marBottom w:val="0"/>
      <w:divBdr>
        <w:top w:val="none" w:sz="0" w:space="0" w:color="auto"/>
        <w:left w:val="none" w:sz="0" w:space="0" w:color="auto"/>
        <w:bottom w:val="none" w:sz="0" w:space="0" w:color="auto"/>
        <w:right w:val="none" w:sz="0" w:space="0" w:color="auto"/>
      </w:divBdr>
    </w:div>
    <w:div w:id="1092891426">
      <w:bodyDiv w:val="1"/>
      <w:marLeft w:val="0"/>
      <w:marRight w:val="0"/>
      <w:marTop w:val="0"/>
      <w:marBottom w:val="0"/>
      <w:divBdr>
        <w:top w:val="none" w:sz="0" w:space="0" w:color="auto"/>
        <w:left w:val="none" w:sz="0" w:space="0" w:color="auto"/>
        <w:bottom w:val="none" w:sz="0" w:space="0" w:color="auto"/>
        <w:right w:val="none" w:sz="0" w:space="0" w:color="auto"/>
      </w:divBdr>
    </w:div>
    <w:div w:id="1129782646">
      <w:bodyDiv w:val="1"/>
      <w:marLeft w:val="0"/>
      <w:marRight w:val="0"/>
      <w:marTop w:val="0"/>
      <w:marBottom w:val="0"/>
      <w:divBdr>
        <w:top w:val="none" w:sz="0" w:space="0" w:color="auto"/>
        <w:left w:val="none" w:sz="0" w:space="0" w:color="auto"/>
        <w:bottom w:val="none" w:sz="0" w:space="0" w:color="auto"/>
        <w:right w:val="none" w:sz="0" w:space="0" w:color="auto"/>
      </w:divBdr>
    </w:div>
    <w:div w:id="1169636874">
      <w:bodyDiv w:val="1"/>
      <w:marLeft w:val="0"/>
      <w:marRight w:val="0"/>
      <w:marTop w:val="0"/>
      <w:marBottom w:val="0"/>
      <w:divBdr>
        <w:top w:val="none" w:sz="0" w:space="0" w:color="auto"/>
        <w:left w:val="none" w:sz="0" w:space="0" w:color="auto"/>
        <w:bottom w:val="none" w:sz="0" w:space="0" w:color="auto"/>
        <w:right w:val="none" w:sz="0" w:space="0" w:color="auto"/>
      </w:divBdr>
    </w:div>
    <w:div w:id="1387145625">
      <w:bodyDiv w:val="1"/>
      <w:marLeft w:val="0"/>
      <w:marRight w:val="0"/>
      <w:marTop w:val="0"/>
      <w:marBottom w:val="0"/>
      <w:divBdr>
        <w:top w:val="none" w:sz="0" w:space="0" w:color="auto"/>
        <w:left w:val="none" w:sz="0" w:space="0" w:color="auto"/>
        <w:bottom w:val="none" w:sz="0" w:space="0" w:color="auto"/>
        <w:right w:val="none" w:sz="0" w:space="0" w:color="auto"/>
      </w:divBdr>
    </w:div>
    <w:div w:id="1403025611">
      <w:bodyDiv w:val="1"/>
      <w:marLeft w:val="0"/>
      <w:marRight w:val="0"/>
      <w:marTop w:val="0"/>
      <w:marBottom w:val="0"/>
      <w:divBdr>
        <w:top w:val="none" w:sz="0" w:space="0" w:color="auto"/>
        <w:left w:val="none" w:sz="0" w:space="0" w:color="auto"/>
        <w:bottom w:val="none" w:sz="0" w:space="0" w:color="auto"/>
        <w:right w:val="none" w:sz="0" w:space="0" w:color="auto"/>
      </w:divBdr>
    </w:div>
    <w:div w:id="1642617481">
      <w:bodyDiv w:val="1"/>
      <w:marLeft w:val="0"/>
      <w:marRight w:val="0"/>
      <w:marTop w:val="0"/>
      <w:marBottom w:val="0"/>
      <w:divBdr>
        <w:top w:val="none" w:sz="0" w:space="0" w:color="auto"/>
        <w:left w:val="none" w:sz="0" w:space="0" w:color="auto"/>
        <w:bottom w:val="none" w:sz="0" w:space="0" w:color="auto"/>
        <w:right w:val="none" w:sz="0" w:space="0" w:color="auto"/>
      </w:divBdr>
    </w:div>
    <w:div w:id="1725980783">
      <w:bodyDiv w:val="1"/>
      <w:marLeft w:val="0"/>
      <w:marRight w:val="0"/>
      <w:marTop w:val="0"/>
      <w:marBottom w:val="0"/>
      <w:divBdr>
        <w:top w:val="none" w:sz="0" w:space="0" w:color="auto"/>
        <w:left w:val="none" w:sz="0" w:space="0" w:color="auto"/>
        <w:bottom w:val="none" w:sz="0" w:space="0" w:color="auto"/>
        <w:right w:val="none" w:sz="0" w:space="0" w:color="auto"/>
      </w:divBdr>
    </w:div>
    <w:div w:id="1736539452">
      <w:bodyDiv w:val="1"/>
      <w:marLeft w:val="0"/>
      <w:marRight w:val="0"/>
      <w:marTop w:val="0"/>
      <w:marBottom w:val="0"/>
      <w:divBdr>
        <w:top w:val="none" w:sz="0" w:space="0" w:color="auto"/>
        <w:left w:val="none" w:sz="0" w:space="0" w:color="auto"/>
        <w:bottom w:val="none" w:sz="0" w:space="0" w:color="auto"/>
        <w:right w:val="none" w:sz="0" w:space="0" w:color="auto"/>
      </w:divBdr>
    </w:div>
    <w:div w:id="1740638260">
      <w:bodyDiv w:val="1"/>
      <w:marLeft w:val="0"/>
      <w:marRight w:val="0"/>
      <w:marTop w:val="0"/>
      <w:marBottom w:val="0"/>
      <w:divBdr>
        <w:top w:val="none" w:sz="0" w:space="0" w:color="auto"/>
        <w:left w:val="none" w:sz="0" w:space="0" w:color="auto"/>
        <w:bottom w:val="none" w:sz="0" w:space="0" w:color="auto"/>
        <w:right w:val="none" w:sz="0" w:space="0" w:color="auto"/>
      </w:divBdr>
    </w:div>
    <w:div w:id="1814983726">
      <w:bodyDiv w:val="1"/>
      <w:marLeft w:val="0"/>
      <w:marRight w:val="0"/>
      <w:marTop w:val="0"/>
      <w:marBottom w:val="0"/>
      <w:divBdr>
        <w:top w:val="none" w:sz="0" w:space="0" w:color="auto"/>
        <w:left w:val="none" w:sz="0" w:space="0" w:color="auto"/>
        <w:bottom w:val="none" w:sz="0" w:space="0" w:color="auto"/>
        <w:right w:val="none" w:sz="0" w:space="0" w:color="auto"/>
      </w:divBdr>
    </w:div>
    <w:div w:id="1854832257">
      <w:bodyDiv w:val="1"/>
      <w:marLeft w:val="0"/>
      <w:marRight w:val="0"/>
      <w:marTop w:val="0"/>
      <w:marBottom w:val="0"/>
      <w:divBdr>
        <w:top w:val="none" w:sz="0" w:space="0" w:color="auto"/>
        <w:left w:val="none" w:sz="0" w:space="0" w:color="auto"/>
        <w:bottom w:val="none" w:sz="0" w:space="0" w:color="auto"/>
        <w:right w:val="none" w:sz="0" w:space="0" w:color="auto"/>
      </w:divBdr>
    </w:div>
    <w:div w:id="2040815400">
      <w:bodyDiv w:val="1"/>
      <w:marLeft w:val="0"/>
      <w:marRight w:val="0"/>
      <w:marTop w:val="0"/>
      <w:marBottom w:val="0"/>
      <w:divBdr>
        <w:top w:val="none" w:sz="0" w:space="0" w:color="auto"/>
        <w:left w:val="none" w:sz="0" w:space="0" w:color="auto"/>
        <w:bottom w:val="none" w:sz="0" w:space="0" w:color="auto"/>
        <w:right w:val="none" w:sz="0" w:space="0" w:color="auto"/>
      </w:divBdr>
    </w:div>
    <w:div w:id="2053462053">
      <w:bodyDiv w:val="1"/>
      <w:marLeft w:val="0"/>
      <w:marRight w:val="0"/>
      <w:marTop w:val="0"/>
      <w:marBottom w:val="0"/>
      <w:divBdr>
        <w:top w:val="none" w:sz="0" w:space="0" w:color="auto"/>
        <w:left w:val="none" w:sz="0" w:space="0" w:color="auto"/>
        <w:bottom w:val="none" w:sz="0" w:space="0" w:color="auto"/>
        <w:right w:val="none" w:sz="0" w:space="0" w:color="auto"/>
      </w:divBdr>
    </w:div>
    <w:div w:id="20764721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jpeg"/><Relationship Id="rId18" Type="http://schemas.openxmlformats.org/officeDocument/2006/relationships/footer" Target="footer3.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mailto:AERinquiry@aer.gov.au"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AERInquiry@aer.gov.au" TargetMode="External"/><Relationship Id="rId5" Type="http://schemas.microsoft.com/office/2007/relationships/stylesWithEffects" Target="stylesWithEffects.xml"/><Relationship Id="rId15" Type="http://schemas.openxmlformats.org/officeDocument/2006/relationships/image" Target="media/image4.emf"/><Relationship Id="rId10" Type="http://schemas.openxmlformats.org/officeDocument/2006/relationships/image" Target="media/image1.jpeg"/><Relationship Id="rId19" Type="http://schemas.openxmlformats.org/officeDocument/2006/relationships/footer" Target="footer4.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emf"/></Relationships>
</file>

<file path=word/_rels/footnotes.xml.rels><?xml version="1.0" encoding="UTF-8" standalone="yes"?>
<Relationships xmlns="http://schemas.openxmlformats.org/package/2006/relationships"><Relationship Id="rId3" Type="http://schemas.openxmlformats.org/officeDocument/2006/relationships/hyperlink" Target="http://www.aer.gov.au/wholesale-markets/compliance-reporting/quarterly-compliance-report-january-march-2015" TargetMode="External"/><Relationship Id="rId2" Type="http://schemas.openxmlformats.org/officeDocument/2006/relationships/hyperlink" Target="http://www.aer.gov.au/node/15433" TargetMode="External"/><Relationship Id="rId1" Type="http://schemas.openxmlformats.org/officeDocument/2006/relationships/hyperlink" Target="https://www.aer.gov.au/publications/corporate-documents/aer-compliance-and-enforcement-statement-of-approach" TargetMode="External"/></Relationships>
</file>

<file path=word/theme/theme1.xml><?xml version="1.0" encoding="utf-8"?>
<a:theme xmlns:a="http://schemas.openxmlformats.org/drawingml/2006/main" name="AER">
  <a:themeElements>
    <a:clrScheme name="AER Colour theme">
      <a:dk1>
        <a:srgbClr val="076A92"/>
      </a:dk1>
      <a:lt1>
        <a:sysClr val="window" lastClr="FFFFFF"/>
      </a:lt1>
      <a:dk2>
        <a:srgbClr val="70635A"/>
      </a:dk2>
      <a:lt2>
        <a:srgbClr val="FFFFFF"/>
      </a:lt2>
      <a:accent1>
        <a:srgbClr val="2F002F"/>
      </a:accent1>
      <a:accent2>
        <a:srgbClr val="C14E00"/>
      </a:accent2>
      <a:accent3>
        <a:srgbClr val="002060"/>
      </a:accent3>
      <a:accent4>
        <a:srgbClr val="C00000"/>
      </a:accent4>
      <a:accent5>
        <a:srgbClr val="000000"/>
      </a:accent5>
      <a:accent6>
        <a:srgbClr val="70303C"/>
      </a:accent6>
      <a:hlink>
        <a:srgbClr val="0000FF"/>
      </a:hlink>
      <a:folHlink>
        <a:srgbClr val="800080"/>
      </a:folHlink>
    </a:clrScheme>
    <a:fontScheme name="Custom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15F059F-BB96-46ED-A305-01A98FA38A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1349E50.dotm</Template>
  <TotalTime>0</TotalTime>
  <Pages>21</Pages>
  <Words>6694</Words>
  <Characters>38161</Characters>
  <Application>Microsoft Office Word</Application>
  <DocSecurity>0</DocSecurity>
  <Lines>318</Lines>
  <Paragraphs>89</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44766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2016-11-09T01:49:00Z</dcterms:created>
  <dcterms:modified xsi:type="dcterms:W3CDTF">2016-11-09T02:22:00Z</dcterms:modified>
</cp:coreProperties>
</file>