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3BC" w:rsidRPr="00191FF4" w:rsidRDefault="00533469" w:rsidP="00F56851">
      <w:pPr>
        <w:pStyle w:val="AERTitle2"/>
        <w:rPr>
          <w:b/>
          <w:szCs w:val="32"/>
        </w:rPr>
      </w:pPr>
      <w:r>
        <w:rPr>
          <w:b/>
          <w:noProof/>
          <w:szCs w:val="32"/>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192" type="#_x0000_t75" alt="AER-final-orange" style="position:absolute;left:0;text-align:left;margin-left:-90.7pt;margin-top:-73.35pt;width:597.45pt;height:846pt;z-index:-251658752;visibility:visible">
            <v:imagedata r:id="rId9" o:title="AER-final-orange"/>
          </v:shape>
        </w:pict>
      </w:r>
    </w:p>
    <w:p w:rsidR="008B0C16" w:rsidRDefault="008B0C16" w:rsidP="00A052AB">
      <w:pPr>
        <w:pStyle w:val="AERTitle1"/>
      </w:pPr>
      <w:bookmarkStart w:id="0" w:name="OLE_LINK1"/>
      <w:bookmarkStart w:id="1" w:name="OLE_LINK2"/>
    </w:p>
    <w:p w:rsidR="008B0C16" w:rsidRDefault="008B0C16" w:rsidP="00A052AB">
      <w:pPr>
        <w:pStyle w:val="AERTitle1"/>
      </w:pPr>
    </w:p>
    <w:p w:rsidR="008B0C16" w:rsidRDefault="008B0C16" w:rsidP="00A052AB">
      <w:pPr>
        <w:pStyle w:val="AERTitle1"/>
      </w:pPr>
    </w:p>
    <w:p w:rsidR="00CA2A01" w:rsidRDefault="00CA2A01" w:rsidP="00A052AB">
      <w:pPr>
        <w:pStyle w:val="AERTitle1"/>
      </w:pPr>
    </w:p>
    <w:p w:rsidR="008B0C16" w:rsidRPr="00E0671E" w:rsidRDefault="00A44C20" w:rsidP="0018678D">
      <w:pPr>
        <w:pStyle w:val="AERTitle1"/>
      </w:pPr>
      <w:bookmarkStart w:id="2" w:name="OLE_LINK5"/>
      <w:bookmarkStart w:id="3" w:name="OLE_LINK12"/>
      <w:bookmarkStart w:id="4" w:name="OLE_LINK3"/>
      <w:bookmarkStart w:id="5" w:name="OLE_LINK4"/>
      <w:r w:rsidRPr="00E0671E">
        <w:t>Quarterly Compliance Report</w:t>
      </w:r>
      <w:r w:rsidR="008A20B0" w:rsidRPr="00E0671E">
        <w:t>:</w:t>
      </w:r>
    </w:p>
    <w:p w:rsidR="008A20B0" w:rsidRPr="00236801" w:rsidRDefault="008A20B0" w:rsidP="0018678D">
      <w:pPr>
        <w:pStyle w:val="AERTitle2"/>
        <w:spacing w:before="240"/>
        <w:rPr>
          <w:highlight w:val="yellow"/>
        </w:rPr>
      </w:pPr>
      <w:r w:rsidRPr="00E0671E">
        <w:t>National Electricity and Gas Laws</w:t>
      </w:r>
      <w:bookmarkEnd w:id="2"/>
      <w:bookmarkEnd w:id="3"/>
    </w:p>
    <w:bookmarkEnd w:id="4"/>
    <w:bookmarkEnd w:id="5"/>
    <w:p w:rsidR="008A20B0" w:rsidRPr="00236801" w:rsidRDefault="008A20B0" w:rsidP="00A052AB">
      <w:pPr>
        <w:pStyle w:val="AERTitle1"/>
        <w:rPr>
          <w:highlight w:val="yellow"/>
        </w:rPr>
      </w:pPr>
    </w:p>
    <w:p w:rsidR="000733BC" w:rsidRPr="00E0671E" w:rsidRDefault="00D30AC2" w:rsidP="007F510E">
      <w:pPr>
        <w:pStyle w:val="AERTitle2"/>
        <w:spacing w:before="600"/>
      </w:pPr>
      <w:r>
        <w:t xml:space="preserve">April </w:t>
      </w:r>
      <w:r w:rsidR="007725E6" w:rsidRPr="00E0671E">
        <w:t xml:space="preserve">– </w:t>
      </w:r>
      <w:r>
        <w:t>June</w:t>
      </w:r>
      <w:r w:rsidR="0004398F">
        <w:t xml:space="preserve"> </w:t>
      </w:r>
      <w:r w:rsidR="002003A5" w:rsidRPr="00E0671E">
        <w:t>201</w:t>
      </w:r>
      <w:r w:rsidR="005D62E3">
        <w:t>4</w:t>
      </w:r>
    </w:p>
    <w:p w:rsidR="008B0C16" w:rsidRPr="00E0671E" w:rsidRDefault="008B0C16" w:rsidP="00A052AB">
      <w:pPr>
        <w:pStyle w:val="AERTitle1"/>
      </w:pPr>
    </w:p>
    <w:p w:rsidR="00C56995" w:rsidRPr="00E0671E" w:rsidRDefault="00C56995" w:rsidP="00A052AB">
      <w:pPr>
        <w:pStyle w:val="AERTitle1"/>
      </w:pPr>
    </w:p>
    <w:p w:rsidR="00C56995" w:rsidRPr="00E0671E" w:rsidRDefault="00C56995" w:rsidP="00A052AB">
      <w:pPr>
        <w:pStyle w:val="AERTitle1"/>
      </w:pPr>
    </w:p>
    <w:bookmarkEnd w:id="0"/>
    <w:bookmarkEnd w:id="1"/>
    <w:p w:rsidR="00636F32" w:rsidRDefault="00636F32" w:rsidP="00636F32">
      <w:pPr>
        <w:pStyle w:val="AERTitle2"/>
        <w:spacing w:before="1080" w:after="0"/>
      </w:pPr>
    </w:p>
    <w:p w:rsidR="000733BC" w:rsidRPr="00636F32" w:rsidRDefault="00A44C20" w:rsidP="007F510E">
      <w:pPr>
        <w:pStyle w:val="AERTitle2"/>
        <w:spacing w:before="1800"/>
        <w:rPr>
          <w:sz w:val="28"/>
          <w:szCs w:val="28"/>
        </w:rPr>
      </w:pPr>
      <w:r w:rsidRPr="00636F32">
        <w:rPr>
          <w:sz w:val="28"/>
          <w:szCs w:val="28"/>
        </w:rPr>
        <w:t xml:space="preserve">Published </w:t>
      </w:r>
      <w:r w:rsidR="002E27D5">
        <w:rPr>
          <w:sz w:val="28"/>
          <w:szCs w:val="28"/>
        </w:rPr>
        <w:t>August</w:t>
      </w:r>
      <w:bookmarkStart w:id="6" w:name="_GoBack"/>
      <w:bookmarkEnd w:id="6"/>
      <w:r w:rsidR="002E27D5" w:rsidRPr="00636F32">
        <w:rPr>
          <w:sz w:val="28"/>
          <w:szCs w:val="28"/>
        </w:rPr>
        <w:t xml:space="preserve"> </w:t>
      </w:r>
      <w:r w:rsidR="0004398F">
        <w:rPr>
          <w:sz w:val="28"/>
          <w:szCs w:val="28"/>
        </w:rPr>
        <w:t>2014</w:t>
      </w:r>
    </w:p>
    <w:p w:rsidR="000733BC" w:rsidRPr="00F6235D" w:rsidRDefault="000733BC" w:rsidP="004D044A">
      <w:pPr>
        <w:pStyle w:val="AERbodytext"/>
      </w:pPr>
      <w:r w:rsidRPr="00F6235D">
        <w:lastRenderedPageBreak/>
        <w:t xml:space="preserve"> </w:t>
      </w:r>
    </w:p>
    <w:p w:rsidR="00DC724B" w:rsidRDefault="00DC724B" w:rsidP="004D044A">
      <w:pPr>
        <w:pStyle w:val="TOC1"/>
        <w:sectPr w:rsidR="00DC724B" w:rsidSect="000D2D9C">
          <w:headerReference w:type="even" r:id="rId10"/>
          <w:footerReference w:type="even" r:id="rId11"/>
          <w:footerReference w:type="default" r:id="rId12"/>
          <w:pgSz w:w="11906" w:h="16838" w:code="9"/>
          <w:pgMar w:top="1440" w:right="1797" w:bottom="1440" w:left="1797" w:header="709" w:footer="709" w:gutter="0"/>
          <w:pgNumType w:fmt="lowerRoman" w:start="1"/>
          <w:cols w:space="708"/>
          <w:docGrid w:linePitch="360"/>
        </w:sectPr>
      </w:pPr>
    </w:p>
    <w:p w:rsidR="008513E8" w:rsidRDefault="008513E8" w:rsidP="004D044A">
      <w:pPr>
        <w:pStyle w:val="AERbodytext"/>
      </w:pPr>
    </w:p>
    <w:p w:rsidR="00AA1DED" w:rsidRPr="00E0671E" w:rsidRDefault="00AA1DED" w:rsidP="00963CA2">
      <w:pPr>
        <w:pStyle w:val="AERbodytext"/>
        <w:rPr>
          <w:b/>
        </w:rPr>
      </w:pPr>
      <w:r w:rsidRPr="00E0671E">
        <w:rPr>
          <w:b/>
        </w:rPr>
        <w:t xml:space="preserve">© Commonwealth of Australia </w:t>
      </w:r>
      <w:r w:rsidR="00553BB3" w:rsidRPr="00E0671E">
        <w:rPr>
          <w:b/>
        </w:rPr>
        <w:t>201</w:t>
      </w:r>
      <w:r w:rsidR="00553BB3">
        <w:rPr>
          <w:b/>
        </w:rPr>
        <w:t>4</w:t>
      </w:r>
    </w:p>
    <w:p w:rsidR="00AA1DED" w:rsidRPr="00E0671E" w:rsidRDefault="00AA1DED" w:rsidP="00AA1DED">
      <w:pPr>
        <w:pStyle w:val="AERbodytext"/>
      </w:pPr>
      <w:r w:rsidRPr="00E0671E">
        <w:t>This work is copyright. Apart from any use permitted by the Copyright Act 1968, no part may be reproduced without permission of the Australian Competition and Consumer Commission. Requests and inquiries concerning reproduction and rights should be addressed to the Director Publishing, Australian Competition and Consumer Commission, GPO Box 3131, Canberra ACT 2601.</w:t>
      </w:r>
    </w:p>
    <w:p w:rsidR="00AA1DED" w:rsidRPr="00E0671E" w:rsidRDefault="00AA1DED" w:rsidP="00AA1DED">
      <w:pPr>
        <w:pStyle w:val="AERbodytext"/>
      </w:pPr>
      <w:r w:rsidRPr="00E0671E">
        <w:t>Inquiries about this report should be addressed to:</w:t>
      </w:r>
    </w:p>
    <w:p w:rsidR="00AA1DED" w:rsidRPr="00E0671E" w:rsidRDefault="00AA1DED" w:rsidP="00AA1DED">
      <w:pPr>
        <w:pStyle w:val="AERbodytext"/>
        <w:spacing w:after="0"/>
      </w:pPr>
      <w:r w:rsidRPr="00E0671E">
        <w:t>Australian Energy Regulator</w:t>
      </w:r>
    </w:p>
    <w:p w:rsidR="00AA1DED" w:rsidRPr="00E0671E" w:rsidRDefault="00AA1DED" w:rsidP="00AA1DED">
      <w:pPr>
        <w:pStyle w:val="AERbodytext"/>
        <w:spacing w:after="0"/>
      </w:pPr>
      <w:r w:rsidRPr="00E0671E">
        <w:t>GPO Box 520</w:t>
      </w:r>
    </w:p>
    <w:p w:rsidR="00AA1DED" w:rsidRPr="00E0671E" w:rsidRDefault="00AA1DED" w:rsidP="00AA1DED">
      <w:pPr>
        <w:pStyle w:val="AERbodytext"/>
        <w:spacing w:after="0"/>
      </w:pPr>
      <w:proofErr w:type="gramStart"/>
      <w:r w:rsidRPr="00E0671E">
        <w:t>Melbourne  Vic</w:t>
      </w:r>
      <w:proofErr w:type="gramEnd"/>
      <w:r w:rsidRPr="00E0671E">
        <w:t xml:space="preserve">  3001</w:t>
      </w:r>
    </w:p>
    <w:p w:rsidR="00AA1DED" w:rsidRPr="00E0671E" w:rsidRDefault="00AA1DED" w:rsidP="00AA1DED">
      <w:pPr>
        <w:pStyle w:val="AERbodytext"/>
        <w:spacing w:after="0"/>
      </w:pPr>
      <w:r w:rsidRPr="00E0671E">
        <w:t>Tel: (03) 9290 1444</w:t>
      </w:r>
    </w:p>
    <w:p w:rsidR="00AA1DED" w:rsidRPr="00E0671E" w:rsidRDefault="00AA1DED" w:rsidP="00AA1DED">
      <w:pPr>
        <w:pStyle w:val="AERbodytext"/>
        <w:spacing w:after="0"/>
      </w:pPr>
      <w:r w:rsidRPr="00E0671E">
        <w:t>Fax: (03) 9290 1457</w:t>
      </w:r>
    </w:p>
    <w:p w:rsidR="00AA1DED" w:rsidRPr="00E0671E" w:rsidRDefault="00AA1DED" w:rsidP="00AA1DED">
      <w:pPr>
        <w:pStyle w:val="AERbodytext"/>
      </w:pPr>
      <w:r w:rsidRPr="00E0671E">
        <w:t xml:space="preserve">Email: </w:t>
      </w:r>
      <w:hyperlink r:id="rId13" w:history="1">
        <w:r w:rsidRPr="00E0671E">
          <w:rPr>
            <w:rStyle w:val="Hyperlink"/>
          </w:rPr>
          <w:t>AERInquiry@aer.gov.au</w:t>
        </w:r>
      </w:hyperlink>
    </w:p>
    <w:p w:rsidR="00AA1DED" w:rsidRPr="00E0671E" w:rsidRDefault="00AA1DED" w:rsidP="00AA1DED">
      <w:pPr>
        <w:pStyle w:val="AERbodytext"/>
        <w:rPr>
          <w:lang w:eastAsia="en-AU"/>
        </w:rPr>
      </w:pPr>
    </w:p>
    <w:p w:rsidR="009710F3" w:rsidRPr="0020321C" w:rsidRDefault="009710F3" w:rsidP="0020321C">
      <w:pPr>
        <w:pStyle w:val="AERbodytext"/>
        <w:jc w:val="left"/>
        <w:rPr>
          <w:rFonts w:cs="Gautami"/>
        </w:rPr>
      </w:pPr>
      <w:r w:rsidRPr="00E0671E">
        <w:t xml:space="preserve">AER reference:   </w:t>
      </w:r>
      <w:r w:rsidR="00D30AC2" w:rsidRPr="00D30AC2">
        <w:t>54724</w:t>
      </w:r>
      <w:r w:rsidR="007725E6" w:rsidRPr="00E0671E">
        <w:t>-</w:t>
      </w:r>
      <w:r w:rsidR="005E1519">
        <w:rPr>
          <w:rFonts w:ascii="Arial" w:hAnsi="Arial" w:cs="Arial"/>
          <w:sz w:val="18"/>
          <w:szCs w:val="18"/>
        </w:rPr>
        <w:t>D14/100338</w:t>
      </w:r>
    </w:p>
    <w:p w:rsidR="000733BC" w:rsidRPr="00F6235D" w:rsidRDefault="000733BC" w:rsidP="004D044A">
      <w:pPr>
        <w:pStyle w:val="AERbodytext"/>
      </w:pPr>
    </w:p>
    <w:p w:rsidR="000733BC" w:rsidRPr="00F6235D" w:rsidRDefault="000733BC" w:rsidP="004D044A">
      <w:pPr>
        <w:pStyle w:val="TOC1"/>
      </w:pPr>
    </w:p>
    <w:p w:rsidR="000733BC" w:rsidRDefault="000733BC" w:rsidP="00E86435">
      <w:pPr>
        <w:pStyle w:val="AERbodytext"/>
      </w:pPr>
      <w:bookmarkStart w:id="7" w:name="_Toc317520245"/>
    </w:p>
    <w:p w:rsidR="00AC0EF2" w:rsidRDefault="000733BC" w:rsidP="00AC0EF2">
      <w:pPr>
        <w:pStyle w:val="UnnumberedHeading"/>
      </w:pPr>
      <w:bookmarkStart w:id="8" w:name="_Toc348356878"/>
      <w:bookmarkStart w:id="9" w:name="_Toc348436394"/>
      <w:bookmarkStart w:id="10" w:name="_Toc349127069"/>
      <w:bookmarkStart w:id="11" w:name="_Toc349571708"/>
      <w:bookmarkStart w:id="12" w:name="_Toc352776003"/>
      <w:bookmarkStart w:id="13" w:name="_Toc353291604"/>
      <w:bookmarkStart w:id="14" w:name="_Toc353448647"/>
      <w:bookmarkStart w:id="15" w:name="_Toc354138172"/>
      <w:bookmarkStart w:id="16" w:name="_Toc354149233"/>
      <w:bookmarkStart w:id="17" w:name="_Toc362268658"/>
      <w:bookmarkStart w:id="18" w:name="_Toc369252562"/>
      <w:bookmarkStart w:id="19" w:name="_Toc378763077"/>
      <w:bookmarkStart w:id="20" w:name="_Toc378763110"/>
      <w:bookmarkStart w:id="21" w:name="_Toc378930716"/>
      <w:bookmarkStart w:id="22" w:name="_Toc386034737"/>
      <w:bookmarkStart w:id="23" w:name="_Toc386117296"/>
      <w:bookmarkStart w:id="24" w:name="_Toc394479573"/>
      <w:r w:rsidRPr="00B011D7">
        <w:lastRenderedPageBreak/>
        <w:t>Contents</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bookmarkStart w:id="25" w:name="_Toc337553424"/>
    <w:p w:rsidR="00FB07F6" w:rsidRDefault="00345E1B">
      <w:pPr>
        <w:pStyle w:val="TOC1"/>
        <w:rPr>
          <w:rFonts w:asciiTheme="minorHAnsi" w:eastAsiaTheme="minorEastAsia" w:hAnsiTheme="minorHAnsi" w:cstheme="minorBidi"/>
          <w:b w:val="0"/>
          <w:noProof/>
          <w:lang w:eastAsia="en-AU"/>
        </w:rPr>
      </w:pPr>
      <w:r>
        <w:fldChar w:fldCharType="begin"/>
      </w:r>
      <w:r w:rsidR="002C7158">
        <w:instrText xml:space="preserve"> TOC \h \z \t "AER heading 2,2,AER unnumbered heading,1,AER confidentialo appendix heading 1,1,Unnumbered Heading,1,QCR unnumbered unbold heading,2,QCR Heading 1,1" </w:instrText>
      </w:r>
      <w:r>
        <w:fldChar w:fldCharType="separate"/>
      </w:r>
      <w:hyperlink w:anchor="_Toc394479573" w:history="1">
        <w:r w:rsidR="00FB07F6" w:rsidRPr="00B33D48">
          <w:rPr>
            <w:rStyle w:val="Hyperlink"/>
            <w:noProof/>
          </w:rPr>
          <w:t>Contents</w:t>
        </w:r>
        <w:r w:rsidR="00FB07F6">
          <w:rPr>
            <w:noProof/>
            <w:webHidden/>
          </w:rPr>
          <w:tab/>
        </w:r>
        <w:r w:rsidR="00FB07F6">
          <w:rPr>
            <w:noProof/>
            <w:webHidden/>
          </w:rPr>
          <w:fldChar w:fldCharType="begin"/>
        </w:r>
        <w:r w:rsidR="00FB07F6">
          <w:rPr>
            <w:noProof/>
            <w:webHidden/>
          </w:rPr>
          <w:instrText xml:space="preserve"> PAGEREF _Toc394479573 \h </w:instrText>
        </w:r>
        <w:r w:rsidR="00FB07F6">
          <w:rPr>
            <w:noProof/>
            <w:webHidden/>
          </w:rPr>
        </w:r>
        <w:r w:rsidR="00FB07F6">
          <w:rPr>
            <w:noProof/>
            <w:webHidden/>
          </w:rPr>
          <w:fldChar w:fldCharType="separate"/>
        </w:r>
        <w:r w:rsidR="00533469">
          <w:rPr>
            <w:noProof/>
            <w:webHidden/>
          </w:rPr>
          <w:t>4</w:t>
        </w:r>
        <w:r w:rsidR="00FB07F6">
          <w:rPr>
            <w:noProof/>
            <w:webHidden/>
          </w:rPr>
          <w:fldChar w:fldCharType="end"/>
        </w:r>
      </w:hyperlink>
    </w:p>
    <w:p w:rsidR="00FB07F6" w:rsidRDefault="00533469">
      <w:pPr>
        <w:pStyle w:val="TOC1"/>
        <w:rPr>
          <w:rFonts w:asciiTheme="minorHAnsi" w:eastAsiaTheme="minorEastAsia" w:hAnsiTheme="minorHAnsi" w:cstheme="minorBidi"/>
          <w:b w:val="0"/>
          <w:noProof/>
          <w:lang w:eastAsia="en-AU"/>
        </w:rPr>
      </w:pPr>
      <w:hyperlink w:anchor="_Toc394479574" w:history="1">
        <w:r w:rsidR="00FB07F6" w:rsidRPr="00B33D48">
          <w:rPr>
            <w:rStyle w:val="Hyperlink"/>
            <w:noProof/>
          </w:rPr>
          <w:t>Executive summary</w:t>
        </w:r>
        <w:r w:rsidR="00FB07F6">
          <w:rPr>
            <w:noProof/>
            <w:webHidden/>
          </w:rPr>
          <w:tab/>
        </w:r>
        <w:r w:rsidR="00FB07F6">
          <w:rPr>
            <w:noProof/>
            <w:webHidden/>
          </w:rPr>
          <w:fldChar w:fldCharType="begin"/>
        </w:r>
        <w:r w:rsidR="00FB07F6">
          <w:rPr>
            <w:noProof/>
            <w:webHidden/>
          </w:rPr>
          <w:instrText xml:space="preserve"> PAGEREF _Toc394479574 \h </w:instrText>
        </w:r>
        <w:r w:rsidR="00FB07F6">
          <w:rPr>
            <w:noProof/>
            <w:webHidden/>
          </w:rPr>
        </w:r>
        <w:r w:rsidR="00FB07F6">
          <w:rPr>
            <w:noProof/>
            <w:webHidden/>
          </w:rPr>
          <w:fldChar w:fldCharType="separate"/>
        </w:r>
        <w:r>
          <w:rPr>
            <w:noProof/>
            <w:webHidden/>
          </w:rPr>
          <w:t>5</w:t>
        </w:r>
        <w:r w:rsidR="00FB07F6">
          <w:rPr>
            <w:noProof/>
            <w:webHidden/>
          </w:rPr>
          <w:fldChar w:fldCharType="end"/>
        </w:r>
      </w:hyperlink>
    </w:p>
    <w:p w:rsidR="00FB07F6" w:rsidRDefault="00533469">
      <w:pPr>
        <w:pStyle w:val="TOC1"/>
        <w:rPr>
          <w:rFonts w:asciiTheme="minorHAnsi" w:eastAsiaTheme="minorEastAsia" w:hAnsiTheme="minorHAnsi" w:cstheme="minorBidi"/>
          <w:b w:val="0"/>
          <w:noProof/>
          <w:lang w:eastAsia="en-AU"/>
        </w:rPr>
      </w:pPr>
      <w:hyperlink w:anchor="_Toc394479575" w:history="1">
        <w:r w:rsidR="00FB07F6" w:rsidRPr="00B33D48">
          <w:rPr>
            <w:rStyle w:val="Hyperlink"/>
            <w:noProof/>
          </w:rPr>
          <w:t>Background</w:t>
        </w:r>
        <w:r w:rsidR="00FB07F6">
          <w:rPr>
            <w:noProof/>
            <w:webHidden/>
          </w:rPr>
          <w:tab/>
        </w:r>
        <w:r w:rsidR="00FB07F6">
          <w:rPr>
            <w:noProof/>
            <w:webHidden/>
          </w:rPr>
          <w:fldChar w:fldCharType="begin"/>
        </w:r>
        <w:r w:rsidR="00FB07F6">
          <w:rPr>
            <w:noProof/>
            <w:webHidden/>
          </w:rPr>
          <w:instrText xml:space="preserve"> PAGEREF _Toc394479575 \h </w:instrText>
        </w:r>
        <w:r w:rsidR="00FB07F6">
          <w:rPr>
            <w:noProof/>
            <w:webHidden/>
          </w:rPr>
        </w:r>
        <w:r w:rsidR="00FB07F6">
          <w:rPr>
            <w:noProof/>
            <w:webHidden/>
          </w:rPr>
          <w:fldChar w:fldCharType="separate"/>
        </w:r>
        <w:r>
          <w:rPr>
            <w:noProof/>
            <w:webHidden/>
          </w:rPr>
          <w:t>6</w:t>
        </w:r>
        <w:r w:rsidR="00FB07F6">
          <w:rPr>
            <w:noProof/>
            <w:webHidden/>
          </w:rPr>
          <w:fldChar w:fldCharType="end"/>
        </w:r>
      </w:hyperlink>
    </w:p>
    <w:p w:rsidR="00FB07F6" w:rsidRDefault="00533469">
      <w:pPr>
        <w:pStyle w:val="TOC1"/>
        <w:rPr>
          <w:rFonts w:asciiTheme="minorHAnsi" w:eastAsiaTheme="minorEastAsia" w:hAnsiTheme="minorHAnsi" w:cstheme="minorBidi"/>
          <w:b w:val="0"/>
          <w:noProof/>
          <w:lang w:eastAsia="en-AU"/>
        </w:rPr>
      </w:pPr>
      <w:hyperlink w:anchor="_Toc394479576" w:history="1">
        <w:r w:rsidR="00FB07F6" w:rsidRPr="00B33D48">
          <w:rPr>
            <w:rStyle w:val="Hyperlink"/>
            <w:noProof/>
          </w:rPr>
          <w:t>1</w:t>
        </w:r>
        <w:r w:rsidR="00FB07F6">
          <w:rPr>
            <w:rFonts w:asciiTheme="minorHAnsi" w:eastAsiaTheme="minorEastAsia" w:hAnsiTheme="minorHAnsi" w:cstheme="minorBidi"/>
            <w:b w:val="0"/>
            <w:noProof/>
            <w:lang w:eastAsia="en-AU"/>
          </w:rPr>
          <w:tab/>
        </w:r>
        <w:r w:rsidR="00FB07F6" w:rsidRPr="00B33D48">
          <w:rPr>
            <w:rStyle w:val="Hyperlink"/>
            <w:noProof/>
          </w:rPr>
          <w:t>Gas</w:t>
        </w:r>
        <w:r w:rsidR="00FB07F6">
          <w:rPr>
            <w:noProof/>
            <w:webHidden/>
          </w:rPr>
          <w:tab/>
        </w:r>
        <w:r w:rsidR="00FB07F6">
          <w:rPr>
            <w:noProof/>
            <w:webHidden/>
          </w:rPr>
          <w:fldChar w:fldCharType="begin"/>
        </w:r>
        <w:r w:rsidR="00FB07F6">
          <w:rPr>
            <w:noProof/>
            <w:webHidden/>
          </w:rPr>
          <w:instrText xml:space="preserve"> PAGEREF _Toc394479576 \h </w:instrText>
        </w:r>
        <w:r w:rsidR="00FB07F6">
          <w:rPr>
            <w:noProof/>
            <w:webHidden/>
          </w:rPr>
        </w:r>
        <w:r w:rsidR="00FB07F6">
          <w:rPr>
            <w:noProof/>
            <w:webHidden/>
          </w:rPr>
          <w:fldChar w:fldCharType="separate"/>
        </w:r>
        <w:r>
          <w:rPr>
            <w:noProof/>
            <w:webHidden/>
          </w:rPr>
          <w:t>7</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77" w:history="1">
        <w:r w:rsidR="00FB07F6" w:rsidRPr="00B33D48">
          <w:rPr>
            <w:rStyle w:val="Hyperlink"/>
            <w:noProof/>
          </w:rPr>
          <w:t>Gas Supply Hub</w:t>
        </w:r>
        <w:r w:rsidR="00FB07F6">
          <w:rPr>
            <w:noProof/>
            <w:webHidden/>
          </w:rPr>
          <w:tab/>
        </w:r>
        <w:r w:rsidR="00FB07F6">
          <w:rPr>
            <w:noProof/>
            <w:webHidden/>
          </w:rPr>
          <w:fldChar w:fldCharType="begin"/>
        </w:r>
        <w:r w:rsidR="00FB07F6">
          <w:rPr>
            <w:noProof/>
            <w:webHidden/>
          </w:rPr>
          <w:instrText xml:space="preserve"> PAGEREF _Toc394479577 \h </w:instrText>
        </w:r>
        <w:r w:rsidR="00FB07F6">
          <w:rPr>
            <w:noProof/>
            <w:webHidden/>
          </w:rPr>
        </w:r>
        <w:r w:rsidR="00FB07F6">
          <w:rPr>
            <w:noProof/>
            <w:webHidden/>
          </w:rPr>
          <w:fldChar w:fldCharType="separate"/>
        </w:r>
        <w:r>
          <w:rPr>
            <w:noProof/>
            <w:webHidden/>
          </w:rPr>
          <w:t>7</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78" w:history="1">
        <w:r w:rsidR="00FB07F6" w:rsidRPr="00B33D48">
          <w:rPr>
            <w:rStyle w:val="Hyperlink"/>
            <w:noProof/>
          </w:rPr>
          <w:t>Short Term Trading Market</w:t>
        </w:r>
        <w:r w:rsidR="00FB07F6">
          <w:rPr>
            <w:noProof/>
            <w:webHidden/>
          </w:rPr>
          <w:tab/>
        </w:r>
        <w:r w:rsidR="00FB07F6">
          <w:rPr>
            <w:noProof/>
            <w:webHidden/>
          </w:rPr>
          <w:fldChar w:fldCharType="begin"/>
        </w:r>
        <w:r w:rsidR="00FB07F6">
          <w:rPr>
            <w:noProof/>
            <w:webHidden/>
          </w:rPr>
          <w:instrText xml:space="preserve"> PAGEREF _Toc394479578 \h </w:instrText>
        </w:r>
        <w:r w:rsidR="00FB07F6">
          <w:rPr>
            <w:noProof/>
            <w:webHidden/>
          </w:rPr>
        </w:r>
        <w:r w:rsidR="00FB07F6">
          <w:rPr>
            <w:noProof/>
            <w:webHidden/>
          </w:rPr>
          <w:fldChar w:fldCharType="separate"/>
        </w:r>
        <w:r>
          <w:rPr>
            <w:noProof/>
            <w:webHidden/>
          </w:rPr>
          <w:t>9</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79" w:history="1">
        <w:r w:rsidR="00FB07F6" w:rsidRPr="00B33D48">
          <w:rPr>
            <w:rStyle w:val="Hyperlink"/>
            <w:noProof/>
          </w:rPr>
          <w:t>1.1</w:t>
        </w:r>
        <w:r w:rsidR="00FB07F6">
          <w:rPr>
            <w:rFonts w:asciiTheme="minorHAnsi" w:eastAsiaTheme="minorEastAsia" w:hAnsiTheme="minorHAnsi" w:cstheme="minorBidi"/>
            <w:noProof/>
            <w:lang w:eastAsia="en-AU"/>
          </w:rPr>
          <w:tab/>
        </w:r>
        <w:r w:rsidR="00FB07F6" w:rsidRPr="00B33D48">
          <w:rPr>
            <w:rStyle w:val="Hyperlink"/>
            <w:noProof/>
          </w:rPr>
          <w:t>Capacity and allocation data quality</w:t>
        </w:r>
        <w:r w:rsidR="00FB07F6">
          <w:rPr>
            <w:noProof/>
            <w:webHidden/>
          </w:rPr>
          <w:tab/>
        </w:r>
        <w:r w:rsidR="00FB07F6">
          <w:rPr>
            <w:noProof/>
            <w:webHidden/>
          </w:rPr>
          <w:fldChar w:fldCharType="begin"/>
        </w:r>
        <w:r w:rsidR="00FB07F6">
          <w:rPr>
            <w:noProof/>
            <w:webHidden/>
          </w:rPr>
          <w:instrText xml:space="preserve"> PAGEREF _Toc394479579 \h </w:instrText>
        </w:r>
        <w:r w:rsidR="00FB07F6">
          <w:rPr>
            <w:noProof/>
            <w:webHidden/>
          </w:rPr>
        </w:r>
        <w:r w:rsidR="00FB07F6">
          <w:rPr>
            <w:noProof/>
            <w:webHidden/>
          </w:rPr>
          <w:fldChar w:fldCharType="separate"/>
        </w:r>
        <w:r>
          <w:rPr>
            <w:noProof/>
            <w:webHidden/>
          </w:rPr>
          <w:t>9</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80" w:history="1">
        <w:r w:rsidR="00FB07F6" w:rsidRPr="00B33D48">
          <w:rPr>
            <w:rStyle w:val="Hyperlink"/>
            <w:noProof/>
          </w:rPr>
          <w:t>1.2</w:t>
        </w:r>
        <w:r w:rsidR="00FB07F6">
          <w:rPr>
            <w:rFonts w:asciiTheme="minorHAnsi" w:eastAsiaTheme="minorEastAsia" w:hAnsiTheme="minorHAnsi" w:cstheme="minorBidi"/>
            <w:noProof/>
            <w:lang w:eastAsia="en-AU"/>
          </w:rPr>
          <w:tab/>
        </w:r>
        <w:r w:rsidR="00FB07F6" w:rsidRPr="00B33D48">
          <w:rPr>
            <w:rStyle w:val="Hyperlink"/>
            <w:noProof/>
          </w:rPr>
          <w:t>AEMO – Administered pricing 1 to 3 June</w:t>
        </w:r>
        <w:r w:rsidR="00FB07F6">
          <w:rPr>
            <w:noProof/>
            <w:webHidden/>
          </w:rPr>
          <w:tab/>
        </w:r>
        <w:r w:rsidR="00FB07F6">
          <w:rPr>
            <w:noProof/>
            <w:webHidden/>
          </w:rPr>
          <w:fldChar w:fldCharType="begin"/>
        </w:r>
        <w:r w:rsidR="00FB07F6">
          <w:rPr>
            <w:noProof/>
            <w:webHidden/>
          </w:rPr>
          <w:instrText xml:space="preserve"> PAGEREF _Toc394479580 \h </w:instrText>
        </w:r>
        <w:r w:rsidR="00FB07F6">
          <w:rPr>
            <w:noProof/>
            <w:webHidden/>
          </w:rPr>
        </w:r>
        <w:r w:rsidR="00FB07F6">
          <w:rPr>
            <w:noProof/>
            <w:webHidden/>
          </w:rPr>
          <w:fldChar w:fldCharType="separate"/>
        </w:r>
        <w:r>
          <w:rPr>
            <w:noProof/>
            <w:webHidden/>
          </w:rPr>
          <w:t>9</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81" w:history="1">
        <w:r w:rsidR="00FB07F6" w:rsidRPr="00B33D48">
          <w:rPr>
            <w:rStyle w:val="Hyperlink"/>
            <w:noProof/>
          </w:rPr>
          <w:t>1.3</w:t>
        </w:r>
        <w:r w:rsidR="00FB07F6">
          <w:rPr>
            <w:rFonts w:asciiTheme="minorHAnsi" w:eastAsiaTheme="minorEastAsia" w:hAnsiTheme="minorHAnsi" w:cstheme="minorBidi"/>
            <w:noProof/>
            <w:lang w:eastAsia="en-AU"/>
          </w:rPr>
          <w:tab/>
        </w:r>
        <w:r w:rsidR="00FB07F6" w:rsidRPr="00B33D48">
          <w:rPr>
            <w:rStyle w:val="Hyperlink"/>
            <w:noProof/>
          </w:rPr>
          <w:t>AEMO – Disclosure of confidential information</w:t>
        </w:r>
        <w:r w:rsidR="00FB07F6">
          <w:rPr>
            <w:noProof/>
            <w:webHidden/>
          </w:rPr>
          <w:tab/>
        </w:r>
        <w:r w:rsidR="00FB07F6">
          <w:rPr>
            <w:noProof/>
            <w:webHidden/>
          </w:rPr>
          <w:fldChar w:fldCharType="begin"/>
        </w:r>
        <w:r w:rsidR="00FB07F6">
          <w:rPr>
            <w:noProof/>
            <w:webHidden/>
          </w:rPr>
          <w:instrText xml:space="preserve"> PAGEREF _Toc394479581 \h </w:instrText>
        </w:r>
        <w:r w:rsidR="00FB07F6">
          <w:rPr>
            <w:noProof/>
            <w:webHidden/>
          </w:rPr>
        </w:r>
        <w:r w:rsidR="00FB07F6">
          <w:rPr>
            <w:noProof/>
            <w:webHidden/>
          </w:rPr>
          <w:fldChar w:fldCharType="separate"/>
        </w:r>
        <w:r>
          <w:rPr>
            <w:noProof/>
            <w:webHidden/>
          </w:rPr>
          <w:t>10</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82" w:history="1">
        <w:r w:rsidR="00FB07F6" w:rsidRPr="00B33D48">
          <w:rPr>
            <w:rStyle w:val="Hyperlink"/>
            <w:noProof/>
          </w:rPr>
          <w:t>1.4</w:t>
        </w:r>
        <w:r w:rsidR="00FB07F6">
          <w:rPr>
            <w:rFonts w:asciiTheme="minorHAnsi" w:eastAsiaTheme="minorEastAsia" w:hAnsiTheme="minorHAnsi" w:cstheme="minorBidi"/>
            <w:noProof/>
            <w:lang w:eastAsia="en-AU"/>
          </w:rPr>
          <w:tab/>
        </w:r>
        <w:r w:rsidR="00FB07F6" w:rsidRPr="00B33D48">
          <w:rPr>
            <w:rStyle w:val="Hyperlink"/>
            <w:noProof/>
          </w:rPr>
          <w:t>Capacity data</w:t>
        </w:r>
        <w:r w:rsidR="00FB07F6">
          <w:rPr>
            <w:noProof/>
            <w:webHidden/>
          </w:rPr>
          <w:tab/>
        </w:r>
        <w:r w:rsidR="00FB07F6">
          <w:rPr>
            <w:noProof/>
            <w:webHidden/>
          </w:rPr>
          <w:fldChar w:fldCharType="begin"/>
        </w:r>
        <w:r w:rsidR="00FB07F6">
          <w:rPr>
            <w:noProof/>
            <w:webHidden/>
          </w:rPr>
          <w:instrText xml:space="preserve"> PAGEREF _Toc394479582 \h </w:instrText>
        </w:r>
        <w:r w:rsidR="00FB07F6">
          <w:rPr>
            <w:noProof/>
            <w:webHidden/>
          </w:rPr>
        </w:r>
        <w:r w:rsidR="00FB07F6">
          <w:rPr>
            <w:noProof/>
            <w:webHidden/>
          </w:rPr>
          <w:fldChar w:fldCharType="separate"/>
        </w:r>
        <w:r>
          <w:rPr>
            <w:noProof/>
            <w:webHidden/>
          </w:rPr>
          <w:t>11</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83" w:history="1">
        <w:r w:rsidR="00FB07F6" w:rsidRPr="00B33D48">
          <w:rPr>
            <w:rStyle w:val="Hyperlink"/>
            <w:rFonts w:eastAsia="Times New Roman" w:cs="Times New Roman"/>
            <w:noProof/>
          </w:rPr>
          <w:t>1.5</w:t>
        </w:r>
        <w:r w:rsidR="00FB07F6">
          <w:rPr>
            <w:rFonts w:asciiTheme="minorHAnsi" w:eastAsiaTheme="minorEastAsia" w:hAnsiTheme="minorHAnsi" w:cstheme="minorBidi"/>
            <w:noProof/>
            <w:lang w:eastAsia="en-AU"/>
          </w:rPr>
          <w:tab/>
        </w:r>
        <w:r w:rsidR="00FB07F6" w:rsidRPr="00B33D48">
          <w:rPr>
            <w:rStyle w:val="Hyperlink"/>
            <w:noProof/>
          </w:rPr>
          <w:t>STTM demand forecasting update</w:t>
        </w:r>
        <w:r w:rsidR="00FB07F6">
          <w:rPr>
            <w:noProof/>
            <w:webHidden/>
          </w:rPr>
          <w:tab/>
        </w:r>
        <w:r w:rsidR="00FB07F6">
          <w:rPr>
            <w:noProof/>
            <w:webHidden/>
          </w:rPr>
          <w:fldChar w:fldCharType="begin"/>
        </w:r>
        <w:r w:rsidR="00FB07F6">
          <w:rPr>
            <w:noProof/>
            <w:webHidden/>
          </w:rPr>
          <w:instrText xml:space="preserve"> PAGEREF _Toc394479583 \h </w:instrText>
        </w:r>
        <w:r w:rsidR="00FB07F6">
          <w:rPr>
            <w:noProof/>
            <w:webHidden/>
          </w:rPr>
        </w:r>
        <w:r w:rsidR="00FB07F6">
          <w:rPr>
            <w:noProof/>
            <w:webHidden/>
          </w:rPr>
          <w:fldChar w:fldCharType="separate"/>
        </w:r>
        <w:r>
          <w:rPr>
            <w:noProof/>
            <w:webHidden/>
          </w:rPr>
          <w:t>12</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84" w:history="1">
        <w:r w:rsidR="00FB07F6" w:rsidRPr="00B33D48">
          <w:rPr>
            <w:rStyle w:val="Hyperlink"/>
            <w:noProof/>
          </w:rPr>
          <w:t>1.6</w:t>
        </w:r>
        <w:r w:rsidR="00FB07F6">
          <w:rPr>
            <w:rFonts w:asciiTheme="minorHAnsi" w:eastAsiaTheme="minorEastAsia" w:hAnsiTheme="minorHAnsi" w:cstheme="minorBidi"/>
            <w:noProof/>
            <w:lang w:eastAsia="en-AU"/>
          </w:rPr>
          <w:tab/>
        </w:r>
        <w:r w:rsidR="00FB07F6" w:rsidRPr="00B33D48">
          <w:rPr>
            <w:rStyle w:val="Hyperlink"/>
            <w:noProof/>
          </w:rPr>
          <w:t>Elizabeth zone valve</w:t>
        </w:r>
        <w:r w:rsidR="00FB07F6">
          <w:rPr>
            <w:noProof/>
            <w:webHidden/>
          </w:rPr>
          <w:tab/>
        </w:r>
        <w:r w:rsidR="00FB07F6">
          <w:rPr>
            <w:noProof/>
            <w:webHidden/>
          </w:rPr>
          <w:fldChar w:fldCharType="begin"/>
        </w:r>
        <w:r w:rsidR="00FB07F6">
          <w:rPr>
            <w:noProof/>
            <w:webHidden/>
          </w:rPr>
          <w:instrText xml:space="preserve"> PAGEREF _Toc394479584 \h </w:instrText>
        </w:r>
        <w:r w:rsidR="00FB07F6">
          <w:rPr>
            <w:noProof/>
            <w:webHidden/>
          </w:rPr>
        </w:r>
        <w:r w:rsidR="00FB07F6">
          <w:rPr>
            <w:noProof/>
            <w:webHidden/>
          </w:rPr>
          <w:fldChar w:fldCharType="separate"/>
        </w:r>
        <w:r>
          <w:rPr>
            <w:noProof/>
            <w:webHidden/>
          </w:rPr>
          <w:t>16</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85" w:history="1">
        <w:r w:rsidR="00FB07F6" w:rsidRPr="00B33D48">
          <w:rPr>
            <w:rStyle w:val="Hyperlink"/>
            <w:noProof/>
          </w:rPr>
          <w:t>Victorian gas market</w:t>
        </w:r>
        <w:r w:rsidR="00FB07F6">
          <w:rPr>
            <w:noProof/>
            <w:webHidden/>
          </w:rPr>
          <w:tab/>
        </w:r>
        <w:r w:rsidR="00FB07F6">
          <w:rPr>
            <w:noProof/>
            <w:webHidden/>
          </w:rPr>
          <w:fldChar w:fldCharType="begin"/>
        </w:r>
        <w:r w:rsidR="00FB07F6">
          <w:rPr>
            <w:noProof/>
            <w:webHidden/>
          </w:rPr>
          <w:instrText xml:space="preserve"> PAGEREF _Toc394479585 \h </w:instrText>
        </w:r>
        <w:r w:rsidR="00FB07F6">
          <w:rPr>
            <w:noProof/>
            <w:webHidden/>
          </w:rPr>
        </w:r>
        <w:r w:rsidR="00FB07F6">
          <w:rPr>
            <w:noProof/>
            <w:webHidden/>
          </w:rPr>
          <w:fldChar w:fldCharType="separate"/>
        </w:r>
        <w:r>
          <w:rPr>
            <w:noProof/>
            <w:webHidden/>
          </w:rPr>
          <w:t>17</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86" w:history="1">
        <w:r w:rsidR="00FB07F6" w:rsidRPr="00B33D48">
          <w:rPr>
            <w:rStyle w:val="Hyperlink"/>
            <w:noProof/>
          </w:rPr>
          <w:t>Bulletin Board</w:t>
        </w:r>
        <w:r w:rsidR="00FB07F6">
          <w:rPr>
            <w:noProof/>
            <w:webHidden/>
          </w:rPr>
          <w:tab/>
        </w:r>
        <w:r w:rsidR="00FB07F6">
          <w:rPr>
            <w:noProof/>
            <w:webHidden/>
          </w:rPr>
          <w:fldChar w:fldCharType="begin"/>
        </w:r>
        <w:r w:rsidR="00FB07F6">
          <w:rPr>
            <w:noProof/>
            <w:webHidden/>
          </w:rPr>
          <w:instrText xml:space="preserve"> PAGEREF _Toc394479586 \h </w:instrText>
        </w:r>
        <w:r w:rsidR="00FB07F6">
          <w:rPr>
            <w:noProof/>
            <w:webHidden/>
          </w:rPr>
        </w:r>
        <w:r w:rsidR="00FB07F6">
          <w:rPr>
            <w:noProof/>
            <w:webHidden/>
          </w:rPr>
          <w:fldChar w:fldCharType="separate"/>
        </w:r>
        <w:r>
          <w:rPr>
            <w:noProof/>
            <w:webHidden/>
          </w:rPr>
          <w:t>17</w:t>
        </w:r>
        <w:r w:rsidR="00FB07F6">
          <w:rPr>
            <w:noProof/>
            <w:webHidden/>
          </w:rPr>
          <w:fldChar w:fldCharType="end"/>
        </w:r>
      </w:hyperlink>
    </w:p>
    <w:p w:rsidR="00FB07F6" w:rsidRDefault="00533469">
      <w:pPr>
        <w:pStyle w:val="TOC1"/>
        <w:rPr>
          <w:rFonts w:asciiTheme="minorHAnsi" w:eastAsiaTheme="minorEastAsia" w:hAnsiTheme="minorHAnsi" w:cstheme="minorBidi"/>
          <w:b w:val="0"/>
          <w:noProof/>
          <w:lang w:eastAsia="en-AU"/>
        </w:rPr>
      </w:pPr>
      <w:hyperlink w:anchor="_Toc394479587" w:history="1">
        <w:r w:rsidR="00FB07F6" w:rsidRPr="00B33D48">
          <w:rPr>
            <w:rStyle w:val="Hyperlink"/>
            <w:noProof/>
          </w:rPr>
          <w:t>2</w:t>
        </w:r>
        <w:r w:rsidR="00FB07F6">
          <w:rPr>
            <w:rFonts w:asciiTheme="minorHAnsi" w:eastAsiaTheme="minorEastAsia" w:hAnsiTheme="minorHAnsi" w:cstheme="minorBidi"/>
            <w:b w:val="0"/>
            <w:noProof/>
            <w:lang w:eastAsia="en-AU"/>
          </w:rPr>
          <w:tab/>
        </w:r>
        <w:r w:rsidR="00FB07F6" w:rsidRPr="00B33D48">
          <w:rPr>
            <w:rStyle w:val="Hyperlink"/>
            <w:noProof/>
          </w:rPr>
          <w:t>Electricity</w:t>
        </w:r>
        <w:r w:rsidR="00FB07F6">
          <w:rPr>
            <w:noProof/>
            <w:webHidden/>
          </w:rPr>
          <w:tab/>
        </w:r>
        <w:r w:rsidR="00FB07F6">
          <w:rPr>
            <w:noProof/>
            <w:webHidden/>
          </w:rPr>
          <w:fldChar w:fldCharType="begin"/>
        </w:r>
        <w:r w:rsidR="00FB07F6">
          <w:rPr>
            <w:noProof/>
            <w:webHidden/>
          </w:rPr>
          <w:instrText xml:space="preserve"> PAGEREF _Toc394479587 \h </w:instrText>
        </w:r>
        <w:r w:rsidR="00FB07F6">
          <w:rPr>
            <w:noProof/>
            <w:webHidden/>
          </w:rPr>
        </w:r>
        <w:r w:rsidR="00FB07F6">
          <w:rPr>
            <w:noProof/>
            <w:webHidden/>
          </w:rPr>
          <w:fldChar w:fldCharType="separate"/>
        </w:r>
        <w:r>
          <w:rPr>
            <w:noProof/>
            <w:webHidden/>
          </w:rPr>
          <w:t>18</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88" w:history="1">
        <w:r w:rsidR="00FB07F6" w:rsidRPr="00B33D48">
          <w:rPr>
            <w:rStyle w:val="Hyperlink"/>
            <w:noProof/>
          </w:rPr>
          <w:t>2.1</w:t>
        </w:r>
        <w:r w:rsidR="00FB07F6">
          <w:rPr>
            <w:rFonts w:asciiTheme="minorHAnsi" w:eastAsiaTheme="minorEastAsia" w:hAnsiTheme="minorHAnsi" w:cstheme="minorBidi"/>
            <w:noProof/>
            <w:lang w:eastAsia="en-AU"/>
          </w:rPr>
          <w:tab/>
        </w:r>
        <w:r w:rsidR="00FB07F6" w:rsidRPr="00B33D48">
          <w:rPr>
            <w:rStyle w:val="Hyperlink"/>
            <w:noProof/>
          </w:rPr>
          <w:t>Rebidding</w:t>
        </w:r>
        <w:r w:rsidR="00FB07F6">
          <w:rPr>
            <w:noProof/>
            <w:webHidden/>
          </w:rPr>
          <w:tab/>
        </w:r>
        <w:r w:rsidR="00FB07F6">
          <w:rPr>
            <w:noProof/>
            <w:webHidden/>
          </w:rPr>
          <w:fldChar w:fldCharType="begin"/>
        </w:r>
        <w:r w:rsidR="00FB07F6">
          <w:rPr>
            <w:noProof/>
            <w:webHidden/>
          </w:rPr>
          <w:instrText xml:space="preserve"> PAGEREF _Toc394479588 \h </w:instrText>
        </w:r>
        <w:r w:rsidR="00FB07F6">
          <w:rPr>
            <w:noProof/>
            <w:webHidden/>
          </w:rPr>
        </w:r>
        <w:r w:rsidR="00FB07F6">
          <w:rPr>
            <w:noProof/>
            <w:webHidden/>
          </w:rPr>
          <w:fldChar w:fldCharType="separate"/>
        </w:r>
        <w:r>
          <w:rPr>
            <w:noProof/>
            <w:webHidden/>
          </w:rPr>
          <w:t>18</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89" w:history="1">
        <w:r w:rsidR="00FB07F6" w:rsidRPr="00B33D48">
          <w:rPr>
            <w:rStyle w:val="Hyperlink"/>
            <w:noProof/>
          </w:rPr>
          <w:t>2.2</w:t>
        </w:r>
        <w:r w:rsidR="00FB07F6">
          <w:rPr>
            <w:rFonts w:asciiTheme="minorHAnsi" w:eastAsiaTheme="minorEastAsia" w:hAnsiTheme="minorHAnsi" w:cstheme="minorBidi"/>
            <w:noProof/>
            <w:lang w:eastAsia="en-AU"/>
          </w:rPr>
          <w:tab/>
        </w:r>
        <w:r w:rsidR="00FB07F6" w:rsidRPr="00B33D48">
          <w:rPr>
            <w:rStyle w:val="Hyperlink"/>
            <w:noProof/>
          </w:rPr>
          <w:t>Snowy Hydro: alleged failure to comply with AEMO dispatch instructions</w:t>
        </w:r>
        <w:r w:rsidR="00FB07F6">
          <w:rPr>
            <w:noProof/>
            <w:webHidden/>
          </w:rPr>
          <w:tab/>
        </w:r>
        <w:r w:rsidR="00FB07F6">
          <w:rPr>
            <w:noProof/>
            <w:webHidden/>
          </w:rPr>
          <w:fldChar w:fldCharType="begin"/>
        </w:r>
        <w:r w:rsidR="00FB07F6">
          <w:rPr>
            <w:noProof/>
            <w:webHidden/>
          </w:rPr>
          <w:instrText xml:space="preserve"> PAGEREF _Toc394479589 \h </w:instrText>
        </w:r>
        <w:r w:rsidR="00FB07F6">
          <w:rPr>
            <w:noProof/>
            <w:webHidden/>
          </w:rPr>
        </w:r>
        <w:r w:rsidR="00FB07F6">
          <w:rPr>
            <w:noProof/>
            <w:webHidden/>
          </w:rPr>
          <w:fldChar w:fldCharType="separate"/>
        </w:r>
        <w:r>
          <w:rPr>
            <w:noProof/>
            <w:webHidden/>
          </w:rPr>
          <w:t>19</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90" w:history="1">
        <w:r w:rsidR="00FB07F6" w:rsidRPr="00B33D48">
          <w:rPr>
            <w:rStyle w:val="Hyperlink"/>
            <w:noProof/>
          </w:rPr>
          <w:t>2.3</w:t>
        </w:r>
        <w:r w:rsidR="00FB07F6">
          <w:rPr>
            <w:rFonts w:asciiTheme="minorHAnsi" w:eastAsiaTheme="minorEastAsia" w:hAnsiTheme="minorHAnsi" w:cstheme="minorBidi"/>
            <w:noProof/>
            <w:lang w:eastAsia="en-AU"/>
          </w:rPr>
          <w:tab/>
        </w:r>
        <w:r w:rsidR="00FB07F6" w:rsidRPr="00B33D48">
          <w:rPr>
            <w:rStyle w:val="Hyperlink"/>
            <w:noProof/>
          </w:rPr>
          <w:t>Lumo Energy - Market management system access</w:t>
        </w:r>
        <w:r w:rsidR="00FB07F6">
          <w:rPr>
            <w:noProof/>
            <w:webHidden/>
          </w:rPr>
          <w:tab/>
        </w:r>
        <w:r w:rsidR="00FB07F6">
          <w:rPr>
            <w:noProof/>
            <w:webHidden/>
          </w:rPr>
          <w:fldChar w:fldCharType="begin"/>
        </w:r>
        <w:r w:rsidR="00FB07F6">
          <w:rPr>
            <w:noProof/>
            <w:webHidden/>
          </w:rPr>
          <w:instrText xml:space="preserve"> PAGEREF _Toc394479590 \h </w:instrText>
        </w:r>
        <w:r w:rsidR="00FB07F6">
          <w:rPr>
            <w:noProof/>
            <w:webHidden/>
          </w:rPr>
        </w:r>
        <w:r w:rsidR="00FB07F6">
          <w:rPr>
            <w:noProof/>
            <w:webHidden/>
          </w:rPr>
          <w:fldChar w:fldCharType="separate"/>
        </w:r>
        <w:r>
          <w:rPr>
            <w:noProof/>
            <w:webHidden/>
          </w:rPr>
          <w:t>19</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91" w:history="1">
        <w:r w:rsidR="00FB07F6" w:rsidRPr="00B33D48">
          <w:rPr>
            <w:rStyle w:val="Hyperlink"/>
            <w:noProof/>
          </w:rPr>
          <w:t>2.4</w:t>
        </w:r>
        <w:r w:rsidR="00FB07F6">
          <w:rPr>
            <w:rFonts w:asciiTheme="minorHAnsi" w:eastAsiaTheme="minorEastAsia" w:hAnsiTheme="minorHAnsi" w:cstheme="minorBidi"/>
            <w:noProof/>
            <w:lang w:eastAsia="en-AU"/>
          </w:rPr>
          <w:tab/>
        </w:r>
        <w:r w:rsidR="00FB07F6" w:rsidRPr="00B33D48">
          <w:rPr>
            <w:rStyle w:val="Hyperlink"/>
            <w:noProof/>
          </w:rPr>
          <w:t>Targeted compliance review – Market management system access</w:t>
        </w:r>
        <w:r w:rsidR="00FB07F6">
          <w:rPr>
            <w:noProof/>
            <w:webHidden/>
          </w:rPr>
          <w:tab/>
        </w:r>
        <w:r w:rsidR="00FB07F6">
          <w:rPr>
            <w:noProof/>
            <w:webHidden/>
          </w:rPr>
          <w:fldChar w:fldCharType="begin"/>
        </w:r>
        <w:r w:rsidR="00FB07F6">
          <w:rPr>
            <w:noProof/>
            <w:webHidden/>
          </w:rPr>
          <w:instrText xml:space="preserve"> PAGEREF _Toc394479591 \h </w:instrText>
        </w:r>
        <w:r w:rsidR="00FB07F6">
          <w:rPr>
            <w:noProof/>
            <w:webHidden/>
          </w:rPr>
        </w:r>
        <w:r w:rsidR="00FB07F6">
          <w:rPr>
            <w:noProof/>
            <w:webHidden/>
          </w:rPr>
          <w:fldChar w:fldCharType="separate"/>
        </w:r>
        <w:r>
          <w:rPr>
            <w:noProof/>
            <w:webHidden/>
          </w:rPr>
          <w:t>20</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92" w:history="1">
        <w:r w:rsidR="00FB07F6" w:rsidRPr="00B33D48">
          <w:rPr>
            <w:rStyle w:val="Hyperlink"/>
            <w:noProof/>
          </w:rPr>
          <w:t>2.5</w:t>
        </w:r>
        <w:r w:rsidR="00FB07F6">
          <w:rPr>
            <w:rFonts w:asciiTheme="minorHAnsi" w:eastAsiaTheme="minorEastAsia" w:hAnsiTheme="minorHAnsi" w:cstheme="minorBidi"/>
            <w:noProof/>
            <w:lang w:eastAsia="en-AU"/>
          </w:rPr>
          <w:tab/>
        </w:r>
        <w:r w:rsidR="00FB07F6" w:rsidRPr="00B33D48">
          <w:rPr>
            <w:rStyle w:val="Hyperlink"/>
            <w:noProof/>
          </w:rPr>
          <w:t>Meter churn procedures – request for no action</w:t>
        </w:r>
        <w:r w:rsidR="00FB07F6">
          <w:rPr>
            <w:noProof/>
            <w:webHidden/>
          </w:rPr>
          <w:tab/>
        </w:r>
        <w:r w:rsidR="00FB07F6">
          <w:rPr>
            <w:noProof/>
            <w:webHidden/>
          </w:rPr>
          <w:fldChar w:fldCharType="begin"/>
        </w:r>
        <w:r w:rsidR="00FB07F6">
          <w:rPr>
            <w:noProof/>
            <w:webHidden/>
          </w:rPr>
          <w:instrText xml:space="preserve"> PAGEREF _Toc394479592 \h </w:instrText>
        </w:r>
        <w:r w:rsidR="00FB07F6">
          <w:rPr>
            <w:noProof/>
            <w:webHidden/>
          </w:rPr>
        </w:r>
        <w:r w:rsidR="00FB07F6">
          <w:rPr>
            <w:noProof/>
            <w:webHidden/>
          </w:rPr>
          <w:fldChar w:fldCharType="separate"/>
        </w:r>
        <w:r>
          <w:rPr>
            <w:noProof/>
            <w:webHidden/>
          </w:rPr>
          <w:t>21</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93" w:history="1">
        <w:r w:rsidR="00FB07F6" w:rsidRPr="00B33D48">
          <w:rPr>
            <w:rStyle w:val="Hyperlink"/>
            <w:noProof/>
          </w:rPr>
          <w:t>2.6</w:t>
        </w:r>
        <w:r w:rsidR="00FB07F6">
          <w:rPr>
            <w:rFonts w:asciiTheme="minorHAnsi" w:eastAsiaTheme="minorEastAsia" w:hAnsiTheme="minorHAnsi" w:cstheme="minorBidi"/>
            <w:noProof/>
            <w:lang w:eastAsia="en-AU"/>
          </w:rPr>
          <w:tab/>
        </w:r>
        <w:r w:rsidR="00FB07F6" w:rsidRPr="00B33D48">
          <w:rPr>
            <w:rStyle w:val="Hyperlink"/>
            <w:noProof/>
          </w:rPr>
          <w:t>Technical audits</w:t>
        </w:r>
        <w:r w:rsidR="00FB07F6">
          <w:rPr>
            <w:noProof/>
            <w:webHidden/>
          </w:rPr>
          <w:tab/>
        </w:r>
        <w:r w:rsidR="00FB07F6">
          <w:rPr>
            <w:noProof/>
            <w:webHidden/>
          </w:rPr>
          <w:fldChar w:fldCharType="begin"/>
        </w:r>
        <w:r w:rsidR="00FB07F6">
          <w:rPr>
            <w:noProof/>
            <w:webHidden/>
          </w:rPr>
          <w:instrText xml:space="preserve"> PAGEREF _Toc394479593 \h </w:instrText>
        </w:r>
        <w:r w:rsidR="00FB07F6">
          <w:rPr>
            <w:noProof/>
            <w:webHidden/>
          </w:rPr>
        </w:r>
        <w:r w:rsidR="00FB07F6">
          <w:rPr>
            <w:noProof/>
            <w:webHidden/>
          </w:rPr>
          <w:fldChar w:fldCharType="separate"/>
        </w:r>
        <w:r>
          <w:rPr>
            <w:noProof/>
            <w:webHidden/>
          </w:rPr>
          <w:t>21</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94" w:history="1">
        <w:r w:rsidR="00FB07F6" w:rsidRPr="00B33D48">
          <w:rPr>
            <w:rStyle w:val="Hyperlink"/>
            <w:noProof/>
          </w:rPr>
          <w:t>2.7</w:t>
        </w:r>
        <w:r w:rsidR="00FB07F6">
          <w:rPr>
            <w:rFonts w:asciiTheme="minorHAnsi" w:eastAsiaTheme="minorEastAsia" w:hAnsiTheme="minorHAnsi" w:cstheme="minorBidi"/>
            <w:noProof/>
            <w:lang w:eastAsia="en-AU"/>
          </w:rPr>
          <w:tab/>
        </w:r>
        <w:r w:rsidR="00FB07F6" w:rsidRPr="00B33D48">
          <w:rPr>
            <w:rStyle w:val="Hyperlink"/>
            <w:noProof/>
          </w:rPr>
          <w:t>Jurisdictional derogations</w:t>
        </w:r>
        <w:r w:rsidR="00FB07F6">
          <w:rPr>
            <w:noProof/>
            <w:webHidden/>
          </w:rPr>
          <w:tab/>
        </w:r>
        <w:r w:rsidR="00FB07F6">
          <w:rPr>
            <w:noProof/>
            <w:webHidden/>
          </w:rPr>
          <w:fldChar w:fldCharType="begin"/>
        </w:r>
        <w:r w:rsidR="00FB07F6">
          <w:rPr>
            <w:noProof/>
            <w:webHidden/>
          </w:rPr>
          <w:instrText xml:space="preserve"> PAGEREF _Toc394479594 \h </w:instrText>
        </w:r>
        <w:r w:rsidR="00FB07F6">
          <w:rPr>
            <w:noProof/>
            <w:webHidden/>
          </w:rPr>
        </w:r>
        <w:r w:rsidR="00FB07F6">
          <w:rPr>
            <w:noProof/>
            <w:webHidden/>
          </w:rPr>
          <w:fldChar w:fldCharType="separate"/>
        </w:r>
        <w:r>
          <w:rPr>
            <w:noProof/>
            <w:webHidden/>
          </w:rPr>
          <w:t>22</w:t>
        </w:r>
        <w:r w:rsidR="00FB07F6">
          <w:rPr>
            <w:noProof/>
            <w:webHidden/>
          </w:rPr>
          <w:fldChar w:fldCharType="end"/>
        </w:r>
      </w:hyperlink>
    </w:p>
    <w:p w:rsidR="00FB07F6" w:rsidRDefault="00533469">
      <w:pPr>
        <w:pStyle w:val="TOC2"/>
        <w:rPr>
          <w:rFonts w:asciiTheme="minorHAnsi" w:eastAsiaTheme="minorEastAsia" w:hAnsiTheme="minorHAnsi" w:cstheme="minorBidi"/>
          <w:noProof/>
          <w:lang w:eastAsia="en-AU"/>
        </w:rPr>
      </w:pPr>
      <w:hyperlink w:anchor="_Toc394479595" w:history="1">
        <w:r w:rsidR="00FB07F6" w:rsidRPr="00B33D48">
          <w:rPr>
            <w:rStyle w:val="Hyperlink"/>
            <w:noProof/>
          </w:rPr>
          <w:t>2.8</w:t>
        </w:r>
        <w:r w:rsidR="00FB07F6">
          <w:rPr>
            <w:rFonts w:asciiTheme="minorHAnsi" w:eastAsiaTheme="minorEastAsia" w:hAnsiTheme="minorHAnsi" w:cstheme="minorBidi"/>
            <w:noProof/>
            <w:lang w:eastAsia="en-AU"/>
          </w:rPr>
          <w:tab/>
        </w:r>
        <w:r w:rsidR="00FB07F6" w:rsidRPr="00B33D48">
          <w:rPr>
            <w:rStyle w:val="Hyperlink"/>
            <w:noProof/>
          </w:rPr>
          <w:t>Current transformer testing</w:t>
        </w:r>
        <w:r w:rsidR="00FB07F6">
          <w:rPr>
            <w:noProof/>
            <w:webHidden/>
          </w:rPr>
          <w:tab/>
        </w:r>
        <w:r w:rsidR="00FB07F6">
          <w:rPr>
            <w:noProof/>
            <w:webHidden/>
          </w:rPr>
          <w:fldChar w:fldCharType="begin"/>
        </w:r>
        <w:r w:rsidR="00FB07F6">
          <w:rPr>
            <w:noProof/>
            <w:webHidden/>
          </w:rPr>
          <w:instrText xml:space="preserve"> PAGEREF _Toc394479595 \h </w:instrText>
        </w:r>
        <w:r w:rsidR="00FB07F6">
          <w:rPr>
            <w:noProof/>
            <w:webHidden/>
          </w:rPr>
        </w:r>
        <w:r w:rsidR="00FB07F6">
          <w:rPr>
            <w:noProof/>
            <w:webHidden/>
          </w:rPr>
          <w:fldChar w:fldCharType="separate"/>
        </w:r>
        <w:r>
          <w:rPr>
            <w:noProof/>
            <w:webHidden/>
          </w:rPr>
          <w:t>22</w:t>
        </w:r>
        <w:r w:rsidR="00FB07F6">
          <w:rPr>
            <w:noProof/>
            <w:webHidden/>
          </w:rPr>
          <w:fldChar w:fldCharType="end"/>
        </w:r>
      </w:hyperlink>
    </w:p>
    <w:p w:rsidR="00FB07F6" w:rsidRDefault="00533469">
      <w:pPr>
        <w:pStyle w:val="TOC1"/>
        <w:rPr>
          <w:rFonts w:asciiTheme="minorHAnsi" w:eastAsiaTheme="minorEastAsia" w:hAnsiTheme="minorHAnsi" w:cstheme="minorBidi"/>
          <w:b w:val="0"/>
          <w:noProof/>
          <w:lang w:eastAsia="en-AU"/>
        </w:rPr>
      </w:pPr>
      <w:hyperlink w:anchor="_Toc394479596" w:history="1">
        <w:r w:rsidR="00FB07F6" w:rsidRPr="00B33D48">
          <w:rPr>
            <w:rStyle w:val="Hyperlink"/>
            <w:noProof/>
          </w:rPr>
          <w:t>Appendix A  Shortened forms</w:t>
        </w:r>
        <w:r w:rsidR="00FB07F6">
          <w:rPr>
            <w:noProof/>
            <w:webHidden/>
          </w:rPr>
          <w:tab/>
        </w:r>
        <w:r w:rsidR="00FB07F6">
          <w:rPr>
            <w:noProof/>
            <w:webHidden/>
          </w:rPr>
          <w:fldChar w:fldCharType="begin"/>
        </w:r>
        <w:r w:rsidR="00FB07F6">
          <w:rPr>
            <w:noProof/>
            <w:webHidden/>
          </w:rPr>
          <w:instrText xml:space="preserve"> PAGEREF _Toc394479596 \h </w:instrText>
        </w:r>
        <w:r w:rsidR="00FB07F6">
          <w:rPr>
            <w:noProof/>
            <w:webHidden/>
          </w:rPr>
        </w:r>
        <w:r w:rsidR="00FB07F6">
          <w:rPr>
            <w:noProof/>
            <w:webHidden/>
          </w:rPr>
          <w:fldChar w:fldCharType="separate"/>
        </w:r>
        <w:r>
          <w:rPr>
            <w:noProof/>
            <w:webHidden/>
          </w:rPr>
          <w:t>24</w:t>
        </w:r>
        <w:r w:rsidR="00FB07F6">
          <w:rPr>
            <w:noProof/>
            <w:webHidden/>
          </w:rPr>
          <w:fldChar w:fldCharType="end"/>
        </w:r>
      </w:hyperlink>
    </w:p>
    <w:p w:rsidR="00914770" w:rsidRDefault="00345E1B" w:rsidP="00CB1599">
      <w:pPr>
        <w:pStyle w:val="AERtabletitle"/>
        <w:keepNext w:val="0"/>
      </w:pPr>
      <w:r>
        <w:fldChar w:fldCharType="end"/>
      </w:r>
    </w:p>
    <w:p w:rsidR="00914770" w:rsidRDefault="00914770" w:rsidP="00914770"/>
    <w:p w:rsidR="0067781E" w:rsidRDefault="0067781E" w:rsidP="00914770"/>
    <w:p w:rsidR="0067781E" w:rsidRDefault="0067781E" w:rsidP="00914770"/>
    <w:p w:rsidR="0067781E" w:rsidRPr="00914770" w:rsidRDefault="0067781E" w:rsidP="00914770"/>
    <w:p w:rsidR="0067781E" w:rsidRPr="0067781E" w:rsidRDefault="0067781E" w:rsidP="0067781E"/>
    <w:p w:rsidR="000733BC" w:rsidRPr="00742426" w:rsidRDefault="00AB2AA9" w:rsidP="001F2CA4">
      <w:pPr>
        <w:pStyle w:val="UnnumberedHeading"/>
        <w:numPr>
          <w:ilvl w:val="0"/>
          <w:numId w:val="0"/>
        </w:numPr>
      </w:pPr>
      <w:bookmarkStart w:id="26" w:name="_Toc337553425"/>
      <w:bookmarkStart w:id="27" w:name="_Toc394479574"/>
      <w:bookmarkStart w:id="28" w:name="_Toc316978870"/>
      <w:bookmarkStart w:id="29" w:name="_Toc317520246"/>
      <w:bookmarkStart w:id="30" w:name="_Toc305751931"/>
      <w:bookmarkStart w:id="31" w:name="_Toc308601044"/>
      <w:bookmarkEnd w:id="25"/>
      <w:r w:rsidRPr="00742426">
        <w:lastRenderedPageBreak/>
        <w:t>Executive summary</w:t>
      </w:r>
      <w:bookmarkEnd w:id="26"/>
      <w:bookmarkEnd w:id="27"/>
    </w:p>
    <w:p w:rsidR="007C1BB9" w:rsidRDefault="007C1BB9" w:rsidP="007C1BB9">
      <w:pPr>
        <w:pStyle w:val="AERbodytext"/>
        <w:rPr>
          <w:b/>
        </w:rPr>
      </w:pPr>
      <w:bookmarkStart w:id="32" w:name="OLE_LINK72"/>
      <w:bookmarkStart w:id="33" w:name="OLE_LINK73"/>
      <w:r w:rsidRPr="007C1BB9">
        <w:t xml:space="preserve">The purpose of the Quarterly Compliance Report </w:t>
      </w:r>
      <w:r w:rsidRPr="007C1BB9">
        <w:rPr>
          <w:b/>
        </w:rPr>
        <w:t xml:space="preserve">(QCR) </w:t>
      </w:r>
      <w:r w:rsidRPr="007C1BB9">
        <w:t xml:space="preserve">is to outline the Australian Energy Regulator’s </w:t>
      </w:r>
      <w:r w:rsidRPr="007C1BB9">
        <w:rPr>
          <w:b/>
        </w:rPr>
        <w:t xml:space="preserve">(AER) </w:t>
      </w:r>
      <w:r w:rsidRPr="007C1BB9">
        <w:t>compliance monitoring and</w:t>
      </w:r>
      <w:r w:rsidRPr="007C1BB9">
        <w:rPr>
          <w:b/>
        </w:rPr>
        <w:t xml:space="preserve"> </w:t>
      </w:r>
      <w:r w:rsidRPr="007C1BB9">
        <w:t xml:space="preserve">enforcement activity under the National Electricity Law </w:t>
      </w:r>
      <w:r w:rsidRPr="007C1BB9">
        <w:rPr>
          <w:b/>
        </w:rPr>
        <w:t xml:space="preserve">(Electricity Law) </w:t>
      </w:r>
      <w:r w:rsidRPr="007C1BB9">
        <w:t>and the National Gas Law</w:t>
      </w:r>
      <w:r w:rsidRPr="007C1BB9">
        <w:rPr>
          <w:b/>
        </w:rPr>
        <w:t xml:space="preserve"> (Gas Law)</w:t>
      </w:r>
      <w:r w:rsidRPr="007C1BB9">
        <w:t xml:space="preserve">–including the rules and regulations which sit under those laws. This QCR covers the period 1 April to 30 June 2014 </w:t>
      </w:r>
      <w:r w:rsidRPr="007C1BB9">
        <w:rPr>
          <w:b/>
        </w:rPr>
        <w:t>(the June 2014 quarter).</w:t>
      </w:r>
    </w:p>
    <w:p w:rsidR="007C1BB9" w:rsidRPr="007C1BB9" w:rsidRDefault="007C1BB9" w:rsidP="007C1BB9">
      <w:pPr>
        <w:pStyle w:val="AERbodytext"/>
        <w:rPr>
          <w:b/>
        </w:rPr>
      </w:pPr>
      <w:r w:rsidRPr="007C1BB9">
        <w:t xml:space="preserve">During the quarter, the AER undertook enforcement action against two participants for allegedly failing to comply with the requirements of the National Electricity Rules </w:t>
      </w:r>
      <w:r w:rsidRPr="007C1BB9">
        <w:rPr>
          <w:b/>
        </w:rPr>
        <w:t>(Electricity Rules)</w:t>
      </w:r>
      <w:r w:rsidRPr="007C1BB9">
        <w:t>. This includes:</w:t>
      </w:r>
    </w:p>
    <w:p w:rsidR="007C1BB9" w:rsidRPr="007C1BB9" w:rsidRDefault="007C1BB9" w:rsidP="00C22CC1">
      <w:pPr>
        <w:pStyle w:val="AERbulletlistsecondstyle"/>
      </w:pPr>
      <w:r w:rsidRPr="007C1BB9">
        <w:t>instituting proceedings against Snow Hydro</w:t>
      </w:r>
      <w:r w:rsidR="00C22CC1">
        <w:t xml:space="preserve"> Limited </w:t>
      </w:r>
      <w:r w:rsidR="00C22CC1" w:rsidRPr="00C22CC1">
        <w:rPr>
          <w:b/>
        </w:rPr>
        <w:t>(Snowy Hydro)</w:t>
      </w:r>
      <w:r w:rsidRPr="007C1BB9">
        <w:t xml:space="preserve"> for an alleged failure to comply</w:t>
      </w:r>
      <w:r w:rsidR="00C22CC1">
        <w:t xml:space="preserve"> with </w:t>
      </w:r>
      <w:r w:rsidRPr="007C1BB9">
        <w:t>the Australian Energy Market Operator</w:t>
      </w:r>
      <w:r w:rsidR="00C22CC1">
        <w:t>’s</w:t>
      </w:r>
      <w:r w:rsidRPr="007C1BB9">
        <w:t xml:space="preserve"> </w:t>
      </w:r>
      <w:r w:rsidRPr="007C1BB9">
        <w:rPr>
          <w:b/>
        </w:rPr>
        <w:t>(AEMO)</w:t>
      </w:r>
      <w:r w:rsidRPr="007C1BB9">
        <w:t xml:space="preserve"> dispatch instructions (section 2.2)</w:t>
      </w:r>
    </w:p>
    <w:p w:rsidR="007C1BB9" w:rsidRPr="007C1BB9" w:rsidRDefault="007C1BB9" w:rsidP="00C22CC1">
      <w:pPr>
        <w:pStyle w:val="AERbulletlistsecondstyle"/>
        <w:rPr>
          <w:rFonts w:cs="Gautami"/>
          <w:szCs w:val="20"/>
        </w:rPr>
      </w:pPr>
      <w:proofErr w:type="gramStart"/>
      <w:r w:rsidRPr="007C1BB9">
        <w:rPr>
          <w:rFonts w:cs="Gautami"/>
          <w:szCs w:val="20"/>
        </w:rPr>
        <w:t>issuing</w:t>
      </w:r>
      <w:proofErr w:type="gramEnd"/>
      <w:r w:rsidRPr="007C1BB9">
        <w:rPr>
          <w:rFonts w:cs="Gautami"/>
          <w:szCs w:val="20"/>
        </w:rPr>
        <w:t xml:space="preserve"> an infringement notice to </w:t>
      </w:r>
      <w:proofErr w:type="spellStart"/>
      <w:r w:rsidRPr="007C1BB9">
        <w:rPr>
          <w:rFonts w:cs="Gautami"/>
          <w:szCs w:val="20"/>
        </w:rPr>
        <w:t>Lumo</w:t>
      </w:r>
      <w:proofErr w:type="spellEnd"/>
      <w:r w:rsidRPr="007C1BB9">
        <w:rPr>
          <w:rFonts w:cs="Gautami"/>
          <w:szCs w:val="20"/>
        </w:rPr>
        <w:t xml:space="preserve"> Energy</w:t>
      </w:r>
      <w:r w:rsidR="00C22CC1">
        <w:rPr>
          <w:rFonts w:cs="Gautami"/>
          <w:szCs w:val="20"/>
        </w:rPr>
        <w:t xml:space="preserve"> Pty Ltd </w:t>
      </w:r>
      <w:r w:rsidR="00C22CC1" w:rsidRPr="00C22CC1">
        <w:rPr>
          <w:rFonts w:cs="Gautami"/>
          <w:b/>
          <w:szCs w:val="20"/>
        </w:rPr>
        <w:t>(</w:t>
      </w:r>
      <w:proofErr w:type="spellStart"/>
      <w:r w:rsidR="00C22CC1" w:rsidRPr="00C22CC1">
        <w:rPr>
          <w:rFonts w:cs="Gautami"/>
          <w:b/>
          <w:szCs w:val="20"/>
        </w:rPr>
        <w:t>Lumo</w:t>
      </w:r>
      <w:proofErr w:type="spellEnd"/>
      <w:r w:rsidR="00C22CC1" w:rsidRPr="00C22CC1">
        <w:rPr>
          <w:rFonts w:cs="Gautami"/>
          <w:b/>
          <w:szCs w:val="20"/>
        </w:rPr>
        <w:t xml:space="preserve"> Energy)</w:t>
      </w:r>
      <w:r w:rsidRPr="007C1BB9">
        <w:rPr>
          <w:rFonts w:cs="Gautami"/>
          <w:szCs w:val="20"/>
        </w:rPr>
        <w:t xml:space="preserve"> for allegedly enabling unauthorised access to AEMO’s market systems (section 2.3).</w:t>
      </w:r>
    </w:p>
    <w:p w:rsidR="007C1BB9" w:rsidRPr="007C1BB9" w:rsidRDefault="00C22CC1" w:rsidP="007C1BB9">
      <w:pPr>
        <w:pStyle w:val="AERbodytext"/>
      </w:pPr>
      <w:r>
        <w:t xml:space="preserve">Compliance activity </w:t>
      </w:r>
      <w:r w:rsidR="007C1BB9" w:rsidRPr="007C1BB9">
        <w:t xml:space="preserve">regarding the security of </w:t>
      </w:r>
      <w:r>
        <w:t>AEMO’s</w:t>
      </w:r>
      <w:r w:rsidRPr="007C1BB9">
        <w:t xml:space="preserve"> </w:t>
      </w:r>
      <w:r w:rsidR="007C1BB9" w:rsidRPr="007C1BB9">
        <w:t xml:space="preserve">market systems </w:t>
      </w:r>
      <w:r w:rsidR="00BB6D4D">
        <w:t>extended beyond</w:t>
      </w:r>
      <w:r w:rsidR="007C1BB9" w:rsidRPr="007C1BB9">
        <w:t xml:space="preserve"> </w:t>
      </w:r>
      <w:proofErr w:type="spellStart"/>
      <w:r w:rsidR="007C1BB9" w:rsidRPr="007C1BB9">
        <w:t>Lumo</w:t>
      </w:r>
      <w:proofErr w:type="spellEnd"/>
      <w:r w:rsidR="007C1BB9" w:rsidRPr="007C1BB9">
        <w:t xml:space="preserve"> Energy </w:t>
      </w:r>
      <w:r w:rsidR="00BB6D4D">
        <w:t xml:space="preserve">in </w:t>
      </w:r>
      <w:r w:rsidR="007C1BB9" w:rsidRPr="007C1BB9">
        <w:t xml:space="preserve">the June 2014 quarter. AEMO self-reported to the AER that it breached s 91G of the Gas Law by disclosing confidential information </w:t>
      </w:r>
      <w:r w:rsidR="000A647A">
        <w:t xml:space="preserve">from its markets systems </w:t>
      </w:r>
      <w:r w:rsidR="007C1BB9" w:rsidRPr="007C1BB9">
        <w:t xml:space="preserve">to the wrong recipient (section 1.3). </w:t>
      </w:r>
      <w:r>
        <w:t>We</w:t>
      </w:r>
      <w:r w:rsidR="007C1BB9" w:rsidRPr="007C1BB9">
        <w:t xml:space="preserve"> also</w:t>
      </w:r>
      <w:r>
        <w:t xml:space="preserve"> instigated </w:t>
      </w:r>
      <w:r w:rsidR="007C1BB9" w:rsidRPr="007C1BB9">
        <w:t>a targeted review of participant compliance with the market system security requirements of the Electricity Rules (section 2.4).</w:t>
      </w:r>
    </w:p>
    <w:p w:rsidR="007C1BB9" w:rsidRPr="007C1BB9" w:rsidRDefault="007C1BB9" w:rsidP="007C1BB9">
      <w:pPr>
        <w:pStyle w:val="AERbodytext"/>
      </w:pPr>
      <w:r w:rsidRPr="007C1BB9">
        <w:t>We continued to respond to no action letter requests this quarter, including a no action request from AEMO regarding inconsistencies between its Meter Churn Procedures and the metering requirements of the Electricity Rules (section 2.</w:t>
      </w:r>
      <w:r w:rsidR="008F6ED6">
        <w:t>5</w:t>
      </w:r>
      <w:r w:rsidRPr="007C1BB9">
        <w:t>).</w:t>
      </w:r>
    </w:p>
    <w:p w:rsidR="007C1BB9" w:rsidRPr="007C1BB9" w:rsidRDefault="007C1BB9" w:rsidP="007C1BB9">
      <w:pPr>
        <w:pStyle w:val="AERbodytext"/>
      </w:pPr>
      <w:r w:rsidRPr="007C1BB9">
        <w:t xml:space="preserve">A technical audit of the </w:t>
      </w:r>
      <w:r>
        <w:t xml:space="preserve">electricity </w:t>
      </w:r>
      <w:r w:rsidR="00E60230">
        <w:t xml:space="preserve">transmission </w:t>
      </w:r>
      <w:r w:rsidRPr="007C1BB9">
        <w:t xml:space="preserve">network business, </w:t>
      </w:r>
      <w:proofErr w:type="spellStart"/>
      <w:r w:rsidR="00E60230" w:rsidRPr="007C1BB9">
        <w:t>ElectraNet</w:t>
      </w:r>
      <w:proofErr w:type="spellEnd"/>
      <w:r w:rsidRPr="007C1BB9">
        <w:t xml:space="preserve">, was </w:t>
      </w:r>
      <w:r w:rsidR="002D6DDE">
        <w:t xml:space="preserve">also </w:t>
      </w:r>
      <w:r w:rsidRPr="007C1BB9">
        <w:t xml:space="preserve">completed </w:t>
      </w:r>
      <w:r w:rsidR="0090583B">
        <w:t>by the AER</w:t>
      </w:r>
      <w:r w:rsidRPr="007C1BB9">
        <w:t xml:space="preserve">. </w:t>
      </w:r>
      <w:r w:rsidR="00E60230">
        <w:t>The audit focussed on the requirement to institute a compliance program for its protection and control systems. T</w:t>
      </w:r>
      <w:r w:rsidRPr="007C1BB9">
        <w:t>he outcomes of this audit, including the remedial actions proposed by the business to improve its technical compliance program</w:t>
      </w:r>
      <w:r w:rsidR="00856BB5">
        <w:t>,</w:t>
      </w:r>
      <w:r w:rsidR="00E60230">
        <w:t xml:space="preserve"> </w:t>
      </w:r>
      <w:r w:rsidR="00F97E49">
        <w:t xml:space="preserve">are included in this report </w:t>
      </w:r>
      <w:r w:rsidR="00E60230" w:rsidRPr="007C1BB9">
        <w:t>(section 2.</w:t>
      </w:r>
      <w:r w:rsidR="008F6ED6">
        <w:t>6.1</w:t>
      </w:r>
      <w:r w:rsidR="00E60230" w:rsidRPr="007C1BB9">
        <w:t>)</w:t>
      </w:r>
      <w:r w:rsidRPr="007C1BB9">
        <w:t xml:space="preserve">. </w:t>
      </w:r>
    </w:p>
    <w:p w:rsidR="00C22CC1" w:rsidRDefault="007C1BB9" w:rsidP="007C1BB9">
      <w:pPr>
        <w:pStyle w:val="AERbodytext"/>
      </w:pPr>
      <w:r w:rsidRPr="007C1BB9">
        <w:t xml:space="preserve">In relation to the wholesale </w:t>
      </w:r>
      <w:r w:rsidR="00E60230" w:rsidRPr="007C1BB9">
        <w:t xml:space="preserve">gas </w:t>
      </w:r>
      <w:r w:rsidRPr="007C1BB9">
        <w:t xml:space="preserve">markets, the AER continued to refine its compliance monitoring framework </w:t>
      </w:r>
      <w:r w:rsidR="00F97E49">
        <w:t>for</w:t>
      </w:r>
      <w:r w:rsidR="00F97E49" w:rsidRPr="007C1BB9">
        <w:t xml:space="preserve"> </w:t>
      </w:r>
      <w:r w:rsidRPr="007C1BB9">
        <w:t xml:space="preserve">the </w:t>
      </w:r>
      <w:r w:rsidR="00F97E49">
        <w:t xml:space="preserve">Wallumbilla </w:t>
      </w:r>
      <w:r w:rsidRPr="007C1BB9">
        <w:t>Gas Supply Hub</w:t>
      </w:r>
      <w:r w:rsidR="00B64C2A">
        <w:t xml:space="preserve"> </w:t>
      </w:r>
      <w:r w:rsidR="00B64C2A" w:rsidRPr="00B64C2A">
        <w:rPr>
          <w:b/>
        </w:rPr>
        <w:t>(GSH)</w:t>
      </w:r>
      <w:r w:rsidRPr="007C1BB9">
        <w:t xml:space="preserve">. In particular, we worked with AEMO to ensure its reporting arrangements provided the </w:t>
      </w:r>
      <w:r w:rsidR="00C81DD0" w:rsidRPr="007C1BB9">
        <w:t xml:space="preserve">AER </w:t>
      </w:r>
      <w:r w:rsidR="00C81DD0">
        <w:t xml:space="preserve">with the </w:t>
      </w:r>
      <w:r w:rsidR="00F97E49">
        <w:t xml:space="preserve">necessary </w:t>
      </w:r>
      <w:r w:rsidRPr="007C1BB9">
        <w:t xml:space="preserve">information to monitor market conduct, particularly price manipulation (chapter 1). We also engaged with industry to clarify our approach regarding the provision of capacity data in the Short Term Trading Market </w:t>
      </w:r>
      <w:r w:rsidRPr="007C1BB9">
        <w:rPr>
          <w:b/>
        </w:rPr>
        <w:t>(STTM)</w:t>
      </w:r>
      <w:r w:rsidR="00C22CC1" w:rsidRPr="00C22CC1">
        <w:t xml:space="preserve"> (section 1.4)</w:t>
      </w:r>
      <w:r w:rsidRPr="007C1BB9">
        <w:t>.</w:t>
      </w:r>
    </w:p>
    <w:p w:rsidR="007C1BB9" w:rsidRPr="007C1BB9" w:rsidRDefault="00C22CC1" w:rsidP="007C1BB9">
      <w:pPr>
        <w:pStyle w:val="AERbodytext"/>
      </w:pPr>
      <w:r>
        <w:t xml:space="preserve">Finally, this </w:t>
      </w:r>
      <w:r w:rsidR="007C1BB9" w:rsidRPr="007C1BB9">
        <w:t xml:space="preserve">QCR provides the AER’s response to the opening of the Elizabeth zone </w:t>
      </w:r>
      <w:r w:rsidR="00750516">
        <w:t>valve in</w:t>
      </w:r>
      <w:r w:rsidR="00750516" w:rsidRPr="007C1BB9">
        <w:t xml:space="preserve"> </w:t>
      </w:r>
      <w:r w:rsidR="007C1BB9" w:rsidRPr="007C1BB9">
        <w:t>the South Australian gas distribution network (section 1.</w:t>
      </w:r>
      <w:r w:rsidR="00485DF7">
        <w:t>4</w:t>
      </w:r>
      <w:r w:rsidR="007C1BB9" w:rsidRPr="007C1BB9">
        <w:t xml:space="preserve">) and AEMO’s administered ex post pricing in the Adelaide and Sydney hubs of the STTM </w:t>
      </w:r>
      <w:r w:rsidR="00F97E49">
        <w:t>between</w:t>
      </w:r>
      <w:r w:rsidR="00F97E49" w:rsidRPr="007C1BB9">
        <w:t xml:space="preserve"> </w:t>
      </w:r>
      <w:r w:rsidR="007C1BB9" w:rsidRPr="007C1BB9">
        <w:t xml:space="preserve">1 </w:t>
      </w:r>
      <w:r w:rsidR="00F97E49">
        <w:t xml:space="preserve">and </w:t>
      </w:r>
      <w:r w:rsidR="007C1BB9" w:rsidRPr="007C1BB9">
        <w:t>3 June.</w:t>
      </w:r>
    </w:p>
    <w:p w:rsidR="00273AF7" w:rsidRPr="00860DB5" w:rsidRDefault="007D5491" w:rsidP="00895871">
      <w:pPr>
        <w:pStyle w:val="UnnumberedHeading"/>
        <w:numPr>
          <w:ilvl w:val="0"/>
          <w:numId w:val="0"/>
        </w:numPr>
        <w:jc w:val="both"/>
      </w:pPr>
      <w:bookmarkStart w:id="34" w:name="_Toc394479575"/>
      <w:bookmarkEnd w:id="28"/>
      <w:bookmarkEnd w:id="29"/>
      <w:bookmarkEnd w:id="32"/>
      <w:bookmarkEnd w:id="33"/>
      <w:r w:rsidRPr="00860DB5">
        <w:lastRenderedPageBreak/>
        <w:t>Background</w:t>
      </w:r>
      <w:bookmarkEnd w:id="34"/>
    </w:p>
    <w:p w:rsidR="00A10D28" w:rsidRPr="00E0671E" w:rsidRDefault="00631881" w:rsidP="00BA1BC7">
      <w:pPr>
        <w:pStyle w:val="AERbodytext"/>
        <w:spacing w:after="220"/>
      </w:pPr>
      <w:r>
        <w:t>The AER is</w:t>
      </w:r>
      <w:r w:rsidRPr="00E0671E">
        <w:t xml:space="preserve"> </w:t>
      </w:r>
      <w:r w:rsidR="00A10D28" w:rsidRPr="00E0671E">
        <w:t xml:space="preserve">responsible for monitoring compliance and enforcement under legislation and rules governing Australia’s wholesale energy markets, including those applying to Network Service Providers. Section 15 of the Electricity Law and section 27 of the Gas Law set out </w:t>
      </w:r>
      <w:r>
        <w:t>our</w:t>
      </w:r>
      <w:r w:rsidRPr="00E0671E">
        <w:t xml:space="preserve"> </w:t>
      </w:r>
      <w:r w:rsidR="00A10D28" w:rsidRPr="00E0671E">
        <w:t>functions and powers, which include:</w:t>
      </w:r>
    </w:p>
    <w:p w:rsidR="00AA5B35" w:rsidRDefault="00A10D28" w:rsidP="005247DA">
      <w:pPr>
        <w:pStyle w:val="AERbulletlistsecondstyle"/>
      </w:pPr>
      <w:r w:rsidRPr="00E0671E">
        <w:t>monitoring compliance by energy industry participants</w:t>
      </w:r>
      <w:r w:rsidR="0082230C">
        <w:rPr>
          <w:rStyle w:val="FootnoteReference"/>
        </w:rPr>
        <w:footnoteReference w:id="1"/>
      </w:r>
      <w:r w:rsidRPr="00E0671E">
        <w:t xml:space="preserve"> and other persons</w:t>
      </w:r>
    </w:p>
    <w:p w:rsidR="00AA5B35" w:rsidRDefault="00A10D28" w:rsidP="00895871">
      <w:pPr>
        <w:pStyle w:val="AERbulletlistsecondstyle"/>
      </w:pPr>
      <w:proofErr w:type="gramStart"/>
      <w:r w:rsidRPr="00E0671E">
        <w:t>investigating</w:t>
      </w:r>
      <w:proofErr w:type="gramEnd"/>
      <w:r w:rsidRPr="00E0671E">
        <w:t xml:space="preserve"> breaches, or possible breaches, of provisions of the legislative instruments under </w:t>
      </w:r>
      <w:r w:rsidR="00C506DD">
        <w:t>our</w:t>
      </w:r>
      <w:r w:rsidRPr="00E0671E">
        <w:t xml:space="preserve"> jurisdiction.</w:t>
      </w:r>
    </w:p>
    <w:p w:rsidR="009930C1" w:rsidRPr="00E0671E" w:rsidRDefault="009930C1" w:rsidP="00895871">
      <w:pPr>
        <w:pStyle w:val="AERbodytext"/>
        <w:spacing w:after="220"/>
      </w:pPr>
      <w:r w:rsidRPr="00E0671E">
        <w:rPr>
          <w:lang w:eastAsia="en-AU"/>
        </w:rPr>
        <w:t xml:space="preserve">Consistent with </w:t>
      </w:r>
      <w:r w:rsidR="00631881">
        <w:rPr>
          <w:lang w:eastAsia="en-AU"/>
        </w:rPr>
        <w:t>our</w:t>
      </w:r>
      <w:r w:rsidR="00631881" w:rsidRPr="00E0671E">
        <w:rPr>
          <w:lang w:eastAsia="en-AU"/>
        </w:rPr>
        <w:t xml:space="preserve"> </w:t>
      </w:r>
      <w:hyperlink r:id="rId14" w:history="1">
        <w:r w:rsidR="00CB7808" w:rsidRPr="00543C9B">
          <w:rPr>
            <w:rStyle w:val="Hyperlink"/>
            <w:lang w:eastAsia="en-AU"/>
          </w:rPr>
          <w:t>statement of approach</w:t>
        </w:r>
      </w:hyperlink>
      <w:r w:rsidR="007B0CCD">
        <w:rPr>
          <w:rStyle w:val="Hyperlink"/>
          <w:lang w:eastAsia="en-AU"/>
        </w:rPr>
        <w:t>,</w:t>
      </w:r>
      <w:r w:rsidR="00193D0B">
        <w:rPr>
          <w:rStyle w:val="FootnoteReference"/>
          <w:lang w:eastAsia="en-AU"/>
        </w:rPr>
        <w:footnoteReference w:id="2"/>
      </w:r>
      <w:r w:rsidRPr="00E0671E">
        <w:rPr>
          <w:lang w:eastAsia="en-AU"/>
        </w:rPr>
        <w:t xml:space="preserve"> </w:t>
      </w:r>
      <w:r w:rsidR="00631881">
        <w:t xml:space="preserve">we </w:t>
      </w:r>
      <w:r w:rsidRPr="00E0671E">
        <w:t xml:space="preserve">aim to promote high levels of compliance, and seek to build a culture of compliance in </w:t>
      </w:r>
      <w:r w:rsidR="008A20B0" w:rsidRPr="00E0671E">
        <w:t>the</w:t>
      </w:r>
      <w:r w:rsidRPr="00E0671E">
        <w:t xml:space="preserve"> energy industry. A culture of compliance will:</w:t>
      </w:r>
    </w:p>
    <w:p w:rsidR="00AA5B35" w:rsidRDefault="009930C1" w:rsidP="00895871">
      <w:pPr>
        <w:pStyle w:val="AERbulletlistsecondstyle"/>
      </w:pPr>
      <w:r w:rsidRPr="00E0671E">
        <w:t>reduce the risk of industry participants breaching their regulatory obligations</w:t>
      </w:r>
    </w:p>
    <w:p w:rsidR="00AA5B35" w:rsidRDefault="00783406" w:rsidP="00895871">
      <w:pPr>
        <w:pStyle w:val="AERbulletlistsecondstyle"/>
      </w:pPr>
      <w:proofErr w:type="gramStart"/>
      <w:r>
        <w:t>assist</w:t>
      </w:r>
      <w:proofErr w:type="gramEnd"/>
      <w:r>
        <w:t xml:space="preserve"> in </w:t>
      </w:r>
      <w:r w:rsidR="009930C1" w:rsidRPr="00E0671E">
        <w:t>ensur</w:t>
      </w:r>
      <w:r>
        <w:t>ing</w:t>
      </w:r>
      <w:r w:rsidR="009930C1" w:rsidRPr="00E0671E">
        <w:t xml:space="preserve"> industry participants can engage confidently in </w:t>
      </w:r>
      <w:r>
        <w:t>efficient energy markets</w:t>
      </w:r>
      <w:r w:rsidR="009930C1" w:rsidRPr="00E0671E">
        <w:t>.</w:t>
      </w:r>
    </w:p>
    <w:p w:rsidR="009930C1" w:rsidRPr="00E0671E" w:rsidRDefault="009930C1" w:rsidP="00895871">
      <w:pPr>
        <w:pStyle w:val="AERbodytext"/>
        <w:spacing w:after="220"/>
      </w:pPr>
      <w:r w:rsidRPr="00E0671E">
        <w:t xml:space="preserve">As part of this process, </w:t>
      </w:r>
      <w:r w:rsidR="00631881">
        <w:t>we</w:t>
      </w:r>
      <w:r w:rsidRPr="00E0671E">
        <w:t xml:space="preserve"> undertake a continuous compliance risk assessment of the </w:t>
      </w:r>
      <w:r w:rsidR="008E7A66" w:rsidRPr="00FD066B">
        <w:t xml:space="preserve">Electricity </w:t>
      </w:r>
      <w:r w:rsidRPr="002F695F">
        <w:t xml:space="preserve">and </w:t>
      </w:r>
      <w:r w:rsidR="008E7A66" w:rsidRPr="002F695F">
        <w:t xml:space="preserve">Gas Rules </w:t>
      </w:r>
      <w:r w:rsidRPr="00E0671E">
        <w:t>to identify appropriate focus areas and monitoring</w:t>
      </w:r>
      <w:r w:rsidR="009F0901" w:rsidRPr="00E0671E">
        <w:t>/compliance</w:t>
      </w:r>
      <w:r w:rsidRPr="00E0671E">
        <w:t xml:space="preserve"> mechanisms. These mechanisms include </w:t>
      </w:r>
      <w:r w:rsidR="003829E0" w:rsidRPr="00E0671E">
        <w:t xml:space="preserve">our </w:t>
      </w:r>
      <w:r w:rsidR="009F0901" w:rsidRPr="00E0671E">
        <w:t>strategi</w:t>
      </w:r>
      <w:r w:rsidR="003829E0" w:rsidRPr="00E0671E">
        <w:t xml:space="preserve">c compliance projects, </w:t>
      </w:r>
      <w:r w:rsidRPr="00E0671E">
        <w:t xml:space="preserve">audits, </w:t>
      </w:r>
      <w:proofErr w:type="gramStart"/>
      <w:r w:rsidRPr="00E0671E">
        <w:t>the</w:t>
      </w:r>
      <w:proofErr w:type="gramEnd"/>
      <w:r w:rsidRPr="00E0671E">
        <w:t xml:space="preserve"> imposition of reporting requirements, market monitoring, and targeted compliance reviews.</w:t>
      </w:r>
      <w:r w:rsidRPr="00E0671E">
        <w:rPr>
          <w:rStyle w:val="FootnoteReference"/>
        </w:rPr>
        <w:footnoteReference w:id="3"/>
      </w:r>
    </w:p>
    <w:p w:rsidR="009930C1" w:rsidRPr="00E0671E" w:rsidRDefault="009930C1" w:rsidP="00895871">
      <w:pPr>
        <w:pStyle w:val="AERbodytext"/>
        <w:spacing w:after="220"/>
        <w:rPr>
          <w:lang w:eastAsia="en-AU"/>
        </w:rPr>
      </w:pPr>
      <w:r w:rsidRPr="00E0671E">
        <w:rPr>
          <w:lang w:eastAsia="en-AU"/>
        </w:rPr>
        <w:t xml:space="preserve">In selecting the areas for review, </w:t>
      </w:r>
      <w:r w:rsidR="00631881">
        <w:rPr>
          <w:lang w:eastAsia="en-AU"/>
        </w:rPr>
        <w:t>we</w:t>
      </w:r>
      <w:r w:rsidRPr="00E0671E">
        <w:rPr>
          <w:lang w:eastAsia="en-AU"/>
        </w:rPr>
        <w:t xml:space="preserve"> adopt the following principles:</w:t>
      </w:r>
    </w:p>
    <w:p w:rsidR="00AA5B35" w:rsidRDefault="009930C1" w:rsidP="00895871">
      <w:pPr>
        <w:pStyle w:val="AERbulletlistsecondstyle"/>
      </w:pPr>
      <w:r w:rsidRPr="00E0671E">
        <w:t>consideration of risk (the greater the risk, the higher the priority)</w:t>
      </w:r>
    </w:p>
    <w:p w:rsidR="00AA5B35" w:rsidRDefault="009930C1" w:rsidP="00895871">
      <w:pPr>
        <w:pStyle w:val="AERbulletlistsecondstyle"/>
      </w:pPr>
      <w:proofErr w:type="gramStart"/>
      <w:r w:rsidRPr="00E0671E">
        <w:t>a</w:t>
      </w:r>
      <w:proofErr w:type="gramEnd"/>
      <w:r w:rsidRPr="00E0671E">
        <w:t xml:space="preserve"> commitment to ensuring that both systemic issues and those with the potential for isolated but significant impact are addressed.</w:t>
      </w:r>
    </w:p>
    <w:p w:rsidR="00AA5B35" w:rsidRDefault="009930C1" w:rsidP="00895871">
      <w:pPr>
        <w:pStyle w:val="AERbulletlistsecondstyle"/>
        <w:numPr>
          <w:ilvl w:val="0"/>
          <w:numId w:val="0"/>
        </w:numPr>
      </w:pPr>
      <w:r w:rsidRPr="00E0671E">
        <w:t xml:space="preserve">In carrying out </w:t>
      </w:r>
      <w:r w:rsidR="00AD3313">
        <w:t>our</w:t>
      </w:r>
      <w:r w:rsidR="00AD3313" w:rsidRPr="00E0671E">
        <w:t xml:space="preserve"> </w:t>
      </w:r>
      <w:r w:rsidRPr="00E0671E">
        <w:t xml:space="preserve">monitoring functions, </w:t>
      </w:r>
      <w:r w:rsidR="00631881">
        <w:t>we</w:t>
      </w:r>
      <w:r w:rsidRPr="00E0671E">
        <w:t xml:space="preserve"> aim for:</w:t>
      </w:r>
    </w:p>
    <w:p w:rsidR="00AA5B35" w:rsidRDefault="009930C1" w:rsidP="00895871">
      <w:pPr>
        <w:pStyle w:val="AERbulletlistsecondstyle"/>
      </w:pPr>
      <w:r w:rsidRPr="00E0671E">
        <w:t>cost effectiveness for energy industry participants and the AER</w:t>
      </w:r>
    </w:p>
    <w:p w:rsidR="00AA5B35" w:rsidRDefault="009930C1" w:rsidP="00895871">
      <w:pPr>
        <w:pStyle w:val="AERbulletlistsecondstyle"/>
      </w:pPr>
      <w:proofErr w:type="gramStart"/>
      <w:r w:rsidRPr="00E0671E">
        <w:t>transparency</w:t>
      </w:r>
      <w:proofErr w:type="gramEnd"/>
      <w:r w:rsidRPr="00E0671E">
        <w:t xml:space="preserve"> (subject to confidentiality requirements).</w:t>
      </w:r>
    </w:p>
    <w:p w:rsidR="00A46922" w:rsidRDefault="009930C1" w:rsidP="00895871">
      <w:pPr>
        <w:pStyle w:val="AERbodytext"/>
        <w:spacing w:after="220"/>
        <w:rPr>
          <w:lang w:eastAsia="en-AU"/>
        </w:rPr>
      </w:pPr>
      <w:r w:rsidRPr="00E0671E">
        <w:rPr>
          <w:lang w:eastAsia="en-AU"/>
        </w:rPr>
        <w:t xml:space="preserve">While most obligations under the Electricity and Gas Rules do not require registered participants to establish specific compliance programs, </w:t>
      </w:r>
      <w:r w:rsidR="00631881">
        <w:rPr>
          <w:lang w:eastAsia="en-AU"/>
        </w:rPr>
        <w:t>we</w:t>
      </w:r>
      <w:r w:rsidRPr="00E0671E">
        <w:rPr>
          <w:lang w:eastAsia="en-AU"/>
        </w:rPr>
        <w:t xml:space="preserve"> take into account a participant’s compliance framework when determining </w:t>
      </w:r>
      <w:r w:rsidR="00193D0B">
        <w:rPr>
          <w:lang w:eastAsia="en-AU"/>
        </w:rPr>
        <w:t xml:space="preserve">our </w:t>
      </w:r>
      <w:r w:rsidRPr="00E0671E">
        <w:rPr>
          <w:lang w:eastAsia="en-AU"/>
        </w:rPr>
        <w:t xml:space="preserve">response to </w:t>
      </w:r>
      <w:r w:rsidR="00193D0B">
        <w:rPr>
          <w:lang w:eastAsia="en-AU"/>
        </w:rPr>
        <w:t xml:space="preserve">potential </w:t>
      </w:r>
      <w:r w:rsidRPr="00E0671E">
        <w:rPr>
          <w:lang w:eastAsia="en-AU"/>
        </w:rPr>
        <w:t xml:space="preserve">breaches. In assessing compliance culture, </w:t>
      </w:r>
      <w:r w:rsidR="00631881">
        <w:rPr>
          <w:lang w:eastAsia="en-AU"/>
        </w:rPr>
        <w:t>we</w:t>
      </w:r>
      <w:r w:rsidRPr="00E0671E">
        <w:rPr>
          <w:lang w:eastAsia="en-AU"/>
        </w:rPr>
        <w:t xml:space="preserve"> consider whether compliance programs and processes are effectively applied, up-to-date and tested regularly. </w:t>
      </w:r>
      <w:bookmarkStart w:id="35" w:name="_Toc337553427"/>
      <w:bookmarkStart w:id="36" w:name="_Ref353362800"/>
      <w:bookmarkStart w:id="37" w:name="_Toc316978871"/>
      <w:bookmarkStart w:id="38" w:name="_Toc317520247"/>
    </w:p>
    <w:p w:rsidR="00DC724B" w:rsidRPr="00860DB5" w:rsidRDefault="001E70D1" w:rsidP="00895871">
      <w:pPr>
        <w:pStyle w:val="QCRHeading1"/>
        <w:jc w:val="both"/>
      </w:pPr>
      <w:bookmarkStart w:id="39" w:name="_Toc394479576"/>
      <w:r w:rsidRPr="00860DB5">
        <w:lastRenderedPageBreak/>
        <w:t>G</w:t>
      </w:r>
      <w:r w:rsidR="00CA4066" w:rsidRPr="00860DB5">
        <w:t>as</w:t>
      </w:r>
      <w:bookmarkEnd w:id="35"/>
      <w:bookmarkEnd w:id="36"/>
      <w:bookmarkEnd w:id="39"/>
    </w:p>
    <w:p w:rsidR="00CA4066" w:rsidRPr="00405B4F" w:rsidRDefault="00DC3257" w:rsidP="00BA1BC7">
      <w:pPr>
        <w:pStyle w:val="AERbodytext"/>
      </w:pPr>
      <w:r>
        <w:t>We are</w:t>
      </w:r>
      <w:r w:rsidR="00CA4066" w:rsidRPr="00405B4F">
        <w:t xml:space="preserve"> responsible for monitoring, investigating and enforcing compliance with the Gas Law and Rules, including but not limited to, </w:t>
      </w:r>
      <w:r w:rsidR="00B25981" w:rsidRPr="00405B4F">
        <w:t>the</w:t>
      </w:r>
      <w:r w:rsidR="005F3AA2" w:rsidRPr="00405B4F">
        <w:t xml:space="preserve"> </w:t>
      </w:r>
      <w:r w:rsidR="00C22CC1">
        <w:t>STTM</w:t>
      </w:r>
      <w:r w:rsidR="00B25981" w:rsidRPr="00405B4F">
        <w:t>, the Victorian gas market</w:t>
      </w:r>
      <w:r w:rsidR="00D70B3E">
        <w:t>, the Gas Supply Hub</w:t>
      </w:r>
      <w:r w:rsidR="00B25981" w:rsidRPr="00405B4F">
        <w:t xml:space="preserve"> and the Bulletin Board</w:t>
      </w:r>
      <w:r w:rsidR="00CA4066" w:rsidRPr="00405B4F">
        <w:t>.</w:t>
      </w:r>
      <w:r w:rsidR="00B53D67">
        <w:t xml:space="preserve"> </w:t>
      </w:r>
    </w:p>
    <w:p w:rsidR="00CA4066" w:rsidRDefault="00CA4066" w:rsidP="005247DA">
      <w:pPr>
        <w:pStyle w:val="AERbodytext"/>
      </w:pPr>
      <w:r w:rsidRPr="00405B4F">
        <w:t>This part of the report provides an update on investigations</w:t>
      </w:r>
      <w:r w:rsidR="00783406">
        <w:t>,</w:t>
      </w:r>
      <w:r w:rsidRPr="00405B4F">
        <w:t xml:space="preserve"> compliance matters </w:t>
      </w:r>
      <w:r w:rsidR="00783406">
        <w:t xml:space="preserve">and projects </w:t>
      </w:r>
      <w:r w:rsidRPr="00405B4F">
        <w:t>in the gas markets.</w:t>
      </w:r>
      <w:r>
        <w:t xml:space="preserve"> </w:t>
      </w:r>
    </w:p>
    <w:p w:rsidR="00ED2490" w:rsidRDefault="00ED2490" w:rsidP="00895871">
      <w:pPr>
        <w:pStyle w:val="QCRunnumberedunboldheading"/>
        <w:jc w:val="both"/>
      </w:pPr>
      <w:bookmarkStart w:id="40" w:name="_Toc394479577"/>
      <w:r>
        <w:t>Gas Supply Hub</w:t>
      </w:r>
      <w:bookmarkEnd w:id="40"/>
    </w:p>
    <w:p w:rsidR="000E43EC" w:rsidRDefault="000E43EC" w:rsidP="00BA1BC7">
      <w:pPr>
        <w:pStyle w:val="AERbodytext"/>
        <w:spacing w:line="276" w:lineRule="auto"/>
      </w:pPr>
      <w:r w:rsidRPr="00EE1A6A">
        <w:t xml:space="preserve">We noted in the previous QCR that a new upstream </w:t>
      </w:r>
      <w:r w:rsidR="00B64C2A">
        <w:t>GSH</w:t>
      </w:r>
      <w:r w:rsidRPr="00EE1A6A">
        <w:t xml:space="preserve"> at Wallumbilla, Queensland</w:t>
      </w:r>
      <w:r w:rsidR="0090583B">
        <w:t>,</w:t>
      </w:r>
      <w:r w:rsidRPr="00EE1A6A">
        <w:t xml:space="preserve"> commenced on 20 March 2014.  </w:t>
      </w:r>
      <w:r w:rsidR="00F409F0">
        <w:t xml:space="preserve">During this quarter, we monitored market activity at the </w:t>
      </w:r>
      <w:r w:rsidR="007043A3">
        <w:t xml:space="preserve">GSH </w:t>
      </w:r>
      <w:r w:rsidR="00F409F0">
        <w:t xml:space="preserve">and continued to refine our monitoring framework to </w:t>
      </w:r>
      <w:r w:rsidR="00F409F0" w:rsidRPr="007C1BB9">
        <w:t xml:space="preserve">ensure </w:t>
      </w:r>
      <w:r w:rsidR="00F409F0">
        <w:t xml:space="preserve">we </w:t>
      </w:r>
      <w:r w:rsidR="007043A3">
        <w:t>are receiving the</w:t>
      </w:r>
      <w:r w:rsidR="00F409F0">
        <w:t xml:space="preserve"> necessary information</w:t>
      </w:r>
      <w:r w:rsidR="00F409F0" w:rsidRPr="007C1BB9">
        <w:t xml:space="preserve"> to </w:t>
      </w:r>
      <w:r w:rsidR="00F409F0">
        <w:t>ascertain compliance levels, particularly in relation to the market conduct rules.</w:t>
      </w:r>
    </w:p>
    <w:p w:rsidR="007043A3" w:rsidRDefault="007043A3" w:rsidP="00BA1BC7">
      <w:pPr>
        <w:pStyle w:val="AERbodytext"/>
        <w:spacing w:line="276" w:lineRule="auto"/>
      </w:pPr>
      <w:r w:rsidRPr="000E43EC">
        <w:t xml:space="preserve">Under the Gas Rules, the AER is responsible for monitoring </w:t>
      </w:r>
      <w:r w:rsidR="00B64C2A">
        <w:t>GSH</w:t>
      </w:r>
      <w:r w:rsidRPr="000E43EC">
        <w:t xml:space="preserve"> members’ compliance with rights and obligations specified in the</w:t>
      </w:r>
      <w:r>
        <w:t xml:space="preserve"> Gas</w:t>
      </w:r>
      <w:r w:rsidRPr="000E43EC">
        <w:t xml:space="preserve"> Rules, including market conduct rules. The market conduct rules seek to protect the integrity of the market by prohibiting members from a number of activities such as manipulating prices and acting fraudulently. The </w:t>
      </w:r>
      <w:r>
        <w:t xml:space="preserve">Gas </w:t>
      </w:r>
      <w:r w:rsidRPr="000E43EC">
        <w:t>Rules also contain obligations in relation to submitting orders, the exchange of information and the performance of contracts. The market conduct rules are classified as both civil penalty provisions and conduct provisions under the National Gas Regulations</w:t>
      </w:r>
      <w:r>
        <w:t>.</w:t>
      </w:r>
    </w:p>
    <w:p w:rsidR="002D6DDE" w:rsidRDefault="00BB6DEA" w:rsidP="002D6DDE">
      <w:pPr>
        <w:pStyle w:val="AERbodytext"/>
        <w:spacing w:line="276" w:lineRule="auto"/>
      </w:pPr>
      <w:r>
        <w:t>In the GSH, there are four spot and forward trading products available to trade including</w:t>
      </w:r>
      <w:r w:rsidRPr="00BB6DEA">
        <w:t xml:space="preserve"> </w:t>
      </w:r>
      <w:r>
        <w:t>balance-of-day,</w:t>
      </w:r>
      <w:r w:rsidR="00386510">
        <w:t xml:space="preserve"> </w:t>
      </w:r>
      <w:r>
        <w:t xml:space="preserve">day ahead, daily and weekly products. </w:t>
      </w:r>
      <w:r w:rsidR="00AC01B0">
        <w:t xml:space="preserve">While still very early days, </w:t>
      </w:r>
      <w:r w:rsidR="007043A3" w:rsidRPr="00A645E6">
        <w:t xml:space="preserve">the majority of trades </w:t>
      </w:r>
      <w:r w:rsidR="00481849">
        <w:t xml:space="preserve">so far </w:t>
      </w:r>
      <w:r w:rsidR="007043A3" w:rsidRPr="00A645E6">
        <w:t xml:space="preserve">have been for daily and day-ahead products (each around 40 per cent of volume traded). There have been 18 weekly products traded totalling </w:t>
      </w:r>
      <w:r w:rsidR="007043A3" w:rsidRPr="000E43EC">
        <w:t>371 TJ</w:t>
      </w:r>
      <w:r w:rsidR="007043A3" w:rsidRPr="00A645E6">
        <w:t xml:space="preserve"> and almost twice the number of </w:t>
      </w:r>
      <w:r w:rsidR="000F50E2">
        <w:t xml:space="preserve">balance of day </w:t>
      </w:r>
      <w:r w:rsidR="007043A3" w:rsidRPr="00A645E6">
        <w:t xml:space="preserve">trades totalling just over 64 TJ. Prices have ranged between </w:t>
      </w:r>
      <w:r w:rsidR="007043A3" w:rsidRPr="000E43EC">
        <w:t>$1.</w:t>
      </w:r>
      <w:r w:rsidR="00571887" w:rsidRPr="000E43EC">
        <w:t>4</w:t>
      </w:r>
      <w:r w:rsidR="00571887">
        <w:t>0</w:t>
      </w:r>
      <w:r w:rsidR="007043A3" w:rsidRPr="000E43EC">
        <w:t>/GJ and $4.30/GJ</w:t>
      </w:r>
      <w:r w:rsidR="007043A3" w:rsidRPr="00A645E6">
        <w:t>, with prices having decreased since market commencement.</w:t>
      </w:r>
      <w:r w:rsidR="00986929">
        <w:rPr>
          <w:rStyle w:val="FootnoteReference"/>
        </w:rPr>
        <w:footnoteReference w:id="4"/>
      </w:r>
      <w:r w:rsidR="002D6DDE">
        <w:t xml:space="preserve"> </w:t>
      </w:r>
    </w:p>
    <w:p w:rsidR="002D6DDE" w:rsidRPr="004876D4" w:rsidRDefault="002D6DDE" w:rsidP="007F1416">
      <w:pPr>
        <w:pStyle w:val="AERfigureheading"/>
        <w:jc w:val="both"/>
      </w:pPr>
      <w:r w:rsidRPr="004876D4">
        <w:lastRenderedPageBreak/>
        <w:t>Volume traded and prices since market start</w:t>
      </w:r>
    </w:p>
    <w:p w:rsidR="007043A3" w:rsidRPr="000E43EC" w:rsidRDefault="007043A3" w:rsidP="007043A3">
      <w:pPr>
        <w:pStyle w:val="AERbodytext"/>
        <w:spacing w:line="276" w:lineRule="auto"/>
      </w:pPr>
      <w:r w:rsidRPr="00A645E6">
        <w:t xml:space="preserve">  </w:t>
      </w:r>
      <w:r w:rsidR="002E27D5">
        <w:rPr>
          <w:noProof/>
          <w:lang w:eastAsia="en-AU"/>
        </w:rPr>
        <w:pict>
          <v:shape id="_x0000_i1025" type="#_x0000_t75" alt="Figure 1.1 shows the volume traded in terajoules (by trade day) and the high, low and volume weighted average price of the gas traded (by trade day) in dollars per gigajoule" style="width:387.55pt;height:207.25pt;visibility:visible;mso-wrap-style:square">
            <v:imagedata r:id="rId15" o:title=""/>
          </v:shape>
        </w:pict>
      </w:r>
    </w:p>
    <w:p w:rsidR="002D6DDE" w:rsidRPr="007F1416" w:rsidRDefault="002D6DDE" w:rsidP="004876D4">
      <w:pPr>
        <w:pStyle w:val="AERfigureheading"/>
        <w:jc w:val="both"/>
      </w:pPr>
      <w:r w:rsidRPr="007F1416">
        <w:t>Volume traded and prices since market start by product type</w:t>
      </w:r>
    </w:p>
    <w:p w:rsidR="00E160FE" w:rsidRPr="001A0B7E" w:rsidRDefault="002E27D5" w:rsidP="00895871">
      <w:pPr>
        <w:pStyle w:val="AERbodytext"/>
        <w:spacing w:before="120" w:after="120"/>
      </w:pPr>
      <w:r>
        <w:rPr>
          <w:noProof/>
          <w:lang w:eastAsia="en-AU"/>
        </w:rPr>
        <w:pict>
          <v:shape id="_x0000_i1026" type="#_x0000_t75" alt="Figure 1.2 shows the volume in terajoules and the volume weighted average price of each different gas product in dollars per gigajoule (by trade day). The products shown are balance-of-day (B.O.D.), day-ahead, daily and weekly." style="width:406.95pt;height:195.35pt;visibility:visible;mso-wrap-style:square">
            <v:imagedata r:id="rId16" o:title=""/>
          </v:shape>
        </w:pict>
      </w:r>
    </w:p>
    <w:p w:rsidR="002D6DDE" w:rsidRPr="002D6DDE" w:rsidRDefault="002D6DDE" w:rsidP="002D6DDE">
      <w:pPr>
        <w:pStyle w:val="AERbodytext"/>
        <w:spacing w:line="276" w:lineRule="auto"/>
      </w:pPr>
      <w:bookmarkStart w:id="41" w:name="_Toc307317343"/>
      <w:bookmarkStart w:id="42" w:name="_Toc330814064"/>
      <w:r>
        <w:t xml:space="preserve">We have </w:t>
      </w:r>
      <w:r w:rsidR="00050E80">
        <w:t xml:space="preserve">begun </w:t>
      </w:r>
      <w:r>
        <w:t>monitoring delivery variations at the GSH</w:t>
      </w:r>
      <w:r w:rsidR="00050E80" w:rsidRPr="00050E80">
        <w:t xml:space="preserve"> </w:t>
      </w:r>
      <w:r w:rsidR="00050E80">
        <w:t>as we flagged with industry prior to the market commencing</w:t>
      </w:r>
      <w:r>
        <w:t xml:space="preserve">. The market conduct rules require trading </w:t>
      </w:r>
      <w:r w:rsidRPr="007043A3">
        <w:t xml:space="preserve">participants </w:t>
      </w:r>
      <w:r>
        <w:t xml:space="preserve">to </w:t>
      </w:r>
      <w:r w:rsidRPr="007043A3">
        <w:t xml:space="preserve">trade on the basis of gas they intend to physically deliver or receive at the </w:t>
      </w:r>
      <w:r>
        <w:t xml:space="preserve">GSH. </w:t>
      </w:r>
      <w:r w:rsidRPr="007043A3">
        <w:t>To date there have been no delivery variations reported to AEMO</w:t>
      </w:r>
      <w:r w:rsidR="007812BF" w:rsidRPr="007043A3">
        <w:t>.</w:t>
      </w:r>
      <w:r w:rsidR="000F50E2">
        <w:rPr>
          <w:rStyle w:val="FootnoteReference"/>
        </w:rPr>
        <w:footnoteReference w:id="5"/>
      </w:r>
      <w:r w:rsidRPr="007043A3">
        <w:t xml:space="preserve"> </w:t>
      </w:r>
      <w:r w:rsidR="00050E80">
        <w:t>W</w:t>
      </w:r>
      <w:r w:rsidRPr="007043A3">
        <w:t>e will be consulting further to understand whether th</w:t>
      </w:r>
      <w:r w:rsidR="00164FA8">
        <w:t>ese trades accurate</w:t>
      </w:r>
      <w:r w:rsidR="00986929">
        <w:t>ly</w:t>
      </w:r>
      <w:r w:rsidR="00164FA8">
        <w:t xml:space="preserve"> </w:t>
      </w:r>
      <w:r w:rsidRPr="007043A3">
        <w:t xml:space="preserve">reflect that gas is being delivered </w:t>
      </w:r>
      <w:r w:rsidR="00164FA8">
        <w:t xml:space="preserve">and </w:t>
      </w:r>
      <w:r w:rsidRPr="007043A3">
        <w:t>recei</w:t>
      </w:r>
      <w:r w:rsidR="00164FA8">
        <w:t>ved</w:t>
      </w:r>
      <w:r w:rsidRPr="007043A3">
        <w:t>.</w:t>
      </w:r>
      <w:r>
        <w:t xml:space="preserve"> </w:t>
      </w:r>
    </w:p>
    <w:p w:rsidR="002D6DDE" w:rsidRDefault="00BB6D4D" w:rsidP="002D6DDE">
      <w:pPr>
        <w:pStyle w:val="AERbodytext"/>
        <w:rPr>
          <w:bCs/>
        </w:rPr>
      </w:pPr>
      <w:r>
        <w:rPr>
          <w:bCs/>
        </w:rPr>
        <w:t>The AER has also</w:t>
      </w:r>
      <w:r w:rsidR="002D6DDE" w:rsidRPr="002D6DDE">
        <w:rPr>
          <w:bCs/>
        </w:rPr>
        <w:t xml:space="preserve"> been working with AEMO to refine our monitoring framework of the GSH to ensure we receiv</w:t>
      </w:r>
      <w:r w:rsidR="00164FA8">
        <w:rPr>
          <w:bCs/>
        </w:rPr>
        <w:t>e</w:t>
      </w:r>
      <w:r w:rsidR="002D6DDE" w:rsidRPr="002D6DDE">
        <w:rPr>
          <w:bCs/>
        </w:rPr>
        <w:t xml:space="preserve"> the necessary information to ascertain compliance levels in relation to the market conduct rules. This has involved seeking improved information from AEMO on orders submitted in the GSH, particularly in relation to orders which are amended or cancelled by trading participants. We are also developing </w:t>
      </w:r>
      <w:r w:rsidR="00986929">
        <w:rPr>
          <w:bCs/>
        </w:rPr>
        <w:t xml:space="preserve">internal </w:t>
      </w:r>
      <w:r w:rsidR="002D6DDE" w:rsidRPr="002D6DDE">
        <w:rPr>
          <w:bCs/>
        </w:rPr>
        <w:t xml:space="preserve">guidance on price manipulation in the GSH to assist </w:t>
      </w:r>
      <w:r w:rsidR="00164FA8">
        <w:rPr>
          <w:bCs/>
        </w:rPr>
        <w:t>in</w:t>
      </w:r>
      <w:r w:rsidR="002D6DDE" w:rsidRPr="002D6DDE">
        <w:rPr>
          <w:bCs/>
        </w:rPr>
        <w:t xml:space="preserve"> </w:t>
      </w:r>
      <w:r w:rsidR="00A27547" w:rsidRPr="002D6DDE">
        <w:rPr>
          <w:bCs/>
        </w:rPr>
        <w:t>identif</w:t>
      </w:r>
      <w:r w:rsidR="00A27547">
        <w:rPr>
          <w:bCs/>
        </w:rPr>
        <w:t>ying</w:t>
      </w:r>
      <w:r w:rsidR="002D6DDE" w:rsidRPr="002D6DDE">
        <w:rPr>
          <w:bCs/>
        </w:rPr>
        <w:t xml:space="preserve"> market behaviour that may constitute price manipulation.</w:t>
      </w:r>
      <w:r w:rsidR="002D6DDE" w:rsidRPr="002D6DDE" w:rsidDel="002D6DDE">
        <w:rPr>
          <w:bCs/>
        </w:rPr>
        <w:t xml:space="preserve"> </w:t>
      </w:r>
    </w:p>
    <w:p w:rsidR="00750516" w:rsidRDefault="00BB6D4D" w:rsidP="00750516">
      <w:pPr>
        <w:pStyle w:val="AERbodytext"/>
        <w:spacing w:line="276" w:lineRule="auto"/>
      </w:pPr>
      <w:r>
        <w:lastRenderedPageBreak/>
        <w:t>In the coming months, we</w:t>
      </w:r>
      <w:r w:rsidR="00750516">
        <w:t xml:space="preserve"> intend to </w:t>
      </w:r>
      <w:r>
        <w:t>expand the scope of our public</w:t>
      </w:r>
      <w:r w:rsidR="00750516">
        <w:t xml:space="preserve"> reporting </w:t>
      </w:r>
      <w:r w:rsidR="008D7FB2">
        <w:t xml:space="preserve">arrangements </w:t>
      </w:r>
      <w:r w:rsidR="00750516">
        <w:t>on the GSH</w:t>
      </w:r>
      <w:r>
        <w:t xml:space="preserve">. We plan to build on </w:t>
      </w:r>
      <w:r w:rsidR="00164FA8">
        <w:t xml:space="preserve">our </w:t>
      </w:r>
      <w:r>
        <w:t>existing weekly report</w:t>
      </w:r>
      <w:r w:rsidR="00164FA8">
        <w:t>s</w:t>
      </w:r>
      <w:r w:rsidR="008D7FB2">
        <w:t xml:space="preserve">, by </w:t>
      </w:r>
      <w:r w:rsidR="00164FA8">
        <w:t>including more</w:t>
      </w:r>
      <w:r w:rsidR="008D7FB2">
        <w:t xml:space="preserve"> data and analysis </w:t>
      </w:r>
      <w:r w:rsidR="00164FA8">
        <w:t xml:space="preserve">regarding the GSH </w:t>
      </w:r>
      <w:r w:rsidR="00750516">
        <w:t xml:space="preserve">and </w:t>
      </w:r>
      <w:r>
        <w:t>publish</w:t>
      </w:r>
      <w:r w:rsidR="00931DB9">
        <w:t>ing</w:t>
      </w:r>
      <w:r>
        <w:t xml:space="preserve"> </w:t>
      </w:r>
      <w:r w:rsidR="00164FA8">
        <w:t xml:space="preserve">longer term supply hub information in the </w:t>
      </w:r>
      <w:r w:rsidR="00750516">
        <w:t xml:space="preserve">industry statistics section on </w:t>
      </w:r>
      <w:r w:rsidR="00164FA8">
        <w:t xml:space="preserve">our </w:t>
      </w:r>
      <w:r w:rsidR="00750516">
        <w:t xml:space="preserve">website. </w:t>
      </w:r>
    </w:p>
    <w:p w:rsidR="008259AF" w:rsidRPr="002C7158" w:rsidRDefault="00CA4066" w:rsidP="00895871">
      <w:pPr>
        <w:pStyle w:val="QCRunnumberedunboldheading"/>
        <w:jc w:val="both"/>
      </w:pPr>
      <w:bookmarkStart w:id="43" w:name="_Toc394479578"/>
      <w:r w:rsidRPr="002C7158">
        <w:t>Short Term Trading Market</w:t>
      </w:r>
      <w:bookmarkEnd w:id="41"/>
      <w:bookmarkEnd w:id="42"/>
      <w:bookmarkEnd w:id="43"/>
    </w:p>
    <w:p w:rsidR="00ED7BB4" w:rsidRDefault="00BF4F53" w:rsidP="00BA1BC7">
      <w:pPr>
        <w:pStyle w:val="AERbodytext"/>
      </w:pPr>
      <w:r w:rsidRPr="009D0732">
        <w:t>Part 20 of the Gas Rules sets out participants’ responsibilities within the STTM</w:t>
      </w:r>
      <w:r w:rsidR="00FD516E">
        <w:t>,</w:t>
      </w:r>
      <w:r w:rsidRPr="009D0732">
        <w:t xml:space="preserve"> which encompasses three gas trading hubs: Adelaide, Sydney and Brisbane. The rules outline how wholesale gas is traded and include requirements for pipeline operators to submit pipeline capacity </w:t>
      </w:r>
      <w:r w:rsidR="00D476F6">
        <w:t>and allocation (gas</w:t>
      </w:r>
      <w:r w:rsidR="006809E7">
        <w:t> </w:t>
      </w:r>
      <w:r w:rsidR="00D476F6">
        <w:t>flow) data.</w:t>
      </w:r>
    </w:p>
    <w:p w:rsidR="00EE2EF7" w:rsidRPr="007C5152" w:rsidRDefault="00EE2EF7" w:rsidP="003A422A">
      <w:pPr>
        <w:pStyle w:val="AERheading2"/>
        <w:numPr>
          <w:ilvl w:val="1"/>
          <w:numId w:val="81"/>
        </w:numPr>
        <w:tabs>
          <w:tab w:val="clear" w:pos="5035"/>
        </w:tabs>
        <w:ind w:hanging="5035"/>
      </w:pPr>
      <w:bookmarkStart w:id="44" w:name="_Toc394479579"/>
      <w:r w:rsidRPr="007C5152">
        <w:t>Capacity and allocation data quality</w:t>
      </w:r>
      <w:bookmarkEnd w:id="44"/>
    </w:p>
    <w:p w:rsidR="00846CD6" w:rsidRDefault="00846CD6" w:rsidP="00BA1BC7">
      <w:pPr>
        <w:pStyle w:val="AERbodytext"/>
      </w:pPr>
      <w:r>
        <w:t>This quarter we continued to monitor the quality</w:t>
      </w:r>
      <w:r w:rsidR="00D97ABE">
        <w:t xml:space="preserve"> and timeliness</w:t>
      </w:r>
      <w:r>
        <w:t xml:space="preserve"> of STTM data. Figure </w:t>
      </w:r>
      <w:r w:rsidR="008D4A86">
        <w:t>2</w:t>
      </w:r>
      <w:r>
        <w:t xml:space="preserve">.1 below illustrates the performance of STTM participants in submitting capacity and allocation data from the start of the STTM to </w:t>
      </w:r>
      <w:r w:rsidR="00D70B3E">
        <w:t>June</w:t>
      </w:r>
      <w:r w:rsidR="002B6D24">
        <w:t xml:space="preserve"> 2014</w:t>
      </w:r>
      <w:r>
        <w:t xml:space="preserve">. Data failures are categorised as relating to either ‘missing/late’ or ‘erroneous’ data. </w:t>
      </w:r>
      <w:r w:rsidR="00D97ABE">
        <w:t>T</w:t>
      </w:r>
      <w:r w:rsidR="002B6D24">
        <w:t xml:space="preserve">here were </w:t>
      </w:r>
      <w:r w:rsidR="00E87CD0">
        <w:t xml:space="preserve">no errors </w:t>
      </w:r>
      <w:r w:rsidR="00D97ABE">
        <w:t xml:space="preserve">identified </w:t>
      </w:r>
      <w:r w:rsidR="002B6D24">
        <w:t>this quarter</w:t>
      </w:r>
      <w:r w:rsidR="00E87CD0">
        <w:t xml:space="preserve">. </w:t>
      </w:r>
    </w:p>
    <w:p w:rsidR="00846CD6" w:rsidRDefault="00846CD6" w:rsidP="004876D4">
      <w:pPr>
        <w:pStyle w:val="AERfigureheading"/>
        <w:jc w:val="both"/>
      </w:pPr>
      <w:r>
        <w:t>Data failures since STTM commencement</w:t>
      </w:r>
    </w:p>
    <w:p w:rsidR="00027DAF" w:rsidRDefault="002E27D5" w:rsidP="00BA1BC7">
      <w:pPr>
        <w:pStyle w:val="AERbodytext"/>
        <w:spacing w:after="120"/>
      </w:pPr>
      <w:r>
        <w:pict>
          <v:shape id="_x0000_i1027" type="#_x0000_t75" alt="Figure 1.3 shows the number of instances of late and missing data submissions and erroneous data submissions (by quarter) for the gas short term trading market (STTM)" style="width:450.8pt;height:179.05pt">
            <v:imagedata r:id="rId17" o:title=""/>
          </v:shape>
        </w:pict>
      </w:r>
    </w:p>
    <w:p w:rsidR="007B0CCD" w:rsidRPr="007B0CCD" w:rsidRDefault="007B0CCD" w:rsidP="005247DA">
      <w:pPr>
        <w:pStyle w:val="AERbodytext"/>
        <w:rPr>
          <w:sz w:val="16"/>
          <w:szCs w:val="16"/>
        </w:rPr>
      </w:pPr>
      <w:r w:rsidRPr="0006366F">
        <w:rPr>
          <w:sz w:val="16"/>
          <w:szCs w:val="16"/>
        </w:rPr>
        <w:t xml:space="preserve">* September </w:t>
      </w:r>
      <w:r>
        <w:rPr>
          <w:sz w:val="16"/>
          <w:szCs w:val="16"/>
        </w:rPr>
        <w:t xml:space="preserve">2010 </w:t>
      </w:r>
      <w:r w:rsidRPr="0006366F">
        <w:rPr>
          <w:sz w:val="16"/>
          <w:szCs w:val="16"/>
        </w:rPr>
        <w:t>has been grouped with the December 2010 quarter. Therefore, this data point represents four months.</w:t>
      </w:r>
      <w:r>
        <w:rPr>
          <w:sz w:val="16"/>
          <w:szCs w:val="16"/>
        </w:rPr>
        <w:t xml:space="preserve"> </w:t>
      </w:r>
    </w:p>
    <w:p w:rsidR="00EB7783" w:rsidRDefault="00D70B3E" w:rsidP="00A27547">
      <w:pPr>
        <w:pStyle w:val="AERheading2"/>
        <w:tabs>
          <w:tab w:val="clear" w:pos="5035"/>
          <w:tab w:val="num" w:pos="357"/>
          <w:tab w:val="num" w:pos="851"/>
        </w:tabs>
        <w:ind w:left="357"/>
        <w:jc w:val="both"/>
      </w:pPr>
      <w:bookmarkStart w:id="45" w:name="_Toc394479580"/>
      <w:r>
        <w:t>AEMO – Administered pricing 1 to 3 June</w:t>
      </w:r>
      <w:bookmarkEnd w:id="45"/>
    </w:p>
    <w:p w:rsidR="00EB7783" w:rsidRDefault="00054470" w:rsidP="00BA1BC7">
      <w:pPr>
        <w:pStyle w:val="AERbodytext"/>
      </w:pPr>
      <w:r>
        <w:t>A</w:t>
      </w:r>
      <w:r w:rsidR="00F46B21">
        <w:t>n administered ex post price state is triggered when ex post prices cannot be published within the required timeframe.</w:t>
      </w:r>
      <w:r w:rsidR="009756ED">
        <w:rPr>
          <w:rStyle w:val="FootnoteReference"/>
        </w:rPr>
        <w:footnoteReference w:id="6"/>
      </w:r>
      <w:r w:rsidR="00F46B21">
        <w:t xml:space="preserve"> When this state occurs, the administered price is set at the </w:t>
      </w:r>
      <w:r w:rsidR="00BA451F">
        <w:t>ex</w:t>
      </w:r>
      <w:r w:rsidR="00485DF7">
        <w:t xml:space="preserve"> </w:t>
      </w:r>
      <w:r w:rsidR="00BA451F">
        <w:t>ante</w:t>
      </w:r>
      <w:r w:rsidR="00F46B21">
        <w:t xml:space="preserve"> market price.</w:t>
      </w:r>
    </w:p>
    <w:p w:rsidR="0077051F" w:rsidRPr="000E1384" w:rsidRDefault="00F46B21" w:rsidP="0077051F">
      <w:pPr>
        <w:spacing w:after="240" w:line="288" w:lineRule="auto"/>
        <w:jc w:val="both"/>
        <w:rPr>
          <w:rFonts w:ascii="Gautami" w:eastAsia="Times New Roman" w:hAnsi="Gautami"/>
          <w:sz w:val="20"/>
        </w:rPr>
      </w:pPr>
      <w:r w:rsidRPr="00175C28">
        <w:rPr>
          <w:rFonts w:ascii="Gautami" w:eastAsia="Times New Roman" w:hAnsi="Gautami"/>
          <w:sz w:val="20"/>
        </w:rPr>
        <w:t xml:space="preserve">On gas days 1 to 3 June 2014, </w:t>
      </w:r>
      <w:r w:rsidR="00054470" w:rsidRPr="00054470">
        <w:rPr>
          <w:rFonts w:ascii="Gautami" w:eastAsia="Times New Roman" w:hAnsi="Gautami"/>
          <w:sz w:val="20"/>
        </w:rPr>
        <w:t>AEMO could not publish ex post prices under rule 426 of the Gas Rules within the required timeframes</w:t>
      </w:r>
      <w:r w:rsidR="00485DF7">
        <w:rPr>
          <w:rFonts w:ascii="Gautami" w:eastAsia="Times New Roman" w:hAnsi="Gautami"/>
          <w:sz w:val="20"/>
        </w:rPr>
        <w:t>.</w:t>
      </w:r>
      <w:r w:rsidR="00054470" w:rsidRPr="00054470">
        <w:rPr>
          <w:rFonts w:ascii="Gautami" w:eastAsia="Times New Roman" w:hAnsi="Gautami"/>
          <w:sz w:val="20"/>
        </w:rPr>
        <w:t xml:space="preserve"> </w:t>
      </w:r>
      <w:r w:rsidR="00175C28">
        <w:rPr>
          <w:rFonts w:ascii="Gautami" w:eastAsia="Times New Roman" w:hAnsi="Gautami"/>
          <w:sz w:val="20"/>
        </w:rPr>
        <w:t xml:space="preserve">As a result, AEMO applied </w:t>
      </w:r>
      <w:r w:rsidR="00175C28" w:rsidRPr="00175C28">
        <w:rPr>
          <w:rFonts w:ascii="Gautami" w:eastAsia="Times New Roman" w:hAnsi="Gautami"/>
          <w:sz w:val="20"/>
        </w:rPr>
        <w:t xml:space="preserve">an administered ex post price </w:t>
      </w:r>
      <w:r w:rsidR="00175C28">
        <w:rPr>
          <w:rFonts w:ascii="Gautami" w:eastAsia="Times New Roman" w:hAnsi="Gautami"/>
          <w:sz w:val="20"/>
        </w:rPr>
        <w:t>in accordance with clause 429 of the Gas Rules</w:t>
      </w:r>
      <w:r w:rsidR="00885449">
        <w:rPr>
          <w:rFonts w:ascii="Gautami" w:eastAsia="Times New Roman" w:hAnsi="Gautami"/>
          <w:sz w:val="20"/>
        </w:rPr>
        <w:t xml:space="preserve"> (the June event)</w:t>
      </w:r>
      <w:r w:rsidR="00175C28">
        <w:rPr>
          <w:rFonts w:ascii="Gautami" w:eastAsia="Times New Roman" w:hAnsi="Gautami"/>
          <w:sz w:val="20"/>
        </w:rPr>
        <w:t xml:space="preserve">. </w:t>
      </w:r>
      <w:r w:rsidR="0077051F">
        <w:rPr>
          <w:rFonts w:ascii="Gautami" w:eastAsia="Times New Roman" w:hAnsi="Gautami"/>
          <w:sz w:val="20"/>
        </w:rPr>
        <w:t xml:space="preserve"> The ex post prices are set out below in </w:t>
      </w:r>
      <w:r w:rsidR="00485DF7">
        <w:rPr>
          <w:rFonts w:ascii="Gautami" w:eastAsia="Times New Roman" w:hAnsi="Gautami"/>
          <w:sz w:val="20"/>
        </w:rPr>
        <w:t>table 1</w:t>
      </w:r>
      <w:r w:rsidR="00964245">
        <w:rPr>
          <w:rFonts w:ascii="Gautami" w:eastAsia="Times New Roman" w:hAnsi="Gautami"/>
          <w:sz w:val="20"/>
        </w:rPr>
        <w:t>.1</w:t>
      </w:r>
      <w:r w:rsidR="0077051F">
        <w:rPr>
          <w:rFonts w:ascii="Gautami" w:eastAsia="Times New Roman" w:hAnsi="Gautami"/>
          <w:sz w:val="20"/>
        </w:rPr>
        <w:t>.</w:t>
      </w:r>
    </w:p>
    <w:p w:rsidR="0077051F" w:rsidRPr="004876D4" w:rsidRDefault="00485DF7" w:rsidP="00485DF7">
      <w:pPr>
        <w:pStyle w:val="AERfigureheading"/>
        <w:numPr>
          <w:ilvl w:val="0"/>
          <w:numId w:val="0"/>
        </w:numPr>
        <w:ind w:left="142"/>
        <w:jc w:val="both"/>
      </w:pPr>
      <w:r>
        <w:lastRenderedPageBreak/>
        <w:t>Table 1.1</w:t>
      </w:r>
      <w:r>
        <w:tab/>
      </w:r>
      <w:r w:rsidR="0077051F" w:rsidRPr="004876D4">
        <w:t xml:space="preserve">Prices with and without administration: June 1 to 3 (Sydney and Adelaide) </w:t>
      </w:r>
    </w:p>
    <w:tbl>
      <w:tblPr>
        <w:tblW w:w="7774" w:type="dxa"/>
        <w:tblBorders>
          <w:top w:val="single" w:sz="12" w:space="0" w:color="000000"/>
          <w:bottom w:val="single" w:sz="12" w:space="0" w:color="000000"/>
          <w:insideH w:val="single" w:sz="6" w:space="0" w:color="000000"/>
        </w:tblBorders>
        <w:tblLayout w:type="fixed"/>
        <w:tblLook w:val="04A0" w:firstRow="1" w:lastRow="0" w:firstColumn="1" w:lastColumn="0" w:noHBand="0" w:noVBand="1"/>
      </w:tblPr>
      <w:tblGrid>
        <w:gridCol w:w="1526"/>
        <w:gridCol w:w="1701"/>
        <w:gridCol w:w="1423"/>
        <w:gridCol w:w="1562"/>
        <w:gridCol w:w="1562"/>
      </w:tblGrid>
      <w:tr w:rsidR="0077051F" w:rsidRPr="00E43750" w:rsidTr="00A56BE2">
        <w:trPr>
          <w:trHeight w:val="300"/>
        </w:trPr>
        <w:tc>
          <w:tcPr>
            <w:tcW w:w="1526" w:type="dxa"/>
            <w:shd w:val="clear" w:color="auto" w:fill="auto"/>
            <w:noWrap/>
            <w:hideMark/>
          </w:tcPr>
          <w:p w:rsidR="0077051F" w:rsidRPr="000E1384" w:rsidRDefault="0077051F" w:rsidP="00A56BE2">
            <w:pPr>
              <w:spacing w:after="240"/>
              <w:jc w:val="center"/>
              <w:rPr>
                <w:rFonts w:cs="Arial"/>
                <w:b/>
                <w:bCs/>
                <w:color w:val="000000"/>
                <w:sz w:val="20"/>
                <w:szCs w:val="20"/>
              </w:rPr>
            </w:pPr>
          </w:p>
        </w:tc>
        <w:tc>
          <w:tcPr>
            <w:tcW w:w="1701" w:type="dxa"/>
            <w:shd w:val="clear" w:color="auto" w:fill="auto"/>
            <w:noWrap/>
          </w:tcPr>
          <w:p w:rsidR="0077051F" w:rsidRPr="000E1384" w:rsidRDefault="0077051F" w:rsidP="00A56BE2">
            <w:pPr>
              <w:ind w:right="-250"/>
              <w:rPr>
                <w:rFonts w:cs="Arial"/>
                <w:b/>
                <w:color w:val="000000"/>
                <w:sz w:val="20"/>
                <w:szCs w:val="20"/>
              </w:rPr>
            </w:pPr>
            <w:r w:rsidRPr="000E1384">
              <w:rPr>
                <w:rFonts w:cs="Arial"/>
                <w:b/>
                <w:color w:val="000000"/>
                <w:sz w:val="20"/>
                <w:szCs w:val="20"/>
              </w:rPr>
              <w:t>Ex post price</w:t>
            </w:r>
          </w:p>
          <w:p w:rsidR="0077051F" w:rsidRPr="000E1384" w:rsidRDefault="0077051F" w:rsidP="00A56BE2">
            <w:pPr>
              <w:ind w:right="-250"/>
              <w:rPr>
                <w:rFonts w:cs="Arial"/>
                <w:b/>
                <w:color w:val="000000"/>
                <w:sz w:val="20"/>
                <w:szCs w:val="20"/>
              </w:rPr>
            </w:pPr>
            <w:r w:rsidRPr="000E1384">
              <w:rPr>
                <w:rFonts w:cs="Arial"/>
                <w:b/>
                <w:color w:val="000000"/>
                <w:sz w:val="20"/>
                <w:szCs w:val="20"/>
              </w:rPr>
              <w:t>Administered</w:t>
            </w:r>
          </w:p>
          <w:p w:rsidR="0077051F" w:rsidRPr="000E1384" w:rsidRDefault="0077051F" w:rsidP="00A56BE2">
            <w:pPr>
              <w:ind w:right="-250"/>
              <w:rPr>
                <w:rFonts w:cs="Arial"/>
                <w:b/>
                <w:color w:val="000000"/>
                <w:sz w:val="20"/>
                <w:szCs w:val="20"/>
              </w:rPr>
            </w:pPr>
            <w:r w:rsidRPr="000E1384">
              <w:rPr>
                <w:rFonts w:cs="Arial"/>
                <w:b/>
                <w:color w:val="000000"/>
                <w:sz w:val="20"/>
                <w:szCs w:val="20"/>
              </w:rPr>
              <w:t>(Sydney)</w:t>
            </w:r>
          </w:p>
        </w:tc>
        <w:tc>
          <w:tcPr>
            <w:tcW w:w="1423" w:type="dxa"/>
            <w:shd w:val="clear" w:color="auto" w:fill="auto"/>
          </w:tcPr>
          <w:p w:rsidR="0077051F" w:rsidRPr="000E1384" w:rsidRDefault="0077051F" w:rsidP="00A56BE2">
            <w:pPr>
              <w:rPr>
                <w:rFonts w:cs="Arial"/>
                <w:b/>
                <w:color w:val="000000"/>
                <w:sz w:val="20"/>
                <w:szCs w:val="20"/>
              </w:rPr>
            </w:pPr>
            <w:r w:rsidRPr="000E1384">
              <w:rPr>
                <w:rFonts w:cs="Arial"/>
                <w:b/>
                <w:color w:val="000000"/>
                <w:sz w:val="20"/>
                <w:szCs w:val="20"/>
              </w:rPr>
              <w:t xml:space="preserve">Ex post price </w:t>
            </w:r>
          </w:p>
          <w:p w:rsidR="0077051F" w:rsidRPr="000E1384" w:rsidRDefault="0077051F" w:rsidP="00A56BE2">
            <w:pPr>
              <w:rPr>
                <w:rFonts w:cs="Arial"/>
                <w:b/>
                <w:color w:val="000000"/>
                <w:sz w:val="20"/>
                <w:szCs w:val="20"/>
              </w:rPr>
            </w:pPr>
            <w:r w:rsidRPr="000E1384">
              <w:rPr>
                <w:rFonts w:cs="Arial"/>
                <w:b/>
                <w:color w:val="000000"/>
                <w:sz w:val="20"/>
                <w:szCs w:val="20"/>
              </w:rPr>
              <w:t>Non-admin</w:t>
            </w:r>
          </w:p>
          <w:p w:rsidR="0077051F" w:rsidRPr="000E1384" w:rsidRDefault="0077051F" w:rsidP="00A56BE2">
            <w:pPr>
              <w:rPr>
                <w:rFonts w:cs="Arial"/>
                <w:b/>
                <w:color w:val="000000"/>
                <w:sz w:val="20"/>
                <w:szCs w:val="20"/>
              </w:rPr>
            </w:pPr>
            <w:r w:rsidRPr="000E1384">
              <w:rPr>
                <w:rFonts w:cs="Arial"/>
                <w:b/>
                <w:color w:val="000000"/>
                <w:sz w:val="20"/>
                <w:szCs w:val="20"/>
              </w:rPr>
              <w:t>(Sydney)</w:t>
            </w:r>
          </w:p>
        </w:tc>
        <w:tc>
          <w:tcPr>
            <w:tcW w:w="1562" w:type="dxa"/>
            <w:shd w:val="clear" w:color="auto" w:fill="auto"/>
            <w:noWrap/>
          </w:tcPr>
          <w:p w:rsidR="0077051F" w:rsidRPr="000E1384" w:rsidRDefault="0077051F" w:rsidP="00A56BE2">
            <w:pPr>
              <w:ind w:right="-250"/>
              <w:rPr>
                <w:rFonts w:cs="Arial"/>
                <w:b/>
                <w:color w:val="000000"/>
                <w:sz w:val="20"/>
                <w:szCs w:val="20"/>
              </w:rPr>
            </w:pPr>
            <w:r w:rsidRPr="000E1384">
              <w:rPr>
                <w:rFonts w:cs="Arial"/>
                <w:b/>
                <w:color w:val="000000"/>
                <w:sz w:val="20"/>
                <w:szCs w:val="20"/>
              </w:rPr>
              <w:t>Ex post price</w:t>
            </w:r>
          </w:p>
          <w:p w:rsidR="0077051F" w:rsidRPr="000E1384" w:rsidRDefault="0077051F" w:rsidP="00A56BE2">
            <w:pPr>
              <w:ind w:right="-250"/>
              <w:rPr>
                <w:rFonts w:cs="Arial"/>
                <w:b/>
                <w:color w:val="000000"/>
                <w:sz w:val="20"/>
                <w:szCs w:val="20"/>
              </w:rPr>
            </w:pPr>
            <w:r w:rsidRPr="000E1384">
              <w:rPr>
                <w:rFonts w:cs="Arial"/>
                <w:b/>
                <w:color w:val="000000"/>
                <w:sz w:val="20"/>
                <w:szCs w:val="20"/>
              </w:rPr>
              <w:t>Administered</w:t>
            </w:r>
          </w:p>
          <w:p w:rsidR="0077051F" w:rsidRPr="000E1384" w:rsidRDefault="0077051F" w:rsidP="00A56BE2">
            <w:pPr>
              <w:ind w:right="-250"/>
              <w:rPr>
                <w:rFonts w:cs="Arial"/>
                <w:b/>
                <w:color w:val="000000"/>
                <w:sz w:val="20"/>
                <w:szCs w:val="20"/>
              </w:rPr>
            </w:pPr>
            <w:r w:rsidRPr="000E1384">
              <w:rPr>
                <w:rFonts w:cs="Arial"/>
                <w:b/>
                <w:color w:val="000000"/>
                <w:sz w:val="20"/>
                <w:szCs w:val="20"/>
              </w:rPr>
              <w:t>(Adelaide)</w:t>
            </w:r>
          </w:p>
        </w:tc>
        <w:tc>
          <w:tcPr>
            <w:tcW w:w="1562" w:type="dxa"/>
            <w:shd w:val="clear" w:color="auto" w:fill="auto"/>
            <w:noWrap/>
          </w:tcPr>
          <w:p w:rsidR="0077051F" w:rsidRPr="000E1384" w:rsidRDefault="0077051F" w:rsidP="00A56BE2">
            <w:pPr>
              <w:rPr>
                <w:rFonts w:cs="Arial"/>
                <w:b/>
                <w:color w:val="000000"/>
                <w:sz w:val="20"/>
                <w:szCs w:val="20"/>
              </w:rPr>
            </w:pPr>
            <w:r w:rsidRPr="000E1384">
              <w:rPr>
                <w:rFonts w:cs="Arial"/>
                <w:b/>
                <w:color w:val="000000"/>
                <w:sz w:val="20"/>
                <w:szCs w:val="20"/>
              </w:rPr>
              <w:t xml:space="preserve">Ex post price </w:t>
            </w:r>
          </w:p>
          <w:p w:rsidR="0077051F" w:rsidRPr="000E1384" w:rsidRDefault="0077051F" w:rsidP="00A56BE2">
            <w:pPr>
              <w:rPr>
                <w:rFonts w:cs="Arial"/>
                <w:b/>
                <w:color w:val="000000"/>
                <w:sz w:val="20"/>
                <w:szCs w:val="20"/>
              </w:rPr>
            </w:pPr>
            <w:r w:rsidRPr="000E1384">
              <w:rPr>
                <w:rFonts w:cs="Arial"/>
                <w:b/>
                <w:color w:val="000000"/>
                <w:sz w:val="20"/>
                <w:szCs w:val="20"/>
              </w:rPr>
              <w:t>Non-admin</w:t>
            </w:r>
          </w:p>
          <w:p w:rsidR="0077051F" w:rsidRPr="000E1384" w:rsidRDefault="0077051F" w:rsidP="00A56BE2">
            <w:pPr>
              <w:rPr>
                <w:rFonts w:cs="Arial"/>
                <w:b/>
                <w:color w:val="000000"/>
                <w:sz w:val="20"/>
                <w:szCs w:val="20"/>
              </w:rPr>
            </w:pPr>
            <w:r w:rsidRPr="000E1384">
              <w:rPr>
                <w:rFonts w:cs="Arial"/>
                <w:b/>
                <w:color w:val="000000"/>
                <w:sz w:val="20"/>
                <w:szCs w:val="20"/>
              </w:rPr>
              <w:t>(Adelaide)</w:t>
            </w:r>
          </w:p>
        </w:tc>
      </w:tr>
      <w:tr w:rsidR="0077051F" w:rsidRPr="00E43750" w:rsidTr="00A56BE2">
        <w:trPr>
          <w:trHeight w:val="300"/>
        </w:trPr>
        <w:tc>
          <w:tcPr>
            <w:tcW w:w="1526" w:type="dxa"/>
            <w:shd w:val="clear" w:color="auto" w:fill="auto"/>
            <w:noWrap/>
            <w:vAlign w:val="center"/>
            <w:hideMark/>
          </w:tcPr>
          <w:p w:rsidR="0077051F" w:rsidRPr="000E1384" w:rsidRDefault="0077051F" w:rsidP="00A56BE2">
            <w:pPr>
              <w:jc w:val="center"/>
              <w:rPr>
                <w:rFonts w:cs="Arial"/>
                <w:b/>
                <w:color w:val="000000"/>
                <w:sz w:val="20"/>
                <w:szCs w:val="20"/>
              </w:rPr>
            </w:pPr>
            <w:r w:rsidRPr="000E1384">
              <w:rPr>
                <w:rFonts w:cs="Arial"/>
                <w:b/>
                <w:bCs/>
                <w:color w:val="000000"/>
                <w:sz w:val="20"/>
                <w:szCs w:val="20"/>
              </w:rPr>
              <w:t>June 1</w:t>
            </w:r>
          </w:p>
        </w:tc>
        <w:tc>
          <w:tcPr>
            <w:tcW w:w="1701" w:type="dxa"/>
            <w:shd w:val="clear" w:color="auto" w:fill="auto"/>
            <w:noWrap/>
            <w:vAlign w:val="center"/>
          </w:tcPr>
          <w:p w:rsidR="0077051F" w:rsidRPr="000E1384" w:rsidRDefault="0077051F" w:rsidP="00A56BE2">
            <w:pPr>
              <w:rPr>
                <w:rFonts w:cs="Arial"/>
                <w:color w:val="000000"/>
                <w:sz w:val="20"/>
                <w:szCs w:val="20"/>
              </w:rPr>
            </w:pPr>
            <w:r w:rsidRPr="000E1384">
              <w:rPr>
                <w:rFonts w:cs="Arial"/>
                <w:color w:val="000000"/>
                <w:sz w:val="20"/>
                <w:szCs w:val="20"/>
              </w:rPr>
              <w:t>$3.8681</w:t>
            </w:r>
          </w:p>
        </w:tc>
        <w:tc>
          <w:tcPr>
            <w:tcW w:w="1423" w:type="dxa"/>
            <w:shd w:val="clear" w:color="auto" w:fill="auto"/>
            <w:vAlign w:val="center"/>
          </w:tcPr>
          <w:p w:rsidR="0077051F" w:rsidRPr="000E1384" w:rsidRDefault="0077051F" w:rsidP="00A56BE2">
            <w:pPr>
              <w:rPr>
                <w:rFonts w:cs="Arial"/>
                <w:color w:val="000000"/>
                <w:sz w:val="20"/>
                <w:szCs w:val="20"/>
              </w:rPr>
            </w:pPr>
            <w:r w:rsidRPr="000E1384">
              <w:rPr>
                <w:rFonts w:cs="Arial"/>
                <w:color w:val="000000"/>
                <w:sz w:val="20"/>
                <w:szCs w:val="20"/>
              </w:rPr>
              <w:t>$4.0488</w:t>
            </w:r>
          </w:p>
        </w:tc>
        <w:tc>
          <w:tcPr>
            <w:tcW w:w="1562" w:type="dxa"/>
            <w:shd w:val="clear" w:color="auto" w:fill="auto"/>
            <w:noWrap/>
            <w:vAlign w:val="center"/>
          </w:tcPr>
          <w:p w:rsidR="0077051F" w:rsidRPr="000E1384" w:rsidRDefault="0077051F" w:rsidP="00A56BE2">
            <w:pPr>
              <w:rPr>
                <w:rFonts w:cs="Arial"/>
                <w:color w:val="000000"/>
                <w:sz w:val="20"/>
                <w:szCs w:val="20"/>
              </w:rPr>
            </w:pPr>
            <w:r w:rsidRPr="000E1384">
              <w:rPr>
                <w:rFonts w:cs="Arial"/>
                <w:color w:val="000000"/>
                <w:sz w:val="20"/>
                <w:szCs w:val="20"/>
              </w:rPr>
              <w:t>$3.7880</w:t>
            </w:r>
          </w:p>
        </w:tc>
        <w:tc>
          <w:tcPr>
            <w:tcW w:w="1562" w:type="dxa"/>
            <w:shd w:val="clear" w:color="auto" w:fill="auto"/>
            <w:noWrap/>
            <w:vAlign w:val="center"/>
          </w:tcPr>
          <w:p w:rsidR="0077051F" w:rsidRPr="000E1384" w:rsidRDefault="0077051F" w:rsidP="00A56BE2">
            <w:pPr>
              <w:rPr>
                <w:rFonts w:cs="Arial"/>
                <w:color w:val="000000"/>
                <w:sz w:val="20"/>
                <w:szCs w:val="20"/>
              </w:rPr>
            </w:pPr>
            <w:r w:rsidRPr="000E1384">
              <w:rPr>
                <w:rFonts w:cs="Arial"/>
                <w:color w:val="000000"/>
                <w:sz w:val="20"/>
                <w:szCs w:val="20"/>
              </w:rPr>
              <w:t>$3.7800</w:t>
            </w:r>
          </w:p>
        </w:tc>
      </w:tr>
      <w:tr w:rsidR="0077051F" w:rsidRPr="00E43750" w:rsidTr="00A56BE2">
        <w:trPr>
          <w:trHeight w:val="300"/>
        </w:trPr>
        <w:tc>
          <w:tcPr>
            <w:tcW w:w="1526" w:type="dxa"/>
            <w:shd w:val="clear" w:color="auto" w:fill="auto"/>
            <w:noWrap/>
            <w:vAlign w:val="center"/>
            <w:hideMark/>
          </w:tcPr>
          <w:p w:rsidR="0077051F" w:rsidRPr="000E1384" w:rsidRDefault="0077051F" w:rsidP="00A56BE2">
            <w:pPr>
              <w:jc w:val="center"/>
              <w:rPr>
                <w:rFonts w:cs="Arial"/>
                <w:b/>
                <w:color w:val="000000"/>
                <w:sz w:val="20"/>
                <w:szCs w:val="20"/>
              </w:rPr>
            </w:pPr>
            <w:r w:rsidRPr="000E1384">
              <w:rPr>
                <w:rFonts w:cs="Arial"/>
                <w:b/>
                <w:color w:val="000000"/>
                <w:sz w:val="20"/>
                <w:szCs w:val="20"/>
              </w:rPr>
              <w:t>June 2</w:t>
            </w:r>
          </w:p>
        </w:tc>
        <w:tc>
          <w:tcPr>
            <w:tcW w:w="1701" w:type="dxa"/>
            <w:shd w:val="clear" w:color="auto" w:fill="auto"/>
            <w:noWrap/>
            <w:vAlign w:val="center"/>
          </w:tcPr>
          <w:p w:rsidR="0077051F" w:rsidRPr="000E1384" w:rsidRDefault="0077051F" w:rsidP="00A56BE2">
            <w:pPr>
              <w:rPr>
                <w:rFonts w:cs="Arial"/>
                <w:color w:val="000000"/>
                <w:sz w:val="20"/>
                <w:szCs w:val="20"/>
              </w:rPr>
            </w:pPr>
            <w:r w:rsidRPr="000E1384">
              <w:rPr>
                <w:rFonts w:cs="Arial"/>
                <w:color w:val="000000"/>
                <w:sz w:val="20"/>
                <w:szCs w:val="20"/>
              </w:rPr>
              <w:t>$3.8681</w:t>
            </w:r>
          </w:p>
        </w:tc>
        <w:tc>
          <w:tcPr>
            <w:tcW w:w="1423" w:type="dxa"/>
            <w:shd w:val="clear" w:color="auto" w:fill="auto"/>
            <w:vAlign w:val="center"/>
          </w:tcPr>
          <w:p w:rsidR="0077051F" w:rsidRPr="000E1384" w:rsidRDefault="0077051F" w:rsidP="00A56BE2">
            <w:pPr>
              <w:rPr>
                <w:rFonts w:cs="Arial"/>
                <w:color w:val="000000"/>
                <w:sz w:val="20"/>
                <w:szCs w:val="20"/>
              </w:rPr>
            </w:pPr>
            <w:r w:rsidRPr="000E1384">
              <w:rPr>
                <w:rFonts w:cs="Arial"/>
                <w:color w:val="000000"/>
                <w:sz w:val="20"/>
                <w:szCs w:val="20"/>
              </w:rPr>
              <w:t>$4.0488</w:t>
            </w:r>
          </w:p>
        </w:tc>
        <w:tc>
          <w:tcPr>
            <w:tcW w:w="1562" w:type="dxa"/>
            <w:shd w:val="clear" w:color="auto" w:fill="auto"/>
            <w:noWrap/>
            <w:vAlign w:val="center"/>
          </w:tcPr>
          <w:p w:rsidR="0077051F" w:rsidRPr="000E1384" w:rsidRDefault="00986929" w:rsidP="00A56BE2">
            <w:pPr>
              <w:rPr>
                <w:rFonts w:cs="Arial"/>
                <w:color w:val="000000"/>
                <w:sz w:val="20"/>
                <w:szCs w:val="20"/>
              </w:rPr>
            </w:pPr>
            <w:r>
              <w:rPr>
                <w:rFonts w:cs="Arial"/>
                <w:color w:val="000000"/>
                <w:sz w:val="20"/>
                <w:szCs w:val="20"/>
              </w:rPr>
              <w:t>$3.7780</w:t>
            </w:r>
          </w:p>
        </w:tc>
        <w:tc>
          <w:tcPr>
            <w:tcW w:w="1562" w:type="dxa"/>
            <w:shd w:val="clear" w:color="auto" w:fill="auto"/>
            <w:noWrap/>
            <w:vAlign w:val="center"/>
          </w:tcPr>
          <w:p w:rsidR="0077051F" w:rsidRPr="000E1384" w:rsidRDefault="00986929" w:rsidP="00A56BE2">
            <w:pPr>
              <w:rPr>
                <w:rFonts w:cs="Arial"/>
                <w:color w:val="000000"/>
                <w:sz w:val="20"/>
                <w:szCs w:val="20"/>
              </w:rPr>
            </w:pPr>
            <w:r>
              <w:rPr>
                <w:rFonts w:cs="Arial"/>
                <w:color w:val="000000"/>
                <w:sz w:val="20"/>
                <w:szCs w:val="20"/>
              </w:rPr>
              <w:t>$3.7780</w:t>
            </w:r>
          </w:p>
        </w:tc>
      </w:tr>
      <w:tr w:rsidR="0077051F" w:rsidRPr="00E43750" w:rsidTr="00A56BE2">
        <w:trPr>
          <w:trHeight w:val="300"/>
        </w:trPr>
        <w:tc>
          <w:tcPr>
            <w:tcW w:w="1526" w:type="dxa"/>
            <w:shd w:val="clear" w:color="auto" w:fill="auto"/>
            <w:noWrap/>
            <w:vAlign w:val="center"/>
          </w:tcPr>
          <w:p w:rsidR="0077051F" w:rsidRPr="000E1384" w:rsidRDefault="0077051F" w:rsidP="00A56BE2">
            <w:pPr>
              <w:jc w:val="center"/>
              <w:rPr>
                <w:rFonts w:cs="Arial"/>
                <w:b/>
                <w:bCs/>
                <w:color w:val="000000"/>
                <w:sz w:val="20"/>
                <w:szCs w:val="20"/>
              </w:rPr>
            </w:pPr>
            <w:r w:rsidRPr="000E1384">
              <w:rPr>
                <w:rFonts w:cs="Arial"/>
                <w:b/>
                <w:bCs/>
                <w:color w:val="000000"/>
                <w:sz w:val="20"/>
                <w:szCs w:val="20"/>
              </w:rPr>
              <w:t>June 3</w:t>
            </w:r>
          </w:p>
        </w:tc>
        <w:tc>
          <w:tcPr>
            <w:tcW w:w="1701" w:type="dxa"/>
            <w:shd w:val="clear" w:color="auto" w:fill="auto"/>
            <w:noWrap/>
            <w:vAlign w:val="center"/>
          </w:tcPr>
          <w:p w:rsidR="0077051F" w:rsidRPr="000E1384" w:rsidRDefault="0077051F" w:rsidP="00A56BE2">
            <w:pPr>
              <w:rPr>
                <w:rFonts w:cs="Arial"/>
                <w:color w:val="000000"/>
                <w:sz w:val="20"/>
                <w:szCs w:val="20"/>
              </w:rPr>
            </w:pPr>
            <w:r w:rsidRPr="000E1384">
              <w:rPr>
                <w:rFonts w:cs="Arial"/>
                <w:color w:val="000000"/>
                <w:sz w:val="20"/>
                <w:szCs w:val="20"/>
              </w:rPr>
              <w:t>$3.7988</w:t>
            </w:r>
          </w:p>
        </w:tc>
        <w:tc>
          <w:tcPr>
            <w:tcW w:w="1423" w:type="dxa"/>
            <w:shd w:val="clear" w:color="auto" w:fill="auto"/>
            <w:vAlign w:val="center"/>
          </w:tcPr>
          <w:p w:rsidR="0077051F" w:rsidRPr="000E1384" w:rsidRDefault="0077051F" w:rsidP="00A56BE2">
            <w:pPr>
              <w:rPr>
                <w:rFonts w:cs="Arial"/>
                <w:color w:val="000000"/>
                <w:sz w:val="20"/>
                <w:szCs w:val="20"/>
              </w:rPr>
            </w:pPr>
            <w:r w:rsidRPr="000E1384">
              <w:rPr>
                <w:rFonts w:cs="Arial"/>
                <w:color w:val="000000"/>
                <w:sz w:val="20"/>
                <w:szCs w:val="20"/>
              </w:rPr>
              <w:t>$3.7988</w:t>
            </w:r>
          </w:p>
        </w:tc>
        <w:tc>
          <w:tcPr>
            <w:tcW w:w="1562" w:type="dxa"/>
            <w:shd w:val="clear" w:color="auto" w:fill="auto"/>
            <w:noWrap/>
            <w:vAlign w:val="center"/>
          </w:tcPr>
          <w:p w:rsidR="0077051F" w:rsidRPr="000E1384" w:rsidRDefault="0077051F" w:rsidP="00A56BE2">
            <w:pPr>
              <w:rPr>
                <w:rFonts w:cs="Arial"/>
                <w:color w:val="000000"/>
                <w:sz w:val="20"/>
                <w:szCs w:val="20"/>
              </w:rPr>
            </w:pPr>
            <w:r w:rsidRPr="000E1384">
              <w:rPr>
                <w:rFonts w:cs="Arial"/>
                <w:color w:val="000000"/>
                <w:sz w:val="20"/>
                <w:szCs w:val="20"/>
              </w:rPr>
              <w:t>$3.8788</w:t>
            </w:r>
          </w:p>
        </w:tc>
        <w:tc>
          <w:tcPr>
            <w:tcW w:w="1562" w:type="dxa"/>
            <w:shd w:val="clear" w:color="auto" w:fill="auto"/>
            <w:noWrap/>
            <w:vAlign w:val="center"/>
          </w:tcPr>
          <w:p w:rsidR="0077051F" w:rsidRPr="000E1384" w:rsidRDefault="0077051F" w:rsidP="00A56BE2">
            <w:pPr>
              <w:rPr>
                <w:rFonts w:cs="Arial"/>
                <w:color w:val="000000"/>
                <w:sz w:val="20"/>
                <w:szCs w:val="20"/>
              </w:rPr>
            </w:pPr>
            <w:r w:rsidRPr="000E1384">
              <w:rPr>
                <w:rFonts w:cs="Arial"/>
                <w:color w:val="000000"/>
                <w:sz w:val="20"/>
                <w:szCs w:val="20"/>
              </w:rPr>
              <w:t>$3.8788</w:t>
            </w:r>
          </w:p>
        </w:tc>
      </w:tr>
    </w:tbl>
    <w:p w:rsidR="0077051F" w:rsidRPr="000E1384" w:rsidRDefault="0077051F" w:rsidP="0077051F">
      <w:pPr>
        <w:spacing w:after="240" w:line="288" w:lineRule="auto"/>
        <w:jc w:val="both"/>
        <w:rPr>
          <w:rFonts w:ascii="Gautami" w:eastAsia="Times New Roman" w:hAnsi="Gautami"/>
          <w:sz w:val="20"/>
        </w:rPr>
      </w:pPr>
    </w:p>
    <w:p w:rsidR="000E1384" w:rsidRDefault="000E1384" w:rsidP="00895871">
      <w:pPr>
        <w:spacing w:after="240" w:line="288" w:lineRule="auto"/>
        <w:jc w:val="both"/>
        <w:rPr>
          <w:rFonts w:ascii="Gautami" w:eastAsia="Times New Roman" w:hAnsi="Gautami"/>
          <w:sz w:val="20"/>
        </w:rPr>
      </w:pPr>
      <w:r w:rsidRPr="000E1384">
        <w:rPr>
          <w:rFonts w:ascii="Gautami" w:eastAsia="Times New Roman" w:hAnsi="Gautami"/>
          <w:sz w:val="20"/>
        </w:rPr>
        <w:t xml:space="preserve">AEMO </w:t>
      </w:r>
      <w:r>
        <w:rPr>
          <w:rFonts w:ascii="Gautami" w:eastAsia="Times New Roman" w:hAnsi="Gautami"/>
          <w:sz w:val="20"/>
        </w:rPr>
        <w:t xml:space="preserve">has </w:t>
      </w:r>
      <w:r w:rsidRPr="000E1384">
        <w:rPr>
          <w:rFonts w:ascii="Gautami" w:eastAsia="Times New Roman" w:hAnsi="Gautami"/>
          <w:sz w:val="20"/>
        </w:rPr>
        <w:t>report</w:t>
      </w:r>
      <w:r>
        <w:rPr>
          <w:rFonts w:ascii="Gautami" w:eastAsia="Times New Roman" w:hAnsi="Gautami"/>
          <w:sz w:val="20"/>
        </w:rPr>
        <w:t>ed</w:t>
      </w:r>
      <w:r w:rsidRPr="000E1384">
        <w:rPr>
          <w:rFonts w:ascii="Gautami" w:eastAsia="Times New Roman" w:hAnsi="Gautami"/>
          <w:sz w:val="20"/>
        </w:rPr>
        <w:t xml:space="preserve"> that the event was due to issues in AEMO’s market systems </w:t>
      </w:r>
      <w:r>
        <w:rPr>
          <w:rFonts w:ascii="Gautami" w:eastAsia="Times New Roman" w:hAnsi="Gautami"/>
          <w:sz w:val="20"/>
        </w:rPr>
        <w:t xml:space="preserve">and </w:t>
      </w:r>
      <w:r w:rsidRPr="000E1384">
        <w:rPr>
          <w:rFonts w:ascii="Gautami" w:eastAsia="Times New Roman" w:hAnsi="Gautami"/>
          <w:sz w:val="20"/>
        </w:rPr>
        <w:t>how MOS allocations were being validated</w:t>
      </w:r>
      <w:r>
        <w:rPr>
          <w:rFonts w:ascii="Gautami" w:eastAsia="Times New Roman" w:hAnsi="Gautami"/>
          <w:sz w:val="20"/>
        </w:rPr>
        <w:t xml:space="preserve"> following the introduction of new MOS arrangements</w:t>
      </w:r>
      <w:r w:rsidRPr="000E1384">
        <w:rPr>
          <w:rFonts w:ascii="Gautami" w:eastAsia="Times New Roman" w:hAnsi="Gautami"/>
          <w:sz w:val="20"/>
        </w:rPr>
        <w:t xml:space="preserve">. AEMO has engaged </w:t>
      </w:r>
      <w:proofErr w:type="spellStart"/>
      <w:r w:rsidRPr="000E1384">
        <w:rPr>
          <w:rFonts w:ascii="Gautami" w:eastAsia="Times New Roman" w:hAnsi="Gautami"/>
          <w:sz w:val="20"/>
        </w:rPr>
        <w:t>Pricewaterhouse</w:t>
      </w:r>
      <w:proofErr w:type="spellEnd"/>
      <w:r w:rsidRPr="000E1384">
        <w:rPr>
          <w:rFonts w:ascii="Gautami" w:eastAsia="Times New Roman" w:hAnsi="Gautami"/>
          <w:sz w:val="20"/>
        </w:rPr>
        <w:t xml:space="preserve"> Coopers to conduct an end-to-end investigation of these events in order to determine root cause(s). </w:t>
      </w:r>
    </w:p>
    <w:p w:rsidR="000E1384" w:rsidRPr="000E1384" w:rsidRDefault="000E1384" w:rsidP="000E1384">
      <w:pPr>
        <w:spacing w:after="240" w:line="288" w:lineRule="auto"/>
        <w:jc w:val="both"/>
        <w:rPr>
          <w:rFonts w:ascii="Gautami" w:eastAsia="Times New Roman" w:hAnsi="Gautami"/>
          <w:sz w:val="20"/>
        </w:rPr>
      </w:pPr>
      <w:r w:rsidRPr="000E1384">
        <w:rPr>
          <w:rFonts w:ascii="Gautami" w:eastAsia="Times New Roman" w:hAnsi="Gautami"/>
          <w:sz w:val="20"/>
        </w:rPr>
        <w:t xml:space="preserve">AEMO </w:t>
      </w:r>
      <w:r>
        <w:rPr>
          <w:rFonts w:ascii="Gautami" w:eastAsia="Times New Roman" w:hAnsi="Gautami"/>
          <w:sz w:val="20"/>
        </w:rPr>
        <w:t xml:space="preserve">has found </w:t>
      </w:r>
      <w:r w:rsidRPr="000E1384">
        <w:rPr>
          <w:rFonts w:ascii="Gautami" w:eastAsia="Times New Roman" w:hAnsi="Gautami"/>
          <w:sz w:val="20"/>
        </w:rPr>
        <w:t xml:space="preserve">that the impact of the event was non-material having considered prices, settlement differences and effects on prudential requirements. The effect on ex post prices from administration on the market is </w:t>
      </w:r>
      <w:r>
        <w:rPr>
          <w:rFonts w:ascii="Gautami" w:eastAsia="Times New Roman" w:hAnsi="Gautami"/>
          <w:sz w:val="20"/>
        </w:rPr>
        <w:t xml:space="preserve">highlighted </w:t>
      </w:r>
      <w:r w:rsidRPr="000E1384">
        <w:rPr>
          <w:rFonts w:ascii="Gautami" w:eastAsia="Times New Roman" w:hAnsi="Gautami"/>
          <w:sz w:val="20"/>
        </w:rPr>
        <w:t xml:space="preserve">in figure </w:t>
      </w:r>
      <w:r w:rsidR="0077051F">
        <w:rPr>
          <w:rFonts w:ascii="Gautami" w:eastAsia="Times New Roman" w:hAnsi="Gautami"/>
          <w:sz w:val="20"/>
        </w:rPr>
        <w:t>1.4</w:t>
      </w:r>
      <w:r w:rsidR="0077051F" w:rsidRPr="000E1384">
        <w:rPr>
          <w:rFonts w:ascii="Gautami" w:eastAsia="Times New Roman" w:hAnsi="Gautami"/>
          <w:sz w:val="20"/>
        </w:rPr>
        <w:t xml:space="preserve"> </w:t>
      </w:r>
      <w:r w:rsidR="00386510">
        <w:rPr>
          <w:rFonts w:ascii="Gautami" w:eastAsia="Times New Roman" w:hAnsi="Gautami"/>
          <w:sz w:val="20"/>
        </w:rPr>
        <w:t>above</w:t>
      </w:r>
      <w:r w:rsidR="00386510" w:rsidRPr="000E1384">
        <w:rPr>
          <w:rFonts w:ascii="Gautami" w:eastAsia="Times New Roman" w:hAnsi="Gautami"/>
          <w:sz w:val="20"/>
        </w:rPr>
        <w:t xml:space="preserve"> </w:t>
      </w:r>
      <w:r w:rsidRPr="000E1384">
        <w:rPr>
          <w:rFonts w:ascii="Gautami" w:eastAsia="Times New Roman" w:hAnsi="Gautami"/>
          <w:sz w:val="20"/>
        </w:rPr>
        <w:t>- the non-administered price is the price which would have applied if facility operator data had been used by AEMO on the day.</w:t>
      </w:r>
      <w:r w:rsidR="00386510">
        <w:rPr>
          <w:rFonts w:ascii="Gautami" w:eastAsia="Times New Roman" w:hAnsi="Gautami"/>
          <w:sz w:val="20"/>
        </w:rPr>
        <w:t xml:space="preserve"> </w:t>
      </w:r>
      <w:r w:rsidRPr="000E1384">
        <w:rPr>
          <w:rFonts w:ascii="Gautami" w:eastAsia="Times New Roman" w:hAnsi="Gautami"/>
          <w:sz w:val="20"/>
        </w:rPr>
        <w:t xml:space="preserve">AEMO reports that the small or zero differentials between the two sets of prices (administered and non-administered) for each hub on each day resulted in minimal impacts on settlement outcomes for participants. With the biggest impact being that one participant was worse off by </w:t>
      </w:r>
      <w:r>
        <w:rPr>
          <w:rFonts w:ascii="Gautami" w:eastAsia="Times New Roman" w:hAnsi="Gautami"/>
          <w:sz w:val="20"/>
        </w:rPr>
        <w:t>just under $4000.</w:t>
      </w:r>
    </w:p>
    <w:p w:rsidR="00EB7783" w:rsidRPr="00885449" w:rsidRDefault="000E1384" w:rsidP="000E1384">
      <w:pPr>
        <w:spacing w:after="240" w:line="288" w:lineRule="auto"/>
        <w:jc w:val="both"/>
        <w:rPr>
          <w:rFonts w:ascii="Gautami" w:eastAsia="Times New Roman" w:hAnsi="Gautami"/>
          <w:sz w:val="20"/>
        </w:rPr>
      </w:pPr>
      <w:r>
        <w:rPr>
          <w:rFonts w:ascii="Gautami" w:eastAsia="Times New Roman" w:hAnsi="Gautami"/>
          <w:sz w:val="20"/>
        </w:rPr>
        <w:t>E</w:t>
      </w:r>
      <w:r w:rsidRPr="000E1384">
        <w:rPr>
          <w:rFonts w:ascii="Gautami" w:eastAsia="Times New Roman" w:hAnsi="Gautami"/>
          <w:sz w:val="20"/>
        </w:rPr>
        <w:t>vent</w:t>
      </w:r>
      <w:r w:rsidR="00856BB5">
        <w:rPr>
          <w:rFonts w:ascii="Gautami" w:eastAsia="Times New Roman" w:hAnsi="Gautami"/>
          <w:sz w:val="20"/>
        </w:rPr>
        <w:t>s</w:t>
      </w:r>
      <w:r w:rsidRPr="000E1384">
        <w:rPr>
          <w:rFonts w:ascii="Gautami" w:eastAsia="Times New Roman" w:hAnsi="Gautami"/>
          <w:sz w:val="20"/>
        </w:rPr>
        <w:t xml:space="preserve"> </w:t>
      </w:r>
      <w:r w:rsidR="00C44DB3">
        <w:rPr>
          <w:rFonts w:ascii="Gautami" w:eastAsia="Times New Roman" w:hAnsi="Gautami"/>
          <w:sz w:val="20"/>
        </w:rPr>
        <w:t xml:space="preserve">such as this are likely to </w:t>
      </w:r>
      <w:r>
        <w:rPr>
          <w:rFonts w:ascii="Gautami" w:eastAsia="Times New Roman" w:hAnsi="Gautami"/>
          <w:sz w:val="20"/>
        </w:rPr>
        <w:t xml:space="preserve">impact </w:t>
      </w:r>
      <w:r w:rsidRPr="000E1384">
        <w:rPr>
          <w:rFonts w:ascii="Gautami" w:eastAsia="Times New Roman" w:hAnsi="Gautami"/>
          <w:sz w:val="20"/>
        </w:rPr>
        <w:t xml:space="preserve">on </w:t>
      </w:r>
      <w:r>
        <w:rPr>
          <w:rFonts w:ascii="Gautami" w:eastAsia="Times New Roman" w:hAnsi="Gautami"/>
          <w:sz w:val="20"/>
        </w:rPr>
        <w:t>consumer and participant</w:t>
      </w:r>
      <w:r w:rsidR="00C44DB3">
        <w:rPr>
          <w:rFonts w:ascii="Gautami" w:eastAsia="Times New Roman" w:hAnsi="Gautami"/>
          <w:sz w:val="20"/>
        </w:rPr>
        <w:t>s’</w:t>
      </w:r>
      <w:r>
        <w:rPr>
          <w:rFonts w:ascii="Gautami" w:eastAsia="Times New Roman" w:hAnsi="Gautami"/>
          <w:sz w:val="20"/>
        </w:rPr>
        <w:t xml:space="preserve"> </w:t>
      </w:r>
      <w:r w:rsidRPr="000E1384">
        <w:rPr>
          <w:rFonts w:ascii="Gautami" w:eastAsia="Times New Roman" w:hAnsi="Gautami"/>
          <w:sz w:val="20"/>
        </w:rPr>
        <w:t>confidence in the integrity of market outcomes,</w:t>
      </w:r>
      <w:r>
        <w:rPr>
          <w:rFonts w:ascii="Gautami" w:eastAsia="Times New Roman" w:hAnsi="Gautami"/>
          <w:sz w:val="20"/>
        </w:rPr>
        <w:t xml:space="preserve"> a strategic priority of the AER’s. </w:t>
      </w:r>
      <w:r w:rsidRPr="000E1384">
        <w:rPr>
          <w:rFonts w:ascii="Gautami" w:eastAsia="Times New Roman" w:hAnsi="Gautami"/>
          <w:sz w:val="20"/>
        </w:rPr>
        <w:t xml:space="preserve"> </w:t>
      </w:r>
      <w:r>
        <w:rPr>
          <w:rFonts w:ascii="Gautami" w:eastAsia="Times New Roman" w:hAnsi="Gautami"/>
          <w:sz w:val="20"/>
        </w:rPr>
        <w:t>A</w:t>
      </w:r>
      <w:r w:rsidRPr="000E1384">
        <w:rPr>
          <w:rFonts w:ascii="Gautami" w:eastAsia="Times New Roman" w:hAnsi="Gautami"/>
          <w:sz w:val="20"/>
        </w:rPr>
        <w:t xml:space="preserve">ccordingly </w:t>
      </w:r>
      <w:r w:rsidR="00C44DB3">
        <w:rPr>
          <w:rFonts w:ascii="Gautami" w:eastAsia="Times New Roman" w:hAnsi="Gautami"/>
          <w:sz w:val="20"/>
        </w:rPr>
        <w:t xml:space="preserve">we </w:t>
      </w:r>
      <w:r w:rsidRPr="000E1384">
        <w:rPr>
          <w:rFonts w:ascii="Gautami" w:eastAsia="Times New Roman" w:hAnsi="Gautami"/>
          <w:sz w:val="20"/>
        </w:rPr>
        <w:t>will focus</w:t>
      </w:r>
      <w:r w:rsidR="00C44DB3">
        <w:rPr>
          <w:rFonts w:ascii="Gautami" w:eastAsia="Times New Roman" w:hAnsi="Gautami"/>
          <w:sz w:val="20"/>
        </w:rPr>
        <w:t xml:space="preserve"> our efforts to ensure </w:t>
      </w:r>
      <w:r w:rsidRPr="000E1384">
        <w:rPr>
          <w:rFonts w:ascii="Gautami" w:eastAsia="Times New Roman" w:hAnsi="Gautami"/>
          <w:sz w:val="20"/>
        </w:rPr>
        <w:t xml:space="preserve">AEMO </w:t>
      </w:r>
      <w:r w:rsidR="00C44DB3">
        <w:rPr>
          <w:rFonts w:ascii="Gautami" w:eastAsia="Times New Roman" w:hAnsi="Gautami"/>
          <w:sz w:val="20"/>
        </w:rPr>
        <w:t xml:space="preserve">take the necessary </w:t>
      </w:r>
      <w:r w:rsidRPr="000E1384">
        <w:rPr>
          <w:rFonts w:ascii="Gautami" w:eastAsia="Times New Roman" w:hAnsi="Gautami"/>
          <w:sz w:val="20"/>
        </w:rPr>
        <w:t xml:space="preserve">steps to mitigate </w:t>
      </w:r>
      <w:r w:rsidR="00C44DB3">
        <w:rPr>
          <w:rFonts w:ascii="Gautami" w:eastAsia="Times New Roman" w:hAnsi="Gautami"/>
          <w:sz w:val="20"/>
        </w:rPr>
        <w:t xml:space="preserve">the risk of a similar event occurring in </w:t>
      </w:r>
      <w:r w:rsidRPr="000E1384">
        <w:rPr>
          <w:rFonts w:ascii="Gautami" w:eastAsia="Times New Roman" w:hAnsi="Gautami"/>
          <w:sz w:val="20"/>
        </w:rPr>
        <w:t>future.</w:t>
      </w:r>
    </w:p>
    <w:p w:rsidR="009F4ACC" w:rsidRDefault="009F4ACC" w:rsidP="00A27547">
      <w:pPr>
        <w:pStyle w:val="AERheading2"/>
        <w:tabs>
          <w:tab w:val="clear" w:pos="5035"/>
          <w:tab w:val="num" w:pos="357"/>
          <w:tab w:val="num" w:pos="851"/>
        </w:tabs>
        <w:ind w:left="357"/>
        <w:jc w:val="both"/>
      </w:pPr>
      <w:bookmarkStart w:id="46" w:name="_Toc394479581"/>
      <w:r>
        <w:t>AEMO – Disclosure of confidential information</w:t>
      </w:r>
      <w:bookmarkEnd w:id="46"/>
    </w:p>
    <w:p w:rsidR="0087495E" w:rsidRPr="0087495E" w:rsidRDefault="0087495E" w:rsidP="0087495E">
      <w:pPr>
        <w:spacing w:after="240" w:line="288" w:lineRule="auto"/>
        <w:jc w:val="both"/>
        <w:rPr>
          <w:rFonts w:ascii="Gautami" w:eastAsia="Times New Roman" w:hAnsi="Gautami"/>
          <w:sz w:val="20"/>
        </w:rPr>
      </w:pPr>
      <w:r w:rsidRPr="0087495E">
        <w:rPr>
          <w:rFonts w:ascii="Gautami" w:eastAsia="Times New Roman" w:hAnsi="Gautami"/>
          <w:sz w:val="20"/>
        </w:rPr>
        <w:t>The Gas Law prohibits AEMO from disclosing protected information to unauthorised recipients.</w:t>
      </w:r>
      <w:r>
        <w:rPr>
          <w:rStyle w:val="FootnoteReference"/>
          <w:rFonts w:ascii="Gautami" w:eastAsia="Times New Roman" w:hAnsi="Gautami"/>
          <w:sz w:val="20"/>
        </w:rPr>
        <w:footnoteReference w:id="7"/>
      </w:r>
      <w:r w:rsidRPr="0087495E">
        <w:rPr>
          <w:rFonts w:ascii="Gautami" w:eastAsia="Times New Roman" w:hAnsi="Gautami"/>
          <w:sz w:val="20"/>
        </w:rPr>
        <w:t xml:space="preserve"> This includes information given to AEMO in confidence or in connection with the performance of its statutory functions and classified under the Rules, the Procedures or the Regulations as confidential information.</w:t>
      </w:r>
    </w:p>
    <w:p w:rsidR="0087495E" w:rsidRPr="0087495E" w:rsidRDefault="0087495E" w:rsidP="0087495E">
      <w:pPr>
        <w:spacing w:after="240" w:line="288" w:lineRule="auto"/>
        <w:jc w:val="both"/>
        <w:rPr>
          <w:rFonts w:ascii="Gautami" w:eastAsia="Times New Roman" w:hAnsi="Gautami"/>
          <w:sz w:val="20"/>
        </w:rPr>
      </w:pPr>
      <w:r w:rsidRPr="0087495E">
        <w:rPr>
          <w:rFonts w:ascii="Gautami" w:eastAsia="Times New Roman" w:hAnsi="Gautami"/>
          <w:sz w:val="20"/>
        </w:rPr>
        <w:t>In June, AEMO advised the AER that it had inadvertently disclosed protected information to the wrong registered participant in April 2014. The information included Delivery Point Identifier (DPI) numbers, with the associated retailer and distributor identified against each DPI. The list did not include customer details. The recipient of this information has confirmed to AEMO the data was not used and subsequently destroyed.</w:t>
      </w:r>
    </w:p>
    <w:p w:rsidR="0087495E" w:rsidRPr="0087495E" w:rsidRDefault="0087495E" w:rsidP="0087495E">
      <w:pPr>
        <w:spacing w:after="240" w:line="288" w:lineRule="auto"/>
        <w:jc w:val="both"/>
        <w:rPr>
          <w:rFonts w:ascii="Gautami" w:eastAsia="Times New Roman" w:hAnsi="Gautami"/>
          <w:sz w:val="20"/>
        </w:rPr>
      </w:pPr>
      <w:r w:rsidRPr="0087495E">
        <w:rPr>
          <w:rFonts w:ascii="Gautami" w:eastAsia="Times New Roman" w:hAnsi="Gautami"/>
          <w:sz w:val="20"/>
        </w:rPr>
        <w:t>Since the wrongful disclosure of protected information by AEMO in April 2014, AEMO has implemented remedial actions to prevent a reoccurrence of this type of breach. This includes implementing a new process to validate data requests from registered participants.</w:t>
      </w:r>
    </w:p>
    <w:p w:rsidR="0087495E" w:rsidRPr="0087495E" w:rsidRDefault="0087495E" w:rsidP="0087495E">
      <w:pPr>
        <w:spacing w:after="240" w:line="288" w:lineRule="auto"/>
        <w:jc w:val="both"/>
        <w:rPr>
          <w:rFonts w:ascii="Gautami" w:eastAsia="Times New Roman" w:hAnsi="Gautami"/>
          <w:sz w:val="20"/>
        </w:rPr>
      </w:pPr>
      <w:r w:rsidRPr="0087495E">
        <w:rPr>
          <w:rFonts w:ascii="Gautami" w:eastAsia="Times New Roman" w:hAnsi="Gautami"/>
          <w:sz w:val="20"/>
        </w:rPr>
        <w:t>We note this is the second time AEMO has disclosed protected information to unauthorised recipients this year. In February, AEMO provided a list of delivery point information from a NSW/ACT network operator to the wrong recipient.</w:t>
      </w:r>
      <w:r>
        <w:rPr>
          <w:rStyle w:val="FootnoteReference"/>
          <w:rFonts w:ascii="Gautami" w:eastAsia="Times New Roman" w:hAnsi="Gautami"/>
          <w:sz w:val="20"/>
        </w:rPr>
        <w:footnoteReference w:id="8"/>
      </w:r>
      <w:r w:rsidRPr="0087495E">
        <w:rPr>
          <w:rFonts w:ascii="Gautami" w:eastAsia="Times New Roman" w:hAnsi="Gautami"/>
          <w:sz w:val="20"/>
        </w:rPr>
        <w:t xml:space="preserve"> In response to this error, AEMO implemented a number of remedial </w:t>
      </w:r>
      <w:r w:rsidRPr="0087495E">
        <w:rPr>
          <w:rFonts w:ascii="Gautami" w:eastAsia="Times New Roman" w:hAnsi="Gautami"/>
          <w:sz w:val="20"/>
        </w:rPr>
        <w:lastRenderedPageBreak/>
        <w:t xml:space="preserve">actions including initiating a process to automate the delivery of confidential data to market participants and the introduction of file encryption and password protection </w:t>
      </w:r>
      <w:r>
        <w:rPr>
          <w:rFonts w:ascii="Gautami" w:eastAsia="Times New Roman" w:hAnsi="Gautami"/>
          <w:sz w:val="20"/>
        </w:rPr>
        <w:t>m</w:t>
      </w:r>
      <w:r w:rsidRPr="0087495E">
        <w:rPr>
          <w:rFonts w:ascii="Gautami" w:eastAsia="Times New Roman" w:hAnsi="Gautami"/>
          <w:sz w:val="20"/>
        </w:rPr>
        <w:t>easures.</w:t>
      </w:r>
      <w:r>
        <w:rPr>
          <w:rStyle w:val="FootnoteReference"/>
          <w:rFonts w:ascii="Gautami" w:eastAsia="Times New Roman" w:hAnsi="Gautami"/>
          <w:sz w:val="20"/>
        </w:rPr>
        <w:footnoteReference w:id="9"/>
      </w:r>
    </w:p>
    <w:p w:rsidR="0087495E" w:rsidRPr="0087495E" w:rsidRDefault="0087495E" w:rsidP="0087495E">
      <w:pPr>
        <w:spacing w:after="240" w:line="288" w:lineRule="auto"/>
        <w:jc w:val="both"/>
        <w:rPr>
          <w:rFonts w:ascii="Gautami" w:eastAsia="Times New Roman" w:hAnsi="Gautami"/>
          <w:sz w:val="20"/>
        </w:rPr>
      </w:pPr>
      <w:r w:rsidRPr="0087495E">
        <w:rPr>
          <w:rFonts w:ascii="Gautami" w:eastAsia="Times New Roman" w:hAnsi="Gautami"/>
          <w:sz w:val="20"/>
        </w:rPr>
        <w:t xml:space="preserve">AEMO has committed to providing a detailed report to the AER outlining the specific causes and mitigating steps it has taken to address these breaches individually and more generally across its market systems. </w:t>
      </w:r>
    </w:p>
    <w:p w:rsidR="00F721CC" w:rsidRDefault="00E56FB7" w:rsidP="00A27547">
      <w:pPr>
        <w:pStyle w:val="AERheading2"/>
        <w:tabs>
          <w:tab w:val="clear" w:pos="5035"/>
          <w:tab w:val="num" w:pos="357"/>
          <w:tab w:val="num" w:pos="851"/>
        </w:tabs>
        <w:ind w:left="357"/>
        <w:jc w:val="both"/>
      </w:pPr>
      <w:bookmarkStart w:id="47" w:name="_Toc394479582"/>
      <w:r>
        <w:t>C</w:t>
      </w:r>
      <w:r w:rsidR="00F721CC">
        <w:t>apacity data</w:t>
      </w:r>
      <w:bookmarkEnd w:id="47"/>
    </w:p>
    <w:p w:rsidR="000D65A7" w:rsidRDefault="00B64C2A" w:rsidP="00BA1BC7">
      <w:pPr>
        <w:pStyle w:val="AERbodytext"/>
      </w:pPr>
      <w:r>
        <w:t>STTM</w:t>
      </w:r>
      <w:r w:rsidR="001409E1">
        <w:t xml:space="preserve"> facility operators</w:t>
      </w:r>
      <w:r w:rsidR="00D811B0">
        <w:t xml:space="preserve"> </w:t>
      </w:r>
      <w:r w:rsidR="001409E1">
        <w:t xml:space="preserve">must provide daily information to the market regarding the quantity of natural gas it expects </w:t>
      </w:r>
      <w:r w:rsidR="008F1B3D">
        <w:t xml:space="preserve">it will be able </w:t>
      </w:r>
      <w:r w:rsidR="001409E1">
        <w:t>to deliver.</w:t>
      </w:r>
      <w:r w:rsidR="001409E1">
        <w:rPr>
          <w:rStyle w:val="FootnoteReference"/>
        </w:rPr>
        <w:footnoteReference w:id="10"/>
      </w:r>
      <w:r w:rsidR="001409E1">
        <w:t xml:space="preserve"> This includes the facility’s expected capacity on days when </w:t>
      </w:r>
      <w:r w:rsidR="009C1726">
        <w:t xml:space="preserve">deferrable </w:t>
      </w:r>
      <w:r w:rsidR="001409E1">
        <w:t xml:space="preserve">maintenance may be scheduled </w:t>
      </w:r>
      <w:r w:rsidR="009C1726">
        <w:t>for</w:t>
      </w:r>
      <w:r w:rsidR="001409E1">
        <w:t xml:space="preserve"> the facility. </w:t>
      </w:r>
      <w:r w:rsidR="009724BA">
        <w:t xml:space="preserve"> </w:t>
      </w:r>
    </w:p>
    <w:p w:rsidR="00692596" w:rsidRPr="009724BA" w:rsidRDefault="001409E1" w:rsidP="00895871">
      <w:pPr>
        <w:widowControl w:val="0"/>
        <w:autoSpaceDE w:val="0"/>
        <w:autoSpaceDN w:val="0"/>
        <w:adjustRightInd w:val="0"/>
        <w:spacing w:after="240" w:line="288" w:lineRule="auto"/>
        <w:jc w:val="both"/>
        <w:rPr>
          <w:rFonts w:ascii="Gautami" w:eastAsia="Times New Roman" w:hAnsi="Gautami"/>
          <w:sz w:val="20"/>
        </w:rPr>
      </w:pPr>
      <w:r w:rsidRPr="00D811B0">
        <w:rPr>
          <w:rFonts w:ascii="Gautami" w:eastAsia="Times New Roman" w:hAnsi="Gautami"/>
          <w:sz w:val="20"/>
        </w:rPr>
        <w:t xml:space="preserve">In </w:t>
      </w:r>
      <w:r w:rsidR="009C1726">
        <w:rPr>
          <w:rFonts w:ascii="Gautami" w:eastAsia="Times New Roman" w:hAnsi="Gautami"/>
          <w:sz w:val="20"/>
        </w:rPr>
        <w:t>Decembe</w:t>
      </w:r>
      <w:r w:rsidRPr="00D811B0">
        <w:rPr>
          <w:rFonts w:ascii="Gautami" w:eastAsia="Times New Roman" w:hAnsi="Gautami"/>
          <w:sz w:val="20"/>
        </w:rPr>
        <w:t xml:space="preserve">r 2013, we </w:t>
      </w:r>
      <w:r w:rsidR="002E471A">
        <w:rPr>
          <w:rFonts w:ascii="Gautami" w:eastAsia="Times New Roman" w:hAnsi="Gautami"/>
          <w:sz w:val="20"/>
        </w:rPr>
        <w:t>wrote to</w:t>
      </w:r>
      <w:r w:rsidR="002E471A" w:rsidRPr="00D811B0">
        <w:rPr>
          <w:rFonts w:ascii="Gautami" w:eastAsia="Times New Roman" w:hAnsi="Gautami"/>
          <w:sz w:val="20"/>
        </w:rPr>
        <w:t xml:space="preserve"> </w:t>
      </w:r>
      <w:r w:rsidRPr="00D811B0">
        <w:rPr>
          <w:rFonts w:ascii="Gautami" w:eastAsia="Times New Roman" w:hAnsi="Gautami"/>
          <w:sz w:val="20"/>
        </w:rPr>
        <w:t xml:space="preserve">AGL over </w:t>
      </w:r>
      <w:r w:rsidR="00D811B0" w:rsidRPr="00D811B0">
        <w:rPr>
          <w:rFonts w:ascii="Gautami" w:eastAsia="Times New Roman" w:hAnsi="Gautami"/>
          <w:sz w:val="20"/>
        </w:rPr>
        <w:t xml:space="preserve">capacity </w:t>
      </w:r>
      <w:r w:rsidR="002E471A">
        <w:rPr>
          <w:rFonts w:ascii="Gautami" w:eastAsia="Times New Roman" w:hAnsi="Gautami"/>
          <w:sz w:val="20"/>
        </w:rPr>
        <w:t xml:space="preserve">data </w:t>
      </w:r>
      <w:r w:rsidRPr="00D811B0">
        <w:rPr>
          <w:rFonts w:ascii="Gautami" w:eastAsia="Times New Roman" w:hAnsi="Gautami"/>
          <w:sz w:val="20"/>
        </w:rPr>
        <w:t>submission</w:t>
      </w:r>
      <w:r w:rsidR="009C1726">
        <w:rPr>
          <w:rFonts w:ascii="Gautami" w:eastAsia="Times New Roman" w:hAnsi="Gautami"/>
          <w:sz w:val="20"/>
        </w:rPr>
        <w:t>s</w:t>
      </w:r>
      <w:r w:rsidRPr="00D811B0">
        <w:rPr>
          <w:rFonts w:ascii="Gautami" w:eastAsia="Times New Roman" w:hAnsi="Gautami"/>
          <w:sz w:val="20"/>
        </w:rPr>
        <w:t xml:space="preserve"> to the Sydney hub f</w:t>
      </w:r>
      <w:r w:rsidR="009C1726">
        <w:rPr>
          <w:rFonts w:ascii="Gautami" w:eastAsia="Times New Roman" w:hAnsi="Gautami"/>
          <w:sz w:val="20"/>
        </w:rPr>
        <w:t>rom</w:t>
      </w:r>
      <w:r w:rsidRPr="00D811B0">
        <w:rPr>
          <w:rFonts w:ascii="Gautami" w:eastAsia="Times New Roman" w:hAnsi="Gautami"/>
          <w:sz w:val="20"/>
        </w:rPr>
        <w:t xml:space="preserve"> its upstream Camden facility</w:t>
      </w:r>
      <w:r w:rsidR="002E471A" w:rsidRPr="002E471A">
        <w:rPr>
          <w:rFonts w:ascii="Gautami" w:eastAsia="Times New Roman" w:hAnsi="Gautami"/>
          <w:sz w:val="20"/>
        </w:rPr>
        <w:t xml:space="preserve"> </w:t>
      </w:r>
      <w:r w:rsidR="002E471A">
        <w:rPr>
          <w:rFonts w:ascii="Gautami" w:eastAsia="Times New Roman" w:hAnsi="Gautami"/>
          <w:sz w:val="20"/>
        </w:rPr>
        <w:t>in early November 2013</w:t>
      </w:r>
      <w:r w:rsidRPr="00D811B0">
        <w:rPr>
          <w:rFonts w:ascii="Gautami" w:eastAsia="Times New Roman" w:hAnsi="Gautami"/>
          <w:sz w:val="20"/>
        </w:rPr>
        <w:t xml:space="preserve">. In this instance, AGL </w:t>
      </w:r>
      <w:r w:rsidR="00D811B0" w:rsidRPr="00D811B0">
        <w:rPr>
          <w:rFonts w:ascii="Gautami" w:eastAsia="Times New Roman" w:hAnsi="Gautami"/>
          <w:sz w:val="20"/>
        </w:rPr>
        <w:t>submitted</w:t>
      </w:r>
      <w:r w:rsidRPr="00D811B0">
        <w:rPr>
          <w:rFonts w:ascii="Gautami" w:eastAsia="Times New Roman" w:hAnsi="Gautami"/>
          <w:sz w:val="20"/>
        </w:rPr>
        <w:t xml:space="preserve"> </w:t>
      </w:r>
      <w:r w:rsidR="002E471A">
        <w:rPr>
          <w:rFonts w:ascii="Gautami" w:eastAsia="Times New Roman" w:hAnsi="Gautami"/>
          <w:sz w:val="20"/>
        </w:rPr>
        <w:t xml:space="preserve">information </w:t>
      </w:r>
      <w:r w:rsidR="00D811B0" w:rsidRPr="00D811B0">
        <w:rPr>
          <w:rFonts w:ascii="Gautami" w:eastAsia="Times New Roman" w:hAnsi="Gautami"/>
          <w:sz w:val="20"/>
        </w:rPr>
        <w:t xml:space="preserve">to the market that the </w:t>
      </w:r>
      <w:r w:rsidRPr="00D811B0">
        <w:rPr>
          <w:rFonts w:ascii="Gautami" w:eastAsia="Times New Roman" w:hAnsi="Gautami"/>
          <w:sz w:val="20"/>
        </w:rPr>
        <w:t>Camden</w:t>
      </w:r>
      <w:r w:rsidR="00D811B0" w:rsidRPr="00D811B0">
        <w:rPr>
          <w:rFonts w:ascii="Gautami" w:eastAsia="Times New Roman" w:hAnsi="Gautami"/>
          <w:sz w:val="20"/>
        </w:rPr>
        <w:t xml:space="preserve"> facility</w:t>
      </w:r>
      <w:r w:rsidRPr="00D811B0">
        <w:rPr>
          <w:rFonts w:ascii="Gautami" w:eastAsia="Times New Roman" w:hAnsi="Gautami"/>
          <w:sz w:val="20"/>
        </w:rPr>
        <w:t xml:space="preserve"> had an available capacity of 16TJ</w:t>
      </w:r>
      <w:r w:rsidR="00D811B0" w:rsidRPr="00D811B0">
        <w:rPr>
          <w:rFonts w:ascii="Gautami" w:eastAsia="Times New Roman" w:hAnsi="Gautami"/>
          <w:sz w:val="20"/>
        </w:rPr>
        <w:t>. However, for the same gas day, AGL only provided a 0TJ offer</w:t>
      </w:r>
      <w:r w:rsidR="009724BA">
        <w:rPr>
          <w:rFonts w:ascii="Gautami" w:eastAsia="Times New Roman" w:hAnsi="Gautami"/>
          <w:sz w:val="20"/>
        </w:rPr>
        <w:t xml:space="preserve"> from the </w:t>
      </w:r>
      <w:r w:rsidR="000D65A7">
        <w:rPr>
          <w:rFonts w:ascii="Gautami" w:eastAsia="Times New Roman" w:hAnsi="Gautami"/>
          <w:sz w:val="20"/>
        </w:rPr>
        <w:t>Camden facility</w:t>
      </w:r>
      <w:r w:rsidR="00D811B0" w:rsidRPr="00D811B0">
        <w:rPr>
          <w:rFonts w:ascii="Gautami" w:eastAsia="Times New Roman" w:hAnsi="Gautami"/>
          <w:sz w:val="20"/>
        </w:rPr>
        <w:t xml:space="preserve">. When queried about this difference, AGL </w:t>
      </w:r>
      <w:r w:rsidR="002E471A">
        <w:rPr>
          <w:rFonts w:ascii="Gautami" w:eastAsia="Times New Roman" w:hAnsi="Gautami"/>
          <w:sz w:val="20"/>
        </w:rPr>
        <w:t>explained that</w:t>
      </w:r>
      <w:r w:rsidR="002E471A" w:rsidRPr="00D811B0">
        <w:rPr>
          <w:rFonts w:ascii="Gautami" w:eastAsia="Times New Roman" w:hAnsi="Gautami"/>
          <w:sz w:val="20"/>
        </w:rPr>
        <w:t xml:space="preserve"> </w:t>
      </w:r>
      <w:r w:rsidR="00D811B0" w:rsidRPr="00D811B0">
        <w:rPr>
          <w:rFonts w:ascii="Gautami" w:eastAsia="Times New Roman" w:hAnsi="Gautami"/>
          <w:sz w:val="20"/>
        </w:rPr>
        <w:t>the 0TJ of offers reflected planned maintenance,</w:t>
      </w:r>
      <w:r w:rsidR="009C1726">
        <w:rPr>
          <w:rFonts w:ascii="Gautami" w:eastAsia="Times New Roman" w:hAnsi="Gautami"/>
          <w:sz w:val="20"/>
        </w:rPr>
        <w:t xml:space="preserve"> however since this maintenance </w:t>
      </w:r>
      <w:r w:rsidR="00D811B0" w:rsidRPr="00D811B0">
        <w:rPr>
          <w:rFonts w:ascii="Gautami" w:eastAsia="Times New Roman" w:hAnsi="Gautami"/>
          <w:sz w:val="20"/>
        </w:rPr>
        <w:t>could be deferred on the day if required, the capacity submitted was 16 TJ.</w:t>
      </w:r>
      <w:r w:rsidR="000D65A7">
        <w:rPr>
          <w:rFonts w:ascii="Gautami" w:eastAsia="Times New Roman" w:hAnsi="Gautami"/>
          <w:sz w:val="20"/>
        </w:rPr>
        <w:t xml:space="preserve"> </w:t>
      </w:r>
      <w:r w:rsidR="009724BA" w:rsidRPr="009724BA">
        <w:rPr>
          <w:rFonts w:ascii="Gautami" w:eastAsia="Times New Roman" w:hAnsi="Gautami"/>
          <w:sz w:val="20"/>
        </w:rPr>
        <w:t>In AGL’s view:</w:t>
      </w:r>
    </w:p>
    <w:p w:rsidR="00692596" w:rsidRPr="009724BA" w:rsidRDefault="00692596" w:rsidP="00895871">
      <w:pPr>
        <w:widowControl w:val="0"/>
        <w:autoSpaceDE w:val="0"/>
        <w:autoSpaceDN w:val="0"/>
        <w:adjustRightInd w:val="0"/>
        <w:spacing w:after="240" w:line="288" w:lineRule="auto"/>
        <w:ind w:left="567"/>
        <w:jc w:val="both"/>
        <w:rPr>
          <w:rFonts w:ascii="Gautami" w:eastAsia="Times New Roman" w:hAnsi="Gautami"/>
          <w:sz w:val="20"/>
        </w:rPr>
      </w:pPr>
      <w:r w:rsidRPr="009724BA">
        <w:rPr>
          <w:rFonts w:ascii="Gautami" w:eastAsia="Times New Roman" w:hAnsi="Gautami"/>
          <w:sz w:val="20"/>
        </w:rPr>
        <w:t xml:space="preserve">“The capacity to deliver on future gas days, particularly where only one or two non-critical pieces of equipment </w:t>
      </w:r>
      <w:r w:rsidR="002E471A">
        <w:rPr>
          <w:rFonts w:ascii="Gautami" w:eastAsia="Times New Roman" w:hAnsi="Gautami"/>
          <w:sz w:val="20"/>
        </w:rPr>
        <w:t>was undergoing planned maintenance was still</w:t>
      </w:r>
      <w:r w:rsidRPr="009724BA">
        <w:rPr>
          <w:rFonts w:ascii="Gautami" w:eastAsia="Times New Roman" w:hAnsi="Gautami"/>
          <w:sz w:val="20"/>
        </w:rPr>
        <w:t>, in AGL’s view, the rated capacity of the plant</w:t>
      </w:r>
      <w:r w:rsidR="00485DF7" w:rsidRPr="009724BA">
        <w:rPr>
          <w:rFonts w:ascii="Gautami" w:eastAsia="Times New Roman" w:hAnsi="Gautami"/>
          <w:sz w:val="20"/>
        </w:rPr>
        <w:t>.</w:t>
      </w:r>
      <w:r w:rsidRPr="009724BA">
        <w:rPr>
          <w:rFonts w:ascii="Gautami" w:eastAsia="Times New Roman" w:hAnsi="Gautami"/>
          <w:sz w:val="20"/>
        </w:rPr>
        <w:t>”</w:t>
      </w:r>
    </w:p>
    <w:p w:rsidR="00692596" w:rsidRPr="009724BA" w:rsidRDefault="00215C7D" w:rsidP="00895871">
      <w:pPr>
        <w:widowControl w:val="0"/>
        <w:autoSpaceDE w:val="0"/>
        <w:autoSpaceDN w:val="0"/>
        <w:adjustRightInd w:val="0"/>
        <w:spacing w:after="240" w:line="288" w:lineRule="auto"/>
        <w:jc w:val="both"/>
        <w:rPr>
          <w:rFonts w:ascii="Gautami" w:eastAsia="Times New Roman" w:hAnsi="Gautami"/>
          <w:sz w:val="20"/>
        </w:rPr>
      </w:pPr>
      <w:r>
        <w:rPr>
          <w:rFonts w:ascii="Gautami" w:eastAsia="Times New Roman" w:hAnsi="Gautami"/>
          <w:sz w:val="20"/>
        </w:rPr>
        <w:t xml:space="preserve">In response, </w:t>
      </w:r>
      <w:r w:rsidR="00DC0D4E">
        <w:rPr>
          <w:rFonts w:ascii="Gautami" w:eastAsia="Times New Roman" w:hAnsi="Gautami"/>
          <w:sz w:val="20"/>
        </w:rPr>
        <w:t xml:space="preserve">we </w:t>
      </w:r>
      <w:r>
        <w:rPr>
          <w:rFonts w:ascii="Gautami" w:eastAsia="Times New Roman" w:hAnsi="Gautami"/>
          <w:sz w:val="20"/>
        </w:rPr>
        <w:t xml:space="preserve">suggested this could be an area where </w:t>
      </w:r>
      <w:r w:rsidR="002E471A">
        <w:rPr>
          <w:rFonts w:ascii="Gautami" w:eastAsia="Times New Roman" w:hAnsi="Gautami"/>
          <w:sz w:val="20"/>
        </w:rPr>
        <w:t xml:space="preserve">it would be useful to provide </w:t>
      </w:r>
      <w:r>
        <w:rPr>
          <w:rFonts w:ascii="Gautami" w:eastAsia="Times New Roman" w:hAnsi="Gautami"/>
          <w:sz w:val="20"/>
        </w:rPr>
        <w:t xml:space="preserve">guidance on </w:t>
      </w:r>
      <w:r w:rsidR="002E471A">
        <w:rPr>
          <w:rFonts w:ascii="Gautami" w:eastAsia="Times New Roman" w:hAnsi="Gautami"/>
          <w:sz w:val="20"/>
        </w:rPr>
        <w:t xml:space="preserve">how </w:t>
      </w:r>
      <w:r w:rsidR="00DC0D4E">
        <w:rPr>
          <w:rFonts w:ascii="Gautami" w:eastAsia="Times New Roman" w:hAnsi="Gautami"/>
          <w:sz w:val="20"/>
        </w:rPr>
        <w:t xml:space="preserve">we intended to enforce </w:t>
      </w:r>
      <w:r>
        <w:rPr>
          <w:rFonts w:ascii="Gautami" w:eastAsia="Times New Roman" w:hAnsi="Gautami"/>
          <w:sz w:val="20"/>
        </w:rPr>
        <w:t>compliance</w:t>
      </w:r>
      <w:r w:rsidR="00DC0D4E">
        <w:rPr>
          <w:rFonts w:ascii="Gautami" w:eastAsia="Times New Roman" w:hAnsi="Gautami"/>
          <w:sz w:val="20"/>
        </w:rPr>
        <w:t xml:space="preserve"> with this requirement</w:t>
      </w:r>
      <w:r>
        <w:rPr>
          <w:rFonts w:ascii="Gautami" w:eastAsia="Times New Roman" w:hAnsi="Gautami"/>
          <w:sz w:val="20"/>
        </w:rPr>
        <w:t xml:space="preserve">. </w:t>
      </w:r>
    </w:p>
    <w:p w:rsidR="00692596" w:rsidRPr="009724BA" w:rsidRDefault="00DC0D4E" w:rsidP="00895871">
      <w:pPr>
        <w:widowControl w:val="0"/>
        <w:autoSpaceDE w:val="0"/>
        <w:autoSpaceDN w:val="0"/>
        <w:adjustRightInd w:val="0"/>
        <w:spacing w:after="240" w:line="288" w:lineRule="auto"/>
        <w:jc w:val="both"/>
        <w:rPr>
          <w:rFonts w:ascii="Gautami" w:eastAsia="Times New Roman" w:hAnsi="Gautami"/>
          <w:sz w:val="20"/>
        </w:rPr>
      </w:pPr>
      <w:r>
        <w:rPr>
          <w:rFonts w:ascii="Gautami" w:eastAsia="Times New Roman" w:hAnsi="Gautami"/>
          <w:sz w:val="20"/>
        </w:rPr>
        <w:t>O</w:t>
      </w:r>
      <w:r w:rsidR="00E303FE">
        <w:rPr>
          <w:rFonts w:ascii="Gautami" w:eastAsia="Times New Roman" w:hAnsi="Gautami"/>
          <w:sz w:val="20"/>
        </w:rPr>
        <w:t xml:space="preserve">n 10 June 2014, </w:t>
      </w:r>
      <w:r>
        <w:rPr>
          <w:rFonts w:ascii="Gautami" w:eastAsia="Times New Roman" w:hAnsi="Gautami"/>
          <w:sz w:val="20"/>
        </w:rPr>
        <w:t>we</w:t>
      </w:r>
      <w:r w:rsidR="00692596" w:rsidRPr="009724BA">
        <w:rPr>
          <w:rFonts w:ascii="Gautami" w:eastAsia="Times New Roman" w:hAnsi="Gautami"/>
          <w:sz w:val="20"/>
        </w:rPr>
        <w:t xml:space="preserve"> presented a paper to the Gas Wholesale Consultative Forum (GWCF)</w:t>
      </w:r>
      <w:r w:rsidR="00F52A95">
        <w:rPr>
          <w:rFonts w:ascii="Gautami" w:eastAsia="Times New Roman" w:hAnsi="Gautami"/>
          <w:sz w:val="20"/>
        </w:rPr>
        <w:t xml:space="preserve">. The paper </w:t>
      </w:r>
      <w:r w:rsidR="00692596" w:rsidRPr="009724BA">
        <w:rPr>
          <w:rFonts w:ascii="Gautami" w:eastAsia="Times New Roman" w:hAnsi="Gautami"/>
          <w:sz w:val="20"/>
        </w:rPr>
        <w:t>set out staff’s interpretation of how to apply rule 414(1) to capacity data submissions when maintenance is deferrable</w:t>
      </w:r>
      <w:r w:rsidR="00F52A95">
        <w:rPr>
          <w:rFonts w:ascii="Gautami" w:eastAsia="Times New Roman" w:hAnsi="Gautami"/>
          <w:sz w:val="20"/>
        </w:rPr>
        <w:t>. In particular, the paper suggested:</w:t>
      </w:r>
    </w:p>
    <w:p w:rsidR="00692596" w:rsidRPr="009724BA" w:rsidRDefault="00692596" w:rsidP="00895871">
      <w:pPr>
        <w:widowControl w:val="0"/>
        <w:autoSpaceDE w:val="0"/>
        <w:autoSpaceDN w:val="0"/>
        <w:adjustRightInd w:val="0"/>
        <w:spacing w:after="240" w:line="288" w:lineRule="auto"/>
        <w:ind w:left="567"/>
        <w:jc w:val="both"/>
        <w:rPr>
          <w:rFonts w:ascii="Gautami" w:eastAsia="Times New Roman" w:hAnsi="Gautami"/>
          <w:sz w:val="20"/>
        </w:rPr>
      </w:pPr>
      <w:r w:rsidRPr="009724BA">
        <w:rPr>
          <w:rFonts w:ascii="Gautami" w:eastAsia="Times New Roman" w:hAnsi="Gautami"/>
          <w:sz w:val="20"/>
        </w:rPr>
        <w:t xml:space="preserve">“For deferrable maintenance situations, we consider this means that if at the time of submitting the capacity information to AEMO the STTM facility operator considers maintenance is more likely to go ahead than not, the capacity quantity should take into account the expected impact of the maintenance.” </w:t>
      </w:r>
    </w:p>
    <w:p w:rsidR="00692596" w:rsidRPr="009724BA" w:rsidRDefault="00215C7D" w:rsidP="00895871">
      <w:pPr>
        <w:widowControl w:val="0"/>
        <w:autoSpaceDE w:val="0"/>
        <w:autoSpaceDN w:val="0"/>
        <w:adjustRightInd w:val="0"/>
        <w:spacing w:after="240" w:line="288" w:lineRule="auto"/>
        <w:jc w:val="both"/>
        <w:rPr>
          <w:rFonts w:ascii="Gautami" w:eastAsia="Times New Roman" w:hAnsi="Gautami"/>
          <w:sz w:val="20"/>
        </w:rPr>
      </w:pPr>
      <w:r>
        <w:rPr>
          <w:rFonts w:ascii="Gautami" w:eastAsia="Times New Roman" w:hAnsi="Gautami"/>
          <w:sz w:val="20"/>
        </w:rPr>
        <w:t>Following</w:t>
      </w:r>
      <w:r w:rsidRPr="009724BA">
        <w:rPr>
          <w:rFonts w:ascii="Gautami" w:eastAsia="Times New Roman" w:hAnsi="Gautami"/>
          <w:sz w:val="20"/>
        </w:rPr>
        <w:t xml:space="preserve"> </w:t>
      </w:r>
      <w:r w:rsidR="00692596" w:rsidRPr="009724BA">
        <w:rPr>
          <w:rFonts w:ascii="Gautami" w:eastAsia="Times New Roman" w:hAnsi="Gautami"/>
          <w:sz w:val="20"/>
        </w:rPr>
        <w:t xml:space="preserve">the GWCF we wrote to APA, </w:t>
      </w:r>
      <w:proofErr w:type="spellStart"/>
      <w:r w:rsidR="00692596" w:rsidRPr="009724BA">
        <w:rPr>
          <w:rFonts w:ascii="Gautami" w:eastAsia="Times New Roman" w:hAnsi="Gautami"/>
          <w:sz w:val="20"/>
        </w:rPr>
        <w:t>Jemena</w:t>
      </w:r>
      <w:proofErr w:type="spellEnd"/>
      <w:r w:rsidR="00692596" w:rsidRPr="009724BA">
        <w:rPr>
          <w:rFonts w:ascii="Gautami" w:eastAsia="Times New Roman" w:hAnsi="Gautami"/>
          <w:sz w:val="20"/>
        </w:rPr>
        <w:t xml:space="preserve">, Epic Energy and </w:t>
      </w:r>
      <w:proofErr w:type="spellStart"/>
      <w:r w:rsidR="00692596" w:rsidRPr="009724BA">
        <w:rPr>
          <w:rFonts w:ascii="Gautami" w:eastAsia="Times New Roman" w:hAnsi="Gautami"/>
          <w:sz w:val="20"/>
        </w:rPr>
        <w:t>SEAGas</w:t>
      </w:r>
      <w:proofErr w:type="spellEnd"/>
      <w:r w:rsidR="00692596" w:rsidRPr="009724BA">
        <w:rPr>
          <w:rFonts w:ascii="Gautami" w:eastAsia="Times New Roman" w:hAnsi="Gautami"/>
          <w:sz w:val="20"/>
        </w:rPr>
        <w:t xml:space="preserve"> to ascertain how operators</w:t>
      </w:r>
      <w:r>
        <w:rPr>
          <w:rFonts w:ascii="Gautami" w:eastAsia="Times New Roman" w:hAnsi="Gautami"/>
          <w:sz w:val="20"/>
        </w:rPr>
        <w:t xml:space="preserve"> other than AGL</w:t>
      </w:r>
      <w:r w:rsidR="00692596" w:rsidRPr="009724BA">
        <w:rPr>
          <w:rFonts w:ascii="Gautami" w:eastAsia="Times New Roman" w:hAnsi="Gautami"/>
          <w:sz w:val="20"/>
        </w:rPr>
        <w:t xml:space="preserve"> account for capacity during maintenance situations</w:t>
      </w:r>
      <w:r w:rsidR="00F52A95">
        <w:rPr>
          <w:rFonts w:ascii="Gautami" w:eastAsia="Times New Roman" w:hAnsi="Gautami"/>
          <w:sz w:val="20"/>
        </w:rPr>
        <w:t>. Respondents provided the following comments</w:t>
      </w:r>
      <w:r w:rsidR="00692596" w:rsidRPr="009724BA">
        <w:rPr>
          <w:rFonts w:ascii="Gautami" w:eastAsia="Times New Roman" w:hAnsi="Gautami"/>
          <w:sz w:val="20"/>
        </w:rPr>
        <w:t>:</w:t>
      </w:r>
    </w:p>
    <w:p w:rsidR="00692596" w:rsidRPr="009724BA" w:rsidRDefault="00692596" w:rsidP="006570B2">
      <w:pPr>
        <w:pStyle w:val="AERbulletlistsecondstyle"/>
      </w:pPr>
      <w:r w:rsidRPr="009724BA">
        <w:t>if there was a risk to the three day forecast</w:t>
      </w:r>
      <w:r w:rsidR="00215C7D">
        <w:t xml:space="preserve">, </w:t>
      </w:r>
      <w:r w:rsidRPr="009724BA">
        <w:t>deferrable maintenance activities would be deferred (</w:t>
      </w:r>
      <w:proofErr w:type="spellStart"/>
      <w:r w:rsidRPr="009724BA">
        <w:t>SEAGas</w:t>
      </w:r>
      <w:proofErr w:type="spellEnd"/>
      <w:r w:rsidRPr="009724BA">
        <w:t>)</w:t>
      </w:r>
    </w:p>
    <w:p w:rsidR="00692596" w:rsidRPr="009724BA" w:rsidRDefault="00692596" w:rsidP="006570B2">
      <w:pPr>
        <w:pStyle w:val="AERbulletlistsecondstyle"/>
      </w:pPr>
      <w:r w:rsidRPr="009724BA">
        <w:t>planned maintenance is scheduled so as never to impact on the capacity to deliver to the hub (Epic)</w:t>
      </w:r>
    </w:p>
    <w:p w:rsidR="00692596" w:rsidRPr="009724BA" w:rsidRDefault="00692596" w:rsidP="006570B2">
      <w:pPr>
        <w:pStyle w:val="AERbulletlistsecondstyle"/>
      </w:pPr>
      <w:r w:rsidRPr="009724BA">
        <w:t>the capacity published reflects the configuration of a pipeline during a period in which maintenance is being undertaken and not whether the maintenance is deferrable or not (APA)</w:t>
      </w:r>
    </w:p>
    <w:p w:rsidR="00692596" w:rsidRPr="009724BA" w:rsidRDefault="00692596" w:rsidP="006570B2">
      <w:pPr>
        <w:pStyle w:val="AERbulletlistsecondstyle"/>
      </w:pPr>
      <w:r w:rsidRPr="009724BA">
        <w:lastRenderedPageBreak/>
        <w:t xml:space="preserve">a capacity restriction would only be reflected in capacity data if maintenance was likely to go ahead i.e. a greater than 50 per cent chance (APA, </w:t>
      </w:r>
      <w:proofErr w:type="spellStart"/>
      <w:r w:rsidRPr="009724BA">
        <w:t>Jemena</w:t>
      </w:r>
      <w:proofErr w:type="spellEnd"/>
      <w:r w:rsidRPr="009724BA">
        <w:t>)</w:t>
      </w:r>
    </w:p>
    <w:p w:rsidR="00692596" w:rsidRPr="009724BA" w:rsidRDefault="00692596" w:rsidP="006570B2">
      <w:pPr>
        <w:pStyle w:val="AERbulletlistsecondstyle"/>
      </w:pPr>
      <w:proofErr w:type="gramStart"/>
      <w:r w:rsidRPr="009724BA">
        <w:t>if</w:t>
      </w:r>
      <w:proofErr w:type="gramEnd"/>
      <w:r w:rsidRPr="009724BA">
        <w:t xml:space="preserve"> work is being carried out at the delivery  point and the work is deferrable and the recall time is relatively quick (e.g. 1 hour), capacity would not be reduced (</w:t>
      </w:r>
      <w:proofErr w:type="spellStart"/>
      <w:r w:rsidRPr="009724BA">
        <w:t>Jemena</w:t>
      </w:r>
      <w:proofErr w:type="spellEnd"/>
      <w:r w:rsidRPr="009724BA">
        <w:t>)</w:t>
      </w:r>
      <w:r w:rsidR="006570B2">
        <w:t>.</w:t>
      </w:r>
    </w:p>
    <w:p w:rsidR="00692596" w:rsidRPr="00F52A95" w:rsidRDefault="008F1B3D" w:rsidP="00895871">
      <w:pPr>
        <w:spacing w:after="240" w:line="288" w:lineRule="auto"/>
        <w:jc w:val="both"/>
        <w:rPr>
          <w:rFonts w:ascii="Gautami" w:eastAsia="Times New Roman" w:hAnsi="Gautami"/>
          <w:b/>
          <w:sz w:val="20"/>
        </w:rPr>
      </w:pPr>
      <w:r>
        <w:rPr>
          <w:rFonts w:ascii="Gautami" w:eastAsia="Times New Roman" w:hAnsi="Gautami"/>
          <w:b/>
          <w:sz w:val="20"/>
        </w:rPr>
        <w:t>V</w:t>
      </w:r>
      <w:r w:rsidR="00692596" w:rsidRPr="00F52A95">
        <w:rPr>
          <w:rFonts w:ascii="Gautami" w:eastAsia="Times New Roman" w:hAnsi="Gautami"/>
          <w:b/>
          <w:sz w:val="20"/>
        </w:rPr>
        <w:t xml:space="preserve">iew on best practice </w:t>
      </w:r>
    </w:p>
    <w:p w:rsidR="00692596" w:rsidRPr="009724BA" w:rsidRDefault="00DC0D4E" w:rsidP="00895871">
      <w:pPr>
        <w:spacing w:after="240" w:line="288" w:lineRule="auto"/>
        <w:jc w:val="both"/>
        <w:rPr>
          <w:rFonts w:ascii="Gautami" w:eastAsia="Times New Roman" w:hAnsi="Gautami"/>
          <w:sz w:val="20"/>
        </w:rPr>
      </w:pPr>
      <w:r>
        <w:rPr>
          <w:rFonts w:ascii="Gautami" w:eastAsia="Times New Roman" w:hAnsi="Gautami"/>
          <w:sz w:val="20"/>
        </w:rPr>
        <w:t>In markets where decentralised decision making is premised on quality information, the submission of accurate and timely data, based on the best information available at the time is paramount. W</w:t>
      </w:r>
      <w:r w:rsidR="00F52A95">
        <w:rPr>
          <w:rFonts w:ascii="Gautami" w:eastAsia="Times New Roman" w:hAnsi="Gautami"/>
          <w:sz w:val="20"/>
        </w:rPr>
        <w:t xml:space="preserve">e consider </w:t>
      </w:r>
      <w:r w:rsidR="00037AE2">
        <w:rPr>
          <w:rFonts w:ascii="Gautami" w:eastAsia="Times New Roman" w:hAnsi="Gautami"/>
          <w:sz w:val="20"/>
        </w:rPr>
        <w:t>if</w:t>
      </w:r>
      <w:r w:rsidR="00692596" w:rsidRPr="009724BA">
        <w:rPr>
          <w:rFonts w:ascii="Gautami" w:eastAsia="Times New Roman" w:hAnsi="Gautami"/>
          <w:sz w:val="20"/>
        </w:rPr>
        <w:t xml:space="preserve"> maintenance is planned </w:t>
      </w:r>
      <w:r w:rsidR="00215C7D">
        <w:rPr>
          <w:rFonts w:ascii="Gautami" w:eastAsia="Times New Roman" w:hAnsi="Gautami"/>
          <w:sz w:val="20"/>
        </w:rPr>
        <w:t xml:space="preserve">but </w:t>
      </w:r>
      <w:r w:rsidR="00F52A95">
        <w:rPr>
          <w:rFonts w:ascii="Gautami" w:eastAsia="Times New Roman" w:hAnsi="Gautami"/>
          <w:sz w:val="20"/>
        </w:rPr>
        <w:t xml:space="preserve">deferrable, </w:t>
      </w:r>
      <w:r w:rsidR="00692596" w:rsidRPr="009724BA">
        <w:rPr>
          <w:rFonts w:ascii="Gautami" w:eastAsia="Times New Roman" w:hAnsi="Gautami"/>
          <w:sz w:val="20"/>
        </w:rPr>
        <w:t>it should be reflected in reduced capacity for the D-3 schedule</w:t>
      </w:r>
      <w:r w:rsidR="00215C7D">
        <w:rPr>
          <w:rFonts w:ascii="Gautami" w:eastAsia="Times New Roman" w:hAnsi="Gautami"/>
          <w:sz w:val="20"/>
        </w:rPr>
        <w:t xml:space="preserve"> if it is expected to go ahead i.e. greater than 50 per cent likelihood</w:t>
      </w:r>
      <w:r w:rsidR="00692596" w:rsidRPr="009724BA">
        <w:rPr>
          <w:rFonts w:ascii="Gautami" w:eastAsia="Times New Roman" w:hAnsi="Gautami"/>
          <w:sz w:val="20"/>
        </w:rPr>
        <w:t xml:space="preserve">. </w:t>
      </w:r>
      <w:r w:rsidR="00037AE2">
        <w:rPr>
          <w:rFonts w:ascii="Gautami" w:eastAsia="Times New Roman" w:hAnsi="Gautami"/>
          <w:sz w:val="20"/>
        </w:rPr>
        <w:t xml:space="preserve">Based on our </w:t>
      </w:r>
      <w:r>
        <w:rPr>
          <w:rFonts w:ascii="Gautami" w:eastAsia="Times New Roman" w:hAnsi="Gautami"/>
          <w:sz w:val="20"/>
        </w:rPr>
        <w:t>i</w:t>
      </w:r>
      <w:r w:rsidR="00037AE2">
        <w:rPr>
          <w:rFonts w:ascii="Gautami" w:eastAsia="Times New Roman" w:hAnsi="Gautami"/>
          <w:sz w:val="20"/>
        </w:rPr>
        <w:t>nquiries w</w:t>
      </w:r>
      <w:r w:rsidR="00692596" w:rsidRPr="009724BA">
        <w:rPr>
          <w:rFonts w:ascii="Gautami" w:eastAsia="Times New Roman" w:hAnsi="Gautami"/>
          <w:sz w:val="20"/>
        </w:rPr>
        <w:t>e understand most planned maintenance will be scheduled 3 days out. If subsequent D-</w:t>
      </w:r>
      <w:r w:rsidR="00215C7D">
        <w:rPr>
          <w:rFonts w:ascii="Gautami" w:eastAsia="Times New Roman" w:hAnsi="Gautami"/>
          <w:sz w:val="20"/>
        </w:rPr>
        <w:t>2</w:t>
      </w:r>
      <w:r w:rsidR="00692596" w:rsidRPr="009724BA">
        <w:rPr>
          <w:rFonts w:ascii="Gautami" w:eastAsia="Times New Roman" w:hAnsi="Gautami"/>
          <w:sz w:val="20"/>
        </w:rPr>
        <w:t xml:space="preserve"> or D-</w:t>
      </w:r>
      <w:r w:rsidR="00215C7D">
        <w:rPr>
          <w:rFonts w:ascii="Gautami" w:eastAsia="Times New Roman" w:hAnsi="Gautami"/>
          <w:sz w:val="20"/>
        </w:rPr>
        <w:t>1</w:t>
      </w:r>
      <w:r w:rsidR="00692596" w:rsidRPr="009724BA">
        <w:rPr>
          <w:rFonts w:ascii="Gautami" w:eastAsia="Times New Roman" w:hAnsi="Gautami"/>
          <w:sz w:val="20"/>
        </w:rPr>
        <w:t xml:space="preserve"> scheduling information </w:t>
      </w:r>
      <w:r w:rsidR="00F52A95">
        <w:rPr>
          <w:rFonts w:ascii="Gautami" w:eastAsia="Times New Roman" w:hAnsi="Gautami"/>
          <w:sz w:val="20"/>
        </w:rPr>
        <w:t xml:space="preserve">influences </w:t>
      </w:r>
      <w:r w:rsidR="00692596" w:rsidRPr="009724BA">
        <w:rPr>
          <w:rFonts w:ascii="Gautami" w:eastAsia="Times New Roman" w:hAnsi="Gautami"/>
          <w:sz w:val="20"/>
        </w:rPr>
        <w:t xml:space="preserve">the operator to reconsider </w:t>
      </w:r>
      <w:r w:rsidR="00F52A95">
        <w:rPr>
          <w:rFonts w:ascii="Gautami" w:eastAsia="Times New Roman" w:hAnsi="Gautami"/>
          <w:sz w:val="20"/>
        </w:rPr>
        <w:t>the planned</w:t>
      </w:r>
      <w:r w:rsidR="00692596" w:rsidRPr="009724BA">
        <w:rPr>
          <w:rFonts w:ascii="Gautami" w:eastAsia="Times New Roman" w:hAnsi="Gautami"/>
          <w:sz w:val="20"/>
        </w:rPr>
        <w:t xml:space="preserve"> maintenance</w:t>
      </w:r>
      <w:r w:rsidR="00F52A95">
        <w:rPr>
          <w:rFonts w:ascii="Gautami" w:eastAsia="Times New Roman" w:hAnsi="Gautami"/>
          <w:sz w:val="20"/>
        </w:rPr>
        <w:t>,</w:t>
      </w:r>
      <w:r w:rsidR="00692596" w:rsidRPr="009724BA">
        <w:rPr>
          <w:rFonts w:ascii="Gautami" w:eastAsia="Times New Roman" w:hAnsi="Gautami"/>
          <w:sz w:val="20"/>
        </w:rPr>
        <w:t xml:space="preserve"> then the capacity should be updated</w:t>
      </w:r>
      <w:r w:rsidR="00215C7D">
        <w:rPr>
          <w:rFonts w:ascii="Gautami" w:eastAsia="Times New Roman" w:hAnsi="Gautami"/>
          <w:sz w:val="20"/>
        </w:rPr>
        <w:t xml:space="preserve"> if it no longer is expected to go ahead</w:t>
      </w:r>
      <w:r w:rsidR="00692596" w:rsidRPr="009724BA">
        <w:rPr>
          <w:rFonts w:ascii="Gautami" w:eastAsia="Times New Roman" w:hAnsi="Gautami"/>
          <w:sz w:val="20"/>
        </w:rPr>
        <w:t>. For example:</w:t>
      </w:r>
    </w:p>
    <w:p w:rsidR="00692596" w:rsidRPr="009724BA" w:rsidRDefault="00EB62E5" w:rsidP="00C81DD0">
      <w:pPr>
        <w:pStyle w:val="AERbulletlistsecondstyle"/>
      </w:pPr>
      <w:r>
        <w:t>If there is an increase in</w:t>
      </w:r>
      <w:r w:rsidR="00692596" w:rsidRPr="009724BA">
        <w:t xml:space="preserve"> prices</w:t>
      </w:r>
      <w:r>
        <w:t xml:space="preserve"> after a </w:t>
      </w:r>
      <w:r w:rsidRPr="009724BA">
        <w:t>submission of reduced capacity for D-3</w:t>
      </w:r>
      <w:r>
        <w:t xml:space="preserve"> in </w:t>
      </w:r>
      <w:r w:rsidR="00F52A95">
        <w:t xml:space="preserve">the </w:t>
      </w:r>
      <w:r w:rsidR="00692596" w:rsidRPr="009724BA">
        <w:t>Sydney</w:t>
      </w:r>
      <w:r w:rsidR="00F52A95">
        <w:t xml:space="preserve"> Hub, </w:t>
      </w:r>
      <w:r w:rsidR="00692596" w:rsidRPr="009724BA">
        <w:t xml:space="preserve">AGL may as the operator of </w:t>
      </w:r>
      <w:r w:rsidR="00037AE2">
        <w:t xml:space="preserve">the </w:t>
      </w:r>
      <w:r w:rsidR="00692596" w:rsidRPr="009724BA">
        <w:t xml:space="preserve">Camden </w:t>
      </w:r>
      <w:r w:rsidR="00037AE2">
        <w:t xml:space="preserve">facility </w:t>
      </w:r>
      <w:r w:rsidR="00692596" w:rsidRPr="009724BA">
        <w:t>choose to defer the maintenance and reflect this as an update to D-2 or D-1 capacity data.</w:t>
      </w:r>
    </w:p>
    <w:p w:rsidR="00692596" w:rsidRDefault="00EB62E5" w:rsidP="00C81DD0">
      <w:pPr>
        <w:pStyle w:val="AERbulletlistsecondstyle"/>
      </w:pPr>
      <w:r>
        <w:t>I</w:t>
      </w:r>
      <w:r w:rsidR="00692596" w:rsidRPr="009724BA">
        <w:t xml:space="preserve">f following a submission of reduced capacity, scheduled gas on the </w:t>
      </w:r>
      <w:r>
        <w:t>Eastern Gas Pipeline</w:t>
      </w:r>
      <w:r w:rsidR="00692596" w:rsidRPr="009724BA">
        <w:t xml:space="preserve"> approache</w:t>
      </w:r>
      <w:r>
        <w:t xml:space="preserve">s </w:t>
      </w:r>
      <w:r w:rsidR="00692596" w:rsidRPr="009724BA">
        <w:t>that</w:t>
      </w:r>
      <w:r>
        <w:t xml:space="preserve"> </w:t>
      </w:r>
      <w:r w:rsidR="00692596" w:rsidRPr="009724BA">
        <w:t xml:space="preserve">capacity, </w:t>
      </w:r>
      <w:proofErr w:type="spellStart"/>
      <w:r w:rsidR="00692596" w:rsidRPr="009724BA">
        <w:t>Jemena</w:t>
      </w:r>
      <w:proofErr w:type="spellEnd"/>
      <w:r w:rsidR="00692596" w:rsidRPr="009724BA">
        <w:t xml:space="preserve"> might choose to defer the maintenance and reflect this as an update to D-2 or D-1 data.</w:t>
      </w:r>
    </w:p>
    <w:p w:rsidR="00AE33A7" w:rsidRPr="00C170A1" w:rsidRDefault="00AE33A7" w:rsidP="00C170A1">
      <w:pPr>
        <w:pStyle w:val="AERheading2"/>
        <w:tabs>
          <w:tab w:val="clear" w:pos="5035"/>
          <w:tab w:val="num" w:pos="357"/>
          <w:tab w:val="num" w:pos="851"/>
        </w:tabs>
        <w:ind w:left="357"/>
        <w:jc w:val="both"/>
        <w:rPr>
          <w:rFonts w:eastAsia="Times New Roman" w:cs="Times New Roman"/>
          <w:sz w:val="20"/>
          <w:szCs w:val="24"/>
        </w:rPr>
      </w:pPr>
      <w:bookmarkStart w:id="48" w:name="_Toc394479583"/>
      <w:r w:rsidRPr="00AE33A7">
        <w:t>STTM demand forecasting update</w:t>
      </w:r>
      <w:bookmarkEnd w:id="48"/>
      <w:r w:rsidRPr="00C170A1">
        <w:rPr>
          <w:rFonts w:eastAsia="Times New Roman" w:cs="Times New Roman"/>
          <w:sz w:val="20"/>
          <w:szCs w:val="24"/>
        </w:rPr>
        <w:t xml:space="preserve"> </w:t>
      </w:r>
    </w:p>
    <w:p w:rsidR="00A56BE2" w:rsidRPr="00AE33A7" w:rsidRDefault="00A56BE2" w:rsidP="00A56BE2">
      <w:pPr>
        <w:spacing w:after="240" w:line="288" w:lineRule="auto"/>
        <w:jc w:val="both"/>
        <w:rPr>
          <w:rFonts w:ascii="Gautami" w:eastAsia="Times New Roman" w:hAnsi="Gautami" w:cs="Gautami"/>
          <w:sz w:val="20"/>
          <w:szCs w:val="20"/>
        </w:rPr>
      </w:pPr>
      <w:r w:rsidRPr="00AE33A7">
        <w:rPr>
          <w:rFonts w:ascii="Gautami" w:hAnsi="Gautami" w:cs="Gautami"/>
          <w:sz w:val="20"/>
          <w:szCs w:val="20"/>
        </w:rPr>
        <w:t>Demand forecasts are the primary input for scheduling and forms the basis for calculating ex ante prices</w:t>
      </w:r>
      <w:r>
        <w:rPr>
          <w:rFonts w:ascii="Gautami" w:hAnsi="Gautami" w:cs="Gautami"/>
          <w:sz w:val="20"/>
          <w:szCs w:val="20"/>
        </w:rPr>
        <w:t xml:space="preserve"> in the</w:t>
      </w:r>
      <w:r w:rsidRPr="00C326CD">
        <w:rPr>
          <w:rFonts w:ascii="Gautami" w:hAnsi="Gautami" w:cs="Gautami"/>
          <w:sz w:val="20"/>
          <w:szCs w:val="20"/>
        </w:rPr>
        <w:t xml:space="preserve"> </w:t>
      </w:r>
      <w:r w:rsidRPr="00AE33A7">
        <w:rPr>
          <w:rFonts w:ascii="Gautami" w:hAnsi="Gautami" w:cs="Gautami"/>
          <w:sz w:val="20"/>
          <w:szCs w:val="20"/>
        </w:rPr>
        <w:t>STTM. Poor demand forecasting leads to inefficiencies in dispatch whereby the ex ante price is set on the basis of a higher or lower quantity of gas than is required. It can also lead to higher</w:t>
      </w:r>
      <w:r>
        <w:rPr>
          <w:rFonts w:ascii="Gautami" w:hAnsi="Gautami" w:cs="Gautami"/>
          <w:sz w:val="20"/>
          <w:szCs w:val="20"/>
        </w:rPr>
        <w:t xml:space="preserve"> </w:t>
      </w:r>
      <w:r w:rsidRPr="00AE33A7">
        <w:rPr>
          <w:rFonts w:ascii="Gautami" w:hAnsi="Gautami" w:cs="Gautami"/>
          <w:sz w:val="20"/>
          <w:szCs w:val="20"/>
        </w:rPr>
        <w:t>MOS</w:t>
      </w:r>
      <w:r>
        <w:rPr>
          <w:rStyle w:val="FootnoteReference"/>
          <w:rFonts w:ascii="Gautami" w:hAnsi="Gautami" w:cs="Gautami"/>
          <w:sz w:val="20"/>
          <w:szCs w:val="20"/>
        </w:rPr>
        <w:footnoteReference w:id="11"/>
      </w:r>
      <w:r w:rsidRPr="00AE33A7">
        <w:rPr>
          <w:rFonts w:ascii="Gautami" w:hAnsi="Gautami" w:cs="Gautami"/>
          <w:sz w:val="20"/>
          <w:szCs w:val="20"/>
        </w:rPr>
        <w:t xml:space="preserve"> payments in the STTM</w:t>
      </w:r>
      <w:r>
        <w:rPr>
          <w:rFonts w:ascii="Gautami" w:hAnsi="Gautami" w:cs="Gautami"/>
          <w:sz w:val="20"/>
          <w:szCs w:val="20"/>
        </w:rPr>
        <w:t>, whereby</w:t>
      </w:r>
      <w:r w:rsidRPr="00AE33A7">
        <w:rPr>
          <w:rFonts w:ascii="Gautami" w:hAnsi="Gautami" w:cs="Gautami"/>
          <w:sz w:val="20"/>
          <w:szCs w:val="20"/>
        </w:rPr>
        <w:t xml:space="preserve"> large amount</w:t>
      </w:r>
      <w:r>
        <w:rPr>
          <w:rFonts w:ascii="Gautami" w:hAnsi="Gautami" w:cs="Gautami"/>
          <w:sz w:val="20"/>
          <w:szCs w:val="20"/>
        </w:rPr>
        <w:t>s</w:t>
      </w:r>
      <w:r w:rsidRPr="00AE33A7">
        <w:rPr>
          <w:rFonts w:ascii="Gautami" w:hAnsi="Gautami" w:cs="Gautami"/>
          <w:sz w:val="20"/>
          <w:szCs w:val="20"/>
        </w:rPr>
        <w:t xml:space="preserve"> of </w:t>
      </w:r>
      <w:r>
        <w:rPr>
          <w:rFonts w:ascii="Gautami" w:hAnsi="Gautami" w:cs="Gautami"/>
          <w:sz w:val="20"/>
          <w:szCs w:val="20"/>
        </w:rPr>
        <w:t>gas are required to address the imbalance caused by</w:t>
      </w:r>
      <w:r w:rsidRPr="00AE33A7">
        <w:rPr>
          <w:rFonts w:ascii="Gautami" w:hAnsi="Gautami" w:cs="Gautami"/>
          <w:sz w:val="20"/>
          <w:szCs w:val="20"/>
        </w:rPr>
        <w:t xml:space="preserve"> </w:t>
      </w:r>
      <w:r>
        <w:rPr>
          <w:rFonts w:ascii="Gautami" w:hAnsi="Gautami" w:cs="Gautami"/>
          <w:sz w:val="20"/>
          <w:szCs w:val="20"/>
        </w:rPr>
        <w:t>inaccurate</w:t>
      </w:r>
      <w:r w:rsidRPr="00AE33A7">
        <w:rPr>
          <w:rFonts w:ascii="Gautami" w:hAnsi="Gautami" w:cs="Gautami"/>
          <w:sz w:val="20"/>
          <w:szCs w:val="20"/>
        </w:rPr>
        <w:t xml:space="preserve"> forecasts.</w:t>
      </w:r>
    </w:p>
    <w:p w:rsidR="00A56BE2" w:rsidRPr="00AE33A7" w:rsidRDefault="00A56BE2" w:rsidP="00A56BE2">
      <w:pPr>
        <w:spacing w:after="240" w:line="288" w:lineRule="auto"/>
        <w:jc w:val="both"/>
        <w:rPr>
          <w:rFonts w:ascii="Gautami" w:eastAsia="Times New Roman" w:hAnsi="Gautami" w:cs="Gautami"/>
          <w:sz w:val="20"/>
          <w:szCs w:val="20"/>
        </w:rPr>
      </w:pPr>
      <w:r>
        <w:rPr>
          <w:rFonts w:ascii="Gautami" w:hAnsi="Gautami" w:cs="Gautami"/>
          <w:sz w:val="20"/>
          <w:szCs w:val="20"/>
        </w:rPr>
        <w:t>R</w:t>
      </w:r>
      <w:r w:rsidRPr="00AE33A7">
        <w:rPr>
          <w:rFonts w:ascii="Gautami" w:hAnsi="Gautami" w:cs="Gautami"/>
          <w:sz w:val="20"/>
          <w:szCs w:val="20"/>
        </w:rPr>
        <w:t xml:space="preserve">ule 410(1) requires each STTM </w:t>
      </w:r>
      <w:r>
        <w:rPr>
          <w:rFonts w:ascii="Gautami" w:hAnsi="Gautami" w:cs="Gautami"/>
          <w:sz w:val="20"/>
          <w:szCs w:val="20"/>
        </w:rPr>
        <w:t>t</w:t>
      </w:r>
      <w:r w:rsidRPr="00AE33A7">
        <w:rPr>
          <w:rFonts w:ascii="Gautami" w:hAnsi="Gautami" w:cs="Gautami"/>
          <w:sz w:val="20"/>
          <w:szCs w:val="20"/>
        </w:rPr>
        <w:t xml:space="preserve">rading </w:t>
      </w:r>
      <w:r>
        <w:rPr>
          <w:rFonts w:ascii="Gautami" w:hAnsi="Gautami" w:cs="Gautami"/>
          <w:sz w:val="20"/>
          <w:szCs w:val="20"/>
        </w:rPr>
        <w:t>p</w:t>
      </w:r>
      <w:r w:rsidRPr="00AE33A7">
        <w:rPr>
          <w:rFonts w:ascii="Gautami" w:hAnsi="Gautami" w:cs="Gautami"/>
          <w:sz w:val="20"/>
          <w:szCs w:val="20"/>
        </w:rPr>
        <w:t xml:space="preserve">articipant who expects to withdraw quantities of natural gas from a hub on a gas day to submit in good faith ex ante bids or price taker bids (and any revisions to those bids) to reflect the participant’s best estimate of the quantity it expects to withdraw on that gas day (these bids in effect reflect each participant’s demand forecast). </w:t>
      </w:r>
    </w:p>
    <w:p w:rsidR="00A56BE2" w:rsidRPr="00AE33A7" w:rsidRDefault="00A56BE2" w:rsidP="00A56BE2">
      <w:pPr>
        <w:pStyle w:val="AERbodytext"/>
        <w:rPr>
          <w:rFonts w:cs="Gautami"/>
          <w:szCs w:val="20"/>
        </w:rPr>
      </w:pPr>
      <w:r w:rsidRPr="00AE33A7">
        <w:rPr>
          <w:rFonts w:cs="Gautami"/>
          <w:szCs w:val="20"/>
        </w:rPr>
        <w:t xml:space="preserve">In 2012, the AER commenced a project in response to ongoing occurrences of </w:t>
      </w:r>
      <w:r>
        <w:rPr>
          <w:rFonts w:cs="Gautami"/>
          <w:szCs w:val="20"/>
        </w:rPr>
        <w:t>inaccurate</w:t>
      </w:r>
      <w:r w:rsidRPr="00AE33A7">
        <w:rPr>
          <w:rFonts w:cs="Gautami"/>
          <w:szCs w:val="20"/>
        </w:rPr>
        <w:t xml:space="preserve"> demand forecast</w:t>
      </w:r>
      <w:r>
        <w:rPr>
          <w:rFonts w:cs="Gautami"/>
          <w:szCs w:val="20"/>
        </w:rPr>
        <w:t>s</w:t>
      </w:r>
      <w:r w:rsidRPr="00AE33A7">
        <w:rPr>
          <w:rFonts w:cs="Gautami"/>
          <w:szCs w:val="20"/>
        </w:rPr>
        <w:t xml:space="preserve"> from a number of STTM participants. A particular concern was the uneven distribution</w:t>
      </w:r>
      <w:r>
        <w:rPr>
          <w:rFonts w:cs="Gautami"/>
          <w:szCs w:val="20"/>
        </w:rPr>
        <w:t>, or bias</w:t>
      </w:r>
      <w:r w:rsidRPr="00AE33A7">
        <w:rPr>
          <w:rFonts w:cs="Gautami"/>
          <w:szCs w:val="20"/>
        </w:rPr>
        <w:t xml:space="preserve"> of under and over forecasting of demand. We were also concerned by large avoidable demand forecast errors, for example, those caused by system errors.</w:t>
      </w:r>
    </w:p>
    <w:p w:rsidR="00A56BE2" w:rsidRPr="00AE33A7" w:rsidRDefault="00A56BE2" w:rsidP="00A56BE2">
      <w:pPr>
        <w:pStyle w:val="AERbodytext"/>
        <w:rPr>
          <w:rFonts w:cs="Gautami"/>
          <w:szCs w:val="20"/>
        </w:rPr>
      </w:pPr>
      <w:r w:rsidRPr="00AE33A7">
        <w:rPr>
          <w:rFonts w:cs="Gautami"/>
          <w:szCs w:val="20"/>
        </w:rPr>
        <w:t>Accordingly, throughout 2013</w:t>
      </w:r>
      <w:r>
        <w:rPr>
          <w:rFonts w:cs="Gautami"/>
          <w:szCs w:val="20"/>
        </w:rPr>
        <w:t>,</w:t>
      </w:r>
      <w:r w:rsidRPr="00AE33A7">
        <w:rPr>
          <w:rFonts w:cs="Gautami"/>
          <w:szCs w:val="20"/>
        </w:rPr>
        <w:t xml:space="preserve"> we applied metrics to each STTM hub to identify patterns in demand forecasting errors. Based on </w:t>
      </w:r>
      <w:r>
        <w:rPr>
          <w:rFonts w:cs="Gautami"/>
          <w:szCs w:val="20"/>
        </w:rPr>
        <w:t>the results of our analysis,</w:t>
      </w:r>
      <w:r w:rsidRPr="00AE33A7">
        <w:rPr>
          <w:rFonts w:cs="Gautami"/>
          <w:szCs w:val="20"/>
        </w:rPr>
        <w:t xml:space="preserve"> we contacted participants </w:t>
      </w:r>
      <w:r>
        <w:rPr>
          <w:rFonts w:cs="Gautami"/>
          <w:szCs w:val="20"/>
        </w:rPr>
        <w:t xml:space="preserve">where </w:t>
      </w:r>
      <w:r w:rsidRPr="00AE33A7">
        <w:rPr>
          <w:rFonts w:cs="Gautami"/>
          <w:szCs w:val="20"/>
        </w:rPr>
        <w:t xml:space="preserve">large differences between forecast and actual demand </w:t>
      </w:r>
      <w:r>
        <w:rPr>
          <w:rFonts w:cs="Gautami"/>
          <w:szCs w:val="20"/>
        </w:rPr>
        <w:t xml:space="preserve">or </w:t>
      </w:r>
      <w:r w:rsidRPr="00AE33A7">
        <w:rPr>
          <w:rFonts w:cs="Gautami"/>
          <w:szCs w:val="20"/>
        </w:rPr>
        <w:t xml:space="preserve">trends in </w:t>
      </w:r>
      <w:r>
        <w:rPr>
          <w:rFonts w:cs="Gautami"/>
          <w:szCs w:val="20"/>
        </w:rPr>
        <w:t xml:space="preserve">either </w:t>
      </w:r>
      <w:r w:rsidRPr="00AE33A7">
        <w:rPr>
          <w:rFonts w:cs="Gautami"/>
          <w:szCs w:val="20"/>
        </w:rPr>
        <w:t>under and over forecasting</w:t>
      </w:r>
      <w:r>
        <w:rPr>
          <w:rFonts w:cs="Gautami"/>
          <w:szCs w:val="20"/>
        </w:rPr>
        <w:t xml:space="preserve"> were observed</w:t>
      </w:r>
      <w:r w:rsidRPr="00AE33A7">
        <w:rPr>
          <w:rFonts w:cs="Gautami"/>
          <w:szCs w:val="20"/>
        </w:rPr>
        <w:t xml:space="preserve">. Previous </w:t>
      </w:r>
      <w:r>
        <w:rPr>
          <w:rFonts w:cs="Gautami"/>
          <w:szCs w:val="20"/>
        </w:rPr>
        <w:t>QCRs</w:t>
      </w:r>
      <w:r w:rsidRPr="00AE33A7">
        <w:rPr>
          <w:rFonts w:cs="Gautami"/>
          <w:szCs w:val="20"/>
        </w:rPr>
        <w:t xml:space="preserve"> have presented information related to the demand forecasting performance of a number of participants (</w:t>
      </w:r>
      <w:proofErr w:type="spellStart"/>
      <w:r w:rsidRPr="00AE33A7">
        <w:rPr>
          <w:rFonts w:cs="Gautami"/>
          <w:szCs w:val="20"/>
        </w:rPr>
        <w:t>Incitec</w:t>
      </w:r>
      <w:proofErr w:type="spellEnd"/>
      <w:r w:rsidRPr="00AE33A7">
        <w:rPr>
          <w:rFonts w:cs="Gautami"/>
          <w:szCs w:val="20"/>
        </w:rPr>
        <w:t xml:space="preserve"> Pivot, Adelaide Brighton Cement Limited, Origin Energy and AGL Energy). </w:t>
      </w:r>
    </w:p>
    <w:p w:rsidR="00A56BE2" w:rsidRDefault="00A56BE2" w:rsidP="00A56BE2">
      <w:pPr>
        <w:pStyle w:val="AERfigureheading"/>
        <w:numPr>
          <w:ilvl w:val="0"/>
          <w:numId w:val="0"/>
        </w:numPr>
        <w:spacing w:before="0" w:after="240"/>
        <w:ind w:left="357" w:hanging="357"/>
      </w:pPr>
      <w:r>
        <w:lastRenderedPageBreak/>
        <w:t>Adelaide hub</w:t>
      </w:r>
    </w:p>
    <w:p w:rsidR="00325255" w:rsidRDefault="00A56BE2" w:rsidP="00A56BE2">
      <w:pPr>
        <w:pStyle w:val="AERbodytext"/>
      </w:pPr>
      <w:r>
        <w:t>In the Adelaide hub, average over and under forecast errors are relatively low at 4 per cent of total demand this year</w:t>
      </w:r>
      <w:r w:rsidR="00856BB5">
        <w:t>.</w:t>
      </w:r>
      <w:r>
        <w:rPr>
          <w:rStyle w:val="FootnoteReference"/>
        </w:rPr>
        <w:footnoteReference w:id="12"/>
      </w:r>
      <w:r>
        <w:t xml:space="preserve"> This represents a significant improvement on demand forecasting since 2012, whereby demand forecast errors were as high as 14 per cent of total demand (see figure 1.4).</w:t>
      </w:r>
      <w:r>
        <w:rPr>
          <w:rStyle w:val="FootnoteReference"/>
        </w:rPr>
        <w:footnoteReference w:id="13"/>
      </w:r>
      <w:r>
        <w:t xml:space="preserve"> In recent months, an increase in the size of under forecast demand errors has been observed.</w:t>
      </w:r>
      <w:r w:rsidRPr="00E5461D">
        <w:t xml:space="preserve"> </w:t>
      </w:r>
      <w:r>
        <w:t xml:space="preserve">For example, </w:t>
      </w:r>
      <w:r w:rsidRPr="002B3375">
        <w:t xml:space="preserve">under forecast errors were over 5 TJ for </w:t>
      </w:r>
      <w:r>
        <w:t>the majority of June or 7</w:t>
      </w:r>
      <w:r w:rsidR="00856BB5">
        <w:t xml:space="preserve"> per cent </w:t>
      </w:r>
      <w:r>
        <w:t>of demand</w:t>
      </w:r>
      <w:r w:rsidRPr="002B3375">
        <w:t xml:space="preserve">. </w:t>
      </w:r>
    </w:p>
    <w:p w:rsidR="00A56BE2" w:rsidRDefault="00517E10" w:rsidP="00A56BE2">
      <w:pPr>
        <w:pStyle w:val="AERbodytext"/>
      </w:pPr>
      <w:r>
        <w:t>Despite a recent increase in</w:t>
      </w:r>
      <w:r w:rsidR="00DC6D0C">
        <w:t xml:space="preserve"> the magnitude of</w:t>
      </w:r>
      <w:r>
        <w:t xml:space="preserve"> under forecast demand errors, over forecast demand errors continue to </w:t>
      </w:r>
      <w:r w:rsidR="00986929">
        <w:t xml:space="preserve">exceed </w:t>
      </w:r>
      <w:r>
        <w:t xml:space="preserve">demand forecast errors in the Adelaide hub. </w:t>
      </w:r>
      <w:r w:rsidR="00DC6D0C">
        <w:t>As set out below in figure 1.5, t</w:t>
      </w:r>
      <w:r w:rsidR="00046FFD" w:rsidRPr="002B3375">
        <w:t xml:space="preserve">he </w:t>
      </w:r>
      <w:r w:rsidR="00A56BE2" w:rsidRPr="002B3375">
        <w:t xml:space="preserve">rolling average </w:t>
      </w:r>
      <w:r w:rsidR="00325255">
        <w:t xml:space="preserve">of days under forecast for each month </w:t>
      </w:r>
      <w:r w:rsidR="00A56BE2" w:rsidRPr="002B3375">
        <w:t>indicates th</w:t>
      </w:r>
      <w:r w:rsidR="00325255">
        <w:t xml:space="preserve">ere has been under forecast </w:t>
      </w:r>
      <w:r w:rsidR="00A56BE2" w:rsidRPr="002B3375">
        <w:t xml:space="preserve">demand in the Adelaide hub </w:t>
      </w:r>
      <w:r w:rsidR="00325255">
        <w:t>for 45 per cent of days over the last 12 months.</w:t>
      </w:r>
      <w:r>
        <w:t xml:space="preserve"> </w:t>
      </w:r>
      <w:r w:rsidR="00325255">
        <w:t xml:space="preserve"> </w:t>
      </w:r>
      <w:r>
        <w:t xml:space="preserve">Meaning, for 55 per cent of the 12 month period, there was </w:t>
      </w:r>
      <w:r w:rsidR="00325255">
        <w:t xml:space="preserve">over forecast demand </w:t>
      </w:r>
      <w:r>
        <w:t>into the Adelaide hub</w:t>
      </w:r>
      <w:r w:rsidR="00325255">
        <w:t>. This represents</w:t>
      </w:r>
      <w:r w:rsidR="00A56BE2">
        <w:t xml:space="preserve"> a significant reduction from the </w:t>
      </w:r>
      <w:r>
        <w:t xml:space="preserve">end of 2012, whereby the </w:t>
      </w:r>
      <w:r w:rsidR="00A56BE2">
        <w:t xml:space="preserve">rolling average </w:t>
      </w:r>
      <w:r>
        <w:t xml:space="preserve">of over forecast days was </w:t>
      </w:r>
      <w:r w:rsidR="00DC6D0C">
        <w:t xml:space="preserve">at </w:t>
      </w:r>
      <w:r w:rsidR="00A56BE2">
        <w:t>70 per cent of gas days</w:t>
      </w:r>
      <w:r>
        <w:t>.</w:t>
      </w:r>
      <w:r w:rsidR="00DC6D0C">
        <w:t xml:space="preserve"> </w:t>
      </w:r>
    </w:p>
    <w:p w:rsidR="00A56BE2" w:rsidRPr="001D2C97" w:rsidRDefault="00A56BE2" w:rsidP="00A56BE2">
      <w:pPr>
        <w:pStyle w:val="AERfigureheading"/>
        <w:numPr>
          <w:ilvl w:val="0"/>
          <w:numId w:val="0"/>
        </w:numPr>
        <w:spacing w:before="0" w:after="240"/>
        <w:ind w:left="357" w:hanging="357"/>
      </w:pPr>
      <w:r w:rsidRPr="001D2C97">
        <w:t>Figure</w:t>
      </w:r>
      <w:r>
        <w:t xml:space="preserve"> 1.4</w:t>
      </w:r>
      <w:r>
        <w:tab/>
      </w:r>
      <w:r w:rsidRPr="001D2C97">
        <w:t xml:space="preserve"> </w:t>
      </w:r>
      <w:r>
        <w:t>Error as a proportion of total load and actual error volumes in the Adelaide hub</w:t>
      </w:r>
      <w:r>
        <w:rPr>
          <w:rStyle w:val="FootnoteReference"/>
        </w:rPr>
        <w:footnoteReference w:id="14"/>
      </w:r>
    </w:p>
    <w:p w:rsidR="00A56BE2" w:rsidRDefault="002E27D5" w:rsidP="00A56BE2">
      <w:pPr>
        <w:spacing w:after="240"/>
      </w:pPr>
      <w:r>
        <w:rPr>
          <w:noProof/>
          <w:lang w:eastAsia="en-AU"/>
        </w:rPr>
        <w:pict>
          <v:shape id="_x0000_i1028" type="#_x0000_t75" alt="Figure 1.4 shows the monthly mean of the daily forecast errors (as a percentage of total demand) and the daily errors (actual minus forecast) in terajoules, for the Adelaide short term trading market (STTM) hub" style="width:459.55pt;height:2in;visibility:visible;mso-wrap-style:square">
            <v:imagedata r:id="rId18" o:title=""/>
          </v:shape>
        </w:pict>
      </w:r>
    </w:p>
    <w:p w:rsidR="00A56BE2" w:rsidRPr="00A52DA9" w:rsidRDefault="00A56BE2" w:rsidP="00A56BE2">
      <w:pPr>
        <w:pStyle w:val="AERfigureheading"/>
        <w:numPr>
          <w:ilvl w:val="0"/>
          <w:numId w:val="0"/>
        </w:numPr>
        <w:spacing w:before="0" w:after="240"/>
        <w:ind w:left="357" w:hanging="357"/>
      </w:pPr>
      <w:r w:rsidRPr="00A52DA9">
        <w:t xml:space="preserve">Figure </w:t>
      </w:r>
      <w:r>
        <w:t>1.5</w:t>
      </w:r>
      <w:r>
        <w:tab/>
      </w:r>
      <w:r w:rsidRPr="00A52DA9">
        <w:t>D</w:t>
      </w:r>
      <w:r>
        <w:t xml:space="preserve">ays under forecast each month </w:t>
      </w:r>
      <w:r w:rsidRPr="00A52DA9">
        <w:t>and actual error magnitudes in the Adelaide hub</w:t>
      </w:r>
    </w:p>
    <w:p w:rsidR="00A56BE2" w:rsidRPr="00D40FA4" w:rsidRDefault="002E27D5" w:rsidP="00A56BE2">
      <w:pPr>
        <w:spacing w:after="240"/>
      </w:pPr>
      <w:r>
        <w:rPr>
          <w:noProof/>
          <w:lang w:eastAsia="en-AU"/>
        </w:rPr>
        <w:pict>
          <v:shape id="_x0000_i1029" type="#_x0000_t75" alt="Figure 1.5 shows the average magnitude of under forecast errors in terajoules (by month) and the proportion of days in the month which were under forecast (including a 12 month rolling average proportion), for the Adelaide short term trading market (STTM) hub." style="width:459.55pt;height:142.1pt;visibility:visible;mso-wrap-style:square">
            <v:imagedata r:id="rId19" o:title=""/>
          </v:shape>
        </w:pict>
      </w:r>
      <w:r w:rsidR="00A56BE2" w:rsidRPr="00F7149E">
        <w:t xml:space="preserve"> </w:t>
      </w:r>
    </w:p>
    <w:p w:rsidR="00A56BE2" w:rsidRDefault="00A56BE2" w:rsidP="00A56BE2">
      <w:pPr>
        <w:pStyle w:val="AERfigureheading"/>
        <w:numPr>
          <w:ilvl w:val="0"/>
          <w:numId w:val="0"/>
        </w:numPr>
        <w:spacing w:before="0" w:after="240"/>
        <w:ind w:left="357" w:hanging="357"/>
      </w:pPr>
      <w:r>
        <w:lastRenderedPageBreak/>
        <w:t>Sydney hub</w:t>
      </w:r>
    </w:p>
    <w:p w:rsidR="00A56BE2" w:rsidRDefault="00A56BE2" w:rsidP="00A56BE2">
      <w:pPr>
        <w:pStyle w:val="AERbodytext"/>
      </w:pPr>
      <w:r>
        <w:t>Similar to the Adelaide hub, average forecast errors are relatively low at less than 4 per cent of total demand in the Sydney hub (see figure 1.6). However, a bias towards over</w:t>
      </w:r>
      <w:r w:rsidR="00DC6D0C">
        <w:t xml:space="preserve"> </w:t>
      </w:r>
      <w:r>
        <w:t xml:space="preserve">forecast errors remains. </w:t>
      </w:r>
      <w:r w:rsidR="00DC6D0C">
        <w:t xml:space="preserve">In January 2014, the </w:t>
      </w:r>
      <w:r>
        <w:t>proportion of days over forecast</w:t>
      </w:r>
      <w:r w:rsidR="001A1393">
        <w:t xml:space="preserve"> (as a 12 month rolling average)</w:t>
      </w:r>
      <w:r>
        <w:t xml:space="preserve"> increased to 70 per cent</w:t>
      </w:r>
      <w:r w:rsidR="00DC6D0C">
        <w:t xml:space="preserve">. However, </w:t>
      </w:r>
      <w:r>
        <w:t xml:space="preserve">this </w:t>
      </w:r>
      <w:r w:rsidR="001A1393">
        <w:t xml:space="preserve">rolling </w:t>
      </w:r>
      <w:r>
        <w:t xml:space="preserve">average has since declined to </w:t>
      </w:r>
      <w:r w:rsidR="001A1393">
        <w:t>approximately</w:t>
      </w:r>
      <w:r>
        <w:t xml:space="preserve"> 60 per cent of days </w:t>
      </w:r>
      <w:r w:rsidR="00DC6D0C">
        <w:t xml:space="preserve">at the </w:t>
      </w:r>
      <w:r>
        <w:t>end of June</w:t>
      </w:r>
      <w:r w:rsidR="001A1393">
        <w:t xml:space="preserve"> (see figure 1.7)</w:t>
      </w:r>
      <w:r>
        <w:t xml:space="preserve">. </w:t>
      </w:r>
      <w:r w:rsidR="001A1393">
        <w:t>Conversely, a</w:t>
      </w:r>
      <w:r w:rsidR="00DC6D0C">
        <w:t xml:space="preserve"> </w:t>
      </w:r>
      <w:r w:rsidR="001A1393">
        <w:t xml:space="preserve">higher proportion of under forecast </w:t>
      </w:r>
      <w:r w:rsidR="00986929">
        <w:t xml:space="preserve">days </w:t>
      </w:r>
      <w:r w:rsidR="001A1393">
        <w:t>occurred this quarter</w:t>
      </w:r>
      <w:r>
        <w:t>.</w:t>
      </w:r>
    </w:p>
    <w:p w:rsidR="00A56BE2" w:rsidRPr="00AD32CE" w:rsidRDefault="00A56BE2" w:rsidP="00A56BE2">
      <w:pPr>
        <w:pStyle w:val="AERfigureheading"/>
        <w:numPr>
          <w:ilvl w:val="0"/>
          <w:numId w:val="0"/>
        </w:numPr>
        <w:spacing w:before="0" w:after="240"/>
        <w:ind w:left="357" w:hanging="357"/>
      </w:pPr>
      <w:r w:rsidRPr="00AD32CE">
        <w:t xml:space="preserve">Figure </w:t>
      </w:r>
      <w:r>
        <w:t>1.6</w:t>
      </w:r>
      <w:r>
        <w:tab/>
      </w:r>
      <w:r w:rsidRPr="00AD32CE">
        <w:t xml:space="preserve"> </w:t>
      </w:r>
      <w:r>
        <w:t xml:space="preserve">Error as a proportion of total load and actual error volumes in the </w:t>
      </w:r>
      <w:r w:rsidRPr="00AD32CE">
        <w:t>Sydney hub</w:t>
      </w:r>
    </w:p>
    <w:p w:rsidR="00A56BE2" w:rsidRDefault="00A56BE2" w:rsidP="00A56BE2">
      <w:pPr>
        <w:pStyle w:val="AERbodytext"/>
        <w:rPr>
          <w:rFonts w:cs="Gautami"/>
          <w:szCs w:val="20"/>
        </w:rPr>
      </w:pPr>
      <w:r w:rsidRPr="00797BD5">
        <w:t xml:space="preserve"> </w:t>
      </w:r>
      <w:r w:rsidR="002E27D5">
        <w:rPr>
          <w:noProof/>
          <w:lang w:eastAsia="en-AU"/>
        </w:rPr>
        <w:pict>
          <v:shape id="_x0000_i1030" type="#_x0000_t75" alt="Figure 1.6 shows the monthly mean of the daily forecast errors (as a percentage of total demand) and the daily errors (actual minus forecast) in terajoules, for the Sydney short term trading market (STTM) hub" style="width:460.15pt;height:145.25pt;visibility:visible;mso-wrap-style:square">
            <v:imagedata r:id="rId20" o:title=""/>
          </v:shape>
        </w:pict>
      </w:r>
      <w:r w:rsidRPr="00797BD5">
        <w:t xml:space="preserve"> </w:t>
      </w:r>
    </w:p>
    <w:p w:rsidR="00A56BE2" w:rsidRPr="00AD32CE" w:rsidRDefault="00A56BE2" w:rsidP="00A56BE2">
      <w:pPr>
        <w:pStyle w:val="AERfigureheading"/>
        <w:numPr>
          <w:ilvl w:val="0"/>
          <w:numId w:val="0"/>
        </w:numPr>
        <w:spacing w:before="0" w:after="240"/>
        <w:ind w:left="357" w:hanging="357"/>
      </w:pPr>
      <w:r w:rsidRPr="00AD32CE">
        <w:t xml:space="preserve">Figure </w:t>
      </w:r>
      <w:r>
        <w:t>1.7</w:t>
      </w:r>
      <w:r>
        <w:tab/>
      </w:r>
      <w:r w:rsidRPr="00AD32CE">
        <w:t xml:space="preserve"> Days over forecast each month and actual error magnitudes in the Sydney hub</w:t>
      </w:r>
    </w:p>
    <w:p w:rsidR="00A56BE2" w:rsidRDefault="002E27D5" w:rsidP="00A56BE2">
      <w:pPr>
        <w:pStyle w:val="AERfigureheading"/>
        <w:numPr>
          <w:ilvl w:val="0"/>
          <w:numId w:val="0"/>
        </w:numPr>
        <w:spacing w:before="0" w:after="240"/>
        <w:ind w:left="357" w:hanging="357"/>
      </w:pPr>
      <w:r>
        <w:rPr>
          <w:noProof/>
          <w:lang w:eastAsia="en-AU"/>
        </w:rPr>
        <w:pict>
          <v:shape id="_x0000_i1031" type="#_x0000_t75" alt="Figure 1.7 shows the average magnitude of over forecast errors in terajoules (by month) and the proportion of days in the month which were over forecast (including a 12 month rolling average proportion), for the Sydney short term trading market (STTM) hub." style="width:458.9pt;height:142.75pt;visibility:visible;mso-wrap-style:square">
            <v:imagedata r:id="rId21" o:title=""/>
          </v:shape>
        </w:pict>
      </w:r>
      <w:r w:rsidR="00A56BE2" w:rsidRPr="00FA11B1">
        <w:t xml:space="preserve"> </w:t>
      </w:r>
    </w:p>
    <w:p w:rsidR="00A56BE2" w:rsidRDefault="00A56BE2" w:rsidP="00A56BE2">
      <w:pPr>
        <w:pStyle w:val="AERfigureheading"/>
        <w:numPr>
          <w:ilvl w:val="0"/>
          <w:numId w:val="0"/>
        </w:numPr>
        <w:spacing w:before="0" w:after="240"/>
        <w:ind w:left="357" w:hanging="357"/>
      </w:pPr>
      <w:r>
        <w:t xml:space="preserve">Brisbane hub </w:t>
      </w:r>
    </w:p>
    <w:p w:rsidR="00A56BE2" w:rsidRPr="00603973" w:rsidRDefault="00A56BE2" w:rsidP="00A56BE2">
      <w:pPr>
        <w:pStyle w:val="AERbodytext"/>
      </w:pPr>
      <w:r w:rsidRPr="00603973">
        <w:t xml:space="preserve">In Brisbane, average forecast errors remain low at </w:t>
      </w:r>
      <w:r>
        <w:t>around 3</w:t>
      </w:r>
      <w:r w:rsidRPr="00603973">
        <w:t xml:space="preserve"> per cent of total hub demand. In addition, we have seen an even distribution between the number of days which are over and under forecast days in the hub. However, despite this overall trend, we have observed a slight increase in the magnitude of under forecast errors in Brisbane. In particular, we have seen a higher number of larger forecast errors of more than 10 TJ this year. These deviations subsequently led to significant differences between the ex ante and ex post price on a number of occasions. </w:t>
      </w:r>
    </w:p>
    <w:p w:rsidR="00A56BE2" w:rsidRPr="001D2C97" w:rsidRDefault="00A56BE2" w:rsidP="00A56BE2">
      <w:pPr>
        <w:pStyle w:val="AERfigureheading"/>
        <w:numPr>
          <w:ilvl w:val="0"/>
          <w:numId w:val="0"/>
        </w:numPr>
        <w:spacing w:before="0" w:after="240"/>
        <w:ind w:left="357" w:hanging="357"/>
      </w:pPr>
      <w:r w:rsidRPr="001D2C97">
        <w:lastRenderedPageBreak/>
        <w:t>Figure</w:t>
      </w:r>
      <w:r>
        <w:t xml:space="preserve"> 1.8</w:t>
      </w:r>
      <w:r>
        <w:tab/>
      </w:r>
      <w:r w:rsidRPr="001D2C97">
        <w:t xml:space="preserve"> </w:t>
      </w:r>
      <w:r>
        <w:t>Error as a proportion of total load and actual error volumes in the Brisbane hub</w:t>
      </w:r>
    </w:p>
    <w:p w:rsidR="00A56BE2" w:rsidRPr="00D40FA4" w:rsidRDefault="002E27D5" w:rsidP="00A56BE2">
      <w:pPr>
        <w:spacing w:after="240"/>
      </w:pPr>
      <w:r>
        <w:rPr>
          <w:noProof/>
          <w:lang w:eastAsia="en-AU"/>
        </w:rPr>
        <w:pict>
          <v:shape id="Picture 8" o:spid="_x0000_i1032" type="#_x0000_t75" alt="Figure 1.8 shows the monthly mean of the daily forecast errors (as a percentage of total demand) and the daily errors (actual minus forecast) in terajoules, for the Brisbane short term trading market (STTM) hub" style="width:458.9pt;height:129.6pt;visibility:visible;mso-wrap-style:square;mso-position-vertical:absolute">
            <v:imagedata r:id="rId22" o:title=""/>
          </v:shape>
        </w:pict>
      </w:r>
      <w:r w:rsidR="00A56BE2">
        <w:t xml:space="preserve"> </w:t>
      </w:r>
    </w:p>
    <w:p w:rsidR="00A56BE2" w:rsidRPr="001D2C97" w:rsidRDefault="00A56BE2" w:rsidP="00A56BE2">
      <w:pPr>
        <w:pStyle w:val="AERfigureheading"/>
        <w:numPr>
          <w:ilvl w:val="0"/>
          <w:numId w:val="0"/>
        </w:numPr>
        <w:spacing w:before="0" w:after="240"/>
        <w:ind w:left="357" w:hanging="357"/>
      </w:pPr>
      <w:r w:rsidRPr="001D2C97">
        <w:t>Figure</w:t>
      </w:r>
      <w:r>
        <w:t xml:space="preserve"> 1.9</w:t>
      </w:r>
      <w:r>
        <w:tab/>
      </w:r>
      <w:r w:rsidRPr="001D2C97">
        <w:t xml:space="preserve"> </w:t>
      </w:r>
      <w:r>
        <w:t>Days over forecast each month and actual error magnitudes in the Brisbane hub</w:t>
      </w:r>
    </w:p>
    <w:p w:rsidR="00A56BE2" w:rsidRDefault="002E27D5" w:rsidP="00A56BE2">
      <w:pPr>
        <w:spacing w:after="240"/>
      </w:pPr>
      <w:r>
        <w:rPr>
          <w:noProof/>
          <w:lang w:eastAsia="en-AU"/>
        </w:rPr>
        <w:pict>
          <v:shape id="Picture 7" o:spid="_x0000_i1033" type="#_x0000_t75" alt="Figure 1.9 shows the average magnitude of over forecast errors in terajoules (by month) and the proportion of days in the month which were over forecast (including a 12 month rolling average proportion), for the Brisbane short term trading market (STTM) hub." style="width:459.55pt;height:142.75pt;visibility:visible;mso-wrap-style:square">
            <v:imagedata r:id="rId23" o:title=""/>
          </v:shape>
        </w:pict>
      </w:r>
    </w:p>
    <w:p w:rsidR="00A56BE2" w:rsidRDefault="00A56BE2" w:rsidP="00A56BE2">
      <w:pPr>
        <w:pStyle w:val="AERfigureheading"/>
        <w:numPr>
          <w:ilvl w:val="0"/>
          <w:numId w:val="0"/>
        </w:numPr>
        <w:spacing w:before="0" w:after="240"/>
        <w:ind w:left="357" w:hanging="357"/>
      </w:pPr>
      <w:r>
        <w:t xml:space="preserve">Conclusions </w:t>
      </w:r>
    </w:p>
    <w:p w:rsidR="00A56BE2" w:rsidRDefault="00A56BE2" w:rsidP="00A56BE2">
      <w:pPr>
        <w:pStyle w:val="AERbodytext"/>
        <w:rPr>
          <w:rFonts w:cs="Gautami"/>
          <w:szCs w:val="20"/>
        </w:rPr>
      </w:pPr>
      <w:r>
        <w:rPr>
          <w:rFonts w:cs="Gautami"/>
          <w:szCs w:val="20"/>
        </w:rPr>
        <w:t xml:space="preserve">Overall, current average demand forecast errors are relatively low compared to total demand in the STTM and in the case of Adelaide hub previous years’ forecast errors. When errors do occur, they </w:t>
      </w:r>
      <w:r w:rsidRPr="00A3037E">
        <w:rPr>
          <w:rFonts w:cs="Gautami"/>
          <w:szCs w:val="20"/>
        </w:rPr>
        <w:t>appear to be skewed to over forecasting</w:t>
      </w:r>
      <w:r>
        <w:rPr>
          <w:rFonts w:cs="Gautami"/>
          <w:szCs w:val="20"/>
        </w:rPr>
        <w:t xml:space="preserve">. However, we note </w:t>
      </w:r>
      <w:r w:rsidRPr="00A3037E">
        <w:rPr>
          <w:rFonts w:cs="Gautami"/>
          <w:szCs w:val="20"/>
        </w:rPr>
        <w:t>there has been a general trend in 2013</w:t>
      </w:r>
      <w:r>
        <w:rPr>
          <w:rFonts w:cs="Gautami"/>
          <w:szCs w:val="20"/>
        </w:rPr>
        <w:t>/14</w:t>
      </w:r>
      <w:r w:rsidRPr="00A3037E">
        <w:rPr>
          <w:rFonts w:cs="Gautami"/>
          <w:szCs w:val="20"/>
        </w:rPr>
        <w:t xml:space="preserve"> to a more even distribution of under and over forecasting</w:t>
      </w:r>
      <w:r>
        <w:rPr>
          <w:rFonts w:cs="Gautami"/>
          <w:szCs w:val="20"/>
        </w:rPr>
        <w:t xml:space="preserve"> in the Brisbane </w:t>
      </w:r>
      <w:r w:rsidRPr="00A3037E">
        <w:rPr>
          <w:rFonts w:cs="Gautami"/>
          <w:szCs w:val="20"/>
        </w:rPr>
        <w:t>and Adelaide</w:t>
      </w:r>
      <w:r>
        <w:rPr>
          <w:rFonts w:cs="Gautami"/>
          <w:szCs w:val="20"/>
        </w:rPr>
        <w:t xml:space="preserve"> hubs</w:t>
      </w:r>
      <w:r w:rsidRPr="00A3037E">
        <w:rPr>
          <w:rFonts w:cs="Gautami"/>
          <w:szCs w:val="20"/>
        </w:rPr>
        <w:t>.</w:t>
      </w:r>
      <w:r>
        <w:rPr>
          <w:rFonts w:cs="Gautami"/>
          <w:szCs w:val="20"/>
        </w:rPr>
        <w:t xml:space="preserve"> </w:t>
      </w:r>
      <w:r w:rsidRPr="003B3E03">
        <w:rPr>
          <w:rFonts w:cs="Gautami"/>
          <w:szCs w:val="20"/>
        </w:rPr>
        <w:t xml:space="preserve">In </w:t>
      </w:r>
      <w:r>
        <w:rPr>
          <w:rFonts w:cs="Gautami"/>
          <w:szCs w:val="20"/>
        </w:rPr>
        <w:t xml:space="preserve">the </w:t>
      </w:r>
      <w:r w:rsidRPr="003B3E03">
        <w:rPr>
          <w:rFonts w:cs="Gautami"/>
          <w:szCs w:val="20"/>
        </w:rPr>
        <w:t xml:space="preserve">Sydney </w:t>
      </w:r>
      <w:r>
        <w:rPr>
          <w:rFonts w:cs="Gautami"/>
          <w:szCs w:val="20"/>
        </w:rPr>
        <w:t xml:space="preserve">hub, </w:t>
      </w:r>
      <w:r w:rsidRPr="003B3E03">
        <w:rPr>
          <w:rFonts w:cs="Gautami"/>
          <w:szCs w:val="20"/>
        </w:rPr>
        <w:t xml:space="preserve">there has been </w:t>
      </w:r>
      <w:r>
        <w:rPr>
          <w:rFonts w:cs="Gautami"/>
          <w:szCs w:val="20"/>
        </w:rPr>
        <w:t>a</w:t>
      </w:r>
      <w:r w:rsidRPr="003B3E03">
        <w:rPr>
          <w:rFonts w:cs="Gautami"/>
          <w:szCs w:val="20"/>
        </w:rPr>
        <w:t xml:space="preserve"> recent reduction in a bias towards over forecasting, however the skew towards over forecasting remains more pronounced than other hubs and will continue to be a</w:t>
      </w:r>
      <w:r>
        <w:rPr>
          <w:rFonts w:cs="Gautami"/>
          <w:szCs w:val="20"/>
        </w:rPr>
        <w:t>n</w:t>
      </w:r>
      <w:r w:rsidRPr="003B3E03">
        <w:rPr>
          <w:rFonts w:cs="Gautami"/>
          <w:szCs w:val="20"/>
        </w:rPr>
        <w:t xml:space="preserve"> area of focus</w:t>
      </w:r>
      <w:r>
        <w:rPr>
          <w:rFonts w:cs="Gautami"/>
          <w:szCs w:val="20"/>
        </w:rPr>
        <w:t xml:space="preserve"> for the AER</w:t>
      </w:r>
      <w:r w:rsidRPr="003B3E03">
        <w:rPr>
          <w:rFonts w:cs="Gautami"/>
          <w:szCs w:val="20"/>
        </w:rPr>
        <w:t>.</w:t>
      </w:r>
    </w:p>
    <w:p w:rsidR="00A56BE2" w:rsidRDefault="00A56BE2" w:rsidP="00A56BE2">
      <w:pPr>
        <w:pStyle w:val="AERbodytext"/>
        <w:rPr>
          <w:rFonts w:cs="Gautami"/>
          <w:szCs w:val="20"/>
        </w:rPr>
      </w:pPr>
      <w:r>
        <w:rPr>
          <w:rFonts w:cs="Gautami"/>
          <w:szCs w:val="20"/>
        </w:rPr>
        <w:t xml:space="preserve">Beyond demand forecasting trends, the AER will continue to monitor individual forecast errors on a case-by-case basis. Where required, we will contact individual participants for further explanation to ensure those demand forecasts reflect best estimates. We will also report on the effects of inaccurate demand forecasting through our weekly monitoring reports and in QCRs from time to time. </w:t>
      </w:r>
    </w:p>
    <w:p w:rsidR="00A56BE2" w:rsidRPr="003B3E03" w:rsidRDefault="00A56BE2" w:rsidP="00A56BE2">
      <w:pPr>
        <w:pStyle w:val="AERbodytext"/>
        <w:rPr>
          <w:rFonts w:cs="Gautami"/>
          <w:i/>
          <w:szCs w:val="20"/>
        </w:rPr>
      </w:pPr>
      <w:r w:rsidRPr="003B3E03">
        <w:rPr>
          <w:rFonts w:cs="Gautami"/>
          <w:i/>
          <w:szCs w:val="20"/>
        </w:rPr>
        <w:t>Improvements in demand forecasting and impacts on MOS</w:t>
      </w:r>
    </w:p>
    <w:p w:rsidR="00A56BE2" w:rsidRDefault="00A56BE2" w:rsidP="00A56BE2">
      <w:pPr>
        <w:pStyle w:val="AERbodytext"/>
        <w:rPr>
          <w:rFonts w:cs="Gautami"/>
          <w:szCs w:val="20"/>
        </w:rPr>
      </w:pPr>
      <w:r>
        <w:rPr>
          <w:rFonts w:cs="Gautami"/>
          <w:szCs w:val="20"/>
        </w:rPr>
        <w:t xml:space="preserve">As part of our demand forecasting project, we are also </w:t>
      </w:r>
      <w:r w:rsidRPr="003B3E03">
        <w:rPr>
          <w:rFonts w:cs="Gautami"/>
          <w:szCs w:val="20"/>
        </w:rPr>
        <w:t>report</w:t>
      </w:r>
      <w:r>
        <w:rPr>
          <w:rFonts w:cs="Gautami"/>
          <w:szCs w:val="20"/>
        </w:rPr>
        <w:t>ing</w:t>
      </w:r>
      <w:r w:rsidRPr="003B3E03">
        <w:rPr>
          <w:rFonts w:cs="Gautami"/>
          <w:szCs w:val="20"/>
        </w:rPr>
        <w:t xml:space="preserve"> on </w:t>
      </w:r>
      <w:r>
        <w:rPr>
          <w:rFonts w:cs="Gautami"/>
          <w:szCs w:val="20"/>
        </w:rPr>
        <w:t>the impacts of demand forecasting</w:t>
      </w:r>
      <w:r w:rsidRPr="003B3E03">
        <w:rPr>
          <w:rFonts w:cs="Gautami"/>
          <w:szCs w:val="20"/>
        </w:rPr>
        <w:t xml:space="preserve"> </w:t>
      </w:r>
      <w:r>
        <w:rPr>
          <w:rFonts w:cs="Gautami"/>
          <w:szCs w:val="20"/>
        </w:rPr>
        <w:t>up</w:t>
      </w:r>
      <w:r w:rsidRPr="003B3E03">
        <w:rPr>
          <w:rFonts w:cs="Gautami"/>
          <w:szCs w:val="20"/>
        </w:rPr>
        <w:t xml:space="preserve">on the amount of </w:t>
      </w:r>
      <w:r>
        <w:rPr>
          <w:rFonts w:cs="Gautami"/>
          <w:szCs w:val="20"/>
        </w:rPr>
        <w:t>MOS</w:t>
      </w:r>
      <w:r w:rsidRPr="003B3E03">
        <w:rPr>
          <w:rFonts w:cs="Gautami"/>
          <w:szCs w:val="20"/>
        </w:rPr>
        <w:t xml:space="preserve"> quantity required in the market.</w:t>
      </w:r>
      <w:r>
        <w:rPr>
          <w:rFonts w:cs="Gautami"/>
          <w:szCs w:val="20"/>
        </w:rPr>
        <w:t xml:space="preserve"> </w:t>
      </w:r>
    </w:p>
    <w:p w:rsidR="00A56BE2" w:rsidRPr="003B3E03" w:rsidRDefault="00A56BE2" w:rsidP="00A56BE2">
      <w:pPr>
        <w:pStyle w:val="AERbodytext"/>
        <w:rPr>
          <w:rFonts w:cs="Gautami"/>
          <w:szCs w:val="20"/>
        </w:rPr>
      </w:pPr>
      <w:r>
        <w:rPr>
          <w:rFonts w:cs="Gautami"/>
          <w:szCs w:val="20"/>
        </w:rPr>
        <w:lastRenderedPageBreak/>
        <w:t>Overall, t</w:t>
      </w:r>
      <w:r w:rsidRPr="003B3E03">
        <w:rPr>
          <w:rFonts w:cs="Gautami"/>
          <w:szCs w:val="20"/>
        </w:rPr>
        <w:t>here has been a reduction in MOS quantities over 2013/14</w:t>
      </w:r>
      <w:r>
        <w:rPr>
          <w:rFonts w:cs="Gautami"/>
          <w:szCs w:val="20"/>
        </w:rPr>
        <w:t>,</w:t>
      </w:r>
      <w:r w:rsidRPr="003B3E03">
        <w:rPr>
          <w:rFonts w:cs="Gautami"/>
          <w:szCs w:val="20"/>
        </w:rPr>
        <w:t xml:space="preserve"> compared to the previous financial year.</w:t>
      </w:r>
      <w:r>
        <w:rPr>
          <w:rStyle w:val="FootnoteReference"/>
          <w:rFonts w:cs="Gautami"/>
          <w:szCs w:val="20"/>
        </w:rPr>
        <w:footnoteReference w:id="15"/>
      </w:r>
      <w:r w:rsidRPr="003B3E03">
        <w:rPr>
          <w:rFonts w:cs="Gautami"/>
          <w:szCs w:val="20"/>
        </w:rPr>
        <w:t xml:space="preserve"> </w:t>
      </w:r>
      <w:r>
        <w:rPr>
          <w:rFonts w:cs="Gautami"/>
          <w:szCs w:val="20"/>
        </w:rPr>
        <w:t>However, w</w:t>
      </w:r>
      <w:r w:rsidRPr="003B3E03">
        <w:rPr>
          <w:rFonts w:cs="Gautami"/>
          <w:szCs w:val="20"/>
        </w:rPr>
        <w:t>hil</w:t>
      </w:r>
      <w:r>
        <w:rPr>
          <w:rFonts w:cs="Gautami"/>
          <w:szCs w:val="20"/>
        </w:rPr>
        <w:t>e</w:t>
      </w:r>
      <w:r w:rsidRPr="003B3E03">
        <w:rPr>
          <w:rFonts w:cs="Gautami"/>
          <w:szCs w:val="20"/>
        </w:rPr>
        <w:t xml:space="preserve"> we consider that our </w:t>
      </w:r>
      <w:r>
        <w:rPr>
          <w:rFonts w:cs="Gautami"/>
          <w:szCs w:val="20"/>
        </w:rPr>
        <w:t xml:space="preserve">focus on </w:t>
      </w:r>
      <w:r w:rsidRPr="003B3E03">
        <w:rPr>
          <w:rFonts w:cs="Gautami"/>
          <w:szCs w:val="20"/>
        </w:rPr>
        <w:t xml:space="preserve">demand forecasting </w:t>
      </w:r>
      <w:r>
        <w:rPr>
          <w:rFonts w:cs="Gautami"/>
          <w:szCs w:val="20"/>
        </w:rPr>
        <w:t xml:space="preserve">error </w:t>
      </w:r>
      <w:r w:rsidRPr="003B3E03">
        <w:rPr>
          <w:rFonts w:cs="Gautami"/>
          <w:szCs w:val="20"/>
        </w:rPr>
        <w:t xml:space="preserve">is contributing to lower MOS outcomes, there are a number of other factors that </w:t>
      </w:r>
      <w:r>
        <w:rPr>
          <w:rFonts w:cs="Gautami"/>
          <w:szCs w:val="20"/>
        </w:rPr>
        <w:t xml:space="preserve">may have contributed to </w:t>
      </w:r>
      <w:r w:rsidRPr="003B3E03">
        <w:rPr>
          <w:rFonts w:cs="Gautami"/>
          <w:szCs w:val="20"/>
        </w:rPr>
        <w:t xml:space="preserve">the longer term </w:t>
      </w:r>
      <w:r>
        <w:rPr>
          <w:rFonts w:cs="Gautami"/>
          <w:szCs w:val="20"/>
        </w:rPr>
        <w:t xml:space="preserve">MOS </w:t>
      </w:r>
      <w:r w:rsidRPr="003B3E03">
        <w:rPr>
          <w:rFonts w:cs="Gautami"/>
          <w:szCs w:val="20"/>
        </w:rPr>
        <w:t>trends</w:t>
      </w:r>
      <w:r>
        <w:rPr>
          <w:rFonts w:cs="Gautami"/>
          <w:szCs w:val="20"/>
        </w:rPr>
        <w:t xml:space="preserve">. This includes </w:t>
      </w:r>
      <w:r w:rsidRPr="003B3E03">
        <w:rPr>
          <w:rFonts w:cs="Gautami"/>
          <w:szCs w:val="20"/>
        </w:rPr>
        <w:t xml:space="preserve">physical constraints </w:t>
      </w:r>
      <w:r>
        <w:rPr>
          <w:rFonts w:cs="Gautami"/>
          <w:szCs w:val="20"/>
        </w:rPr>
        <w:t xml:space="preserve">in gas distribution networks, such as </w:t>
      </w:r>
      <w:proofErr w:type="spellStart"/>
      <w:r>
        <w:rPr>
          <w:rFonts w:cs="Gautami"/>
          <w:szCs w:val="20"/>
        </w:rPr>
        <w:t>Envestra’s</w:t>
      </w:r>
      <w:proofErr w:type="spellEnd"/>
      <w:r>
        <w:rPr>
          <w:rFonts w:cs="Gautami"/>
          <w:szCs w:val="20"/>
        </w:rPr>
        <w:t xml:space="preserve"> gas distribution network </w:t>
      </w:r>
      <w:r w:rsidRPr="003B3E03">
        <w:rPr>
          <w:rFonts w:cs="Gautami"/>
          <w:szCs w:val="20"/>
        </w:rPr>
        <w:t xml:space="preserve">in </w:t>
      </w:r>
      <w:r>
        <w:rPr>
          <w:rFonts w:cs="Gautami"/>
          <w:szCs w:val="20"/>
        </w:rPr>
        <w:t>South Australia (see section 1.6 below)</w:t>
      </w:r>
      <w:r w:rsidRPr="003B3E03">
        <w:rPr>
          <w:rFonts w:cs="Gautami"/>
          <w:szCs w:val="20"/>
        </w:rPr>
        <w:t xml:space="preserve">. Furthermore, participants </w:t>
      </w:r>
      <w:r>
        <w:rPr>
          <w:rFonts w:cs="Gautami"/>
          <w:szCs w:val="20"/>
        </w:rPr>
        <w:t xml:space="preserve">nominating or </w:t>
      </w:r>
      <w:r w:rsidRPr="003B3E03">
        <w:rPr>
          <w:rFonts w:cs="Gautami"/>
          <w:szCs w:val="20"/>
        </w:rPr>
        <w:t xml:space="preserve">renominating different quantities to those scheduled on pipelines may </w:t>
      </w:r>
      <w:r>
        <w:rPr>
          <w:rFonts w:cs="Gautami"/>
          <w:szCs w:val="20"/>
        </w:rPr>
        <w:t>also be impacting</w:t>
      </w:r>
      <w:r w:rsidRPr="003B3E03">
        <w:rPr>
          <w:rFonts w:cs="Gautami"/>
          <w:szCs w:val="20"/>
        </w:rPr>
        <w:t xml:space="preserve"> </w:t>
      </w:r>
      <w:r>
        <w:rPr>
          <w:rFonts w:cs="Gautami"/>
          <w:szCs w:val="20"/>
        </w:rPr>
        <w:t xml:space="preserve">MOS levels </w:t>
      </w:r>
      <w:r w:rsidRPr="003B3E03">
        <w:rPr>
          <w:rFonts w:cs="Gautami"/>
          <w:szCs w:val="20"/>
        </w:rPr>
        <w:t xml:space="preserve">across the STTM regions. </w:t>
      </w:r>
    </w:p>
    <w:p w:rsidR="00A56BE2" w:rsidRPr="00AE33A7" w:rsidRDefault="00A56BE2" w:rsidP="00A56BE2">
      <w:pPr>
        <w:pStyle w:val="AERbodytext"/>
      </w:pPr>
      <w:r w:rsidRPr="003B3E03">
        <w:rPr>
          <w:rFonts w:cs="Gautami"/>
          <w:szCs w:val="20"/>
        </w:rPr>
        <w:t>We will continue to monitor trends in MOS over 2014/15 and in particular</w:t>
      </w:r>
      <w:r>
        <w:rPr>
          <w:rFonts w:cs="Gautami"/>
          <w:szCs w:val="20"/>
        </w:rPr>
        <w:t>,</w:t>
      </w:r>
      <w:r w:rsidRPr="003B3E03">
        <w:rPr>
          <w:rFonts w:cs="Gautami"/>
          <w:szCs w:val="20"/>
        </w:rPr>
        <w:t xml:space="preserve"> </w:t>
      </w:r>
      <w:r>
        <w:rPr>
          <w:rFonts w:cs="Gautami"/>
          <w:szCs w:val="20"/>
        </w:rPr>
        <w:t>review MOS outcomes in the Adelaide hub following the opening of the Elizabeth zone valve in the South Australia</w:t>
      </w:r>
      <w:r w:rsidRPr="003B3E03">
        <w:rPr>
          <w:rFonts w:cs="Gautami"/>
          <w:szCs w:val="20"/>
        </w:rPr>
        <w:t>.</w:t>
      </w:r>
      <w:r>
        <w:rPr>
          <w:rFonts w:cs="Gautami"/>
          <w:szCs w:val="20"/>
        </w:rPr>
        <w:t xml:space="preserve"> In addition, we will extend our analysis of demand forecasts to include those relating to the Victorian gas market</w:t>
      </w:r>
      <w:r w:rsidRPr="00B84151">
        <w:rPr>
          <w:rFonts w:cs="Gautami"/>
          <w:szCs w:val="20"/>
        </w:rPr>
        <w:t xml:space="preserve"> </w:t>
      </w:r>
      <w:r>
        <w:rPr>
          <w:rFonts w:cs="Gautami"/>
          <w:szCs w:val="20"/>
        </w:rPr>
        <w:t>in 2014/15.</w:t>
      </w:r>
    </w:p>
    <w:p w:rsidR="00F721CC" w:rsidRPr="00A27547" w:rsidRDefault="00F721CC" w:rsidP="00A27547">
      <w:pPr>
        <w:pStyle w:val="AERheading2"/>
        <w:tabs>
          <w:tab w:val="clear" w:pos="5035"/>
          <w:tab w:val="num" w:pos="357"/>
          <w:tab w:val="num" w:pos="851"/>
        </w:tabs>
        <w:ind w:left="357"/>
        <w:jc w:val="both"/>
      </w:pPr>
      <w:bookmarkStart w:id="49" w:name="_Toc394479584"/>
      <w:r w:rsidRPr="00F721CC">
        <w:t>Elizabeth zone valve</w:t>
      </w:r>
      <w:bookmarkEnd w:id="49"/>
    </w:p>
    <w:p w:rsidR="006570B2" w:rsidRPr="00A40664" w:rsidRDefault="006570B2" w:rsidP="00A40664">
      <w:pPr>
        <w:pStyle w:val="AERbodytext"/>
      </w:pPr>
      <w:r w:rsidRPr="00A40664">
        <w:t>The Elizabeth</w:t>
      </w:r>
      <w:r w:rsidR="00750516">
        <w:t xml:space="preserve"> zone</w:t>
      </w:r>
      <w:r w:rsidRPr="00A40664">
        <w:t xml:space="preserve"> valve in the South Australian gas distribution network was opened in June 2014.  The opening of this valve will enable gas to be delivered from the SEA Gas pipeline into the Elizabeth part of </w:t>
      </w:r>
      <w:proofErr w:type="spellStart"/>
      <w:r w:rsidRPr="00A40664">
        <w:t>Envestra’s</w:t>
      </w:r>
      <w:proofErr w:type="spellEnd"/>
      <w:r w:rsidRPr="00A40664">
        <w:t xml:space="preserve"> network. It is hoped this action will reduce the prevalence of counteracting MOS in the Adelaide hub and </w:t>
      </w:r>
      <w:r w:rsidR="00A40664">
        <w:t>prevent the reoccurrence of high MOS payments which were experienced in the market</w:t>
      </w:r>
      <w:r w:rsidRPr="00A40664">
        <w:t xml:space="preserve"> last winter. </w:t>
      </w:r>
    </w:p>
    <w:p w:rsidR="007A1A46" w:rsidRPr="00A40664" w:rsidRDefault="007A1A46" w:rsidP="00A40664">
      <w:pPr>
        <w:pStyle w:val="AERbodytext"/>
      </w:pPr>
      <w:r w:rsidRPr="00A40664">
        <w:t xml:space="preserve">On the 25 June 2013 gas day in the Adelaide </w:t>
      </w:r>
      <w:r w:rsidR="006570B2" w:rsidRPr="00A40664">
        <w:t xml:space="preserve">STTM </w:t>
      </w:r>
      <w:r w:rsidRPr="00A40664">
        <w:t xml:space="preserve">hub 41 TJ of </w:t>
      </w:r>
      <w:r w:rsidR="006570B2" w:rsidRPr="00A40664">
        <w:t>MOS</w:t>
      </w:r>
      <w:r w:rsidRPr="00A40664">
        <w:t xml:space="preserve"> was required. This resulted in a MOS service payment of $252 727–the highest MOS payment over </w:t>
      </w:r>
      <w:r w:rsidR="004C2476">
        <w:t xml:space="preserve">the </w:t>
      </w:r>
      <w:r w:rsidRPr="00A40664">
        <w:t xml:space="preserve">winter </w:t>
      </w:r>
      <w:r w:rsidR="004C2476">
        <w:t xml:space="preserve">of </w:t>
      </w:r>
      <w:r w:rsidRPr="00A40664">
        <w:t xml:space="preserve">2013. At the time, we published a </w:t>
      </w:r>
      <w:r w:rsidR="006570B2" w:rsidRPr="00A40664">
        <w:t>S</w:t>
      </w:r>
      <w:r w:rsidR="004C2476">
        <w:t xml:space="preserve">ignificant </w:t>
      </w:r>
      <w:r w:rsidR="006570B2" w:rsidRPr="00A40664">
        <w:t>P</w:t>
      </w:r>
      <w:r w:rsidR="004C2476">
        <w:t xml:space="preserve">ricing </w:t>
      </w:r>
      <w:r w:rsidR="006570B2" w:rsidRPr="00A40664">
        <w:t>V</w:t>
      </w:r>
      <w:r w:rsidR="004C2476">
        <w:t>ariation (</w:t>
      </w:r>
      <w:r w:rsidR="004C2476" w:rsidRPr="00A7124C">
        <w:rPr>
          <w:b/>
        </w:rPr>
        <w:t>SPV</w:t>
      </w:r>
      <w:r w:rsidR="004C2476">
        <w:t xml:space="preserve">) report </w:t>
      </w:r>
      <w:r w:rsidRPr="00A40664">
        <w:t xml:space="preserve">for this event in accordance </w:t>
      </w:r>
      <w:r w:rsidR="00485DF7">
        <w:t>r</w:t>
      </w:r>
      <w:r w:rsidR="00485DF7" w:rsidRPr="00A40664">
        <w:t xml:space="preserve">ule </w:t>
      </w:r>
      <w:r w:rsidRPr="00A40664">
        <w:t xml:space="preserve">498(1)(b) </w:t>
      </w:r>
      <w:r w:rsidR="004C2476" w:rsidRPr="00A40664">
        <w:t>and 498(2)</w:t>
      </w:r>
      <w:r w:rsidR="004C2476">
        <w:t xml:space="preserve"> </w:t>
      </w:r>
      <w:r w:rsidRPr="00A40664">
        <w:t xml:space="preserve">of Part 20 of the </w:t>
      </w:r>
      <w:r w:rsidR="006570B2" w:rsidRPr="00A40664">
        <w:t>Gas Rules</w:t>
      </w:r>
      <w:r w:rsidRPr="00A40664">
        <w:t>, because the MOS service payment in the Adelaide hub exceeded the reporting threshold of $250 000.</w:t>
      </w:r>
    </w:p>
    <w:p w:rsidR="007A1A46" w:rsidRPr="007A1A46" w:rsidRDefault="007A1A46" w:rsidP="00A40664">
      <w:pPr>
        <w:pStyle w:val="AERbodytext"/>
      </w:pPr>
      <w:r w:rsidRPr="00A40664">
        <w:t>Our investigation into the SPV found that the large requirement for MOS on the day was caused by the SEA Gas pipeline not being able to deliver its nominated quantity of gas into the Adelaide distribution network, and two physical issues had significantly impacted SEA Gas and MAP deliveries and increased MOS requirements. Firstly, the Elizabeth zone (part of the distribution network) was completely isolated from the SEA Gas pipeline, meaning that demand within the Elizabeth</w:t>
      </w:r>
      <w:r w:rsidRPr="007A1A46">
        <w:t xml:space="preserve"> zone could only be serviced by the MAP. We found that this isolation may have been the single biggest contributor to counteracting MOS on that particular gas day, and a key contributor to counteracting MOS in the winter of 2013. Secondly, the pressure differences between the delivery points and within the distribution network limited the ability of the SEA Gas pipeline to supply parts of the distribution network (particularly towards the Taperoo part of the network). These two factors had increased the requirement for MOS as the ratio of gas flows scheduled on the SEA Gas relative to the MAP increases, especially on days of high hub demand. In our SPV </w:t>
      </w:r>
      <w:r w:rsidR="004C2476">
        <w:t xml:space="preserve">report, </w:t>
      </w:r>
      <w:r w:rsidRPr="007A1A46">
        <w:t xml:space="preserve">we recommended that the issues be investigated by </w:t>
      </w:r>
      <w:proofErr w:type="spellStart"/>
      <w:r w:rsidRPr="007A1A46">
        <w:t>Envestra</w:t>
      </w:r>
      <w:proofErr w:type="spellEnd"/>
      <w:r w:rsidRPr="007A1A46">
        <w:t xml:space="preserve"> (the owner of the Adelaide distribution network</w:t>
      </w:r>
      <w:r w:rsidR="004C2476">
        <w:t xml:space="preserve"> at the time</w:t>
      </w:r>
      <w:r w:rsidR="00FE413E">
        <w:t xml:space="preserve">) </w:t>
      </w:r>
      <w:r w:rsidRPr="007A1A46">
        <w:t>as part of its network review.</w:t>
      </w:r>
    </w:p>
    <w:p w:rsidR="007A1A46" w:rsidRDefault="007A1A46" w:rsidP="00895871">
      <w:pPr>
        <w:pStyle w:val="Default"/>
        <w:spacing w:after="240" w:line="288" w:lineRule="auto"/>
        <w:jc w:val="both"/>
        <w:rPr>
          <w:rFonts w:ascii="Gautami" w:eastAsia="Times New Roman" w:hAnsi="Gautami" w:cs="Times New Roman"/>
          <w:color w:val="auto"/>
          <w:sz w:val="20"/>
          <w:lang w:eastAsia="en-US"/>
        </w:rPr>
      </w:pPr>
      <w:r w:rsidRPr="007A1A46">
        <w:rPr>
          <w:rFonts w:ascii="Gautami" w:eastAsia="Times New Roman" w:hAnsi="Gautami" w:cs="Times New Roman"/>
          <w:color w:val="auto"/>
          <w:sz w:val="20"/>
          <w:lang w:eastAsia="en-US"/>
        </w:rPr>
        <w:t>For several years, including the 2013 winter period, the Adelaide network had been operated with a valve (valve 861) closed</w:t>
      </w:r>
      <w:r w:rsidR="004C2476" w:rsidRPr="004C2476">
        <w:rPr>
          <w:rFonts w:ascii="Gautami" w:eastAsia="Times New Roman" w:hAnsi="Gautami" w:cs="Times New Roman"/>
          <w:color w:val="auto"/>
          <w:sz w:val="20"/>
          <w:lang w:eastAsia="en-US"/>
        </w:rPr>
        <w:t xml:space="preserve"> </w:t>
      </w:r>
      <w:r w:rsidR="004C2476" w:rsidRPr="007A1A46">
        <w:rPr>
          <w:rFonts w:ascii="Gautami" w:eastAsia="Times New Roman" w:hAnsi="Gautami" w:cs="Times New Roman"/>
          <w:color w:val="auto"/>
          <w:sz w:val="20"/>
          <w:lang w:eastAsia="en-US"/>
        </w:rPr>
        <w:t>for operational requirements</w:t>
      </w:r>
      <w:r w:rsidRPr="007A1A46">
        <w:rPr>
          <w:rFonts w:ascii="Gautami" w:eastAsia="Times New Roman" w:hAnsi="Gautami" w:cs="Times New Roman"/>
          <w:color w:val="auto"/>
          <w:sz w:val="20"/>
          <w:lang w:eastAsia="en-US"/>
        </w:rPr>
        <w:t xml:space="preserve">. </w:t>
      </w:r>
      <w:r w:rsidR="004C2476">
        <w:rPr>
          <w:rFonts w:ascii="Gautami" w:eastAsia="Times New Roman" w:hAnsi="Gautami" w:cs="Times New Roman"/>
          <w:color w:val="auto"/>
          <w:sz w:val="20"/>
          <w:lang w:eastAsia="en-US"/>
        </w:rPr>
        <w:t>When opened, v</w:t>
      </w:r>
      <w:r w:rsidRPr="007A1A46">
        <w:rPr>
          <w:rFonts w:ascii="Gautami" w:eastAsia="Times New Roman" w:hAnsi="Gautami" w:cs="Times New Roman"/>
          <w:color w:val="auto"/>
          <w:sz w:val="20"/>
          <w:lang w:eastAsia="en-US"/>
        </w:rPr>
        <w:t xml:space="preserve">alve 861 enables gas to be delivered from the SEA Gas pipeline into the Elizabeth part of the network.  At the time, </w:t>
      </w:r>
      <w:proofErr w:type="spellStart"/>
      <w:r w:rsidRPr="007A1A46">
        <w:rPr>
          <w:rFonts w:ascii="Gautami" w:eastAsia="Times New Roman" w:hAnsi="Gautami" w:cs="Times New Roman"/>
          <w:color w:val="auto"/>
          <w:sz w:val="20"/>
          <w:lang w:eastAsia="en-US"/>
        </w:rPr>
        <w:t>Envestra</w:t>
      </w:r>
      <w:proofErr w:type="spellEnd"/>
      <w:r w:rsidRPr="007A1A46">
        <w:rPr>
          <w:rFonts w:ascii="Gautami" w:eastAsia="Times New Roman" w:hAnsi="Gautami" w:cs="Times New Roman"/>
          <w:color w:val="auto"/>
          <w:sz w:val="20"/>
          <w:lang w:eastAsia="en-US"/>
        </w:rPr>
        <w:t xml:space="preserve"> was reviewing its network, and specifically the physical design issues affecting the Adelaide hub. </w:t>
      </w:r>
      <w:proofErr w:type="spellStart"/>
      <w:r w:rsidRPr="007A1A46">
        <w:rPr>
          <w:rFonts w:ascii="Gautami" w:eastAsia="Times New Roman" w:hAnsi="Gautami" w:cs="Times New Roman"/>
          <w:color w:val="auto"/>
          <w:sz w:val="20"/>
          <w:lang w:eastAsia="en-US"/>
        </w:rPr>
        <w:t>Envestra’s</w:t>
      </w:r>
      <w:proofErr w:type="spellEnd"/>
      <w:r w:rsidRPr="007A1A46">
        <w:rPr>
          <w:rFonts w:ascii="Gautami" w:eastAsia="Times New Roman" w:hAnsi="Gautami" w:cs="Times New Roman"/>
          <w:color w:val="auto"/>
          <w:sz w:val="20"/>
          <w:lang w:eastAsia="en-US"/>
        </w:rPr>
        <w:t xml:space="preserve"> review was to include modelling the consequences of opening the valve which was </w:t>
      </w:r>
      <w:r w:rsidRPr="007A1A46">
        <w:rPr>
          <w:rFonts w:ascii="Gautami" w:eastAsia="Times New Roman" w:hAnsi="Gautami" w:cs="Times New Roman"/>
          <w:color w:val="auto"/>
          <w:sz w:val="20"/>
          <w:lang w:eastAsia="en-US"/>
        </w:rPr>
        <w:lastRenderedPageBreak/>
        <w:t>preventing gas from the SEA Gas pipeline going into the Elizabeth zone, and also an engineering evaluation of whether the SEA Gas pipeline could provide the entire gas supply to the Adelaide hub.</w:t>
      </w:r>
    </w:p>
    <w:p w:rsidR="007A1A46" w:rsidRDefault="007A1A46" w:rsidP="00895871">
      <w:pPr>
        <w:pStyle w:val="Default"/>
        <w:spacing w:after="240" w:line="288" w:lineRule="auto"/>
        <w:jc w:val="both"/>
        <w:rPr>
          <w:rFonts w:ascii="Gautami" w:eastAsia="Times New Roman" w:hAnsi="Gautami" w:cs="Times New Roman"/>
          <w:color w:val="auto"/>
          <w:sz w:val="20"/>
          <w:lang w:eastAsia="en-US"/>
        </w:rPr>
      </w:pPr>
      <w:r>
        <w:rPr>
          <w:rFonts w:ascii="Gautami" w:eastAsia="Times New Roman" w:hAnsi="Gautami" w:cs="Times New Roman"/>
          <w:color w:val="auto"/>
          <w:sz w:val="20"/>
          <w:lang w:eastAsia="en-US"/>
        </w:rPr>
        <w:t xml:space="preserve">Following </w:t>
      </w:r>
      <w:r w:rsidRPr="007A1A46">
        <w:rPr>
          <w:rFonts w:ascii="Gautami" w:eastAsia="Times New Roman" w:hAnsi="Gautami" w:cs="Times New Roman"/>
          <w:color w:val="auto"/>
          <w:sz w:val="20"/>
          <w:lang w:eastAsia="en-US"/>
        </w:rPr>
        <w:t xml:space="preserve">our 2013 </w:t>
      </w:r>
      <w:r w:rsidR="004C2476">
        <w:rPr>
          <w:rFonts w:ascii="Gautami" w:eastAsia="Times New Roman" w:hAnsi="Gautami" w:cs="Times New Roman"/>
          <w:color w:val="auto"/>
          <w:sz w:val="20"/>
          <w:lang w:eastAsia="en-US"/>
        </w:rPr>
        <w:t>i</w:t>
      </w:r>
      <w:r w:rsidRPr="007A1A46">
        <w:rPr>
          <w:rFonts w:ascii="Gautami" w:eastAsia="Times New Roman" w:hAnsi="Gautami" w:cs="Times New Roman"/>
          <w:color w:val="auto"/>
          <w:sz w:val="20"/>
          <w:lang w:eastAsia="en-US"/>
        </w:rPr>
        <w:t xml:space="preserve">nquiries and </w:t>
      </w:r>
      <w:r w:rsidR="004C2476">
        <w:rPr>
          <w:rFonts w:ascii="Gautami" w:eastAsia="Times New Roman" w:hAnsi="Gautami" w:cs="Times New Roman"/>
          <w:color w:val="auto"/>
          <w:sz w:val="20"/>
          <w:lang w:eastAsia="en-US"/>
        </w:rPr>
        <w:t>discussions</w:t>
      </w:r>
      <w:r w:rsidR="004C2476" w:rsidRPr="007A1A46">
        <w:rPr>
          <w:rFonts w:ascii="Gautami" w:eastAsia="Times New Roman" w:hAnsi="Gautami" w:cs="Times New Roman"/>
          <w:color w:val="auto"/>
          <w:sz w:val="20"/>
          <w:lang w:eastAsia="en-US"/>
        </w:rPr>
        <w:t xml:space="preserve"> </w:t>
      </w:r>
      <w:r w:rsidRPr="007A1A46">
        <w:rPr>
          <w:rFonts w:ascii="Gautami" w:eastAsia="Times New Roman" w:hAnsi="Gautami" w:cs="Times New Roman"/>
          <w:color w:val="auto"/>
          <w:sz w:val="20"/>
          <w:lang w:eastAsia="en-US"/>
        </w:rPr>
        <w:t xml:space="preserve">with participants about whether the valve could be reopened to address the issues we </w:t>
      </w:r>
      <w:r w:rsidR="004C2476">
        <w:rPr>
          <w:rFonts w:ascii="Gautami" w:eastAsia="Times New Roman" w:hAnsi="Gautami" w:cs="Times New Roman"/>
          <w:color w:val="auto"/>
          <w:sz w:val="20"/>
          <w:lang w:eastAsia="en-US"/>
        </w:rPr>
        <w:t xml:space="preserve">had </w:t>
      </w:r>
      <w:r w:rsidRPr="007A1A46">
        <w:rPr>
          <w:rFonts w:ascii="Gautami" w:eastAsia="Times New Roman" w:hAnsi="Gautami" w:cs="Times New Roman"/>
          <w:color w:val="auto"/>
          <w:sz w:val="20"/>
          <w:lang w:eastAsia="en-US"/>
        </w:rPr>
        <w:t>identified, APA</w:t>
      </w:r>
      <w:r w:rsidR="00B50BA0">
        <w:rPr>
          <w:rFonts w:ascii="Gautami" w:eastAsia="Times New Roman" w:hAnsi="Gautami" w:cs="Times New Roman"/>
          <w:color w:val="auto"/>
          <w:sz w:val="20"/>
          <w:lang w:eastAsia="en-US"/>
        </w:rPr>
        <w:t xml:space="preserve"> Group</w:t>
      </w:r>
      <w:r w:rsidRPr="007A1A46">
        <w:rPr>
          <w:rFonts w:ascii="Gautami" w:eastAsia="Times New Roman" w:hAnsi="Gautami" w:cs="Times New Roman"/>
          <w:color w:val="auto"/>
          <w:sz w:val="20"/>
          <w:lang w:eastAsia="en-US"/>
        </w:rPr>
        <w:t xml:space="preserve"> (</w:t>
      </w:r>
      <w:r w:rsidR="00B50BA0">
        <w:rPr>
          <w:rFonts w:ascii="Gautami" w:eastAsia="Times New Roman" w:hAnsi="Gautami" w:cs="Times New Roman"/>
          <w:color w:val="auto"/>
          <w:sz w:val="20"/>
          <w:lang w:eastAsia="en-US"/>
        </w:rPr>
        <w:t xml:space="preserve">responsible for </w:t>
      </w:r>
      <w:proofErr w:type="spellStart"/>
      <w:r w:rsidR="00B50BA0">
        <w:rPr>
          <w:rFonts w:ascii="Gautami" w:eastAsia="Times New Roman" w:hAnsi="Gautami" w:cs="Times New Roman"/>
          <w:color w:val="auto"/>
          <w:sz w:val="20"/>
          <w:lang w:eastAsia="en-US"/>
        </w:rPr>
        <w:t>Envestra’s</w:t>
      </w:r>
      <w:proofErr w:type="spellEnd"/>
      <w:r w:rsidR="00B50BA0">
        <w:rPr>
          <w:rFonts w:ascii="Gautami" w:eastAsia="Times New Roman" w:hAnsi="Gautami" w:cs="Times New Roman"/>
          <w:color w:val="auto"/>
          <w:sz w:val="20"/>
          <w:lang w:eastAsia="en-US"/>
        </w:rPr>
        <w:t xml:space="preserve"> operations</w:t>
      </w:r>
      <w:r w:rsidRPr="007A1A46">
        <w:rPr>
          <w:rFonts w:ascii="Gautami" w:eastAsia="Times New Roman" w:hAnsi="Gautami" w:cs="Times New Roman"/>
          <w:color w:val="auto"/>
          <w:sz w:val="20"/>
          <w:lang w:eastAsia="en-US"/>
        </w:rPr>
        <w:t>) concluded there would be no material adverse effects of re-opening the valve from an operational capacity and billing perspective. APA</w:t>
      </w:r>
      <w:r w:rsidR="00B50BA0">
        <w:rPr>
          <w:rFonts w:ascii="Gautami" w:eastAsia="Times New Roman" w:hAnsi="Gautami" w:cs="Times New Roman"/>
          <w:color w:val="auto"/>
          <w:sz w:val="20"/>
          <w:lang w:eastAsia="en-US"/>
        </w:rPr>
        <w:t xml:space="preserve"> Group</w:t>
      </w:r>
      <w:r w:rsidRPr="007A1A46">
        <w:rPr>
          <w:rFonts w:ascii="Gautami" w:eastAsia="Times New Roman" w:hAnsi="Gautami" w:cs="Times New Roman"/>
          <w:color w:val="auto"/>
          <w:sz w:val="20"/>
          <w:lang w:eastAsia="en-US"/>
        </w:rPr>
        <w:t xml:space="preserve"> scheduled the valve to be re-opened on 3 July 2014. It will monitor the heating value impact around the network for the ensuing six months and will then assess whether there should be a uniform heating value for the Adelaide </w:t>
      </w:r>
      <w:r w:rsidR="00FC6F25">
        <w:rPr>
          <w:rFonts w:ascii="Gautami" w:eastAsia="Times New Roman" w:hAnsi="Gautami" w:cs="Times New Roman"/>
          <w:color w:val="auto"/>
          <w:sz w:val="20"/>
          <w:lang w:eastAsia="en-US"/>
        </w:rPr>
        <w:t>m</w:t>
      </w:r>
      <w:r w:rsidR="00FC6F25" w:rsidRPr="007A1A46">
        <w:rPr>
          <w:rFonts w:ascii="Gautami" w:eastAsia="Times New Roman" w:hAnsi="Gautami" w:cs="Times New Roman"/>
          <w:color w:val="auto"/>
          <w:sz w:val="20"/>
          <w:lang w:eastAsia="en-US"/>
        </w:rPr>
        <w:t xml:space="preserve">etropolitan </w:t>
      </w:r>
      <w:r w:rsidRPr="007A1A46">
        <w:rPr>
          <w:rFonts w:ascii="Gautami" w:eastAsia="Times New Roman" w:hAnsi="Gautami" w:cs="Times New Roman"/>
          <w:color w:val="auto"/>
          <w:sz w:val="20"/>
          <w:lang w:eastAsia="en-US"/>
        </w:rPr>
        <w:t>area. We will continue to monitor the MOS outcomes following the opening of the valve.</w:t>
      </w:r>
    </w:p>
    <w:p w:rsidR="00E5010A" w:rsidRPr="007C5152" w:rsidRDefault="00E5010A" w:rsidP="00895871">
      <w:pPr>
        <w:pStyle w:val="QCRunnumberedunboldheading"/>
        <w:jc w:val="both"/>
      </w:pPr>
      <w:bookmarkStart w:id="50" w:name="_Toc394479585"/>
      <w:r w:rsidRPr="007C5152">
        <w:t xml:space="preserve">Victorian </w:t>
      </w:r>
      <w:r w:rsidR="00ED7A81" w:rsidRPr="007C5152">
        <w:t>g</w:t>
      </w:r>
      <w:r w:rsidRPr="007C5152">
        <w:t xml:space="preserve">as </w:t>
      </w:r>
      <w:r w:rsidR="00ED7A81" w:rsidRPr="007C5152">
        <w:t>m</w:t>
      </w:r>
      <w:r w:rsidRPr="007C5152">
        <w:t>arket</w:t>
      </w:r>
      <w:bookmarkEnd w:id="50"/>
    </w:p>
    <w:p w:rsidR="00E5010A" w:rsidRDefault="00E5010A" w:rsidP="00BA1BC7">
      <w:pPr>
        <w:pStyle w:val="AERbodytext"/>
      </w:pPr>
      <w:proofErr w:type="gramStart"/>
      <w:r w:rsidRPr="00405B4F">
        <w:t>Part 19 of the Gas Rules sets out participants</w:t>
      </w:r>
      <w:r w:rsidRPr="00405B4F">
        <w:rPr>
          <w:rFonts w:hint="eastAsia"/>
        </w:rPr>
        <w:t>’</w:t>
      </w:r>
      <w:r w:rsidRPr="00405B4F">
        <w:t xml:space="preserve"> res</w:t>
      </w:r>
      <w:r w:rsidR="00ED7A81">
        <w:t>ponsibilities in the Victorian g</w:t>
      </w:r>
      <w:r w:rsidRPr="00405B4F">
        <w:t xml:space="preserve">as </w:t>
      </w:r>
      <w:r w:rsidR="00ED7A81">
        <w:t>m</w:t>
      </w:r>
      <w:r w:rsidRPr="00405B4F">
        <w:t>arket.</w:t>
      </w:r>
      <w:proofErr w:type="gramEnd"/>
      <w:r w:rsidRPr="00405B4F">
        <w:t xml:space="preserve"> The rules outline how wholesale gas is traded within the market and AEMO</w:t>
      </w:r>
      <w:r w:rsidRPr="00405B4F">
        <w:rPr>
          <w:rFonts w:hint="eastAsia"/>
        </w:rPr>
        <w:t>’</w:t>
      </w:r>
      <w:r w:rsidRPr="00405B4F">
        <w:t>s obligations to operate the physical system.</w:t>
      </w:r>
      <w:r>
        <w:t xml:space="preserve"> </w:t>
      </w:r>
      <w:r w:rsidR="0067205F">
        <w:t>No significant compliance issues in the Victorian gas market were identified this quarter.</w:t>
      </w:r>
    </w:p>
    <w:p w:rsidR="00B25981" w:rsidRPr="00860DB5" w:rsidRDefault="00B25981" w:rsidP="00895871">
      <w:pPr>
        <w:pStyle w:val="QCRunnumberedunboldheading"/>
        <w:jc w:val="both"/>
      </w:pPr>
      <w:bookmarkStart w:id="51" w:name="_Toc394479586"/>
      <w:r w:rsidRPr="007C5152">
        <w:t>Bulletin Board</w:t>
      </w:r>
      <w:bookmarkEnd w:id="51"/>
    </w:p>
    <w:p w:rsidR="00846CD6" w:rsidRDefault="00846CD6" w:rsidP="00BA1BC7">
      <w:pPr>
        <w:pStyle w:val="AERbodytext"/>
        <w:rPr>
          <w:rFonts w:cs="Gautami"/>
        </w:rPr>
      </w:pPr>
      <w:proofErr w:type="gramStart"/>
      <w:r>
        <w:t>Part 18 of the Gas Rules sets out participants’ responsibilities regarding the Bulletin Board.</w:t>
      </w:r>
      <w:proofErr w:type="gramEnd"/>
      <w:r>
        <w:t xml:space="preserve"> These obligations aim to facilitate greater transparency in gas production and gas pipeline flows to assist gas trading. The obligations also require participants to identify and report any potential conditions where </w:t>
      </w:r>
      <w:r>
        <w:rPr>
          <w:rFonts w:cs="Gautami"/>
        </w:rPr>
        <w:t>curtailment of gas use might be necessary.</w:t>
      </w:r>
    </w:p>
    <w:p w:rsidR="00461016" w:rsidRDefault="00687BAE" w:rsidP="00895871">
      <w:pPr>
        <w:pStyle w:val="AERbodytext"/>
      </w:pPr>
      <w:r>
        <w:t xml:space="preserve">Under the Gas Rules, Bulletin Board facilities must submit a range of production and flow data to AEMO for publication on the Bulletin Board. This includes </w:t>
      </w:r>
      <w:r w:rsidR="00B50425" w:rsidRPr="00B50425">
        <w:t>daily pipeline nominated and forecast delivery data</w:t>
      </w:r>
      <w:r w:rsidR="001A5366">
        <w:rPr>
          <w:rStyle w:val="FootnoteReference"/>
        </w:rPr>
        <w:footnoteReference w:id="16"/>
      </w:r>
      <w:r w:rsidR="00B50425" w:rsidRPr="00B50425">
        <w:t xml:space="preserve"> </w:t>
      </w:r>
      <w:r>
        <w:t xml:space="preserve">and </w:t>
      </w:r>
      <w:r w:rsidRPr="00B50425">
        <w:t>daily production and pipeline flow</w:t>
      </w:r>
      <w:r w:rsidR="001A5366">
        <w:t xml:space="preserve"> data</w:t>
      </w:r>
      <w:r w:rsidR="00485DF7" w:rsidRPr="00B50425">
        <w:t>.</w:t>
      </w:r>
      <w:r w:rsidR="001A5366">
        <w:rPr>
          <w:rStyle w:val="FootnoteReference"/>
        </w:rPr>
        <w:footnoteReference w:id="17"/>
      </w:r>
      <w:r w:rsidRPr="00B50425">
        <w:t xml:space="preserve"> </w:t>
      </w:r>
      <w:r w:rsidR="00B50425" w:rsidRPr="00B50425">
        <w:t xml:space="preserve">During the quarter, one facility operator failed on two occasions to submit firm nomination Bulletin Board data to AEMO on the relevant gas day. </w:t>
      </w:r>
      <w:r>
        <w:t>Further</w:t>
      </w:r>
      <w:r w:rsidR="00B50425" w:rsidRPr="00B50425">
        <w:t>, four facility operators failed to submit daily flow Bulletin Board data to AEMO</w:t>
      </w:r>
      <w:r w:rsidR="00461016">
        <w:t xml:space="preserve"> </w:t>
      </w:r>
      <w:r w:rsidR="00461016" w:rsidRPr="00B50425">
        <w:t>on 14 occasions</w:t>
      </w:r>
      <w:r w:rsidR="00B50425" w:rsidRPr="00B50425">
        <w:t>.</w:t>
      </w:r>
    </w:p>
    <w:p w:rsidR="00B50BA0" w:rsidRDefault="00F2166A" w:rsidP="00895871">
      <w:pPr>
        <w:pStyle w:val="AERbodytext"/>
      </w:pPr>
      <w:r>
        <w:t>We</w:t>
      </w:r>
      <w:r w:rsidR="006539B9">
        <w:t xml:space="preserve"> will continue to monitor participant</w:t>
      </w:r>
      <w:r>
        <w:t xml:space="preserve">s’ compliance with the Bulletin Board requirements of the </w:t>
      </w:r>
      <w:r w:rsidR="00856BB5">
        <w:t>Gas Rules</w:t>
      </w:r>
      <w:r>
        <w:t xml:space="preserve">. </w:t>
      </w:r>
      <w:r w:rsidR="00687BAE">
        <w:t>In particular</w:t>
      </w:r>
      <w:r>
        <w:t xml:space="preserve">, we will be engaging with Bulletin Board facility operators </w:t>
      </w:r>
      <w:r w:rsidR="00687BAE">
        <w:t xml:space="preserve">over the next quarter to ensure </w:t>
      </w:r>
      <w:r w:rsidR="001A5366">
        <w:t>they are</w:t>
      </w:r>
      <w:r w:rsidR="00687BAE">
        <w:t xml:space="preserve"> updating their short term capacity outlook in accordance with requirements of the Gas Rules.</w:t>
      </w:r>
    </w:p>
    <w:p w:rsidR="00D476F6" w:rsidRPr="00D476F6" w:rsidRDefault="00D476F6" w:rsidP="00895871">
      <w:pPr>
        <w:pStyle w:val="AERbodytext"/>
      </w:pPr>
    </w:p>
    <w:p w:rsidR="007725E6" w:rsidRPr="00860DB5" w:rsidRDefault="004A472C" w:rsidP="00895871">
      <w:pPr>
        <w:pStyle w:val="QCRHeading1"/>
        <w:jc w:val="both"/>
      </w:pPr>
      <w:bookmarkStart w:id="52" w:name="_Toc337553428"/>
      <w:bookmarkStart w:id="53" w:name="_Ref353362815"/>
      <w:bookmarkStart w:id="54" w:name="_Toc394479587"/>
      <w:bookmarkEnd w:id="30"/>
      <w:bookmarkEnd w:id="31"/>
      <w:bookmarkEnd w:id="37"/>
      <w:bookmarkEnd w:id="38"/>
      <w:r w:rsidRPr="00860DB5">
        <w:lastRenderedPageBreak/>
        <w:t>Electricity</w:t>
      </w:r>
      <w:bookmarkEnd w:id="52"/>
      <w:bookmarkEnd w:id="53"/>
      <w:bookmarkEnd w:id="54"/>
    </w:p>
    <w:p w:rsidR="004A472C" w:rsidRDefault="00DC3257" w:rsidP="00BA1BC7">
      <w:pPr>
        <w:pStyle w:val="AERbodytext"/>
      </w:pPr>
      <w:r>
        <w:t>We are</w:t>
      </w:r>
      <w:r w:rsidR="004A472C" w:rsidRPr="00405B4F">
        <w:t xml:space="preserve"> responsible for monitoring, investigating and </w:t>
      </w:r>
      <w:r w:rsidR="00106D97" w:rsidRPr="00405B4F">
        <w:t>enforcing c</w:t>
      </w:r>
      <w:r w:rsidR="004A472C" w:rsidRPr="00405B4F">
        <w:t>ompliance under the Electricity Law and Rules.</w:t>
      </w:r>
    </w:p>
    <w:p w:rsidR="00783406" w:rsidRPr="00405B4F" w:rsidRDefault="00783406" w:rsidP="005247DA">
      <w:pPr>
        <w:pStyle w:val="AERbodytext"/>
      </w:pPr>
      <w:r w:rsidRPr="00405B4F">
        <w:t>This part of the report provides an update on investigations</w:t>
      </w:r>
      <w:r>
        <w:t>,</w:t>
      </w:r>
      <w:r w:rsidRPr="00405B4F">
        <w:t xml:space="preserve"> compliance matters </w:t>
      </w:r>
      <w:r>
        <w:t xml:space="preserve">and projects </w:t>
      </w:r>
      <w:r w:rsidRPr="00405B4F">
        <w:t xml:space="preserve">in the </w:t>
      </w:r>
      <w:r>
        <w:t xml:space="preserve">electricity </w:t>
      </w:r>
      <w:r w:rsidRPr="00405B4F">
        <w:t>market.</w:t>
      </w:r>
      <w:r>
        <w:t xml:space="preserve"> </w:t>
      </w:r>
    </w:p>
    <w:p w:rsidR="004A472C" w:rsidRPr="005F3BE7" w:rsidRDefault="004A472C" w:rsidP="00A27547">
      <w:pPr>
        <w:pStyle w:val="AERheading2"/>
        <w:tabs>
          <w:tab w:val="clear" w:pos="5035"/>
          <w:tab w:val="num" w:pos="357"/>
          <w:tab w:val="num" w:pos="851"/>
        </w:tabs>
        <w:ind w:left="357"/>
        <w:jc w:val="both"/>
      </w:pPr>
      <w:bookmarkStart w:id="55" w:name="_Toc212011732"/>
      <w:bookmarkStart w:id="56" w:name="_Toc212011733"/>
      <w:bookmarkStart w:id="57" w:name="_Toc212011734"/>
      <w:bookmarkStart w:id="58" w:name="_Toc212011740"/>
      <w:bookmarkStart w:id="59" w:name="_Toc394479588"/>
      <w:bookmarkStart w:id="60" w:name="_Toc307317355"/>
      <w:bookmarkStart w:id="61" w:name="_Toc330814067"/>
      <w:bookmarkStart w:id="62" w:name="OLE_LINK22"/>
      <w:bookmarkStart w:id="63" w:name="OLE_LINK25"/>
      <w:bookmarkStart w:id="64" w:name="OLE_LINK70"/>
      <w:bookmarkStart w:id="65" w:name="OLE_LINK71"/>
      <w:bookmarkStart w:id="66" w:name="OLE_LINK81"/>
      <w:bookmarkStart w:id="67" w:name="OLE_LINK82"/>
      <w:bookmarkStart w:id="68" w:name="OLE_LINK11"/>
      <w:bookmarkStart w:id="69" w:name="OLE_LINK13"/>
      <w:bookmarkStart w:id="70" w:name="_Ref222739334"/>
      <w:bookmarkStart w:id="71" w:name="_Toc229556409"/>
      <w:bookmarkStart w:id="72" w:name="OLE_LINK9"/>
      <w:bookmarkStart w:id="73" w:name="OLE_LINK10"/>
      <w:bookmarkStart w:id="74" w:name="_Ref221697778"/>
      <w:bookmarkStart w:id="75" w:name="_Toc229556410"/>
      <w:bookmarkStart w:id="76" w:name="OLE_LINK31"/>
      <w:bookmarkStart w:id="77" w:name="OLE_LINK69"/>
      <w:bookmarkStart w:id="78" w:name="OLE_LINK77"/>
      <w:bookmarkStart w:id="79" w:name="OLE_LINK78"/>
      <w:bookmarkStart w:id="80" w:name="OLE_LINK79"/>
      <w:bookmarkStart w:id="81" w:name="OLE_LINK80"/>
      <w:bookmarkEnd w:id="55"/>
      <w:bookmarkEnd w:id="56"/>
      <w:bookmarkEnd w:id="57"/>
      <w:bookmarkEnd w:id="58"/>
      <w:r w:rsidRPr="005F3BE7">
        <w:t>Rebidding</w:t>
      </w:r>
      <w:bookmarkEnd w:id="59"/>
      <w:r w:rsidRPr="005F3BE7">
        <w:t xml:space="preserve"> </w:t>
      </w:r>
    </w:p>
    <w:p w:rsidR="00A15C7F" w:rsidRPr="00405B4F" w:rsidRDefault="00A15C7F" w:rsidP="00BA1BC7">
      <w:pPr>
        <w:pStyle w:val="AERbodytext"/>
      </w:pPr>
      <w:bookmarkStart w:id="82" w:name="OLE_LINK17"/>
      <w:bookmarkStart w:id="83" w:name="OLE_LINK19"/>
      <w:bookmarkStart w:id="84" w:name="OLE_LINK6"/>
      <w:bookmarkEnd w:id="60"/>
      <w:bookmarkEnd w:id="61"/>
      <w:bookmarkEnd w:id="62"/>
      <w:bookmarkEnd w:id="63"/>
      <w:bookmarkEnd w:id="64"/>
      <w:bookmarkEnd w:id="65"/>
      <w:bookmarkEnd w:id="66"/>
      <w:bookmarkEnd w:id="67"/>
      <w:r w:rsidRPr="00405B4F">
        <w:t>Scheduled generators and market participants operating in the National Electricity Market (</w:t>
      </w:r>
      <w:r w:rsidRPr="00405B4F">
        <w:rPr>
          <w:b/>
        </w:rPr>
        <w:t>NEM</w:t>
      </w:r>
      <w:r w:rsidRPr="00405B4F">
        <w:t>) submit electricity offers and bids for each half hour trading interval. The offers and bids include available capacity for up to 10 price bands, and can be varied through rebidding.</w:t>
      </w:r>
      <w:r w:rsidRPr="00405B4F">
        <w:rPr>
          <w:vertAlign w:val="superscript"/>
        </w:rPr>
        <w:footnoteReference w:id="18"/>
      </w:r>
    </w:p>
    <w:p w:rsidR="00A15C7F" w:rsidRPr="000D2D9C" w:rsidRDefault="00A15C7F" w:rsidP="005247DA">
      <w:pPr>
        <w:pStyle w:val="AERbodytext"/>
        <w:rPr>
          <w:highlight w:val="yellow"/>
        </w:rPr>
      </w:pPr>
      <w:r>
        <w:t>We</w:t>
      </w:r>
      <w:r w:rsidRPr="00405B4F">
        <w:t xml:space="preserve"> adopted a new strategy in relation to enforcing generator rebidding reason r</w:t>
      </w:r>
      <w:r>
        <w:t>equirements in 2010</w:t>
      </w:r>
      <w:r w:rsidRPr="00405B4F">
        <w:t>.</w:t>
      </w:r>
      <w:r w:rsidRPr="00405B4F">
        <w:rPr>
          <w:vertAlign w:val="superscript"/>
        </w:rPr>
        <w:footnoteReference w:id="19"/>
      </w:r>
      <w:r w:rsidRPr="00405B4F">
        <w:t xml:space="preserve"> Generators that submit </w:t>
      </w:r>
      <w:proofErr w:type="gramStart"/>
      <w:r w:rsidRPr="00405B4F">
        <w:t>offer,</w:t>
      </w:r>
      <w:proofErr w:type="gramEnd"/>
      <w:r w:rsidRPr="00405B4F">
        <w:t xml:space="preserve"> bid and/or rebid information that does not meet the requirements of the Electricity Rules will receive two warnings. On the third warning within six months, </w:t>
      </w:r>
      <w:r>
        <w:t>we</w:t>
      </w:r>
      <w:r w:rsidRPr="00405B4F">
        <w:t xml:space="preserve"> will consider issuing an infringement notice. </w:t>
      </w:r>
      <w:r>
        <w:t xml:space="preserve">A </w:t>
      </w:r>
      <w:r w:rsidRPr="00405B4F">
        <w:t xml:space="preserve">participant’s warning count </w:t>
      </w:r>
      <w:r>
        <w:t xml:space="preserve">is set </w:t>
      </w:r>
      <w:r w:rsidRPr="00405B4F">
        <w:t>to zero</w:t>
      </w:r>
      <w:r>
        <w:t xml:space="preserve"> after six months</w:t>
      </w:r>
      <w:r w:rsidRPr="00405B4F">
        <w:t xml:space="preserve">. </w:t>
      </w:r>
    </w:p>
    <w:p w:rsidR="00A15C7F" w:rsidRPr="0059623E" w:rsidRDefault="00A15C7F" w:rsidP="00895871">
      <w:pPr>
        <w:pStyle w:val="AERbodytext"/>
      </w:pPr>
      <w:r w:rsidRPr="009B5854">
        <w:t>Figure 2.1</w:t>
      </w:r>
      <w:r>
        <w:t xml:space="preserve"> </w:t>
      </w:r>
      <w:r w:rsidRPr="00405B4F">
        <w:t xml:space="preserve">shows that since 2010 the number of rebids detected by </w:t>
      </w:r>
      <w:r>
        <w:t>our</w:t>
      </w:r>
      <w:r w:rsidRPr="00405B4F">
        <w:t xml:space="preserve"> internal compliance system has fallen markedly. The number of rebids which required further review </w:t>
      </w:r>
      <w:r w:rsidR="00B911AB">
        <w:t>continues to remain significantly low</w:t>
      </w:r>
      <w:r w:rsidRPr="00405B4F">
        <w:t>.</w:t>
      </w:r>
      <w:r w:rsidRPr="0059623E">
        <w:t xml:space="preserve"> </w:t>
      </w:r>
    </w:p>
    <w:p w:rsidR="00A15C7F" w:rsidRPr="00950C37" w:rsidRDefault="00A15C7F" w:rsidP="00895871">
      <w:pPr>
        <w:pStyle w:val="AERfigureheading"/>
        <w:jc w:val="both"/>
      </w:pPr>
      <w:r w:rsidRPr="00950C37">
        <w:t>Rebids auto-triggered and reviewed per week</w:t>
      </w:r>
    </w:p>
    <w:p w:rsidR="00A15C7F" w:rsidRDefault="002E27D5" w:rsidP="00895871">
      <w:pPr>
        <w:jc w:val="both"/>
        <w:rPr>
          <w:noProof/>
        </w:rPr>
      </w:pPr>
      <w:r>
        <w:rPr>
          <w:noProof/>
        </w:rPr>
        <w:pict>
          <v:shape id="_x0000_i1034" type="#_x0000_t75" alt="Figure 2.1 shows the number of automatically triggered electricity rebid reason alerts and the number of these which are reviewed by the AER." style="width:391.95pt;height:212.85pt;visibility:visible;mso-wrap-style:square">
            <v:imagedata r:id="rId24" o:title=""/>
          </v:shape>
        </w:pict>
      </w:r>
    </w:p>
    <w:p w:rsidR="00A15C7F" w:rsidRDefault="00A15C7F" w:rsidP="00BA1BC7">
      <w:pPr>
        <w:pStyle w:val="AERbodytext"/>
      </w:pPr>
      <w:r>
        <w:lastRenderedPageBreak/>
        <w:t>There were two fi</w:t>
      </w:r>
      <w:r w:rsidR="00856BB5">
        <w:t>r</w:t>
      </w:r>
      <w:r>
        <w:t>st warnings issued d</w:t>
      </w:r>
      <w:r w:rsidRPr="00950C37">
        <w:t xml:space="preserve">uring the </w:t>
      </w:r>
      <w:r>
        <w:t>June</w:t>
      </w:r>
      <w:r w:rsidRPr="00950C37">
        <w:t xml:space="preserve"> quarter. </w:t>
      </w:r>
      <w:r>
        <w:t xml:space="preserve">Both warnings were due to the participants not submitting a time adduced in their rebid reasons. </w:t>
      </w:r>
      <w:r w:rsidRPr="00950C37">
        <w:t xml:space="preserve">Participants notified us </w:t>
      </w:r>
      <w:r>
        <w:t>of</w:t>
      </w:r>
      <w:r w:rsidRPr="00950C37">
        <w:t xml:space="preserve"> error</w:t>
      </w:r>
      <w:r>
        <w:t>s</w:t>
      </w:r>
      <w:r w:rsidRPr="00950C37">
        <w:t xml:space="preserve"> in their rebids on </w:t>
      </w:r>
      <w:r>
        <w:t>17</w:t>
      </w:r>
      <w:r w:rsidRPr="00950C37">
        <w:t> occasions</w:t>
      </w:r>
      <w:r>
        <w:t xml:space="preserve"> during the quarter and three participants had their warning counts reset to zero. </w:t>
      </w:r>
    </w:p>
    <w:p w:rsidR="00895871" w:rsidRPr="00895871" w:rsidRDefault="00A61982" w:rsidP="00A27547">
      <w:pPr>
        <w:pStyle w:val="AERheading2"/>
        <w:tabs>
          <w:tab w:val="clear" w:pos="5035"/>
          <w:tab w:val="num" w:pos="357"/>
          <w:tab w:val="num" w:pos="851"/>
        </w:tabs>
        <w:ind w:left="357"/>
        <w:jc w:val="both"/>
      </w:pPr>
      <w:bookmarkStart w:id="85" w:name="_Toc361240109"/>
      <w:bookmarkStart w:id="86" w:name="_Toc394479589"/>
      <w:bookmarkStart w:id="87" w:name="_Toc330814074"/>
      <w:bookmarkEnd w:id="68"/>
      <w:bookmarkEnd w:id="69"/>
      <w:bookmarkEnd w:id="70"/>
      <w:bookmarkEnd w:id="71"/>
      <w:bookmarkEnd w:id="72"/>
      <w:bookmarkEnd w:id="73"/>
      <w:bookmarkEnd w:id="82"/>
      <w:bookmarkEnd w:id="83"/>
      <w:bookmarkEnd w:id="84"/>
      <w:bookmarkEnd w:id="85"/>
      <w:r>
        <w:t>Snowy Hydro</w:t>
      </w:r>
      <w:r w:rsidR="00895871">
        <w:t xml:space="preserve">: </w:t>
      </w:r>
      <w:r w:rsidR="00895871" w:rsidRPr="00895871">
        <w:t>alleged failure to comply with AEMO dispatch instructions</w:t>
      </w:r>
      <w:bookmarkEnd w:id="86"/>
    </w:p>
    <w:p w:rsidR="00895871" w:rsidRPr="00895871" w:rsidRDefault="00895871" w:rsidP="00895871">
      <w:pPr>
        <w:pStyle w:val="AERbodytext"/>
        <w:rPr>
          <w:lang w:val="en"/>
        </w:rPr>
      </w:pPr>
      <w:r w:rsidRPr="00895871">
        <w:rPr>
          <w:lang w:val="en"/>
        </w:rPr>
        <w:t>The AER has instituted proceedings in the Federal Court of Australia against Snowy Hydro</w:t>
      </w:r>
      <w:r w:rsidRPr="00895871">
        <w:rPr>
          <w:rStyle w:val="FootnoteReference"/>
          <w:rFonts w:cs="Gautami"/>
          <w:color w:val="464545"/>
          <w:szCs w:val="20"/>
          <w:lang w:val="en"/>
        </w:rPr>
        <w:footnoteReference w:id="20"/>
      </w:r>
      <w:r w:rsidRPr="00895871">
        <w:rPr>
          <w:lang w:val="en"/>
        </w:rPr>
        <w:t xml:space="preserve"> for alleged contraventions of the Electricity Rules.</w:t>
      </w:r>
    </w:p>
    <w:p w:rsidR="00895871" w:rsidRPr="00895871" w:rsidRDefault="00895871" w:rsidP="00895871">
      <w:pPr>
        <w:pStyle w:val="AERbodytext"/>
        <w:rPr>
          <w:lang w:val="en"/>
        </w:rPr>
      </w:pPr>
      <w:r w:rsidRPr="00895871">
        <w:rPr>
          <w:lang w:val="en"/>
        </w:rPr>
        <w:t>The AER alleges that Snowy Hydro failed to follow dispatch instructions issued by AEMO on nine occasions in 2012 and 2013, in breach of the Electricity Rules which require generators to comply with AEMO dispatch instructions. The AER alleges that, on each occasion, Snowy Hydro generated substantially more power than the dispatch instruction required it to generate, and earned a greater trading amount from each transaction than it would have earned if it had complied with the dispatch instruction.</w:t>
      </w:r>
    </w:p>
    <w:p w:rsidR="00895871" w:rsidRPr="00895871" w:rsidRDefault="00895871" w:rsidP="00895871">
      <w:pPr>
        <w:pStyle w:val="AERbodytext"/>
        <w:rPr>
          <w:lang w:val="en"/>
        </w:rPr>
      </w:pPr>
      <w:r w:rsidRPr="00895871">
        <w:rPr>
          <w:lang w:val="en"/>
        </w:rPr>
        <w:t xml:space="preserve">Compliance with dispatch instructions is mandatory to ensure the power system remains secure. AEMO relies upon conformance with dispatch instructions to ensure it can effectively perform its functions as both power system operator and market operator for the </w:t>
      </w:r>
      <w:r w:rsidR="007F2F04">
        <w:rPr>
          <w:lang w:val="en"/>
        </w:rPr>
        <w:t>NEM</w:t>
      </w:r>
      <w:r w:rsidRPr="00895871">
        <w:rPr>
          <w:lang w:val="en"/>
        </w:rPr>
        <w:t>.</w:t>
      </w:r>
    </w:p>
    <w:p w:rsidR="00895871" w:rsidRPr="00895871" w:rsidRDefault="00895871" w:rsidP="00895871">
      <w:pPr>
        <w:pStyle w:val="AERbodytext"/>
        <w:rPr>
          <w:lang w:val="en"/>
        </w:rPr>
      </w:pPr>
      <w:r w:rsidRPr="00895871">
        <w:rPr>
          <w:lang w:val="en"/>
        </w:rPr>
        <w:t>The AER is seeking declarations, injunctions, penalties and costs.</w:t>
      </w:r>
    </w:p>
    <w:p w:rsidR="00B53422" w:rsidRDefault="00B53422" w:rsidP="00A27547">
      <w:pPr>
        <w:pStyle w:val="AERheading2"/>
        <w:tabs>
          <w:tab w:val="clear" w:pos="5035"/>
          <w:tab w:val="num" w:pos="357"/>
          <w:tab w:val="num" w:pos="851"/>
        </w:tabs>
        <w:ind w:left="357"/>
        <w:jc w:val="both"/>
      </w:pPr>
      <w:bookmarkStart w:id="88" w:name="_Toc394479590"/>
      <w:bookmarkStart w:id="89" w:name="_Ref353363026"/>
      <w:proofErr w:type="spellStart"/>
      <w:r>
        <w:t>Lumo</w:t>
      </w:r>
      <w:proofErr w:type="spellEnd"/>
      <w:r>
        <w:t xml:space="preserve"> Energy - Market management system access</w:t>
      </w:r>
      <w:bookmarkEnd w:id="88"/>
    </w:p>
    <w:p w:rsidR="001B0546" w:rsidRDefault="00EB7751" w:rsidP="00BA1BC7">
      <w:pPr>
        <w:pStyle w:val="AERbodytext"/>
      </w:pPr>
      <w:proofErr w:type="spellStart"/>
      <w:r>
        <w:t>Lumo</w:t>
      </w:r>
      <w:proofErr w:type="spellEnd"/>
      <w:r>
        <w:t xml:space="preserve"> Energy paid an infringement penalty of $20,000 for enabling unauthorised persons to have access to AEMO’s market systems. The AER issued the infringement notice </w:t>
      </w:r>
      <w:r w:rsidR="001B0546">
        <w:t xml:space="preserve">to </w:t>
      </w:r>
      <w:proofErr w:type="spellStart"/>
      <w:r w:rsidR="001B0546">
        <w:t>Lumo</w:t>
      </w:r>
      <w:proofErr w:type="spellEnd"/>
      <w:r w:rsidR="001B0546">
        <w:t xml:space="preserve"> Energy </w:t>
      </w:r>
      <w:r>
        <w:t>after undertaking</w:t>
      </w:r>
      <w:r w:rsidR="001B0546">
        <w:t xml:space="preserve"> a 5 month investigation into </w:t>
      </w:r>
      <w:proofErr w:type="spellStart"/>
      <w:r w:rsidR="001B0546">
        <w:t>Lumo</w:t>
      </w:r>
      <w:proofErr w:type="spellEnd"/>
      <w:r w:rsidR="001B0546">
        <w:t xml:space="preserve"> Energy’s conduct.</w:t>
      </w:r>
      <w:r w:rsidR="00CC26AC">
        <w:t xml:space="preserve"> </w:t>
      </w:r>
      <w:r w:rsidR="001B0546">
        <w:t xml:space="preserve"> </w:t>
      </w:r>
    </w:p>
    <w:p w:rsidR="006E3545" w:rsidRDefault="001B0546" w:rsidP="005247DA">
      <w:pPr>
        <w:pStyle w:val="AERbulletlistfirststyle"/>
      </w:pPr>
      <w:r>
        <w:t xml:space="preserve">The AER launched an investigation into </w:t>
      </w:r>
      <w:proofErr w:type="spellStart"/>
      <w:r>
        <w:t>Lumo</w:t>
      </w:r>
      <w:proofErr w:type="spellEnd"/>
      <w:r>
        <w:t xml:space="preserve"> Energy, </w:t>
      </w:r>
      <w:r w:rsidR="00CC26AC">
        <w:t>after</w:t>
      </w:r>
      <w:r>
        <w:t xml:space="preserve"> </w:t>
      </w:r>
      <w:r w:rsidR="00F70C0E">
        <w:t xml:space="preserve">it was alleged that </w:t>
      </w:r>
      <w:proofErr w:type="spellStart"/>
      <w:r>
        <w:t>Lumo</w:t>
      </w:r>
      <w:proofErr w:type="spellEnd"/>
      <w:r>
        <w:t xml:space="preserve"> Energy had made changes to its IT network that facilitated access </w:t>
      </w:r>
      <w:r w:rsidR="00CC26AC">
        <w:t xml:space="preserve">to AEMO’s market systems </w:t>
      </w:r>
      <w:r>
        <w:t xml:space="preserve">which was not consistent with clause 3.19(c) of the Electricity Rules.  Clause 3.19(c) of the Electricity Rules requires registered participants to comply with the </w:t>
      </w:r>
      <w:r w:rsidRPr="001B0546">
        <w:rPr>
          <w:szCs w:val="24"/>
        </w:rPr>
        <w:t>Market Management Systems Access Procedures.</w:t>
      </w:r>
      <w:r>
        <w:t xml:space="preserve"> The Market Management Systems Access Procedures prescribe obligations </w:t>
      </w:r>
      <w:r w:rsidR="00CF323F">
        <w:t xml:space="preserve">which prohibit, among other things, unauthorised persons from accessing AEMO’s market systems. </w:t>
      </w:r>
    </w:p>
    <w:p w:rsidR="00285B2F" w:rsidRPr="00561E30" w:rsidRDefault="00CF323F" w:rsidP="005247DA">
      <w:pPr>
        <w:pStyle w:val="AERbulletlistfirststyle"/>
      </w:pPr>
      <w:r>
        <w:t xml:space="preserve">AEMO’s market systems include the Market Settlement and Transfer Solution (MSATS) system. </w:t>
      </w:r>
      <w:r w:rsidR="00285B2F">
        <w:t>The MSATS system facilitates customer transfers</w:t>
      </w:r>
      <w:r w:rsidR="006E3545">
        <w:t xml:space="preserve"> and market settlement</w:t>
      </w:r>
      <w:r w:rsidR="00285B2F">
        <w:t xml:space="preserve"> in the </w:t>
      </w:r>
      <w:r w:rsidR="007F2F04">
        <w:t>NEM</w:t>
      </w:r>
      <w:r w:rsidR="00285B2F">
        <w:t>. The MSATS system, which is administered by AEMO, holds an array of data relating to each connection point. The MSATS system also facilitates settlement processes in the NEM. Participant access to the MSATS system is defined by the access procedures.</w:t>
      </w:r>
    </w:p>
    <w:p w:rsidR="00EB7751" w:rsidRDefault="00EB7751" w:rsidP="005247DA">
      <w:pPr>
        <w:pStyle w:val="AERbulletlistfirststyle"/>
      </w:pPr>
      <w:r>
        <w:t xml:space="preserve">On 16 December 2013, AEMO advised the AER that </w:t>
      </w:r>
      <w:proofErr w:type="spellStart"/>
      <w:r>
        <w:t>Lumo</w:t>
      </w:r>
      <w:proofErr w:type="spellEnd"/>
      <w:r>
        <w:t xml:space="preserve"> Energy had made changes to its IT network that facilitated access to the MSATS system which was not consistent with the access procedures. In response, the AER sought a range of information from </w:t>
      </w:r>
      <w:proofErr w:type="spellStart"/>
      <w:r>
        <w:t>Lumo</w:t>
      </w:r>
      <w:proofErr w:type="spellEnd"/>
      <w:r>
        <w:t xml:space="preserve"> Energy to ascertain the validity of this information.</w:t>
      </w:r>
    </w:p>
    <w:p w:rsidR="00EB7751" w:rsidRDefault="00F70C0E" w:rsidP="005247DA">
      <w:pPr>
        <w:pStyle w:val="AERbulletlistfirststyle"/>
      </w:pPr>
      <w:r>
        <w:lastRenderedPageBreak/>
        <w:t xml:space="preserve">The AER </w:t>
      </w:r>
      <w:r w:rsidR="00EB7751">
        <w:t xml:space="preserve">formed the view </w:t>
      </w:r>
      <w:r w:rsidR="00EB7751" w:rsidRPr="00AF4E57">
        <w:t xml:space="preserve">that </w:t>
      </w:r>
      <w:proofErr w:type="spellStart"/>
      <w:r w:rsidR="00EB7751" w:rsidRPr="00AF4E57">
        <w:t>Lumo</w:t>
      </w:r>
      <w:proofErr w:type="spellEnd"/>
      <w:r w:rsidR="00EB7751" w:rsidRPr="00AF4E57">
        <w:t xml:space="preserve"> Energy breached rule 3.19(c). </w:t>
      </w:r>
      <w:r>
        <w:t>The AER</w:t>
      </w:r>
      <w:r w:rsidRPr="00AF4E57">
        <w:t xml:space="preserve"> </w:t>
      </w:r>
      <w:r w:rsidR="00EB7751" w:rsidRPr="00AF4E57">
        <w:t xml:space="preserve">consider that </w:t>
      </w:r>
      <w:proofErr w:type="spellStart"/>
      <w:r w:rsidR="00EB7751" w:rsidRPr="00AF4E57">
        <w:t>Lumo</w:t>
      </w:r>
      <w:proofErr w:type="spellEnd"/>
      <w:r w:rsidR="00EB7751" w:rsidRPr="00AF4E57">
        <w:t xml:space="preserve"> Energy had enabled:</w:t>
      </w:r>
    </w:p>
    <w:p w:rsidR="00EB7751" w:rsidRDefault="00EB7751" w:rsidP="00C81DD0">
      <w:pPr>
        <w:pStyle w:val="AERbulletlistsecondstyle"/>
      </w:pPr>
      <w:r>
        <w:t xml:space="preserve"> unauthorised</w:t>
      </w:r>
      <w:r w:rsidRPr="002E2C8F">
        <w:t xml:space="preserve"> IP addresses to be exposed to the </w:t>
      </w:r>
      <w:r>
        <w:t>MSATS</w:t>
      </w:r>
      <w:r w:rsidRPr="002E2C8F">
        <w:t xml:space="preserve"> system</w:t>
      </w:r>
      <w:r>
        <w:t xml:space="preserve"> and</w:t>
      </w:r>
    </w:p>
    <w:p w:rsidR="00EB7751" w:rsidRDefault="00EB7751" w:rsidP="00C81DD0">
      <w:pPr>
        <w:pStyle w:val="AERbulletlistsecondstyle"/>
      </w:pPr>
      <w:r>
        <w:t xml:space="preserve"> </w:t>
      </w:r>
      <w:proofErr w:type="gramStart"/>
      <w:r>
        <w:t>the</w:t>
      </w:r>
      <w:proofErr w:type="gramEnd"/>
      <w:r>
        <w:t xml:space="preserve"> transmission of </w:t>
      </w:r>
      <w:r w:rsidRPr="002E2C8F">
        <w:t xml:space="preserve">unencrypted </w:t>
      </w:r>
      <w:r>
        <w:t>MSATS</w:t>
      </w:r>
      <w:r w:rsidRPr="002E2C8F">
        <w:t xml:space="preserve"> data over the public internet</w:t>
      </w:r>
      <w:r>
        <w:t>.</w:t>
      </w:r>
    </w:p>
    <w:p w:rsidR="00CC26AC" w:rsidRDefault="00CC26AC" w:rsidP="00BA1BC7">
      <w:pPr>
        <w:pStyle w:val="AERbodytext"/>
      </w:pPr>
      <w:r>
        <w:t xml:space="preserve">The AER issued </w:t>
      </w:r>
      <w:proofErr w:type="spellStart"/>
      <w:r>
        <w:t>Lumo</w:t>
      </w:r>
      <w:proofErr w:type="spellEnd"/>
      <w:r>
        <w:t xml:space="preserve"> Energy with an infringement notice on 19 May 2014, alleging it had breached rule 3.19(c).</w:t>
      </w:r>
      <w:r w:rsidR="00034F0A">
        <w:t xml:space="preserve"> </w:t>
      </w:r>
      <w:proofErr w:type="spellStart"/>
      <w:r w:rsidR="00F70C0E">
        <w:t>Lumo</w:t>
      </w:r>
      <w:proofErr w:type="spellEnd"/>
      <w:r w:rsidR="00034F0A">
        <w:t xml:space="preserve"> paid the infringement penalty </w:t>
      </w:r>
      <w:r w:rsidR="00F70C0E">
        <w:t>on 21 May 2014</w:t>
      </w:r>
      <w:r w:rsidR="00034F0A">
        <w:t xml:space="preserve">. </w:t>
      </w:r>
      <w:r w:rsidR="00F70C0E">
        <w:t>P</w:t>
      </w:r>
      <w:r w:rsidR="00034F0A">
        <w:t xml:space="preserve">ayment of the $20,000 infringement penalty does not represent </w:t>
      </w:r>
      <w:r>
        <w:t xml:space="preserve">an admission by </w:t>
      </w:r>
      <w:proofErr w:type="spellStart"/>
      <w:r w:rsidR="00F70C0E">
        <w:t>Lumo</w:t>
      </w:r>
      <w:proofErr w:type="spellEnd"/>
      <w:r w:rsidR="00F70C0E">
        <w:t xml:space="preserve"> Energy </w:t>
      </w:r>
      <w:r>
        <w:t>that it has breached the Electricity Rules.</w:t>
      </w:r>
    </w:p>
    <w:p w:rsidR="00460EFA" w:rsidRDefault="00460EFA" w:rsidP="00A27547">
      <w:pPr>
        <w:pStyle w:val="AERheading2"/>
        <w:tabs>
          <w:tab w:val="clear" w:pos="5035"/>
          <w:tab w:val="num" w:pos="357"/>
          <w:tab w:val="num" w:pos="851"/>
        </w:tabs>
        <w:ind w:left="357"/>
        <w:jc w:val="both"/>
      </w:pPr>
      <w:bookmarkStart w:id="90" w:name="_Toc394479591"/>
      <w:r>
        <w:t>Targeted compliance review – Market management system access</w:t>
      </w:r>
      <w:bookmarkEnd w:id="90"/>
    </w:p>
    <w:p w:rsidR="00460EFA" w:rsidRDefault="00477A30" w:rsidP="00BA1BC7">
      <w:pPr>
        <w:pStyle w:val="AERbodytext"/>
        <w:rPr>
          <w:szCs w:val="20"/>
        </w:rPr>
      </w:pPr>
      <w:r>
        <w:rPr>
          <w:szCs w:val="20"/>
        </w:rPr>
        <w:t>Targeted compliance reviews form an important part of our monitoring program. The reviews explore participants’ compliance practices and aim to improve stakeholder understanding of obligations.</w:t>
      </w:r>
      <w:r w:rsidR="009D1A2A">
        <w:rPr>
          <w:szCs w:val="20"/>
        </w:rPr>
        <w:t xml:space="preserve"> The AER will generally choose the obligation on the basis of its risk assessment of the Electricity Rules, whereby obligations </w:t>
      </w:r>
      <w:r w:rsidR="002F5AA2">
        <w:rPr>
          <w:szCs w:val="20"/>
        </w:rPr>
        <w:t xml:space="preserve">are </w:t>
      </w:r>
      <w:r w:rsidR="009D1A2A">
        <w:rPr>
          <w:szCs w:val="20"/>
        </w:rPr>
        <w:t xml:space="preserve">identified as having a medium to high risk and impact will be selected for review. We also take into account previous industry performance </w:t>
      </w:r>
      <w:r w:rsidR="002F5AA2">
        <w:rPr>
          <w:szCs w:val="20"/>
        </w:rPr>
        <w:t xml:space="preserve">with respect to the obligation. </w:t>
      </w:r>
    </w:p>
    <w:p w:rsidR="00282983" w:rsidRDefault="002F5AA2" w:rsidP="005247DA">
      <w:pPr>
        <w:pStyle w:val="AERbodytext"/>
      </w:pPr>
      <w:r>
        <w:rPr>
          <w:szCs w:val="16"/>
        </w:rPr>
        <w:t>In this quarter, we decided to target clause 3.19(c) of the Electricity Rules. As identified above</w:t>
      </w:r>
      <w:r w:rsidR="00D95610">
        <w:rPr>
          <w:szCs w:val="16"/>
        </w:rPr>
        <w:t xml:space="preserve"> in section 2.</w:t>
      </w:r>
      <w:r w:rsidR="00F70C0E">
        <w:rPr>
          <w:szCs w:val="16"/>
        </w:rPr>
        <w:t>3</w:t>
      </w:r>
      <w:r>
        <w:rPr>
          <w:szCs w:val="16"/>
        </w:rPr>
        <w:t xml:space="preserve">, this rule requires </w:t>
      </w:r>
      <w:r>
        <w:t xml:space="preserve">registered participants to comply with AEMO’s </w:t>
      </w:r>
      <w:r w:rsidRPr="001B0546">
        <w:t>Market Management Systems Access Procedures.</w:t>
      </w:r>
      <w:r>
        <w:t xml:space="preserve"> We selected this obligation for two reasons, namely its high impact ranking in our risk assessment and the </w:t>
      </w:r>
      <w:r w:rsidR="00F70C0E">
        <w:t xml:space="preserve">matter involving </w:t>
      </w:r>
      <w:proofErr w:type="spellStart"/>
      <w:r>
        <w:t>Lumo</w:t>
      </w:r>
      <w:proofErr w:type="spellEnd"/>
      <w:r>
        <w:t xml:space="preserve"> Energy. </w:t>
      </w:r>
      <w:r w:rsidR="00282983">
        <w:t>Through this review process,</w:t>
      </w:r>
      <w:r w:rsidR="00B7406C">
        <w:t xml:space="preserve"> we want</w:t>
      </w:r>
      <w:r w:rsidR="00B4044A">
        <w:t>ed</w:t>
      </w:r>
      <w:r w:rsidR="00B7406C">
        <w:t xml:space="preserve"> </w:t>
      </w:r>
      <w:r w:rsidR="006C5C01">
        <w:t>to</w:t>
      </w:r>
      <w:r w:rsidR="008C6D18">
        <w:t xml:space="preserve"> ensure </w:t>
      </w:r>
      <w:r w:rsidR="00B7406C">
        <w:t xml:space="preserve">other registered </w:t>
      </w:r>
      <w:r w:rsidR="008C6D18">
        <w:t xml:space="preserve">participants </w:t>
      </w:r>
      <w:r w:rsidR="00B4044A">
        <w:t xml:space="preserve">had </w:t>
      </w:r>
      <w:r w:rsidR="006C5C01">
        <w:t xml:space="preserve">sufficient processes in place to achieve compliance with AEMO’s </w:t>
      </w:r>
      <w:r w:rsidR="006C5C01" w:rsidRPr="001B0546">
        <w:t>Market Management Systems Access Procedures</w:t>
      </w:r>
      <w:r w:rsidR="00B62543">
        <w:t xml:space="preserve"> and therefore, rule 3.19(c)</w:t>
      </w:r>
      <w:r w:rsidR="006C5C01">
        <w:t xml:space="preserve">. </w:t>
      </w:r>
      <w:r w:rsidR="00282983">
        <w:t>In particular, we want</w:t>
      </w:r>
      <w:r w:rsidR="00B4044A">
        <w:t>ed</w:t>
      </w:r>
      <w:r w:rsidR="00282983">
        <w:t xml:space="preserve"> comfort that if registered participants engage</w:t>
      </w:r>
      <w:r w:rsidR="00B4044A">
        <w:t>d</w:t>
      </w:r>
      <w:r w:rsidR="00282983">
        <w:t xml:space="preserve"> third parties to provide services</w:t>
      </w:r>
      <w:r w:rsidR="008007B0">
        <w:t>,</w:t>
      </w:r>
      <w:r w:rsidR="00282983">
        <w:t xml:space="preserve"> these third parties</w:t>
      </w:r>
      <w:r w:rsidR="00B62543">
        <w:t xml:space="preserve"> </w:t>
      </w:r>
      <w:r w:rsidR="00B4044A">
        <w:t xml:space="preserve">would </w:t>
      </w:r>
      <w:r w:rsidR="008007B0">
        <w:t xml:space="preserve">also </w:t>
      </w:r>
      <w:r w:rsidR="00B4044A">
        <w:t>act</w:t>
      </w:r>
      <w:r w:rsidR="00B62543">
        <w:t xml:space="preserve"> according to the requirements of the </w:t>
      </w:r>
      <w:r w:rsidR="00B62543" w:rsidRPr="001B0546">
        <w:t>Market Management Systems Access Procedures</w:t>
      </w:r>
      <w:r w:rsidR="00B62543">
        <w:t>.</w:t>
      </w:r>
      <w:r w:rsidR="00856BB5" w:rsidRPr="00856BB5">
        <w:rPr>
          <w:rStyle w:val="FootnoteReference"/>
        </w:rPr>
        <w:t xml:space="preserve"> </w:t>
      </w:r>
      <w:r w:rsidR="00856BB5">
        <w:rPr>
          <w:rStyle w:val="FootnoteReference"/>
        </w:rPr>
        <w:footnoteReference w:id="21"/>
      </w:r>
    </w:p>
    <w:p w:rsidR="005247DA" w:rsidRDefault="00F70C0E" w:rsidP="005247DA">
      <w:pPr>
        <w:pStyle w:val="AERbodytext"/>
      </w:pPr>
      <w:r>
        <w:t>W</w:t>
      </w:r>
      <w:r w:rsidR="008007B0">
        <w:t xml:space="preserve">e wrote to Origin Energy, Simply Energy and Red Energy to ascertain their compliance approach with </w:t>
      </w:r>
      <w:r>
        <w:t xml:space="preserve">respect to </w:t>
      </w:r>
      <w:r w:rsidR="008007B0">
        <w:t>rule 3.19(c). In particular, we asked</w:t>
      </w:r>
      <w:r w:rsidR="005247DA">
        <w:t xml:space="preserve"> the three </w:t>
      </w:r>
      <w:r>
        <w:t>retailers</w:t>
      </w:r>
      <w:r w:rsidR="005247DA">
        <w:t xml:space="preserve"> to provide details of </w:t>
      </w:r>
      <w:r>
        <w:t xml:space="preserve">their </w:t>
      </w:r>
      <w:r w:rsidR="005247DA">
        <w:t xml:space="preserve">systems and procedures to comply with this rule requirement, including any arrangements it has in place to ensure contracted third parties achieve ongoing compliance. </w:t>
      </w:r>
    </w:p>
    <w:p w:rsidR="008007B0" w:rsidRDefault="008007B0" w:rsidP="005247DA">
      <w:pPr>
        <w:pStyle w:val="AERbodytext"/>
      </w:pPr>
      <w:r>
        <w:t>Overall, the retailers</w:t>
      </w:r>
      <w:r w:rsidR="008463EC">
        <w:t>’</w:t>
      </w:r>
      <w:r>
        <w:t xml:space="preserve"> responses</w:t>
      </w:r>
      <w:r w:rsidR="00BA1BC7">
        <w:t xml:space="preserve"> appear to</w:t>
      </w:r>
      <w:r>
        <w:t xml:space="preserve"> </w:t>
      </w:r>
      <w:r w:rsidR="008463EC">
        <w:t>provide limited but</w:t>
      </w:r>
      <w:r>
        <w:t xml:space="preserve"> </w:t>
      </w:r>
      <w:r w:rsidR="00B60562">
        <w:t>sufficient</w:t>
      </w:r>
      <w:r>
        <w:t xml:space="preserve"> detail regarding their approach to compliance with the </w:t>
      </w:r>
      <w:r w:rsidRPr="001B0546">
        <w:t>Market Management Systems Access Procedures</w:t>
      </w:r>
      <w:r w:rsidR="00B60562">
        <w:t xml:space="preserve"> and therefore, rule 3.19(c)</w:t>
      </w:r>
      <w:r>
        <w:t xml:space="preserve">. </w:t>
      </w:r>
      <w:r w:rsidR="008463EC">
        <w:t>Each party emphasise</w:t>
      </w:r>
      <w:r w:rsidR="00F70C0E">
        <w:t>d</w:t>
      </w:r>
      <w:r w:rsidR="008463EC">
        <w:t xml:space="preserve"> their commitment to ensuring access to AEMO’s</w:t>
      </w:r>
      <w:r w:rsidR="00BA1BC7">
        <w:t xml:space="preserve"> market</w:t>
      </w:r>
      <w:r w:rsidR="008463EC">
        <w:t xml:space="preserve"> systems is isolated from internet. Further, where third parties are being used, the retailers set out the mechanisms they use to ensure the third party complies with relevant system security requirements. </w:t>
      </w:r>
      <w:r w:rsidR="00E034F9">
        <w:t>W</w:t>
      </w:r>
      <w:r w:rsidR="00BA1BC7">
        <w:t xml:space="preserve">e </w:t>
      </w:r>
      <w:r w:rsidR="00E034F9">
        <w:t>will continue to review these requirements over the coming quarters</w:t>
      </w:r>
      <w:r w:rsidR="00485DF7">
        <w:t>,</w:t>
      </w:r>
      <w:r w:rsidR="00E034F9">
        <w:t xml:space="preserve"> including</w:t>
      </w:r>
      <w:r w:rsidR="00BA1BC7">
        <w:t xml:space="preserve"> seek supplementary information regarding system security training for third party providers</w:t>
      </w:r>
      <w:r w:rsidR="005247DA">
        <w:t xml:space="preserve"> </w:t>
      </w:r>
      <w:r w:rsidR="00BA1BC7">
        <w:t>and details regarding participant’s</w:t>
      </w:r>
      <w:r w:rsidR="005247DA">
        <w:t xml:space="preserve"> </w:t>
      </w:r>
      <w:r w:rsidR="00BA1BC7">
        <w:t>permanent connection AEMO’s market systems.</w:t>
      </w:r>
    </w:p>
    <w:p w:rsidR="00AE2AB9" w:rsidRPr="007C5152" w:rsidRDefault="00AE2AB9" w:rsidP="005E1519">
      <w:pPr>
        <w:pStyle w:val="AERheading2"/>
        <w:tabs>
          <w:tab w:val="clear" w:pos="5035"/>
          <w:tab w:val="num" w:pos="357"/>
          <w:tab w:val="num" w:pos="851"/>
        </w:tabs>
        <w:ind w:left="357"/>
        <w:jc w:val="both"/>
      </w:pPr>
      <w:bookmarkStart w:id="91" w:name="_Toc394479592"/>
      <w:r w:rsidRPr="007C5152">
        <w:lastRenderedPageBreak/>
        <w:t>Meter</w:t>
      </w:r>
      <w:r w:rsidR="00B315CA">
        <w:t xml:space="preserve"> churn procedures</w:t>
      </w:r>
      <w:r w:rsidR="008F6ED6">
        <w:t xml:space="preserve"> – request for no action</w:t>
      </w:r>
      <w:bookmarkEnd w:id="91"/>
    </w:p>
    <w:p w:rsidR="008B7440" w:rsidRDefault="00034F0A" w:rsidP="00BA1BC7">
      <w:pPr>
        <w:pStyle w:val="AERbodytext"/>
      </w:pPr>
      <w:r>
        <w:t xml:space="preserve">The Australian Energy Market Operator’s Meter Churn Procedures </w:t>
      </w:r>
      <w:r w:rsidR="008B7440">
        <w:t xml:space="preserve">establish processes to manage the physical exchange of meters alongside customer transfers, meter data changes, including updates to NMI standing data. </w:t>
      </w:r>
      <w:r w:rsidR="00895871">
        <w:t xml:space="preserve">However, some elements of the Meter Churn Procedures </w:t>
      </w:r>
      <w:r>
        <w:t>are inconsistent with the Electricity Rules.</w:t>
      </w:r>
      <w:r w:rsidR="00895871" w:rsidRPr="00895871">
        <w:rPr>
          <w:rStyle w:val="FootnoteReference"/>
        </w:rPr>
        <w:t xml:space="preserve"> </w:t>
      </w:r>
      <w:r w:rsidR="00895871">
        <w:rPr>
          <w:rStyle w:val="FootnoteReference"/>
        </w:rPr>
        <w:footnoteReference w:id="22"/>
      </w:r>
      <w:r w:rsidR="00895871">
        <w:t xml:space="preserve"> </w:t>
      </w:r>
      <w:r>
        <w:t xml:space="preserve"> </w:t>
      </w:r>
      <w:r w:rsidR="00B33634">
        <w:t xml:space="preserve">As a result, registered participants who have developed processes to comply with the Meter Churn Procedures are non-compliant with certain metering obligations in chapter 7 of the Electricity Rules. </w:t>
      </w:r>
    </w:p>
    <w:p w:rsidR="00AE2AB9" w:rsidRDefault="00B33634" w:rsidP="005247DA">
      <w:pPr>
        <w:pStyle w:val="AERbodytext"/>
      </w:pPr>
      <w:r>
        <w:t xml:space="preserve">In March 2014, AEMO sought comfort from the AER that it would not pursue enforcement action against </w:t>
      </w:r>
      <w:r w:rsidR="00780154">
        <w:t xml:space="preserve">these </w:t>
      </w:r>
      <w:r>
        <w:t xml:space="preserve">registered participants </w:t>
      </w:r>
      <w:r w:rsidR="00780154">
        <w:t>until it had an opportunity to revise the Meter Churn Procedures</w:t>
      </w:r>
      <w:r>
        <w:t>.</w:t>
      </w:r>
      <w:r w:rsidR="00780154">
        <w:t xml:space="preserve"> AEMO suggested to the AER that </w:t>
      </w:r>
      <w:r w:rsidR="00452EA0">
        <w:t xml:space="preserve">its </w:t>
      </w:r>
      <w:r w:rsidR="00780154">
        <w:t>revision process would be completed by December 2014</w:t>
      </w:r>
      <w:r w:rsidR="00B11033">
        <w:t>.</w:t>
      </w:r>
      <w:r w:rsidR="00780154">
        <w:t xml:space="preserve"> </w:t>
      </w:r>
      <w:r>
        <w:t xml:space="preserve">   </w:t>
      </w:r>
    </w:p>
    <w:p w:rsidR="00B33634" w:rsidRPr="00034F0A" w:rsidRDefault="00B11033" w:rsidP="00895871">
      <w:pPr>
        <w:pStyle w:val="AERbodytext"/>
      </w:pPr>
      <w:r>
        <w:t>On the basis of the information provided, it is unlikely we would pursue enforcement action against registered participants who</w:t>
      </w:r>
      <w:r w:rsidRPr="00B11033">
        <w:t xml:space="preserve"> </w:t>
      </w:r>
      <w:r>
        <w:t xml:space="preserve">developed processes to comply with the Meter Churn Procedures but are subsequently non-compliant with the Electricity Rules. However, we expect the Meter Churn Procedures </w:t>
      </w:r>
      <w:r w:rsidR="006873FD">
        <w:t>and registered participants’ meter churn processes to be compliant with</w:t>
      </w:r>
      <w:r>
        <w:t xml:space="preserve"> the Electricity Rules</w:t>
      </w:r>
      <w:r w:rsidR="006873FD">
        <w:t xml:space="preserve"> by January 2015. </w:t>
      </w:r>
    </w:p>
    <w:p w:rsidR="004A472C" w:rsidRPr="007C5152" w:rsidRDefault="00524CCB" w:rsidP="00A27547">
      <w:pPr>
        <w:pStyle w:val="AERheading2"/>
        <w:tabs>
          <w:tab w:val="clear" w:pos="5035"/>
          <w:tab w:val="num" w:pos="357"/>
          <w:tab w:val="num" w:pos="851"/>
        </w:tabs>
        <w:ind w:left="357"/>
        <w:jc w:val="both"/>
      </w:pPr>
      <w:bookmarkStart w:id="92" w:name="_Toc394479593"/>
      <w:bookmarkEnd w:id="89"/>
      <w:r w:rsidRPr="007C5152">
        <w:t>Technical a</w:t>
      </w:r>
      <w:r w:rsidR="004A472C" w:rsidRPr="007C5152">
        <w:t>udits</w:t>
      </w:r>
      <w:bookmarkEnd w:id="74"/>
      <w:bookmarkEnd w:id="75"/>
      <w:bookmarkEnd w:id="87"/>
      <w:bookmarkEnd w:id="92"/>
    </w:p>
    <w:p w:rsidR="008A2DC6" w:rsidRPr="008A2DC6" w:rsidRDefault="008A2DC6" w:rsidP="00BA1BC7">
      <w:pPr>
        <w:pStyle w:val="AERbodytext"/>
      </w:pPr>
      <w:bookmarkStart w:id="93" w:name="OLE_LINK7"/>
      <w:bookmarkStart w:id="94" w:name="OLE_LINK8"/>
      <w:bookmarkStart w:id="95" w:name="OLE_LINK53"/>
      <w:r w:rsidRPr="008A2DC6">
        <w:t>Auditing is one mechanism we use to verify and assess compliance by registered participants with their obligations. The audits aim to ensure participants have robust and effective compliance programs in place that are consistent with Good Energy Industry Practice.</w:t>
      </w:r>
    </w:p>
    <w:p w:rsidR="008A2DC6" w:rsidRPr="008A2DC6" w:rsidRDefault="008A2DC6" w:rsidP="005247DA">
      <w:pPr>
        <w:pStyle w:val="AERbodytext"/>
      </w:pPr>
      <w:r w:rsidRPr="008A2DC6">
        <w:t xml:space="preserve">We conduct regular technical compliance audits in the electricity sector of generators and network service providers. These audits generally focus on the Electricity Rules clauses 4.15 and 5.7.4, particularly the requirement on electricity generators and network service providers to institute and maintain a compliance program in accordance with prescribed requirements. </w:t>
      </w:r>
    </w:p>
    <w:p w:rsidR="008A2DC6" w:rsidRPr="008A2DC6" w:rsidRDefault="008A2DC6" w:rsidP="005247DA">
      <w:pPr>
        <w:pStyle w:val="AERbodytext"/>
        <w:keepNext/>
      </w:pPr>
      <w:r>
        <w:t>In particular, the mandated c</w:t>
      </w:r>
      <w:r w:rsidRPr="008A2DC6">
        <w:t xml:space="preserve">ompliance </w:t>
      </w:r>
      <w:r>
        <w:t>p</w:t>
      </w:r>
      <w:r w:rsidRPr="008A2DC6">
        <w:t>rogram must:</w:t>
      </w:r>
    </w:p>
    <w:p w:rsidR="008A2DC6" w:rsidRPr="008A2DC6" w:rsidRDefault="008A2DC6" w:rsidP="00895871">
      <w:pPr>
        <w:pStyle w:val="AERbulletlistsecondstyle"/>
      </w:pPr>
      <w:r w:rsidRPr="008A2DC6">
        <w:t>include procedures to monitor the performance of the plant in a manner that is consistent with good electricity industry practice</w:t>
      </w:r>
    </w:p>
    <w:p w:rsidR="008A2DC6" w:rsidRDefault="008A2DC6" w:rsidP="00895871">
      <w:pPr>
        <w:pStyle w:val="AERbulletlistsecondstyle"/>
      </w:pPr>
      <w:proofErr w:type="gramStart"/>
      <w:r w:rsidRPr="008A2DC6">
        <w:t>provide</w:t>
      </w:r>
      <w:proofErr w:type="gramEnd"/>
      <w:r w:rsidRPr="008A2DC6">
        <w:t xml:space="preserve"> reasonable assurance of ongoing compliance with applicable performance standards registered with AEMO.</w:t>
      </w:r>
    </w:p>
    <w:p w:rsidR="00B53422" w:rsidRDefault="00B53422" w:rsidP="00895871">
      <w:pPr>
        <w:pStyle w:val="AERheading3"/>
        <w:jc w:val="both"/>
      </w:pPr>
      <w:proofErr w:type="spellStart"/>
      <w:r>
        <w:t>Electra</w:t>
      </w:r>
      <w:r w:rsidR="00F814A0">
        <w:t>N</w:t>
      </w:r>
      <w:r>
        <w:t>et</w:t>
      </w:r>
      <w:proofErr w:type="spellEnd"/>
      <w:r>
        <w:t xml:space="preserve"> </w:t>
      </w:r>
    </w:p>
    <w:p w:rsidR="00F111CA" w:rsidRPr="00856BB5" w:rsidRDefault="00F111CA" w:rsidP="00856BB5">
      <w:pPr>
        <w:pStyle w:val="AERbodytext"/>
      </w:pPr>
      <w:r w:rsidRPr="00856BB5">
        <w:t xml:space="preserve">This quarter, the AER carried out a technical compliance audit of </w:t>
      </w:r>
      <w:proofErr w:type="spellStart"/>
      <w:r w:rsidRPr="00856BB5">
        <w:t>ElectraNet</w:t>
      </w:r>
      <w:proofErr w:type="spellEnd"/>
      <w:r w:rsidRPr="00856BB5">
        <w:t>, South Australia’s transmission network provider and the third such participant targeted by the AER. The key findings of this audit included:</w:t>
      </w:r>
    </w:p>
    <w:p w:rsidR="00F111CA" w:rsidRPr="00F111CA" w:rsidRDefault="00F111CA" w:rsidP="00856BB5">
      <w:pPr>
        <w:pStyle w:val="AERbulletlistsecondstyle"/>
      </w:pPr>
      <w:proofErr w:type="spellStart"/>
      <w:r w:rsidRPr="00F111CA">
        <w:t>ElectraNet</w:t>
      </w:r>
      <w:proofErr w:type="spellEnd"/>
      <w:r w:rsidRPr="00F111CA">
        <w:t xml:space="preserve"> having a corporate governance structure and an overarching risk-based compliance framework across its legal and operational areas that is similar to those of equivalent network businesses; </w:t>
      </w:r>
    </w:p>
    <w:p w:rsidR="00F111CA" w:rsidRPr="00F111CA" w:rsidRDefault="00F111CA" w:rsidP="00856BB5">
      <w:pPr>
        <w:pStyle w:val="AERbulletlistsecondstyle"/>
      </w:pPr>
      <w:r w:rsidRPr="00F111CA">
        <w:lastRenderedPageBreak/>
        <w:t xml:space="preserve">scope for improving the technical compliance program in place by developing a more holistic understanding of the detailed performance of protection and control systems, which under </w:t>
      </w:r>
      <w:proofErr w:type="spellStart"/>
      <w:r w:rsidRPr="00F111CA">
        <w:t>ElectraNet’s</w:t>
      </w:r>
      <w:proofErr w:type="spellEnd"/>
      <w:r w:rsidRPr="00F111CA">
        <w:t xml:space="preserve"> current model are maintained through service agreements; </w:t>
      </w:r>
    </w:p>
    <w:p w:rsidR="00F111CA" w:rsidRPr="00F111CA" w:rsidRDefault="00F111CA" w:rsidP="00856BB5">
      <w:pPr>
        <w:pStyle w:val="AERbulletlistsecondstyle"/>
      </w:pPr>
      <w:r w:rsidRPr="00F111CA">
        <w:t>ensuring that technical knowledge leakage does not significantly impact on the performance of protection and control systems over time, particularly given the procurement model employed;  and</w:t>
      </w:r>
    </w:p>
    <w:p w:rsidR="00F111CA" w:rsidRPr="00F111CA" w:rsidRDefault="00F111CA" w:rsidP="00856BB5">
      <w:pPr>
        <w:pStyle w:val="AERbulletlistsecondstyle"/>
      </w:pPr>
      <w:proofErr w:type="gramStart"/>
      <w:r w:rsidRPr="00F111CA">
        <w:t>also</w:t>
      </w:r>
      <w:proofErr w:type="gramEnd"/>
      <w:r w:rsidRPr="00F111CA">
        <w:t xml:space="preserve"> ensuring that the management of service and coordination arrangements are robust and effectively administered, in the interests of ensuring ongoing compliance in this area.</w:t>
      </w:r>
    </w:p>
    <w:p w:rsidR="00F111CA" w:rsidRPr="00F111CA" w:rsidRDefault="00F111CA" w:rsidP="00856BB5">
      <w:pPr>
        <w:pStyle w:val="AERbodytext"/>
      </w:pPr>
      <w:proofErr w:type="spellStart"/>
      <w:r w:rsidRPr="00F111CA">
        <w:t>ElectraNet</w:t>
      </w:r>
      <w:proofErr w:type="spellEnd"/>
      <w:r w:rsidRPr="00F111CA">
        <w:t xml:space="preserve"> has already recognised the need for improvements in the above areas by engaging in a series of initiatives to bolster the effectiveness of its technical compliance program. A key aim of this is ensuring that as expertise leaves the industry, its internal knowledge systems and expertise are sufficient to fill any void.  To this end, following a relatively recent business restructure, </w:t>
      </w:r>
      <w:proofErr w:type="spellStart"/>
      <w:r w:rsidRPr="00F111CA">
        <w:t>ElectraNet</w:t>
      </w:r>
      <w:proofErr w:type="spellEnd"/>
      <w:r w:rsidRPr="00F111CA">
        <w:t xml:space="preserve"> has moved to create an Asset Management Division and Network and Asset Management Performance Groups, while upgraded data systems, field and analytics tools are scheduled to be implemented over the </w:t>
      </w:r>
      <w:r w:rsidR="00750516">
        <w:t xml:space="preserve">upcoming </w:t>
      </w:r>
      <w:r w:rsidRPr="00F111CA">
        <w:t xml:space="preserve">months. </w:t>
      </w:r>
    </w:p>
    <w:p w:rsidR="00F111CA" w:rsidRPr="00F111CA" w:rsidRDefault="00F111CA" w:rsidP="00856BB5">
      <w:pPr>
        <w:pStyle w:val="AERbodytext"/>
      </w:pPr>
      <w:r w:rsidRPr="00F111CA">
        <w:t xml:space="preserve">AER </w:t>
      </w:r>
      <w:proofErr w:type="gramStart"/>
      <w:r w:rsidRPr="00F111CA">
        <w:t>staff are</w:t>
      </w:r>
      <w:proofErr w:type="gramEnd"/>
      <w:r w:rsidRPr="00F111CA">
        <w:t xml:space="preserve"> therefore of the view that, once the above initiatives are fully implemented, the technical compliance program of </w:t>
      </w:r>
      <w:proofErr w:type="spellStart"/>
      <w:r w:rsidRPr="00F111CA">
        <w:t>ElectraNet</w:t>
      </w:r>
      <w:proofErr w:type="spellEnd"/>
      <w:r w:rsidRPr="00F111CA">
        <w:t xml:space="preserve"> should be more effective and result in the technical matters covered by this audit being addressed in a manner that is more aligned to good electricity industry practice. To this end, </w:t>
      </w:r>
      <w:proofErr w:type="spellStart"/>
      <w:r w:rsidRPr="00F111CA">
        <w:t>ElectraNet</w:t>
      </w:r>
      <w:proofErr w:type="spellEnd"/>
      <w:r w:rsidRPr="00F111CA">
        <w:t xml:space="preserve"> has committed to keeping the AER informed of progress with these initiatives. </w:t>
      </w:r>
    </w:p>
    <w:p w:rsidR="004A472C" w:rsidRPr="007C5152" w:rsidRDefault="004A472C" w:rsidP="00A27547">
      <w:pPr>
        <w:pStyle w:val="AERheading2"/>
        <w:tabs>
          <w:tab w:val="clear" w:pos="5035"/>
          <w:tab w:val="num" w:pos="357"/>
          <w:tab w:val="num" w:pos="851"/>
        </w:tabs>
        <w:ind w:left="357"/>
        <w:jc w:val="both"/>
      </w:pPr>
      <w:bookmarkStart w:id="96" w:name="_Toc354138200"/>
      <w:bookmarkStart w:id="97" w:name="_Ref222128200"/>
      <w:bookmarkStart w:id="98" w:name="_Toc229556417"/>
      <w:bookmarkStart w:id="99" w:name="_Toc330814075"/>
      <w:bookmarkStart w:id="100" w:name="_Toc394479594"/>
      <w:bookmarkStart w:id="101" w:name="OLE_LINK21"/>
      <w:bookmarkStart w:id="102" w:name="OLE_LINK24"/>
      <w:bookmarkEnd w:id="76"/>
      <w:bookmarkEnd w:id="77"/>
      <w:bookmarkEnd w:id="78"/>
      <w:bookmarkEnd w:id="79"/>
      <w:bookmarkEnd w:id="80"/>
      <w:bookmarkEnd w:id="81"/>
      <w:bookmarkEnd w:id="93"/>
      <w:bookmarkEnd w:id="94"/>
      <w:bookmarkEnd w:id="95"/>
      <w:bookmarkEnd w:id="96"/>
      <w:r w:rsidRPr="007C5152">
        <w:t>Jurisdictional derogations</w:t>
      </w:r>
      <w:bookmarkEnd w:id="97"/>
      <w:bookmarkEnd w:id="98"/>
      <w:bookmarkEnd w:id="99"/>
      <w:bookmarkEnd w:id="100"/>
    </w:p>
    <w:bookmarkEnd w:id="101"/>
    <w:bookmarkEnd w:id="102"/>
    <w:p w:rsidR="004A472C" w:rsidRPr="00282302" w:rsidRDefault="004A472C" w:rsidP="00BA1BC7">
      <w:pPr>
        <w:pStyle w:val="AERbodytext"/>
      </w:pPr>
      <w:r w:rsidRPr="00282302">
        <w:t xml:space="preserve">Chapter 9 derogations exempt Victorian smelter traders, New South Wales power traders and Queensland nominated generators (for the purposes of exempted generator agreements) from complying with the Electricity Rules to the extent there exists: </w:t>
      </w:r>
    </w:p>
    <w:p w:rsidR="004A472C" w:rsidRPr="00282302" w:rsidRDefault="004A472C" w:rsidP="005247DA">
      <w:pPr>
        <w:pStyle w:val="AERbulletlistsecondstyle"/>
      </w:pPr>
      <w:r w:rsidRPr="00282302">
        <w:t>any inconsistency between the Rules and a contractual requirement under the relevant agreement between the government and other entities</w:t>
      </w:r>
    </w:p>
    <w:p w:rsidR="004A472C" w:rsidRPr="00282302" w:rsidRDefault="004A472C" w:rsidP="005247DA">
      <w:pPr>
        <w:pStyle w:val="AERbulletlistsecondstyle"/>
      </w:pPr>
      <w:proofErr w:type="gramStart"/>
      <w:r w:rsidRPr="00282302">
        <w:t>any</w:t>
      </w:r>
      <w:proofErr w:type="gramEnd"/>
      <w:r w:rsidRPr="00282302">
        <w:t xml:space="preserve"> other specified exemption in the jurisdictional derogations.</w:t>
      </w:r>
      <w:r w:rsidRPr="00282302">
        <w:rPr>
          <w:rStyle w:val="FootnoteReference"/>
          <w:lang w:eastAsia="en-AU"/>
        </w:rPr>
        <w:footnoteReference w:id="23"/>
      </w:r>
      <w:r w:rsidRPr="00282302">
        <w:t xml:space="preserve"> </w:t>
      </w:r>
    </w:p>
    <w:p w:rsidR="007D2853" w:rsidRDefault="004A472C" w:rsidP="00895871">
      <w:pPr>
        <w:pStyle w:val="AERbodytext"/>
      </w:pPr>
      <w:r w:rsidRPr="00282302">
        <w:rPr>
          <w:lang w:eastAsia="en-AU"/>
        </w:rPr>
        <w:t xml:space="preserve">The relevant participants must give </w:t>
      </w:r>
      <w:r w:rsidR="00DC3257">
        <w:rPr>
          <w:lang w:eastAsia="en-AU"/>
        </w:rPr>
        <w:t>us notice</w:t>
      </w:r>
      <w:r w:rsidRPr="00282302">
        <w:rPr>
          <w:lang w:eastAsia="en-AU"/>
        </w:rPr>
        <w:t xml:space="preserve"> of any act or omission which partly or wholly constitutes non-compliance with the Electricity Rules.</w:t>
      </w:r>
      <w:r w:rsidRPr="00282302">
        <w:t xml:space="preserve"> No instances of non-compliance were reported </w:t>
      </w:r>
      <w:r w:rsidR="00CB0C74" w:rsidRPr="00282302">
        <w:t>this</w:t>
      </w:r>
      <w:r w:rsidRPr="00282302">
        <w:t xml:space="preserve"> quarter.</w:t>
      </w:r>
    </w:p>
    <w:p w:rsidR="00B315CA" w:rsidRDefault="00B315CA" w:rsidP="00A27547">
      <w:pPr>
        <w:pStyle w:val="AERheading2"/>
        <w:tabs>
          <w:tab w:val="clear" w:pos="5035"/>
          <w:tab w:val="num" w:pos="357"/>
          <w:tab w:val="num" w:pos="851"/>
        </w:tabs>
        <w:ind w:left="357"/>
        <w:jc w:val="both"/>
      </w:pPr>
      <w:bookmarkStart w:id="103" w:name="_Toc394479595"/>
      <w:r w:rsidRPr="007C5152">
        <w:t>Current transformer testing</w:t>
      </w:r>
      <w:bookmarkEnd w:id="103"/>
    </w:p>
    <w:p w:rsidR="0073745B" w:rsidRDefault="00C77F39" w:rsidP="00460EFA">
      <w:pPr>
        <w:pStyle w:val="AERbodytext"/>
      </w:pPr>
      <w:r>
        <w:t xml:space="preserve">The Electricity Rules require current transformers to be tested every 10 years, unless it is the subject of </w:t>
      </w:r>
      <w:r w:rsidR="005E14A1">
        <w:t xml:space="preserve">an </w:t>
      </w:r>
      <w:r w:rsidRPr="00304199">
        <w:t xml:space="preserve">asset management strategy </w:t>
      </w:r>
      <w:r>
        <w:t xml:space="preserve">which has been </w:t>
      </w:r>
      <w:r w:rsidRPr="00304199">
        <w:t xml:space="preserve">approved by </w:t>
      </w:r>
      <w:r w:rsidR="00485DF7">
        <w:t>AEMO</w:t>
      </w:r>
      <w:r w:rsidR="005E14A1">
        <w:t>.</w:t>
      </w:r>
      <w:r>
        <w:t xml:space="preserve"> </w:t>
      </w:r>
    </w:p>
    <w:p w:rsidR="0073745B" w:rsidRPr="00D8084A" w:rsidRDefault="0073745B" w:rsidP="00460EFA">
      <w:pPr>
        <w:pStyle w:val="AERbodytext"/>
      </w:pPr>
      <w:r w:rsidRPr="00C07829">
        <w:t xml:space="preserve">In 2011, </w:t>
      </w:r>
      <w:r>
        <w:t xml:space="preserve">AEMO alerted </w:t>
      </w:r>
      <w:r w:rsidRPr="00C07829">
        <w:t xml:space="preserve">the </w:t>
      </w:r>
      <w:r w:rsidRPr="00D8084A">
        <w:t xml:space="preserve">AER </w:t>
      </w:r>
      <w:r w:rsidRPr="00C07829">
        <w:t xml:space="preserve">to a widespread failure by </w:t>
      </w:r>
      <w:r>
        <w:t xml:space="preserve">Responsible Persons </w:t>
      </w:r>
      <w:r w:rsidRPr="00485DF7">
        <w:rPr>
          <w:b/>
        </w:rPr>
        <w:t>(RPs)</w:t>
      </w:r>
      <w:r w:rsidRPr="00C07829">
        <w:t xml:space="preserve"> to test low voltage </w:t>
      </w:r>
      <w:r>
        <w:t>CTs</w:t>
      </w:r>
      <w:r w:rsidRPr="00C07829">
        <w:t xml:space="preserve"> in accordance with the Electricity Rules. In response we released a </w:t>
      </w:r>
      <w:hyperlink r:id="rId25" w:history="1">
        <w:r w:rsidRPr="00460EFA">
          <w:t>Compliance Bulletin</w:t>
        </w:r>
      </w:hyperlink>
      <w:r w:rsidRPr="00C07829">
        <w:t xml:space="preserve"> outlining our expectations and seeking for RPs to demonstrate a willingness to comply with the testing requirements by testing a sample of their metering </w:t>
      </w:r>
      <w:r>
        <w:t>installations</w:t>
      </w:r>
      <w:r w:rsidRPr="00C07829">
        <w:t xml:space="preserve"> from 1 July 2012. Following a review </w:t>
      </w:r>
      <w:r w:rsidRPr="00C07829">
        <w:lastRenderedPageBreak/>
        <w:t xml:space="preserve">of testing </w:t>
      </w:r>
      <w:r>
        <w:t xml:space="preserve">undertaken </w:t>
      </w:r>
      <w:r w:rsidRPr="00C07829">
        <w:t>to 30 June 2013, we established that Red Energy did not complete the required testing.</w:t>
      </w:r>
      <w:r>
        <w:t xml:space="preserve"> </w:t>
      </w:r>
      <w:r w:rsidR="00D545B8">
        <w:t>In response, the AER issued an infringement penalty notice to Red Energy</w:t>
      </w:r>
      <w:r w:rsidR="00460EFA">
        <w:t xml:space="preserve"> in February 2014</w:t>
      </w:r>
      <w:r w:rsidR="00D545B8">
        <w:t>.</w:t>
      </w:r>
      <w:r w:rsidR="00460EFA">
        <w:rPr>
          <w:rStyle w:val="FootnoteReference"/>
        </w:rPr>
        <w:footnoteReference w:id="24"/>
      </w:r>
      <w:r w:rsidR="00D545B8">
        <w:t xml:space="preserve"> </w:t>
      </w:r>
    </w:p>
    <w:p w:rsidR="00116DFA" w:rsidRDefault="0073745B" w:rsidP="00460EFA">
      <w:pPr>
        <w:pStyle w:val="AERbodytext"/>
      </w:pPr>
      <w:r>
        <w:t>In 2014, we will continue to work with AEMO to ensure RP</w:t>
      </w:r>
      <w:r w:rsidR="00D545B8">
        <w:t>s</w:t>
      </w:r>
      <w:r>
        <w:t xml:space="preserve"> comply with the </w:t>
      </w:r>
      <w:r w:rsidR="00D545B8">
        <w:t xml:space="preserve">CT testing requirements of the Electricity Rules. </w:t>
      </w:r>
      <w:r w:rsidR="00116DFA">
        <w:t xml:space="preserve"> In July 2014, AEMO will provide the AER with advice regarding industry CT testing levels. Based on this information, the AER may seek further information from RP</w:t>
      </w:r>
      <w:r w:rsidR="00D73778">
        <w:t xml:space="preserve">s and possibly, undertake further enforcement action. </w:t>
      </w:r>
    </w:p>
    <w:p w:rsidR="00CC583E" w:rsidRDefault="00C12985" w:rsidP="00DC7B00">
      <w:pPr>
        <w:pStyle w:val="AERunnumberedheading"/>
      </w:pPr>
      <w:bookmarkStart w:id="104" w:name="_Toc394479596"/>
      <w:r w:rsidRPr="00860DB5">
        <w:lastRenderedPageBreak/>
        <w:t xml:space="preserve">Appendix </w:t>
      </w:r>
      <w:proofErr w:type="gramStart"/>
      <w:r w:rsidR="00D70B3E">
        <w:t>A</w:t>
      </w:r>
      <w:r w:rsidRPr="00860DB5">
        <w:t xml:space="preserve">  </w:t>
      </w:r>
      <w:r>
        <w:t>Shortened</w:t>
      </w:r>
      <w:proofErr w:type="gramEnd"/>
      <w:r>
        <w:t xml:space="preserve"> forms</w:t>
      </w:r>
      <w:bookmarkEnd w:id="104"/>
      <w:r w:rsidRPr="00860DB5">
        <w:t xml:space="preserve"> </w:t>
      </w:r>
    </w:p>
    <w:tbl>
      <w:tblPr>
        <w:tblStyle w:val="AERtable-text"/>
        <w:tblW w:w="0" w:type="auto"/>
        <w:tblLook w:val="01E0" w:firstRow="1" w:lastRow="1" w:firstColumn="1" w:lastColumn="1" w:noHBand="0" w:noVBand="0"/>
      </w:tblPr>
      <w:tblGrid>
        <w:gridCol w:w="2263"/>
        <w:gridCol w:w="6012"/>
      </w:tblGrid>
      <w:tr w:rsidR="00285EC2" w:rsidRPr="009A7BFC" w:rsidTr="00285EC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9A7BFC" w:rsidRDefault="00285EC2" w:rsidP="00285EC2">
            <w:pPr>
              <w:pStyle w:val="AERtabletextheading"/>
              <w:rPr>
                <w:sz w:val="20"/>
                <w:szCs w:val="20"/>
              </w:rPr>
            </w:pPr>
            <w:r w:rsidRPr="009A7BFC">
              <w:rPr>
                <w:sz w:val="20"/>
                <w:szCs w:val="20"/>
              </w:rPr>
              <w:t>Shortened form</w:t>
            </w:r>
          </w:p>
        </w:tc>
        <w:tc>
          <w:tcPr>
            <w:tcW w:w="6012" w:type="dxa"/>
          </w:tcPr>
          <w:p w:rsidR="00285EC2" w:rsidRPr="009A7BFC" w:rsidRDefault="00285EC2" w:rsidP="00285EC2">
            <w:pPr>
              <w:pStyle w:val="AERtabletextheading"/>
              <w:cnfStyle w:val="100000000000" w:firstRow="1" w:lastRow="0" w:firstColumn="0" w:lastColumn="0" w:oddVBand="0" w:evenVBand="0" w:oddHBand="0" w:evenHBand="0" w:firstRowFirstColumn="0" w:firstRowLastColumn="0" w:lastRowFirstColumn="0" w:lastRowLastColumn="0"/>
              <w:rPr>
                <w:sz w:val="20"/>
                <w:szCs w:val="20"/>
              </w:rPr>
            </w:pPr>
            <w:r w:rsidRPr="009A7BFC">
              <w:rPr>
                <w:sz w:val="20"/>
                <w:szCs w:val="20"/>
              </w:rPr>
              <w:t>Full title</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ACCC </w:t>
            </w:r>
          </w:p>
        </w:tc>
        <w:tc>
          <w:tcPr>
            <w:tcW w:w="6012" w:type="dxa"/>
          </w:tcPr>
          <w:p w:rsidR="00285EC2" w:rsidRPr="00AD74E2" w:rsidRDefault="00533469"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b/>
                <w:bCs/>
                <w:kern w:val="32"/>
                <w:sz w:val="20"/>
                <w:szCs w:val="20"/>
              </w:rPr>
            </w:pPr>
            <w:hyperlink r:id="rId26" w:history="1">
              <w:r w:rsidR="00285EC2" w:rsidRPr="00AD74E2">
                <w:rPr>
                  <w:rStyle w:val="Hyperlink"/>
                  <w:rFonts w:cs="Gautami"/>
                  <w:sz w:val="20"/>
                  <w:szCs w:val="20"/>
                </w:rPr>
                <w:t>Australian Competition &amp; Consumer Commission</w:t>
              </w:r>
            </w:hyperlink>
            <w:r w:rsidR="00285EC2" w:rsidRPr="00AD74E2">
              <w:rPr>
                <w:rFonts w:cs="Gautami"/>
                <w:sz w:val="20"/>
                <w:szCs w:val="20"/>
              </w:rPr>
              <w:t xml:space="preserve"> </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AEMO</w:t>
            </w:r>
          </w:p>
        </w:tc>
        <w:tc>
          <w:tcPr>
            <w:tcW w:w="6012" w:type="dxa"/>
            <w:shd w:val="clear" w:color="auto" w:fill="FABF8F" w:themeFill="accent6" w:themeFillTint="99"/>
          </w:tcPr>
          <w:p w:rsidR="00285EC2" w:rsidRPr="00AD74E2" w:rsidRDefault="00533469"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hyperlink r:id="rId27" w:history="1">
              <w:r w:rsidR="00285EC2" w:rsidRPr="00AD74E2">
                <w:rPr>
                  <w:rStyle w:val="Hyperlink"/>
                  <w:rFonts w:cs="Gautami"/>
                  <w:sz w:val="20"/>
                  <w:szCs w:val="20"/>
                </w:rPr>
                <w:t>Australian Energy Market Operator</w:t>
              </w:r>
            </w:hyperlink>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AER </w:t>
            </w:r>
          </w:p>
        </w:tc>
        <w:tc>
          <w:tcPr>
            <w:tcW w:w="6012" w:type="dxa"/>
          </w:tcPr>
          <w:p w:rsidR="00285EC2" w:rsidRPr="00AD74E2" w:rsidRDefault="00533469"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hyperlink r:id="rId28" w:history="1">
              <w:r w:rsidR="00285EC2" w:rsidRPr="00AD74E2">
                <w:rPr>
                  <w:rStyle w:val="Hyperlink"/>
                  <w:rFonts w:cs="Gautami"/>
                  <w:sz w:val="20"/>
                  <w:szCs w:val="20"/>
                </w:rPr>
                <w:t>Australian Energy Regulator</w:t>
              </w:r>
            </w:hyperlink>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AMI</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Advanced Metering Infrastructure</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CATS</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Consumer Administration and Transfer Solution</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Electricity Law </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iCs/>
                <w:sz w:val="20"/>
                <w:szCs w:val="20"/>
              </w:rPr>
            </w:pPr>
            <w:r w:rsidRPr="00AD74E2">
              <w:rPr>
                <w:rFonts w:cs="Gautami"/>
                <w:sz w:val="20"/>
                <w:szCs w:val="20"/>
              </w:rPr>
              <w:t>National Electricity Law (Schedule to the National Electricity Act)</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Electricity Rules </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 xml:space="preserve">The </w:t>
            </w:r>
            <w:hyperlink r:id="rId29" w:history="1">
              <w:r w:rsidRPr="00AD74E2">
                <w:rPr>
                  <w:rStyle w:val="Hyperlink"/>
                  <w:rFonts w:cs="Gautami"/>
                  <w:sz w:val="20"/>
                  <w:szCs w:val="20"/>
                </w:rPr>
                <w:t>National Electricity Rules</w:t>
              </w:r>
            </w:hyperlink>
            <w:r w:rsidRPr="00AD74E2">
              <w:rPr>
                <w:rFonts w:cs="Gautami"/>
                <w:sz w:val="20"/>
                <w:szCs w:val="20"/>
              </w:rPr>
              <w:t xml:space="preserve"> made under Part 7 of the Electricity Law </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Pr>
                <w:rFonts w:cs="Gautami"/>
                <w:sz w:val="20"/>
                <w:szCs w:val="20"/>
              </w:rPr>
              <w:t>FCAS</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sz w:val="20"/>
                <w:szCs w:val="20"/>
              </w:rPr>
              <w:t>Frequency Control Ancillary Service</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Gas Law </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National Gas Law (Schedule to the National Gas Act)</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Gas Regulations</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iCs/>
                <w:sz w:val="20"/>
                <w:szCs w:val="20"/>
              </w:rPr>
              <w:t xml:space="preserve">The </w:t>
            </w:r>
            <w:hyperlink r:id="rId30" w:history="1">
              <w:r w:rsidRPr="00AD74E2">
                <w:rPr>
                  <w:rStyle w:val="Hyperlink"/>
                  <w:rFonts w:cs="Gautami"/>
                  <w:i/>
                  <w:iCs/>
                  <w:sz w:val="20"/>
                  <w:szCs w:val="20"/>
                </w:rPr>
                <w:t>National Gas (South Australia) Regulations</w:t>
              </w:r>
            </w:hyperlink>
            <w:r w:rsidRPr="00AD74E2">
              <w:rPr>
                <w:rFonts w:cs="Gautami"/>
                <w:iCs/>
                <w:sz w:val="20"/>
                <w:szCs w:val="20"/>
              </w:rPr>
              <w:t xml:space="preserve"> made under the National Gas Act</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Gas Rules </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 xml:space="preserve">The </w:t>
            </w:r>
            <w:hyperlink r:id="rId31" w:history="1">
              <w:r w:rsidRPr="00AD74E2">
                <w:rPr>
                  <w:rStyle w:val="Hyperlink"/>
                  <w:rFonts w:cs="Gautami"/>
                  <w:sz w:val="20"/>
                  <w:szCs w:val="20"/>
                </w:rPr>
                <w:t>National Gas Rules</w:t>
              </w:r>
            </w:hyperlink>
            <w:r w:rsidRPr="00AD74E2">
              <w:rPr>
                <w:rFonts w:cs="Gautami"/>
                <w:sz w:val="20"/>
                <w:szCs w:val="20"/>
              </w:rPr>
              <w:t xml:space="preserve"> made under Part 9 of the Gas Law</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GEIP</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Good Energy Industry Practice</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GJ</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Gigajoule</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LCA</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proofErr w:type="spellStart"/>
            <w:r w:rsidRPr="00AD74E2">
              <w:rPr>
                <w:rFonts w:cs="Gautami"/>
                <w:sz w:val="20"/>
                <w:szCs w:val="20"/>
              </w:rPr>
              <w:t>Linepack</w:t>
            </w:r>
            <w:proofErr w:type="spellEnd"/>
            <w:r w:rsidRPr="00AD74E2">
              <w:rPr>
                <w:rFonts w:cs="Gautami"/>
                <w:sz w:val="20"/>
                <w:szCs w:val="20"/>
              </w:rPr>
              <w:t xml:space="preserve"> capacity adequacy</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MAP</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Moomba to Adelaide pipeline</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MOS</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sz w:val="20"/>
                <w:szCs w:val="20"/>
              </w:rPr>
              <w:t>Market Operator Service</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MSATS</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Market Settlement and Transfer Solution</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Pr>
                <w:rFonts w:cs="Gautami"/>
                <w:sz w:val="20"/>
                <w:szCs w:val="20"/>
              </w:rPr>
              <w:t>MT PASA</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sz w:val="20"/>
                <w:szCs w:val="20"/>
              </w:rPr>
              <w:t>Medium Term Projected Assessment of System Adequacy</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MW </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Megawatt</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proofErr w:type="spellStart"/>
            <w:r w:rsidRPr="00AD74E2">
              <w:rPr>
                <w:rFonts w:cs="Gautami"/>
                <w:sz w:val="20"/>
                <w:szCs w:val="20"/>
              </w:rPr>
              <w:t>MWh</w:t>
            </w:r>
            <w:proofErr w:type="spellEnd"/>
            <w:r w:rsidRPr="00AD74E2">
              <w:rPr>
                <w:rFonts w:cs="Gautami"/>
                <w:sz w:val="20"/>
                <w:szCs w:val="20"/>
              </w:rPr>
              <w:t xml:space="preserve"> </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Megawatt hour</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National Electricity Act </w:t>
            </w:r>
          </w:p>
        </w:tc>
        <w:tc>
          <w:tcPr>
            <w:tcW w:w="6012" w:type="dxa"/>
          </w:tcPr>
          <w:p w:rsidR="00285EC2" w:rsidRPr="00AD74E2" w:rsidRDefault="00533469"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hyperlink r:id="rId32" w:history="1">
              <w:r w:rsidR="00285EC2" w:rsidRPr="00AD74E2">
                <w:rPr>
                  <w:rStyle w:val="Hyperlink"/>
                  <w:rFonts w:cs="Gautami"/>
                  <w:i/>
                  <w:iCs/>
                  <w:sz w:val="20"/>
                  <w:szCs w:val="20"/>
                </w:rPr>
                <w:t xml:space="preserve">National Electricity (South Australia) Act 1996 </w:t>
              </w:r>
              <w:r w:rsidR="00285EC2" w:rsidRPr="00AD74E2">
                <w:rPr>
                  <w:rStyle w:val="Hyperlink"/>
                  <w:rFonts w:cs="Gautami"/>
                  <w:sz w:val="20"/>
                  <w:szCs w:val="20"/>
                </w:rPr>
                <w:t>(South Australia)</w:t>
              </w:r>
            </w:hyperlink>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National Gas Act </w:t>
            </w:r>
          </w:p>
        </w:tc>
        <w:tc>
          <w:tcPr>
            <w:tcW w:w="6012" w:type="dxa"/>
            <w:shd w:val="clear" w:color="auto" w:fill="FABF8F" w:themeFill="accent6" w:themeFillTint="99"/>
          </w:tcPr>
          <w:p w:rsidR="00285EC2" w:rsidRPr="00AD74E2" w:rsidRDefault="00533469"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hyperlink r:id="rId33" w:history="1">
              <w:r w:rsidR="00285EC2" w:rsidRPr="00AD74E2">
                <w:rPr>
                  <w:rStyle w:val="Hyperlink"/>
                  <w:rFonts w:cs="Gautami"/>
                  <w:i/>
                  <w:iCs/>
                  <w:sz w:val="20"/>
                  <w:szCs w:val="20"/>
                </w:rPr>
                <w:t xml:space="preserve">National Gas (South Australia) Act 2008 </w:t>
              </w:r>
              <w:r w:rsidR="00285EC2" w:rsidRPr="00AD74E2">
                <w:rPr>
                  <w:rStyle w:val="Hyperlink"/>
                  <w:rFonts w:cs="Gautami"/>
                  <w:sz w:val="20"/>
                  <w:szCs w:val="20"/>
                </w:rPr>
                <w:t>(South Australia)</w:t>
              </w:r>
            </w:hyperlink>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 xml:space="preserve">NEM </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National Electricity Market</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Pr>
                <w:rFonts w:cs="Gautami"/>
                <w:sz w:val="20"/>
                <w:szCs w:val="20"/>
              </w:rPr>
              <w:t>NMI</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Pr>
                <w:rFonts w:cs="Gautami"/>
                <w:sz w:val="20"/>
                <w:szCs w:val="20"/>
              </w:rPr>
              <w:t>National Meter Identifier</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QCR</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The AER’s quarterly compliance report</w:t>
            </w:r>
          </w:p>
        </w:tc>
      </w:tr>
      <w:tr w:rsidR="00285EC2" w:rsidRPr="00BA1378" w:rsidTr="000A4B2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shd w:val="clear" w:color="auto" w:fill="FABF8F" w:themeFill="accent6" w:themeFillTint="99"/>
          </w:tcPr>
          <w:p w:rsidR="00285EC2" w:rsidRPr="00AD74E2" w:rsidRDefault="00285EC2" w:rsidP="000E2105">
            <w:pPr>
              <w:pStyle w:val="AERtabletext"/>
              <w:spacing w:before="60" w:after="60"/>
              <w:rPr>
                <w:rFonts w:cs="Gautami"/>
                <w:sz w:val="20"/>
                <w:szCs w:val="20"/>
              </w:rPr>
            </w:pPr>
            <w:r w:rsidRPr="00AD74E2">
              <w:rPr>
                <w:rFonts w:cs="Gautami"/>
                <w:sz w:val="20"/>
                <w:szCs w:val="20"/>
              </w:rPr>
              <w:t>RIT-T</w:t>
            </w:r>
          </w:p>
        </w:tc>
        <w:tc>
          <w:tcPr>
            <w:tcW w:w="6012" w:type="dxa"/>
            <w:shd w:val="clear" w:color="auto" w:fill="FABF8F" w:themeFill="accent6" w:themeFillTint="99"/>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Regulatory investment test for transmission</w:t>
            </w:r>
          </w:p>
        </w:tc>
      </w:tr>
      <w:tr w:rsidR="00285EC2" w:rsidRPr="00BA1378" w:rsidTr="00285EC2">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RP</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Responsible Person</w:t>
            </w:r>
          </w:p>
        </w:tc>
      </w:tr>
      <w:tr w:rsidR="00696E6D" w:rsidRPr="00BA1378" w:rsidTr="00285E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696E6D" w:rsidRPr="00AD74E2" w:rsidRDefault="00696E6D" w:rsidP="000E2105">
            <w:pPr>
              <w:pStyle w:val="AERtabletext"/>
              <w:spacing w:before="60" w:after="60"/>
              <w:rPr>
                <w:rFonts w:cs="Gautami"/>
                <w:sz w:val="20"/>
                <w:szCs w:val="20"/>
              </w:rPr>
            </w:pPr>
            <w:r>
              <w:rPr>
                <w:rFonts w:cs="Gautami"/>
                <w:sz w:val="20"/>
                <w:szCs w:val="20"/>
              </w:rPr>
              <w:t>SCADA</w:t>
            </w:r>
          </w:p>
        </w:tc>
        <w:tc>
          <w:tcPr>
            <w:tcW w:w="6012" w:type="dxa"/>
          </w:tcPr>
          <w:p w:rsidR="00696E6D" w:rsidRPr="00696E6D" w:rsidRDefault="00696E6D" w:rsidP="00696E6D">
            <w:pPr>
              <w:pStyle w:val="AERtabletext"/>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S</w:t>
            </w:r>
            <w:r w:rsidRPr="00696E6D">
              <w:rPr>
                <w:sz w:val="20"/>
                <w:szCs w:val="20"/>
              </w:rPr>
              <w:t>upervisory control and data acquisition</w:t>
            </w:r>
          </w:p>
        </w:tc>
      </w:tr>
      <w:tr w:rsidR="00285EC2" w:rsidRPr="00696E6D" w:rsidTr="00696E6D">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STTM</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r w:rsidRPr="00AD74E2">
              <w:rPr>
                <w:rFonts w:cs="Gautami"/>
                <w:sz w:val="20"/>
                <w:szCs w:val="20"/>
              </w:rPr>
              <w:t>Short Term Trading Market</w:t>
            </w:r>
          </w:p>
        </w:tc>
      </w:tr>
      <w:tr w:rsidR="00285EC2" w:rsidRPr="00BA1378" w:rsidTr="00285EC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SWN</w:t>
            </w:r>
          </w:p>
        </w:tc>
        <w:tc>
          <w:tcPr>
            <w:tcW w:w="6012" w:type="dxa"/>
          </w:tcPr>
          <w:p w:rsidR="00285EC2" w:rsidRPr="00AD74E2" w:rsidRDefault="00285EC2" w:rsidP="000E2105">
            <w:pPr>
              <w:pStyle w:val="AERtabletext"/>
              <w:spacing w:before="60" w:after="60"/>
              <w:cnfStyle w:val="000000010000" w:firstRow="0" w:lastRow="0" w:firstColumn="0" w:lastColumn="0" w:oddVBand="0" w:evenVBand="0" w:oddHBand="0" w:evenHBand="1" w:firstRowFirstColumn="0" w:firstRowLastColumn="0" w:lastRowFirstColumn="0" w:lastRowLastColumn="0"/>
              <w:rPr>
                <w:rFonts w:cs="Gautami"/>
                <w:sz w:val="20"/>
                <w:szCs w:val="20"/>
              </w:rPr>
            </w:pPr>
            <w:r w:rsidRPr="00AD74E2">
              <w:rPr>
                <w:rFonts w:cs="Gautami"/>
                <w:sz w:val="20"/>
                <w:szCs w:val="20"/>
              </w:rPr>
              <w:t>System Wide Notice</w:t>
            </w:r>
          </w:p>
        </w:tc>
      </w:tr>
      <w:tr w:rsidR="00285EC2" w:rsidRPr="00BA1378" w:rsidTr="00696E6D">
        <w:trPr>
          <w:trHeight w:val="227"/>
        </w:trPr>
        <w:tc>
          <w:tcPr>
            <w:cnfStyle w:val="001000000000" w:firstRow="0" w:lastRow="0" w:firstColumn="1" w:lastColumn="0" w:oddVBand="0" w:evenVBand="0" w:oddHBand="0" w:evenHBand="0" w:firstRowFirstColumn="0" w:firstRowLastColumn="0" w:lastRowFirstColumn="0" w:lastRowLastColumn="0"/>
            <w:tcW w:w="2263" w:type="dxa"/>
          </w:tcPr>
          <w:p w:rsidR="00285EC2" w:rsidRPr="00AD74E2" w:rsidRDefault="00285EC2" w:rsidP="000E2105">
            <w:pPr>
              <w:pStyle w:val="AERtabletext"/>
              <w:spacing w:before="60" w:after="60"/>
              <w:rPr>
                <w:rFonts w:cs="Gautami"/>
                <w:sz w:val="20"/>
                <w:szCs w:val="20"/>
              </w:rPr>
            </w:pPr>
            <w:r w:rsidRPr="00AD74E2">
              <w:rPr>
                <w:rFonts w:cs="Gautami"/>
                <w:sz w:val="20"/>
                <w:szCs w:val="20"/>
              </w:rPr>
              <w:t>TJ</w:t>
            </w:r>
          </w:p>
        </w:tc>
        <w:tc>
          <w:tcPr>
            <w:tcW w:w="6012" w:type="dxa"/>
          </w:tcPr>
          <w:p w:rsidR="00285EC2" w:rsidRPr="00AD74E2" w:rsidRDefault="00285EC2" w:rsidP="000E2105">
            <w:pPr>
              <w:pStyle w:val="AERtabletext"/>
              <w:spacing w:before="60" w:after="60"/>
              <w:cnfStyle w:val="000000000000" w:firstRow="0" w:lastRow="0" w:firstColumn="0" w:lastColumn="0" w:oddVBand="0" w:evenVBand="0" w:oddHBand="0" w:evenHBand="0" w:firstRowFirstColumn="0" w:firstRowLastColumn="0" w:lastRowFirstColumn="0" w:lastRowLastColumn="0"/>
              <w:rPr>
                <w:rFonts w:cs="Gautami"/>
                <w:sz w:val="20"/>
                <w:szCs w:val="20"/>
              </w:rPr>
            </w:pPr>
            <w:proofErr w:type="spellStart"/>
            <w:r w:rsidRPr="00AD74E2">
              <w:rPr>
                <w:rFonts w:cs="Gautami"/>
                <w:sz w:val="20"/>
                <w:szCs w:val="20"/>
              </w:rPr>
              <w:t>Terajoule</w:t>
            </w:r>
            <w:proofErr w:type="spellEnd"/>
          </w:p>
        </w:tc>
      </w:tr>
    </w:tbl>
    <w:p w:rsidR="000A4B26" w:rsidRPr="00FD3B0E" w:rsidRDefault="000A4B26" w:rsidP="00A7124C">
      <w:pPr>
        <w:pStyle w:val="AERbodytext"/>
        <w:rPr>
          <w:b/>
          <w:lang w:eastAsia="en-AU"/>
        </w:rPr>
      </w:pPr>
    </w:p>
    <w:sectPr w:rsidR="000A4B26" w:rsidRPr="00FD3B0E" w:rsidSect="000A4B26">
      <w:footerReference w:type="default" r:id="rId3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800" w:rsidRDefault="00D75800" w:rsidP="00BB640B">
      <w:r>
        <w:separator/>
      </w:r>
    </w:p>
    <w:p w:rsidR="00D75800" w:rsidRDefault="00D75800"/>
    <w:p w:rsidR="00D75800" w:rsidRDefault="00D75800"/>
  </w:endnote>
  <w:endnote w:type="continuationSeparator" w:id="0">
    <w:p w:rsidR="00D75800" w:rsidRDefault="00D75800" w:rsidP="00BB640B">
      <w:r>
        <w:continuationSeparator/>
      </w:r>
    </w:p>
    <w:p w:rsidR="00D75800" w:rsidRDefault="00D75800"/>
    <w:p w:rsidR="00D75800" w:rsidRDefault="00D75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Gautami">
    <w:panose1 w:val="02000500000000000000"/>
    <w:charset w:val="00"/>
    <w:family w:val="auto"/>
    <w:pitch w:val="variable"/>
    <w:sig w:usb0="002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ヒラギノ角ゴ Pro W3">
    <w:charset w:val="00"/>
    <w:family w:val="roman"/>
    <w:pitch w:val="default"/>
  </w:font>
  <w:font w:name="HelveticaNeueLT Std">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800" w:rsidRDefault="00D75800" w:rsidP="009F687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5800" w:rsidRDefault="00D75800" w:rsidP="007842F1">
    <w:pPr>
      <w:ind w:right="360"/>
    </w:pPr>
    <w:r>
      <w:rPr>
        <w:rStyle w:val="PageNumber"/>
      </w:rPr>
      <w:tab/>
    </w:r>
  </w:p>
  <w:p w:rsidR="00D75800" w:rsidRDefault="00D75800"/>
  <w:p w:rsidR="00D75800" w:rsidRDefault="00D758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800" w:rsidRPr="007842F1" w:rsidRDefault="00D75800" w:rsidP="009F6871">
    <w:pPr>
      <w:pStyle w:val="Footer"/>
      <w:framePr w:wrap="around" w:vAnchor="text" w:hAnchor="margin" w:xAlign="right" w:y="1"/>
      <w:rPr>
        <w:rStyle w:val="PageNumber"/>
      </w:rPr>
    </w:pPr>
    <w:r w:rsidRPr="007842F1">
      <w:rPr>
        <w:rStyle w:val="PageNumber"/>
      </w:rPr>
      <w:fldChar w:fldCharType="begin"/>
    </w:r>
    <w:r w:rsidRPr="007842F1">
      <w:rPr>
        <w:rStyle w:val="PageNumber"/>
      </w:rPr>
      <w:instrText xml:space="preserve">PAGE  </w:instrText>
    </w:r>
    <w:r w:rsidRPr="007842F1">
      <w:rPr>
        <w:rStyle w:val="PageNumber"/>
      </w:rPr>
      <w:fldChar w:fldCharType="separate"/>
    </w:r>
    <w:r w:rsidR="00533469">
      <w:rPr>
        <w:rStyle w:val="PageNumber"/>
        <w:noProof/>
      </w:rPr>
      <w:t>ii</w:t>
    </w:r>
    <w:r w:rsidRPr="007842F1">
      <w:rPr>
        <w:rStyle w:val="PageNumber"/>
      </w:rPr>
      <w:fldChar w:fldCharType="end"/>
    </w:r>
  </w:p>
  <w:p w:rsidR="00D75800" w:rsidRDefault="00D75800" w:rsidP="00AA1DED">
    <w:pPr>
      <w:pStyle w:val="FootnoteText"/>
      <w:ind w:left="0"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800" w:rsidRPr="007842F1" w:rsidRDefault="00D75800" w:rsidP="00BB5A97">
    <w:pPr>
      <w:pStyle w:val="Footer"/>
      <w:framePr w:wrap="around" w:vAnchor="text" w:hAnchor="margin" w:xAlign="right" w:y="1"/>
      <w:rPr>
        <w:rStyle w:val="PageNumber"/>
      </w:rPr>
    </w:pPr>
    <w:r w:rsidRPr="007842F1">
      <w:rPr>
        <w:rStyle w:val="PageNumber"/>
      </w:rPr>
      <w:fldChar w:fldCharType="begin"/>
    </w:r>
    <w:r w:rsidRPr="007842F1">
      <w:rPr>
        <w:rStyle w:val="PageNumber"/>
      </w:rPr>
      <w:instrText xml:space="preserve">PAGE  </w:instrText>
    </w:r>
    <w:r w:rsidRPr="007842F1">
      <w:rPr>
        <w:rStyle w:val="PageNumber"/>
      </w:rPr>
      <w:fldChar w:fldCharType="separate"/>
    </w:r>
    <w:r w:rsidR="00533469">
      <w:rPr>
        <w:rStyle w:val="PageNumber"/>
        <w:noProof/>
      </w:rPr>
      <w:t>4</w:t>
    </w:r>
    <w:r w:rsidRPr="007842F1">
      <w:rPr>
        <w:rStyle w:val="PageNumber"/>
      </w:rPr>
      <w:fldChar w:fldCharType="end"/>
    </w:r>
  </w:p>
  <w:p w:rsidR="00D75800" w:rsidRPr="0097256D" w:rsidRDefault="00D75800" w:rsidP="00BB5A97">
    <w:pPr>
      <w:pStyle w:val="FootnoteTex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800" w:rsidRDefault="00D75800" w:rsidP="00BB640B">
      <w:r>
        <w:separator/>
      </w:r>
    </w:p>
    <w:p w:rsidR="00D75800" w:rsidRDefault="00D75800"/>
    <w:p w:rsidR="00D75800" w:rsidRDefault="00D75800"/>
  </w:footnote>
  <w:footnote w:type="continuationSeparator" w:id="0">
    <w:p w:rsidR="00D75800" w:rsidRDefault="00D75800" w:rsidP="00BB640B">
      <w:r>
        <w:continuationSeparator/>
      </w:r>
    </w:p>
    <w:p w:rsidR="00D75800" w:rsidRDefault="00D75800"/>
    <w:p w:rsidR="00D75800" w:rsidRDefault="00D75800"/>
  </w:footnote>
  <w:footnote w:id="1">
    <w:p w:rsidR="00D75800" w:rsidRDefault="00D75800" w:rsidP="00BC4965">
      <w:pPr>
        <w:pStyle w:val="FootnoteText"/>
        <w:spacing w:after="120"/>
        <w:jc w:val="both"/>
      </w:pPr>
      <w:r w:rsidRPr="00E42CCD">
        <w:rPr>
          <w:rStyle w:val="FootnoteReference"/>
          <w:rFonts w:ascii="Gautami" w:hAnsi="Gautami" w:cs="Gautami"/>
        </w:rPr>
        <w:footnoteRef/>
      </w:r>
      <w:r>
        <w:t xml:space="preserve"> </w:t>
      </w:r>
      <w:r>
        <w:tab/>
      </w:r>
      <w:r w:rsidRPr="00015230">
        <w:t>Entities registered by AEMO under Chapter 2 of the Electricity Rules or in accordance with Part 15A of the</w:t>
      </w:r>
      <w:r>
        <w:t xml:space="preserve"> National</w:t>
      </w:r>
      <w:r w:rsidRPr="00015230">
        <w:t xml:space="preserve"> Gas Rules</w:t>
      </w:r>
      <w:r w:rsidRPr="0035087E">
        <w:rPr>
          <w:rFonts w:ascii="Gautami" w:hAnsi="Gautami" w:cs="Gautami"/>
        </w:rPr>
        <w:t>.</w:t>
      </w:r>
    </w:p>
  </w:footnote>
  <w:footnote w:id="2">
    <w:p w:rsidR="00D75800" w:rsidRPr="006D4157" w:rsidRDefault="00D75800" w:rsidP="008929D1">
      <w:pPr>
        <w:pStyle w:val="FootnoteText"/>
        <w:spacing w:after="120"/>
        <w:jc w:val="both"/>
        <w:rPr>
          <w:rFonts w:ascii="Gautami" w:hAnsi="Gautami" w:cs="Gautami"/>
        </w:rPr>
      </w:pPr>
      <w:r>
        <w:rPr>
          <w:rStyle w:val="FootnoteReference"/>
        </w:rPr>
        <w:footnoteRef/>
      </w:r>
      <w:r>
        <w:t xml:space="preserve"> </w:t>
      </w:r>
      <w:r>
        <w:tab/>
        <w:t>I</w:t>
      </w:r>
      <w:r w:rsidRPr="00015230">
        <w:t>n April 2014 the AER released a combined Enforcement and Compliance Statement of Approach covering our functions under the Gas Law, Electricity Law and National Energy Retail Law. The document reflects the consistent approach taken by the AER to enforcing the energy laws across all markets.</w:t>
      </w:r>
      <w:r w:rsidRPr="006D4157">
        <w:rPr>
          <w:rFonts w:ascii="Gautami" w:hAnsi="Gautami" w:cs="Gautami"/>
        </w:rPr>
        <w:t xml:space="preserve"> </w:t>
      </w:r>
    </w:p>
  </w:footnote>
  <w:footnote w:id="3">
    <w:p w:rsidR="00D75800" w:rsidRPr="0035087E" w:rsidRDefault="00D75800" w:rsidP="00BC4965">
      <w:pPr>
        <w:pStyle w:val="FootnoteText"/>
        <w:jc w:val="both"/>
        <w:rPr>
          <w:rFonts w:ascii="Gautami" w:hAnsi="Gautami" w:cs="Gautami"/>
        </w:rPr>
      </w:pPr>
      <w:r w:rsidRPr="0035087E">
        <w:rPr>
          <w:rStyle w:val="FootnoteReference"/>
          <w:rFonts w:ascii="Gautami" w:hAnsi="Gautami" w:cs="Gautami"/>
        </w:rPr>
        <w:footnoteRef/>
      </w:r>
      <w:r w:rsidRPr="0035087E">
        <w:rPr>
          <w:rStyle w:val="FootnoteReference"/>
          <w:rFonts w:ascii="Gautami" w:hAnsi="Gautami" w:cs="Gautami"/>
        </w:rPr>
        <w:t xml:space="preserve"> </w:t>
      </w:r>
      <w:r w:rsidRPr="0035087E">
        <w:rPr>
          <w:rFonts w:ascii="Gautami" w:hAnsi="Gautami" w:cs="Gautami"/>
        </w:rPr>
        <w:tab/>
      </w:r>
      <w:r w:rsidRPr="00015230">
        <w:t>Provisions of the Gas Rules and Electricity Rules that have been targeted for review in previous quarters are listed in Appendix C.</w:t>
      </w:r>
    </w:p>
  </w:footnote>
  <w:footnote w:id="4">
    <w:p w:rsidR="00D75800" w:rsidRDefault="00D75800">
      <w:pPr>
        <w:pStyle w:val="FootnoteText"/>
      </w:pPr>
      <w:r>
        <w:rPr>
          <w:rStyle w:val="FootnoteReference"/>
        </w:rPr>
        <w:footnoteRef/>
      </w:r>
      <w:r>
        <w:t xml:space="preserve"> </w:t>
      </w:r>
      <w:r>
        <w:tab/>
        <w:t>As at 25 July, there had been 274 trades and the volume weighted average price was $2.52.</w:t>
      </w:r>
    </w:p>
  </w:footnote>
  <w:footnote w:id="5">
    <w:p w:rsidR="00D75800" w:rsidRPr="00B55EA6" w:rsidRDefault="00D75800" w:rsidP="00BB49C1">
      <w:pPr>
        <w:autoSpaceDE w:val="0"/>
        <w:autoSpaceDN w:val="0"/>
        <w:adjustRightInd w:val="0"/>
        <w:ind w:left="709" w:hanging="709"/>
        <w:jc w:val="both"/>
        <w:rPr>
          <w:rFonts w:ascii="Times New Roman" w:hAnsi="Times New Roman" w:cs="Times New Roman"/>
          <w:sz w:val="18"/>
          <w:szCs w:val="18"/>
        </w:rPr>
      </w:pPr>
      <w:r>
        <w:rPr>
          <w:rStyle w:val="FootnoteReference"/>
        </w:rPr>
        <w:footnoteRef/>
      </w:r>
      <w:r>
        <w:tab/>
      </w:r>
      <w:r w:rsidRPr="000F50E2">
        <w:rPr>
          <w:sz w:val="16"/>
          <w:szCs w:val="20"/>
        </w:rPr>
        <w:t>Clause 15.3 of the Exchange Agreement provides that AEMO will assume that the delivery quantity was made available for delivery and accepted by the receiving participant, unless otherwise notified in accordance with clause 15.2.</w:t>
      </w:r>
    </w:p>
    <w:p w:rsidR="00D75800" w:rsidRDefault="00D75800">
      <w:pPr>
        <w:pStyle w:val="FootnoteText"/>
      </w:pPr>
    </w:p>
  </w:footnote>
  <w:footnote w:id="6">
    <w:p w:rsidR="00D75800" w:rsidRDefault="00D75800" w:rsidP="00015230">
      <w:pPr>
        <w:pStyle w:val="FootnoteText"/>
        <w:tabs>
          <w:tab w:val="clear" w:pos="454"/>
          <w:tab w:val="left" w:pos="142"/>
        </w:tabs>
        <w:jc w:val="both"/>
      </w:pPr>
      <w:r>
        <w:rPr>
          <w:rStyle w:val="FootnoteReference"/>
        </w:rPr>
        <w:footnoteRef/>
      </w:r>
      <w:r>
        <w:t xml:space="preserve"> </w:t>
      </w:r>
      <w:r>
        <w:tab/>
      </w:r>
      <w:r>
        <w:tab/>
        <w:t>Clause 426(1) of the National Gas Rules requires the ex post price to be made available to trading participants 5.5hours after the start of each gas day – subject to rule 426(1A).</w:t>
      </w:r>
    </w:p>
  </w:footnote>
  <w:footnote w:id="7">
    <w:p w:rsidR="0087495E" w:rsidRDefault="0087495E">
      <w:pPr>
        <w:pStyle w:val="FootnoteText"/>
      </w:pPr>
      <w:r>
        <w:rPr>
          <w:rStyle w:val="FootnoteReference"/>
        </w:rPr>
        <w:footnoteRef/>
      </w:r>
      <w:r>
        <w:t xml:space="preserve"> Section 91G of the National Gas Law.</w:t>
      </w:r>
    </w:p>
  </w:footnote>
  <w:footnote w:id="8">
    <w:p w:rsidR="0087495E" w:rsidRDefault="0087495E">
      <w:pPr>
        <w:pStyle w:val="FootnoteText"/>
      </w:pPr>
      <w:r>
        <w:rPr>
          <w:rStyle w:val="FootnoteReference"/>
        </w:rPr>
        <w:footnoteRef/>
      </w:r>
      <w:r>
        <w:t xml:space="preserve"> The information, which was provided in a CD to the wrong recipient, was subsequently destroyed.</w:t>
      </w:r>
    </w:p>
  </w:footnote>
  <w:footnote w:id="9">
    <w:p w:rsidR="0087495E" w:rsidRDefault="0087495E">
      <w:pPr>
        <w:pStyle w:val="FootnoteText"/>
      </w:pPr>
      <w:r>
        <w:rPr>
          <w:rStyle w:val="FootnoteReference"/>
        </w:rPr>
        <w:footnoteRef/>
      </w:r>
      <w:r>
        <w:t xml:space="preserve"> </w:t>
      </w:r>
      <w:r>
        <w:tab/>
        <w:t>Data provided on disks will also be password protected, with password details distributed separately to data files.</w:t>
      </w:r>
    </w:p>
  </w:footnote>
  <w:footnote w:id="10">
    <w:p w:rsidR="00D75800" w:rsidRDefault="00D75800">
      <w:pPr>
        <w:pStyle w:val="FootnoteText"/>
      </w:pPr>
      <w:r>
        <w:rPr>
          <w:rStyle w:val="FootnoteReference"/>
        </w:rPr>
        <w:footnoteRef/>
      </w:r>
      <w:r>
        <w:t xml:space="preserve"> </w:t>
      </w:r>
      <w:r>
        <w:tab/>
      </w:r>
      <w:proofErr w:type="gramStart"/>
      <w:r>
        <w:t>Clause 414(1) of the National Gas Rules.</w:t>
      </w:r>
      <w:proofErr w:type="gramEnd"/>
    </w:p>
  </w:footnote>
  <w:footnote w:id="11">
    <w:p w:rsidR="00D75800" w:rsidRDefault="00D75800" w:rsidP="00A56BE2">
      <w:pPr>
        <w:pStyle w:val="FootnoteText"/>
        <w:jc w:val="both"/>
      </w:pPr>
      <w:r>
        <w:rPr>
          <w:rStyle w:val="FootnoteReference"/>
        </w:rPr>
        <w:footnoteRef/>
      </w:r>
      <w:r>
        <w:t xml:space="preserve"> </w:t>
      </w:r>
      <w:r>
        <w:tab/>
        <w:t>MOS may also be influenced by other factors such as supply imbalances and physical constraints</w:t>
      </w:r>
    </w:p>
  </w:footnote>
  <w:footnote w:id="12">
    <w:p w:rsidR="00D75800" w:rsidRDefault="00D75800" w:rsidP="00A56BE2">
      <w:pPr>
        <w:pStyle w:val="FootnoteText"/>
        <w:jc w:val="both"/>
      </w:pPr>
      <w:r>
        <w:rPr>
          <w:rStyle w:val="FootnoteReference"/>
        </w:rPr>
        <w:footnoteRef/>
      </w:r>
      <w:r>
        <w:t xml:space="preserve"> </w:t>
      </w:r>
      <w:r>
        <w:tab/>
        <w:t xml:space="preserve">Analysis and figures showing demand in the Adelaide hub exclude Adelaide Brighton Cement, to remove the effect of unplanned outages (refer to </w:t>
      </w:r>
      <w:r w:rsidRPr="000170FC">
        <w:rPr>
          <w:szCs w:val="16"/>
        </w:rPr>
        <w:t xml:space="preserve">the </w:t>
      </w:r>
      <w:hyperlink r:id="rId1" w:history="1">
        <w:r w:rsidRPr="000170FC">
          <w:rPr>
            <w:rStyle w:val="Hyperlink"/>
            <w:szCs w:val="16"/>
          </w:rPr>
          <w:t>December 2012 QCR</w:t>
        </w:r>
      </w:hyperlink>
      <w:r>
        <w:t xml:space="preserve"> for more information).</w:t>
      </w:r>
    </w:p>
  </w:footnote>
  <w:footnote w:id="13">
    <w:p w:rsidR="00D75800" w:rsidRDefault="00D75800" w:rsidP="00A56BE2">
      <w:pPr>
        <w:pStyle w:val="FootnoteText"/>
        <w:jc w:val="both"/>
      </w:pPr>
      <w:r>
        <w:rPr>
          <w:rStyle w:val="FootnoteReference"/>
        </w:rPr>
        <w:footnoteRef/>
      </w:r>
      <w:r>
        <w:t xml:space="preserve"> </w:t>
      </w:r>
      <w:r>
        <w:tab/>
        <w:t>October 2012 average over forecast error magnitude exceeded 14 per cent of demand, with aggregate demand over forecast on 29 days in that month.</w:t>
      </w:r>
    </w:p>
  </w:footnote>
  <w:footnote w:id="14">
    <w:p w:rsidR="00D75800" w:rsidRDefault="00D75800" w:rsidP="00A56BE2">
      <w:pPr>
        <w:pStyle w:val="FootnoteText"/>
      </w:pPr>
      <w:r>
        <w:rPr>
          <w:rStyle w:val="FootnoteReference"/>
        </w:rPr>
        <w:footnoteRef/>
      </w:r>
      <w:r>
        <w:t xml:space="preserve"> </w:t>
      </w:r>
      <w:r>
        <w:tab/>
        <w:t xml:space="preserve">Error = Actual – </w:t>
      </w:r>
      <w:proofErr w:type="gramStart"/>
      <w:r>
        <w:t>Forecast .</w:t>
      </w:r>
      <w:proofErr w:type="gramEnd"/>
    </w:p>
  </w:footnote>
  <w:footnote w:id="15">
    <w:p w:rsidR="00D75800" w:rsidRDefault="00D75800" w:rsidP="00A56BE2">
      <w:pPr>
        <w:pStyle w:val="FootnoteText"/>
      </w:pPr>
      <w:r>
        <w:rPr>
          <w:rStyle w:val="FootnoteReference"/>
        </w:rPr>
        <w:footnoteRef/>
      </w:r>
      <w:r>
        <w:t xml:space="preserve"> </w:t>
      </w:r>
      <w:r>
        <w:tab/>
      </w:r>
      <w:r w:rsidRPr="003B3E03">
        <w:rPr>
          <w:rFonts w:cs="Gautami"/>
        </w:rPr>
        <w:t>There has been a greater reduction when comparing the first half of 2014 to 2013.</w:t>
      </w:r>
    </w:p>
  </w:footnote>
  <w:footnote w:id="16">
    <w:p w:rsidR="00D75800" w:rsidRDefault="00D75800" w:rsidP="00015230">
      <w:pPr>
        <w:pStyle w:val="FootnoteText"/>
        <w:jc w:val="both"/>
      </w:pPr>
      <w:r>
        <w:rPr>
          <w:rStyle w:val="FootnoteReference"/>
        </w:rPr>
        <w:footnoteRef/>
      </w:r>
      <w:r>
        <w:t xml:space="preserve"> </w:t>
      </w:r>
      <w:r>
        <w:tab/>
      </w:r>
      <w:proofErr w:type="gramStart"/>
      <w:r>
        <w:t>Rule</w:t>
      </w:r>
      <w:r w:rsidRPr="00B50425">
        <w:t> 173</w:t>
      </w:r>
      <w:r>
        <w:t xml:space="preserve"> of the National Gas Rules.</w:t>
      </w:r>
      <w:proofErr w:type="gramEnd"/>
      <w:r>
        <w:t xml:space="preserve"> </w:t>
      </w:r>
    </w:p>
  </w:footnote>
  <w:footnote w:id="17">
    <w:p w:rsidR="00D75800" w:rsidRDefault="00D75800" w:rsidP="001A5366">
      <w:pPr>
        <w:pStyle w:val="FootnoteText"/>
      </w:pPr>
      <w:r>
        <w:rPr>
          <w:rStyle w:val="FootnoteReference"/>
        </w:rPr>
        <w:footnoteRef/>
      </w:r>
      <w:r>
        <w:t xml:space="preserve"> </w:t>
      </w:r>
      <w:r>
        <w:tab/>
      </w:r>
      <w:proofErr w:type="gramStart"/>
      <w:r>
        <w:t>R</w:t>
      </w:r>
      <w:r w:rsidRPr="00B50425">
        <w:t>ules 166 and 174</w:t>
      </w:r>
      <w:r>
        <w:t xml:space="preserve"> of the National Gas Rules.</w:t>
      </w:r>
      <w:proofErr w:type="gramEnd"/>
    </w:p>
  </w:footnote>
  <w:footnote w:id="18">
    <w:p w:rsidR="00D75800" w:rsidRPr="0035087E" w:rsidRDefault="00D75800" w:rsidP="00A15C7F">
      <w:pPr>
        <w:pStyle w:val="FootnoteText"/>
        <w:spacing w:after="120"/>
        <w:jc w:val="both"/>
        <w:rPr>
          <w:rFonts w:ascii="Gautami" w:hAnsi="Gautami" w:cs="Gautami"/>
        </w:rPr>
      </w:pPr>
      <w:r w:rsidRPr="0035087E">
        <w:rPr>
          <w:rStyle w:val="FootnoteReference"/>
          <w:rFonts w:ascii="Gautami" w:hAnsi="Gautami" w:cs="Gautami"/>
        </w:rPr>
        <w:footnoteRef/>
      </w:r>
      <w:r w:rsidRPr="0035087E">
        <w:rPr>
          <w:rStyle w:val="FootnoteReference"/>
          <w:rFonts w:ascii="Gautami" w:hAnsi="Gautami" w:cs="Gautami"/>
        </w:rPr>
        <w:t xml:space="preserve"> </w:t>
      </w:r>
      <w:r>
        <w:rPr>
          <w:rFonts w:ascii="Gautami" w:hAnsi="Gautami" w:cs="Gautami"/>
        </w:rPr>
        <w:tab/>
      </w:r>
      <w:r w:rsidRPr="00015230">
        <w:t>Market participants must provide to AEMO, at the same time as a rebid is made, a brief, verifiable and specific reason for the rebid, plus the time at which the reason for the rebid occurred. Equivalent requirements apply where AEMO is advised, under clause 3.8.19 of the Electricity Rules, that a unit, service or load is inflexible. Clause 3.8.22A of the Electricity Rules requires that dispatch offers, dispatch bids and rebids are made in ‘good faith’.</w:t>
      </w:r>
    </w:p>
  </w:footnote>
  <w:footnote w:id="19">
    <w:p w:rsidR="00D75800" w:rsidRPr="0035087E" w:rsidRDefault="00D75800" w:rsidP="00A15C7F">
      <w:pPr>
        <w:pStyle w:val="FootnoteText"/>
        <w:jc w:val="both"/>
        <w:rPr>
          <w:rFonts w:ascii="Gautami" w:hAnsi="Gautami" w:cs="Gautami"/>
        </w:rPr>
      </w:pPr>
      <w:r w:rsidRPr="0035087E">
        <w:rPr>
          <w:rStyle w:val="FootnoteReference"/>
          <w:rFonts w:ascii="Gautami" w:hAnsi="Gautami" w:cs="Gautami"/>
        </w:rPr>
        <w:footnoteRef/>
      </w:r>
      <w:r w:rsidRPr="0035087E">
        <w:rPr>
          <w:rStyle w:val="FootnoteReference"/>
          <w:rFonts w:ascii="Gautami" w:hAnsi="Gautami" w:cs="Gautami"/>
        </w:rPr>
        <w:t xml:space="preserve"> </w:t>
      </w:r>
      <w:r w:rsidRPr="0035087E">
        <w:rPr>
          <w:rFonts w:ascii="Gautami" w:hAnsi="Gautami" w:cs="Gautami"/>
        </w:rPr>
        <w:tab/>
      </w:r>
      <w:r w:rsidRPr="00015230">
        <w:t xml:space="preserve">In June 2012, we published an updated </w:t>
      </w:r>
      <w:hyperlink r:id="rId2" w:history="1">
        <w:r w:rsidRPr="00015230">
          <w:t>Compliance Bulletin No. 3</w:t>
        </w:r>
      </w:hyperlink>
      <w:r w:rsidRPr="00015230">
        <w:t xml:space="preserve"> to make it clear that, for the purposes of administering the three stage process and issuing warnings, we will rely on the cumulative count of non-compliant bids for all generating units under the same portfolio. In other words, where a parent company employs a common trading team for the bidding of multiple generating units in its portfolio, irrespective of whether these generators are different registered participants, we will count any non-compliant bids by that trading team together.</w:t>
      </w:r>
    </w:p>
  </w:footnote>
  <w:footnote w:id="20">
    <w:p w:rsidR="00D75800" w:rsidRDefault="00D75800" w:rsidP="00015230">
      <w:pPr>
        <w:pStyle w:val="FootnoteText"/>
        <w:jc w:val="both"/>
      </w:pPr>
      <w:r>
        <w:rPr>
          <w:rStyle w:val="FootnoteReference"/>
        </w:rPr>
        <w:footnoteRef/>
      </w:r>
      <w:r>
        <w:t xml:space="preserve"> </w:t>
      </w:r>
      <w:r>
        <w:tab/>
      </w:r>
      <w:r w:rsidRPr="00A40664">
        <w:t>Snowy Hydro is an electricity generator owned by the New South Wales, Victorian and Commonwealth Governments</w:t>
      </w:r>
      <w:r w:rsidRPr="00015230">
        <w:t>.</w:t>
      </w:r>
    </w:p>
  </w:footnote>
  <w:footnote w:id="21">
    <w:p w:rsidR="00D75800" w:rsidRDefault="00D75800" w:rsidP="00856BB5">
      <w:pPr>
        <w:pStyle w:val="AERbodytext"/>
      </w:pPr>
      <w:r>
        <w:rPr>
          <w:rStyle w:val="FootnoteReference"/>
        </w:rPr>
        <w:footnoteRef/>
      </w:r>
      <w:r>
        <w:t xml:space="preserve"> </w:t>
      </w:r>
      <w:r w:rsidRPr="00856BB5">
        <w:rPr>
          <w:rFonts w:ascii="Calibri" w:eastAsia="Calibri" w:hAnsi="Calibri" w:cs="Calibri"/>
          <w:sz w:val="16"/>
          <w:szCs w:val="20"/>
        </w:rPr>
        <w:t xml:space="preserve">The Market Management System Access Procedures, which are prescribed by AEMO, set out a range of rule and non-rule </w:t>
      </w:r>
      <w:r>
        <w:rPr>
          <w:rFonts w:ascii="Calibri" w:eastAsia="Calibri" w:hAnsi="Calibri" w:cs="Calibri"/>
          <w:sz w:val="16"/>
          <w:szCs w:val="20"/>
        </w:rPr>
        <w:t xml:space="preserve">          </w:t>
      </w:r>
      <w:r w:rsidRPr="00856BB5">
        <w:rPr>
          <w:rFonts w:ascii="Calibri" w:eastAsia="Calibri" w:hAnsi="Calibri" w:cs="Calibri"/>
          <w:sz w:val="16"/>
          <w:szCs w:val="20"/>
        </w:rPr>
        <w:t xml:space="preserve">enforceable requirements pertaining to market system access. Rule enforceable obligations include ensuring traffic from the Internet and the registered participant’s internal networks are isolated from their connection to AEMO’s Electricity Market Management Systems. </w:t>
      </w:r>
    </w:p>
    <w:p w:rsidR="00D75800" w:rsidRDefault="00D75800" w:rsidP="00856BB5">
      <w:pPr>
        <w:pStyle w:val="FootnoteText"/>
      </w:pPr>
    </w:p>
  </w:footnote>
  <w:footnote w:id="22">
    <w:p w:rsidR="00D75800" w:rsidRDefault="00D75800" w:rsidP="00BB49C1">
      <w:pPr>
        <w:pStyle w:val="FootnoteText"/>
        <w:jc w:val="both"/>
      </w:pPr>
      <w:r>
        <w:rPr>
          <w:rStyle w:val="FootnoteReference"/>
        </w:rPr>
        <w:footnoteRef/>
      </w:r>
      <w:r>
        <w:t xml:space="preserve"> </w:t>
      </w:r>
      <w:r>
        <w:tab/>
        <w:t>For example, unlike the Electricity Rules, the Meter Churn Procedures enable someone other than the Responsible Person to appoint the metering provider for a connection point.</w:t>
      </w:r>
    </w:p>
  </w:footnote>
  <w:footnote w:id="23">
    <w:p w:rsidR="00D75800" w:rsidRPr="00565CE6" w:rsidRDefault="00D75800" w:rsidP="00BB49C1">
      <w:pPr>
        <w:pStyle w:val="FootnoteText"/>
        <w:jc w:val="both"/>
        <w:rPr>
          <w:rFonts w:ascii="Gautami" w:hAnsi="Gautami" w:cs="Gautami"/>
        </w:rPr>
      </w:pPr>
      <w:r w:rsidRPr="00565CE6">
        <w:rPr>
          <w:rStyle w:val="FootnoteReference"/>
          <w:rFonts w:ascii="Gautami" w:hAnsi="Gautami" w:cs="Gautami"/>
        </w:rPr>
        <w:footnoteRef/>
      </w:r>
      <w:r w:rsidRPr="00565CE6">
        <w:rPr>
          <w:rFonts w:ascii="Gautami" w:hAnsi="Gautami" w:cs="Gautami"/>
        </w:rPr>
        <w:t xml:space="preserve"> </w:t>
      </w:r>
      <w:r>
        <w:rPr>
          <w:rFonts w:ascii="Gautami" w:hAnsi="Gautami" w:cs="Gautami"/>
        </w:rPr>
        <w:tab/>
      </w:r>
      <w:r w:rsidRPr="00015230">
        <w:t xml:space="preserve">Refer to </w:t>
      </w:r>
      <w:r>
        <w:t xml:space="preserve">National </w:t>
      </w:r>
      <w:r w:rsidRPr="00015230">
        <w:t xml:space="preserve">Electricity Rules clauses 9.4.3 (smelter trader: </w:t>
      </w:r>
      <w:proofErr w:type="spellStart"/>
      <w:r w:rsidRPr="00015230">
        <w:t>Vicpower</w:t>
      </w:r>
      <w:proofErr w:type="spellEnd"/>
      <w:r w:rsidRPr="00015230">
        <w:t xml:space="preserve"> Trading), 9.12.3 (power traders: Delta Electricity and Macquarie</w:t>
      </w:r>
      <w:r>
        <w:t xml:space="preserve"> </w:t>
      </w:r>
      <w:r w:rsidRPr="00015230">
        <w:t>Generation) and 9.34.6 (nominated generators: CS Energy and Stanwell Corporation).</w:t>
      </w:r>
    </w:p>
  </w:footnote>
  <w:footnote w:id="24">
    <w:p w:rsidR="00D75800" w:rsidRDefault="00D75800" w:rsidP="00BB49C1">
      <w:pPr>
        <w:pStyle w:val="FootnoteText"/>
        <w:jc w:val="both"/>
      </w:pPr>
      <w:r>
        <w:rPr>
          <w:rStyle w:val="FootnoteReference"/>
        </w:rPr>
        <w:footnoteRef/>
      </w:r>
      <w:r>
        <w:t xml:space="preserve"> </w:t>
      </w:r>
      <w:r>
        <w:tab/>
        <w:t>Red Energy paid the infringement notice penalty on 21 March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800" w:rsidRDefault="00D75800"/>
  <w:p w:rsidR="00D75800" w:rsidRDefault="00D75800"/>
  <w:p w:rsidR="00D75800" w:rsidRDefault="00D75800"/>
  <w:p w:rsidR="00D75800" w:rsidRDefault="00D75800"/>
  <w:p w:rsidR="00D75800" w:rsidRDefault="00D75800"/>
  <w:p w:rsidR="00D75800" w:rsidRDefault="00D75800"/>
  <w:p w:rsidR="00D75800" w:rsidRDefault="00D758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A2986"/>
    <w:multiLevelType w:val="hybridMultilevel"/>
    <w:tmpl w:val="CB7CF586"/>
    <w:lvl w:ilvl="0" w:tplc="6C50A454">
      <w:numFmt w:val="bullet"/>
      <w:lvlText w:val=""/>
      <w:lvlJc w:val="left"/>
      <w:pPr>
        <w:ind w:left="1080" w:hanging="360"/>
      </w:pPr>
      <w:rPr>
        <w:rFonts w:ascii="Symbol" w:eastAsia="Calibri" w:hAnsi="Symbol" w:cs="Times New Roman" w:hint="default"/>
      </w:rPr>
    </w:lvl>
    <w:lvl w:ilvl="1" w:tplc="0C09000F">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nsid w:val="0D517D24"/>
    <w:multiLevelType w:val="hybridMultilevel"/>
    <w:tmpl w:val="66B0C8D4"/>
    <w:lvl w:ilvl="0" w:tplc="A05C8C1C">
      <w:start w:val="1"/>
      <w:numFmt w:val="lowerRoman"/>
      <w:pStyle w:val="AERnumberedlistthirdstyle"/>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2">
    <w:nsid w:val="15CD10F7"/>
    <w:multiLevelType w:val="hybridMultilevel"/>
    <w:tmpl w:val="EEEC7CF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nsid w:val="18EB1A38"/>
    <w:multiLevelType w:val="hybridMultilevel"/>
    <w:tmpl w:val="0574A54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A3A6266"/>
    <w:multiLevelType w:val="multilevel"/>
    <w:tmpl w:val="4FAAC634"/>
    <w:lvl w:ilvl="0">
      <w:start w:val="1"/>
      <w:numFmt w:val="bullet"/>
      <w:pStyle w:val="AERbulletlistsecondstyle"/>
      <w:lvlText w:val=""/>
      <w:lvlJc w:val="left"/>
      <w:pPr>
        <w:ind w:left="717" w:hanging="360"/>
      </w:pPr>
      <w:rPr>
        <w:rFonts w:ascii="Wingdings 2" w:hAnsi="Wingdings 2" w:hint="default"/>
        <w:b w:val="0"/>
        <w:bCs w:val="0"/>
        <w:i w:val="0"/>
        <w:iCs w:val="0"/>
        <w:caps w:val="0"/>
        <w:strike w:val="0"/>
        <w:dstrike w:val="0"/>
        <w:outline w:val="0"/>
        <w:shadow w:val="0"/>
        <w:emboss w:val="0"/>
        <w:imprint w:val="0"/>
        <w:vanish w:val="0"/>
        <w:spacing w:val="0"/>
        <w:kern w:val="0"/>
        <w:position w:val="0"/>
        <w:sz w:val="18"/>
        <w:u w:val="none"/>
        <w:vertAlign w:val="baseline"/>
        <w:em w:val="none"/>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1F5A6947"/>
    <w:multiLevelType w:val="hybridMultilevel"/>
    <w:tmpl w:val="30BAD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0EF1705"/>
    <w:multiLevelType w:val="hybridMultilevel"/>
    <w:tmpl w:val="AA061B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10B69EC"/>
    <w:multiLevelType w:val="hybridMultilevel"/>
    <w:tmpl w:val="8214E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5DA5505"/>
    <w:multiLevelType w:val="hybridMultilevel"/>
    <w:tmpl w:val="F3441FF0"/>
    <w:lvl w:ilvl="0" w:tplc="1AC68B5C">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1A661E"/>
    <w:multiLevelType w:val="hybridMultilevel"/>
    <w:tmpl w:val="9A7C3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E4B3525"/>
    <w:multiLevelType w:val="hybridMultilevel"/>
    <w:tmpl w:val="0F708FAA"/>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2">
    <w:nsid w:val="2FB612CC"/>
    <w:multiLevelType w:val="multilevel"/>
    <w:tmpl w:val="1492709C"/>
    <w:styleLink w:val="AERHeadings"/>
    <w:lvl w:ilvl="0">
      <w:start w:val="1"/>
      <w:numFmt w:val="none"/>
      <w:pStyle w:val="UnnumberedHeading"/>
      <w:lvlText w:val="%1"/>
      <w:lvlJc w:val="left"/>
      <w:pPr>
        <w:tabs>
          <w:tab w:val="num" w:pos="0"/>
        </w:tabs>
        <w:ind w:left="0" w:firstLine="0"/>
      </w:pPr>
      <w:rPr>
        <w:rFonts w:hint="default"/>
      </w:rPr>
    </w:lvl>
    <w:lvl w:ilvl="1">
      <w:start w:val="1"/>
      <w:numFmt w:val="decimal"/>
      <w:pStyle w:val="Heading1"/>
      <w:lvlText w:val="%1%2"/>
      <w:lvlJc w:val="left"/>
      <w:pPr>
        <w:tabs>
          <w:tab w:val="num" w:pos="0"/>
        </w:tabs>
        <w:ind w:left="0" w:hanging="851"/>
      </w:pPr>
      <w:rPr>
        <w:rFonts w:hint="default"/>
      </w:rPr>
    </w:lvl>
    <w:lvl w:ilvl="2">
      <w:start w:val="1"/>
      <w:numFmt w:val="decimal"/>
      <w:pStyle w:val="Heading2"/>
      <w:lvlText w:val="%1%2.%3"/>
      <w:lvlJc w:val="left"/>
      <w:pPr>
        <w:tabs>
          <w:tab w:val="num" w:pos="0"/>
        </w:tabs>
        <w:ind w:left="0" w:hanging="851"/>
      </w:pPr>
      <w:rPr>
        <w:rFonts w:hint="default"/>
      </w:rPr>
    </w:lvl>
    <w:lvl w:ilvl="3">
      <w:start w:val="1"/>
      <w:numFmt w:val="decimal"/>
      <w:pStyle w:val="Heading3"/>
      <w:lvlText w:val="%2.%3.%4"/>
      <w:lvlJc w:val="left"/>
      <w:pPr>
        <w:tabs>
          <w:tab w:val="num" w:pos="0"/>
        </w:tabs>
        <w:ind w:left="0" w:hanging="851"/>
      </w:pPr>
      <w:rPr>
        <w:rFonts w:hint="default"/>
      </w:rPr>
    </w:lvl>
    <w:lvl w:ilvl="4">
      <w:start w:val="1"/>
      <w:numFmt w:val="upperLetter"/>
      <w:lvlRestart w:val="1"/>
      <w:pStyle w:val="Heading7"/>
      <w:lvlText w:val="%5"/>
      <w:lvlJc w:val="left"/>
      <w:pPr>
        <w:tabs>
          <w:tab w:val="num" w:pos="0"/>
        </w:tabs>
        <w:ind w:left="0" w:hanging="851"/>
      </w:pPr>
      <w:rPr>
        <w:rFonts w:hint="default"/>
      </w:rPr>
    </w:lvl>
    <w:lvl w:ilvl="5">
      <w:start w:val="1"/>
      <w:numFmt w:val="decimal"/>
      <w:pStyle w:val="Heading8"/>
      <w:lvlText w:val="%5.%6"/>
      <w:lvlJc w:val="left"/>
      <w:pPr>
        <w:tabs>
          <w:tab w:val="num" w:pos="0"/>
        </w:tabs>
        <w:ind w:left="0" w:hanging="851"/>
      </w:pPr>
      <w:rPr>
        <w:rFonts w:hint="default"/>
      </w:rPr>
    </w:lvl>
    <w:lvl w:ilvl="6">
      <w:start w:val="1"/>
      <w:numFmt w:val="decimal"/>
      <w:pStyle w:val="Heading9"/>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3">
    <w:nsid w:val="301B31FF"/>
    <w:multiLevelType w:val="multilevel"/>
    <w:tmpl w:val="6B1233FC"/>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4">
    <w:nsid w:val="398E44B3"/>
    <w:multiLevelType w:val="hybridMultilevel"/>
    <w:tmpl w:val="96A831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3C721288"/>
    <w:multiLevelType w:val="multilevel"/>
    <w:tmpl w:val="1492709C"/>
    <w:numStyleLink w:val="AERHeadings"/>
  </w:abstractNum>
  <w:abstractNum w:abstractNumId="16">
    <w:nsid w:val="443F74CB"/>
    <w:multiLevelType w:val="hybridMultilevel"/>
    <w:tmpl w:val="550AFBE6"/>
    <w:lvl w:ilvl="0" w:tplc="D4F0A01E">
      <w:start w:val="1"/>
      <w:numFmt w:val="decimal"/>
      <w:pStyle w:val="AERnumberedlistfirststyle"/>
      <w:lvlText w:val="%1."/>
      <w:lvlJc w:val="left"/>
      <w:pPr>
        <w:tabs>
          <w:tab w:val="num" w:pos="357"/>
        </w:tabs>
        <w:ind w:left="357" w:hanging="357"/>
      </w:pPr>
      <w:rPr>
        <w:rFonts w:ascii="Gautami" w:hAnsi="Gautami" w:hint="default"/>
        <w:b w:val="0"/>
        <w:i w:val="0"/>
        <w:sz w:val="22"/>
      </w:rPr>
    </w:lvl>
    <w:lvl w:ilvl="1" w:tplc="32F652EA">
      <w:start w:val="1"/>
      <w:numFmt w:val="bullet"/>
      <w:lvlText w:val=""/>
      <w:lvlJc w:val="left"/>
      <w:pPr>
        <w:tabs>
          <w:tab w:val="num" w:pos="4498"/>
        </w:tabs>
        <w:ind w:left="4498" w:hanging="358"/>
      </w:pPr>
      <w:rPr>
        <w:rFonts w:ascii="Wingdings" w:hAnsi="Wingdings" w:hint="default"/>
        <w:b w:val="0"/>
        <w:i w:val="0"/>
        <w:sz w:val="22"/>
      </w:rPr>
    </w:lvl>
    <w:lvl w:ilvl="2" w:tplc="5ABC4262" w:tentative="1">
      <w:start w:val="1"/>
      <w:numFmt w:val="lowerRoman"/>
      <w:lvlText w:val="%3."/>
      <w:lvlJc w:val="right"/>
      <w:pPr>
        <w:tabs>
          <w:tab w:val="num" w:pos="5220"/>
        </w:tabs>
        <w:ind w:left="5220" w:hanging="180"/>
      </w:pPr>
    </w:lvl>
    <w:lvl w:ilvl="3" w:tplc="268C5056" w:tentative="1">
      <w:start w:val="1"/>
      <w:numFmt w:val="decimal"/>
      <w:lvlText w:val="%4."/>
      <w:lvlJc w:val="left"/>
      <w:pPr>
        <w:tabs>
          <w:tab w:val="num" w:pos="5940"/>
        </w:tabs>
        <w:ind w:left="5940" w:hanging="360"/>
      </w:pPr>
    </w:lvl>
    <w:lvl w:ilvl="4" w:tplc="42CAC7D0">
      <w:start w:val="1"/>
      <w:numFmt w:val="lowerLetter"/>
      <w:lvlText w:val="%5."/>
      <w:lvlJc w:val="left"/>
      <w:pPr>
        <w:tabs>
          <w:tab w:val="num" w:pos="6660"/>
        </w:tabs>
        <w:ind w:left="6660" w:hanging="360"/>
      </w:pPr>
    </w:lvl>
    <w:lvl w:ilvl="5" w:tplc="EB7EE31A">
      <w:start w:val="1"/>
      <w:numFmt w:val="lowerRoman"/>
      <w:lvlText w:val="%6."/>
      <w:lvlJc w:val="right"/>
      <w:pPr>
        <w:tabs>
          <w:tab w:val="num" w:pos="7380"/>
        </w:tabs>
        <w:ind w:left="7380" w:hanging="180"/>
      </w:pPr>
    </w:lvl>
    <w:lvl w:ilvl="6" w:tplc="E6D86F90" w:tentative="1">
      <w:start w:val="1"/>
      <w:numFmt w:val="decimal"/>
      <w:lvlText w:val="%7."/>
      <w:lvlJc w:val="left"/>
      <w:pPr>
        <w:tabs>
          <w:tab w:val="num" w:pos="8100"/>
        </w:tabs>
        <w:ind w:left="8100" w:hanging="360"/>
      </w:pPr>
    </w:lvl>
    <w:lvl w:ilvl="7" w:tplc="882C84EC" w:tentative="1">
      <w:start w:val="1"/>
      <w:numFmt w:val="lowerLetter"/>
      <w:lvlText w:val="%8."/>
      <w:lvlJc w:val="left"/>
      <w:pPr>
        <w:tabs>
          <w:tab w:val="num" w:pos="8820"/>
        </w:tabs>
        <w:ind w:left="8820" w:hanging="360"/>
      </w:pPr>
    </w:lvl>
    <w:lvl w:ilvl="8" w:tplc="DD3E2D30" w:tentative="1">
      <w:start w:val="1"/>
      <w:numFmt w:val="lowerRoman"/>
      <w:lvlText w:val="%9."/>
      <w:lvlJc w:val="right"/>
      <w:pPr>
        <w:tabs>
          <w:tab w:val="num" w:pos="9540"/>
        </w:tabs>
        <w:ind w:left="9540" w:hanging="180"/>
      </w:pPr>
    </w:lvl>
  </w:abstractNum>
  <w:abstractNum w:abstractNumId="17">
    <w:nsid w:val="451D3C6C"/>
    <w:multiLevelType w:val="hybridMultilevel"/>
    <w:tmpl w:val="6974F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1487971"/>
    <w:multiLevelType w:val="multilevel"/>
    <w:tmpl w:val="B1FCC85A"/>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5623405A"/>
    <w:multiLevelType w:val="hybridMultilevel"/>
    <w:tmpl w:val="11E6E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DB0BC9"/>
    <w:multiLevelType w:val="hybridMultilevel"/>
    <w:tmpl w:val="84D68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B726949"/>
    <w:multiLevelType w:val="hybridMultilevel"/>
    <w:tmpl w:val="A558962E"/>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2">
    <w:nsid w:val="5E786627"/>
    <w:multiLevelType w:val="hybridMultilevel"/>
    <w:tmpl w:val="E75AFF92"/>
    <w:lvl w:ilvl="0" w:tplc="0C09000F">
      <w:start w:val="1"/>
      <w:numFmt w:val="decimal"/>
      <w:lvlText w:val="%1."/>
      <w:lvlJc w:val="left"/>
      <w:pPr>
        <w:ind w:left="720" w:hanging="360"/>
      </w:pPr>
    </w:lvl>
    <w:lvl w:ilvl="1" w:tplc="27BCAF46">
      <w:start w:val="1"/>
      <w:numFmt w:val="lowerLetter"/>
      <w:lvlText w:val="%2."/>
      <w:lvlJc w:val="left"/>
      <w:pPr>
        <w:ind w:left="1440" w:hanging="360"/>
      </w:pPr>
      <w:rPr>
        <w:rFonts w:ascii="Arial" w:hAnsi="Arial" w:cs="Arial" w:hint="default"/>
        <w:b/>
        <w:sz w:val="20"/>
        <w:szCs w:val="2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nsid w:val="62BF0570"/>
    <w:multiLevelType w:val="hybridMultilevel"/>
    <w:tmpl w:val="2C38EE7E"/>
    <w:lvl w:ilvl="0" w:tplc="0C090001">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24">
    <w:nsid w:val="6559576E"/>
    <w:multiLevelType w:val="hybridMultilevel"/>
    <w:tmpl w:val="D8B2DEDA"/>
    <w:lvl w:ilvl="0" w:tplc="FFFFFFFF">
      <w:start w:val="91"/>
      <w:numFmt w:val="decimal"/>
      <w:pStyle w:val="ListBullet"/>
      <w:lvlText w:val="%1."/>
      <w:lvlJc w:val="left"/>
      <w:pPr>
        <w:tabs>
          <w:tab w:val="num" w:pos="360"/>
        </w:tabs>
        <w:ind w:left="360" w:hanging="360"/>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25">
    <w:nsid w:val="6F317E15"/>
    <w:multiLevelType w:val="hybridMultilevel"/>
    <w:tmpl w:val="92EAC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6A149FE"/>
    <w:multiLevelType w:val="multilevel"/>
    <w:tmpl w:val="11ECFB3A"/>
    <w:lvl w:ilvl="0">
      <w:start w:val="1"/>
      <w:numFmt w:val="decimal"/>
      <w:pStyle w:val="AERheading1"/>
      <w:lvlText w:val="%1"/>
      <w:lvlJc w:val="left"/>
      <w:pPr>
        <w:tabs>
          <w:tab w:val="num" w:pos="357"/>
        </w:tabs>
        <w:ind w:left="1071" w:hanging="1071"/>
      </w:pPr>
      <w:rPr>
        <w:rFonts w:hint="default"/>
      </w:rPr>
    </w:lvl>
    <w:lvl w:ilvl="1">
      <w:start w:val="1"/>
      <w:numFmt w:val="decimal"/>
      <w:pStyle w:val="AERheading2"/>
      <w:lvlText w:val="%1.%2"/>
      <w:lvlJc w:val="left"/>
      <w:pPr>
        <w:tabs>
          <w:tab w:val="num" w:pos="5035"/>
        </w:tabs>
        <w:ind w:left="5035" w:hanging="357"/>
      </w:pPr>
      <w:rPr>
        <w:rFonts w:hint="default"/>
        <w:b/>
        <w:color w:val="E36C0A" w:themeColor="accent6" w:themeShade="BF"/>
        <w:sz w:val="28"/>
        <w:szCs w:val="28"/>
      </w:rPr>
    </w:lvl>
    <w:lvl w:ilvl="2">
      <w:start w:val="1"/>
      <w:numFmt w:val="decimal"/>
      <w:pStyle w:val="AERheading3"/>
      <w:lvlText w:val="%1.%2.%3"/>
      <w:lvlJc w:val="left"/>
      <w:pPr>
        <w:tabs>
          <w:tab w:val="num" w:pos="357"/>
        </w:tabs>
        <w:ind w:left="357" w:hanging="35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Restart w:val="1"/>
      <w:pStyle w:val="AERfigureheading"/>
      <w:lvlText w:val="Figure %1.%4"/>
      <w:lvlJc w:val="left"/>
      <w:pPr>
        <w:tabs>
          <w:tab w:val="num" w:pos="499"/>
        </w:tabs>
        <w:ind w:left="499" w:hanging="357"/>
      </w:pPr>
      <w:rPr>
        <w:rFonts w:hint="default"/>
      </w:rPr>
    </w:lvl>
    <w:lvl w:ilvl="4">
      <w:start w:val="1"/>
      <w:numFmt w:val="decimal"/>
      <w:lvlRestart w:val="1"/>
      <w:lvlText w:val="Table %1.%5"/>
      <w:lvlJc w:val="left"/>
      <w:pPr>
        <w:tabs>
          <w:tab w:val="num" w:pos="357"/>
        </w:tabs>
        <w:ind w:left="357" w:hanging="357"/>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nsid w:val="78B75593"/>
    <w:multiLevelType w:val="multilevel"/>
    <w:tmpl w:val="979A7758"/>
    <w:lvl w:ilvl="0">
      <w:start w:val="1"/>
      <w:numFmt w:val="decimal"/>
      <w:pStyle w:val="LegalFirstLevel"/>
      <w:lvlText w:val="%1."/>
      <w:lvlJc w:val="left"/>
      <w:pPr>
        <w:tabs>
          <w:tab w:val="num" w:pos="567"/>
        </w:tabs>
        <w:ind w:left="567" w:hanging="567"/>
      </w:pPr>
      <w:rPr>
        <w:rFonts w:hint="default"/>
      </w:rPr>
    </w:lvl>
    <w:lvl w:ilvl="1">
      <w:start w:val="1"/>
      <w:numFmt w:val="lowerLetter"/>
      <w:pStyle w:val="LegalSecondLevel"/>
      <w:lvlText w:val="(%2)"/>
      <w:lvlJc w:val="left"/>
      <w:pPr>
        <w:tabs>
          <w:tab w:val="num" w:pos="1134"/>
        </w:tabs>
        <w:ind w:left="1134" w:hanging="567"/>
      </w:pPr>
      <w:rPr>
        <w:rFonts w:hint="default"/>
      </w:rPr>
    </w:lvl>
    <w:lvl w:ilvl="2">
      <w:start w:val="1"/>
      <w:numFmt w:val="lowerRoman"/>
      <w:pStyle w:val="LegalThirdLevel"/>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7AEF67FF"/>
    <w:multiLevelType w:val="multilevel"/>
    <w:tmpl w:val="AACE20AA"/>
    <w:lvl w:ilvl="0">
      <w:start w:val="1"/>
      <w:numFmt w:val="bullet"/>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ECC3D02"/>
    <w:multiLevelType w:val="hybridMultilevel"/>
    <w:tmpl w:val="68448A2E"/>
    <w:lvl w:ilvl="0" w:tplc="DE5883B0">
      <w:start w:val="1"/>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1"/>
  </w:num>
  <w:num w:numId="4">
    <w:abstractNumId w:val="16"/>
  </w:num>
  <w:num w:numId="5">
    <w:abstractNumId w:val="13"/>
  </w:num>
  <w:num w:numId="6">
    <w:abstractNumId w:val="24"/>
  </w:num>
  <w:num w:numId="7">
    <w:abstractNumId w:val="26"/>
  </w:num>
  <w:num w:numId="8">
    <w:abstractNumId w:val="27"/>
  </w:num>
  <w:num w:numId="9">
    <w:abstractNumId w:val="8"/>
  </w:num>
  <w:num w:numId="10">
    <w:abstractNumId w:val="12"/>
  </w:num>
  <w:num w:numId="11">
    <w:abstractNumId w:val="18"/>
  </w:num>
  <w:num w:numId="12">
    <w:abstractNumId w:val="15"/>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11"/>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9"/>
  </w:num>
  <w:num w:numId="20">
    <w:abstractNumId w:val="26"/>
  </w:num>
  <w:num w:numId="21">
    <w:abstractNumId w:val="26"/>
  </w:num>
  <w:num w:numId="22">
    <w:abstractNumId w:val="28"/>
  </w:num>
  <w:num w:numId="23">
    <w:abstractNumId w:val="21"/>
  </w:num>
  <w:num w:numId="24">
    <w:abstractNumId w:val="0"/>
  </w:num>
  <w:num w:numId="25">
    <w:abstractNumId w:val="22"/>
  </w:num>
  <w:num w:numId="26">
    <w:abstractNumId w:val="17"/>
  </w:num>
  <w:num w:numId="27">
    <w:abstractNumId w:val="6"/>
  </w:num>
  <w:num w:numId="28">
    <w:abstractNumId w:val="20"/>
  </w:num>
  <w:num w:numId="29">
    <w:abstractNumId w:val="10"/>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4"/>
  </w:num>
  <w:num w:numId="33">
    <w:abstractNumId w:val="4"/>
  </w:num>
  <w:num w:numId="34">
    <w:abstractNumId w:val="4"/>
  </w:num>
  <w:num w:numId="35">
    <w:abstractNumId w:val="4"/>
  </w:num>
  <w:num w:numId="36">
    <w:abstractNumId w:val="26"/>
  </w:num>
  <w:num w:numId="37">
    <w:abstractNumId w:val="19"/>
  </w:num>
  <w:num w:numId="38">
    <w:abstractNumId w:val="25"/>
  </w:num>
  <w:num w:numId="39">
    <w:abstractNumId w:val="26"/>
  </w:num>
  <w:num w:numId="40">
    <w:abstractNumId w:val="2"/>
  </w:num>
  <w:num w:numId="41">
    <w:abstractNumId w:val="5"/>
  </w:num>
  <w:num w:numId="42">
    <w:abstractNumId w:val="4"/>
  </w:num>
  <w:num w:numId="43">
    <w:abstractNumId w:val="4"/>
  </w:num>
  <w:num w:numId="44">
    <w:abstractNumId w:val="4"/>
  </w:num>
  <w:num w:numId="45">
    <w:abstractNumId w:val="26"/>
  </w:num>
  <w:num w:numId="46">
    <w:abstractNumId w:val="26"/>
  </w:num>
  <w:num w:numId="47">
    <w:abstractNumId w:val="26"/>
  </w:num>
  <w:num w:numId="48">
    <w:abstractNumId w:val="7"/>
  </w:num>
  <w:num w:numId="49">
    <w:abstractNumId w:val="29"/>
  </w:num>
  <w:num w:numId="50">
    <w:abstractNumId w:val="26"/>
  </w:num>
  <w:num w:numId="51">
    <w:abstractNumId w:val="26"/>
  </w:num>
  <w:num w:numId="52">
    <w:abstractNumId w:val="26"/>
  </w:num>
  <w:num w:numId="53">
    <w:abstractNumId w:val="26"/>
  </w:num>
  <w:num w:numId="54">
    <w:abstractNumId w:val="26"/>
  </w:num>
  <w:num w:numId="55">
    <w:abstractNumId w:val="26"/>
  </w:num>
  <w:num w:numId="56">
    <w:abstractNumId w:val="26"/>
  </w:num>
  <w:num w:numId="57">
    <w:abstractNumId w:val="26"/>
  </w:num>
  <w:num w:numId="58">
    <w:abstractNumId w:val="26"/>
  </w:num>
  <w:num w:numId="59">
    <w:abstractNumId w:val="26"/>
  </w:num>
  <w:num w:numId="60">
    <w:abstractNumId w:val="26"/>
  </w:num>
  <w:num w:numId="61">
    <w:abstractNumId w:val="26"/>
  </w:num>
  <w:num w:numId="62">
    <w:abstractNumId w:val="26"/>
  </w:num>
  <w:num w:numId="63">
    <w:abstractNumId w:val="26"/>
  </w:num>
  <w:num w:numId="64">
    <w:abstractNumId w:val="26"/>
  </w:num>
  <w:num w:numId="65">
    <w:abstractNumId w:val="26"/>
  </w:num>
  <w:num w:numId="66">
    <w:abstractNumId w:val="26"/>
  </w:num>
  <w:num w:numId="67">
    <w:abstractNumId w:val="26"/>
  </w:num>
  <w:num w:numId="68">
    <w:abstractNumId w:val="26"/>
  </w:num>
  <w:num w:numId="69">
    <w:abstractNumId w:val="26"/>
  </w:num>
  <w:num w:numId="70">
    <w:abstractNumId w:val="26"/>
  </w:num>
  <w:num w:numId="71">
    <w:abstractNumId w:val="26"/>
  </w:num>
  <w:num w:numId="72">
    <w:abstractNumId w:val="26"/>
  </w:num>
  <w:num w:numId="73">
    <w:abstractNumId w:val="26"/>
  </w:num>
  <w:num w:numId="74">
    <w:abstractNumId w:val="26"/>
  </w:num>
  <w:num w:numId="75">
    <w:abstractNumId w:val="26"/>
  </w:num>
  <w:num w:numId="76">
    <w:abstractNumId w:val="26"/>
  </w:num>
  <w:num w:numId="77">
    <w:abstractNumId w:val="26"/>
  </w:num>
  <w:num w:numId="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6"/>
  </w:num>
  <w:num w:numId="8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trackRevisions/>
  <w:doNotTrackMoves/>
  <w:documentProtection w:edit="readOnly" w:formatting="1" w:enforcement="0"/>
  <w:styleLockTheme/>
  <w:styleLockQFSet/>
  <w:defaultTabStop w:val="720"/>
  <w:drawingGridHorizontalSpacing w:val="100"/>
  <w:displayHorizontalDrawingGridEvery w:val="2"/>
  <w:characterSpacingControl w:val="doNotCompress"/>
  <w:hdrShapeDefaults>
    <o:shapedefaults v:ext="edit" spidmax="4864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SCBRFS001\home$\SAMCD\AAA\Quarterly compliance report April - June 2014.DOCX"/>
  </w:docVars>
  <w:rsids>
    <w:rsidRoot w:val="00F75FBD"/>
    <w:rsid w:val="00000080"/>
    <w:rsid w:val="000008B3"/>
    <w:rsid w:val="00000E09"/>
    <w:rsid w:val="000014D2"/>
    <w:rsid w:val="000018CD"/>
    <w:rsid w:val="0000194E"/>
    <w:rsid w:val="00001FCA"/>
    <w:rsid w:val="000020FB"/>
    <w:rsid w:val="00002829"/>
    <w:rsid w:val="00002A76"/>
    <w:rsid w:val="00003B0A"/>
    <w:rsid w:val="00003B8C"/>
    <w:rsid w:val="00003E22"/>
    <w:rsid w:val="000042BF"/>
    <w:rsid w:val="00004578"/>
    <w:rsid w:val="0000468D"/>
    <w:rsid w:val="00004867"/>
    <w:rsid w:val="00004C36"/>
    <w:rsid w:val="00004F2E"/>
    <w:rsid w:val="00005725"/>
    <w:rsid w:val="000059FF"/>
    <w:rsid w:val="00005DB1"/>
    <w:rsid w:val="000060ED"/>
    <w:rsid w:val="00006183"/>
    <w:rsid w:val="00006681"/>
    <w:rsid w:val="000066D8"/>
    <w:rsid w:val="000068EC"/>
    <w:rsid w:val="00006D55"/>
    <w:rsid w:val="00006E63"/>
    <w:rsid w:val="00006E66"/>
    <w:rsid w:val="000070D2"/>
    <w:rsid w:val="00007451"/>
    <w:rsid w:val="000078B2"/>
    <w:rsid w:val="00007A05"/>
    <w:rsid w:val="00007DEC"/>
    <w:rsid w:val="00010C72"/>
    <w:rsid w:val="00010E2A"/>
    <w:rsid w:val="000110D5"/>
    <w:rsid w:val="000115F6"/>
    <w:rsid w:val="00011751"/>
    <w:rsid w:val="00011913"/>
    <w:rsid w:val="00011B17"/>
    <w:rsid w:val="00011C65"/>
    <w:rsid w:val="0001232D"/>
    <w:rsid w:val="0001277E"/>
    <w:rsid w:val="000128BC"/>
    <w:rsid w:val="00012C8B"/>
    <w:rsid w:val="0001307D"/>
    <w:rsid w:val="000139F3"/>
    <w:rsid w:val="00014B8F"/>
    <w:rsid w:val="00015040"/>
    <w:rsid w:val="00015230"/>
    <w:rsid w:val="000158C2"/>
    <w:rsid w:val="00015FFE"/>
    <w:rsid w:val="000161BF"/>
    <w:rsid w:val="00016924"/>
    <w:rsid w:val="00016DEF"/>
    <w:rsid w:val="00016E96"/>
    <w:rsid w:val="00017634"/>
    <w:rsid w:val="00017C33"/>
    <w:rsid w:val="00017FAD"/>
    <w:rsid w:val="000201DE"/>
    <w:rsid w:val="000204F0"/>
    <w:rsid w:val="00020AD8"/>
    <w:rsid w:val="00020D13"/>
    <w:rsid w:val="000213B6"/>
    <w:rsid w:val="00021891"/>
    <w:rsid w:val="00021990"/>
    <w:rsid w:val="00021DE4"/>
    <w:rsid w:val="00022810"/>
    <w:rsid w:val="000228BB"/>
    <w:rsid w:val="00022A77"/>
    <w:rsid w:val="00022C3F"/>
    <w:rsid w:val="00023487"/>
    <w:rsid w:val="00023543"/>
    <w:rsid w:val="000237D8"/>
    <w:rsid w:val="00023E55"/>
    <w:rsid w:val="00023F1D"/>
    <w:rsid w:val="00024271"/>
    <w:rsid w:val="000242AC"/>
    <w:rsid w:val="00024853"/>
    <w:rsid w:val="00024ECD"/>
    <w:rsid w:val="00025D45"/>
    <w:rsid w:val="00025E0E"/>
    <w:rsid w:val="0002602A"/>
    <w:rsid w:val="000260E2"/>
    <w:rsid w:val="000261A3"/>
    <w:rsid w:val="0002626E"/>
    <w:rsid w:val="00026564"/>
    <w:rsid w:val="000267ED"/>
    <w:rsid w:val="00026C3A"/>
    <w:rsid w:val="0002765A"/>
    <w:rsid w:val="000277D9"/>
    <w:rsid w:val="00027DAF"/>
    <w:rsid w:val="0003080B"/>
    <w:rsid w:val="000308EE"/>
    <w:rsid w:val="0003098E"/>
    <w:rsid w:val="000318FE"/>
    <w:rsid w:val="00031AA8"/>
    <w:rsid w:val="00031CC9"/>
    <w:rsid w:val="00031D7C"/>
    <w:rsid w:val="000328A5"/>
    <w:rsid w:val="00032A56"/>
    <w:rsid w:val="00032BCA"/>
    <w:rsid w:val="00032C54"/>
    <w:rsid w:val="00032F9C"/>
    <w:rsid w:val="00033316"/>
    <w:rsid w:val="0003339C"/>
    <w:rsid w:val="0003345D"/>
    <w:rsid w:val="000335CA"/>
    <w:rsid w:val="00033718"/>
    <w:rsid w:val="00033B09"/>
    <w:rsid w:val="00033EA7"/>
    <w:rsid w:val="00034017"/>
    <w:rsid w:val="0003429E"/>
    <w:rsid w:val="00034438"/>
    <w:rsid w:val="000344DF"/>
    <w:rsid w:val="0003457A"/>
    <w:rsid w:val="000345D3"/>
    <w:rsid w:val="00034DF0"/>
    <w:rsid w:val="00034F0A"/>
    <w:rsid w:val="000353A5"/>
    <w:rsid w:val="000356D8"/>
    <w:rsid w:val="000357CD"/>
    <w:rsid w:val="0003586E"/>
    <w:rsid w:val="00035C9F"/>
    <w:rsid w:val="000360CE"/>
    <w:rsid w:val="0003617E"/>
    <w:rsid w:val="000361EA"/>
    <w:rsid w:val="0003626E"/>
    <w:rsid w:val="0003632C"/>
    <w:rsid w:val="00036810"/>
    <w:rsid w:val="00036ABD"/>
    <w:rsid w:val="00037322"/>
    <w:rsid w:val="000373B0"/>
    <w:rsid w:val="00037541"/>
    <w:rsid w:val="000375EE"/>
    <w:rsid w:val="00037690"/>
    <w:rsid w:val="00037AE2"/>
    <w:rsid w:val="00040414"/>
    <w:rsid w:val="000407B3"/>
    <w:rsid w:val="000413B3"/>
    <w:rsid w:val="00041D07"/>
    <w:rsid w:val="00041E93"/>
    <w:rsid w:val="00042733"/>
    <w:rsid w:val="000427C9"/>
    <w:rsid w:val="00042ADE"/>
    <w:rsid w:val="00042F04"/>
    <w:rsid w:val="00043239"/>
    <w:rsid w:val="00043981"/>
    <w:rsid w:val="0004398F"/>
    <w:rsid w:val="00043CB9"/>
    <w:rsid w:val="00044126"/>
    <w:rsid w:val="00044949"/>
    <w:rsid w:val="00044A13"/>
    <w:rsid w:val="00044DAB"/>
    <w:rsid w:val="0004540E"/>
    <w:rsid w:val="000456D1"/>
    <w:rsid w:val="00045A65"/>
    <w:rsid w:val="00045BEA"/>
    <w:rsid w:val="00045E9E"/>
    <w:rsid w:val="00046146"/>
    <w:rsid w:val="00046779"/>
    <w:rsid w:val="00046986"/>
    <w:rsid w:val="00046A92"/>
    <w:rsid w:val="00046C2F"/>
    <w:rsid w:val="00046DA1"/>
    <w:rsid w:val="00046FFD"/>
    <w:rsid w:val="000474B8"/>
    <w:rsid w:val="00047CAE"/>
    <w:rsid w:val="00050086"/>
    <w:rsid w:val="00050394"/>
    <w:rsid w:val="00050A33"/>
    <w:rsid w:val="00050C6C"/>
    <w:rsid w:val="00050D72"/>
    <w:rsid w:val="00050E80"/>
    <w:rsid w:val="00051106"/>
    <w:rsid w:val="000513D6"/>
    <w:rsid w:val="0005191C"/>
    <w:rsid w:val="00051B5E"/>
    <w:rsid w:val="00051CA2"/>
    <w:rsid w:val="00051EA8"/>
    <w:rsid w:val="00052039"/>
    <w:rsid w:val="000528A5"/>
    <w:rsid w:val="00052936"/>
    <w:rsid w:val="00052C31"/>
    <w:rsid w:val="00052EA4"/>
    <w:rsid w:val="000534E9"/>
    <w:rsid w:val="000536D4"/>
    <w:rsid w:val="00054470"/>
    <w:rsid w:val="0005475B"/>
    <w:rsid w:val="00054A64"/>
    <w:rsid w:val="00054D3E"/>
    <w:rsid w:val="00054D66"/>
    <w:rsid w:val="00054DBF"/>
    <w:rsid w:val="00055154"/>
    <w:rsid w:val="00055C37"/>
    <w:rsid w:val="00056061"/>
    <w:rsid w:val="000561AA"/>
    <w:rsid w:val="000563E3"/>
    <w:rsid w:val="00056665"/>
    <w:rsid w:val="00056BE0"/>
    <w:rsid w:val="00056C66"/>
    <w:rsid w:val="00057320"/>
    <w:rsid w:val="000579A7"/>
    <w:rsid w:val="000579EA"/>
    <w:rsid w:val="00057A0F"/>
    <w:rsid w:val="00057A4B"/>
    <w:rsid w:val="00060300"/>
    <w:rsid w:val="00060369"/>
    <w:rsid w:val="000603B4"/>
    <w:rsid w:val="00060A54"/>
    <w:rsid w:val="00060F51"/>
    <w:rsid w:val="00061148"/>
    <w:rsid w:val="00061BFD"/>
    <w:rsid w:val="00061D58"/>
    <w:rsid w:val="00061E11"/>
    <w:rsid w:val="00061EBD"/>
    <w:rsid w:val="00062147"/>
    <w:rsid w:val="000629AD"/>
    <w:rsid w:val="00062A21"/>
    <w:rsid w:val="00062B23"/>
    <w:rsid w:val="00062B49"/>
    <w:rsid w:val="00062B82"/>
    <w:rsid w:val="0006305A"/>
    <w:rsid w:val="0006356C"/>
    <w:rsid w:val="0006366F"/>
    <w:rsid w:val="00063ACB"/>
    <w:rsid w:val="000647B2"/>
    <w:rsid w:val="00064CD0"/>
    <w:rsid w:val="00064CDD"/>
    <w:rsid w:val="00064E6D"/>
    <w:rsid w:val="00064F93"/>
    <w:rsid w:val="000650CD"/>
    <w:rsid w:val="000653D0"/>
    <w:rsid w:val="0006556C"/>
    <w:rsid w:val="00065B65"/>
    <w:rsid w:val="00065F42"/>
    <w:rsid w:val="0006638F"/>
    <w:rsid w:val="0006649B"/>
    <w:rsid w:val="000665EF"/>
    <w:rsid w:val="000673B3"/>
    <w:rsid w:val="00067C4A"/>
    <w:rsid w:val="00067D27"/>
    <w:rsid w:val="000702B7"/>
    <w:rsid w:val="0007067D"/>
    <w:rsid w:val="00070B59"/>
    <w:rsid w:val="00070D16"/>
    <w:rsid w:val="00070F58"/>
    <w:rsid w:val="00071615"/>
    <w:rsid w:val="00071AB5"/>
    <w:rsid w:val="00071B60"/>
    <w:rsid w:val="000727FF"/>
    <w:rsid w:val="00072A1F"/>
    <w:rsid w:val="00072A32"/>
    <w:rsid w:val="00072B95"/>
    <w:rsid w:val="00073174"/>
    <w:rsid w:val="000733BC"/>
    <w:rsid w:val="0007368B"/>
    <w:rsid w:val="00073A99"/>
    <w:rsid w:val="00073E73"/>
    <w:rsid w:val="00073EDA"/>
    <w:rsid w:val="00073F8A"/>
    <w:rsid w:val="0007401A"/>
    <w:rsid w:val="0007469B"/>
    <w:rsid w:val="00074F55"/>
    <w:rsid w:val="000751E3"/>
    <w:rsid w:val="00075262"/>
    <w:rsid w:val="0007589D"/>
    <w:rsid w:val="00075962"/>
    <w:rsid w:val="00075A85"/>
    <w:rsid w:val="00075BD0"/>
    <w:rsid w:val="00076423"/>
    <w:rsid w:val="000764FA"/>
    <w:rsid w:val="000766DD"/>
    <w:rsid w:val="00076D80"/>
    <w:rsid w:val="00076E5E"/>
    <w:rsid w:val="00077199"/>
    <w:rsid w:val="000773C3"/>
    <w:rsid w:val="00077915"/>
    <w:rsid w:val="00077FBB"/>
    <w:rsid w:val="00080370"/>
    <w:rsid w:val="0008044E"/>
    <w:rsid w:val="0008060E"/>
    <w:rsid w:val="00081D6B"/>
    <w:rsid w:val="00081DB5"/>
    <w:rsid w:val="000820D3"/>
    <w:rsid w:val="00082328"/>
    <w:rsid w:val="000825A8"/>
    <w:rsid w:val="0008294E"/>
    <w:rsid w:val="00082AD7"/>
    <w:rsid w:val="00082F32"/>
    <w:rsid w:val="00082FA8"/>
    <w:rsid w:val="00083030"/>
    <w:rsid w:val="000831D9"/>
    <w:rsid w:val="00083645"/>
    <w:rsid w:val="00083947"/>
    <w:rsid w:val="00083B2D"/>
    <w:rsid w:val="000841E6"/>
    <w:rsid w:val="00084457"/>
    <w:rsid w:val="000849AF"/>
    <w:rsid w:val="00085894"/>
    <w:rsid w:val="00085C27"/>
    <w:rsid w:val="00086527"/>
    <w:rsid w:val="0008677A"/>
    <w:rsid w:val="00086F1D"/>
    <w:rsid w:val="00087248"/>
    <w:rsid w:val="0008724D"/>
    <w:rsid w:val="00087974"/>
    <w:rsid w:val="00087AB5"/>
    <w:rsid w:val="00087B72"/>
    <w:rsid w:val="00087C4F"/>
    <w:rsid w:val="00087F3F"/>
    <w:rsid w:val="00090235"/>
    <w:rsid w:val="00090394"/>
    <w:rsid w:val="000906F1"/>
    <w:rsid w:val="000906F4"/>
    <w:rsid w:val="0009081C"/>
    <w:rsid w:val="00090EF3"/>
    <w:rsid w:val="0009118A"/>
    <w:rsid w:val="000911BD"/>
    <w:rsid w:val="000913F5"/>
    <w:rsid w:val="00091D14"/>
    <w:rsid w:val="00091D9E"/>
    <w:rsid w:val="00091DAD"/>
    <w:rsid w:val="00091F5F"/>
    <w:rsid w:val="00093537"/>
    <w:rsid w:val="0009394B"/>
    <w:rsid w:val="00094268"/>
    <w:rsid w:val="00094494"/>
    <w:rsid w:val="0009492F"/>
    <w:rsid w:val="00095248"/>
    <w:rsid w:val="00095BD8"/>
    <w:rsid w:val="00095FC2"/>
    <w:rsid w:val="0009623B"/>
    <w:rsid w:val="00096516"/>
    <w:rsid w:val="000967CF"/>
    <w:rsid w:val="00097455"/>
    <w:rsid w:val="00097A82"/>
    <w:rsid w:val="000A015D"/>
    <w:rsid w:val="000A040B"/>
    <w:rsid w:val="000A048C"/>
    <w:rsid w:val="000A0B02"/>
    <w:rsid w:val="000A0E1A"/>
    <w:rsid w:val="000A105F"/>
    <w:rsid w:val="000A1444"/>
    <w:rsid w:val="000A15A7"/>
    <w:rsid w:val="000A1E5F"/>
    <w:rsid w:val="000A1FF0"/>
    <w:rsid w:val="000A241E"/>
    <w:rsid w:val="000A25BF"/>
    <w:rsid w:val="000A2744"/>
    <w:rsid w:val="000A2CFE"/>
    <w:rsid w:val="000A3580"/>
    <w:rsid w:val="000A3673"/>
    <w:rsid w:val="000A36AD"/>
    <w:rsid w:val="000A37F9"/>
    <w:rsid w:val="000A394D"/>
    <w:rsid w:val="000A4B26"/>
    <w:rsid w:val="000A5343"/>
    <w:rsid w:val="000A555E"/>
    <w:rsid w:val="000A5694"/>
    <w:rsid w:val="000A5783"/>
    <w:rsid w:val="000A57A6"/>
    <w:rsid w:val="000A647A"/>
    <w:rsid w:val="000A6520"/>
    <w:rsid w:val="000A6580"/>
    <w:rsid w:val="000A695F"/>
    <w:rsid w:val="000A6AF2"/>
    <w:rsid w:val="000A6B8D"/>
    <w:rsid w:val="000A7A40"/>
    <w:rsid w:val="000A7DCC"/>
    <w:rsid w:val="000B006E"/>
    <w:rsid w:val="000B00AB"/>
    <w:rsid w:val="000B062A"/>
    <w:rsid w:val="000B0735"/>
    <w:rsid w:val="000B076A"/>
    <w:rsid w:val="000B08BB"/>
    <w:rsid w:val="000B0A17"/>
    <w:rsid w:val="000B11E9"/>
    <w:rsid w:val="000B1799"/>
    <w:rsid w:val="000B1D95"/>
    <w:rsid w:val="000B1D98"/>
    <w:rsid w:val="000B1F1D"/>
    <w:rsid w:val="000B21DF"/>
    <w:rsid w:val="000B27B0"/>
    <w:rsid w:val="000B2BE1"/>
    <w:rsid w:val="000B35D6"/>
    <w:rsid w:val="000B3900"/>
    <w:rsid w:val="000B3D0E"/>
    <w:rsid w:val="000B410E"/>
    <w:rsid w:val="000B4334"/>
    <w:rsid w:val="000B4610"/>
    <w:rsid w:val="000B4684"/>
    <w:rsid w:val="000B4779"/>
    <w:rsid w:val="000B4834"/>
    <w:rsid w:val="000B4E11"/>
    <w:rsid w:val="000B5491"/>
    <w:rsid w:val="000B5C06"/>
    <w:rsid w:val="000B61D2"/>
    <w:rsid w:val="000B6221"/>
    <w:rsid w:val="000B6448"/>
    <w:rsid w:val="000B68A7"/>
    <w:rsid w:val="000B6CDB"/>
    <w:rsid w:val="000B6E40"/>
    <w:rsid w:val="000B76DA"/>
    <w:rsid w:val="000B7FD3"/>
    <w:rsid w:val="000C0570"/>
    <w:rsid w:val="000C0A21"/>
    <w:rsid w:val="000C10AE"/>
    <w:rsid w:val="000C13DF"/>
    <w:rsid w:val="000C179C"/>
    <w:rsid w:val="000C1A2C"/>
    <w:rsid w:val="000C2649"/>
    <w:rsid w:val="000C26A7"/>
    <w:rsid w:val="000C2907"/>
    <w:rsid w:val="000C29D4"/>
    <w:rsid w:val="000C2C4F"/>
    <w:rsid w:val="000C2E64"/>
    <w:rsid w:val="000C3095"/>
    <w:rsid w:val="000C3290"/>
    <w:rsid w:val="000C3780"/>
    <w:rsid w:val="000C3CF9"/>
    <w:rsid w:val="000C4083"/>
    <w:rsid w:val="000C419B"/>
    <w:rsid w:val="000C43E3"/>
    <w:rsid w:val="000C4615"/>
    <w:rsid w:val="000C4616"/>
    <w:rsid w:val="000C475D"/>
    <w:rsid w:val="000C4787"/>
    <w:rsid w:val="000C47A8"/>
    <w:rsid w:val="000C4CDB"/>
    <w:rsid w:val="000C4DC3"/>
    <w:rsid w:val="000C561A"/>
    <w:rsid w:val="000C5D23"/>
    <w:rsid w:val="000C606D"/>
    <w:rsid w:val="000C6180"/>
    <w:rsid w:val="000C65BC"/>
    <w:rsid w:val="000C6B8F"/>
    <w:rsid w:val="000C6CB7"/>
    <w:rsid w:val="000C6E81"/>
    <w:rsid w:val="000C7C7F"/>
    <w:rsid w:val="000D0000"/>
    <w:rsid w:val="000D00E7"/>
    <w:rsid w:val="000D039C"/>
    <w:rsid w:val="000D03EF"/>
    <w:rsid w:val="000D0503"/>
    <w:rsid w:val="000D0913"/>
    <w:rsid w:val="000D16BF"/>
    <w:rsid w:val="000D1AD4"/>
    <w:rsid w:val="000D1FAC"/>
    <w:rsid w:val="000D205E"/>
    <w:rsid w:val="000D28FF"/>
    <w:rsid w:val="000D2D9C"/>
    <w:rsid w:val="000D2EC0"/>
    <w:rsid w:val="000D3510"/>
    <w:rsid w:val="000D3769"/>
    <w:rsid w:val="000D3D28"/>
    <w:rsid w:val="000D436F"/>
    <w:rsid w:val="000D50E4"/>
    <w:rsid w:val="000D52AE"/>
    <w:rsid w:val="000D556E"/>
    <w:rsid w:val="000D5859"/>
    <w:rsid w:val="000D59C5"/>
    <w:rsid w:val="000D605D"/>
    <w:rsid w:val="000D621F"/>
    <w:rsid w:val="000D65A7"/>
    <w:rsid w:val="000D6784"/>
    <w:rsid w:val="000D752A"/>
    <w:rsid w:val="000D756E"/>
    <w:rsid w:val="000E0840"/>
    <w:rsid w:val="000E0AF5"/>
    <w:rsid w:val="000E0BF3"/>
    <w:rsid w:val="000E0C64"/>
    <w:rsid w:val="000E0C8E"/>
    <w:rsid w:val="000E1384"/>
    <w:rsid w:val="000E1820"/>
    <w:rsid w:val="000E1B63"/>
    <w:rsid w:val="000E2105"/>
    <w:rsid w:val="000E2529"/>
    <w:rsid w:val="000E2577"/>
    <w:rsid w:val="000E2AD1"/>
    <w:rsid w:val="000E2F62"/>
    <w:rsid w:val="000E3710"/>
    <w:rsid w:val="000E373B"/>
    <w:rsid w:val="000E3EF2"/>
    <w:rsid w:val="000E43EC"/>
    <w:rsid w:val="000E442F"/>
    <w:rsid w:val="000E4A4E"/>
    <w:rsid w:val="000E4BF3"/>
    <w:rsid w:val="000E4EC1"/>
    <w:rsid w:val="000E4F4D"/>
    <w:rsid w:val="000E54B5"/>
    <w:rsid w:val="000E5716"/>
    <w:rsid w:val="000E574E"/>
    <w:rsid w:val="000E59B0"/>
    <w:rsid w:val="000E5AF9"/>
    <w:rsid w:val="000E5F32"/>
    <w:rsid w:val="000E61F7"/>
    <w:rsid w:val="000E670F"/>
    <w:rsid w:val="000E6760"/>
    <w:rsid w:val="000E68D4"/>
    <w:rsid w:val="000E6A08"/>
    <w:rsid w:val="000E6CEE"/>
    <w:rsid w:val="000E6FC7"/>
    <w:rsid w:val="000E70EF"/>
    <w:rsid w:val="000E7327"/>
    <w:rsid w:val="000E76AC"/>
    <w:rsid w:val="000E78F3"/>
    <w:rsid w:val="000F01AE"/>
    <w:rsid w:val="000F0386"/>
    <w:rsid w:val="000F0828"/>
    <w:rsid w:val="000F0869"/>
    <w:rsid w:val="000F0BB8"/>
    <w:rsid w:val="000F0C89"/>
    <w:rsid w:val="000F0DE0"/>
    <w:rsid w:val="000F0FCE"/>
    <w:rsid w:val="000F0FEE"/>
    <w:rsid w:val="000F1295"/>
    <w:rsid w:val="000F1E4C"/>
    <w:rsid w:val="000F23F1"/>
    <w:rsid w:val="000F2731"/>
    <w:rsid w:val="000F29C0"/>
    <w:rsid w:val="000F2EFE"/>
    <w:rsid w:val="000F3331"/>
    <w:rsid w:val="000F3781"/>
    <w:rsid w:val="000F38C9"/>
    <w:rsid w:val="000F3D90"/>
    <w:rsid w:val="000F3F37"/>
    <w:rsid w:val="000F47A4"/>
    <w:rsid w:val="000F480F"/>
    <w:rsid w:val="000F4845"/>
    <w:rsid w:val="000F486F"/>
    <w:rsid w:val="000F4A6C"/>
    <w:rsid w:val="000F4AB7"/>
    <w:rsid w:val="000F50E2"/>
    <w:rsid w:val="000F51C8"/>
    <w:rsid w:val="000F524C"/>
    <w:rsid w:val="000F5E10"/>
    <w:rsid w:val="000F6848"/>
    <w:rsid w:val="000F6AC6"/>
    <w:rsid w:val="000F6C9E"/>
    <w:rsid w:val="000F6F6F"/>
    <w:rsid w:val="000F7093"/>
    <w:rsid w:val="000F713F"/>
    <w:rsid w:val="000F72A4"/>
    <w:rsid w:val="000F790F"/>
    <w:rsid w:val="000F7CC6"/>
    <w:rsid w:val="000F7D09"/>
    <w:rsid w:val="000F7FFD"/>
    <w:rsid w:val="00100118"/>
    <w:rsid w:val="00100288"/>
    <w:rsid w:val="00100299"/>
    <w:rsid w:val="001002C5"/>
    <w:rsid w:val="001005F2"/>
    <w:rsid w:val="00100D7C"/>
    <w:rsid w:val="00100E58"/>
    <w:rsid w:val="001011D5"/>
    <w:rsid w:val="0010147A"/>
    <w:rsid w:val="00101A76"/>
    <w:rsid w:val="00101C15"/>
    <w:rsid w:val="00101FB4"/>
    <w:rsid w:val="001020CD"/>
    <w:rsid w:val="00102195"/>
    <w:rsid w:val="001026C8"/>
    <w:rsid w:val="0010330E"/>
    <w:rsid w:val="0010334F"/>
    <w:rsid w:val="001038E3"/>
    <w:rsid w:val="00103911"/>
    <w:rsid w:val="00103B70"/>
    <w:rsid w:val="00103BB6"/>
    <w:rsid w:val="00103CD7"/>
    <w:rsid w:val="00103E59"/>
    <w:rsid w:val="00103F58"/>
    <w:rsid w:val="0010434C"/>
    <w:rsid w:val="00104575"/>
    <w:rsid w:val="001051D2"/>
    <w:rsid w:val="001054E2"/>
    <w:rsid w:val="001055D7"/>
    <w:rsid w:val="00105AD5"/>
    <w:rsid w:val="00105E53"/>
    <w:rsid w:val="00106BFC"/>
    <w:rsid w:val="00106D97"/>
    <w:rsid w:val="00106ED7"/>
    <w:rsid w:val="00107208"/>
    <w:rsid w:val="001073C7"/>
    <w:rsid w:val="00107771"/>
    <w:rsid w:val="001077A8"/>
    <w:rsid w:val="00107900"/>
    <w:rsid w:val="00107DAB"/>
    <w:rsid w:val="001102A2"/>
    <w:rsid w:val="00110AC8"/>
    <w:rsid w:val="00110AD8"/>
    <w:rsid w:val="00111A2C"/>
    <w:rsid w:val="00111D4C"/>
    <w:rsid w:val="00111DB3"/>
    <w:rsid w:val="00112145"/>
    <w:rsid w:val="0011224D"/>
    <w:rsid w:val="0011274A"/>
    <w:rsid w:val="00112875"/>
    <w:rsid w:val="00112CE9"/>
    <w:rsid w:val="001131A0"/>
    <w:rsid w:val="001135A8"/>
    <w:rsid w:val="001136D8"/>
    <w:rsid w:val="00113CC2"/>
    <w:rsid w:val="00114256"/>
    <w:rsid w:val="0011426F"/>
    <w:rsid w:val="00114459"/>
    <w:rsid w:val="0011452E"/>
    <w:rsid w:val="00114583"/>
    <w:rsid w:val="00114D18"/>
    <w:rsid w:val="001152D7"/>
    <w:rsid w:val="00115549"/>
    <w:rsid w:val="00115B04"/>
    <w:rsid w:val="001163F2"/>
    <w:rsid w:val="00116526"/>
    <w:rsid w:val="001165D7"/>
    <w:rsid w:val="00116BB7"/>
    <w:rsid w:val="00116DFA"/>
    <w:rsid w:val="00116E85"/>
    <w:rsid w:val="00117401"/>
    <w:rsid w:val="001174B7"/>
    <w:rsid w:val="00117B58"/>
    <w:rsid w:val="00117B72"/>
    <w:rsid w:val="00117E78"/>
    <w:rsid w:val="001201E1"/>
    <w:rsid w:val="0012073E"/>
    <w:rsid w:val="001207F7"/>
    <w:rsid w:val="00120E17"/>
    <w:rsid w:val="00120EF0"/>
    <w:rsid w:val="00120F4B"/>
    <w:rsid w:val="00121252"/>
    <w:rsid w:val="0012126C"/>
    <w:rsid w:val="00121727"/>
    <w:rsid w:val="00121AD5"/>
    <w:rsid w:val="00122036"/>
    <w:rsid w:val="001222FB"/>
    <w:rsid w:val="001224F5"/>
    <w:rsid w:val="00122577"/>
    <w:rsid w:val="001225DF"/>
    <w:rsid w:val="001231FC"/>
    <w:rsid w:val="00123318"/>
    <w:rsid w:val="00123AEE"/>
    <w:rsid w:val="0012429F"/>
    <w:rsid w:val="0012437D"/>
    <w:rsid w:val="001247CC"/>
    <w:rsid w:val="001248C9"/>
    <w:rsid w:val="00124923"/>
    <w:rsid w:val="00124A90"/>
    <w:rsid w:val="00125429"/>
    <w:rsid w:val="001255DD"/>
    <w:rsid w:val="00125663"/>
    <w:rsid w:val="00125DEA"/>
    <w:rsid w:val="00126101"/>
    <w:rsid w:val="0012671B"/>
    <w:rsid w:val="001267BC"/>
    <w:rsid w:val="00126D4F"/>
    <w:rsid w:val="00127064"/>
    <w:rsid w:val="00127405"/>
    <w:rsid w:val="00127A0E"/>
    <w:rsid w:val="00127B5A"/>
    <w:rsid w:val="001300CB"/>
    <w:rsid w:val="00130177"/>
    <w:rsid w:val="001312C2"/>
    <w:rsid w:val="0013135E"/>
    <w:rsid w:val="00131478"/>
    <w:rsid w:val="0013171F"/>
    <w:rsid w:val="0013177C"/>
    <w:rsid w:val="0013182E"/>
    <w:rsid w:val="00131B81"/>
    <w:rsid w:val="00131C51"/>
    <w:rsid w:val="00131CD2"/>
    <w:rsid w:val="00132005"/>
    <w:rsid w:val="001322A8"/>
    <w:rsid w:val="00132392"/>
    <w:rsid w:val="001326AA"/>
    <w:rsid w:val="0013272B"/>
    <w:rsid w:val="001336AB"/>
    <w:rsid w:val="0013388F"/>
    <w:rsid w:val="00133B9D"/>
    <w:rsid w:val="001348EC"/>
    <w:rsid w:val="00134E16"/>
    <w:rsid w:val="00134FA5"/>
    <w:rsid w:val="001350B6"/>
    <w:rsid w:val="0013551B"/>
    <w:rsid w:val="001357F8"/>
    <w:rsid w:val="00135DD6"/>
    <w:rsid w:val="0013687A"/>
    <w:rsid w:val="001370FE"/>
    <w:rsid w:val="00137174"/>
    <w:rsid w:val="0013782D"/>
    <w:rsid w:val="00137A9C"/>
    <w:rsid w:val="00137B64"/>
    <w:rsid w:val="00137B65"/>
    <w:rsid w:val="00137F91"/>
    <w:rsid w:val="0014048C"/>
    <w:rsid w:val="001407EA"/>
    <w:rsid w:val="00140976"/>
    <w:rsid w:val="001409E1"/>
    <w:rsid w:val="00140EBA"/>
    <w:rsid w:val="0014105A"/>
    <w:rsid w:val="0014105B"/>
    <w:rsid w:val="0014129D"/>
    <w:rsid w:val="001412A8"/>
    <w:rsid w:val="00141302"/>
    <w:rsid w:val="001417F2"/>
    <w:rsid w:val="00141B3C"/>
    <w:rsid w:val="00141D6A"/>
    <w:rsid w:val="00142002"/>
    <w:rsid w:val="001423BC"/>
    <w:rsid w:val="0014251E"/>
    <w:rsid w:val="00142980"/>
    <w:rsid w:val="0014299B"/>
    <w:rsid w:val="00142B06"/>
    <w:rsid w:val="00142E66"/>
    <w:rsid w:val="00143063"/>
    <w:rsid w:val="00143500"/>
    <w:rsid w:val="001439C1"/>
    <w:rsid w:val="00143DFE"/>
    <w:rsid w:val="00144535"/>
    <w:rsid w:val="00144732"/>
    <w:rsid w:val="001449F1"/>
    <w:rsid w:val="00144BB3"/>
    <w:rsid w:val="00145212"/>
    <w:rsid w:val="001452A1"/>
    <w:rsid w:val="00145702"/>
    <w:rsid w:val="00145D00"/>
    <w:rsid w:val="00145D36"/>
    <w:rsid w:val="00145FE5"/>
    <w:rsid w:val="00146536"/>
    <w:rsid w:val="00146C40"/>
    <w:rsid w:val="00146ED0"/>
    <w:rsid w:val="0014721E"/>
    <w:rsid w:val="001472F9"/>
    <w:rsid w:val="00147350"/>
    <w:rsid w:val="0014743E"/>
    <w:rsid w:val="00147563"/>
    <w:rsid w:val="00147D9F"/>
    <w:rsid w:val="0015008D"/>
    <w:rsid w:val="00150528"/>
    <w:rsid w:val="001508E3"/>
    <w:rsid w:val="00150E23"/>
    <w:rsid w:val="00151442"/>
    <w:rsid w:val="00151513"/>
    <w:rsid w:val="00151AD6"/>
    <w:rsid w:val="00152392"/>
    <w:rsid w:val="00152708"/>
    <w:rsid w:val="001528C3"/>
    <w:rsid w:val="00152EEA"/>
    <w:rsid w:val="00152EFB"/>
    <w:rsid w:val="0015340F"/>
    <w:rsid w:val="001535CE"/>
    <w:rsid w:val="00153655"/>
    <w:rsid w:val="00153EE5"/>
    <w:rsid w:val="00154192"/>
    <w:rsid w:val="00154A8C"/>
    <w:rsid w:val="00154FE1"/>
    <w:rsid w:val="0015597D"/>
    <w:rsid w:val="00155B20"/>
    <w:rsid w:val="00155B70"/>
    <w:rsid w:val="00155CDE"/>
    <w:rsid w:val="00156276"/>
    <w:rsid w:val="0015629C"/>
    <w:rsid w:val="00156896"/>
    <w:rsid w:val="00156C2E"/>
    <w:rsid w:val="00156CF1"/>
    <w:rsid w:val="00156D3B"/>
    <w:rsid w:val="0015720F"/>
    <w:rsid w:val="00157860"/>
    <w:rsid w:val="001578EC"/>
    <w:rsid w:val="001579C8"/>
    <w:rsid w:val="00157B2C"/>
    <w:rsid w:val="00157CBF"/>
    <w:rsid w:val="00157D45"/>
    <w:rsid w:val="001601CF"/>
    <w:rsid w:val="001601E3"/>
    <w:rsid w:val="00160330"/>
    <w:rsid w:val="00160F77"/>
    <w:rsid w:val="001618FD"/>
    <w:rsid w:val="001619B0"/>
    <w:rsid w:val="00161B17"/>
    <w:rsid w:val="00161CF0"/>
    <w:rsid w:val="00161DC9"/>
    <w:rsid w:val="001620F2"/>
    <w:rsid w:val="00162156"/>
    <w:rsid w:val="00162981"/>
    <w:rsid w:val="00162A10"/>
    <w:rsid w:val="00162A5C"/>
    <w:rsid w:val="00162B31"/>
    <w:rsid w:val="00162BC3"/>
    <w:rsid w:val="001630F0"/>
    <w:rsid w:val="001631FB"/>
    <w:rsid w:val="001638E9"/>
    <w:rsid w:val="00163B60"/>
    <w:rsid w:val="0016419A"/>
    <w:rsid w:val="00164F22"/>
    <w:rsid w:val="00164FA8"/>
    <w:rsid w:val="0016502F"/>
    <w:rsid w:val="00165561"/>
    <w:rsid w:val="0016567F"/>
    <w:rsid w:val="001658FA"/>
    <w:rsid w:val="0016653B"/>
    <w:rsid w:val="0016682A"/>
    <w:rsid w:val="00166A5A"/>
    <w:rsid w:val="00166F4E"/>
    <w:rsid w:val="00167657"/>
    <w:rsid w:val="001702D5"/>
    <w:rsid w:val="00170C56"/>
    <w:rsid w:val="00170CA6"/>
    <w:rsid w:val="00170CDF"/>
    <w:rsid w:val="00170D58"/>
    <w:rsid w:val="001710EA"/>
    <w:rsid w:val="0017185E"/>
    <w:rsid w:val="001719F2"/>
    <w:rsid w:val="00171AA3"/>
    <w:rsid w:val="00171AA4"/>
    <w:rsid w:val="00171E6C"/>
    <w:rsid w:val="001720C0"/>
    <w:rsid w:val="00172215"/>
    <w:rsid w:val="001722BC"/>
    <w:rsid w:val="001723CF"/>
    <w:rsid w:val="001725B4"/>
    <w:rsid w:val="00172DB5"/>
    <w:rsid w:val="00172FFB"/>
    <w:rsid w:val="00173239"/>
    <w:rsid w:val="00173428"/>
    <w:rsid w:val="001737E7"/>
    <w:rsid w:val="0017388E"/>
    <w:rsid w:val="001743B2"/>
    <w:rsid w:val="001743B7"/>
    <w:rsid w:val="0017447D"/>
    <w:rsid w:val="00174538"/>
    <w:rsid w:val="00174785"/>
    <w:rsid w:val="0017493D"/>
    <w:rsid w:val="00174BF8"/>
    <w:rsid w:val="001755E1"/>
    <w:rsid w:val="00175B89"/>
    <w:rsid w:val="00175B91"/>
    <w:rsid w:val="00175C28"/>
    <w:rsid w:val="00175CC8"/>
    <w:rsid w:val="00176188"/>
    <w:rsid w:val="001762F5"/>
    <w:rsid w:val="001765B8"/>
    <w:rsid w:val="00176717"/>
    <w:rsid w:val="00176C27"/>
    <w:rsid w:val="00176C54"/>
    <w:rsid w:val="00177263"/>
    <w:rsid w:val="001774FE"/>
    <w:rsid w:val="001775FB"/>
    <w:rsid w:val="0017761D"/>
    <w:rsid w:val="00177D2A"/>
    <w:rsid w:val="00177E7E"/>
    <w:rsid w:val="0018009A"/>
    <w:rsid w:val="00180576"/>
    <w:rsid w:val="001807B0"/>
    <w:rsid w:val="00180A9B"/>
    <w:rsid w:val="00180D5D"/>
    <w:rsid w:val="00180ED9"/>
    <w:rsid w:val="0018181B"/>
    <w:rsid w:val="001819F9"/>
    <w:rsid w:val="00181D9A"/>
    <w:rsid w:val="00182208"/>
    <w:rsid w:val="001823CE"/>
    <w:rsid w:val="00182B53"/>
    <w:rsid w:val="001833F5"/>
    <w:rsid w:val="00183AF9"/>
    <w:rsid w:val="00183CE5"/>
    <w:rsid w:val="00183DE7"/>
    <w:rsid w:val="00183E77"/>
    <w:rsid w:val="00183EA6"/>
    <w:rsid w:val="00184859"/>
    <w:rsid w:val="001853DD"/>
    <w:rsid w:val="0018595D"/>
    <w:rsid w:val="00185A4B"/>
    <w:rsid w:val="00185A50"/>
    <w:rsid w:val="0018635A"/>
    <w:rsid w:val="00186513"/>
    <w:rsid w:val="0018678D"/>
    <w:rsid w:val="001868EC"/>
    <w:rsid w:val="001869DB"/>
    <w:rsid w:val="00187189"/>
    <w:rsid w:val="00187456"/>
    <w:rsid w:val="00187511"/>
    <w:rsid w:val="001877AC"/>
    <w:rsid w:val="00187982"/>
    <w:rsid w:val="00187A33"/>
    <w:rsid w:val="00187D86"/>
    <w:rsid w:val="0019026A"/>
    <w:rsid w:val="001911A0"/>
    <w:rsid w:val="00191462"/>
    <w:rsid w:val="00191BD2"/>
    <w:rsid w:val="00191E9B"/>
    <w:rsid w:val="00191FF4"/>
    <w:rsid w:val="00191FF9"/>
    <w:rsid w:val="00191FFB"/>
    <w:rsid w:val="00192163"/>
    <w:rsid w:val="00192CED"/>
    <w:rsid w:val="00192DCD"/>
    <w:rsid w:val="00192FC5"/>
    <w:rsid w:val="00193254"/>
    <w:rsid w:val="001932D9"/>
    <w:rsid w:val="00193504"/>
    <w:rsid w:val="001936A2"/>
    <w:rsid w:val="00193956"/>
    <w:rsid w:val="00193A59"/>
    <w:rsid w:val="00193ABA"/>
    <w:rsid w:val="00193D0B"/>
    <w:rsid w:val="001941EF"/>
    <w:rsid w:val="001941FE"/>
    <w:rsid w:val="0019426F"/>
    <w:rsid w:val="001945A9"/>
    <w:rsid w:val="001947C7"/>
    <w:rsid w:val="00194842"/>
    <w:rsid w:val="00194961"/>
    <w:rsid w:val="00195140"/>
    <w:rsid w:val="0019517E"/>
    <w:rsid w:val="00195331"/>
    <w:rsid w:val="001957E1"/>
    <w:rsid w:val="001958D7"/>
    <w:rsid w:val="00195A65"/>
    <w:rsid w:val="00195C42"/>
    <w:rsid w:val="00196346"/>
    <w:rsid w:val="00196513"/>
    <w:rsid w:val="00196657"/>
    <w:rsid w:val="00196BF3"/>
    <w:rsid w:val="00196E26"/>
    <w:rsid w:val="0019706E"/>
    <w:rsid w:val="00197632"/>
    <w:rsid w:val="00197991"/>
    <w:rsid w:val="001A0284"/>
    <w:rsid w:val="001A0297"/>
    <w:rsid w:val="001A0576"/>
    <w:rsid w:val="001A08E8"/>
    <w:rsid w:val="001A0B22"/>
    <w:rsid w:val="001A0F2D"/>
    <w:rsid w:val="001A0F7D"/>
    <w:rsid w:val="001A102E"/>
    <w:rsid w:val="001A10B2"/>
    <w:rsid w:val="001A1393"/>
    <w:rsid w:val="001A13D7"/>
    <w:rsid w:val="001A1B18"/>
    <w:rsid w:val="001A1D2B"/>
    <w:rsid w:val="001A2303"/>
    <w:rsid w:val="001A254B"/>
    <w:rsid w:val="001A2B58"/>
    <w:rsid w:val="001A2E42"/>
    <w:rsid w:val="001A3227"/>
    <w:rsid w:val="001A3753"/>
    <w:rsid w:val="001A3A7F"/>
    <w:rsid w:val="001A3D8C"/>
    <w:rsid w:val="001A3EF1"/>
    <w:rsid w:val="001A3FF1"/>
    <w:rsid w:val="001A4422"/>
    <w:rsid w:val="001A52FF"/>
    <w:rsid w:val="001A5366"/>
    <w:rsid w:val="001A5786"/>
    <w:rsid w:val="001A5942"/>
    <w:rsid w:val="001A5C13"/>
    <w:rsid w:val="001A5F35"/>
    <w:rsid w:val="001A5FDF"/>
    <w:rsid w:val="001A6378"/>
    <w:rsid w:val="001A67C9"/>
    <w:rsid w:val="001A6A96"/>
    <w:rsid w:val="001A6C6D"/>
    <w:rsid w:val="001A6D0A"/>
    <w:rsid w:val="001A7245"/>
    <w:rsid w:val="001A72F2"/>
    <w:rsid w:val="001A74C3"/>
    <w:rsid w:val="001A7598"/>
    <w:rsid w:val="001A75C2"/>
    <w:rsid w:val="001A7617"/>
    <w:rsid w:val="001A7A1A"/>
    <w:rsid w:val="001A7ADD"/>
    <w:rsid w:val="001A7BA1"/>
    <w:rsid w:val="001B0238"/>
    <w:rsid w:val="001B0546"/>
    <w:rsid w:val="001B09ED"/>
    <w:rsid w:val="001B12F5"/>
    <w:rsid w:val="001B14AD"/>
    <w:rsid w:val="001B1603"/>
    <w:rsid w:val="001B174B"/>
    <w:rsid w:val="001B181E"/>
    <w:rsid w:val="001B1C2E"/>
    <w:rsid w:val="001B1EC4"/>
    <w:rsid w:val="001B1FBF"/>
    <w:rsid w:val="001B21A9"/>
    <w:rsid w:val="001B2489"/>
    <w:rsid w:val="001B2566"/>
    <w:rsid w:val="001B26C7"/>
    <w:rsid w:val="001B28A3"/>
    <w:rsid w:val="001B2953"/>
    <w:rsid w:val="001B2ACF"/>
    <w:rsid w:val="001B2AD3"/>
    <w:rsid w:val="001B3085"/>
    <w:rsid w:val="001B36B2"/>
    <w:rsid w:val="001B3EBA"/>
    <w:rsid w:val="001B413A"/>
    <w:rsid w:val="001B42D7"/>
    <w:rsid w:val="001B435C"/>
    <w:rsid w:val="001B4678"/>
    <w:rsid w:val="001B4762"/>
    <w:rsid w:val="001B4FF3"/>
    <w:rsid w:val="001B53E2"/>
    <w:rsid w:val="001B5415"/>
    <w:rsid w:val="001B556F"/>
    <w:rsid w:val="001B58BD"/>
    <w:rsid w:val="001B5923"/>
    <w:rsid w:val="001B5C50"/>
    <w:rsid w:val="001B5D52"/>
    <w:rsid w:val="001B621E"/>
    <w:rsid w:val="001B6680"/>
    <w:rsid w:val="001B6745"/>
    <w:rsid w:val="001B676B"/>
    <w:rsid w:val="001B744E"/>
    <w:rsid w:val="001B78E6"/>
    <w:rsid w:val="001B7F5D"/>
    <w:rsid w:val="001C00DF"/>
    <w:rsid w:val="001C04F0"/>
    <w:rsid w:val="001C05CD"/>
    <w:rsid w:val="001C0E72"/>
    <w:rsid w:val="001C1755"/>
    <w:rsid w:val="001C196E"/>
    <w:rsid w:val="001C1BE0"/>
    <w:rsid w:val="001C1D4A"/>
    <w:rsid w:val="001C2367"/>
    <w:rsid w:val="001C2570"/>
    <w:rsid w:val="001C2BEF"/>
    <w:rsid w:val="001C2ED3"/>
    <w:rsid w:val="001C3364"/>
    <w:rsid w:val="001C3550"/>
    <w:rsid w:val="001C41EC"/>
    <w:rsid w:val="001C4876"/>
    <w:rsid w:val="001C4ECE"/>
    <w:rsid w:val="001C50A7"/>
    <w:rsid w:val="001C5302"/>
    <w:rsid w:val="001C53BD"/>
    <w:rsid w:val="001C5582"/>
    <w:rsid w:val="001C5A5A"/>
    <w:rsid w:val="001C5B0B"/>
    <w:rsid w:val="001C5C7A"/>
    <w:rsid w:val="001C60CA"/>
    <w:rsid w:val="001C61BB"/>
    <w:rsid w:val="001C6BB9"/>
    <w:rsid w:val="001C6DE1"/>
    <w:rsid w:val="001C7088"/>
    <w:rsid w:val="001C7293"/>
    <w:rsid w:val="001C734F"/>
    <w:rsid w:val="001C7600"/>
    <w:rsid w:val="001C776B"/>
    <w:rsid w:val="001D01A9"/>
    <w:rsid w:val="001D0336"/>
    <w:rsid w:val="001D044C"/>
    <w:rsid w:val="001D067E"/>
    <w:rsid w:val="001D06D2"/>
    <w:rsid w:val="001D0FDA"/>
    <w:rsid w:val="001D12BD"/>
    <w:rsid w:val="001D159B"/>
    <w:rsid w:val="001D1A45"/>
    <w:rsid w:val="001D1D07"/>
    <w:rsid w:val="001D1DCA"/>
    <w:rsid w:val="001D1E64"/>
    <w:rsid w:val="001D2239"/>
    <w:rsid w:val="001D282B"/>
    <w:rsid w:val="001D28CC"/>
    <w:rsid w:val="001D2930"/>
    <w:rsid w:val="001D3099"/>
    <w:rsid w:val="001D30C8"/>
    <w:rsid w:val="001D35EE"/>
    <w:rsid w:val="001D38CA"/>
    <w:rsid w:val="001D3AE2"/>
    <w:rsid w:val="001D3CFE"/>
    <w:rsid w:val="001D41E0"/>
    <w:rsid w:val="001D4208"/>
    <w:rsid w:val="001D4CCD"/>
    <w:rsid w:val="001D52A3"/>
    <w:rsid w:val="001D57F2"/>
    <w:rsid w:val="001D5A44"/>
    <w:rsid w:val="001D5B61"/>
    <w:rsid w:val="001D5D30"/>
    <w:rsid w:val="001D606D"/>
    <w:rsid w:val="001D632C"/>
    <w:rsid w:val="001D6350"/>
    <w:rsid w:val="001D6462"/>
    <w:rsid w:val="001D69B4"/>
    <w:rsid w:val="001D6C48"/>
    <w:rsid w:val="001D7065"/>
    <w:rsid w:val="001D73E6"/>
    <w:rsid w:val="001D76B1"/>
    <w:rsid w:val="001D7C26"/>
    <w:rsid w:val="001E05B7"/>
    <w:rsid w:val="001E1AD5"/>
    <w:rsid w:val="001E24AA"/>
    <w:rsid w:val="001E26E6"/>
    <w:rsid w:val="001E2F79"/>
    <w:rsid w:val="001E3272"/>
    <w:rsid w:val="001E3552"/>
    <w:rsid w:val="001E39E4"/>
    <w:rsid w:val="001E3E9B"/>
    <w:rsid w:val="001E4030"/>
    <w:rsid w:val="001E4CD0"/>
    <w:rsid w:val="001E4DA3"/>
    <w:rsid w:val="001E4ECA"/>
    <w:rsid w:val="001E514D"/>
    <w:rsid w:val="001E5211"/>
    <w:rsid w:val="001E56A1"/>
    <w:rsid w:val="001E59C8"/>
    <w:rsid w:val="001E5CE9"/>
    <w:rsid w:val="001E6564"/>
    <w:rsid w:val="001E67C8"/>
    <w:rsid w:val="001E6F4F"/>
    <w:rsid w:val="001E7099"/>
    <w:rsid w:val="001E70D1"/>
    <w:rsid w:val="001E7210"/>
    <w:rsid w:val="001E7438"/>
    <w:rsid w:val="001E7B1A"/>
    <w:rsid w:val="001E7E67"/>
    <w:rsid w:val="001F0059"/>
    <w:rsid w:val="001F02F6"/>
    <w:rsid w:val="001F07C2"/>
    <w:rsid w:val="001F08D0"/>
    <w:rsid w:val="001F08E0"/>
    <w:rsid w:val="001F09DE"/>
    <w:rsid w:val="001F0FDC"/>
    <w:rsid w:val="001F15AE"/>
    <w:rsid w:val="001F18FD"/>
    <w:rsid w:val="001F1C45"/>
    <w:rsid w:val="001F21B9"/>
    <w:rsid w:val="001F2485"/>
    <w:rsid w:val="001F2567"/>
    <w:rsid w:val="001F2576"/>
    <w:rsid w:val="001F2A91"/>
    <w:rsid w:val="001F2CA4"/>
    <w:rsid w:val="001F2DFB"/>
    <w:rsid w:val="001F3154"/>
    <w:rsid w:val="001F31DD"/>
    <w:rsid w:val="001F3EB9"/>
    <w:rsid w:val="001F3F6F"/>
    <w:rsid w:val="001F419C"/>
    <w:rsid w:val="001F49CA"/>
    <w:rsid w:val="001F4FE7"/>
    <w:rsid w:val="001F516E"/>
    <w:rsid w:val="001F539F"/>
    <w:rsid w:val="001F5814"/>
    <w:rsid w:val="001F5B3C"/>
    <w:rsid w:val="001F5BCA"/>
    <w:rsid w:val="001F6894"/>
    <w:rsid w:val="001F6DE6"/>
    <w:rsid w:val="001F6F5A"/>
    <w:rsid w:val="001F70EA"/>
    <w:rsid w:val="001F7DF3"/>
    <w:rsid w:val="001F7E9E"/>
    <w:rsid w:val="001F7F0A"/>
    <w:rsid w:val="00200099"/>
    <w:rsid w:val="002003A5"/>
    <w:rsid w:val="0020062F"/>
    <w:rsid w:val="0020063C"/>
    <w:rsid w:val="002008B5"/>
    <w:rsid w:val="00200A59"/>
    <w:rsid w:val="002011DB"/>
    <w:rsid w:val="00201789"/>
    <w:rsid w:val="00201886"/>
    <w:rsid w:val="002018B4"/>
    <w:rsid w:val="00201B87"/>
    <w:rsid w:val="00201BE0"/>
    <w:rsid w:val="00201C13"/>
    <w:rsid w:val="00201E5E"/>
    <w:rsid w:val="00202D7A"/>
    <w:rsid w:val="0020321C"/>
    <w:rsid w:val="00203777"/>
    <w:rsid w:val="002037F3"/>
    <w:rsid w:val="00203859"/>
    <w:rsid w:val="00203A87"/>
    <w:rsid w:val="00203C6E"/>
    <w:rsid w:val="00203CE7"/>
    <w:rsid w:val="00203E18"/>
    <w:rsid w:val="00203F13"/>
    <w:rsid w:val="0020430C"/>
    <w:rsid w:val="0020465B"/>
    <w:rsid w:val="002049B7"/>
    <w:rsid w:val="00204F71"/>
    <w:rsid w:val="002054FB"/>
    <w:rsid w:val="00205532"/>
    <w:rsid w:val="00205CB2"/>
    <w:rsid w:val="00206016"/>
    <w:rsid w:val="00206461"/>
    <w:rsid w:val="00206743"/>
    <w:rsid w:val="00206901"/>
    <w:rsid w:val="00206B26"/>
    <w:rsid w:val="00207360"/>
    <w:rsid w:val="0020762C"/>
    <w:rsid w:val="00207B67"/>
    <w:rsid w:val="0021058B"/>
    <w:rsid w:val="00210A3D"/>
    <w:rsid w:val="00210FB5"/>
    <w:rsid w:val="00210FD2"/>
    <w:rsid w:val="002110E8"/>
    <w:rsid w:val="00212261"/>
    <w:rsid w:val="0021246E"/>
    <w:rsid w:val="00212B63"/>
    <w:rsid w:val="00212D2F"/>
    <w:rsid w:val="00213289"/>
    <w:rsid w:val="002133F3"/>
    <w:rsid w:val="002137C5"/>
    <w:rsid w:val="00213CB7"/>
    <w:rsid w:val="00213E11"/>
    <w:rsid w:val="002147FF"/>
    <w:rsid w:val="0021494F"/>
    <w:rsid w:val="00214A30"/>
    <w:rsid w:val="00214A3E"/>
    <w:rsid w:val="00214D47"/>
    <w:rsid w:val="00214E04"/>
    <w:rsid w:val="00215160"/>
    <w:rsid w:val="0021519E"/>
    <w:rsid w:val="00215201"/>
    <w:rsid w:val="002155DB"/>
    <w:rsid w:val="00215631"/>
    <w:rsid w:val="00215C7D"/>
    <w:rsid w:val="00215D5D"/>
    <w:rsid w:val="00215D9E"/>
    <w:rsid w:val="00216470"/>
    <w:rsid w:val="00216893"/>
    <w:rsid w:val="002169B7"/>
    <w:rsid w:val="00216A2B"/>
    <w:rsid w:val="00216AE7"/>
    <w:rsid w:val="00216B3E"/>
    <w:rsid w:val="00216D65"/>
    <w:rsid w:val="002170FF"/>
    <w:rsid w:val="00217D57"/>
    <w:rsid w:val="002201B0"/>
    <w:rsid w:val="00220990"/>
    <w:rsid w:val="002211A4"/>
    <w:rsid w:val="00221960"/>
    <w:rsid w:val="00222736"/>
    <w:rsid w:val="00222782"/>
    <w:rsid w:val="002227D7"/>
    <w:rsid w:val="00222A06"/>
    <w:rsid w:val="00222A6E"/>
    <w:rsid w:val="00223228"/>
    <w:rsid w:val="00223288"/>
    <w:rsid w:val="00223426"/>
    <w:rsid w:val="0022392F"/>
    <w:rsid w:val="002239B6"/>
    <w:rsid w:val="00223C5B"/>
    <w:rsid w:val="00223DA3"/>
    <w:rsid w:val="00223EBC"/>
    <w:rsid w:val="00224675"/>
    <w:rsid w:val="00224679"/>
    <w:rsid w:val="0022483C"/>
    <w:rsid w:val="00224852"/>
    <w:rsid w:val="00224AA9"/>
    <w:rsid w:val="002251E0"/>
    <w:rsid w:val="002252C8"/>
    <w:rsid w:val="00225397"/>
    <w:rsid w:val="00225B19"/>
    <w:rsid w:val="00225B7F"/>
    <w:rsid w:val="0022604D"/>
    <w:rsid w:val="0022689C"/>
    <w:rsid w:val="00226947"/>
    <w:rsid w:val="00226C19"/>
    <w:rsid w:val="0022755E"/>
    <w:rsid w:val="002275FE"/>
    <w:rsid w:val="00227F82"/>
    <w:rsid w:val="0023060B"/>
    <w:rsid w:val="00230901"/>
    <w:rsid w:val="0023101E"/>
    <w:rsid w:val="00231024"/>
    <w:rsid w:val="002319B5"/>
    <w:rsid w:val="00231F8C"/>
    <w:rsid w:val="0023229E"/>
    <w:rsid w:val="002324B5"/>
    <w:rsid w:val="002327AA"/>
    <w:rsid w:val="002329A3"/>
    <w:rsid w:val="00232D66"/>
    <w:rsid w:val="002330C0"/>
    <w:rsid w:val="002332D6"/>
    <w:rsid w:val="00233614"/>
    <w:rsid w:val="00233708"/>
    <w:rsid w:val="0023567C"/>
    <w:rsid w:val="002356E7"/>
    <w:rsid w:val="002359A0"/>
    <w:rsid w:val="0023612A"/>
    <w:rsid w:val="002361F8"/>
    <w:rsid w:val="00236801"/>
    <w:rsid w:val="002369E8"/>
    <w:rsid w:val="00236A4B"/>
    <w:rsid w:val="0024029A"/>
    <w:rsid w:val="002403EA"/>
    <w:rsid w:val="00240A6C"/>
    <w:rsid w:val="00240AA5"/>
    <w:rsid w:val="00240E5C"/>
    <w:rsid w:val="00240FFE"/>
    <w:rsid w:val="00241160"/>
    <w:rsid w:val="00241649"/>
    <w:rsid w:val="002419A8"/>
    <w:rsid w:val="00241B1F"/>
    <w:rsid w:val="00241BB4"/>
    <w:rsid w:val="00241C07"/>
    <w:rsid w:val="00241E39"/>
    <w:rsid w:val="002420CD"/>
    <w:rsid w:val="002427D4"/>
    <w:rsid w:val="002427E6"/>
    <w:rsid w:val="00242E6B"/>
    <w:rsid w:val="00243176"/>
    <w:rsid w:val="00243284"/>
    <w:rsid w:val="00243313"/>
    <w:rsid w:val="002437A1"/>
    <w:rsid w:val="002437FD"/>
    <w:rsid w:val="0024397E"/>
    <w:rsid w:val="002439DC"/>
    <w:rsid w:val="00243E0F"/>
    <w:rsid w:val="00243E90"/>
    <w:rsid w:val="0024496B"/>
    <w:rsid w:val="00244BF9"/>
    <w:rsid w:val="00244C40"/>
    <w:rsid w:val="0024504E"/>
    <w:rsid w:val="002450F9"/>
    <w:rsid w:val="00245593"/>
    <w:rsid w:val="00245A34"/>
    <w:rsid w:val="002468B8"/>
    <w:rsid w:val="00246BC1"/>
    <w:rsid w:val="00246E21"/>
    <w:rsid w:val="00247723"/>
    <w:rsid w:val="002477F5"/>
    <w:rsid w:val="00247877"/>
    <w:rsid w:val="00247CFB"/>
    <w:rsid w:val="00250091"/>
    <w:rsid w:val="002500F7"/>
    <w:rsid w:val="00250792"/>
    <w:rsid w:val="00250CAA"/>
    <w:rsid w:val="00250EF8"/>
    <w:rsid w:val="00251199"/>
    <w:rsid w:val="0025136B"/>
    <w:rsid w:val="00251749"/>
    <w:rsid w:val="00251C05"/>
    <w:rsid w:val="00251E33"/>
    <w:rsid w:val="00251FE8"/>
    <w:rsid w:val="0025299C"/>
    <w:rsid w:val="00252A95"/>
    <w:rsid w:val="00253324"/>
    <w:rsid w:val="002535BC"/>
    <w:rsid w:val="002538E8"/>
    <w:rsid w:val="0025391E"/>
    <w:rsid w:val="002542B8"/>
    <w:rsid w:val="0025434F"/>
    <w:rsid w:val="002544D9"/>
    <w:rsid w:val="00254B6C"/>
    <w:rsid w:val="00254FBC"/>
    <w:rsid w:val="00255D14"/>
    <w:rsid w:val="002568F5"/>
    <w:rsid w:val="002569F3"/>
    <w:rsid w:val="00256A1E"/>
    <w:rsid w:val="00256A2A"/>
    <w:rsid w:val="00256EE5"/>
    <w:rsid w:val="00256F9C"/>
    <w:rsid w:val="00256FAB"/>
    <w:rsid w:val="0025798D"/>
    <w:rsid w:val="00257CE6"/>
    <w:rsid w:val="00257D0A"/>
    <w:rsid w:val="00260AF3"/>
    <w:rsid w:val="00260D1F"/>
    <w:rsid w:val="00261199"/>
    <w:rsid w:val="00261289"/>
    <w:rsid w:val="00261A89"/>
    <w:rsid w:val="002624BC"/>
    <w:rsid w:val="00263D22"/>
    <w:rsid w:val="00264270"/>
    <w:rsid w:val="0026465E"/>
    <w:rsid w:val="00264C84"/>
    <w:rsid w:val="00264E53"/>
    <w:rsid w:val="0026518C"/>
    <w:rsid w:val="002651A6"/>
    <w:rsid w:val="00265D33"/>
    <w:rsid w:val="00265F71"/>
    <w:rsid w:val="002661D2"/>
    <w:rsid w:val="0026670E"/>
    <w:rsid w:val="00266768"/>
    <w:rsid w:val="002667E3"/>
    <w:rsid w:val="002668F5"/>
    <w:rsid w:val="00266A39"/>
    <w:rsid w:val="00266B8B"/>
    <w:rsid w:val="00266CBB"/>
    <w:rsid w:val="00267995"/>
    <w:rsid w:val="00270123"/>
    <w:rsid w:val="00270A21"/>
    <w:rsid w:val="00270CB2"/>
    <w:rsid w:val="00270E4F"/>
    <w:rsid w:val="00270F6C"/>
    <w:rsid w:val="00271A6E"/>
    <w:rsid w:val="00271C8E"/>
    <w:rsid w:val="002721F1"/>
    <w:rsid w:val="00272536"/>
    <w:rsid w:val="0027263C"/>
    <w:rsid w:val="00272A20"/>
    <w:rsid w:val="00272D47"/>
    <w:rsid w:val="002735F7"/>
    <w:rsid w:val="002738A4"/>
    <w:rsid w:val="00273914"/>
    <w:rsid w:val="0027399A"/>
    <w:rsid w:val="00273AF7"/>
    <w:rsid w:val="00274373"/>
    <w:rsid w:val="00274AAE"/>
    <w:rsid w:val="00274BCB"/>
    <w:rsid w:val="00274BE0"/>
    <w:rsid w:val="00274D3A"/>
    <w:rsid w:val="00275255"/>
    <w:rsid w:val="00275351"/>
    <w:rsid w:val="002754AB"/>
    <w:rsid w:val="002761E3"/>
    <w:rsid w:val="002768DF"/>
    <w:rsid w:val="00276916"/>
    <w:rsid w:val="00276B89"/>
    <w:rsid w:val="00276C91"/>
    <w:rsid w:val="00277017"/>
    <w:rsid w:val="002770D0"/>
    <w:rsid w:val="0027727C"/>
    <w:rsid w:val="0027787F"/>
    <w:rsid w:val="00277A6C"/>
    <w:rsid w:val="00277E33"/>
    <w:rsid w:val="0028077E"/>
    <w:rsid w:val="0028080B"/>
    <w:rsid w:val="00280A5C"/>
    <w:rsid w:val="00280C7A"/>
    <w:rsid w:val="00280D63"/>
    <w:rsid w:val="002816C6"/>
    <w:rsid w:val="00282302"/>
    <w:rsid w:val="002823A6"/>
    <w:rsid w:val="002823CC"/>
    <w:rsid w:val="002824D9"/>
    <w:rsid w:val="00282651"/>
    <w:rsid w:val="00282983"/>
    <w:rsid w:val="002829CE"/>
    <w:rsid w:val="00282B0B"/>
    <w:rsid w:val="0028316F"/>
    <w:rsid w:val="0028333B"/>
    <w:rsid w:val="0028364C"/>
    <w:rsid w:val="00283674"/>
    <w:rsid w:val="00283AD7"/>
    <w:rsid w:val="00284002"/>
    <w:rsid w:val="00284274"/>
    <w:rsid w:val="0028436E"/>
    <w:rsid w:val="00284450"/>
    <w:rsid w:val="002844B3"/>
    <w:rsid w:val="002846E4"/>
    <w:rsid w:val="00284743"/>
    <w:rsid w:val="00284BA2"/>
    <w:rsid w:val="00284DD6"/>
    <w:rsid w:val="002851FE"/>
    <w:rsid w:val="00285320"/>
    <w:rsid w:val="002853D9"/>
    <w:rsid w:val="002859AD"/>
    <w:rsid w:val="00285A47"/>
    <w:rsid w:val="00285B2F"/>
    <w:rsid w:val="00285EC2"/>
    <w:rsid w:val="0028634B"/>
    <w:rsid w:val="002866BC"/>
    <w:rsid w:val="00286AB1"/>
    <w:rsid w:val="00286F65"/>
    <w:rsid w:val="00287B12"/>
    <w:rsid w:val="00290AD9"/>
    <w:rsid w:val="00290AF1"/>
    <w:rsid w:val="00290C26"/>
    <w:rsid w:val="00291B17"/>
    <w:rsid w:val="00291C26"/>
    <w:rsid w:val="00291E72"/>
    <w:rsid w:val="00292339"/>
    <w:rsid w:val="00292E04"/>
    <w:rsid w:val="00293187"/>
    <w:rsid w:val="0029351C"/>
    <w:rsid w:val="00293541"/>
    <w:rsid w:val="00293871"/>
    <w:rsid w:val="00293B0E"/>
    <w:rsid w:val="00294CEF"/>
    <w:rsid w:val="00294E06"/>
    <w:rsid w:val="002958CF"/>
    <w:rsid w:val="00295B5D"/>
    <w:rsid w:val="00295BF6"/>
    <w:rsid w:val="00295D28"/>
    <w:rsid w:val="00296221"/>
    <w:rsid w:val="00296DA3"/>
    <w:rsid w:val="00297526"/>
    <w:rsid w:val="00297C90"/>
    <w:rsid w:val="00297F41"/>
    <w:rsid w:val="00297FB3"/>
    <w:rsid w:val="002A001B"/>
    <w:rsid w:val="002A00AB"/>
    <w:rsid w:val="002A023D"/>
    <w:rsid w:val="002A0297"/>
    <w:rsid w:val="002A047A"/>
    <w:rsid w:val="002A07E9"/>
    <w:rsid w:val="002A17B3"/>
    <w:rsid w:val="002A1C98"/>
    <w:rsid w:val="002A2739"/>
    <w:rsid w:val="002A2DA0"/>
    <w:rsid w:val="002A32A5"/>
    <w:rsid w:val="002A34CE"/>
    <w:rsid w:val="002A3673"/>
    <w:rsid w:val="002A3674"/>
    <w:rsid w:val="002A3775"/>
    <w:rsid w:val="002A381D"/>
    <w:rsid w:val="002A38C5"/>
    <w:rsid w:val="002A3DDF"/>
    <w:rsid w:val="002A4385"/>
    <w:rsid w:val="002A4681"/>
    <w:rsid w:val="002A49FF"/>
    <w:rsid w:val="002A4D82"/>
    <w:rsid w:val="002A4E22"/>
    <w:rsid w:val="002A4FA7"/>
    <w:rsid w:val="002A54B6"/>
    <w:rsid w:val="002A5723"/>
    <w:rsid w:val="002A57CD"/>
    <w:rsid w:val="002A5B9C"/>
    <w:rsid w:val="002A679C"/>
    <w:rsid w:val="002A7667"/>
    <w:rsid w:val="002A766F"/>
    <w:rsid w:val="002A7901"/>
    <w:rsid w:val="002A7D88"/>
    <w:rsid w:val="002B0068"/>
    <w:rsid w:val="002B02DE"/>
    <w:rsid w:val="002B030A"/>
    <w:rsid w:val="002B0CC5"/>
    <w:rsid w:val="002B1046"/>
    <w:rsid w:val="002B1119"/>
    <w:rsid w:val="002B132D"/>
    <w:rsid w:val="002B1376"/>
    <w:rsid w:val="002B1394"/>
    <w:rsid w:val="002B19AF"/>
    <w:rsid w:val="002B1E66"/>
    <w:rsid w:val="002B240B"/>
    <w:rsid w:val="002B2603"/>
    <w:rsid w:val="002B27E8"/>
    <w:rsid w:val="002B2CC7"/>
    <w:rsid w:val="002B2E85"/>
    <w:rsid w:val="002B3447"/>
    <w:rsid w:val="002B3627"/>
    <w:rsid w:val="002B3BCE"/>
    <w:rsid w:val="002B43C4"/>
    <w:rsid w:val="002B4F07"/>
    <w:rsid w:val="002B5479"/>
    <w:rsid w:val="002B58EF"/>
    <w:rsid w:val="002B5DBC"/>
    <w:rsid w:val="002B646E"/>
    <w:rsid w:val="002B684F"/>
    <w:rsid w:val="002B6C4E"/>
    <w:rsid w:val="002B6CC8"/>
    <w:rsid w:val="002B6D24"/>
    <w:rsid w:val="002B6DF9"/>
    <w:rsid w:val="002B7160"/>
    <w:rsid w:val="002B7CC1"/>
    <w:rsid w:val="002B7F40"/>
    <w:rsid w:val="002C0228"/>
    <w:rsid w:val="002C0690"/>
    <w:rsid w:val="002C073B"/>
    <w:rsid w:val="002C130A"/>
    <w:rsid w:val="002C147F"/>
    <w:rsid w:val="002C1694"/>
    <w:rsid w:val="002C1B4D"/>
    <w:rsid w:val="002C1BD6"/>
    <w:rsid w:val="002C1E20"/>
    <w:rsid w:val="002C1E42"/>
    <w:rsid w:val="002C2AEC"/>
    <w:rsid w:val="002C2E1F"/>
    <w:rsid w:val="002C33FB"/>
    <w:rsid w:val="002C34B5"/>
    <w:rsid w:val="002C3511"/>
    <w:rsid w:val="002C3CD8"/>
    <w:rsid w:val="002C4196"/>
    <w:rsid w:val="002C4A55"/>
    <w:rsid w:val="002C4E6D"/>
    <w:rsid w:val="002C55A4"/>
    <w:rsid w:val="002C5626"/>
    <w:rsid w:val="002C5710"/>
    <w:rsid w:val="002C57C7"/>
    <w:rsid w:val="002C57E8"/>
    <w:rsid w:val="002C59BB"/>
    <w:rsid w:val="002C5B40"/>
    <w:rsid w:val="002C5C27"/>
    <w:rsid w:val="002C60B2"/>
    <w:rsid w:val="002C636D"/>
    <w:rsid w:val="002C6EA6"/>
    <w:rsid w:val="002C6F4C"/>
    <w:rsid w:val="002C7158"/>
    <w:rsid w:val="002C7688"/>
    <w:rsid w:val="002C7858"/>
    <w:rsid w:val="002C7BFA"/>
    <w:rsid w:val="002C7C47"/>
    <w:rsid w:val="002C7D56"/>
    <w:rsid w:val="002C7EC2"/>
    <w:rsid w:val="002C7FDC"/>
    <w:rsid w:val="002D0251"/>
    <w:rsid w:val="002D13D1"/>
    <w:rsid w:val="002D1824"/>
    <w:rsid w:val="002D1B14"/>
    <w:rsid w:val="002D1F01"/>
    <w:rsid w:val="002D228F"/>
    <w:rsid w:val="002D2448"/>
    <w:rsid w:val="002D2A35"/>
    <w:rsid w:val="002D30D5"/>
    <w:rsid w:val="002D341F"/>
    <w:rsid w:val="002D3A00"/>
    <w:rsid w:val="002D3DFB"/>
    <w:rsid w:val="002D49C9"/>
    <w:rsid w:val="002D55A6"/>
    <w:rsid w:val="002D5760"/>
    <w:rsid w:val="002D6516"/>
    <w:rsid w:val="002D6DDE"/>
    <w:rsid w:val="002D7091"/>
    <w:rsid w:val="002D725A"/>
    <w:rsid w:val="002D7262"/>
    <w:rsid w:val="002D7266"/>
    <w:rsid w:val="002D72B9"/>
    <w:rsid w:val="002D7954"/>
    <w:rsid w:val="002E000E"/>
    <w:rsid w:val="002E0464"/>
    <w:rsid w:val="002E096B"/>
    <w:rsid w:val="002E10D9"/>
    <w:rsid w:val="002E12AC"/>
    <w:rsid w:val="002E135D"/>
    <w:rsid w:val="002E154D"/>
    <w:rsid w:val="002E15A6"/>
    <w:rsid w:val="002E1641"/>
    <w:rsid w:val="002E164C"/>
    <w:rsid w:val="002E1729"/>
    <w:rsid w:val="002E18AD"/>
    <w:rsid w:val="002E1BBD"/>
    <w:rsid w:val="002E1D3A"/>
    <w:rsid w:val="002E21B5"/>
    <w:rsid w:val="002E24F6"/>
    <w:rsid w:val="002E27D5"/>
    <w:rsid w:val="002E2C0E"/>
    <w:rsid w:val="002E2DB9"/>
    <w:rsid w:val="002E3072"/>
    <w:rsid w:val="002E3127"/>
    <w:rsid w:val="002E3425"/>
    <w:rsid w:val="002E3565"/>
    <w:rsid w:val="002E37BD"/>
    <w:rsid w:val="002E3E11"/>
    <w:rsid w:val="002E4263"/>
    <w:rsid w:val="002E44B1"/>
    <w:rsid w:val="002E46E5"/>
    <w:rsid w:val="002E471A"/>
    <w:rsid w:val="002E4B52"/>
    <w:rsid w:val="002E4E97"/>
    <w:rsid w:val="002E4FCC"/>
    <w:rsid w:val="002E5878"/>
    <w:rsid w:val="002E593D"/>
    <w:rsid w:val="002E5B21"/>
    <w:rsid w:val="002E5E02"/>
    <w:rsid w:val="002E68CC"/>
    <w:rsid w:val="002E6A5E"/>
    <w:rsid w:val="002E6BE6"/>
    <w:rsid w:val="002E6F59"/>
    <w:rsid w:val="002E72EB"/>
    <w:rsid w:val="002E746C"/>
    <w:rsid w:val="002E7824"/>
    <w:rsid w:val="002E7B04"/>
    <w:rsid w:val="002E7C34"/>
    <w:rsid w:val="002F0541"/>
    <w:rsid w:val="002F05B0"/>
    <w:rsid w:val="002F076A"/>
    <w:rsid w:val="002F095A"/>
    <w:rsid w:val="002F0A0E"/>
    <w:rsid w:val="002F13F5"/>
    <w:rsid w:val="002F159B"/>
    <w:rsid w:val="002F1646"/>
    <w:rsid w:val="002F1CA2"/>
    <w:rsid w:val="002F1CFC"/>
    <w:rsid w:val="002F1F90"/>
    <w:rsid w:val="002F317C"/>
    <w:rsid w:val="002F3235"/>
    <w:rsid w:val="002F36C0"/>
    <w:rsid w:val="002F3EEA"/>
    <w:rsid w:val="002F42BE"/>
    <w:rsid w:val="002F459E"/>
    <w:rsid w:val="002F46CC"/>
    <w:rsid w:val="002F480E"/>
    <w:rsid w:val="002F487C"/>
    <w:rsid w:val="002F4A9D"/>
    <w:rsid w:val="002F4EA1"/>
    <w:rsid w:val="002F52B9"/>
    <w:rsid w:val="002F56BA"/>
    <w:rsid w:val="002F57C3"/>
    <w:rsid w:val="002F5AA2"/>
    <w:rsid w:val="002F645C"/>
    <w:rsid w:val="002F655B"/>
    <w:rsid w:val="002F695F"/>
    <w:rsid w:val="002F6D09"/>
    <w:rsid w:val="002F6F7B"/>
    <w:rsid w:val="002F71BD"/>
    <w:rsid w:val="002F749A"/>
    <w:rsid w:val="002F787E"/>
    <w:rsid w:val="002F7A23"/>
    <w:rsid w:val="002F7E43"/>
    <w:rsid w:val="00300065"/>
    <w:rsid w:val="00300353"/>
    <w:rsid w:val="003003D6"/>
    <w:rsid w:val="00300440"/>
    <w:rsid w:val="0030084A"/>
    <w:rsid w:val="00300D30"/>
    <w:rsid w:val="00300F5E"/>
    <w:rsid w:val="003016DF"/>
    <w:rsid w:val="003019C7"/>
    <w:rsid w:val="0030207B"/>
    <w:rsid w:val="00302472"/>
    <w:rsid w:val="00302619"/>
    <w:rsid w:val="003029BB"/>
    <w:rsid w:val="00302F0A"/>
    <w:rsid w:val="00303958"/>
    <w:rsid w:val="00303B10"/>
    <w:rsid w:val="00303D74"/>
    <w:rsid w:val="00303F16"/>
    <w:rsid w:val="00303FA0"/>
    <w:rsid w:val="00304045"/>
    <w:rsid w:val="003040CA"/>
    <w:rsid w:val="0030451B"/>
    <w:rsid w:val="00304552"/>
    <w:rsid w:val="00304A9E"/>
    <w:rsid w:val="00304C2B"/>
    <w:rsid w:val="00304C7B"/>
    <w:rsid w:val="00304E54"/>
    <w:rsid w:val="003053EA"/>
    <w:rsid w:val="00305604"/>
    <w:rsid w:val="00305A13"/>
    <w:rsid w:val="00305AAA"/>
    <w:rsid w:val="00305F23"/>
    <w:rsid w:val="00305F46"/>
    <w:rsid w:val="00306192"/>
    <w:rsid w:val="003066B3"/>
    <w:rsid w:val="00306A4C"/>
    <w:rsid w:val="00306DDE"/>
    <w:rsid w:val="0030763F"/>
    <w:rsid w:val="00307B80"/>
    <w:rsid w:val="00307CE8"/>
    <w:rsid w:val="00307CEA"/>
    <w:rsid w:val="0031009A"/>
    <w:rsid w:val="003102D1"/>
    <w:rsid w:val="00310806"/>
    <w:rsid w:val="00310B98"/>
    <w:rsid w:val="00310BF3"/>
    <w:rsid w:val="00310E41"/>
    <w:rsid w:val="00310EAA"/>
    <w:rsid w:val="003115E3"/>
    <w:rsid w:val="003117EA"/>
    <w:rsid w:val="0031180C"/>
    <w:rsid w:val="00311FA9"/>
    <w:rsid w:val="003130BF"/>
    <w:rsid w:val="003131A4"/>
    <w:rsid w:val="003131E3"/>
    <w:rsid w:val="003134C2"/>
    <w:rsid w:val="00313505"/>
    <w:rsid w:val="00313755"/>
    <w:rsid w:val="0031395F"/>
    <w:rsid w:val="00313A16"/>
    <w:rsid w:val="00313A54"/>
    <w:rsid w:val="00313E7E"/>
    <w:rsid w:val="00314059"/>
    <w:rsid w:val="0031484B"/>
    <w:rsid w:val="00314C4E"/>
    <w:rsid w:val="00315129"/>
    <w:rsid w:val="003152E6"/>
    <w:rsid w:val="00315635"/>
    <w:rsid w:val="003156E0"/>
    <w:rsid w:val="003158F0"/>
    <w:rsid w:val="00315DBD"/>
    <w:rsid w:val="00316011"/>
    <w:rsid w:val="00316234"/>
    <w:rsid w:val="003167FE"/>
    <w:rsid w:val="00316C93"/>
    <w:rsid w:val="00316D24"/>
    <w:rsid w:val="00317148"/>
    <w:rsid w:val="00317665"/>
    <w:rsid w:val="00317962"/>
    <w:rsid w:val="00317D28"/>
    <w:rsid w:val="00317D93"/>
    <w:rsid w:val="00317FC8"/>
    <w:rsid w:val="00320A37"/>
    <w:rsid w:val="00320E76"/>
    <w:rsid w:val="003210A6"/>
    <w:rsid w:val="003210EC"/>
    <w:rsid w:val="0032120A"/>
    <w:rsid w:val="00321CED"/>
    <w:rsid w:val="00322201"/>
    <w:rsid w:val="003222E4"/>
    <w:rsid w:val="003223ED"/>
    <w:rsid w:val="00322A53"/>
    <w:rsid w:val="00322E10"/>
    <w:rsid w:val="00322F3F"/>
    <w:rsid w:val="003234D5"/>
    <w:rsid w:val="0032352F"/>
    <w:rsid w:val="003236D8"/>
    <w:rsid w:val="00323B70"/>
    <w:rsid w:val="00323E67"/>
    <w:rsid w:val="00323E92"/>
    <w:rsid w:val="00324313"/>
    <w:rsid w:val="0032483B"/>
    <w:rsid w:val="00324EF3"/>
    <w:rsid w:val="00325255"/>
    <w:rsid w:val="003258B9"/>
    <w:rsid w:val="00325BB1"/>
    <w:rsid w:val="0032602B"/>
    <w:rsid w:val="0032628A"/>
    <w:rsid w:val="003268DC"/>
    <w:rsid w:val="00326B54"/>
    <w:rsid w:val="00326E56"/>
    <w:rsid w:val="00326E7F"/>
    <w:rsid w:val="00327A24"/>
    <w:rsid w:val="00327AD1"/>
    <w:rsid w:val="003303F8"/>
    <w:rsid w:val="00330C74"/>
    <w:rsid w:val="00330CF7"/>
    <w:rsid w:val="00330DBE"/>
    <w:rsid w:val="00331043"/>
    <w:rsid w:val="003314C7"/>
    <w:rsid w:val="00331520"/>
    <w:rsid w:val="00331AEB"/>
    <w:rsid w:val="00331D86"/>
    <w:rsid w:val="00331F92"/>
    <w:rsid w:val="0033253B"/>
    <w:rsid w:val="00332A3C"/>
    <w:rsid w:val="00332A88"/>
    <w:rsid w:val="00332ED9"/>
    <w:rsid w:val="00332F8F"/>
    <w:rsid w:val="00333027"/>
    <w:rsid w:val="00333446"/>
    <w:rsid w:val="00333587"/>
    <w:rsid w:val="00333908"/>
    <w:rsid w:val="00333C52"/>
    <w:rsid w:val="00333EFA"/>
    <w:rsid w:val="0033417F"/>
    <w:rsid w:val="003348EE"/>
    <w:rsid w:val="00334EDE"/>
    <w:rsid w:val="003350FE"/>
    <w:rsid w:val="0033514A"/>
    <w:rsid w:val="00335572"/>
    <w:rsid w:val="003357AC"/>
    <w:rsid w:val="0033586A"/>
    <w:rsid w:val="00335E4B"/>
    <w:rsid w:val="00335FFF"/>
    <w:rsid w:val="0033607E"/>
    <w:rsid w:val="0033609C"/>
    <w:rsid w:val="003361E9"/>
    <w:rsid w:val="00336344"/>
    <w:rsid w:val="00336676"/>
    <w:rsid w:val="0033683D"/>
    <w:rsid w:val="003368E6"/>
    <w:rsid w:val="00336D09"/>
    <w:rsid w:val="003400C3"/>
    <w:rsid w:val="00340162"/>
    <w:rsid w:val="003403A7"/>
    <w:rsid w:val="003403C1"/>
    <w:rsid w:val="003406C5"/>
    <w:rsid w:val="00340FF1"/>
    <w:rsid w:val="00341336"/>
    <w:rsid w:val="003414FD"/>
    <w:rsid w:val="003417AB"/>
    <w:rsid w:val="00341B94"/>
    <w:rsid w:val="00342031"/>
    <w:rsid w:val="003422AA"/>
    <w:rsid w:val="003422EA"/>
    <w:rsid w:val="00342319"/>
    <w:rsid w:val="0034238D"/>
    <w:rsid w:val="0034268D"/>
    <w:rsid w:val="00342FC3"/>
    <w:rsid w:val="00342FE6"/>
    <w:rsid w:val="00343616"/>
    <w:rsid w:val="00343903"/>
    <w:rsid w:val="00343BF8"/>
    <w:rsid w:val="00343EB8"/>
    <w:rsid w:val="0034465D"/>
    <w:rsid w:val="003447FE"/>
    <w:rsid w:val="0034504C"/>
    <w:rsid w:val="0034528E"/>
    <w:rsid w:val="00345A7B"/>
    <w:rsid w:val="00345C0B"/>
    <w:rsid w:val="00345E1B"/>
    <w:rsid w:val="003461DC"/>
    <w:rsid w:val="0034646A"/>
    <w:rsid w:val="003464D5"/>
    <w:rsid w:val="0034661F"/>
    <w:rsid w:val="00346D5B"/>
    <w:rsid w:val="00346F75"/>
    <w:rsid w:val="003470B8"/>
    <w:rsid w:val="0034778C"/>
    <w:rsid w:val="00347899"/>
    <w:rsid w:val="003502E9"/>
    <w:rsid w:val="0035032A"/>
    <w:rsid w:val="00350581"/>
    <w:rsid w:val="0035087E"/>
    <w:rsid w:val="00350C53"/>
    <w:rsid w:val="00350CBB"/>
    <w:rsid w:val="00350E71"/>
    <w:rsid w:val="00350E90"/>
    <w:rsid w:val="00351230"/>
    <w:rsid w:val="003516D7"/>
    <w:rsid w:val="003518D5"/>
    <w:rsid w:val="00351A4D"/>
    <w:rsid w:val="00351B9E"/>
    <w:rsid w:val="003526A5"/>
    <w:rsid w:val="003528E9"/>
    <w:rsid w:val="00353154"/>
    <w:rsid w:val="00353621"/>
    <w:rsid w:val="003537D5"/>
    <w:rsid w:val="00353964"/>
    <w:rsid w:val="00353A47"/>
    <w:rsid w:val="00353AAA"/>
    <w:rsid w:val="00353ADA"/>
    <w:rsid w:val="00353C7E"/>
    <w:rsid w:val="003543B8"/>
    <w:rsid w:val="00354780"/>
    <w:rsid w:val="0035485A"/>
    <w:rsid w:val="003548B9"/>
    <w:rsid w:val="00354AC5"/>
    <w:rsid w:val="0035587C"/>
    <w:rsid w:val="003558BC"/>
    <w:rsid w:val="00355DA9"/>
    <w:rsid w:val="003560C9"/>
    <w:rsid w:val="0035621E"/>
    <w:rsid w:val="00356758"/>
    <w:rsid w:val="003568E4"/>
    <w:rsid w:val="0035692B"/>
    <w:rsid w:val="00357CFB"/>
    <w:rsid w:val="00357D7F"/>
    <w:rsid w:val="003600DB"/>
    <w:rsid w:val="00361798"/>
    <w:rsid w:val="003618A2"/>
    <w:rsid w:val="00361B64"/>
    <w:rsid w:val="0036230F"/>
    <w:rsid w:val="003623B0"/>
    <w:rsid w:val="003627BD"/>
    <w:rsid w:val="00362A8B"/>
    <w:rsid w:val="00362AF7"/>
    <w:rsid w:val="00362BF0"/>
    <w:rsid w:val="00362D13"/>
    <w:rsid w:val="00362FAB"/>
    <w:rsid w:val="003630CB"/>
    <w:rsid w:val="0036385B"/>
    <w:rsid w:val="0036426F"/>
    <w:rsid w:val="003642D3"/>
    <w:rsid w:val="0036468A"/>
    <w:rsid w:val="00364735"/>
    <w:rsid w:val="00365101"/>
    <w:rsid w:val="00365D21"/>
    <w:rsid w:val="0036646E"/>
    <w:rsid w:val="00366478"/>
    <w:rsid w:val="00366684"/>
    <w:rsid w:val="00366AC3"/>
    <w:rsid w:val="00366C20"/>
    <w:rsid w:val="00367D2A"/>
    <w:rsid w:val="00367D37"/>
    <w:rsid w:val="00367E1D"/>
    <w:rsid w:val="00367E58"/>
    <w:rsid w:val="00370302"/>
    <w:rsid w:val="00370841"/>
    <w:rsid w:val="00370DEF"/>
    <w:rsid w:val="00371460"/>
    <w:rsid w:val="003715CE"/>
    <w:rsid w:val="003715FC"/>
    <w:rsid w:val="00371E17"/>
    <w:rsid w:val="00372431"/>
    <w:rsid w:val="00372549"/>
    <w:rsid w:val="003726AE"/>
    <w:rsid w:val="00372950"/>
    <w:rsid w:val="00372CBB"/>
    <w:rsid w:val="00372DDA"/>
    <w:rsid w:val="003733C1"/>
    <w:rsid w:val="00373744"/>
    <w:rsid w:val="003740A7"/>
    <w:rsid w:val="003742AB"/>
    <w:rsid w:val="00374521"/>
    <w:rsid w:val="00374C64"/>
    <w:rsid w:val="003753CE"/>
    <w:rsid w:val="0037551C"/>
    <w:rsid w:val="00375B8B"/>
    <w:rsid w:val="003764BC"/>
    <w:rsid w:val="00376619"/>
    <w:rsid w:val="00377034"/>
    <w:rsid w:val="0037749C"/>
    <w:rsid w:val="003777A3"/>
    <w:rsid w:val="003777A4"/>
    <w:rsid w:val="00377940"/>
    <w:rsid w:val="00377CF3"/>
    <w:rsid w:val="00380397"/>
    <w:rsid w:val="003803E1"/>
    <w:rsid w:val="0038090A"/>
    <w:rsid w:val="00380F85"/>
    <w:rsid w:val="00381539"/>
    <w:rsid w:val="00381B19"/>
    <w:rsid w:val="00381F48"/>
    <w:rsid w:val="003820AF"/>
    <w:rsid w:val="003826A1"/>
    <w:rsid w:val="003829E0"/>
    <w:rsid w:val="00382C8A"/>
    <w:rsid w:val="00382D18"/>
    <w:rsid w:val="00383296"/>
    <w:rsid w:val="003836D9"/>
    <w:rsid w:val="0038370F"/>
    <w:rsid w:val="003837C1"/>
    <w:rsid w:val="00383A87"/>
    <w:rsid w:val="00383B12"/>
    <w:rsid w:val="00383D81"/>
    <w:rsid w:val="00384103"/>
    <w:rsid w:val="00384133"/>
    <w:rsid w:val="00384A12"/>
    <w:rsid w:val="00385A19"/>
    <w:rsid w:val="00385ADB"/>
    <w:rsid w:val="003864C5"/>
    <w:rsid w:val="00386510"/>
    <w:rsid w:val="003867F7"/>
    <w:rsid w:val="00386A90"/>
    <w:rsid w:val="00386AD9"/>
    <w:rsid w:val="00386E14"/>
    <w:rsid w:val="00386E84"/>
    <w:rsid w:val="00387030"/>
    <w:rsid w:val="003873C4"/>
    <w:rsid w:val="003877C5"/>
    <w:rsid w:val="003879CE"/>
    <w:rsid w:val="00387A69"/>
    <w:rsid w:val="003903BA"/>
    <w:rsid w:val="003904B6"/>
    <w:rsid w:val="003908E2"/>
    <w:rsid w:val="00390C74"/>
    <w:rsid w:val="00390CCC"/>
    <w:rsid w:val="00390D7C"/>
    <w:rsid w:val="00391212"/>
    <w:rsid w:val="0039134A"/>
    <w:rsid w:val="003913DC"/>
    <w:rsid w:val="0039144E"/>
    <w:rsid w:val="0039170C"/>
    <w:rsid w:val="0039199F"/>
    <w:rsid w:val="00391A00"/>
    <w:rsid w:val="00391AB6"/>
    <w:rsid w:val="00391D51"/>
    <w:rsid w:val="00392072"/>
    <w:rsid w:val="0039282A"/>
    <w:rsid w:val="00392B21"/>
    <w:rsid w:val="00393440"/>
    <w:rsid w:val="003937C5"/>
    <w:rsid w:val="00393B9D"/>
    <w:rsid w:val="003943DF"/>
    <w:rsid w:val="00394A8D"/>
    <w:rsid w:val="00394E07"/>
    <w:rsid w:val="0039505C"/>
    <w:rsid w:val="00395556"/>
    <w:rsid w:val="00395D86"/>
    <w:rsid w:val="003960A2"/>
    <w:rsid w:val="00396184"/>
    <w:rsid w:val="003962F2"/>
    <w:rsid w:val="00396E7C"/>
    <w:rsid w:val="00396F87"/>
    <w:rsid w:val="003972AC"/>
    <w:rsid w:val="00397A76"/>
    <w:rsid w:val="00397DA8"/>
    <w:rsid w:val="003A0143"/>
    <w:rsid w:val="003A07B7"/>
    <w:rsid w:val="003A1286"/>
    <w:rsid w:val="003A12D3"/>
    <w:rsid w:val="003A182D"/>
    <w:rsid w:val="003A19B7"/>
    <w:rsid w:val="003A1E6B"/>
    <w:rsid w:val="003A2E14"/>
    <w:rsid w:val="003A309A"/>
    <w:rsid w:val="003A3778"/>
    <w:rsid w:val="003A407A"/>
    <w:rsid w:val="003A422A"/>
    <w:rsid w:val="003A4B02"/>
    <w:rsid w:val="003A4DED"/>
    <w:rsid w:val="003A504F"/>
    <w:rsid w:val="003A54A3"/>
    <w:rsid w:val="003A5B3E"/>
    <w:rsid w:val="003A5FA9"/>
    <w:rsid w:val="003A61BD"/>
    <w:rsid w:val="003A686F"/>
    <w:rsid w:val="003A68B0"/>
    <w:rsid w:val="003A69F8"/>
    <w:rsid w:val="003A6A5A"/>
    <w:rsid w:val="003A6F72"/>
    <w:rsid w:val="003A778F"/>
    <w:rsid w:val="003A7D92"/>
    <w:rsid w:val="003B006D"/>
    <w:rsid w:val="003B0411"/>
    <w:rsid w:val="003B083E"/>
    <w:rsid w:val="003B0AB0"/>
    <w:rsid w:val="003B0E52"/>
    <w:rsid w:val="003B103E"/>
    <w:rsid w:val="003B10D1"/>
    <w:rsid w:val="003B15EA"/>
    <w:rsid w:val="003B1869"/>
    <w:rsid w:val="003B1A4A"/>
    <w:rsid w:val="003B22D8"/>
    <w:rsid w:val="003B22E5"/>
    <w:rsid w:val="003B2A42"/>
    <w:rsid w:val="003B2B53"/>
    <w:rsid w:val="003B2E4A"/>
    <w:rsid w:val="003B35D5"/>
    <w:rsid w:val="003B35E8"/>
    <w:rsid w:val="003B3DBD"/>
    <w:rsid w:val="003B3E2D"/>
    <w:rsid w:val="003B3FB4"/>
    <w:rsid w:val="003B404D"/>
    <w:rsid w:val="003B49E6"/>
    <w:rsid w:val="003B4CB8"/>
    <w:rsid w:val="003B526A"/>
    <w:rsid w:val="003B5325"/>
    <w:rsid w:val="003B5840"/>
    <w:rsid w:val="003B5AD5"/>
    <w:rsid w:val="003B5E45"/>
    <w:rsid w:val="003B63FD"/>
    <w:rsid w:val="003B64EB"/>
    <w:rsid w:val="003B67BD"/>
    <w:rsid w:val="003B6814"/>
    <w:rsid w:val="003B7459"/>
    <w:rsid w:val="003B790B"/>
    <w:rsid w:val="003B7C22"/>
    <w:rsid w:val="003C01C4"/>
    <w:rsid w:val="003C0478"/>
    <w:rsid w:val="003C05E5"/>
    <w:rsid w:val="003C0AC3"/>
    <w:rsid w:val="003C11E9"/>
    <w:rsid w:val="003C137F"/>
    <w:rsid w:val="003C13C3"/>
    <w:rsid w:val="003C14C5"/>
    <w:rsid w:val="003C15BD"/>
    <w:rsid w:val="003C17BA"/>
    <w:rsid w:val="003C19F6"/>
    <w:rsid w:val="003C21AB"/>
    <w:rsid w:val="003C237B"/>
    <w:rsid w:val="003C2556"/>
    <w:rsid w:val="003C2AA0"/>
    <w:rsid w:val="003C2B07"/>
    <w:rsid w:val="003C2B19"/>
    <w:rsid w:val="003C3376"/>
    <w:rsid w:val="003C3419"/>
    <w:rsid w:val="003C368C"/>
    <w:rsid w:val="003C391E"/>
    <w:rsid w:val="003C39B2"/>
    <w:rsid w:val="003C3BA3"/>
    <w:rsid w:val="003C3C9D"/>
    <w:rsid w:val="003C3CA7"/>
    <w:rsid w:val="003C41B6"/>
    <w:rsid w:val="003C44FB"/>
    <w:rsid w:val="003C46AE"/>
    <w:rsid w:val="003C4B5F"/>
    <w:rsid w:val="003C526E"/>
    <w:rsid w:val="003C53C0"/>
    <w:rsid w:val="003C5B3D"/>
    <w:rsid w:val="003C5D7B"/>
    <w:rsid w:val="003C5D95"/>
    <w:rsid w:val="003C6133"/>
    <w:rsid w:val="003C6D98"/>
    <w:rsid w:val="003C6FD0"/>
    <w:rsid w:val="003C70FF"/>
    <w:rsid w:val="003C7AF5"/>
    <w:rsid w:val="003D03B6"/>
    <w:rsid w:val="003D0A8A"/>
    <w:rsid w:val="003D0B3A"/>
    <w:rsid w:val="003D0B72"/>
    <w:rsid w:val="003D0CD0"/>
    <w:rsid w:val="003D12E6"/>
    <w:rsid w:val="003D28BC"/>
    <w:rsid w:val="003D2976"/>
    <w:rsid w:val="003D2B67"/>
    <w:rsid w:val="003D2C05"/>
    <w:rsid w:val="003D2CB4"/>
    <w:rsid w:val="003D2E1C"/>
    <w:rsid w:val="003D30B1"/>
    <w:rsid w:val="003D3AB6"/>
    <w:rsid w:val="003D3D9E"/>
    <w:rsid w:val="003D3E19"/>
    <w:rsid w:val="003D448C"/>
    <w:rsid w:val="003D46AF"/>
    <w:rsid w:val="003D4A14"/>
    <w:rsid w:val="003D4D57"/>
    <w:rsid w:val="003D536A"/>
    <w:rsid w:val="003D539B"/>
    <w:rsid w:val="003D54A4"/>
    <w:rsid w:val="003D555E"/>
    <w:rsid w:val="003D55CD"/>
    <w:rsid w:val="003D56BB"/>
    <w:rsid w:val="003D57D6"/>
    <w:rsid w:val="003D57E4"/>
    <w:rsid w:val="003D5D0D"/>
    <w:rsid w:val="003D5D1C"/>
    <w:rsid w:val="003D5FAF"/>
    <w:rsid w:val="003D62E6"/>
    <w:rsid w:val="003D6403"/>
    <w:rsid w:val="003D6497"/>
    <w:rsid w:val="003D6AEC"/>
    <w:rsid w:val="003D728D"/>
    <w:rsid w:val="003D7443"/>
    <w:rsid w:val="003D76C7"/>
    <w:rsid w:val="003D7728"/>
    <w:rsid w:val="003D7D6E"/>
    <w:rsid w:val="003D7FE3"/>
    <w:rsid w:val="003E047B"/>
    <w:rsid w:val="003E0819"/>
    <w:rsid w:val="003E0F59"/>
    <w:rsid w:val="003E118B"/>
    <w:rsid w:val="003E159D"/>
    <w:rsid w:val="003E160A"/>
    <w:rsid w:val="003E1A13"/>
    <w:rsid w:val="003E1C91"/>
    <w:rsid w:val="003E1E57"/>
    <w:rsid w:val="003E21AE"/>
    <w:rsid w:val="003E2505"/>
    <w:rsid w:val="003E27C0"/>
    <w:rsid w:val="003E305F"/>
    <w:rsid w:val="003E3607"/>
    <w:rsid w:val="003E38E2"/>
    <w:rsid w:val="003E3D7B"/>
    <w:rsid w:val="003E49AC"/>
    <w:rsid w:val="003E4A9C"/>
    <w:rsid w:val="003E4F6D"/>
    <w:rsid w:val="003E4FA0"/>
    <w:rsid w:val="003E5401"/>
    <w:rsid w:val="003E64AB"/>
    <w:rsid w:val="003E673A"/>
    <w:rsid w:val="003E6911"/>
    <w:rsid w:val="003E721C"/>
    <w:rsid w:val="003E76ED"/>
    <w:rsid w:val="003E779A"/>
    <w:rsid w:val="003E7AB8"/>
    <w:rsid w:val="003E7C4C"/>
    <w:rsid w:val="003E7F6B"/>
    <w:rsid w:val="003E7FF0"/>
    <w:rsid w:val="003F0113"/>
    <w:rsid w:val="003F03C8"/>
    <w:rsid w:val="003F0452"/>
    <w:rsid w:val="003F0A5C"/>
    <w:rsid w:val="003F0A67"/>
    <w:rsid w:val="003F1056"/>
    <w:rsid w:val="003F1485"/>
    <w:rsid w:val="003F15FE"/>
    <w:rsid w:val="003F21ED"/>
    <w:rsid w:val="003F2650"/>
    <w:rsid w:val="003F2B3E"/>
    <w:rsid w:val="003F2E17"/>
    <w:rsid w:val="003F34B8"/>
    <w:rsid w:val="003F3A03"/>
    <w:rsid w:val="003F3FFD"/>
    <w:rsid w:val="003F4935"/>
    <w:rsid w:val="003F5141"/>
    <w:rsid w:val="003F54BD"/>
    <w:rsid w:val="003F6DCC"/>
    <w:rsid w:val="003F6F89"/>
    <w:rsid w:val="003F7A98"/>
    <w:rsid w:val="004001E0"/>
    <w:rsid w:val="0040025D"/>
    <w:rsid w:val="00400674"/>
    <w:rsid w:val="00400CD7"/>
    <w:rsid w:val="00400CDE"/>
    <w:rsid w:val="0040146A"/>
    <w:rsid w:val="0040158A"/>
    <w:rsid w:val="0040158F"/>
    <w:rsid w:val="004019AB"/>
    <w:rsid w:val="004023A2"/>
    <w:rsid w:val="004023E5"/>
    <w:rsid w:val="00402606"/>
    <w:rsid w:val="00402671"/>
    <w:rsid w:val="00403124"/>
    <w:rsid w:val="00403457"/>
    <w:rsid w:val="00403ACC"/>
    <w:rsid w:val="00403D11"/>
    <w:rsid w:val="00404457"/>
    <w:rsid w:val="0040469F"/>
    <w:rsid w:val="004048D9"/>
    <w:rsid w:val="00404945"/>
    <w:rsid w:val="00404B0C"/>
    <w:rsid w:val="00404C27"/>
    <w:rsid w:val="00405595"/>
    <w:rsid w:val="0040571A"/>
    <w:rsid w:val="0040578D"/>
    <w:rsid w:val="0040591E"/>
    <w:rsid w:val="00405B4F"/>
    <w:rsid w:val="00405BEE"/>
    <w:rsid w:val="00405DC5"/>
    <w:rsid w:val="00406085"/>
    <w:rsid w:val="00406727"/>
    <w:rsid w:val="004067AF"/>
    <w:rsid w:val="00406B0B"/>
    <w:rsid w:val="00406B1F"/>
    <w:rsid w:val="004077D3"/>
    <w:rsid w:val="00407C8E"/>
    <w:rsid w:val="00407DF7"/>
    <w:rsid w:val="00410203"/>
    <w:rsid w:val="004105FC"/>
    <w:rsid w:val="0041070B"/>
    <w:rsid w:val="00410775"/>
    <w:rsid w:val="00410A32"/>
    <w:rsid w:val="00410BCF"/>
    <w:rsid w:val="00411467"/>
    <w:rsid w:val="004116CC"/>
    <w:rsid w:val="00411A9C"/>
    <w:rsid w:val="00411D42"/>
    <w:rsid w:val="00411FC5"/>
    <w:rsid w:val="00412888"/>
    <w:rsid w:val="004129E1"/>
    <w:rsid w:val="00412D69"/>
    <w:rsid w:val="00412FD1"/>
    <w:rsid w:val="00413051"/>
    <w:rsid w:val="00413392"/>
    <w:rsid w:val="00413565"/>
    <w:rsid w:val="00413927"/>
    <w:rsid w:val="00413CBC"/>
    <w:rsid w:val="00414332"/>
    <w:rsid w:val="004143BA"/>
    <w:rsid w:val="00414A37"/>
    <w:rsid w:val="0041516E"/>
    <w:rsid w:val="004156D7"/>
    <w:rsid w:val="0041590F"/>
    <w:rsid w:val="00415975"/>
    <w:rsid w:val="00415BDC"/>
    <w:rsid w:val="00415F8E"/>
    <w:rsid w:val="0041622B"/>
    <w:rsid w:val="00416257"/>
    <w:rsid w:val="00416DE6"/>
    <w:rsid w:val="00416EE2"/>
    <w:rsid w:val="00416FB5"/>
    <w:rsid w:val="0041733B"/>
    <w:rsid w:val="00417411"/>
    <w:rsid w:val="00417814"/>
    <w:rsid w:val="00417DEF"/>
    <w:rsid w:val="00420273"/>
    <w:rsid w:val="00420675"/>
    <w:rsid w:val="00420862"/>
    <w:rsid w:val="00420BB7"/>
    <w:rsid w:val="004212FF"/>
    <w:rsid w:val="00421365"/>
    <w:rsid w:val="004219A4"/>
    <w:rsid w:val="0042275D"/>
    <w:rsid w:val="00422996"/>
    <w:rsid w:val="004229FE"/>
    <w:rsid w:val="00422C6F"/>
    <w:rsid w:val="00422D5F"/>
    <w:rsid w:val="004235C3"/>
    <w:rsid w:val="0042441B"/>
    <w:rsid w:val="004246B9"/>
    <w:rsid w:val="0042492B"/>
    <w:rsid w:val="00424CFF"/>
    <w:rsid w:val="00425483"/>
    <w:rsid w:val="0042552A"/>
    <w:rsid w:val="0042572A"/>
    <w:rsid w:val="00425852"/>
    <w:rsid w:val="0042613F"/>
    <w:rsid w:val="00426883"/>
    <w:rsid w:val="00426DE8"/>
    <w:rsid w:val="00426E99"/>
    <w:rsid w:val="00426F74"/>
    <w:rsid w:val="00427131"/>
    <w:rsid w:val="00427C0C"/>
    <w:rsid w:val="00427D21"/>
    <w:rsid w:val="00430216"/>
    <w:rsid w:val="004306BA"/>
    <w:rsid w:val="00430AE4"/>
    <w:rsid w:val="00430D2A"/>
    <w:rsid w:val="00430E36"/>
    <w:rsid w:val="00430FD9"/>
    <w:rsid w:val="00431031"/>
    <w:rsid w:val="00431594"/>
    <w:rsid w:val="00431619"/>
    <w:rsid w:val="004316DF"/>
    <w:rsid w:val="004318B3"/>
    <w:rsid w:val="00431A0D"/>
    <w:rsid w:val="0043217C"/>
    <w:rsid w:val="0043220E"/>
    <w:rsid w:val="0043278C"/>
    <w:rsid w:val="004329A8"/>
    <w:rsid w:val="00432E79"/>
    <w:rsid w:val="00432F24"/>
    <w:rsid w:val="00432F80"/>
    <w:rsid w:val="0043332F"/>
    <w:rsid w:val="004334ED"/>
    <w:rsid w:val="004339B7"/>
    <w:rsid w:val="0043406D"/>
    <w:rsid w:val="00434633"/>
    <w:rsid w:val="00434973"/>
    <w:rsid w:val="004349A7"/>
    <w:rsid w:val="00434CA8"/>
    <w:rsid w:val="00434CBB"/>
    <w:rsid w:val="00434DE0"/>
    <w:rsid w:val="00435B02"/>
    <w:rsid w:val="00435CA8"/>
    <w:rsid w:val="0043614D"/>
    <w:rsid w:val="00436186"/>
    <w:rsid w:val="0043670D"/>
    <w:rsid w:val="004367F4"/>
    <w:rsid w:val="004368B6"/>
    <w:rsid w:val="00436946"/>
    <w:rsid w:val="00436983"/>
    <w:rsid w:val="00436D85"/>
    <w:rsid w:val="00437F80"/>
    <w:rsid w:val="00440625"/>
    <w:rsid w:val="00440E31"/>
    <w:rsid w:val="00441624"/>
    <w:rsid w:val="00442129"/>
    <w:rsid w:val="0044260F"/>
    <w:rsid w:val="00442A99"/>
    <w:rsid w:val="00442BB7"/>
    <w:rsid w:val="004432C9"/>
    <w:rsid w:val="00443CDA"/>
    <w:rsid w:val="00443E3C"/>
    <w:rsid w:val="00443F79"/>
    <w:rsid w:val="00443FA2"/>
    <w:rsid w:val="004440F2"/>
    <w:rsid w:val="004447E5"/>
    <w:rsid w:val="004448B9"/>
    <w:rsid w:val="00444A8C"/>
    <w:rsid w:val="00444D12"/>
    <w:rsid w:val="00445211"/>
    <w:rsid w:val="00445333"/>
    <w:rsid w:val="004453FD"/>
    <w:rsid w:val="004456F0"/>
    <w:rsid w:val="00445784"/>
    <w:rsid w:val="004459AF"/>
    <w:rsid w:val="004461F7"/>
    <w:rsid w:val="004463CD"/>
    <w:rsid w:val="00446DED"/>
    <w:rsid w:val="00446EDF"/>
    <w:rsid w:val="00447181"/>
    <w:rsid w:val="0044719B"/>
    <w:rsid w:val="004473C3"/>
    <w:rsid w:val="004479BD"/>
    <w:rsid w:val="00447BEC"/>
    <w:rsid w:val="00447CF1"/>
    <w:rsid w:val="00447EE1"/>
    <w:rsid w:val="0045019D"/>
    <w:rsid w:val="00450325"/>
    <w:rsid w:val="00450CE0"/>
    <w:rsid w:val="00450D34"/>
    <w:rsid w:val="0045140F"/>
    <w:rsid w:val="00451421"/>
    <w:rsid w:val="00451651"/>
    <w:rsid w:val="0045180A"/>
    <w:rsid w:val="00451F35"/>
    <w:rsid w:val="004523F8"/>
    <w:rsid w:val="00452828"/>
    <w:rsid w:val="00452B35"/>
    <w:rsid w:val="00452EA0"/>
    <w:rsid w:val="00453B8A"/>
    <w:rsid w:val="00453F9C"/>
    <w:rsid w:val="004542CB"/>
    <w:rsid w:val="0045437C"/>
    <w:rsid w:val="00454727"/>
    <w:rsid w:val="0045484F"/>
    <w:rsid w:val="00454C75"/>
    <w:rsid w:val="00455306"/>
    <w:rsid w:val="00455799"/>
    <w:rsid w:val="004557F1"/>
    <w:rsid w:val="0045584C"/>
    <w:rsid w:val="00456142"/>
    <w:rsid w:val="004563EF"/>
    <w:rsid w:val="00456788"/>
    <w:rsid w:val="004568E0"/>
    <w:rsid w:val="00456BFD"/>
    <w:rsid w:val="00456C23"/>
    <w:rsid w:val="00456D59"/>
    <w:rsid w:val="00457002"/>
    <w:rsid w:val="00457701"/>
    <w:rsid w:val="00457801"/>
    <w:rsid w:val="004578A2"/>
    <w:rsid w:val="00457DC6"/>
    <w:rsid w:val="00457F06"/>
    <w:rsid w:val="00460552"/>
    <w:rsid w:val="0046059C"/>
    <w:rsid w:val="00460859"/>
    <w:rsid w:val="0046090C"/>
    <w:rsid w:val="00460B46"/>
    <w:rsid w:val="00460CF6"/>
    <w:rsid w:val="00460DD2"/>
    <w:rsid w:val="00460EFA"/>
    <w:rsid w:val="00461016"/>
    <w:rsid w:val="00461926"/>
    <w:rsid w:val="00461CC1"/>
    <w:rsid w:val="0046264E"/>
    <w:rsid w:val="004626A3"/>
    <w:rsid w:val="004632DC"/>
    <w:rsid w:val="00463A1D"/>
    <w:rsid w:val="00463EE0"/>
    <w:rsid w:val="004641E7"/>
    <w:rsid w:val="00464265"/>
    <w:rsid w:val="004648B6"/>
    <w:rsid w:val="00464917"/>
    <w:rsid w:val="00465003"/>
    <w:rsid w:val="00465042"/>
    <w:rsid w:val="0046521D"/>
    <w:rsid w:val="00465271"/>
    <w:rsid w:val="00465467"/>
    <w:rsid w:val="00465ACE"/>
    <w:rsid w:val="00465B82"/>
    <w:rsid w:val="00465BC9"/>
    <w:rsid w:val="00465D78"/>
    <w:rsid w:val="00466AE0"/>
    <w:rsid w:val="00466FD2"/>
    <w:rsid w:val="00467335"/>
    <w:rsid w:val="004674E2"/>
    <w:rsid w:val="004677D3"/>
    <w:rsid w:val="00467CB2"/>
    <w:rsid w:val="00470372"/>
    <w:rsid w:val="004708B5"/>
    <w:rsid w:val="00470AD1"/>
    <w:rsid w:val="00470E63"/>
    <w:rsid w:val="00470FB7"/>
    <w:rsid w:val="0047113A"/>
    <w:rsid w:val="004716F5"/>
    <w:rsid w:val="004725DB"/>
    <w:rsid w:val="00472756"/>
    <w:rsid w:val="00472847"/>
    <w:rsid w:val="00473521"/>
    <w:rsid w:val="004735D7"/>
    <w:rsid w:val="004738B8"/>
    <w:rsid w:val="00473DE9"/>
    <w:rsid w:val="00473E4A"/>
    <w:rsid w:val="00473F06"/>
    <w:rsid w:val="004744D1"/>
    <w:rsid w:val="00474B04"/>
    <w:rsid w:val="0047530D"/>
    <w:rsid w:val="0047532B"/>
    <w:rsid w:val="00475A86"/>
    <w:rsid w:val="00475A91"/>
    <w:rsid w:val="00475E6F"/>
    <w:rsid w:val="00475F77"/>
    <w:rsid w:val="0047650A"/>
    <w:rsid w:val="00476633"/>
    <w:rsid w:val="00476820"/>
    <w:rsid w:val="00476909"/>
    <w:rsid w:val="004769AB"/>
    <w:rsid w:val="00476FFC"/>
    <w:rsid w:val="004773C5"/>
    <w:rsid w:val="00477821"/>
    <w:rsid w:val="00477936"/>
    <w:rsid w:val="00477A30"/>
    <w:rsid w:val="0048010B"/>
    <w:rsid w:val="0048030E"/>
    <w:rsid w:val="0048050C"/>
    <w:rsid w:val="0048065C"/>
    <w:rsid w:val="0048083A"/>
    <w:rsid w:val="0048094F"/>
    <w:rsid w:val="00480CAE"/>
    <w:rsid w:val="004812D7"/>
    <w:rsid w:val="00481849"/>
    <w:rsid w:val="00481DF0"/>
    <w:rsid w:val="00481FE3"/>
    <w:rsid w:val="00482500"/>
    <w:rsid w:val="004825B4"/>
    <w:rsid w:val="00482738"/>
    <w:rsid w:val="0048277A"/>
    <w:rsid w:val="00482C6C"/>
    <w:rsid w:val="00482DA3"/>
    <w:rsid w:val="004830A1"/>
    <w:rsid w:val="004837EC"/>
    <w:rsid w:val="00483E36"/>
    <w:rsid w:val="00484746"/>
    <w:rsid w:val="004848E8"/>
    <w:rsid w:val="00484DDC"/>
    <w:rsid w:val="004858E7"/>
    <w:rsid w:val="00485A8B"/>
    <w:rsid w:val="00485D0C"/>
    <w:rsid w:val="00485DF7"/>
    <w:rsid w:val="00485F6E"/>
    <w:rsid w:val="0048629D"/>
    <w:rsid w:val="00486553"/>
    <w:rsid w:val="004868E3"/>
    <w:rsid w:val="00487170"/>
    <w:rsid w:val="0048746C"/>
    <w:rsid w:val="00487582"/>
    <w:rsid w:val="004876D4"/>
    <w:rsid w:val="00487788"/>
    <w:rsid w:val="00490068"/>
    <w:rsid w:val="00490335"/>
    <w:rsid w:val="00490369"/>
    <w:rsid w:val="004909D7"/>
    <w:rsid w:val="00491277"/>
    <w:rsid w:val="00491753"/>
    <w:rsid w:val="004917B0"/>
    <w:rsid w:val="00491A7A"/>
    <w:rsid w:val="00492682"/>
    <w:rsid w:val="004928C5"/>
    <w:rsid w:val="00492900"/>
    <w:rsid w:val="00492A35"/>
    <w:rsid w:val="00493590"/>
    <w:rsid w:val="004935A7"/>
    <w:rsid w:val="00493739"/>
    <w:rsid w:val="0049373D"/>
    <w:rsid w:val="00493791"/>
    <w:rsid w:val="0049386E"/>
    <w:rsid w:val="00493EAC"/>
    <w:rsid w:val="004940A8"/>
    <w:rsid w:val="004941DC"/>
    <w:rsid w:val="00494665"/>
    <w:rsid w:val="00494EA6"/>
    <w:rsid w:val="004952FA"/>
    <w:rsid w:val="00496957"/>
    <w:rsid w:val="00496AD3"/>
    <w:rsid w:val="00496F6F"/>
    <w:rsid w:val="00497392"/>
    <w:rsid w:val="004973E5"/>
    <w:rsid w:val="00497731"/>
    <w:rsid w:val="004A04FA"/>
    <w:rsid w:val="004A0708"/>
    <w:rsid w:val="004A0919"/>
    <w:rsid w:val="004A110D"/>
    <w:rsid w:val="004A172F"/>
    <w:rsid w:val="004A1AEB"/>
    <w:rsid w:val="004A1C61"/>
    <w:rsid w:val="004A1E27"/>
    <w:rsid w:val="004A20C2"/>
    <w:rsid w:val="004A25A3"/>
    <w:rsid w:val="004A29E0"/>
    <w:rsid w:val="004A2C76"/>
    <w:rsid w:val="004A2F30"/>
    <w:rsid w:val="004A305F"/>
    <w:rsid w:val="004A33F7"/>
    <w:rsid w:val="004A3DAE"/>
    <w:rsid w:val="004A3EB5"/>
    <w:rsid w:val="004A472C"/>
    <w:rsid w:val="004A5199"/>
    <w:rsid w:val="004A522C"/>
    <w:rsid w:val="004A567A"/>
    <w:rsid w:val="004A56D1"/>
    <w:rsid w:val="004A5F17"/>
    <w:rsid w:val="004A5F3B"/>
    <w:rsid w:val="004A60F0"/>
    <w:rsid w:val="004A619D"/>
    <w:rsid w:val="004A6313"/>
    <w:rsid w:val="004A6B7B"/>
    <w:rsid w:val="004A6D4F"/>
    <w:rsid w:val="004A7EEA"/>
    <w:rsid w:val="004B01DF"/>
    <w:rsid w:val="004B029D"/>
    <w:rsid w:val="004B0A50"/>
    <w:rsid w:val="004B0C3F"/>
    <w:rsid w:val="004B0D03"/>
    <w:rsid w:val="004B12B3"/>
    <w:rsid w:val="004B18AC"/>
    <w:rsid w:val="004B2933"/>
    <w:rsid w:val="004B2B9E"/>
    <w:rsid w:val="004B3151"/>
    <w:rsid w:val="004B395E"/>
    <w:rsid w:val="004B42C0"/>
    <w:rsid w:val="004B42D6"/>
    <w:rsid w:val="004B4347"/>
    <w:rsid w:val="004B4485"/>
    <w:rsid w:val="004B4C90"/>
    <w:rsid w:val="004B4F98"/>
    <w:rsid w:val="004B4FE2"/>
    <w:rsid w:val="004B522A"/>
    <w:rsid w:val="004B5B15"/>
    <w:rsid w:val="004B5BE0"/>
    <w:rsid w:val="004B6380"/>
    <w:rsid w:val="004B642C"/>
    <w:rsid w:val="004B6834"/>
    <w:rsid w:val="004B6A8E"/>
    <w:rsid w:val="004B6BD7"/>
    <w:rsid w:val="004B7F2A"/>
    <w:rsid w:val="004C0152"/>
    <w:rsid w:val="004C023A"/>
    <w:rsid w:val="004C0AB0"/>
    <w:rsid w:val="004C0D89"/>
    <w:rsid w:val="004C0DFE"/>
    <w:rsid w:val="004C1B9B"/>
    <w:rsid w:val="004C1BE1"/>
    <w:rsid w:val="004C202F"/>
    <w:rsid w:val="004C20D6"/>
    <w:rsid w:val="004C2333"/>
    <w:rsid w:val="004C2476"/>
    <w:rsid w:val="004C24C4"/>
    <w:rsid w:val="004C2A11"/>
    <w:rsid w:val="004C2B8F"/>
    <w:rsid w:val="004C2CFB"/>
    <w:rsid w:val="004C3311"/>
    <w:rsid w:val="004C34BF"/>
    <w:rsid w:val="004C3A7A"/>
    <w:rsid w:val="004C3B26"/>
    <w:rsid w:val="004C3C6D"/>
    <w:rsid w:val="004C3DAE"/>
    <w:rsid w:val="004C3E18"/>
    <w:rsid w:val="004C4000"/>
    <w:rsid w:val="004C430C"/>
    <w:rsid w:val="004C452A"/>
    <w:rsid w:val="004C4BC4"/>
    <w:rsid w:val="004C5071"/>
    <w:rsid w:val="004C5866"/>
    <w:rsid w:val="004C604F"/>
    <w:rsid w:val="004C6521"/>
    <w:rsid w:val="004C6629"/>
    <w:rsid w:val="004C6A57"/>
    <w:rsid w:val="004C6B41"/>
    <w:rsid w:val="004C74EF"/>
    <w:rsid w:val="004C7733"/>
    <w:rsid w:val="004C7C32"/>
    <w:rsid w:val="004D018C"/>
    <w:rsid w:val="004D03E6"/>
    <w:rsid w:val="004D044A"/>
    <w:rsid w:val="004D0ABA"/>
    <w:rsid w:val="004D0C63"/>
    <w:rsid w:val="004D0E95"/>
    <w:rsid w:val="004D11B5"/>
    <w:rsid w:val="004D1804"/>
    <w:rsid w:val="004D1CED"/>
    <w:rsid w:val="004D1E28"/>
    <w:rsid w:val="004D1F6C"/>
    <w:rsid w:val="004D2502"/>
    <w:rsid w:val="004D2558"/>
    <w:rsid w:val="004D25CA"/>
    <w:rsid w:val="004D2886"/>
    <w:rsid w:val="004D2B45"/>
    <w:rsid w:val="004D2DAD"/>
    <w:rsid w:val="004D2F3B"/>
    <w:rsid w:val="004D34F7"/>
    <w:rsid w:val="004D37B8"/>
    <w:rsid w:val="004D3BAF"/>
    <w:rsid w:val="004D3CEE"/>
    <w:rsid w:val="004D3FF4"/>
    <w:rsid w:val="004D4CF5"/>
    <w:rsid w:val="004D4EC1"/>
    <w:rsid w:val="004D5426"/>
    <w:rsid w:val="004D549A"/>
    <w:rsid w:val="004D55FA"/>
    <w:rsid w:val="004D5922"/>
    <w:rsid w:val="004D5BD2"/>
    <w:rsid w:val="004D5C43"/>
    <w:rsid w:val="004D5D36"/>
    <w:rsid w:val="004D5FF3"/>
    <w:rsid w:val="004D63FE"/>
    <w:rsid w:val="004D6AE1"/>
    <w:rsid w:val="004D74CD"/>
    <w:rsid w:val="004D7589"/>
    <w:rsid w:val="004D76CC"/>
    <w:rsid w:val="004D7EAD"/>
    <w:rsid w:val="004E06EF"/>
    <w:rsid w:val="004E0DF8"/>
    <w:rsid w:val="004E1282"/>
    <w:rsid w:val="004E15B0"/>
    <w:rsid w:val="004E16A5"/>
    <w:rsid w:val="004E1FF0"/>
    <w:rsid w:val="004E209A"/>
    <w:rsid w:val="004E20D5"/>
    <w:rsid w:val="004E21F8"/>
    <w:rsid w:val="004E2221"/>
    <w:rsid w:val="004E250C"/>
    <w:rsid w:val="004E2518"/>
    <w:rsid w:val="004E28DA"/>
    <w:rsid w:val="004E290E"/>
    <w:rsid w:val="004E2CA8"/>
    <w:rsid w:val="004E3098"/>
    <w:rsid w:val="004E3674"/>
    <w:rsid w:val="004E3862"/>
    <w:rsid w:val="004E3C88"/>
    <w:rsid w:val="004E4025"/>
    <w:rsid w:val="004E4145"/>
    <w:rsid w:val="004E4228"/>
    <w:rsid w:val="004E451D"/>
    <w:rsid w:val="004E4810"/>
    <w:rsid w:val="004E48E0"/>
    <w:rsid w:val="004E4F66"/>
    <w:rsid w:val="004E4FAF"/>
    <w:rsid w:val="004E4FB3"/>
    <w:rsid w:val="004E51E2"/>
    <w:rsid w:val="004E562B"/>
    <w:rsid w:val="004E58FB"/>
    <w:rsid w:val="004E596E"/>
    <w:rsid w:val="004E59A2"/>
    <w:rsid w:val="004E5B8A"/>
    <w:rsid w:val="004E6040"/>
    <w:rsid w:val="004E64B6"/>
    <w:rsid w:val="004E6867"/>
    <w:rsid w:val="004E6A5A"/>
    <w:rsid w:val="004E7CB0"/>
    <w:rsid w:val="004E7DE8"/>
    <w:rsid w:val="004F01A2"/>
    <w:rsid w:val="004F0381"/>
    <w:rsid w:val="004F095F"/>
    <w:rsid w:val="004F0A2C"/>
    <w:rsid w:val="004F1335"/>
    <w:rsid w:val="004F16E1"/>
    <w:rsid w:val="004F1A05"/>
    <w:rsid w:val="004F1ABA"/>
    <w:rsid w:val="004F1FC9"/>
    <w:rsid w:val="004F2360"/>
    <w:rsid w:val="004F251D"/>
    <w:rsid w:val="004F25D5"/>
    <w:rsid w:val="004F263C"/>
    <w:rsid w:val="004F2782"/>
    <w:rsid w:val="004F288A"/>
    <w:rsid w:val="004F323A"/>
    <w:rsid w:val="004F3475"/>
    <w:rsid w:val="004F39AA"/>
    <w:rsid w:val="004F3B39"/>
    <w:rsid w:val="004F3E91"/>
    <w:rsid w:val="004F408B"/>
    <w:rsid w:val="004F4707"/>
    <w:rsid w:val="004F4916"/>
    <w:rsid w:val="004F4C51"/>
    <w:rsid w:val="004F5933"/>
    <w:rsid w:val="004F5BCD"/>
    <w:rsid w:val="004F5DAB"/>
    <w:rsid w:val="004F60B8"/>
    <w:rsid w:val="004F6425"/>
    <w:rsid w:val="004F66BD"/>
    <w:rsid w:val="004F6982"/>
    <w:rsid w:val="004F6BC4"/>
    <w:rsid w:val="004F6D50"/>
    <w:rsid w:val="004F733E"/>
    <w:rsid w:val="004F751B"/>
    <w:rsid w:val="004F7880"/>
    <w:rsid w:val="004F79E6"/>
    <w:rsid w:val="004F7D7F"/>
    <w:rsid w:val="0050010F"/>
    <w:rsid w:val="00500A95"/>
    <w:rsid w:val="00500F56"/>
    <w:rsid w:val="005013D1"/>
    <w:rsid w:val="00501659"/>
    <w:rsid w:val="0050188E"/>
    <w:rsid w:val="00501927"/>
    <w:rsid w:val="005021A2"/>
    <w:rsid w:val="005022E5"/>
    <w:rsid w:val="00502668"/>
    <w:rsid w:val="00502C69"/>
    <w:rsid w:val="00502FFB"/>
    <w:rsid w:val="005031F6"/>
    <w:rsid w:val="005033A1"/>
    <w:rsid w:val="00503891"/>
    <w:rsid w:val="00503BFE"/>
    <w:rsid w:val="00504616"/>
    <w:rsid w:val="00504895"/>
    <w:rsid w:val="005049BB"/>
    <w:rsid w:val="00504DE6"/>
    <w:rsid w:val="00504EB4"/>
    <w:rsid w:val="00505225"/>
    <w:rsid w:val="00505333"/>
    <w:rsid w:val="00505466"/>
    <w:rsid w:val="00505583"/>
    <w:rsid w:val="0050570D"/>
    <w:rsid w:val="00505963"/>
    <w:rsid w:val="00505B93"/>
    <w:rsid w:val="00506286"/>
    <w:rsid w:val="00506460"/>
    <w:rsid w:val="005064BF"/>
    <w:rsid w:val="00506C23"/>
    <w:rsid w:val="00506DE1"/>
    <w:rsid w:val="00506FE0"/>
    <w:rsid w:val="005073C4"/>
    <w:rsid w:val="00507960"/>
    <w:rsid w:val="00507998"/>
    <w:rsid w:val="00507A48"/>
    <w:rsid w:val="00507ED3"/>
    <w:rsid w:val="00507F76"/>
    <w:rsid w:val="005109B1"/>
    <w:rsid w:val="00510A5B"/>
    <w:rsid w:val="00511495"/>
    <w:rsid w:val="00511C5D"/>
    <w:rsid w:val="00512432"/>
    <w:rsid w:val="00512D5E"/>
    <w:rsid w:val="00512E98"/>
    <w:rsid w:val="00512F4F"/>
    <w:rsid w:val="00513014"/>
    <w:rsid w:val="00513180"/>
    <w:rsid w:val="00513691"/>
    <w:rsid w:val="00513E89"/>
    <w:rsid w:val="00514019"/>
    <w:rsid w:val="005140CD"/>
    <w:rsid w:val="00514185"/>
    <w:rsid w:val="0051438D"/>
    <w:rsid w:val="005148AA"/>
    <w:rsid w:val="00514D17"/>
    <w:rsid w:val="00514DA1"/>
    <w:rsid w:val="00514DD9"/>
    <w:rsid w:val="00514F6B"/>
    <w:rsid w:val="00515502"/>
    <w:rsid w:val="00515510"/>
    <w:rsid w:val="005158B8"/>
    <w:rsid w:val="00515B16"/>
    <w:rsid w:val="00515B61"/>
    <w:rsid w:val="00515C97"/>
    <w:rsid w:val="00515D0C"/>
    <w:rsid w:val="0051666F"/>
    <w:rsid w:val="00516C44"/>
    <w:rsid w:val="00516CB2"/>
    <w:rsid w:val="00517132"/>
    <w:rsid w:val="0051731E"/>
    <w:rsid w:val="005174EF"/>
    <w:rsid w:val="00517DC9"/>
    <w:rsid w:val="00517E10"/>
    <w:rsid w:val="00517F51"/>
    <w:rsid w:val="00520170"/>
    <w:rsid w:val="0052039F"/>
    <w:rsid w:val="00520843"/>
    <w:rsid w:val="00520FC3"/>
    <w:rsid w:val="005210E2"/>
    <w:rsid w:val="005211DB"/>
    <w:rsid w:val="00521393"/>
    <w:rsid w:val="00521608"/>
    <w:rsid w:val="005219C0"/>
    <w:rsid w:val="00521BB4"/>
    <w:rsid w:val="00521F7F"/>
    <w:rsid w:val="005220D5"/>
    <w:rsid w:val="00522875"/>
    <w:rsid w:val="00522BE9"/>
    <w:rsid w:val="00523040"/>
    <w:rsid w:val="00523393"/>
    <w:rsid w:val="00523C08"/>
    <w:rsid w:val="00523EFC"/>
    <w:rsid w:val="00524056"/>
    <w:rsid w:val="0052422F"/>
    <w:rsid w:val="005247DA"/>
    <w:rsid w:val="005248BB"/>
    <w:rsid w:val="00524AC4"/>
    <w:rsid w:val="00524CCB"/>
    <w:rsid w:val="00524DF9"/>
    <w:rsid w:val="00524E8E"/>
    <w:rsid w:val="00525297"/>
    <w:rsid w:val="0052545E"/>
    <w:rsid w:val="0052549C"/>
    <w:rsid w:val="005254A3"/>
    <w:rsid w:val="00525A72"/>
    <w:rsid w:val="00525ADE"/>
    <w:rsid w:val="00525DA5"/>
    <w:rsid w:val="005260D5"/>
    <w:rsid w:val="00526AFA"/>
    <w:rsid w:val="00526C91"/>
    <w:rsid w:val="00526D6A"/>
    <w:rsid w:val="00526F34"/>
    <w:rsid w:val="00526FB1"/>
    <w:rsid w:val="00526FFC"/>
    <w:rsid w:val="005271C4"/>
    <w:rsid w:val="00527265"/>
    <w:rsid w:val="005279E2"/>
    <w:rsid w:val="00527BF3"/>
    <w:rsid w:val="00527D1D"/>
    <w:rsid w:val="00530318"/>
    <w:rsid w:val="005303FC"/>
    <w:rsid w:val="00530573"/>
    <w:rsid w:val="00530590"/>
    <w:rsid w:val="00530748"/>
    <w:rsid w:val="00531495"/>
    <w:rsid w:val="005315B2"/>
    <w:rsid w:val="00531A9D"/>
    <w:rsid w:val="00531D73"/>
    <w:rsid w:val="00532380"/>
    <w:rsid w:val="00532393"/>
    <w:rsid w:val="005323F7"/>
    <w:rsid w:val="0053257E"/>
    <w:rsid w:val="005327A5"/>
    <w:rsid w:val="00532E6B"/>
    <w:rsid w:val="005333D8"/>
    <w:rsid w:val="00533469"/>
    <w:rsid w:val="005334C7"/>
    <w:rsid w:val="005340AA"/>
    <w:rsid w:val="0053410D"/>
    <w:rsid w:val="0053494D"/>
    <w:rsid w:val="00534A01"/>
    <w:rsid w:val="00535202"/>
    <w:rsid w:val="00535377"/>
    <w:rsid w:val="005357E8"/>
    <w:rsid w:val="00535A4B"/>
    <w:rsid w:val="00535D55"/>
    <w:rsid w:val="0053647F"/>
    <w:rsid w:val="005364C2"/>
    <w:rsid w:val="00536508"/>
    <w:rsid w:val="00536559"/>
    <w:rsid w:val="0053717C"/>
    <w:rsid w:val="00537407"/>
    <w:rsid w:val="005379F3"/>
    <w:rsid w:val="00537A64"/>
    <w:rsid w:val="0054014D"/>
    <w:rsid w:val="005409B4"/>
    <w:rsid w:val="00540A32"/>
    <w:rsid w:val="00540ABE"/>
    <w:rsid w:val="00540CF8"/>
    <w:rsid w:val="00541077"/>
    <w:rsid w:val="0054173A"/>
    <w:rsid w:val="00541CC2"/>
    <w:rsid w:val="00541DB8"/>
    <w:rsid w:val="0054213D"/>
    <w:rsid w:val="00542160"/>
    <w:rsid w:val="00542663"/>
    <w:rsid w:val="00542A8E"/>
    <w:rsid w:val="00542D33"/>
    <w:rsid w:val="00542F60"/>
    <w:rsid w:val="00543297"/>
    <w:rsid w:val="0054349D"/>
    <w:rsid w:val="00543C9B"/>
    <w:rsid w:val="00544751"/>
    <w:rsid w:val="00545683"/>
    <w:rsid w:val="00545F4C"/>
    <w:rsid w:val="00546DF3"/>
    <w:rsid w:val="00546EFE"/>
    <w:rsid w:val="00546FB7"/>
    <w:rsid w:val="005471B8"/>
    <w:rsid w:val="0054783D"/>
    <w:rsid w:val="0054796E"/>
    <w:rsid w:val="00547A56"/>
    <w:rsid w:val="00547B78"/>
    <w:rsid w:val="005503AD"/>
    <w:rsid w:val="00550524"/>
    <w:rsid w:val="00550A50"/>
    <w:rsid w:val="00551309"/>
    <w:rsid w:val="00551314"/>
    <w:rsid w:val="00552334"/>
    <w:rsid w:val="005523F2"/>
    <w:rsid w:val="00552680"/>
    <w:rsid w:val="00552700"/>
    <w:rsid w:val="00552FDC"/>
    <w:rsid w:val="005534FE"/>
    <w:rsid w:val="005536BC"/>
    <w:rsid w:val="00553BB3"/>
    <w:rsid w:val="00553EAB"/>
    <w:rsid w:val="005542C9"/>
    <w:rsid w:val="00554683"/>
    <w:rsid w:val="005546A8"/>
    <w:rsid w:val="00554750"/>
    <w:rsid w:val="00554B9E"/>
    <w:rsid w:val="00554BA3"/>
    <w:rsid w:val="00554C24"/>
    <w:rsid w:val="005552C5"/>
    <w:rsid w:val="00555D1A"/>
    <w:rsid w:val="005560F5"/>
    <w:rsid w:val="00556212"/>
    <w:rsid w:val="005563AC"/>
    <w:rsid w:val="00556481"/>
    <w:rsid w:val="005569FA"/>
    <w:rsid w:val="005574C2"/>
    <w:rsid w:val="00557653"/>
    <w:rsid w:val="00557693"/>
    <w:rsid w:val="005576B6"/>
    <w:rsid w:val="00557D2F"/>
    <w:rsid w:val="00557FB9"/>
    <w:rsid w:val="0056027E"/>
    <w:rsid w:val="0056077C"/>
    <w:rsid w:val="00560A7E"/>
    <w:rsid w:val="00560C4D"/>
    <w:rsid w:val="00561A34"/>
    <w:rsid w:val="00562689"/>
    <w:rsid w:val="00562865"/>
    <w:rsid w:val="005633F0"/>
    <w:rsid w:val="00563633"/>
    <w:rsid w:val="005638A0"/>
    <w:rsid w:val="00563D2A"/>
    <w:rsid w:val="00564079"/>
    <w:rsid w:val="005640D4"/>
    <w:rsid w:val="00564131"/>
    <w:rsid w:val="005646EA"/>
    <w:rsid w:val="00564940"/>
    <w:rsid w:val="00564ED8"/>
    <w:rsid w:val="00565874"/>
    <w:rsid w:val="00565AF7"/>
    <w:rsid w:val="00565CE6"/>
    <w:rsid w:val="00565F7C"/>
    <w:rsid w:val="00566305"/>
    <w:rsid w:val="005664FC"/>
    <w:rsid w:val="00566D9C"/>
    <w:rsid w:val="00567153"/>
    <w:rsid w:val="00567196"/>
    <w:rsid w:val="0056751E"/>
    <w:rsid w:val="00567579"/>
    <w:rsid w:val="00567A2C"/>
    <w:rsid w:val="00567C07"/>
    <w:rsid w:val="00567D71"/>
    <w:rsid w:val="005704B3"/>
    <w:rsid w:val="00570A8C"/>
    <w:rsid w:val="00570D3F"/>
    <w:rsid w:val="00570E84"/>
    <w:rsid w:val="00571374"/>
    <w:rsid w:val="005717EA"/>
    <w:rsid w:val="00571850"/>
    <w:rsid w:val="00571887"/>
    <w:rsid w:val="005730EB"/>
    <w:rsid w:val="005732D1"/>
    <w:rsid w:val="005732F3"/>
    <w:rsid w:val="0057374A"/>
    <w:rsid w:val="00573A8D"/>
    <w:rsid w:val="00573B48"/>
    <w:rsid w:val="00573D77"/>
    <w:rsid w:val="00573EA6"/>
    <w:rsid w:val="00574021"/>
    <w:rsid w:val="005742BD"/>
    <w:rsid w:val="005746D3"/>
    <w:rsid w:val="00574A06"/>
    <w:rsid w:val="005752A4"/>
    <w:rsid w:val="00575685"/>
    <w:rsid w:val="0057587F"/>
    <w:rsid w:val="005760AC"/>
    <w:rsid w:val="0057691E"/>
    <w:rsid w:val="00576EBE"/>
    <w:rsid w:val="00577234"/>
    <w:rsid w:val="00577789"/>
    <w:rsid w:val="005778CB"/>
    <w:rsid w:val="00577E5B"/>
    <w:rsid w:val="00577E7F"/>
    <w:rsid w:val="0058068E"/>
    <w:rsid w:val="005806A7"/>
    <w:rsid w:val="00580968"/>
    <w:rsid w:val="00580AAB"/>
    <w:rsid w:val="00581417"/>
    <w:rsid w:val="00581446"/>
    <w:rsid w:val="00581BE2"/>
    <w:rsid w:val="005822AF"/>
    <w:rsid w:val="00582380"/>
    <w:rsid w:val="00582403"/>
    <w:rsid w:val="005824B1"/>
    <w:rsid w:val="00582BED"/>
    <w:rsid w:val="00582DFA"/>
    <w:rsid w:val="00583369"/>
    <w:rsid w:val="0058362D"/>
    <w:rsid w:val="0058387D"/>
    <w:rsid w:val="00583E37"/>
    <w:rsid w:val="00584049"/>
    <w:rsid w:val="0058425C"/>
    <w:rsid w:val="00584C30"/>
    <w:rsid w:val="00584CA8"/>
    <w:rsid w:val="00584E42"/>
    <w:rsid w:val="00585190"/>
    <w:rsid w:val="005852F5"/>
    <w:rsid w:val="005853ED"/>
    <w:rsid w:val="00585832"/>
    <w:rsid w:val="0058596B"/>
    <w:rsid w:val="00585B18"/>
    <w:rsid w:val="00585D68"/>
    <w:rsid w:val="00585DCA"/>
    <w:rsid w:val="00586132"/>
    <w:rsid w:val="005861DC"/>
    <w:rsid w:val="005871F5"/>
    <w:rsid w:val="005876A2"/>
    <w:rsid w:val="00587ADE"/>
    <w:rsid w:val="00590001"/>
    <w:rsid w:val="00590ABC"/>
    <w:rsid w:val="00590BF3"/>
    <w:rsid w:val="00590E20"/>
    <w:rsid w:val="00591379"/>
    <w:rsid w:val="00591675"/>
    <w:rsid w:val="00591A9D"/>
    <w:rsid w:val="00591DE9"/>
    <w:rsid w:val="0059279F"/>
    <w:rsid w:val="00592A12"/>
    <w:rsid w:val="00592CD6"/>
    <w:rsid w:val="00592F49"/>
    <w:rsid w:val="005931A3"/>
    <w:rsid w:val="005940C0"/>
    <w:rsid w:val="00594140"/>
    <w:rsid w:val="005941CF"/>
    <w:rsid w:val="0059451E"/>
    <w:rsid w:val="00594574"/>
    <w:rsid w:val="00594DA0"/>
    <w:rsid w:val="00594FD3"/>
    <w:rsid w:val="00595CA7"/>
    <w:rsid w:val="00596BF8"/>
    <w:rsid w:val="005972FD"/>
    <w:rsid w:val="00597828"/>
    <w:rsid w:val="00597EF9"/>
    <w:rsid w:val="00597FC8"/>
    <w:rsid w:val="005A03A4"/>
    <w:rsid w:val="005A0641"/>
    <w:rsid w:val="005A086F"/>
    <w:rsid w:val="005A08B3"/>
    <w:rsid w:val="005A090C"/>
    <w:rsid w:val="005A0F51"/>
    <w:rsid w:val="005A1008"/>
    <w:rsid w:val="005A11CA"/>
    <w:rsid w:val="005A138F"/>
    <w:rsid w:val="005A190C"/>
    <w:rsid w:val="005A1967"/>
    <w:rsid w:val="005A19E4"/>
    <w:rsid w:val="005A2046"/>
    <w:rsid w:val="005A2A78"/>
    <w:rsid w:val="005A2D3D"/>
    <w:rsid w:val="005A360F"/>
    <w:rsid w:val="005A3A4A"/>
    <w:rsid w:val="005A3C3E"/>
    <w:rsid w:val="005A3CD0"/>
    <w:rsid w:val="005A450B"/>
    <w:rsid w:val="005A4FBC"/>
    <w:rsid w:val="005A5167"/>
    <w:rsid w:val="005A528A"/>
    <w:rsid w:val="005A5BA7"/>
    <w:rsid w:val="005A5DA8"/>
    <w:rsid w:val="005A62D7"/>
    <w:rsid w:val="005A65DA"/>
    <w:rsid w:val="005A6723"/>
    <w:rsid w:val="005A6D7D"/>
    <w:rsid w:val="005A6EA4"/>
    <w:rsid w:val="005A7571"/>
    <w:rsid w:val="005A77CF"/>
    <w:rsid w:val="005A7988"/>
    <w:rsid w:val="005A7DA8"/>
    <w:rsid w:val="005B07C4"/>
    <w:rsid w:val="005B0953"/>
    <w:rsid w:val="005B0C7C"/>
    <w:rsid w:val="005B0E03"/>
    <w:rsid w:val="005B0FCB"/>
    <w:rsid w:val="005B13B0"/>
    <w:rsid w:val="005B13CD"/>
    <w:rsid w:val="005B195F"/>
    <w:rsid w:val="005B1A52"/>
    <w:rsid w:val="005B1AD7"/>
    <w:rsid w:val="005B1DD8"/>
    <w:rsid w:val="005B2415"/>
    <w:rsid w:val="005B2442"/>
    <w:rsid w:val="005B276E"/>
    <w:rsid w:val="005B2788"/>
    <w:rsid w:val="005B2AB4"/>
    <w:rsid w:val="005B2C3F"/>
    <w:rsid w:val="005B2E96"/>
    <w:rsid w:val="005B33AE"/>
    <w:rsid w:val="005B37EE"/>
    <w:rsid w:val="005B3A69"/>
    <w:rsid w:val="005B3C3D"/>
    <w:rsid w:val="005B3D82"/>
    <w:rsid w:val="005B3DD0"/>
    <w:rsid w:val="005B42EB"/>
    <w:rsid w:val="005B47A4"/>
    <w:rsid w:val="005B4E1C"/>
    <w:rsid w:val="005B500B"/>
    <w:rsid w:val="005B5051"/>
    <w:rsid w:val="005B5C60"/>
    <w:rsid w:val="005B5C8A"/>
    <w:rsid w:val="005B6405"/>
    <w:rsid w:val="005B6435"/>
    <w:rsid w:val="005B65DE"/>
    <w:rsid w:val="005B6843"/>
    <w:rsid w:val="005B68C0"/>
    <w:rsid w:val="005B70ED"/>
    <w:rsid w:val="005B7196"/>
    <w:rsid w:val="005B74C6"/>
    <w:rsid w:val="005B7D4A"/>
    <w:rsid w:val="005C008D"/>
    <w:rsid w:val="005C019A"/>
    <w:rsid w:val="005C0278"/>
    <w:rsid w:val="005C0480"/>
    <w:rsid w:val="005C0A62"/>
    <w:rsid w:val="005C0B9D"/>
    <w:rsid w:val="005C0BF6"/>
    <w:rsid w:val="005C0CBC"/>
    <w:rsid w:val="005C12D2"/>
    <w:rsid w:val="005C144F"/>
    <w:rsid w:val="005C20A7"/>
    <w:rsid w:val="005C210D"/>
    <w:rsid w:val="005C2114"/>
    <w:rsid w:val="005C2575"/>
    <w:rsid w:val="005C27AF"/>
    <w:rsid w:val="005C282C"/>
    <w:rsid w:val="005C2C2F"/>
    <w:rsid w:val="005C308A"/>
    <w:rsid w:val="005C32B1"/>
    <w:rsid w:val="005C32DE"/>
    <w:rsid w:val="005C37FC"/>
    <w:rsid w:val="005C383C"/>
    <w:rsid w:val="005C38EA"/>
    <w:rsid w:val="005C3A0C"/>
    <w:rsid w:val="005C40CA"/>
    <w:rsid w:val="005C413D"/>
    <w:rsid w:val="005C4395"/>
    <w:rsid w:val="005C46D9"/>
    <w:rsid w:val="005C47A5"/>
    <w:rsid w:val="005C47B6"/>
    <w:rsid w:val="005C4BBB"/>
    <w:rsid w:val="005C4BF2"/>
    <w:rsid w:val="005C4D13"/>
    <w:rsid w:val="005C51BB"/>
    <w:rsid w:val="005C5EDA"/>
    <w:rsid w:val="005C65E0"/>
    <w:rsid w:val="005C7C8A"/>
    <w:rsid w:val="005C7E9A"/>
    <w:rsid w:val="005C7EF0"/>
    <w:rsid w:val="005D01FD"/>
    <w:rsid w:val="005D05B8"/>
    <w:rsid w:val="005D0617"/>
    <w:rsid w:val="005D097C"/>
    <w:rsid w:val="005D10FA"/>
    <w:rsid w:val="005D11BE"/>
    <w:rsid w:val="005D19E0"/>
    <w:rsid w:val="005D1C7F"/>
    <w:rsid w:val="005D2011"/>
    <w:rsid w:val="005D20A7"/>
    <w:rsid w:val="005D2DC9"/>
    <w:rsid w:val="005D2E3B"/>
    <w:rsid w:val="005D2E90"/>
    <w:rsid w:val="005D37AA"/>
    <w:rsid w:val="005D3AFE"/>
    <w:rsid w:val="005D3BFD"/>
    <w:rsid w:val="005D42A5"/>
    <w:rsid w:val="005D4B3D"/>
    <w:rsid w:val="005D4B4D"/>
    <w:rsid w:val="005D4DFD"/>
    <w:rsid w:val="005D57DB"/>
    <w:rsid w:val="005D5A53"/>
    <w:rsid w:val="005D5A60"/>
    <w:rsid w:val="005D5B4C"/>
    <w:rsid w:val="005D5CAC"/>
    <w:rsid w:val="005D6052"/>
    <w:rsid w:val="005D62E3"/>
    <w:rsid w:val="005D679D"/>
    <w:rsid w:val="005D6AC4"/>
    <w:rsid w:val="005D7249"/>
    <w:rsid w:val="005D7EE4"/>
    <w:rsid w:val="005E0A23"/>
    <w:rsid w:val="005E0F4D"/>
    <w:rsid w:val="005E1309"/>
    <w:rsid w:val="005E14A1"/>
    <w:rsid w:val="005E1519"/>
    <w:rsid w:val="005E17F8"/>
    <w:rsid w:val="005E1B0F"/>
    <w:rsid w:val="005E1E35"/>
    <w:rsid w:val="005E2244"/>
    <w:rsid w:val="005E271A"/>
    <w:rsid w:val="005E2B61"/>
    <w:rsid w:val="005E2F61"/>
    <w:rsid w:val="005E377B"/>
    <w:rsid w:val="005E3D05"/>
    <w:rsid w:val="005E3F3C"/>
    <w:rsid w:val="005E3F85"/>
    <w:rsid w:val="005E409B"/>
    <w:rsid w:val="005E479A"/>
    <w:rsid w:val="005E47BA"/>
    <w:rsid w:val="005E49F9"/>
    <w:rsid w:val="005E4B4C"/>
    <w:rsid w:val="005E4DFC"/>
    <w:rsid w:val="005E4ECE"/>
    <w:rsid w:val="005E4F0B"/>
    <w:rsid w:val="005E560B"/>
    <w:rsid w:val="005E59B3"/>
    <w:rsid w:val="005E6373"/>
    <w:rsid w:val="005E6734"/>
    <w:rsid w:val="005E7374"/>
    <w:rsid w:val="005E76AF"/>
    <w:rsid w:val="005E78D0"/>
    <w:rsid w:val="005F045B"/>
    <w:rsid w:val="005F04CC"/>
    <w:rsid w:val="005F087F"/>
    <w:rsid w:val="005F08D9"/>
    <w:rsid w:val="005F0FF8"/>
    <w:rsid w:val="005F1184"/>
    <w:rsid w:val="005F1728"/>
    <w:rsid w:val="005F17BD"/>
    <w:rsid w:val="005F1921"/>
    <w:rsid w:val="005F21A4"/>
    <w:rsid w:val="005F24D0"/>
    <w:rsid w:val="005F2968"/>
    <w:rsid w:val="005F29B1"/>
    <w:rsid w:val="005F3005"/>
    <w:rsid w:val="005F319E"/>
    <w:rsid w:val="005F3830"/>
    <w:rsid w:val="005F395C"/>
    <w:rsid w:val="005F3AA2"/>
    <w:rsid w:val="005F3BE7"/>
    <w:rsid w:val="005F417B"/>
    <w:rsid w:val="005F4362"/>
    <w:rsid w:val="005F492B"/>
    <w:rsid w:val="005F4D1E"/>
    <w:rsid w:val="005F4EC8"/>
    <w:rsid w:val="005F51D5"/>
    <w:rsid w:val="005F5EC4"/>
    <w:rsid w:val="005F6039"/>
    <w:rsid w:val="005F63E2"/>
    <w:rsid w:val="005F65B1"/>
    <w:rsid w:val="005F69EA"/>
    <w:rsid w:val="005F6B40"/>
    <w:rsid w:val="005F6C50"/>
    <w:rsid w:val="005F7916"/>
    <w:rsid w:val="006000DE"/>
    <w:rsid w:val="0060074C"/>
    <w:rsid w:val="00600840"/>
    <w:rsid w:val="0060093C"/>
    <w:rsid w:val="0060103C"/>
    <w:rsid w:val="00601271"/>
    <w:rsid w:val="00601277"/>
    <w:rsid w:val="00601FD9"/>
    <w:rsid w:val="00602692"/>
    <w:rsid w:val="006027FF"/>
    <w:rsid w:val="006028AE"/>
    <w:rsid w:val="006028F5"/>
    <w:rsid w:val="00602A08"/>
    <w:rsid w:val="00602B7E"/>
    <w:rsid w:val="00602DC2"/>
    <w:rsid w:val="00603184"/>
    <w:rsid w:val="0060358B"/>
    <w:rsid w:val="00603624"/>
    <w:rsid w:val="006037FD"/>
    <w:rsid w:val="00603973"/>
    <w:rsid w:val="00603AAB"/>
    <w:rsid w:val="00603B05"/>
    <w:rsid w:val="006040F8"/>
    <w:rsid w:val="006045DB"/>
    <w:rsid w:val="006046F2"/>
    <w:rsid w:val="006047F2"/>
    <w:rsid w:val="00604A51"/>
    <w:rsid w:val="006050A6"/>
    <w:rsid w:val="0060561C"/>
    <w:rsid w:val="00605858"/>
    <w:rsid w:val="00605FB3"/>
    <w:rsid w:val="006060A9"/>
    <w:rsid w:val="006066F3"/>
    <w:rsid w:val="00606881"/>
    <w:rsid w:val="00606CDD"/>
    <w:rsid w:val="00606E8D"/>
    <w:rsid w:val="0060751D"/>
    <w:rsid w:val="00607658"/>
    <w:rsid w:val="00607771"/>
    <w:rsid w:val="00607A12"/>
    <w:rsid w:val="00607B81"/>
    <w:rsid w:val="00610498"/>
    <w:rsid w:val="006106A6"/>
    <w:rsid w:val="0061118E"/>
    <w:rsid w:val="006115C2"/>
    <w:rsid w:val="00611C09"/>
    <w:rsid w:val="006124A3"/>
    <w:rsid w:val="0061275E"/>
    <w:rsid w:val="00612AC2"/>
    <w:rsid w:val="006135A9"/>
    <w:rsid w:val="00613AD3"/>
    <w:rsid w:val="00613DA1"/>
    <w:rsid w:val="00614312"/>
    <w:rsid w:val="0061440F"/>
    <w:rsid w:val="006148CA"/>
    <w:rsid w:val="006148E4"/>
    <w:rsid w:val="00614F4B"/>
    <w:rsid w:val="006155E3"/>
    <w:rsid w:val="006157B1"/>
    <w:rsid w:val="00615E39"/>
    <w:rsid w:val="00616A82"/>
    <w:rsid w:val="00616C7F"/>
    <w:rsid w:val="006175D9"/>
    <w:rsid w:val="006176C5"/>
    <w:rsid w:val="006176D7"/>
    <w:rsid w:val="0061793E"/>
    <w:rsid w:val="00617966"/>
    <w:rsid w:val="00620217"/>
    <w:rsid w:val="0062022B"/>
    <w:rsid w:val="006203CE"/>
    <w:rsid w:val="00620462"/>
    <w:rsid w:val="00620543"/>
    <w:rsid w:val="006206BE"/>
    <w:rsid w:val="0062083C"/>
    <w:rsid w:val="00620D71"/>
    <w:rsid w:val="00620DFC"/>
    <w:rsid w:val="006210E0"/>
    <w:rsid w:val="00621119"/>
    <w:rsid w:val="00621574"/>
    <w:rsid w:val="00621706"/>
    <w:rsid w:val="006217B0"/>
    <w:rsid w:val="00621868"/>
    <w:rsid w:val="00621DB2"/>
    <w:rsid w:val="00621E78"/>
    <w:rsid w:val="0062233E"/>
    <w:rsid w:val="00622558"/>
    <w:rsid w:val="0062264F"/>
    <w:rsid w:val="00622DE0"/>
    <w:rsid w:val="0062348B"/>
    <w:rsid w:val="00623657"/>
    <w:rsid w:val="00623BB1"/>
    <w:rsid w:val="00623E1C"/>
    <w:rsid w:val="00623FF0"/>
    <w:rsid w:val="00624702"/>
    <w:rsid w:val="006248F3"/>
    <w:rsid w:val="0062495D"/>
    <w:rsid w:val="00624F2B"/>
    <w:rsid w:val="006255B1"/>
    <w:rsid w:val="0062568D"/>
    <w:rsid w:val="0062653F"/>
    <w:rsid w:val="006275D5"/>
    <w:rsid w:val="00627834"/>
    <w:rsid w:val="00627DFE"/>
    <w:rsid w:val="00630127"/>
    <w:rsid w:val="006302B3"/>
    <w:rsid w:val="00630996"/>
    <w:rsid w:val="00630CD3"/>
    <w:rsid w:val="0063134E"/>
    <w:rsid w:val="00631726"/>
    <w:rsid w:val="00631881"/>
    <w:rsid w:val="00631FD5"/>
    <w:rsid w:val="00632388"/>
    <w:rsid w:val="00632515"/>
    <w:rsid w:val="00632861"/>
    <w:rsid w:val="00632869"/>
    <w:rsid w:val="00633139"/>
    <w:rsid w:val="0063317C"/>
    <w:rsid w:val="0063348E"/>
    <w:rsid w:val="006338D1"/>
    <w:rsid w:val="00633A93"/>
    <w:rsid w:val="00633BDD"/>
    <w:rsid w:val="0063414E"/>
    <w:rsid w:val="00634758"/>
    <w:rsid w:val="00634993"/>
    <w:rsid w:val="006349A8"/>
    <w:rsid w:val="0063505A"/>
    <w:rsid w:val="00635C9F"/>
    <w:rsid w:val="00635FD1"/>
    <w:rsid w:val="0063617A"/>
    <w:rsid w:val="00636216"/>
    <w:rsid w:val="006366F3"/>
    <w:rsid w:val="00636B32"/>
    <w:rsid w:val="00636B96"/>
    <w:rsid w:val="00636F32"/>
    <w:rsid w:val="00637109"/>
    <w:rsid w:val="006378A5"/>
    <w:rsid w:val="00637B2C"/>
    <w:rsid w:val="00640088"/>
    <w:rsid w:val="006402EE"/>
    <w:rsid w:val="00640384"/>
    <w:rsid w:val="0064065F"/>
    <w:rsid w:val="00640899"/>
    <w:rsid w:val="006408E2"/>
    <w:rsid w:val="006409D2"/>
    <w:rsid w:val="00640D2F"/>
    <w:rsid w:val="0064166B"/>
    <w:rsid w:val="00641A5C"/>
    <w:rsid w:val="00641BD9"/>
    <w:rsid w:val="006428EC"/>
    <w:rsid w:val="00642DDD"/>
    <w:rsid w:val="00642FE5"/>
    <w:rsid w:val="00643296"/>
    <w:rsid w:val="006435A0"/>
    <w:rsid w:val="006439D6"/>
    <w:rsid w:val="00644659"/>
    <w:rsid w:val="00644B9F"/>
    <w:rsid w:val="00644D5A"/>
    <w:rsid w:val="00644E71"/>
    <w:rsid w:val="006453C2"/>
    <w:rsid w:val="0064562C"/>
    <w:rsid w:val="006456B2"/>
    <w:rsid w:val="00645976"/>
    <w:rsid w:val="00646460"/>
    <w:rsid w:val="00646795"/>
    <w:rsid w:val="006467B4"/>
    <w:rsid w:val="006467DF"/>
    <w:rsid w:val="00646A6D"/>
    <w:rsid w:val="00646B23"/>
    <w:rsid w:val="00646EFB"/>
    <w:rsid w:val="00647213"/>
    <w:rsid w:val="00647469"/>
    <w:rsid w:val="00647839"/>
    <w:rsid w:val="00647F42"/>
    <w:rsid w:val="00647F66"/>
    <w:rsid w:val="00650A81"/>
    <w:rsid w:val="00651857"/>
    <w:rsid w:val="00651933"/>
    <w:rsid w:val="00651AE7"/>
    <w:rsid w:val="00651BC6"/>
    <w:rsid w:val="00651CCE"/>
    <w:rsid w:val="00651F5F"/>
    <w:rsid w:val="00651FFF"/>
    <w:rsid w:val="006521E3"/>
    <w:rsid w:val="00652898"/>
    <w:rsid w:val="00652A0E"/>
    <w:rsid w:val="00652E61"/>
    <w:rsid w:val="006531D7"/>
    <w:rsid w:val="006539A4"/>
    <w:rsid w:val="006539B9"/>
    <w:rsid w:val="00653AB1"/>
    <w:rsid w:val="00653E0A"/>
    <w:rsid w:val="0065411A"/>
    <w:rsid w:val="006542D6"/>
    <w:rsid w:val="00654523"/>
    <w:rsid w:val="00654595"/>
    <w:rsid w:val="00654A30"/>
    <w:rsid w:val="00655601"/>
    <w:rsid w:val="00655C6A"/>
    <w:rsid w:val="00655CE1"/>
    <w:rsid w:val="00656E2A"/>
    <w:rsid w:val="00656F94"/>
    <w:rsid w:val="006570B2"/>
    <w:rsid w:val="00657307"/>
    <w:rsid w:val="00657736"/>
    <w:rsid w:val="00657737"/>
    <w:rsid w:val="00657C87"/>
    <w:rsid w:val="00660079"/>
    <w:rsid w:val="006601FC"/>
    <w:rsid w:val="0066021E"/>
    <w:rsid w:val="0066050B"/>
    <w:rsid w:val="00660813"/>
    <w:rsid w:val="0066120B"/>
    <w:rsid w:val="0066144B"/>
    <w:rsid w:val="00661664"/>
    <w:rsid w:val="006621DE"/>
    <w:rsid w:val="00662541"/>
    <w:rsid w:val="00662D42"/>
    <w:rsid w:val="00662D65"/>
    <w:rsid w:val="00662EFC"/>
    <w:rsid w:val="00662F34"/>
    <w:rsid w:val="006632C9"/>
    <w:rsid w:val="0066343B"/>
    <w:rsid w:val="006634D8"/>
    <w:rsid w:val="00663563"/>
    <w:rsid w:val="00663B8D"/>
    <w:rsid w:val="00664546"/>
    <w:rsid w:val="00664FCB"/>
    <w:rsid w:val="0066501F"/>
    <w:rsid w:val="00665075"/>
    <w:rsid w:val="006651CE"/>
    <w:rsid w:val="0066520D"/>
    <w:rsid w:val="00665510"/>
    <w:rsid w:val="006657EA"/>
    <w:rsid w:val="00665A77"/>
    <w:rsid w:val="00666028"/>
    <w:rsid w:val="00666042"/>
    <w:rsid w:val="00666225"/>
    <w:rsid w:val="0066639B"/>
    <w:rsid w:val="006666CA"/>
    <w:rsid w:val="006667D3"/>
    <w:rsid w:val="006668AB"/>
    <w:rsid w:val="0066698D"/>
    <w:rsid w:val="00666A0F"/>
    <w:rsid w:val="00666E12"/>
    <w:rsid w:val="00666F14"/>
    <w:rsid w:val="00666FC5"/>
    <w:rsid w:val="006673DE"/>
    <w:rsid w:val="00667A10"/>
    <w:rsid w:val="00667B20"/>
    <w:rsid w:val="0067031F"/>
    <w:rsid w:val="00670774"/>
    <w:rsid w:val="006707F5"/>
    <w:rsid w:val="006709DE"/>
    <w:rsid w:val="00670AE6"/>
    <w:rsid w:val="00670C8A"/>
    <w:rsid w:val="00671054"/>
    <w:rsid w:val="006713DC"/>
    <w:rsid w:val="00671941"/>
    <w:rsid w:val="00671A45"/>
    <w:rsid w:val="00671E75"/>
    <w:rsid w:val="0067205F"/>
    <w:rsid w:val="0067242C"/>
    <w:rsid w:val="006724AE"/>
    <w:rsid w:val="0067257F"/>
    <w:rsid w:val="00672CA7"/>
    <w:rsid w:val="00673D2D"/>
    <w:rsid w:val="00674A55"/>
    <w:rsid w:val="00674DE7"/>
    <w:rsid w:val="00675110"/>
    <w:rsid w:val="006751E1"/>
    <w:rsid w:val="0067547B"/>
    <w:rsid w:val="00675AB6"/>
    <w:rsid w:val="00676350"/>
    <w:rsid w:val="00676455"/>
    <w:rsid w:val="0067770F"/>
    <w:rsid w:val="0067781E"/>
    <w:rsid w:val="006779FA"/>
    <w:rsid w:val="0068048E"/>
    <w:rsid w:val="006809E7"/>
    <w:rsid w:val="00681C16"/>
    <w:rsid w:val="00681C4E"/>
    <w:rsid w:val="00681D8A"/>
    <w:rsid w:val="00681FCF"/>
    <w:rsid w:val="0068244E"/>
    <w:rsid w:val="00682A07"/>
    <w:rsid w:val="0068355A"/>
    <w:rsid w:val="00683877"/>
    <w:rsid w:val="006838B4"/>
    <w:rsid w:val="00683D7D"/>
    <w:rsid w:val="00683D97"/>
    <w:rsid w:val="0068455D"/>
    <w:rsid w:val="00684A1D"/>
    <w:rsid w:val="00684EA9"/>
    <w:rsid w:val="00684F40"/>
    <w:rsid w:val="0068512E"/>
    <w:rsid w:val="0068526E"/>
    <w:rsid w:val="00685549"/>
    <w:rsid w:val="00685767"/>
    <w:rsid w:val="00685F10"/>
    <w:rsid w:val="006861CD"/>
    <w:rsid w:val="00686686"/>
    <w:rsid w:val="00686AAA"/>
    <w:rsid w:val="006873FD"/>
    <w:rsid w:val="00687AAA"/>
    <w:rsid w:val="00687BAE"/>
    <w:rsid w:val="00687CCE"/>
    <w:rsid w:val="00687E52"/>
    <w:rsid w:val="006902D5"/>
    <w:rsid w:val="00690451"/>
    <w:rsid w:val="00690776"/>
    <w:rsid w:val="00690AB8"/>
    <w:rsid w:val="00690BAB"/>
    <w:rsid w:val="00690C8A"/>
    <w:rsid w:val="00690CD1"/>
    <w:rsid w:val="00690FC4"/>
    <w:rsid w:val="006913BE"/>
    <w:rsid w:val="00691CB1"/>
    <w:rsid w:val="00692489"/>
    <w:rsid w:val="00692596"/>
    <w:rsid w:val="006935FF"/>
    <w:rsid w:val="00693664"/>
    <w:rsid w:val="006938AD"/>
    <w:rsid w:val="00693A4F"/>
    <w:rsid w:val="00693BA1"/>
    <w:rsid w:val="006942EA"/>
    <w:rsid w:val="006944B0"/>
    <w:rsid w:val="00694686"/>
    <w:rsid w:val="00694961"/>
    <w:rsid w:val="006951C4"/>
    <w:rsid w:val="006957BF"/>
    <w:rsid w:val="00695834"/>
    <w:rsid w:val="00695CD7"/>
    <w:rsid w:val="006968F2"/>
    <w:rsid w:val="00696D3A"/>
    <w:rsid w:val="00696E6D"/>
    <w:rsid w:val="006972D4"/>
    <w:rsid w:val="006974A6"/>
    <w:rsid w:val="006A00CF"/>
    <w:rsid w:val="006A0835"/>
    <w:rsid w:val="006A0D68"/>
    <w:rsid w:val="006A129B"/>
    <w:rsid w:val="006A17DB"/>
    <w:rsid w:val="006A2BA1"/>
    <w:rsid w:val="006A2C46"/>
    <w:rsid w:val="006A4343"/>
    <w:rsid w:val="006A498A"/>
    <w:rsid w:val="006A5A79"/>
    <w:rsid w:val="006A668F"/>
    <w:rsid w:val="006A696D"/>
    <w:rsid w:val="006A6971"/>
    <w:rsid w:val="006A6BB1"/>
    <w:rsid w:val="006A6DE4"/>
    <w:rsid w:val="006A6EAB"/>
    <w:rsid w:val="006A73B0"/>
    <w:rsid w:val="006A74E9"/>
    <w:rsid w:val="006A76C2"/>
    <w:rsid w:val="006A789D"/>
    <w:rsid w:val="006A7C31"/>
    <w:rsid w:val="006B004D"/>
    <w:rsid w:val="006B0490"/>
    <w:rsid w:val="006B079B"/>
    <w:rsid w:val="006B07E8"/>
    <w:rsid w:val="006B083F"/>
    <w:rsid w:val="006B09C8"/>
    <w:rsid w:val="006B0C9A"/>
    <w:rsid w:val="006B0DEF"/>
    <w:rsid w:val="006B11BE"/>
    <w:rsid w:val="006B174A"/>
    <w:rsid w:val="006B1E0F"/>
    <w:rsid w:val="006B1F6A"/>
    <w:rsid w:val="006B26ED"/>
    <w:rsid w:val="006B2920"/>
    <w:rsid w:val="006B2C67"/>
    <w:rsid w:val="006B3551"/>
    <w:rsid w:val="006B3AE4"/>
    <w:rsid w:val="006B3BED"/>
    <w:rsid w:val="006B41B8"/>
    <w:rsid w:val="006B4544"/>
    <w:rsid w:val="006B4F40"/>
    <w:rsid w:val="006B52F3"/>
    <w:rsid w:val="006B55B8"/>
    <w:rsid w:val="006B561D"/>
    <w:rsid w:val="006B5EC1"/>
    <w:rsid w:val="006B6145"/>
    <w:rsid w:val="006B6295"/>
    <w:rsid w:val="006B6468"/>
    <w:rsid w:val="006B65C7"/>
    <w:rsid w:val="006B68D6"/>
    <w:rsid w:val="006B6C5E"/>
    <w:rsid w:val="006B6C9D"/>
    <w:rsid w:val="006B7A42"/>
    <w:rsid w:val="006C0441"/>
    <w:rsid w:val="006C070C"/>
    <w:rsid w:val="006C072A"/>
    <w:rsid w:val="006C0B1B"/>
    <w:rsid w:val="006C0B58"/>
    <w:rsid w:val="006C0E2A"/>
    <w:rsid w:val="006C14E1"/>
    <w:rsid w:val="006C1535"/>
    <w:rsid w:val="006C1C96"/>
    <w:rsid w:val="006C1ED5"/>
    <w:rsid w:val="006C22C8"/>
    <w:rsid w:val="006C2330"/>
    <w:rsid w:val="006C2697"/>
    <w:rsid w:val="006C28BE"/>
    <w:rsid w:val="006C2BC5"/>
    <w:rsid w:val="006C31D5"/>
    <w:rsid w:val="006C3654"/>
    <w:rsid w:val="006C3F66"/>
    <w:rsid w:val="006C3F85"/>
    <w:rsid w:val="006C40BC"/>
    <w:rsid w:val="006C41DD"/>
    <w:rsid w:val="006C471E"/>
    <w:rsid w:val="006C50F9"/>
    <w:rsid w:val="006C55F3"/>
    <w:rsid w:val="006C560F"/>
    <w:rsid w:val="006C5C01"/>
    <w:rsid w:val="006C6329"/>
    <w:rsid w:val="006C64FC"/>
    <w:rsid w:val="006C68BD"/>
    <w:rsid w:val="006C6BCF"/>
    <w:rsid w:val="006C7BA2"/>
    <w:rsid w:val="006D01F6"/>
    <w:rsid w:val="006D07DD"/>
    <w:rsid w:val="006D07FC"/>
    <w:rsid w:val="006D0839"/>
    <w:rsid w:val="006D099F"/>
    <w:rsid w:val="006D106C"/>
    <w:rsid w:val="006D124D"/>
    <w:rsid w:val="006D16A3"/>
    <w:rsid w:val="006D175A"/>
    <w:rsid w:val="006D1C74"/>
    <w:rsid w:val="006D1F1D"/>
    <w:rsid w:val="006D215B"/>
    <w:rsid w:val="006D2AE0"/>
    <w:rsid w:val="006D2F7E"/>
    <w:rsid w:val="006D38FC"/>
    <w:rsid w:val="006D393C"/>
    <w:rsid w:val="006D4157"/>
    <w:rsid w:val="006D4167"/>
    <w:rsid w:val="006D42CC"/>
    <w:rsid w:val="006D4444"/>
    <w:rsid w:val="006D48A6"/>
    <w:rsid w:val="006D5296"/>
    <w:rsid w:val="006D53ED"/>
    <w:rsid w:val="006D55D4"/>
    <w:rsid w:val="006D5733"/>
    <w:rsid w:val="006D5747"/>
    <w:rsid w:val="006D58EB"/>
    <w:rsid w:val="006D5959"/>
    <w:rsid w:val="006D5A8A"/>
    <w:rsid w:val="006D627E"/>
    <w:rsid w:val="006D6413"/>
    <w:rsid w:val="006D66F8"/>
    <w:rsid w:val="006D7075"/>
    <w:rsid w:val="006D78C5"/>
    <w:rsid w:val="006D7A4C"/>
    <w:rsid w:val="006E04B6"/>
    <w:rsid w:val="006E04DB"/>
    <w:rsid w:val="006E091D"/>
    <w:rsid w:val="006E0FC3"/>
    <w:rsid w:val="006E104F"/>
    <w:rsid w:val="006E15EB"/>
    <w:rsid w:val="006E1AC6"/>
    <w:rsid w:val="006E1B68"/>
    <w:rsid w:val="006E20D9"/>
    <w:rsid w:val="006E27EB"/>
    <w:rsid w:val="006E3076"/>
    <w:rsid w:val="006E32F7"/>
    <w:rsid w:val="006E3545"/>
    <w:rsid w:val="006E458C"/>
    <w:rsid w:val="006E496B"/>
    <w:rsid w:val="006E4BE4"/>
    <w:rsid w:val="006E4BFD"/>
    <w:rsid w:val="006E51D5"/>
    <w:rsid w:val="006E5C87"/>
    <w:rsid w:val="006E7BAF"/>
    <w:rsid w:val="006E7BC8"/>
    <w:rsid w:val="006F0200"/>
    <w:rsid w:val="006F0440"/>
    <w:rsid w:val="006F0473"/>
    <w:rsid w:val="006F06DE"/>
    <w:rsid w:val="006F09D3"/>
    <w:rsid w:val="006F0DCC"/>
    <w:rsid w:val="006F0ED0"/>
    <w:rsid w:val="006F15C3"/>
    <w:rsid w:val="006F1611"/>
    <w:rsid w:val="006F16B5"/>
    <w:rsid w:val="006F1812"/>
    <w:rsid w:val="006F1AE4"/>
    <w:rsid w:val="006F22B6"/>
    <w:rsid w:val="006F22CA"/>
    <w:rsid w:val="006F230A"/>
    <w:rsid w:val="006F2861"/>
    <w:rsid w:val="006F3820"/>
    <w:rsid w:val="006F387B"/>
    <w:rsid w:val="006F38C2"/>
    <w:rsid w:val="006F3A0C"/>
    <w:rsid w:val="006F414D"/>
    <w:rsid w:val="006F41DC"/>
    <w:rsid w:val="006F41E7"/>
    <w:rsid w:val="006F496C"/>
    <w:rsid w:val="006F4985"/>
    <w:rsid w:val="006F4D17"/>
    <w:rsid w:val="006F4E1B"/>
    <w:rsid w:val="006F4EFB"/>
    <w:rsid w:val="006F55FE"/>
    <w:rsid w:val="006F5653"/>
    <w:rsid w:val="006F58E0"/>
    <w:rsid w:val="006F5D24"/>
    <w:rsid w:val="006F5F52"/>
    <w:rsid w:val="006F669F"/>
    <w:rsid w:val="006F6D9C"/>
    <w:rsid w:val="006F6DCE"/>
    <w:rsid w:val="006F6F9D"/>
    <w:rsid w:val="006F7880"/>
    <w:rsid w:val="006F7931"/>
    <w:rsid w:val="006F7DCE"/>
    <w:rsid w:val="00700155"/>
    <w:rsid w:val="007001F0"/>
    <w:rsid w:val="0070046E"/>
    <w:rsid w:val="00700F67"/>
    <w:rsid w:val="00701054"/>
    <w:rsid w:val="007017F3"/>
    <w:rsid w:val="00701A4C"/>
    <w:rsid w:val="00701C28"/>
    <w:rsid w:val="00701E61"/>
    <w:rsid w:val="007021B9"/>
    <w:rsid w:val="007021FD"/>
    <w:rsid w:val="007024D5"/>
    <w:rsid w:val="00702A28"/>
    <w:rsid w:val="00702A46"/>
    <w:rsid w:val="00702BA1"/>
    <w:rsid w:val="00702BE3"/>
    <w:rsid w:val="00702D30"/>
    <w:rsid w:val="00702D6F"/>
    <w:rsid w:val="00702EF6"/>
    <w:rsid w:val="00702F9D"/>
    <w:rsid w:val="007035C3"/>
    <w:rsid w:val="00703A08"/>
    <w:rsid w:val="00703BB4"/>
    <w:rsid w:val="00703D77"/>
    <w:rsid w:val="007041DA"/>
    <w:rsid w:val="0070438C"/>
    <w:rsid w:val="007043A3"/>
    <w:rsid w:val="007044A3"/>
    <w:rsid w:val="00704693"/>
    <w:rsid w:val="00705122"/>
    <w:rsid w:val="00705861"/>
    <w:rsid w:val="00705A78"/>
    <w:rsid w:val="00705B0F"/>
    <w:rsid w:val="00705D05"/>
    <w:rsid w:val="00705D60"/>
    <w:rsid w:val="0070614F"/>
    <w:rsid w:val="007061CF"/>
    <w:rsid w:val="007064AA"/>
    <w:rsid w:val="00706F80"/>
    <w:rsid w:val="00707582"/>
    <w:rsid w:val="00707F3D"/>
    <w:rsid w:val="007101C0"/>
    <w:rsid w:val="007102C9"/>
    <w:rsid w:val="00710937"/>
    <w:rsid w:val="00710D0A"/>
    <w:rsid w:val="00710ED9"/>
    <w:rsid w:val="007110F6"/>
    <w:rsid w:val="007113B5"/>
    <w:rsid w:val="0071176E"/>
    <w:rsid w:val="00711ADB"/>
    <w:rsid w:val="007120B5"/>
    <w:rsid w:val="0071213C"/>
    <w:rsid w:val="0071237C"/>
    <w:rsid w:val="00712419"/>
    <w:rsid w:val="007125DD"/>
    <w:rsid w:val="00712D88"/>
    <w:rsid w:val="0071324E"/>
    <w:rsid w:val="00713329"/>
    <w:rsid w:val="00713E03"/>
    <w:rsid w:val="00714092"/>
    <w:rsid w:val="007142C8"/>
    <w:rsid w:val="00714FF3"/>
    <w:rsid w:val="0071528B"/>
    <w:rsid w:val="00715570"/>
    <w:rsid w:val="00715765"/>
    <w:rsid w:val="00715CF7"/>
    <w:rsid w:val="00715EC6"/>
    <w:rsid w:val="00715FE5"/>
    <w:rsid w:val="00716203"/>
    <w:rsid w:val="00716434"/>
    <w:rsid w:val="007166CA"/>
    <w:rsid w:val="00716AAC"/>
    <w:rsid w:val="00716D5C"/>
    <w:rsid w:val="00717F9B"/>
    <w:rsid w:val="00720844"/>
    <w:rsid w:val="00720D50"/>
    <w:rsid w:val="00721154"/>
    <w:rsid w:val="0072174A"/>
    <w:rsid w:val="00722034"/>
    <w:rsid w:val="0072231E"/>
    <w:rsid w:val="00722826"/>
    <w:rsid w:val="00722B6A"/>
    <w:rsid w:val="00722E0A"/>
    <w:rsid w:val="00722E90"/>
    <w:rsid w:val="00722ED1"/>
    <w:rsid w:val="00723207"/>
    <w:rsid w:val="00723438"/>
    <w:rsid w:val="0072355C"/>
    <w:rsid w:val="00723756"/>
    <w:rsid w:val="0072388F"/>
    <w:rsid w:val="00723F15"/>
    <w:rsid w:val="007248A0"/>
    <w:rsid w:val="00724E68"/>
    <w:rsid w:val="007250FE"/>
    <w:rsid w:val="0072521E"/>
    <w:rsid w:val="00725417"/>
    <w:rsid w:val="00725D42"/>
    <w:rsid w:val="00725E7F"/>
    <w:rsid w:val="007262FF"/>
    <w:rsid w:val="007264A1"/>
    <w:rsid w:val="007265E5"/>
    <w:rsid w:val="007269B6"/>
    <w:rsid w:val="007269FB"/>
    <w:rsid w:val="00726B29"/>
    <w:rsid w:val="00726FD0"/>
    <w:rsid w:val="007272C4"/>
    <w:rsid w:val="007277D1"/>
    <w:rsid w:val="007278B2"/>
    <w:rsid w:val="007278EA"/>
    <w:rsid w:val="00727DBB"/>
    <w:rsid w:val="00727F80"/>
    <w:rsid w:val="007303EE"/>
    <w:rsid w:val="007305AB"/>
    <w:rsid w:val="007306AD"/>
    <w:rsid w:val="0073081C"/>
    <w:rsid w:val="00730A01"/>
    <w:rsid w:val="00730ECD"/>
    <w:rsid w:val="00731702"/>
    <w:rsid w:val="007318D7"/>
    <w:rsid w:val="00731A9C"/>
    <w:rsid w:val="00731D3F"/>
    <w:rsid w:val="00732945"/>
    <w:rsid w:val="00732E56"/>
    <w:rsid w:val="00732F6E"/>
    <w:rsid w:val="007330CE"/>
    <w:rsid w:val="0073353E"/>
    <w:rsid w:val="00733838"/>
    <w:rsid w:val="00733A82"/>
    <w:rsid w:val="00733EA9"/>
    <w:rsid w:val="0073441E"/>
    <w:rsid w:val="00734695"/>
    <w:rsid w:val="0073524B"/>
    <w:rsid w:val="00735315"/>
    <w:rsid w:val="007359D1"/>
    <w:rsid w:val="00735A94"/>
    <w:rsid w:val="00735FCF"/>
    <w:rsid w:val="0073636E"/>
    <w:rsid w:val="00736F5B"/>
    <w:rsid w:val="00736F74"/>
    <w:rsid w:val="0073745B"/>
    <w:rsid w:val="007375E6"/>
    <w:rsid w:val="007377F3"/>
    <w:rsid w:val="00740705"/>
    <w:rsid w:val="007407A3"/>
    <w:rsid w:val="00740801"/>
    <w:rsid w:val="007408A9"/>
    <w:rsid w:val="00740979"/>
    <w:rsid w:val="00740BD4"/>
    <w:rsid w:val="00740EB4"/>
    <w:rsid w:val="007413D1"/>
    <w:rsid w:val="00741497"/>
    <w:rsid w:val="0074149E"/>
    <w:rsid w:val="00741C7E"/>
    <w:rsid w:val="00741DBF"/>
    <w:rsid w:val="00741FCD"/>
    <w:rsid w:val="007420C7"/>
    <w:rsid w:val="00742426"/>
    <w:rsid w:val="00742600"/>
    <w:rsid w:val="0074266A"/>
    <w:rsid w:val="00742AFE"/>
    <w:rsid w:val="00742E40"/>
    <w:rsid w:val="00742F94"/>
    <w:rsid w:val="0074318C"/>
    <w:rsid w:val="00743275"/>
    <w:rsid w:val="007433CD"/>
    <w:rsid w:val="00744017"/>
    <w:rsid w:val="00744082"/>
    <w:rsid w:val="00744186"/>
    <w:rsid w:val="007445B8"/>
    <w:rsid w:val="00744C67"/>
    <w:rsid w:val="0074537F"/>
    <w:rsid w:val="00745590"/>
    <w:rsid w:val="00746118"/>
    <w:rsid w:val="007464CF"/>
    <w:rsid w:val="007469E8"/>
    <w:rsid w:val="0074712E"/>
    <w:rsid w:val="007471B4"/>
    <w:rsid w:val="007479A3"/>
    <w:rsid w:val="007502D0"/>
    <w:rsid w:val="00750516"/>
    <w:rsid w:val="00750878"/>
    <w:rsid w:val="00750A3C"/>
    <w:rsid w:val="00750ACE"/>
    <w:rsid w:val="00750E89"/>
    <w:rsid w:val="00751677"/>
    <w:rsid w:val="0075176C"/>
    <w:rsid w:val="00751B01"/>
    <w:rsid w:val="00752041"/>
    <w:rsid w:val="007520C0"/>
    <w:rsid w:val="00752224"/>
    <w:rsid w:val="007523C1"/>
    <w:rsid w:val="0075243C"/>
    <w:rsid w:val="007538DD"/>
    <w:rsid w:val="0075394B"/>
    <w:rsid w:val="00753B94"/>
    <w:rsid w:val="00753C35"/>
    <w:rsid w:val="0075430F"/>
    <w:rsid w:val="007545C4"/>
    <w:rsid w:val="00754838"/>
    <w:rsid w:val="00755E44"/>
    <w:rsid w:val="00755FF8"/>
    <w:rsid w:val="00756090"/>
    <w:rsid w:val="00756B7B"/>
    <w:rsid w:val="00756C84"/>
    <w:rsid w:val="0075718E"/>
    <w:rsid w:val="007574E5"/>
    <w:rsid w:val="00757DCD"/>
    <w:rsid w:val="007600E7"/>
    <w:rsid w:val="00760268"/>
    <w:rsid w:val="0076033D"/>
    <w:rsid w:val="0076059C"/>
    <w:rsid w:val="00760D78"/>
    <w:rsid w:val="00760E53"/>
    <w:rsid w:val="00760E99"/>
    <w:rsid w:val="0076150F"/>
    <w:rsid w:val="00761C7B"/>
    <w:rsid w:val="00762308"/>
    <w:rsid w:val="007623C2"/>
    <w:rsid w:val="0076249E"/>
    <w:rsid w:val="00762A3C"/>
    <w:rsid w:val="00762D7B"/>
    <w:rsid w:val="00762DB3"/>
    <w:rsid w:val="0076343F"/>
    <w:rsid w:val="0076351C"/>
    <w:rsid w:val="00763B22"/>
    <w:rsid w:val="00763B76"/>
    <w:rsid w:val="00764A98"/>
    <w:rsid w:val="00765655"/>
    <w:rsid w:val="00765F28"/>
    <w:rsid w:val="007673B3"/>
    <w:rsid w:val="007675D2"/>
    <w:rsid w:val="007676DA"/>
    <w:rsid w:val="007678BE"/>
    <w:rsid w:val="00767A61"/>
    <w:rsid w:val="00767F6B"/>
    <w:rsid w:val="007704E6"/>
    <w:rsid w:val="0077051F"/>
    <w:rsid w:val="00770639"/>
    <w:rsid w:val="00770748"/>
    <w:rsid w:val="00770888"/>
    <w:rsid w:val="00771503"/>
    <w:rsid w:val="007716CD"/>
    <w:rsid w:val="00771C1D"/>
    <w:rsid w:val="00771E8B"/>
    <w:rsid w:val="00771F46"/>
    <w:rsid w:val="0077201D"/>
    <w:rsid w:val="007724B1"/>
    <w:rsid w:val="007725E6"/>
    <w:rsid w:val="0077294E"/>
    <w:rsid w:val="0077320F"/>
    <w:rsid w:val="007733A9"/>
    <w:rsid w:val="0077369A"/>
    <w:rsid w:val="00773772"/>
    <w:rsid w:val="00773CEE"/>
    <w:rsid w:val="00774349"/>
    <w:rsid w:val="0077560B"/>
    <w:rsid w:val="00775777"/>
    <w:rsid w:val="007759A6"/>
    <w:rsid w:val="00775F31"/>
    <w:rsid w:val="0077606A"/>
    <w:rsid w:val="00776753"/>
    <w:rsid w:val="00776B79"/>
    <w:rsid w:val="00776C6B"/>
    <w:rsid w:val="00776D10"/>
    <w:rsid w:val="00776D5A"/>
    <w:rsid w:val="00777482"/>
    <w:rsid w:val="007778B6"/>
    <w:rsid w:val="00777A20"/>
    <w:rsid w:val="00777ABB"/>
    <w:rsid w:val="00777EC0"/>
    <w:rsid w:val="00780154"/>
    <w:rsid w:val="0078091A"/>
    <w:rsid w:val="00780D3A"/>
    <w:rsid w:val="00780E21"/>
    <w:rsid w:val="00781024"/>
    <w:rsid w:val="007812BF"/>
    <w:rsid w:val="007816EF"/>
    <w:rsid w:val="00781859"/>
    <w:rsid w:val="00781D7E"/>
    <w:rsid w:val="00781F08"/>
    <w:rsid w:val="00781FF3"/>
    <w:rsid w:val="00782451"/>
    <w:rsid w:val="00782AFB"/>
    <w:rsid w:val="00783406"/>
    <w:rsid w:val="007834FF"/>
    <w:rsid w:val="00783900"/>
    <w:rsid w:val="00783948"/>
    <w:rsid w:val="00783F1B"/>
    <w:rsid w:val="00784177"/>
    <w:rsid w:val="0078421E"/>
    <w:rsid w:val="007842F1"/>
    <w:rsid w:val="00784516"/>
    <w:rsid w:val="00784C51"/>
    <w:rsid w:val="00784D00"/>
    <w:rsid w:val="00784D3A"/>
    <w:rsid w:val="0078506F"/>
    <w:rsid w:val="007850B6"/>
    <w:rsid w:val="007858CF"/>
    <w:rsid w:val="0078594E"/>
    <w:rsid w:val="007859A8"/>
    <w:rsid w:val="00785A5B"/>
    <w:rsid w:val="00785CCB"/>
    <w:rsid w:val="00786319"/>
    <w:rsid w:val="00786418"/>
    <w:rsid w:val="00786442"/>
    <w:rsid w:val="00786649"/>
    <w:rsid w:val="0078673D"/>
    <w:rsid w:val="00786C42"/>
    <w:rsid w:val="00786E4F"/>
    <w:rsid w:val="00786ED1"/>
    <w:rsid w:val="007879EE"/>
    <w:rsid w:val="00787BAE"/>
    <w:rsid w:val="00787DE3"/>
    <w:rsid w:val="00787EE4"/>
    <w:rsid w:val="0079016D"/>
    <w:rsid w:val="00790182"/>
    <w:rsid w:val="00790324"/>
    <w:rsid w:val="007912F7"/>
    <w:rsid w:val="00791307"/>
    <w:rsid w:val="007914FC"/>
    <w:rsid w:val="00791514"/>
    <w:rsid w:val="00791BFA"/>
    <w:rsid w:val="00792855"/>
    <w:rsid w:val="00792C4A"/>
    <w:rsid w:val="00792DAD"/>
    <w:rsid w:val="00792DAF"/>
    <w:rsid w:val="007931E0"/>
    <w:rsid w:val="00793629"/>
    <w:rsid w:val="007937F3"/>
    <w:rsid w:val="0079386D"/>
    <w:rsid w:val="00793A32"/>
    <w:rsid w:val="00793CDA"/>
    <w:rsid w:val="00793E6A"/>
    <w:rsid w:val="0079443A"/>
    <w:rsid w:val="007945E8"/>
    <w:rsid w:val="0079467C"/>
    <w:rsid w:val="00794862"/>
    <w:rsid w:val="0079488C"/>
    <w:rsid w:val="00794B2C"/>
    <w:rsid w:val="007951F2"/>
    <w:rsid w:val="00795E1B"/>
    <w:rsid w:val="007965A0"/>
    <w:rsid w:val="00796658"/>
    <w:rsid w:val="00796BD8"/>
    <w:rsid w:val="00796F96"/>
    <w:rsid w:val="0079781C"/>
    <w:rsid w:val="007A05DD"/>
    <w:rsid w:val="007A06B0"/>
    <w:rsid w:val="007A0955"/>
    <w:rsid w:val="007A0A19"/>
    <w:rsid w:val="007A0AFE"/>
    <w:rsid w:val="007A1273"/>
    <w:rsid w:val="007A12D6"/>
    <w:rsid w:val="007A1A46"/>
    <w:rsid w:val="007A1C02"/>
    <w:rsid w:val="007A1D5C"/>
    <w:rsid w:val="007A23A9"/>
    <w:rsid w:val="007A274B"/>
    <w:rsid w:val="007A2BC9"/>
    <w:rsid w:val="007A2E27"/>
    <w:rsid w:val="007A3386"/>
    <w:rsid w:val="007A3701"/>
    <w:rsid w:val="007A3AC7"/>
    <w:rsid w:val="007A3B9A"/>
    <w:rsid w:val="007A4A10"/>
    <w:rsid w:val="007A4ABE"/>
    <w:rsid w:val="007A4DD5"/>
    <w:rsid w:val="007A4FBA"/>
    <w:rsid w:val="007A5017"/>
    <w:rsid w:val="007A5064"/>
    <w:rsid w:val="007A588C"/>
    <w:rsid w:val="007A5A90"/>
    <w:rsid w:val="007A5B24"/>
    <w:rsid w:val="007A5FCB"/>
    <w:rsid w:val="007A63C3"/>
    <w:rsid w:val="007A6AB7"/>
    <w:rsid w:val="007A6CB8"/>
    <w:rsid w:val="007A6D5F"/>
    <w:rsid w:val="007A70BB"/>
    <w:rsid w:val="007A7554"/>
    <w:rsid w:val="007A775D"/>
    <w:rsid w:val="007A788B"/>
    <w:rsid w:val="007A78F7"/>
    <w:rsid w:val="007A7959"/>
    <w:rsid w:val="007A7B40"/>
    <w:rsid w:val="007B0125"/>
    <w:rsid w:val="007B02D8"/>
    <w:rsid w:val="007B09BE"/>
    <w:rsid w:val="007B0B9C"/>
    <w:rsid w:val="007B0C30"/>
    <w:rsid w:val="007B0CCD"/>
    <w:rsid w:val="007B118A"/>
    <w:rsid w:val="007B12A6"/>
    <w:rsid w:val="007B1432"/>
    <w:rsid w:val="007B17DF"/>
    <w:rsid w:val="007B18E3"/>
    <w:rsid w:val="007B1B2A"/>
    <w:rsid w:val="007B1CFA"/>
    <w:rsid w:val="007B212F"/>
    <w:rsid w:val="007B290B"/>
    <w:rsid w:val="007B313E"/>
    <w:rsid w:val="007B32A8"/>
    <w:rsid w:val="007B3415"/>
    <w:rsid w:val="007B3C09"/>
    <w:rsid w:val="007B3C3D"/>
    <w:rsid w:val="007B3EA1"/>
    <w:rsid w:val="007B3FAA"/>
    <w:rsid w:val="007B3FBC"/>
    <w:rsid w:val="007B40F8"/>
    <w:rsid w:val="007B413F"/>
    <w:rsid w:val="007B429F"/>
    <w:rsid w:val="007B4B50"/>
    <w:rsid w:val="007B5201"/>
    <w:rsid w:val="007B53F5"/>
    <w:rsid w:val="007B55BF"/>
    <w:rsid w:val="007B569B"/>
    <w:rsid w:val="007B5887"/>
    <w:rsid w:val="007B58D3"/>
    <w:rsid w:val="007B5FED"/>
    <w:rsid w:val="007B61DD"/>
    <w:rsid w:val="007B63DD"/>
    <w:rsid w:val="007B645B"/>
    <w:rsid w:val="007B667F"/>
    <w:rsid w:val="007B6685"/>
    <w:rsid w:val="007B6D55"/>
    <w:rsid w:val="007B70B8"/>
    <w:rsid w:val="007B7744"/>
    <w:rsid w:val="007B7779"/>
    <w:rsid w:val="007C0515"/>
    <w:rsid w:val="007C0A54"/>
    <w:rsid w:val="007C0A85"/>
    <w:rsid w:val="007C0B76"/>
    <w:rsid w:val="007C0E20"/>
    <w:rsid w:val="007C0EC9"/>
    <w:rsid w:val="007C0EF7"/>
    <w:rsid w:val="007C1012"/>
    <w:rsid w:val="007C112A"/>
    <w:rsid w:val="007C15AA"/>
    <w:rsid w:val="007C1BB9"/>
    <w:rsid w:val="007C217B"/>
    <w:rsid w:val="007C2555"/>
    <w:rsid w:val="007C2A90"/>
    <w:rsid w:val="007C2AB7"/>
    <w:rsid w:val="007C2E62"/>
    <w:rsid w:val="007C35F7"/>
    <w:rsid w:val="007C451D"/>
    <w:rsid w:val="007C45E0"/>
    <w:rsid w:val="007C474B"/>
    <w:rsid w:val="007C48E0"/>
    <w:rsid w:val="007C5152"/>
    <w:rsid w:val="007C56F6"/>
    <w:rsid w:val="007C5C0C"/>
    <w:rsid w:val="007C5E2A"/>
    <w:rsid w:val="007C5EB3"/>
    <w:rsid w:val="007C5EED"/>
    <w:rsid w:val="007C654A"/>
    <w:rsid w:val="007C659D"/>
    <w:rsid w:val="007C6B42"/>
    <w:rsid w:val="007C70FF"/>
    <w:rsid w:val="007C747C"/>
    <w:rsid w:val="007C74E7"/>
    <w:rsid w:val="007C7FD7"/>
    <w:rsid w:val="007D0732"/>
    <w:rsid w:val="007D0838"/>
    <w:rsid w:val="007D09C6"/>
    <w:rsid w:val="007D149A"/>
    <w:rsid w:val="007D15B6"/>
    <w:rsid w:val="007D1709"/>
    <w:rsid w:val="007D199C"/>
    <w:rsid w:val="007D1C7B"/>
    <w:rsid w:val="007D1C9B"/>
    <w:rsid w:val="007D1CBF"/>
    <w:rsid w:val="007D1E98"/>
    <w:rsid w:val="007D1EFF"/>
    <w:rsid w:val="007D1F35"/>
    <w:rsid w:val="007D22A1"/>
    <w:rsid w:val="007D22FB"/>
    <w:rsid w:val="007D23E1"/>
    <w:rsid w:val="007D2652"/>
    <w:rsid w:val="007D269F"/>
    <w:rsid w:val="007D2853"/>
    <w:rsid w:val="007D2C06"/>
    <w:rsid w:val="007D2D7F"/>
    <w:rsid w:val="007D36F5"/>
    <w:rsid w:val="007D3705"/>
    <w:rsid w:val="007D423B"/>
    <w:rsid w:val="007D4266"/>
    <w:rsid w:val="007D4C5E"/>
    <w:rsid w:val="007D5491"/>
    <w:rsid w:val="007D54C9"/>
    <w:rsid w:val="007D5878"/>
    <w:rsid w:val="007D643E"/>
    <w:rsid w:val="007D709F"/>
    <w:rsid w:val="007D7484"/>
    <w:rsid w:val="007D750A"/>
    <w:rsid w:val="007D768E"/>
    <w:rsid w:val="007D7713"/>
    <w:rsid w:val="007D792A"/>
    <w:rsid w:val="007D7B03"/>
    <w:rsid w:val="007E018C"/>
    <w:rsid w:val="007E01E2"/>
    <w:rsid w:val="007E022D"/>
    <w:rsid w:val="007E09AF"/>
    <w:rsid w:val="007E0B2A"/>
    <w:rsid w:val="007E0B2E"/>
    <w:rsid w:val="007E0FEE"/>
    <w:rsid w:val="007E128E"/>
    <w:rsid w:val="007E157B"/>
    <w:rsid w:val="007E2354"/>
    <w:rsid w:val="007E253C"/>
    <w:rsid w:val="007E25A1"/>
    <w:rsid w:val="007E2907"/>
    <w:rsid w:val="007E29A4"/>
    <w:rsid w:val="007E2AE4"/>
    <w:rsid w:val="007E2B78"/>
    <w:rsid w:val="007E2E78"/>
    <w:rsid w:val="007E3699"/>
    <w:rsid w:val="007E369A"/>
    <w:rsid w:val="007E36A7"/>
    <w:rsid w:val="007E3EEF"/>
    <w:rsid w:val="007E4678"/>
    <w:rsid w:val="007E4C05"/>
    <w:rsid w:val="007E4CFB"/>
    <w:rsid w:val="007E4EEB"/>
    <w:rsid w:val="007E51D9"/>
    <w:rsid w:val="007E52BE"/>
    <w:rsid w:val="007E5403"/>
    <w:rsid w:val="007E5F35"/>
    <w:rsid w:val="007E65DE"/>
    <w:rsid w:val="007E774C"/>
    <w:rsid w:val="007F0009"/>
    <w:rsid w:val="007F0713"/>
    <w:rsid w:val="007F08B9"/>
    <w:rsid w:val="007F0AFF"/>
    <w:rsid w:val="007F122C"/>
    <w:rsid w:val="007F1416"/>
    <w:rsid w:val="007F1488"/>
    <w:rsid w:val="007F283C"/>
    <w:rsid w:val="007F2A6C"/>
    <w:rsid w:val="007F2BF4"/>
    <w:rsid w:val="007F2EB6"/>
    <w:rsid w:val="007F2F04"/>
    <w:rsid w:val="007F4039"/>
    <w:rsid w:val="007F467D"/>
    <w:rsid w:val="007F4AFA"/>
    <w:rsid w:val="007F4EDD"/>
    <w:rsid w:val="007F4FFB"/>
    <w:rsid w:val="007F510E"/>
    <w:rsid w:val="007F5495"/>
    <w:rsid w:val="007F54CA"/>
    <w:rsid w:val="007F5789"/>
    <w:rsid w:val="007F5F22"/>
    <w:rsid w:val="007F64D0"/>
    <w:rsid w:val="007F6599"/>
    <w:rsid w:val="007F66AF"/>
    <w:rsid w:val="007F6F67"/>
    <w:rsid w:val="00800404"/>
    <w:rsid w:val="00800701"/>
    <w:rsid w:val="0080073A"/>
    <w:rsid w:val="008007B0"/>
    <w:rsid w:val="008007B8"/>
    <w:rsid w:val="00800ABF"/>
    <w:rsid w:val="00800B64"/>
    <w:rsid w:val="00800B6C"/>
    <w:rsid w:val="00800DD9"/>
    <w:rsid w:val="008010BC"/>
    <w:rsid w:val="0080129E"/>
    <w:rsid w:val="008014E3"/>
    <w:rsid w:val="00801DDB"/>
    <w:rsid w:val="008026A2"/>
    <w:rsid w:val="00802CE8"/>
    <w:rsid w:val="00802D85"/>
    <w:rsid w:val="00802FE5"/>
    <w:rsid w:val="008034BB"/>
    <w:rsid w:val="0080365B"/>
    <w:rsid w:val="00803888"/>
    <w:rsid w:val="00803D64"/>
    <w:rsid w:val="00803D68"/>
    <w:rsid w:val="008045E4"/>
    <w:rsid w:val="008047D8"/>
    <w:rsid w:val="00804BD6"/>
    <w:rsid w:val="00804D4A"/>
    <w:rsid w:val="00804DBC"/>
    <w:rsid w:val="00804E55"/>
    <w:rsid w:val="008055E4"/>
    <w:rsid w:val="0080582A"/>
    <w:rsid w:val="00805B65"/>
    <w:rsid w:val="00805FDD"/>
    <w:rsid w:val="00806010"/>
    <w:rsid w:val="00806104"/>
    <w:rsid w:val="00806DBD"/>
    <w:rsid w:val="0080705B"/>
    <w:rsid w:val="008076EC"/>
    <w:rsid w:val="008077AC"/>
    <w:rsid w:val="00807A69"/>
    <w:rsid w:val="00807DA9"/>
    <w:rsid w:val="00810EE0"/>
    <w:rsid w:val="008112F3"/>
    <w:rsid w:val="00811306"/>
    <w:rsid w:val="00811AA2"/>
    <w:rsid w:val="00811B85"/>
    <w:rsid w:val="0081230D"/>
    <w:rsid w:val="00812325"/>
    <w:rsid w:val="00812857"/>
    <w:rsid w:val="00812EAA"/>
    <w:rsid w:val="0081322C"/>
    <w:rsid w:val="008132D5"/>
    <w:rsid w:val="00813EDA"/>
    <w:rsid w:val="00814764"/>
    <w:rsid w:val="008148A5"/>
    <w:rsid w:val="008149F5"/>
    <w:rsid w:val="00814AAF"/>
    <w:rsid w:val="00814D92"/>
    <w:rsid w:val="008152FD"/>
    <w:rsid w:val="008154A4"/>
    <w:rsid w:val="008160C5"/>
    <w:rsid w:val="00816648"/>
    <w:rsid w:val="00816CA3"/>
    <w:rsid w:val="00816E18"/>
    <w:rsid w:val="00816E28"/>
    <w:rsid w:val="0081783F"/>
    <w:rsid w:val="00817B90"/>
    <w:rsid w:val="00817CB4"/>
    <w:rsid w:val="008204E0"/>
    <w:rsid w:val="00820F14"/>
    <w:rsid w:val="00820F5D"/>
    <w:rsid w:val="0082140F"/>
    <w:rsid w:val="00821624"/>
    <w:rsid w:val="00821724"/>
    <w:rsid w:val="00821EA0"/>
    <w:rsid w:val="00821F49"/>
    <w:rsid w:val="0082230C"/>
    <w:rsid w:val="00822571"/>
    <w:rsid w:val="0082262C"/>
    <w:rsid w:val="00822CCF"/>
    <w:rsid w:val="0082366C"/>
    <w:rsid w:val="00823DA2"/>
    <w:rsid w:val="00823DCC"/>
    <w:rsid w:val="00823FDF"/>
    <w:rsid w:val="00824295"/>
    <w:rsid w:val="008244FE"/>
    <w:rsid w:val="00824594"/>
    <w:rsid w:val="00824856"/>
    <w:rsid w:val="0082494C"/>
    <w:rsid w:val="00825200"/>
    <w:rsid w:val="0082527D"/>
    <w:rsid w:val="008252D3"/>
    <w:rsid w:val="00825328"/>
    <w:rsid w:val="0082561A"/>
    <w:rsid w:val="008256CF"/>
    <w:rsid w:val="00825741"/>
    <w:rsid w:val="008259AF"/>
    <w:rsid w:val="00825BFF"/>
    <w:rsid w:val="00826060"/>
    <w:rsid w:val="0082655A"/>
    <w:rsid w:val="00826C8C"/>
    <w:rsid w:val="0082709A"/>
    <w:rsid w:val="00827311"/>
    <w:rsid w:val="00827683"/>
    <w:rsid w:val="00827B91"/>
    <w:rsid w:val="00827D51"/>
    <w:rsid w:val="00830601"/>
    <w:rsid w:val="00831873"/>
    <w:rsid w:val="0083196C"/>
    <w:rsid w:val="00831999"/>
    <w:rsid w:val="00831CEA"/>
    <w:rsid w:val="00831D72"/>
    <w:rsid w:val="008323F9"/>
    <w:rsid w:val="008324BD"/>
    <w:rsid w:val="00832E48"/>
    <w:rsid w:val="00833036"/>
    <w:rsid w:val="00833A01"/>
    <w:rsid w:val="00833A25"/>
    <w:rsid w:val="0083419B"/>
    <w:rsid w:val="008342CD"/>
    <w:rsid w:val="00834556"/>
    <w:rsid w:val="00834670"/>
    <w:rsid w:val="00835D85"/>
    <w:rsid w:val="00836026"/>
    <w:rsid w:val="00836105"/>
    <w:rsid w:val="008361A2"/>
    <w:rsid w:val="00836525"/>
    <w:rsid w:val="00836729"/>
    <w:rsid w:val="00836B0B"/>
    <w:rsid w:val="00836B0C"/>
    <w:rsid w:val="00836EC0"/>
    <w:rsid w:val="00836F9C"/>
    <w:rsid w:val="00837811"/>
    <w:rsid w:val="0083785F"/>
    <w:rsid w:val="00837973"/>
    <w:rsid w:val="00837DD6"/>
    <w:rsid w:val="0084043B"/>
    <w:rsid w:val="008407D5"/>
    <w:rsid w:val="00840822"/>
    <w:rsid w:val="00840C0D"/>
    <w:rsid w:val="00840DCA"/>
    <w:rsid w:val="00840E07"/>
    <w:rsid w:val="00840E20"/>
    <w:rsid w:val="00840FCD"/>
    <w:rsid w:val="00841252"/>
    <w:rsid w:val="00841438"/>
    <w:rsid w:val="008415C4"/>
    <w:rsid w:val="00841710"/>
    <w:rsid w:val="00841DC5"/>
    <w:rsid w:val="00841E75"/>
    <w:rsid w:val="008420D8"/>
    <w:rsid w:val="0084220B"/>
    <w:rsid w:val="0084348C"/>
    <w:rsid w:val="008443D5"/>
    <w:rsid w:val="00844462"/>
    <w:rsid w:val="008444D3"/>
    <w:rsid w:val="00844726"/>
    <w:rsid w:val="00844983"/>
    <w:rsid w:val="00844EFB"/>
    <w:rsid w:val="00844F5C"/>
    <w:rsid w:val="008450B9"/>
    <w:rsid w:val="00845322"/>
    <w:rsid w:val="008459CD"/>
    <w:rsid w:val="00845D64"/>
    <w:rsid w:val="00845D66"/>
    <w:rsid w:val="00845EF7"/>
    <w:rsid w:val="008461BB"/>
    <w:rsid w:val="008463EC"/>
    <w:rsid w:val="00846866"/>
    <w:rsid w:val="008469F5"/>
    <w:rsid w:val="00846CD6"/>
    <w:rsid w:val="008472B0"/>
    <w:rsid w:val="00847565"/>
    <w:rsid w:val="00847B21"/>
    <w:rsid w:val="00847D2B"/>
    <w:rsid w:val="00847E0E"/>
    <w:rsid w:val="0085040C"/>
    <w:rsid w:val="00850E30"/>
    <w:rsid w:val="00850FBF"/>
    <w:rsid w:val="0085101F"/>
    <w:rsid w:val="008513E8"/>
    <w:rsid w:val="00851B23"/>
    <w:rsid w:val="00851B3D"/>
    <w:rsid w:val="00851C32"/>
    <w:rsid w:val="008525E0"/>
    <w:rsid w:val="0085269B"/>
    <w:rsid w:val="00852CD7"/>
    <w:rsid w:val="00853162"/>
    <w:rsid w:val="00853BF2"/>
    <w:rsid w:val="00853D2E"/>
    <w:rsid w:val="008542CB"/>
    <w:rsid w:val="008543F9"/>
    <w:rsid w:val="0085440A"/>
    <w:rsid w:val="00854445"/>
    <w:rsid w:val="008547B4"/>
    <w:rsid w:val="00854947"/>
    <w:rsid w:val="00854A63"/>
    <w:rsid w:val="00854C37"/>
    <w:rsid w:val="00855229"/>
    <w:rsid w:val="008554D4"/>
    <w:rsid w:val="008556D1"/>
    <w:rsid w:val="008559BA"/>
    <w:rsid w:val="008559EE"/>
    <w:rsid w:val="00855B07"/>
    <w:rsid w:val="00855CDF"/>
    <w:rsid w:val="008563A0"/>
    <w:rsid w:val="00856584"/>
    <w:rsid w:val="00856BB5"/>
    <w:rsid w:val="00856CF5"/>
    <w:rsid w:val="00856EB8"/>
    <w:rsid w:val="00857336"/>
    <w:rsid w:val="008576D8"/>
    <w:rsid w:val="0085775B"/>
    <w:rsid w:val="00857A90"/>
    <w:rsid w:val="0086020E"/>
    <w:rsid w:val="0086097A"/>
    <w:rsid w:val="00860AC8"/>
    <w:rsid w:val="00860DB5"/>
    <w:rsid w:val="00861592"/>
    <w:rsid w:val="00861D83"/>
    <w:rsid w:val="00861F64"/>
    <w:rsid w:val="008621E3"/>
    <w:rsid w:val="00862836"/>
    <w:rsid w:val="00862CEF"/>
    <w:rsid w:val="00862DCA"/>
    <w:rsid w:val="00863042"/>
    <w:rsid w:val="008630D0"/>
    <w:rsid w:val="00863293"/>
    <w:rsid w:val="0086356E"/>
    <w:rsid w:val="008639DD"/>
    <w:rsid w:val="00863BF1"/>
    <w:rsid w:val="008641F5"/>
    <w:rsid w:val="00864266"/>
    <w:rsid w:val="008649ED"/>
    <w:rsid w:val="00864C00"/>
    <w:rsid w:val="008651BF"/>
    <w:rsid w:val="00865265"/>
    <w:rsid w:val="00865663"/>
    <w:rsid w:val="008657C6"/>
    <w:rsid w:val="008657E5"/>
    <w:rsid w:val="008658AF"/>
    <w:rsid w:val="008659D2"/>
    <w:rsid w:val="00865C32"/>
    <w:rsid w:val="00865C42"/>
    <w:rsid w:val="00865D09"/>
    <w:rsid w:val="00866852"/>
    <w:rsid w:val="00866B35"/>
    <w:rsid w:val="00867A27"/>
    <w:rsid w:val="00867CC9"/>
    <w:rsid w:val="00870689"/>
    <w:rsid w:val="008706C1"/>
    <w:rsid w:val="00870883"/>
    <w:rsid w:val="008710DA"/>
    <w:rsid w:val="008712A2"/>
    <w:rsid w:val="00871904"/>
    <w:rsid w:val="008719EC"/>
    <w:rsid w:val="00871D96"/>
    <w:rsid w:val="00871FC3"/>
    <w:rsid w:val="00872CFE"/>
    <w:rsid w:val="0087321C"/>
    <w:rsid w:val="008732BF"/>
    <w:rsid w:val="008733EB"/>
    <w:rsid w:val="00873D0B"/>
    <w:rsid w:val="00874058"/>
    <w:rsid w:val="0087417F"/>
    <w:rsid w:val="0087431A"/>
    <w:rsid w:val="0087495E"/>
    <w:rsid w:val="00874A9A"/>
    <w:rsid w:val="00875736"/>
    <w:rsid w:val="008759D0"/>
    <w:rsid w:val="00875F5E"/>
    <w:rsid w:val="008760FB"/>
    <w:rsid w:val="00876157"/>
    <w:rsid w:val="008762E8"/>
    <w:rsid w:val="0087658C"/>
    <w:rsid w:val="008765CA"/>
    <w:rsid w:val="00876788"/>
    <w:rsid w:val="00876C59"/>
    <w:rsid w:val="00877470"/>
    <w:rsid w:val="008775EE"/>
    <w:rsid w:val="008800C5"/>
    <w:rsid w:val="008801A9"/>
    <w:rsid w:val="0088038F"/>
    <w:rsid w:val="00880841"/>
    <w:rsid w:val="00880AC5"/>
    <w:rsid w:val="00880E40"/>
    <w:rsid w:val="00880F11"/>
    <w:rsid w:val="0088116D"/>
    <w:rsid w:val="0088150E"/>
    <w:rsid w:val="00881528"/>
    <w:rsid w:val="00881BEC"/>
    <w:rsid w:val="008820C6"/>
    <w:rsid w:val="00882702"/>
    <w:rsid w:val="00882859"/>
    <w:rsid w:val="00882A8F"/>
    <w:rsid w:val="00882E29"/>
    <w:rsid w:val="008833C9"/>
    <w:rsid w:val="008836E7"/>
    <w:rsid w:val="00883748"/>
    <w:rsid w:val="00883C10"/>
    <w:rsid w:val="00883C53"/>
    <w:rsid w:val="00883D0E"/>
    <w:rsid w:val="00883F8B"/>
    <w:rsid w:val="00884634"/>
    <w:rsid w:val="00884A9A"/>
    <w:rsid w:val="00884ABA"/>
    <w:rsid w:val="00884E73"/>
    <w:rsid w:val="00885093"/>
    <w:rsid w:val="008853A7"/>
    <w:rsid w:val="00885449"/>
    <w:rsid w:val="0088563B"/>
    <w:rsid w:val="00885C39"/>
    <w:rsid w:val="00885C67"/>
    <w:rsid w:val="00885C6F"/>
    <w:rsid w:val="00885EAE"/>
    <w:rsid w:val="00885FEB"/>
    <w:rsid w:val="00886148"/>
    <w:rsid w:val="008866DA"/>
    <w:rsid w:val="0088691F"/>
    <w:rsid w:val="00886A5F"/>
    <w:rsid w:val="00886C4A"/>
    <w:rsid w:val="008870B7"/>
    <w:rsid w:val="008872EF"/>
    <w:rsid w:val="008906C7"/>
    <w:rsid w:val="00890AAC"/>
    <w:rsid w:val="00890DCE"/>
    <w:rsid w:val="008910DF"/>
    <w:rsid w:val="00891ADA"/>
    <w:rsid w:val="00891CDE"/>
    <w:rsid w:val="008925CC"/>
    <w:rsid w:val="00892979"/>
    <w:rsid w:val="008929D1"/>
    <w:rsid w:val="00893DD7"/>
    <w:rsid w:val="00893F74"/>
    <w:rsid w:val="00894045"/>
    <w:rsid w:val="0089505B"/>
    <w:rsid w:val="008955F7"/>
    <w:rsid w:val="008956BF"/>
    <w:rsid w:val="00895871"/>
    <w:rsid w:val="00895E43"/>
    <w:rsid w:val="00896003"/>
    <w:rsid w:val="008963D8"/>
    <w:rsid w:val="0089645F"/>
    <w:rsid w:val="008973ED"/>
    <w:rsid w:val="008974A1"/>
    <w:rsid w:val="008A0438"/>
    <w:rsid w:val="008A05B1"/>
    <w:rsid w:val="008A0C41"/>
    <w:rsid w:val="008A10CC"/>
    <w:rsid w:val="008A1432"/>
    <w:rsid w:val="008A1560"/>
    <w:rsid w:val="008A173F"/>
    <w:rsid w:val="008A1986"/>
    <w:rsid w:val="008A1DF3"/>
    <w:rsid w:val="008A207D"/>
    <w:rsid w:val="008A20B0"/>
    <w:rsid w:val="008A27E4"/>
    <w:rsid w:val="008A2A6F"/>
    <w:rsid w:val="008A2C00"/>
    <w:rsid w:val="008A2DC6"/>
    <w:rsid w:val="008A3084"/>
    <w:rsid w:val="008A32AB"/>
    <w:rsid w:val="008A32D3"/>
    <w:rsid w:val="008A333A"/>
    <w:rsid w:val="008A350F"/>
    <w:rsid w:val="008A35ED"/>
    <w:rsid w:val="008A37B2"/>
    <w:rsid w:val="008A3E4F"/>
    <w:rsid w:val="008A492B"/>
    <w:rsid w:val="008A4AF6"/>
    <w:rsid w:val="008A4C0D"/>
    <w:rsid w:val="008A4C2E"/>
    <w:rsid w:val="008A4EDB"/>
    <w:rsid w:val="008A5184"/>
    <w:rsid w:val="008A5A94"/>
    <w:rsid w:val="008A5D42"/>
    <w:rsid w:val="008A5DEA"/>
    <w:rsid w:val="008A5F06"/>
    <w:rsid w:val="008A61A2"/>
    <w:rsid w:val="008A6462"/>
    <w:rsid w:val="008A6B10"/>
    <w:rsid w:val="008A6DE7"/>
    <w:rsid w:val="008A708B"/>
    <w:rsid w:val="008A7241"/>
    <w:rsid w:val="008A7A88"/>
    <w:rsid w:val="008A7BC9"/>
    <w:rsid w:val="008A7C01"/>
    <w:rsid w:val="008A7D84"/>
    <w:rsid w:val="008A7E5A"/>
    <w:rsid w:val="008B0082"/>
    <w:rsid w:val="008B011B"/>
    <w:rsid w:val="008B08A2"/>
    <w:rsid w:val="008B0A43"/>
    <w:rsid w:val="008B0B81"/>
    <w:rsid w:val="008B0BEA"/>
    <w:rsid w:val="008B0C16"/>
    <w:rsid w:val="008B0DF3"/>
    <w:rsid w:val="008B1939"/>
    <w:rsid w:val="008B1A67"/>
    <w:rsid w:val="008B1BBF"/>
    <w:rsid w:val="008B1E66"/>
    <w:rsid w:val="008B271D"/>
    <w:rsid w:val="008B2786"/>
    <w:rsid w:val="008B27F7"/>
    <w:rsid w:val="008B2FB5"/>
    <w:rsid w:val="008B301F"/>
    <w:rsid w:val="008B351F"/>
    <w:rsid w:val="008B3670"/>
    <w:rsid w:val="008B36F0"/>
    <w:rsid w:val="008B3D0D"/>
    <w:rsid w:val="008B4251"/>
    <w:rsid w:val="008B4515"/>
    <w:rsid w:val="008B481D"/>
    <w:rsid w:val="008B4978"/>
    <w:rsid w:val="008B4996"/>
    <w:rsid w:val="008B4E27"/>
    <w:rsid w:val="008B4F54"/>
    <w:rsid w:val="008B5009"/>
    <w:rsid w:val="008B5432"/>
    <w:rsid w:val="008B58BF"/>
    <w:rsid w:val="008B5B04"/>
    <w:rsid w:val="008B6149"/>
    <w:rsid w:val="008B6355"/>
    <w:rsid w:val="008B65AD"/>
    <w:rsid w:val="008B68AD"/>
    <w:rsid w:val="008B6B15"/>
    <w:rsid w:val="008B6DF6"/>
    <w:rsid w:val="008B6F30"/>
    <w:rsid w:val="008B7440"/>
    <w:rsid w:val="008B779F"/>
    <w:rsid w:val="008B7CE5"/>
    <w:rsid w:val="008B7D24"/>
    <w:rsid w:val="008B7E1F"/>
    <w:rsid w:val="008C00E0"/>
    <w:rsid w:val="008C01CF"/>
    <w:rsid w:val="008C02F2"/>
    <w:rsid w:val="008C02F6"/>
    <w:rsid w:val="008C0394"/>
    <w:rsid w:val="008C0B49"/>
    <w:rsid w:val="008C0EE1"/>
    <w:rsid w:val="008C106D"/>
    <w:rsid w:val="008C10F9"/>
    <w:rsid w:val="008C1152"/>
    <w:rsid w:val="008C1237"/>
    <w:rsid w:val="008C15DC"/>
    <w:rsid w:val="008C1677"/>
    <w:rsid w:val="008C188C"/>
    <w:rsid w:val="008C1F03"/>
    <w:rsid w:val="008C211F"/>
    <w:rsid w:val="008C223A"/>
    <w:rsid w:val="008C279F"/>
    <w:rsid w:val="008C283E"/>
    <w:rsid w:val="008C2F08"/>
    <w:rsid w:val="008C3262"/>
    <w:rsid w:val="008C329B"/>
    <w:rsid w:val="008C343E"/>
    <w:rsid w:val="008C3557"/>
    <w:rsid w:val="008C3BFC"/>
    <w:rsid w:val="008C4419"/>
    <w:rsid w:val="008C44BE"/>
    <w:rsid w:val="008C4722"/>
    <w:rsid w:val="008C540B"/>
    <w:rsid w:val="008C54A5"/>
    <w:rsid w:val="008C555F"/>
    <w:rsid w:val="008C572A"/>
    <w:rsid w:val="008C575F"/>
    <w:rsid w:val="008C58C7"/>
    <w:rsid w:val="008C5F72"/>
    <w:rsid w:val="008C5F99"/>
    <w:rsid w:val="008C689C"/>
    <w:rsid w:val="008C6C27"/>
    <w:rsid w:val="008C6D18"/>
    <w:rsid w:val="008C7296"/>
    <w:rsid w:val="008C7536"/>
    <w:rsid w:val="008C76B2"/>
    <w:rsid w:val="008C782F"/>
    <w:rsid w:val="008C7A81"/>
    <w:rsid w:val="008C7ED5"/>
    <w:rsid w:val="008C7FAD"/>
    <w:rsid w:val="008D0060"/>
    <w:rsid w:val="008D0161"/>
    <w:rsid w:val="008D040F"/>
    <w:rsid w:val="008D05FB"/>
    <w:rsid w:val="008D0BDB"/>
    <w:rsid w:val="008D101F"/>
    <w:rsid w:val="008D1757"/>
    <w:rsid w:val="008D1BBD"/>
    <w:rsid w:val="008D1C1F"/>
    <w:rsid w:val="008D1D54"/>
    <w:rsid w:val="008D20B6"/>
    <w:rsid w:val="008D210E"/>
    <w:rsid w:val="008D2367"/>
    <w:rsid w:val="008D23E8"/>
    <w:rsid w:val="008D2E35"/>
    <w:rsid w:val="008D312A"/>
    <w:rsid w:val="008D3636"/>
    <w:rsid w:val="008D3B86"/>
    <w:rsid w:val="008D4414"/>
    <w:rsid w:val="008D4460"/>
    <w:rsid w:val="008D47DF"/>
    <w:rsid w:val="008D491F"/>
    <w:rsid w:val="008D4A86"/>
    <w:rsid w:val="008D4F32"/>
    <w:rsid w:val="008D502A"/>
    <w:rsid w:val="008D5618"/>
    <w:rsid w:val="008D5BA8"/>
    <w:rsid w:val="008D5D87"/>
    <w:rsid w:val="008D6768"/>
    <w:rsid w:val="008D686F"/>
    <w:rsid w:val="008D689E"/>
    <w:rsid w:val="008D69FF"/>
    <w:rsid w:val="008D6E31"/>
    <w:rsid w:val="008D77C5"/>
    <w:rsid w:val="008D78C9"/>
    <w:rsid w:val="008D7F9B"/>
    <w:rsid w:val="008D7FB2"/>
    <w:rsid w:val="008E019F"/>
    <w:rsid w:val="008E0403"/>
    <w:rsid w:val="008E0561"/>
    <w:rsid w:val="008E0E77"/>
    <w:rsid w:val="008E0ED3"/>
    <w:rsid w:val="008E0F06"/>
    <w:rsid w:val="008E101F"/>
    <w:rsid w:val="008E1103"/>
    <w:rsid w:val="008E1AF8"/>
    <w:rsid w:val="008E1CD6"/>
    <w:rsid w:val="008E25EE"/>
    <w:rsid w:val="008E2775"/>
    <w:rsid w:val="008E2781"/>
    <w:rsid w:val="008E279D"/>
    <w:rsid w:val="008E27E8"/>
    <w:rsid w:val="008E2947"/>
    <w:rsid w:val="008E2A68"/>
    <w:rsid w:val="008E2E67"/>
    <w:rsid w:val="008E2E82"/>
    <w:rsid w:val="008E38D6"/>
    <w:rsid w:val="008E3AF8"/>
    <w:rsid w:val="008E3EE6"/>
    <w:rsid w:val="008E447E"/>
    <w:rsid w:val="008E473E"/>
    <w:rsid w:val="008E4943"/>
    <w:rsid w:val="008E4D88"/>
    <w:rsid w:val="008E536B"/>
    <w:rsid w:val="008E55C2"/>
    <w:rsid w:val="008E55E8"/>
    <w:rsid w:val="008E5B64"/>
    <w:rsid w:val="008E6524"/>
    <w:rsid w:val="008E6657"/>
    <w:rsid w:val="008E68BB"/>
    <w:rsid w:val="008E6996"/>
    <w:rsid w:val="008E7083"/>
    <w:rsid w:val="008E7730"/>
    <w:rsid w:val="008E78D3"/>
    <w:rsid w:val="008E7A66"/>
    <w:rsid w:val="008E7B85"/>
    <w:rsid w:val="008E7E62"/>
    <w:rsid w:val="008F02F6"/>
    <w:rsid w:val="008F041B"/>
    <w:rsid w:val="008F0D9C"/>
    <w:rsid w:val="008F11CB"/>
    <w:rsid w:val="008F12C8"/>
    <w:rsid w:val="008F143C"/>
    <w:rsid w:val="008F162F"/>
    <w:rsid w:val="008F19F6"/>
    <w:rsid w:val="008F1A57"/>
    <w:rsid w:val="008F1B3D"/>
    <w:rsid w:val="008F1BE0"/>
    <w:rsid w:val="008F214C"/>
    <w:rsid w:val="008F25D6"/>
    <w:rsid w:val="008F25D9"/>
    <w:rsid w:val="008F272D"/>
    <w:rsid w:val="008F2953"/>
    <w:rsid w:val="008F318E"/>
    <w:rsid w:val="008F3FF9"/>
    <w:rsid w:val="008F40E0"/>
    <w:rsid w:val="008F4282"/>
    <w:rsid w:val="008F4EDB"/>
    <w:rsid w:val="008F5140"/>
    <w:rsid w:val="008F51EB"/>
    <w:rsid w:val="008F545E"/>
    <w:rsid w:val="008F565E"/>
    <w:rsid w:val="008F5748"/>
    <w:rsid w:val="008F5953"/>
    <w:rsid w:val="008F5AA3"/>
    <w:rsid w:val="008F5B6C"/>
    <w:rsid w:val="008F5D2C"/>
    <w:rsid w:val="008F5DA6"/>
    <w:rsid w:val="008F5EE8"/>
    <w:rsid w:val="008F61FC"/>
    <w:rsid w:val="008F6ED6"/>
    <w:rsid w:val="008F722C"/>
    <w:rsid w:val="008F73E0"/>
    <w:rsid w:val="008F7DB1"/>
    <w:rsid w:val="008F7FB9"/>
    <w:rsid w:val="0090001B"/>
    <w:rsid w:val="00900CF6"/>
    <w:rsid w:val="00900EF6"/>
    <w:rsid w:val="00901278"/>
    <w:rsid w:val="009013D9"/>
    <w:rsid w:val="009019F8"/>
    <w:rsid w:val="00901A66"/>
    <w:rsid w:val="00901CF5"/>
    <w:rsid w:val="00901FCB"/>
    <w:rsid w:val="0090228C"/>
    <w:rsid w:val="00902536"/>
    <w:rsid w:val="0090325F"/>
    <w:rsid w:val="009035E5"/>
    <w:rsid w:val="00903641"/>
    <w:rsid w:val="00903647"/>
    <w:rsid w:val="00903A5E"/>
    <w:rsid w:val="00903E23"/>
    <w:rsid w:val="00903EC7"/>
    <w:rsid w:val="00904108"/>
    <w:rsid w:val="009042A5"/>
    <w:rsid w:val="00904580"/>
    <w:rsid w:val="009045E6"/>
    <w:rsid w:val="00904C39"/>
    <w:rsid w:val="00904CA5"/>
    <w:rsid w:val="00904DC2"/>
    <w:rsid w:val="00905080"/>
    <w:rsid w:val="009050C8"/>
    <w:rsid w:val="009055CC"/>
    <w:rsid w:val="009056F7"/>
    <w:rsid w:val="0090583B"/>
    <w:rsid w:val="009059F9"/>
    <w:rsid w:val="00905B64"/>
    <w:rsid w:val="009065A5"/>
    <w:rsid w:val="009067F9"/>
    <w:rsid w:val="0090686B"/>
    <w:rsid w:val="00906F62"/>
    <w:rsid w:val="0090747B"/>
    <w:rsid w:val="00907514"/>
    <w:rsid w:val="00907910"/>
    <w:rsid w:val="009105CE"/>
    <w:rsid w:val="009106D3"/>
    <w:rsid w:val="0091071E"/>
    <w:rsid w:val="009108B2"/>
    <w:rsid w:val="009109B8"/>
    <w:rsid w:val="00911487"/>
    <w:rsid w:val="009115C7"/>
    <w:rsid w:val="009118BA"/>
    <w:rsid w:val="0091201F"/>
    <w:rsid w:val="0091266E"/>
    <w:rsid w:val="0091293B"/>
    <w:rsid w:val="00912A5E"/>
    <w:rsid w:val="00912E11"/>
    <w:rsid w:val="009136E9"/>
    <w:rsid w:val="00913BA3"/>
    <w:rsid w:val="00913CFF"/>
    <w:rsid w:val="00913F7F"/>
    <w:rsid w:val="0091421E"/>
    <w:rsid w:val="0091444F"/>
    <w:rsid w:val="00914596"/>
    <w:rsid w:val="0091459B"/>
    <w:rsid w:val="00914770"/>
    <w:rsid w:val="009148A8"/>
    <w:rsid w:val="0091498B"/>
    <w:rsid w:val="0091516E"/>
    <w:rsid w:val="009151B6"/>
    <w:rsid w:val="0091533D"/>
    <w:rsid w:val="0091580A"/>
    <w:rsid w:val="00915852"/>
    <w:rsid w:val="00915BB8"/>
    <w:rsid w:val="00915C3B"/>
    <w:rsid w:val="00915DE6"/>
    <w:rsid w:val="00916048"/>
    <w:rsid w:val="00916451"/>
    <w:rsid w:val="00916A7C"/>
    <w:rsid w:val="0091768B"/>
    <w:rsid w:val="009177CA"/>
    <w:rsid w:val="009204B7"/>
    <w:rsid w:val="0092059D"/>
    <w:rsid w:val="00920DED"/>
    <w:rsid w:val="00920EDD"/>
    <w:rsid w:val="0092156B"/>
    <w:rsid w:val="00921644"/>
    <w:rsid w:val="00921955"/>
    <w:rsid w:val="00921A11"/>
    <w:rsid w:val="00921FB8"/>
    <w:rsid w:val="00922345"/>
    <w:rsid w:val="009224E7"/>
    <w:rsid w:val="009228CA"/>
    <w:rsid w:val="00922C3F"/>
    <w:rsid w:val="00922DD7"/>
    <w:rsid w:val="009231E0"/>
    <w:rsid w:val="009234D3"/>
    <w:rsid w:val="00923A8A"/>
    <w:rsid w:val="00923EF7"/>
    <w:rsid w:val="00924236"/>
    <w:rsid w:val="00925076"/>
    <w:rsid w:val="0092567B"/>
    <w:rsid w:val="009258E9"/>
    <w:rsid w:val="00925BEF"/>
    <w:rsid w:val="00925F5F"/>
    <w:rsid w:val="0092657B"/>
    <w:rsid w:val="00926627"/>
    <w:rsid w:val="009266DC"/>
    <w:rsid w:val="00926929"/>
    <w:rsid w:val="00926946"/>
    <w:rsid w:val="00926B3D"/>
    <w:rsid w:val="00926E1C"/>
    <w:rsid w:val="00926F78"/>
    <w:rsid w:val="00927080"/>
    <w:rsid w:val="00927791"/>
    <w:rsid w:val="009277B1"/>
    <w:rsid w:val="00927FC8"/>
    <w:rsid w:val="009304C6"/>
    <w:rsid w:val="00930B8F"/>
    <w:rsid w:val="00930E68"/>
    <w:rsid w:val="00930EF9"/>
    <w:rsid w:val="009315CB"/>
    <w:rsid w:val="0093160E"/>
    <w:rsid w:val="00931C44"/>
    <w:rsid w:val="00931DB9"/>
    <w:rsid w:val="00932031"/>
    <w:rsid w:val="009320FC"/>
    <w:rsid w:val="00932180"/>
    <w:rsid w:val="009323DA"/>
    <w:rsid w:val="0093263D"/>
    <w:rsid w:val="0093290B"/>
    <w:rsid w:val="0093316F"/>
    <w:rsid w:val="0093338F"/>
    <w:rsid w:val="009334A3"/>
    <w:rsid w:val="00933520"/>
    <w:rsid w:val="009335AD"/>
    <w:rsid w:val="00933AD8"/>
    <w:rsid w:val="00934062"/>
    <w:rsid w:val="00934347"/>
    <w:rsid w:val="00934640"/>
    <w:rsid w:val="0093496D"/>
    <w:rsid w:val="00934D53"/>
    <w:rsid w:val="009350BB"/>
    <w:rsid w:val="00935225"/>
    <w:rsid w:val="00935556"/>
    <w:rsid w:val="00935751"/>
    <w:rsid w:val="00935829"/>
    <w:rsid w:val="00935C4D"/>
    <w:rsid w:val="00935D76"/>
    <w:rsid w:val="0093618F"/>
    <w:rsid w:val="00936A00"/>
    <w:rsid w:val="00936B27"/>
    <w:rsid w:val="00936C4E"/>
    <w:rsid w:val="00936DDE"/>
    <w:rsid w:val="00936F05"/>
    <w:rsid w:val="009378ED"/>
    <w:rsid w:val="00937BB5"/>
    <w:rsid w:val="00937C70"/>
    <w:rsid w:val="009400D6"/>
    <w:rsid w:val="00940615"/>
    <w:rsid w:val="009407F5"/>
    <w:rsid w:val="0094092D"/>
    <w:rsid w:val="00940E84"/>
    <w:rsid w:val="00941210"/>
    <w:rsid w:val="00941286"/>
    <w:rsid w:val="009415DA"/>
    <w:rsid w:val="009418CE"/>
    <w:rsid w:val="00941C3F"/>
    <w:rsid w:val="00941F40"/>
    <w:rsid w:val="009423D1"/>
    <w:rsid w:val="0094243D"/>
    <w:rsid w:val="009424CD"/>
    <w:rsid w:val="00942856"/>
    <w:rsid w:val="00942F4A"/>
    <w:rsid w:val="009434AF"/>
    <w:rsid w:val="00943B0D"/>
    <w:rsid w:val="00944160"/>
    <w:rsid w:val="0094419F"/>
    <w:rsid w:val="00944208"/>
    <w:rsid w:val="00944BA4"/>
    <w:rsid w:val="009450A9"/>
    <w:rsid w:val="00945464"/>
    <w:rsid w:val="00945705"/>
    <w:rsid w:val="00945F95"/>
    <w:rsid w:val="00945FE2"/>
    <w:rsid w:val="00946793"/>
    <w:rsid w:val="009467A0"/>
    <w:rsid w:val="00946F5A"/>
    <w:rsid w:val="00947A97"/>
    <w:rsid w:val="00947CEB"/>
    <w:rsid w:val="00947E86"/>
    <w:rsid w:val="00950599"/>
    <w:rsid w:val="009507B2"/>
    <w:rsid w:val="00950C37"/>
    <w:rsid w:val="00951101"/>
    <w:rsid w:val="00951374"/>
    <w:rsid w:val="0095159E"/>
    <w:rsid w:val="00951FDE"/>
    <w:rsid w:val="0095241A"/>
    <w:rsid w:val="00952A0D"/>
    <w:rsid w:val="00952AC0"/>
    <w:rsid w:val="00952B79"/>
    <w:rsid w:val="00952DDE"/>
    <w:rsid w:val="00952F97"/>
    <w:rsid w:val="009532C1"/>
    <w:rsid w:val="00953346"/>
    <w:rsid w:val="00953588"/>
    <w:rsid w:val="00953CBC"/>
    <w:rsid w:val="00953CC0"/>
    <w:rsid w:val="00953DD6"/>
    <w:rsid w:val="0095409A"/>
    <w:rsid w:val="009543E9"/>
    <w:rsid w:val="00954771"/>
    <w:rsid w:val="00954ADF"/>
    <w:rsid w:val="00954FD6"/>
    <w:rsid w:val="00955013"/>
    <w:rsid w:val="009550D1"/>
    <w:rsid w:val="00955915"/>
    <w:rsid w:val="00955D07"/>
    <w:rsid w:val="0095622B"/>
    <w:rsid w:val="009562CD"/>
    <w:rsid w:val="009567BC"/>
    <w:rsid w:val="00956AC1"/>
    <w:rsid w:val="00956AFC"/>
    <w:rsid w:val="00956EBC"/>
    <w:rsid w:val="00957192"/>
    <w:rsid w:val="00957214"/>
    <w:rsid w:val="00957A49"/>
    <w:rsid w:val="00957AD1"/>
    <w:rsid w:val="00960323"/>
    <w:rsid w:val="00960382"/>
    <w:rsid w:val="009609A1"/>
    <w:rsid w:val="00961CA1"/>
    <w:rsid w:val="00961D5F"/>
    <w:rsid w:val="00961DD4"/>
    <w:rsid w:val="00962109"/>
    <w:rsid w:val="009626E6"/>
    <w:rsid w:val="0096272E"/>
    <w:rsid w:val="009627A3"/>
    <w:rsid w:val="009628B6"/>
    <w:rsid w:val="00962E41"/>
    <w:rsid w:val="00962F58"/>
    <w:rsid w:val="009631CD"/>
    <w:rsid w:val="00963316"/>
    <w:rsid w:val="009634D1"/>
    <w:rsid w:val="00963818"/>
    <w:rsid w:val="00963A64"/>
    <w:rsid w:val="00963CA2"/>
    <w:rsid w:val="00964245"/>
    <w:rsid w:val="009642AD"/>
    <w:rsid w:val="00964463"/>
    <w:rsid w:val="00964B58"/>
    <w:rsid w:val="00964EF4"/>
    <w:rsid w:val="00965C90"/>
    <w:rsid w:val="00965D0C"/>
    <w:rsid w:val="00965DCE"/>
    <w:rsid w:val="00966480"/>
    <w:rsid w:val="00966DAE"/>
    <w:rsid w:val="0096711E"/>
    <w:rsid w:val="00967234"/>
    <w:rsid w:val="00967449"/>
    <w:rsid w:val="00967723"/>
    <w:rsid w:val="00967AC8"/>
    <w:rsid w:val="00967FE5"/>
    <w:rsid w:val="009700C9"/>
    <w:rsid w:val="0097076A"/>
    <w:rsid w:val="009709A6"/>
    <w:rsid w:val="00970C54"/>
    <w:rsid w:val="00970D62"/>
    <w:rsid w:val="00970E45"/>
    <w:rsid w:val="009710F3"/>
    <w:rsid w:val="00971220"/>
    <w:rsid w:val="009712F8"/>
    <w:rsid w:val="00971437"/>
    <w:rsid w:val="00971483"/>
    <w:rsid w:val="00971580"/>
    <w:rsid w:val="009715A3"/>
    <w:rsid w:val="00972150"/>
    <w:rsid w:val="009723F7"/>
    <w:rsid w:val="00972474"/>
    <w:rsid w:val="009724BA"/>
    <w:rsid w:val="00972562"/>
    <w:rsid w:val="00972E6C"/>
    <w:rsid w:val="00973109"/>
    <w:rsid w:val="00973337"/>
    <w:rsid w:val="00973513"/>
    <w:rsid w:val="009736B8"/>
    <w:rsid w:val="00973C55"/>
    <w:rsid w:val="0097479D"/>
    <w:rsid w:val="009748A3"/>
    <w:rsid w:val="00974F05"/>
    <w:rsid w:val="009755DE"/>
    <w:rsid w:val="009756ED"/>
    <w:rsid w:val="0097598C"/>
    <w:rsid w:val="009759D0"/>
    <w:rsid w:val="00975D52"/>
    <w:rsid w:val="00976178"/>
    <w:rsid w:val="00976A37"/>
    <w:rsid w:val="00976D54"/>
    <w:rsid w:val="0097772D"/>
    <w:rsid w:val="0097787A"/>
    <w:rsid w:val="00977D94"/>
    <w:rsid w:val="00980049"/>
    <w:rsid w:val="0098042F"/>
    <w:rsid w:val="009809C4"/>
    <w:rsid w:val="00980ABA"/>
    <w:rsid w:val="00980B41"/>
    <w:rsid w:val="00980BF0"/>
    <w:rsid w:val="00981212"/>
    <w:rsid w:val="0098141A"/>
    <w:rsid w:val="0098146A"/>
    <w:rsid w:val="009814BD"/>
    <w:rsid w:val="009816A4"/>
    <w:rsid w:val="00981826"/>
    <w:rsid w:val="00981EF3"/>
    <w:rsid w:val="0098247E"/>
    <w:rsid w:val="0098319C"/>
    <w:rsid w:val="009835C8"/>
    <w:rsid w:val="00983A05"/>
    <w:rsid w:val="00983DA0"/>
    <w:rsid w:val="00983EC3"/>
    <w:rsid w:val="0098422D"/>
    <w:rsid w:val="0098443B"/>
    <w:rsid w:val="0098465F"/>
    <w:rsid w:val="00984701"/>
    <w:rsid w:val="00984B60"/>
    <w:rsid w:val="00984F5C"/>
    <w:rsid w:val="009850D8"/>
    <w:rsid w:val="00985AD3"/>
    <w:rsid w:val="00985ADC"/>
    <w:rsid w:val="00985E05"/>
    <w:rsid w:val="00985F1F"/>
    <w:rsid w:val="009862B5"/>
    <w:rsid w:val="00986929"/>
    <w:rsid w:val="00986EAF"/>
    <w:rsid w:val="0098707E"/>
    <w:rsid w:val="009870FD"/>
    <w:rsid w:val="00987149"/>
    <w:rsid w:val="009871F0"/>
    <w:rsid w:val="00987384"/>
    <w:rsid w:val="00987A27"/>
    <w:rsid w:val="0099073D"/>
    <w:rsid w:val="00990D95"/>
    <w:rsid w:val="00990F33"/>
    <w:rsid w:val="009915B6"/>
    <w:rsid w:val="009917E9"/>
    <w:rsid w:val="00991FF5"/>
    <w:rsid w:val="0099233F"/>
    <w:rsid w:val="00992650"/>
    <w:rsid w:val="0099266C"/>
    <w:rsid w:val="009928A7"/>
    <w:rsid w:val="00992912"/>
    <w:rsid w:val="00992D0F"/>
    <w:rsid w:val="00992F84"/>
    <w:rsid w:val="00993021"/>
    <w:rsid w:val="009930C1"/>
    <w:rsid w:val="00993CE1"/>
    <w:rsid w:val="009942A4"/>
    <w:rsid w:val="0099432C"/>
    <w:rsid w:val="009944D9"/>
    <w:rsid w:val="00994609"/>
    <w:rsid w:val="009947F8"/>
    <w:rsid w:val="00994881"/>
    <w:rsid w:val="009948E7"/>
    <w:rsid w:val="00994B87"/>
    <w:rsid w:val="0099674F"/>
    <w:rsid w:val="00996AB1"/>
    <w:rsid w:val="00996B19"/>
    <w:rsid w:val="00996BBC"/>
    <w:rsid w:val="00996E80"/>
    <w:rsid w:val="00997146"/>
    <w:rsid w:val="009972FA"/>
    <w:rsid w:val="009973CB"/>
    <w:rsid w:val="00997DC3"/>
    <w:rsid w:val="00997FDB"/>
    <w:rsid w:val="009A066E"/>
    <w:rsid w:val="009A095E"/>
    <w:rsid w:val="009A1266"/>
    <w:rsid w:val="009A1305"/>
    <w:rsid w:val="009A16B3"/>
    <w:rsid w:val="009A1AC6"/>
    <w:rsid w:val="009A1B27"/>
    <w:rsid w:val="009A1F1B"/>
    <w:rsid w:val="009A218D"/>
    <w:rsid w:val="009A22BB"/>
    <w:rsid w:val="009A24B8"/>
    <w:rsid w:val="009A25B9"/>
    <w:rsid w:val="009A2735"/>
    <w:rsid w:val="009A28AF"/>
    <w:rsid w:val="009A2B2C"/>
    <w:rsid w:val="009A2E65"/>
    <w:rsid w:val="009A2F00"/>
    <w:rsid w:val="009A309B"/>
    <w:rsid w:val="009A334E"/>
    <w:rsid w:val="009A349A"/>
    <w:rsid w:val="009A34DD"/>
    <w:rsid w:val="009A3636"/>
    <w:rsid w:val="009A385E"/>
    <w:rsid w:val="009A404A"/>
    <w:rsid w:val="009A4096"/>
    <w:rsid w:val="009A4154"/>
    <w:rsid w:val="009A41AF"/>
    <w:rsid w:val="009A44DA"/>
    <w:rsid w:val="009A4549"/>
    <w:rsid w:val="009A4753"/>
    <w:rsid w:val="009A4853"/>
    <w:rsid w:val="009A4F37"/>
    <w:rsid w:val="009A4F47"/>
    <w:rsid w:val="009A545F"/>
    <w:rsid w:val="009A558C"/>
    <w:rsid w:val="009A5F7F"/>
    <w:rsid w:val="009A70D9"/>
    <w:rsid w:val="009A71E3"/>
    <w:rsid w:val="009A71F5"/>
    <w:rsid w:val="009A7BFC"/>
    <w:rsid w:val="009A7E39"/>
    <w:rsid w:val="009A7F04"/>
    <w:rsid w:val="009A7F87"/>
    <w:rsid w:val="009B1206"/>
    <w:rsid w:val="009B1836"/>
    <w:rsid w:val="009B193B"/>
    <w:rsid w:val="009B1AB2"/>
    <w:rsid w:val="009B1B0E"/>
    <w:rsid w:val="009B1F79"/>
    <w:rsid w:val="009B200C"/>
    <w:rsid w:val="009B2908"/>
    <w:rsid w:val="009B299E"/>
    <w:rsid w:val="009B2A1A"/>
    <w:rsid w:val="009B2EF4"/>
    <w:rsid w:val="009B3490"/>
    <w:rsid w:val="009B34E1"/>
    <w:rsid w:val="009B359F"/>
    <w:rsid w:val="009B3C13"/>
    <w:rsid w:val="009B3E1B"/>
    <w:rsid w:val="009B3F5D"/>
    <w:rsid w:val="009B480C"/>
    <w:rsid w:val="009B49BB"/>
    <w:rsid w:val="009B4C2C"/>
    <w:rsid w:val="009B5461"/>
    <w:rsid w:val="009B5854"/>
    <w:rsid w:val="009B5B93"/>
    <w:rsid w:val="009B63B8"/>
    <w:rsid w:val="009B6967"/>
    <w:rsid w:val="009B6C63"/>
    <w:rsid w:val="009B6DDF"/>
    <w:rsid w:val="009B7206"/>
    <w:rsid w:val="009B770F"/>
    <w:rsid w:val="009B7AAD"/>
    <w:rsid w:val="009B7CA9"/>
    <w:rsid w:val="009C0680"/>
    <w:rsid w:val="009C06A8"/>
    <w:rsid w:val="009C1224"/>
    <w:rsid w:val="009C1525"/>
    <w:rsid w:val="009C16CC"/>
    <w:rsid w:val="009C171A"/>
    <w:rsid w:val="009C1726"/>
    <w:rsid w:val="009C187A"/>
    <w:rsid w:val="009C1B6B"/>
    <w:rsid w:val="009C1DE0"/>
    <w:rsid w:val="009C1E4F"/>
    <w:rsid w:val="009C22BA"/>
    <w:rsid w:val="009C2836"/>
    <w:rsid w:val="009C2C89"/>
    <w:rsid w:val="009C2EF6"/>
    <w:rsid w:val="009C3292"/>
    <w:rsid w:val="009C33C9"/>
    <w:rsid w:val="009C3A35"/>
    <w:rsid w:val="009C3D8D"/>
    <w:rsid w:val="009C3E0E"/>
    <w:rsid w:val="009C40B9"/>
    <w:rsid w:val="009C4131"/>
    <w:rsid w:val="009C4259"/>
    <w:rsid w:val="009C4A31"/>
    <w:rsid w:val="009C4DDB"/>
    <w:rsid w:val="009C4DF7"/>
    <w:rsid w:val="009C589B"/>
    <w:rsid w:val="009C5C40"/>
    <w:rsid w:val="009C6024"/>
    <w:rsid w:val="009C66F8"/>
    <w:rsid w:val="009C6980"/>
    <w:rsid w:val="009C6E40"/>
    <w:rsid w:val="009C75F5"/>
    <w:rsid w:val="009C7EAF"/>
    <w:rsid w:val="009D024B"/>
    <w:rsid w:val="009D0835"/>
    <w:rsid w:val="009D0CF6"/>
    <w:rsid w:val="009D11A2"/>
    <w:rsid w:val="009D15B4"/>
    <w:rsid w:val="009D1744"/>
    <w:rsid w:val="009D1A2A"/>
    <w:rsid w:val="009D212F"/>
    <w:rsid w:val="009D232C"/>
    <w:rsid w:val="009D2B80"/>
    <w:rsid w:val="009D2E69"/>
    <w:rsid w:val="009D301E"/>
    <w:rsid w:val="009D33EF"/>
    <w:rsid w:val="009D4122"/>
    <w:rsid w:val="009D417D"/>
    <w:rsid w:val="009D4ABC"/>
    <w:rsid w:val="009D58DF"/>
    <w:rsid w:val="009D5C07"/>
    <w:rsid w:val="009D5D4B"/>
    <w:rsid w:val="009D60FE"/>
    <w:rsid w:val="009D62B2"/>
    <w:rsid w:val="009D66E4"/>
    <w:rsid w:val="009D67F3"/>
    <w:rsid w:val="009D685F"/>
    <w:rsid w:val="009D68E5"/>
    <w:rsid w:val="009D6ED0"/>
    <w:rsid w:val="009D7602"/>
    <w:rsid w:val="009D77FE"/>
    <w:rsid w:val="009D7A81"/>
    <w:rsid w:val="009D7C3F"/>
    <w:rsid w:val="009E0266"/>
    <w:rsid w:val="009E0841"/>
    <w:rsid w:val="009E0883"/>
    <w:rsid w:val="009E0AF2"/>
    <w:rsid w:val="009E0DC2"/>
    <w:rsid w:val="009E0F39"/>
    <w:rsid w:val="009E115E"/>
    <w:rsid w:val="009E18C4"/>
    <w:rsid w:val="009E1E7B"/>
    <w:rsid w:val="009E1EAA"/>
    <w:rsid w:val="009E2293"/>
    <w:rsid w:val="009E252E"/>
    <w:rsid w:val="009E310C"/>
    <w:rsid w:val="009E31B2"/>
    <w:rsid w:val="009E34DE"/>
    <w:rsid w:val="009E3F99"/>
    <w:rsid w:val="009E47E5"/>
    <w:rsid w:val="009E48F4"/>
    <w:rsid w:val="009E4D67"/>
    <w:rsid w:val="009E4D97"/>
    <w:rsid w:val="009E4F28"/>
    <w:rsid w:val="009E5123"/>
    <w:rsid w:val="009E52E5"/>
    <w:rsid w:val="009E5473"/>
    <w:rsid w:val="009E593F"/>
    <w:rsid w:val="009E5CF2"/>
    <w:rsid w:val="009E5DEC"/>
    <w:rsid w:val="009E67B4"/>
    <w:rsid w:val="009E6BE1"/>
    <w:rsid w:val="009E6D17"/>
    <w:rsid w:val="009E73FE"/>
    <w:rsid w:val="009E77AA"/>
    <w:rsid w:val="009E7C41"/>
    <w:rsid w:val="009F042D"/>
    <w:rsid w:val="009F0901"/>
    <w:rsid w:val="009F09DD"/>
    <w:rsid w:val="009F0F59"/>
    <w:rsid w:val="009F12CD"/>
    <w:rsid w:val="009F139D"/>
    <w:rsid w:val="009F14FE"/>
    <w:rsid w:val="009F15EF"/>
    <w:rsid w:val="009F1C59"/>
    <w:rsid w:val="009F1D91"/>
    <w:rsid w:val="009F206B"/>
    <w:rsid w:val="009F2875"/>
    <w:rsid w:val="009F2B72"/>
    <w:rsid w:val="009F335A"/>
    <w:rsid w:val="009F34CE"/>
    <w:rsid w:val="009F37B3"/>
    <w:rsid w:val="009F3AA4"/>
    <w:rsid w:val="009F40F6"/>
    <w:rsid w:val="009F46AF"/>
    <w:rsid w:val="009F4ACC"/>
    <w:rsid w:val="009F4EAC"/>
    <w:rsid w:val="009F4F62"/>
    <w:rsid w:val="009F5112"/>
    <w:rsid w:val="009F6871"/>
    <w:rsid w:val="009F6CF6"/>
    <w:rsid w:val="009F6E1E"/>
    <w:rsid w:val="009F7030"/>
    <w:rsid w:val="009F712F"/>
    <w:rsid w:val="009F7431"/>
    <w:rsid w:val="009F762D"/>
    <w:rsid w:val="009F76BA"/>
    <w:rsid w:val="009F7A18"/>
    <w:rsid w:val="009F7C60"/>
    <w:rsid w:val="009F7FB1"/>
    <w:rsid w:val="00A000F1"/>
    <w:rsid w:val="00A0052A"/>
    <w:rsid w:val="00A005D9"/>
    <w:rsid w:val="00A005DA"/>
    <w:rsid w:val="00A005F9"/>
    <w:rsid w:val="00A00A04"/>
    <w:rsid w:val="00A01135"/>
    <w:rsid w:val="00A01905"/>
    <w:rsid w:val="00A01A84"/>
    <w:rsid w:val="00A01DB5"/>
    <w:rsid w:val="00A029D4"/>
    <w:rsid w:val="00A02EBE"/>
    <w:rsid w:val="00A02EC0"/>
    <w:rsid w:val="00A02F95"/>
    <w:rsid w:val="00A0340B"/>
    <w:rsid w:val="00A03753"/>
    <w:rsid w:val="00A03881"/>
    <w:rsid w:val="00A039C4"/>
    <w:rsid w:val="00A03D83"/>
    <w:rsid w:val="00A04011"/>
    <w:rsid w:val="00A042CA"/>
    <w:rsid w:val="00A049EC"/>
    <w:rsid w:val="00A05013"/>
    <w:rsid w:val="00A05054"/>
    <w:rsid w:val="00A052AB"/>
    <w:rsid w:val="00A058DB"/>
    <w:rsid w:val="00A05950"/>
    <w:rsid w:val="00A063E3"/>
    <w:rsid w:val="00A066C0"/>
    <w:rsid w:val="00A06757"/>
    <w:rsid w:val="00A0682B"/>
    <w:rsid w:val="00A06C3F"/>
    <w:rsid w:val="00A06CAA"/>
    <w:rsid w:val="00A06F87"/>
    <w:rsid w:val="00A06FEC"/>
    <w:rsid w:val="00A07F27"/>
    <w:rsid w:val="00A102C2"/>
    <w:rsid w:val="00A10771"/>
    <w:rsid w:val="00A109F3"/>
    <w:rsid w:val="00A10AF0"/>
    <w:rsid w:val="00A10D28"/>
    <w:rsid w:val="00A10E98"/>
    <w:rsid w:val="00A113BA"/>
    <w:rsid w:val="00A1153A"/>
    <w:rsid w:val="00A11906"/>
    <w:rsid w:val="00A11921"/>
    <w:rsid w:val="00A11CE8"/>
    <w:rsid w:val="00A11E66"/>
    <w:rsid w:val="00A11E84"/>
    <w:rsid w:val="00A1238D"/>
    <w:rsid w:val="00A12421"/>
    <w:rsid w:val="00A124C9"/>
    <w:rsid w:val="00A12E7C"/>
    <w:rsid w:val="00A13159"/>
    <w:rsid w:val="00A13917"/>
    <w:rsid w:val="00A1398D"/>
    <w:rsid w:val="00A13A44"/>
    <w:rsid w:val="00A13CD6"/>
    <w:rsid w:val="00A13F03"/>
    <w:rsid w:val="00A14095"/>
    <w:rsid w:val="00A1434B"/>
    <w:rsid w:val="00A14E87"/>
    <w:rsid w:val="00A14EA5"/>
    <w:rsid w:val="00A15004"/>
    <w:rsid w:val="00A150B8"/>
    <w:rsid w:val="00A15783"/>
    <w:rsid w:val="00A157BF"/>
    <w:rsid w:val="00A15C6C"/>
    <w:rsid w:val="00A15C7F"/>
    <w:rsid w:val="00A160FD"/>
    <w:rsid w:val="00A166FA"/>
    <w:rsid w:val="00A16844"/>
    <w:rsid w:val="00A1694D"/>
    <w:rsid w:val="00A173EF"/>
    <w:rsid w:val="00A17B48"/>
    <w:rsid w:val="00A17E06"/>
    <w:rsid w:val="00A17E34"/>
    <w:rsid w:val="00A17FC0"/>
    <w:rsid w:val="00A20494"/>
    <w:rsid w:val="00A2054D"/>
    <w:rsid w:val="00A205ED"/>
    <w:rsid w:val="00A208CB"/>
    <w:rsid w:val="00A20969"/>
    <w:rsid w:val="00A20D53"/>
    <w:rsid w:val="00A20F38"/>
    <w:rsid w:val="00A211F1"/>
    <w:rsid w:val="00A21748"/>
    <w:rsid w:val="00A218C0"/>
    <w:rsid w:val="00A21C47"/>
    <w:rsid w:val="00A21CD5"/>
    <w:rsid w:val="00A2222D"/>
    <w:rsid w:val="00A22B62"/>
    <w:rsid w:val="00A22B65"/>
    <w:rsid w:val="00A22D7C"/>
    <w:rsid w:val="00A23055"/>
    <w:rsid w:val="00A23108"/>
    <w:rsid w:val="00A23162"/>
    <w:rsid w:val="00A23D03"/>
    <w:rsid w:val="00A23E53"/>
    <w:rsid w:val="00A23F35"/>
    <w:rsid w:val="00A24291"/>
    <w:rsid w:val="00A242EE"/>
    <w:rsid w:val="00A24469"/>
    <w:rsid w:val="00A24FCD"/>
    <w:rsid w:val="00A25251"/>
    <w:rsid w:val="00A2531B"/>
    <w:rsid w:val="00A255DD"/>
    <w:rsid w:val="00A25865"/>
    <w:rsid w:val="00A25B0E"/>
    <w:rsid w:val="00A25C09"/>
    <w:rsid w:val="00A25FBA"/>
    <w:rsid w:val="00A26E95"/>
    <w:rsid w:val="00A27547"/>
    <w:rsid w:val="00A277F5"/>
    <w:rsid w:val="00A27988"/>
    <w:rsid w:val="00A303DC"/>
    <w:rsid w:val="00A30BEA"/>
    <w:rsid w:val="00A31917"/>
    <w:rsid w:val="00A319F0"/>
    <w:rsid w:val="00A321C8"/>
    <w:rsid w:val="00A32539"/>
    <w:rsid w:val="00A32BFA"/>
    <w:rsid w:val="00A339BC"/>
    <w:rsid w:val="00A33A65"/>
    <w:rsid w:val="00A33CBA"/>
    <w:rsid w:val="00A33EF7"/>
    <w:rsid w:val="00A342A9"/>
    <w:rsid w:val="00A34457"/>
    <w:rsid w:val="00A34923"/>
    <w:rsid w:val="00A34CB1"/>
    <w:rsid w:val="00A34EAE"/>
    <w:rsid w:val="00A355DD"/>
    <w:rsid w:val="00A3563F"/>
    <w:rsid w:val="00A357BF"/>
    <w:rsid w:val="00A35A06"/>
    <w:rsid w:val="00A35B3A"/>
    <w:rsid w:val="00A35F17"/>
    <w:rsid w:val="00A36233"/>
    <w:rsid w:val="00A372E6"/>
    <w:rsid w:val="00A373EB"/>
    <w:rsid w:val="00A37670"/>
    <w:rsid w:val="00A4022E"/>
    <w:rsid w:val="00A4041F"/>
    <w:rsid w:val="00A40664"/>
    <w:rsid w:val="00A40E40"/>
    <w:rsid w:val="00A40E98"/>
    <w:rsid w:val="00A40ECE"/>
    <w:rsid w:val="00A40F15"/>
    <w:rsid w:val="00A40FFE"/>
    <w:rsid w:val="00A411AA"/>
    <w:rsid w:val="00A414D9"/>
    <w:rsid w:val="00A4189B"/>
    <w:rsid w:val="00A4189D"/>
    <w:rsid w:val="00A4190E"/>
    <w:rsid w:val="00A41D2D"/>
    <w:rsid w:val="00A41F89"/>
    <w:rsid w:val="00A4210D"/>
    <w:rsid w:val="00A42346"/>
    <w:rsid w:val="00A43246"/>
    <w:rsid w:val="00A43C71"/>
    <w:rsid w:val="00A43CC0"/>
    <w:rsid w:val="00A4419A"/>
    <w:rsid w:val="00A44A49"/>
    <w:rsid w:val="00A44C20"/>
    <w:rsid w:val="00A44D65"/>
    <w:rsid w:val="00A44F51"/>
    <w:rsid w:val="00A45086"/>
    <w:rsid w:val="00A451BB"/>
    <w:rsid w:val="00A45530"/>
    <w:rsid w:val="00A45A69"/>
    <w:rsid w:val="00A463B4"/>
    <w:rsid w:val="00A467A6"/>
    <w:rsid w:val="00A468C5"/>
    <w:rsid w:val="00A468CE"/>
    <w:rsid w:val="00A46922"/>
    <w:rsid w:val="00A46992"/>
    <w:rsid w:val="00A46A57"/>
    <w:rsid w:val="00A46B3C"/>
    <w:rsid w:val="00A475D6"/>
    <w:rsid w:val="00A47673"/>
    <w:rsid w:val="00A476DB"/>
    <w:rsid w:val="00A500A3"/>
    <w:rsid w:val="00A500B9"/>
    <w:rsid w:val="00A50201"/>
    <w:rsid w:val="00A5091A"/>
    <w:rsid w:val="00A5094A"/>
    <w:rsid w:val="00A50A2B"/>
    <w:rsid w:val="00A51E3F"/>
    <w:rsid w:val="00A51F93"/>
    <w:rsid w:val="00A52364"/>
    <w:rsid w:val="00A52594"/>
    <w:rsid w:val="00A53BFF"/>
    <w:rsid w:val="00A54121"/>
    <w:rsid w:val="00A5439F"/>
    <w:rsid w:val="00A54AA5"/>
    <w:rsid w:val="00A5577B"/>
    <w:rsid w:val="00A55951"/>
    <w:rsid w:val="00A55BA8"/>
    <w:rsid w:val="00A55C7E"/>
    <w:rsid w:val="00A56710"/>
    <w:rsid w:val="00A567BC"/>
    <w:rsid w:val="00A56906"/>
    <w:rsid w:val="00A56A53"/>
    <w:rsid w:val="00A56BE2"/>
    <w:rsid w:val="00A5737A"/>
    <w:rsid w:val="00A57F53"/>
    <w:rsid w:val="00A6000D"/>
    <w:rsid w:val="00A6026D"/>
    <w:rsid w:val="00A60CB3"/>
    <w:rsid w:val="00A6187E"/>
    <w:rsid w:val="00A61982"/>
    <w:rsid w:val="00A61B10"/>
    <w:rsid w:val="00A61ED1"/>
    <w:rsid w:val="00A61F0D"/>
    <w:rsid w:val="00A62292"/>
    <w:rsid w:val="00A63178"/>
    <w:rsid w:val="00A63450"/>
    <w:rsid w:val="00A6388D"/>
    <w:rsid w:val="00A638C1"/>
    <w:rsid w:val="00A63D8D"/>
    <w:rsid w:val="00A641AA"/>
    <w:rsid w:val="00A6458E"/>
    <w:rsid w:val="00A648FE"/>
    <w:rsid w:val="00A64A17"/>
    <w:rsid w:val="00A64BF5"/>
    <w:rsid w:val="00A64F19"/>
    <w:rsid w:val="00A6519A"/>
    <w:rsid w:val="00A6528E"/>
    <w:rsid w:val="00A65978"/>
    <w:rsid w:val="00A65A0C"/>
    <w:rsid w:val="00A66743"/>
    <w:rsid w:val="00A66B44"/>
    <w:rsid w:val="00A66BE0"/>
    <w:rsid w:val="00A673B4"/>
    <w:rsid w:val="00A679C8"/>
    <w:rsid w:val="00A67D7B"/>
    <w:rsid w:val="00A67EB8"/>
    <w:rsid w:val="00A70020"/>
    <w:rsid w:val="00A701AF"/>
    <w:rsid w:val="00A702B5"/>
    <w:rsid w:val="00A7035D"/>
    <w:rsid w:val="00A705F7"/>
    <w:rsid w:val="00A70601"/>
    <w:rsid w:val="00A7072A"/>
    <w:rsid w:val="00A70B0B"/>
    <w:rsid w:val="00A70B12"/>
    <w:rsid w:val="00A70B5D"/>
    <w:rsid w:val="00A70CE9"/>
    <w:rsid w:val="00A70DB8"/>
    <w:rsid w:val="00A70FC0"/>
    <w:rsid w:val="00A7124C"/>
    <w:rsid w:val="00A71528"/>
    <w:rsid w:val="00A7161B"/>
    <w:rsid w:val="00A71D2A"/>
    <w:rsid w:val="00A72438"/>
    <w:rsid w:val="00A72849"/>
    <w:rsid w:val="00A731A9"/>
    <w:rsid w:val="00A738B7"/>
    <w:rsid w:val="00A73B77"/>
    <w:rsid w:val="00A73C25"/>
    <w:rsid w:val="00A74056"/>
    <w:rsid w:val="00A74313"/>
    <w:rsid w:val="00A747C6"/>
    <w:rsid w:val="00A74D89"/>
    <w:rsid w:val="00A74F49"/>
    <w:rsid w:val="00A75555"/>
    <w:rsid w:val="00A766A4"/>
    <w:rsid w:val="00A7699A"/>
    <w:rsid w:val="00A76DC6"/>
    <w:rsid w:val="00A76FB0"/>
    <w:rsid w:val="00A777D6"/>
    <w:rsid w:val="00A801CC"/>
    <w:rsid w:val="00A8039D"/>
    <w:rsid w:val="00A80B46"/>
    <w:rsid w:val="00A80EAC"/>
    <w:rsid w:val="00A812E5"/>
    <w:rsid w:val="00A82597"/>
    <w:rsid w:val="00A82961"/>
    <w:rsid w:val="00A82AE4"/>
    <w:rsid w:val="00A82B8A"/>
    <w:rsid w:val="00A82C5C"/>
    <w:rsid w:val="00A830CC"/>
    <w:rsid w:val="00A831C5"/>
    <w:rsid w:val="00A831E0"/>
    <w:rsid w:val="00A83224"/>
    <w:rsid w:val="00A833D3"/>
    <w:rsid w:val="00A841BA"/>
    <w:rsid w:val="00A8461F"/>
    <w:rsid w:val="00A84985"/>
    <w:rsid w:val="00A84BDA"/>
    <w:rsid w:val="00A84CCA"/>
    <w:rsid w:val="00A84CF1"/>
    <w:rsid w:val="00A84D19"/>
    <w:rsid w:val="00A84F42"/>
    <w:rsid w:val="00A84FB3"/>
    <w:rsid w:val="00A8510D"/>
    <w:rsid w:val="00A85219"/>
    <w:rsid w:val="00A85279"/>
    <w:rsid w:val="00A8557C"/>
    <w:rsid w:val="00A85742"/>
    <w:rsid w:val="00A85A87"/>
    <w:rsid w:val="00A85DBE"/>
    <w:rsid w:val="00A85DCF"/>
    <w:rsid w:val="00A85F5A"/>
    <w:rsid w:val="00A86067"/>
    <w:rsid w:val="00A860C6"/>
    <w:rsid w:val="00A863D8"/>
    <w:rsid w:val="00A867CD"/>
    <w:rsid w:val="00A86C23"/>
    <w:rsid w:val="00A86E5F"/>
    <w:rsid w:val="00A8733E"/>
    <w:rsid w:val="00A873D1"/>
    <w:rsid w:val="00A873FE"/>
    <w:rsid w:val="00A87575"/>
    <w:rsid w:val="00A87D5D"/>
    <w:rsid w:val="00A900E4"/>
    <w:rsid w:val="00A9046F"/>
    <w:rsid w:val="00A90558"/>
    <w:rsid w:val="00A908D3"/>
    <w:rsid w:val="00A91188"/>
    <w:rsid w:val="00A91387"/>
    <w:rsid w:val="00A91616"/>
    <w:rsid w:val="00A918E6"/>
    <w:rsid w:val="00A91924"/>
    <w:rsid w:val="00A91BDA"/>
    <w:rsid w:val="00A92EE5"/>
    <w:rsid w:val="00A92FD0"/>
    <w:rsid w:val="00A9304A"/>
    <w:rsid w:val="00A93447"/>
    <w:rsid w:val="00A934E3"/>
    <w:rsid w:val="00A93573"/>
    <w:rsid w:val="00A93C07"/>
    <w:rsid w:val="00A93CD2"/>
    <w:rsid w:val="00A94115"/>
    <w:rsid w:val="00A94514"/>
    <w:rsid w:val="00A946F2"/>
    <w:rsid w:val="00A94A9C"/>
    <w:rsid w:val="00A954B3"/>
    <w:rsid w:val="00A958CC"/>
    <w:rsid w:val="00A95A88"/>
    <w:rsid w:val="00A95F20"/>
    <w:rsid w:val="00A96298"/>
    <w:rsid w:val="00A9683D"/>
    <w:rsid w:val="00A96B51"/>
    <w:rsid w:val="00A97053"/>
    <w:rsid w:val="00A979B9"/>
    <w:rsid w:val="00A97C45"/>
    <w:rsid w:val="00A97C71"/>
    <w:rsid w:val="00A97E13"/>
    <w:rsid w:val="00AA043F"/>
    <w:rsid w:val="00AA04D7"/>
    <w:rsid w:val="00AA04D9"/>
    <w:rsid w:val="00AA0576"/>
    <w:rsid w:val="00AA070D"/>
    <w:rsid w:val="00AA0C56"/>
    <w:rsid w:val="00AA0C6F"/>
    <w:rsid w:val="00AA0E68"/>
    <w:rsid w:val="00AA0EB1"/>
    <w:rsid w:val="00AA19B7"/>
    <w:rsid w:val="00AA1AD4"/>
    <w:rsid w:val="00AA1DED"/>
    <w:rsid w:val="00AA207E"/>
    <w:rsid w:val="00AA26D8"/>
    <w:rsid w:val="00AA31C2"/>
    <w:rsid w:val="00AA39A3"/>
    <w:rsid w:val="00AA3B2B"/>
    <w:rsid w:val="00AA3F1C"/>
    <w:rsid w:val="00AA453D"/>
    <w:rsid w:val="00AA4ABD"/>
    <w:rsid w:val="00AA4D33"/>
    <w:rsid w:val="00AA4DA8"/>
    <w:rsid w:val="00AA4DB3"/>
    <w:rsid w:val="00AA5257"/>
    <w:rsid w:val="00AA55F1"/>
    <w:rsid w:val="00AA5847"/>
    <w:rsid w:val="00AA5B35"/>
    <w:rsid w:val="00AA622C"/>
    <w:rsid w:val="00AA6394"/>
    <w:rsid w:val="00AA6451"/>
    <w:rsid w:val="00AA6A03"/>
    <w:rsid w:val="00AA6BC1"/>
    <w:rsid w:val="00AA6E17"/>
    <w:rsid w:val="00AA7021"/>
    <w:rsid w:val="00AA7097"/>
    <w:rsid w:val="00AA7330"/>
    <w:rsid w:val="00AA7573"/>
    <w:rsid w:val="00AA770B"/>
    <w:rsid w:val="00AA7910"/>
    <w:rsid w:val="00AA7A92"/>
    <w:rsid w:val="00AA7B72"/>
    <w:rsid w:val="00AA7C10"/>
    <w:rsid w:val="00AA7C1B"/>
    <w:rsid w:val="00AA7DE6"/>
    <w:rsid w:val="00AA7E0F"/>
    <w:rsid w:val="00AA7F7A"/>
    <w:rsid w:val="00AB01EB"/>
    <w:rsid w:val="00AB0579"/>
    <w:rsid w:val="00AB0CEF"/>
    <w:rsid w:val="00AB1D19"/>
    <w:rsid w:val="00AB1DE9"/>
    <w:rsid w:val="00AB2555"/>
    <w:rsid w:val="00AB2A50"/>
    <w:rsid w:val="00AB2AA9"/>
    <w:rsid w:val="00AB2C86"/>
    <w:rsid w:val="00AB2EF2"/>
    <w:rsid w:val="00AB31EF"/>
    <w:rsid w:val="00AB35E0"/>
    <w:rsid w:val="00AB364C"/>
    <w:rsid w:val="00AB36EA"/>
    <w:rsid w:val="00AB3C36"/>
    <w:rsid w:val="00AB3F3F"/>
    <w:rsid w:val="00AB3FA3"/>
    <w:rsid w:val="00AB41CB"/>
    <w:rsid w:val="00AB4710"/>
    <w:rsid w:val="00AB489E"/>
    <w:rsid w:val="00AB4C0E"/>
    <w:rsid w:val="00AB4E2D"/>
    <w:rsid w:val="00AB4E77"/>
    <w:rsid w:val="00AB628F"/>
    <w:rsid w:val="00AB6722"/>
    <w:rsid w:val="00AB682A"/>
    <w:rsid w:val="00AB7253"/>
    <w:rsid w:val="00AB74D7"/>
    <w:rsid w:val="00AB7932"/>
    <w:rsid w:val="00AB7974"/>
    <w:rsid w:val="00AB79A7"/>
    <w:rsid w:val="00AC0126"/>
    <w:rsid w:val="00AC01B0"/>
    <w:rsid w:val="00AC02C9"/>
    <w:rsid w:val="00AC02FE"/>
    <w:rsid w:val="00AC0341"/>
    <w:rsid w:val="00AC03C0"/>
    <w:rsid w:val="00AC0678"/>
    <w:rsid w:val="00AC0A6E"/>
    <w:rsid w:val="00AC0B1F"/>
    <w:rsid w:val="00AC0D8D"/>
    <w:rsid w:val="00AC0EF2"/>
    <w:rsid w:val="00AC10ED"/>
    <w:rsid w:val="00AC21C9"/>
    <w:rsid w:val="00AC258E"/>
    <w:rsid w:val="00AC2664"/>
    <w:rsid w:val="00AC2C0D"/>
    <w:rsid w:val="00AC3A2C"/>
    <w:rsid w:val="00AC3AFF"/>
    <w:rsid w:val="00AC3CC0"/>
    <w:rsid w:val="00AC3E66"/>
    <w:rsid w:val="00AC3EF5"/>
    <w:rsid w:val="00AC42D8"/>
    <w:rsid w:val="00AC49DE"/>
    <w:rsid w:val="00AC4AEA"/>
    <w:rsid w:val="00AC4D4F"/>
    <w:rsid w:val="00AC5824"/>
    <w:rsid w:val="00AC5BBF"/>
    <w:rsid w:val="00AC5BF4"/>
    <w:rsid w:val="00AC5CB5"/>
    <w:rsid w:val="00AC624F"/>
    <w:rsid w:val="00AC629A"/>
    <w:rsid w:val="00AC6862"/>
    <w:rsid w:val="00AC6AF9"/>
    <w:rsid w:val="00AC6D91"/>
    <w:rsid w:val="00AC6F25"/>
    <w:rsid w:val="00AC7514"/>
    <w:rsid w:val="00AC7B17"/>
    <w:rsid w:val="00AC7C29"/>
    <w:rsid w:val="00AD0066"/>
    <w:rsid w:val="00AD045F"/>
    <w:rsid w:val="00AD06CF"/>
    <w:rsid w:val="00AD06F5"/>
    <w:rsid w:val="00AD1677"/>
    <w:rsid w:val="00AD1757"/>
    <w:rsid w:val="00AD18DA"/>
    <w:rsid w:val="00AD18F6"/>
    <w:rsid w:val="00AD1AE6"/>
    <w:rsid w:val="00AD22E2"/>
    <w:rsid w:val="00AD25A2"/>
    <w:rsid w:val="00AD3313"/>
    <w:rsid w:val="00AD35B9"/>
    <w:rsid w:val="00AD3EC7"/>
    <w:rsid w:val="00AD4046"/>
    <w:rsid w:val="00AD456A"/>
    <w:rsid w:val="00AD5062"/>
    <w:rsid w:val="00AD50B8"/>
    <w:rsid w:val="00AD573D"/>
    <w:rsid w:val="00AD59BA"/>
    <w:rsid w:val="00AD5CFC"/>
    <w:rsid w:val="00AD60F4"/>
    <w:rsid w:val="00AD7302"/>
    <w:rsid w:val="00AD74E2"/>
    <w:rsid w:val="00AD7A3C"/>
    <w:rsid w:val="00AD7DE4"/>
    <w:rsid w:val="00AE08B7"/>
    <w:rsid w:val="00AE0F7C"/>
    <w:rsid w:val="00AE10F8"/>
    <w:rsid w:val="00AE121A"/>
    <w:rsid w:val="00AE1751"/>
    <w:rsid w:val="00AE17E5"/>
    <w:rsid w:val="00AE1931"/>
    <w:rsid w:val="00AE19F7"/>
    <w:rsid w:val="00AE1A94"/>
    <w:rsid w:val="00AE1AFE"/>
    <w:rsid w:val="00AE1C66"/>
    <w:rsid w:val="00AE1DF3"/>
    <w:rsid w:val="00AE1EA2"/>
    <w:rsid w:val="00AE1F8A"/>
    <w:rsid w:val="00AE1FD1"/>
    <w:rsid w:val="00AE249C"/>
    <w:rsid w:val="00AE24E7"/>
    <w:rsid w:val="00AE2642"/>
    <w:rsid w:val="00AE26FC"/>
    <w:rsid w:val="00AE2AB9"/>
    <w:rsid w:val="00AE33A7"/>
    <w:rsid w:val="00AE3542"/>
    <w:rsid w:val="00AE35DF"/>
    <w:rsid w:val="00AE37CB"/>
    <w:rsid w:val="00AE38CC"/>
    <w:rsid w:val="00AE3A46"/>
    <w:rsid w:val="00AE3BCD"/>
    <w:rsid w:val="00AE3C3D"/>
    <w:rsid w:val="00AE41A8"/>
    <w:rsid w:val="00AE43BE"/>
    <w:rsid w:val="00AE4DAF"/>
    <w:rsid w:val="00AE4E4D"/>
    <w:rsid w:val="00AE5131"/>
    <w:rsid w:val="00AE5683"/>
    <w:rsid w:val="00AE5897"/>
    <w:rsid w:val="00AE5941"/>
    <w:rsid w:val="00AE5AAF"/>
    <w:rsid w:val="00AE5BE7"/>
    <w:rsid w:val="00AE5CAC"/>
    <w:rsid w:val="00AE5DAC"/>
    <w:rsid w:val="00AE60BA"/>
    <w:rsid w:val="00AE60DF"/>
    <w:rsid w:val="00AE631A"/>
    <w:rsid w:val="00AE6386"/>
    <w:rsid w:val="00AE7B6B"/>
    <w:rsid w:val="00AF0243"/>
    <w:rsid w:val="00AF0418"/>
    <w:rsid w:val="00AF05A6"/>
    <w:rsid w:val="00AF114B"/>
    <w:rsid w:val="00AF1359"/>
    <w:rsid w:val="00AF161A"/>
    <w:rsid w:val="00AF199C"/>
    <w:rsid w:val="00AF1B8F"/>
    <w:rsid w:val="00AF1E01"/>
    <w:rsid w:val="00AF1F31"/>
    <w:rsid w:val="00AF276C"/>
    <w:rsid w:val="00AF2990"/>
    <w:rsid w:val="00AF33F8"/>
    <w:rsid w:val="00AF3CA1"/>
    <w:rsid w:val="00AF3DF0"/>
    <w:rsid w:val="00AF4739"/>
    <w:rsid w:val="00AF48A9"/>
    <w:rsid w:val="00AF4990"/>
    <w:rsid w:val="00AF4EB8"/>
    <w:rsid w:val="00AF5562"/>
    <w:rsid w:val="00AF566D"/>
    <w:rsid w:val="00AF6188"/>
    <w:rsid w:val="00AF651E"/>
    <w:rsid w:val="00AF6E42"/>
    <w:rsid w:val="00AF707B"/>
    <w:rsid w:val="00AF7A8D"/>
    <w:rsid w:val="00AF7BE2"/>
    <w:rsid w:val="00AF7C24"/>
    <w:rsid w:val="00AF7D3F"/>
    <w:rsid w:val="00AF7F28"/>
    <w:rsid w:val="00B001B6"/>
    <w:rsid w:val="00B0072B"/>
    <w:rsid w:val="00B00A07"/>
    <w:rsid w:val="00B00B26"/>
    <w:rsid w:val="00B00CE4"/>
    <w:rsid w:val="00B00F9E"/>
    <w:rsid w:val="00B011D7"/>
    <w:rsid w:val="00B011F1"/>
    <w:rsid w:val="00B01299"/>
    <w:rsid w:val="00B020B7"/>
    <w:rsid w:val="00B026FA"/>
    <w:rsid w:val="00B0273F"/>
    <w:rsid w:val="00B02ADA"/>
    <w:rsid w:val="00B02E6E"/>
    <w:rsid w:val="00B02ED5"/>
    <w:rsid w:val="00B03627"/>
    <w:rsid w:val="00B039D2"/>
    <w:rsid w:val="00B03A04"/>
    <w:rsid w:val="00B03AB8"/>
    <w:rsid w:val="00B03D25"/>
    <w:rsid w:val="00B04049"/>
    <w:rsid w:val="00B040AF"/>
    <w:rsid w:val="00B049D4"/>
    <w:rsid w:val="00B05091"/>
    <w:rsid w:val="00B0523A"/>
    <w:rsid w:val="00B052ED"/>
    <w:rsid w:val="00B05680"/>
    <w:rsid w:val="00B05701"/>
    <w:rsid w:val="00B05DFE"/>
    <w:rsid w:val="00B05F69"/>
    <w:rsid w:val="00B0601E"/>
    <w:rsid w:val="00B06460"/>
    <w:rsid w:val="00B068F7"/>
    <w:rsid w:val="00B06A67"/>
    <w:rsid w:val="00B06B7C"/>
    <w:rsid w:val="00B06EDB"/>
    <w:rsid w:val="00B0710A"/>
    <w:rsid w:val="00B07145"/>
    <w:rsid w:val="00B0723D"/>
    <w:rsid w:val="00B0797F"/>
    <w:rsid w:val="00B07D1D"/>
    <w:rsid w:val="00B10520"/>
    <w:rsid w:val="00B107B0"/>
    <w:rsid w:val="00B107D6"/>
    <w:rsid w:val="00B10889"/>
    <w:rsid w:val="00B10986"/>
    <w:rsid w:val="00B11033"/>
    <w:rsid w:val="00B113BD"/>
    <w:rsid w:val="00B113CA"/>
    <w:rsid w:val="00B11AF7"/>
    <w:rsid w:val="00B11B09"/>
    <w:rsid w:val="00B11DDF"/>
    <w:rsid w:val="00B11E0C"/>
    <w:rsid w:val="00B11FC0"/>
    <w:rsid w:val="00B14585"/>
    <w:rsid w:val="00B145B0"/>
    <w:rsid w:val="00B14A7C"/>
    <w:rsid w:val="00B14BAA"/>
    <w:rsid w:val="00B14BFD"/>
    <w:rsid w:val="00B14C52"/>
    <w:rsid w:val="00B14F21"/>
    <w:rsid w:val="00B1561A"/>
    <w:rsid w:val="00B15B7A"/>
    <w:rsid w:val="00B16028"/>
    <w:rsid w:val="00B16141"/>
    <w:rsid w:val="00B161E5"/>
    <w:rsid w:val="00B162B2"/>
    <w:rsid w:val="00B1680D"/>
    <w:rsid w:val="00B168AF"/>
    <w:rsid w:val="00B168E7"/>
    <w:rsid w:val="00B16DCE"/>
    <w:rsid w:val="00B16E84"/>
    <w:rsid w:val="00B17113"/>
    <w:rsid w:val="00B171F7"/>
    <w:rsid w:val="00B1766F"/>
    <w:rsid w:val="00B17D20"/>
    <w:rsid w:val="00B20584"/>
    <w:rsid w:val="00B20928"/>
    <w:rsid w:val="00B20BF6"/>
    <w:rsid w:val="00B20C18"/>
    <w:rsid w:val="00B2138E"/>
    <w:rsid w:val="00B226E3"/>
    <w:rsid w:val="00B227C3"/>
    <w:rsid w:val="00B228D3"/>
    <w:rsid w:val="00B234C4"/>
    <w:rsid w:val="00B2357E"/>
    <w:rsid w:val="00B236DE"/>
    <w:rsid w:val="00B23991"/>
    <w:rsid w:val="00B24EA8"/>
    <w:rsid w:val="00B24F02"/>
    <w:rsid w:val="00B250B2"/>
    <w:rsid w:val="00B25263"/>
    <w:rsid w:val="00B25570"/>
    <w:rsid w:val="00B25981"/>
    <w:rsid w:val="00B25E29"/>
    <w:rsid w:val="00B26120"/>
    <w:rsid w:val="00B264B2"/>
    <w:rsid w:val="00B2700A"/>
    <w:rsid w:val="00B27464"/>
    <w:rsid w:val="00B275EE"/>
    <w:rsid w:val="00B2781B"/>
    <w:rsid w:val="00B2786D"/>
    <w:rsid w:val="00B27B57"/>
    <w:rsid w:val="00B301C5"/>
    <w:rsid w:val="00B301E9"/>
    <w:rsid w:val="00B305C4"/>
    <w:rsid w:val="00B3086D"/>
    <w:rsid w:val="00B30A1F"/>
    <w:rsid w:val="00B31041"/>
    <w:rsid w:val="00B31088"/>
    <w:rsid w:val="00B310C4"/>
    <w:rsid w:val="00B31548"/>
    <w:rsid w:val="00B315CA"/>
    <w:rsid w:val="00B315E7"/>
    <w:rsid w:val="00B3181C"/>
    <w:rsid w:val="00B325E1"/>
    <w:rsid w:val="00B3270B"/>
    <w:rsid w:val="00B32D0B"/>
    <w:rsid w:val="00B33634"/>
    <w:rsid w:val="00B33795"/>
    <w:rsid w:val="00B33922"/>
    <w:rsid w:val="00B33AAC"/>
    <w:rsid w:val="00B33BD0"/>
    <w:rsid w:val="00B340C2"/>
    <w:rsid w:val="00B34471"/>
    <w:rsid w:val="00B34BB6"/>
    <w:rsid w:val="00B3512C"/>
    <w:rsid w:val="00B353E0"/>
    <w:rsid w:val="00B357CC"/>
    <w:rsid w:val="00B360BB"/>
    <w:rsid w:val="00B361AA"/>
    <w:rsid w:val="00B36262"/>
    <w:rsid w:val="00B362CE"/>
    <w:rsid w:val="00B3631C"/>
    <w:rsid w:val="00B363DB"/>
    <w:rsid w:val="00B36E23"/>
    <w:rsid w:val="00B3705B"/>
    <w:rsid w:val="00B3727C"/>
    <w:rsid w:val="00B4044A"/>
    <w:rsid w:val="00B4046B"/>
    <w:rsid w:val="00B40661"/>
    <w:rsid w:val="00B40D14"/>
    <w:rsid w:val="00B40D50"/>
    <w:rsid w:val="00B40EB4"/>
    <w:rsid w:val="00B410BE"/>
    <w:rsid w:val="00B411A6"/>
    <w:rsid w:val="00B411B3"/>
    <w:rsid w:val="00B413C8"/>
    <w:rsid w:val="00B4162A"/>
    <w:rsid w:val="00B4175B"/>
    <w:rsid w:val="00B417A2"/>
    <w:rsid w:val="00B41D1A"/>
    <w:rsid w:val="00B42045"/>
    <w:rsid w:val="00B421BB"/>
    <w:rsid w:val="00B422FA"/>
    <w:rsid w:val="00B42BF3"/>
    <w:rsid w:val="00B42CDE"/>
    <w:rsid w:val="00B42D27"/>
    <w:rsid w:val="00B4363D"/>
    <w:rsid w:val="00B4369E"/>
    <w:rsid w:val="00B43C9D"/>
    <w:rsid w:val="00B43CBE"/>
    <w:rsid w:val="00B4448C"/>
    <w:rsid w:val="00B44576"/>
    <w:rsid w:val="00B4466F"/>
    <w:rsid w:val="00B4481B"/>
    <w:rsid w:val="00B44E9F"/>
    <w:rsid w:val="00B44FCF"/>
    <w:rsid w:val="00B45D87"/>
    <w:rsid w:val="00B462CF"/>
    <w:rsid w:val="00B4653F"/>
    <w:rsid w:val="00B4672E"/>
    <w:rsid w:val="00B46851"/>
    <w:rsid w:val="00B46BEE"/>
    <w:rsid w:val="00B46CAD"/>
    <w:rsid w:val="00B46EF4"/>
    <w:rsid w:val="00B4746D"/>
    <w:rsid w:val="00B47789"/>
    <w:rsid w:val="00B478D9"/>
    <w:rsid w:val="00B5004F"/>
    <w:rsid w:val="00B503E9"/>
    <w:rsid w:val="00B50425"/>
    <w:rsid w:val="00B50BA0"/>
    <w:rsid w:val="00B50C38"/>
    <w:rsid w:val="00B50F95"/>
    <w:rsid w:val="00B51673"/>
    <w:rsid w:val="00B519B8"/>
    <w:rsid w:val="00B51B1F"/>
    <w:rsid w:val="00B51BD2"/>
    <w:rsid w:val="00B52361"/>
    <w:rsid w:val="00B52E26"/>
    <w:rsid w:val="00B52E82"/>
    <w:rsid w:val="00B530B9"/>
    <w:rsid w:val="00B53422"/>
    <w:rsid w:val="00B5379D"/>
    <w:rsid w:val="00B53835"/>
    <w:rsid w:val="00B539AA"/>
    <w:rsid w:val="00B53B0A"/>
    <w:rsid w:val="00B53C81"/>
    <w:rsid w:val="00B53D67"/>
    <w:rsid w:val="00B53FEF"/>
    <w:rsid w:val="00B540BC"/>
    <w:rsid w:val="00B54308"/>
    <w:rsid w:val="00B5478F"/>
    <w:rsid w:val="00B54819"/>
    <w:rsid w:val="00B554A6"/>
    <w:rsid w:val="00B554C1"/>
    <w:rsid w:val="00B55D22"/>
    <w:rsid w:val="00B55D4B"/>
    <w:rsid w:val="00B560CA"/>
    <w:rsid w:val="00B5627E"/>
    <w:rsid w:val="00B5646E"/>
    <w:rsid w:val="00B566D0"/>
    <w:rsid w:val="00B567AB"/>
    <w:rsid w:val="00B56A5A"/>
    <w:rsid w:val="00B56AC1"/>
    <w:rsid w:val="00B56C13"/>
    <w:rsid w:val="00B56E26"/>
    <w:rsid w:val="00B57256"/>
    <w:rsid w:val="00B575B1"/>
    <w:rsid w:val="00B576EB"/>
    <w:rsid w:val="00B600BB"/>
    <w:rsid w:val="00B601DD"/>
    <w:rsid w:val="00B6035E"/>
    <w:rsid w:val="00B6043C"/>
    <w:rsid w:val="00B60447"/>
    <w:rsid w:val="00B60562"/>
    <w:rsid w:val="00B607BE"/>
    <w:rsid w:val="00B60B5C"/>
    <w:rsid w:val="00B61156"/>
    <w:rsid w:val="00B6152E"/>
    <w:rsid w:val="00B61909"/>
    <w:rsid w:val="00B61CB3"/>
    <w:rsid w:val="00B61DB1"/>
    <w:rsid w:val="00B61F5E"/>
    <w:rsid w:val="00B62543"/>
    <w:rsid w:val="00B62742"/>
    <w:rsid w:val="00B62872"/>
    <w:rsid w:val="00B62AAA"/>
    <w:rsid w:val="00B62E07"/>
    <w:rsid w:val="00B63056"/>
    <w:rsid w:val="00B632C7"/>
    <w:rsid w:val="00B634F2"/>
    <w:rsid w:val="00B6375C"/>
    <w:rsid w:val="00B63825"/>
    <w:rsid w:val="00B63E44"/>
    <w:rsid w:val="00B6441B"/>
    <w:rsid w:val="00B645CF"/>
    <w:rsid w:val="00B645F1"/>
    <w:rsid w:val="00B64792"/>
    <w:rsid w:val="00B64B01"/>
    <w:rsid w:val="00B64C2A"/>
    <w:rsid w:val="00B6518D"/>
    <w:rsid w:val="00B65A3F"/>
    <w:rsid w:val="00B660C3"/>
    <w:rsid w:val="00B66132"/>
    <w:rsid w:val="00B66B33"/>
    <w:rsid w:val="00B67996"/>
    <w:rsid w:val="00B67A91"/>
    <w:rsid w:val="00B67DC0"/>
    <w:rsid w:val="00B70475"/>
    <w:rsid w:val="00B70479"/>
    <w:rsid w:val="00B70915"/>
    <w:rsid w:val="00B70C9F"/>
    <w:rsid w:val="00B712C2"/>
    <w:rsid w:val="00B7156A"/>
    <w:rsid w:val="00B71779"/>
    <w:rsid w:val="00B7178D"/>
    <w:rsid w:val="00B71E81"/>
    <w:rsid w:val="00B7238D"/>
    <w:rsid w:val="00B7245E"/>
    <w:rsid w:val="00B72743"/>
    <w:rsid w:val="00B72B25"/>
    <w:rsid w:val="00B7317B"/>
    <w:rsid w:val="00B73D26"/>
    <w:rsid w:val="00B7406C"/>
    <w:rsid w:val="00B744F7"/>
    <w:rsid w:val="00B7465A"/>
    <w:rsid w:val="00B74858"/>
    <w:rsid w:val="00B74DB6"/>
    <w:rsid w:val="00B75122"/>
    <w:rsid w:val="00B75729"/>
    <w:rsid w:val="00B75740"/>
    <w:rsid w:val="00B760AE"/>
    <w:rsid w:val="00B7621E"/>
    <w:rsid w:val="00B76D5A"/>
    <w:rsid w:val="00B77744"/>
    <w:rsid w:val="00B77DA6"/>
    <w:rsid w:val="00B77F88"/>
    <w:rsid w:val="00B77FE3"/>
    <w:rsid w:val="00B80208"/>
    <w:rsid w:val="00B80704"/>
    <w:rsid w:val="00B80C2A"/>
    <w:rsid w:val="00B80C33"/>
    <w:rsid w:val="00B80D30"/>
    <w:rsid w:val="00B80D7B"/>
    <w:rsid w:val="00B80EE9"/>
    <w:rsid w:val="00B80F9C"/>
    <w:rsid w:val="00B8101C"/>
    <w:rsid w:val="00B8121B"/>
    <w:rsid w:val="00B812AC"/>
    <w:rsid w:val="00B8192E"/>
    <w:rsid w:val="00B81E2A"/>
    <w:rsid w:val="00B81E4F"/>
    <w:rsid w:val="00B828A3"/>
    <w:rsid w:val="00B82AFA"/>
    <w:rsid w:val="00B82CB6"/>
    <w:rsid w:val="00B82E2E"/>
    <w:rsid w:val="00B834AC"/>
    <w:rsid w:val="00B83AD7"/>
    <w:rsid w:val="00B84055"/>
    <w:rsid w:val="00B84151"/>
    <w:rsid w:val="00B84766"/>
    <w:rsid w:val="00B84FCB"/>
    <w:rsid w:val="00B8513C"/>
    <w:rsid w:val="00B851CE"/>
    <w:rsid w:val="00B856CE"/>
    <w:rsid w:val="00B85C0E"/>
    <w:rsid w:val="00B86792"/>
    <w:rsid w:val="00B867F3"/>
    <w:rsid w:val="00B86A3E"/>
    <w:rsid w:val="00B86B0C"/>
    <w:rsid w:val="00B86E7A"/>
    <w:rsid w:val="00B8755F"/>
    <w:rsid w:val="00B87619"/>
    <w:rsid w:val="00B87665"/>
    <w:rsid w:val="00B876DD"/>
    <w:rsid w:val="00B8782C"/>
    <w:rsid w:val="00B879BD"/>
    <w:rsid w:val="00B87B59"/>
    <w:rsid w:val="00B90635"/>
    <w:rsid w:val="00B90801"/>
    <w:rsid w:val="00B90BFC"/>
    <w:rsid w:val="00B90CCD"/>
    <w:rsid w:val="00B90D03"/>
    <w:rsid w:val="00B910D9"/>
    <w:rsid w:val="00B911AB"/>
    <w:rsid w:val="00B91603"/>
    <w:rsid w:val="00B9188F"/>
    <w:rsid w:val="00B91DE3"/>
    <w:rsid w:val="00B91F86"/>
    <w:rsid w:val="00B9205E"/>
    <w:rsid w:val="00B922FC"/>
    <w:rsid w:val="00B9252C"/>
    <w:rsid w:val="00B930A3"/>
    <w:rsid w:val="00B9321F"/>
    <w:rsid w:val="00B938ED"/>
    <w:rsid w:val="00B93A87"/>
    <w:rsid w:val="00B93CFF"/>
    <w:rsid w:val="00B93E4C"/>
    <w:rsid w:val="00B93F23"/>
    <w:rsid w:val="00B94244"/>
    <w:rsid w:val="00B9431C"/>
    <w:rsid w:val="00B94334"/>
    <w:rsid w:val="00B94BD6"/>
    <w:rsid w:val="00B951A3"/>
    <w:rsid w:val="00B95592"/>
    <w:rsid w:val="00B958C1"/>
    <w:rsid w:val="00B95B68"/>
    <w:rsid w:val="00B964FB"/>
    <w:rsid w:val="00B966DA"/>
    <w:rsid w:val="00B970A4"/>
    <w:rsid w:val="00B97112"/>
    <w:rsid w:val="00B97925"/>
    <w:rsid w:val="00BA071C"/>
    <w:rsid w:val="00BA0AB2"/>
    <w:rsid w:val="00BA1002"/>
    <w:rsid w:val="00BA160E"/>
    <w:rsid w:val="00BA1A7F"/>
    <w:rsid w:val="00BA1BB5"/>
    <w:rsid w:val="00BA1BC7"/>
    <w:rsid w:val="00BA1ECA"/>
    <w:rsid w:val="00BA273E"/>
    <w:rsid w:val="00BA2B93"/>
    <w:rsid w:val="00BA3581"/>
    <w:rsid w:val="00BA3B8E"/>
    <w:rsid w:val="00BA4381"/>
    <w:rsid w:val="00BA451F"/>
    <w:rsid w:val="00BA45A6"/>
    <w:rsid w:val="00BA4B59"/>
    <w:rsid w:val="00BA537D"/>
    <w:rsid w:val="00BA6373"/>
    <w:rsid w:val="00BA6661"/>
    <w:rsid w:val="00BA67AF"/>
    <w:rsid w:val="00BA68B1"/>
    <w:rsid w:val="00BA6991"/>
    <w:rsid w:val="00BA6CE7"/>
    <w:rsid w:val="00BA700A"/>
    <w:rsid w:val="00BA705B"/>
    <w:rsid w:val="00BA7082"/>
    <w:rsid w:val="00BA7A07"/>
    <w:rsid w:val="00BA7A20"/>
    <w:rsid w:val="00BA7B10"/>
    <w:rsid w:val="00BB00F8"/>
    <w:rsid w:val="00BB01E5"/>
    <w:rsid w:val="00BB1317"/>
    <w:rsid w:val="00BB141E"/>
    <w:rsid w:val="00BB1E47"/>
    <w:rsid w:val="00BB21CA"/>
    <w:rsid w:val="00BB258C"/>
    <w:rsid w:val="00BB25E2"/>
    <w:rsid w:val="00BB27D9"/>
    <w:rsid w:val="00BB34F4"/>
    <w:rsid w:val="00BB3BBE"/>
    <w:rsid w:val="00BB4089"/>
    <w:rsid w:val="00BB4460"/>
    <w:rsid w:val="00BB49C1"/>
    <w:rsid w:val="00BB4C4D"/>
    <w:rsid w:val="00BB50A0"/>
    <w:rsid w:val="00BB53B1"/>
    <w:rsid w:val="00BB55C8"/>
    <w:rsid w:val="00BB5736"/>
    <w:rsid w:val="00BB57D5"/>
    <w:rsid w:val="00BB5A97"/>
    <w:rsid w:val="00BB5D16"/>
    <w:rsid w:val="00BB5E95"/>
    <w:rsid w:val="00BB640B"/>
    <w:rsid w:val="00BB69BF"/>
    <w:rsid w:val="00BB6A75"/>
    <w:rsid w:val="00BB6D4D"/>
    <w:rsid w:val="00BB6DEA"/>
    <w:rsid w:val="00BB731D"/>
    <w:rsid w:val="00BB73EF"/>
    <w:rsid w:val="00BB7422"/>
    <w:rsid w:val="00BB76F8"/>
    <w:rsid w:val="00BB7707"/>
    <w:rsid w:val="00BB7B55"/>
    <w:rsid w:val="00BC0759"/>
    <w:rsid w:val="00BC1651"/>
    <w:rsid w:val="00BC177E"/>
    <w:rsid w:val="00BC1CC0"/>
    <w:rsid w:val="00BC20A7"/>
    <w:rsid w:val="00BC2517"/>
    <w:rsid w:val="00BC260F"/>
    <w:rsid w:val="00BC2989"/>
    <w:rsid w:val="00BC2AB8"/>
    <w:rsid w:val="00BC2AF3"/>
    <w:rsid w:val="00BC2F41"/>
    <w:rsid w:val="00BC2FBB"/>
    <w:rsid w:val="00BC330E"/>
    <w:rsid w:val="00BC3319"/>
    <w:rsid w:val="00BC4045"/>
    <w:rsid w:val="00BC41B1"/>
    <w:rsid w:val="00BC44E3"/>
    <w:rsid w:val="00BC4965"/>
    <w:rsid w:val="00BC4AA3"/>
    <w:rsid w:val="00BC4EED"/>
    <w:rsid w:val="00BC529F"/>
    <w:rsid w:val="00BC5303"/>
    <w:rsid w:val="00BC5731"/>
    <w:rsid w:val="00BC58A6"/>
    <w:rsid w:val="00BC5BA8"/>
    <w:rsid w:val="00BC5C60"/>
    <w:rsid w:val="00BC5CAD"/>
    <w:rsid w:val="00BC6103"/>
    <w:rsid w:val="00BC6274"/>
    <w:rsid w:val="00BC656A"/>
    <w:rsid w:val="00BC65DE"/>
    <w:rsid w:val="00BC67E6"/>
    <w:rsid w:val="00BC6ED7"/>
    <w:rsid w:val="00BC7446"/>
    <w:rsid w:val="00BC76E9"/>
    <w:rsid w:val="00BC7D8D"/>
    <w:rsid w:val="00BD0431"/>
    <w:rsid w:val="00BD0491"/>
    <w:rsid w:val="00BD0520"/>
    <w:rsid w:val="00BD111E"/>
    <w:rsid w:val="00BD113C"/>
    <w:rsid w:val="00BD166B"/>
    <w:rsid w:val="00BD19D4"/>
    <w:rsid w:val="00BD2853"/>
    <w:rsid w:val="00BD2B56"/>
    <w:rsid w:val="00BD2D2F"/>
    <w:rsid w:val="00BD2FF9"/>
    <w:rsid w:val="00BD35C7"/>
    <w:rsid w:val="00BD3BF0"/>
    <w:rsid w:val="00BD3E60"/>
    <w:rsid w:val="00BD440E"/>
    <w:rsid w:val="00BD4602"/>
    <w:rsid w:val="00BD4783"/>
    <w:rsid w:val="00BD48E3"/>
    <w:rsid w:val="00BD4A6F"/>
    <w:rsid w:val="00BD4C8E"/>
    <w:rsid w:val="00BD4E6C"/>
    <w:rsid w:val="00BD4F6E"/>
    <w:rsid w:val="00BD5B1C"/>
    <w:rsid w:val="00BD607B"/>
    <w:rsid w:val="00BD61A4"/>
    <w:rsid w:val="00BD64BD"/>
    <w:rsid w:val="00BD6B4E"/>
    <w:rsid w:val="00BD6E79"/>
    <w:rsid w:val="00BD7392"/>
    <w:rsid w:val="00BD7A69"/>
    <w:rsid w:val="00BD7BA7"/>
    <w:rsid w:val="00BE0026"/>
    <w:rsid w:val="00BE008E"/>
    <w:rsid w:val="00BE05B6"/>
    <w:rsid w:val="00BE06D2"/>
    <w:rsid w:val="00BE0965"/>
    <w:rsid w:val="00BE0A64"/>
    <w:rsid w:val="00BE0C9E"/>
    <w:rsid w:val="00BE0F2D"/>
    <w:rsid w:val="00BE15A9"/>
    <w:rsid w:val="00BE16C7"/>
    <w:rsid w:val="00BE1B0C"/>
    <w:rsid w:val="00BE1C1B"/>
    <w:rsid w:val="00BE2307"/>
    <w:rsid w:val="00BE247B"/>
    <w:rsid w:val="00BE24CB"/>
    <w:rsid w:val="00BE251E"/>
    <w:rsid w:val="00BE28D0"/>
    <w:rsid w:val="00BE28DB"/>
    <w:rsid w:val="00BE2C02"/>
    <w:rsid w:val="00BE2DD2"/>
    <w:rsid w:val="00BE2F44"/>
    <w:rsid w:val="00BE3435"/>
    <w:rsid w:val="00BE34A2"/>
    <w:rsid w:val="00BE34EB"/>
    <w:rsid w:val="00BE3FB5"/>
    <w:rsid w:val="00BE4035"/>
    <w:rsid w:val="00BE40BA"/>
    <w:rsid w:val="00BE41F4"/>
    <w:rsid w:val="00BE4359"/>
    <w:rsid w:val="00BE49B6"/>
    <w:rsid w:val="00BE4BDE"/>
    <w:rsid w:val="00BE4F43"/>
    <w:rsid w:val="00BE518D"/>
    <w:rsid w:val="00BE6465"/>
    <w:rsid w:val="00BE6A24"/>
    <w:rsid w:val="00BE7153"/>
    <w:rsid w:val="00BE734B"/>
    <w:rsid w:val="00BF022A"/>
    <w:rsid w:val="00BF0337"/>
    <w:rsid w:val="00BF046B"/>
    <w:rsid w:val="00BF08DD"/>
    <w:rsid w:val="00BF0AFA"/>
    <w:rsid w:val="00BF12E8"/>
    <w:rsid w:val="00BF15BD"/>
    <w:rsid w:val="00BF1D03"/>
    <w:rsid w:val="00BF2113"/>
    <w:rsid w:val="00BF2233"/>
    <w:rsid w:val="00BF238F"/>
    <w:rsid w:val="00BF257E"/>
    <w:rsid w:val="00BF2686"/>
    <w:rsid w:val="00BF2A2B"/>
    <w:rsid w:val="00BF2AD9"/>
    <w:rsid w:val="00BF2CD3"/>
    <w:rsid w:val="00BF2F97"/>
    <w:rsid w:val="00BF34D9"/>
    <w:rsid w:val="00BF35BB"/>
    <w:rsid w:val="00BF3BBA"/>
    <w:rsid w:val="00BF4945"/>
    <w:rsid w:val="00BF4B48"/>
    <w:rsid w:val="00BF4F53"/>
    <w:rsid w:val="00BF52D8"/>
    <w:rsid w:val="00BF52F6"/>
    <w:rsid w:val="00BF54FE"/>
    <w:rsid w:val="00BF59C6"/>
    <w:rsid w:val="00BF5BA9"/>
    <w:rsid w:val="00BF5C3F"/>
    <w:rsid w:val="00BF5D1D"/>
    <w:rsid w:val="00BF5E78"/>
    <w:rsid w:val="00BF6447"/>
    <w:rsid w:val="00BF64F2"/>
    <w:rsid w:val="00BF666C"/>
    <w:rsid w:val="00BF6A53"/>
    <w:rsid w:val="00BF6C16"/>
    <w:rsid w:val="00BF6C19"/>
    <w:rsid w:val="00BF6E6A"/>
    <w:rsid w:val="00BF6FB7"/>
    <w:rsid w:val="00BF7439"/>
    <w:rsid w:val="00BF7C63"/>
    <w:rsid w:val="00BF7EA0"/>
    <w:rsid w:val="00C00409"/>
    <w:rsid w:val="00C006AC"/>
    <w:rsid w:val="00C009C3"/>
    <w:rsid w:val="00C00BB7"/>
    <w:rsid w:val="00C00E19"/>
    <w:rsid w:val="00C00E69"/>
    <w:rsid w:val="00C010F5"/>
    <w:rsid w:val="00C01989"/>
    <w:rsid w:val="00C01A08"/>
    <w:rsid w:val="00C01A2D"/>
    <w:rsid w:val="00C01B3B"/>
    <w:rsid w:val="00C02091"/>
    <w:rsid w:val="00C020B0"/>
    <w:rsid w:val="00C021C0"/>
    <w:rsid w:val="00C025C6"/>
    <w:rsid w:val="00C026C2"/>
    <w:rsid w:val="00C02FFC"/>
    <w:rsid w:val="00C0310A"/>
    <w:rsid w:val="00C0317E"/>
    <w:rsid w:val="00C03202"/>
    <w:rsid w:val="00C033A5"/>
    <w:rsid w:val="00C03E53"/>
    <w:rsid w:val="00C04192"/>
    <w:rsid w:val="00C043BF"/>
    <w:rsid w:val="00C044B3"/>
    <w:rsid w:val="00C04651"/>
    <w:rsid w:val="00C04824"/>
    <w:rsid w:val="00C04ACE"/>
    <w:rsid w:val="00C04D39"/>
    <w:rsid w:val="00C05CE6"/>
    <w:rsid w:val="00C06215"/>
    <w:rsid w:val="00C06339"/>
    <w:rsid w:val="00C06426"/>
    <w:rsid w:val="00C06B25"/>
    <w:rsid w:val="00C06E8E"/>
    <w:rsid w:val="00C071EF"/>
    <w:rsid w:val="00C075EE"/>
    <w:rsid w:val="00C07932"/>
    <w:rsid w:val="00C0797C"/>
    <w:rsid w:val="00C104EE"/>
    <w:rsid w:val="00C105A9"/>
    <w:rsid w:val="00C105CB"/>
    <w:rsid w:val="00C106C8"/>
    <w:rsid w:val="00C1084F"/>
    <w:rsid w:val="00C10A53"/>
    <w:rsid w:val="00C10AC2"/>
    <w:rsid w:val="00C10F2F"/>
    <w:rsid w:val="00C11416"/>
    <w:rsid w:val="00C12148"/>
    <w:rsid w:val="00C12215"/>
    <w:rsid w:val="00C1264E"/>
    <w:rsid w:val="00C12985"/>
    <w:rsid w:val="00C12992"/>
    <w:rsid w:val="00C12AAF"/>
    <w:rsid w:val="00C12BC3"/>
    <w:rsid w:val="00C134D5"/>
    <w:rsid w:val="00C13542"/>
    <w:rsid w:val="00C1356F"/>
    <w:rsid w:val="00C139A7"/>
    <w:rsid w:val="00C13EF2"/>
    <w:rsid w:val="00C142DC"/>
    <w:rsid w:val="00C14405"/>
    <w:rsid w:val="00C145A2"/>
    <w:rsid w:val="00C146D1"/>
    <w:rsid w:val="00C14F11"/>
    <w:rsid w:val="00C152CB"/>
    <w:rsid w:val="00C15F24"/>
    <w:rsid w:val="00C16323"/>
    <w:rsid w:val="00C16469"/>
    <w:rsid w:val="00C16A5B"/>
    <w:rsid w:val="00C16FB9"/>
    <w:rsid w:val="00C17047"/>
    <w:rsid w:val="00C170A1"/>
    <w:rsid w:val="00C1729D"/>
    <w:rsid w:val="00C17345"/>
    <w:rsid w:val="00C17E93"/>
    <w:rsid w:val="00C2064A"/>
    <w:rsid w:val="00C2066E"/>
    <w:rsid w:val="00C20B50"/>
    <w:rsid w:val="00C20CF2"/>
    <w:rsid w:val="00C20D98"/>
    <w:rsid w:val="00C20F0C"/>
    <w:rsid w:val="00C21044"/>
    <w:rsid w:val="00C213D8"/>
    <w:rsid w:val="00C214DF"/>
    <w:rsid w:val="00C21926"/>
    <w:rsid w:val="00C21A0A"/>
    <w:rsid w:val="00C21AA4"/>
    <w:rsid w:val="00C222D8"/>
    <w:rsid w:val="00C22C0C"/>
    <w:rsid w:val="00C22CC1"/>
    <w:rsid w:val="00C22CDD"/>
    <w:rsid w:val="00C22F2B"/>
    <w:rsid w:val="00C23776"/>
    <w:rsid w:val="00C23A01"/>
    <w:rsid w:val="00C23B50"/>
    <w:rsid w:val="00C23B67"/>
    <w:rsid w:val="00C240F8"/>
    <w:rsid w:val="00C24295"/>
    <w:rsid w:val="00C242FC"/>
    <w:rsid w:val="00C247B0"/>
    <w:rsid w:val="00C25586"/>
    <w:rsid w:val="00C25E6E"/>
    <w:rsid w:val="00C25F99"/>
    <w:rsid w:val="00C261C6"/>
    <w:rsid w:val="00C2648A"/>
    <w:rsid w:val="00C26666"/>
    <w:rsid w:val="00C267A1"/>
    <w:rsid w:val="00C26A45"/>
    <w:rsid w:val="00C27208"/>
    <w:rsid w:val="00C27846"/>
    <w:rsid w:val="00C278F7"/>
    <w:rsid w:val="00C27E2D"/>
    <w:rsid w:val="00C27F96"/>
    <w:rsid w:val="00C300EA"/>
    <w:rsid w:val="00C30106"/>
    <w:rsid w:val="00C30AD2"/>
    <w:rsid w:val="00C30AE1"/>
    <w:rsid w:val="00C30C5E"/>
    <w:rsid w:val="00C30DD2"/>
    <w:rsid w:val="00C3119B"/>
    <w:rsid w:val="00C31689"/>
    <w:rsid w:val="00C319D6"/>
    <w:rsid w:val="00C3204F"/>
    <w:rsid w:val="00C32471"/>
    <w:rsid w:val="00C326CD"/>
    <w:rsid w:val="00C327BD"/>
    <w:rsid w:val="00C32C0D"/>
    <w:rsid w:val="00C3305A"/>
    <w:rsid w:val="00C33353"/>
    <w:rsid w:val="00C33B13"/>
    <w:rsid w:val="00C33FBE"/>
    <w:rsid w:val="00C3440D"/>
    <w:rsid w:val="00C34489"/>
    <w:rsid w:val="00C3461E"/>
    <w:rsid w:val="00C34DB7"/>
    <w:rsid w:val="00C34DC5"/>
    <w:rsid w:val="00C34DCF"/>
    <w:rsid w:val="00C34EF9"/>
    <w:rsid w:val="00C34F7B"/>
    <w:rsid w:val="00C351B6"/>
    <w:rsid w:val="00C354FE"/>
    <w:rsid w:val="00C355B3"/>
    <w:rsid w:val="00C35866"/>
    <w:rsid w:val="00C358F8"/>
    <w:rsid w:val="00C3591C"/>
    <w:rsid w:val="00C35F77"/>
    <w:rsid w:val="00C36080"/>
    <w:rsid w:val="00C37026"/>
    <w:rsid w:val="00C37A49"/>
    <w:rsid w:val="00C37B1E"/>
    <w:rsid w:val="00C37C8C"/>
    <w:rsid w:val="00C37F96"/>
    <w:rsid w:val="00C40251"/>
    <w:rsid w:val="00C402DD"/>
    <w:rsid w:val="00C4044E"/>
    <w:rsid w:val="00C404A7"/>
    <w:rsid w:val="00C406F0"/>
    <w:rsid w:val="00C40815"/>
    <w:rsid w:val="00C40FC3"/>
    <w:rsid w:val="00C410AA"/>
    <w:rsid w:val="00C413ED"/>
    <w:rsid w:val="00C41990"/>
    <w:rsid w:val="00C41C3A"/>
    <w:rsid w:val="00C421DA"/>
    <w:rsid w:val="00C4233C"/>
    <w:rsid w:val="00C42543"/>
    <w:rsid w:val="00C429F4"/>
    <w:rsid w:val="00C42C17"/>
    <w:rsid w:val="00C42E30"/>
    <w:rsid w:val="00C4331C"/>
    <w:rsid w:val="00C433D2"/>
    <w:rsid w:val="00C4385C"/>
    <w:rsid w:val="00C44244"/>
    <w:rsid w:val="00C44BAC"/>
    <w:rsid w:val="00C44D76"/>
    <w:rsid w:val="00C44DB3"/>
    <w:rsid w:val="00C45739"/>
    <w:rsid w:val="00C4585F"/>
    <w:rsid w:val="00C458C7"/>
    <w:rsid w:val="00C45CA5"/>
    <w:rsid w:val="00C45E3A"/>
    <w:rsid w:val="00C45F9A"/>
    <w:rsid w:val="00C461E7"/>
    <w:rsid w:val="00C4627B"/>
    <w:rsid w:val="00C4661A"/>
    <w:rsid w:val="00C46BDD"/>
    <w:rsid w:val="00C46FAE"/>
    <w:rsid w:val="00C473A4"/>
    <w:rsid w:val="00C4785D"/>
    <w:rsid w:val="00C47950"/>
    <w:rsid w:val="00C50486"/>
    <w:rsid w:val="00C50492"/>
    <w:rsid w:val="00C50569"/>
    <w:rsid w:val="00C506A9"/>
    <w:rsid w:val="00C506DD"/>
    <w:rsid w:val="00C506F8"/>
    <w:rsid w:val="00C50D24"/>
    <w:rsid w:val="00C5128D"/>
    <w:rsid w:val="00C513B4"/>
    <w:rsid w:val="00C51E99"/>
    <w:rsid w:val="00C52A27"/>
    <w:rsid w:val="00C52B63"/>
    <w:rsid w:val="00C52DAD"/>
    <w:rsid w:val="00C5309F"/>
    <w:rsid w:val="00C53208"/>
    <w:rsid w:val="00C538F2"/>
    <w:rsid w:val="00C53A6A"/>
    <w:rsid w:val="00C53E9D"/>
    <w:rsid w:val="00C54140"/>
    <w:rsid w:val="00C541C2"/>
    <w:rsid w:val="00C543F1"/>
    <w:rsid w:val="00C54480"/>
    <w:rsid w:val="00C546C4"/>
    <w:rsid w:val="00C550A1"/>
    <w:rsid w:val="00C551FB"/>
    <w:rsid w:val="00C554D5"/>
    <w:rsid w:val="00C5604D"/>
    <w:rsid w:val="00C5678F"/>
    <w:rsid w:val="00C567CA"/>
    <w:rsid w:val="00C56995"/>
    <w:rsid w:val="00C56BB6"/>
    <w:rsid w:val="00C56E84"/>
    <w:rsid w:val="00C570D4"/>
    <w:rsid w:val="00C57A44"/>
    <w:rsid w:val="00C57D2B"/>
    <w:rsid w:val="00C57F28"/>
    <w:rsid w:val="00C603FD"/>
    <w:rsid w:val="00C60BFB"/>
    <w:rsid w:val="00C60DD9"/>
    <w:rsid w:val="00C60F83"/>
    <w:rsid w:val="00C61170"/>
    <w:rsid w:val="00C61410"/>
    <w:rsid w:val="00C618BD"/>
    <w:rsid w:val="00C61981"/>
    <w:rsid w:val="00C61B7B"/>
    <w:rsid w:val="00C61C7F"/>
    <w:rsid w:val="00C61CA1"/>
    <w:rsid w:val="00C61D39"/>
    <w:rsid w:val="00C61E7D"/>
    <w:rsid w:val="00C61EC4"/>
    <w:rsid w:val="00C626E5"/>
    <w:rsid w:val="00C62F82"/>
    <w:rsid w:val="00C635B5"/>
    <w:rsid w:val="00C63675"/>
    <w:rsid w:val="00C636EC"/>
    <w:rsid w:val="00C637B1"/>
    <w:rsid w:val="00C63E2E"/>
    <w:rsid w:val="00C64866"/>
    <w:rsid w:val="00C649E8"/>
    <w:rsid w:val="00C64EB4"/>
    <w:rsid w:val="00C64FD1"/>
    <w:rsid w:val="00C65339"/>
    <w:rsid w:val="00C65489"/>
    <w:rsid w:val="00C65593"/>
    <w:rsid w:val="00C65705"/>
    <w:rsid w:val="00C65C3A"/>
    <w:rsid w:val="00C66161"/>
    <w:rsid w:val="00C666DA"/>
    <w:rsid w:val="00C675E0"/>
    <w:rsid w:val="00C6775E"/>
    <w:rsid w:val="00C677F8"/>
    <w:rsid w:val="00C67BAA"/>
    <w:rsid w:val="00C67D87"/>
    <w:rsid w:val="00C700FA"/>
    <w:rsid w:val="00C7046E"/>
    <w:rsid w:val="00C714A2"/>
    <w:rsid w:val="00C71EC0"/>
    <w:rsid w:val="00C71ECC"/>
    <w:rsid w:val="00C71F27"/>
    <w:rsid w:val="00C72113"/>
    <w:rsid w:val="00C73666"/>
    <w:rsid w:val="00C740F9"/>
    <w:rsid w:val="00C744E5"/>
    <w:rsid w:val="00C746EB"/>
    <w:rsid w:val="00C747F2"/>
    <w:rsid w:val="00C7486F"/>
    <w:rsid w:val="00C74961"/>
    <w:rsid w:val="00C76044"/>
    <w:rsid w:val="00C76B7A"/>
    <w:rsid w:val="00C76C3A"/>
    <w:rsid w:val="00C76E9E"/>
    <w:rsid w:val="00C7761B"/>
    <w:rsid w:val="00C7770F"/>
    <w:rsid w:val="00C77C49"/>
    <w:rsid w:val="00C77E42"/>
    <w:rsid w:val="00C77F39"/>
    <w:rsid w:val="00C8013C"/>
    <w:rsid w:val="00C8044D"/>
    <w:rsid w:val="00C80E75"/>
    <w:rsid w:val="00C81DD0"/>
    <w:rsid w:val="00C81EF4"/>
    <w:rsid w:val="00C822DC"/>
    <w:rsid w:val="00C8240F"/>
    <w:rsid w:val="00C825E7"/>
    <w:rsid w:val="00C82D56"/>
    <w:rsid w:val="00C82FBD"/>
    <w:rsid w:val="00C83187"/>
    <w:rsid w:val="00C8319B"/>
    <w:rsid w:val="00C83A1B"/>
    <w:rsid w:val="00C83AB3"/>
    <w:rsid w:val="00C83BA3"/>
    <w:rsid w:val="00C840D6"/>
    <w:rsid w:val="00C84669"/>
    <w:rsid w:val="00C8471E"/>
    <w:rsid w:val="00C8473A"/>
    <w:rsid w:val="00C84A42"/>
    <w:rsid w:val="00C8514C"/>
    <w:rsid w:val="00C85434"/>
    <w:rsid w:val="00C8575D"/>
    <w:rsid w:val="00C85957"/>
    <w:rsid w:val="00C85AB5"/>
    <w:rsid w:val="00C85F31"/>
    <w:rsid w:val="00C860F5"/>
    <w:rsid w:val="00C86CD4"/>
    <w:rsid w:val="00C86D2E"/>
    <w:rsid w:val="00C86DFB"/>
    <w:rsid w:val="00C87950"/>
    <w:rsid w:val="00C87A7E"/>
    <w:rsid w:val="00C87D15"/>
    <w:rsid w:val="00C90151"/>
    <w:rsid w:val="00C90454"/>
    <w:rsid w:val="00C90C00"/>
    <w:rsid w:val="00C914C6"/>
    <w:rsid w:val="00C915AC"/>
    <w:rsid w:val="00C91865"/>
    <w:rsid w:val="00C91B67"/>
    <w:rsid w:val="00C91D0B"/>
    <w:rsid w:val="00C927F6"/>
    <w:rsid w:val="00C92C76"/>
    <w:rsid w:val="00C92FF2"/>
    <w:rsid w:val="00C93E5B"/>
    <w:rsid w:val="00C9403F"/>
    <w:rsid w:val="00C9455C"/>
    <w:rsid w:val="00C94677"/>
    <w:rsid w:val="00C94B54"/>
    <w:rsid w:val="00C94C69"/>
    <w:rsid w:val="00C94D27"/>
    <w:rsid w:val="00C956D5"/>
    <w:rsid w:val="00C9575F"/>
    <w:rsid w:val="00C95805"/>
    <w:rsid w:val="00C958C7"/>
    <w:rsid w:val="00C96505"/>
    <w:rsid w:val="00C9711B"/>
    <w:rsid w:val="00C97213"/>
    <w:rsid w:val="00C972A7"/>
    <w:rsid w:val="00C976CC"/>
    <w:rsid w:val="00C9779A"/>
    <w:rsid w:val="00C97933"/>
    <w:rsid w:val="00C97BCF"/>
    <w:rsid w:val="00C97C8C"/>
    <w:rsid w:val="00CA09CA"/>
    <w:rsid w:val="00CA1237"/>
    <w:rsid w:val="00CA138B"/>
    <w:rsid w:val="00CA1907"/>
    <w:rsid w:val="00CA267C"/>
    <w:rsid w:val="00CA2951"/>
    <w:rsid w:val="00CA2A01"/>
    <w:rsid w:val="00CA2B93"/>
    <w:rsid w:val="00CA2C23"/>
    <w:rsid w:val="00CA2D31"/>
    <w:rsid w:val="00CA34AF"/>
    <w:rsid w:val="00CA351F"/>
    <w:rsid w:val="00CA35C4"/>
    <w:rsid w:val="00CA3A62"/>
    <w:rsid w:val="00CA3E74"/>
    <w:rsid w:val="00CA4066"/>
    <w:rsid w:val="00CA40E8"/>
    <w:rsid w:val="00CA4DD7"/>
    <w:rsid w:val="00CA517A"/>
    <w:rsid w:val="00CA525F"/>
    <w:rsid w:val="00CA53CF"/>
    <w:rsid w:val="00CA5CDA"/>
    <w:rsid w:val="00CA5D86"/>
    <w:rsid w:val="00CA5F04"/>
    <w:rsid w:val="00CA603C"/>
    <w:rsid w:val="00CA63DE"/>
    <w:rsid w:val="00CA6568"/>
    <w:rsid w:val="00CA6A87"/>
    <w:rsid w:val="00CA6BD1"/>
    <w:rsid w:val="00CA7400"/>
    <w:rsid w:val="00CA74B4"/>
    <w:rsid w:val="00CA7714"/>
    <w:rsid w:val="00CA78C1"/>
    <w:rsid w:val="00CA7CFC"/>
    <w:rsid w:val="00CB07C9"/>
    <w:rsid w:val="00CB0C74"/>
    <w:rsid w:val="00CB1599"/>
    <w:rsid w:val="00CB160E"/>
    <w:rsid w:val="00CB1A18"/>
    <w:rsid w:val="00CB1D30"/>
    <w:rsid w:val="00CB23F0"/>
    <w:rsid w:val="00CB2A77"/>
    <w:rsid w:val="00CB2C43"/>
    <w:rsid w:val="00CB2CC2"/>
    <w:rsid w:val="00CB2CF9"/>
    <w:rsid w:val="00CB34D0"/>
    <w:rsid w:val="00CB3683"/>
    <w:rsid w:val="00CB4175"/>
    <w:rsid w:val="00CB420C"/>
    <w:rsid w:val="00CB44AC"/>
    <w:rsid w:val="00CB45B4"/>
    <w:rsid w:val="00CB4639"/>
    <w:rsid w:val="00CB4822"/>
    <w:rsid w:val="00CB48A6"/>
    <w:rsid w:val="00CB494B"/>
    <w:rsid w:val="00CB498D"/>
    <w:rsid w:val="00CB49CE"/>
    <w:rsid w:val="00CB4D5B"/>
    <w:rsid w:val="00CB4FD3"/>
    <w:rsid w:val="00CB530C"/>
    <w:rsid w:val="00CB558A"/>
    <w:rsid w:val="00CB5704"/>
    <w:rsid w:val="00CB5D76"/>
    <w:rsid w:val="00CB6198"/>
    <w:rsid w:val="00CB6587"/>
    <w:rsid w:val="00CB666C"/>
    <w:rsid w:val="00CB6C75"/>
    <w:rsid w:val="00CB71FC"/>
    <w:rsid w:val="00CB72CC"/>
    <w:rsid w:val="00CB7336"/>
    <w:rsid w:val="00CB74BE"/>
    <w:rsid w:val="00CB7703"/>
    <w:rsid w:val="00CB7808"/>
    <w:rsid w:val="00CC05FB"/>
    <w:rsid w:val="00CC1090"/>
    <w:rsid w:val="00CC154C"/>
    <w:rsid w:val="00CC1717"/>
    <w:rsid w:val="00CC179E"/>
    <w:rsid w:val="00CC1D16"/>
    <w:rsid w:val="00CC1EB3"/>
    <w:rsid w:val="00CC26AC"/>
    <w:rsid w:val="00CC26B2"/>
    <w:rsid w:val="00CC292F"/>
    <w:rsid w:val="00CC2D71"/>
    <w:rsid w:val="00CC36EB"/>
    <w:rsid w:val="00CC3716"/>
    <w:rsid w:val="00CC3737"/>
    <w:rsid w:val="00CC3A66"/>
    <w:rsid w:val="00CC3ABA"/>
    <w:rsid w:val="00CC3C53"/>
    <w:rsid w:val="00CC3E2A"/>
    <w:rsid w:val="00CC4071"/>
    <w:rsid w:val="00CC4127"/>
    <w:rsid w:val="00CC4327"/>
    <w:rsid w:val="00CC4439"/>
    <w:rsid w:val="00CC48A8"/>
    <w:rsid w:val="00CC4B7F"/>
    <w:rsid w:val="00CC4F58"/>
    <w:rsid w:val="00CC52CC"/>
    <w:rsid w:val="00CC583E"/>
    <w:rsid w:val="00CC58CF"/>
    <w:rsid w:val="00CC6078"/>
    <w:rsid w:val="00CC64D5"/>
    <w:rsid w:val="00CC690A"/>
    <w:rsid w:val="00CC69D0"/>
    <w:rsid w:val="00CC6B4B"/>
    <w:rsid w:val="00CC6DAD"/>
    <w:rsid w:val="00CC6E5F"/>
    <w:rsid w:val="00CC70A1"/>
    <w:rsid w:val="00CC714F"/>
    <w:rsid w:val="00CC7511"/>
    <w:rsid w:val="00CC7C1E"/>
    <w:rsid w:val="00CC7C4D"/>
    <w:rsid w:val="00CD09CC"/>
    <w:rsid w:val="00CD0A62"/>
    <w:rsid w:val="00CD0E40"/>
    <w:rsid w:val="00CD15BE"/>
    <w:rsid w:val="00CD1A6A"/>
    <w:rsid w:val="00CD1E8F"/>
    <w:rsid w:val="00CD258A"/>
    <w:rsid w:val="00CD2778"/>
    <w:rsid w:val="00CD281F"/>
    <w:rsid w:val="00CD28DF"/>
    <w:rsid w:val="00CD2BF8"/>
    <w:rsid w:val="00CD2CB0"/>
    <w:rsid w:val="00CD2D59"/>
    <w:rsid w:val="00CD2EB6"/>
    <w:rsid w:val="00CD3332"/>
    <w:rsid w:val="00CD4075"/>
    <w:rsid w:val="00CD4AB3"/>
    <w:rsid w:val="00CD4AF3"/>
    <w:rsid w:val="00CD5005"/>
    <w:rsid w:val="00CD514B"/>
    <w:rsid w:val="00CD5182"/>
    <w:rsid w:val="00CD5525"/>
    <w:rsid w:val="00CD59DE"/>
    <w:rsid w:val="00CD5BF9"/>
    <w:rsid w:val="00CD6472"/>
    <w:rsid w:val="00CD648E"/>
    <w:rsid w:val="00CD6B5A"/>
    <w:rsid w:val="00CD7065"/>
    <w:rsid w:val="00CD7246"/>
    <w:rsid w:val="00CD796E"/>
    <w:rsid w:val="00CD7B31"/>
    <w:rsid w:val="00CE0ED5"/>
    <w:rsid w:val="00CE10A7"/>
    <w:rsid w:val="00CE11F6"/>
    <w:rsid w:val="00CE15B0"/>
    <w:rsid w:val="00CE1BCD"/>
    <w:rsid w:val="00CE1D7D"/>
    <w:rsid w:val="00CE1E7C"/>
    <w:rsid w:val="00CE20D0"/>
    <w:rsid w:val="00CE2762"/>
    <w:rsid w:val="00CE2A29"/>
    <w:rsid w:val="00CE2A45"/>
    <w:rsid w:val="00CE2E78"/>
    <w:rsid w:val="00CE2F51"/>
    <w:rsid w:val="00CE3492"/>
    <w:rsid w:val="00CE3605"/>
    <w:rsid w:val="00CE363E"/>
    <w:rsid w:val="00CE36BD"/>
    <w:rsid w:val="00CE36D5"/>
    <w:rsid w:val="00CE38DE"/>
    <w:rsid w:val="00CE3B17"/>
    <w:rsid w:val="00CE3D87"/>
    <w:rsid w:val="00CE48E5"/>
    <w:rsid w:val="00CE4986"/>
    <w:rsid w:val="00CE4A12"/>
    <w:rsid w:val="00CE52C7"/>
    <w:rsid w:val="00CE5303"/>
    <w:rsid w:val="00CE5595"/>
    <w:rsid w:val="00CE6730"/>
    <w:rsid w:val="00CE6769"/>
    <w:rsid w:val="00CE6910"/>
    <w:rsid w:val="00CE6AF1"/>
    <w:rsid w:val="00CE6DB0"/>
    <w:rsid w:val="00CE722B"/>
    <w:rsid w:val="00CE72E3"/>
    <w:rsid w:val="00CE7388"/>
    <w:rsid w:val="00CE7482"/>
    <w:rsid w:val="00CE7827"/>
    <w:rsid w:val="00CE7863"/>
    <w:rsid w:val="00CE7A0C"/>
    <w:rsid w:val="00CF0EAE"/>
    <w:rsid w:val="00CF130E"/>
    <w:rsid w:val="00CF1339"/>
    <w:rsid w:val="00CF136F"/>
    <w:rsid w:val="00CF1924"/>
    <w:rsid w:val="00CF1C41"/>
    <w:rsid w:val="00CF1FC4"/>
    <w:rsid w:val="00CF2003"/>
    <w:rsid w:val="00CF20CC"/>
    <w:rsid w:val="00CF26CE"/>
    <w:rsid w:val="00CF2ED1"/>
    <w:rsid w:val="00CF323F"/>
    <w:rsid w:val="00CF374E"/>
    <w:rsid w:val="00CF3B6D"/>
    <w:rsid w:val="00CF3C09"/>
    <w:rsid w:val="00CF3E37"/>
    <w:rsid w:val="00CF401F"/>
    <w:rsid w:val="00CF4467"/>
    <w:rsid w:val="00CF45DE"/>
    <w:rsid w:val="00CF499E"/>
    <w:rsid w:val="00CF5231"/>
    <w:rsid w:val="00CF5D51"/>
    <w:rsid w:val="00CF67B7"/>
    <w:rsid w:val="00CF6F7C"/>
    <w:rsid w:val="00CF7424"/>
    <w:rsid w:val="00CF774E"/>
    <w:rsid w:val="00CF7816"/>
    <w:rsid w:val="00CF7E95"/>
    <w:rsid w:val="00D0060B"/>
    <w:rsid w:val="00D0149D"/>
    <w:rsid w:val="00D01585"/>
    <w:rsid w:val="00D01CB6"/>
    <w:rsid w:val="00D023EF"/>
    <w:rsid w:val="00D02CF0"/>
    <w:rsid w:val="00D02E20"/>
    <w:rsid w:val="00D0318F"/>
    <w:rsid w:val="00D03336"/>
    <w:rsid w:val="00D03406"/>
    <w:rsid w:val="00D037C5"/>
    <w:rsid w:val="00D03D8A"/>
    <w:rsid w:val="00D03DEE"/>
    <w:rsid w:val="00D03FDC"/>
    <w:rsid w:val="00D041CD"/>
    <w:rsid w:val="00D0446C"/>
    <w:rsid w:val="00D04ADB"/>
    <w:rsid w:val="00D04B91"/>
    <w:rsid w:val="00D04D8E"/>
    <w:rsid w:val="00D04F9F"/>
    <w:rsid w:val="00D051F8"/>
    <w:rsid w:val="00D053DC"/>
    <w:rsid w:val="00D054A9"/>
    <w:rsid w:val="00D05573"/>
    <w:rsid w:val="00D05620"/>
    <w:rsid w:val="00D05D69"/>
    <w:rsid w:val="00D05FA8"/>
    <w:rsid w:val="00D06239"/>
    <w:rsid w:val="00D06863"/>
    <w:rsid w:val="00D07554"/>
    <w:rsid w:val="00D075C5"/>
    <w:rsid w:val="00D07A45"/>
    <w:rsid w:val="00D07AAC"/>
    <w:rsid w:val="00D07D9E"/>
    <w:rsid w:val="00D1069A"/>
    <w:rsid w:val="00D108CB"/>
    <w:rsid w:val="00D10E82"/>
    <w:rsid w:val="00D11094"/>
    <w:rsid w:val="00D11222"/>
    <w:rsid w:val="00D119EE"/>
    <w:rsid w:val="00D11B55"/>
    <w:rsid w:val="00D11C3E"/>
    <w:rsid w:val="00D1280B"/>
    <w:rsid w:val="00D12B4E"/>
    <w:rsid w:val="00D13380"/>
    <w:rsid w:val="00D135B2"/>
    <w:rsid w:val="00D13913"/>
    <w:rsid w:val="00D13C39"/>
    <w:rsid w:val="00D14082"/>
    <w:rsid w:val="00D1425E"/>
    <w:rsid w:val="00D1453F"/>
    <w:rsid w:val="00D145C1"/>
    <w:rsid w:val="00D14C94"/>
    <w:rsid w:val="00D14F0F"/>
    <w:rsid w:val="00D14F6D"/>
    <w:rsid w:val="00D15120"/>
    <w:rsid w:val="00D15124"/>
    <w:rsid w:val="00D151C5"/>
    <w:rsid w:val="00D151C9"/>
    <w:rsid w:val="00D15CA1"/>
    <w:rsid w:val="00D15FE5"/>
    <w:rsid w:val="00D162E9"/>
    <w:rsid w:val="00D1671B"/>
    <w:rsid w:val="00D16A6D"/>
    <w:rsid w:val="00D1748A"/>
    <w:rsid w:val="00D17649"/>
    <w:rsid w:val="00D179F9"/>
    <w:rsid w:val="00D203CB"/>
    <w:rsid w:val="00D20AE7"/>
    <w:rsid w:val="00D20C73"/>
    <w:rsid w:val="00D21290"/>
    <w:rsid w:val="00D213FA"/>
    <w:rsid w:val="00D21532"/>
    <w:rsid w:val="00D21CFC"/>
    <w:rsid w:val="00D21EAA"/>
    <w:rsid w:val="00D21F85"/>
    <w:rsid w:val="00D21FDD"/>
    <w:rsid w:val="00D222F2"/>
    <w:rsid w:val="00D223D9"/>
    <w:rsid w:val="00D224FE"/>
    <w:rsid w:val="00D232AA"/>
    <w:rsid w:val="00D23646"/>
    <w:rsid w:val="00D237F5"/>
    <w:rsid w:val="00D23BE1"/>
    <w:rsid w:val="00D243C9"/>
    <w:rsid w:val="00D249DF"/>
    <w:rsid w:val="00D24A67"/>
    <w:rsid w:val="00D24CA8"/>
    <w:rsid w:val="00D24D26"/>
    <w:rsid w:val="00D26193"/>
    <w:rsid w:val="00D26ABF"/>
    <w:rsid w:val="00D26DA3"/>
    <w:rsid w:val="00D27232"/>
    <w:rsid w:val="00D2749A"/>
    <w:rsid w:val="00D27592"/>
    <w:rsid w:val="00D27712"/>
    <w:rsid w:val="00D27DE4"/>
    <w:rsid w:val="00D27F83"/>
    <w:rsid w:val="00D27FBD"/>
    <w:rsid w:val="00D30205"/>
    <w:rsid w:val="00D3048B"/>
    <w:rsid w:val="00D30839"/>
    <w:rsid w:val="00D30AC2"/>
    <w:rsid w:val="00D30BED"/>
    <w:rsid w:val="00D30E9C"/>
    <w:rsid w:val="00D311F4"/>
    <w:rsid w:val="00D314EF"/>
    <w:rsid w:val="00D31754"/>
    <w:rsid w:val="00D31D2D"/>
    <w:rsid w:val="00D31F53"/>
    <w:rsid w:val="00D32691"/>
    <w:rsid w:val="00D32774"/>
    <w:rsid w:val="00D33232"/>
    <w:rsid w:val="00D332B8"/>
    <w:rsid w:val="00D33479"/>
    <w:rsid w:val="00D33818"/>
    <w:rsid w:val="00D339C6"/>
    <w:rsid w:val="00D33AF0"/>
    <w:rsid w:val="00D33D4F"/>
    <w:rsid w:val="00D33E09"/>
    <w:rsid w:val="00D33F75"/>
    <w:rsid w:val="00D340FC"/>
    <w:rsid w:val="00D345DD"/>
    <w:rsid w:val="00D346F1"/>
    <w:rsid w:val="00D3476A"/>
    <w:rsid w:val="00D34EF9"/>
    <w:rsid w:val="00D35345"/>
    <w:rsid w:val="00D356F8"/>
    <w:rsid w:val="00D35716"/>
    <w:rsid w:val="00D364B9"/>
    <w:rsid w:val="00D36844"/>
    <w:rsid w:val="00D36AA7"/>
    <w:rsid w:val="00D36D04"/>
    <w:rsid w:val="00D36EBE"/>
    <w:rsid w:val="00D3720E"/>
    <w:rsid w:val="00D37371"/>
    <w:rsid w:val="00D374AD"/>
    <w:rsid w:val="00D403E6"/>
    <w:rsid w:val="00D404E2"/>
    <w:rsid w:val="00D40557"/>
    <w:rsid w:val="00D40BF7"/>
    <w:rsid w:val="00D40E0E"/>
    <w:rsid w:val="00D41200"/>
    <w:rsid w:val="00D4133E"/>
    <w:rsid w:val="00D41C63"/>
    <w:rsid w:val="00D42BD6"/>
    <w:rsid w:val="00D43120"/>
    <w:rsid w:val="00D4324E"/>
    <w:rsid w:val="00D43560"/>
    <w:rsid w:val="00D43AD3"/>
    <w:rsid w:val="00D43AF5"/>
    <w:rsid w:val="00D43EAE"/>
    <w:rsid w:val="00D44975"/>
    <w:rsid w:val="00D45676"/>
    <w:rsid w:val="00D45693"/>
    <w:rsid w:val="00D45857"/>
    <w:rsid w:val="00D45E37"/>
    <w:rsid w:val="00D4663F"/>
    <w:rsid w:val="00D46724"/>
    <w:rsid w:val="00D46A0F"/>
    <w:rsid w:val="00D46A39"/>
    <w:rsid w:val="00D46B41"/>
    <w:rsid w:val="00D46EFA"/>
    <w:rsid w:val="00D4701C"/>
    <w:rsid w:val="00D473D8"/>
    <w:rsid w:val="00D47468"/>
    <w:rsid w:val="00D476F6"/>
    <w:rsid w:val="00D47720"/>
    <w:rsid w:val="00D47940"/>
    <w:rsid w:val="00D47BB7"/>
    <w:rsid w:val="00D47CD8"/>
    <w:rsid w:val="00D50050"/>
    <w:rsid w:val="00D50182"/>
    <w:rsid w:val="00D50299"/>
    <w:rsid w:val="00D50932"/>
    <w:rsid w:val="00D50D02"/>
    <w:rsid w:val="00D50FDD"/>
    <w:rsid w:val="00D5154D"/>
    <w:rsid w:val="00D51777"/>
    <w:rsid w:val="00D51812"/>
    <w:rsid w:val="00D51E46"/>
    <w:rsid w:val="00D52DBF"/>
    <w:rsid w:val="00D52EF1"/>
    <w:rsid w:val="00D5303A"/>
    <w:rsid w:val="00D53187"/>
    <w:rsid w:val="00D536FF"/>
    <w:rsid w:val="00D5379C"/>
    <w:rsid w:val="00D53866"/>
    <w:rsid w:val="00D53F89"/>
    <w:rsid w:val="00D542EA"/>
    <w:rsid w:val="00D545B8"/>
    <w:rsid w:val="00D54609"/>
    <w:rsid w:val="00D54D3B"/>
    <w:rsid w:val="00D54DF8"/>
    <w:rsid w:val="00D54FAD"/>
    <w:rsid w:val="00D550B5"/>
    <w:rsid w:val="00D5528F"/>
    <w:rsid w:val="00D556AF"/>
    <w:rsid w:val="00D55AD5"/>
    <w:rsid w:val="00D565BA"/>
    <w:rsid w:val="00D568B8"/>
    <w:rsid w:val="00D56AC0"/>
    <w:rsid w:val="00D56DE2"/>
    <w:rsid w:val="00D56E10"/>
    <w:rsid w:val="00D56E8E"/>
    <w:rsid w:val="00D56E96"/>
    <w:rsid w:val="00D56EC7"/>
    <w:rsid w:val="00D56F18"/>
    <w:rsid w:val="00D575A2"/>
    <w:rsid w:val="00D60013"/>
    <w:rsid w:val="00D601E4"/>
    <w:rsid w:val="00D60A86"/>
    <w:rsid w:val="00D60D9A"/>
    <w:rsid w:val="00D60F99"/>
    <w:rsid w:val="00D61C31"/>
    <w:rsid w:val="00D61CD0"/>
    <w:rsid w:val="00D61E58"/>
    <w:rsid w:val="00D62601"/>
    <w:rsid w:val="00D62628"/>
    <w:rsid w:val="00D62698"/>
    <w:rsid w:val="00D626E1"/>
    <w:rsid w:val="00D629DE"/>
    <w:rsid w:val="00D62B2F"/>
    <w:rsid w:val="00D62D47"/>
    <w:rsid w:val="00D62E9B"/>
    <w:rsid w:val="00D62FFC"/>
    <w:rsid w:val="00D631C3"/>
    <w:rsid w:val="00D63306"/>
    <w:rsid w:val="00D6336D"/>
    <w:rsid w:val="00D63961"/>
    <w:rsid w:val="00D639B3"/>
    <w:rsid w:val="00D63CC8"/>
    <w:rsid w:val="00D64789"/>
    <w:rsid w:val="00D6500B"/>
    <w:rsid w:val="00D6500D"/>
    <w:rsid w:val="00D65052"/>
    <w:rsid w:val="00D65065"/>
    <w:rsid w:val="00D65066"/>
    <w:rsid w:val="00D651CB"/>
    <w:rsid w:val="00D652B7"/>
    <w:rsid w:val="00D65B06"/>
    <w:rsid w:val="00D6624E"/>
    <w:rsid w:val="00D66640"/>
    <w:rsid w:val="00D6670A"/>
    <w:rsid w:val="00D668D1"/>
    <w:rsid w:val="00D669C8"/>
    <w:rsid w:val="00D67050"/>
    <w:rsid w:val="00D67210"/>
    <w:rsid w:val="00D700A4"/>
    <w:rsid w:val="00D709C3"/>
    <w:rsid w:val="00D70B3E"/>
    <w:rsid w:val="00D712CC"/>
    <w:rsid w:val="00D713A3"/>
    <w:rsid w:val="00D717F9"/>
    <w:rsid w:val="00D71CE0"/>
    <w:rsid w:val="00D72053"/>
    <w:rsid w:val="00D720EC"/>
    <w:rsid w:val="00D72125"/>
    <w:rsid w:val="00D72D8B"/>
    <w:rsid w:val="00D72F13"/>
    <w:rsid w:val="00D72F5E"/>
    <w:rsid w:val="00D734BB"/>
    <w:rsid w:val="00D73778"/>
    <w:rsid w:val="00D738C6"/>
    <w:rsid w:val="00D73970"/>
    <w:rsid w:val="00D73B56"/>
    <w:rsid w:val="00D73F13"/>
    <w:rsid w:val="00D744E7"/>
    <w:rsid w:val="00D74BCF"/>
    <w:rsid w:val="00D7536B"/>
    <w:rsid w:val="00D7578D"/>
    <w:rsid w:val="00D75791"/>
    <w:rsid w:val="00D75800"/>
    <w:rsid w:val="00D765FD"/>
    <w:rsid w:val="00D76DD1"/>
    <w:rsid w:val="00D76EF6"/>
    <w:rsid w:val="00D77606"/>
    <w:rsid w:val="00D77BA5"/>
    <w:rsid w:val="00D77C5D"/>
    <w:rsid w:val="00D77D3A"/>
    <w:rsid w:val="00D806D5"/>
    <w:rsid w:val="00D8093D"/>
    <w:rsid w:val="00D80D8F"/>
    <w:rsid w:val="00D80E00"/>
    <w:rsid w:val="00D80FF7"/>
    <w:rsid w:val="00D811B0"/>
    <w:rsid w:val="00D818AE"/>
    <w:rsid w:val="00D81C35"/>
    <w:rsid w:val="00D81E96"/>
    <w:rsid w:val="00D82370"/>
    <w:rsid w:val="00D82D3C"/>
    <w:rsid w:val="00D8301A"/>
    <w:rsid w:val="00D83305"/>
    <w:rsid w:val="00D8378E"/>
    <w:rsid w:val="00D839A3"/>
    <w:rsid w:val="00D83BB8"/>
    <w:rsid w:val="00D8444E"/>
    <w:rsid w:val="00D8478D"/>
    <w:rsid w:val="00D84A05"/>
    <w:rsid w:val="00D84D39"/>
    <w:rsid w:val="00D85143"/>
    <w:rsid w:val="00D8573F"/>
    <w:rsid w:val="00D85C29"/>
    <w:rsid w:val="00D8604B"/>
    <w:rsid w:val="00D86247"/>
    <w:rsid w:val="00D86521"/>
    <w:rsid w:val="00D87034"/>
    <w:rsid w:val="00D870EF"/>
    <w:rsid w:val="00D87196"/>
    <w:rsid w:val="00D87875"/>
    <w:rsid w:val="00D8788D"/>
    <w:rsid w:val="00D903CB"/>
    <w:rsid w:val="00D904EA"/>
    <w:rsid w:val="00D909C5"/>
    <w:rsid w:val="00D90B2F"/>
    <w:rsid w:val="00D90E02"/>
    <w:rsid w:val="00D91310"/>
    <w:rsid w:val="00D9132C"/>
    <w:rsid w:val="00D9135F"/>
    <w:rsid w:val="00D9136C"/>
    <w:rsid w:val="00D913B1"/>
    <w:rsid w:val="00D913EC"/>
    <w:rsid w:val="00D91651"/>
    <w:rsid w:val="00D91A54"/>
    <w:rsid w:val="00D92114"/>
    <w:rsid w:val="00D925C1"/>
    <w:rsid w:val="00D92617"/>
    <w:rsid w:val="00D93050"/>
    <w:rsid w:val="00D93209"/>
    <w:rsid w:val="00D93245"/>
    <w:rsid w:val="00D936C1"/>
    <w:rsid w:val="00D93CA3"/>
    <w:rsid w:val="00D93CA9"/>
    <w:rsid w:val="00D93CE3"/>
    <w:rsid w:val="00D93F63"/>
    <w:rsid w:val="00D94025"/>
    <w:rsid w:val="00D9448B"/>
    <w:rsid w:val="00D9465A"/>
    <w:rsid w:val="00D94A18"/>
    <w:rsid w:val="00D94A9F"/>
    <w:rsid w:val="00D94DA6"/>
    <w:rsid w:val="00D95390"/>
    <w:rsid w:val="00D95610"/>
    <w:rsid w:val="00D95C58"/>
    <w:rsid w:val="00D960D7"/>
    <w:rsid w:val="00D96564"/>
    <w:rsid w:val="00D96BE3"/>
    <w:rsid w:val="00D96D0D"/>
    <w:rsid w:val="00D971EB"/>
    <w:rsid w:val="00D972F2"/>
    <w:rsid w:val="00D9743A"/>
    <w:rsid w:val="00D979CF"/>
    <w:rsid w:val="00D97ABE"/>
    <w:rsid w:val="00DA0322"/>
    <w:rsid w:val="00DA093F"/>
    <w:rsid w:val="00DA0AF0"/>
    <w:rsid w:val="00DA0B98"/>
    <w:rsid w:val="00DA0F46"/>
    <w:rsid w:val="00DA11CD"/>
    <w:rsid w:val="00DA13C3"/>
    <w:rsid w:val="00DA1830"/>
    <w:rsid w:val="00DA1C79"/>
    <w:rsid w:val="00DA2306"/>
    <w:rsid w:val="00DA2642"/>
    <w:rsid w:val="00DA2AAB"/>
    <w:rsid w:val="00DA2D8C"/>
    <w:rsid w:val="00DA3096"/>
    <w:rsid w:val="00DA31EF"/>
    <w:rsid w:val="00DA342F"/>
    <w:rsid w:val="00DA34EA"/>
    <w:rsid w:val="00DA3588"/>
    <w:rsid w:val="00DA3720"/>
    <w:rsid w:val="00DA3D21"/>
    <w:rsid w:val="00DA423F"/>
    <w:rsid w:val="00DA477A"/>
    <w:rsid w:val="00DA50D1"/>
    <w:rsid w:val="00DA5675"/>
    <w:rsid w:val="00DA5B49"/>
    <w:rsid w:val="00DA5E7C"/>
    <w:rsid w:val="00DA5F04"/>
    <w:rsid w:val="00DA60DC"/>
    <w:rsid w:val="00DA6553"/>
    <w:rsid w:val="00DA6AE4"/>
    <w:rsid w:val="00DA6E7A"/>
    <w:rsid w:val="00DA71BC"/>
    <w:rsid w:val="00DA7B2E"/>
    <w:rsid w:val="00DA7DD1"/>
    <w:rsid w:val="00DA7F94"/>
    <w:rsid w:val="00DB0103"/>
    <w:rsid w:val="00DB01D8"/>
    <w:rsid w:val="00DB0315"/>
    <w:rsid w:val="00DB06F6"/>
    <w:rsid w:val="00DB0C6C"/>
    <w:rsid w:val="00DB0CAE"/>
    <w:rsid w:val="00DB0E40"/>
    <w:rsid w:val="00DB114C"/>
    <w:rsid w:val="00DB172E"/>
    <w:rsid w:val="00DB1A5E"/>
    <w:rsid w:val="00DB1E0F"/>
    <w:rsid w:val="00DB221C"/>
    <w:rsid w:val="00DB27F5"/>
    <w:rsid w:val="00DB3539"/>
    <w:rsid w:val="00DB357B"/>
    <w:rsid w:val="00DB3AB6"/>
    <w:rsid w:val="00DB3D7D"/>
    <w:rsid w:val="00DB42E5"/>
    <w:rsid w:val="00DB4E23"/>
    <w:rsid w:val="00DB5618"/>
    <w:rsid w:val="00DB571E"/>
    <w:rsid w:val="00DB5835"/>
    <w:rsid w:val="00DB5966"/>
    <w:rsid w:val="00DB5AF3"/>
    <w:rsid w:val="00DB5E6A"/>
    <w:rsid w:val="00DB5EC4"/>
    <w:rsid w:val="00DB613C"/>
    <w:rsid w:val="00DB65C0"/>
    <w:rsid w:val="00DB672F"/>
    <w:rsid w:val="00DB67C0"/>
    <w:rsid w:val="00DB6B30"/>
    <w:rsid w:val="00DB6C5E"/>
    <w:rsid w:val="00DB6ECC"/>
    <w:rsid w:val="00DB6F74"/>
    <w:rsid w:val="00DB707C"/>
    <w:rsid w:val="00DB72FF"/>
    <w:rsid w:val="00DB753D"/>
    <w:rsid w:val="00DB78E4"/>
    <w:rsid w:val="00DB79DB"/>
    <w:rsid w:val="00DB7EFD"/>
    <w:rsid w:val="00DB7F4B"/>
    <w:rsid w:val="00DC0219"/>
    <w:rsid w:val="00DC0235"/>
    <w:rsid w:val="00DC04E9"/>
    <w:rsid w:val="00DC088E"/>
    <w:rsid w:val="00DC0D4E"/>
    <w:rsid w:val="00DC1392"/>
    <w:rsid w:val="00DC1BEE"/>
    <w:rsid w:val="00DC1CD2"/>
    <w:rsid w:val="00DC1EB0"/>
    <w:rsid w:val="00DC1EF7"/>
    <w:rsid w:val="00DC2258"/>
    <w:rsid w:val="00DC22AC"/>
    <w:rsid w:val="00DC244A"/>
    <w:rsid w:val="00DC2728"/>
    <w:rsid w:val="00DC2953"/>
    <w:rsid w:val="00DC2D26"/>
    <w:rsid w:val="00DC2F0F"/>
    <w:rsid w:val="00DC3257"/>
    <w:rsid w:val="00DC3326"/>
    <w:rsid w:val="00DC34F8"/>
    <w:rsid w:val="00DC3724"/>
    <w:rsid w:val="00DC3B4A"/>
    <w:rsid w:val="00DC45A6"/>
    <w:rsid w:val="00DC4612"/>
    <w:rsid w:val="00DC4732"/>
    <w:rsid w:val="00DC482A"/>
    <w:rsid w:val="00DC4B01"/>
    <w:rsid w:val="00DC4E35"/>
    <w:rsid w:val="00DC52D6"/>
    <w:rsid w:val="00DC58B0"/>
    <w:rsid w:val="00DC5D5C"/>
    <w:rsid w:val="00DC5E5C"/>
    <w:rsid w:val="00DC62A2"/>
    <w:rsid w:val="00DC65F4"/>
    <w:rsid w:val="00DC69D1"/>
    <w:rsid w:val="00DC6D0B"/>
    <w:rsid w:val="00DC6D0C"/>
    <w:rsid w:val="00DC70A0"/>
    <w:rsid w:val="00DC724B"/>
    <w:rsid w:val="00DC76BD"/>
    <w:rsid w:val="00DC7B00"/>
    <w:rsid w:val="00DC7DC2"/>
    <w:rsid w:val="00DD083C"/>
    <w:rsid w:val="00DD0A93"/>
    <w:rsid w:val="00DD1089"/>
    <w:rsid w:val="00DD11CE"/>
    <w:rsid w:val="00DD13C4"/>
    <w:rsid w:val="00DD1A6C"/>
    <w:rsid w:val="00DD1D89"/>
    <w:rsid w:val="00DD2754"/>
    <w:rsid w:val="00DD2878"/>
    <w:rsid w:val="00DD2B52"/>
    <w:rsid w:val="00DD2F41"/>
    <w:rsid w:val="00DD36AE"/>
    <w:rsid w:val="00DD387D"/>
    <w:rsid w:val="00DD3D2E"/>
    <w:rsid w:val="00DD4A19"/>
    <w:rsid w:val="00DD4DA2"/>
    <w:rsid w:val="00DD51A7"/>
    <w:rsid w:val="00DD56A4"/>
    <w:rsid w:val="00DD60BD"/>
    <w:rsid w:val="00DD617C"/>
    <w:rsid w:val="00DD73BF"/>
    <w:rsid w:val="00DD79B6"/>
    <w:rsid w:val="00DE0083"/>
    <w:rsid w:val="00DE025C"/>
    <w:rsid w:val="00DE077C"/>
    <w:rsid w:val="00DE07D2"/>
    <w:rsid w:val="00DE097C"/>
    <w:rsid w:val="00DE1508"/>
    <w:rsid w:val="00DE1574"/>
    <w:rsid w:val="00DE19AA"/>
    <w:rsid w:val="00DE1D83"/>
    <w:rsid w:val="00DE23F9"/>
    <w:rsid w:val="00DE2A1B"/>
    <w:rsid w:val="00DE30A9"/>
    <w:rsid w:val="00DE338C"/>
    <w:rsid w:val="00DE34D6"/>
    <w:rsid w:val="00DE3691"/>
    <w:rsid w:val="00DE38D0"/>
    <w:rsid w:val="00DE3D29"/>
    <w:rsid w:val="00DE3F51"/>
    <w:rsid w:val="00DE42A7"/>
    <w:rsid w:val="00DE4708"/>
    <w:rsid w:val="00DE48F8"/>
    <w:rsid w:val="00DE4970"/>
    <w:rsid w:val="00DE498B"/>
    <w:rsid w:val="00DE49A3"/>
    <w:rsid w:val="00DE4D2B"/>
    <w:rsid w:val="00DE4D2D"/>
    <w:rsid w:val="00DE5229"/>
    <w:rsid w:val="00DE579C"/>
    <w:rsid w:val="00DE57B6"/>
    <w:rsid w:val="00DE59A4"/>
    <w:rsid w:val="00DE5A6A"/>
    <w:rsid w:val="00DE6192"/>
    <w:rsid w:val="00DE6436"/>
    <w:rsid w:val="00DE7299"/>
    <w:rsid w:val="00DE7387"/>
    <w:rsid w:val="00DE7499"/>
    <w:rsid w:val="00DE7665"/>
    <w:rsid w:val="00DE767B"/>
    <w:rsid w:val="00DE76CF"/>
    <w:rsid w:val="00DE7A5D"/>
    <w:rsid w:val="00DE7C43"/>
    <w:rsid w:val="00DE7FD5"/>
    <w:rsid w:val="00DF07AF"/>
    <w:rsid w:val="00DF087B"/>
    <w:rsid w:val="00DF0971"/>
    <w:rsid w:val="00DF1372"/>
    <w:rsid w:val="00DF1897"/>
    <w:rsid w:val="00DF1A48"/>
    <w:rsid w:val="00DF1D71"/>
    <w:rsid w:val="00DF1FE9"/>
    <w:rsid w:val="00DF20CB"/>
    <w:rsid w:val="00DF2166"/>
    <w:rsid w:val="00DF23DB"/>
    <w:rsid w:val="00DF258A"/>
    <w:rsid w:val="00DF2641"/>
    <w:rsid w:val="00DF2677"/>
    <w:rsid w:val="00DF30C0"/>
    <w:rsid w:val="00DF3200"/>
    <w:rsid w:val="00DF33B9"/>
    <w:rsid w:val="00DF3462"/>
    <w:rsid w:val="00DF3730"/>
    <w:rsid w:val="00DF3A38"/>
    <w:rsid w:val="00DF3D34"/>
    <w:rsid w:val="00DF3DCF"/>
    <w:rsid w:val="00DF3F74"/>
    <w:rsid w:val="00DF4300"/>
    <w:rsid w:val="00DF489F"/>
    <w:rsid w:val="00DF61B5"/>
    <w:rsid w:val="00DF6C2B"/>
    <w:rsid w:val="00DF7242"/>
    <w:rsid w:val="00DF73B9"/>
    <w:rsid w:val="00DF74EA"/>
    <w:rsid w:val="00DF7655"/>
    <w:rsid w:val="00DF7C4F"/>
    <w:rsid w:val="00DF7C83"/>
    <w:rsid w:val="00DF7CA1"/>
    <w:rsid w:val="00DF7E55"/>
    <w:rsid w:val="00E00697"/>
    <w:rsid w:val="00E00AD4"/>
    <w:rsid w:val="00E01168"/>
    <w:rsid w:val="00E0129C"/>
    <w:rsid w:val="00E012C5"/>
    <w:rsid w:val="00E013DB"/>
    <w:rsid w:val="00E01445"/>
    <w:rsid w:val="00E016D7"/>
    <w:rsid w:val="00E01753"/>
    <w:rsid w:val="00E017F8"/>
    <w:rsid w:val="00E01ECD"/>
    <w:rsid w:val="00E02007"/>
    <w:rsid w:val="00E024EE"/>
    <w:rsid w:val="00E027C4"/>
    <w:rsid w:val="00E0291F"/>
    <w:rsid w:val="00E02A64"/>
    <w:rsid w:val="00E02C9F"/>
    <w:rsid w:val="00E02F21"/>
    <w:rsid w:val="00E03021"/>
    <w:rsid w:val="00E034F9"/>
    <w:rsid w:val="00E037A9"/>
    <w:rsid w:val="00E03D6B"/>
    <w:rsid w:val="00E03F2D"/>
    <w:rsid w:val="00E055A9"/>
    <w:rsid w:val="00E056D7"/>
    <w:rsid w:val="00E056FC"/>
    <w:rsid w:val="00E05865"/>
    <w:rsid w:val="00E0594E"/>
    <w:rsid w:val="00E063D7"/>
    <w:rsid w:val="00E06628"/>
    <w:rsid w:val="00E0671E"/>
    <w:rsid w:val="00E06737"/>
    <w:rsid w:val="00E06ACA"/>
    <w:rsid w:val="00E072C5"/>
    <w:rsid w:val="00E07DF2"/>
    <w:rsid w:val="00E10213"/>
    <w:rsid w:val="00E102F6"/>
    <w:rsid w:val="00E10718"/>
    <w:rsid w:val="00E10948"/>
    <w:rsid w:val="00E109C5"/>
    <w:rsid w:val="00E10F94"/>
    <w:rsid w:val="00E11354"/>
    <w:rsid w:val="00E11371"/>
    <w:rsid w:val="00E11497"/>
    <w:rsid w:val="00E119EE"/>
    <w:rsid w:val="00E11FB2"/>
    <w:rsid w:val="00E12043"/>
    <w:rsid w:val="00E12EF8"/>
    <w:rsid w:val="00E133EF"/>
    <w:rsid w:val="00E1376E"/>
    <w:rsid w:val="00E1390F"/>
    <w:rsid w:val="00E13ADB"/>
    <w:rsid w:val="00E14171"/>
    <w:rsid w:val="00E14384"/>
    <w:rsid w:val="00E14F04"/>
    <w:rsid w:val="00E155F0"/>
    <w:rsid w:val="00E15839"/>
    <w:rsid w:val="00E15FCC"/>
    <w:rsid w:val="00E160FE"/>
    <w:rsid w:val="00E16547"/>
    <w:rsid w:val="00E167C7"/>
    <w:rsid w:val="00E1696D"/>
    <w:rsid w:val="00E16A37"/>
    <w:rsid w:val="00E174E0"/>
    <w:rsid w:val="00E17DFE"/>
    <w:rsid w:val="00E17EA9"/>
    <w:rsid w:val="00E209CF"/>
    <w:rsid w:val="00E20C02"/>
    <w:rsid w:val="00E20ECC"/>
    <w:rsid w:val="00E20F12"/>
    <w:rsid w:val="00E20F68"/>
    <w:rsid w:val="00E2100C"/>
    <w:rsid w:val="00E2111C"/>
    <w:rsid w:val="00E211CC"/>
    <w:rsid w:val="00E21573"/>
    <w:rsid w:val="00E21F67"/>
    <w:rsid w:val="00E225B4"/>
    <w:rsid w:val="00E22873"/>
    <w:rsid w:val="00E229C9"/>
    <w:rsid w:val="00E22F96"/>
    <w:rsid w:val="00E2323B"/>
    <w:rsid w:val="00E2388F"/>
    <w:rsid w:val="00E23F52"/>
    <w:rsid w:val="00E23FDE"/>
    <w:rsid w:val="00E240BC"/>
    <w:rsid w:val="00E24128"/>
    <w:rsid w:val="00E241EF"/>
    <w:rsid w:val="00E245C5"/>
    <w:rsid w:val="00E246A2"/>
    <w:rsid w:val="00E247D2"/>
    <w:rsid w:val="00E253AA"/>
    <w:rsid w:val="00E2584E"/>
    <w:rsid w:val="00E259DE"/>
    <w:rsid w:val="00E25B7F"/>
    <w:rsid w:val="00E25C3E"/>
    <w:rsid w:val="00E25E22"/>
    <w:rsid w:val="00E261FD"/>
    <w:rsid w:val="00E266A9"/>
    <w:rsid w:val="00E267EA"/>
    <w:rsid w:val="00E26878"/>
    <w:rsid w:val="00E270D8"/>
    <w:rsid w:val="00E271AE"/>
    <w:rsid w:val="00E27356"/>
    <w:rsid w:val="00E27807"/>
    <w:rsid w:val="00E303FE"/>
    <w:rsid w:val="00E30555"/>
    <w:rsid w:val="00E3145F"/>
    <w:rsid w:val="00E31AAB"/>
    <w:rsid w:val="00E3234B"/>
    <w:rsid w:val="00E334B5"/>
    <w:rsid w:val="00E33530"/>
    <w:rsid w:val="00E336F2"/>
    <w:rsid w:val="00E33773"/>
    <w:rsid w:val="00E337DC"/>
    <w:rsid w:val="00E33A40"/>
    <w:rsid w:val="00E33EBF"/>
    <w:rsid w:val="00E34AD1"/>
    <w:rsid w:val="00E34B70"/>
    <w:rsid w:val="00E34CB9"/>
    <w:rsid w:val="00E351C4"/>
    <w:rsid w:val="00E35687"/>
    <w:rsid w:val="00E3593D"/>
    <w:rsid w:val="00E3654C"/>
    <w:rsid w:val="00E36555"/>
    <w:rsid w:val="00E3663B"/>
    <w:rsid w:val="00E36A18"/>
    <w:rsid w:val="00E3719C"/>
    <w:rsid w:val="00E378A9"/>
    <w:rsid w:val="00E37A73"/>
    <w:rsid w:val="00E40534"/>
    <w:rsid w:val="00E40C2F"/>
    <w:rsid w:val="00E41703"/>
    <w:rsid w:val="00E4176A"/>
    <w:rsid w:val="00E41D4B"/>
    <w:rsid w:val="00E41DE9"/>
    <w:rsid w:val="00E41F20"/>
    <w:rsid w:val="00E42530"/>
    <w:rsid w:val="00E4272A"/>
    <w:rsid w:val="00E42953"/>
    <w:rsid w:val="00E42AAD"/>
    <w:rsid w:val="00E42CCD"/>
    <w:rsid w:val="00E43216"/>
    <w:rsid w:val="00E432CD"/>
    <w:rsid w:val="00E4332B"/>
    <w:rsid w:val="00E43882"/>
    <w:rsid w:val="00E439AD"/>
    <w:rsid w:val="00E442BE"/>
    <w:rsid w:val="00E443C8"/>
    <w:rsid w:val="00E446CA"/>
    <w:rsid w:val="00E44754"/>
    <w:rsid w:val="00E44803"/>
    <w:rsid w:val="00E44951"/>
    <w:rsid w:val="00E44D37"/>
    <w:rsid w:val="00E44F4F"/>
    <w:rsid w:val="00E4512B"/>
    <w:rsid w:val="00E452B6"/>
    <w:rsid w:val="00E4556B"/>
    <w:rsid w:val="00E45A88"/>
    <w:rsid w:val="00E45E93"/>
    <w:rsid w:val="00E460B6"/>
    <w:rsid w:val="00E463DC"/>
    <w:rsid w:val="00E46934"/>
    <w:rsid w:val="00E46B8A"/>
    <w:rsid w:val="00E4757A"/>
    <w:rsid w:val="00E475B7"/>
    <w:rsid w:val="00E478FE"/>
    <w:rsid w:val="00E5010A"/>
    <w:rsid w:val="00E50130"/>
    <w:rsid w:val="00E502F4"/>
    <w:rsid w:val="00E504E9"/>
    <w:rsid w:val="00E5080D"/>
    <w:rsid w:val="00E5089D"/>
    <w:rsid w:val="00E50990"/>
    <w:rsid w:val="00E50BB5"/>
    <w:rsid w:val="00E50C1D"/>
    <w:rsid w:val="00E50C9B"/>
    <w:rsid w:val="00E50CAE"/>
    <w:rsid w:val="00E510FB"/>
    <w:rsid w:val="00E51384"/>
    <w:rsid w:val="00E51A35"/>
    <w:rsid w:val="00E51AB3"/>
    <w:rsid w:val="00E51D0E"/>
    <w:rsid w:val="00E51E86"/>
    <w:rsid w:val="00E52103"/>
    <w:rsid w:val="00E52343"/>
    <w:rsid w:val="00E52676"/>
    <w:rsid w:val="00E527D9"/>
    <w:rsid w:val="00E5285E"/>
    <w:rsid w:val="00E52AB6"/>
    <w:rsid w:val="00E52C6F"/>
    <w:rsid w:val="00E52EF7"/>
    <w:rsid w:val="00E53358"/>
    <w:rsid w:val="00E5345B"/>
    <w:rsid w:val="00E5373D"/>
    <w:rsid w:val="00E53922"/>
    <w:rsid w:val="00E541FE"/>
    <w:rsid w:val="00E54360"/>
    <w:rsid w:val="00E54552"/>
    <w:rsid w:val="00E5461D"/>
    <w:rsid w:val="00E54BBB"/>
    <w:rsid w:val="00E55022"/>
    <w:rsid w:val="00E55B0A"/>
    <w:rsid w:val="00E5626C"/>
    <w:rsid w:val="00E562B7"/>
    <w:rsid w:val="00E56474"/>
    <w:rsid w:val="00E56C18"/>
    <w:rsid w:val="00E56D1E"/>
    <w:rsid w:val="00E56F27"/>
    <w:rsid w:val="00E56FB7"/>
    <w:rsid w:val="00E5703D"/>
    <w:rsid w:val="00E57392"/>
    <w:rsid w:val="00E5749A"/>
    <w:rsid w:val="00E5789C"/>
    <w:rsid w:val="00E5794B"/>
    <w:rsid w:val="00E57F3D"/>
    <w:rsid w:val="00E601DD"/>
    <w:rsid w:val="00E60230"/>
    <w:rsid w:val="00E606E4"/>
    <w:rsid w:val="00E60AC4"/>
    <w:rsid w:val="00E60ED2"/>
    <w:rsid w:val="00E6133A"/>
    <w:rsid w:val="00E61491"/>
    <w:rsid w:val="00E61522"/>
    <w:rsid w:val="00E618CD"/>
    <w:rsid w:val="00E61D24"/>
    <w:rsid w:val="00E61E30"/>
    <w:rsid w:val="00E620F8"/>
    <w:rsid w:val="00E62331"/>
    <w:rsid w:val="00E62B91"/>
    <w:rsid w:val="00E632FE"/>
    <w:rsid w:val="00E63443"/>
    <w:rsid w:val="00E63492"/>
    <w:rsid w:val="00E63ADE"/>
    <w:rsid w:val="00E642D8"/>
    <w:rsid w:val="00E64C2A"/>
    <w:rsid w:val="00E65020"/>
    <w:rsid w:val="00E65720"/>
    <w:rsid w:val="00E65CB2"/>
    <w:rsid w:val="00E65F45"/>
    <w:rsid w:val="00E664EC"/>
    <w:rsid w:val="00E665CA"/>
    <w:rsid w:val="00E66B64"/>
    <w:rsid w:val="00E66D2D"/>
    <w:rsid w:val="00E66F35"/>
    <w:rsid w:val="00E674ED"/>
    <w:rsid w:val="00E67B32"/>
    <w:rsid w:val="00E67B7E"/>
    <w:rsid w:val="00E67D31"/>
    <w:rsid w:val="00E67EC5"/>
    <w:rsid w:val="00E70C38"/>
    <w:rsid w:val="00E70EC8"/>
    <w:rsid w:val="00E71001"/>
    <w:rsid w:val="00E711C0"/>
    <w:rsid w:val="00E71848"/>
    <w:rsid w:val="00E71998"/>
    <w:rsid w:val="00E721A2"/>
    <w:rsid w:val="00E723B7"/>
    <w:rsid w:val="00E7299E"/>
    <w:rsid w:val="00E72A77"/>
    <w:rsid w:val="00E72AE4"/>
    <w:rsid w:val="00E72DE9"/>
    <w:rsid w:val="00E72DF1"/>
    <w:rsid w:val="00E7308D"/>
    <w:rsid w:val="00E73DF8"/>
    <w:rsid w:val="00E7412C"/>
    <w:rsid w:val="00E74FF3"/>
    <w:rsid w:val="00E7501D"/>
    <w:rsid w:val="00E7509B"/>
    <w:rsid w:val="00E754E6"/>
    <w:rsid w:val="00E75875"/>
    <w:rsid w:val="00E75A0D"/>
    <w:rsid w:val="00E75B6E"/>
    <w:rsid w:val="00E76D7E"/>
    <w:rsid w:val="00E76E04"/>
    <w:rsid w:val="00E7737F"/>
    <w:rsid w:val="00E77482"/>
    <w:rsid w:val="00E776F6"/>
    <w:rsid w:val="00E7784E"/>
    <w:rsid w:val="00E77B4E"/>
    <w:rsid w:val="00E802AF"/>
    <w:rsid w:val="00E80420"/>
    <w:rsid w:val="00E80E96"/>
    <w:rsid w:val="00E81079"/>
    <w:rsid w:val="00E811DA"/>
    <w:rsid w:val="00E8122C"/>
    <w:rsid w:val="00E81266"/>
    <w:rsid w:val="00E812D3"/>
    <w:rsid w:val="00E81693"/>
    <w:rsid w:val="00E816A3"/>
    <w:rsid w:val="00E81953"/>
    <w:rsid w:val="00E82400"/>
    <w:rsid w:val="00E8243C"/>
    <w:rsid w:val="00E824A0"/>
    <w:rsid w:val="00E827EC"/>
    <w:rsid w:val="00E83945"/>
    <w:rsid w:val="00E83C50"/>
    <w:rsid w:val="00E84BD6"/>
    <w:rsid w:val="00E84D25"/>
    <w:rsid w:val="00E84F1E"/>
    <w:rsid w:val="00E85140"/>
    <w:rsid w:val="00E85509"/>
    <w:rsid w:val="00E8558D"/>
    <w:rsid w:val="00E8580C"/>
    <w:rsid w:val="00E858D7"/>
    <w:rsid w:val="00E85B69"/>
    <w:rsid w:val="00E86435"/>
    <w:rsid w:val="00E865E4"/>
    <w:rsid w:val="00E868F3"/>
    <w:rsid w:val="00E86A0D"/>
    <w:rsid w:val="00E86A98"/>
    <w:rsid w:val="00E87131"/>
    <w:rsid w:val="00E87CD0"/>
    <w:rsid w:val="00E9040D"/>
    <w:rsid w:val="00E90701"/>
    <w:rsid w:val="00E9072C"/>
    <w:rsid w:val="00E90871"/>
    <w:rsid w:val="00E90ABF"/>
    <w:rsid w:val="00E90BFE"/>
    <w:rsid w:val="00E90C7B"/>
    <w:rsid w:val="00E91A6F"/>
    <w:rsid w:val="00E926F7"/>
    <w:rsid w:val="00E9283B"/>
    <w:rsid w:val="00E92980"/>
    <w:rsid w:val="00E92A25"/>
    <w:rsid w:val="00E92B4D"/>
    <w:rsid w:val="00E92C4C"/>
    <w:rsid w:val="00E92D97"/>
    <w:rsid w:val="00E92FC4"/>
    <w:rsid w:val="00E9355E"/>
    <w:rsid w:val="00E94361"/>
    <w:rsid w:val="00E94505"/>
    <w:rsid w:val="00E9452E"/>
    <w:rsid w:val="00E960F5"/>
    <w:rsid w:val="00E9682A"/>
    <w:rsid w:val="00E968C9"/>
    <w:rsid w:val="00E96A5B"/>
    <w:rsid w:val="00E96B53"/>
    <w:rsid w:val="00E971C5"/>
    <w:rsid w:val="00E97A66"/>
    <w:rsid w:val="00E97C5B"/>
    <w:rsid w:val="00EA01BB"/>
    <w:rsid w:val="00EA04E2"/>
    <w:rsid w:val="00EA06A2"/>
    <w:rsid w:val="00EA0A56"/>
    <w:rsid w:val="00EA15D9"/>
    <w:rsid w:val="00EA16EC"/>
    <w:rsid w:val="00EA1BC8"/>
    <w:rsid w:val="00EA25C9"/>
    <w:rsid w:val="00EA2881"/>
    <w:rsid w:val="00EA2D02"/>
    <w:rsid w:val="00EA2F91"/>
    <w:rsid w:val="00EA30EB"/>
    <w:rsid w:val="00EA31C1"/>
    <w:rsid w:val="00EA3533"/>
    <w:rsid w:val="00EA3698"/>
    <w:rsid w:val="00EA3CDD"/>
    <w:rsid w:val="00EA3E24"/>
    <w:rsid w:val="00EA3EE8"/>
    <w:rsid w:val="00EA4322"/>
    <w:rsid w:val="00EA43EE"/>
    <w:rsid w:val="00EA44E6"/>
    <w:rsid w:val="00EA45AD"/>
    <w:rsid w:val="00EA4654"/>
    <w:rsid w:val="00EA4700"/>
    <w:rsid w:val="00EA495E"/>
    <w:rsid w:val="00EA4B3B"/>
    <w:rsid w:val="00EA518F"/>
    <w:rsid w:val="00EA5485"/>
    <w:rsid w:val="00EA57C3"/>
    <w:rsid w:val="00EA583F"/>
    <w:rsid w:val="00EA597C"/>
    <w:rsid w:val="00EA5A58"/>
    <w:rsid w:val="00EA5AF6"/>
    <w:rsid w:val="00EA5DBE"/>
    <w:rsid w:val="00EA69D4"/>
    <w:rsid w:val="00EA795B"/>
    <w:rsid w:val="00EA7A09"/>
    <w:rsid w:val="00EA7B05"/>
    <w:rsid w:val="00EA7CD0"/>
    <w:rsid w:val="00EA7FB4"/>
    <w:rsid w:val="00EA7FD5"/>
    <w:rsid w:val="00EB0229"/>
    <w:rsid w:val="00EB041F"/>
    <w:rsid w:val="00EB0459"/>
    <w:rsid w:val="00EB0B56"/>
    <w:rsid w:val="00EB0C85"/>
    <w:rsid w:val="00EB0ED9"/>
    <w:rsid w:val="00EB12EF"/>
    <w:rsid w:val="00EB174F"/>
    <w:rsid w:val="00EB200F"/>
    <w:rsid w:val="00EB2955"/>
    <w:rsid w:val="00EB2AB0"/>
    <w:rsid w:val="00EB320B"/>
    <w:rsid w:val="00EB3213"/>
    <w:rsid w:val="00EB3492"/>
    <w:rsid w:val="00EB3546"/>
    <w:rsid w:val="00EB4267"/>
    <w:rsid w:val="00EB4630"/>
    <w:rsid w:val="00EB463A"/>
    <w:rsid w:val="00EB4676"/>
    <w:rsid w:val="00EB4680"/>
    <w:rsid w:val="00EB4DE4"/>
    <w:rsid w:val="00EB4DE8"/>
    <w:rsid w:val="00EB59E3"/>
    <w:rsid w:val="00EB5AC0"/>
    <w:rsid w:val="00EB5B24"/>
    <w:rsid w:val="00EB5D9C"/>
    <w:rsid w:val="00EB5E86"/>
    <w:rsid w:val="00EB5F62"/>
    <w:rsid w:val="00EB6230"/>
    <w:rsid w:val="00EB62E5"/>
    <w:rsid w:val="00EB67FA"/>
    <w:rsid w:val="00EB6C37"/>
    <w:rsid w:val="00EB6D58"/>
    <w:rsid w:val="00EB6F96"/>
    <w:rsid w:val="00EB7692"/>
    <w:rsid w:val="00EB7751"/>
    <w:rsid w:val="00EB7783"/>
    <w:rsid w:val="00EB77D7"/>
    <w:rsid w:val="00EB7A4A"/>
    <w:rsid w:val="00EB7BD3"/>
    <w:rsid w:val="00EB7C6F"/>
    <w:rsid w:val="00EB7C9B"/>
    <w:rsid w:val="00EB7D94"/>
    <w:rsid w:val="00EB7F29"/>
    <w:rsid w:val="00EB7F9B"/>
    <w:rsid w:val="00EC00DF"/>
    <w:rsid w:val="00EC057A"/>
    <w:rsid w:val="00EC08AB"/>
    <w:rsid w:val="00EC0A06"/>
    <w:rsid w:val="00EC0A62"/>
    <w:rsid w:val="00EC0AE2"/>
    <w:rsid w:val="00EC10B2"/>
    <w:rsid w:val="00EC12F8"/>
    <w:rsid w:val="00EC186C"/>
    <w:rsid w:val="00EC195E"/>
    <w:rsid w:val="00EC2299"/>
    <w:rsid w:val="00EC2639"/>
    <w:rsid w:val="00EC2820"/>
    <w:rsid w:val="00EC2840"/>
    <w:rsid w:val="00EC2DEA"/>
    <w:rsid w:val="00EC2F1F"/>
    <w:rsid w:val="00EC31D5"/>
    <w:rsid w:val="00EC3A59"/>
    <w:rsid w:val="00EC3DBB"/>
    <w:rsid w:val="00EC42B9"/>
    <w:rsid w:val="00EC47A3"/>
    <w:rsid w:val="00EC47F3"/>
    <w:rsid w:val="00EC4C2A"/>
    <w:rsid w:val="00EC4F7B"/>
    <w:rsid w:val="00EC57F6"/>
    <w:rsid w:val="00EC5928"/>
    <w:rsid w:val="00EC5F8D"/>
    <w:rsid w:val="00EC6346"/>
    <w:rsid w:val="00EC6377"/>
    <w:rsid w:val="00EC6490"/>
    <w:rsid w:val="00EC68D1"/>
    <w:rsid w:val="00EC6D34"/>
    <w:rsid w:val="00EC70A4"/>
    <w:rsid w:val="00EC7750"/>
    <w:rsid w:val="00EC7A30"/>
    <w:rsid w:val="00ED0056"/>
    <w:rsid w:val="00ED09B2"/>
    <w:rsid w:val="00ED0D26"/>
    <w:rsid w:val="00ED137D"/>
    <w:rsid w:val="00ED1496"/>
    <w:rsid w:val="00ED16BD"/>
    <w:rsid w:val="00ED178E"/>
    <w:rsid w:val="00ED1835"/>
    <w:rsid w:val="00ED1AA3"/>
    <w:rsid w:val="00ED2289"/>
    <w:rsid w:val="00ED240E"/>
    <w:rsid w:val="00ED2490"/>
    <w:rsid w:val="00ED2890"/>
    <w:rsid w:val="00ED2A8A"/>
    <w:rsid w:val="00ED3016"/>
    <w:rsid w:val="00ED40BA"/>
    <w:rsid w:val="00ED44B9"/>
    <w:rsid w:val="00ED45A6"/>
    <w:rsid w:val="00ED49D6"/>
    <w:rsid w:val="00ED4F18"/>
    <w:rsid w:val="00ED51AA"/>
    <w:rsid w:val="00ED5232"/>
    <w:rsid w:val="00ED53F1"/>
    <w:rsid w:val="00ED53FF"/>
    <w:rsid w:val="00ED5636"/>
    <w:rsid w:val="00ED5C9F"/>
    <w:rsid w:val="00ED5E34"/>
    <w:rsid w:val="00ED64E1"/>
    <w:rsid w:val="00ED6976"/>
    <w:rsid w:val="00ED73DB"/>
    <w:rsid w:val="00ED766F"/>
    <w:rsid w:val="00ED785D"/>
    <w:rsid w:val="00ED7A81"/>
    <w:rsid w:val="00ED7BB4"/>
    <w:rsid w:val="00ED7E3F"/>
    <w:rsid w:val="00EE02ED"/>
    <w:rsid w:val="00EE02FD"/>
    <w:rsid w:val="00EE059A"/>
    <w:rsid w:val="00EE12A2"/>
    <w:rsid w:val="00EE16DC"/>
    <w:rsid w:val="00EE1AD2"/>
    <w:rsid w:val="00EE1EEC"/>
    <w:rsid w:val="00EE26CD"/>
    <w:rsid w:val="00EE27A0"/>
    <w:rsid w:val="00EE2A9F"/>
    <w:rsid w:val="00EE2EF7"/>
    <w:rsid w:val="00EE2F18"/>
    <w:rsid w:val="00EE327B"/>
    <w:rsid w:val="00EE3406"/>
    <w:rsid w:val="00EE3E28"/>
    <w:rsid w:val="00EE3F04"/>
    <w:rsid w:val="00EE40CC"/>
    <w:rsid w:val="00EE4283"/>
    <w:rsid w:val="00EE4799"/>
    <w:rsid w:val="00EE48D8"/>
    <w:rsid w:val="00EE490B"/>
    <w:rsid w:val="00EE56C6"/>
    <w:rsid w:val="00EE5A0A"/>
    <w:rsid w:val="00EE5A75"/>
    <w:rsid w:val="00EE5B7C"/>
    <w:rsid w:val="00EE60E1"/>
    <w:rsid w:val="00EE655A"/>
    <w:rsid w:val="00EE65A7"/>
    <w:rsid w:val="00EE683D"/>
    <w:rsid w:val="00EE6E9E"/>
    <w:rsid w:val="00EE74AD"/>
    <w:rsid w:val="00EE74ED"/>
    <w:rsid w:val="00EE751C"/>
    <w:rsid w:val="00EE75A7"/>
    <w:rsid w:val="00EE7879"/>
    <w:rsid w:val="00EE7934"/>
    <w:rsid w:val="00EE7BA1"/>
    <w:rsid w:val="00EF095D"/>
    <w:rsid w:val="00EF0B1C"/>
    <w:rsid w:val="00EF0D3D"/>
    <w:rsid w:val="00EF0E8A"/>
    <w:rsid w:val="00EF12B2"/>
    <w:rsid w:val="00EF151F"/>
    <w:rsid w:val="00EF17E8"/>
    <w:rsid w:val="00EF203A"/>
    <w:rsid w:val="00EF24C1"/>
    <w:rsid w:val="00EF2726"/>
    <w:rsid w:val="00EF2750"/>
    <w:rsid w:val="00EF282D"/>
    <w:rsid w:val="00EF2C61"/>
    <w:rsid w:val="00EF2D0E"/>
    <w:rsid w:val="00EF398A"/>
    <w:rsid w:val="00EF3A12"/>
    <w:rsid w:val="00EF3D1A"/>
    <w:rsid w:val="00EF4216"/>
    <w:rsid w:val="00EF45D1"/>
    <w:rsid w:val="00EF5062"/>
    <w:rsid w:val="00EF58BE"/>
    <w:rsid w:val="00EF59AD"/>
    <w:rsid w:val="00EF5F55"/>
    <w:rsid w:val="00EF60AC"/>
    <w:rsid w:val="00EF616E"/>
    <w:rsid w:val="00EF6D10"/>
    <w:rsid w:val="00EF702B"/>
    <w:rsid w:val="00EF7149"/>
    <w:rsid w:val="00EF737F"/>
    <w:rsid w:val="00EF7873"/>
    <w:rsid w:val="00F004ED"/>
    <w:rsid w:val="00F00C25"/>
    <w:rsid w:val="00F00C62"/>
    <w:rsid w:val="00F00F6C"/>
    <w:rsid w:val="00F01B0F"/>
    <w:rsid w:val="00F01D9A"/>
    <w:rsid w:val="00F02473"/>
    <w:rsid w:val="00F025DB"/>
    <w:rsid w:val="00F0260B"/>
    <w:rsid w:val="00F02688"/>
    <w:rsid w:val="00F02835"/>
    <w:rsid w:val="00F02C6D"/>
    <w:rsid w:val="00F02F8A"/>
    <w:rsid w:val="00F034A2"/>
    <w:rsid w:val="00F0374C"/>
    <w:rsid w:val="00F03762"/>
    <w:rsid w:val="00F03966"/>
    <w:rsid w:val="00F03CE2"/>
    <w:rsid w:val="00F03FDE"/>
    <w:rsid w:val="00F04019"/>
    <w:rsid w:val="00F040A0"/>
    <w:rsid w:val="00F04503"/>
    <w:rsid w:val="00F0456B"/>
    <w:rsid w:val="00F045CA"/>
    <w:rsid w:val="00F045FB"/>
    <w:rsid w:val="00F04F5D"/>
    <w:rsid w:val="00F05157"/>
    <w:rsid w:val="00F05168"/>
    <w:rsid w:val="00F05AC6"/>
    <w:rsid w:val="00F05BBF"/>
    <w:rsid w:val="00F0615A"/>
    <w:rsid w:val="00F062C7"/>
    <w:rsid w:val="00F06330"/>
    <w:rsid w:val="00F068FC"/>
    <w:rsid w:val="00F06A79"/>
    <w:rsid w:val="00F06A98"/>
    <w:rsid w:val="00F06C84"/>
    <w:rsid w:val="00F06E11"/>
    <w:rsid w:val="00F070CC"/>
    <w:rsid w:val="00F073FF"/>
    <w:rsid w:val="00F07616"/>
    <w:rsid w:val="00F0775A"/>
    <w:rsid w:val="00F077B1"/>
    <w:rsid w:val="00F079E9"/>
    <w:rsid w:val="00F1027D"/>
    <w:rsid w:val="00F10AA5"/>
    <w:rsid w:val="00F111CA"/>
    <w:rsid w:val="00F1156A"/>
    <w:rsid w:val="00F11E67"/>
    <w:rsid w:val="00F11F33"/>
    <w:rsid w:val="00F11FCC"/>
    <w:rsid w:val="00F12519"/>
    <w:rsid w:val="00F12881"/>
    <w:rsid w:val="00F135A2"/>
    <w:rsid w:val="00F136AC"/>
    <w:rsid w:val="00F14435"/>
    <w:rsid w:val="00F14896"/>
    <w:rsid w:val="00F14973"/>
    <w:rsid w:val="00F14ABF"/>
    <w:rsid w:val="00F14EDE"/>
    <w:rsid w:val="00F15272"/>
    <w:rsid w:val="00F1532D"/>
    <w:rsid w:val="00F1545A"/>
    <w:rsid w:val="00F15630"/>
    <w:rsid w:val="00F15645"/>
    <w:rsid w:val="00F15851"/>
    <w:rsid w:val="00F158AC"/>
    <w:rsid w:val="00F1647C"/>
    <w:rsid w:val="00F16D7B"/>
    <w:rsid w:val="00F17135"/>
    <w:rsid w:val="00F17144"/>
    <w:rsid w:val="00F173AA"/>
    <w:rsid w:val="00F176F4"/>
    <w:rsid w:val="00F17BF1"/>
    <w:rsid w:val="00F17E01"/>
    <w:rsid w:val="00F201C8"/>
    <w:rsid w:val="00F201D4"/>
    <w:rsid w:val="00F205C6"/>
    <w:rsid w:val="00F20E12"/>
    <w:rsid w:val="00F21329"/>
    <w:rsid w:val="00F21395"/>
    <w:rsid w:val="00F2166A"/>
    <w:rsid w:val="00F222D6"/>
    <w:rsid w:val="00F225FC"/>
    <w:rsid w:val="00F22799"/>
    <w:rsid w:val="00F22FE6"/>
    <w:rsid w:val="00F230ED"/>
    <w:rsid w:val="00F23391"/>
    <w:rsid w:val="00F233FB"/>
    <w:rsid w:val="00F23CD8"/>
    <w:rsid w:val="00F241FE"/>
    <w:rsid w:val="00F24764"/>
    <w:rsid w:val="00F2494E"/>
    <w:rsid w:val="00F24A12"/>
    <w:rsid w:val="00F24E0A"/>
    <w:rsid w:val="00F2523A"/>
    <w:rsid w:val="00F2559C"/>
    <w:rsid w:val="00F2572A"/>
    <w:rsid w:val="00F257BD"/>
    <w:rsid w:val="00F259A2"/>
    <w:rsid w:val="00F25E23"/>
    <w:rsid w:val="00F26162"/>
    <w:rsid w:val="00F263EE"/>
    <w:rsid w:val="00F266A4"/>
    <w:rsid w:val="00F269E0"/>
    <w:rsid w:val="00F26ECE"/>
    <w:rsid w:val="00F271F3"/>
    <w:rsid w:val="00F272C0"/>
    <w:rsid w:val="00F27371"/>
    <w:rsid w:val="00F27689"/>
    <w:rsid w:val="00F27D69"/>
    <w:rsid w:val="00F27E47"/>
    <w:rsid w:val="00F27E92"/>
    <w:rsid w:val="00F30109"/>
    <w:rsid w:val="00F3016A"/>
    <w:rsid w:val="00F30EF0"/>
    <w:rsid w:val="00F31527"/>
    <w:rsid w:val="00F31965"/>
    <w:rsid w:val="00F31C46"/>
    <w:rsid w:val="00F31E58"/>
    <w:rsid w:val="00F32051"/>
    <w:rsid w:val="00F32101"/>
    <w:rsid w:val="00F321B2"/>
    <w:rsid w:val="00F324A1"/>
    <w:rsid w:val="00F3257A"/>
    <w:rsid w:val="00F32643"/>
    <w:rsid w:val="00F32B9A"/>
    <w:rsid w:val="00F3384B"/>
    <w:rsid w:val="00F33B0E"/>
    <w:rsid w:val="00F3403A"/>
    <w:rsid w:val="00F34570"/>
    <w:rsid w:val="00F34748"/>
    <w:rsid w:val="00F3498D"/>
    <w:rsid w:val="00F35082"/>
    <w:rsid w:val="00F353BB"/>
    <w:rsid w:val="00F35613"/>
    <w:rsid w:val="00F35619"/>
    <w:rsid w:val="00F35ADA"/>
    <w:rsid w:val="00F36198"/>
    <w:rsid w:val="00F3695A"/>
    <w:rsid w:val="00F36B99"/>
    <w:rsid w:val="00F36ED9"/>
    <w:rsid w:val="00F36EE1"/>
    <w:rsid w:val="00F370C6"/>
    <w:rsid w:val="00F372A4"/>
    <w:rsid w:val="00F373EE"/>
    <w:rsid w:val="00F374F4"/>
    <w:rsid w:val="00F375D3"/>
    <w:rsid w:val="00F37A17"/>
    <w:rsid w:val="00F40244"/>
    <w:rsid w:val="00F40268"/>
    <w:rsid w:val="00F40796"/>
    <w:rsid w:val="00F409F0"/>
    <w:rsid w:val="00F40EF9"/>
    <w:rsid w:val="00F40F40"/>
    <w:rsid w:val="00F40FCE"/>
    <w:rsid w:val="00F415A5"/>
    <w:rsid w:val="00F41C80"/>
    <w:rsid w:val="00F41ECA"/>
    <w:rsid w:val="00F41FA4"/>
    <w:rsid w:val="00F421F5"/>
    <w:rsid w:val="00F42608"/>
    <w:rsid w:val="00F42AED"/>
    <w:rsid w:val="00F4330A"/>
    <w:rsid w:val="00F4369F"/>
    <w:rsid w:val="00F436C4"/>
    <w:rsid w:val="00F436D2"/>
    <w:rsid w:val="00F439DA"/>
    <w:rsid w:val="00F43D7C"/>
    <w:rsid w:val="00F43DC2"/>
    <w:rsid w:val="00F4412B"/>
    <w:rsid w:val="00F441F8"/>
    <w:rsid w:val="00F44358"/>
    <w:rsid w:val="00F44476"/>
    <w:rsid w:val="00F44649"/>
    <w:rsid w:val="00F44EFB"/>
    <w:rsid w:val="00F45583"/>
    <w:rsid w:val="00F458FD"/>
    <w:rsid w:val="00F45A13"/>
    <w:rsid w:val="00F46B21"/>
    <w:rsid w:val="00F46B8E"/>
    <w:rsid w:val="00F46E69"/>
    <w:rsid w:val="00F4759A"/>
    <w:rsid w:val="00F47811"/>
    <w:rsid w:val="00F50F38"/>
    <w:rsid w:val="00F5146E"/>
    <w:rsid w:val="00F517ED"/>
    <w:rsid w:val="00F5195A"/>
    <w:rsid w:val="00F520AA"/>
    <w:rsid w:val="00F52781"/>
    <w:rsid w:val="00F5279D"/>
    <w:rsid w:val="00F52A95"/>
    <w:rsid w:val="00F52B50"/>
    <w:rsid w:val="00F52E01"/>
    <w:rsid w:val="00F530E9"/>
    <w:rsid w:val="00F536CC"/>
    <w:rsid w:val="00F537B6"/>
    <w:rsid w:val="00F53F5A"/>
    <w:rsid w:val="00F54054"/>
    <w:rsid w:val="00F54559"/>
    <w:rsid w:val="00F5499C"/>
    <w:rsid w:val="00F54ADE"/>
    <w:rsid w:val="00F55359"/>
    <w:rsid w:val="00F5559A"/>
    <w:rsid w:val="00F55A1F"/>
    <w:rsid w:val="00F561A1"/>
    <w:rsid w:val="00F56661"/>
    <w:rsid w:val="00F56851"/>
    <w:rsid w:val="00F56FE0"/>
    <w:rsid w:val="00F57123"/>
    <w:rsid w:val="00F5715C"/>
    <w:rsid w:val="00F57872"/>
    <w:rsid w:val="00F57DCD"/>
    <w:rsid w:val="00F60328"/>
    <w:rsid w:val="00F60913"/>
    <w:rsid w:val="00F60CF5"/>
    <w:rsid w:val="00F613DB"/>
    <w:rsid w:val="00F61581"/>
    <w:rsid w:val="00F6160E"/>
    <w:rsid w:val="00F61CB2"/>
    <w:rsid w:val="00F61FF5"/>
    <w:rsid w:val="00F62427"/>
    <w:rsid w:val="00F62491"/>
    <w:rsid w:val="00F62597"/>
    <w:rsid w:val="00F62B0E"/>
    <w:rsid w:val="00F62CE8"/>
    <w:rsid w:val="00F62E0C"/>
    <w:rsid w:val="00F6318C"/>
    <w:rsid w:val="00F631D5"/>
    <w:rsid w:val="00F635C5"/>
    <w:rsid w:val="00F63652"/>
    <w:rsid w:val="00F63A4C"/>
    <w:rsid w:val="00F63CB7"/>
    <w:rsid w:val="00F645A9"/>
    <w:rsid w:val="00F65706"/>
    <w:rsid w:val="00F6584D"/>
    <w:rsid w:val="00F65E35"/>
    <w:rsid w:val="00F65FE4"/>
    <w:rsid w:val="00F6610F"/>
    <w:rsid w:val="00F6612B"/>
    <w:rsid w:val="00F66889"/>
    <w:rsid w:val="00F66A28"/>
    <w:rsid w:val="00F66BAA"/>
    <w:rsid w:val="00F66BD7"/>
    <w:rsid w:val="00F66D97"/>
    <w:rsid w:val="00F6718E"/>
    <w:rsid w:val="00F6734A"/>
    <w:rsid w:val="00F67563"/>
    <w:rsid w:val="00F67584"/>
    <w:rsid w:val="00F675EA"/>
    <w:rsid w:val="00F6772C"/>
    <w:rsid w:val="00F679B3"/>
    <w:rsid w:val="00F67C50"/>
    <w:rsid w:val="00F67F38"/>
    <w:rsid w:val="00F70003"/>
    <w:rsid w:val="00F70631"/>
    <w:rsid w:val="00F70C0E"/>
    <w:rsid w:val="00F7132F"/>
    <w:rsid w:val="00F716EA"/>
    <w:rsid w:val="00F71725"/>
    <w:rsid w:val="00F717B3"/>
    <w:rsid w:val="00F71974"/>
    <w:rsid w:val="00F719B5"/>
    <w:rsid w:val="00F719E1"/>
    <w:rsid w:val="00F71A6C"/>
    <w:rsid w:val="00F71C02"/>
    <w:rsid w:val="00F721CC"/>
    <w:rsid w:val="00F72436"/>
    <w:rsid w:val="00F726A3"/>
    <w:rsid w:val="00F727A8"/>
    <w:rsid w:val="00F72AA5"/>
    <w:rsid w:val="00F73412"/>
    <w:rsid w:val="00F73497"/>
    <w:rsid w:val="00F73D06"/>
    <w:rsid w:val="00F740CE"/>
    <w:rsid w:val="00F74326"/>
    <w:rsid w:val="00F74781"/>
    <w:rsid w:val="00F748ED"/>
    <w:rsid w:val="00F752F0"/>
    <w:rsid w:val="00F7576E"/>
    <w:rsid w:val="00F757F3"/>
    <w:rsid w:val="00F75FBD"/>
    <w:rsid w:val="00F7637E"/>
    <w:rsid w:val="00F7640D"/>
    <w:rsid w:val="00F76BE4"/>
    <w:rsid w:val="00F76E3C"/>
    <w:rsid w:val="00F7742C"/>
    <w:rsid w:val="00F77762"/>
    <w:rsid w:val="00F77C92"/>
    <w:rsid w:val="00F800A1"/>
    <w:rsid w:val="00F8030A"/>
    <w:rsid w:val="00F80516"/>
    <w:rsid w:val="00F80F12"/>
    <w:rsid w:val="00F81315"/>
    <w:rsid w:val="00F814A0"/>
    <w:rsid w:val="00F818FD"/>
    <w:rsid w:val="00F81A15"/>
    <w:rsid w:val="00F81C2B"/>
    <w:rsid w:val="00F82580"/>
    <w:rsid w:val="00F82ABA"/>
    <w:rsid w:val="00F833E5"/>
    <w:rsid w:val="00F83572"/>
    <w:rsid w:val="00F83790"/>
    <w:rsid w:val="00F838B8"/>
    <w:rsid w:val="00F839D2"/>
    <w:rsid w:val="00F83D6B"/>
    <w:rsid w:val="00F84016"/>
    <w:rsid w:val="00F84735"/>
    <w:rsid w:val="00F849D7"/>
    <w:rsid w:val="00F84B2C"/>
    <w:rsid w:val="00F84C44"/>
    <w:rsid w:val="00F84C78"/>
    <w:rsid w:val="00F84F74"/>
    <w:rsid w:val="00F85046"/>
    <w:rsid w:val="00F85344"/>
    <w:rsid w:val="00F857E5"/>
    <w:rsid w:val="00F85B2C"/>
    <w:rsid w:val="00F86078"/>
    <w:rsid w:val="00F86231"/>
    <w:rsid w:val="00F863DB"/>
    <w:rsid w:val="00F86595"/>
    <w:rsid w:val="00F86979"/>
    <w:rsid w:val="00F86BB1"/>
    <w:rsid w:val="00F86EF2"/>
    <w:rsid w:val="00F8708F"/>
    <w:rsid w:val="00F8772B"/>
    <w:rsid w:val="00F87742"/>
    <w:rsid w:val="00F877D1"/>
    <w:rsid w:val="00F90582"/>
    <w:rsid w:val="00F90605"/>
    <w:rsid w:val="00F906B1"/>
    <w:rsid w:val="00F90C8C"/>
    <w:rsid w:val="00F90E04"/>
    <w:rsid w:val="00F90F15"/>
    <w:rsid w:val="00F91121"/>
    <w:rsid w:val="00F91A6F"/>
    <w:rsid w:val="00F91A78"/>
    <w:rsid w:val="00F91B9A"/>
    <w:rsid w:val="00F91C93"/>
    <w:rsid w:val="00F92573"/>
    <w:rsid w:val="00F92C74"/>
    <w:rsid w:val="00F932A2"/>
    <w:rsid w:val="00F93DA1"/>
    <w:rsid w:val="00F93DD3"/>
    <w:rsid w:val="00F94285"/>
    <w:rsid w:val="00F94677"/>
    <w:rsid w:val="00F949BD"/>
    <w:rsid w:val="00F949E4"/>
    <w:rsid w:val="00F94F51"/>
    <w:rsid w:val="00F9558B"/>
    <w:rsid w:val="00F95647"/>
    <w:rsid w:val="00F9572B"/>
    <w:rsid w:val="00F95DB7"/>
    <w:rsid w:val="00F96514"/>
    <w:rsid w:val="00F9675A"/>
    <w:rsid w:val="00F968D4"/>
    <w:rsid w:val="00F96ABE"/>
    <w:rsid w:val="00F96C95"/>
    <w:rsid w:val="00F96FC6"/>
    <w:rsid w:val="00F97183"/>
    <w:rsid w:val="00F97663"/>
    <w:rsid w:val="00F97978"/>
    <w:rsid w:val="00F97D6C"/>
    <w:rsid w:val="00F97E49"/>
    <w:rsid w:val="00F97FFD"/>
    <w:rsid w:val="00FA008A"/>
    <w:rsid w:val="00FA06B3"/>
    <w:rsid w:val="00FA0A28"/>
    <w:rsid w:val="00FA186E"/>
    <w:rsid w:val="00FA2156"/>
    <w:rsid w:val="00FA2257"/>
    <w:rsid w:val="00FA2324"/>
    <w:rsid w:val="00FA2385"/>
    <w:rsid w:val="00FA24B6"/>
    <w:rsid w:val="00FA2A06"/>
    <w:rsid w:val="00FA2A1D"/>
    <w:rsid w:val="00FA2AF7"/>
    <w:rsid w:val="00FA31B8"/>
    <w:rsid w:val="00FA426B"/>
    <w:rsid w:val="00FA4941"/>
    <w:rsid w:val="00FA5015"/>
    <w:rsid w:val="00FA559A"/>
    <w:rsid w:val="00FA582F"/>
    <w:rsid w:val="00FA58D6"/>
    <w:rsid w:val="00FA59B4"/>
    <w:rsid w:val="00FA5A23"/>
    <w:rsid w:val="00FA5ACA"/>
    <w:rsid w:val="00FA690A"/>
    <w:rsid w:val="00FA69FF"/>
    <w:rsid w:val="00FA6EBD"/>
    <w:rsid w:val="00FA730B"/>
    <w:rsid w:val="00FA7385"/>
    <w:rsid w:val="00FA7468"/>
    <w:rsid w:val="00FA7610"/>
    <w:rsid w:val="00FA7AE2"/>
    <w:rsid w:val="00FA7F3C"/>
    <w:rsid w:val="00FB01A2"/>
    <w:rsid w:val="00FB03F5"/>
    <w:rsid w:val="00FB07F6"/>
    <w:rsid w:val="00FB09E3"/>
    <w:rsid w:val="00FB1B17"/>
    <w:rsid w:val="00FB1D79"/>
    <w:rsid w:val="00FB1E5F"/>
    <w:rsid w:val="00FB262C"/>
    <w:rsid w:val="00FB3087"/>
    <w:rsid w:val="00FB3155"/>
    <w:rsid w:val="00FB32A6"/>
    <w:rsid w:val="00FB334D"/>
    <w:rsid w:val="00FB3D8C"/>
    <w:rsid w:val="00FB3FD6"/>
    <w:rsid w:val="00FB45D6"/>
    <w:rsid w:val="00FB4A49"/>
    <w:rsid w:val="00FB4C0E"/>
    <w:rsid w:val="00FB4D66"/>
    <w:rsid w:val="00FB4E87"/>
    <w:rsid w:val="00FB4EF2"/>
    <w:rsid w:val="00FB4FF5"/>
    <w:rsid w:val="00FB51C5"/>
    <w:rsid w:val="00FB52F3"/>
    <w:rsid w:val="00FB610B"/>
    <w:rsid w:val="00FB65EA"/>
    <w:rsid w:val="00FB67BD"/>
    <w:rsid w:val="00FB6F01"/>
    <w:rsid w:val="00FB754E"/>
    <w:rsid w:val="00FB7BD7"/>
    <w:rsid w:val="00FC002D"/>
    <w:rsid w:val="00FC004C"/>
    <w:rsid w:val="00FC04F9"/>
    <w:rsid w:val="00FC083E"/>
    <w:rsid w:val="00FC0891"/>
    <w:rsid w:val="00FC0C4E"/>
    <w:rsid w:val="00FC1342"/>
    <w:rsid w:val="00FC1512"/>
    <w:rsid w:val="00FC15B8"/>
    <w:rsid w:val="00FC16B6"/>
    <w:rsid w:val="00FC1AE3"/>
    <w:rsid w:val="00FC1ECC"/>
    <w:rsid w:val="00FC20D8"/>
    <w:rsid w:val="00FC2560"/>
    <w:rsid w:val="00FC27F1"/>
    <w:rsid w:val="00FC2AEB"/>
    <w:rsid w:val="00FC2D55"/>
    <w:rsid w:val="00FC2D77"/>
    <w:rsid w:val="00FC2E22"/>
    <w:rsid w:val="00FC2E2F"/>
    <w:rsid w:val="00FC2E85"/>
    <w:rsid w:val="00FC2FCB"/>
    <w:rsid w:val="00FC3128"/>
    <w:rsid w:val="00FC3AB4"/>
    <w:rsid w:val="00FC3EB6"/>
    <w:rsid w:val="00FC3F58"/>
    <w:rsid w:val="00FC4950"/>
    <w:rsid w:val="00FC578C"/>
    <w:rsid w:val="00FC5A31"/>
    <w:rsid w:val="00FC6970"/>
    <w:rsid w:val="00FC6F25"/>
    <w:rsid w:val="00FC6F72"/>
    <w:rsid w:val="00FC6FCF"/>
    <w:rsid w:val="00FC7251"/>
    <w:rsid w:val="00FC7311"/>
    <w:rsid w:val="00FC7478"/>
    <w:rsid w:val="00FC74F7"/>
    <w:rsid w:val="00FC7A33"/>
    <w:rsid w:val="00FD03A9"/>
    <w:rsid w:val="00FD066B"/>
    <w:rsid w:val="00FD0713"/>
    <w:rsid w:val="00FD0838"/>
    <w:rsid w:val="00FD0DB1"/>
    <w:rsid w:val="00FD128B"/>
    <w:rsid w:val="00FD1645"/>
    <w:rsid w:val="00FD1A54"/>
    <w:rsid w:val="00FD1E34"/>
    <w:rsid w:val="00FD1E46"/>
    <w:rsid w:val="00FD23EC"/>
    <w:rsid w:val="00FD2B17"/>
    <w:rsid w:val="00FD2F62"/>
    <w:rsid w:val="00FD2F9D"/>
    <w:rsid w:val="00FD305D"/>
    <w:rsid w:val="00FD3318"/>
    <w:rsid w:val="00FD3366"/>
    <w:rsid w:val="00FD39B9"/>
    <w:rsid w:val="00FD3B0E"/>
    <w:rsid w:val="00FD3F25"/>
    <w:rsid w:val="00FD3F31"/>
    <w:rsid w:val="00FD444D"/>
    <w:rsid w:val="00FD45F0"/>
    <w:rsid w:val="00FD4FBC"/>
    <w:rsid w:val="00FD516E"/>
    <w:rsid w:val="00FD5AB3"/>
    <w:rsid w:val="00FD5AC0"/>
    <w:rsid w:val="00FD5B34"/>
    <w:rsid w:val="00FD608B"/>
    <w:rsid w:val="00FD635E"/>
    <w:rsid w:val="00FD6388"/>
    <w:rsid w:val="00FD68DF"/>
    <w:rsid w:val="00FD6E51"/>
    <w:rsid w:val="00FD72B3"/>
    <w:rsid w:val="00FD76E5"/>
    <w:rsid w:val="00FD77D8"/>
    <w:rsid w:val="00FD78DF"/>
    <w:rsid w:val="00FD7977"/>
    <w:rsid w:val="00FD7B02"/>
    <w:rsid w:val="00FD7CA1"/>
    <w:rsid w:val="00FE0165"/>
    <w:rsid w:val="00FE07EE"/>
    <w:rsid w:val="00FE08C5"/>
    <w:rsid w:val="00FE0B4F"/>
    <w:rsid w:val="00FE0D03"/>
    <w:rsid w:val="00FE10E9"/>
    <w:rsid w:val="00FE1277"/>
    <w:rsid w:val="00FE14BE"/>
    <w:rsid w:val="00FE14F9"/>
    <w:rsid w:val="00FE1EBD"/>
    <w:rsid w:val="00FE1F0A"/>
    <w:rsid w:val="00FE26D8"/>
    <w:rsid w:val="00FE2C62"/>
    <w:rsid w:val="00FE2E30"/>
    <w:rsid w:val="00FE2E59"/>
    <w:rsid w:val="00FE2E71"/>
    <w:rsid w:val="00FE4122"/>
    <w:rsid w:val="00FE413E"/>
    <w:rsid w:val="00FE4AF1"/>
    <w:rsid w:val="00FE4B04"/>
    <w:rsid w:val="00FE5022"/>
    <w:rsid w:val="00FE5403"/>
    <w:rsid w:val="00FE5419"/>
    <w:rsid w:val="00FE542F"/>
    <w:rsid w:val="00FE5452"/>
    <w:rsid w:val="00FE547F"/>
    <w:rsid w:val="00FE5529"/>
    <w:rsid w:val="00FE5939"/>
    <w:rsid w:val="00FE5EC1"/>
    <w:rsid w:val="00FE5F92"/>
    <w:rsid w:val="00FE5F9B"/>
    <w:rsid w:val="00FE6080"/>
    <w:rsid w:val="00FE646A"/>
    <w:rsid w:val="00FE6B0D"/>
    <w:rsid w:val="00FE72A1"/>
    <w:rsid w:val="00FE74EA"/>
    <w:rsid w:val="00FE7B00"/>
    <w:rsid w:val="00FE7E2B"/>
    <w:rsid w:val="00FE7E3E"/>
    <w:rsid w:val="00FF0240"/>
    <w:rsid w:val="00FF0766"/>
    <w:rsid w:val="00FF0DAD"/>
    <w:rsid w:val="00FF1C20"/>
    <w:rsid w:val="00FF22FB"/>
    <w:rsid w:val="00FF23D5"/>
    <w:rsid w:val="00FF2439"/>
    <w:rsid w:val="00FF2BF3"/>
    <w:rsid w:val="00FF34E5"/>
    <w:rsid w:val="00FF3C33"/>
    <w:rsid w:val="00FF45E9"/>
    <w:rsid w:val="00FF502E"/>
    <w:rsid w:val="00FF5210"/>
    <w:rsid w:val="00FF5418"/>
    <w:rsid w:val="00FF54B4"/>
    <w:rsid w:val="00FF56F6"/>
    <w:rsid w:val="00FF57FF"/>
    <w:rsid w:val="00FF5801"/>
    <w:rsid w:val="00FF5C95"/>
    <w:rsid w:val="00FF6305"/>
    <w:rsid w:val="00FF635E"/>
    <w:rsid w:val="00FF64E8"/>
    <w:rsid w:val="00FF67A1"/>
    <w:rsid w:val="00FF6919"/>
    <w:rsid w:val="00FF6BE8"/>
    <w:rsid w:val="00FF6CE2"/>
    <w:rsid w:val="00FF6F79"/>
    <w:rsid w:val="00FF7148"/>
    <w:rsid w:val="00FF729A"/>
    <w:rsid w:val="00FF7371"/>
    <w:rsid w:val="00FF76FB"/>
    <w:rsid w:val="00FF7A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864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locked="0" w:semiHidden="0" w:uiPriority="9" w:unhideWhenUsed="0" w:qFormat="1"/>
    <w:lsdException w:name="heading 6" w:locked="0" w:semiHidden="0" w:uiPriority="9" w:unhideWhenUsed="0" w:qFormat="1"/>
    <w:lsdException w:name="heading 7" w:uiPriority="9" w:qFormat="1"/>
    <w:lsdException w:name="heading 8" w:uiPriority="9" w:qFormat="1"/>
    <w:lsdException w:name="heading 9" w:uiPriority="9" w:qFormat="1"/>
    <w:lsdException w:name="toc 1" w:locked="0" w:uiPriority="39"/>
    <w:lsdException w:name="toc 2" w:locked="0" w:uiPriority="39"/>
    <w:lsdException w:name="toc 3" w:locked="0" w:uiPriority="39"/>
    <w:lsdException w:name="toc 4" w:uiPriority="0"/>
    <w:lsdException w:name="toc 5" w:uiPriority="0"/>
    <w:lsdException w:name="toc 6" w:uiPriority="0"/>
    <w:lsdException w:name="toc 7" w:uiPriority="0"/>
    <w:lsdException w:name="toc 8" w:uiPriority="0"/>
    <w:lsdException w:name="toc 9" w:uiPriority="0"/>
    <w:lsdException w:name="footnote text" w:locked="0" w:qFormat="1"/>
    <w:lsdException w:name="header" w:uiPriority="0"/>
    <w:lsdException w:name="footer" w:locked="0"/>
    <w:lsdException w:name="caption" w:semiHidden="0" w:uiPriority="0" w:unhideWhenUsed="0" w:qFormat="1"/>
    <w:lsdException w:name="footnote reference" w:locked="0"/>
    <w:lsdException w:name="page number" w:locked="0" w:uiPriority="0"/>
    <w:lsdException w:name="Title" w:semiHidden="0" w:uiPriority="0" w:unhideWhenUsed="0" w:qFormat="1"/>
    <w:lsdException w:name="Default Paragraph Font" w:locked="0" w:uiPriority="1"/>
    <w:lsdException w:name="Subtitle" w:semiHidden="0" w:uiPriority="0" w:unhideWhenUsed="0" w:qFormat="1"/>
    <w:lsdException w:name="Hyperlink" w:lock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locked="0"/>
    <w:lsdException w:name="HTML Bottom of Form" w:locked="0"/>
    <w:lsdException w:name="Normal Table" w:locked="0"/>
    <w:lsdException w:name="annotation subject" w:uiPriority="0"/>
    <w:lsdException w:name="No List" w:locked="0"/>
    <w:lsdException w:name="Outline List 1"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570B2"/>
    <w:rPr>
      <w:rFonts w:cs="Calibri"/>
      <w:sz w:val="22"/>
      <w:szCs w:val="22"/>
      <w:lang w:eastAsia="en-US"/>
    </w:rPr>
  </w:style>
  <w:style w:type="paragraph" w:styleId="Heading1">
    <w:name w:val="heading 1"/>
    <w:basedOn w:val="Normal"/>
    <w:next w:val="Normal"/>
    <w:link w:val="Heading1Char"/>
    <w:uiPriority w:val="9"/>
    <w:qFormat/>
    <w:locked/>
    <w:rsid w:val="009E0F39"/>
    <w:pPr>
      <w:keepNext/>
      <w:keepLines/>
      <w:numPr>
        <w:ilvl w:val="1"/>
        <w:numId w:val="12"/>
      </w:numPr>
      <w:spacing w:before="480"/>
      <w:outlineLvl w:val="0"/>
    </w:pPr>
    <w:rPr>
      <w:rFonts w:ascii="Cambria" w:hAnsi="Cambria"/>
      <w:b/>
      <w:bCs/>
      <w:color w:val="365F91"/>
      <w:sz w:val="28"/>
      <w:szCs w:val="28"/>
    </w:rPr>
  </w:style>
  <w:style w:type="paragraph" w:styleId="Heading2">
    <w:name w:val="heading 2"/>
    <w:aliases w:val="AER Heading 2"/>
    <w:basedOn w:val="Normal"/>
    <w:next w:val="Normal"/>
    <w:uiPriority w:val="9"/>
    <w:qFormat/>
    <w:locked/>
    <w:rsid w:val="00735FCF"/>
    <w:pPr>
      <w:keepNext/>
      <w:numPr>
        <w:ilvl w:val="2"/>
        <w:numId w:val="12"/>
      </w:numPr>
      <w:spacing w:before="240" w:after="60"/>
      <w:outlineLvl w:val="1"/>
    </w:pPr>
    <w:rPr>
      <w:rFonts w:ascii="Arial" w:hAnsi="Arial" w:cs="Arial"/>
      <w:b/>
      <w:bCs/>
      <w:i/>
      <w:iCs/>
      <w:sz w:val="28"/>
      <w:szCs w:val="28"/>
    </w:rPr>
  </w:style>
  <w:style w:type="paragraph" w:styleId="Heading3">
    <w:name w:val="heading 3"/>
    <w:basedOn w:val="Normal"/>
    <w:next w:val="Normal"/>
    <w:uiPriority w:val="9"/>
    <w:qFormat/>
    <w:locked/>
    <w:rsid w:val="00735FCF"/>
    <w:pPr>
      <w:keepNext/>
      <w:numPr>
        <w:ilvl w:val="3"/>
        <w:numId w:val="12"/>
      </w:numPr>
      <w:spacing w:before="240" w:after="60"/>
      <w:outlineLvl w:val="2"/>
    </w:pPr>
    <w:rPr>
      <w:rFonts w:ascii="Arial" w:hAnsi="Arial" w:cs="Arial"/>
      <w:b/>
      <w:bCs/>
      <w:sz w:val="26"/>
      <w:szCs w:val="26"/>
    </w:rPr>
  </w:style>
  <w:style w:type="paragraph" w:styleId="Heading4">
    <w:name w:val="heading 4"/>
    <w:basedOn w:val="Normal"/>
    <w:next w:val="Normal"/>
    <w:qFormat/>
    <w:locked/>
    <w:rsid w:val="006521E3"/>
    <w:pPr>
      <w:keepNext/>
      <w:spacing w:before="240" w:after="60"/>
      <w:outlineLvl w:val="3"/>
    </w:pPr>
    <w:rPr>
      <w:b/>
      <w:bCs/>
      <w:sz w:val="28"/>
      <w:szCs w:val="28"/>
    </w:rPr>
  </w:style>
  <w:style w:type="paragraph" w:styleId="Heading5">
    <w:name w:val="heading 5"/>
    <w:basedOn w:val="Normal"/>
    <w:next w:val="Normal"/>
    <w:uiPriority w:val="9"/>
    <w:qFormat/>
    <w:locked/>
    <w:rsid w:val="009E0F39"/>
    <w:pPr>
      <w:keepNext/>
      <w:keepLines/>
      <w:spacing w:before="200"/>
      <w:outlineLvl w:val="4"/>
    </w:pPr>
    <w:rPr>
      <w:rFonts w:ascii="Cambria" w:hAnsi="Cambria"/>
      <w:color w:val="243F60"/>
    </w:rPr>
  </w:style>
  <w:style w:type="paragraph" w:styleId="Heading6">
    <w:name w:val="heading 6"/>
    <w:basedOn w:val="Normal"/>
    <w:next w:val="Normal"/>
    <w:uiPriority w:val="9"/>
    <w:qFormat/>
    <w:locked/>
    <w:rsid w:val="009E0F39"/>
    <w:pPr>
      <w:keepNext/>
      <w:keepLines/>
      <w:spacing w:before="200"/>
      <w:outlineLvl w:val="5"/>
    </w:pPr>
    <w:rPr>
      <w:rFonts w:ascii="Cambria" w:hAnsi="Cambria"/>
      <w:i/>
      <w:iCs/>
      <w:color w:val="243F60"/>
    </w:rPr>
  </w:style>
  <w:style w:type="paragraph" w:styleId="Heading7">
    <w:name w:val="heading 7"/>
    <w:basedOn w:val="UnnumberedHeading"/>
    <w:next w:val="AERbodytext"/>
    <w:link w:val="Heading7Char"/>
    <w:uiPriority w:val="9"/>
    <w:qFormat/>
    <w:locked/>
    <w:rsid w:val="00CF67B7"/>
    <w:pPr>
      <w:numPr>
        <w:ilvl w:val="4"/>
      </w:numPr>
      <w:outlineLvl w:val="6"/>
    </w:pPr>
    <w:rPr>
      <w:iCs/>
      <w:szCs w:val="24"/>
    </w:rPr>
  </w:style>
  <w:style w:type="paragraph" w:styleId="Heading8">
    <w:name w:val="heading 8"/>
    <w:basedOn w:val="Heading7"/>
    <w:next w:val="AERbodytext"/>
    <w:link w:val="Heading8Char"/>
    <w:uiPriority w:val="9"/>
    <w:qFormat/>
    <w:locked/>
    <w:rsid w:val="00CF67B7"/>
    <w:pPr>
      <w:pageBreakBefore w:val="0"/>
      <w:numPr>
        <w:ilvl w:val="5"/>
      </w:numPr>
      <w:outlineLvl w:val="7"/>
    </w:pPr>
    <w:rPr>
      <w:sz w:val="28"/>
      <w:szCs w:val="20"/>
    </w:rPr>
  </w:style>
  <w:style w:type="paragraph" w:styleId="Heading9">
    <w:name w:val="heading 9"/>
    <w:basedOn w:val="Heading8"/>
    <w:next w:val="AERbodytext"/>
    <w:link w:val="Heading9Char"/>
    <w:uiPriority w:val="9"/>
    <w:qFormat/>
    <w:locked/>
    <w:rsid w:val="00CF67B7"/>
    <w:pPr>
      <w:numPr>
        <w:ilvl w:val="6"/>
      </w:numPr>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ERbodytext">
    <w:name w:val="AER body text"/>
    <w:link w:val="AERbodytextChar"/>
    <w:qFormat/>
    <w:rsid w:val="009E0F39"/>
    <w:pPr>
      <w:spacing w:after="240" w:line="288" w:lineRule="auto"/>
      <w:jc w:val="both"/>
    </w:pPr>
    <w:rPr>
      <w:rFonts w:ascii="Gautami" w:eastAsia="Times New Roman" w:hAnsi="Gautami"/>
      <w:szCs w:val="24"/>
      <w:lang w:eastAsia="en-US"/>
    </w:rPr>
  </w:style>
  <w:style w:type="paragraph" w:customStyle="1" w:styleId="AERtabletitle">
    <w:name w:val="AER table title"/>
    <w:basedOn w:val="AERfigureheading"/>
    <w:next w:val="Normal"/>
    <w:qFormat/>
    <w:rsid w:val="003D3AB6"/>
    <w:pPr>
      <w:numPr>
        <w:ilvl w:val="0"/>
        <w:numId w:val="0"/>
      </w:numPr>
    </w:pPr>
  </w:style>
  <w:style w:type="paragraph" w:customStyle="1" w:styleId="AERfigureheading">
    <w:name w:val="AER figure heading"/>
    <w:basedOn w:val="Normal"/>
    <w:next w:val="AERbodytext"/>
    <w:qFormat/>
    <w:rsid w:val="00E968C9"/>
    <w:pPr>
      <w:keepNext/>
      <w:numPr>
        <w:ilvl w:val="3"/>
        <w:numId w:val="7"/>
      </w:numPr>
      <w:tabs>
        <w:tab w:val="clear" w:pos="499"/>
        <w:tab w:val="num" w:pos="357"/>
        <w:tab w:val="left" w:pos="1474"/>
      </w:tabs>
      <w:spacing w:before="240" w:after="120"/>
      <w:ind w:left="357"/>
      <w:outlineLvl w:val="3"/>
    </w:pPr>
    <w:rPr>
      <w:b/>
    </w:rPr>
  </w:style>
  <w:style w:type="paragraph" w:customStyle="1" w:styleId="AERrevisionbox">
    <w:name w:val="AER revision box"/>
    <w:basedOn w:val="AERbodytext"/>
    <w:rsid w:val="006B1F6A"/>
    <w:pPr>
      <w:pBdr>
        <w:top w:val="single" w:sz="4" w:space="1" w:color="auto"/>
        <w:left w:val="single" w:sz="4" w:space="4" w:color="auto"/>
        <w:bottom w:val="single" w:sz="4" w:space="1" w:color="auto"/>
        <w:right w:val="single" w:sz="4" w:space="4" w:color="auto"/>
      </w:pBdr>
      <w:shd w:val="clear" w:color="auto" w:fill="E0E0E0"/>
    </w:pPr>
  </w:style>
  <w:style w:type="character" w:customStyle="1" w:styleId="AERtextbolditalics">
    <w:name w:val="AER text bold italics"/>
    <w:basedOn w:val="AERtextbold"/>
    <w:rsid w:val="009E0F39"/>
    <w:rPr>
      <w:b/>
      <w:i/>
    </w:rPr>
  </w:style>
  <w:style w:type="character" w:customStyle="1" w:styleId="AERtextbold">
    <w:name w:val="AER text bold"/>
    <w:qFormat/>
    <w:rsid w:val="009E0F39"/>
    <w:rPr>
      <w:b/>
    </w:rPr>
  </w:style>
  <w:style w:type="paragraph" w:customStyle="1" w:styleId="AERbulletlistfirststyle">
    <w:name w:val="AER bullet list (first style)"/>
    <w:basedOn w:val="AERbodytext"/>
    <w:link w:val="AERbulletlistfirststyleChar"/>
    <w:qFormat/>
    <w:rsid w:val="00E5080D"/>
    <w:pPr>
      <w:tabs>
        <w:tab w:val="left" w:pos="0"/>
      </w:tabs>
    </w:pPr>
    <w:rPr>
      <w:szCs w:val="16"/>
    </w:rPr>
  </w:style>
  <w:style w:type="paragraph" w:customStyle="1" w:styleId="AERbulletlistsecondstyle">
    <w:name w:val="AER bullet list (second style)"/>
    <w:basedOn w:val="AERbodytext"/>
    <w:qFormat/>
    <w:rsid w:val="00E5080D"/>
    <w:pPr>
      <w:numPr>
        <w:numId w:val="1"/>
      </w:numPr>
      <w:spacing w:after="200"/>
    </w:pPr>
  </w:style>
  <w:style w:type="paragraph" w:customStyle="1" w:styleId="AERbulletlistthirdstyle">
    <w:name w:val="AER bullet list (third style)"/>
    <w:basedOn w:val="AERbodytext"/>
    <w:rsid w:val="009E0F39"/>
    <w:pPr>
      <w:numPr>
        <w:numId w:val="2"/>
      </w:numPr>
      <w:tabs>
        <w:tab w:val="clear" w:pos="870"/>
        <w:tab w:val="left" w:pos="1077"/>
      </w:tabs>
      <w:spacing w:after="200"/>
      <w:ind w:left="1077" w:hanging="357"/>
    </w:pPr>
  </w:style>
  <w:style w:type="paragraph" w:customStyle="1" w:styleId="AERheading1">
    <w:name w:val="AER heading 1"/>
    <w:basedOn w:val="Heading1"/>
    <w:next w:val="AERbodytext"/>
    <w:link w:val="AERheading1Char"/>
    <w:qFormat/>
    <w:rsid w:val="00FB1B17"/>
    <w:pPr>
      <w:keepLines w:val="0"/>
      <w:pageBreakBefore/>
      <w:numPr>
        <w:ilvl w:val="0"/>
        <w:numId w:val="7"/>
      </w:numPr>
      <w:spacing w:before="240" w:after="240"/>
    </w:pPr>
    <w:rPr>
      <w:rFonts w:ascii="Gautami" w:hAnsi="Gautami" w:cs="Arial"/>
      <w:color w:val="F2750E"/>
      <w:kern w:val="32"/>
      <w:sz w:val="36"/>
      <w:szCs w:val="32"/>
    </w:rPr>
  </w:style>
  <w:style w:type="paragraph" w:customStyle="1" w:styleId="AERheading2">
    <w:name w:val="AER heading 2"/>
    <w:basedOn w:val="AERheading1"/>
    <w:next w:val="AERbodytext"/>
    <w:link w:val="AERheading2Char"/>
    <w:qFormat/>
    <w:rsid w:val="00FB1B17"/>
    <w:pPr>
      <w:pageBreakBefore w:val="0"/>
      <w:numPr>
        <w:ilvl w:val="1"/>
      </w:numPr>
    </w:pPr>
    <w:rPr>
      <w:sz w:val="28"/>
      <w:szCs w:val="30"/>
    </w:rPr>
  </w:style>
  <w:style w:type="paragraph" w:customStyle="1" w:styleId="AERheading3">
    <w:name w:val="AER heading 3"/>
    <w:basedOn w:val="AERheading2"/>
    <w:next w:val="AERbodytext"/>
    <w:link w:val="AERheading3Char"/>
    <w:qFormat/>
    <w:rsid w:val="00557653"/>
    <w:pPr>
      <w:numPr>
        <w:ilvl w:val="2"/>
      </w:numPr>
      <w:spacing w:before="120"/>
    </w:pPr>
    <w:rPr>
      <w:color w:val="auto"/>
      <w:sz w:val="24"/>
      <w:szCs w:val="24"/>
    </w:rPr>
  </w:style>
  <w:style w:type="paragraph" w:customStyle="1" w:styleId="AERnumberedlistfirststyle">
    <w:name w:val="AER numbered list (first style)"/>
    <w:basedOn w:val="AERbodytext"/>
    <w:qFormat/>
    <w:rsid w:val="009E0F39"/>
    <w:pPr>
      <w:numPr>
        <w:numId w:val="4"/>
      </w:numPr>
      <w:spacing w:after="200" w:line="200" w:lineRule="atLeast"/>
    </w:pPr>
  </w:style>
  <w:style w:type="paragraph" w:customStyle="1" w:styleId="AERnumberedlistsecondstyle">
    <w:name w:val="AER numbered list (second style)"/>
    <w:basedOn w:val="AERnumberedlistfirststyle"/>
    <w:qFormat/>
    <w:rsid w:val="009E0F39"/>
    <w:pPr>
      <w:numPr>
        <w:numId w:val="5"/>
      </w:numPr>
    </w:pPr>
  </w:style>
  <w:style w:type="paragraph" w:customStyle="1" w:styleId="AERnumberedlistthirdstyle">
    <w:name w:val="AER numbered list (third style)"/>
    <w:basedOn w:val="AERbodytext"/>
    <w:qFormat/>
    <w:rsid w:val="009E0F39"/>
    <w:pPr>
      <w:numPr>
        <w:numId w:val="3"/>
      </w:numPr>
      <w:tabs>
        <w:tab w:val="clear" w:pos="1440"/>
        <w:tab w:val="left" w:pos="1077"/>
      </w:tabs>
      <w:spacing w:after="200"/>
      <w:ind w:left="1077" w:hanging="357"/>
    </w:pPr>
  </w:style>
  <w:style w:type="paragraph" w:customStyle="1" w:styleId="AERquote">
    <w:name w:val="AER quote"/>
    <w:basedOn w:val="AERbodytextindent1"/>
    <w:next w:val="AERbodytext"/>
    <w:qFormat/>
    <w:rsid w:val="009E0F39"/>
    <w:pPr>
      <w:spacing w:after="160"/>
      <w:ind w:right="1077"/>
    </w:pPr>
    <w:rPr>
      <w:color w:val="000000"/>
      <w:sz w:val="16"/>
    </w:rPr>
  </w:style>
  <w:style w:type="paragraph" w:customStyle="1" w:styleId="AERbodytextindent1">
    <w:name w:val="AER body text (indent 1)"/>
    <w:basedOn w:val="AERbodytext"/>
    <w:rsid w:val="009E0F39"/>
    <w:pPr>
      <w:ind w:left="357"/>
    </w:pPr>
  </w:style>
  <w:style w:type="paragraph" w:customStyle="1" w:styleId="AERquotebullet1">
    <w:name w:val="AER quote bullet 1"/>
    <w:basedOn w:val="AERnumberedlistfirststyle"/>
    <w:rsid w:val="009E0F39"/>
    <w:pPr>
      <w:numPr>
        <w:numId w:val="0"/>
      </w:numPr>
    </w:pPr>
    <w:rPr>
      <w:sz w:val="16"/>
      <w:szCs w:val="16"/>
    </w:rPr>
  </w:style>
  <w:style w:type="character" w:customStyle="1" w:styleId="AERsubscript">
    <w:name w:val="AER subscript"/>
    <w:rsid w:val="009E0F39"/>
    <w:rPr>
      <w:rFonts w:ascii="Gautami" w:hAnsi="Gautami"/>
      <w:vertAlign w:val="subscript"/>
    </w:rPr>
  </w:style>
  <w:style w:type="character" w:customStyle="1" w:styleId="AERsuperscript">
    <w:name w:val="AER superscript"/>
    <w:rsid w:val="009E0F39"/>
    <w:rPr>
      <w:rFonts w:ascii="Gautami" w:hAnsi="Gautami"/>
      <w:vertAlign w:val="superscript"/>
    </w:rPr>
  </w:style>
  <w:style w:type="table" w:customStyle="1" w:styleId="AERtable-numbers">
    <w:name w:val="AER table - numbers"/>
    <w:basedOn w:val="TableNormal"/>
    <w:rsid w:val="009D62B2"/>
    <w:pPr>
      <w:keepNext/>
      <w:spacing w:before="40" w:after="40"/>
      <w:jc w:val="right"/>
    </w:pPr>
    <w:rPr>
      <w:rFonts w:ascii="Gautami" w:eastAsia="Times New Roman" w:hAnsi="Gautami"/>
      <w:sz w:val="16"/>
    </w:r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tablesource">
    <w:name w:val="AER table source"/>
    <w:next w:val="AERbodytext"/>
    <w:qFormat/>
    <w:rsid w:val="009E0F39"/>
    <w:pPr>
      <w:tabs>
        <w:tab w:val="left" w:pos="1361"/>
      </w:tabs>
      <w:spacing w:before="40" w:after="240"/>
      <w:ind w:left="794" w:right="1077" w:hanging="794"/>
      <w:contextualSpacing/>
    </w:pPr>
    <w:rPr>
      <w:rFonts w:ascii="Gautami" w:eastAsia="Times New Roman" w:hAnsi="Gautami"/>
      <w:sz w:val="16"/>
      <w:szCs w:val="24"/>
      <w:lang w:eastAsia="en-US"/>
    </w:rPr>
  </w:style>
  <w:style w:type="paragraph" w:customStyle="1" w:styleId="AERtabletext">
    <w:name w:val="AER table text"/>
    <w:basedOn w:val="Normal"/>
    <w:link w:val="AERtabletextChar"/>
    <w:qFormat/>
    <w:rsid w:val="009E0F39"/>
    <w:pPr>
      <w:widowControl w:val="0"/>
      <w:spacing w:before="120" w:after="120"/>
    </w:pPr>
    <w:rPr>
      <w:sz w:val="16"/>
    </w:rPr>
  </w:style>
  <w:style w:type="paragraph" w:customStyle="1" w:styleId="AERtabletextheading">
    <w:name w:val="AER table text heading"/>
    <w:link w:val="AERtabletextheadingChar"/>
    <w:qFormat/>
    <w:rsid w:val="00BB00F8"/>
    <w:pPr>
      <w:spacing w:before="120" w:after="120"/>
    </w:pPr>
    <w:rPr>
      <w:rFonts w:ascii="Gautami" w:eastAsia="Times New Roman" w:hAnsi="Gautami"/>
      <w:b/>
      <w:sz w:val="16"/>
      <w:szCs w:val="16"/>
      <w:lang w:eastAsia="en-US"/>
    </w:rPr>
  </w:style>
  <w:style w:type="paragraph" w:customStyle="1" w:styleId="AERheading4">
    <w:name w:val="AER heading 4"/>
    <w:next w:val="AERbodytext"/>
    <w:qFormat/>
    <w:rsid w:val="00300F5E"/>
    <w:pPr>
      <w:keepNext/>
      <w:spacing w:after="240"/>
    </w:pPr>
    <w:rPr>
      <w:rFonts w:ascii="Gautami" w:eastAsia="Times New Roman" w:hAnsi="Gautami" w:cs="Arial"/>
      <w:b/>
      <w:bCs/>
      <w:kern w:val="32"/>
      <w:sz w:val="22"/>
      <w:szCs w:val="24"/>
      <w:lang w:eastAsia="en-US"/>
    </w:rPr>
  </w:style>
  <w:style w:type="paragraph" w:styleId="Footer">
    <w:name w:val="footer"/>
    <w:basedOn w:val="Normal"/>
    <w:link w:val="FooterChar"/>
    <w:uiPriority w:val="99"/>
    <w:rsid w:val="009E0F39"/>
    <w:pPr>
      <w:tabs>
        <w:tab w:val="center" w:pos="4153"/>
        <w:tab w:val="right" w:pos="8306"/>
      </w:tabs>
    </w:pPr>
  </w:style>
  <w:style w:type="character" w:styleId="PageNumber">
    <w:name w:val="page number"/>
    <w:basedOn w:val="DefaultParagraphFont"/>
    <w:rsid w:val="009E0F39"/>
    <w:rPr>
      <w:rFonts w:ascii="Gautami" w:hAnsi="Gautami"/>
      <w:sz w:val="18"/>
    </w:rPr>
  </w:style>
  <w:style w:type="table" w:customStyle="1" w:styleId="AERtable-text">
    <w:name w:val="AER table - text"/>
    <w:basedOn w:val="AERtable-numbers"/>
    <w:rsid w:val="009D62B2"/>
    <w:pPr>
      <w:jc w:val="left"/>
    </w:pPr>
    <w:tblPr>
      <w:tblStyleRowBandSize w:val="1"/>
      <w:tblInd w:w="113" w:type="dxa"/>
      <w:tblBorders>
        <w:top w:val="single" w:sz="4" w:space="0" w:color="auto"/>
        <w:bottom w:val="single" w:sz="4" w:space="0" w:color="auto"/>
      </w:tblBorders>
      <w:tblCellMar>
        <w:top w:w="0" w:type="dxa"/>
        <w:left w:w="108" w:type="dxa"/>
        <w:bottom w:w="0" w:type="dxa"/>
        <w:right w:w="108" w:type="dxa"/>
      </w:tblCellMar>
    </w:tblPr>
    <w:tcPr>
      <w:shd w:val="clear" w:color="auto" w:fill="auto"/>
      <w:noWrap/>
      <w:tcMar>
        <w:top w:w="0" w:type="dxa"/>
        <w:bottom w:w="0" w:type="dxa"/>
      </w:tcMar>
      <w:vAlign w:val="center"/>
    </w:tcPr>
    <w:tblStylePr w:type="firstRow">
      <w:rPr>
        <w:rFonts w:ascii="Gautami" w:hAnsi="Gautami"/>
        <w:b w:val="0"/>
        <w:bCs/>
        <w:color w:val="auto"/>
        <w:sz w:val="16"/>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F2750E"/>
      </w:tcPr>
    </w:tblStylePr>
    <w:tblStylePr w:type="firstCol">
      <w:pPr>
        <w:jc w:val="left"/>
      </w:pPr>
    </w:tblStylePr>
    <w:tblStylePr w:type="band2Horz">
      <w:rPr>
        <w:rFonts w:ascii="Gautami" w:hAnsi="Gautami"/>
        <w:sz w:val="16"/>
      </w:rPr>
      <w:tblPr/>
      <w:tcPr>
        <w:shd w:val="clear" w:color="auto" w:fill="F8B47C"/>
      </w:tcPr>
    </w:tblStylePr>
  </w:style>
  <w:style w:type="paragraph" w:customStyle="1" w:styleId="AERquoteindent1">
    <w:name w:val="AER quote (indent 1)"/>
    <w:basedOn w:val="AERquote"/>
    <w:rsid w:val="009E0F39"/>
    <w:pPr>
      <w:ind w:left="720" w:right="1440"/>
    </w:pPr>
  </w:style>
  <w:style w:type="paragraph" w:customStyle="1" w:styleId="AERbodytextindent2">
    <w:name w:val="AER body text (indent 2)"/>
    <w:basedOn w:val="AERbodytext"/>
    <w:rsid w:val="009E0F39"/>
    <w:pPr>
      <w:ind w:left="720"/>
    </w:pPr>
  </w:style>
  <w:style w:type="paragraph" w:customStyle="1" w:styleId="AERbodytextindent3">
    <w:name w:val="AER body text (indent 3)"/>
    <w:basedOn w:val="AERbodytext"/>
    <w:rsid w:val="009E0F39"/>
    <w:pPr>
      <w:ind w:left="1077"/>
    </w:pPr>
  </w:style>
  <w:style w:type="paragraph" w:customStyle="1" w:styleId="AERquoteindent2">
    <w:name w:val="AER quote (indent 2)"/>
    <w:basedOn w:val="AERquoteindent1"/>
    <w:rsid w:val="009E0F39"/>
    <w:pPr>
      <w:ind w:left="1077" w:right="1797"/>
    </w:pPr>
  </w:style>
  <w:style w:type="paragraph" w:customStyle="1" w:styleId="AERquoteindent3">
    <w:name w:val="AER quote (indent 3)"/>
    <w:basedOn w:val="AERquoteindent2"/>
    <w:rsid w:val="009E0F39"/>
    <w:pPr>
      <w:ind w:left="1440" w:right="2160"/>
    </w:pPr>
  </w:style>
  <w:style w:type="character" w:customStyle="1" w:styleId="AERtexthighlight">
    <w:name w:val="AER text highlight"/>
    <w:rsid w:val="009E0F39"/>
    <w:rPr>
      <w:bdr w:val="none" w:sz="0" w:space="0" w:color="auto"/>
      <w:shd w:val="clear" w:color="auto" w:fill="FFFF99"/>
    </w:rPr>
  </w:style>
  <w:style w:type="paragraph" w:customStyle="1" w:styleId="NER-RC-Para">
    <w:name w:val="NER-RC-Para"/>
    <w:basedOn w:val="Normal"/>
    <w:rsid w:val="009E0F39"/>
    <w:pPr>
      <w:autoSpaceDE w:val="0"/>
      <w:autoSpaceDN w:val="0"/>
      <w:adjustRightInd w:val="0"/>
      <w:spacing w:before="120" w:after="120"/>
      <w:ind w:left="357"/>
    </w:pPr>
    <w:rPr>
      <w:color w:val="000000"/>
      <w:sz w:val="18"/>
    </w:rPr>
  </w:style>
  <w:style w:type="paragraph" w:customStyle="1" w:styleId="NER-RC-List-1-MNum">
    <w:name w:val="NER-RC-List-1-MNum"/>
    <w:basedOn w:val="Normal"/>
    <w:rsid w:val="009E0F39"/>
    <w:pPr>
      <w:tabs>
        <w:tab w:val="left" w:pos="1701"/>
      </w:tabs>
      <w:autoSpaceDE w:val="0"/>
      <w:autoSpaceDN w:val="0"/>
      <w:adjustRightInd w:val="0"/>
      <w:spacing w:before="120" w:after="120"/>
      <w:ind w:left="924" w:hanging="567"/>
    </w:pPr>
    <w:rPr>
      <w:color w:val="000000"/>
      <w:sz w:val="18"/>
    </w:rPr>
  </w:style>
  <w:style w:type="paragraph" w:customStyle="1" w:styleId="NER-RC-List-2-MNum">
    <w:name w:val="NER-RC-List-2-MNum"/>
    <w:basedOn w:val="Normal"/>
    <w:rsid w:val="009E0F39"/>
    <w:pPr>
      <w:tabs>
        <w:tab w:val="left" w:pos="2268"/>
      </w:tabs>
      <w:autoSpaceDE w:val="0"/>
      <w:autoSpaceDN w:val="0"/>
      <w:adjustRightInd w:val="0"/>
      <w:spacing w:before="120" w:after="120"/>
      <w:ind w:left="1287" w:hanging="567"/>
    </w:pPr>
    <w:rPr>
      <w:color w:val="000000"/>
      <w:sz w:val="18"/>
    </w:rPr>
  </w:style>
  <w:style w:type="paragraph" w:customStyle="1" w:styleId="NER-RC-Text-In-1">
    <w:name w:val="NER-RC-Text-In-1"/>
    <w:basedOn w:val="Normal"/>
    <w:rsid w:val="009E0F39"/>
    <w:pPr>
      <w:autoSpaceDE w:val="0"/>
      <w:autoSpaceDN w:val="0"/>
      <w:adjustRightInd w:val="0"/>
      <w:spacing w:before="120" w:after="120"/>
      <w:ind w:left="720"/>
    </w:pPr>
    <w:rPr>
      <w:color w:val="000000"/>
      <w:sz w:val="18"/>
    </w:rPr>
  </w:style>
  <w:style w:type="paragraph" w:customStyle="1" w:styleId="NER-Cl-Title-Lvl-4">
    <w:name w:val="NER-Cl-Title-Lvl-4"/>
    <w:basedOn w:val="Normal"/>
    <w:rsid w:val="009E0F39"/>
    <w:pPr>
      <w:keepNext/>
      <w:keepLines/>
      <w:tabs>
        <w:tab w:val="left" w:pos="1134"/>
      </w:tabs>
      <w:autoSpaceDE w:val="0"/>
      <w:autoSpaceDN w:val="0"/>
      <w:adjustRightInd w:val="0"/>
      <w:spacing w:before="240" w:after="60"/>
      <w:ind w:left="1134" w:hanging="1134"/>
    </w:pPr>
    <w:rPr>
      <w:rFonts w:cs="Arial Bold"/>
      <w:b/>
      <w:bCs/>
      <w:color w:val="000000"/>
    </w:rPr>
  </w:style>
  <w:style w:type="character" w:customStyle="1" w:styleId="AERconfidentialtext">
    <w:name w:val="AER confidential text"/>
    <w:rsid w:val="009E0F39"/>
    <w:rPr>
      <w:bdr w:val="none" w:sz="0" w:space="0" w:color="auto"/>
      <w:shd w:val="clear" w:color="auto" w:fill="CCFFFF"/>
    </w:rPr>
  </w:style>
  <w:style w:type="paragraph" w:customStyle="1" w:styleId="AERheading5">
    <w:name w:val="AER heading 5"/>
    <w:basedOn w:val="Heading5"/>
    <w:next w:val="AERbodytext"/>
    <w:link w:val="AERheading5Char"/>
    <w:qFormat/>
    <w:rsid w:val="00300F5E"/>
    <w:pPr>
      <w:keepLines w:val="0"/>
      <w:spacing w:before="120" w:after="240" w:line="240" w:lineRule="atLeast"/>
      <w:ind w:left="720"/>
    </w:pPr>
    <w:rPr>
      <w:rFonts w:ascii="Gautami" w:hAnsi="Gautami" w:cs="Arial"/>
      <w:b/>
      <w:bCs/>
      <w:color w:val="auto"/>
      <w:kern w:val="32"/>
    </w:rPr>
  </w:style>
  <w:style w:type="paragraph" w:customStyle="1" w:styleId="AERheading6">
    <w:name w:val="AER heading 6"/>
    <w:basedOn w:val="Heading6"/>
    <w:next w:val="AERbodytext"/>
    <w:rsid w:val="00300F5E"/>
    <w:pPr>
      <w:keepLines w:val="0"/>
      <w:spacing w:before="120" w:after="120"/>
      <w:ind w:left="1440"/>
    </w:pPr>
    <w:rPr>
      <w:rFonts w:ascii="Gautami" w:hAnsi="Gautami" w:cs="Arial"/>
      <w:bCs/>
      <w:iCs w:val="0"/>
      <w:color w:val="auto"/>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9E0F39"/>
    <w:rPr>
      <w:vertAlign w:val="superscript"/>
    </w:rPr>
  </w:style>
  <w:style w:type="paragraph" w:styleId="Header">
    <w:name w:val="header"/>
    <w:basedOn w:val="Normal"/>
    <w:locked/>
    <w:rsid w:val="009E0F39"/>
    <w:pPr>
      <w:tabs>
        <w:tab w:val="center" w:pos="4153"/>
        <w:tab w:val="right" w:pos="8306"/>
      </w:tabs>
    </w:pPr>
  </w:style>
  <w:style w:type="character" w:styleId="CommentReference">
    <w:name w:val="annotation reference"/>
    <w:basedOn w:val="DefaultParagraphFont"/>
    <w:uiPriority w:val="99"/>
    <w:semiHidden/>
    <w:locked/>
    <w:rsid w:val="009E0F39"/>
    <w:rPr>
      <w:sz w:val="16"/>
      <w:szCs w:val="16"/>
    </w:rPr>
  </w:style>
  <w:style w:type="paragraph" w:styleId="CommentText">
    <w:name w:val="annotation text"/>
    <w:basedOn w:val="Normal"/>
    <w:link w:val="CommentTextChar"/>
    <w:uiPriority w:val="99"/>
    <w:locked/>
    <w:rsid w:val="009E0F39"/>
    <w:rPr>
      <w:szCs w:val="20"/>
    </w:rPr>
  </w:style>
  <w:style w:type="paragraph" w:styleId="CommentSubject">
    <w:name w:val="annotation subject"/>
    <w:basedOn w:val="CommentText"/>
    <w:next w:val="CommentText"/>
    <w:semiHidden/>
    <w:locked/>
    <w:rsid w:val="009E0F39"/>
    <w:rPr>
      <w:b/>
      <w:bCs/>
    </w:rPr>
  </w:style>
  <w:style w:type="paragraph" w:styleId="BalloonText">
    <w:name w:val="Balloon Text"/>
    <w:basedOn w:val="Normal"/>
    <w:semiHidden/>
    <w:locked/>
    <w:rsid w:val="009E0F39"/>
    <w:rPr>
      <w:rFonts w:ascii="Tahoma" w:hAnsi="Tahoma" w:cs="Tahoma"/>
      <w:sz w:val="16"/>
      <w:szCs w:val="16"/>
    </w:r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qFormat/>
    <w:rsid w:val="009E0F39"/>
    <w:pPr>
      <w:tabs>
        <w:tab w:val="left" w:pos="454"/>
      </w:tabs>
      <w:ind w:left="454" w:hanging="454"/>
    </w:pPr>
    <w:rPr>
      <w:sz w:val="16"/>
      <w:szCs w:val="20"/>
    </w:rPr>
  </w:style>
  <w:style w:type="character" w:customStyle="1" w:styleId="AERbody">
    <w:name w:val="AER body"/>
    <w:basedOn w:val="DefaultParagraphFont"/>
    <w:rsid w:val="003B7459"/>
    <w:rPr>
      <w:rFonts w:ascii="Gautami" w:hAnsi="Gautami"/>
      <w:sz w:val="20"/>
    </w:rPr>
  </w:style>
  <w:style w:type="paragraph" w:customStyle="1" w:styleId="AERtabletext-numbers">
    <w:name w:val="AER table text - numbers"/>
    <w:basedOn w:val="AERtabletext"/>
    <w:uiPriority w:val="99"/>
    <w:qFormat/>
    <w:rsid w:val="009E0F39"/>
    <w:pPr>
      <w:keepNext/>
      <w:jc w:val="right"/>
    </w:pPr>
  </w:style>
  <w:style w:type="character" w:customStyle="1" w:styleId="AERtextboldunderline">
    <w:name w:val="AER text bold underline"/>
    <w:rsid w:val="009E0F39"/>
    <w:rPr>
      <w:b/>
      <w:u w:val="single"/>
    </w:rPr>
  </w:style>
  <w:style w:type="character" w:customStyle="1" w:styleId="AERtextunderline">
    <w:name w:val="AER text underline"/>
    <w:rsid w:val="009E0F39"/>
    <w:rPr>
      <w:u w:val="single"/>
    </w:rPr>
  </w:style>
  <w:style w:type="character" w:customStyle="1" w:styleId="AERtextitalic">
    <w:name w:val="AER text italic"/>
    <w:qFormat/>
    <w:rsid w:val="009E0F39"/>
    <w:rPr>
      <w:i/>
    </w:rPr>
  </w:style>
  <w:style w:type="paragraph" w:styleId="TOC1">
    <w:name w:val="toc 1"/>
    <w:basedOn w:val="Normal"/>
    <w:next w:val="Normal"/>
    <w:uiPriority w:val="39"/>
    <w:rsid w:val="00DC76BD"/>
    <w:pPr>
      <w:tabs>
        <w:tab w:val="left" w:pos="567"/>
        <w:tab w:val="right" w:leader="dot" w:pos="8307"/>
      </w:tabs>
      <w:spacing w:before="120" w:after="120" w:line="276" w:lineRule="auto"/>
    </w:pPr>
    <w:rPr>
      <w:b/>
    </w:rPr>
  </w:style>
  <w:style w:type="paragraph" w:styleId="TOC2">
    <w:name w:val="toc 2"/>
    <w:basedOn w:val="Normal"/>
    <w:next w:val="Normal"/>
    <w:uiPriority w:val="39"/>
    <w:rsid w:val="004D044A"/>
    <w:pPr>
      <w:tabs>
        <w:tab w:val="left" w:pos="1080"/>
        <w:tab w:val="right" w:leader="dot" w:pos="8307"/>
      </w:tabs>
      <w:ind w:left="1134" w:hanging="567"/>
    </w:pPr>
  </w:style>
  <w:style w:type="paragraph" w:styleId="TOC3">
    <w:name w:val="toc 3"/>
    <w:basedOn w:val="Normal"/>
    <w:next w:val="Normal"/>
    <w:uiPriority w:val="39"/>
    <w:rsid w:val="004D044A"/>
    <w:pPr>
      <w:tabs>
        <w:tab w:val="left" w:pos="1980"/>
        <w:tab w:val="right" w:leader="dot" w:pos="8307"/>
      </w:tabs>
      <w:ind w:left="1980" w:hanging="900"/>
    </w:pPr>
  </w:style>
  <w:style w:type="paragraph" w:customStyle="1" w:styleId="AERunnumberedheading">
    <w:name w:val="AER unnumbered heading"/>
    <w:basedOn w:val="AERheading1"/>
    <w:rsid w:val="00033718"/>
    <w:pPr>
      <w:numPr>
        <w:numId w:val="0"/>
      </w:numPr>
      <w:spacing w:after="120"/>
    </w:pPr>
  </w:style>
  <w:style w:type="paragraph" w:customStyle="1" w:styleId="AERTitle1">
    <w:name w:val="AER Title 1"/>
    <w:basedOn w:val="AERheading4"/>
    <w:rsid w:val="00A052AB"/>
    <w:pPr>
      <w:jc w:val="center"/>
    </w:pPr>
    <w:rPr>
      <w:sz w:val="40"/>
    </w:rPr>
  </w:style>
  <w:style w:type="paragraph" w:customStyle="1" w:styleId="AERTitle2">
    <w:name w:val="AER Title 2"/>
    <w:basedOn w:val="AERTitle1"/>
    <w:rsid w:val="00A052AB"/>
    <w:pPr>
      <w:spacing w:before="1680"/>
    </w:pPr>
    <w:rPr>
      <w:b w:val="0"/>
      <w:sz w:val="32"/>
    </w:rPr>
  </w:style>
  <w:style w:type="character" w:styleId="Hyperlink">
    <w:name w:val="Hyperlink"/>
    <w:basedOn w:val="DefaultParagraphFont"/>
    <w:uiPriority w:val="99"/>
    <w:rsid w:val="00D023EF"/>
    <w:rPr>
      <w:rFonts w:ascii="Gautami" w:hAnsi="Gautami"/>
      <w:color w:val="0000FF"/>
      <w:u w:val="single"/>
    </w:rPr>
  </w:style>
  <w:style w:type="paragraph" w:customStyle="1" w:styleId="AERtableheadingright">
    <w:name w:val="AER table heading right"/>
    <w:basedOn w:val="AERtabletextheading"/>
    <w:rsid w:val="00BB00F8"/>
    <w:pPr>
      <w:jc w:val="right"/>
    </w:pPr>
  </w:style>
  <w:style w:type="table" w:styleId="TableGrid">
    <w:name w:val="Table Grid"/>
    <w:basedOn w:val="TableNormal"/>
    <w:uiPriority w:val="59"/>
    <w:locked/>
    <w:rsid w:val="00F52E01"/>
    <w:pPr>
      <w:spacing w:line="288"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unnumberedtabletitle">
    <w:name w:val="AER unnumbered table title"/>
    <w:basedOn w:val="AERtabletitle"/>
    <w:rsid w:val="0058387D"/>
  </w:style>
  <w:style w:type="paragraph" w:customStyle="1" w:styleId="AERgenericboldheading">
    <w:name w:val="AER generic bold heading"/>
    <w:basedOn w:val="AERbodytext"/>
    <w:rsid w:val="00B11AF7"/>
    <w:pPr>
      <w:keepNext/>
      <w:tabs>
        <w:tab w:val="left" w:pos="1440"/>
      </w:tabs>
      <w:spacing w:after="120" w:line="240" w:lineRule="auto"/>
      <w:ind w:left="1440" w:hanging="1440"/>
    </w:pPr>
    <w:rPr>
      <w:b/>
    </w:rPr>
  </w:style>
  <w:style w:type="paragraph" w:customStyle="1" w:styleId="AERbodynospacing">
    <w:name w:val="AER body no spacing"/>
    <w:basedOn w:val="AERbodytext"/>
    <w:rsid w:val="00825200"/>
    <w:pPr>
      <w:spacing w:after="0"/>
    </w:pPr>
  </w:style>
  <w:style w:type="paragraph" w:styleId="EndnoteText">
    <w:name w:val="endnote text"/>
    <w:basedOn w:val="Normal"/>
    <w:link w:val="EndnoteTextChar"/>
    <w:uiPriority w:val="99"/>
    <w:semiHidden/>
    <w:locked/>
    <w:rsid w:val="00F968D4"/>
    <w:rPr>
      <w:szCs w:val="20"/>
    </w:rPr>
  </w:style>
  <w:style w:type="character" w:styleId="EndnoteReference">
    <w:name w:val="endnote reference"/>
    <w:basedOn w:val="DefaultParagraphFont"/>
    <w:uiPriority w:val="99"/>
    <w:semiHidden/>
    <w:locked/>
    <w:rsid w:val="00F968D4"/>
    <w:rPr>
      <w:vertAlign w:val="superscript"/>
    </w:rPr>
  </w:style>
  <w:style w:type="character" w:styleId="FollowedHyperlink">
    <w:name w:val="FollowedHyperlink"/>
    <w:basedOn w:val="DefaultParagraphFont"/>
    <w:locked/>
    <w:rsid w:val="001B42D7"/>
    <w:rPr>
      <w:color w:val="800080"/>
      <w:u w:val="single"/>
    </w:rPr>
  </w:style>
  <w:style w:type="paragraph" w:styleId="TOC4">
    <w:name w:val="toc 4"/>
    <w:basedOn w:val="Normal"/>
    <w:next w:val="Normal"/>
    <w:autoRedefine/>
    <w:semiHidden/>
    <w:locked/>
    <w:rsid w:val="00C90C00"/>
    <w:pPr>
      <w:ind w:left="600"/>
    </w:pPr>
  </w:style>
  <w:style w:type="paragraph" w:styleId="TOC5">
    <w:name w:val="toc 5"/>
    <w:basedOn w:val="Normal"/>
    <w:next w:val="Normal"/>
    <w:autoRedefine/>
    <w:semiHidden/>
    <w:locked/>
    <w:rsid w:val="00C90C00"/>
    <w:pPr>
      <w:ind w:left="800"/>
    </w:pPr>
  </w:style>
  <w:style w:type="paragraph" w:styleId="TOC6">
    <w:name w:val="toc 6"/>
    <w:basedOn w:val="Normal"/>
    <w:next w:val="Normal"/>
    <w:autoRedefine/>
    <w:semiHidden/>
    <w:locked/>
    <w:rsid w:val="00C90C00"/>
    <w:pPr>
      <w:ind w:left="1000"/>
    </w:pPr>
  </w:style>
  <w:style w:type="paragraph" w:styleId="TOC7">
    <w:name w:val="toc 7"/>
    <w:basedOn w:val="Normal"/>
    <w:next w:val="Normal"/>
    <w:autoRedefine/>
    <w:semiHidden/>
    <w:locked/>
    <w:rsid w:val="00C90C00"/>
    <w:pPr>
      <w:ind w:left="1200"/>
    </w:pPr>
  </w:style>
  <w:style w:type="paragraph" w:styleId="TOC8">
    <w:name w:val="toc 8"/>
    <w:basedOn w:val="Normal"/>
    <w:next w:val="Normal"/>
    <w:autoRedefine/>
    <w:semiHidden/>
    <w:locked/>
    <w:rsid w:val="00C90C00"/>
    <w:pPr>
      <w:ind w:left="1400"/>
    </w:pPr>
  </w:style>
  <w:style w:type="paragraph" w:styleId="TOC9">
    <w:name w:val="toc 9"/>
    <w:basedOn w:val="Normal"/>
    <w:next w:val="Normal"/>
    <w:autoRedefine/>
    <w:semiHidden/>
    <w:locked/>
    <w:rsid w:val="00C90C00"/>
    <w:pPr>
      <w:ind w:left="1600"/>
    </w:pPr>
  </w:style>
  <w:style w:type="paragraph" w:styleId="DocumentMap">
    <w:name w:val="Document Map"/>
    <w:basedOn w:val="Normal"/>
    <w:semiHidden/>
    <w:locked/>
    <w:rsid w:val="00361B64"/>
    <w:pPr>
      <w:shd w:val="clear" w:color="auto" w:fill="000080"/>
    </w:pPr>
    <w:rPr>
      <w:rFonts w:ascii="Tahoma" w:hAnsi="Tahoma" w:cs="Tahoma"/>
      <w:szCs w:val="20"/>
    </w:rPr>
  </w:style>
  <w:style w:type="paragraph" w:styleId="Title">
    <w:name w:val="Title"/>
    <w:basedOn w:val="Normal"/>
    <w:qFormat/>
    <w:locked/>
    <w:rsid w:val="006A4343"/>
    <w:pPr>
      <w:spacing w:before="240" w:after="60"/>
      <w:jc w:val="center"/>
      <w:outlineLvl w:val="0"/>
    </w:pPr>
    <w:rPr>
      <w:rFonts w:ascii="Arial" w:hAnsi="Arial" w:cs="Arial"/>
      <w:b/>
      <w:bCs/>
      <w:kern w:val="28"/>
      <w:sz w:val="32"/>
      <w:szCs w:val="32"/>
    </w:rPr>
  </w:style>
  <w:style w:type="paragraph" w:styleId="Subtitle">
    <w:name w:val="Subtitle"/>
    <w:basedOn w:val="Normal"/>
    <w:qFormat/>
    <w:locked/>
    <w:rsid w:val="006A4343"/>
    <w:pPr>
      <w:spacing w:after="60"/>
      <w:jc w:val="center"/>
      <w:outlineLvl w:val="1"/>
    </w:pPr>
    <w:rPr>
      <w:rFonts w:ascii="Arial" w:hAnsi="Arial" w:cs="Arial"/>
    </w:rPr>
  </w:style>
  <w:style w:type="paragraph" w:styleId="Caption">
    <w:name w:val="caption"/>
    <w:basedOn w:val="Normal"/>
    <w:next w:val="Normal"/>
    <w:qFormat/>
    <w:locked/>
    <w:rsid w:val="006A4343"/>
    <w:rPr>
      <w:b/>
      <w:bCs/>
      <w:szCs w:val="20"/>
    </w:rPr>
  </w:style>
  <w:style w:type="paragraph" w:styleId="ListBullet">
    <w:name w:val="List Bullet"/>
    <w:basedOn w:val="Normal"/>
    <w:uiPriority w:val="99"/>
    <w:semiHidden/>
    <w:unhideWhenUsed/>
    <w:locked/>
    <w:rsid w:val="000733BC"/>
    <w:pPr>
      <w:numPr>
        <w:numId w:val="6"/>
      </w:numPr>
      <w:contextualSpacing/>
    </w:pPr>
  </w:style>
  <w:style w:type="paragraph" w:styleId="Revision">
    <w:name w:val="Revision"/>
    <w:hidden/>
    <w:uiPriority w:val="99"/>
    <w:semiHidden/>
    <w:rsid w:val="00740BD4"/>
    <w:rPr>
      <w:rFonts w:ascii="Gautami" w:eastAsia="Times New Roman" w:hAnsi="Gautami"/>
      <w:szCs w:val="24"/>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locked/>
    <w:rsid w:val="00FA426B"/>
    <w:rPr>
      <w:rFonts w:ascii="Gautami" w:eastAsia="Times New Roman" w:hAnsi="Gautami"/>
      <w:sz w:val="16"/>
    </w:rPr>
  </w:style>
  <w:style w:type="character" w:customStyle="1" w:styleId="AERbodytextChar">
    <w:name w:val="AER body text Char"/>
    <w:basedOn w:val="DefaultParagraphFont"/>
    <w:link w:val="AERbodytext"/>
    <w:rsid w:val="00FA426B"/>
    <w:rPr>
      <w:rFonts w:ascii="Gautami" w:eastAsia="Times New Roman" w:hAnsi="Gautami"/>
      <w:szCs w:val="24"/>
      <w:lang w:val="en-AU" w:eastAsia="en-US" w:bidi="ar-SA"/>
    </w:rPr>
  </w:style>
  <w:style w:type="character" w:customStyle="1" w:styleId="AERbulletlistfirststyleChar">
    <w:name w:val="AER bullet list (first style) Char"/>
    <w:basedOn w:val="DefaultParagraphFont"/>
    <w:link w:val="AERbulletlistfirststyle"/>
    <w:rsid w:val="00E5080D"/>
    <w:rPr>
      <w:rFonts w:ascii="Gautami" w:eastAsia="Times New Roman" w:hAnsi="Gautami"/>
      <w:szCs w:val="16"/>
      <w:lang w:eastAsia="en-US"/>
    </w:rPr>
  </w:style>
  <w:style w:type="character" w:customStyle="1" w:styleId="AERtabletextChar">
    <w:name w:val="AER table text Char"/>
    <w:basedOn w:val="DefaultParagraphFont"/>
    <w:link w:val="AERtabletext"/>
    <w:locked/>
    <w:rsid w:val="00445784"/>
    <w:rPr>
      <w:rFonts w:ascii="Gautami" w:eastAsia="Times New Roman" w:hAnsi="Gautami"/>
      <w:sz w:val="16"/>
      <w:szCs w:val="24"/>
      <w:lang w:eastAsia="en-US"/>
    </w:rPr>
  </w:style>
  <w:style w:type="character" w:customStyle="1" w:styleId="CommentTextChar">
    <w:name w:val="Comment Text Char"/>
    <w:basedOn w:val="DefaultParagraphFont"/>
    <w:link w:val="CommentText"/>
    <w:uiPriority w:val="99"/>
    <w:rsid w:val="00DD0A93"/>
    <w:rPr>
      <w:rFonts w:ascii="Gautami" w:eastAsia="Times New Roman" w:hAnsi="Gautami"/>
    </w:rPr>
  </w:style>
  <w:style w:type="paragraph" w:styleId="ListParagraph">
    <w:name w:val="List Paragraph"/>
    <w:basedOn w:val="Normal"/>
    <w:uiPriority w:val="34"/>
    <w:qFormat/>
    <w:rsid w:val="0079386D"/>
    <w:pPr>
      <w:spacing w:after="200" w:line="276" w:lineRule="auto"/>
      <w:ind w:left="720"/>
      <w:contextualSpacing/>
    </w:pPr>
  </w:style>
  <w:style w:type="paragraph" w:customStyle="1" w:styleId="LegalFirstLevel">
    <w:name w:val="Legal First Level"/>
    <w:rsid w:val="00203C6E"/>
    <w:pPr>
      <w:numPr>
        <w:numId w:val="8"/>
      </w:numPr>
      <w:spacing w:after="240"/>
      <w:jc w:val="both"/>
    </w:pPr>
    <w:rPr>
      <w:rFonts w:ascii="Times New Roman" w:eastAsia="Times New Roman" w:hAnsi="Times New Roman"/>
      <w:sz w:val="24"/>
      <w:szCs w:val="22"/>
      <w:lang w:eastAsia="en-US"/>
    </w:rPr>
  </w:style>
  <w:style w:type="paragraph" w:customStyle="1" w:styleId="LegalSecondLevel">
    <w:name w:val="Legal Second Level"/>
    <w:basedOn w:val="LegalFirstLevel"/>
    <w:rsid w:val="00203C6E"/>
    <w:pPr>
      <w:numPr>
        <w:ilvl w:val="1"/>
      </w:numPr>
    </w:pPr>
  </w:style>
  <w:style w:type="paragraph" w:customStyle="1" w:styleId="LegalThirdLevel">
    <w:name w:val="Legal Third Level"/>
    <w:basedOn w:val="LegalSecondLevel"/>
    <w:rsid w:val="00203C6E"/>
    <w:pPr>
      <w:numPr>
        <w:ilvl w:val="2"/>
      </w:numPr>
    </w:pPr>
  </w:style>
  <w:style w:type="paragraph" w:customStyle="1" w:styleId="Default">
    <w:name w:val="Default"/>
    <w:rsid w:val="00203C6E"/>
    <w:pPr>
      <w:autoSpaceDE w:val="0"/>
      <w:autoSpaceDN w:val="0"/>
      <w:adjustRightInd w:val="0"/>
    </w:pPr>
    <w:rPr>
      <w:rFonts w:cs="Calibri"/>
      <w:color w:val="000000"/>
      <w:sz w:val="24"/>
      <w:szCs w:val="24"/>
    </w:rPr>
  </w:style>
  <w:style w:type="paragraph" w:customStyle="1" w:styleId="ShortT">
    <w:name w:val="ShortT"/>
    <w:basedOn w:val="Normal"/>
    <w:next w:val="Normal"/>
    <w:qFormat/>
    <w:rsid w:val="00203C6E"/>
    <w:rPr>
      <w:b/>
      <w:sz w:val="40"/>
      <w:szCs w:val="20"/>
    </w:rPr>
  </w:style>
  <w:style w:type="character" w:customStyle="1" w:styleId="AERtabletextheadingChar">
    <w:name w:val="AER table text heading Char"/>
    <w:basedOn w:val="DefaultParagraphFont"/>
    <w:link w:val="AERtabletextheading"/>
    <w:locked/>
    <w:rsid w:val="00203C6E"/>
    <w:rPr>
      <w:rFonts w:ascii="Gautami" w:eastAsia="Times New Roman" w:hAnsi="Gautami"/>
      <w:b/>
      <w:sz w:val="16"/>
      <w:szCs w:val="16"/>
      <w:lang w:val="en-AU" w:eastAsia="en-US" w:bidi="ar-SA"/>
    </w:rPr>
  </w:style>
  <w:style w:type="paragraph" w:customStyle="1" w:styleId="AERconfidentialoappendixheading1">
    <w:name w:val="AER confidentialo appendix heading 1"/>
    <w:basedOn w:val="Heading1"/>
    <w:next w:val="AERbodytext"/>
    <w:rsid w:val="00203C6E"/>
    <w:pPr>
      <w:keepLines w:val="0"/>
      <w:pageBreakBefore/>
      <w:tabs>
        <w:tab w:val="num" w:pos="357"/>
      </w:tabs>
      <w:spacing w:before="240" w:after="240"/>
      <w:ind w:left="1071" w:hanging="1071"/>
    </w:pPr>
    <w:rPr>
      <w:rFonts w:ascii="Gautami" w:hAnsi="Gautami" w:cs="Arial"/>
      <w:color w:val="F2750E"/>
      <w:kern w:val="32"/>
      <w:sz w:val="36"/>
      <w:szCs w:val="32"/>
    </w:rPr>
  </w:style>
  <w:style w:type="character" w:customStyle="1" w:styleId="FootnoteTextChar1">
    <w:name w:val="Footnote Text Char1"/>
    <w:aliases w:val="ALTS FOOTNOTE Char2,(NECG) Footnote Text Char1,Footnote text Char1,AR Footnote Text Char1,AR Footnote Text Char Char Char Char Char Char1,ALTS FOOTNOTE Char1 Char1,Footnote TextText Char1 Char Char Char Char1,fn Char1,f Char"/>
    <w:basedOn w:val="DefaultParagraphFont"/>
    <w:locked/>
    <w:rsid w:val="00203C6E"/>
    <w:rPr>
      <w:rFonts w:ascii="Gautami" w:hAnsi="Gautami" w:cs="Times New Roman"/>
      <w:sz w:val="16"/>
      <w:lang w:val="en-AU" w:eastAsia="en-AU" w:bidi="ar-SA"/>
    </w:rPr>
  </w:style>
  <w:style w:type="paragraph" w:customStyle="1" w:styleId="AERHeading10">
    <w:name w:val="AER Heading 1"/>
    <w:basedOn w:val="AERbodytext"/>
    <w:link w:val="AERHeading1Char0"/>
    <w:qFormat/>
    <w:rsid w:val="00320E76"/>
  </w:style>
  <w:style w:type="character" w:customStyle="1" w:styleId="AERheading3Char">
    <w:name w:val="AER heading 3 Char"/>
    <w:basedOn w:val="DefaultParagraphFont"/>
    <w:link w:val="AERheading3"/>
    <w:rsid w:val="00557653"/>
    <w:rPr>
      <w:rFonts w:ascii="Gautami" w:hAnsi="Gautami" w:cs="Arial"/>
      <w:b/>
      <w:bCs/>
      <w:kern w:val="32"/>
      <w:sz w:val="24"/>
      <w:szCs w:val="24"/>
      <w:lang w:eastAsia="en-US"/>
    </w:rPr>
  </w:style>
  <w:style w:type="character" w:customStyle="1" w:styleId="AERHeading1Char0">
    <w:name w:val="AER Heading 1 Char"/>
    <w:basedOn w:val="AERbodytextChar"/>
    <w:link w:val="AERHeading10"/>
    <w:rsid w:val="00320E76"/>
    <w:rPr>
      <w:rFonts w:ascii="Gautami" w:eastAsia="Times New Roman" w:hAnsi="Gautami"/>
      <w:szCs w:val="24"/>
      <w:lang w:val="en-AU" w:eastAsia="en-US" w:bidi="ar-SA"/>
    </w:rPr>
  </w:style>
  <w:style w:type="character" w:customStyle="1" w:styleId="AERheading5Char">
    <w:name w:val="AER heading 5 Char"/>
    <w:basedOn w:val="DefaultParagraphFont"/>
    <w:link w:val="AERheading5"/>
    <w:rsid w:val="00BB76F8"/>
    <w:rPr>
      <w:rFonts w:ascii="Gautami" w:eastAsia="Times New Roman" w:hAnsi="Gautami" w:cs="Arial"/>
      <w:b/>
      <w:bCs/>
      <w:kern w:val="32"/>
      <w:szCs w:val="24"/>
      <w:lang w:eastAsia="en-US"/>
    </w:rPr>
  </w:style>
  <w:style w:type="numbering" w:styleId="1ai">
    <w:name w:val="Outline List 1"/>
    <w:aliases w:val="AER Numbered List"/>
    <w:basedOn w:val="NoList"/>
    <w:locked/>
    <w:rsid w:val="00BB76F8"/>
    <w:pPr>
      <w:numPr>
        <w:numId w:val="9"/>
      </w:numPr>
    </w:pPr>
  </w:style>
  <w:style w:type="paragraph" w:customStyle="1" w:styleId="AERTableFigureheading">
    <w:name w:val="AER Table &amp; Figure heading"/>
    <w:basedOn w:val="Normal"/>
    <w:rsid w:val="00BB76F8"/>
    <w:pPr>
      <w:keepNext/>
      <w:tabs>
        <w:tab w:val="left" w:pos="360"/>
        <w:tab w:val="right" w:leader="dot" w:pos="8453"/>
      </w:tabs>
      <w:spacing w:before="120" w:after="120"/>
      <w:ind w:left="1134" w:hanging="1134"/>
    </w:pPr>
    <w:rPr>
      <w:b/>
      <w:szCs w:val="20"/>
    </w:rPr>
  </w:style>
  <w:style w:type="paragraph" w:customStyle="1" w:styleId="AERtablesources">
    <w:name w:val="AER table sources"/>
    <w:basedOn w:val="AERbodytext"/>
    <w:next w:val="AERbodytext"/>
    <w:rsid w:val="00BB76F8"/>
    <w:pPr>
      <w:spacing w:before="60" w:line="240" w:lineRule="auto"/>
      <w:jc w:val="left"/>
    </w:pPr>
    <w:rPr>
      <w:rFonts w:ascii="Times New Roman" w:hAnsi="Times New Roman"/>
      <w:szCs w:val="20"/>
      <w:lang w:eastAsia="en-AU"/>
    </w:rPr>
  </w:style>
  <w:style w:type="character" w:customStyle="1" w:styleId="FootnoteReference1">
    <w:name w:val="Footnote Reference1"/>
    <w:rsid w:val="00EA57C3"/>
    <w:rPr>
      <w:color w:val="000000"/>
      <w:vertAlign w:val="superscript"/>
    </w:rPr>
  </w:style>
  <w:style w:type="character" w:customStyle="1" w:styleId="Heading7Char">
    <w:name w:val="Heading 7 Char"/>
    <w:basedOn w:val="DefaultParagraphFont"/>
    <w:link w:val="Heading7"/>
    <w:uiPriority w:val="9"/>
    <w:rsid w:val="00CF67B7"/>
    <w:rPr>
      <w:rFonts w:ascii="Gautami" w:hAnsi="Gautami" w:cs="Calibri"/>
      <w:b/>
      <w:bCs/>
      <w:iCs/>
      <w:color w:val="E36C0A"/>
      <w:sz w:val="36"/>
      <w:szCs w:val="24"/>
      <w:lang w:eastAsia="en-US"/>
    </w:rPr>
  </w:style>
  <w:style w:type="character" w:customStyle="1" w:styleId="Heading8Char">
    <w:name w:val="Heading 8 Char"/>
    <w:basedOn w:val="DefaultParagraphFont"/>
    <w:link w:val="Heading8"/>
    <w:uiPriority w:val="9"/>
    <w:rsid w:val="00CF67B7"/>
    <w:rPr>
      <w:rFonts w:ascii="Gautami" w:hAnsi="Gautami" w:cs="Calibri"/>
      <w:b/>
      <w:bCs/>
      <w:iCs/>
      <w:color w:val="E36C0A"/>
      <w:sz w:val="28"/>
      <w:lang w:eastAsia="en-US"/>
    </w:rPr>
  </w:style>
  <w:style w:type="character" w:customStyle="1" w:styleId="Heading9Char">
    <w:name w:val="Heading 9 Char"/>
    <w:basedOn w:val="DefaultParagraphFont"/>
    <w:link w:val="Heading9"/>
    <w:uiPriority w:val="9"/>
    <w:rsid w:val="00CF67B7"/>
    <w:rPr>
      <w:rFonts w:ascii="Gautami" w:hAnsi="Gautami" w:cs="Calibri"/>
      <w:b/>
      <w:bCs/>
      <w:color w:val="E36C0A"/>
      <w:sz w:val="24"/>
      <w:lang w:eastAsia="en-US"/>
    </w:rPr>
  </w:style>
  <w:style w:type="numbering" w:customStyle="1" w:styleId="AERHeadings">
    <w:name w:val="AER Headings"/>
    <w:uiPriority w:val="99"/>
    <w:rsid w:val="00CF67B7"/>
    <w:pPr>
      <w:numPr>
        <w:numId w:val="10"/>
      </w:numPr>
    </w:pPr>
  </w:style>
  <w:style w:type="paragraph" w:customStyle="1" w:styleId="UnnumberedHeading">
    <w:name w:val="Unnumbered Heading"/>
    <w:basedOn w:val="Heading1"/>
    <w:next w:val="AERbodytext"/>
    <w:link w:val="UnnumberedHeadingChar"/>
    <w:qFormat/>
    <w:rsid w:val="00CF67B7"/>
    <w:pPr>
      <w:pageBreakBefore/>
      <w:numPr>
        <w:ilvl w:val="0"/>
      </w:numPr>
      <w:spacing w:before="120" w:after="120"/>
    </w:pPr>
    <w:rPr>
      <w:rFonts w:ascii="Gautami" w:hAnsi="Gautami"/>
      <w:color w:val="E36C0A"/>
      <w:sz w:val="36"/>
    </w:rPr>
  </w:style>
  <w:style w:type="paragraph" w:customStyle="1" w:styleId="AERtabletextheadingright">
    <w:name w:val="AER table text heading right"/>
    <w:rsid w:val="00CF67B7"/>
    <w:pPr>
      <w:spacing w:before="120" w:after="80" w:line="288" w:lineRule="auto"/>
      <w:jc w:val="right"/>
    </w:pPr>
    <w:rPr>
      <w:rFonts w:ascii="Gautami" w:eastAsia="Times New Roman" w:hAnsi="Gautami"/>
      <w:b/>
      <w:sz w:val="16"/>
      <w:szCs w:val="24"/>
      <w:lang w:eastAsia="en-US"/>
    </w:rPr>
  </w:style>
  <w:style w:type="paragraph" w:styleId="Quote">
    <w:name w:val="Quote"/>
    <w:basedOn w:val="Normal"/>
    <w:next w:val="Normal"/>
    <w:link w:val="QuoteChar"/>
    <w:uiPriority w:val="29"/>
    <w:qFormat/>
    <w:rsid w:val="00CF67B7"/>
    <w:rPr>
      <w:i/>
      <w:iCs/>
      <w:color w:val="000000"/>
    </w:rPr>
  </w:style>
  <w:style w:type="character" w:customStyle="1" w:styleId="QuoteChar">
    <w:name w:val="Quote Char"/>
    <w:basedOn w:val="DefaultParagraphFont"/>
    <w:link w:val="Quote"/>
    <w:uiPriority w:val="29"/>
    <w:rsid w:val="00CF67B7"/>
    <w:rPr>
      <w:rFonts w:ascii="Gautami" w:eastAsia="Times New Roman" w:hAnsi="Gautami"/>
      <w:i/>
      <w:iCs/>
      <w:color w:val="000000"/>
      <w:szCs w:val="24"/>
    </w:rPr>
  </w:style>
  <w:style w:type="character" w:customStyle="1" w:styleId="AERbodytextbold">
    <w:name w:val="AER body text bold"/>
    <w:basedOn w:val="DefaultParagraphFont"/>
    <w:rsid w:val="00B80EE9"/>
    <w:rPr>
      <w:rFonts w:ascii="Gautami" w:hAnsi="Gautami"/>
      <w:b/>
      <w:sz w:val="24"/>
    </w:rPr>
  </w:style>
  <w:style w:type="character" w:customStyle="1" w:styleId="FooterChar">
    <w:name w:val="Footer Char"/>
    <w:basedOn w:val="DefaultParagraphFont"/>
    <w:link w:val="Footer"/>
    <w:uiPriority w:val="99"/>
    <w:rsid w:val="00C23B50"/>
    <w:rPr>
      <w:rFonts w:ascii="Gautami" w:eastAsia="Times New Roman" w:hAnsi="Gautami"/>
      <w:szCs w:val="24"/>
    </w:rPr>
  </w:style>
  <w:style w:type="paragraph" w:styleId="BodyText">
    <w:name w:val="Body Text"/>
    <w:basedOn w:val="Normal"/>
    <w:link w:val="BodyTextChar"/>
    <w:uiPriority w:val="99"/>
    <w:locked/>
    <w:rsid w:val="00310EAA"/>
    <w:pPr>
      <w:spacing w:before="120" w:after="120"/>
    </w:pPr>
    <w:rPr>
      <w:rFonts w:ascii="Arial" w:hAnsi="Arial"/>
      <w:szCs w:val="20"/>
    </w:rPr>
  </w:style>
  <w:style w:type="character" w:customStyle="1" w:styleId="BodyTextChar">
    <w:name w:val="Body Text Char"/>
    <w:basedOn w:val="DefaultParagraphFont"/>
    <w:link w:val="BodyText"/>
    <w:uiPriority w:val="99"/>
    <w:rsid w:val="00310EAA"/>
    <w:rPr>
      <w:rFonts w:ascii="Arial" w:eastAsia="Times New Roman" w:hAnsi="Arial"/>
      <w:sz w:val="22"/>
      <w:lang w:eastAsia="en-US"/>
    </w:rPr>
  </w:style>
  <w:style w:type="paragraph" w:customStyle="1" w:styleId="FootnoteTextA">
    <w:name w:val="Footnote Text A"/>
    <w:rsid w:val="00EA57C3"/>
    <w:pPr>
      <w:spacing w:before="240" w:after="120"/>
    </w:pPr>
    <w:rPr>
      <w:rFonts w:ascii="Times New Roman" w:eastAsia="ヒラギノ角ゴ Pro W3" w:hAnsi="Times New Roman"/>
      <w:color w:val="000000"/>
    </w:rPr>
  </w:style>
  <w:style w:type="paragraph" w:customStyle="1" w:styleId="AERBullet1">
    <w:name w:val="AER Bullet 1"/>
    <w:basedOn w:val="Normal"/>
    <w:rsid w:val="00EA57C3"/>
    <w:pPr>
      <w:spacing w:before="240" w:after="120"/>
    </w:pPr>
  </w:style>
  <w:style w:type="character" w:customStyle="1" w:styleId="displayonly">
    <w:name w:val="display_only"/>
    <w:basedOn w:val="DefaultParagraphFont"/>
    <w:rsid w:val="00791BFA"/>
  </w:style>
  <w:style w:type="numbering" w:customStyle="1" w:styleId="AERnumberedlist">
    <w:name w:val="AER numbered list"/>
    <w:uiPriority w:val="99"/>
    <w:rsid w:val="00EF2D0E"/>
    <w:pPr>
      <w:numPr>
        <w:numId w:val="11"/>
      </w:numPr>
    </w:pPr>
  </w:style>
  <w:style w:type="character" w:customStyle="1" w:styleId="UnnumberedHeadingChar">
    <w:name w:val="Unnumbered Heading Char"/>
    <w:basedOn w:val="DefaultParagraphFont"/>
    <w:link w:val="UnnumberedHeading"/>
    <w:rsid w:val="00EF2D0E"/>
    <w:rPr>
      <w:rFonts w:ascii="Gautami" w:hAnsi="Gautami" w:cs="Calibri"/>
      <w:b/>
      <w:bCs/>
      <w:color w:val="E36C0A"/>
      <w:sz w:val="36"/>
      <w:szCs w:val="28"/>
      <w:lang w:eastAsia="en-US"/>
    </w:rPr>
  </w:style>
  <w:style w:type="character" w:customStyle="1" w:styleId="st1">
    <w:name w:val="st1"/>
    <w:basedOn w:val="DefaultParagraphFont"/>
    <w:rsid w:val="009A334E"/>
  </w:style>
  <w:style w:type="paragraph" w:customStyle="1" w:styleId="AERcopyrighttext">
    <w:name w:val="AER copyright text"/>
    <w:basedOn w:val="Normal"/>
    <w:rsid w:val="0020321C"/>
    <w:pPr>
      <w:spacing w:before="240" w:after="240"/>
    </w:pPr>
  </w:style>
  <w:style w:type="character" w:customStyle="1" w:styleId="AERbulletlistfirststyleCharChar">
    <w:name w:val="AER bullet list (first style) Char Char"/>
    <w:basedOn w:val="DefaultParagraphFont"/>
    <w:rsid w:val="009930C1"/>
    <w:rPr>
      <w:sz w:val="24"/>
      <w:szCs w:val="24"/>
      <w:lang w:eastAsia="en-US"/>
    </w:rPr>
  </w:style>
  <w:style w:type="character" w:customStyle="1" w:styleId="AERbodytextCharChar">
    <w:name w:val="AER body text Char Char"/>
    <w:basedOn w:val="DefaultParagraphFont"/>
    <w:rsid w:val="009930C1"/>
    <w:rPr>
      <w:sz w:val="24"/>
      <w:szCs w:val="24"/>
      <w:lang w:val="en-AU" w:eastAsia="en-US" w:bidi="ar-SA"/>
    </w:rPr>
  </w:style>
  <w:style w:type="paragraph" w:customStyle="1" w:styleId="aerheading40">
    <w:name w:val="aerheading4"/>
    <w:basedOn w:val="Normal"/>
    <w:rsid w:val="009930C1"/>
    <w:pPr>
      <w:keepNext/>
      <w:tabs>
        <w:tab w:val="num" w:pos="2880"/>
      </w:tabs>
      <w:spacing w:after="120"/>
      <w:ind w:left="2880" w:hanging="360"/>
    </w:pPr>
    <w:rPr>
      <w:b/>
      <w:bCs/>
    </w:rPr>
  </w:style>
  <w:style w:type="character" w:customStyle="1" w:styleId="AERbodytextCharCharCharChar">
    <w:name w:val="AER body text Char Char Char Char"/>
    <w:basedOn w:val="DefaultParagraphFont"/>
    <w:link w:val="AERbodytextCharCharChar"/>
    <w:locked/>
    <w:rsid w:val="00564940"/>
    <w:rPr>
      <w:rFonts w:eastAsia="Calibri"/>
      <w:sz w:val="24"/>
      <w:szCs w:val="24"/>
    </w:rPr>
  </w:style>
  <w:style w:type="paragraph" w:customStyle="1" w:styleId="AERbodytextCharCharChar">
    <w:name w:val="AER body text Char Char Char"/>
    <w:basedOn w:val="Normal"/>
    <w:link w:val="AERbodytextCharCharCharChar"/>
    <w:rsid w:val="00564940"/>
    <w:pPr>
      <w:spacing w:after="240"/>
    </w:pPr>
  </w:style>
  <w:style w:type="paragraph" w:styleId="NormalWeb">
    <w:name w:val="Normal (Web)"/>
    <w:basedOn w:val="Normal"/>
    <w:uiPriority w:val="99"/>
    <w:unhideWhenUsed/>
    <w:locked/>
    <w:rsid w:val="000D605D"/>
    <w:pPr>
      <w:spacing w:before="204" w:after="204"/>
    </w:pPr>
    <w:rPr>
      <w:rFonts w:eastAsia="Times New Roman"/>
    </w:rPr>
  </w:style>
  <w:style w:type="paragraph" w:customStyle="1" w:styleId="QCRunnumberedunboldheading">
    <w:name w:val="QCR unnumbered unbold heading"/>
    <w:basedOn w:val="AERheading2"/>
    <w:link w:val="QCRunnumberedunboldheadingChar"/>
    <w:qFormat/>
    <w:rsid w:val="002C7158"/>
    <w:pPr>
      <w:numPr>
        <w:ilvl w:val="0"/>
        <w:numId w:val="0"/>
      </w:numPr>
      <w:spacing w:before="0" w:after="120" w:line="360" w:lineRule="auto"/>
      <w:ind w:left="357" w:hanging="357"/>
      <w:outlineLvl w:val="9"/>
    </w:pPr>
    <w:rPr>
      <w:b w:val="0"/>
      <w:sz w:val="36"/>
      <w:szCs w:val="36"/>
    </w:rPr>
  </w:style>
  <w:style w:type="paragraph" w:customStyle="1" w:styleId="QCRHeading1">
    <w:name w:val="QCR Heading 1"/>
    <w:basedOn w:val="AERheading1"/>
    <w:link w:val="QCRHeading1Char"/>
    <w:qFormat/>
    <w:rsid w:val="002C7158"/>
  </w:style>
  <w:style w:type="character" w:customStyle="1" w:styleId="Heading1Char">
    <w:name w:val="Heading 1 Char"/>
    <w:basedOn w:val="DefaultParagraphFont"/>
    <w:link w:val="Heading1"/>
    <w:uiPriority w:val="9"/>
    <w:rsid w:val="002C7158"/>
    <w:rPr>
      <w:rFonts w:ascii="Cambria" w:hAnsi="Cambria" w:cs="Calibri"/>
      <w:b/>
      <w:bCs/>
      <w:color w:val="365F91"/>
      <w:sz w:val="28"/>
      <w:szCs w:val="28"/>
      <w:lang w:eastAsia="en-US"/>
    </w:rPr>
  </w:style>
  <w:style w:type="character" w:customStyle="1" w:styleId="AERheading1Char">
    <w:name w:val="AER heading 1 Char"/>
    <w:basedOn w:val="Heading1Char"/>
    <w:link w:val="AERheading1"/>
    <w:rsid w:val="002C7158"/>
    <w:rPr>
      <w:rFonts w:ascii="Gautami" w:hAnsi="Gautami" w:cs="Arial"/>
      <w:b/>
      <w:bCs/>
      <w:color w:val="F2750E"/>
      <w:kern w:val="32"/>
      <w:sz w:val="36"/>
      <w:szCs w:val="32"/>
      <w:lang w:eastAsia="en-US"/>
    </w:rPr>
  </w:style>
  <w:style w:type="character" w:customStyle="1" w:styleId="AERheading2Char">
    <w:name w:val="AER heading 2 Char"/>
    <w:basedOn w:val="AERheading1Char"/>
    <w:link w:val="AERheading2"/>
    <w:rsid w:val="002C7158"/>
    <w:rPr>
      <w:rFonts w:ascii="Gautami" w:hAnsi="Gautami" w:cs="Arial"/>
      <w:b/>
      <w:bCs/>
      <w:color w:val="F2750E"/>
      <w:kern w:val="32"/>
      <w:sz w:val="28"/>
      <w:szCs w:val="30"/>
      <w:lang w:eastAsia="en-US"/>
    </w:rPr>
  </w:style>
  <w:style w:type="character" w:customStyle="1" w:styleId="QCRunnumberedunboldheadingChar">
    <w:name w:val="QCR unnumbered unbold heading Char"/>
    <w:basedOn w:val="AERheading2Char"/>
    <w:link w:val="QCRunnumberedunboldheading"/>
    <w:rsid w:val="002C7158"/>
    <w:rPr>
      <w:rFonts w:ascii="Gautami" w:eastAsiaTheme="minorHAnsi" w:hAnsi="Gautami" w:cs="Arial"/>
      <w:b/>
      <w:bCs/>
      <w:color w:val="F2750E"/>
      <w:kern w:val="32"/>
      <w:sz w:val="36"/>
      <w:szCs w:val="36"/>
      <w:lang w:eastAsia="en-US"/>
    </w:rPr>
  </w:style>
  <w:style w:type="character" w:customStyle="1" w:styleId="QCRHeading1Char">
    <w:name w:val="QCR Heading 1 Char"/>
    <w:basedOn w:val="AERheading1Char"/>
    <w:link w:val="QCRHeading1"/>
    <w:rsid w:val="002C7158"/>
    <w:rPr>
      <w:rFonts w:ascii="Gautami" w:hAnsi="Gautami" w:cs="Arial"/>
      <w:b/>
      <w:bCs/>
      <w:color w:val="F2750E"/>
      <w:kern w:val="32"/>
      <w:sz w:val="36"/>
      <w:szCs w:val="32"/>
      <w:lang w:eastAsia="en-US"/>
    </w:rPr>
  </w:style>
  <w:style w:type="paragraph" w:customStyle="1" w:styleId="aerbodytext0">
    <w:name w:val="aerbodytext"/>
    <w:basedOn w:val="Normal"/>
    <w:rsid w:val="00C421DA"/>
    <w:pPr>
      <w:spacing w:after="240"/>
    </w:pPr>
  </w:style>
  <w:style w:type="paragraph" w:customStyle="1" w:styleId="Pa8">
    <w:name w:val="Pa8"/>
    <w:basedOn w:val="Normal"/>
    <w:uiPriority w:val="99"/>
    <w:rsid w:val="007F4039"/>
    <w:pPr>
      <w:autoSpaceDE w:val="0"/>
      <w:autoSpaceDN w:val="0"/>
      <w:spacing w:line="171" w:lineRule="atLeast"/>
    </w:pPr>
    <w:rPr>
      <w:rFonts w:ascii="HelveticaNeueLT Std" w:hAnsi="HelveticaNeueLT Std"/>
    </w:rPr>
  </w:style>
  <w:style w:type="character" w:styleId="Emphasis">
    <w:name w:val="Emphasis"/>
    <w:uiPriority w:val="20"/>
    <w:qFormat/>
    <w:locked/>
    <w:rsid w:val="00696E6D"/>
    <w:rPr>
      <w:b/>
      <w:bCs/>
      <w:i w:val="0"/>
      <w:iCs w:val="0"/>
    </w:rPr>
  </w:style>
  <w:style w:type="character" w:customStyle="1" w:styleId="EndnoteTextChar">
    <w:name w:val="Endnote Text Char"/>
    <w:link w:val="EndnoteText"/>
    <w:uiPriority w:val="99"/>
    <w:semiHidden/>
    <w:rsid w:val="004D74CD"/>
    <w:rPr>
      <w:rFonts w:cs="Calibri"/>
      <w:sz w:val="22"/>
      <w:lang w:eastAsia="en-US"/>
    </w:rPr>
  </w:style>
  <w:style w:type="paragraph" w:customStyle="1" w:styleId="AERnumberedlist2first">
    <w:name w:val="AER numbered list 2 first"/>
    <w:basedOn w:val="Normal"/>
    <w:rsid w:val="007A1A46"/>
    <w:pPr>
      <w:tabs>
        <w:tab w:val="num" w:pos="3240"/>
      </w:tabs>
      <w:spacing w:after="240" w:line="288" w:lineRule="auto"/>
      <w:ind w:left="3240" w:hanging="360"/>
      <w:jc w:val="both"/>
    </w:pPr>
    <w:rPr>
      <w:rFonts w:ascii="Gautami" w:hAnsi="Gautami" w:cs="Gautami"/>
      <w:sz w:val="20"/>
      <w:szCs w:val="20"/>
    </w:rPr>
  </w:style>
  <w:style w:type="paragraph" w:customStyle="1" w:styleId="AERnumberedlist2second">
    <w:name w:val="AER numbered list 2 second"/>
    <w:basedOn w:val="Normal"/>
    <w:rsid w:val="007A1A46"/>
    <w:pPr>
      <w:tabs>
        <w:tab w:val="num" w:pos="3960"/>
      </w:tabs>
      <w:spacing w:after="240" w:line="288" w:lineRule="auto"/>
      <w:ind w:left="3960" w:hanging="360"/>
      <w:jc w:val="both"/>
    </w:pPr>
    <w:rPr>
      <w:rFonts w:ascii="Gautami" w:hAnsi="Gautami" w:cs="Gautami"/>
      <w:sz w:val="20"/>
      <w:szCs w:val="20"/>
    </w:rPr>
  </w:style>
  <w:style w:type="paragraph" w:customStyle="1" w:styleId="AERnumberedlist2third">
    <w:name w:val="AER numbered list 2 third"/>
    <w:basedOn w:val="Normal"/>
    <w:rsid w:val="007A1A46"/>
    <w:pPr>
      <w:tabs>
        <w:tab w:val="num" w:pos="4680"/>
      </w:tabs>
      <w:spacing w:after="240" w:line="288" w:lineRule="auto"/>
      <w:ind w:left="4680" w:hanging="360"/>
      <w:jc w:val="both"/>
    </w:pPr>
    <w:rPr>
      <w:rFonts w:ascii="Gautami" w:hAnsi="Gautami" w:cs="Gautami"/>
      <w:sz w:val="20"/>
      <w:szCs w:val="20"/>
    </w:rPr>
  </w:style>
  <w:style w:type="paragraph" w:customStyle="1" w:styleId="ecxaerbodytext">
    <w:name w:val="ecxaerbodytext"/>
    <w:basedOn w:val="Normal"/>
    <w:rsid w:val="000E43EC"/>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ERbodytext">
    <w:name w:val="1ai"/>
    <w:pPr>
      <w:numPr>
        <w:numId w:val="9"/>
      </w:numPr>
    </w:pPr>
  </w:style>
  <w:style w:type="numbering" w:customStyle="1" w:styleId="AERtabletitle">
    <w:name w:val="AERHeadings"/>
    <w:pPr>
      <w:numPr>
        <w:numId w:val="10"/>
      </w:numPr>
    </w:pPr>
  </w:style>
  <w:style w:type="numbering" w:customStyle="1" w:styleId="AERfigureheading">
    <w:name w:val="AERnumberedlist"/>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0263">
      <w:bodyDiv w:val="1"/>
      <w:marLeft w:val="0"/>
      <w:marRight w:val="0"/>
      <w:marTop w:val="0"/>
      <w:marBottom w:val="0"/>
      <w:divBdr>
        <w:top w:val="none" w:sz="0" w:space="0" w:color="auto"/>
        <w:left w:val="none" w:sz="0" w:space="0" w:color="auto"/>
        <w:bottom w:val="none" w:sz="0" w:space="0" w:color="auto"/>
        <w:right w:val="none" w:sz="0" w:space="0" w:color="auto"/>
      </w:divBdr>
    </w:div>
    <w:div w:id="40517832">
      <w:bodyDiv w:val="1"/>
      <w:marLeft w:val="0"/>
      <w:marRight w:val="0"/>
      <w:marTop w:val="0"/>
      <w:marBottom w:val="0"/>
      <w:divBdr>
        <w:top w:val="none" w:sz="0" w:space="0" w:color="auto"/>
        <w:left w:val="none" w:sz="0" w:space="0" w:color="auto"/>
        <w:bottom w:val="none" w:sz="0" w:space="0" w:color="auto"/>
        <w:right w:val="none" w:sz="0" w:space="0" w:color="auto"/>
      </w:divBdr>
    </w:div>
    <w:div w:id="84349877">
      <w:bodyDiv w:val="1"/>
      <w:marLeft w:val="0"/>
      <w:marRight w:val="0"/>
      <w:marTop w:val="0"/>
      <w:marBottom w:val="0"/>
      <w:divBdr>
        <w:top w:val="none" w:sz="0" w:space="0" w:color="auto"/>
        <w:left w:val="none" w:sz="0" w:space="0" w:color="auto"/>
        <w:bottom w:val="none" w:sz="0" w:space="0" w:color="auto"/>
        <w:right w:val="none" w:sz="0" w:space="0" w:color="auto"/>
      </w:divBdr>
    </w:div>
    <w:div w:id="110365243">
      <w:bodyDiv w:val="1"/>
      <w:marLeft w:val="0"/>
      <w:marRight w:val="0"/>
      <w:marTop w:val="0"/>
      <w:marBottom w:val="0"/>
      <w:divBdr>
        <w:top w:val="none" w:sz="0" w:space="0" w:color="auto"/>
        <w:left w:val="none" w:sz="0" w:space="0" w:color="auto"/>
        <w:bottom w:val="none" w:sz="0" w:space="0" w:color="auto"/>
        <w:right w:val="none" w:sz="0" w:space="0" w:color="auto"/>
      </w:divBdr>
    </w:div>
    <w:div w:id="162935867">
      <w:bodyDiv w:val="1"/>
      <w:marLeft w:val="0"/>
      <w:marRight w:val="0"/>
      <w:marTop w:val="0"/>
      <w:marBottom w:val="0"/>
      <w:divBdr>
        <w:top w:val="none" w:sz="0" w:space="0" w:color="auto"/>
        <w:left w:val="none" w:sz="0" w:space="0" w:color="auto"/>
        <w:bottom w:val="none" w:sz="0" w:space="0" w:color="auto"/>
        <w:right w:val="none" w:sz="0" w:space="0" w:color="auto"/>
      </w:divBdr>
    </w:div>
    <w:div w:id="179129794">
      <w:bodyDiv w:val="1"/>
      <w:marLeft w:val="0"/>
      <w:marRight w:val="0"/>
      <w:marTop w:val="0"/>
      <w:marBottom w:val="0"/>
      <w:divBdr>
        <w:top w:val="none" w:sz="0" w:space="0" w:color="auto"/>
        <w:left w:val="none" w:sz="0" w:space="0" w:color="auto"/>
        <w:bottom w:val="none" w:sz="0" w:space="0" w:color="auto"/>
        <w:right w:val="none" w:sz="0" w:space="0" w:color="auto"/>
      </w:divBdr>
    </w:div>
    <w:div w:id="220606400">
      <w:bodyDiv w:val="1"/>
      <w:marLeft w:val="0"/>
      <w:marRight w:val="0"/>
      <w:marTop w:val="0"/>
      <w:marBottom w:val="0"/>
      <w:divBdr>
        <w:top w:val="none" w:sz="0" w:space="0" w:color="auto"/>
        <w:left w:val="none" w:sz="0" w:space="0" w:color="auto"/>
        <w:bottom w:val="none" w:sz="0" w:space="0" w:color="auto"/>
        <w:right w:val="none" w:sz="0" w:space="0" w:color="auto"/>
      </w:divBdr>
      <w:divsChild>
        <w:div w:id="1908766085">
          <w:marLeft w:val="0"/>
          <w:marRight w:val="0"/>
          <w:marTop w:val="0"/>
          <w:marBottom w:val="0"/>
          <w:divBdr>
            <w:top w:val="none" w:sz="0" w:space="0" w:color="auto"/>
            <w:left w:val="none" w:sz="0" w:space="0" w:color="auto"/>
            <w:bottom w:val="none" w:sz="0" w:space="0" w:color="auto"/>
            <w:right w:val="none" w:sz="0" w:space="0" w:color="auto"/>
          </w:divBdr>
        </w:div>
      </w:divsChild>
    </w:div>
    <w:div w:id="241107017">
      <w:bodyDiv w:val="1"/>
      <w:marLeft w:val="0"/>
      <w:marRight w:val="0"/>
      <w:marTop w:val="0"/>
      <w:marBottom w:val="0"/>
      <w:divBdr>
        <w:top w:val="none" w:sz="0" w:space="0" w:color="auto"/>
        <w:left w:val="none" w:sz="0" w:space="0" w:color="auto"/>
        <w:bottom w:val="none" w:sz="0" w:space="0" w:color="auto"/>
        <w:right w:val="none" w:sz="0" w:space="0" w:color="auto"/>
      </w:divBdr>
    </w:div>
    <w:div w:id="277103546">
      <w:bodyDiv w:val="1"/>
      <w:marLeft w:val="0"/>
      <w:marRight w:val="0"/>
      <w:marTop w:val="0"/>
      <w:marBottom w:val="0"/>
      <w:divBdr>
        <w:top w:val="none" w:sz="0" w:space="0" w:color="auto"/>
        <w:left w:val="none" w:sz="0" w:space="0" w:color="auto"/>
        <w:bottom w:val="none" w:sz="0" w:space="0" w:color="auto"/>
        <w:right w:val="none" w:sz="0" w:space="0" w:color="auto"/>
      </w:divBdr>
    </w:div>
    <w:div w:id="283849181">
      <w:bodyDiv w:val="1"/>
      <w:marLeft w:val="0"/>
      <w:marRight w:val="0"/>
      <w:marTop w:val="0"/>
      <w:marBottom w:val="0"/>
      <w:divBdr>
        <w:top w:val="none" w:sz="0" w:space="0" w:color="auto"/>
        <w:left w:val="none" w:sz="0" w:space="0" w:color="auto"/>
        <w:bottom w:val="none" w:sz="0" w:space="0" w:color="auto"/>
        <w:right w:val="none" w:sz="0" w:space="0" w:color="auto"/>
      </w:divBdr>
    </w:div>
    <w:div w:id="317459682">
      <w:bodyDiv w:val="1"/>
      <w:marLeft w:val="0"/>
      <w:marRight w:val="0"/>
      <w:marTop w:val="0"/>
      <w:marBottom w:val="0"/>
      <w:divBdr>
        <w:top w:val="none" w:sz="0" w:space="0" w:color="auto"/>
        <w:left w:val="none" w:sz="0" w:space="0" w:color="auto"/>
        <w:bottom w:val="none" w:sz="0" w:space="0" w:color="auto"/>
        <w:right w:val="none" w:sz="0" w:space="0" w:color="auto"/>
      </w:divBdr>
    </w:div>
    <w:div w:id="322466389">
      <w:bodyDiv w:val="1"/>
      <w:marLeft w:val="0"/>
      <w:marRight w:val="0"/>
      <w:marTop w:val="0"/>
      <w:marBottom w:val="0"/>
      <w:divBdr>
        <w:top w:val="none" w:sz="0" w:space="0" w:color="auto"/>
        <w:left w:val="none" w:sz="0" w:space="0" w:color="auto"/>
        <w:bottom w:val="none" w:sz="0" w:space="0" w:color="auto"/>
        <w:right w:val="none" w:sz="0" w:space="0" w:color="auto"/>
      </w:divBdr>
    </w:div>
    <w:div w:id="406615276">
      <w:bodyDiv w:val="1"/>
      <w:marLeft w:val="0"/>
      <w:marRight w:val="0"/>
      <w:marTop w:val="0"/>
      <w:marBottom w:val="0"/>
      <w:divBdr>
        <w:top w:val="none" w:sz="0" w:space="0" w:color="auto"/>
        <w:left w:val="none" w:sz="0" w:space="0" w:color="auto"/>
        <w:bottom w:val="none" w:sz="0" w:space="0" w:color="auto"/>
        <w:right w:val="none" w:sz="0" w:space="0" w:color="auto"/>
      </w:divBdr>
    </w:div>
    <w:div w:id="413476854">
      <w:bodyDiv w:val="1"/>
      <w:marLeft w:val="0"/>
      <w:marRight w:val="0"/>
      <w:marTop w:val="0"/>
      <w:marBottom w:val="0"/>
      <w:divBdr>
        <w:top w:val="none" w:sz="0" w:space="0" w:color="auto"/>
        <w:left w:val="none" w:sz="0" w:space="0" w:color="auto"/>
        <w:bottom w:val="none" w:sz="0" w:space="0" w:color="auto"/>
        <w:right w:val="none" w:sz="0" w:space="0" w:color="auto"/>
      </w:divBdr>
    </w:div>
    <w:div w:id="420028513">
      <w:bodyDiv w:val="1"/>
      <w:marLeft w:val="0"/>
      <w:marRight w:val="0"/>
      <w:marTop w:val="0"/>
      <w:marBottom w:val="0"/>
      <w:divBdr>
        <w:top w:val="none" w:sz="0" w:space="0" w:color="auto"/>
        <w:left w:val="none" w:sz="0" w:space="0" w:color="auto"/>
        <w:bottom w:val="none" w:sz="0" w:space="0" w:color="auto"/>
        <w:right w:val="none" w:sz="0" w:space="0" w:color="auto"/>
      </w:divBdr>
    </w:div>
    <w:div w:id="431365810">
      <w:bodyDiv w:val="1"/>
      <w:marLeft w:val="0"/>
      <w:marRight w:val="0"/>
      <w:marTop w:val="0"/>
      <w:marBottom w:val="0"/>
      <w:divBdr>
        <w:top w:val="none" w:sz="0" w:space="0" w:color="auto"/>
        <w:left w:val="none" w:sz="0" w:space="0" w:color="auto"/>
        <w:bottom w:val="none" w:sz="0" w:space="0" w:color="auto"/>
        <w:right w:val="none" w:sz="0" w:space="0" w:color="auto"/>
      </w:divBdr>
    </w:div>
    <w:div w:id="483857540">
      <w:bodyDiv w:val="1"/>
      <w:marLeft w:val="0"/>
      <w:marRight w:val="0"/>
      <w:marTop w:val="0"/>
      <w:marBottom w:val="0"/>
      <w:divBdr>
        <w:top w:val="none" w:sz="0" w:space="0" w:color="auto"/>
        <w:left w:val="none" w:sz="0" w:space="0" w:color="auto"/>
        <w:bottom w:val="none" w:sz="0" w:space="0" w:color="auto"/>
        <w:right w:val="none" w:sz="0" w:space="0" w:color="auto"/>
      </w:divBdr>
    </w:div>
    <w:div w:id="486750107">
      <w:bodyDiv w:val="1"/>
      <w:marLeft w:val="0"/>
      <w:marRight w:val="0"/>
      <w:marTop w:val="0"/>
      <w:marBottom w:val="0"/>
      <w:divBdr>
        <w:top w:val="none" w:sz="0" w:space="0" w:color="auto"/>
        <w:left w:val="none" w:sz="0" w:space="0" w:color="auto"/>
        <w:bottom w:val="none" w:sz="0" w:space="0" w:color="auto"/>
        <w:right w:val="none" w:sz="0" w:space="0" w:color="auto"/>
      </w:divBdr>
    </w:div>
    <w:div w:id="490754216">
      <w:bodyDiv w:val="1"/>
      <w:marLeft w:val="0"/>
      <w:marRight w:val="0"/>
      <w:marTop w:val="0"/>
      <w:marBottom w:val="0"/>
      <w:divBdr>
        <w:top w:val="none" w:sz="0" w:space="0" w:color="auto"/>
        <w:left w:val="none" w:sz="0" w:space="0" w:color="auto"/>
        <w:bottom w:val="none" w:sz="0" w:space="0" w:color="auto"/>
        <w:right w:val="none" w:sz="0" w:space="0" w:color="auto"/>
      </w:divBdr>
    </w:div>
    <w:div w:id="502671583">
      <w:bodyDiv w:val="1"/>
      <w:marLeft w:val="0"/>
      <w:marRight w:val="0"/>
      <w:marTop w:val="0"/>
      <w:marBottom w:val="0"/>
      <w:divBdr>
        <w:top w:val="none" w:sz="0" w:space="0" w:color="auto"/>
        <w:left w:val="none" w:sz="0" w:space="0" w:color="auto"/>
        <w:bottom w:val="none" w:sz="0" w:space="0" w:color="auto"/>
        <w:right w:val="none" w:sz="0" w:space="0" w:color="auto"/>
      </w:divBdr>
    </w:div>
    <w:div w:id="508643422">
      <w:bodyDiv w:val="1"/>
      <w:marLeft w:val="0"/>
      <w:marRight w:val="0"/>
      <w:marTop w:val="0"/>
      <w:marBottom w:val="0"/>
      <w:divBdr>
        <w:top w:val="none" w:sz="0" w:space="0" w:color="auto"/>
        <w:left w:val="none" w:sz="0" w:space="0" w:color="auto"/>
        <w:bottom w:val="none" w:sz="0" w:space="0" w:color="auto"/>
        <w:right w:val="none" w:sz="0" w:space="0" w:color="auto"/>
      </w:divBdr>
    </w:div>
    <w:div w:id="540895925">
      <w:bodyDiv w:val="1"/>
      <w:marLeft w:val="0"/>
      <w:marRight w:val="0"/>
      <w:marTop w:val="0"/>
      <w:marBottom w:val="0"/>
      <w:divBdr>
        <w:top w:val="none" w:sz="0" w:space="0" w:color="auto"/>
        <w:left w:val="none" w:sz="0" w:space="0" w:color="auto"/>
        <w:bottom w:val="none" w:sz="0" w:space="0" w:color="auto"/>
        <w:right w:val="none" w:sz="0" w:space="0" w:color="auto"/>
      </w:divBdr>
    </w:div>
    <w:div w:id="541598693">
      <w:bodyDiv w:val="1"/>
      <w:marLeft w:val="0"/>
      <w:marRight w:val="0"/>
      <w:marTop w:val="0"/>
      <w:marBottom w:val="0"/>
      <w:divBdr>
        <w:top w:val="none" w:sz="0" w:space="0" w:color="auto"/>
        <w:left w:val="none" w:sz="0" w:space="0" w:color="auto"/>
        <w:bottom w:val="none" w:sz="0" w:space="0" w:color="auto"/>
        <w:right w:val="none" w:sz="0" w:space="0" w:color="auto"/>
      </w:divBdr>
    </w:div>
    <w:div w:id="551186581">
      <w:bodyDiv w:val="1"/>
      <w:marLeft w:val="0"/>
      <w:marRight w:val="0"/>
      <w:marTop w:val="0"/>
      <w:marBottom w:val="0"/>
      <w:divBdr>
        <w:top w:val="none" w:sz="0" w:space="0" w:color="auto"/>
        <w:left w:val="none" w:sz="0" w:space="0" w:color="auto"/>
        <w:bottom w:val="none" w:sz="0" w:space="0" w:color="auto"/>
        <w:right w:val="none" w:sz="0" w:space="0" w:color="auto"/>
      </w:divBdr>
    </w:div>
    <w:div w:id="576669393">
      <w:bodyDiv w:val="1"/>
      <w:marLeft w:val="0"/>
      <w:marRight w:val="0"/>
      <w:marTop w:val="0"/>
      <w:marBottom w:val="0"/>
      <w:divBdr>
        <w:top w:val="none" w:sz="0" w:space="0" w:color="auto"/>
        <w:left w:val="none" w:sz="0" w:space="0" w:color="auto"/>
        <w:bottom w:val="none" w:sz="0" w:space="0" w:color="auto"/>
        <w:right w:val="none" w:sz="0" w:space="0" w:color="auto"/>
      </w:divBdr>
    </w:div>
    <w:div w:id="617298467">
      <w:bodyDiv w:val="1"/>
      <w:marLeft w:val="0"/>
      <w:marRight w:val="0"/>
      <w:marTop w:val="0"/>
      <w:marBottom w:val="0"/>
      <w:divBdr>
        <w:top w:val="none" w:sz="0" w:space="0" w:color="auto"/>
        <w:left w:val="none" w:sz="0" w:space="0" w:color="auto"/>
        <w:bottom w:val="none" w:sz="0" w:space="0" w:color="auto"/>
        <w:right w:val="none" w:sz="0" w:space="0" w:color="auto"/>
      </w:divBdr>
    </w:div>
    <w:div w:id="624000526">
      <w:bodyDiv w:val="1"/>
      <w:marLeft w:val="0"/>
      <w:marRight w:val="0"/>
      <w:marTop w:val="0"/>
      <w:marBottom w:val="0"/>
      <w:divBdr>
        <w:top w:val="none" w:sz="0" w:space="0" w:color="auto"/>
        <w:left w:val="none" w:sz="0" w:space="0" w:color="auto"/>
        <w:bottom w:val="none" w:sz="0" w:space="0" w:color="auto"/>
        <w:right w:val="none" w:sz="0" w:space="0" w:color="auto"/>
      </w:divBdr>
    </w:div>
    <w:div w:id="656154441">
      <w:bodyDiv w:val="1"/>
      <w:marLeft w:val="0"/>
      <w:marRight w:val="0"/>
      <w:marTop w:val="0"/>
      <w:marBottom w:val="0"/>
      <w:divBdr>
        <w:top w:val="none" w:sz="0" w:space="0" w:color="auto"/>
        <w:left w:val="none" w:sz="0" w:space="0" w:color="auto"/>
        <w:bottom w:val="none" w:sz="0" w:space="0" w:color="auto"/>
        <w:right w:val="none" w:sz="0" w:space="0" w:color="auto"/>
      </w:divBdr>
    </w:div>
    <w:div w:id="683360864">
      <w:bodyDiv w:val="1"/>
      <w:marLeft w:val="0"/>
      <w:marRight w:val="0"/>
      <w:marTop w:val="0"/>
      <w:marBottom w:val="0"/>
      <w:divBdr>
        <w:top w:val="none" w:sz="0" w:space="0" w:color="auto"/>
        <w:left w:val="none" w:sz="0" w:space="0" w:color="auto"/>
        <w:bottom w:val="none" w:sz="0" w:space="0" w:color="auto"/>
        <w:right w:val="none" w:sz="0" w:space="0" w:color="auto"/>
      </w:divBdr>
      <w:divsChild>
        <w:div w:id="1960528021">
          <w:marLeft w:val="0"/>
          <w:marRight w:val="0"/>
          <w:marTop w:val="0"/>
          <w:marBottom w:val="0"/>
          <w:divBdr>
            <w:top w:val="none" w:sz="0" w:space="0" w:color="auto"/>
            <w:left w:val="none" w:sz="0" w:space="0" w:color="auto"/>
            <w:bottom w:val="none" w:sz="0" w:space="0" w:color="auto"/>
            <w:right w:val="none" w:sz="0" w:space="0" w:color="auto"/>
          </w:divBdr>
          <w:divsChild>
            <w:div w:id="159581451">
              <w:marLeft w:val="-14"/>
              <w:marRight w:val="0"/>
              <w:marTop w:val="0"/>
              <w:marBottom w:val="0"/>
              <w:divBdr>
                <w:top w:val="none" w:sz="0" w:space="0" w:color="auto"/>
                <w:left w:val="single" w:sz="6" w:space="0" w:color="FFFFFF"/>
                <w:bottom w:val="none" w:sz="0" w:space="0" w:color="auto"/>
                <w:right w:val="none" w:sz="0" w:space="0" w:color="auto"/>
              </w:divBdr>
              <w:divsChild>
                <w:div w:id="1012145978">
                  <w:marLeft w:val="0"/>
                  <w:marRight w:val="0"/>
                  <w:marTop w:val="0"/>
                  <w:marBottom w:val="0"/>
                  <w:divBdr>
                    <w:top w:val="none" w:sz="0" w:space="0" w:color="auto"/>
                    <w:left w:val="none" w:sz="0" w:space="0" w:color="auto"/>
                    <w:bottom w:val="none" w:sz="0" w:space="0" w:color="auto"/>
                    <w:right w:val="none" w:sz="0" w:space="0" w:color="auto"/>
                  </w:divBdr>
                  <w:divsChild>
                    <w:div w:id="20558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857991">
      <w:bodyDiv w:val="1"/>
      <w:marLeft w:val="0"/>
      <w:marRight w:val="0"/>
      <w:marTop w:val="0"/>
      <w:marBottom w:val="0"/>
      <w:divBdr>
        <w:top w:val="none" w:sz="0" w:space="0" w:color="auto"/>
        <w:left w:val="none" w:sz="0" w:space="0" w:color="auto"/>
        <w:bottom w:val="none" w:sz="0" w:space="0" w:color="auto"/>
        <w:right w:val="none" w:sz="0" w:space="0" w:color="auto"/>
      </w:divBdr>
    </w:div>
    <w:div w:id="704645199">
      <w:bodyDiv w:val="1"/>
      <w:marLeft w:val="0"/>
      <w:marRight w:val="0"/>
      <w:marTop w:val="0"/>
      <w:marBottom w:val="0"/>
      <w:divBdr>
        <w:top w:val="none" w:sz="0" w:space="0" w:color="auto"/>
        <w:left w:val="none" w:sz="0" w:space="0" w:color="auto"/>
        <w:bottom w:val="none" w:sz="0" w:space="0" w:color="auto"/>
        <w:right w:val="none" w:sz="0" w:space="0" w:color="auto"/>
      </w:divBdr>
    </w:div>
    <w:div w:id="709769043">
      <w:bodyDiv w:val="1"/>
      <w:marLeft w:val="0"/>
      <w:marRight w:val="0"/>
      <w:marTop w:val="0"/>
      <w:marBottom w:val="0"/>
      <w:divBdr>
        <w:top w:val="none" w:sz="0" w:space="0" w:color="auto"/>
        <w:left w:val="none" w:sz="0" w:space="0" w:color="auto"/>
        <w:bottom w:val="none" w:sz="0" w:space="0" w:color="auto"/>
        <w:right w:val="none" w:sz="0" w:space="0" w:color="auto"/>
      </w:divBdr>
    </w:div>
    <w:div w:id="770397467">
      <w:bodyDiv w:val="1"/>
      <w:marLeft w:val="0"/>
      <w:marRight w:val="0"/>
      <w:marTop w:val="0"/>
      <w:marBottom w:val="0"/>
      <w:divBdr>
        <w:top w:val="none" w:sz="0" w:space="0" w:color="auto"/>
        <w:left w:val="none" w:sz="0" w:space="0" w:color="auto"/>
        <w:bottom w:val="none" w:sz="0" w:space="0" w:color="auto"/>
        <w:right w:val="none" w:sz="0" w:space="0" w:color="auto"/>
      </w:divBdr>
    </w:div>
    <w:div w:id="789780783">
      <w:bodyDiv w:val="1"/>
      <w:marLeft w:val="0"/>
      <w:marRight w:val="0"/>
      <w:marTop w:val="0"/>
      <w:marBottom w:val="0"/>
      <w:divBdr>
        <w:top w:val="none" w:sz="0" w:space="0" w:color="auto"/>
        <w:left w:val="none" w:sz="0" w:space="0" w:color="auto"/>
        <w:bottom w:val="none" w:sz="0" w:space="0" w:color="auto"/>
        <w:right w:val="none" w:sz="0" w:space="0" w:color="auto"/>
      </w:divBdr>
    </w:div>
    <w:div w:id="806511828">
      <w:bodyDiv w:val="1"/>
      <w:marLeft w:val="0"/>
      <w:marRight w:val="0"/>
      <w:marTop w:val="0"/>
      <w:marBottom w:val="0"/>
      <w:divBdr>
        <w:top w:val="none" w:sz="0" w:space="0" w:color="auto"/>
        <w:left w:val="none" w:sz="0" w:space="0" w:color="auto"/>
        <w:bottom w:val="none" w:sz="0" w:space="0" w:color="auto"/>
        <w:right w:val="none" w:sz="0" w:space="0" w:color="auto"/>
      </w:divBdr>
    </w:div>
    <w:div w:id="844711194">
      <w:bodyDiv w:val="1"/>
      <w:marLeft w:val="0"/>
      <w:marRight w:val="0"/>
      <w:marTop w:val="0"/>
      <w:marBottom w:val="0"/>
      <w:divBdr>
        <w:top w:val="none" w:sz="0" w:space="0" w:color="auto"/>
        <w:left w:val="none" w:sz="0" w:space="0" w:color="auto"/>
        <w:bottom w:val="none" w:sz="0" w:space="0" w:color="auto"/>
        <w:right w:val="none" w:sz="0" w:space="0" w:color="auto"/>
      </w:divBdr>
      <w:divsChild>
        <w:div w:id="2009940591">
          <w:marLeft w:val="0"/>
          <w:marRight w:val="0"/>
          <w:marTop w:val="0"/>
          <w:marBottom w:val="0"/>
          <w:divBdr>
            <w:top w:val="none" w:sz="0" w:space="0" w:color="auto"/>
            <w:left w:val="none" w:sz="0" w:space="0" w:color="auto"/>
            <w:bottom w:val="none" w:sz="0" w:space="0" w:color="auto"/>
            <w:right w:val="none" w:sz="0" w:space="0" w:color="auto"/>
          </w:divBdr>
          <w:divsChild>
            <w:div w:id="1479686575">
              <w:marLeft w:val="0"/>
              <w:marRight w:val="0"/>
              <w:marTop w:val="0"/>
              <w:marBottom w:val="0"/>
              <w:divBdr>
                <w:top w:val="none" w:sz="0" w:space="0" w:color="auto"/>
                <w:left w:val="none" w:sz="0" w:space="0" w:color="auto"/>
                <w:bottom w:val="none" w:sz="0" w:space="0" w:color="auto"/>
                <w:right w:val="none" w:sz="0" w:space="0" w:color="auto"/>
              </w:divBdr>
              <w:divsChild>
                <w:div w:id="1531338070">
                  <w:marLeft w:val="0"/>
                  <w:marRight w:val="0"/>
                  <w:marTop w:val="0"/>
                  <w:marBottom w:val="0"/>
                  <w:divBdr>
                    <w:top w:val="none" w:sz="0" w:space="0" w:color="auto"/>
                    <w:left w:val="none" w:sz="0" w:space="0" w:color="auto"/>
                    <w:bottom w:val="none" w:sz="0" w:space="0" w:color="auto"/>
                    <w:right w:val="none" w:sz="0" w:space="0" w:color="auto"/>
                  </w:divBdr>
                  <w:divsChild>
                    <w:div w:id="498891063">
                      <w:marLeft w:val="0"/>
                      <w:marRight w:val="0"/>
                      <w:marTop w:val="0"/>
                      <w:marBottom w:val="0"/>
                      <w:divBdr>
                        <w:top w:val="none" w:sz="0" w:space="0" w:color="auto"/>
                        <w:left w:val="none" w:sz="0" w:space="0" w:color="auto"/>
                        <w:bottom w:val="none" w:sz="0" w:space="0" w:color="auto"/>
                        <w:right w:val="none" w:sz="0" w:space="0" w:color="auto"/>
                      </w:divBdr>
                      <w:divsChild>
                        <w:div w:id="646589504">
                          <w:marLeft w:val="0"/>
                          <w:marRight w:val="0"/>
                          <w:marTop w:val="0"/>
                          <w:marBottom w:val="0"/>
                          <w:divBdr>
                            <w:top w:val="none" w:sz="0" w:space="0" w:color="auto"/>
                            <w:left w:val="none" w:sz="0" w:space="0" w:color="auto"/>
                            <w:bottom w:val="none" w:sz="0" w:space="0" w:color="auto"/>
                            <w:right w:val="none" w:sz="0" w:space="0" w:color="auto"/>
                          </w:divBdr>
                          <w:divsChild>
                            <w:div w:id="739790594">
                              <w:marLeft w:val="0"/>
                              <w:marRight w:val="0"/>
                              <w:marTop w:val="0"/>
                              <w:marBottom w:val="0"/>
                              <w:divBdr>
                                <w:top w:val="none" w:sz="0" w:space="0" w:color="auto"/>
                                <w:left w:val="none" w:sz="0" w:space="0" w:color="auto"/>
                                <w:bottom w:val="none" w:sz="0" w:space="0" w:color="auto"/>
                                <w:right w:val="none" w:sz="0" w:space="0" w:color="auto"/>
                              </w:divBdr>
                              <w:divsChild>
                                <w:div w:id="1464470423">
                                  <w:marLeft w:val="0"/>
                                  <w:marRight w:val="0"/>
                                  <w:marTop w:val="0"/>
                                  <w:marBottom w:val="0"/>
                                  <w:divBdr>
                                    <w:top w:val="none" w:sz="0" w:space="0" w:color="auto"/>
                                    <w:left w:val="none" w:sz="0" w:space="0" w:color="auto"/>
                                    <w:bottom w:val="none" w:sz="0" w:space="0" w:color="auto"/>
                                    <w:right w:val="none" w:sz="0" w:space="0" w:color="auto"/>
                                  </w:divBdr>
                                  <w:divsChild>
                                    <w:div w:id="1139881019">
                                      <w:marLeft w:val="240"/>
                                      <w:marRight w:val="240"/>
                                      <w:marTop w:val="240"/>
                                      <w:marBottom w:val="0"/>
                                      <w:divBdr>
                                        <w:top w:val="none" w:sz="0" w:space="0" w:color="auto"/>
                                        <w:left w:val="none" w:sz="0" w:space="0" w:color="auto"/>
                                        <w:bottom w:val="none" w:sz="0" w:space="0" w:color="auto"/>
                                        <w:right w:val="none" w:sz="0" w:space="0" w:color="auto"/>
                                      </w:divBdr>
                                      <w:divsChild>
                                        <w:div w:id="1932198447">
                                          <w:marLeft w:val="0"/>
                                          <w:marRight w:val="0"/>
                                          <w:marTop w:val="0"/>
                                          <w:marBottom w:val="0"/>
                                          <w:divBdr>
                                            <w:top w:val="none" w:sz="0" w:space="0" w:color="auto"/>
                                            <w:left w:val="none" w:sz="0" w:space="0" w:color="auto"/>
                                            <w:bottom w:val="none" w:sz="0" w:space="0" w:color="auto"/>
                                            <w:right w:val="none" w:sz="0" w:space="0" w:color="auto"/>
                                          </w:divBdr>
                                          <w:divsChild>
                                            <w:div w:id="1254391092">
                                              <w:marLeft w:val="0"/>
                                              <w:marRight w:val="0"/>
                                              <w:marTop w:val="0"/>
                                              <w:marBottom w:val="0"/>
                                              <w:divBdr>
                                                <w:top w:val="none" w:sz="0" w:space="0" w:color="auto"/>
                                                <w:left w:val="none" w:sz="0" w:space="0" w:color="auto"/>
                                                <w:bottom w:val="none" w:sz="0" w:space="0" w:color="auto"/>
                                                <w:right w:val="none" w:sz="0" w:space="0" w:color="auto"/>
                                              </w:divBdr>
                                              <w:divsChild>
                                                <w:div w:id="15692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9320305">
      <w:bodyDiv w:val="1"/>
      <w:marLeft w:val="0"/>
      <w:marRight w:val="0"/>
      <w:marTop w:val="0"/>
      <w:marBottom w:val="0"/>
      <w:divBdr>
        <w:top w:val="none" w:sz="0" w:space="0" w:color="auto"/>
        <w:left w:val="none" w:sz="0" w:space="0" w:color="auto"/>
        <w:bottom w:val="none" w:sz="0" w:space="0" w:color="auto"/>
        <w:right w:val="none" w:sz="0" w:space="0" w:color="auto"/>
      </w:divBdr>
    </w:div>
    <w:div w:id="866983624">
      <w:bodyDiv w:val="1"/>
      <w:marLeft w:val="0"/>
      <w:marRight w:val="0"/>
      <w:marTop w:val="0"/>
      <w:marBottom w:val="0"/>
      <w:divBdr>
        <w:top w:val="none" w:sz="0" w:space="0" w:color="auto"/>
        <w:left w:val="none" w:sz="0" w:space="0" w:color="auto"/>
        <w:bottom w:val="none" w:sz="0" w:space="0" w:color="auto"/>
        <w:right w:val="none" w:sz="0" w:space="0" w:color="auto"/>
      </w:divBdr>
    </w:div>
    <w:div w:id="878782775">
      <w:bodyDiv w:val="1"/>
      <w:marLeft w:val="0"/>
      <w:marRight w:val="0"/>
      <w:marTop w:val="0"/>
      <w:marBottom w:val="0"/>
      <w:divBdr>
        <w:top w:val="none" w:sz="0" w:space="0" w:color="auto"/>
        <w:left w:val="none" w:sz="0" w:space="0" w:color="auto"/>
        <w:bottom w:val="none" w:sz="0" w:space="0" w:color="auto"/>
        <w:right w:val="none" w:sz="0" w:space="0" w:color="auto"/>
      </w:divBdr>
      <w:divsChild>
        <w:div w:id="223030710">
          <w:marLeft w:val="0"/>
          <w:marRight w:val="0"/>
          <w:marTop w:val="0"/>
          <w:marBottom w:val="0"/>
          <w:divBdr>
            <w:top w:val="none" w:sz="0" w:space="0" w:color="auto"/>
            <w:left w:val="none" w:sz="0" w:space="0" w:color="auto"/>
            <w:bottom w:val="none" w:sz="0" w:space="0" w:color="auto"/>
            <w:right w:val="none" w:sz="0" w:space="0" w:color="auto"/>
          </w:divBdr>
          <w:divsChild>
            <w:div w:id="1945574836">
              <w:marLeft w:val="0"/>
              <w:marRight w:val="0"/>
              <w:marTop w:val="0"/>
              <w:marBottom w:val="0"/>
              <w:divBdr>
                <w:top w:val="none" w:sz="0" w:space="0" w:color="auto"/>
                <w:left w:val="none" w:sz="0" w:space="0" w:color="auto"/>
                <w:bottom w:val="none" w:sz="0" w:space="0" w:color="auto"/>
                <w:right w:val="none" w:sz="0" w:space="0" w:color="auto"/>
              </w:divBdr>
              <w:divsChild>
                <w:div w:id="240792419">
                  <w:marLeft w:val="0"/>
                  <w:marRight w:val="0"/>
                  <w:marTop w:val="0"/>
                  <w:marBottom w:val="0"/>
                  <w:divBdr>
                    <w:top w:val="none" w:sz="0" w:space="0" w:color="auto"/>
                    <w:left w:val="none" w:sz="0" w:space="0" w:color="auto"/>
                    <w:bottom w:val="none" w:sz="0" w:space="0" w:color="auto"/>
                    <w:right w:val="none" w:sz="0" w:space="0" w:color="auto"/>
                  </w:divBdr>
                  <w:divsChild>
                    <w:div w:id="1717582045">
                      <w:marLeft w:val="0"/>
                      <w:marRight w:val="0"/>
                      <w:marTop w:val="0"/>
                      <w:marBottom w:val="0"/>
                      <w:divBdr>
                        <w:top w:val="none" w:sz="0" w:space="0" w:color="auto"/>
                        <w:left w:val="none" w:sz="0" w:space="0" w:color="auto"/>
                        <w:bottom w:val="none" w:sz="0" w:space="0" w:color="auto"/>
                        <w:right w:val="none" w:sz="0" w:space="0" w:color="auto"/>
                      </w:divBdr>
                      <w:divsChild>
                        <w:div w:id="318580845">
                          <w:marLeft w:val="0"/>
                          <w:marRight w:val="0"/>
                          <w:marTop w:val="0"/>
                          <w:marBottom w:val="0"/>
                          <w:divBdr>
                            <w:top w:val="none" w:sz="0" w:space="0" w:color="auto"/>
                            <w:left w:val="none" w:sz="0" w:space="0" w:color="auto"/>
                            <w:bottom w:val="none" w:sz="0" w:space="0" w:color="auto"/>
                            <w:right w:val="none" w:sz="0" w:space="0" w:color="auto"/>
                          </w:divBdr>
                          <w:divsChild>
                            <w:div w:id="765886233">
                              <w:marLeft w:val="0"/>
                              <w:marRight w:val="0"/>
                              <w:marTop w:val="0"/>
                              <w:marBottom w:val="0"/>
                              <w:divBdr>
                                <w:top w:val="none" w:sz="0" w:space="0" w:color="auto"/>
                                <w:left w:val="none" w:sz="0" w:space="0" w:color="auto"/>
                                <w:bottom w:val="none" w:sz="0" w:space="0" w:color="auto"/>
                                <w:right w:val="none" w:sz="0" w:space="0" w:color="auto"/>
                              </w:divBdr>
                              <w:divsChild>
                                <w:div w:id="683093013">
                                  <w:marLeft w:val="0"/>
                                  <w:marRight w:val="0"/>
                                  <w:marTop w:val="0"/>
                                  <w:marBottom w:val="0"/>
                                  <w:divBdr>
                                    <w:top w:val="none" w:sz="0" w:space="0" w:color="auto"/>
                                    <w:left w:val="none" w:sz="0" w:space="0" w:color="auto"/>
                                    <w:bottom w:val="none" w:sz="0" w:space="0" w:color="auto"/>
                                    <w:right w:val="none" w:sz="0" w:space="0" w:color="auto"/>
                                  </w:divBdr>
                                  <w:divsChild>
                                    <w:div w:id="326634111">
                                      <w:marLeft w:val="240"/>
                                      <w:marRight w:val="240"/>
                                      <w:marTop w:val="240"/>
                                      <w:marBottom w:val="0"/>
                                      <w:divBdr>
                                        <w:top w:val="none" w:sz="0" w:space="0" w:color="auto"/>
                                        <w:left w:val="none" w:sz="0" w:space="0" w:color="auto"/>
                                        <w:bottom w:val="none" w:sz="0" w:space="0" w:color="auto"/>
                                        <w:right w:val="none" w:sz="0" w:space="0" w:color="auto"/>
                                      </w:divBdr>
                                      <w:divsChild>
                                        <w:div w:id="1575436973">
                                          <w:marLeft w:val="0"/>
                                          <w:marRight w:val="0"/>
                                          <w:marTop w:val="0"/>
                                          <w:marBottom w:val="0"/>
                                          <w:divBdr>
                                            <w:top w:val="none" w:sz="0" w:space="0" w:color="auto"/>
                                            <w:left w:val="none" w:sz="0" w:space="0" w:color="auto"/>
                                            <w:bottom w:val="none" w:sz="0" w:space="0" w:color="auto"/>
                                            <w:right w:val="none" w:sz="0" w:space="0" w:color="auto"/>
                                          </w:divBdr>
                                          <w:divsChild>
                                            <w:div w:id="335420410">
                                              <w:marLeft w:val="0"/>
                                              <w:marRight w:val="0"/>
                                              <w:marTop w:val="0"/>
                                              <w:marBottom w:val="0"/>
                                              <w:divBdr>
                                                <w:top w:val="none" w:sz="0" w:space="0" w:color="auto"/>
                                                <w:left w:val="none" w:sz="0" w:space="0" w:color="auto"/>
                                                <w:bottom w:val="none" w:sz="0" w:space="0" w:color="auto"/>
                                                <w:right w:val="none" w:sz="0" w:space="0" w:color="auto"/>
                                              </w:divBdr>
                                              <w:divsChild>
                                                <w:div w:id="205923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1984436">
      <w:bodyDiv w:val="1"/>
      <w:marLeft w:val="0"/>
      <w:marRight w:val="0"/>
      <w:marTop w:val="0"/>
      <w:marBottom w:val="0"/>
      <w:divBdr>
        <w:top w:val="none" w:sz="0" w:space="0" w:color="auto"/>
        <w:left w:val="none" w:sz="0" w:space="0" w:color="auto"/>
        <w:bottom w:val="none" w:sz="0" w:space="0" w:color="auto"/>
        <w:right w:val="none" w:sz="0" w:space="0" w:color="auto"/>
      </w:divBdr>
    </w:div>
    <w:div w:id="907765166">
      <w:bodyDiv w:val="1"/>
      <w:marLeft w:val="0"/>
      <w:marRight w:val="0"/>
      <w:marTop w:val="0"/>
      <w:marBottom w:val="0"/>
      <w:divBdr>
        <w:top w:val="none" w:sz="0" w:space="0" w:color="auto"/>
        <w:left w:val="none" w:sz="0" w:space="0" w:color="auto"/>
        <w:bottom w:val="none" w:sz="0" w:space="0" w:color="auto"/>
        <w:right w:val="none" w:sz="0" w:space="0" w:color="auto"/>
      </w:divBdr>
    </w:div>
    <w:div w:id="967587969">
      <w:bodyDiv w:val="1"/>
      <w:marLeft w:val="0"/>
      <w:marRight w:val="0"/>
      <w:marTop w:val="0"/>
      <w:marBottom w:val="0"/>
      <w:divBdr>
        <w:top w:val="none" w:sz="0" w:space="0" w:color="auto"/>
        <w:left w:val="none" w:sz="0" w:space="0" w:color="auto"/>
        <w:bottom w:val="none" w:sz="0" w:space="0" w:color="auto"/>
        <w:right w:val="none" w:sz="0" w:space="0" w:color="auto"/>
      </w:divBdr>
    </w:div>
    <w:div w:id="972834358">
      <w:bodyDiv w:val="1"/>
      <w:marLeft w:val="0"/>
      <w:marRight w:val="0"/>
      <w:marTop w:val="0"/>
      <w:marBottom w:val="0"/>
      <w:divBdr>
        <w:top w:val="none" w:sz="0" w:space="0" w:color="auto"/>
        <w:left w:val="none" w:sz="0" w:space="0" w:color="auto"/>
        <w:bottom w:val="none" w:sz="0" w:space="0" w:color="auto"/>
        <w:right w:val="none" w:sz="0" w:space="0" w:color="auto"/>
      </w:divBdr>
    </w:div>
    <w:div w:id="975524435">
      <w:bodyDiv w:val="1"/>
      <w:marLeft w:val="0"/>
      <w:marRight w:val="0"/>
      <w:marTop w:val="0"/>
      <w:marBottom w:val="0"/>
      <w:divBdr>
        <w:top w:val="none" w:sz="0" w:space="0" w:color="auto"/>
        <w:left w:val="none" w:sz="0" w:space="0" w:color="auto"/>
        <w:bottom w:val="none" w:sz="0" w:space="0" w:color="auto"/>
        <w:right w:val="none" w:sz="0" w:space="0" w:color="auto"/>
      </w:divBdr>
    </w:div>
    <w:div w:id="977733076">
      <w:bodyDiv w:val="1"/>
      <w:marLeft w:val="0"/>
      <w:marRight w:val="0"/>
      <w:marTop w:val="0"/>
      <w:marBottom w:val="0"/>
      <w:divBdr>
        <w:top w:val="none" w:sz="0" w:space="0" w:color="auto"/>
        <w:left w:val="none" w:sz="0" w:space="0" w:color="auto"/>
        <w:bottom w:val="none" w:sz="0" w:space="0" w:color="auto"/>
        <w:right w:val="none" w:sz="0" w:space="0" w:color="auto"/>
      </w:divBdr>
    </w:div>
    <w:div w:id="985011961">
      <w:bodyDiv w:val="1"/>
      <w:marLeft w:val="0"/>
      <w:marRight w:val="0"/>
      <w:marTop w:val="0"/>
      <w:marBottom w:val="0"/>
      <w:divBdr>
        <w:top w:val="none" w:sz="0" w:space="0" w:color="auto"/>
        <w:left w:val="none" w:sz="0" w:space="0" w:color="auto"/>
        <w:bottom w:val="none" w:sz="0" w:space="0" w:color="auto"/>
        <w:right w:val="none" w:sz="0" w:space="0" w:color="auto"/>
      </w:divBdr>
    </w:div>
    <w:div w:id="995843528">
      <w:bodyDiv w:val="1"/>
      <w:marLeft w:val="0"/>
      <w:marRight w:val="0"/>
      <w:marTop w:val="0"/>
      <w:marBottom w:val="0"/>
      <w:divBdr>
        <w:top w:val="none" w:sz="0" w:space="0" w:color="auto"/>
        <w:left w:val="none" w:sz="0" w:space="0" w:color="auto"/>
        <w:bottom w:val="none" w:sz="0" w:space="0" w:color="auto"/>
        <w:right w:val="none" w:sz="0" w:space="0" w:color="auto"/>
      </w:divBdr>
    </w:div>
    <w:div w:id="1005400115">
      <w:bodyDiv w:val="1"/>
      <w:marLeft w:val="0"/>
      <w:marRight w:val="0"/>
      <w:marTop w:val="0"/>
      <w:marBottom w:val="0"/>
      <w:divBdr>
        <w:top w:val="none" w:sz="0" w:space="0" w:color="auto"/>
        <w:left w:val="none" w:sz="0" w:space="0" w:color="auto"/>
        <w:bottom w:val="none" w:sz="0" w:space="0" w:color="auto"/>
        <w:right w:val="none" w:sz="0" w:space="0" w:color="auto"/>
      </w:divBdr>
    </w:div>
    <w:div w:id="1015618704">
      <w:bodyDiv w:val="1"/>
      <w:marLeft w:val="0"/>
      <w:marRight w:val="0"/>
      <w:marTop w:val="0"/>
      <w:marBottom w:val="0"/>
      <w:divBdr>
        <w:top w:val="none" w:sz="0" w:space="0" w:color="auto"/>
        <w:left w:val="none" w:sz="0" w:space="0" w:color="auto"/>
        <w:bottom w:val="none" w:sz="0" w:space="0" w:color="auto"/>
        <w:right w:val="none" w:sz="0" w:space="0" w:color="auto"/>
      </w:divBdr>
    </w:div>
    <w:div w:id="1028291324">
      <w:bodyDiv w:val="1"/>
      <w:marLeft w:val="0"/>
      <w:marRight w:val="0"/>
      <w:marTop w:val="0"/>
      <w:marBottom w:val="0"/>
      <w:divBdr>
        <w:top w:val="none" w:sz="0" w:space="0" w:color="auto"/>
        <w:left w:val="none" w:sz="0" w:space="0" w:color="auto"/>
        <w:bottom w:val="none" w:sz="0" w:space="0" w:color="auto"/>
        <w:right w:val="none" w:sz="0" w:space="0" w:color="auto"/>
      </w:divBdr>
    </w:div>
    <w:div w:id="1056703083">
      <w:bodyDiv w:val="1"/>
      <w:marLeft w:val="0"/>
      <w:marRight w:val="0"/>
      <w:marTop w:val="0"/>
      <w:marBottom w:val="0"/>
      <w:divBdr>
        <w:top w:val="none" w:sz="0" w:space="0" w:color="auto"/>
        <w:left w:val="none" w:sz="0" w:space="0" w:color="auto"/>
        <w:bottom w:val="none" w:sz="0" w:space="0" w:color="auto"/>
        <w:right w:val="none" w:sz="0" w:space="0" w:color="auto"/>
      </w:divBdr>
    </w:div>
    <w:div w:id="1127577706">
      <w:bodyDiv w:val="1"/>
      <w:marLeft w:val="0"/>
      <w:marRight w:val="0"/>
      <w:marTop w:val="0"/>
      <w:marBottom w:val="0"/>
      <w:divBdr>
        <w:top w:val="none" w:sz="0" w:space="0" w:color="auto"/>
        <w:left w:val="none" w:sz="0" w:space="0" w:color="auto"/>
        <w:bottom w:val="none" w:sz="0" w:space="0" w:color="auto"/>
        <w:right w:val="none" w:sz="0" w:space="0" w:color="auto"/>
      </w:divBdr>
    </w:div>
    <w:div w:id="1133061019">
      <w:bodyDiv w:val="1"/>
      <w:marLeft w:val="0"/>
      <w:marRight w:val="0"/>
      <w:marTop w:val="0"/>
      <w:marBottom w:val="0"/>
      <w:divBdr>
        <w:top w:val="none" w:sz="0" w:space="0" w:color="auto"/>
        <w:left w:val="none" w:sz="0" w:space="0" w:color="auto"/>
        <w:bottom w:val="none" w:sz="0" w:space="0" w:color="auto"/>
        <w:right w:val="none" w:sz="0" w:space="0" w:color="auto"/>
      </w:divBdr>
    </w:div>
    <w:div w:id="1138914886">
      <w:bodyDiv w:val="1"/>
      <w:marLeft w:val="0"/>
      <w:marRight w:val="0"/>
      <w:marTop w:val="0"/>
      <w:marBottom w:val="0"/>
      <w:divBdr>
        <w:top w:val="none" w:sz="0" w:space="0" w:color="auto"/>
        <w:left w:val="none" w:sz="0" w:space="0" w:color="auto"/>
        <w:bottom w:val="none" w:sz="0" w:space="0" w:color="auto"/>
        <w:right w:val="none" w:sz="0" w:space="0" w:color="auto"/>
      </w:divBdr>
    </w:div>
    <w:div w:id="1152406219">
      <w:bodyDiv w:val="1"/>
      <w:marLeft w:val="0"/>
      <w:marRight w:val="0"/>
      <w:marTop w:val="0"/>
      <w:marBottom w:val="0"/>
      <w:divBdr>
        <w:top w:val="none" w:sz="0" w:space="0" w:color="auto"/>
        <w:left w:val="none" w:sz="0" w:space="0" w:color="auto"/>
        <w:bottom w:val="none" w:sz="0" w:space="0" w:color="auto"/>
        <w:right w:val="none" w:sz="0" w:space="0" w:color="auto"/>
      </w:divBdr>
      <w:divsChild>
        <w:div w:id="601769207">
          <w:marLeft w:val="0"/>
          <w:marRight w:val="0"/>
          <w:marTop w:val="0"/>
          <w:marBottom w:val="0"/>
          <w:divBdr>
            <w:top w:val="none" w:sz="0" w:space="0" w:color="auto"/>
            <w:left w:val="none" w:sz="0" w:space="0" w:color="auto"/>
            <w:bottom w:val="none" w:sz="0" w:space="0" w:color="auto"/>
            <w:right w:val="none" w:sz="0" w:space="0" w:color="auto"/>
          </w:divBdr>
          <w:divsChild>
            <w:div w:id="1273585188">
              <w:marLeft w:val="0"/>
              <w:marRight w:val="0"/>
              <w:marTop w:val="0"/>
              <w:marBottom w:val="0"/>
              <w:divBdr>
                <w:top w:val="none" w:sz="0" w:space="0" w:color="auto"/>
                <w:left w:val="none" w:sz="0" w:space="0" w:color="auto"/>
                <w:bottom w:val="none" w:sz="0" w:space="0" w:color="auto"/>
                <w:right w:val="none" w:sz="0" w:space="0" w:color="auto"/>
              </w:divBdr>
              <w:divsChild>
                <w:div w:id="485439487">
                  <w:marLeft w:val="0"/>
                  <w:marRight w:val="0"/>
                  <w:marTop w:val="0"/>
                  <w:marBottom w:val="0"/>
                  <w:divBdr>
                    <w:top w:val="none" w:sz="0" w:space="0" w:color="auto"/>
                    <w:left w:val="none" w:sz="0" w:space="0" w:color="auto"/>
                    <w:bottom w:val="none" w:sz="0" w:space="0" w:color="auto"/>
                    <w:right w:val="none" w:sz="0" w:space="0" w:color="auto"/>
                  </w:divBdr>
                  <w:divsChild>
                    <w:div w:id="652871174">
                      <w:marLeft w:val="0"/>
                      <w:marRight w:val="0"/>
                      <w:marTop w:val="0"/>
                      <w:marBottom w:val="0"/>
                      <w:divBdr>
                        <w:top w:val="none" w:sz="0" w:space="0" w:color="auto"/>
                        <w:left w:val="none" w:sz="0" w:space="0" w:color="auto"/>
                        <w:bottom w:val="none" w:sz="0" w:space="0" w:color="auto"/>
                        <w:right w:val="none" w:sz="0" w:space="0" w:color="auto"/>
                      </w:divBdr>
                      <w:divsChild>
                        <w:div w:id="1448424419">
                          <w:marLeft w:val="0"/>
                          <w:marRight w:val="0"/>
                          <w:marTop w:val="0"/>
                          <w:marBottom w:val="0"/>
                          <w:divBdr>
                            <w:top w:val="none" w:sz="0" w:space="0" w:color="auto"/>
                            <w:left w:val="none" w:sz="0" w:space="0" w:color="auto"/>
                            <w:bottom w:val="none" w:sz="0" w:space="0" w:color="auto"/>
                            <w:right w:val="none" w:sz="0" w:space="0" w:color="auto"/>
                          </w:divBdr>
                          <w:divsChild>
                            <w:div w:id="1462845947">
                              <w:marLeft w:val="0"/>
                              <w:marRight w:val="0"/>
                              <w:marTop w:val="0"/>
                              <w:marBottom w:val="0"/>
                              <w:divBdr>
                                <w:top w:val="none" w:sz="0" w:space="0" w:color="auto"/>
                                <w:left w:val="none" w:sz="0" w:space="0" w:color="auto"/>
                                <w:bottom w:val="none" w:sz="0" w:space="0" w:color="auto"/>
                                <w:right w:val="none" w:sz="0" w:space="0" w:color="auto"/>
                              </w:divBdr>
                              <w:divsChild>
                                <w:div w:id="1581911236">
                                  <w:marLeft w:val="0"/>
                                  <w:marRight w:val="0"/>
                                  <w:marTop w:val="0"/>
                                  <w:marBottom w:val="0"/>
                                  <w:divBdr>
                                    <w:top w:val="none" w:sz="0" w:space="0" w:color="auto"/>
                                    <w:left w:val="none" w:sz="0" w:space="0" w:color="auto"/>
                                    <w:bottom w:val="none" w:sz="0" w:space="0" w:color="auto"/>
                                    <w:right w:val="none" w:sz="0" w:space="0" w:color="auto"/>
                                  </w:divBdr>
                                  <w:divsChild>
                                    <w:div w:id="52775984">
                                      <w:marLeft w:val="240"/>
                                      <w:marRight w:val="240"/>
                                      <w:marTop w:val="240"/>
                                      <w:marBottom w:val="0"/>
                                      <w:divBdr>
                                        <w:top w:val="none" w:sz="0" w:space="0" w:color="auto"/>
                                        <w:left w:val="none" w:sz="0" w:space="0" w:color="auto"/>
                                        <w:bottom w:val="none" w:sz="0" w:space="0" w:color="auto"/>
                                        <w:right w:val="none" w:sz="0" w:space="0" w:color="auto"/>
                                      </w:divBdr>
                                      <w:divsChild>
                                        <w:div w:id="1484813053">
                                          <w:marLeft w:val="0"/>
                                          <w:marRight w:val="0"/>
                                          <w:marTop w:val="0"/>
                                          <w:marBottom w:val="0"/>
                                          <w:divBdr>
                                            <w:top w:val="none" w:sz="0" w:space="0" w:color="auto"/>
                                            <w:left w:val="none" w:sz="0" w:space="0" w:color="auto"/>
                                            <w:bottom w:val="none" w:sz="0" w:space="0" w:color="auto"/>
                                            <w:right w:val="none" w:sz="0" w:space="0" w:color="auto"/>
                                          </w:divBdr>
                                          <w:divsChild>
                                            <w:div w:id="1305500854">
                                              <w:marLeft w:val="0"/>
                                              <w:marRight w:val="0"/>
                                              <w:marTop w:val="0"/>
                                              <w:marBottom w:val="0"/>
                                              <w:divBdr>
                                                <w:top w:val="none" w:sz="0" w:space="0" w:color="auto"/>
                                                <w:left w:val="none" w:sz="0" w:space="0" w:color="auto"/>
                                                <w:bottom w:val="none" w:sz="0" w:space="0" w:color="auto"/>
                                                <w:right w:val="none" w:sz="0" w:space="0" w:color="auto"/>
                                              </w:divBdr>
                                              <w:divsChild>
                                                <w:div w:id="1387601450">
                                                  <w:marLeft w:val="0"/>
                                                  <w:marRight w:val="0"/>
                                                  <w:marTop w:val="0"/>
                                                  <w:marBottom w:val="0"/>
                                                  <w:divBdr>
                                                    <w:top w:val="none" w:sz="0" w:space="0" w:color="auto"/>
                                                    <w:left w:val="none" w:sz="0" w:space="0" w:color="auto"/>
                                                    <w:bottom w:val="none" w:sz="0" w:space="0" w:color="auto"/>
                                                    <w:right w:val="none" w:sz="0" w:space="0" w:color="auto"/>
                                                  </w:divBdr>
                                                  <w:divsChild>
                                                    <w:div w:id="1739278243">
                                                      <w:marLeft w:val="0"/>
                                                      <w:marRight w:val="0"/>
                                                      <w:marTop w:val="0"/>
                                                      <w:marBottom w:val="120"/>
                                                      <w:divBdr>
                                                        <w:top w:val="none" w:sz="0" w:space="0" w:color="auto"/>
                                                        <w:left w:val="none" w:sz="0" w:space="0" w:color="auto"/>
                                                        <w:bottom w:val="none" w:sz="0" w:space="0" w:color="auto"/>
                                                        <w:right w:val="none" w:sz="0" w:space="0" w:color="auto"/>
                                                      </w:divBdr>
                                                      <w:divsChild>
                                                        <w:div w:id="1558784849">
                                                          <w:marLeft w:val="0"/>
                                                          <w:marRight w:val="0"/>
                                                          <w:marTop w:val="0"/>
                                                          <w:marBottom w:val="0"/>
                                                          <w:divBdr>
                                                            <w:top w:val="none" w:sz="0" w:space="0" w:color="auto"/>
                                                            <w:left w:val="none" w:sz="0" w:space="0" w:color="auto"/>
                                                            <w:bottom w:val="none" w:sz="0" w:space="0" w:color="auto"/>
                                                            <w:right w:val="none" w:sz="0" w:space="0" w:color="auto"/>
                                                          </w:divBdr>
                                                          <w:divsChild>
                                                            <w:div w:id="207134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12116886">
      <w:bodyDiv w:val="1"/>
      <w:marLeft w:val="0"/>
      <w:marRight w:val="0"/>
      <w:marTop w:val="0"/>
      <w:marBottom w:val="0"/>
      <w:divBdr>
        <w:top w:val="none" w:sz="0" w:space="0" w:color="auto"/>
        <w:left w:val="none" w:sz="0" w:space="0" w:color="auto"/>
        <w:bottom w:val="none" w:sz="0" w:space="0" w:color="auto"/>
        <w:right w:val="none" w:sz="0" w:space="0" w:color="auto"/>
      </w:divBdr>
      <w:divsChild>
        <w:div w:id="887843876">
          <w:marLeft w:val="0"/>
          <w:marRight w:val="0"/>
          <w:marTop w:val="0"/>
          <w:marBottom w:val="0"/>
          <w:divBdr>
            <w:top w:val="none" w:sz="0" w:space="0" w:color="auto"/>
            <w:left w:val="none" w:sz="0" w:space="0" w:color="auto"/>
            <w:bottom w:val="none" w:sz="0" w:space="0" w:color="auto"/>
            <w:right w:val="none" w:sz="0" w:space="0" w:color="auto"/>
          </w:divBdr>
          <w:divsChild>
            <w:div w:id="616182545">
              <w:marLeft w:val="0"/>
              <w:marRight w:val="0"/>
              <w:marTop w:val="0"/>
              <w:marBottom w:val="0"/>
              <w:divBdr>
                <w:top w:val="none" w:sz="0" w:space="0" w:color="auto"/>
                <w:left w:val="none" w:sz="0" w:space="0" w:color="auto"/>
                <w:bottom w:val="none" w:sz="0" w:space="0" w:color="auto"/>
                <w:right w:val="none" w:sz="0" w:space="0" w:color="auto"/>
              </w:divBdr>
              <w:divsChild>
                <w:div w:id="1060245799">
                  <w:marLeft w:val="0"/>
                  <w:marRight w:val="0"/>
                  <w:marTop w:val="0"/>
                  <w:marBottom w:val="0"/>
                  <w:divBdr>
                    <w:top w:val="none" w:sz="0" w:space="0" w:color="auto"/>
                    <w:left w:val="none" w:sz="0" w:space="0" w:color="auto"/>
                    <w:bottom w:val="none" w:sz="0" w:space="0" w:color="auto"/>
                    <w:right w:val="none" w:sz="0" w:space="0" w:color="auto"/>
                  </w:divBdr>
                  <w:divsChild>
                    <w:div w:id="541677185">
                      <w:marLeft w:val="0"/>
                      <w:marRight w:val="0"/>
                      <w:marTop w:val="0"/>
                      <w:marBottom w:val="0"/>
                      <w:divBdr>
                        <w:top w:val="none" w:sz="0" w:space="0" w:color="auto"/>
                        <w:left w:val="none" w:sz="0" w:space="0" w:color="auto"/>
                        <w:bottom w:val="none" w:sz="0" w:space="0" w:color="auto"/>
                        <w:right w:val="none" w:sz="0" w:space="0" w:color="auto"/>
                      </w:divBdr>
                      <w:divsChild>
                        <w:div w:id="2037273627">
                          <w:marLeft w:val="0"/>
                          <w:marRight w:val="0"/>
                          <w:marTop w:val="0"/>
                          <w:marBottom w:val="0"/>
                          <w:divBdr>
                            <w:top w:val="none" w:sz="0" w:space="0" w:color="auto"/>
                            <w:left w:val="none" w:sz="0" w:space="0" w:color="auto"/>
                            <w:bottom w:val="none" w:sz="0" w:space="0" w:color="auto"/>
                            <w:right w:val="none" w:sz="0" w:space="0" w:color="auto"/>
                          </w:divBdr>
                          <w:divsChild>
                            <w:div w:id="992297938">
                              <w:marLeft w:val="0"/>
                              <w:marRight w:val="0"/>
                              <w:marTop w:val="0"/>
                              <w:marBottom w:val="0"/>
                              <w:divBdr>
                                <w:top w:val="none" w:sz="0" w:space="0" w:color="auto"/>
                                <w:left w:val="none" w:sz="0" w:space="0" w:color="auto"/>
                                <w:bottom w:val="none" w:sz="0" w:space="0" w:color="auto"/>
                                <w:right w:val="none" w:sz="0" w:space="0" w:color="auto"/>
                              </w:divBdr>
                              <w:divsChild>
                                <w:div w:id="1434863863">
                                  <w:marLeft w:val="0"/>
                                  <w:marRight w:val="0"/>
                                  <w:marTop w:val="0"/>
                                  <w:marBottom w:val="0"/>
                                  <w:divBdr>
                                    <w:top w:val="none" w:sz="0" w:space="0" w:color="auto"/>
                                    <w:left w:val="none" w:sz="0" w:space="0" w:color="auto"/>
                                    <w:bottom w:val="none" w:sz="0" w:space="0" w:color="auto"/>
                                    <w:right w:val="none" w:sz="0" w:space="0" w:color="auto"/>
                                  </w:divBdr>
                                  <w:divsChild>
                                    <w:div w:id="1300918736">
                                      <w:marLeft w:val="240"/>
                                      <w:marRight w:val="24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779220">
      <w:bodyDiv w:val="1"/>
      <w:marLeft w:val="0"/>
      <w:marRight w:val="0"/>
      <w:marTop w:val="0"/>
      <w:marBottom w:val="0"/>
      <w:divBdr>
        <w:top w:val="none" w:sz="0" w:space="0" w:color="auto"/>
        <w:left w:val="none" w:sz="0" w:space="0" w:color="auto"/>
        <w:bottom w:val="none" w:sz="0" w:space="0" w:color="auto"/>
        <w:right w:val="none" w:sz="0" w:space="0" w:color="auto"/>
      </w:divBdr>
    </w:div>
    <w:div w:id="1232042345">
      <w:bodyDiv w:val="1"/>
      <w:marLeft w:val="0"/>
      <w:marRight w:val="0"/>
      <w:marTop w:val="0"/>
      <w:marBottom w:val="0"/>
      <w:divBdr>
        <w:top w:val="none" w:sz="0" w:space="0" w:color="auto"/>
        <w:left w:val="none" w:sz="0" w:space="0" w:color="auto"/>
        <w:bottom w:val="none" w:sz="0" w:space="0" w:color="auto"/>
        <w:right w:val="none" w:sz="0" w:space="0" w:color="auto"/>
      </w:divBdr>
    </w:div>
    <w:div w:id="1246381951">
      <w:bodyDiv w:val="1"/>
      <w:marLeft w:val="0"/>
      <w:marRight w:val="0"/>
      <w:marTop w:val="0"/>
      <w:marBottom w:val="0"/>
      <w:divBdr>
        <w:top w:val="none" w:sz="0" w:space="0" w:color="auto"/>
        <w:left w:val="none" w:sz="0" w:space="0" w:color="auto"/>
        <w:bottom w:val="none" w:sz="0" w:space="0" w:color="auto"/>
        <w:right w:val="none" w:sz="0" w:space="0" w:color="auto"/>
      </w:divBdr>
    </w:div>
    <w:div w:id="1287273479">
      <w:bodyDiv w:val="1"/>
      <w:marLeft w:val="0"/>
      <w:marRight w:val="0"/>
      <w:marTop w:val="0"/>
      <w:marBottom w:val="0"/>
      <w:divBdr>
        <w:top w:val="none" w:sz="0" w:space="0" w:color="auto"/>
        <w:left w:val="none" w:sz="0" w:space="0" w:color="auto"/>
        <w:bottom w:val="none" w:sz="0" w:space="0" w:color="auto"/>
        <w:right w:val="none" w:sz="0" w:space="0" w:color="auto"/>
      </w:divBdr>
    </w:div>
    <w:div w:id="1313023875">
      <w:bodyDiv w:val="1"/>
      <w:marLeft w:val="0"/>
      <w:marRight w:val="0"/>
      <w:marTop w:val="0"/>
      <w:marBottom w:val="0"/>
      <w:divBdr>
        <w:top w:val="none" w:sz="0" w:space="0" w:color="auto"/>
        <w:left w:val="none" w:sz="0" w:space="0" w:color="auto"/>
        <w:bottom w:val="none" w:sz="0" w:space="0" w:color="auto"/>
        <w:right w:val="none" w:sz="0" w:space="0" w:color="auto"/>
      </w:divBdr>
      <w:divsChild>
        <w:div w:id="381175164">
          <w:marLeft w:val="0"/>
          <w:marRight w:val="0"/>
          <w:marTop w:val="0"/>
          <w:marBottom w:val="0"/>
          <w:divBdr>
            <w:top w:val="none" w:sz="0" w:space="0" w:color="auto"/>
            <w:left w:val="none" w:sz="0" w:space="0" w:color="auto"/>
            <w:bottom w:val="none" w:sz="0" w:space="0" w:color="auto"/>
            <w:right w:val="none" w:sz="0" w:space="0" w:color="auto"/>
          </w:divBdr>
          <w:divsChild>
            <w:div w:id="178278129">
              <w:marLeft w:val="0"/>
              <w:marRight w:val="0"/>
              <w:marTop w:val="0"/>
              <w:marBottom w:val="0"/>
              <w:divBdr>
                <w:top w:val="none" w:sz="0" w:space="0" w:color="auto"/>
                <w:left w:val="none" w:sz="0" w:space="0" w:color="auto"/>
                <w:bottom w:val="none" w:sz="0" w:space="0" w:color="auto"/>
                <w:right w:val="none" w:sz="0" w:space="0" w:color="auto"/>
              </w:divBdr>
              <w:divsChild>
                <w:div w:id="442185936">
                  <w:marLeft w:val="0"/>
                  <w:marRight w:val="0"/>
                  <w:marTop w:val="0"/>
                  <w:marBottom w:val="0"/>
                  <w:divBdr>
                    <w:top w:val="none" w:sz="0" w:space="0" w:color="auto"/>
                    <w:left w:val="none" w:sz="0" w:space="0" w:color="auto"/>
                    <w:bottom w:val="none" w:sz="0" w:space="0" w:color="auto"/>
                    <w:right w:val="none" w:sz="0" w:space="0" w:color="auto"/>
                  </w:divBdr>
                  <w:divsChild>
                    <w:div w:id="163133755">
                      <w:marLeft w:val="0"/>
                      <w:marRight w:val="0"/>
                      <w:marTop w:val="0"/>
                      <w:marBottom w:val="0"/>
                      <w:divBdr>
                        <w:top w:val="none" w:sz="0" w:space="0" w:color="auto"/>
                        <w:left w:val="none" w:sz="0" w:space="0" w:color="auto"/>
                        <w:bottom w:val="none" w:sz="0" w:space="0" w:color="auto"/>
                        <w:right w:val="none" w:sz="0" w:space="0" w:color="auto"/>
                      </w:divBdr>
                      <w:divsChild>
                        <w:div w:id="508297620">
                          <w:marLeft w:val="0"/>
                          <w:marRight w:val="0"/>
                          <w:marTop w:val="0"/>
                          <w:marBottom w:val="0"/>
                          <w:divBdr>
                            <w:top w:val="none" w:sz="0" w:space="0" w:color="auto"/>
                            <w:left w:val="none" w:sz="0" w:space="0" w:color="auto"/>
                            <w:bottom w:val="none" w:sz="0" w:space="0" w:color="auto"/>
                            <w:right w:val="none" w:sz="0" w:space="0" w:color="auto"/>
                          </w:divBdr>
                          <w:divsChild>
                            <w:div w:id="657003529">
                              <w:marLeft w:val="0"/>
                              <w:marRight w:val="0"/>
                              <w:marTop w:val="0"/>
                              <w:marBottom w:val="0"/>
                              <w:divBdr>
                                <w:top w:val="none" w:sz="0" w:space="0" w:color="auto"/>
                                <w:left w:val="none" w:sz="0" w:space="0" w:color="auto"/>
                                <w:bottom w:val="none" w:sz="0" w:space="0" w:color="auto"/>
                                <w:right w:val="none" w:sz="0" w:space="0" w:color="auto"/>
                              </w:divBdr>
                              <w:divsChild>
                                <w:div w:id="863175267">
                                  <w:marLeft w:val="0"/>
                                  <w:marRight w:val="0"/>
                                  <w:marTop w:val="0"/>
                                  <w:marBottom w:val="0"/>
                                  <w:divBdr>
                                    <w:top w:val="none" w:sz="0" w:space="0" w:color="auto"/>
                                    <w:left w:val="none" w:sz="0" w:space="0" w:color="auto"/>
                                    <w:bottom w:val="none" w:sz="0" w:space="0" w:color="auto"/>
                                    <w:right w:val="none" w:sz="0" w:space="0" w:color="auto"/>
                                  </w:divBdr>
                                  <w:divsChild>
                                    <w:div w:id="634717713">
                                      <w:marLeft w:val="240"/>
                                      <w:marRight w:val="240"/>
                                      <w:marTop w:val="240"/>
                                      <w:marBottom w:val="0"/>
                                      <w:divBdr>
                                        <w:top w:val="none" w:sz="0" w:space="0" w:color="auto"/>
                                        <w:left w:val="none" w:sz="0" w:space="0" w:color="auto"/>
                                        <w:bottom w:val="none" w:sz="0" w:space="0" w:color="auto"/>
                                        <w:right w:val="none" w:sz="0" w:space="0" w:color="auto"/>
                                      </w:divBdr>
                                      <w:divsChild>
                                        <w:div w:id="1890796873">
                                          <w:marLeft w:val="0"/>
                                          <w:marRight w:val="0"/>
                                          <w:marTop w:val="0"/>
                                          <w:marBottom w:val="0"/>
                                          <w:divBdr>
                                            <w:top w:val="none" w:sz="0" w:space="0" w:color="auto"/>
                                            <w:left w:val="none" w:sz="0" w:space="0" w:color="auto"/>
                                            <w:bottom w:val="none" w:sz="0" w:space="0" w:color="auto"/>
                                            <w:right w:val="none" w:sz="0" w:space="0" w:color="auto"/>
                                          </w:divBdr>
                                          <w:divsChild>
                                            <w:div w:id="2035186780">
                                              <w:marLeft w:val="0"/>
                                              <w:marRight w:val="0"/>
                                              <w:marTop w:val="0"/>
                                              <w:marBottom w:val="0"/>
                                              <w:divBdr>
                                                <w:top w:val="none" w:sz="0" w:space="0" w:color="auto"/>
                                                <w:left w:val="none" w:sz="0" w:space="0" w:color="auto"/>
                                                <w:bottom w:val="none" w:sz="0" w:space="0" w:color="auto"/>
                                                <w:right w:val="none" w:sz="0" w:space="0" w:color="auto"/>
                                              </w:divBdr>
                                              <w:divsChild>
                                                <w:div w:id="15688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436445">
      <w:bodyDiv w:val="1"/>
      <w:marLeft w:val="0"/>
      <w:marRight w:val="0"/>
      <w:marTop w:val="0"/>
      <w:marBottom w:val="0"/>
      <w:divBdr>
        <w:top w:val="none" w:sz="0" w:space="0" w:color="auto"/>
        <w:left w:val="none" w:sz="0" w:space="0" w:color="auto"/>
        <w:bottom w:val="none" w:sz="0" w:space="0" w:color="auto"/>
        <w:right w:val="none" w:sz="0" w:space="0" w:color="auto"/>
      </w:divBdr>
    </w:div>
    <w:div w:id="1346326193">
      <w:bodyDiv w:val="1"/>
      <w:marLeft w:val="0"/>
      <w:marRight w:val="0"/>
      <w:marTop w:val="0"/>
      <w:marBottom w:val="0"/>
      <w:divBdr>
        <w:top w:val="none" w:sz="0" w:space="0" w:color="auto"/>
        <w:left w:val="none" w:sz="0" w:space="0" w:color="auto"/>
        <w:bottom w:val="none" w:sz="0" w:space="0" w:color="auto"/>
        <w:right w:val="none" w:sz="0" w:space="0" w:color="auto"/>
      </w:divBdr>
    </w:div>
    <w:div w:id="1351949257">
      <w:bodyDiv w:val="1"/>
      <w:marLeft w:val="0"/>
      <w:marRight w:val="0"/>
      <w:marTop w:val="0"/>
      <w:marBottom w:val="0"/>
      <w:divBdr>
        <w:top w:val="none" w:sz="0" w:space="0" w:color="auto"/>
        <w:left w:val="none" w:sz="0" w:space="0" w:color="auto"/>
        <w:bottom w:val="none" w:sz="0" w:space="0" w:color="auto"/>
        <w:right w:val="none" w:sz="0" w:space="0" w:color="auto"/>
      </w:divBdr>
    </w:div>
    <w:div w:id="1357579198">
      <w:bodyDiv w:val="1"/>
      <w:marLeft w:val="0"/>
      <w:marRight w:val="0"/>
      <w:marTop w:val="0"/>
      <w:marBottom w:val="0"/>
      <w:divBdr>
        <w:top w:val="none" w:sz="0" w:space="0" w:color="auto"/>
        <w:left w:val="none" w:sz="0" w:space="0" w:color="auto"/>
        <w:bottom w:val="none" w:sz="0" w:space="0" w:color="auto"/>
        <w:right w:val="none" w:sz="0" w:space="0" w:color="auto"/>
      </w:divBdr>
    </w:div>
    <w:div w:id="1377044047">
      <w:bodyDiv w:val="1"/>
      <w:marLeft w:val="0"/>
      <w:marRight w:val="0"/>
      <w:marTop w:val="0"/>
      <w:marBottom w:val="0"/>
      <w:divBdr>
        <w:top w:val="none" w:sz="0" w:space="0" w:color="auto"/>
        <w:left w:val="none" w:sz="0" w:space="0" w:color="auto"/>
        <w:bottom w:val="none" w:sz="0" w:space="0" w:color="auto"/>
        <w:right w:val="none" w:sz="0" w:space="0" w:color="auto"/>
      </w:divBdr>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86834967">
      <w:bodyDiv w:val="1"/>
      <w:marLeft w:val="0"/>
      <w:marRight w:val="0"/>
      <w:marTop w:val="0"/>
      <w:marBottom w:val="0"/>
      <w:divBdr>
        <w:top w:val="none" w:sz="0" w:space="0" w:color="auto"/>
        <w:left w:val="none" w:sz="0" w:space="0" w:color="auto"/>
        <w:bottom w:val="none" w:sz="0" w:space="0" w:color="auto"/>
        <w:right w:val="none" w:sz="0" w:space="0" w:color="auto"/>
      </w:divBdr>
    </w:div>
    <w:div w:id="1415857982">
      <w:bodyDiv w:val="1"/>
      <w:marLeft w:val="0"/>
      <w:marRight w:val="0"/>
      <w:marTop w:val="0"/>
      <w:marBottom w:val="0"/>
      <w:divBdr>
        <w:top w:val="none" w:sz="0" w:space="0" w:color="auto"/>
        <w:left w:val="none" w:sz="0" w:space="0" w:color="auto"/>
        <w:bottom w:val="none" w:sz="0" w:space="0" w:color="auto"/>
        <w:right w:val="none" w:sz="0" w:space="0" w:color="auto"/>
      </w:divBdr>
    </w:div>
    <w:div w:id="1432435648">
      <w:bodyDiv w:val="1"/>
      <w:marLeft w:val="0"/>
      <w:marRight w:val="0"/>
      <w:marTop w:val="0"/>
      <w:marBottom w:val="0"/>
      <w:divBdr>
        <w:top w:val="none" w:sz="0" w:space="0" w:color="auto"/>
        <w:left w:val="none" w:sz="0" w:space="0" w:color="auto"/>
        <w:bottom w:val="none" w:sz="0" w:space="0" w:color="auto"/>
        <w:right w:val="none" w:sz="0" w:space="0" w:color="auto"/>
      </w:divBdr>
    </w:div>
    <w:div w:id="1441877701">
      <w:bodyDiv w:val="1"/>
      <w:marLeft w:val="0"/>
      <w:marRight w:val="0"/>
      <w:marTop w:val="0"/>
      <w:marBottom w:val="0"/>
      <w:divBdr>
        <w:top w:val="none" w:sz="0" w:space="0" w:color="auto"/>
        <w:left w:val="none" w:sz="0" w:space="0" w:color="auto"/>
        <w:bottom w:val="none" w:sz="0" w:space="0" w:color="auto"/>
        <w:right w:val="none" w:sz="0" w:space="0" w:color="auto"/>
      </w:divBdr>
    </w:div>
    <w:div w:id="1461418339">
      <w:bodyDiv w:val="1"/>
      <w:marLeft w:val="0"/>
      <w:marRight w:val="0"/>
      <w:marTop w:val="0"/>
      <w:marBottom w:val="0"/>
      <w:divBdr>
        <w:top w:val="none" w:sz="0" w:space="0" w:color="auto"/>
        <w:left w:val="none" w:sz="0" w:space="0" w:color="auto"/>
        <w:bottom w:val="none" w:sz="0" w:space="0" w:color="auto"/>
        <w:right w:val="none" w:sz="0" w:space="0" w:color="auto"/>
      </w:divBdr>
    </w:div>
    <w:div w:id="1487626719">
      <w:bodyDiv w:val="1"/>
      <w:marLeft w:val="0"/>
      <w:marRight w:val="0"/>
      <w:marTop w:val="0"/>
      <w:marBottom w:val="0"/>
      <w:divBdr>
        <w:top w:val="none" w:sz="0" w:space="0" w:color="auto"/>
        <w:left w:val="none" w:sz="0" w:space="0" w:color="auto"/>
        <w:bottom w:val="none" w:sz="0" w:space="0" w:color="auto"/>
        <w:right w:val="none" w:sz="0" w:space="0" w:color="auto"/>
      </w:divBdr>
    </w:div>
    <w:div w:id="1508668106">
      <w:bodyDiv w:val="1"/>
      <w:marLeft w:val="0"/>
      <w:marRight w:val="0"/>
      <w:marTop w:val="0"/>
      <w:marBottom w:val="0"/>
      <w:divBdr>
        <w:top w:val="none" w:sz="0" w:space="0" w:color="auto"/>
        <w:left w:val="none" w:sz="0" w:space="0" w:color="auto"/>
        <w:bottom w:val="none" w:sz="0" w:space="0" w:color="auto"/>
        <w:right w:val="none" w:sz="0" w:space="0" w:color="auto"/>
      </w:divBdr>
    </w:div>
    <w:div w:id="1532189071">
      <w:bodyDiv w:val="1"/>
      <w:marLeft w:val="0"/>
      <w:marRight w:val="0"/>
      <w:marTop w:val="0"/>
      <w:marBottom w:val="0"/>
      <w:divBdr>
        <w:top w:val="none" w:sz="0" w:space="0" w:color="auto"/>
        <w:left w:val="none" w:sz="0" w:space="0" w:color="auto"/>
        <w:bottom w:val="none" w:sz="0" w:space="0" w:color="auto"/>
        <w:right w:val="none" w:sz="0" w:space="0" w:color="auto"/>
      </w:divBdr>
    </w:div>
    <w:div w:id="1545143400">
      <w:bodyDiv w:val="1"/>
      <w:marLeft w:val="0"/>
      <w:marRight w:val="0"/>
      <w:marTop w:val="0"/>
      <w:marBottom w:val="0"/>
      <w:divBdr>
        <w:top w:val="none" w:sz="0" w:space="0" w:color="auto"/>
        <w:left w:val="none" w:sz="0" w:space="0" w:color="auto"/>
        <w:bottom w:val="none" w:sz="0" w:space="0" w:color="auto"/>
        <w:right w:val="none" w:sz="0" w:space="0" w:color="auto"/>
      </w:divBdr>
    </w:div>
    <w:div w:id="1546982685">
      <w:bodyDiv w:val="1"/>
      <w:marLeft w:val="0"/>
      <w:marRight w:val="0"/>
      <w:marTop w:val="0"/>
      <w:marBottom w:val="0"/>
      <w:divBdr>
        <w:top w:val="none" w:sz="0" w:space="0" w:color="auto"/>
        <w:left w:val="none" w:sz="0" w:space="0" w:color="auto"/>
        <w:bottom w:val="none" w:sz="0" w:space="0" w:color="auto"/>
        <w:right w:val="none" w:sz="0" w:space="0" w:color="auto"/>
      </w:divBdr>
    </w:div>
    <w:div w:id="1607738388">
      <w:bodyDiv w:val="1"/>
      <w:marLeft w:val="0"/>
      <w:marRight w:val="0"/>
      <w:marTop w:val="0"/>
      <w:marBottom w:val="0"/>
      <w:divBdr>
        <w:top w:val="none" w:sz="0" w:space="0" w:color="auto"/>
        <w:left w:val="none" w:sz="0" w:space="0" w:color="auto"/>
        <w:bottom w:val="none" w:sz="0" w:space="0" w:color="auto"/>
        <w:right w:val="none" w:sz="0" w:space="0" w:color="auto"/>
      </w:divBdr>
    </w:div>
    <w:div w:id="1631665842">
      <w:bodyDiv w:val="1"/>
      <w:marLeft w:val="0"/>
      <w:marRight w:val="0"/>
      <w:marTop w:val="0"/>
      <w:marBottom w:val="0"/>
      <w:divBdr>
        <w:top w:val="none" w:sz="0" w:space="0" w:color="auto"/>
        <w:left w:val="none" w:sz="0" w:space="0" w:color="auto"/>
        <w:bottom w:val="none" w:sz="0" w:space="0" w:color="auto"/>
        <w:right w:val="none" w:sz="0" w:space="0" w:color="auto"/>
      </w:divBdr>
      <w:divsChild>
        <w:div w:id="1396507851">
          <w:marLeft w:val="0"/>
          <w:marRight w:val="0"/>
          <w:marTop w:val="0"/>
          <w:marBottom w:val="0"/>
          <w:divBdr>
            <w:top w:val="none" w:sz="0" w:space="0" w:color="auto"/>
            <w:left w:val="none" w:sz="0" w:space="0" w:color="auto"/>
            <w:bottom w:val="none" w:sz="0" w:space="0" w:color="auto"/>
            <w:right w:val="none" w:sz="0" w:space="0" w:color="auto"/>
          </w:divBdr>
          <w:divsChild>
            <w:div w:id="19282833">
              <w:marLeft w:val="0"/>
              <w:marRight w:val="0"/>
              <w:marTop w:val="0"/>
              <w:marBottom w:val="0"/>
              <w:divBdr>
                <w:top w:val="none" w:sz="0" w:space="0" w:color="auto"/>
                <w:left w:val="none" w:sz="0" w:space="0" w:color="auto"/>
                <w:bottom w:val="none" w:sz="0" w:space="0" w:color="auto"/>
                <w:right w:val="none" w:sz="0" w:space="0" w:color="auto"/>
              </w:divBdr>
              <w:divsChild>
                <w:div w:id="802769418">
                  <w:marLeft w:val="0"/>
                  <w:marRight w:val="0"/>
                  <w:marTop w:val="0"/>
                  <w:marBottom w:val="0"/>
                  <w:divBdr>
                    <w:top w:val="none" w:sz="0" w:space="0" w:color="auto"/>
                    <w:left w:val="none" w:sz="0" w:space="0" w:color="auto"/>
                    <w:bottom w:val="none" w:sz="0" w:space="0" w:color="auto"/>
                    <w:right w:val="none" w:sz="0" w:space="0" w:color="auto"/>
                  </w:divBdr>
                  <w:divsChild>
                    <w:div w:id="1412699642">
                      <w:marLeft w:val="0"/>
                      <w:marRight w:val="0"/>
                      <w:marTop w:val="0"/>
                      <w:marBottom w:val="0"/>
                      <w:divBdr>
                        <w:top w:val="none" w:sz="0" w:space="0" w:color="auto"/>
                        <w:left w:val="none" w:sz="0" w:space="0" w:color="auto"/>
                        <w:bottom w:val="none" w:sz="0" w:space="0" w:color="auto"/>
                        <w:right w:val="none" w:sz="0" w:space="0" w:color="auto"/>
                      </w:divBdr>
                      <w:divsChild>
                        <w:div w:id="1594977340">
                          <w:marLeft w:val="0"/>
                          <w:marRight w:val="0"/>
                          <w:marTop w:val="0"/>
                          <w:marBottom w:val="0"/>
                          <w:divBdr>
                            <w:top w:val="none" w:sz="0" w:space="0" w:color="auto"/>
                            <w:left w:val="none" w:sz="0" w:space="0" w:color="auto"/>
                            <w:bottom w:val="none" w:sz="0" w:space="0" w:color="auto"/>
                            <w:right w:val="none" w:sz="0" w:space="0" w:color="auto"/>
                          </w:divBdr>
                          <w:divsChild>
                            <w:div w:id="380177505">
                              <w:marLeft w:val="0"/>
                              <w:marRight w:val="0"/>
                              <w:marTop w:val="0"/>
                              <w:marBottom w:val="0"/>
                              <w:divBdr>
                                <w:top w:val="none" w:sz="0" w:space="0" w:color="auto"/>
                                <w:left w:val="none" w:sz="0" w:space="0" w:color="auto"/>
                                <w:bottom w:val="none" w:sz="0" w:space="0" w:color="auto"/>
                                <w:right w:val="none" w:sz="0" w:space="0" w:color="auto"/>
                              </w:divBdr>
                              <w:divsChild>
                                <w:div w:id="363288489">
                                  <w:marLeft w:val="0"/>
                                  <w:marRight w:val="0"/>
                                  <w:marTop w:val="0"/>
                                  <w:marBottom w:val="0"/>
                                  <w:divBdr>
                                    <w:top w:val="none" w:sz="0" w:space="0" w:color="auto"/>
                                    <w:left w:val="none" w:sz="0" w:space="0" w:color="auto"/>
                                    <w:bottom w:val="none" w:sz="0" w:space="0" w:color="auto"/>
                                    <w:right w:val="none" w:sz="0" w:space="0" w:color="auto"/>
                                  </w:divBdr>
                                  <w:divsChild>
                                    <w:div w:id="935552067">
                                      <w:marLeft w:val="240"/>
                                      <w:marRight w:val="240"/>
                                      <w:marTop w:val="240"/>
                                      <w:marBottom w:val="0"/>
                                      <w:divBdr>
                                        <w:top w:val="none" w:sz="0" w:space="0" w:color="auto"/>
                                        <w:left w:val="none" w:sz="0" w:space="0" w:color="auto"/>
                                        <w:bottom w:val="none" w:sz="0" w:space="0" w:color="auto"/>
                                        <w:right w:val="none" w:sz="0" w:space="0" w:color="auto"/>
                                      </w:divBdr>
                                      <w:divsChild>
                                        <w:div w:id="1716076326">
                                          <w:marLeft w:val="0"/>
                                          <w:marRight w:val="0"/>
                                          <w:marTop w:val="0"/>
                                          <w:marBottom w:val="0"/>
                                          <w:divBdr>
                                            <w:top w:val="none" w:sz="0" w:space="0" w:color="auto"/>
                                            <w:left w:val="none" w:sz="0" w:space="0" w:color="auto"/>
                                            <w:bottom w:val="none" w:sz="0" w:space="0" w:color="auto"/>
                                            <w:right w:val="none" w:sz="0" w:space="0" w:color="auto"/>
                                          </w:divBdr>
                                          <w:divsChild>
                                            <w:div w:id="1121454423">
                                              <w:marLeft w:val="0"/>
                                              <w:marRight w:val="0"/>
                                              <w:marTop w:val="0"/>
                                              <w:marBottom w:val="0"/>
                                              <w:divBdr>
                                                <w:top w:val="none" w:sz="0" w:space="0" w:color="auto"/>
                                                <w:left w:val="none" w:sz="0" w:space="0" w:color="auto"/>
                                                <w:bottom w:val="none" w:sz="0" w:space="0" w:color="auto"/>
                                                <w:right w:val="none" w:sz="0" w:space="0" w:color="auto"/>
                                              </w:divBdr>
                                              <w:divsChild>
                                                <w:div w:id="17918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196217">
      <w:bodyDiv w:val="1"/>
      <w:marLeft w:val="0"/>
      <w:marRight w:val="0"/>
      <w:marTop w:val="0"/>
      <w:marBottom w:val="0"/>
      <w:divBdr>
        <w:top w:val="none" w:sz="0" w:space="0" w:color="auto"/>
        <w:left w:val="none" w:sz="0" w:space="0" w:color="auto"/>
        <w:bottom w:val="none" w:sz="0" w:space="0" w:color="auto"/>
        <w:right w:val="none" w:sz="0" w:space="0" w:color="auto"/>
      </w:divBdr>
    </w:div>
    <w:div w:id="1644309933">
      <w:bodyDiv w:val="1"/>
      <w:marLeft w:val="0"/>
      <w:marRight w:val="0"/>
      <w:marTop w:val="0"/>
      <w:marBottom w:val="0"/>
      <w:divBdr>
        <w:top w:val="none" w:sz="0" w:space="0" w:color="auto"/>
        <w:left w:val="none" w:sz="0" w:space="0" w:color="auto"/>
        <w:bottom w:val="none" w:sz="0" w:space="0" w:color="auto"/>
        <w:right w:val="none" w:sz="0" w:space="0" w:color="auto"/>
      </w:divBdr>
    </w:div>
    <w:div w:id="1655066267">
      <w:bodyDiv w:val="1"/>
      <w:marLeft w:val="0"/>
      <w:marRight w:val="0"/>
      <w:marTop w:val="0"/>
      <w:marBottom w:val="0"/>
      <w:divBdr>
        <w:top w:val="none" w:sz="0" w:space="0" w:color="auto"/>
        <w:left w:val="none" w:sz="0" w:space="0" w:color="auto"/>
        <w:bottom w:val="none" w:sz="0" w:space="0" w:color="auto"/>
        <w:right w:val="none" w:sz="0" w:space="0" w:color="auto"/>
      </w:divBdr>
    </w:div>
    <w:div w:id="1677613816">
      <w:bodyDiv w:val="1"/>
      <w:marLeft w:val="0"/>
      <w:marRight w:val="0"/>
      <w:marTop w:val="0"/>
      <w:marBottom w:val="0"/>
      <w:divBdr>
        <w:top w:val="none" w:sz="0" w:space="0" w:color="auto"/>
        <w:left w:val="none" w:sz="0" w:space="0" w:color="auto"/>
        <w:bottom w:val="none" w:sz="0" w:space="0" w:color="auto"/>
        <w:right w:val="none" w:sz="0" w:space="0" w:color="auto"/>
      </w:divBdr>
    </w:div>
    <w:div w:id="1724140839">
      <w:bodyDiv w:val="1"/>
      <w:marLeft w:val="0"/>
      <w:marRight w:val="0"/>
      <w:marTop w:val="0"/>
      <w:marBottom w:val="0"/>
      <w:divBdr>
        <w:top w:val="none" w:sz="0" w:space="0" w:color="auto"/>
        <w:left w:val="none" w:sz="0" w:space="0" w:color="auto"/>
        <w:bottom w:val="none" w:sz="0" w:space="0" w:color="auto"/>
        <w:right w:val="none" w:sz="0" w:space="0" w:color="auto"/>
      </w:divBdr>
    </w:div>
    <w:div w:id="1754467871">
      <w:bodyDiv w:val="1"/>
      <w:marLeft w:val="0"/>
      <w:marRight w:val="0"/>
      <w:marTop w:val="0"/>
      <w:marBottom w:val="0"/>
      <w:divBdr>
        <w:top w:val="none" w:sz="0" w:space="0" w:color="auto"/>
        <w:left w:val="none" w:sz="0" w:space="0" w:color="auto"/>
        <w:bottom w:val="none" w:sz="0" w:space="0" w:color="auto"/>
        <w:right w:val="none" w:sz="0" w:space="0" w:color="auto"/>
      </w:divBdr>
    </w:div>
    <w:div w:id="1767266411">
      <w:bodyDiv w:val="1"/>
      <w:marLeft w:val="0"/>
      <w:marRight w:val="0"/>
      <w:marTop w:val="0"/>
      <w:marBottom w:val="0"/>
      <w:divBdr>
        <w:top w:val="none" w:sz="0" w:space="0" w:color="auto"/>
        <w:left w:val="none" w:sz="0" w:space="0" w:color="auto"/>
        <w:bottom w:val="none" w:sz="0" w:space="0" w:color="auto"/>
        <w:right w:val="none" w:sz="0" w:space="0" w:color="auto"/>
      </w:divBdr>
    </w:div>
    <w:div w:id="1803309887">
      <w:bodyDiv w:val="1"/>
      <w:marLeft w:val="0"/>
      <w:marRight w:val="0"/>
      <w:marTop w:val="0"/>
      <w:marBottom w:val="0"/>
      <w:divBdr>
        <w:top w:val="none" w:sz="0" w:space="0" w:color="auto"/>
        <w:left w:val="none" w:sz="0" w:space="0" w:color="auto"/>
        <w:bottom w:val="none" w:sz="0" w:space="0" w:color="auto"/>
        <w:right w:val="none" w:sz="0" w:space="0" w:color="auto"/>
      </w:divBdr>
    </w:div>
    <w:div w:id="1803884360">
      <w:bodyDiv w:val="1"/>
      <w:marLeft w:val="0"/>
      <w:marRight w:val="0"/>
      <w:marTop w:val="0"/>
      <w:marBottom w:val="0"/>
      <w:divBdr>
        <w:top w:val="none" w:sz="0" w:space="0" w:color="auto"/>
        <w:left w:val="none" w:sz="0" w:space="0" w:color="auto"/>
        <w:bottom w:val="none" w:sz="0" w:space="0" w:color="auto"/>
        <w:right w:val="none" w:sz="0" w:space="0" w:color="auto"/>
      </w:divBdr>
    </w:div>
    <w:div w:id="1833183396">
      <w:bodyDiv w:val="1"/>
      <w:marLeft w:val="0"/>
      <w:marRight w:val="0"/>
      <w:marTop w:val="0"/>
      <w:marBottom w:val="0"/>
      <w:divBdr>
        <w:top w:val="none" w:sz="0" w:space="0" w:color="auto"/>
        <w:left w:val="none" w:sz="0" w:space="0" w:color="auto"/>
        <w:bottom w:val="none" w:sz="0" w:space="0" w:color="auto"/>
        <w:right w:val="none" w:sz="0" w:space="0" w:color="auto"/>
      </w:divBdr>
    </w:div>
    <w:div w:id="1848012942">
      <w:bodyDiv w:val="1"/>
      <w:marLeft w:val="0"/>
      <w:marRight w:val="0"/>
      <w:marTop w:val="0"/>
      <w:marBottom w:val="0"/>
      <w:divBdr>
        <w:top w:val="none" w:sz="0" w:space="0" w:color="auto"/>
        <w:left w:val="none" w:sz="0" w:space="0" w:color="auto"/>
        <w:bottom w:val="none" w:sz="0" w:space="0" w:color="auto"/>
        <w:right w:val="none" w:sz="0" w:space="0" w:color="auto"/>
      </w:divBdr>
      <w:divsChild>
        <w:div w:id="476845707">
          <w:marLeft w:val="0"/>
          <w:marRight w:val="0"/>
          <w:marTop w:val="0"/>
          <w:marBottom w:val="0"/>
          <w:divBdr>
            <w:top w:val="none" w:sz="0" w:space="0" w:color="auto"/>
            <w:left w:val="none" w:sz="0" w:space="0" w:color="auto"/>
            <w:bottom w:val="none" w:sz="0" w:space="0" w:color="auto"/>
            <w:right w:val="none" w:sz="0" w:space="0" w:color="auto"/>
          </w:divBdr>
        </w:div>
      </w:divsChild>
    </w:div>
    <w:div w:id="1859197501">
      <w:bodyDiv w:val="1"/>
      <w:marLeft w:val="0"/>
      <w:marRight w:val="0"/>
      <w:marTop w:val="0"/>
      <w:marBottom w:val="0"/>
      <w:divBdr>
        <w:top w:val="none" w:sz="0" w:space="0" w:color="auto"/>
        <w:left w:val="none" w:sz="0" w:space="0" w:color="auto"/>
        <w:bottom w:val="none" w:sz="0" w:space="0" w:color="auto"/>
        <w:right w:val="none" w:sz="0" w:space="0" w:color="auto"/>
      </w:divBdr>
    </w:div>
    <w:div w:id="1895386621">
      <w:bodyDiv w:val="1"/>
      <w:marLeft w:val="0"/>
      <w:marRight w:val="0"/>
      <w:marTop w:val="0"/>
      <w:marBottom w:val="0"/>
      <w:divBdr>
        <w:top w:val="none" w:sz="0" w:space="0" w:color="auto"/>
        <w:left w:val="none" w:sz="0" w:space="0" w:color="auto"/>
        <w:bottom w:val="none" w:sz="0" w:space="0" w:color="auto"/>
        <w:right w:val="none" w:sz="0" w:space="0" w:color="auto"/>
      </w:divBdr>
    </w:div>
    <w:div w:id="1905557001">
      <w:bodyDiv w:val="1"/>
      <w:marLeft w:val="0"/>
      <w:marRight w:val="0"/>
      <w:marTop w:val="0"/>
      <w:marBottom w:val="0"/>
      <w:divBdr>
        <w:top w:val="none" w:sz="0" w:space="0" w:color="auto"/>
        <w:left w:val="none" w:sz="0" w:space="0" w:color="auto"/>
        <w:bottom w:val="none" w:sz="0" w:space="0" w:color="auto"/>
        <w:right w:val="none" w:sz="0" w:space="0" w:color="auto"/>
      </w:divBdr>
    </w:div>
    <w:div w:id="1917351006">
      <w:bodyDiv w:val="1"/>
      <w:marLeft w:val="0"/>
      <w:marRight w:val="0"/>
      <w:marTop w:val="0"/>
      <w:marBottom w:val="0"/>
      <w:divBdr>
        <w:top w:val="none" w:sz="0" w:space="0" w:color="auto"/>
        <w:left w:val="none" w:sz="0" w:space="0" w:color="auto"/>
        <w:bottom w:val="none" w:sz="0" w:space="0" w:color="auto"/>
        <w:right w:val="none" w:sz="0" w:space="0" w:color="auto"/>
      </w:divBdr>
    </w:div>
    <w:div w:id="1921131707">
      <w:bodyDiv w:val="1"/>
      <w:marLeft w:val="0"/>
      <w:marRight w:val="0"/>
      <w:marTop w:val="0"/>
      <w:marBottom w:val="0"/>
      <w:divBdr>
        <w:top w:val="none" w:sz="0" w:space="0" w:color="auto"/>
        <w:left w:val="none" w:sz="0" w:space="0" w:color="auto"/>
        <w:bottom w:val="none" w:sz="0" w:space="0" w:color="auto"/>
        <w:right w:val="none" w:sz="0" w:space="0" w:color="auto"/>
      </w:divBdr>
    </w:div>
    <w:div w:id="1940674549">
      <w:bodyDiv w:val="1"/>
      <w:marLeft w:val="0"/>
      <w:marRight w:val="0"/>
      <w:marTop w:val="0"/>
      <w:marBottom w:val="0"/>
      <w:divBdr>
        <w:top w:val="none" w:sz="0" w:space="0" w:color="auto"/>
        <w:left w:val="none" w:sz="0" w:space="0" w:color="auto"/>
        <w:bottom w:val="none" w:sz="0" w:space="0" w:color="auto"/>
        <w:right w:val="none" w:sz="0" w:space="0" w:color="auto"/>
      </w:divBdr>
    </w:div>
    <w:div w:id="1956204793">
      <w:bodyDiv w:val="1"/>
      <w:marLeft w:val="0"/>
      <w:marRight w:val="0"/>
      <w:marTop w:val="0"/>
      <w:marBottom w:val="0"/>
      <w:divBdr>
        <w:top w:val="none" w:sz="0" w:space="0" w:color="auto"/>
        <w:left w:val="none" w:sz="0" w:space="0" w:color="auto"/>
        <w:bottom w:val="none" w:sz="0" w:space="0" w:color="auto"/>
        <w:right w:val="none" w:sz="0" w:space="0" w:color="auto"/>
      </w:divBdr>
    </w:div>
    <w:div w:id="1973099559">
      <w:bodyDiv w:val="1"/>
      <w:marLeft w:val="0"/>
      <w:marRight w:val="0"/>
      <w:marTop w:val="0"/>
      <w:marBottom w:val="0"/>
      <w:divBdr>
        <w:top w:val="none" w:sz="0" w:space="0" w:color="auto"/>
        <w:left w:val="none" w:sz="0" w:space="0" w:color="auto"/>
        <w:bottom w:val="none" w:sz="0" w:space="0" w:color="auto"/>
        <w:right w:val="none" w:sz="0" w:space="0" w:color="auto"/>
      </w:divBdr>
    </w:div>
    <w:div w:id="2009674232">
      <w:bodyDiv w:val="1"/>
      <w:marLeft w:val="0"/>
      <w:marRight w:val="0"/>
      <w:marTop w:val="0"/>
      <w:marBottom w:val="0"/>
      <w:divBdr>
        <w:top w:val="none" w:sz="0" w:space="0" w:color="auto"/>
        <w:left w:val="none" w:sz="0" w:space="0" w:color="auto"/>
        <w:bottom w:val="none" w:sz="0" w:space="0" w:color="auto"/>
        <w:right w:val="none" w:sz="0" w:space="0" w:color="auto"/>
      </w:divBdr>
    </w:div>
    <w:div w:id="2013490146">
      <w:bodyDiv w:val="1"/>
      <w:marLeft w:val="0"/>
      <w:marRight w:val="0"/>
      <w:marTop w:val="0"/>
      <w:marBottom w:val="0"/>
      <w:divBdr>
        <w:top w:val="none" w:sz="0" w:space="0" w:color="auto"/>
        <w:left w:val="none" w:sz="0" w:space="0" w:color="auto"/>
        <w:bottom w:val="none" w:sz="0" w:space="0" w:color="auto"/>
        <w:right w:val="none" w:sz="0" w:space="0" w:color="auto"/>
      </w:divBdr>
    </w:div>
    <w:div w:id="2075004942">
      <w:bodyDiv w:val="1"/>
      <w:marLeft w:val="0"/>
      <w:marRight w:val="0"/>
      <w:marTop w:val="0"/>
      <w:marBottom w:val="0"/>
      <w:divBdr>
        <w:top w:val="none" w:sz="0" w:space="0" w:color="auto"/>
        <w:left w:val="none" w:sz="0" w:space="0" w:color="auto"/>
        <w:bottom w:val="none" w:sz="0" w:space="0" w:color="auto"/>
        <w:right w:val="none" w:sz="0" w:space="0" w:color="auto"/>
      </w:divBdr>
    </w:div>
    <w:div w:id="209415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ERInquiry@aer.gov.au" TargetMode="External"/><Relationship Id="rId18" Type="http://schemas.openxmlformats.org/officeDocument/2006/relationships/image" Target="media/image5.emf"/><Relationship Id="rId26" Type="http://schemas.openxmlformats.org/officeDocument/2006/relationships/hyperlink" Target="http://www.accc.gov.au" TargetMode="Externa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hyperlink" Target="http://www.aer.gov.au/node/2291" TargetMode="External"/><Relationship Id="rId33" Type="http://schemas.openxmlformats.org/officeDocument/2006/relationships/hyperlink" Target="http://www.legislation.sa.gov.au/LZ/C/A/NATIONAL%20GAS%20(SOUTH%20AUSTRALIA)%20ACT%202008.aspx"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hyperlink" Target="http://aemc.gov.au/Electricity/National-Electricity-Rules/Current-Rule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emf"/><Relationship Id="rId32" Type="http://schemas.openxmlformats.org/officeDocument/2006/relationships/hyperlink" Target="http://www.legislation.sa.gov.au/LZ/C/A/NATIONAL%20ELECTRICITY%20(SOUTH%20AUSTRALIA)%20ACT%201996.aspx"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hyperlink" Target="http://www.aer.gov.au/"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hyperlink" Target="http://aemc.gov.au/Gas/National-Gas-Rules/Current-Rules.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er.gov.au/sites/default/files/AER%20compliance%20and%20enforcement%C3%A2%E2%82%AC%E2%80%9Dstatement%20of%20approach%20%28December%202010%29.pdf" TargetMode="External"/><Relationship Id="rId22" Type="http://schemas.openxmlformats.org/officeDocument/2006/relationships/image" Target="media/image9.emf"/><Relationship Id="rId27" Type="http://schemas.openxmlformats.org/officeDocument/2006/relationships/hyperlink" Target="http://www.aemo.com.au/" TargetMode="External"/><Relationship Id="rId30" Type="http://schemas.openxmlformats.org/officeDocument/2006/relationships/hyperlink" Target="http://www.legislation.sa.gov.au/LZ/C/R/NATIONAL%20GAS%20(SOUTH%20AUSTRALIA)%20REGULATIONS.aspx"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er.gov.au/node/15433" TargetMode="External"/><Relationship Id="rId1" Type="http://schemas.openxmlformats.org/officeDocument/2006/relationships/hyperlink" Target="http://www.aer.gov.au/node/1949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60CA3-A2F9-49FB-8217-9CE4A495E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E8B626E8.dotm</Template>
  <TotalTime>0</TotalTime>
  <Pages>24</Pages>
  <Words>7056</Words>
  <Characters>40221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Quarterly Compliance Report - June 2013</vt:lpstr>
    </vt:vector>
  </TitlesOfParts>
  <Company/>
  <LinksUpToDate>false</LinksUpToDate>
  <CharactersWithSpaces>47183</CharactersWithSpaces>
  <SharedDoc>false</SharedDoc>
  <HLinks>
    <vt:vector size="276" baseType="variant">
      <vt:variant>
        <vt:i4>79</vt:i4>
      </vt:variant>
      <vt:variant>
        <vt:i4>186</vt:i4>
      </vt:variant>
      <vt:variant>
        <vt:i4>0</vt:i4>
      </vt:variant>
      <vt:variant>
        <vt:i4>5</vt:i4>
      </vt:variant>
      <vt:variant>
        <vt:lpwstr>http://www.legislation.sa.gov.au/LZ/C/A/NATIONAL GAS (SOUTH AUSTRALIA) ACT 2008.aspx</vt:lpwstr>
      </vt:variant>
      <vt:variant>
        <vt:lpwstr/>
      </vt:variant>
      <vt:variant>
        <vt:i4>1245251</vt:i4>
      </vt:variant>
      <vt:variant>
        <vt:i4>183</vt:i4>
      </vt:variant>
      <vt:variant>
        <vt:i4>0</vt:i4>
      </vt:variant>
      <vt:variant>
        <vt:i4>5</vt:i4>
      </vt:variant>
      <vt:variant>
        <vt:lpwstr>http://www.legislation.sa.gov.au/LZ/C/A/NATIONAL ELECTRICITY (SOUTH AUSTRALIA) ACT 1996.aspx</vt:lpwstr>
      </vt:variant>
      <vt:variant>
        <vt:lpwstr/>
      </vt:variant>
      <vt:variant>
        <vt:i4>2687022</vt:i4>
      </vt:variant>
      <vt:variant>
        <vt:i4>180</vt:i4>
      </vt:variant>
      <vt:variant>
        <vt:i4>0</vt:i4>
      </vt:variant>
      <vt:variant>
        <vt:i4>5</vt:i4>
      </vt:variant>
      <vt:variant>
        <vt:lpwstr>http://www.aemc.gov.au/gas.php</vt:lpwstr>
      </vt:variant>
      <vt:variant>
        <vt:lpwstr/>
      </vt:variant>
      <vt:variant>
        <vt:i4>3276845</vt:i4>
      </vt:variant>
      <vt:variant>
        <vt:i4>177</vt:i4>
      </vt:variant>
      <vt:variant>
        <vt:i4>0</vt:i4>
      </vt:variant>
      <vt:variant>
        <vt:i4>5</vt:i4>
      </vt:variant>
      <vt:variant>
        <vt:lpwstr>http://www.legislation.sa.gov.au/LZ/C/R/NATIONAL GAS (SOUTH AUSTRALIA) REGULATIONS.aspx</vt:lpwstr>
      </vt:variant>
      <vt:variant>
        <vt:lpwstr/>
      </vt:variant>
      <vt:variant>
        <vt:i4>5242975</vt:i4>
      </vt:variant>
      <vt:variant>
        <vt:i4>174</vt:i4>
      </vt:variant>
      <vt:variant>
        <vt:i4>0</vt:i4>
      </vt:variant>
      <vt:variant>
        <vt:i4>5</vt:i4>
      </vt:variant>
      <vt:variant>
        <vt:lpwstr>http://www.aemc.gov.au/rules.php</vt:lpwstr>
      </vt:variant>
      <vt:variant>
        <vt:lpwstr/>
      </vt:variant>
      <vt:variant>
        <vt:i4>1900617</vt:i4>
      </vt:variant>
      <vt:variant>
        <vt:i4>171</vt:i4>
      </vt:variant>
      <vt:variant>
        <vt:i4>0</vt:i4>
      </vt:variant>
      <vt:variant>
        <vt:i4>5</vt:i4>
      </vt:variant>
      <vt:variant>
        <vt:lpwstr>http://www.gasbb.com.au/</vt:lpwstr>
      </vt:variant>
      <vt:variant>
        <vt:lpwstr/>
      </vt:variant>
      <vt:variant>
        <vt:i4>6750255</vt:i4>
      </vt:variant>
      <vt:variant>
        <vt:i4>168</vt:i4>
      </vt:variant>
      <vt:variant>
        <vt:i4>0</vt:i4>
      </vt:variant>
      <vt:variant>
        <vt:i4>5</vt:i4>
      </vt:variant>
      <vt:variant>
        <vt:lpwstr>http://www.aer.gov.au/</vt:lpwstr>
      </vt:variant>
      <vt:variant>
        <vt:lpwstr/>
      </vt:variant>
      <vt:variant>
        <vt:i4>3997749</vt:i4>
      </vt:variant>
      <vt:variant>
        <vt:i4>165</vt:i4>
      </vt:variant>
      <vt:variant>
        <vt:i4>0</vt:i4>
      </vt:variant>
      <vt:variant>
        <vt:i4>5</vt:i4>
      </vt:variant>
      <vt:variant>
        <vt:lpwstr>http://www.aemo.com.au/</vt:lpwstr>
      </vt:variant>
      <vt:variant>
        <vt:lpwstr/>
      </vt:variant>
      <vt:variant>
        <vt:i4>3342368</vt:i4>
      </vt:variant>
      <vt:variant>
        <vt:i4>162</vt:i4>
      </vt:variant>
      <vt:variant>
        <vt:i4>0</vt:i4>
      </vt:variant>
      <vt:variant>
        <vt:i4>5</vt:i4>
      </vt:variant>
      <vt:variant>
        <vt:lpwstr>http://www.accc.gov.au/</vt:lpwstr>
      </vt:variant>
      <vt:variant>
        <vt:lpwstr/>
      </vt:variant>
      <vt:variant>
        <vt:i4>1441851</vt:i4>
      </vt:variant>
      <vt:variant>
        <vt:i4>155</vt:i4>
      </vt:variant>
      <vt:variant>
        <vt:i4>0</vt:i4>
      </vt:variant>
      <vt:variant>
        <vt:i4>5</vt:i4>
      </vt:variant>
      <vt:variant>
        <vt:lpwstr/>
      </vt:variant>
      <vt:variant>
        <vt:lpwstr>_Toc339289999</vt:lpwstr>
      </vt:variant>
      <vt:variant>
        <vt:i4>1441851</vt:i4>
      </vt:variant>
      <vt:variant>
        <vt:i4>149</vt:i4>
      </vt:variant>
      <vt:variant>
        <vt:i4>0</vt:i4>
      </vt:variant>
      <vt:variant>
        <vt:i4>5</vt:i4>
      </vt:variant>
      <vt:variant>
        <vt:lpwstr/>
      </vt:variant>
      <vt:variant>
        <vt:lpwstr>_Toc339289998</vt:lpwstr>
      </vt:variant>
      <vt:variant>
        <vt:i4>1441851</vt:i4>
      </vt:variant>
      <vt:variant>
        <vt:i4>143</vt:i4>
      </vt:variant>
      <vt:variant>
        <vt:i4>0</vt:i4>
      </vt:variant>
      <vt:variant>
        <vt:i4>5</vt:i4>
      </vt:variant>
      <vt:variant>
        <vt:lpwstr/>
      </vt:variant>
      <vt:variant>
        <vt:lpwstr>_Toc339289997</vt:lpwstr>
      </vt:variant>
      <vt:variant>
        <vt:i4>1441851</vt:i4>
      </vt:variant>
      <vt:variant>
        <vt:i4>137</vt:i4>
      </vt:variant>
      <vt:variant>
        <vt:i4>0</vt:i4>
      </vt:variant>
      <vt:variant>
        <vt:i4>5</vt:i4>
      </vt:variant>
      <vt:variant>
        <vt:lpwstr/>
      </vt:variant>
      <vt:variant>
        <vt:lpwstr>_Toc339289996</vt:lpwstr>
      </vt:variant>
      <vt:variant>
        <vt:i4>1441851</vt:i4>
      </vt:variant>
      <vt:variant>
        <vt:i4>131</vt:i4>
      </vt:variant>
      <vt:variant>
        <vt:i4>0</vt:i4>
      </vt:variant>
      <vt:variant>
        <vt:i4>5</vt:i4>
      </vt:variant>
      <vt:variant>
        <vt:lpwstr/>
      </vt:variant>
      <vt:variant>
        <vt:lpwstr>_Toc339289995</vt:lpwstr>
      </vt:variant>
      <vt:variant>
        <vt:i4>1441851</vt:i4>
      </vt:variant>
      <vt:variant>
        <vt:i4>125</vt:i4>
      </vt:variant>
      <vt:variant>
        <vt:i4>0</vt:i4>
      </vt:variant>
      <vt:variant>
        <vt:i4>5</vt:i4>
      </vt:variant>
      <vt:variant>
        <vt:lpwstr/>
      </vt:variant>
      <vt:variant>
        <vt:lpwstr>_Toc339289994</vt:lpwstr>
      </vt:variant>
      <vt:variant>
        <vt:i4>1441851</vt:i4>
      </vt:variant>
      <vt:variant>
        <vt:i4>119</vt:i4>
      </vt:variant>
      <vt:variant>
        <vt:i4>0</vt:i4>
      </vt:variant>
      <vt:variant>
        <vt:i4>5</vt:i4>
      </vt:variant>
      <vt:variant>
        <vt:lpwstr/>
      </vt:variant>
      <vt:variant>
        <vt:lpwstr>_Toc339289993</vt:lpwstr>
      </vt:variant>
      <vt:variant>
        <vt:i4>1441851</vt:i4>
      </vt:variant>
      <vt:variant>
        <vt:i4>113</vt:i4>
      </vt:variant>
      <vt:variant>
        <vt:i4>0</vt:i4>
      </vt:variant>
      <vt:variant>
        <vt:i4>5</vt:i4>
      </vt:variant>
      <vt:variant>
        <vt:lpwstr/>
      </vt:variant>
      <vt:variant>
        <vt:lpwstr>_Toc339289992</vt:lpwstr>
      </vt:variant>
      <vt:variant>
        <vt:i4>1441851</vt:i4>
      </vt:variant>
      <vt:variant>
        <vt:i4>107</vt:i4>
      </vt:variant>
      <vt:variant>
        <vt:i4>0</vt:i4>
      </vt:variant>
      <vt:variant>
        <vt:i4>5</vt:i4>
      </vt:variant>
      <vt:variant>
        <vt:lpwstr/>
      </vt:variant>
      <vt:variant>
        <vt:lpwstr>_Toc339289991</vt:lpwstr>
      </vt:variant>
      <vt:variant>
        <vt:i4>1441851</vt:i4>
      </vt:variant>
      <vt:variant>
        <vt:i4>101</vt:i4>
      </vt:variant>
      <vt:variant>
        <vt:i4>0</vt:i4>
      </vt:variant>
      <vt:variant>
        <vt:i4>5</vt:i4>
      </vt:variant>
      <vt:variant>
        <vt:lpwstr/>
      </vt:variant>
      <vt:variant>
        <vt:lpwstr>_Toc339289990</vt:lpwstr>
      </vt:variant>
      <vt:variant>
        <vt:i4>1507387</vt:i4>
      </vt:variant>
      <vt:variant>
        <vt:i4>95</vt:i4>
      </vt:variant>
      <vt:variant>
        <vt:i4>0</vt:i4>
      </vt:variant>
      <vt:variant>
        <vt:i4>5</vt:i4>
      </vt:variant>
      <vt:variant>
        <vt:lpwstr/>
      </vt:variant>
      <vt:variant>
        <vt:lpwstr>_Toc339289989</vt:lpwstr>
      </vt:variant>
      <vt:variant>
        <vt:i4>1507387</vt:i4>
      </vt:variant>
      <vt:variant>
        <vt:i4>89</vt:i4>
      </vt:variant>
      <vt:variant>
        <vt:i4>0</vt:i4>
      </vt:variant>
      <vt:variant>
        <vt:i4>5</vt:i4>
      </vt:variant>
      <vt:variant>
        <vt:lpwstr/>
      </vt:variant>
      <vt:variant>
        <vt:lpwstr>_Toc339289988</vt:lpwstr>
      </vt:variant>
      <vt:variant>
        <vt:i4>1507387</vt:i4>
      </vt:variant>
      <vt:variant>
        <vt:i4>83</vt:i4>
      </vt:variant>
      <vt:variant>
        <vt:i4>0</vt:i4>
      </vt:variant>
      <vt:variant>
        <vt:i4>5</vt:i4>
      </vt:variant>
      <vt:variant>
        <vt:lpwstr/>
      </vt:variant>
      <vt:variant>
        <vt:lpwstr>_Toc339289987</vt:lpwstr>
      </vt:variant>
      <vt:variant>
        <vt:i4>1507387</vt:i4>
      </vt:variant>
      <vt:variant>
        <vt:i4>77</vt:i4>
      </vt:variant>
      <vt:variant>
        <vt:i4>0</vt:i4>
      </vt:variant>
      <vt:variant>
        <vt:i4>5</vt:i4>
      </vt:variant>
      <vt:variant>
        <vt:lpwstr/>
      </vt:variant>
      <vt:variant>
        <vt:lpwstr>_Toc339289986</vt:lpwstr>
      </vt:variant>
      <vt:variant>
        <vt:i4>1507387</vt:i4>
      </vt:variant>
      <vt:variant>
        <vt:i4>71</vt:i4>
      </vt:variant>
      <vt:variant>
        <vt:i4>0</vt:i4>
      </vt:variant>
      <vt:variant>
        <vt:i4>5</vt:i4>
      </vt:variant>
      <vt:variant>
        <vt:lpwstr/>
      </vt:variant>
      <vt:variant>
        <vt:lpwstr>_Toc339289985</vt:lpwstr>
      </vt:variant>
      <vt:variant>
        <vt:i4>1507387</vt:i4>
      </vt:variant>
      <vt:variant>
        <vt:i4>65</vt:i4>
      </vt:variant>
      <vt:variant>
        <vt:i4>0</vt:i4>
      </vt:variant>
      <vt:variant>
        <vt:i4>5</vt:i4>
      </vt:variant>
      <vt:variant>
        <vt:lpwstr/>
      </vt:variant>
      <vt:variant>
        <vt:lpwstr>_Toc339289984</vt:lpwstr>
      </vt:variant>
      <vt:variant>
        <vt:i4>1507387</vt:i4>
      </vt:variant>
      <vt:variant>
        <vt:i4>59</vt:i4>
      </vt:variant>
      <vt:variant>
        <vt:i4>0</vt:i4>
      </vt:variant>
      <vt:variant>
        <vt:i4>5</vt:i4>
      </vt:variant>
      <vt:variant>
        <vt:lpwstr/>
      </vt:variant>
      <vt:variant>
        <vt:lpwstr>_Toc339289983</vt:lpwstr>
      </vt:variant>
      <vt:variant>
        <vt:i4>1507387</vt:i4>
      </vt:variant>
      <vt:variant>
        <vt:i4>53</vt:i4>
      </vt:variant>
      <vt:variant>
        <vt:i4>0</vt:i4>
      </vt:variant>
      <vt:variant>
        <vt:i4>5</vt:i4>
      </vt:variant>
      <vt:variant>
        <vt:lpwstr/>
      </vt:variant>
      <vt:variant>
        <vt:lpwstr>_Toc339289982</vt:lpwstr>
      </vt:variant>
      <vt:variant>
        <vt:i4>1507387</vt:i4>
      </vt:variant>
      <vt:variant>
        <vt:i4>47</vt:i4>
      </vt:variant>
      <vt:variant>
        <vt:i4>0</vt:i4>
      </vt:variant>
      <vt:variant>
        <vt:i4>5</vt:i4>
      </vt:variant>
      <vt:variant>
        <vt:lpwstr/>
      </vt:variant>
      <vt:variant>
        <vt:lpwstr>_Toc339289981</vt:lpwstr>
      </vt:variant>
      <vt:variant>
        <vt:i4>1507387</vt:i4>
      </vt:variant>
      <vt:variant>
        <vt:i4>41</vt:i4>
      </vt:variant>
      <vt:variant>
        <vt:i4>0</vt:i4>
      </vt:variant>
      <vt:variant>
        <vt:i4>5</vt:i4>
      </vt:variant>
      <vt:variant>
        <vt:lpwstr/>
      </vt:variant>
      <vt:variant>
        <vt:lpwstr>_Toc339289980</vt:lpwstr>
      </vt:variant>
      <vt:variant>
        <vt:i4>1572923</vt:i4>
      </vt:variant>
      <vt:variant>
        <vt:i4>35</vt:i4>
      </vt:variant>
      <vt:variant>
        <vt:i4>0</vt:i4>
      </vt:variant>
      <vt:variant>
        <vt:i4>5</vt:i4>
      </vt:variant>
      <vt:variant>
        <vt:lpwstr/>
      </vt:variant>
      <vt:variant>
        <vt:lpwstr>_Toc339289979</vt:lpwstr>
      </vt:variant>
      <vt:variant>
        <vt:i4>1572923</vt:i4>
      </vt:variant>
      <vt:variant>
        <vt:i4>29</vt:i4>
      </vt:variant>
      <vt:variant>
        <vt:i4>0</vt:i4>
      </vt:variant>
      <vt:variant>
        <vt:i4>5</vt:i4>
      </vt:variant>
      <vt:variant>
        <vt:lpwstr/>
      </vt:variant>
      <vt:variant>
        <vt:lpwstr>_Toc339289978</vt:lpwstr>
      </vt:variant>
      <vt:variant>
        <vt:i4>1572923</vt:i4>
      </vt:variant>
      <vt:variant>
        <vt:i4>23</vt:i4>
      </vt:variant>
      <vt:variant>
        <vt:i4>0</vt:i4>
      </vt:variant>
      <vt:variant>
        <vt:i4>5</vt:i4>
      </vt:variant>
      <vt:variant>
        <vt:lpwstr/>
      </vt:variant>
      <vt:variant>
        <vt:lpwstr>_Toc339289977</vt:lpwstr>
      </vt:variant>
      <vt:variant>
        <vt:i4>1572923</vt:i4>
      </vt:variant>
      <vt:variant>
        <vt:i4>17</vt:i4>
      </vt:variant>
      <vt:variant>
        <vt:i4>0</vt:i4>
      </vt:variant>
      <vt:variant>
        <vt:i4>5</vt:i4>
      </vt:variant>
      <vt:variant>
        <vt:lpwstr/>
      </vt:variant>
      <vt:variant>
        <vt:lpwstr>_Toc339289976</vt:lpwstr>
      </vt:variant>
      <vt:variant>
        <vt:i4>1572923</vt:i4>
      </vt:variant>
      <vt:variant>
        <vt:i4>11</vt:i4>
      </vt:variant>
      <vt:variant>
        <vt:i4>0</vt:i4>
      </vt:variant>
      <vt:variant>
        <vt:i4>5</vt:i4>
      </vt:variant>
      <vt:variant>
        <vt:lpwstr/>
      </vt:variant>
      <vt:variant>
        <vt:lpwstr>_Toc339289975</vt:lpwstr>
      </vt:variant>
      <vt:variant>
        <vt:i4>1572923</vt:i4>
      </vt:variant>
      <vt:variant>
        <vt:i4>5</vt:i4>
      </vt:variant>
      <vt:variant>
        <vt:i4>0</vt:i4>
      </vt:variant>
      <vt:variant>
        <vt:i4>5</vt:i4>
      </vt:variant>
      <vt:variant>
        <vt:lpwstr/>
      </vt:variant>
      <vt:variant>
        <vt:lpwstr>_Toc339289974</vt:lpwstr>
      </vt:variant>
      <vt:variant>
        <vt:i4>2555972</vt:i4>
      </vt:variant>
      <vt:variant>
        <vt:i4>0</vt:i4>
      </vt:variant>
      <vt:variant>
        <vt:i4>0</vt:i4>
      </vt:variant>
      <vt:variant>
        <vt:i4>5</vt:i4>
      </vt:variant>
      <vt:variant>
        <vt:lpwstr>mailto:AERInquiry@aer.gov.au</vt:lpwstr>
      </vt:variant>
      <vt:variant>
        <vt:lpwstr/>
      </vt:variant>
      <vt:variant>
        <vt:i4>6684728</vt:i4>
      </vt:variant>
      <vt:variant>
        <vt:i4>27</vt:i4>
      </vt:variant>
      <vt:variant>
        <vt:i4>0</vt:i4>
      </vt:variant>
      <vt:variant>
        <vt:i4>5</vt:i4>
      </vt:variant>
      <vt:variant>
        <vt:lpwstr>http://www.aer.gov.au/node/2291</vt:lpwstr>
      </vt:variant>
      <vt:variant>
        <vt:lpwstr/>
      </vt:variant>
      <vt:variant>
        <vt:i4>5963788</vt:i4>
      </vt:variant>
      <vt:variant>
        <vt:i4>24</vt:i4>
      </vt:variant>
      <vt:variant>
        <vt:i4>0</vt:i4>
      </vt:variant>
      <vt:variant>
        <vt:i4>5</vt:i4>
      </vt:variant>
      <vt:variant>
        <vt:lpwstr>http://www.aer.gov.au/node/15433</vt:lpwstr>
      </vt:variant>
      <vt:variant>
        <vt:lpwstr/>
      </vt:variant>
      <vt:variant>
        <vt:i4>7143487</vt:i4>
      </vt:variant>
      <vt:variant>
        <vt:i4>21</vt:i4>
      </vt:variant>
      <vt:variant>
        <vt:i4>0</vt:i4>
      </vt:variant>
      <vt:variant>
        <vt:i4>5</vt:i4>
      </vt:variant>
      <vt:variant>
        <vt:lpwstr>http://www.aer.gov.au/node/454</vt:lpwstr>
      </vt:variant>
      <vt:variant>
        <vt:lpwstr/>
      </vt:variant>
      <vt:variant>
        <vt:i4>6553659</vt:i4>
      </vt:variant>
      <vt:variant>
        <vt:i4>18</vt:i4>
      </vt:variant>
      <vt:variant>
        <vt:i4>0</vt:i4>
      </vt:variant>
      <vt:variant>
        <vt:i4>5</vt:i4>
      </vt:variant>
      <vt:variant>
        <vt:lpwstr>http://www.aer.gov.au/node/1182</vt:lpwstr>
      </vt:variant>
      <vt:variant>
        <vt:lpwstr/>
      </vt:variant>
      <vt:variant>
        <vt:i4>6225920</vt:i4>
      </vt:variant>
      <vt:variant>
        <vt:i4>15</vt:i4>
      </vt:variant>
      <vt:variant>
        <vt:i4>0</vt:i4>
      </vt:variant>
      <vt:variant>
        <vt:i4>5</vt:i4>
      </vt:variant>
      <vt:variant>
        <vt:lpwstr>http://www.aer.gov.au/node/12182</vt:lpwstr>
      </vt:variant>
      <vt:variant>
        <vt:lpwstr/>
      </vt:variant>
      <vt:variant>
        <vt:i4>6094849</vt:i4>
      </vt:variant>
      <vt:variant>
        <vt:i4>12</vt:i4>
      </vt:variant>
      <vt:variant>
        <vt:i4>0</vt:i4>
      </vt:variant>
      <vt:variant>
        <vt:i4>5</vt:i4>
      </vt:variant>
      <vt:variant>
        <vt:lpwstr>http://www.aer.gov.au/node/18233</vt:lpwstr>
      </vt:variant>
      <vt:variant>
        <vt:lpwstr/>
      </vt:variant>
      <vt:variant>
        <vt:i4>2555953</vt:i4>
      </vt:variant>
      <vt:variant>
        <vt:i4>9</vt:i4>
      </vt:variant>
      <vt:variant>
        <vt:i4>0</vt:i4>
      </vt:variant>
      <vt:variant>
        <vt:i4>5</vt:i4>
      </vt:variant>
      <vt:variant>
        <vt:lpwstr>http://www.aemo.com.au/Consultations/Gas-Consultations/STTM/STTM-Phase-2-review_Review-of-within_day-market</vt:lpwstr>
      </vt:variant>
      <vt:variant>
        <vt:lpwstr>purpose</vt:lpwstr>
      </vt:variant>
      <vt:variant>
        <vt:i4>786506</vt:i4>
      </vt:variant>
      <vt:variant>
        <vt:i4>6</vt:i4>
      </vt:variant>
      <vt:variant>
        <vt:i4>0</vt:i4>
      </vt:variant>
      <vt:variant>
        <vt:i4>5</vt:i4>
      </vt:variant>
      <vt:variant>
        <vt:lpwstr>http://www.aer.gov.au/sites/default/files/AER compliance and enforcement%C3%A2%E2%82%AC%E2%80%9Dstatement of approach %28December 2010%29.pdf</vt:lpwstr>
      </vt:variant>
      <vt:variant>
        <vt:lpwstr/>
      </vt:variant>
      <vt:variant>
        <vt:i4>6684729</vt:i4>
      </vt:variant>
      <vt:variant>
        <vt:i4>3</vt:i4>
      </vt:variant>
      <vt:variant>
        <vt:i4>0</vt:i4>
      </vt:variant>
      <vt:variant>
        <vt:i4>5</vt:i4>
      </vt:variant>
      <vt:variant>
        <vt:lpwstr>http://www.aer.gov.au/node/2391</vt:lpwstr>
      </vt:variant>
      <vt:variant>
        <vt:lpwstr/>
      </vt:variant>
      <vt:variant>
        <vt:i4>7143487</vt:i4>
      </vt:variant>
      <vt:variant>
        <vt:i4>0</vt:i4>
      </vt:variant>
      <vt:variant>
        <vt:i4>0</vt:i4>
      </vt:variant>
      <vt:variant>
        <vt:i4>5</vt:i4>
      </vt:variant>
      <vt:variant>
        <vt:lpwstr>http://www.aer.gov.au/node/454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Compliance Report - June 2013</dc:title>
  <dc:subject/>
  <dc:creator/>
  <cp:keywords/>
  <dc:description/>
  <cp:lastModifiedBy/>
  <cp:revision>1</cp:revision>
  <dcterms:created xsi:type="dcterms:W3CDTF">2014-07-30T00:41:00Z</dcterms:created>
  <dcterms:modified xsi:type="dcterms:W3CDTF">2014-07-31T22:14:00Z</dcterms:modified>
</cp:coreProperties>
</file>