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BC" w:rsidRPr="00191FF4" w:rsidRDefault="00850A3E" w:rsidP="00F56851">
      <w:pPr>
        <w:pStyle w:val="AERTitle2"/>
        <w:rPr>
          <w:b/>
          <w:szCs w:val="32"/>
        </w:rPr>
      </w:pPr>
      <w:bookmarkStart w:id="0" w:name="_GoBack"/>
      <w:bookmarkEnd w:id="0"/>
      <w:r>
        <w:rPr>
          <w:b/>
          <w:noProof/>
          <w:szCs w:val="32"/>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92" type="#_x0000_t75" alt="AER-final-orange" style="position:absolute;left:0;text-align:left;margin-left:-90.7pt;margin-top:-73.35pt;width:597.45pt;height:846pt;z-index:-251658752;visibility:visible">
            <v:imagedata r:id="rId9" o:title="AER-final-orange"/>
          </v:shape>
        </w:pict>
      </w:r>
    </w:p>
    <w:p w:rsidR="008B0C16" w:rsidRDefault="008B0C16" w:rsidP="00A052AB">
      <w:pPr>
        <w:pStyle w:val="AERTitle1"/>
      </w:pPr>
      <w:bookmarkStart w:id="1" w:name="OLE_LINK1"/>
      <w:bookmarkStart w:id="2" w:name="OLE_LINK2"/>
    </w:p>
    <w:p w:rsidR="008B0C16" w:rsidRDefault="008B0C16" w:rsidP="00A052AB">
      <w:pPr>
        <w:pStyle w:val="AERTitle1"/>
      </w:pPr>
    </w:p>
    <w:p w:rsidR="008B0C16" w:rsidRDefault="008B0C16" w:rsidP="00A052AB">
      <w:pPr>
        <w:pStyle w:val="AERTitle1"/>
      </w:pPr>
    </w:p>
    <w:p w:rsidR="00CA2A01" w:rsidRDefault="00CA2A01" w:rsidP="00A052AB">
      <w:pPr>
        <w:pStyle w:val="AERTitle1"/>
      </w:pPr>
    </w:p>
    <w:p w:rsidR="008B0C16" w:rsidRPr="00E0671E" w:rsidRDefault="00A44C20" w:rsidP="0018678D">
      <w:pPr>
        <w:pStyle w:val="AERTitle1"/>
      </w:pPr>
      <w:bookmarkStart w:id="3" w:name="OLE_LINK5"/>
      <w:bookmarkStart w:id="4" w:name="OLE_LINK12"/>
      <w:bookmarkStart w:id="5" w:name="OLE_LINK3"/>
      <w:bookmarkStart w:id="6" w:name="OLE_LINK4"/>
      <w:r w:rsidRPr="00E0671E">
        <w:t>Quarterly Compliance Report</w:t>
      </w:r>
      <w:r w:rsidR="008A20B0" w:rsidRPr="00E0671E">
        <w:t>:</w:t>
      </w:r>
    </w:p>
    <w:p w:rsidR="008A20B0" w:rsidRPr="00236801" w:rsidRDefault="008A20B0" w:rsidP="0018678D">
      <w:pPr>
        <w:pStyle w:val="AERTitle2"/>
        <w:spacing w:before="240"/>
        <w:rPr>
          <w:highlight w:val="yellow"/>
        </w:rPr>
      </w:pPr>
      <w:r w:rsidRPr="00E0671E">
        <w:t>National Electricity and Gas Laws</w:t>
      </w:r>
      <w:bookmarkEnd w:id="3"/>
      <w:bookmarkEnd w:id="4"/>
    </w:p>
    <w:bookmarkEnd w:id="5"/>
    <w:bookmarkEnd w:id="6"/>
    <w:p w:rsidR="008A20B0" w:rsidRPr="00236801" w:rsidRDefault="008A20B0" w:rsidP="00A052AB">
      <w:pPr>
        <w:pStyle w:val="AERTitle1"/>
        <w:rPr>
          <w:highlight w:val="yellow"/>
        </w:rPr>
      </w:pPr>
    </w:p>
    <w:p w:rsidR="000733BC" w:rsidRPr="00E0671E" w:rsidRDefault="005D62E3" w:rsidP="007F510E">
      <w:pPr>
        <w:pStyle w:val="AERTitle2"/>
        <w:spacing w:before="600"/>
      </w:pPr>
      <w:r>
        <w:t>January</w:t>
      </w:r>
      <w:r w:rsidR="00236801" w:rsidRPr="00E0671E">
        <w:t xml:space="preserve"> </w:t>
      </w:r>
      <w:r w:rsidR="007725E6" w:rsidRPr="00E0671E">
        <w:t xml:space="preserve">– </w:t>
      </w:r>
      <w:r>
        <w:t>March</w:t>
      </w:r>
      <w:r w:rsidR="0004398F">
        <w:t xml:space="preserve"> </w:t>
      </w:r>
      <w:r w:rsidR="002003A5" w:rsidRPr="00E0671E">
        <w:t>201</w:t>
      </w:r>
      <w:r>
        <w:t>4</w:t>
      </w:r>
    </w:p>
    <w:p w:rsidR="008B0C16" w:rsidRPr="00E0671E" w:rsidRDefault="008B0C16" w:rsidP="00A052AB">
      <w:pPr>
        <w:pStyle w:val="AERTitle1"/>
      </w:pPr>
    </w:p>
    <w:p w:rsidR="00C56995" w:rsidRPr="00E0671E" w:rsidRDefault="00C56995" w:rsidP="00A052AB">
      <w:pPr>
        <w:pStyle w:val="AERTitle1"/>
      </w:pPr>
    </w:p>
    <w:p w:rsidR="00C56995" w:rsidRPr="00E0671E" w:rsidRDefault="00C56995" w:rsidP="00A052AB">
      <w:pPr>
        <w:pStyle w:val="AERTitle1"/>
      </w:pPr>
    </w:p>
    <w:bookmarkEnd w:id="1"/>
    <w:bookmarkEnd w:id="2"/>
    <w:p w:rsidR="00636F32" w:rsidRDefault="00636F32" w:rsidP="00636F32">
      <w:pPr>
        <w:pStyle w:val="AERTitle2"/>
        <w:spacing w:before="1080" w:after="0"/>
      </w:pPr>
    </w:p>
    <w:p w:rsidR="000733BC" w:rsidRPr="00636F32" w:rsidRDefault="00A44C20" w:rsidP="007F510E">
      <w:pPr>
        <w:pStyle w:val="AERTitle2"/>
        <w:spacing w:before="1800"/>
        <w:rPr>
          <w:sz w:val="28"/>
          <w:szCs w:val="28"/>
        </w:rPr>
      </w:pPr>
      <w:r w:rsidRPr="00636F32">
        <w:rPr>
          <w:sz w:val="28"/>
          <w:szCs w:val="28"/>
        </w:rPr>
        <w:t xml:space="preserve">Published </w:t>
      </w:r>
      <w:r w:rsidR="005D62E3">
        <w:rPr>
          <w:sz w:val="28"/>
          <w:szCs w:val="28"/>
        </w:rPr>
        <w:t>May</w:t>
      </w:r>
      <w:r w:rsidR="00CB1599" w:rsidRPr="00636F32">
        <w:rPr>
          <w:sz w:val="28"/>
          <w:szCs w:val="28"/>
        </w:rPr>
        <w:t xml:space="preserve"> </w:t>
      </w:r>
      <w:r w:rsidR="0004398F">
        <w:rPr>
          <w:sz w:val="28"/>
          <w:szCs w:val="28"/>
        </w:rPr>
        <w:t>2014</w:t>
      </w:r>
    </w:p>
    <w:p w:rsidR="000733BC" w:rsidRPr="00F6235D" w:rsidRDefault="000733BC" w:rsidP="004D044A">
      <w:pPr>
        <w:pStyle w:val="AERbodytext"/>
      </w:pPr>
      <w:r w:rsidRPr="00F6235D">
        <w:lastRenderedPageBreak/>
        <w:t xml:space="preserve"> </w:t>
      </w:r>
    </w:p>
    <w:p w:rsidR="00DC724B" w:rsidRDefault="00DC724B" w:rsidP="004D044A">
      <w:pPr>
        <w:pStyle w:val="TOC1"/>
        <w:sectPr w:rsidR="00DC724B" w:rsidSect="000D2D9C">
          <w:headerReference w:type="even" r:id="rId10"/>
          <w:footerReference w:type="even" r:id="rId11"/>
          <w:footerReference w:type="default" r:id="rId12"/>
          <w:pgSz w:w="11906" w:h="16838" w:code="9"/>
          <w:pgMar w:top="1440" w:right="1797" w:bottom="1440" w:left="1797" w:header="709" w:footer="709" w:gutter="0"/>
          <w:pgNumType w:fmt="lowerRoman" w:start="1"/>
          <w:cols w:space="708"/>
          <w:docGrid w:linePitch="360"/>
        </w:sectPr>
      </w:pPr>
    </w:p>
    <w:p w:rsidR="008513E8" w:rsidRDefault="008513E8" w:rsidP="004D044A">
      <w:pPr>
        <w:pStyle w:val="AERbodytext"/>
      </w:pPr>
    </w:p>
    <w:p w:rsidR="00AA1DED" w:rsidRPr="00E0671E" w:rsidRDefault="00AA1DED" w:rsidP="00963CA2">
      <w:pPr>
        <w:pStyle w:val="AERbodytext"/>
        <w:rPr>
          <w:b/>
        </w:rPr>
      </w:pPr>
      <w:r w:rsidRPr="00E0671E">
        <w:rPr>
          <w:b/>
        </w:rPr>
        <w:t xml:space="preserve">© Commonwealth of Australia </w:t>
      </w:r>
      <w:r w:rsidR="00553BB3" w:rsidRPr="00E0671E">
        <w:rPr>
          <w:b/>
        </w:rPr>
        <w:t>201</w:t>
      </w:r>
      <w:r w:rsidR="00553BB3">
        <w:rPr>
          <w:b/>
        </w:rPr>
        <w:t>4</w:t>
      </w:r>
    </w:p>
    <w:p w:rsidR="00AA1DED" w:rsidRPr="00E0671E" w:rsidRDefault="00AA1DED" w:rsidP="00AA1DED">
      <w:pPr>
        <w:pStyle w:val="AERbodytext"/>
      </w:pPr>
      <w:r w:rsidRPr="00E0671E">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AA1DED" w:rsidRPr="00E0671E" w:rsidRDefault="00AA1DED" w:rsidP="00AA1DED">
      <w:pPr>
        <w:pStyle w:val="AERbodytext"/>
      </w:pPr>
      <w:r w:rsidRPr="00E0671E">
        <w:t>Inquiries about this report should be addressed to:</w:t>
      </w:r>
    </w:p>
    <w:p w:rsidR="00AA1DED" w:rsidRPr="00E0671E" w:rsidRDefault="00AA1DED" w:rsidP="00AA1DED">
      <w:pPr>
        <w:pStyle w:val="AERbodytext"/>
        <w:spacing w:after="0"/>
      </w:pPr>
      <w:r w:rsidRPr="00E0671E">
        <w:t>Australian Energy Regulator</w:t>
      </w:r>
    </w:p>
    <w:p w:rsidR="00AA1DED" w:rsidRPr="00E0671E" w:rsidRDefault="00AA1DED" w:rsidP="00AA1DED">
      <w:pPr>
        <w:pStyle w:val="AERbodytext"/>
        <w:spacing w:after="0"/>
      </w:pPr>
      <w:r w:rsidRPr="00E0671E">
        <w:t>GPO Box 520</w:t>
      </w:r>
    </w:p>
    <w:p w:rsidR="00AA1DED" w:rsidRPr="00E0671E" w:rsidRDefault="00AA1DED" w:rsidP="00AA1DED">
      <w:pPr>
        <w:pStyle w:val="AERbodytext"/>
        <w:spacing w:after="0"/>
      </w:pPr>
      <w:proofErr w:type="gramStart"/>
      <w:r w:rsidRPr="00E0671E">
        <w:t>Melbourne  Vic</w:t>
      </w:r>
      <w:proofErr w:type="gramEnd"/>
      <w:r w:rsidRPr="00E0671E">
        <w:t xml:space="preserve">  3001</w:t>
      </w:r>
    </w:p>
    <w:p w:rsidR="00AA1DED" w:rsidRPr="00E0671E" w:rsidRDefault="00AA1DED" w:rsidP="00AA1DED">
      <w:pPr>
        <w:pStyle w:val="AERbodytext"/>
        <w:spacing w:after="0"/>
      </w:pPr>
      <w:r w:rsidRPr="00E0671E">
        <w:t>Tel: (03) 9290 1444</w:t>
      </w:r>
    </w:p>
    <w:p w:rsidR="00AA1DED" w:rsidRPr="00E0671E" w:rsidRDefault="00AA1DED" w:rsidP="00AA1DED">
      <w:pPr>
        <w:pStyle w:val="AERbodytext"/>
        <w:spacing w:after="0"/>
      </w:pPr>
      <w:r w:rsidRPr="00E0671E">
        <w:t>Fax: (03) 9290 1457</w:t>
      </w:r>
    </w:p>
    <w:p w:rsidR="00AA1DED" w:rsidRPr="00E0671E" w:rsidRDefault="00AA1DED" w:rsidP="00AA1DED">
      <w:pPr>
        <w:pStyle w:val="AERbodytext"/>
      </w:pPr>
      <w:r w:rsidRPr="00E0671E">
        <w:t xml:space="preserve">Email: </w:t>
      </w:r>
      <w:hyperlink r:id="rId13" w:history="1">
        <w:r w:rsidRPr="00E0671E">
          <w:rPr>
            <w:rStyle w:val="Hyperlink"/>
          </w:rPr>
          <w:t>AERInquiry@aer.gov.au</w:t>
        </w:r>
      </w:hyperlink>
    </w:p>
    <w:p w:rsidR="00AA1DED" w:rsidRPr="00E0671E" w:rsidRDefault="00AA1DED" w:rsidP="00AA1DED">
      <w:pPr>
        <w:pStyle w:val="AERbodytext"/>
        <w:rPr>
          <w:lang w:eastAsia="en-AU"/>
        </w:rPr>
      </w:pPr>
    </w:p>
    <w:p w:rsidR="009710F3" w:rsidRPr="0020321C" w:rsidRDefault="009710F3" w:rsidP="0020321C">
      <w:pPr>
        <w:pStyle w:val="AERbodytext"/>
        <w:jc w:val="left"/>
        <w:rPr>
          <w:rFonts w:cs="Gautami"/>
        </w:rPr>
      </w:pPr>
      <w:r w:rsidRPr="00E0671E">
        <w:t xml:space="preserve">AER reference:   </w:t>
      </w:r>
      <w:r w:rsidR="0031180C" w:rsidRPr="00E0671E">
        <w:t>5</w:t>
      </w:r>
      <w:r w:rsidR="000C6E81">
        <w:t>3910</w:t>
      </w:r>
      <w:r w:rsidR="007725E6" w:rsidRPr="00E0671E">
        <w:t>-</w:t>
      </w:r>
      <w:r w:rsidR="00E16A37" w:rsidRPr="00E16A37">
        <w:t>D1</w:t>
      </w:r>
      <w:r w:rsidR="0004398F">
        <w:t>4</w:t>
      </w:r>
      <w:r w:rsidR="00E16A37" w:rsidRPr="00E16A37">
        <w:t>/</w:t>
      </w:r>
      <w:r w:rsidR="000C6E81">
        <w:t>42686</w:t>
      </w:r>
    </w:p>
    <w:p w:rsidR="000733BC" w:rsidRPr="00F6235D" w:rsidRDefault="000733BC" w:rsidP="004D044A">
      <w:pPr>
        <w:pStyle w:val="AERbodytext"/>
      </w:pPr>
    </w:p>
    <w:p w:rsidR="000733BC" w:rsidRPr="00F6235D" w:rsidRDefault="000733BC" w:rsidP="004D044A">
      <w:pPr>
        <w:pStyle w:val="TOC1"/>
      </w:pPr>
    </w:p>
    <w:p w:rsidR="000733BC" w:rsidRDefault="000733BC" w:rsidP="00E86435">
      <w:pPr>
        <w:pStyle w:val="AERbodytext"/>
      </w:pPr>
      <w:bookmarkStart w:id="7" w:name="_Toc317520245"/>
    </w:p>
    <w:p w:rsidR="00AC0EF2" w:rsidRDefault="000733BC" w:rsidP="00AC0EF2">
      <w:pPr>
        <w:pStyle w:val="UnnumberedHeading"/>
      </w:pPr>
      <w:bookmarkStart w:id="8" w:name="_Toc348356878"/>
      <w:bookmarkStart w:id="9" w:name="_Toc348436394"/>
      <w:bookmarkStart w:id="10" w:name="_Toc349127069"/>
      <w:bookmarkStart w:id="11" w:name="_Toc349571708"/>
      <w:bookmarkStart w:id="12" w:name="_Toc352776003"/>
      <w:bookmarkStart w:id="13" w:name="_Toc353291604"/>
      <w:bookmarkStart w:id="14" w:name="_Toc353448647"/>
      <w:bookmarkStart w:id="15" w:name="_Toc354138172"/>
      <w:bookmarkStart w:id="16" w:name="_Toc354149233"/>
      <w:bookmarkStart w:id="17" w:name="_Toc362268658"/>
      <w:bookmarkStart w:id="18" w:name="_Toc369252562"/>
      <w:bookmarkStart w:id="19" w:name="_Toc378763077"/>
      <w:bookmarkStart w:id="20" w:name="_Toc378763110"/>
      <w:bookmarkStart w:id="21" w:name="_Toc378930716"/>
      <w:bookmarkStart w:id="22" w:name="_Toc386034737"/>
      <w:bookmarkStart w:id="23" w:name="_Toc386117296"/>
      <w:r w:rsidRPr="00B011D7">
        <w:lastRenderedPageBreak/>
        <w:t>Contents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bookmarkStart w:id="24" w:name="_Toc337553424"/>
    <w:p w:rsidR="00605FB3" w:rsidRDefault="00345E1B">
      <w:pPr>
        <w:pStyle w:val="TOC1"/>
        <w:rPr>
          <w:rFonts w:asciiTheme="minorHAnsi" w:eastAsiaTheme="minorEastAsia" w:hAnsiTheme="minorHAnsi" w:cstheme="minorBidi"/>
          <w:b w:val="0"/>
          <w:noProof/>
          <w:lang w:eastAsia="en-AU"/>
        </w:rPr>
      </w:pPr>
      <w:r>
        <w:fldChar w:fldCharType="begin"/>
      </w:r>
      <w:r w:rsidR="002C7158">
        <w:instrText xml:space="preserve"> TOC \h \z \t "AER heading 2,2,AER unnumbered heading,1,AER confidentialo appendix heading 1,1,Unnumbered Heading,1,QCR unnumbered unbold heading,2,QCR Heading 1,1" </w:instrText>
      </w:r>
      <w:r>
        <w:fldChar w:fldCharType="separate"/>
      </w:r>
      <w:hyperlink w:anchor="_Toc386117297" w:history="1">
        <w:r w:rsidR="00605FB3" w:rsidRPr="005E2DF0">
          <w:rPr>
            <w:rStyle w:val="Hyperlink"/>
            <w:noProof/>
          </w:rPr>
          <w:t>Executive summary</w:t>
        </w:r>
        <w:r w:rsidR="00605FB3">
          <w:rPr>
            <w:noProof/>
            <w:webHidden/>
          </w:rPr>
          <w:tab/>
        </w:r>
        <w:r w:rsidR="00605FB3">
          <w:rPr>
            <w:noProof/>
            <w:webHidden/>
          </w:rPr>
          <w:fldChar w:fldCharType="begin"/>
        </w:r>
        <w:r w:rsidR="00605FB3">
          <w:rPr>
            <w:noProof/>
            <w:webHidden/>
          </w:rPr>
          <w:instrText xml:space="preserve"> PAGEREF _Toc386117297 \h </w:instrText>
        </w:r>
        <w:r w:rsidR="00605FB3">
          <w:rPr>
            <w:noProof/>
            <w:webHidden/>
          </w:rPr>
        </w:r>
        <w:r w:rsidR="00605FB3">
          <w:rPr>
            <w:noProof/>
            <w:webHidden/>
          </w:rPr>
          <w:fldChar w:fldCharType="separate"/>
        </w:r>
        <w:r w:rsidR="00605FB3">
          <w:rPr>
            <w:noProof/>
            <w:webHidden/>
          </w:rPr>
          <w:t>4</w:t>
        </w:r>
        <w:r w:rsidR="00605FB3">
          <w:rPr>
            <w:noProof/>
            <w:webHidden/>
          </w:rPr>
          <w:fldChar w:fldCharType="end"/>
        </w:r>
      </w:hyperlink>
    </w:p>
    <w:p w:rsidR="00605FB3" w:rsidRDefault="00850A3E">
      <w:pPr>
        <w:pStyle w:val="TOC1"/>
        <w:rPr>
          <w:rFonts w:asciiTheme="minorHAnsi" w:eastAsiaTheme="minorEastAsia" w:hAnsiTheme="minorHAnsi" w:cstheme="minorBidi"/>
          <w:b w:val="0"/>
          <w:noProof/>
          <w:lang w:eastAsia="en-AU"/>
        </w:rPr>
      </w:pPr>
      <w:hyperlink w:anchor="_Toc386117298" w:history="1">
        <w:r w:rsidR="00605FB3" w:rsidRPr="005E2DF0">
          <w:rPr>
            <w:rStyle w:val="Hyperlink"/>
            <w:noProof/>
          </w:rPr>
          <w:t>Background</w:t>
        </w:r>
        <w:r w:rsidR="00605FB3">
          <w:rPr>
            <w:noProof/>
            <w:webHidden/>
          </w:rPr>
          <w:tab/>
        </w:r>
        <w:r w:rsidR="00605FB3">
          <w:rPr>
            <w:noProof/>
            <w:webHidden/>
          </w:rPr>
          <w:fldChar w:fldCharType="begin"/>
        </w:r>
        <w:r w:rsidR="00605FB3">
          <w:rPr>
            <w:noProof/>
            <w:webHidden/>
          </w:rPr>
          <w:instrText xml:space="preserve"> PAGEREF _Toc386117298 \h </w:instrText>
        </w:r>
        <w:r w:rsidR="00605FB3">
          <w:rPr>
            <w:noProof/>
            <w:webHidden/>
          </w:rPr>
        </w:r>
        <w:r w:rsidR="00605FB3">
          <w:rPr>
            <w:noProof/>
            <w:webHidden/>
          </w:rPr>
          <w:fldChar w:fldCharType="separate"/>
        </w:r>
        <w:r w:rsidR="00605FB3">
          <w:rPr>
            <w:noProof/>
            <w:webHidden/>
          </w:rPr>
          <w:t>6</w:t>
        </w:r>
        <w:r w:rsidR="00605FB3">
          <w:rPr>
            <w:noProof/>
            <w:webHidden/>
          </w:rPr>
          <w:fldChar w:fldCharType="end"/>
        </w:r>
      </w:hyperlink>
    </w:p>
    <w:p w:rsidR="00605FB3" w:rsidRDefault="00850A3E">
      <w:pPr>
        <w:pStyle w:val="TOC1"/>
        <w:rPr>
          <w:rFonts w:asciiTheme="minorHAnsi" w:eastAsiaTheme="minorEastAsia" w:hAnsiTheme="minorHAnsi" w:cstheme="minorBidi"/>
          <w:b w:val="0"/>
          <w:noProof/>
          <w:lang w:eastAsia="en-AU"/>
        </w:rPr>
      </w:pPr>
      <w:hyperlink w:anchor="_Toc386117299" w:history="1">
        <w:r w:rsidR="00605FB3" w:rsidRPr="005E2DF0">
          <w:rPr>
            <w:rStyle w:val="Hyperlink"/>
            <w:noProof/>
          </w:rPr>
          <w:t>1</w:t>
        </w:r>
        <w:r w:rsidR="00605FB3">
          <w:rPr>
            <w:rFonts w:asciiTheme="minorHAnsi" w:eastAsiaTheme="minorEastAsia" w:hAnsiTheme="minorHAnsi" w:cstheme="minorBidi"/>
            <w:b w:val="0"/>
            <w:noProof/>
            <w:lang w:eastAsia="en-AU"/>
          </w:rPr>
          <w:tab/>
        </w:r>
        <w:r w:rsidR="00605FB3" w:rsidRPr="005E2DF0">
          <w:rPr>
            <w:rStyle w:val="Hyperlink"/>
            <w:noProof/>
          </w:rPr>
          <w:t>Gas</w:t>
        </w:r>
        <w:r w:rsidR="00605FB3">
          <w:rPr>
            <w:noProof/>
            <w:webHidden/>
          </w:rPr>
          <w:tab/>
        </w:r>
        <w:r w:rsidR="00605FB3">
          <w:rPr>
            <w:noProof/>
            <w:webHidden/>
          </w:rPr>
          <w:fldChar w:fldCharType="begin"/>
        </w:r>
        <w:r w:rsidR="00605FB3">
          <w:rPr>
            <w:noProof/>
            <w:webHidden/>
          </w:rPr>
          <w:instrText xml:space="preserve"> PAGEREF _Toc386117299 \h </w:instrText>
        </w:r>
        <w:r w:rsidR="00605FB3">
          <w:rPr>
            <w:noProof/>
            <w:webHidden/>
          </w:rPr>
        </w:r>
        <w:r w:rsidR="00605FB3">
          <w:rPr>
            <w:noProof/>
            <w:webHidden/>
          </w:rPr>
          <w:fldChar w:fldCharType="separate"/>
        </w:r>
        <w:r w:rsidR="00605FB3">
          <w:rPr>
            <w:noProof/>
            <w:webHidden/>
          </w:rPr>
          <w:t>7</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00" w:history="1">
        <w:r w:rsidR="00605FB3" w:rsidRPr="005E2DF0">
          <w:rPr>
            <w:rStyle w:val="Hyperlink"/>
            <w:noProof/>
          </w:rPr>
          <w:t>Gas Supply Hub</w:t>
        </w:r>
        <w:r w:rsidR="00605FB3">
          <w:rPr>
            <w:noProof/>
            <w:webHidden/>
          </w:rPr>
          <w:tab/>
        </w:r>
        <w:r w:rsidR="00605FB3">
          <w:rPr>
            <w:noProof/>
            <w:webHidden/>
          </w:rPr>
          <w:fldChar w:fldCharType="begin"/>
        </w:r>
        <w:r w:rsidR="00605FB3">
          <w:rPr>
            <w:noProof/>
            <w:webHidden/>
          </w:rPr>
          <w:instrText xml:space="preserve"> PAGEREF _Toc386117300 \h </w:instrText>
        </w:r>
        <w:r w:rsidR="00605FB3">
          <w:rPr>
            <w:noProof/>
            <w:webHidden/>
          </w:rPr>
        </w:r>
        <w:r w:rsidR="00605FB3">
          <w:rPr>
            <w:noProof/>
            <w:webHidden/>
          </w:rPr>
          <w:fldChar w:fldCharType="separate"/>
        </w:r>
        <w:r w:rsidR="00605FB3">
          <w:rPr>
            <w:noProof/>
            <w:webHidden/>
          </w:rPr>
          <w:t>7</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01" w:history="1">
        <w:r w:rsidR="00605FB3" w:rsidRPr="005E2DF0">
          <w:rPr>
            <w:rStyle w:val="Hyperlink"/>
            <w:noProof/>
          </w:rPr>
          <w:t>Short Term Trading Market</w:t>
        </w:r>
        <w:r w:rsidR="00605FB3">
          <w:rPr>
            <w:noProof/>
            <w:webHidden/>
          </w:rPr>
          <w:tab/>
        </w:r>
        <w:r w:rsidR="00605FB3">
          <w:rPr>
            <w:noProof/>
            <w:webHidden/>
          </w:rPr>
          <w:fldChar w:fldCharType="begin"/>
        </w:r>
        <w:r w:rsidR="00605FB3">
          <w:rPr>
            <w:noProof/>
            <w:webHidden/>
          </w:rPr>
          <w:instrText xml:space="preserve"> PAGEREF _Toc386117301 \h </w:instrText>
        </w:r>
        <w:r w:rsidR="00605FB3">
          <w:rPr>
            <w:noProof/>
            <w:webHidden/>
          </w:rPr>
        </w:r>
        <w:r w:rsidR="00605FB3">
          <w:rPr>
            <w:noProof/>
            <w:webHidden/>
          </w:rPr>
          <w:fldChar w:fldCharType="separate"/>
        </w:r>
        <w:r w:rsidR="00605FB3">
          <w:rPr>
            <w:noProof/>
            <w:webHidden/>
          </w:rPr>
          <w:t>7</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02" w:history="1">
        <w:r w:rsidR="00605FB3" w:rsidRPr="005E2DF0">
          <w:rPr>
            <w:rStyle w:val="Hyperlink"/>
            <w:noProof/>
          </w:rPr>
          <w:t>1.1</w:t>
        </w:r>
        <w:r w:rsidR="00605FB3">
          <w:rPr>
            <w:rFonts w:asciiTheme="minorHAnsi" w:eastAsiaTheme="minorEastAsia" w:hAnsiTheme="minorHAnsi" w:cstheme="minorBidi"/>
            <w:noProof/>
            <w:lang w:eastAsia="en-AU"/>
          </w:rPr>
          <w:tab/>
        </w:r>
        <w:r w:rsidR="00605FB3" w:rsidRPr="005E2DF0">
          <w:rPr>
            <w:rStyle w:val="Hyperlink"/>
            <w:noProof/>
          </w:rPr>
          <w:t>Capacity and allocation data quality</w:t>
        </w:r>
        <w:r w:rsidR="00605FB3">
          <w:rPr>
            <w:noProof/>
            <w:webHidden/>
          </w:rPr>
          <w:tab/>
        </w:r>
        <w:r w:rsidR="00605FB3">
          <w:rPr>
            <w:noProof/>
            <w:webHidden/>
          </w:rPr>
          <w:fldChar w:fldCharType="begin"/>
        </w:r>
        <w:r w:rsidR="00605FB3">
          <w:rPr>
            <w:noProof/>
            <w:webHidden/>
          </w:rPr>
          <w:instrText xml:space="preserve"> PAGEREF _Toc386117302 \h </w:instrText>
        </w:r>
        <w:r w:rsidR="00605FB3">
          <w:rPr>
            <w:noProof/>
            <w:webHidden/>
          </w:rPr>
        </w:r>
        <w:r w:rsidR="00605FB3">
          <w:rPr>
            <w:noProof/>
            <w:webHidden/>
          </w:rPr>
          <w:fldChar w:fldCharType="separate"/>
        </w:r>
        <w:r w:rsidR="00605FB3">
          <w:rPr>
            <w:noProof/>
            <w:webHidden/>
          </w:rPr>
          <w:t>8</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03" w:history="1">
        <w:r w:rsidR="00605FB3" w:rsidRPr="005E2DF0">
          <w:rPr>
            <w:rStyle w:val="Hyperlink"/>
            <w:noProof/>
          </w:rPr>
          <w:t>1.2</w:t>
        </w:r>
        <w:r w:rsidR="00605FB3">
          <w:rPr>
            <w:rFonts w:asciiTheme="minorHAnsi" w:eastAsiaTheme="minorEastAsia" w:hAnsiTheme="minorHAnsi" w:cstheme="minorBidi"/>
            <w:noProof/>
            <w:lang w:eastAsia="en-AU"/>
          </w:rPr>
          <w:tab/>
        </w:r>
        <w:r w:rsidR="00605FB3" w:rsidRPr="005E2DF0">
          <w:rPr>
            <w:rStyle w:val="Hyperlink"/>
            <w:noProof/>
          </w:rPr>
          <w:t>Epic Energy—late STTM data</w:t>
        </w:r>
        <w:r w:rsidR="00605FB3">
          <w:rPr>
            <w:noProof/>
            <w:webHidden/>
          </w:rPr>
          <w:tab/>
        </w:r>
        <w:r w:rsidR="00605FB3">
          <w:rPr>
            <w:noProof/>
            <w:webHidden/>
          </w:rPr>
          <w:fldChar w:fldCharType="begin"/>
        </w:r>
        <w:r w:rsidR="00605FB3">
          <w:rPr>
            <w:noProof/>
            <w:webHidden/>
          </w:rPr>
          <w:instrText xml:space="preserve"> PAGEREF _Toc386117303 \h </w:instrText>
        </w:r>
        <w:r w:rsidR="00605FB3">
          <w:rPr>
            <w:noProof/>
            <w:webHidden/>
          </w:rPr>
        </w:r>
        <w:r w:rsidR="00605FB3">
          <w:rPr>
            <w:noProof/>
            <w:webHidden/>
          </w:rPr>
          <w:fldChar w:fldCharType="separate"/>
        </w:r>
        <w:r w:rsidR="00605FB3">
          <w:rPr>
            <w:noProof/>
            <w:webHidden/>
          </w:rPr>
          <w:t>8</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04" w:history="1">
        <w:r w:rsidR="00605FB3" w:rsidRPr="005E2DF0">
          <w:rPr>
            <w:rStyle w:val="Hyperlink"/>
            <w:noProof/>
          </w:rPr>
          <w:t>1.3</w:t>
        </w:r>
        <w:r w:rsidR="00605FB3">
          <w:rPr>
            <w:rFonts w:asciiTheme="minorHAnsi" w:eastAsiaTheme="minorEastAsia" w:hAnsiTheme="minorHAnsi" w:cstheme="minorBidi"/>
            <w:noProof/>
            <w:lang w:eastAsia="en-AU"/>
          </w:rPr>
          <w:tab/>
        </w:r>
        <w:r w:rsidR="00605FB3" w:rsidRPr="005E2DF0">
          <w:rPr>
            <w:rStyle w:val="Hyperlink"/>
            <w:noProof/>
          </w:rPr>
          <w:t>Incitec Pivot—late final settlement payment</w:t>
        </w:r>
        <w:r w:rsidR="00605FB3">
          <w:rPr>
            <w:noProof/>
            <w:webHidden/>
          </w:rPr>
          <w:tab/>
        </w:r>
        <w:r w:rsidR="00605FB3">
          <w:rPr>
            <w:noProof/>
            <w:webHidden/>
          </w:rPr>
          <w:fldChar w:fldCharType="begin"/>
        </w:r>
        <w:r w:rsidR="00605FB3">
          <w:rPr>
            <w:noProof/>
            <w:webHidden/>
          </w:rPr>
          <w:instrText xml:space="preserve"> PAGEREF _Toc386117304 \h </w:instrText>
        </w:r>
        <w:r w:rsidR="00605FB3">
          <w:rPr>
            <w:noProof/>
            <w:webHidden/>
          </w:rPr>
        </w:r>
        <w:r w:rsidR="00605FB3">
          <w:rPr>
            <w:noProof/>
            <w:webHidden/>
          </w:rPr>
          <w:fldChar w:fldCharType="separate"/>
        </w:r>
        <w:r w:rsidR="00605FB3">
          <w:rPr>
            <w:noProof/>
            <w:webHidden/>
          </w:rPr>
          <w:t>9</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05" w:history="1">
        <w:r w:rsidR="00605FB3" w:rsidRPr="005E2DF0">
          <w:rPr>
            <w:rStyle w:val="Hyperlink"/>
            <w:noProof/>
          </w:rPr>
          <w:t>Victorian gas market</w:t>
        </w:r>
        <w:r w:rsidR="00605FB3">
          <w:rPr>
            <w:noProof/>
            <w:webHidden/>
          </w:rPr>
          <w:tab/>
        </w:r>
        <w:r w:rsidR="00605FB3">
          <w:rPr>
            <w:noProof/>
            <w:webHidden/>
          </w:rPr>
          <w:fldChar w:fldCharType="begin"/>
        </w:r>
        <w:r w:rsidR="00605FB3">
          <w:rPr>
            <w:noProof/>
            <w:webHidden/>
          </w:rPr>
          <w:instrText xml:space="preserve"> PAGEREF _Toc386117305 \h </w:instrText>
        </w:r>
        <w:r w:rsidR="00605FB3">
          <w:rPr>
            <w:noProof/>
            <w:webHidden/>
          </w:rPr>
        </w:r>
        <w:r w:rsidR="00605FB3">
          <w:rPr>
            <w:noProof/>
            <w:webHidden/>
          </w:rPr>
          <w:fldChar w:fldCharType="separate"/>
        </w:r>
        <w:r w:rsidR="00605FB3">
          <w:rPr>
            <w:noProof/>
            <w:webHidden/>
          </w:rPr>
          <w:t>9</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06" w:history="1">
        <w:r w:rsidR="00605FB3" w:rsidRPr="005E2DF0">
          <w:rPr>
            <w:rStyle w:val="Hyperlink"/>
            <w:noProof/>
          </w:rPr>
          <w:t>1.4</w:t>
        </w:r>
        <w:r w:rsidR="00605FB3">
          <w:rPr>
            <w:rFonts w:asciiTheme="minorHAnsi" w:eastAsiaTheme="minorEastAsia" w:hAnsiTheme="minorHAnsi" w:cstheme="minorBidi"/>
            <w:noProof/>
            <w:lang w:eastAsia="en-AU"/>
          </w:rPr>
          <w:tab/>
        </w:r>
        <w:r w:rsidR="00605FB3" w:rsidRPr="005E2DF0">
          <w:rPr>
            <w:rStyle w:val="Hyperlink"/>
            <w:noProof/>
          </w:rPr>
          <w:t>Origin Energy—failure to update withdrawal bid</w:t>
        </w:r>
        <w:r w:rsidR="00605FB3">
          <w:rPr>
            <w:noProof/>
            <w:webHidden/>
          </w:rPr>
          <w:tab/>
        </w:r>
        <w:r w:rsidR="00605FB3">
          <w:rPr>
            <w:noProof/>
            <w:webHidden/>
          </w:rPr>
          <w:fldChar w:fldCharType="begin"/>
        </w:r>
        <w:r w:rsidR="00605FB3">
          <w:rPr>
            <w:noProof/>
            <w:webHidden/>
          </w:rPr>
          <w:instrText xml:space="preserve"> PAGEREF _Toc386117306 \h </w:instrText>
        </w:r>
        <w:r w:rsidR="00605FB3">
          <w:rPr>
            <w:noProof/>
            <w:webHidden/>
          </w:rPr>
        </w:r>
        <w:r w:rsidR="00605FB3">
          <w:rPr>
            <w:noProof/>
            <w:webHidden/>
          </w:rPr>
          <w:fldChar w:fldCharType="separate"/>
        </w:r>
        <w:r w:rsidR="00605FB3">
          <w:rPr>
            <w:noProof/>
            <w:webHidden/>
          </w:rPr>
          <w:t>9</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07" w:history="1">
        <w:r w:rsidR="00605FB3" w:rsidRPr="005E2DF0">
          <w:rPr>
            <w:rStyle w:val="Hyperlink"/>
            <w:noProof/>
          </w:rPr>
          <w:t>Bulletin Board</w:t>
        </w:r>
        <w:r w:rsidR="00605FB3">
          <w:rPr>
            <w:noProof/>
            <w:webHidden/>
          </w:rPr>
          <w:tab/>
        </w:r>
        <w:r w:rsidR="00605FB3">
          <w:rPr>
            <w:noProof/>
            <w:webHidden/>
          </w:rPr>
          <w:fldChar w:fldCharType="begin"/>
        </w:r>
        <w:r w:rsidR="00605FB3">
          <w:rPr>
            <w:noProof/>
            <w:webHidden/>
          </w:rPr>
          <w:instrText xml:space="preserve"> PAGEREF _Toc386117307 \h </w:instrText>
        </w:r>
        <w:r w:rsidR="00605FB3">
          <w:rPr>
            <w:noProof/>
            <w:webHidden/>
          </w:rPr>
        </w:r>
        <w:r w:rsidR="00605FB3">
          <w:rPr>
            <w:noProof/>
            <w:webHidden/>
          </w:rPr>
          <w:fldChar w:fldCharType="separate"/>
        </w:r>
        <w:r w:rsidR="00605FB3">
          <w:rPr>
            <w:noProof/>
            <w:webHidden/>
          </w:rPr>
          <w:t>10</w:t>
        </w:r>
        <w:r w:rsidR="00605FB3">
          <w:rPr>
            <w:noProof/>
            <w:webHidden/>
          </w:rPr>
          <w:fldChar w:fldCharType="end"/>
        </w:r>
      </w:hyperlink>
    </w:p>
    <w:p w:rsidR="00605FB3" w:rsidRDefault="00850A3E">
      <w:pPr>
        <w:pStyle w:val="TOC1"/>
        <w:rPr>
          <w:rFonts w:asciiTheme="minorHAnsi" w:eastAsiaTheme="minorEastAsia" w:hAnsiTheme="minorHAnsi" w:cstheme="minorBidi"/>
          <w:b w:val="0"/>
          <w:noProof/>
          <w:lang w:eastAsia="en-AU"/>
        </w:rPr>
      </w:pPr>
      <w:hyperlink w:anchor="_Toc386117308" w:history="1">
        <w:r w:rsidR="00605FB3" w:rsidRPr="005E2DF0">
          <w:rPr>
            <w:rStyle w:val="Hyperlink"/>
            <w:noProof/>
          </w:rPr>
          <w:t>2</w:t>
        </w:r>
        <w:r w:rsidR="00605FB3">
          <w:rPr>
            <w:rFonts w:asciiTheme="minorHAnsi" w:eastAsiaTheme="minorEastAsia" w:hAnsiTheme="minorHAnsi" w:cstheme="minorBidi"/>
            <w:b w:val="0"/>
            <w:noProof/>
            <w:lang w:eastAsia="en-AU"/>
          </w:rPr>
          <w:tab/>
        </w:r>
        <w:r w:rsidR="00605FB3" w:rsidRPr="005E2DF0">
          <w:rPr>
            <w:rStyle w:val="Hyperlink"/>
            <w:noProof/>
          </w:rPr>
          <w:t>Electricity</w:t>
        </w:r>
        <w:r w:rsidR="00605FB3">
          <w:rPr>
            <w:noProof/>
            <w:webHidden/>
          </w:rPr>
          <w:tab/>
        </w:r>
        <w:r w:rsidR="00605FB3">
          <w:rPr>
            <w:noProof/>
            <w:webHidden/>
          </w:rPr>
          <w:fldChar w:fldCharType="begin"/>
        </w:r>
        <w:r w:rsidR="00605FB3">
          <w:rPr>
            <w:noProof/>
            <w:webHidden/>
          </w:rPr>
          <w:instrText xml:space="preserve"> PAGEREF _Toc386117308 \h </w:instrText>
        </w:r>
        <w:r w:rsidR="00605FB3">
          <w:rPr>
            <w:noProof/>
            <w:webHidden/>
          </w:rPr>
        </w:r>
        <w:r w:rsidR="00605FB3">
          <w:rPr>
            <w:noProof/>
            <w:webHidden/>
          </w:rPr>
          <w:fldChar w:fldCharType="separate"/>
        </w:r>
        <w:r w:rsidR="00605FB3">
          <w:rPr>
            <w:noProof/>
            <w:webHidden/>
          </w:rPr>
          <w:t>11</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09" w:history="1">
        <w:r w:rsidR="00605FB3" w:rsidRPr="005E2DF0">
          <w:rPr>
            <w:rStyle w:val="Hyperlink"/>
            <w:noProof/>
          </w:rPr>
          <w:t>2.1</w:t>
        </w:r>
        <w:r w:rsidR="00605FB3">
          <w:rPr>
            <w:rFonts w:asciiTheme="minorHAnsi" w:eastAsiaTheme="minorEastAsia" w:hAnsiTheme="minorHAnsi" w:cstheme="minorBidi"/>
            <w:noProof/>
            <w:lang w:eastAsia="en-AU"/>
          </w:rPr>
          <w:tab/>
        </w:r>
        <w:r w:rsidR="00605FB3" w:rsidRPr="005E2DF0">
          <w:rPr>
            <w:rStyle w:val="Hyperlink"/>
            <w:noProof/>
          </w:rPr>
          <w:t>Rebidding</w:t>
        </w:r>
        <w:r w:rsidR="00605FB3">
          <w:rPr>
            <w:noProof/>
            <w:webHidden/>
          </w:rPr>
          <w:tab/>
        </w:r>
        <w:r w:rsidR="00605FB3">
          <w:rPr>
            <w:noProof/>
            <w:webHidden/>
          </w:rPr>
          <w:fldChar w:fldCharType="begin"/>
        </w:r>
        <w:r w:rsidR="00605FB3">
          <w:rPr>
            <w:noProof/>
            <w:webHidden/>
          </w:rPr>
          <w:instrText xml:space="preserve"> PAGEREF _Toc386117309 \h </w:instrText>
        </w:r>
        <w:r w:rsidR="00605FB3">
          <w:rPr>
            <w:noProof/>
            <w:webHidden/>
          </w:rPr>
        </w:r>
        <w:r w:rsidR="00605FB3">
          <w:rPr>
            <w:noProof/>
            <w:webHidden/>
          </w:rPr>
          <w:fldChar w:fldCharType="separate"/>
        </w:r>
        <w:r w:rsidR="00605FB3">
          <w:rPr>
            <w:noProof/>
            <w:webHidden/>
          </w:rPr>
          <w:t>11</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10" w:history="1">
        <w:r w:rsidR="00605FB3" w:rsidRPr="005E2DF0">
          <w:rPr>
            <w:rStyle w:val="Hyperlink"/>
            <w:noProof/>
          </w:rPr>
          <w:t>2.2</w:t>
        </w:r>
        <w:r w:rsidR="00605FB3">
          <w:rPr>
            <w:rFonts w:asciiTheme="minorHAnsi" w:eastAsiaTheme="minorEastAsia" w:hAnsiTheme="minorHAnsi" w:cstheme="minorBidi"/>
            <w:noProof/>
            <w:lang w:eastAsia="en-AU"/>
          </w:rPr>
          <w:tab/>
        </w:r>
        <w:r w:rsidR="00605FB3" w:rsidRPr="005E2DF0">
          <w:rPr>
            <w:rStyle w:val="Hyperlink"/>
            <w:noProof/>
          </w:rPr>
          <w:t>Rebidding and technical parameters guideline</w:t>
        </w:r>
        <w:r w:rsidR="00605FB3">
          <w:rPr>
            <w:noProof/>
            <w:webHidden/>
          </w:rPr>
          <w:tab/>
        </w:r>
        <w:r w:rsidR="00605FB3">
          <w:rPr>
            <w:noProof/>
            <w:webHidden/>
          </w:rPr>
          <w:fldChar w:fldCharType="begin"/>
        </w:r>
        <w:r w:rsidR="00605FB3">
          <w:rPr>
            <w:noProof/>
            <w:webHidden/>
          </w:rPr>
          <w:instrText xml:space="preserve"> PAGEREF _Toc386117310 \h </w:instrText>
        </w:r>
        <w:r w:rsidR="00605FB3">
          <w:rPr>
            <w:noProof/>
            <w:webHidden/>
          </w:rPr>
        </w:r>
        <w:r w:rsidR="00605FB3">
          <w:rPr>
            <w:noProof/>
            <w:webHidden/>
          </w:rPr>
          <w:fldChar w:fldCharType="separate"/>
        </w:r>
        <w:r w:rsidR="00605FB3">
          <w:rPr>
            <w:noProof/>
            <w:webHidden/>
          </w:rPr>
          <w:t>12</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11" w:history="1">
        <w:r w:rsidR="00605FB3" w:rsidRPr="005E2DF0">
          <w:rPr>
            <w:rStyle w:val="Hyperlink"/>
            <w:noProof/>
          </w:rPr>
          <w:t>2.3</w:t>
        </w:r>
        <w:r w:rsidR="00605FB3">
          <w:rPr>
            <w:rFonts w:asciiTheme="minorHAnsi" w:eastAsiaTheme="minorEastAsia" w:hAnsiTheme="minorHAnsi" w:cstheme="minorBidi"/>
            <w:noProof/>
            <w:lang w:eastAsia="en-AU"/>
          </w:rPr>
          <w:tab/>
        </w:r>
        <w:r w:rsidR="00605FB3" w:rsidRPr="005E2DF0">
          <w:rPr>
            <w:rStyle w:val="Hyperlink"/>
            <w:noProof/>
          </w:rPr>
          <w:t>Electricity transmission connections</w:t>
        </w:r>
        <w:r w:rsidR="00605FB3">
          <w:rPr>
            <w:noProof/>
            <w:webHidden/>
          </w:rPr>
          <w:tab/>
        </w:r>
        <w:r w:rsidR="00605FB3">
          <w:rPr>
            <w:noProof/>
            <w:webHidden/>
          </w:rPr>
          <w:fldChar w:fldCharType="begin"/>
        </w:r>
        <w:r w:rsidR="00605FB3">
          <w:rPr>
            <w:noProof/>
            <w:webHidden/>
          </w:rPr>
          <w:instrText xml:space="preserve"> PAGEREF _Toc386117311 \h </w:instrText>
        </w:r>
        <w:r w:rsidR="00605FB3">
          <w:rPr>
            <w:noProof/>
            <w:webHidden/>
          </w:rPr>
        </w:r>
        <w:r w:rsidR="00605FB3">
          <w:rPr>
            <w:noProof/>
            <w:webHidden/>
          </w:rPr>
          <w:fldChar w:fldCharType="separate"/>
        </w:r>
        <w:r w:rsidR="00605FB3">
          <w:rPr>
            <w:noProof/>
            <w:webHidden/>
          </w:rPr>
          <w:t>12</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12" w:history="1">
        <w:r w:rsidR="00605FB3" w:rsidRPr="005E2DF0">
          <w:rPr>
            <w:rStyle w:val="Hyperlink"/>
            <w:noProof/>
          </w:rPr>
          <w:t>2.4</w:t>
        </w:r>
        <w:r w:rsidR="00605FB3">
          <w:rPr>
            <w:rFonts w:asciiTheme="minorHAnsi" w:eastAsiaTheme="minorEastAsia" w:hAnsiTheme="minorHAnsi" w:cstheme="minorBidi"/>
            <w:noProof/>
            <w:lang w:eastAsia="en-AU"/>
          </w:rPr>
          <w:tab/>
        </w:r>
        <w:r w:rsidR="00605FB3" w:rsidRPr="005E2DF0">
          <w:rPr>
            <w:rStyle w:val="Hyperlink"/>
            <w:noProof/>
          </w:rPr>
          <w:t>Electricity metering metrics</w:t>
        </w:r>
        <w:r w:rsidR="00605FB3">
          <w:rPr>
            <w:noProof/>
            <w:webHidden/>
          </w:rPr>
          <w:tab/>
        </w:r>
        <w:r w:rsidR="00605FB3">
          <w:rPr>
            <w:noProof/>
            <w:webHidden/>
          </w:rPr>
          <w:fldChar w:fldCharType="begin"/>
        </w:r>
        <w:r w:rsidR="00605FB3">
          <w:rPr>
            <w:noProof/>
            <w:webHidden/>
          </w:rPr>
          <w:instrText xml:space="preserve"> PAGEREF _Toc386117312 \h </w:instrText>
        </w:r>
        <w:r w:rsidR="00605FB3">
          <w:rPr>
            <w:noProof/>
            <w:webHidden/>
          </w:rPr>
        </w:r>
        <w:r w:rsidR="00605FB3">
          <w:rPr>
            <w:noProof/>
            <w:webHidden/>
          </w:rPr>
          <w:fldChar w:fldCharType="separate"/>
        </w:r>
        <w:r w:rsidR="00605FB3">
          <w:rPr>
            <w:noProof/>
            <w:webHidden/>
          </w:rPr>
          <w:t>14</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13" w:history="1">
        <w:r w:rsidR="00605FB3" w:rsidRPr="005E2DF0">
          <w:rPr>
            <w:rStyle w:val="Hyperlink"/>
            <w:noProof/>
          </w:rPr>
          <w:t>2.5</w:t>
        </w:r>
        <w:r w:rsidR="00605FB3">
          <w:rPr>
            <w:rFonts w:asciiTheme="minorHAnsi" w:eastAsiaTheme="minorEastAsia" w:hAnsiTheme="minorHAnsi" w:cstheme="minorBidi"/>
            <w:noProof/>
            <w:lang w:eastAsia="en-AU"/>
          </w:rPr>
          <w:tab/>
        </w:r>
        <w:r w:rsidR="00605FB3" w:rsidRPr="005E2DF0">
          <w:rPr>
            <w:rStyle w:val="Hyperlink"/>
            <w:noProof/>
          </w:rPr>
          <w:t>Current transformer testing</w:t>
        </w:r>
        <w:r w:rsidR="00605FB3">
          <w:rPr>
            <w:noProof/>
            <w:webHidden/>
          </w:rPr>
          <w:tab/>
        </w:r>
        <w:r w:rsidR="00605FB3">
          <w:rPr>
            <w:noProof/>
            <w:webHidden/>
          </w:rPr>
          <w:fldChar w:fldCharType="begin"/>
        </w:r>
        <w:r w:rsidR="00605FB3">
          <w:rPr>
            <w:noProof/>
            <w:webHidden/>
          </w:rPr>
          <w:instrText xml:space="preserve"> PAGEREF _Toc386117313 \h </w:instrText>
        </w:r>
        <w:r w:rsidR="00605FB3">
          <w:rPr>
            <w:noProof/>
            <w:webHidden/>
          </w:rPr>
        </w:r>
        <w:r w:rsidR="00605FB3">
          <w:rPr>
            <w:noProof/>
            <w:webHidden/>
          </w:rPr>
          <w:fldChar w:fldCharType="separate"/>
        </w:r>
        <w:r w:rsidR="00605FB3">
          <w:rPr>
            <w:noProof/>
            <w:webHidden/>
          </w:rPr>
          <w:t>15</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14" w:history="1">
        <w:r w:rsidR="00605FB3" w:rsidRPr="005E2DF0">
          <w:rPr>
            <w:rStyle w:val="Hyperlink"/>
            <w:noProof/>
          </w:rPr>
          <w:t>2.6</w:t>
        </w:r>
        <w:r w:rsidR="00605FB3">
          <w:rPr>
            <w:rFonts w:asciiTheme="minorHAnsi" w:eastAsiaTheme="minorEastAsia" w:hAnsiTheme="minorHAnsi" w:cstheme="minorBidi"/>
            <w:noProof/>
            <w:lang w:eastAsia="en-AU"/>
          </w:rPr>
          <w:tab/>
        </w:r>
        <w:r w:rsidR="00605FB3" w:rsidRPr="005E2DF0">
          <w:rPr>
            <w:rStyle w:val="Hyperlink"/>
            <w:noProof/>
          </w:rPr>
          <w:t>Metering compliance issues</w:t>
        </w:r>
        <w:r w:rsidR="00605FB3">
          <w:rPr>
            <w:noProof/>
            <w:webHidden/>
          </w:rPr>
          <w:tab/>
        </w:r>
        <w:r w:rsidR="00605FB3">
          <w:rPr>
            <w:noProof/>
            <w:webHidden/>
          </w:rPr>
          <w:fldChar w:fldCharType="begin"/>
        </w:r>
        <w:r w:rsidR="00605FB3">
          <w:rPr>
            <w:noProof/>
            <w:webHidden/>
          </w:rPr>
          <w:instrText xml:space="preserve"> PAGEREF _Toc386117314 \h </w:instrText>
        </w:r>
        <w:r w:rsidR="00605FB3">
          <w:rPr>
            <w:noProof/>
            <w:webHidden/>
          </w:rPr>
        </w:r>
        <w:r w:rsidR="00605FB3">
          <w:rPr>
            <w:noProof/>
            <w:webHidden/>
          </w:rPr>
          <w:fldChar w:fldCharType="separate"/>
        </w:r>
        <w:r w:rsidR="00605FB3">
          <w:rPr>
            <w:noProof/>
            <w:webHidden/>
          </w:rPr>
          <w:t>16</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15" w:history="1">
        <w:r w:rsidR="00605FB3" w:rsidRPr="005E2DF0">
          <w:rPr>
            <w:rStyle w:val="Hyperlink"/>
            <w:noProof/>
          </w:rPr>
          <w:t>2.7</w:t>
        </w:r>
        <w:r w:rsidR="00605FB3">
          <w:rPr>
            <w:rFonts w:asciiTheme="minorHAnsi" w:eastAsiaTheme="minorEastAsia" w:hAnsiTheme="minorHAnsi" w:cstheme="minorBidi"/>
            <w:noProof/>
            <w:lang w:eastAsia="en-AU"/>
          </w:rPr>
          <w:tab/>
        </w:r>
        <w:r w:rsidR="00605FB3" w:rsidRPr="005E2DF0">
          <w:rPr>
            <w:rStyle w:val="Hyperlink"/>
            <w:noProof/>
          </w:rPr>
          <w:t>Technical audits</w:t>
        </w:r>
        <w:r w:rsidR="00605FB3">
          <w:rPr>
            <w:noProof/>
            <w:webHidden/>
          </w:rPr>
          <w:tab/>
        </w:r>
        <w:r w:rsidR="00605FB3">
          <w:rPr>
            <w:noProof/>
            <w:webHidden/>
          </w:rPr>
          <w:fldChar w:fldCharType="begin"/>
        </w:r>
        <w:r w:rsidR="00605FB3">
          <w:rPr>
            <w:noProof/>
            <w:webHidden/>
          </w:rPr>
          <w:instrText xml:space="preserve"> PAGEREF _Toc386117315 \h </w:instrText>
        </w:r>
        <w:r w:rsidR="00605FB3">
          <w:rPr>
            <w:noProof/>
            <w:webHidden/>
          </w:rPr>
        </w:r>
        <w:r w:rsidR="00605FB3">
          <w:rPr>
            <w:noProof/>
            <w:webHidden/>
          </w:rPr>
          <w:fldChar w:fldCharType="separate"/>
        </w:r>
        <w:r w:rsidR="00605FB3">
          <w:rPr>
            <w:noProof/>
            <w:webHidden/>
          </w:rPr>
          <w:t>16</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16" w:history="1">
        <w:r w:rsidR="00605FB3" w:rsidRPr="005E2DF0">
          <w:rPr>
            <w:rStyle w:val="Hyperlink"/>
            <w:noProof/>
          </w:rPr>
          <w:t>2.8</w:t>
        </w:r>
        <w:r w:rsidR="00605FB3">
          <w:rPr>
            <w:rFonts w:asciiTheme="minorHAnsi" w:eastAsiaTheme="minorEastAsia" w:hAnsiTheme="minorHAnsi" w:cstheme="minorBidi"/>
            <w:noProof/>
            <w:lang w:eastAsia="en-AU"/>
          </w:rPr>
          <w:tab/>
        </w:r>
        <w:r w:rsidR="00605FB3" w:rsidRPr="005E2DF0">
          <w:rPr>
            <w:rStyle w:val="Hyperlink"/>
            <w:noProof/>
          </w:rPr>
          <w:t>Network compliance projects</w:t>
        </w:r>
        <w:r w:rsidR="00605FB3">
          <w:rPr>
            <w:noProof/>
            <w:webHidden/>
          </w:rPr>
          <w:tab/>
        </w:r>
        <w:r w:rsidR="00605FB3">
          <w:rPr>
            <w:noProof/>
            <w:webHidden/>
          </w:rPr>
          <w:fldChar w:fldCharType="begin"/>
        </w:r>
        <w:r w:rsidR="00605FB3">
          <w:rPr>
            <w:noProof/>
            <w:webHidden/>
          </w:rPr>
          <w:instrText xml:space="preserve"> PAGEREF _Toc386117316 \h </w:instrText>
        </w:r>
        <w:r w:rsidR="00605FB3">
          <w:rPr>
            <w:noProof/>
            <w:webHidden/>
          </w:rPr>
        </w:r>
        <w:r w:rsidR="00605FB3">
          <w:rPr>
            <w:noProof/>
            <w:webHidden/>
          </w:rPr>
          <w:fldChar w:fldCharType="separate"/>
        </w:r>
        <w:r w:rsidR="00605FB3">
          <w:rPr>
            <w:noProof/>
            <w:webHidden/>
          </w:rPr>
          <w:t>17</w:t>
        </w:r>
        <w:r w:rsidR="00605FB3">
          <w:rPr>
            <w:noProof/>
            <w:webHidden/>
          </w:rPr>
          <w:fldChar w:fldCharType="end"/>
        </w:r>
      </w:hyperlink>
    </w:p>
    <w:p w:rsidR="00605FB3" w:rsidRDefault="00850A3E">
      <w:pPr>
        <w:pStyle w:val="TOC2"/>
        <w:rPr>
          <w:rFonts w:asciiTheme="minorHAnsi" w:eastAsiaTheme="minorEastAsia" w:hAnsiTheme="minorHAnsi" w:cstheme="minorBidi"/>
          <w:noProof/>
          <w:lang w:eastAsia="en-AU"/>
        </w:rPr>
      </w:pPr>
      <w:hyperlink w:anchor="_Toc386117317" w:history="1">
        <w:r w:rsidR="00605FB3" w:rsidRPr="005E2DF0">
          <w:rPr>
            <w:rStyle w:val="Hyperlink"/>
            <w:noProof/>
          </w:rPr>
          <w:t>2.9</w:t>
        </w:r>
        <w:r w:rsidR="00605FB3">
          <w:rPr>
            <w:rFonts w:asciiTheme="minorHAnsi" w:eastAsiaTheme="minorEastAsia" w:hAnsiTheme="minorHAnsi" w:cstheme="minorBidi"/>
            <w:noProof/>
            <w:lang w:eastAsia="en-AU"/>
          </w:rPr>
          <w:tab/>
        </w:r>
        <w:r w:rsidR="00605FB3" w:rsidRPr="005E2DF0">
          <w:rPr>
            <w:rStyle w:val="Hyperlink"/>
            <w:noProof/>
          </w:rPr>
          <w:t>Jurisdictional derogations</w:t>
        </w:r>
        <w:r w:rsidR="00605FB3">
          <w:rPr>
            <w:noProof/>
            <w:webHidden/>
          </w:rPr>
          <w:tab/>
        </w:r>
        <w:r w:rsidR="00605FB3">
          <w:rPr>
            <w:noProof/>
            <w:webHidden/>
          </w:rPr>
          <w:fldChar w:fldCharType="begin"/>
        </w:r>
        <w:r w:rsidR="00605FB3">
          <w:rPr>
            <w:noProof/>
            <w:webHidden/>
          </w:rPr>
          <w:instrText xml:space="preserve"> PAGEREF _Toc386117317 \h </w:instrText>
        </w:r>
        <w:r w:rsidR="00605FB3">
          <w:rPr>
            <w:noProof/>
            <w:webHidden/>
          </w:rPr>
        </w:r>
        <w:r w:rsidR="00605FB3">
          <w:rPr>
            <w:noProof/>
            <w:webHidden/>
          </w:rPr>
          <w:fldChar w:fldCharType="separate"/>
        </w:r>
        <w:r w:rsidR="00605FB3">
          <w:rPr>
            <w:noProof/>
            <w:webHidden/>
          </w:rPr>
          <w:t>18</w:t>
        </w:r>
        <w:r w:rsidR="00605FB3">
          <w:rPr>
            <w:noProof/>
            <w:webHidden/>
          </w:rPr>
          <w:fldChar w:fldCharType="end"/>
        </w:r>
      </w:hyperlink>
    </w:p>
    <w:p w:rsidR="00605FB3" w:rsidRDefault="00850A3E">
      <w:pPr>
        <w:pStyle w:val="TOC1"/>
        <w:rPr>
          <w:rFonts w:asciiTheme="minorHAnsi" w:eastAsiaTheme="minorEastAsia" w:hAnsiTheme="minorHAnsi" w:cstheme="minorBidi"/>
          <w:b w:val="0"/>
          <w:noProof/>
          <w:lang w:eastAsia="en-AU"/>
        </w:rPr>
      </w:pPr>
      <w:hyperlink w:anchor="_Toc386117318" w:history="1">
        <w:r w:rsidR="00605FB3" w:rsidRPr="005E2DF0">
          <w:rPr>
            <w:rStyle w:val="Hyperlink"/>
            <w:noProof/>
          </w:rPr>
          <w:t>Appendix A  Electricity transmission connections – summary of survey results</w:t>
        </w:r>
        <w:r w:rsidR="00605FB3">
          <w:rPr>
            <w:noProof/>
            <w:webHidden/>
          </w:rPr>
          <w:tab/>
        </w:r>
        <w:r w:rsidR="00605FB3">
          <w:rPr>
            <w:noProof/>
            <w:webHidden/>
          </w:rPr>
          <w:fldChar w:fldCharType="begin"/>
        </w:r>
        <w:r w:rsidR="00605FB3">
          <w:rPr>
            <w:noProof/>
            <w:webHidden/>
          </w:rPr>
          <w:instrText xml:space="preserve"> PAGEREF _Toc386117318 \h </w:instrText>
        </w:r>
        <w:r w:rsidR="00605FB3">
          <w:rPr>
            <w:noProof/>
            <w:webHidden/>
          </w:rPr>
        </w:r>
        <w:r w:rsidR="00605FB3">
          <w:rPr>
            <w:noProof/>
            <w:webHidden/>
          </w:rPr>
          <w:fldChar w:fldCharType="separate"/>
        </w:r>
        <w:r w:rsidR="00605FB3">
          <w:rPr>
            <w:noProof/>
            <w:webHidden/>
          </w:rPr>
          <w:t>19</w:t>
        </w:r>
        <w:r w:rsidR="00605FB3">
          <w:rPr>
            <w:noProof/>
            <w:webHidden/>
          </w:rPr>
          <w:fldChar w:fldCharType="end"/>
        </w:r>
      </w:hyperlink>
    </w:p>
    <w:p w:rsidR="00605FB3" w:rsidRDefault="00850A3E">
      <w:pPr>
        <w:pStyle w:val="TOC1"/>
        <w:rPr>
          <w:rFonts w:asciiTheme="minorHAnsi" w:eastAsiaTheme="minorEastAsia" w:hAnsiTheme="minorHAnsi" w:cstheme="minorBidi"/>
          <w:b w:val="0"/>
          <w:noProof/>
          <w:lang w:eastAsia="en-AU"/>
        </w:rPr>
      </w:pPr>
      <w:hyperlink w:anchor="_Toc386117319" w:history="1">
        <w:r w:rsidR="00605FB3" w:rsidRPr="005E2DF0">
          <w:rPr>
            <w:rStyle w:val="Hyperlink"/>
            <w:noProof/>
          </w:rPr>
          <w:t>Appendix B  Shortened forms</w:t>
        </w:r>
        <w:r w:rsidR="00605FB3">
          <w:rPr>
            <w:noProof/>
            <w:webHidden/>
          </w:rPr>
          <w:tab/>
        </w:r>
        <w:r w:rsidR="00605FB3">
          <w:rPr>
            <w:noProof/>
            <w:webHidden/>
          </w:rPr>
          <w:fldChar w:fldCharType="begin"/>
        </w:r>
        <w:r w:rsidR="00605FB3">
          <w:rPr>
            <w:noProof/>
            <w:webHidden/>
          </w:rPr>
          <w:instrText xml:space="preserve"> PAGEREF _Toc386117319 \h </w:instrText>
        </w:r>
        <w:r w:rsidR="00605FB3">
          <w:rPr>
            <w:noProof/>
            <w:webHidden/>
          </w:rPr>
        </w:r>
        <w:r w:rsidR="00605FB3">
          <w:rPr>
            <w:noProof/>
            <w:webHidden/>
          </w:rPr>
          <w:fldChar w:fldCharType="separate"/>
        </w:r>
        <w:r w:rsidR="00605FB3">
          <w:rPr>
            <w:noProof/>
            <w:webHidden/>
          </w:rPr>
          <w:t>32</w:t>
        </w:r>
        <w:r w:rsidR="00605FB3">
          <w:rPr>
            <w:noProof/>
            <w:webHidden/>
          </w:rPr>
          <w:fldChar w:fldCharType="end"/>
        </w:r>
      </w:hyperlink>
    </w:p>
    <w:p w:rsidR="00605FB3" w:rsidRDefault="00850A3E">
      <w:pPr>
        <w:pStyle w:val="TOC1"/>
        <w:rPr>
          <w:rFonts w:asciiTheme="minorHAnsi" w:eastAsiaTheme="minorEastAsia" w:hAnsiTheme="minorHAnsi" w:cstheme="minorBidi"/>
          <w:b w:val="0"/>
          <w:noProof/>
          <w:lang w:eastAsia="en-AU"/>
        </w:rPr>
      </w:pPr>
      <w:hyperlink w:anchor="_Toc386117320" w:history="1">
        <w:r w:rsidR="00605FB3" w:rsidRPr="005E2DF0">
          <w:rPr>
            <w:rStyle w:val="Hyperlink"/>
            <w:noProof/>
          </w:rPr>
          <w:t>Appendix C  Previous targeted compliance reviews</w:t>
        </w:r>
        <w:r w:rsidR="00605FB3">
          <w:rPr>
            <w:noProof/>
            <w:webHidden/>
          </w:rPr>
          <w:tab/>
        </w:r>
        <w:r w:rsidR="00605FB3">
          <w:rPr>
            <w:noProof/>
            <w:webHidden/>
          </w:rPr>
          <w:fldChar w:fldCharType="begin"/>
        </w:r>
        <w:r w:rsidR="00605FB3">
          <w:rPr>
            <w:noProof/>
            <w:webHidden/>
          </w:rPr>
          <w:instrText xml:space="preserve"> PAGEREF _Toc386117320 \h </w:instrText>
        </w:r>
        <w:r w:rsidR="00605FB3">
          <w:rPr>
            <w:noProof/>
            <w:webHidden/>
          </w:rPr>
        </w:r>
        <w:r w:rsidR="00605FB3">
          <w:rPr>
            <w:noProof/>
            <w:webHidden/>
          </w:rPr>
          <w:fldChar w:fldCharType="separate"/>
        </w:r>
        <w:r w:rsidR="00605FB3">
          <w:rPr>
            <w:noProof/>
            <w:webHidden/>
          </w:rPr>
          <w:t>33</w:t>
        </w:r>
        <w:r w:rsidR="00605FB3">
          <w:rPr>
            <w:noProof/>
            <w:webHidden/>
          </w:rPr>
          <w:fldChar w:fldCharType="end"/>
        </w:r>
      </w:hyperlink>
    </w:p>
    <w:p w:rsidR="00914770" w:rsidRDefault="00345E1B" w:rsidP="00CB1599">
      <w:pPr>
        <w:pStyle w:val="AERtabletitle"/>
        <w:keepNext w:val="0"/>
      </w:pPr>
      <w:r>
        <w:fldChar w:fldCharType="end"/>
      </w:r>
    </w:p>
    <w:p w:rsidR="00914770" w:rsidRDefault="00914770" w:rsidP="00914770"/>
    <w:p w:rsidR="0067781E" w:rsidRDefault="0067781E" w:rsidP="00914770"/>
    <w:p w:rsidR="0067781E" w:rsidRDefault="0067781E" w:rsidP="00914770"/>
    <w:p w:rsidR="0067781E" w:rsidRPr="00914770" w:rsidRDefault="0067781E" w:rsidP="00914770"/>
    <w:p w:rsidR="0067781E" w:rsidRPr="0067781E" w:rsidRDefault="0067781E" w:rsidP="0067781E"/>
    <w:p w:rsidR="000733BC" w:rsidRPr="00742426" w:rsidRDefault="00AB2AA9" w:rsidP="001F2CA4">
      <w:pPr>
        <w:pStyle w:val="UnnumberedHeading"/>
        <w:numPr>
          <w:ilvl w:val="0"/>
          <w:numId w:val="0"/>
        </w:numPr>
      </w:pPr>
      <w:bookmarkStart w:id="25" w:name="_Toc337553425"/>
      <w:bookmarkStart w:id="26" w:name="_Toc386117297"/>
      <w:bookmarkStart w:id="27" w:name="_Toc316978870"/>
      <w:bookmarkStart w:id="28" w:name="_Toc317520246"/>
      <w:bookmarkStart w:id="29" w:name="_Toc305751931"/>
      <w:bookmarkStart w:id="30" w:name="_Toc308601044"/>
      <w:bookmarkEnd w:id="24"/>
      <w:r w:rsidRPr="00742426">
        <w:lastRenderedPageBreak/>
        <w:t>Executive summary</w:t>
      </w:r>
      <w:bookmarkEnd w:id="25"/>
      <w:bookmarkEnd w:id="26"/>
    </w:p>
    <w:p w:rsidR="007B0CCD" w:rsidRDefault="003528E9" w:rsidP="00097A82">
      <w:pPr>
        <w:pStyle w:val="AERbodytext"/>
      </w:pPr>
      <w:bookmarkStart w:id="31" w:name="OLE_LINK72"/>
      <w:bookmarkStart w:id="32" w:name="OLE_LINK73"/>
      <w:r>
        <w:t>The purpose of this Quarterly Compliance Report (</w:t>
      </w:r>
      <w:r w:rsidRPr="00793608">
        <w:rPr>
          <w:b/>
        </w:rPr>
        <w:t>QCR</w:t>
      </w:r>
      <w:r>
        <w:t>) is to outline the Australian Energy Regulator’s (</w:t>
      </w:r>
      <w:r>
        <w:rPr>
          <w:b/>
          <w:bCs/>
        </w:rPr>
        <w:t>AER</w:t>
      </w:r>
      <w:r>
        <w:t>) compliance monitoring and enforcement activity under the National Electricity Law (</w:t>
      </w:r>
      <w:r>
        <w:rPr>
          <w:b/>
          <w:bCs/>
        </w:rPr>
        <w:t>Electricity Law</w:t>
      </w:r>
      <w:r>
        <w:t>) and National Gas Law</w:t>
      </w:r>
      <w:r w:rsidR="00484DDC">
        <w:t xml:space="preserve"> </w:t>
      </w:r>
      <w:r>
        <w:t>(</w:t>
      </w:r>
      <w:r>
        <w:rPr>
          <w:b/>
          <w:bCs/>
        </w:rPr>
        <w:t>Gas Law</w:t>
      </w:r>
      <w:r>
        <w:t xml:space="preserve">)—including the rules and regulations which sit under those Laws. This QCR covers the period 1 </w:t>
      </w:r>
      <w:r w:rsidR="000C6E81">
        <w:t>January</w:t>
      </w:r>
      <w:r w:rsidR="00D023EF">
        <w:t xml:space="preserve"> to 3</w:t>
      </w:r>
      <w:r w:rsidR="0004398F">
        <w:t>1</w:t>
      </w:r>
      <w:r>
        <w:t xml:space="preserve"> </w:t>
      </w:r>
      <w:r w:rsidR="000C6E81">
        <w:t>March 2014</w:t>
      </w:r>
      <w:r>
        <w:t xml:space="preserve"> (</w:t>
      </w:r>
      <w:r>
        <w:rPr>
          <w:b/>
          <w:bCs/>
        </w:rPr>
        <w:t xml:space="preserve">the </w:t>
      </w:r>
      <w:r w:rsidR="000C6E81">
        <w:rPr>
          <w:b/>
          <w:bCs/>
        </w:rPr>
        <w:t>March 2014</w:t>
      </w:r>
      <w:r>
        <w:rPr>
          <w:b/>
          <w:bCs/>
        </w:rPr>
        <w:t xml:space="preserve"> quarter</w:t>
      </w:r>
      <w:r>
        <w:t>).</w:t>
      </w:r>
      <w:r w:rsidR="003E4F6D">
        <w:rPr>
          <w:rStyle w:val="FootnoteReference"/>
        </w:rPr>
        <w:footnoteReference w:id="1"/>
      </w:r>
    </w:p>
    <w:p w:rsidR="0046090C" w:rsidRDefault="00C10F2F" w:rsidP="00097A82">
      <w:pPr>
        <w:pStyle w:val="AERbodytext"/>
      </w:pPr>
      <w:r w:rsidRPr="0046090C">
        <w:t xml:space="preserve">Chapter </w:t>
      </w:r>
      <w:r w:rsidR="0046090C" w:rsidRPr="0046090C">
        <w:t>one</w:t>
      </w:r>
      <w:r w:rsidRPr="0046090C">
        <w:t xml:space="preserve"> details our </w:t>
      </w:r>
      <w:r w:rsidR="00A812E5" w:rsidRPr="0046090C">
        <w:t xml:space="preserve">compliance and enforcement work undertaken for the gas markets. </w:t>
      </w:r>
      <w:r w:rsidR="00E56474">
        <w:t>Of particular note, we</w:t>
      </w:r>
      <w:r w:rsidR="00C3119B">
        <w:t xml:space="preserve"> introduce the Gas Supply Hub, a gas trading exchange which began operation at Wallumbilla</w:t>
      </w:r>
      <w:r w:rsidR="00E56474">
        <w:t>, Queensland,</w:t>
      </w:r>
      <w:r w:rsidR="00C3119B">
        <w:t xml:space="preserve"> on 20</w:t>
      </w:r>
      <w:r w:rsidR="00E56474">
        <w:t xml:space="preserve"> </w:t>
      </w:r>
      <w:r w:rsidR="00C3119B">
        <w:t>March 2014. Under the National Gas Rules (</w:t>
      </w:r>
      <w:r w:rsidR="00C3119B" w:rsidRPr="00C3119B">
        <w:rPr>
          <w:b/>
        </w:rPr>
        <w:t>Gas Rules</w:t>
      </w:r>
      <w:r w:rsidR="00C3119B">
        <w:t xml:space="preserve">) the AER </w:t>
      </w:r>
      <w:r w:rsidR="00E56474">
        <w:t xml:space="preserve">is responsible </w:t>
      </w:r>
      <w:r w:rsidR="00C3119B">
        <w:t xml:space="preserve">for monitoring </w:t>
      </w:r>
      <w:r w:rsidR="00E56474">
        <w:t>Gas Supply Hub members’ compliance with rights and obligations specified in the Rules, including market conduct rules. We have developed mechanisms to monitor market outcomes and will report on trades undertaken through our weekly gas reports.</w:t>
      </w:r>
      <w:r w:rsidR="00C105A9">
        <w:t xml:space="preserve"> We will also report any </w:t>
      </w:r>
      <w:r w:rsidR="009B299E">
        <w:t xml:space="preserve">significant </w:t>
      </w:r>
      <w:r w:rsidR="00C105A9">
        <w:t xml:space="preserve">compliance issues in future QCRs. </w:t>
      </w:r>
    </w:p>
    <w:p w:rsidR="00957192" w:rsidRPr="0046090C" w:rsidRDefault="00A812E5" w:rsidP="00097A82">
      <w:pPr>
        <w:pStyle w:val="AERbodytext"/>
      </w:pPr>
      <w:r w:rsidRPr="0046090C">
        <w:t xml:space="preserve">We </w:t>
      </w:r>
      <w:r w:rsidR="007F4EDD" w:rsidRPr="0046090C">
        <w:t>highlight that there</w:t>
      </w:r>
      <w:r w:rsidR="00426DE8" w:rsidRPr="0046090C">
        <w:t xml:space="preserve"> were </w:t>
      </w:r>
      <w:r w:rsidR="0046090C">
        <w:t xml:space="preserve">no </w:t>
      </w:r>
      <w:r w:rsidR="007F4EDD" w:rsidRPr="0046090C">
        <w:t xml:space="preserve">data errors for the </w:t>
      </w:r>
      <w:r w:rsidRPr="0046090C">
        <w:t>short term trading market (</w:t>
      </w:r>
      <w:r w:rsidRPr="0046090C">
        <w:rPr>
          <w:b/>
        </w:rPr>
        <w:t>STTM</w:t>
      </w:r>
      <w:r w:rsidR="005D2DC9" w:rsidRPr="0046090C">
        <w:t>)</w:t>
      </w:r>
      <w:r w:rsidR="004D11B5" w:rsidRPr="0046090C">
        <w:t xml:space="preserve"> during the quarter</w:t>
      </w:r>
      <w:r w:rsidR="006902D5" w:rsidRPr="0046090C">
        <w:t xml:space="preserve">. </w:t>
      </w:r>
      <w:r w:rsidR="0046090C">
        <w:t xml:space="preserve">This is an improvement from the previous two quarters where we </w:t>
      </w:r>
      <w:r w:rsidR="009B299E">
        <w:t xml:space="preserve">identified </w:t>
      </w:r>
      <w:r w:rsidR="0046090C">
        <w:t xml:space="preserve">a number of errors. </w:t>
      </w:r>
      <w:r w:rsidR="00DB3539">
        <w:t xml:space="preserve">We also report on a late submission of data by Epic Energy which occurred last quarter. For the Victorian gas market we outline an event where Origin Energy failed to revise a withdrawal bid after AEMO issued a Supply Demand Point Constraint. </w:t>
      </w:r>
    </w:p>
    <w:p w:rsidR="00036810" w:rsidRPr="0046090C" w:rsidRDefault="003C5B3D" w:rsidP="00036810">
      <w:pPr>
        <w:pStyle w:val="AERbodytext"/>
      </w:pPr>
      <w:r w:rsidRPr="0046090C">
        <w:rPr>
          <w:szCs w:val="16"/>
        </w:rPr>
        <w:t xml:space="preserve">Chapter </w:t>
      </w:r>
      <w:r w:rsidR="00DB3539">
        <w:rPr>
          <w:szCs w:val="16"/>
        </w:rPr>
        <w:t>two</w:t>
      </w:r>
      <w:r w:rsidR="00AA7097" w:rsidRPr="0046090C">
        <w:rPr>
          <w:szCs w:val="16"/>
        </w:rPr>
        <w:t xml:space="preserve"> discusses </w:t>
      </w:r>
      <w:r w:rsidR="007C654A" w:rsidRPr="0046090C">
        <w:rPr>
          <w:szCs w:val="16"/>
        </w:rPr>
        <w:t>a number of matters</w:t>
      </w:r>
      <w:r w:rsidR="00FD066B">
        <w:rPr>
          <w:szCs w:val="16"/>
        </w:rPr>
        <w:t xml:space="preserve"> under the National Electricity Rules (</w:t>
      </w:r>
      <w:r w:rsidR="00FD066B" w:rsidRPr="00FD066B">
        <w:rPr>
          <w:b/>
          <w:szCs w:val="16"/>
        </w:rPr>
        <w:t>Electricity Rules</w:t>
      </w:r>
      <w:r w:rsidR="00FD066B">
        <w:rPr>
          <w:szCs w:val="16"/>
        </w:rPr>
        <w:t>)</w:t>
      </w:r>
      <w:r w:rsidR="007C654A" w:rsidRPr="0046090C">
        <w:rPr>
          <w:szCs w:val="16"/>
        </w:rPr>
        <w:t>, such as</w:t>
      </w:r>
      <w:r w:rsidR="00F52B50" w:rsidRPr="0046090C">
        <w:rPr>
          <w:szCs w:val="16"/>
        </w:rPr>
        <w:t>:</w:t>
      </w:r>
      <w:r w:rsidR="00036810" w:rsidRPr="0046090C">
        <w:t xml:space="preserve"> </w:t>
      </w:r>
    </w:p>
    <w:p w:rsidR="00F52B50" w:rsidRPr="0046090C" w:rsidRDefault="00F52B50" w:rsidP="00D1453F">
      <w:pPr>
        <w:pStyle w:val="AERbulletlistsecondstyle"/>
      </w:pPr>
      <w:r w:rsidRPr="0046090C">
        <w:t>generator rebidding activities</w:t>
      </w:r>
      <w:r w:rsidR="00F41FA4">
        <w:t xml:space="preserve"> and updates for two </w:t>
      </w:r>
      <w:r w:rsidR="008547B4">
        <w:t xml:space="preserve">matters which are covered in our </w:t>
      </w:r>
      <w:hyperlink r:id="rId14" w:history="1">
        <w:r w:rsidR="008547B4">
          <w:rPr>
            <w:rStyle w:val="Hyperlink"/>
          </w:rPr>
          <w:t>Rebidding and technical parameters guideline</w:t>
        </w:r>
      </w:hyperlink>
    </w:p>
    <w:p w:rsidR="00DB3539" w:rsidRDefault="004D2F3B" w:rsidP="007C654A">
      <w:pPr>
        <w:pStyle w:val="AERbulletlistsecondstyle"/>
      </w:pPr>
      <w:r>
        <w:t>current transformer testing, including an infringement notice which was issued to Red Energy during the quarter</w:t>
      </w:r>
    </w:p>
    <w:p w:rsidR="004D2F3B" w:rsidRDefault="00FF76FB" w:rsidP="007C654A">
      <w:pPr>
        <w:pStyle w:val="AERbulletlistsecondstyle"/>
      </w:pPr>
      <w:proofErr w:type="gramStart"/>
      <w:r w:rsidRPr="0046090C">
        <w:t>metering</w:t>
      </w:r>
      <w:proofErr w:type="gramEnd"/>
      <w:r w:rsidRPr="0046090C">
        <w:t xml:space="preserve"> compliance issues where a network service provider has either </w:t>
      </w:r>
      <w:r w:rsidR="004D2F3B" w:rsidRPr="0046090C">
        <w:t xml:space="preserve">failed to register </w:t>
      </w:r>
      <w:r w:rsidR="008547B4">
        <w:t>a</w:t>
      </w:r>
      <w:r w:rsidR="004D2F3B" w:rsidRPr="0046090C">
        <w:t xml:space="preserve"> connection with </w:t>
      </w:r>
      <w:r w:rsidR="004D2F3B">
        <w:t>AEMO</w:t>
      </w:r>
      <w:r w:rsidR="004D2F3B" w:rsidRPr="0046090C">
        <w:t xml:space="preserve"> </w:t>
      </w:r>
      <w:r w:rsidR="004D2F3B">
        <w:t xml:space="preserve">or </w:t>
      </w:r>
      <w:r w:rsidRPr="0046090C">
        <w:t>failed to install a meter before energising a site</w:t>
      </w:r>
      <w:r w:rsidR="004D2F3B">
        <w:t>. Due to the continuation of errors of this nature, we have put industry on notice that we will consider enforcement options in response to these non-compliances going forward</w:t>
      </w:r>
    </w:p>
    <w:p w:rsidR="00FF76FB" w:rsidRPr="0046090C" w:rsidRDefault="004D2F3B" w:rsidP="007C654A">
      <w:pPr>
        <w:pStyle w:val="AERbulletlistsecondstyle"/>
      </w:pPr>
      <w:proofErr w:type="gramStart"/>
      <w:r>
        <w:t>our</w:t>
      </w:r>
      <w:proofErr w:type="gramEnd"/>
      <w:r>
        <w:t xml:space="preserve"> review of transmission business annual planning reports. We provide an update on </w:t>
      </w:r>
      <w:r w:rsidR="008B0A43">
        <w:t>this project, including a</w:t>
      </w:r>
      <w:r>
        <w:t xml:space="preserve"> forum which was held with transmission businesses and steps </w:t>
      </w:r>
      <w:r w:rsidR="008547B4">
        <w:t>these businesses are now taking</w:t>
      </w:r>
      <w:r>
        <w:t xml:space="preserve"> to improve the annual planning review process. </w:t>
      </w:r>
    </w:p>
    <w:bookmarkEnd w:id="31"/>
    <w:bookmarkEnd w:id="32"/>
    <w:p w:rsidR="004D2F3B" w:rsidRDefault="004D2F3B" w:rsidP="00C25586">
      <w:pPr>
        <w:pStyle w:val="AERbodytext"/>
        <w:rPr>
          <w:szCs w:val="16"/>
        </w:rPr>
      </w:pPr>
      <w:r>
        <w:rPr>
          <w:szCs w:val="16"/>
        </w:rPr>
        <w:t xml:space="preserve">We also provide </w:t>
      </w:r>
      <w:r w:rsidR="008B0A43">
        <w:rPr>
          <w:szCs w:val="16"/>
        </w:rPr>
        <w:t>a final write up for the electricity connections project. This project involved a survey of parties that have sought to connect to the National Electricity Market transmission network to assess the performance of Transmission Network Service Providers (</w:t>
      </w:r>
      <w:r w:rsidR="008B0A43" w:rsidRPr="008B0A43">
        <w:rPr>
          <w:b/>
          <w:szCs w:val="16"/>
        </w:rPr>
        <w:t>TNSPs</w:t>
      </w:r>
      <w:r w:rsidR="008B0A43">
        <w:rPr>
          <w:szCs w:val="16"/>
        </w:rPr>
        <w:t xml:space="preserve">) in terms of timeliness, provision of information, cost, design, availability of competitive procurement and responsiveness to connection applicants’ commercial requirements. An overview of survey responses and our key findings from the process can be found at section </w:t>
      </w:r>
      <w:r w:rsidR="008B7D24">
        <w:rPr>
          <w:szCs w:val="16"/>
        </w:rPr>
        <w:t>2.3</w:t>
      </w:r>
      <w:r w:rsidR="008B0A43">
        <w:rPr>
          <w:szCs w:val="16"/>
        </w:rPr>
        <w:t xml:space="preserve">, while a complete summary of responses is at </w:t>
      </w:r>
      <w:r w:rsidR="00DC7B00">
        <w:rPr>
          <w:szCs w:val="16"/>
        </w:rPr>
        <w:t>Appendix A</w:t>
      </w:r>
      <w:r w:rsidR="008B0A43">
        <w:rPr>
          <w:szCs w:val="16"/>
        </w:rPr>
        <w:t xml:space="preserve">. </w:t>
      </w:r>
    </w:p>
    <w:p w:rsidR="007B0CCD" w:rsidRDefault="00C25586" w:rsidP="00C25586">
      <w:pPr>
        <w:pStyle w:val="AERbodytext"/>
        <w:rPr>
          <w:szCs w:val="16"/>
        </w:rPr>
      </w:pPr>
      <w:r w:rsidRPr="00FC7A33">
        <w:rPr>
          <w:szCs w:val="16"/>
        </w:rPr>
        <w:lastRenderedPageBreak/>
        <w:t xml:space="preserve">For those readers from network businesses, sections </w:t>
      </w:r>
      <w:r w:rsidR="00FC7A33" w:rsidRPr="00FC7A33">
        <w:rPr>
          <w:szCs w:val="16"/>
        </w:rPr>
        <w:t xml:space="preserve">2.3 (electricity transmission connections), </w:t>
      </w:r>
      <w:r w:rsidR="004D2F3B" w:rsidRPr="00FC7A33">
        <w:rPr>
          <w:szCs w:val="16"/>
        </w:rPr>
        <w:t>2.</w:t>
      </w:r>
      <w:r w:rsidR="00FC7A33" w:rsidRPr="00FC7A33">
        <w:rPr>
          <w:szCs w:val="16"/>
        </w:rPr>
        <w:t>4 </w:t>
      </w:r>
      <w:r w:rsidRPr="00FC7A33">
        <w:rPr>
          <w:szCs w:val="16"/>
        </w:rPr>
        <w:t xml:space="preserve">(electricity metering metrics) and </w:t>
      </w:r>
      <w:r w:rsidR="004D2F3B" w:rsidRPr="00FC7A33">
        <w:rPr>
          <w:szCs w:val="16"/>
        </w:rPr>
        <w:t>2</w:t>
      </w:r>
      <w:r w:rsidRPr="00FC7A33">
        <w:rPr>
          <w:szCs w:val="16"/>
        </w:rPr>
        <w:t>.</w:t>
      </w:r>
      <w:r w:rsidR="00FC7A33" w:rsidRPr="00FC7A33">
        <w:rPr>
          <w:szCs w:val="16"/>
        </w:rPr>
        <w:t>8</w:t>
      </w:r>
      <w:r w:rsidRPr="00FC7A33">
        <w:rPr>
          <w:szCs w:val="16"/>
        </w:rPr>
        <w:t xml:space="preserve"> (network compliance projects) will be of particular relevance.</w:t>
      </w:r>
    </w:p>
    <w:p w:rsidR="00273AF7" w:rsidRPr="00860DB5" w:rsidRDefault="007D5491" w:rsidP="001F2CA4">
      <w:pPr>
        <w:pStyle w:val="UnnumberedHeading"/>
        <w:numPr>
          <w:ilvl w:val="0"/>
          <w:numId w:val="0"/>
        </w:numPr>
      </w:pPr>
      <w:bookmarkStart w:id="33" w:name="_Toc386117298"/>
      <w:bookmarkEnd w:id="27"/>
      <w:bookmarkEnd w:id="28"/>
      <w:r w:rsidRPr="00860DB5">
        <w:lastRenderedPageBreak/>
        <w:t>Background</w:t>
      </w:r>
      <w:bookmarkEnd w:id="33"/>
    </w:p>
    <w:p w:rsidR="00A10D28" w:rsidRPr="00E0671E" w:rsidRDefault="00631881" w:rsidP="00634993">
      <w:pPr>
        <w:pStyle w:val="AERbodytext"/>
        <w:spacing w:after="220"/>
      </w:pPr>
      <w:r>
        <w:t>The AER is</w:t>
      </w:r>
      <w:r w:rsidRPr="00E0671E">
        <w:t xml:space="preserve"> </w:t>
      </w:r>
      <w:r w:rsidR="00A10D28" w:rsidRPr="00E0671E">
        <w:t xml:space="preserve">responsible for monitoring compliance and enforcement under legislation and rules governing Australia’s wholesale energy markets, including those applying to Network Service Providers. Section 15 of the Electricity Law and section 27 of the Gas Law set out </w:t>
      </w:r>
      <w:r>
        <w:t>our</w:t>
      </w:r>
      <w:r w:rsidRPr="00E0671E">
        <w:t xml:space="preserve"> </w:t>
      </w:r>
      <w:r w:rsidR="00A10D28" w:rsidRPr="00E0671E">
        <w:t>functions and powers, which include:</w:t>
      </w:r>
    </w:p>
    <w:p w:rsidR="00AA5B35" w:rsidRDefault="00A10D28" w:rsidP="00AA5B35">
      <w:pPr>
        <w:pStyle w:val="AERbulletlistsecondstyle"/>
      </w:pPr>
      <w:r w:rsidRPr="00E0671E">
        <w:t>monitoring compliance by energy industry participants</w:t>
      </w:r>
      <w:r w:rsidR="0082230C">
        <w:rPr>
          <w:rStyle w:val="FootnoteReference"/>
        </w:rPr>
        <w:footnoteReference w:id="2"/>
      </w:r>
      <w:r w:rsidRPr="00E0671E">
        <w:t xml:space="preserve"> and other persons</w:t>
      </w:r>
    </w:p>
    <w:p w:rsidR="00AA5B35" w:rsidRDefault="00A10D28" w:rsidP="00AA5B35">
      <w:pPr>
        <w:pStyle w:val="AERbulletlistsecondstyle"/>
      </w:pPr>
      <w:proofErr w:type="gramStart"/>
      <w:r w:rsidRPr="00E0671E">
        <w:t>investigating</w:t>
      </w:r>
      <w:proofErr w:type="gramEnd"/>
      <w:r w:rsidRPr="00E0671E">
        <w:t xml:space="preserve"> breaches, or possible breaches, of provisions of the legislative instruments under </w:t>
      </w:r>
      <w:r w:rsidR="00C506DD">
        <w:t>our</w:t>
      </w:r>
      <w:r w:rsidRPr="00E0671E">
        <w:t xml:space="preserve"> jurisdiction.</w:t>
      </w:r>
    </w:p>
    <w:p w:rsidR="009930C1" w:rsidRPr="00E0671E" w:rsidRDefault="009930C1" w:rsidP="00634993">
      <w:pPr>
        <w:pStyle w:val="AERbodytext"/>
        <w:spacing w:after="220"/>
      </w:pPr>
      <w:r w:rsidRPr="00E0671E">
        <w:rPr>
          <w:lang w:eastAsia="en-AU"/>
        </w:rPr>
        <w:t xml:space="preserve">Consistent with </w:t>
      </w:r>
      <w:r w:rsidR="00631881">
        <w:rPr>
          <w:lang w:eastAsia="en-AU"/>
        </w:rPr>
        <w:t>our</w:t>
      </w:r>
      <w:r w:rsidR="00631881" w:rsidRPr="00E0671E">
        <w:rPr>
          <w:lang w:eastAsia="en-AU"/>
        </w:rPr>
        <w:t xml:space="preserve"> </w:t>
      </w:r>
      <w:hyperlink r:id="rId15" w:history="1">
        <w:r w:rsidR="00CB7808" w:rsidRPr="00543C9B">
          <w:rPr>
            <w:rStyle w:val="Hyperlink"/>
            <w:lang w:eastAsia="en-AU"/>
          </w:rPr>
          <w:t>statement of approach</w:t>
        </w:r>
      </w:hyperlink>
      <w:r w:rsidR="007B0CCD">
        <w:rPr>
          <w:rStyle w:val="Hyperlink"/>
          <w:lang w:eastAsia="en-AU"/>
        </w:rPr>
        <w:t>,</w:t>
      </w:r>
      <w:r w:rsidR="00193D0B">
        <w:rPr>
          <w:rStyle w:val="FootnoteReference"/>
          <w:lang w:eastAsia="en-AU"/>
        </w:rPr>
        <w:footnoteReference w:id="3"/>
      </w:r>
      <w:r w:rsidRPr="00E0671E">
        <w:rPr>
          <w:lang w:eastAsia="en-AU"/>
        </w:rPr>
        <w:t xml:space="preserve"> </w:t>
      </w:r>
      <w:r w:rsidR="00631881">
        <w:t xml:space="preserve">we </w:t>
      </w:r>
      <w:r w:rsidRPr="00E0671E">
        <w:t xml:space="preserve">aim to promote high levels of compliance, and seek to build a culture of compliance in </w:t>
      </w:r>
      <w:r w:rsidR="008A20B0" w:rsidRPr="00E0671E">
        <w:t>the</w:t>
      </w:r>
      <w:r w:rsidRPr="00E0671E">
        <w:t xml:space="preserve"> energy industry. A culture of compliance will:</w:t>
      </w:r>
    </w:p>
    <w:p w:rsidR="00AA5B35" w:rsidRDefault="009930C1" w:rsidP="00AA5B35">
      <w:pPr>
        <w:pStyle w:val="AERbulletlistsecondstyle"/>
      </w:pPr>
      <w:r w:rsidRPr="00E0671E">
        <w:t>reduce the risk of industry participants breaching their regulatory obligations</w:t>
      </w:r>
    </w:p>
    <w:p w:rsidR="00AA5B35" w:rsidRDefault="00783406" w:rsidP="00AA5B35">
      <w:pPr>
        <w:pStyle w:val="AERbulletlistsecondstyle"/>
      </w:pPr>
      <w:proofErr w:type="gramStart"/>
      <w:r>
        <w:t>assist</w:t>
      </w:r>
      <w:proofErr w:type="gramEnd"/>
      <w:r>
        <w:t xml:space="preserve"> in </w:t>
      </w:r>
      <w:r w:rsidR="009930C1" w:rsidRPr="00E0671E">
        <w:t>ensur</w:t>
      </w:r>
      <w:r>
        <w:t>ing</w:t>
      </w:r>
      <w:r w:rsidR="009930C1" w:rsidRPr="00E0671E">
        <w:t xml:space="preserve"> industry participants can engage confidently in </w:t>
      </w:r>
      <w:r>
        <w:t>efficient energy markets</w:t>
      </w:r>
      <w:r w:rsidR="009930C1" w:rsidRPr="00E0671E">
        <w:t>.</w:t>
      </w:r>
    </w:p>
    <w:p w:rsidR="009930C1" w:rsidRPr="00E0671E" w:rsidRDefault="009930C1" w:rsidP="00634993">
      <w:pPr>
        <w:pStyle w:val="AERbodytext"/>
        <w:spacing w:after="220"/>
      </w:pPr>
      <w:r w:rsidRPr="00E0671E">
        <w:t xml:space="preserve">As part of this process, </w:t>
      </w:r>
      <w:r w:rsidR="00631881">
        <w:t>we</w:t>
      </w:r>
      <w:r w:rsidRPr="00E0671E">
        <w:t xml:space="preserve"> undertake a continuous compliance risk assessment of the </w:t>
      </w:r>
      <w:r w:rsidR="008E7A66" w:rsidRPr="00FD066B">
        <w:t xml:space="preserve">Electricity Rules </w:t>
      </w:r>
      <w:r w:rsidRPr="002F695F">
        <w:t xml:space="preserve">and </w:t>
      </w:r>
      <w:r w:rsidR="008E7A66" w:rsidRPr="002F695F">
        <w:t xml:space="preserve">Gas Rules </w:t>
      </w:r>
      <w:r w:rsidRPr="00E0671E">
        <w:t>to identify appropriate focus areas and monitoring</w:t>
      </w:r>
      <w:r w:rsidR="009F0901" w:rsidRPr="00E0671E">
        <w:t>/compliance</w:t>
      </w:r>
      <w:r w:rsidRPr="00E0671E">
        <w:t xml:space="preserve"> mechanisms. These mechanisms include </w:t>
      </w:r>
      <w:r w:rsidR="003829E0" w:rsidRPr="00E0671E">
        <w:t xml:space="preserve">our </w:t>
      </w:r>
      <w:r w:rsidR="009F0901" w:rsidRPr="00E0671E">
        <w:t>strategi</w:t>
      </w:r>
      <w:r w:rsidR="003829E0" w:rsidRPr="00E0671E">
        <w:t xml:space="preserve">c compliance projects, </w:t>
      </w:r>
      <w:r w:rsidRPr="00E0671E">
        <w:t xml:space="preserve">audits, </w:t>
      </w:r>
      <w:proofErr w:type="gramStart"/>
      <w:r w:rsidRPr="00E0671E">
        <w:t>the</w:t>
      </w:r>
      <w:proofErr w:type="gramEnd"/>
      <w:r w:rsidRPr="00E0671E">
        <w:t xml:space="preserve"> imposition of reporting requirements, market monitoring, and targeted compliance reviews.</w:t>
      </w:r>
      <w:r w:rsidRPr="00E0671E">
        <w:rPr>
          <w:rStyle w:val="FootnoteReference"/>
        </w:rPr>
        <w:footnoteReference w:id="4"/>
      </w:r>
    </w:p>
    <w:p w:rsidR="009930C1" w:rsidRPr="00E0671E" w:rsidRDefault="009930C1" w:rsidP="00634993">
      <w:pPr>
        <w:pStyle w:val="AERbodytext"/>
        <w:spacing w:after="220"/>
        <w:rPr>
          <w:lang w:eastAsia="en-AU"/>
        </w:rPr>
      </w:pPr>
      <w:r w:rsidRPr="00E0671E">
        <w:rPr>
          <w:lang w:eastAsia="en-AU"/>
        </w:rPr>
        <w:t xml:space="preserve">In selecting the areas for review, </w:t>
      </w:r>
      <w:r w:rsidR="00631881">
        <w:rPr>
          <w:lang w:eastAsia="en-AU"/>
        </w:rPr>
        <w:t>we</w:t>
      </w:r>
      <w:r w:rsidRPr="00E0671E">
        <w:rPr>
          <w:lang w:eastAsia="en-AU"/>
        </w:rPr>
        <w:t xml:space="preserve"> adopt the following principles:</w:t>
      </w:r>
    </w:p>
    <w:p w:rsidR="00AA5B35" w:rsidRDefault="009930C1" w:rsidP="00AA5B35">
      <w:pPr>
        <w:pStyle w:val="AERbulletlistsecondstyle"/>
      </w:pPr>
      <w:r w:rsidRPr="00E0671E">
        <w:t>consideration of risk (the greater the risk, the higher the priority)</w:t>
      </w:r>
    </w:p>
    <w:p w:rsidR="00AA5B35" w:rsidRDefault="009930C1" w:rsidP="00AA5B35">
      <w:pPr>
        <w:pStyle w:val="AERbulletlistsecondstyle"/>
      </w:pPr>
      <w:proofErr w:type="gramStart"/>
      <w:r w:rsidRPr="00E0671E">
        <w:t>a</w:t>
      </w:r>
      <w:proofErr w:type="gramEnd"/>
      <w:r w:rsidRPr="00E0671E">
        <w:t xml:space="preserve"> commitment to ensuring that both systemic issues and those with the potential for isolated but significant impact are addressed.</w:t>
      </w:r>
    </w:p>
    <w:p w:rsidR="00AA5B35" w:rsidRDefault="009930C1" w:rsidP="00CF20CC">
      <w:pPr>
        <w:pStyle w:val="AERbulletlistsecondstyle"/>
        <w:numPr>
          <w:ilvl w:val="0"/>
          <w:numId w:val="0"/>
        </w:numPr>
      </w:pPr>
      <w:r w:rsidRPr="00E0671E">
        <w:t xml:space="preserve">In carrying out </w:t>
      </w:r>
      <w:r w:rsidR="00AD3313">
        <w:t>our</w:t>
      </w:r>
      <w:r w:rsidR="00AD3313" w:rsidRPr="00E0671E">
        <w:t xml:space="preserve"> </w:t>
      </w:r>
      <w:r w:rsidRPr="00E0671E">
        <w:t xml:space="preserve">monitoring functions, </w:t>
      </w:r>
      <w:r w:rsidR="00631881">
        <w:t>we</w:t>
      </w:r>
      <w:r w:rsidRPr="00E0671E">
        <w:t xml:space="preserve"> aim for:</w:t>
      </w:r>
    </w:p>
    <w:p w:rsidR="00AA5B35" w:rsidRDefault="009930C1" w:rsidP="00AA5B35">
      <w:pPr>
        <w:pStyle w:val="AERbulletlistsecondstyle"/>
      </w:pPr>
      <w:r w:rsidRPr="00E0671E">
        <w:t>cost effectiveness for energy industry participants and the AER</w:t>
      </w:r>
    </w:p>
    <w:p w:rsidR="00AA5B35" w:rsidRDefault="009930C1" w:rsidP="00AA5B35">
      <w:pPr>
        <w:pStyle w:val="AERbulletlistsecondstyle"/>
      </w:pPr>
      <w:proofErr w:type="gramStart"/>
      <w:r w:rsidRPr="00E0671E">
        <w:t>transparency</w:t>
      </w:r>
      <w:proofErr w:type="gramEnd"/>
      <w:r w:rsidRPr="00E0671E">
        <w:t xml:space="preserve"> (subject to confidentiality requirements).</w:t>
      </w:r>
    </w:p>
    <w:p w:rsidR="00A46922" w:rsidRDefault="009930C1" w:rsidP="00B4653F">
      <w:pPr>
        <w:pStyle w:val="AERbodytext"/>
        <w:spacing w:after="220"/>
        <w:rPr>
          <w:lang w:eastAsia="en-AU"/>
        </w:rPr>
      </w:pPr>
      <w:r w:rsidRPr="00E0671E">
        <w:rPr>
          <w:lang w:eastAsia="en-AU"/>
        </w:rPr>
        <w:t xml:space="preserve">While most obligations under the Electricity and Gas Rules do not require registered participants to establish specific compliance programs, </w:t>
      </w:r>
      <w:r w:rsidR="00631881">
        <w:rPr>
          <w:lang w:eastAsia="en-AU"/>
        </w:rPr>
        <w:t>we</w:t>
      </w:r>
      <w:r w:rsidRPr="00E0671E">
        <w:rPr>
          <w:lang w:eastAsia="en-AU"/>
        </w:rPr>
        <w:t xml:space="preserve"> take into account a participant’s compliance framework when determining </w:t>
      </w:r>
      <w:r w:rsidR="00193D0B">
        <w:rPr>
          <w:lang w:eastAsia="en-AU"/>
        </w:rPr>
        <w:t xml:space="preserve">our </w:t>
      </w:r>
      <w:r w:rsidRPr="00E0671E">
        <w:rPr>
          <w:lang w:eastAsia="en-AU"/>
        </w:rPr>
        <w:t xml:space="preserve">response to </w:t>
      </w:r>
      <w:r w:rsidR="00193D0B">
        <w:rPr>
          <w:lang w:eastAsia="en-AU"/>
        </w:rPr>
        <w:t xml:space="preserve">potential </w:t>
      </w:r>
      <w:r w:rsidRPr="00E0671E">
        <w:rPr>
          <w:lang w:eastAsia="en-AU"/>
        </w:rPr>
        <w:t xml:space="preserve">breaches. In assessing compliance culture, </w:t>
      </w:r>
      <w:r w:rsidR="00631881">
        <w:rPr>
          <w:lang w:eastAsia="en-AU"/>
        </w:rPr>
        <w:t>we</w:t>
      </w:r>
      <w:r w:rsidRPr="00E0671E">
        <w:rPr>
          <w:lang w:eastAsia="en-AU"/>
        </w:rPr>
        <w:t xml:space="preserve"> consider whether compliance programs and processes are effectively applied, up-to-date and tested regularly. </w:t>
      </w:r>
      <w:bookmarkStart w:id="34" w:name="_Toc337553427"/>
      <w:bookmarkStart w:id="35" w:name="_Ref353362800"/>
      <w:bookmarkStart w:id="36" w:name="_Toc316978871"/>
      <w:bookmarkStart w:id="37" w:name="_Toc317520247"/>
    </w:p>
    <w:p w:rsidR="00DC724B" w:rsidRPr="00860DB5" w:rsidRDefault="001E70D1" w:rsidP="00EB4DE8">
      <w:pPr>
        <w:pStyle w:val="QCRHeading1"/>
      </w:pPr>
      <w:bookmarkStart w:id="38" w:name="_Toc386117299"/>
      <w:r w:rsidRPr="00860DB5">
        <w:lastRenderedPageBreak/>
        <w:t>G</w:t>
      </w:r>
      <w:r w:rsidR="00CA4066" w:rsidRPr="00860DB5">
        <w:t>as</w:t>
      </w:r>
      <w:bookmarkEnd w:id="34"/>
      <w:bookmarkEnd w:id="35"/>
      <w:bookmarkEnd w:id="38"/>
    </w:p>
    <w:p w:rsidR="00CA4066" w:rsidRPr="00405B4F" w:rsidRDefault="00DC3257" w:rsidP="00B61F5E">
      <w:pPr>
        <w:pStyle w:val="AERbodytext"/>
      </w:pPr>
      <w:r>
        <w:t>We are</w:t>
      </w:r>
      <w:r w:rsidR="00CA4066" w:rsidRPr="00405B4F">
        <w:t xml:space="preserve"> responsible for monitoring, investigating and enforcing compliance with the Gas Law and Rules, including but not limited to, </w:t>
      </w:r>
      <w:r w:rsidR="00B25981" w:rsidRPr="00405B4F">
        <w:t>the</w:t>
      </w:r>
      <w:r w:rsidR="005F3AA2" w:rsidRPr="00405B4F">
        <w:t xml:space="preserve"> Short Term Trading Market (</w:t>
      </w:r>
      <w:r w:rsidR="005F3AA2" w:rsidRPr="00405B4F">
        <w:rPr>
          <w:b/>
        </w:rPr>
        <w:t>STTM</w:t>
      </w:r>
      <w:r w:rsidR="005F3AA2" w:rsidRPr="00405B4F">
        <w:t>)</w:t>
      </w:r>
      <w:r w:rsidR="00B25981" w:rsidRPr="00405B4F">
        <w:t>, the Victorian gas market and the Bulletin Board</w:t>
      </w:r>
      <w:r w:rsidR="00CA4066" w:rsidRPr="00405B4F">
        <w:t>.</w:t>
      </w:r>
      <w:r w:rsidR="00B53D67">
        <w:t xml:space="preserve"> This quarter we also assumed a </w:t>
      </w:r>
      <w:r w:rsidR="00193D0B">
        <w:t xml:space="preserve">new </w:t>
      </w:r>
      <w:r w:rsidR="00B53D67">
        <w:t>role for the Gas Supply Hub at Wallumbilla in Queensland, which commenced operations on 20 March</w:t>
      </w:r>
      <w:r w:rsidR="00B95B68">
        <w:t xml:space="preserve"> 2014</w:t>
      </w:r>
      <w:r w:rsidR="00B53D67">
        <w:t xml:space="preserve">. </w:t>
      </w:r>
    </w:p>
    <w:p w:rsidR="00CA4066" w:rsidRDefault="00CA4066" w:rsidP="00B61F5E">
      <w:pPr>
        <w:pStyle w:val="AERbodytext"/>
      </w:pPr>
      <w:r w:rsidRPr="00405B4F">
        <w:t>This part of the report provides an update on investigations</w:t>
      </w:r>
      <w:r w:rsidR="00783406">
        <w:t>,</w:t>
      </w:r>
      <w:r w:rsidRPr="00405B4F">
        <w:t xml:space="preserve"> compliance matters </w:t>
      </w:r>
      <w:r w:rsidR="00783406">
        <w:t xml:space="preserve">and projects </w:t>
      </w:r>
      <w:r w:rsidRPr="00405B4F">
        <w:t>in the gas markets.</w:t>
      </w:r>
      <w:r>
        <w:t xml:space="preserve"> </w:t>
      </w:r>
    </w:p>
    <w:p w:rsidR="00B53D67" w:rsidRDefault="00B53D67" w:rsidP="002C7158">
      <w:pPr>
        <w:pStyle w:val="QCRunnumberedunboldheading"/>
      </w:pPr>
      <w:bookmarkStart w:id="39" w:name="_Toc386117300"/>
      <w:bookmarkStart w:id="40" w:name="_Toc307317343"/>
      <w:bookmarkStart w:id="41" w:name="_Toc330814064"/>
      <w:r>
        <w:t>Gas Supply Hub</w:t>
      </w:r>
      <w:bookmarkEnd w:id="39"/>
    </w:p>
    <w:p w:rsidR="00A67EB8" w:rsidRDefault="00B71779" w:rsidP="00A67EB8">
      <w:pPr>
        <w:pStyle w:val="AERbodytext"/>
        <w:spacing w:before="120" w:after="120"/>
      </w:pPr>
      <w:r>
        <w:t>AEMO has</w:t>
      </w:r>
      <w:r w:rsidR="00A67EB8" w:rsidRPr="0045145C">
        <w:t xml:space="preserve"> established a gas trading exchange</w:t>
      </w:r>
      <w:r>
        <w:t>,</w:t>
      </w:r>
      <w:r w:rsidR="00A67EB8" w:rsidRPr="0045145C">
        <w:t xml:space="preserve"> known as the Gas Supply Hub</w:t>
      </w:r>
      <w:r>
        <w:t>,</w:t>
      </w:r>
      <w:r w:rsidR="00A67EB8" w:rsidRPr="0045145C">
        <w:t xml:space="preserve"> at the request of the Standing Council on Energy and Resources, and in accordance with the Gas Law and Rules.</w:t>
      </w:r>
      <w:r>
        <w:t xml:space="preserve"> </w:t>
      </w:r>
    </w:p>
    <w:p w:rsidR="00A67EB8" w:rsidRDefault="00A67EB8" w:rsidP="00A67EB8">
      <w:pPr>
        <w:pStyle w:val="AERbodytext"/>
        <w:spacing w:before="120" w:after="120"/>
      </w:pPr>
      <w:r w:rsidRPr="0045145C">
        <w:t>The Gas Supply Hub</w:t>
      </w:r>
      <w:r w:rsidR="00C3119B">
        <w:t xml:space="preserve"> began operation on 20 </w:t>
      </w:r>
      <w:r>
        <w:t>March</w:t>
      </w:r>
      <w:r w:rsidR="00B71779">
        <w:t xml:space="preserve"> 2014 after a market trial period. It </w:t>
      </w:r>
      <w:r w:rsidRPr="0045145C">
        <w:t xml:space="preserve">was established at Wallumbilla because </w:t>
      </w:r>
      <w:r w:rsidR="00B71779">
        <w:t xml:space="preserve">of the </w:t>
      </w:r>
      <w:r w:rsidRPr="0045145C">
        <w:t>close proximity to significant gas supply sources and demand locations</w:t>
      </w:r>
      <w:r w:rsidR="00193D0B">
        <w:t>.</w:t>
      </w:r>
      <w:r w:rsidRPr="0045145C">
        <w:t xml:space="preserve"> </w:t>
      </w:r>
      <w:r w:rsidR="00B71779">
        <w:t xml:space="preserve">Wallumbilla is </w:t>
      </w:r>
      <w:r w:rsidRPr="0045145C">
        <w:t>a major transit point between Queensland and the gas markets on Australia’s east coast.</w:t>
      </w:r>
    </w:p>
    <w:p w:rsidR="00A67EB8" w:rsidRDefault="00A67EB8" w:rsidP="00A67EB8">
      <w:pPr>
        <w:pStyle w:val="AERbodytext"/>
        <w:spacing w:before="120" w:after="120"/>
      </w:pPr>
      <w:r>
        <w:t>Products listed on the exchange are for the sale and purchase of gas delivered at one of the three major connecting pipelines at Wallumbilla</w:t>
      </w:r>
      <w:r w:rsidR="00B71779" w:rsidRPr="00B71779">
        <w:t>—</w:t>
      </w:r>
      <w:r>
        <w:t xml:space="preserve">the Queensland Gas </w:t>
      </w:r>
      <w:r w:rsidR="00B71779">
        <w:t>p</w:t>
      </w:r>
      <w:r>
        <w:t xml:space="preserve">ipeline, the South West Queensland </w:t>
      </w:r>
      <w:r w:rsidR="00B71779">
        <w:t>p</w:t>
      </w:r>
      <w:r>
        <w:t xml:space="preserve">ipeline and the Roma to Brisbane </w:t>
      </w:r>
      <w:r w:rsidR="00B71779">
        <w:t>p</w:t>
      </w:r>
      <w:r>
        <w:t xml:space="preserve">ipeline. </w:t>
      </w:r>
      <w:r w:rsidRPr="00CB1697">
        <w:t xml:space="preserve">There are separate products for each pipeline (each pipeline is considered a </w:t>
      </w:r>
      <w:r w:rsidR="00193D0B">
        <w:t>t</w:t>
      </w:r>
      <w:r w:rsidRPr="00CB1697">
        <w:t xml:space="preserve">rading </w:t>
      </w:r>
      <w:r w:rsidR="00193D0B">
        <w:t>l</w:t>
      </w:r>
      <w:r w:rsidRPr="00CB1697">
        <w:t>ocation, and each has a number of delivery points) and delivery period (daily, day-ahead, balance-of-day and weekly).</w:t>
      </w:r>
    </w:p>
    <w:p w:rsidR="00A67EB8" w:rsidRPr="001A0B7E" w:rsidRDefault="00A67EB8" w:rsidP="00A67EB8">
      <w:pPr>
        <w:pStyle w:val="AERbodytext"/>
        <w:spacing w:before="120" w:after="120"/>
      </w:pPr>
      <w:r>
        <w:t xml:space="preserve">Under the </w:t>
      </w:r>
      <w:r w:rsidRPr="001A0B7E">
        <w:t>Gas Rules</w:t>
      </w:r>
      <w:r w:rsidR="00193D0B">
        <w:t>,</w:t>
      </w:r>
      <w:r w:rsidRPr="001A0B7E">
        <w:t xml:space="preserve"> the AER </w:t>
      </w:r>
      <w:r w:rsidR="00E56474">
        <w:t>is</w:t>
      </w:r>
      <w:r>
        <w:t xml:space="preserve"> </w:t>
      </w:r>
      <w:r w:rsidR="00E56474">
        <w:t>responsible</w:t>
      </w:r>
      <w:r w:rsidRPr="001A0B7E">
        <w:t xml:space="preserve"> </w:t>
      </w:r>
      <w:r>
        <w:t xml:space="preserve">for </w:t>
      </w:r>
      <w:r w:rsidRPr="001A0B7E">
        <w:t>monitoring Gas Supply Hub members</w:t>
      </w:r>
      <w:r>
        <w:t>’</w:t>
      </w:r>
      <w:r w:rsidRPr="001A0B7E">
        <w:t xml:space="preserve"> compliance with rights and obligations specified in the Rules, including market conduct rules. The market conduct rules seek to protect the integrity of the market by prohibiting members</w:t>
      </w:r>
      <w:r w:rsidR="00B71779">
        <w:t xml:space="preserve"> from a number of activities such as </w:t>
      </w:r>
      <w:r w:rsidRPr="001A0B7E">
        <w:t xml:space="preserve">manipulating prices and acting fraudulently. The Rules also </w:t>
      </w:r>
      <w:r w:rsidR="00B71779">
        <w:t>contain</w:t>
      </w:r>
      <w:r w:rsidRPr="001A0B7E">
        <w:t xml:space="preserve"> obligations in relation to submitting orders, </w:t>
      </w:r>
      <w:r w:rsidR="00B71779">
        <w:t xml:space="preserve">the </w:t>
      </w:r>
      <w:r w:rsidRPr="001A0B7E">
        <w:t xml:space="preserve">exchange of information </w:t>
      </w:r>
      <w:r w:rsidR="00B315E7">
        <w:t xml:space="preserve">and the </w:t>
      </w:r>
      <w:r w:rsidRPr="001A0B7E">
        <w:t>performance of contracts. The market conduct rules are classified as</w:t>
      </w:r>
      <w:r w:rsidR="00B315E7">
        <w:t xml:space="preserve"> both</w:t>
      </w:r>
      <w:r w:rsidRPr="001A0B7E">
        <w:t xml:space="preserve"> civil penalty </w:t>
      </w:r>
      <w:r w:rsidR="00B315E7">
        <w:t xml:space="preserve">provisions </w:t>
      </w:r>
      <w:r w:rsidRPr="001A0B7E">
        <w:t xml:space="preserve">and conduct provisions </w:t>
      </w:r>
      <w:r w:rsidR="007E157B">
        <w:t xml:space="preserve">under </w:t>
      </w:r>
      <w:r w:rsidRPr="001A0B7E">
        <w:t xml:space="preserve">the National Gas Regulations. </w:t>
      </w:r>
    </w:p>
    <w:p w:rsidR="00B53D67" w:rsidRDefault="00A67EB8" w:rsidP="00A67EB8">
      <w:pPr>
        <w:pStyle w:val="AERbodytext"/>
        <w:spacing w:before="120" w:after="120"/>
      </w:pPr>
      <w:r>
        <w:t xml:space="preserve">We have </w:t>
      </w:r>
      <w:r w:rsidRPr="00552895">
        <w:t>developed mechanisms to monitor market outcomes and members’ activ</w:t>
      </w:r>
      <w:r w:rsidRPr="001165D0">
        <w:t xml:space="preserve">ities. </w:t>
      </w:r>
      <w:r>
        <w:t>Information on trades undertaken will be presented in our weekly gas reports</w:t>
      </w:r>
      <w:r w:rsidR="00193D0B">
        <w:t>.</w:t>
      </w:r>
      <w:r w:rsidR="00585DCA">
        <w:rPr>
          <w:rStyle w:val="FootnoteReference"/>
        </w:rPr>
        <w:footnoteReference w:id="5"/>
      </w:r>
      <w:r>
        <w:t xml:space="preserve"> </w:t>
      </w:r>
      <w:r w:rsidR="007B0CCD">
        <w:t xml:space="preserve">We will review and, where appropriate, report </w:t>
      </w:r>
      <w:r w:rsidR="00193D0B">
        <w:t xml:space="preserve">on </w:t>
      </w:r>
      <w:r w:rsidR="007B0CCD">
        <w:t xml:space="preserve">significant compliance issues </w:t>
      </w:r>
      <w:r>
        <w:t xml:space="preserve">in </w:t>
      </w:r>
      <w:r w:rsidR="00585DCA">
        <w:t xml:space="preserve">future </w:t>
      </w:r>
      <w:r>
        <w:t>QCR</w:t>
      </w:r>
      <w:r w:rsidR="00585DCA">
        <w:t>s</w:t>
      </w:r>
      <w:r>
        <w:t>.</w:t>
      </w:r>
    </w:p>
    <w:p w:rsidR="008259AF" w:rsidRPr="002C7158" w:rsidRDefault="00CA4066" w:rsidP="002C7158">
      <w:pPr>
        <w:pStyle w:val="QCRunnumberedunboldheading"/>
      </w:pPr>
      <w:bookmarkStart w:id="42" w:name="_Toc386117301"/>
      <w:r w:rsidRPr="002C7158">
        <w:t>Short Term Trading Market</w:t>
      </w:r>
      <w:bookmarkEnd w:id="40"/>
      <w:bookmarkEnd w:id="41"/>
      <w:bookmarkEnd w:id="42"/>
    </w:p>
    <w:p w:rsidR="00ED7BB4" w:rsidRDefault="00BF4F53">
      <w:pPr>
        <w:pStyle w:val="AERbodytext"/>
      </w:pPr>
      <w:r w:rsidRPr="009D0732">
        <w:t>Part 20 of the Gas Rules sets out participants’ responsibilities within the STTM</w:t>
      </w:r>
      <w:r w:rsidR="00FD516E">
        <w:t>,</w:t>
      </w:r>
      <w:r w:rsidRPr="009D0732">
        <w:t xml:space="preserve"> which encompasses three gas trading hubs: Adelaide, Sydney and Brisbane. The rules outline how wholesale gas is traded and include requirements for pipeline operators to submit pipeline capacity </w:t>
      </w:r>
      <w:r w:rsidR="00D476F6">
        <w:t>and allocation (gas</w:t>
      </w:r>
      <w:r w:rsidR="006809E7">
        <w:t> </w:t>
      </w:r>
      <w:r w:rsidR="00D476F6">
        <w:t>flow) data.</w:t>
      </w:r>
    </w:p>
    <w:p w:rsidR="00EE2EF7" w:rsidRPr="007C5152" w:rsidRDefault="00EE2EF7" w:rsidP="00EE2EF7">
      <w:pPr>
        <w:pStyle w:val="AERheading2"/>
        <w:tabs>
          <w:tab w:val="clear" w:pos="2484"/>
          <w:tab w:val="num" w:pos="357"/>
        </w:tabs>
        <w:ind w:left="357"/>
      </w:pPr>
      <w:bookmarkStart w:id="43" w:name="_Toc386117302"/>
      <w:r w:rsidRPr="007C5152">
        <w:lastRenderedPageBreak/>
        <w:t>Capacity and allocation data quality</w:t>
      </w:r>
      <w:bookmarkEnd w:id="43"/>
    </w:p>
    <w:p w:rsidR="00846CD6" w:rsidRDefault="00846CD6" w:rsidP="00846CD6">
      <w:pPr>
        <w:pStyle w:val="AERbodytext"/>
      </w:pPr>
      <w:r>
        <w:t>This quarter we continued to monitor the quality</w:t>
      </w:r>
      <w:r w:rsidR="00D97ABE">
        <w:t xml:space="preserve"> and timeliness</w:t>
      </w:r>
      <w:r>
        <w:t xml:space="preserve"> of STTM data. Figure </w:t>
      </w:r>
      <w:r w:rsidR="008D4A86">
        <w:t>2</w:t>
      </w:r>
      <w:r>
        <w:t xml:space="preserve">.1 below illustrates the performance of STTM participants in submitting capacity and allocation data from the start of the STTM to </w:t>
      </w:r>
      <w:r w:rsidR="002B6D24">
        <w:t>March 2014</w:t>
      </w:r>
      <w:r>
        <w:t xml:space="preserve">. Data failures are categorised as relating to either ‘missing/late’ or ‘erroneous’ data. </w:t>
      </w:r>
      <w:r w:rsidR="002B6D24">
        <w:t xml:space="preserve">Last quarter we expressed concerns over </w:t>
      </w:r>
      <w:r w:rsidR="00E87CD0">
        <w:t>the number of data failures since mid-2013</w:t>
      </w:r>
      <w:r w:rsidR="00D97ABE">
        <w:t>. T</w:t>
      </w:r>
      <w:r w:rsidR="002B6D24">
        <w:t xml:space="preserve">here were </w:t>
      </w:r>
      <w:r w:rsidR="00E87CD0">
        <w:t xml:space="preserve">no errors </w:t>
      </w:r>
      <w:r w:rsidR="00D97ABE">
        <w:t xml:space="preserve">identified </w:t>
      </w:r>
      <w:r w:rsidR="002B6D24">
        <w:t>this quarter</w:t>
      </w:r>
      <w:r w:rsidR="00E87CD0">
        <w:t xml:space="preserve">. </w:t>
      </w:r>
    </w:p>
    <w:p w:rsidR="00846CD6" w:rsidRDefault="00846CD6" w:rsidP="008F5B6C">
      <w:pPr>
        <w:pStyle w:val="AERfigureheading"/>
        <w:numPr>
          <w:ilvl w:val="3"/>
          <w:numId w:val="13"/>
        </w:numPr>
      </w:pPr>
      <w:r>
        <w:t>Data failures since STTM commencement</w:t>
      </w:r>
    </w:p>
    <w:p w:rsidR="00027DAF" w:rsidRDefault="00850A3E" w:rsidP="00BF64F2">
      <w:pPr>
        <w:pStyle w:val="AERbodytext"/>
        <w:spacing w:after="120"/>
      </w:pPr>
      <w:r>
        <w:pict>
          <v:shape id="_x0000_i1025" type="#_x0000_t75" alt="Data failures since STTM commencement" style="width:451pt;height:225.2pt">
            <v:imagedata r:id="rId16" o:title=""/>
          </v:shape>
        </w:pict>
      </w:r>
    </w:p>
    <w:p w:rsidR="007B0CCD" w:rsidRPr="007B0CCD" w:rsidRDefault="007B0CCD" w:rsidP="00846CD6">
      <w:pPr>
        <w:pStyle w:val="AERbodytext"/>
        <w:rPr>
          <w:sz w:val="16"/>
          <w:szCs w:val="16"/>
        </w:rPr>
      </w:pPr>
      <w:r w:rsidRPr="0006366F">
        <w:rPr>
          <w:sz w:val="16"/>
          <w:szCs w:val="16"/>
        </w:rPr>
        <w:t xml:space="preserve">* September </w:t>
      </w:r>
      <w:r>
        <w:rPr>
          <w:sz w:val="16"/>
          <w:szCs w:val="16"/>
        </w:rPr>
        <w:t xml:space="preserve">2010 </w:t>
      </w:r>
      <w:r w:rsidRPr="0006366F">
        <w:rPr>
          <w:sz w:val="16"/>
          <w:szCs w:val="16"/>
        </w:rPr>
        <w:t>has been grouped with the December 2010 quarter. Therefore, this data point represents four months.</w:t>
      </w:r>
      <w:r>
        <w:rPr>
          <w:sz w:val="16"/>
          <w:szCs w:val="16"/>
        </w:rPr>
        <w:t xml:space="preserve"> </w:t>
      </w:r>
    </w:p>
    <w:p w:rsidR="00846CD6" w:rsidRPr="007C5152" w:rsidRDefault="00846CD6" w:rsidP="00846CD6">
      <w:pPr>
        <w:pStyle w:val="AERheading2"/>
        <w:tabs>
          <w:tab w:val="clear" w:pos="2484"/>
          <w:tab w:val="num" w:pos="357"/>
        </w:tabs>
        <w:ind w:left="357"/>
      </w:pPr>
      <w:bookmarkStart w:id="44" w:name="_Toc386117303"/>
      <w:r w:rsidRPr="007C5152">
        <w:t>Epic Energy—late STTM data</w:t>
      </w:r>
      <w:bookmarkEnd w:id="44"/>
      <w:r w:rsidRPr="007C5152">
        <w:t xml:space="preserve"> </w:t>
      </w:r>
    </w:p>
    <w:p w:rsidR="00493739" w:rsidRPr="00493739" w:rsidRDefault="00493739" w:rsidP="00493739">
      <w:pPr>
        <w:pStyle w:val="AERbodytext"/>
      </w:pPr>
      <w:r w:rsidRPr="00493739">
        <w:t>On 21</w:t>
      </w:r>
      <w:r>
        <w:t xml:space="preserve"> December </w:t>
      </w:r>
      <w:r w:rsidRPr="00493739">
        <w:t>2013, Epic Energy failed to submit STTM facility allocation data for the Moomba to Adelaide Pipeline (</w:t>
      </w:r>
      <w:r w:rsidRPr="00422C6F">
        <w:rPr>
          <w:b/>
        </w:rPr>
        <w:t>MAP</w:t>
      </w:r>
      <w:r w:rsidRPr="00493739">
        <w:t xml:space="preserve">) for </w:t>
      </w:r>
      <w:r w:rsidR="00422C6F">
        <w:t xml:space="preserve">the </w:t>
      </w:r>
      <w:r w:rsidRPr="00493739">
        <w:t>20</w:t>
      </w:r>
      <w:r w:rsidR="00422C6F">
        <w:t xml:space="preserve"> December </w:t>
      </w:r>
      <w:r w:rsidRPr="00493739">
        <w:t xml:space="preserve">2013 </w:t>
      </w:r>
      <w:r w:rsidR="00422C6F" w:rsidRPr="00493739">
        <w:t xml:space="preserve">gas day </w:t>
      </w:r>
      <w:r w:rsidRPr="00493739">
        <w:t xml:space="preserve">by the </w:t>
      </w:r>
      <w:r w:rsidR="00422C6F">
        <w:t>11am</w:t>
      </w:r>
      <w:r w:rsidRPr="00493739">
        <w:t xml:space="preserve"> cut-off time. AEMO </w:t>
      </w:r>
      <w:r w:rsidR="00D97ABE">
        <w:t>published an event report in February 2014</w:t>
      </w:r>
      <w:r w:rsidRPr="00493739">
        <w:t>.</w:t>
      </w:r>
      <w:r w:rsidRPr="00493739">
        <w:rPr>
          <w:vertAlign w:val="superscript"/>
        </w:rPr>
        <w:footnoteReference w:id="6"/>
      </w:r>
      <w:r w:rsidRPr="00493739">
        <w:t xml:space="preserve"> </w:t>
      </w:r>
    </w:p>
    <w:p w:rsidR="00493739" w:rsidRPr="00493739" w:rsidRDefault="00493739" w:rsidP="00493739">
      <w:pPr>
        <w:pStyle w:val="AERbodytext"/>
      </w:pPr>
      <w:r w:rsidRPr="00493739">
        <w:t xml:space="preserve">Epic explained </w:t>
      </w:r>
      <w:r w:rsidR="00EE60E1">
        <w:t xml:space="preserve">that </w:t>
      </w:r>
      <w:r w:rsidR="006C14E1">
        <w:t>the following sequence of events contributed to it missing the 11am cut-off</w:t>
      </w:r>
      <w:r w:rsidRPr="00493739">
        <w:t>:</w:t>
      </w:r>
    </w:p>
    <w:p w:rsidR="00493739" w:rsidRPr="00493739" w:rsidRDefault="00EE60E1" w:rsidP="00493739">
      <w:pPr>
        <w:pStyle w:val="AERbulletlistsecondstyle"/>
      </w:pPr>
      <w:proofErr w:type="gramStart"/>
      <w:r>
        <w:t>a</w:t>
      </w:r>
      <w:proofErr w:type="gramEnd"/>
      <w:r w:rsidR="00493739" w:rsidRPr="00493739">
        <w:t xml:space="preserve"> shipper decided </w:t>
      </w:r>
      <w:r w:rsidR="00004867" w:rsidRPr="00493739">
        <w:t xml:space="preserve">not </w:t>
      </w:r>
      <w:r w:rsidR="00493739" w:rsidRPr="00493739">
        <w:t xml:space="preserve">to </w:t>
      </w:r>
      <w:r w:rsidR="006C14E1">
        <w:t>proceed</w:t>
      </w:r>
      <w:r w:rsidR="00493739" w:rsidRPr="00493739">
        <w:t xml:space="preserve"> with a</w:t>
      </w:r>
      <w:r w:rsidR="00E5010A">
        <w:t>n</w:t>
      </w:r>
      <w:r w:rsidR="00493739" w:rsidRPr="00493739">
        <w:t xml:space="preserve"> </w:t>
      </w:r>
      <w:r w:rsidR="00E5010A">
        <w:t>agreed contract change</w:t>
      </w:r>
      <w:r w:rsidR="00493739" w:rsidRPr="00493739">
        <w:t xml:space="preserve"> without informing Epic of its decision. As a result, Epic submitted reports to AEMO that reflected what was in the agreement. As the shipper had not created an active trading right number, Epic’s reports were not recognised by AEMO’s systems</w:t>
      </w:r>
      <w:r w:rsidR="006C14E1">
        <w:t xml:space="preserve"> and Epic received an error message</w:t>
      </w:r>
      <w:r w:rsidR="00493739" w:rsidRPr="00493739">
        <w:t>.</w:t>
      </w:r>
    </w:p>
    <w:p w:rsidR="00493739" w:rsidRPr="00493739" w:rsidRDefault="00EE60E1" w:rsidP="00493739">
      <w:pPr>
        <w:pStyle w:val="AERbulletlistsecondstyle"/>
      </w:pPr>
      <w:proofErr w:type="gramStart"/>
      <w:r>
        <w:t>it</w:t>
      </w:r>
      <w:proofErr w:type="gramEnd"/>
      <w:r w:rsidR="00493739" w:rsidRPr="00493739">
        <w:t xml:space="preserve"> failed to check whether the shipper had activated the new agreement in the </w:t>
      </w:r>
      <w:r>
        <w:t>c</w:t>
      </w:r>
      <w:r w:rsidR="00493739" w:rsidRPr="00493739">
        <w:t xml:space="preserve">ontract </w:t>
      </w:r>
      <w:r>
        <w:t>r</w:t>
      </w:r>
      <w:r w:rsidR="00493739" w:rsidRPr="00493739">
        <w:t xml:space="preserve">egistration page in the STTM </w:t>
      </w:r>
      <w:r>
        <w:t>w</w:t>
      </w:r>
      <w:r w:rsidR="00493739" w:rsidRPr="00493739">
        <w:t xml:space="preserve">eb </w:t>
      </w:r>
      <w:r>
        <w:t>e</w:t>
      </w:r>
      <w:r w:rsidR="00493739" w:rsidRPr="00493739">
        <w:t>xchanger.</w:t>
      </w:r>
    </w:p>
    <w:p w:rsidR="00493739" w:rsidRPr="00493739" w:rsidRDefault="006C14E1" w:rsidP="00493739">
      <w:pPr>
        <w:pStyle w:val="AERbulletlistsecondstyle"/>
      </w:pPr>
      <w:proofErr w:type="gramStart"/>
      <w:r>
        <w:t>it</w:t>
      </w:r>
      <w:proofErr w:type="gramEnd"/>
      <w:r>
        <w:t xml:space="preserve"> did not initially</w:t>
      </w:r>
      <w:r w:rsidR="00493739" w:rsidRPr="00493739">
        <w:t xml:space="preserve"> understand the error message</w:t>
      </w:r>
      <w:r w:rsidR="00E5010A">
        <w:t xml:space="preserve"> received from AEMO and this issue was not resolved</w:t>
      </w:r>
      <w:r w:rsidR="00004867">
        <w:t xml:space="preserve">, in conjunction with </w:t>
      </w:r>
      <w:r w:rsidR="00E5010A">
        <w:t xml:space="preserve">the </w:t>
      </w:r>
      <w:r w:rsidR="00493739" w:rsidRPr="00493739">
        <w:t>AEMO IT Help Desk</w:t>
      </w:r>
      <w:r w:rsidR="00004867">
        <w:t>,</w:t>
      </w:r>
      <w:r w:rsidR="00E5010A">
        <w:t xml:space="preserve"> until after the cut-off time</w:t>
      </w:r>
      <w:r w:rsidR="00493739" w:rsidRPr="00493739">
        <w:t xml:space="preserve">. </w:t>
      </w:r>
    </w:p>
    <w:p w:rsidR="00493739" w:rsidRPr="00493739" w:rsidRDefault="00493739" w:rsidP="00493739">
      <w:pPr>
        <w:pStyle w:val="AERbodytext"/>
      </w:pPr>
      <w:r w:rsidRPr="00493739">
        <w:lastRenderedPageBreak/>
        <w:t xml:space="preserve">Epic was able to successfully submit its allocation data before the </w:t>
      </w:r>
      <w:r w:rsidR="00422C6F">
        <w:t xml:space="preserve">3pm </w:t>
      </w:r>
      <w:r w:rsidRPr="00493739">
        <w:t>extended cut-off time</w:t>
      </w:r>
      <w:r w:rsidR="00422C6F">
        <w:t xml:space="preserve"> and there was no </w:t>
      </w:r>
      <w:r w:rsidRPr="00493739">
        <w:t>significant impact on the market.</w:t>
      </w:r>
    </w:p>
    <w:p w:rsidR="00493739" w:rsidRDefault="00493739" w:rsidP="00846CD6">
      <w:pPr>
        <w:pStyle w:val="AERbodytext"/>
      </w:pPr>
      <w:r w:rsidRPr="00493739">
        <w:t xml:space="preserve">To </w:t>
      </w:r>
      <w:r w:rsidR="00422C6F">
        <w:t>reduce the likelihood of reoccurrence</w:t>
      </w:r>
      <w:r w:rsidRPr="00493739">
        <w:t xml:space="preserve">, Epic has updated its procedures to ensure new contracts are active in AEMO market systems. We will continue to monitor Epic’s </w:t>
      </w:r>
      <w:r w:rsidR="00E5010A">
        <w:t>submissions of data to AEMO</w:t>
      </w:r>
      <w:r w:rsidRPr="00493739">
        <w:t>.</w:t>
      </w:r>
    </w:p>
    <w:p w:rsidR="002F695F" w:rsidRPr="007C5152" w:rsidRDefault="002F695F" w:rsidP="002F695F">
      <w:pPr>
        <w:pStyle w:val="AERheading2"/>
        <w:tabs>
          <w:tab w:val="clear" w:pos="2484"/>
          <w:tab w:val="num" w:pos="357"/>
        </w:tabs>
        <w:ind w:left="357"/>
      </w:pPr>
      <w:bookmarkStart w:id="45" w:name="_Toc386117304"/>
      <w:r w:rsidRPr="007C5152">
        <w:t xml:space="preserve">Incitec Pivot—late </w:t>
      </w:r>
      <w:r w:rsidR="009627A3" w:rsidRPr="007C5152">
        <w:t xml:space="preserve">final </w:t>
      </w:r>
      <w:r w:rsidRPr="007C5152">
        <w:t>settlement payment</w:t>
      </w:r>
      <w:bookmarkEnd w:id="45"/>
    </w:p>
    <w:p w:rsidR="002F695F" w:rsidRPr="002F695F" w:rsidRDefault="002F695F" w:rsidP="002F695F">
      <w:pPr>
        <w:pStyle w:val="AERbodytext"/>
      </w:pPr>
      <w:r w:rsidRPr="002F695F">
        <w:t>On 12 March 2014, AEMO notified the AER that Incitec Pivot had made a late payment with respect to the final settlement for January 2014. AEMO advised that this payment was received on 28</w:t>
      </w:r>
      <w:r>
        <w:t> February at 12:</w:t>
      </w:r>
      <w:r w:rsidRPr="002F695F">
        <w:t xml:space="preserve">33pm, </w:t>
      </w:r>
      <w:r w:rsidR="00004867">
        <w:t xml:space="preserve">33 minutes </w:t>
      </w:r>
      <w:r w:rsidRPr="002F695F">
        <w:t>after the 12 noon deadline</w:t>
      </w:r>
      <w:r w:rsidR="006456B2">
        <w:t xml:space="preserve"> as stipulated in gas rule 470</w:t>
      </w:r>
      <w:r w:rsidRPr="002F695F">
        <w:t>.</w:t>
      </w:r>
    </w:p>
    <w:p w:rsidR="002F695F" w:rsidRPr="002F695F" w:rsidRDefault="002F695F" w:rsidP="002F695F">
      <w:pPr>
        <w:pStyle w:val="AERbodytext"/>
      </w:pPr>
      <w:r w:rsidRPr="002F695F">
        <w:t xml:space="preserve">Incitec Pivot explained that the late </w:t>
      </w:r>
      <w:r w:rsidR="009627A3" w:rsidRPr="002F695F">
        <w:t xml:space="preserve">final settlement </w:t>
      </w:r>
      <w:r w:rsidRPr="002F695F">
        <w:t>payment was due to:</w:t>
      </w:r>
    </w:p>
    <w:p w:rsidR="002F695F" w:rsidRPr="00463DF8" w:rsidRDefault="006456B2" w:rsidP="002F695F">
      <w:pPr>
        <w:pStyle w:val="AERbulletlistsecondstyle"/>
      </w:pPr>
      <w:r>
        <w:t>a</w:t>
      </w:r>
      <w:r w:rsidR="002F695F" w:rsidRPr="00463DF8">
        <w:t xml:space="preserve"> failure by </w:t>
      </w:r>
      <w:r>
        <w:t>its</w:t>
      </w:r>
      <w:r w:rsidR="002F695F" w:rsidRPr="00463DF8">
        <w:t xml:space="preserve"> front office </w:t>
      </w:r>
      <w:r w:rsidR="002F695F">
        <w:t xml:space="preserve">staff </w:t>
      </w:r>
      <w:r w:rsidR="002F695F" w:rsidRPr="00463DF8">
        <w:t xml:space="preserve">to forward the invoice </w:t>
      </w:r>
      <w:r w:rsidR="002F695F">
        <w:t xml:space="preserve">to its </w:t>
      </w:r>
      <w:r>
        <w:t>t</w:t>
      </w:r>
      <w:r w:rsidR="002F695F">
        <w:t xml:space="preserve">reasury department </w:t>
      </w:r>
      <w:r w:rsidR="002F695F" w:rsidRPr="00463DF8">
        <w:t>in a timely manner</w:t>
      </w:r>
    </w:p>
    <w:p w:rsidR="002F695F" w:rsidRPr="00463DF8" w:rsidRDefault="006456B2" w:rsidP="002F695F">
      <w:pPr>
        <w:pStyle w:val="AERbulletlistsecondstyle"/>
      </w:pPr>
      <w:proofErr w:type="gramStart"/>
      <w:r>
        <w:t>the</w:t>
      </w:r>
      <w:proofErr w:type="gramEnd"/>
      <w:r>
        <w:t xml:space="preserve"> </w:t>
      </w:r>
      <w:r w:rsidR="002F695F" w:rsidRPr="00463DF8">
        <w:t xml:space="preserve">unavailability of authorised signatories to </w:t>
      </w:r>
      <w:r w:rsidR="002F695F">
        <w:t>process the payment</w:t>
      </w:r>
      <w:r>
        <w:t>.</w:t>
      </w:r>
    </w:p>
    <w:p w:rsidR="002F695F" w:rsidRPr="002F695F" w:rsidRDefault="002F695F" w:rsidP="002F695F">
      <w:pPr>
        <w:pStyle w:val="AERbodytext"/>
      </w:pPr>
      <w:r w:rsidRPr="002F695F">
        <w:t xml:space="preserve">Incitec Pivot has </w:t>
      </w:r>
      <w:r w:rsidR="00004867">
        <w:t xml:space="preserve">since </w:t>
      </w:r>
      <w:r w:rsidRPr="002F695F">
        <w:t xml:space="preserve">taken </w:t>
      </w:r>
      <w:r w:rsidR="00004867">
        <w:t xml:space="preserve">a number of </w:t>
      </w:r>
      <w:r w:rsidRPr="002F695F">
        <w:t xml:space="preserve">steps to </w:t>
      </w:r>
      <w:r w:rsidR="006456B2">
        <w:t>improve the timeliness of its final settlement payments</w:t>
      </w:r>
      <w:r w:rsidR="00004867">
        <w:t xml:space="preserve"> including</w:t>
      </w:r>
      <w:r w:rsidRPr="002F695F">
        <w:t xml:space="preserve">: </w:t>
      </w:r>
    </w:p>
    <w:p w:rsidR="002F695F" w:rsidRPr="00463DF8" w:rsidRDefault="005D3AFE" w:rsidP="002F695F">
      <w:pPr>
        <w:pStyle w:val="AERbulletlistsecondstyle"/>
      </w:pPr>
      <w:r>
        <w:t xml:space="preserve">reiterating to staff the procedures for receiving and paying </w:t>
      </w:r>
      <w:r w:rsidR="001D1A45">
        <w:t xml:space="preserve">settlement invoices </w:t>
      </w:r>
    </w:p>
    <w:p w:rsidR="009627A3" w:rsidRDefault="001D1A45" w:rsidP="005D3AFE">
      <w:pPr>
        <w:pStyle w:val="AERbulletlistsecondstyle"/>
      </w:pPr>
      <w:r>
        <w:t xml:space="preserve">putting in place back-up procedures to ensure that </w:t>
      </w:r>
      <w:r w:rsidR="005D3AFE">
        <w:t>these invoices are paid on time</w:t>
      </w:r>
    </w:p>
    <w:p w:rsidR="002F695F" w:rsidRPr="00463DF8" w:rsidRDefault="009627A3" w:rsidP="002F695F">
      <w:pPr>
        <w:pStyle w:val="AERbulletlistsecondstyle"/>
      </w:pPr>
      <w:proofErr w:type="gramStart"/>
      <w:r w:rsidRPr="002F695F">
        <w:t>increas</w:t>
      </w:r>
      <w:r w:rsidR="005D3AFE">
        <w:t>ing</w:t>
      </w:r>
      <w:proofErr w:type="gramEnd"/>
      <w:r w:rsidRPr="002F695F">
        <w:t xml:space="preserve"> the number of authorised signatories with respect</w:t>
      </w:r>
      <w:r>
        <w:t xml:space="preserve"> to settlement payments in its t</w:t>
      </w:r>
      <w:r w:rsidRPr="002F695F">
        <w:t>reasury department.</w:t>
      </w:r>
    </w:p>
    <w:p w:rsidR="002F695F" w:rsidRDefault="002F695F" w:rsidP="00846CD6">
      <w:pPr>
        <w:pStyle w:val="AERbodytext"/>
      </w:pPr>
      <w:r w:rsidRPr="002F695F">
        <w:t>We will continue to monitor Incitec Pivot’s performance against the financial settlement obligations under the Gas Rules.</w:t>
      </w:r>
    </w:p>
    <w:p w:rsidR="00E5010A" w:rsidRPr="007C5152" w:rsidRDefault="00E5010A" w:rsidP="002C7158">
      <w:pPr>
        <w:pStyle w:val="QCRunnumberedunboldheading"/>
      </w:pPr>
      <w:bookmarkStart w:id="46" w:name="_Toc386117305"/>
      <w:r w:rsidRPr="007C5152">
        <w:t xml:space="preserve">Victorian </w:t>
      </w:r>
      <w:r w:rsidR="00ED7A81" w:rsidRPr="007C5152">
        <w:t>g</w:t>
      </w:r>
      <w:r w:rsidRPr="007C5152">
        <w:t xml:space="preserve">as </w:t>
      </w:r>
      <w:r w:rsidR="00ED7A81" w:rsidRPr="007C5152">
        <w:t>m</w:t>
      </w:r>
      <w:r w:rsidRPr="007C5152">
        <w:t>arket</w:t>
      </w:r>
      <w:bookmarkEnd w:id="46"/>
    </w:p>
    <w:p w:rsidR="00E5010A" w:rsidRDefault="00E5010A" w:rsidP="00E5010A">
      <w:pPr>
        <w:pStyle w:val="AERbodytext"/>
      </w:pPr>
      <w:proofErr w:type="gramStart"/>
      <w:r w:rsidRPr="00405B4F">
        <w:t>Part 19 of the Gas Rules sets out participants</w:t>
      </w:r>
      <w:r w:rsidRPr="00405B4F">
        <w:rPr>
          <w:rFonts w:hint="eastAsia"/>
        </w:rPr>
        <w:t>’</w:t>
      </w:r>
      <w:r w:rsidRPr="00405B4F">
        <w:t xml:space="preserve"> res</w:t>
      </w:r>
      <w:r w:rsidR="00ED7A81">
        <w:t>ponsibilities in the Victorian g</w:t>
      </w:r>
      <w:r w:rsidRPr="00405B4F">
        <w:t xml:space="preserve">as </w:t>
      </w:r>
      <w:r w:rsidR="00ED7A81">
        <w:t>m</w:t>
      </w:r>
      <w:r w:rsidRPr="00405B4F">
        <w:t>arket.</w:t>
      </w:r>
      <w:proofErr w:type="gramEnd"/>
      <w:r w:rsidRPr="00405B4F">
        <w:t xml:space="preserve"> The rules outline how wholesale gas is traded within the market and AEMO</w:t>
      </w:r>
      <w:r w:rsidRPr="00405B4F">
        <w:rPr>
          <w:rFonts w:hint="eastAsia"/>
        </w:rPr>
        <w:t>’</w:t>
      </w:r>
      <w:r w:rsidRPr="00405B4F">
        <w:t>s obligations to operate the physical system.</w:t>
      </w:r>
      <w:r>
        <w:t xml:space="preserve"> Two recent errors by participants are reported below.</w:t>
      </w:r>
    </w:p>
    <w:p w:rsidR="00ED7A81" w:rsidRPr="007C5152" w:rsidRDefault="00ED7A81" w:rsidP="00ED7A81">
      <w:pPr>
        <w:pStyle w:val="AERheading2"/>
        <w:tabs>
          <w:tab w:val="clear" w:pos="2484"/>
          <w:tab w:val="num" w:pos="357"/>
        </w:tabs>
        <w:ind w:left="357"/>
      </w:pPr>
      <w:bookmarkStart w:id="47" w:name="_Toc386117306"/>
      <w:r w:rsidRPr="007C5152">
        <w:t>Origin Energy—</w:t>
      </w:r>
      <w:r w:rsidR="00DB3539" w:rsidRPr="007C5152">
        <w:t>failure to update withdrawal bid</w:t>
      </w:r>
      <w:bookmarkEnd w:id="47"/>
    </w:p>
    <w:p w:rsidR="00E5010A" w:rsidRPr="00E5010A" w:rsidRDefault="00E5010A" w:rsidP="00E5010A">
      <w:pPr>
        <w:pStyle w:val="AERbodytext"/>
      </w:pPr>
      <w:r w:rsidRPr="00E5010A">
        <w:t>On 12</w:t>
      </w:r>
      <w:r w:rsidR="002F695F">
        <w:t xml:space="preserve"> </w:t>
      </w:r>
      <w:r w:rsidRPr="00E5010A">
        <w:t>February, Origin Energy Uranquinty</w:t>
      </w:r>
      <w:r w:rsidR="00ED7A81">
        <w:t xml:space="preserve"> </w:t>
      </w:r>
      <w:r w:rsidRPr="00E5010A">
        <w:t xml:space="preserve">submitted a withdrawal bid for the Culcairn </w:t>
      </w:r>
      <w:r w:rsidR="00004867">
        <w:t xml:space="preserve">supply </w:t>
      </w:r>
      <w:r w:rsidRPr="00E5010A">
        <w:t xml:space="preserve">point </w:t>
      </w:r>
      <w:r w:rsidR="00ED7A81">
        <w:t>to apply</w:t>
      </w:r>
      <w:r w:rsidRPr="00E5010A">
        <w:t xml:space="preserve"> from 13</w:t>
      </w:r>
      <w:r w:rsidR="00ED7A81">
        <w:t xml:space="preserve"> </w:t>
      </w:r>
      <w:r w:rsidRPr="00E5010A">
        <w:t>to</w:t>
      </w:r>
      <w:r w:rsidR="00ED7A81">
        <w:t xml:space="preserve"> </w:t>
      </w:r>
      <w:r w:rsidRPr="00E5010A">
        <w:t>28</w:t>
      </w:r>
      <w:r w:rsidR="00ED7A81">
        <w:t xml:space="preserve"> </w:t>
      </w:r>
      <w:r w:rsidRPr="00E5010A">
        <w:t xml:space="preserve">February in the </w:t>
      </w:r>
      <w:r w:rsidR="00ED7A81">
        <w:t>Victorian gas market</w:t>
      </w:r>
      <w:r w:rsidRPr="00E5010A">
        <w:t>. On 13</w:t>
      </w:r>
      <w:r w:rsidR="00ED7A81">
        <w:t xml:space="preserve"> </w:t>
      </w:r>
      <w:r w:rsidRPr="00E5010A">
        <w:t>February</w:t>
      </w:r>
      <w:r w:rsidR="00ED7A81">
        <w:t>,</w:t>
      </w:r>
      <w:r w:rsidRPr="00E5010A">
        <w:t xml:space="preserve"> AEMO issued a </w:t>
      </w:r>
      <w:r w:rsidR="00ED7A81">
        <w:t>Supply Demand Point Constraint</w:t>
      </w:r>
      <w:r w:rsidR="00ED7A81" w:rsidRPr="00E5010A">
        <w:t xml:space="preserve"> (</w:t>
      </w:r>
      <w:r w:rsidRPr="00ED7A81">
        <w:rPr>
          <w:b/>
        </w:rPr>
        <w:t>SDPC</w:t>
      </w:r>
      <w:r w:rsidR="00ED7A81">
        <w:t>)</w:t>
      </w:r>
      <w:r w:rsidRPr="00E5010A">
        <w:t xml:space="preserve"> </w:t>
      </w:r>
      <w:r w:rsidR="002F695F">
        <w:t>restricting</w:t>
      </w:r>
      <w:r w:rsidRPr="00E5010A">
        <w:t xml:space="preserve"> flows </w:t>
      </w:r>
      <w:r w:rsidR="002F695F">
        <w:t>at Culcairn to 0TJ/hour from 9</w:t>
      </w:r>
      <w:r w:rsidRPr="00E5010A">
        <w:t xml:space="preserve">am to 11am on 14 February. </w:t>
      </w:r>
      <w:r w:rsidR="00ED7A81" w:rsidRPr="00E5010A">
        <w:t xml:space="preserve">Gas </w:t>
      </w:r>
      <w:r w:rsidR="00B554A6">
        <w:t>r</w:t>
      </w:r>
      <w:r w:rsidR="00ED7A81" w:rsidRPr="00E5010A">
        <w:t>ule</w:t>
      </w:r>
      <w:r w:rsidR="00B554A6">
        <w:t> </w:t>
      </w:r>
      <w:r w:rsidR="00B554A6" w:rsidRPr="00E5010A">
        <w:t xml:space="preserve">216(1) </w:t>
      </w:r>
      <w:r w:rsidR="00ED7A81" w:rsidRPr="00E5010A">
        <w:t xml:space="preserve">requires </w:t>
      </w:r>
      <w:r w:rsidR="00B554A6">
        <w:t>m</w:t>
      </w:r>
      <w:r w:rsidR="00ED7A81" w:rsidRPr="00E5010A">
        <w:t xml:space="preserve">arket </w:t>
      </w:r>
      <w:r w:rsidR="00B554A6">
        <w:t>p</w:t>
      </w:r>
      <w:r w:rsidR="00ED7A81" w:rsidRPr="00E5010A">
        <w:t xml:space="preserve">articipants to comply with scheduling instructions issued by AEMO in respect of a bid, including </w:t>
      </w:r>
      <w:proofErr w:type="gramStart"/>
      <w:r w:rsidR="00ED7A81" w:rsidRPr="00E5010A">
        <w:t>SDPC</w:t>
      </w:r>
      <w:r w:rsidR="00ED7A81">
        <w:t>s</w:t>
      </w:r>
      <w:r w:rsidR="00B554A6">
        <w:t>,</w:t>
      </w:r>
      <w:proofErr w:type="gramEnd"/>
      <w:r w:rsidR="00B554A6">
        <w:t xml:space="preserve"> however </w:t>
      </w:r>
      <w:r w:rsidRPr="00E5010A">
        <w:t xml:space="preserve">Origin failed to revise its withdrawal bid to reflect the SDPC. </w:t>
      </w:r>
    </w:p>
    <w:p w:rsidR="00E5010A" w:rsidRPr="00E5010A" w:rsidRDefault="00E5010A" w:rsidP="00E5010A">
      <w:pPr>
        <w:pStyle w:val="AERbodytext"/>
      </w:pPr>
      <w:r w:rsidRPr="00E5010A">
        <w:t xml:space="preserve">Origin explained that this error occurred in part because </w:t>
      </w:r>
      <w:r w:rsidR="00ED7A81">
        <w:t>it</w:t>
      </w:r>
      <w:r w:rsidRPr="00E5010A">
        <w:t xml:space="preserve"> participates under two participant IDs in the </w:t>
      </w:r>
      <w:r w:rsidR="00ED7A81">
        <w:t>Victorian gas market</w:t>
      </w:r>
      <w:r w:rsidRPr="00E5010A">
        <w:t xml:space="preserve">: </w:t>
      </w:r>
      <w:r w:rsidR="00ED7A81" w:rsidRPr="00E5010A">
        <w:t xml:space="preserve">Origin Energy Uranquinty </w:t>
      </w:r>
      <w:r w:rsidR="00ED7A81">
        <w:t>and Origin Energy Victoria</w:t>
      </w:r>
      <w:r w:rsidRPr="00E5010A">
        <w:t>. In this instance, rather than considering the position of the individual participants,</w:t>
      </w:r>
      <w:r w:rsidRPr="00E5010A" w:rsidDel="00015E7E">
        <w:t xml:space="preserve"> </w:t>
      </w:r>
      <w:r w:rsidRPr="00E5010A">
        <w:t>the trader considered the impact of the SDPC on Origin’s combined position</w:t>
      </w:r>
      <w:r w:rsidR="00B554A6">
        <w:t xml:space="preserve"> which indicated that </w:t>
      </w:r>
      <w:r w:rsidRPr="00E5010A">
        <w:t>Origin had enough flexibility to manage the SDPC</w:t>
      </w:r>
      <w:r w:rsidR="00B554A6">
        <w:t xml:space="preserve">. However, the </w:t>
      </w:r>
      <w:r w:rsidRPr="00E5010A">
        <w:t xml:space="preserve">withdrawal bid </w:t>
      </w:r>
      <w:r w:rsidR="00B554A6">
        <w:t xml:space="preserve">for </w:t>
      </w:r>
      <w:r w:rsidR="00B554A6" w:rsidRPr="00E5010A">
        <w:t xml:space="preserve">Origin Energy Uranquinty </w:t>
      </w:r>
      <w:r w:rsidR="00B554A6">
        <w:t xml:space="preserve">was </w:t>
      </w:r>
      <w:r w:rsidRPr="00E5010A">
        <w:t xml:space="preserve">higher </w:t>
      </w:r>
      <w:r w:rsidR="00B554A6">
        <w:t>than the SDPC limit.</w:t>
      </w:r>
    </w:p>
    <w:p w:rsidR="00E5010A" w:rsidRPr="00E5010A" w:rsidRDefault="00E5010A" w:rsidP="00E5010A">
      <w:pPr>
        <w:pStyle w:val="AERbodytext"/>
      </w:pPr>
      <w:r w:rsidRPr="00E5010A">
        <w:lastRenderedPageBreak/>
        <w:t xml:space="preserve">Origin’s traders have undergone additional training in relation to bidding </w:t>
      </w:r>
      <w:r w:rsidR="00ED7A81">
        <w:t>for</w:t>
      </w:r>
      <w:r w:rsidRPr="00E5010A">
        <w:t xml:space="preserve"> Culcairn. Origin has also introduced a new manual check to ensure SDPCs are identified and appropriately mana</w:t>
      </w:r>
      <w:r w:rsidR="00ED7A81">
        <w:t>ged by traders.</w:t>
      </w:r>
      <w:r w:rsidR="00B554A6">
        <w:t xml:space="preserve"> We will continue to monitor Origin’s compliance with these requirements of the Gas Rules.</w:t>
      </w:r>
    </w:p>
    <w:p w:rsidR="00B25981" w:rsidRPr="00860DB5" w:rsidRDefault="00B25981" w:rsidP="002C7158">
      <w:pPr>
        <w:pStyle w:val="QCRunnumberedunboldheading"/>
      </w:pPr>
      <w:bookmarkStart w:id="48" w:name="_Toc386117307"/>
      <w:r w:rsidRPr="007C5152">
        <w:t>Bulletin Board</w:t>
      </w:r>
      <w:bookmarkEnd w:id="48"/>
    </w:p>
    <w:p w:rsidR="00846CD6" w:rsidRDefault="00846CD6" w:rsidP="00846CD6">
      <w:pPr>
        <w:pStyle w:val="AERbodytext"/>
        <w:rPr>
          <w:rFonts w:cs="Gautami"/>
        </w:rPr>
      </w:pPr>
      <w:proofErr w:type="gramStart"/>
      <w:r>
        <w:t>Part 18 of the Gas Rules sets out participants’ responsibilities regarding the Bulletin Board.</w:t>
      </w:r>
      <w:proofErr w:type="gramEnd"/>
      <w:r>
        <w:t xml:space="preserve"> These obligations aim to facilitate greater transparency in gas production and gas pipeline flows to assist gas trading. The obligations also require participants to identify and report any potential conditions where </w:t>
      </w:r>
      <w:r>
        <w:rPr>
          <w:rFonts w:cs="Gautami"/>
        </w:rPr>
        <w:t>curtailment of gas use might be necessary.</w:t>
      </w:r>
    </w:p>
    <w:p w:rsidR="00846CD6" w:rsidRPr="00551314" w:rsidRDefault="00846CD6" w:rsidP="00551314">
      <w:pPr>
        <w:pStyle w:val="AERbodytext"/>
      </w:pPr>
      <w:r w:rsidRPr="00551314">
        <w:t xml:space="preserve">Participants submit daily pipeline nominated and forecast delivery data as required by gas rule 173. During the quarter, one facility operator failed on </w:t>
      </w:r>
      <w:r w:rsidR="008E1AF8">
        <w:t>three</w:t>
      </w:r>
      <w:r w:rsidRPr="00551314">
        <w:t xml:space="preserve"> occasions to submit firm nomination Bulletin Board data to AEMO on the relevant gas day. </w:t>
      </w:r>
    </w:p>
    <w:p w:rsidR="00846CD6" w:rsidRDefault="00846CD6" w:rsidP="00846CD6">
      <w:pPr>
        <w:pStyle w:val="AERbodytext"/>
      </w:pPr>
      <w:r>
        <w:t xml:space="preserve">Participants submit daily production and pipeline flow data as required by gas rules 166 and 174. During the quarter, </w:t>
      </w:r>
      <w:r w:rsidR="008E1AF8">
        <w:t>one facility operator</w:t>
      </w:r>
      <w:r>
        <w:t xml:space="preserve"> failed on </w:t>
      </w:r>
      <w:r w:rsidR="008E1AF8">
        <w:t xml:space="preserve">two </w:t>
      </w:r>
      <w:r>
        <w:t xml:space="preserve">occasions to submit daily flow Bulletin Board data to AEMO. </w:t>
      </w:r>
    </w:p>
    <w:p w:rsidR="00D476F6" w:rsidRPr="00D476F6" w:rsidRDefault="00D476F6" w:rsidP="00D476F6">
      <w:pPr>
        <w:pStyle w:val="AERbodytext"/>
      </w:pPr>
    </w:p>
    <w:p w:rsidR="007725E6" w:rsidRPr="00860DB5" w:rsidRDefault="004A472C" w:rsidP="002C7158">
      <w:pPr>
        <w:pStyle w:val="QCRHeading1"/>
      </w:pPr>
      <w:bookmarkStart w:id="49" w:name="_Toc337553428"/>
      <w:bookmarkStart w:id="50" w:name="_Ref353362815"/>
      <w:bookmarkStart w:id="51" w:name="_Toc386117308"/>
      <w:bookmarkEnd w:id="29"/>
      <w:bookmarkEnd w:id="30"/>
      <w:bookmarkEnd w:id="36"/>
      <w:bookmarkEnd w:id="37"/>
      <w:r w:rsidRPr="00860DB5">
        <w:lastRenderedPageBreak/>
        <w:t>Electricity</w:t>
      </w:r>
      <w:bookmarkEnd w:id="49"/>
      <w:bookmarkEnd w:id="50"/>
      <w:bookmarkEnd w:id="51"/>
    </w:p>
    <w:p w:rsidR="004A472C" w:rsidRDefault="00DC3257" w:rsidP="004A472C">
      <w:pPr>
        <w:pStyle w:val="AERbodytext"/>
      </w:pPr>
      <w:r>
        <w:t>We are</w:t>
      </w:r>
      <w:r w:rsidR="004A472C" w:rsidRPr="00405B4F">
        <w:t xml:space="preserve"> responsible for monitoring, investigating and </w:t>
      </w:r>
      <w:r w:rsidR="00106D97" w:rsidRPr="00405B4F">
        <w:t>enforcing c</w:t>
      </w:r>
      <w:r w:rsidR="004A472C" w:rsidRPr="00405B4F">
        <w:t>ompliance under the Electricity Law and Rules.</w:t>
      </w:r>
    </w:p>
    <w:p w:rsidR="00783406" w:rsidRPr="00405B4F" w:rsidRDefault="00783406" w:rsidP="004A472C">
      <w:pPr>
        <w:pStyle w:val="AERbodytext"/>
      </w:pPr>
      <w:r w:rsidRPr="00405B4F">
        <w:t>This part of the report provides an update on investigations</w:t>
      </w:r>
      <w:r>
        <w:t>,</w:t>
      </w:r>
      <w:r w:rsidRPr="00405B4F">
        <w:t xml:space="preserve"> compliance matters </w:t>
      </w:r>
      <w:r>
        <w:t xml:space="preserve">and projects </w:t>
      </w:r>
      <w:r w:rsidRPr="00405B4F">
        <w:t xml:space="preserve">in the </w:t>
      </w:r>
      <w:r>
        <w:t xml:space="preserve">electricity </w:t>
      </w:r>
      <w:r w:rsidRPr="00405B4F">
        <w:t>market.</w:t>
      </w:r>
      <w:r>
        <w:t xml:space="preserve"> </w:t>
      </w:r>
    </w:p>
    <w:p w:rsidR="004A472C" w:rsidRPr="005F3BE7" w:rsidRDefault="004A472C" w:rsidP="005D2DC9">
      <w:pPr>
        <w:pStyle w:val="AERheading2"/>
        <w:tabs>
          <w:tab w:val="clear" w:pos="2484"/>
          <w:tab w:val="num" w:pos="357"/>
        </w:tabs>
        <w:ind w:left="357"/>
      </w:pPr>
      <w:bookmarkStart w:id="52" w:name="_Toc212011732"/>
      <w:bookmarkStart w:id="53" w:name="_Toc212011733"/>
      <w:bookmarkStart w:id="54" w:name="_Toc212011734"/>
      <w:bookmarkStart w:id="55" w:name="_Toc212011740"/>
      <w:bookmarkStart w:id="56" w:name="_Toc386117309"/>
      <w:bookmarkStart w:id="57" w:name="_Toc307317355"/>
      <w:bookmarkStart w:id="58" w:name="_Toc330814067"/>
      <w:bookmarkStart w:id="59" w:name="OLE_LINK22"/>
      <w:bookmarkStart w:id="60" w:name="OLE_LINK25"/>
      <w:bookmarkStart w:id="61" w:name="OLE_LINK70"/>
      <w:bookmarkStart w:id="62" w:name="OLE_LINK71"/>
      <w:bookmarkStart w:id="63" w:name="OLE_LINK81"/>
      <w:bookmarkStart w:id="64" w:name="OLE_LINK82"/>
      <w:bookmarkStart w:id="65" w:name="OLE_LINK11"/>
      <w:bookmarkStart w:id="66" w:name="OLE_LINK13"/>
      <w:bookmarkStart w:id="67" w:name="_Ref222739334"/>
      <w:bookmarkStart w:id="68" w:name="_Toc229556409"/>
      <w:bookmarkStart w:id="69" w:name="OLE_LINK9"/>
      <w:bookmarkStart w:id="70" w:name="OLE_LINK10"/>
      <w:bookmarkStart w:id="71" w:name="_Ref221697778"/>
      <w:bookmarkStart w:id="72" w:name="_Toc229556410"/>
      <w:bookmarkStart w:id="73" w:name="OLE_LINK31"/>
      <w:bookmarkStart w:id="74" w:name="OLE_LINK69"/>
      <w:bookmarkStart w:id="75" w:name="OLE_LINK77"/>
      <w:bookmarkStart w:id="76" w:name="OLE_LINK78"/>
      <w:bookmarkStart w:id="77" w:name="OLE_LINK79"/>
      <w:bookmarkStart w:id="78" w:name="OLE_LINK80"/>
      <w:bookmarkEnd w:id="52"/>
      <w:bookmarkEnd w:id="53"/>
      <w:bookmarkEnd w:id="54"/>
      <w:bookmarkEnd w:id="55"/>
      <w:r w:rsidRPr="005F3BE7">
        <w:t>Rebidding</w:t>
      </w:r>
      <w:bookmarkEnd w:id="56"/>
      <w:r w:rsidRPr="005F3BE7">
        <w:t xml:space="preserve"> </w:t>
      </w:r>
    </w:p>
    <w:p w:rsidR="004A472C" w:rsidRPr="00405B4F" w:rsidRDefault="004A472C" w:rsidP="004A472C">
      <w:pPr>
        <w:pStyle w:val="AERbodytext"/>
      </w:pPr>
      <w:bookmarkStart w:id="79" w:name="OLE_LINK17"/>
      <w:bookmarkStart w:id="80" w:name="OLE_LINK19"/>
      <w:bookmarkStart w:id="81" w:name="OLE_LINK6"/>
      <w:bookmarkEnd w:id="57"/>
      <w:bookmarkEnd w:id="58"/>
      <w:bookmarkEnd w:id="59"/>
      <w:bookmarkEnd w:id="60"/>
      <w:bookmarkEnd w:id="61"/>
      <w:bookmarkEnd w:id="62"/>
      <w:bookmarkEnd w:id="63"/>
      <w:bookmarkEnd w:id="64"/>
      <w:r w:rsidRPr="00405B4F">
        <w:t>Scheduled generators and market participants operating in the National Electricity Market (</w:t>
      </w:r>
      <w:r w:rsidRPr="00405B4F">
        <w:rPr>
          <w:b/>
        </w:rPr>
        <w:t>NEM</w:t>
      </w:r>
      <w:r w:rsidRPr="00405B4F">
        <w:t>) submit electricity offers and bids for each half hour</w:t>
      </w:r>
      <w:r w:rsidR="008B0082" w:rsidRPr="00405B4F">
        <w:t xml:space="preserve"> trading interval</w:t>
      </w:r>
      <w:r w:rsidRPr="00405B4F">
        <w:t>. The offers and bids include available capacity for up to 10 price bands, and can be varied through rebidding.</w:t>
      </w:r>
      <w:r w:rsidRPr="00405B4F">
        <w:rPr>
          <w:vertAlign w:val="superscript"/>
        </w:rPr>
        <w:footnoteReference w:id="7"/>
      </w:r>
    </w:p>
    <w:p w:rsidR="004A472C" w:rsidRPr="000D2D9C" w:rsidRDefault="00DC3257" w:rsidP="004A472C">
      <w:pPr>
        <w:pStyle w:val="AERbodytext"/>
        <w:rPr>
          <w:highlight w:val="yellow"/>
        </w:rPr>
      </w:pPr>
      <w:r>
        <w:t>We</w:t>
      </w:r>
      <w:r w:rsidRPr="00405B4F">
        <w:t xml:space="preserve"> </w:t>
      </w:r>
      <w:r w:rsidR="004A472C" w:rsidRPr="00405B4F">
        <w:t xml:space="preserve">adopted </w:t>
      </w:r>
      <w:r w:rsidR="001201E1" w:rsidRPr="00405B4F">
        <w:t xml:space="preserve">a new strategy in relation to enforcing </w:t>
      </w:r>
      <w:r w:rsidR="004A472C" w:rsidRPr="00405B4F">
        <w:t>generator rebidding reason</w:t>
      </w:r>
      <w:r w:rsidR="001201E1" w:rsidRPr="00405B4F">
        <w:t xml:space="preserve"> r</w:t>
      </w:r>
      <w:r w:rsidR="00405B4F">
        <w:t>equirements in 2010</w:t>
      </w:r>
      <w:r w:rsidR="004A472C" w:rsidRPr="00405B4F">
        <w:t>.</w:t>
      </w:r>
      <w:r w:rsidR="004A472C" w:rsidRPr="00405B4F">
        <w:rPr>
          <w:vertAlign w:val="superscript"/>
        </w:rPr>
        <w:footnoteReference w:id="8"/>
      </w:r>
      <w:r w:rsidR="004A472C" w:rsidRPr="00405B4F">
        <w:t xml:space="preserve"> Generators that submit </w:t>
      </w:r>
      <w:proofErr w:type="gramStart"/>
      <w:r w:rsidR="004A472C" w:rsidRPr="00405B4F">
        <w:t>offer,</w:t>
      </w:r>
      <w:proofErr w:type="gramEnd"/>
      <w:r w:rsidR="004A472C" w:rsidRPr="00405B4F">
        <w:t xml:space="preserve"> bid and/or rebid information that does not meet the requirements of the Electricity Rules will receive two warnings. On </w:t>
      </w:r>
      <w:r w:rsidR="00D04F9F" w:rsidRPr="00405B4F">
        <w:t xml:space="preserve">the </w:t>
      </w:r>
      <w:r w:rsidR="004A472C" w:rsidRPr="00405B4F">
        <w:t xml:space="preserve">third </w:t>
      </w:r>
      <w:r w:rsidR="00D04F9F" w:rsidRPr="00405B4F">
        <w:t xml:space="preserve">warning </w:t>
      </w:r>
      <w:r w:rsidR="004A472C" w:rsidRPr="00405B4F">
        <w:t xml:space="preserve">within six months, </w:t>
      </w:r>
      <w:r>
        <w:t>we</w:t>
      </w:r>
      <w:r w:rsidR="004A472C" w:rsidRPr="00405B4F">
        <w:t xml:space="preserve"> will consider issuing an infringement notice. </w:t>
      </w:r>
      <w:r w:rsidR="00E02F21">
        <w:t xml:space="preserve">A </w:t>
      </w:r>
      <w:r w:rsidR="00147563" w:rsidRPr="00405B4F">
        <w:t xml:space="preserve">participant’s warning count </w:t>
      </w:r>
      <w:r w:rsidR="00E02F21">
        <w:t xml:space="preserve">is set </w:t>
      </w:r>
      <w:r w:rsidR="00D50182" w:rsidRPr="00405B4F">
        <w:t>to zero</w:t>
      </w:r>
      <w:r w:rsidR="00E02F21">
        <w:t xml:space="preserve"> after six months</w:t>
      </w:r>
      <w:r w:rsidR="00147563" w:rsidRPr="00405B4F">
        <w:t xml:space="preserve">. </w:t>
      </w:r>
    </w:p>
    <w:p w:rsidR="00620D71" w:rsidRPr="0059623E" w:rsidRDefault="00E02F21" w:rsidP="004A472C">
      <w:pPr>
        <w:pStyle w:val="AERbodytext"/>
      </w:pPr>
      <w:r w:rsidRPr="009B5854">
        <w:t>Figure </w:t>
      </w:r>
      <w:r w:rsidR="007F0AFF" w:rsidRPr="009B5854">
        <w:t>2</w:t>
      </w:r>
      <w:r w:rsidRPr="009B5854">
        <w:t>.1</w:t>
      </w:r>
      <w:r>
        <w:t xml:space="preserve"> </w:t>
      </w:r>
      <w:r w:rsidR="004A472C" w:rsidRPr="00405B4F">
        <w:t xml:space="preserve">shows that since 2010 the number of rebids </w:t>
      </w:r>
      <w:r w:rsidR="00E56F27" w:rsidRPr="00405B4F">
        <w:t xml:space="preserve">detected </w:t>
      </w:r>
      <w:r w:rsidR="004A472C" w:rsidRPr="00405B4F">
        <w:t xml:space="preserve">by </w:t>
      </w:r>
      <w:r w:rsidR="00DC3257">
        <w:t>our</w:t>
      </w:r>
      <w:r w:rsidR="004A472C" w:rsidRPr="00405B4F">
        <w:t xml:space="preserve"> internal compliance system has fallen markedly. The number of rebids which required further review has also fallen significantly.</w:t>
      </w:r>
      <w:r w:rsidR="004A472C" w:rsidRPr="0059623E">
        <w:t xml:space="preserve"> </w:t>
      </w:r>
    </w:p>
    <w:p w:rsidR="004A472C" w:rsidRPr="00950C37" w:rsidRDefault="004A472C" w:rsidP="00372CBB">
      <w:pPr>
        <w:pStyle w:val="AERfigureheading"/>
      </w:pPr>
      <w:bookmarkStart w:id="82" w:name="_Ref353365935"/>
      <w:r w:rsidRPr="00950C37">
        <w:t>Rebids auto-triggered and reviewed per week</w:t>
      </w:r>
      <w:bookmarkEnd w:id="82"/>
    </w:p>
    <w:p w:rsidR="00DC4612" w:rsidRDefault="00850A3E" w:rsidP="004A472C">
      <w:pPr>
        <w:rPr>
          <w:noProof/>
          <w:lang w:eastAsia="en-AU"/>
        </w:rPr>
      </w:pPr>
      <w:r>
        <w:pict>
          <v:shape id="_x0000_i1026" type="#_x0000_t75" alt="Rebids auto-triggered and reviewed per week" style="width:413.55pt;height:247.1pt">
            <v:imagedata r:id="rId17" o:title=""/>
          </v:shape>
        </w:pict>
      </w:r>
    </w:p>
    <w:p w:rsidR="00F66D97" w:rsidRDefault="00DC4612" w:rsidP="00950C37">
      <w:pPr>
        <w:pStyle w:val="AERbodytext"/>
      </w:pPr>
      <w:r>
        <w:lastRenderedPageBreak/>
        <w:t>We did not issue any warnings d</w:t>
      </w:r>
      <w:r w:rsidR="00F66D97" w:rsidRPr="00950C37">
        <w:t xml:space="preserve">uring the </w:t>
      </w:r>
      <w:r>
        <w:t>March</w:t>
      </w:r>
      <w:r w:rsidR="00F66D97" w:rsidRPr="00950C37">
        <w:t xml:space="preserve"> quarter. </w:t>
      </w:r>
      <w:r w:rsidR="00950C37" w:rsidRPr="00950C37">
        <w:t xml:space="preserve">Participants notified us </w:t>
      </w:r>
      <w:r>
        <w:t>of</w:t>
      </w:r>
      <w:r w:rsidR="00950C37" w:rsidRPr="00950C37">
        <w:t xml:space="preserve"> error</w:t>
      </w:r>
      <w:r>
        <w:t>s</w:t>
      </w:r>
      <w:r w:rsidR="00950C37" w:rsidRPr="00950C37">
        <w:t xml:space="preserve"> in their rebids on </w:t>
      </w:r>
      <w:r>
        <w:t>22</w:t>
      </w:r>
      <w:r w:rsidR="00950C37" w:rsidRPr="00950C37">
        <w:t> occasions</w:t>
      </w:r>
      <w:r w:rsidR="0004398F">
        <w:t xml:space="preserve"> during the quarter and </w:t>
      </w:r>
      <w:r>
        <w:t xml:space="preserve">two participants </w:t>
      </w:r>
      <w:r w:rsidR="0004398F">
        <w:t xml:space="preserve">had </w:t>
      </w:r>
      <w:r>
        <w:t xml:space="preserve">their </w:t>
      </w:r>
      <w:r w:rsidR="0004398F">
        <w:t>warning count</w:t>
      </w:r>
      <w:r>
        <w:t>s</w:t>
      </w:r>
      <w:r w:rsidR="0004398F">
        <w:t xml:space="preserve"> reset to zero. </w:t>
      </w:r>
    </w:p>
    <w:p w:rsidR="00F83D6B" w:rsidRPr="005F3BE7" w:rsidRDefault="00F83D6B" w:rsidP="00F83D6B">
      <w:pPr>
        <w:pStyle w:val="AERheading2"/>
        <w:tabs>
          <w:tab w:val="clear" w:pos="2484"/>
          <w:tab w:val="num" w:pos="357"/>
        </w:tabs>
        <w:ind w:left="357"/>
      </w:pPr>
      <w:bookmarkStart w:id="83" w:name="_Toc386117310"/>
      <w:r w:rsidRPr="005F3BE7">
        <w:t>Rebidding and technical parameters guideline</w:t>
      </w:r>
      <w:bookmarkEnd w:id="83"/>
    </w:p>
    <w:p w:rsidR="005F3BE7" w:rsidRDefault="005F3BE7" w:rsidP="005F3BE7">
      <w:pPr>
        <w:pStyle w:val="AERbodytext"/>
      </w:pPr>
      <w:r>
        <w:t xml:space="preserve">Below are two updates for matters that are covered in </w:t>
      </w:r>
      <w:r w:rsidR="008547B4">
        <w:t>our</w:t>
      </w:r>
      <w:r>
        <w:t xml:space="preserve"> </w:t>
      </w:r>
      <w:hyperlink r:id="rId18" w:history="1">
        <w:r>
          <w:rPr>
            <w:rStyle w:val="Hyperlink"/>
          </w:rPr>
          <w:t>Rebidding and technical parameters guideline</w:t>
        </w:r>
      </w:hyperlink>
      <w:r>
        <w:rPr>
          <w:rStyle w:val="Hyperlink"/>
        </w:rPr>
        <w:t>.</w:t>
      </w:r>
    </w:p>
    <w:p w:rsidR="002E4E97" w:rsidRDefault="002E4E97" w:rsidP="002E4E97">
      <w:pPr>
        <w:pStyle w:val="AERgenericboldheading"/>
        <w:spacing w:after="240" w:line="288" w:lineRule="auto"/>
      </w:pPr>
      <w:r>
        <w:t>Technical parameters for bids and rebids</w:t>
      </w:r>
    </w:p>
    <w:p w:rsidR="00F83D6B" w:rsidRDefault="00F83D6B" w:rsidP="002E4E97">
      <w:pPr>
        <w:pStyle w:val="AERbodytext"/>
      </w:pPr>
      <w:r>
        <w:t xml:space="preserve">Section 4 of the AER </w:t>
      </w:r>
      <w:r w:rsidR="005D3AFE" w:rsidRPr="005D3AFE">
        <w:t>Rebidding and technical parameters guideline</w:t>
      </w:r>
      <w:r>
        <w:t xml:space="preserve"> provides an overview of </w:t>
      </w:r>
      <w:r w:rsidR="009E5123">
        <w:t>how a generating unit’s ramp rates can be altered through the Supervisory Control and Data Acquisition (</w:t>
      </w:r>
      <w:r w:rsidR="009E5123">
        <w:rPr>
          <w:b/>
          <w:bCs/>
        </w:rPr>
        <w:t>SCADA</w:t>
      </w:r>
      <w:r w:rsidR="009E5123">
        <w:t xml:space="preserve">) system. While this </w:t>
      </w:r>
      <w:r>
        <w:t xml:space="preserve">section </w:t>
      </w:r>
      <w:r w:rsidR="009F206B">
        <w:t xml:space="preserve">of the guideline </w:t>
      </w:r>
      <w:r w:rsidR="009E5123">
        <w:t xml:space="preserve">currently </w:t>
      </w:r>
      <w:r>
        <w:t>deals only with ramp rates, generating units have other parameters such as Frequency Control Ancillary Service (</w:t>
      </w:r>
      <w:r w:rsidRPr="00F83D6B">
        <w:rPr>
          <w:b/>
        </w:rPr>
        <w:t>FCAS</w:t>
      </w:r>
      <w:r>
        <w:t>) enablement points and maximum availability</w:t>
      </w:r>
      <w:r w:rsidR="009E5123">
        <w:t xml:space="preserve"> which could also be altered through this process</w:t>
      </w:r>
      <w:r>
        <w:t xml:space="preserve">. Where two values for the same parameter have been entered via the bidding system or the </w:t>
      </w:r>
      <w:r w:rsidRPr="009E5123">
        <w:rPr>
          <w:bCs/>
        </w:rPr>
        <w:t>SCADA</w:t>
      </w:r>
      <w:r>
        <w:t xml:space="preserve"> system, AEMO’s dispatch process will always use the more </w:t>
      </w:r>
      <w:r w:rsidR="009E5123">
        <w:t>constraining of the two values.</w:t>
      </w:r>
    </w:p>
    <w:p w:rsidR="002E4E97" w:rsidRDefault="00F83D6B" w:rsidP="00F83D6B">
      <w:pPr>
        <w:pStyle w:val="AERbodytext"/>
      </w:pPr>
      <w:r>
        <w:t xml:space="preserve">Changes to technical parameter values entered via the SCADA system effectively allow a rebid to be made without requiring the information obligations of either </w:t>
      </w:r>
      <w:r w:rsidR="002E4E97" w:rsidRPr="00C009C3">
        <w:t>Electricity Rules</w:t>
      </w:r>
      <w:r w:rsidR="002E4E97">
        <w:t xml:space="preserve"> </w:t>
      </w:r>
      <w:r>
        <w:t xml:space="preserve">clause 3.8.3A or 3.8.22 to be satisfied. We remind participants that, in situations where a material difference </w:t>
      </w:r>
      <w:r w:rsidR="00C009C3">
        <w:t>emerges between any SCADA value</w:t>
      </w:r>
      <w:r>
        <w:t xml:space="preserve"> and bid or offer data, a rebid (with a brief, </w:t>
      </w:r>
      <w:r w:rsidR="002E4E97">
        <w:t xml:space="preserve">verifiable and </w:t>
      </w:r>
      <w:r>
        <w:t xml:space="preserve">specific reason) should be submitted as soon as practicable to bring the bid or offer in line with the SCADA value. </w:t>
      </w:r>
    </w:p>
    <w:p w:rsidR="00F83D6B" w:rsidRDefault="002E4E97" w:rsidP="00F83D6B">
      <w:pPr>
        <w:pStyle w:val="AERbodytext"/>
      </w:pPr>
      <w:r>
        <w:t xml:space="preserve">We will continue to review </w:t>
      </w:r>
      <w:r w:rsidR="001B1603">
        <w:t xml:space="preserve">differences between SCADA values and bid/offer data and follow these up with participants where there could be an impact </w:t>
      </w:r>
      <w:r>
        <w:t>on dispatch</w:t>
      </w:r>
      <w:r w:rsidR="00F83D6B">
        <w:t>.</w:t>
      </w:r>
    </w:p>
    <w:p w:rsidR="002E4E97" w:rsidRDefault="002E4E97" w:rsidP="002E4E97">
      <w:pPr>
        <w:pStyle w:val="AERgenericboldheading"/>
        <w:spacing w:after="240" w:line="288" w:lineRule="auto"/>
      </w:pPr>
      <w:r>
        <w:t>Rebidding and reoffer text field character increase</w:t>
      </w:r>
    </w:p>
    <w:p w:rsidR="00F83D6B" w:rsidRDefault="00F83D6B" w:rsidP="00F83D6B">
      <w:pPr>
        <w:pStyle w:val="AERbodytext"/>
      </w:pPr>
      <w:r>
        <w:t xml:space="preserve">AEMO </w:t>
      </w:r>
      <w:r w:rsidR="001B1603">
        <w:t xml:space="preserve">issued Change Notice 906 </w:t>
      </w:r>
      <w:r>
        <w:t xml:space="preserve">in February 2014 </w:t>
      </w:r>
      <w:r w:rsidR="001B1603">
        <w:t>outlining that the character limit of the ‘rebidding and reoffer’ text field will increase from 64 to 300 characters in the Electricity Market Management System mid-year (</w:t>
      </w:r>
      <w:r>
        <w:t>May 2014</w:t>
      </w:r>
      <w:r w:rsidR="001B1603">
        <w:t>) release</w:t>
      </w:r>
      <w:r>
        <w:t>.</w:t>
      </w:r>
    </w:p>
    <w:p w:rsidR="00F83D6B" w:rsidRDefault="00F83D6B" w:rsidP="00F83D6B">
      <w:pPr>
        <w:pStyle w:val="AERbodytext"/>
      </w:pPr>
      <w:r>
        <w:t>We do not intend</w:t>
      </w:r>
      <w:r w:rsidR="001B1603">
        <w:t xml:space="preserve"> to alter</w:t>
      </w:r>
      <w:r>
        <w:t xml:space="preserve"> the rebidding protocol established under our </w:t>
      </w:r>
      <w:r w:rsidR="002F57C3" w:rsidRPr="002F57C3">
        <w:t>Rebidding and technical parameters guideline</w:t>
      </w:r>
      <w:r w:rsidR="001B1603">
        <w:t xml:space="preserve"> as a result of this change</w:t>
      </w:r>
      <w:r>
        <w:t xml:space="preserve">. Accordingly, participants are not expected or required to utilise the 300 character capacity to its full extent with every rebid or reoffer. </w:t>
      </w:r>
      <w:r w:rsidR="001B1603">
        <w:t>However</w:t>
      </w:r>
      <w:r>
        <w:t xml:space="preserve">, </w:t>
      </w:r>
      <w:r w:rsidR="00104575">
        <w:t xml:space="preserve">it would be </w:t>
      </w:r>
      <w:r>
        <w:t xml:space="preserve">appropriate </w:t>
      </w:r>
      <w:r w:rsidR="00104575">
        <w:t xml:space="preserve">to do so </w:t>
      </w:r>
      <w:r>
        <w:t xml:space="preserve">when using </w:t>
      </w:r>
      <w:proofErr w:type="gramStart"/>
      <w:r>
        <w:t>a 60</w:t>
      </w:r>
      <w:proofErr w:type="gramEnd"/>
      <w:r>
        <w:t xml:space="preserve"> character shorthand would result in ambiguous and/or c</w:t>
      </w:r>
      <w:r w:rsidR="00553BB3">
        <w:t>r</w:t>
      </w:r>
      <w:r>
        <w:t>yptic information</w:t>
      </w:r>
      <w:r w:rsidR="00C81EF4">
        <w:t>,</w:t>
      </w:r>
      <w:r>
        <w:t xml:space="preserve"> </w:t>
      </w:r>
      <w:r w:rsidR="00104575">
        <w:t>or</w:t>
      </w:r>
      <w:r>
        <w:t xml:space="preserve"> where abbreviations are unclear. The ‘see log’ or ‘SL’ approach under the Guidelines remains in place, however, given the increased size of the field, participants may consider using this approach less often. </w:t>
      </w:r>
    </w:p>
    <w:p w:rsidR="006D4444" w:rsidRPr="006D4444" w:rsidRDefault="006D4444" w:rsidP="003F2B3E">
      <w:pPr>
        <w:pStyle w:val="AERheading2"/>
        <w:tabs>
          <w:tab w:val="clear" w:pos="2484"/>
          <w:tab w:val="num" w:pos="357"/>
        </w:tabs>
        <w:ind w:left="357"/>
      </w:pPr>
      <w:bookmarkStart w:id="84" w:name="_Toc361240109"/>
      <w:bookmarkStart w:id="85" w:name="_Toc386117311"/>
      <w:bookmarkStart w:id="86" w:name="_Toc330814074"/>
      <w:bookmarkEnd w:id="65"/>
      <w:bookmarkEnd w:id="66"/>
      <w:bookmarkEnd w:id="67"/>
      <w:bookmarkEnd w:id="68"/>
      <w:bookmarkEnd w:id="69"/>
      <w:bookmarkEnd w:id="70"/>
      <w:bookmarkEnd w:id="79"/>
      <w:bookmarkEnd w:id="80"/>
      <w:bookmarkEnd w:id="81"/>
      <w:bookmarkEnd w:id="84"/>
      <w:r w:rsidRPr="006D4444">
        <w:t>Electricity transmission connections</w:t>
      </w:r>
      <w:bookmarkEnd w:id="85"/>
    </w:p>
    <w:p w:rsidR="00C14F11" w:rsidRDefault="00C14F11" w:rsidP="00C14F11">
      <w:pPr>
        <w:pStyle w:val="AERbodytext"/>
      </w:pPr>
      <w:proofErr w:type="gramStart"/>
      <w:r>
        <w:t>Our electricity transmission connections strategic compliance project commenced in December 2011.</w:t>
      </w:r>
      <w:proofErr w:type="gramEnd"/>
      <w:r>
        <w:t xml:space="preserve"> The project arose in response to concerns raised by connection applicants about the transmission network connection process. It involved a survey of parties that have sought to connect to the NEM transmission network. </w:t>
      </w:r>
    </w:p>
    <w:p w:rsidR="00C14F11" w:rsidRDefault="00C14F11" w:rsidP="00C14F11">
      <w:pPr>
        <w:pStyle w:val="AERbodytext"/>
      </w:pPr>
      <w:r>
        <w:t>The survey sought to assess compliance by Transmission Network Service Providers (</w:t>
      </w:r>
      <w:r w:rsidRPr="00BE5DCC">
        <w:rPr>
          <w:b/>
        </w:rPr>
        <w:t>TNSP</w:t>
      </w:r>
      <w:r>
        <w:t xml:space="preserve">) with the Electricity Rules and to determine how satisfied connecting customers were with the connection process. It focused on the performance of network businesses in terms of timeliness, provision of </w:t>
      </w:r>
      <w:r>
        <w:lastRenderedPageBreak/>
        <w:t xml:space="preserve">information, cost, design, availability of competitive procurement and responsiveness to the connecting customer’s commercial needs. </w:t>
      </w:r>
    </w:p>
    <w:p w:rsidR="00C14F11" w:rsidRDefault="00C14F11" w:rsidP="00C14F11">
      <w:pPr>
        <w:pStyle w:val="AERbodytext"/>
      </w:pPr>
      <w:r>
        <w:t xml:space="preserve">We developed the survey in consultation with the TNSPs and sent it to connecting customers in June 2013. Responses to the survey were due in August 2013 and would be treated confidentially, unless the respondent chose to waive that claim. We have reviewed the responses and provide a summary of them in Appendix A of this report, without identifying individual TNSPs or projects. </w:t>
      </w:r>
    </w:p>
    <w:p w:rsidR="00C14F11" w:rsidRDefault="00C14F11" w:rsidP="00C14F11">
      <w:pPr>
        <w:pStyle w:val="AERbodytext"/>
      </w:pPr>
      <w:r>
        <w:t>After summar</w:t>
      </w:r>
      <w:r w:rsidR="00F34570">
        <w:t>ising</w:t>
      </w:r>
      <w:r>
        <w:t xml:space="preserve"> </w:t>
      </w:r>
      <w:r w:rsidR="00F34570">
        <w:t xml:space="preserve">the </w:t>
      </w:r>
      <w:r>
        <w:t xml:space="preserve">responses, we provided </w:t>
      </w:r>
      <w:r w:rsidR="00F34570">
        <w:t xml:space="preserve">a copy </w:t>
      </w:r>
      <w:r>
        <w:t xml:space="preserve">to the respondents, the TNSPs and AEMO (in its </w:t>
      </w:r>
      <w:r w:rsidR="00F34570">
        <w:t xml:space="preserve">role as </w:t>
      </w:r>
      <w:r>
        <w:t>transmission plann</w:t>
      </w:r>
      <w:r w:rsidR="00522BE9">
        <w:t>er</w:t>
      </w:r>
      <w:r>
        <w:t xml:space="preserve"> for Victoria) for comment. The TNSPs together provided a response under their Grid Australia banner. </w:t>
      </w:r>
    </w:p>
    <w:p w:rsidR="00C14F11" w:rsidRDefault="00C14F11" w:rsidP="00C14F11">
      <w:pPr>
        <w:pStyle w:val="AERbodytext"/>
      </w:pPr>
      <w:r>
        <w:t xml:space="preserve">We also made an offer to respondents who raised potential compliance issues to follow these up with the relevant </w:t>
      </w:r>
      <w:proofErr w:type="gramStart"/>
      <w:r>
        <w:t>TNSP,</w:t>
      </w:r>
      <w:proofErr w:type="gramEnd"/>
      <w:r>
        <w:t xml:space="preserve"> however no respondents accepted this offer. </w:t>
      </w:r>
    </w:p>
    <w:p w:rsidR="00C14F11" w:rsidRDefault="00C14F11" w:rsidP="00C14F11">
      <w:pPr>
        <w:pStyle w:val="AERbodytext"/>
      </w:pPr>
      <w:r>
        <w:t xml:space="preserve">While the survey was sent to approximately 150 stakeholders in relation to connection enquiries submitted for over 350 projects, we received only 15 responses. Because of this, we have been cautious to draw </w:t>
      </w:r>
      <w:r w:rsidR="00751B01">
        <w:t xml:space="preserve">any </w:t>
      </w:r>
      <w:r>
        <w:t>definitive conclusions from the results, however a number of common themes were raised in responses which are discussed below, along with the AER’s response and comments provided by the TNSPs.</w:t>
      </w:r>
    </w:p>
    <w:p w:rsidR="00C14F11" w:rsidRPr="00C14F11" w:rsidRDefault="00C14F11" w:rsidP="00C14F11">
      <w:pPr>
        <w:keepNext/>
        <w:spacing w:after="240" w:line="288" w:lineRule="auto"/>
        <w:rPr>
          <w:rFonts w:ascii="Gautami" w:eastAsia="Times New Roman" w:hAnsi="Gautami" w:cs="Times New Roman"/>
          <w:b/>
          <w:sz w:val="20"/>
          <w:szCs w:val="24"/>
        </w:rPr>
      </w:pPr>
      <w:r w:rsidRPr="00C14F11">
        <w:rPr>
          <w:rFonts w:ascii="Gautami" w:eastAsia="Times New Roman" w:hAnsi="Gautami" w:cs="Times New Roman"/>
          <w:b/>
          <w:sz w:val="20"/>
          <w:szCs w:val="24"/>
        </w:rPr>
        <w:t>Overall TNSP performance regarding connections</w:t>
      </w:r>
    </w:p>
    <w:p w:rsidR="00C14F11" w:rsidRDefault="00C14F11" w:rsidP="00C14F11">
      <w:pPr>
        <w:pStyle w:val="AERbodytext"/>
      </w:pPr>
      <w:r>
        <w:t xml:space="preserve">The responses did not indicate any widespread issues regarding the performance of TNSPs in providing connection services. Seven out of the twelve respondents who commented directly on TNSP performance stated that they were satisfied with the performance of the relevant TNSP for their projects. We have received further comments from connecting parties (either in their responses or in follow-up correspondence) </w:t>
      </w:r>
      <w:r w:rsidR="00751B01">
        <w:t xml:space="preserve">suggesting </w:t>
      </w:r>
      <w:r>
        <w:t xml:space="preserve">that the performance of TNSPs has vastly improved </w:t>
      </w:r>
      <w:r w:rsidR="00751B01">
        <w:t xml:space="preserve">over time as </w:t>
      </w:r>
      <w:r w:rsidR="00847D2B">
        <w:t xml:space="preserve">they have gained </w:t>
      </w:r>
      <w:r w:rsidR="00751B01">
        <w:t>more experience</w:t>
      </w:r>
      <w:r>
        <w:t>. Further, all respondents who commented on whether the TNSP negotiated in good faith considered this to be the case.</w:t>
      </w:r>
    </w:p>
    <w:p w:rsidR="00C14F11" w:rsidRPr="00565AF7" w:rsidRDefault="00C14F11" w:rsidP="00C14F11">
      <w:pPr>
        <w:pStyle w:val="AERbodytext"/>
      </w:pPr>
      <w:r w:rsidRPr="00565AF7">
        <w:t xml:space="preserve">While the sample size was small, </w:t>
      </w:r>
      <w:r w:rsidR="00751B01">
        <w:t xml:space="preserve">there was no evidence of systemic </w:t>
      </w:r>
      <w:r w:rsidRPr="00565AF7">
        <w:t xml:space="preserve">compliance issues. It is encouraging that the </w:t>
      </w:r>
      <w:r w:rsidR="009042A5">
        <w:t xml:space="preserve">respondents consider that </w:t>
      </w:r>
      <w:r w:rsidR="00847D2B">
        <w:t xml:space="preserve">TNSPs’ </w:t>
      </w:r>
      <w:r w:rsidR="00751B01">
        <w:t xml:space="preserve">systems and processes related to connection enquiries </w:t>
      </w:r>
      <w:r w:rsidRPr="00565AF7">
        <w:t>ha</w:t>
      </w:r>
      <w:r w:rsidR="009042A5">
        <w:t>ve</w:t>
      </w:r>
      <w:r w:rsidRPr="00565AF7">
        <w:t xml:space="preserve"> improved over time as </w:t>
      </w:r>
      <w:r w:rsidR="00751B01">
        <w:t xml:space="preserve">the number of </w:t>
      </w:r>
      <w:r w:rsidRPr="00565AF7">
        <w:t>connection enquiries</w:t>
      </w:r>
      <w:r w:rsidR="00751B01">
        <w:t xml:space="preserve"> increase.</w:t>
      </w:r>
      <w:r w:rsidRPr="00565AF7">
        <w:t xml:space="preserve"> </w:t>
      </w:r>
      <w:r w:rsidR="00751B01">
        <w:t>W</w:t>
      </w:r>
      <w:r w:rsidRPr="00565AF7">
        <w:t xml:space="preserve">e consider that repeated dealings with the connecting parties are also likely to lead to more effective connection processes. </w:t>
      </w:r>
    </w:p>
    <w:p w:rsidR="00C14F11" w:rsidRPr="00565AF7" w:rsidRDefault="00C14F11" w:rsidP="00C14F11">
      <w:pPr>
        <w:pStyle w:val="AERbodytext"/>
      </w:pPr>
      <w:r w:rsidRPr="00565AF7">
        <w:t xml:space="preserve">Following a review of the results, the TNSPs noted that responses relating to older projects may not </w:t>
      </w:r>
      <w:r w:rsidR="009042A5">
        <w:t>accurately</w:t>
      </w:r>
      <w:r w:rsidR="009042A5" w:rsidRPr="00565AF7">
        <w:t xml:space="preserve"> </w:t>
      </w:r>
      <w:r w:rsidRPr="00565AF7">
        <w:t xml:space="preserve">reflect the current practices of TNSPs which have continued to evolve since the transmissions connection framework was introduced. </w:t>
      </w:r>
    </w:p>
    <w:p w:rsidR="00C14F11" w:rsidRPr="00C14F11" w:rsidRDefault="00C14F11" w:rsidP="00C14F11">
      <w:pPr>
        <w:keepNext/>
        <w:spacing w:after="240" w:line="288" w:lineRule="auto"/>
        <w:rPr>
          <w:rFonts w:ascii="Gautami" w:eastAsia="Times New Roman" w:hAnsi="Gautami" w:cs="Times New Roman"/>
          <w:b/>
          <w:sz w:val="20"/>
          <w:szCs w:val="24"/>
        </w:rPr>
      </w:pPr>
      <w:r w:rsidRPr="00C14F11">
        <w:rPr>
          <w:rFonts w:ascii="Gautami" w:eastAsia="Times New Roman" w:hAnsi="Gautami" w:cs="Times New Roman"/>
          <w:b/>
          <w:sz w:val="20"/>
          <w:szCs w:val="24"/>
        </w:rPr>
        <w:t>Compliance of TNSPs</w:t>
      </w:r>
    </w:p>
    <w:p w:rsidR="00C14F11" w:rsidRDefault="00C14F11" w:rsidP="00C14F11">
      <w:pPr>
        <w:pStyle w:val="AERbodytext"/>
      </w:pPr>
      <w:r>
        <w:t xml:space="preserve">There were instances where respondents indicated that the TNSP may not have complied with the requirements of the Electricity Rules, </w:t>
      </w:r>
      <w:r w:rsidR="00F257BD">
        <w:t xml:space="preserve">primarily related to </w:t>
      </w:r>
      <w:r>
        <w:t>not providing information within the required timeframe</w:t>
      </w:r>
      <w:r w:rsidR="00F257BD">
        <w:t xml:space="preserve"> specified in the Rules</w:t>
      </w:r>
      <w:r>
        <w:t xml:space="preserve">. Some respondents noted that these delays </w:t>
      </w:r>
      <w:r w:rsidR="009042A5">
        <w:t xml:space="preserve">led to </w:t>
      </w:r>
      <w:r>
        <w:t xml:space="preserve">delays for the project, while others considered the delay </w:t>
      </w:r>
      <w:r w:rsidR="000B1799">
        <w:t xml:space="preserve">had no </w:t>
      </w:r>
      <w:proofErr w:type="gramStart"/>
      <w:r>
        <w:t xml:space="preserve">material </w:t>
      </w:r>
      <w:r w:rsidR="000B1799">
        <w:t xml:space="preserve"> effect</w:t>
      </w:r>
      <w:proofErr w:type="gramEnd"/>
      <w:r>
        <w:t xml:space="preserve"> .</w:t>
      </w:r>
    </w:p>
    <w:p w:rsidR="00C14F11" w:rsidRDefault="00C14F11" w:rsidP="00C14F11">
      <w:pPr>
        <w:pStyle w:val="AERbodytext"/>
      </w:pPr>
      <w:r>
        <w:t xml:space="preserve">A number of respondents considered that the timeframes mandated by the Electricity Rules for the TNSP to provide technical and other information for the project are not realistic for projects of this scale. This information is required soon after the connection enquiry is lodged, often before the details of the project have been scoped. Responses indicated that the TNSP, with agreement from the party </w:t>
      </w:r>
      <w:r>
        <w:lastRenderedPageBreak/>
        <w:t xml:space="preserve">seeking application, may provide generic information to satisfy the requirements of the Electricity </w:t>
      </w:r>
      <w:proofErr w:type="gramStart"/>
      <w:r>
        <w:t>Rules,</w:t>
      </w:r>
      <w:proofErr w:type="gramEnd"/>
      <w:r>
        <w:t xml:space="preserve"> however this information may not be particularly useful. </w:t>
      </w:r>
    </w:p>
    <w:p w:rsidR="00847D2B" w:rsidRDefault="00C14F11" w:rsidP="00C14F11">
      <w:pPr>
        <w:pStyle w:val="AERbodytext"/>
      </w:pPr>
      <w:r w:rsidRPr="00565AF7">
        <w:t xml:space="preserve">We </w:t>
      </w:r>
      <w:r w:rsidR="00F257BD">
        <w:t xml:space="preserve">contacted the relevant respondents who raised </w:t>
      </w:r>
      <w:r w:rsidRPr="00565AF7">
        <w:t>concern</w:t>
      </w:r>
      <w:r w:rsidR="00847D2B">
        <w:t>s</w:t>
      </w:r>
      <w:r w:rsidRPr="00565AF7">
        <w:t xml:space="preserve"> </w:t>
      </w:r>
      <w:r w:rsidR="00F257BD">
        <w:t xml:space="preserve">regarding </w:t>
      </w:r>
      <w:r w:rsidRPr="00565AF7">
        <w:t>non-compliance</w:t>
      </w:r>
      <w:r w:rsidR="00847D2B">
        <w:t>s</w:t>
      </w:r>
      <w:r w:rsidRPr="00565AF7">
        <w:t xml:space="preserve"> which </w:t>
      </w:r>
      <w:r w:rsidR="00F257BD">
        <w:t xml:space="preserve">they </w:t>
      </w:r>
      <w:r w:rsidRPr="00565AF7">
        <w:t xml:space="preserve">considered </w:t>
      </w:r>
      <w:r w:rsidR="00F257BD">
        <w:t xml:space="preserve">had </w:t>
      </w:r>
      <w:r w:rsidRPr="00565AF7">
        <w:t xml:space="preserve">negative consequences for </w:t>
      </w:r>
      <w:r w:rsidR="00F257BD">
        <w:t xml:space="preserve">their </w:t>
      </w:r>
      <w:r w:rsidRPr="00565AF7">
        <w:t>projects</w:t>
      </w:r>
      <w:r w:rsidR="00847D2B">
        <w:t>,</w:t>
      </w:r>
      <w:r w:rsidRPr="00565AF7">
        <w:t xml:space="preserve"> </w:t>
      </w:r>
      <w:r w:rsidR="00F257BD">
        <w:t xml:space="preserve">to determine whether </w:t>
      </w:r>
      <w:r w:rsidRPr="00565AF7">
        <w:t>to raise these issues with the TNSP</w:t>
      </w:r>
      <w:r w:rsidR="00F257BD">
        <w:t>. Those responden</w:t>
      </w:r>
      <w:r w:rsidR="000B1799">
        <w:t>ts</w:t>
      </w:r>
      <w:r w:rsidR="00847D2B">
        <w:t xml:space="preserve"> </w:t>
      </w:r>
      <w:r w:rsidR="000B1799">
        <w:t>however,</w:t>
      </w:r>
      <w:r w:rsidRPr="00565AF7">
        <w:t xml:space="preserve"> </w:t>
      </w:r>
      <w:r w:rsidR="00F257BD">
        <w:t>requested the matter</w:t>
      </w:r>
      <w:r w:rsidR="00847D2B">
        <w:t>s</w:t>
      </w:r>
      <w:r w:rsidR="00F257BD">
        <w:t xml:space="preserve"> not be taken further. </w:t>
      </w:r>
    </w:p>
    <w:p w:rsidR="00C14F11" w:rsidRPr="00565AF7" w:rsidRDefault="00C14F11" w:rsidP="00C14F11">
      <w:pPr>
        <w:pStyle w:val="AERbodytext"/>
      </w:pPr>
      <w:r w:rsidRPr="00565AF7">
        <w:t xml:space="preserve">The responses indicated that non-compliance with the connections regime did not always have a material effect on the outcome of the project. This raises a question of whether the connections framework may be overly prescriptive to be practical, particularly regarding the timing for providing information. There is, however, a balance which must be struck between the level of prescription and the willingness of parties to undertake conflict resolution against another when there is an ongoing relationship. While less prescription may suit certain types of connections projects, we must be assured that there are appropriate procedures in place to ensure that project milestones are reached in a reasonable timeframe. </w:t>
      </w:r>
    </w:p>
    <w:p w:rsidR="00C14F11" w:rsidRPr="00565AF7" w:rsidRDefault="00C14F11" w:rsidP="00C14F11">
      <w:pPr>
        <w:pStyle w:val="AERbodytext"/>
      </w:pPr>
      <w:r w:rsidRPr="00565AF7">
        <w:t xml:space="preserve">A TNSP has indicated to us that the timeframes are not always practical and when this is the case, it will discuss the requirements with the connecting party aiming to reach an ‘agreeable’ outcome, even if it does not strictly meet the requirements of the Electricity Rules. </w:t>
      </w:r>
    </w:p>
    <w:p w:rsidR="00C14F11" w:rsidRDefault="00C14F11" w:rsidP="00C14F11">
      <w:pPr>
        <w:pStyle w:val="AERbodytext"/>
      </w:pPr>
      <w:r w:rsidRPr="00565AF7">
        <w:t>The Australian Energy Market Commission (</w:t>
      </w:r>
      <w:r w:rsidRPr="00565AF7">
        <w:rPr>
          <w:b/>
        </w:rPr>
        <w:t>AEMC</w:t>
      </w:r>
      <w:r w:rsidRPr="00565AF7">
        <w:t xml:space="preserve">) </w:t>
      </w:r>
      <w:r w:rsidR="00847D2B">
        <w:t>noted that the current cost, complexity and time delays currently associated with connects are a concern</w:t>
      </w:r>
      <w:r w:rsidR="00847D2B" w:rsidRPr="00565AF7">
        <w:t xml:space="preserve"> </w:t>
      </w:r>
      <w:r w:rsidR="00847D2B">
        <w:t xml:space="preserve">and </w:t>
      </w:r>
      <w:r w:rsidRPr="00565AF7">
        <w:t>made a number of recommendations for the transmission connections regime in its</w:t>
      </w:r>
      <w:r w:rsidRPr="00C14F11">
        <w:t xml:space="preserve"> Transmission Frameworks review </w:t>
      </w:r>
      <w:hyperlink r:id="rId19" w:history="1">
        <w:r>
          <w:rPr>
            <w:rStyle w:val="Hyperlink"/>
          </w:rPr>
          <w:t>final report</w:t>
        </w:r>
      </w:hyperlink>
      <w:r w:rsidR="00847D2B">
        <w:t xml:space="preserve">. </w:t>
      </w:r>
      <w:r w:rsidRPr="00C14F11">
        <w:t>The Standing Council of Energy and Resources (</w:t>
      </w:r>
      <w:r w:rsidRPr="00C14F11">
        <w:rPr>
          <w:b/>
        </w:rPr>
        <w:t>SCER</w:t>
      </w:r>
      <w:r w:rsidRPr="00C14F11">
        <w:t xml:space="preserve">) will consider these recommendations which may lead to changes in the Electricity Rules. We will continue to participate in this process. </w:t>
      </w:r>
    </w:p>
    <w:p w:rsidR="00C14F11" w:rsidRDefault="00C14F11" w:rsidP="00C14F11">
      <w:pPr>
        <w:keepNext/>
        <w:spacing w:after="240" w:line="288" w:lineRule="auto"/>
        <w:rPr>
          <w:rFonts w:ascii="Gautami" w:eastAsia="Times New Roman" w:hAnsi="Gautami" w:cs="Times New Roman"/>
          <w:b/>
          <w:sz w:val="20"/>
          <w:szCs w:val="24"/>
        </w:rPr>
      </w:pPr>
      <w:r w:rsidRPr="00C14F11">
        <w:rPr>
          <w:rFonts w:ascii="Gautami" w:eastAsia="Times New Roman" w:hAnsi="Gautami" w:cs="Times New Roman"/>
          <w:b/>
          <w:sz w:val="20"/>
          <w:szCs w:val="24"/>
        </w:rPr>
        <w:t>Concluding comments</w:t>
      </w:r>
    </w:p>
    <w:p w:rsidR="0061793E" w:rsidRDefault="0061793E" w:rsidP="0061793E">
      <w:pPr>
        <w:pStyle w:val="AERbodytext"/>
      </w:pPr>
      <w:r>
        <w:t xml:space="preserve">While the response rate was </w:t>
      </w:r>
      <w:r w:rsidR="00A34457" w:rsidRPr="0061793E">
        <w:t xml:space="preserve">very </w:t>
      </w:r>
      <w:r>
        <w:t xml:space="preserve">low compared to the </w:t>
      </w:r>
      <w:r w:rsidR="00A34457" w:rsidRPr="0061793E">
        <w:t>number of projects identified</w:t>
      </w:r>
      <w:r>
        <w:t xml:space="preserve">, we consider there has been a </w:t>
      </w:r>
      <w:r w:rsidR="00A34457">
        <w:t xml:space="preserve">general improvement in the </w:t>
      </w:r>
      <w:r>
        <w:t xml:space="preserve">connections </w:t>
      </w:r>
      <w:r w:rsidR="00A34457">
        <w:t xml:space="preserve">process as more experience </w:t>
      </w:r>
      <w:r>
        <w:t xml:space="preserve">has been </w:t>
      </w:r>
      <w:r w:rsidR="00A34457">
        <w:t>gained</w:t>
      </w:r>
      <w:r>
        <w:t xml:space="preserve"> by TNSPs. </w:t>
      </w:r>
    </w:p>
    <w:p w:rsidR="00847D2B" w:rsidRPr="00565AF7" w:rsidRDefault="0061793E" w:rsidP="0061793E">
      <w:pPr>
        <w:pStyle w:val="AERbodytext"/>
      </w:pPr>
      <w:r>
        <w:t xml:space="preserve">The survey results also did not appear to reveal any systemic compliance issues. </w:t>
      </w:r>
      <w:r w:rsidR="008D20B6">
        <w:t xml:space="preserve">We do, however, take this opportunity to </w:t>
      </w:r>
      <w:r w:rsidR="00847D2B" w:rsidRPr="00565AF7">
        <w:t xml:space="preserve">remind connecting parties of the dispute resolution process that is available for the transmission connections process under the Electricity Rules. We are also available to discuss compliance issues should they arise. </w:t>
      </w:r>
    </w:p>
    <w:p w:rsidR="00A34457" w:rsidRDefault="008D20B6" w:rsidP="008D20B6">
      <w:pPr>
        <w:pStyle w:val="AERbodytext"/>
      </w:pPr>
      <w:r>
        <w:t>We consider that the p</w:t>
      </w:r>
      <w:r w:rsidR="00A34457">
        <w:t xml:space="preserve">racticality of the defined timeframes in the </w:t>
      </w:r>
      <w:r>
        <w:t xml:space="preserve">Electricity </w:t>
      </w:r>
      <w:r w:rsidR="00A34457">
        <w:t>Rules may be a</w:t>
      </w:r>
      <w:r>
        <w:t xml:space="preserve"> particular </w:t>
      </w:r>
      <w:r w:rsidR="00A34457">
        <w:t>area requiring further work</w:t>
      </w:r>
      <w:r>
        <w:t xml:space="preserve">. We will monitor SCER’s developments in this area and contribute to this process as appropriate. </w:t>
      </w:r>
      <w:r w:rsidR="007F08B9">
        <w:t>Proponent’s comments related to uncertainty about the types and costs of particular services offered by TNSPs may justify further guidance being developed by network businesses to ensure these processes are consistent, transparent and clearly understood by connecting parties.</w:t>
      </w:r>
    </w:p>
    <w:p w:rsidR="00A34457" w:rsidRPr="008D20B6" w:rsidRDefault="008D20B6" w:rsidP="008D20B6">
      <w:pPr>
        <w:pStyle w:val="AERbodytext"/>
      </w:pPr>
      <w:r>
        <w:t xml:space="preserve">Undertaking this survey has been a useful exercise to attempt to evaluate the satisfaction of parties seeking to connect to the transmission network. We will consider whether it is appropriate to conduct a similar survey for parties seeking to connect to the distribution network. </w:t>
      </w:r>
    </w:p>
    <w:p w:rsidR="003F2B3E" w:rsidRPr="007C5152" w:rsidRDefault="003F2B3E" w:rsidP="003F2B3E">
      <w:pPr>
        <w:pStyle w:val="AERheading2"/>
        <w:tabs>
          <w:tab w:val="clear" w:pos="2484"/>
          <w:tab w:val="num" w:pos="357"/>
        </w:tabs>
        <w:ind w:left="357"/>
      </w:pPr>
      <w:bookmarkStart w:id="87" w:name="_Toc386117312"/>
      <w:r w:rsidRPr="007C5152">
        <w:t>Electricity metering metrics</w:t>
      </w:r>
      <w:bookmarkEnd w:id="87"/>
    </w:p>
    <w:p w:rsidR="003F2B3E" w:rsidRDefault="003F2B3E" w:rsidP="003F2B3E">
      <w:pPr>
        <w:pStyle w:val="AERbodytext"/>
        <w:rPr>
          <w:rStyle w:val="AERbody"/>
        </w:rPr>
      </w:pPr>
      <w:r w:rsidRPr="003B7459">
        <w:rPr>
          <w:rStyle w:val="AERbody"/>
        </w:rPr>
        <w:t xml:space="preserve">In consultation with AEMO, </w:t>
      </w:r>
      <w:r>
        <w:rPr>
          <w:rStyle w:val="AERbody"/>
        </w:rPr>
        <w:t>we</w:t>
      </w:r>
      <w:r w:rsidRPr="003B7459">
        <w:rPr>
          <w:rStyle w:val="AERbody"/>
        </w:rPr>
        <w:t xml:space="preserve"> monitor the quality of metering data provided to AEMO’s market settlement and transfer solution (</w:t>
      </w:r>
      <w:r w:rsidRPr="00D652B7">
        <w:rPr>
          <w:rStyle w:val="AERbody"/>
          <w:b/>
        </w:rPr>
        <w:t>MSATS</w:t>
      </w:r>
      <w:r w:rsidRPr="003B7459">
        <w:rPr>
          <w:rStyle w:val="AERbody"/>
        </w:rPr>
        <w:t xml:space="preserve">) system. The MSATS system captures important connection </w:t>
      </w:r>
      <w:r w:rsidRPr="003B7459">
        <w:rPr>
          <w:rStyle w:val="AERbody"/>
        </w:rPr>
        <w:lastRenderedPageBreak/>
        <w:t xml:space="preserve">point information, such as the customer’s relevant distribution loss factor and retailer of last resort. It also captures actual and aggregated metering data. AEMO </w:t>
      </w:r>
      <w:r>
        <w:rPr>
          <w:rStyle w:val="AERbody"/>
        </w:rPr>
        <w:t xml:space="preserve">is currently developing new reporting metrics and seeking to </w:t>
      </w:r>
      <w:r w:rsidRPr="003B7459">
        <w:rPr>
          <w:rStyle w:val="AERbody"/>
        </w:rPr>
        <w:t xml:space="preserve">improve the performance of MSATS </w:t>
      </w:r>
      <w:r>
        <w:rPr>
          <w:rStyle w:val="AERbody"/>
        </w:rPr>
        <w:t xml:space="preserve">users using </w:t>
      </w:r>
      <w:r w:rsidRPr="003B7459">
        <w:rPr>
          <w:rStyle w:val="AERbody"/>
        </w:rPr>
        <w:t>targeted compliance activities and participant engagement.</w:t>
      </w:r>
      <w:r>
        <w:rPr>
          <w:rStyle w:val="AERbody"/>
        </w:rPr>
        <w:t xml:space="preserve"> We will continue to assist AEMO in this process.</w:t>
      </w:r>
    </w:p>
    <w:p w:rsidR="003F2B3E" w:rsidRDefault="003F2B3E" w:rsidP="003F2B3E">
      <w:pPr>
        <w:pStyle w:val="AERbodytext"/>
        <w:rPr>
          <w:rFonts w:eastAsia="Calibri"/>
        </w:rPr>
      </w:pPr>
      <w:r w:rsidRPr="00CE4A12">
        <w:rPr>
          <w:rFonts w:eastAsia="Calibri"/>
        </w:rPr>
        <w:t xml:space="preserve">Figure </w:t>
      </w:r>
      <w:r w:rsidR="007F0AFF" w:rsidRPr="00CE4A12">
        <w:rPr>
          <w:rFonts w:eastAsia="Calibri"/>
        </w:rPr>
        <w:t>2</w:t>
      </w:r>
      <w:r w:rsidRPr="00CE4A12">
        <w:rPr>
          <w:rFonts w:eastAsia="Calibri"/>
        </w:rPr>
        <w:t>.2</w:t>
      </w:r>
      <w:r>
        <w:rPr>
          <w:rFonts w:eastAsia="Calibri"/>
        </w:rPr>
        <w:t xml:space="preserve"> below </w:t>
      </w:r>
      <w:r w:rsidRPr="005064BF">
        <w:rPr>
          <w:rFonts w:eastAsia="Calibri"/>
        </w:rPr>
        <w:t xml:space="preserve">shows the number of </w:t>
      </w:r>
      <w:r>
        <w:rPr>
          <w:rFonts w:eastAsia="Calibri"/>
        </w:rPr>
        <w:t xml:space="preserve">MSATS </w:t>
      </w:r>
      <w:r w:rsidRPr="005064BF">
        <w:rPr>
          <w:rFonts w:eastAsia="Calibri"/>
        </w:rPr>
        <w:t xml:space="preserve">errors made by each Local </w:t>
      </w:r>
      <w:r>
        <w:rPr>
          <w:rFonts w:eastAsia="Calibri"/>
        </w:rPr>
        <w:t>Network Service Provider </w:t>
      </w:r>
      <w:r w:rsidRPr="005064BF">
        <w:rPr>
          <w:rFonts w:eastAsia="Calibri"/>
        </w:rPr>
        <w:t>(</w:t>
      </w:r>
      <w:r w:rsidRPr="005064BF">
        <w:rPr>
          <w:rFonts w:eastAsia="Calibri"/>
          <w:b/>
          <w:bCs/>
        </w:rPr>
        <w:t>LNSP</w:t>
      </w:r>
      <w:r w:rsidRPr="005064BF">
        <w:rPr>
          <w:rFonts w:eastAsia="Calibri"/>
        </w:rPr>
        <w:t xml:space="preserve">) in the last week of each month since April 2010. </w:t>
      </w:r>
      <w:r>
        <w:rPr>
          <w:rFonts w:eastAsia="Calibri"/>
        </w:rPr>
        <w:t>We have reviewed total error levels across the six error</w:t>
      </w:r>
      <w:r w:rsidR="009F206B">
        <w:rPr>
          <w:rFonts w:eastAsia="Calibri"/>
        </w:rPr>
        <w:t xml:space="preserve"> type</w:t>
      </w:r>
      <w:r>
        <w:rPr>
          <w:rFonts w:eastAsia="Calibri"/>
        </w:rPr>
        <w:t xml:space="preserve">s and will be contacting LNSPs who have shown a consistently high number of errors over that period. </w:t>
      </w:r>
    </w:p>
    <w:p w:rsidR="003F2B3E" w:rsidRPr="007F0AFF" w:rsidRDefault="003F2B3E" w:rsidP="003F2B3E">
      <w:pPr>
        <w:pStyle w:val="AERfigureheading"/>
      </w:pPr>
      <w:r w:rsidRPr="007F0AFF">
        <w:t>Total MSATS errors across all LNSPs</w:t>
      </w:r>
    </w:p>
    <w:p w:rsidR="007F0AFF" w:rsidRDefault="00850A3E" w:rsidP="003F2B3E">
      <w:pPr>
        <w:pStyle w:val="AERbodytext"/>
      </w:pPr>
      <w:r>
        <w:pict>
          <v:shape id="_x0000_i1027" type="#_x0000_t75" alt="Total MSATS errors across all LNSPs" style="width:451pt;height:281.65pt">
            <v:imagedata r:id="rId20" o:title=""/>
          </v:shape>
        </w:pict>
      </w:r>
    </w:p>
    <w:p w:rsidR="00514D17" w:rsidRPr="007C5152" w:rsidRDefault="00514D17" w:rsidP="00AE2AB9">
      <w:pPr>
        <w:pStyle w:val="AERheading2"/>
        <w:tabs>
          <w:tab w:val="clear" w:pos="2484"/>
          <w:tab w:val="num" w:pos="357"/>
        </w:tabs>
        <w:ind w:left="357"/>
      </w:pPr>
      <w:bookmarkStart w:id="88" w:name="_Toc386117313"/>
      <w:bookmarkStart w:id="89" w:name="_Ref353363026"/>
      <w:r w:rsidRPr="007C5152">
        <w:t>Current transformer testing</w:t>
      </w:r>
      <w:bookmarkEnd w:id="88"/>
    </w:p>
    <w:p w:rsidR="00AA4DA8" w:rsidRDefault="00AA4DA8" w:rsidP="00AA4DA8">
      <w:pPr>
        <w:pStyle w:val="AERbodytext"/>
      </w:pPr>
      <w:r>
        <w:t xml:space="preserve">We </w:t>
      </w:r>
      <w:r w:rsidRPr="00E414BB">
        <w:t xml:space="preserve">released </w:t>
      </w:r>
      <w:hyperlink r:id="rId21" w:history="1">
        <w:r w:rsidRPr="00543C9B">
          <w:rPr>
            <w:rStyle w:val="Hyperlink"/>
          </w:rPr>
          <w:t>Compliance Bulletin No. 6</w:t>
        </w:r>
      </w:hyperlink>
      <w:r>
        <w:t xml:space="preserve"> </w:t>
      </w:r>
      <w:r w:rsidRPr="00E414BB">
        <w:t xml:space="preserve">on instrument transformer testing </w:t>
      </w:r>
      <w:r>
        <w:t xml:space="preserve">in </w:t>
      </w:r>
      <w:r w:rsidRPr="00E414BB">
        <w:t>December 2011</w:t>
      </w:r>
      <w:r w:rsidR="009F206B">
        <w:t xml:space="preserve"> following a significant degree of non-compliance</w:t>
      </w:r>
      <w:r w:rsidRPr="00E414BB">
        <w:t xml:space="preserve">. The bulletin set out </w:t>
      </w:r>
      <w:r>
        <w:t xml:space="preserve">our </w:t>
      </w:r>
      <w:r w:rsidRPr="00E414BB">
        <w:t xml:space="preserve">expectations </w:t>
      </w:r>
      <w:r>
        <w:t>for</w:t>
      </w:r>
      <w:r w:rsidRPr="00E414BB">
        <w:t xml:space="preserve"> instrument transformer testing as re</w:t>
      </w:r>
      <w:r>
        <w:t xml:space="preserve">quired by the Electricity Rules and sought </w:t>
      </w:r>
      <w:r w:rsidR="009F206B">
        <w:t xml:space="preserve">a commitment from </w:t>
      </w:r>
      <w:r>
        <w:t>industry to demonstrate a willingness to comply with these requirements.</w:t>
      </w:r>
    </w:p>
    <w:p w:rsidR="00AA4DA8" w:rsidRDefault="00AA4DA8" w:rsidP="00AA4DA8">
      <w:pPr>
        <w:pStyle w:val="AERbodytext"/>
      </w:pPr>
      <w:r>
        <w:t>We proposed that each year a Responsible Person (</w:t>
      </w:r>
      <w:r w:rsidRPr="00011B17">
        <w:rPr>
          <w:b/>
        </w:rPr>
        <w:t>RP</w:t>
      </w:r>
      <w:r>
        <w:t xml:space="preserve">) should test either 10 per cent of its metering installation population, or a sample of its meters in accordance with an alternative sampling method approved by AEMO. RPs </w:t>
      </w:r>
      <w:proofErr w:type="gramStart"/>
      <w:r>
        <w:t>were</w:t>
      </w:r>
      <w:proofErr w:type="gramEnd"/>
      <w:r>
        <w:t xml:space="preserve"> required to submit testing strategies and plans to AEMO by 1 July 2012, with the required level of testing to be completed by 30 June 2013. </w:t>
      </w:r>
    </w:p>
    <w:p w:rsidR="00AA4DA8" w:rsidRDefault="00AA4DA8" w:rsidP="00AA4DA8">
      <w:pPr>
        <w:pStyle w:val="AERbodytext"/>
      </w:pPr>
      <w:r>
        <w:t xml:space="preserve">In August 2013 AEMO provided us with a summary of testing for each RP to 30 June 2013. We reviewed the results and wrote to a number of RPs who </w:t>
      </w:r>
      <w:r w:rsidR="002F57C3">
        <w:t xml:space="preserve">had </w:t>
      </w:r>
      <w:r>
        <w:t>not complete</w:t>
      </w:r>
      <w:r w:rsidR="002F57C3">
        <w:t>d</w:t>
      </w:r>
      <w:r>
        <w:t xml:space="preserve"> the required testing, </w:t>
      </w:r>
      <w:r w:rsidR="002F57C3">
        <w:t>seeking</w:t>
      </w:r>
      <w:r w:rsidR="00DC7B00">
        <w:t xml:space="preserve"> reasons why the testing was not completed and to work with the RPs to ensure their obligations were met. </w:t>
      </w:r>
      <w:r>
        <w:t xml:space="preserve">. </w:t>
      </w:r>
    </w:p>
    <w:p w:rsidR="0030763F" w:rsidRPr="0030763F" w:rsidRDefault="0030763F" w:rsidP="00AA4DA8">
      <w:pPr>
        <w:pStyle w:val="AERbodytext"/>
      </w:pPr>
      <w:r w:rsidRPr="0030763F">
        <w:lastRenderedPageBreak/>
        <w:t>The Electricity Rules stipulate that unless the responsible person has developed an asset management strategy that defines practices to meet the inspection and testing requirements of the Rules and is approved by AEMO, the maximum period between tests is ten years. The relevant rule is a civil penalty provision, meaning the AER may serve an infringement notice.</w:t>
      </w:r>
    </w:p>
    <w:p w:rsidR="0030763F" w:rsidRDefault="0030763F" w:rsidP="00AA4DA8">
      <w:pPr>
        <w:pStyle w:val="AERbodytext"/>
      </w:pPr>
      <w:r>
        <w:t xml:space="preserve">This quarter </w:t>
      </w:r>
      <w:r w:rsidR="009F206B">
        <w:t xml:space="preserve">the AER </w:t>
      </w:r>
      <w:r>
        <w:t>issued an infringement notice to Red Energy in relation to its failure to test metering equipment in accordance with the Electricity Rules. Red Energy paid the infringement penalty on 21 March 2014.</w:t>
      </w:r>
      <w:r>
        <w:rPr>
          <w:rStyle w:val="FootnoteReference"/>
        </w:rPr>
        <w:footnoteReference w:id="9"/>
      </w:r>
      <w:r>
        <w:t xml:space="preserve"> An investigation report regarding this matter is available on </w:t>
      </w:r>
      <w:hyperlink r:id="rId22" w:history="1">
        <w:r>
          <w:rPr>
            <w:rStyle w:val="Hyperlink"/>
          </w:rPr>
          <w:t>our website</w:t>
        </w:r>
      </w:hyperlink>
      <w:r>
        <w:t>.</w:t>
      </w:r>
    </w:p>
    <w:p w:rsidR="00AA4DA8" w:rsidRPr="00AA4DA8" w:rsidRDefault="00AA4DA8" w:rsidP="00514D17">
      <w:pPr>
        <w:pStyle w:val="AERbodytext"/>
      </w:pPr>
      <w:r>
        <w:t xml:space="preserve">We take this opportunity to remind RPs that further testing may be required by 30 June 2014. Those who elected to test 10 per cent of their metering installation population must test a further 10 per cent of their population by 30 June 2014. RPs who </w:t>
      </w:r>
      <w:proofErr w:type="gramStart"/>
      <w:r>
        <w:t>are</w:t>
      </w:r>
      <w:proofErr w:type="gramEnd"/>
      <w:r>
        <w:t xml:space="preserve"> testing according to AEMO’s alternative sampling method must continue to satisfy the requirements stated in the AEMO testing document through to 30 June 2017.</w:t>
      </w:r>
      <w:r>
        <w:rPr>
          <w:rStyle w:val="FootnoteReference"/>
        </w:rPr>
        <w:footnoteReference w:id="10"/>
      </w:r>
    </w:p>
    <w:p w:rsidR="00AE2AB9" w:rsidRPr="007C5152" w:rsidRDefault="00AE2AB9" w:rsidP="00514D17">
      <w:pPr>
        <w:pStyle w:val="AERheading2"/>
        <w:tabs>
          <w:tab w:val="clear" w:pos="2484"/>
          <w:tab w:val="num" w:pos="357"/>
        </w:tabs>
        <w:ind w:left="357"/>
      </w:pPr>
      <w:bookmarkStart w:id="90" w:name="_Toc386117314"/>
      <w:r w:rsidRPr="007C5152">
        <w:t>Metering compliance issues</w:t>
      </w:r>
      <w:bookmarkEnd w:id="90"/>
    </w:p>
    <w:p w:rsidR="00AE2AB9" w:rsidRDefault="00AE2AB9" w:rsidP="00AE2AB9">
      <w:pPr>
        <w:pStyle w:val="AERbodytext"/>
      </w:pPr>
      <w:r>
        <w:t xml:space="preserve">In the </w:t>
      </w:r>
      <w:hyperlink r:id="rId23" w:history="1">
        <w:r>
          <w:rPr>
            <w:rStyle w:val="Hyperlink"/>
          </w:rPr>
          <w:t>previous QCR</w:t>
        </w:r>
      </w:hyperlink>
      <w:r>
        <w:t xml:space="preserve"> we reported on three occasions where local network service providers (</w:t>
      </w:r>
      <w:r w:rsidRPr="008925CC">
        <w:rPr>
          <w:b/>
        </w:rPr>
        <w:t>LNSP</w:t>
      </w:r>
      <w:r>
        <w:t xml:space="preserve">) either </w:t>
      </w:r>
      <w:r w:rsidRPr="0040120B">
        <w:t xml:space="preserve">failed to register </w:t>
      </w:r>
      <w:r>
        <w:t xml:space="preserve">a </w:t>
      </w:r>
      <w:r w:rsidRPr="0040120B">
        <w:t xml:space="preserve">connection with AEMO </w:t>
      </w:r>
      <w:r>
        <w:t>or energised a new connection point without a meter</w:t>
      </w:r>
      <w:r w:rsidRPr="0040120B">
        <w:t>.</w:t>
      </w:r>
      <w:r>
        <w:t xml:space="preserve"> This quarter a further two compliance issues of this nature ar</w:t>
      </w:r>
      <w:r w:rsidR="009F206B">
        <w:t>o</w:t>
      </w:r>
      <w:r>
        <w:t xml:space="preserve">se. </w:t>
      </w:r>
    </w:p>
    <w:p w:rsidR="00AE2AB9" w:rsidRDefault="00AE2AB9" w:rsidP="00AE2AB9">
      <w:pPr>
        <w:pStyle w:val="AERbodytext"/>
      </w:pPr>
      <w:r>
        <w:t>While the occurrence of these types of non-compliance is still very low compared to total market connections, we are concerned by the pattern which has emerged in the past six months.</w:t>
      </w:r>
      <w:r w:rsidRPr="00085894">
        <w:t xml:space="preserve"> </w:t>
      </w:r>
      <w:r>
        <w:t>It is</w:t>
      </w:r>
      <w:r w:rsidRPr="0053410D">
        <w:t xml:space="preserve"> essential that </w:t>
      </w:r>
      <w:r>
        <w:t xml:space="preserve">LNSPs </w:t>
      </w:r>
      <w:r w:rsidR="00F85B2C">
        <w:t xml:space="preserve">have </w:t>
      </w:r>
      <w:r w:rsidRPr="0053410D">
        <w:t xml:space="preserve">appropriate procedures and checks in place </w:t>
      </w:r>
      <w:r>
        <w:t xml:space="preserve">to ensure that </w:t>
      </w:r>
      <w:r w:rsidRPr="0053410D">
        <w:t xml:space="preserve">the </w:t>
      </w:r>
      <w:r>
        <w:t xml:space="preserve">requirements applying to </w:t>
      </w:r>
      <w:r w:rsidR="00F85B2C">
        <w:t xml:space="preserve">new or modified </w:t>
      </w:r>
      <w:r w:rsidRPr="0053410D">
        <w:t>meter</w:t>
      </w:r>
      <w:r>
        <w:t>ing</w:t>
      </w:r>
      <w:r w:rsidRPr="0053410D">
        <w:t xml:space="preserve"> installations are appropriately met.</w:t>
      </w:r>
    </w:p>
    <w:p w:rsidR="00AE2AB9" w:rsidRDefault="00AE2AB9" w:rsidP="00AE2AB9">
      <w:pPr>
        <w:pStyle w:val="AERbodytext"/>
      </w:pPr>
      <w:r>
        <w:t xml:space="preserve">Breaches of this nature can have a material impact on the </w:t>
      </w:r>
      <w:r w:rsidR="00F85B2C">
        <w:t xml:space="preserve">settlement of the </w:t>
      </w:r>
      <w:r>
        <w:t xml:space="preserve">market, particularly if the breach continues for a sustained period of time. </w:t>
      </w:r>
    </w:p>
    <w:p w:rsidR="00AE2AB9" w:rsidRDefault="00AE2AB9" w:rsidP="00AE2AB9">
      <w:pPr>
        <w:pStyle w:val="AERbodytext"/>
      </w:pPr>
      <w:r>
        <w:t xml:space="preserve">Accordingly, </w:t>
      </w:r>
      <w:r w:rsidR="002F57C3">
        <w:t>going forward</w:t>
      </w:r>
      <w:r>
        <w:t xml:space="preserve">, if a registered participant </w:t>
      </w:r>
      <w:r w:rsidRPr="0040120B">
        <w:t>fail</w:t>
      </w:r>
      <w:r>
        <w:t xml:space="preserve">s </w:t>
      </w:r>
      <w:r w:rsidRPr="0040120B">
        <w:t>to register the connection with AEMO</w:t>
      </w:r>
      <w:r w:rsidRPr="00865265">
        <w:t xml:space="preserve"> </w:t>
      </w:r>
      <w:r>
        <w:t>(as required under clause 5.3.7(g) of the Electricity Rules)</w:t>
      </w:r>
      <w:r w:rsidRPr="0040120B">
        <w:t xml:space="preserve"> or</w:t>
      </w:r>
      <w:r>
        <w:t xml:space="preserve"> energises a new connection point without a meter (clause 7.3.1A), we will consider </w:t>
      </w:r>
      <w:r w:rsidR="00F85B2C">
        <w:t xml:space="preserve">all </w:t>
      </w:r>
      <w:r>
        <w:t>enforcement options</w:t>
      </w:r>
      <w:r w:rsidR="00F85B2C">
        <w:t xml:space="preserve"> available to us</w:t>
      </w:r>
      <w:r>
        <w:t xml:space="preserve">. These obligations are classified as civil penalty provisions under the National Electricity Regulations which allows the AER to issue infringement notices in relation to breaches. Each infringement notice carries a </w:t>
      </w:r>
      <w:r w:rsidR="00F85B2C">
        <w:t xml:space="preserve">civil </w:t>
      </w:r>
      <w:r>
        <w:t xml:space="preserve">penalty of </w:t>
      </w:r>
      <w:r w:rsidRPr="00F17EE9">
        <w:t>$20</w:t>
      </w:r>
      <w:r>
        <w:t> </w:t>
      </w:r>
      <w:r w:rsidRPr="00F17EE9">
        <w:t>000.</w:t>
      </w:r>
      <w:r w:rsidRPr="006571FC">
        <w:t xml:space="preserve"> </w:t>
      </w:r>
    </w:p>
    <w:p w:rsidR="004A472C" w:rsidRPr="007C5152" w:rsidRDefault="00524CCB" w:rsidP="005D2DC9">
      <w:pPr>
        <w:pStyle w:val="AERheading2"/>
        <w:tabs>
          <w:tab w:val="clear" w:pos="2484"/>
          <w:tab w:val="num" w:pos="357"/>
        </w:tabs>
        <w:ind w:left="357"/>
      </w:pPr>
      <w:bookmarkStart w:id="91" w:name="_Toc386117315"/>
      <w:bookmarkEnd w:id="89"/>
      <w:r w:rsidRPr="007C5152">
        <w:t>Technical a</w:t>
      </w:r>
      <w:r w:rsidR="004A472C" w:rsidRPr="007C5152">
        <w:t>udits</w:t>
      </w:r>
      <w:bookmarkEnd w:id="71"/>
      <w:bookmarkEnd w:id="72"/>
      <w:bookmarkEnd w:id="86"/>
      <w:bookmarkEnd w:id="91"/>
    </w:p>
    <w:p w:rsidR="008A2DC6" w:rsidRPr="008A2DC6" w:rsidRDefault="008A2DC6" w:rsidP="008A2DC6">
      <w:pPr>
        <w:pStyle w:val="AERbodytext"/>
      </w:pPr>
      <w:bookmarkStart w:id="92" w:name="OLE_LINK7"/>
      <w:bookmarkStart w:id="93" w:name="OLE_LINK8"/>
      <w:bookmarkStart w:id="94" w:name="OLE_LINK53"/>
      <w:r w:rsidRPr="008A2DC6">
        <w:t>Auditing is one mechanism we use to verify and assess compliance by registered participants with their obligations. The audits aim to ensure participants have robust and effective compliance programs in place that are consistent with Good Energy Industry Practice.</w:t>
      </w:r>
    </w:p>
    <w:p w:rsidR="008A2DC6" w:rsidRPr="008A2DC6" w:rsidRDefault="008A2DC6" w:rsidP="008A2DC6">
      <w:pPr>
        <w:pStyle w:val="AERbodytext"/>
      </w:pPr>
      <w:r w:rsidRPr="008A2DC6">
        <w:t xml:space="preserve">We conduct regular technical compliance audits in the electricity sector of generators and network service providers. These audits generally focus on the Electricity Rules clauses 4.15 and 5.7.4, particularly the requirement on electricity generators and network service providers to institute and maintain a compliance program in accordance with prescribed requirements. </w:t>
      </w:r>
    </w:p>
    <w:p w:rsidR="008A2DC6" w:rsidRPr="008A2DC6" w:rsidRDefault="008A2DC6" w:rsidP="008A2DC6">
      <w:pPr>
        <w:pStyle w:val="AERbodytext"/>
        <w:keepNext/>
      </w:pPr>
      <w:r>
        <w:lastRenderedPageBreak/>
        <w:t>In particular, the mandated c</w:t>
      </w:r>
      <w:r w:rsidRPr="008A2DC6">
        <w:t xml:space="preserve">ompliance </w:t>
      </w:r>
      <w:r>
        <w:t>p</w:t>
      </w:r>
      <w:r w:rsidRPr="008A2DC6">
        <w:t>rogram must:</w:t>
      </w:r>
    </w:p>
    <w:p w:rsidR="008A2DC6" w:rsidRPr="008A2DC6" w:rsidRDefault="008A2DC6" w:rsidP="008A2DC6">
      <w:pPr>
        <w:pStyle w:val="AERbulletlistsecondstyle"/>
      </w:pPr>
      <w:r w:rsidRPr="008A2DC6">
        <w:t>include procedures to monitor the performance of the plant in a manner that is consistent with good electricity industry practice</w:t>
      </w:r>
    </w:p>
    <w:p w:rsidR="008A2DC6" w:rsidRPr="008A2DC6" w:rsidRDefault="008A2DC6" w:rsidP="008A2DC6">
      <w:pPr>
        <w:pStyle w:val="AERbulletlistsecondstyle"/>
      </w:pPr>
      <w:proofErr w:type="gramStart"/>
      <w:r w:rsidRPr="008A2DC6">
        <w:t>provide</w:t>
      </w:r>
      <w:proofErr w:type="gramEnd"/>
      <w:r w:rsidRPr="008A2DC6">
        <w:t xml:space="preserve"> reasonable assurance of ongoing compliance with applicable performance standards registered with AEMO.</w:t>
      </w:r>
    </w:p>
    <w:p w:rsidR="00D9136C" w:rsidRPr="008E55C2" w:rsidRDefault="003F2B3E" w:rsidP="008E55C2">
      <w:pPr>
        <w:pStyle w:val="AERbodytext"/>
      </w:pPr>
      <w:r>
        <w:t xml:space="preserve">We are currently conducting an audit of </w:t>
      </w:r>
      <w:r w:rsidR="008A2DC6" w:rsidRPr="008A2DC6">
        <w:t>the South Australian transmission network service provider, ElectraNet.</w:t>
      </w:r>
      <w:bookmarkStart w:id="95" w:name="_Ref222128200"/>
      <w:bookmarkStart w:id="96" w:name="_Toc229556417"/>
      <w:bookmarkStart w:id="97" w:name="_Toc330814075"/>
      <w:bookmarkStart w:id="98" w:name="OLE_LINK21"/>
      <w:bookmarkStart w:id="99" w:name="OLE_LINK24"/>
      <w:bookmarkEnd w:id="73"/>
      <w:bookmarkEnd w:id="74"/>
      <w:bookmarkEnd w:id="75"/>
      <w:bookmarkEnd w:id="76"/>
      <w:bookmarkEnd w:id="77"/>
      <w:bookmarkEnd w:id="78"/>
      <w:bookmarkEnd w:id="92"/>
      <w:bookmarkEnd w:id="93"/>
      <w:bookmarkEnd w:id="94"/>
      <w:r>
        <w:t xml:space="preserve"> ElectraNet </w:t>
      </w:r>
      <w:r w:rsidR="00865265">
        <w:rPr>
          <w:bCs/>
          <w:lang w:val="en"/>
        </w:rPr>
        <w:t>has submitted its response to the audit questionnaire. We will review the response and follow up further queries at a site visit with ElectraNet next quarter.</w:t>
      </w:r>
    </w:p>
    <w:p w:rsidR="00AA7097" w:rsidRPr="007C5152" w:rsidRDefault="00AA7097" w:rsidP="00AA7097">
      <w:pPr>
        <w:pStyle w:val="AERheading2"/>
        <w:tabs>
          <w:tab w:val="clear" w:pos="2484"/>
          <w:tab w:val="num" w:pos="357"/>
        </w:tabs>
        <w:ind w:left="357"/>
      </w:pPr>
      <w:bookmarkStart w:id="100" w:name="_Toc354138200"/>
      <w:bookmarkStart w:id="101" w:name="_Toc386117316"/>
      <w:bookmarkEnd w:id="100"/>
      <w:r w:rsidRPr="007C5152">
        <w:t>Network compliance projects</w:t>
      </w:r>
      <w:bookmarkEnd w:id="101"/>
    </w:p>
    <w:p w:rsidR="008B3670" w:rsidRDefault="008A37B2" w:rsidP="008B3670">
      <w:pPr>
        <w:pStyle w:val="AERbodytext"/>
      </w:pPr>
      <w:r>
        <w:t>Last</w:t>
      </w:r>
      <w:r w:rsidR="008B3670">
        <w:t xml:space="preserve"> quarter we </w:t>
      </w:r>
      <w:r>
        <w:t xml:space="preserve">announced </w:t>
      </w:r>
      <w:r w:rsidR="008B3670">
        <w:t xml:space="preserve">two projects </w:t>
      </w:r>
      <w:r>
        <w:t>which focus</w:t>
      </w:r>
      <w:r w:rsidR="00780D3A">
        <w:t xml:space="preserve"> on the activities of </w:t>
      </w:r>
      <w:r w:rsidR="008B3670">
        <w:t>n</w:t>
      </w:r>
      <w:r w:rsidR="00780D3A">
        <w:t>etwork businesses</w:t>
      </w:r>
      <w:r w:rsidR="008B3670" w:rsidRPr="008A2DC6">
        <w:t>—</w:t>
      </w:r>
      <w:r w:rsidR="008B3670">
        <w:t xml:space="preserve">one </w:t>
      </w:r>
      <w:r w:rsidR="009A4F37">
        <w:t xml:space="preserve">for transmission business annual planning reports and the other for distribution reliability performance. </w:t>
      </w:r>
      <w:r w:rsidR="00780D3A">
        <w:t xml:space="preserve">An </w:t>
      </w:r>
      <w:r w:rsidR="009A4F37">
        <w:t xml:space="preserve">update for the transmission </w:t>
      </w:r>
      <w:r w:rsidR="00780D3A">
        <w:t xml:space="preserve">project is below. </w:t>
      </w:r>
    </w:p>
    <w:p w:rsidR="00AA7097" w:rsidRDefault="00AA7097" w:rsidP="00AA7097">
      <w:pPr>
        <w:pStyle w:val="AERgenericboldheading"/>
      </w:pPr>
      <w:r>
        <w:t>Review of transmission business annual planning reports</w:t>
      </w:r>
    </w:p>
    <w:p w:rsidR="00771503" w:rsidRDefault="00771503" w:rsidP="00771503">
      <w:pPr>
        <w:pStyle w:val="AERbodytext"/>
      </w:pPr>
      <w:r>
        <w:t>The Electricity Rules require transmission businesses to undertake an annual planning review, over a minimum planning horizon of ten years, and to publish an annual planning report (</w:t>
      </w:r>
      <w:r w:rsidRPr="00565CE6">
        <w:rPr>
          <w:b/>
        </w:rPr>
        <w:t>APR</w:t>
      </w:r>
      <w:r>
        <w:t>) setting out the results of the planning review. Together with the n</w:t>
      </w:r>
      <w:r w:rsidRPr="00B35D09">
        <w:t xml:space="preserve">ational </w:t>
      </w:r>
      <w:r>
        <w:t>t</w:t>
      </w:r>
      <w:r w:rsidRPr="00B35D09">
        <w:t xml:space="preserve">ransmission </w:t>
      </w:r>
      <w:r>
        <w:t>n</w:t>
      </w:r>
      <w:r w:rsidRPr="00B35D09">
        <w:t xml:space="preserve">etwork </w:t>
      </w:r>
      <w:r>
        <w:t>d</w:t>
      </w:r>
      <w:r w:rsidRPr="00B35D09">
        <w:t xml:space="preserve">evelopment </w:t>
      </w:r>
      <w:r>
        <w:t>p</w:t>
      </w:r>
      <w:r w:rsidRPr="00B35D09">
        <w:t>lan</w:t>
      </w:r>
      <w:r>
        <w:t> (</w:t>
      </w:r>
      <w:r w:rsidRPr="00565CE6">
        <w:rPr>
          <w:b/>
        </w:rPr>
        <w:t>NTNDP</w:t>
      </w:r>
      <w:r>
        <w:t>)</w:t>
      </w:r>
      <w:r>
        <w:rPr>
          <w:rStyle w:val="FootnoteReference"/>
        </w:rPr>
        <w:footnoteReference w:id="11"/>
      </w:r>
      <w:r>
        <w:t xml:space="preserve"> and the regulatory investment test for transmission (</w:t>
      </w:r>
      <w:r w:rsidRPr="00565CE6">
        <w:rPr>
          <w:b/>
        </w:rPr>
        <w:t>RIT-T</w:t>
      </w:r>
      <w:r>
        <w:t>),</w:t>
      </w:r>
      <w:r>
        <w:rPr>
          <w:rStyle w:val="FootnoteReference"/>
        </w:rPr>
        <w:footnoteReference w:id="12"/>
      </w:r>
      <w:r>
        <w:t xml:space="preserve"> the APR forms part of the transmission network planning and expansion framework set out in chapter 5 of the Electricity Rules and is intended to promote economically efficient and transparent network planning and investment.</w:t>
      </w:r>
      <w:r>
        <w:rPr>
          <w:rStyle w:val="FootnoteReference"/>
        </w:rPr>
        <w:footnoteReference w:id="13"/>
      </w:r>
    </w:p>
    <w:p w:rsidR="00771503" w:rsidRDefault="00771503" w:rsidP="00771503">
      <w:pPr>
        <w:pStyle w:val="AERbodytext"/>
      </w:pPr>
      <w:r>
        <w:t>Transmission businesses are required to provide a snapshot of the state of the current network</w:t>
      </w:r>
      <w:r w:rsidR="000B3900" w:rsidRPr="000B3900">
        <w:t xml:space="preserve"> </w:t>
      </w:r>
      <w:r w:rsidR="000B3900">
        <w:t>in the APR</w:t>
      </w:r>
      <w:r>
        <w:t xml:space="preserve">, including an outline of emerging network constraints and proposed solutions. </w:t>
      </w:r>
      <w:r w:rsidR="000B3900">
        <w:t>They</w:t>
      </w:r>
      <w:r>
        <w:t xml:space="preserve"> are also required to outline opportunities for non-network investment and provide details on all proposed network augmentations and replacements of transmission network assets. </w:t>
      </w:r>
    </w:p>
    <w:p w:rsidR="00ED40BA" w:rsidRDefault="00310B98" w:rsidP="00771503">
      <w:pPr>
        <w:pStyle w:val="AERbodytext"/>
      </w:pPr>
      <w:r>
        <w:t>In 2013, AEMO (as the Victorian transmission planner) approached the AER for feedback on its APR and whether it met the requirements of the Electricity Rules</w:t>
      </w:r>
      <w:r w:rsidR="00F85B2C">
        <w:t xml:space="preserve"> and the AER’s expectations as a key stakeholder in the APR process</w:t>
      </w:r>
      <w:r>
        <w:t xml:space="preserve">. Following this interaction, we analysed the most recently published APRs from the other transmission businesses and found that </w:t>
      </w:r>
      <w:r w:rsidR="00ED40BA">
        <w:t xml:space="preserve">all </w:t>
      </w:r>
      <w:r>
        <w:t xml:space="preserve">failed to </w:t>
      </w:r>
      <w:r w:rsidR="00D9135F">
        <w:t xml:space="preserve">completely </w:t>
      </w:r>
      <w:r w:rsidR="000B3900">
        <w:t xml:space="preserve">satisfy the </w:t>
      </w:r>
      <w:r w:rsidR="00ED40BA">
        <w:t xml:space="preserve">requirements of the </w:t>
      </w:r>
      <w:r w:rsidR="000B3900">
        <w:t>Electricity R</w:t>
      </w:r>
      <w:r w:rsidR="00771503">
        <w:t>ules in one way or another</w:t>
      </w:r>
      <w:r>
        <w:t xml:space="preserve">. </w:t>
      </w:r>
    </w:p>
    <w:p w:rsidR="00310B98" w:rsidRDefault="00310B98" w:rsidP="00771503">
      <w:pPr>
        <w:pStyle w:val="AERbodytext"/>
      </w:pPr>
      <w:r>
        <w:t xml:space="preserve">As a result, </w:t>
      </w:r>
      <w:r w:rsidR="00771503">
        <w:t xml:space="preserve">we launched a strategic compliance project last quarter </w:t>
      </w:r>
      <w:r w:rsidR="00771503" w:rsidRPr="00CE25D0">
        <w:t xml:space="preserve">to engage with transmission businesses </w:t>
      </w:r>
      <w:r w:rsidR="00771503">
        <w:t xml:space="preserve">and explore </w:t>
      </w:r>
      <w:r w:rsidR="00771503" w:rsidRPr="00CE25D0">
        <w:t xml:space="preserve">improvements that can be made to future APRs </w:t>
      </w:r>
      <w:r w:rsidR="00771503">
        <w:t xml:space="preserve">to </w:t>
      </w:r>
      <w:r w:rsidR="00771503" w:rsidRPr="00CE25D0">
        <w:t>meet stakeholder expectations and the requirements of the Electricity Rules.</w:t>
      </w:r>
      <w:r w:rsidR="00771503">
        <w:t xml:space="preserve"> </w:t>
      </w:r>
    </w:p>
    <w:p w:rsidR="00771503" w:rsidRDefault="00771503" w:rsidP="00771503">
      <w:pPr>
        <w:pStyle w:val="AERbodytext"/>
      </w:pPr>
      <w:r>
        <w:lastRenderedPageBreak/>
        <w:t xml:space="preserve">In March, we hosted a </w:t>
      </w:r>
      <w:r w:rsidRPr="00CE25D0">
        <w:t xml:space="preserve">workshop with </w:t>
      </w:r>
      <w:r>
        <w:t xml:space="preserve">the </w:t>
      </w:r>
      <w:r w:rsidRPr="00CE25D0">
        <w:t xml:space="preserve">transmission businesses </w:t>
      </w:r>
      <w:r>
        <w:t>(</w:t>
      </w:r>
      <w:r w:rsidRPr="00CE25D0">
        <w:t>including AEMO</w:t>
      </w:r>
      <w:r>
        <w:t xml:space="preserve"> as the Victorian planner)</w:t>
      </w:r>
      <w:r w:rsidRPr="00CE25D0">
        <w:t xml:space="preserve"> to understand </w:t>
      </w:r>
      <w:r w:rsidR="000B3900">
        <w:t>in more detail the APR process</w:t>
      </w:r>
      <w:r w:rsidRPr="00CE25D0">
        <w:t xml:space="preserve"> within </w:t>
      </w:r>
      <w:r w:rsidR="000B3900">
        <w:t>each business</w:t>
      </w:r>
      <w:r w:rsidRPr="00CE25D0">
        <w:t xml:space="preserve"> and to discuss </w:t>
      </w:r>
      <w:r w:rsidR="000B3900">
        <w:t xml:space="preserve">how </w:t>
      </w:r>
      <w:r w:rsidRPr="00CE25D0">
        <w:t>the information contained in th</w:t>
      </w:r>
      <w:r w:rsidR="007F5F22">
        <w:t xml:space="preserve">e reports </w:t>
      </w:r>
      <w:r w:rsidR="000B3900">
        <w:t>could be improved</w:t>
      </w:r>
      <w:r w:rsidRPr="00CE25D0">
        <w:t>.</w:t>
      </w:r>
      <w:r>
        <w:t xml:space="preserve"> </w:t>
      </w:r>
      <w:r w:rsidRPr="00CE25D0">
        <w:t xml:space="preserve">The aim of the workshop </w:t>
      </w:r>
      <w:r>
        <w:t>was to:</w:t>
      </w:r>
    </w:p>
    <w:p w:rsidR="00771503" w:rsidRDefault="00771503" w:rsidP="00771503">
      <w:pPr>
        <w:pStyle w:val="AERbulletlistsecondstyle"/>
      </w:pPr>
      <w:r>
        <w:t xml:space="preserve">outline </w:t>
      </w:r>
      <w:r w:rsidR="002754AB">
        <w:t>our</w:t>
      </w:r>
      <w:r>
        <w:t xml:space="preserve"> views on the purpose </w:t>
      </w:r>
      <w:r w:rsidR="007F5F22">
        <w:t>of the APR provisions in the R</w:t>
      </w:r>
      <w:r>
        <w:t>ules</w:t>
      </w:r>
    </w:p>
    <w:p w:rsidR="00771503" w:rsidRPr="00C60B57" w:rsidRDefault="00771503" w:rsidP="00771503">
      <w:pPr>
        <w:pStyle w:val="AERbulletlistsecondstyle"/>
      </w:pPr>
      <w:r w:rsidRPr="00C60B57">
        <w:t>discuss the needs and expectations of stakeholders (including the AER)</w:t>
      </w:r>
    </w:p>
    <w:p w:rsidR="00771503" w:rsidRPr="00C60B57" w:rsidRDefault="00771503" w:rsidP="00771503">
      <w:pPr>
        <w:pStyle w:val="AERbulletlistsecondstyle"/>
      </w:pPr>
      <w:proofErr w:type="gramStart"/>
      <w:r w:rsidRPr="002F11E8">
        <w:t>discuss</w:t>
      </w:r>
      <w:proofErr w:type="gramEnd"/>
      <w:r w:rsidRPr="002F11E8">
        <w:t xml:space="preserve"> ways of addressing</w:t>
      </w:r>
      <w:r w:rsidRPr="00C60B57">
        <w:t xml:space="preserve"> the current </w:t>
      </w:r>
      <w:r w:rsidR="007F5F22">
        <w:t>shortcomings</w:t>
      </w:r>
      <w:r w:rsidRPr="00C60B57">
        <w:t xml:space="preserve"> in the APRs.</w:t>
      </w:r>
    </w:p>
    <w:p w:rsidR="00771503" w:rsidRDefault="002754AB" w:rsidP="00771503">
      <w:pPr>
        <w:pStyle w:val="AERbodytext"/>
      </w:pPr>
      <w:r>
        <w:t>We</w:t>
      </w:r>
      <w:r w:rsidR="00771503" w:rsidRPr="00C60B57">
        <w:t xml:space="preserve"> sought to reach consensus on tangible improvements</w:t>
      </w:r>
      <w:r w:rsidR="00771503">
        <w:t xml:space="preserve"> </w:t>
      </w:r>
      <w:r>
        <w:t xml:space="preserve">as a group </w:t>
      </w:r>
      <w:r w:rsidR="00771503">
        <w:t xml:space="preserve">and </w:t>
      </w:r>
      <w:r>
        <w:t xml:space="preserve">to obtain </w:t>
      </w:r>
      <w:r w:rsidR="00771503">
        <w:t xml:space="preserve">commitments from each business individually to deliver those improvements </w:t>
      </w:r>
      <w:r>
        <w:t xml:space="preserve">either </w:t>
      </w:r>
      <w:r w:rsidR="00771503">
        <w:t xml:space="preserve">immediately </w:t>
      </w:r>
      <w:r>
        <w:t>(</w:t>
      </w:r>
      <w:r w:rsidR="00771503">
        <w:t>where possible</w:t>
      </w:r>
      <w:r>
        <w:t>)</w:t>
      </w:r>
      <w:r w:rsidR="00771503">
        <w:t xml:space="preserve"> or </w:t>
      </w:r>
      <w:r w:rsidR="00771503" w:rsidRPr="009938DD">
        <w:t xml:space="preserve">in future APRs. At the </w:t>
      </w:r>
      <w:r w:rsidR="00771503">
        <w:t xml:space="preserve">conclusion of the </w:t>
      </w:r>
      <w:r w:rsidR="00771503" w:rsidRPr="009938DD">
        <w:t xml:space="preserve">workshop, the businesses agreed to </w:t>
      </w:r>
      <w:r w:rsidR="00771503" w:rsidRPr="002F11E8">
        <w:t xml:space="preserve">develop an </w:t>
      </w:r>
      <w:r>
        <w:t>‘</w:t>
      </w:r>
      <w:r w:rsidR="00771503" w:rsidRPr="002F11E8">
        <w:t>APR improvement plan</w:t>
      </w:r>
      <w:r>
        <w:t xml:space="preserve">’ and to publish these proposed improvements in </w:t>
      </w:r>
      <w:r w:rsidR="00ED40BA">
        <w:t xml:space="preserve">their </w:t>
      </w:r>
      <w:r w:rsidR="00771503">
        <w:t>APRs</w:t>
      </w:r>
      <w:r>
        <w:t xml:space="preserve"> going forward</w:t>
      </w:r>
      <w:r w:rsidR="00771503">
        <w:t xml:space="preserve">. </w:t>
      </w:r>
    </w:p>
    <w:p w:rsidR="00771503" w:rsidRDefault="00771503" w:rsidP="00771503">
      <w:pPr>
        <w:pStyle w:val="AERbodytext"/>
      </w:pPr>
      <w:r>
        <w:t xml:space="preserve">To assist in the development of </w:t>
      </w:r>
      <w:r w:rsidR="001C3364">
        <w:t>these</w:t>
      </w:r>
      <w:r>
        <w:t xml:space="preserve"> plan</w:t>
      </w:r>
      <w:r w:rsidR="001C3364">
        <w:t>s</w:t>
      </w:r>
      <w:r>
        <w:t xml:space="preserve">, AER </w:t>
      </w:r>
      <w:proofErr w:type="gramStart"/>
      <w:r>
        <w:t xml:space="preserve">staff </w:t>
      </w:r>
      <w:r w:rsidR="001C3364">
        <w:t>have</w:t>
      </w:r>
      <w:proofErr w:type="gramEnd"/>
      <w:r w:rsidR="001C3364">
        <w:t xml:space="preserve"> since met </w:t>
      </w:r>
      <w:r>
        <w:t xml:space="preserve">with the businesses </w:t>
      </w:r>
      <w:r w:rsidR="002754AB">
        <w:t xml:space="preserve">individually </w:t>
      </w:r>
      <w:r>
        <w:t>to outline specific areas of concern</w:t>
      </w:r>
      <w:r w:rsidR="00F748ED">
        <w:t xml:space="preserve"> with their APR processes</w:t>
      </w:r>
      <w:r>
        <w:t xml:space="preserve">. </w:t>
      </w:r>
      <w:r w:rsidR="005D679D">
        <w:t>For</w:t>
      </w:r>
      <w:r w:rsidR="00ED40BA">
        <w:t xml:space="preserve"> example</w:t>
      </w:r>
      <w:r w:rsidR="001C3364">
        <w:t>, w</w:t>
      </w:r>
      <w:r w:rsidR="002754AB">
        <w:t xml:space="preserve">e </w:t>
      </w:r>
      <w:r>
        <w:t xml:space="preserve">met with </w:t>
      </w:r>
      <w:r w:rsidR="002754AB">
        <w:t xml:space="preserve">ElectraNet </w:t>
      </w:r>
      <w:r w:rsidR="00ED40BA">
        <w:t>to discuss what, in our view</w:t>
      </w:r>
      <w:r w:rsidR="006D4157">
        <w:t>,</w:t>
      </w:r>
      <w:r w:rsidR="00ED40BA">
        <w:t xml:space="preserve"> were shortcomings in its most recent APR. Electra</w:t>
      </w:r>
      <w:r w:rsidR="006D4157">
        <w:t>N</w:t>
      </w:r>
      <w:r w:rsidR="00ED40BA">
        <w:t xml:space="preserve">et </w:t>
      </w:r>
      <w:r w:rsidR="002754AB">
        <w:t xml:space="preserve">has since written to us </w:t>
      </w:r>
      <w:r>
        <w:t xml:space="preserve">setting out the improvements </w:t>
      </w:r>
      <w:r w:rsidR="002754AB">
        <w:t xml:space="preserve">it </w:t>
      </w:r>
      <w:r>
        <w:t xml:space="preserve">intends to make in its </w:t>
      </w:r>
      <w:r w:rsidR="00F748ED">
        <w:t>upcoming</w:t>
      </w:r>
      <w:r>
        <w:t xml:space="preserve"> APR. ElectraNet’s improvement </w:t>
      </w:r>
      <w:r w:rsidRPr="00AA124A">
        <w:t xml:space="preserve">plan </w:t>
      </w:r>
      <w:r>
        <w:t xml:space="preserve">will </w:t>
      </w:r>
      <w:r w:rsidRPr="00AA124A">
        <w:t xml:space="preserve">be included in the 2014 APR </w:t>
      </w:r>
      <w:r>
        <w:t xml:space="preserve">to </w:t>
      </w:r>
      <w:r w:rsidR="00F748ED">
        <w:t xml:space="preserve">inform </w:t>
      </w:r>
      <w:r w:rsidRPr="00AA124A">
        <w:t xml:space="preserve">stakeholders of what </w:t>
      </w:r>
      <w:r w:rsidR="00ED40BA">
        <w:t xml:space="preserve">improvements are </w:t>
      </w:r>
      <w:r w:rsidRPr="00AA124A">
        <w:t xml:space="preserve">intended, </w:t>
      </w:r>
      <w:r>
        <w:t xml:space="preserve">and </w:t>
      </w:r>
      <w:r w:rsidRPr="00AA124A">
        <w:t>also to obtain stakeholder feedback and input on what is planned</w:t>
      </w:r>
      <w:r>
        <w:t>.</w:t>
      </w:r>
      <w:r w:rsidR="001C3364">
        <w:t xml:space="preserve"> We consider </w:t>
      </w:r>
      <w:r w:rsidR="00ED40BA">
        <w:t xml:space="preserve">these steps </w:t>
      </w:r>
      <w:r w:rsidR="006D4157">
        <w:t>to</w:t>
      </w:r>
      <w:r w:rsidR="00183E77">
        <w:t xml:space="preserve"> highlight </w:t>
      </w:r>
      <w:r w:rsidR="001C3364">
        <w:t xml:space="preserve">good practice and </w:t>
      </w:r>
      <w:r w:rsidR="00ED40BA">
        <w:t xml:space="preserve">expect </w:t>
      </w:r>
      <w:r w:rsidR="001C3364">
        <w:t>other businesses to do the same.</w:t>
      </w:r>
    </w:p>
    <w:p w:rsidR="00771503" w:rsidRDefault="00771503" w:rsidP="00243284">
      <w:pPr>
        <w:pStyle w:val="AERbodytext"/>
      </w:pPr>
      <w:r>
        <w:t xml:space="preserve">Given the initial success of this project, and </w:t>
      </w:r>
      <w:r w:rsidR="00ED40BA">
        <w:t xml:space="preserve">positive </w:t>
      </w:r>
      <w:r>
        <w:t xml:space="preserve">response from the transmission businesses, a similar approach will be taken with the distribution business to ensure future </w:t>
      </w:r>
      <w:r w:rsidR="00F748ED">
        <w:t xml:space="preserve">distribution </w:t>
      </w:r>
      <w:r>
        <w:t>APRs will meet the expectations of stakeholders and are consistent with the new requirements of the Rules.</w:t>
      </w:r>
    </w:p>
    <w:p w:rsidR="004A472C" w:rsidRPr="007C5152" w:rsidRDefault="004A472C" w:rsidP="005D2DC9">
      <w:pPr>
        <w:pStyle w:val="AERheading2"/>
        <w:tabs>
          <w:tab w:val="clear" w:pos="2484"/>
          <w:tab w:val="num" w:pos="357"/>
        </w:tabs>
        <w:ind w:left="357"/>
      </w:pPr>
      <w:bookmarkStart w:id="102" w:name="_Toc386117317"/>
      <w:r w:rsidRPr="007C5152">
        <w:t>Jurisdictional derogations</w:t>
      </w:r>
      <w:bookmarkEnd w:id="95"/>
      <w:bookmarkEnd w:id="96"/>
      <w:bookmarkEnd w:id="97"/>
      <w:bookmarkEnd w:id="102"/>
    </w:p>
    <w:bookmarkEnd w:id="98"/>
    <w:bookmarkEnd w:id="99"/>
    <w:p w:rsidR="004A472C" w:rsidRPr="00282302" w:rsidRDefault="004A472C" w:rsidP="004A472C">
      <w:pPr>
        <w:pStyle w:val="AERbodytext"/>
      </w:pPr>
      <w:r w:rsidRPr="00282302">
        <w:t xml:space="preserve">Chapter 9 derogations exempt Victorian smelter traders, New South Wales power traders and Queensland nominated generators (for the purposes of exempted generator agreements) from complying with the Electricity Rules to the extent there exists: </w:t>
      </w:r>
    </w:p>
    <w:p w:rsidR="004A472C" w:rsidRPr="00282302" w:rsidRDefault="004A472C" w:rsidP="00CF20CC">
      <w:pPr>
        <w:pStyle w:val="AERbulletlistsecondstyle"/>
      </w:pPr>
      <w:r w:rsidRPr="00282302">
        <w:t>any inconsistency between the Rules and a contractual requirement under the relevant agreement between the government and other entities</w:t>
      </w:r>
    </w:p>
    <w:p w:rsidR="004A472C" w:rsidRPr="00282302" w:rsidRDefault="004A472C" w:rsidP="00CF20CC">
      <w:pPr>
        <w:pStyle w:val="AERbulletlistsecondstyle"/>
      </w:pPr>
      <w:proofErr w:type="gramStart"/>
      <w:r w:rsidRPr="00282302">
        <w:t>any</w:t>
      </w:r>
      <w:proofErr w:type="gramEnd"/>
      <w:r w:rsidRPr="00282302">
        <w:t xml:space="preserve"> other specified exemption in the jurisdictional derogations.</w:t>
      </w:r>
      <w:r w:rsidRPr="00282302">
        <w:rPr>
          <w:rStyle w:val="FootnoteReference"/>
          <w:lang w:eastAsia="en-AU"/>
        </w:rPr>
        <w:footnoteReference w:id="14"/>
      </w:r>
      <w:r w:rsidRPr="00282302">
        <w:t xml:space="preserve"> </w:t>
      </w:r>
    </w:p>
    <w:p w:rsidR="007D2853" w:rsidRDefault="004A472C" w:rsidP="001A3227">
      <w:pPr>
        <w:pStyle w:val="AERbodytext"/>
      </w:pPr>
      <w:r w:rsidRPr="00282302">
        <w:rPr>
          <w:lang w:eastAsia="en-AU"/>
        </w:rPr>
        <w:t xml:space="preserve">The relevant participants must give </w:t>
      </w:r>
      <w:r w:rsidR="00DC3257">
        <w:rPr>
          <w:lang w:eastAsia="en-AU"/>
        </w:rPr>
        <w:t>us notice</w:t>
      </w:r>
      <w:r w:rsidRPr="00282302">
        <w:rPr>
          <w:lang w:eastAsia="en-AU"/>
        </w:rPr>
        <w:t xml:space="preserve"> of any act or omission which partly or wholly constitutes non-compliance with the Electricity Rules.</w:t>
      </w:r>
      <w:r w:rsidRPr="00282302">
        <w:t xml:space="preserve"> No instances of non-compliance were reported </w:t>
      </w:r>
      <w:r w:rsidR="00CB0C74" w:rsidRPr="00282302">
        <w:t>this</w:t>
      </w:r>
      <w:r w:rsidRPr="00282302">
        <w:t xml:space="preserve"> quarter.</w:t>
      </w:r>
    </w:p>
    <w:p w:rsidR="00DC7B00" w:rsidRDefault="00DC7B00" w:rsidP="00DC7B00">
      <w:pPr>
        <w:pStyle w:val="AERunnumberedheading"/>
      </w:pPr>
      <w:bookmarkStart w:id="103" w:name="_Toc386117318"/>
      <w:r w:rsidRPr="00860DB5">
        <w:lastRenderedPageBreak/>
        <w:t xml:space="preserve">Appendix </w:t>
      </w:r>
      <w:proofErr w:type="gramStart"/>
      <w:r>
        <w:t>A</w:t>
      </w:r>
      <w:r w:rsidRPr="00860DB5">
        <w:t xml:space="preserve">  </w:t>
      </w:r>
      <w:r w:rsidR="00C14F11">
        <w:t>Electricity</w:t>
      </w:r>
      <w:proofErr w:type="gramEnd"/>
      <w:r w:rsidR="00C14F11">
        <w:t xml:space="preserve"> t</w:t>
      </w:r>
      <w:r>
        <w:t xml:space="preserve">ransmission connections </w:t>
      </w:r>
      <w:r w:rsidR="00C14F11">
        <w:t xml:space="preserve">– summary of </w:t>
      </w:r>
      <w:r>
        <w:t>survey results</w:t>
      </w:r>
      <w:bookmarkEnd w:id="103"/>
      <w:r w:rsidRPr="00860DB5">
        <w:t xml:space="preserve"> </w:t>
      </w:r>
    </w:p>
    <w:p w:rsidR="00C14F11" w:rsidRDefault="00C14F11" w:rsidP="00C14F11">
      <w:pPr>
        <w:pStyle w:val="AERbodytext"/>
      </w:pPr>
      <w:r>
        <w:t xml:space="preserve">The AER’s electricity transmission connections strategic compliance project commenced in December 2011 in response to concerns raised by connection applicants about the transmission network connection process. It involved a </w:t>
      </w:r>
      <w:r w:rsidR="00E241EF">
        <w:t xml:space="preserve">voluntary </w:t>
      </w:r>
      <w:r w:rsidR="00847D2B">
        <w:t>survey of</w:t>
      </w:r>
      <w:r>
        <w:t xml:space="preserve"> parties that have sought to connect to the National Electricity Market transmission network. </w:t>
      </w:r>
    </w:p>
    <w:p w:rsidR="00C14F11" w:rsidRDefault="00C14F11" w:rsidP="00C14F11">
      <w:pPr>
        <w:pStyle w:val="AERbodytext"/>
      </w:pPr>
      <w:r>
        <w:t>The survey sought to assess compliance by Transmission Network Service Providers (</w:t>
      </w:r>
      <w:r w:rsidRPr="00BE5DCC">
        <w:rPr>
          <w:b/>
        </w:rPr>
        <w:t>TNSP</w:t>
      </w:r>
      <w:r>
        <w:t>) with the National Electricity Rules (</w:t>
      </w:r>
      <w:r w:rsidRPr="00267AE0">
        <w:rPr>
          <w:b/>
        </w:rPr>
        <w:t>Electricity Rules</w:t>
      </w:r>
      <w:r>
        <w:t xml:space="preserve">) and to determine how satisfied connecting customers were with the connection process. It focused on the performance of network businesses in terms of timeliness, provision of information, cost, design, availability of competitive procurement and responsiveness to the connecting customer’s commercial needs. </w:t>
      </w:r>
    </w:p>
    <w:p w:rsidR="00C14F11" w:rsidRDefault="00C14F11" w:rsidP="00C14F11">
      <w:pPr>
        <w:pStyle w:val="AERbodytext"/>
      </w:pPr>
      <w:r>
        <w:t xml:space="preserve">We developed the survey in consultation with the TNSPs and sent it to connecting customers in June 2013. Responses to the survey were due in August 2013 and would be treated confidentially, unless the respondent chose to waive that claim. We have reviewed the </w:t>
      </w:r>
      <w:r w:rsidRPr="00F375D3">
        <w:t>responses</w:t>
      </w:r>
      <w:r>
        <w:t xml:space="preserve"> and summarise them below, without identifying </w:t>
      </w:r>
      <w:r w:rsidRPr="00F375D3">
        <w:t>individual TNSPs or connection projects</w:t>
      </w:r>
      <w:r w:rsidR="00847D2B">
        <w:t>.</w:t>
      </w:r>
      <w:r w:rsidR="00706F80">
        <w:rPr>
          <w:rStyle w:val="FootnoteReference"/>
        </w:rPr>
        <w:footnoteReference w:id="15"/>
      </w:r>
    </w:p>
    <w:p w:rsidR="00C14F11" w:rsidRDefault="00C14F11" w:rsidP="00C14F11">
      <w:pPr>
        <w:pStyle w:val="AERbodytext"/>
      </w:pPr>
      <w:r>
        <w:t>The survey was sent to approximately 150 stakeholders who had together lodged connection enquiries for over 350 projects. We received a total of 15 responses to the survey, relating to 15 separate projects.</w:t>
      </w:r>
      <w:r>
        <w:rPr>
          <w:rStyle w:val="FootnoteReference"/>
        </w:rPr>
        <w:footnoteReference w:id="16"/>
      </w:r>
      <w:r>
        <w:t xml:space="preserve"> Table </w:t>
      </w:r>
      <w:r w:rsidR="00BA3581">
        <w:t>A</w:t>
      </w:r>
      <w:r>
        <w:t xml:space="preserve">1 summarises the details of the responses, providing background information about the projects for which the survey was completed. </w:t>
      </w:r>
    </w:p>
    <w:p w:rsidR="00C14F11" w:rsidRPr="00BA3581" w:rsidRDefault="0061793E" w:rsidP="00BA3581">
      <w:pPr>
        <w:pStyle w:val="AERtabletitle"/>
        <w:rPr>
          <w:rFonts w:ascii="Gautami" w:hAnsi="Gautami" w:cs="Gautami"/>
        </w:rPr>
      </w:pPr>
      <w:r>
        <w:br w:type="page"/>
      </w:r>
      <w:r w:rsidR="00C14F11" w:rsidRPr="00BA3581">
        <w:rPr>
          <w:rFonts w:ascii="Gautami" w:hAnsi="Gautami" w:cs="Gautami"/>
        </w:rPr>
        <w:lastRenderedPageBreak/>
        <w:t xml:space="preserve">Table </w:t>
      </w:r>
      <w:r w:rsidR="00BA3581" w:rsidRPr="00BA3581">
        <w:rPr>
          <w:rFonts w:ascii="Gautami" w:hAnsi="Gautami" w:cs="Gautami"/>
        </w:rPr>
        <w:t>A</w:t>
      </w:r>
      <w:r w:rsidR="00C14F11" w:rsidRPr="00BA3581">
        <w:rPr>
          <w:rFonts w:ascii="Gautami" w:hAnsi="Gautami" w:cs="Gautami"/>
        </w:rPr>
        <w:t>1: Summary of survey respondents</w:t>
      </w:r>
    </w:p>
    <w:tbl>
      <w:tblPr>
        <w:tblStyle w:val="TableGrid"/>
        <w:tblW w:w="0" w:type="auto"/>
        <w:tblLayout w:type="fixed"/>
        <w:tblLook w:val="04A0" w:firstRow="1" w:lastRow="0" w:firstColumn="1" w:lastColumn="0" w:noHBand="0" w:noVBand="1"/>
      </w:tblPr>
      <w:tblGrid>
        <w:gridCol w:w="2376"/>
        <w:gridCol w:w="6866"/>
      </w:tblGrid>
      <w:tr w:rsidR="00C14F11" w:rsidRPr="00565108" w:rsidTr="00C14F11">
        <w:trPr>
          <w:cantSplit/>
        </w:trPr>
        <w:tc>
          <w:tcPr>
            <w:tcW w:w="2376" w:type="dxa"/>
          </w:tcPr>
          <w:p w:rsidR="00C14F11" w:rsidRPr="00BA3581" w:rsidRDefault="00C14F11" w:rsidP="00BA3581">
            <w:pPr>
              <w:pStyle w:val="AERtabletextheading"/>
              <w:keepNext/>
              <w:rPr>
                <w:sz w:val="20"/>
                <w:szCs w:val="20"/>
              </w:rPr>
            </w:pPr>
            <w:r w:rsidRPr="00BA3581">
              <w:rPr>
                <w:sz w:val="20"/>
                <w:szCs w:val="20"/>
              </w:rPr>
              <w:t>Detail</w:t>
            </w:r>
          </w:p>
        </w:tc>
        <w:tc>
          <w:tcPr>
            <w:tcW w:w="6866" w:type="dxa"/>
          </w:tcPr>
          <w:p w:rsidR="00C14F11" w:rsidRPr="00BA3581" w:rsidRDefault="00C14F11" w:rsidP="00BA3581">
            <w:pPr>
              <w:pStyle w:val="AERtabletextheading"/>
              <w:keepNext/>
              <w:rPr>
                <w:sz w:val="20"/>
                <w:szCs w:val="20"/>
              </w:rPr>
            </w:pPr>
            <w:r w:rsidRPr="00BA3581">
              <w:rPr>
                <w:sz w:val="20"/>
                <w:szCs w:val="20"/>
              </w:rPr>
              <w:t>Responses</w:t>
            </w:r>
          </w:p>
        </w:tc>
      </w:tr>
      <w:tr w:rsidR="00C14F11" w:rsidTr="00C14F11">
        <w:trPr>
          <w:cantSplit/>
        </w:trPr>
        <w:tc>
          <w:tcPr>
            <w:tcW w:w="2376"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Type of connection</w:t>
            </w:r>
          </w:p>
        </w:tc>
        <w:tc>
          <w:tcPr>
            <w:tcW w:w="6866" w:type="dxa"/>
          </w:tcPr>
          <w:p w:rsidR="00C14F11" w:rsidRDefault="00850A3E" w:rsidP="00C14F11">
            <w:pPr>
              <w:pStyle w:val="AERbodytext"/>
              <w:spacing w:before="120" w:after="120"/>
              <w:jc w:val="left"/>
              <w:rPr>
                <w:lang w:eastAsia="en-AU"/>
              </w:rPr>
            </w:pPr>
            <w:r>
              <w:rPr>
                <w:noProof/>
                <w:lang w:eastAsia="en-AU"/>
              </w:rPr>
              <w:pict>
                <v:shape id="Chart 4" o:spid="_x0000_i1028" type="#_x0000_t75" style="width:224.65pt;height:224.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BLgsnQnAQAAHwIAACAAAABkcnMvY2hhcnRzL19yZWxzL2NoYXJ0MS54bWwucmVs&#10;c6xRy0oDMRTdC/5DCAq66CQziLbSTEFrsQsptHU3m5jceWgmCUmU6d97VQoWCm7cHBIO9zw409nQ&#10;G/IBIXbOCppnnBKwyunONoI+bxejMSUxSaulcRYE3UGks/L0ZLoGIxMexbbzkaCKjYK2KflbxqJq&#10;oZcxcx4sMrULvUz4DQ3zUr3JBljB+TULvzVoeaBJllrQsNQFJdudR+e/tV1ddwrmTr33YNMRC+YM&#10;rF5eQSUUlaGBJGjdGcDIrKo293frxYbzvHp0PZxVXjvdVNEHkDq2AOm84K5GaIL0bcQHJIWI9RAv&#10;5gXPr0Yc7yfjm8llNpg47G2enMYGD0OCYKWh7HjV/D+rJpwAVrhs6DTscwiaZeyb+cE9n2c401cs&#10;djBr+Qk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IgEJPPaAAAABQEAAA8AAABkcnMv&#10;ZG93bnJldi54bWxMj0FLw0AQhe+C/2EZwZvdNIS2xGyKCIWiF9t68DjNjklqdjZkN238944i6GV4&#10;wxve+6ZYT65TZxpC69nAfJaAIq68bbk28HrY3K1AhYhssfNMBj4pwLq8viowt/7COzrvY60khEOO&#10;BpoY+1zrUDXkMMx8Tyzeux8cRlmHWtsBLxLuOp0myUI7bFkaGuzpsaHqYz86A+70kjpebp7GeXI6&#10;bLe77DldvBlzezM93IOKNMW/Y/jGF3QohenoR7ZBdQbkkfgzxcuy1RLU8VfostD/6csvAAAA//8D&#10;AFBLAwQUAAYACAAAACEADpsorisEAADqDAAAFQAAAGRycy9jaGFydHMvY2hhcnQxLnhtbNxX33Pi&#10;NhB+70z/B9dzj02MScJdPYEbApO7TnMJc1zSZyEvoCJLriQI9K/vriyBcwmdTOceen0x6/W3K+nb&#10;H1ou328rmWzAWKFVP81PO2kCiutSqEU/vf9yffIuTaxjqmRSK+inO7Dp+8GPP1zygi+ZcdOacUjQ&#10;ibIF76dL5+oiyyxfQsXsqa5B4be5NhVz+GoWWWnYIzqvZNbtdHqZd5IGB+xfOKiYUNHevMZez+eC&#10;w1jzdQXKNbswIJlDBuxS1DYd4OFK5iD/pXOebJjsp500I6VkatEoQJ0M7xul0WtVQjnSRiGNLXzF&#10;i6F0YBS6GmnlcLVwzupVTFXMrNb1CddVjZubCSnczm8XN4i+R0uN50g+w59rYcD2U56fRyJQfEZF&#10;JbjRVs/dKXrMGhZiNMjt2+xd1g3xwMPm54V1OwnNgfJOl06b7df1W7hmUs4YXxE3LfAeevhOhl+T&#10;QVZcmk+svtuYZLbI+6l0eZq4LUrlCqXZoku6LulQKlcoMc6RSEQEIWrwe6PZY86i5ixikJQGg0Q1&#10;wkXUXERNL2p6abKUQq2QSPpJk7mWHxtFlJoE8ClMh2Frp78IJ2EMEhyUgboGVUvthgYYASXb6bXz&#10;KVULGFEdkXrDzG6kpY5ZlDeWFgx9FeW2lVy80KYE80RT3sykJSgJL5m01nVbAhjBl4NLVsx0uZsY&#10;3BArpHVTirt/qUmDq+NjYhJK/36KqX8/pZ2xwg1+F6pM5sxU9ufk7WVGKnqiCT7ROotroNAsaZf6&#10;8QYWoMrfYPdk+/TlgWE3ooqLZ0fdiLlbVsVEDJygfgrmoA8VSj4mYChFnvm+Ws9mEqbir+DKm+C+&#10;Ilvxd0+0z+Mn0fpGrH1gNkEGkLPu/42ziyY+3z7THpgRem2T8e10ktRG/wHcIYH5d07gf6wcsI9j&#10;Bd0Aw95yIxSE+8xXYygV32E48x3LOvMZ5tRJ5oPpEsDlP70ZvskLfPSo9v0nBI0YDgQEq90Ir8tQ&#10;m70mV2qXYMnRJUuIje8pvqWQh43vIbVfLQLzAJxqyUxS60fsgzEjjtl0g00oPTDMYZ89hj4L6Mm6&#10;qpNKSHkMeN4CYsO36JQtIFnuSqOP2VwEm1scQHB4CCnNtVKY0jSEPDVEEg4MNi+ecxRDFLBhEnNq&#10;XT0LxhUF46oVDATtg9GMZSNdwuAD4PDC/DFb2lcGDBv/Pwfq7BggRgXb4MseYiCwzF8GxAAcBUS2&#10;vwKguwMVzUtk1dOJqnDv7m/V77RU58LglS5xVhzG6TXefIfhA4/bHlBIfhD2TslwRYfruBS2vsIx&#10;YGWHoTMsWH24kcc0gNzhv4lPrD2roPP9jGTrifFjhqKn0tdYXDhL4LQgUUOsewAvYOtHZzlmjiUG&#10;p59+an4tm4ShQeu+phG9dcmjbdvGO/PL+r8og78BAAD//wMAUEsDBBQABgAIAAAAIQBpsSFibAYA&#10;AFcbAAAcAAAAZHJzL3RoZW1lL3RoZW1lT3ZlcnJpZGUxLnhtbOxZT48bNRS/I/EdrLm3SXaTdLNq&#10;ttpkky602642aVGPzsSZceMZj2xnt7mh9oiEhCiICxI3Dgio1EpcyqdZKIIi9SvwbM9MxpsJu9uu&#10;QJTmkMzYP7//7/nZuXrtQcTQIRGS8rjt1S5XPURin49pHLS9O8P+pQ0PSYXjMWY8Jm1vTqR3bev9&#10;967iTRWSiNyGtYKOCQI6sdzEbS9UKtmsVKQP01he5gmJYW7CRYQVvIqgMhb4COhHrLJWrTYrEaax&#10;twUEfSYGehVBMY6A1+3JhPrETI2nNY2Qc9llAh1i1vaAxJgfDckD5SGGpYKJtlc1H6+ydbWCN9NF&#10;TK1YW1jXN590XbpgPF0zPEUwypnW+vXWlZ2cvgEwtYzr9XrdXi2nZwDY90mcylKkWe9v1DoZzQLI&#10;Pi7T7lYb1bqLL9BfX5K51el0Gq1UFkvUgOxjfQm/UW3Wt9ccvAFZfGMJX+9sd7tNB29AFt9cwvev&#10;tJp1F29AIaPxdAmtHdrvp9RzyISz3VL4BsA3qil8gYJoyKNLs5jwWK2KtQjf56IPAA1kWNEYqXlC&#10;JtiHmOziaCQo1gzwJsGFGTvky6UhzQtJX9BEtb0PExx7Bcir59+/ev4UvXr+5Pjhs+OHPx0/enT8&#10;8EdLy1m4i+OguPDlt5/9+fXH6I+n37x8/EU5Xhbxv/7wyS8/f14OhAxaaPjiyye/PXvy4qtPf//u&#10;cQl8W+BRET6kEZHoFjlCBzwC3YxhXMnJSJxvxTDE1FmBQ6BdQrqnQgd4a45ZGa5DXOPdFVA8yoDX&#10;Z/cdWQehmClawvlGGDnAPc5Zh4tSA9zQvAoWHs7ioJy5mBVxBxgflvHu4thxbW+WQNXMgtKxfTck&#10;jpj7DMcKByQmCuk5PiWkRLt7lDp23aO+4JJPFLpHUQfTUpMM6cgJpMWiXRqBX+ZlOoOrHdvs3UUd&#10;zsq03iGHLhISArMS4YeEOWa8jmcKR2UkhzhiRYPfxCosE3IwF34R15MKPB0QxlFvTKQsW3NbgL4F&#10;p9/AUK9K3b7H5pGLFIpOy2jexJwXkTt82g1xlJRhBzQOi9gP5BRCFKN9rsrge9zNEP0OfsDxSnff&#10;pcRx9+mF4A4NHJEWAaJnZqLEl9cJd+J3MGcTTEyVgZLuVOqIxn9XthmFum05vCvbbW8bNrGy5Nk9&#10;UaxX4f6DJXoHz+J9AlmxvEW9q9DvKrT31lfoVbl88XV5UYqhSuuGxPbapvOOVjbeE8rYQM0ZuSlN&#10;7y1hAxr3YVCvM+dJkh/EkhAedSYDAwcXCGzWIMHVR1SFgxAn0LfXPE0kkCnpQKKESzgvmuFS2hoP&#10;vb+yp82GPofYyiGx2uNjO7yuh7PjRk7GSBVIy9EyWtcEzsps/UpKFHR7HWY1LdSZudWMaKYoOtxy&#10;lbWJzbkcTJ6rBoO5NaGzQdAPgZWbcKLXrOG8gxkZa7tbH2VuMTa5SBfJEMPtg7kRaGi9l31UM07K&#10;YmVJEa2H9ZE+O55itQK3lib7BtzO4qQiu/oKdpn33sRLWQQvvATUTqYji4vJyWJ01PZajbWGh3yc&#10;tL0JHJXhMUrA61I3k5gFcKXkK2HD/tRk1qFRVDhTzE2CGtx+WLsvKezUgURItYNlaEPDTKUhwGLN&#10;ycq/1gCzXpQCJdXobFKsb0Aw/GtSgB1d15LJhPiq6OzCiLadfU1LKZ8pIgbh+AiN2EwcYHC/DlXQ&#10;Z0wl3HiYiqBf4HpOW9tMucU5TbripZjB2XHMkhCn5VanaJbJFm4KUi6DeSuIB7qVym6UO78qJuUv&#10;SJViGP/PVNH7CVxBrI+1B3y46xUY6Uxpe1yokEMVSkLq9wU0DqZ2QLTAFS9MQ1DBNbT5FeRQ/9qc&#10;szRMWsNJUh3QAAkK+5EKBSH7UJZM9J1CrJbuXZYkSwmZiCqIKxMr9ogcEjbUNbCp93YPhRDqppqk&#10;ZcDgTsaf+55m0CjQTU4x35xKlu+9Ngf+6c7HJjMo5dZh09Bk9s9FzNuDxa5q15vl2d5bVERPLNqs&#10;epYV7lbQStP+NUU451ZrK9aSxmuNTDjw4rLGMJg3RAlcJCH9BfsfFT6zf2LoDXXID6C2Ivj/QhOD&#10;sIGovmQbD6QLpB0cQeNkB20waVLWtGnrpK2WbdYX3OnmfE8YW0t2Fn+f09h5c+ayc3LxIo2dWtix&#10;tR1baWrw7MkUhaFJdpAxjnH+DNv6CwAA//8DAFBLAQItABQABgAIAAAAIQBAH/RBMAEAAOACAAAT&#10;AAAAAAAAAAAAAAAAAAAAAABbQ29udGVudF9UeXBlc10ueG1sUEsBAi0AFAAGAAgAAAAhADj9If/W&#10;AAAAlAEAAAsAAAAAAAAAAAAAAAAAYQEAAF9yZWxzLy5yZWxzUEsBAi0AFAAGAAgAAAAhAJZVHwAA&#10;AQAAKgIAAA4AAAAAAAAAAAAAAAAAYAIAAGRycy9lMm9Eb2MueG1sUEsBAi0AFAAGAAgAAAAhABLg&#10;snQnAQAAHwIAACAAAAAAAAAAAAAAAAAAjAMAAGRycy9jaGFydHMvX3JlbHMvY2hhcnQxLnhtbC5y&#10;ZWxzUEsBAi0AFAAGAAgAAAAhAKsWzUa5AAAAIgEAABkAAAAAAAAAAAAAAAAA8QQAAGRycy9fcmVs&#10;cy9lMm9Eb2MueG1sLnJlbHNQSwECLQAUAAYACAAAACEAiAQk89oAAAAFAQAADwAAAAAAAAAAAAAA&#10;AADhBQAAZHJzL2Rvd25yZXYueG1sUEsBAi0AFAAGAAgAAAAhAA6bKK4rBAAA6gwAABUAAAAAAAAA&#10;AAAAAAAA6AYAAGRycy9jaGFydHMvY2hhcnQxLnhtbFBLAQItABQABgAIAAAAIQBpsSFibAYAAFcb&#10;AAAcAAAAAAAAAAAAAAAAAEYLAABkcnMvdGhlbWUvdGhlbWVPdmVycmlkZTEueG1sUEsFBgAAAAAI&#10;AAgAFQIAAOwRAAAAAA==&#10;">
                  <v:imagedata r:id="rId24" o:title="" cropbottom="-58f" cropright="-58f"/>
                  <o:lock v:ext="edit" aspectratio="f"/>
                </v:shape>
              </w:pict>
            </w:r>
          </w:p>
        </w:tc>
      </w:tr>
      <w:tr w:rsidR="00C14F11" w:rsidTr="00C14F11">
        <w:trPr>
          <w:cantSplit/>
        </w:trPr>
        <w:tc>
          <w:tcPr>
            <w:tcW w:w="2376"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Location of sought connection</w:t>
            </w:r>
          </w:p>
        </w:tc>
        <w:tc>
          <w:tcPr>
            <w:tcW w:w="6866" w:type="dxa"/>
          </w:tcPr>
          <w:p w:rsidR="00C14F11" w:rsidRPr="009431CE" w:rsidRDefault="00850A3E" w:rsidP="00C14F11">
            <w:pPr>
              <w:pStyle w:val="AERbodytext"/>
              <w:rPr>
                <w:lang w:eastAsia="en-AU"/>
              </w:rPr>
            </w:pPr>
            <w:r>
              <w:rPr>
                <w:noProof/>
                <w:lang w:eastAsia="en-AU"/>
              </w:rPr>
              <w:pict>
                <v:shape id="Chart 1" o:spid="_x0000_i1029" type="#_x0000_t75" style="width:231.55pt;height:231.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BLgsnQnAQAAHwIAACAAAABkcnMvY2hhcnRzL19yZWxzL2NoYXJ0MS54bWwucmVs&#10;c6xRy0oDMRTdC/5DCAq66CQziLbSTEFrsQsptHU3m5jceWgmCUmU6d97VQoWCm7cHBIO9zw409nQ&#10;G/IBIXbOCppnnBKwyunONoI+bxejMSUxSaulcRYE3UGks/L0ZLoGIxMexbbzkaCKjYK2KflbxqJq&#10;oZcxcx4sMrULvUz4DQ3zUr3JBljB+TULvzVoeaBJllrQsNQFJdudR+e/tV1ddwrmTr33YNMRC+YM&#10;rF5eQSUUlaGBJGjdGcDIrKo293frxYbzvHp0PZxVXjvdVNEHkDq2AOm84K5GaIL0bcQHJIWI9RAv&#10;5gXPr0Yc7yfjm8llNpg47G2enMYGD0OCYKWh7HjV/D+rJpwAVrhs6DTscwiaZeyb+cE9n2c401cs&#10;djBr+Qk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ID/lAjcAAAABQEAAA8AAABkcnMv&#10;ZG93bnJldi54bWxMj0FLw0AQhe+C/2EZwYvYTbVUjdkUFRQ0UGj14HGaHZPY7GzIbtvUX+8oBb0M&#10;M7zHm+9ls8G1akt9aDwbGI8SUMSltw1XBt5eH8+vQYWIbLH1TAb2FGCWHx9lmFq/4wVtl7FSEsIh&#10;RQN1jF2qdShrchhGviMW7cP3DqOcfaVtjzsJd62+SJKpdtiwfKixo4eayvVy4ww83+9fGvfZfRXJ&#10;5Kkort7n85vhzJjTk+HuFlSkIf6Z4Qdf0CEXppXfsA2qNSBF4u8UbTK9lBqrw6LzTP+nz78BAAD/&#10;/wMAUEsDBBQABgAIAAAAIQBonXBxcwQAAJMPAAAVAAAAZHJzL2NoYXJ0cy9jaGFydDEueG1s3Ffd&#10;U+M2EH/vTP8H13OPgOPECeAhuQmh13bKAXcB7nljK4knsuRKSiD967urj3wc0GE6PPR4kVern1bS&#10;z7va1dnHx5pHK6Z0JUU/To9accREIctKzPrx3e2nw5M40gZECVwK1o/XTMcfBz//dFbkxRyUGTdQ&#10;sAiNCJ0X/XhuTJMniS7mrAZ9JBsmcGwqVQ0Gu2qWlAoe0HjNk3ar1UuskdgbgP9goIZKhPnqNfPl&#10;dFoV7EIWy5oJ43ahGAeDDOh51eh4gIcrwbD0tJVFK+D9uBUnpOQgZk7BxOHwzimVXIqSlSOpBNK4&#10;g6+LfMgNUwJNjaQwuJo/Z/0qpmpQi2VzWMi6wc1NKl6Ztd0ubhBtj+YSzxF9ZX8tK8V0Py7SLBCB&#10;4hMq6qpQUsupOUKLiWMh/A0ye5ycJG3/P/CwaZZrs+bMHShttem0yWZdu4VPwPkEigVxswPeQLfj&#10;NPF7MmhWwdVnaK5XKprM0n7MTRpH5hGlcoHSZNYmXZt0KJULlKAokEhEeCFocNxpNphO0HQCBklx&#10;GCTKCd2g6QZNL2h6cTTnlVggkfSJo6nkvztFkJwDWBemw8DSyNvKcHbBODOs9NQ5VMOlGSoGBOSw&#10;lktjXaqp2IjiiNQrUOuR5DJ4UepmaqZotCofd5yryKUqmdrTlJcTrglKwnNTdtY1jwRQVTEfnEE+&#10;keX6RuGGIOfajOm/205DGlwdmxsVkfv3Y3T9uzHtDHIzuBp/O4h6ZwnJ1CIWW5yWBOMouLX0XD5c&#10;shkT5Z9svbdvGrkHvIYo1MKhUTcCcwV18EBPBurHTG31PjTJxg1T5BtPbJ8vJxPOxtXf3pSdgvsK&#10;NIXvhmG/h7en6wsvD6LsvdFl433Pq9/Iu+6r4mCPrBecMZqAZhiamJ/svyVvjF4z0Xtxew/7Dhy4&#10;44Ll7R14PDyI3h1b2S5bdC3WIJbAL+0tTX1/8faOWt3sJOuddLvpaZqlnezXQ+/74UI7SltZr3dy&#10;etpuZ1nn+DjtkW28a/ZNosL9G7L+RsFyC/ogSn9wT/6fJQksazCvXDLAVHuJ94sv72x+8AnEJtwC&#10;bALXRn1lU/qn08F4zphJf/kw/JCmObVdcgM7iLARYIVMwMaMsH70OavrHLExEaYiussIsRpcsYdo&#10;jAXDPPoGnGmys7JO1dhVAzz18C9LxoTGZF2+hGx7JN6vRqoKXsJ1PM4tPlzixoG/DM88HD0R3f17&#10;HO56e3DXsWSh6OnD/E8HFsv6CYvnlkVstywibMOie2CMZMkGvzEsw4Fbsu2zw2pfyTRWMv/OLebu&#10;5wGBUrwcnwcELl8EBPYwhHctYGd7UtcJtFm+UOULxE3594MG0bRSWHtyfNQMwzMrVGrbKhmPu1tJ&#10;k3xf6WvB/Q3sS7ey0s05hsBCD33MzqBx0UXsXFClfI3P3s+wW1Sj8U0xr5sbZethQa2QnyrO6SrH&#10;Chk1xLoFFDl7tG88fgEGIoVlej9Wf5TOH+hFcNfQW3KnKMW5u3OsMbusfUsP/gEAAP//AwBQSwME&#10;FAAGAAgAAAAhAD7faUhvBgAAABsAABwAAABkcnMvdGhlbWUvdGhlbWVPdmVycmlkZTEueG1s7FlP&#10;b9s2FL8P2HcgdG9jJ3aaBHWK2LGbrU0bJG6HHmmJlthQokDSSX0b2uOAAcO6YYcV2G2HYVuBFtil&#10;+zTZOmwd0K+wR1JSyFhe0jbYiq0+2BL54/v/Hh/py1fupQwdECEpzzpB82IjQCQLeUSzuBPcGg4u&#10;rARIKpxFmPGMdIIpkcGV9fffu4zXVEJSchPWChoRBHQyuYY7QaJUvrawIEOYxvIiz0kGc2MuUqzg&#10;VcQLkcCHQD9lC4uNxvJCimkWrAPBkIk9vYqgDKfA6+Z4TENipqL9pkbIqewxgQ4w6wRAIuKHQ3JP&#10;BYhhqWCiEzTMJ1hYv7yA14pFTM1Z66wbmE+xrlgQ7S8aniIeVUybg9bqpc2KvgEwNYvr9/u9frOi&#10;ZwA4DElWyOLSbA1Wmt2SpgOyj7O0e412o+XjHfpLMzKvdrvd9mohiyVqQPaxNYNfaSy3NhY9vAFZ&#10;fHsG3+pu9HrLHt6ALH55Bj+4tLrc8vEGlDCa7c+gtUMHg4J6BRlztlULXwH4SqOAH6MgGqro0izG&#10;PFPzYi3Fd7kYAEADGVY0Q2qakzEOISZ7OB0JijUDvEawM2OHQjkzpHkhGQqaq07wYY6zwIG8fPb9&#10;y2dP0NH9p0f3fzp68ODo/o+WkLdqC2exu+rFt5/9+ehj9MeTb148/KIeL138rz988svPn9cDIX2O&#10;1Xv+5ePfnj5+/tWnv3/3sAa+IfDIhQ9pSiS6QQ7RLk9BMWMVX3IyEq+2Yphg6q7YyGKJM6y51NDv&#10;q8RD35hiVnjHk6NLfAveFlA+6oBXJ3c9gfcSMVG0hvO1JPWA25yzLhe1VrimeTlmHk6yuJ65mLi4&#10;XYwP6nj3cOb5tz/JoW6WYekp3kuIJ+YOw5nCMcmIQnqO7xNSo90dSj27btNQcMnHCt2hqItprUmG&#10;dORF0/GiLZqCX6Z1OoO/Pdts30Zdzuq03iQHPhKyArMa4YeEeWa8iicKp3UkhzhlrsGvY5XUCbk3&#10;FaGL60sFno4J46gfESnr1twUoK/j9GsYKlat27fZNPWRQtH9OprXMecucpPv9xKc5nXYPZolLvYD&#10;uQ8hitEOV3Xwbe5niH4HP+BsrrtvU+K5+/RqcIvGnkjHAaJnJkL7Ekq1V4FTmv1dOWYU6rGNgfMr&#10;x1AAn3/9qCay3tZCvAF7Ul0mbJ0ov/NwJ4tuj4uIvv01dxNPsh0CYT678bwrue9KbvCfL7nz8vms&#10;hfa4tkLZ1X2DbYpNi5zO7ZDHlLE9NWXkujRNsoR9IhrAoF5nDn6kOjHlCTwWdd3DxQKbNUhw9RFV&#10;yV6Cc2iwm4EmEsuCdCxRziUc7MxwLW2NhyZd2WNhWx8YbD2QWG3zyA4v6eHyXFCRMbtNLC1Hy2hJ&#10;Ezgrs6VLBVFQ+3WYNbVQZ+bWNKKZUudxq1QGH86qBoOVNaEBQdC2gJWX4eitWcPBBDMSabvbvbd0&#10;i7HJebpIJhiuCczRva31nvVR0zipjBVzEwCxU+Mjfcg7xWoOt1VN9g24ncVJLrvWHHal997ES2UE&#10;H3tJ5+2JdGSZm5wsQ4edYLW92A5QiPNOMIYzLTymOXhd6p4PsxjufkIlbNifmsw6NFyFS8X8JGjC&#10;NYW1+4zCXh3IhVSbWCY2NMxUEQIs05ys/IttMOt5KWAj/TWkWFqBYPjXpAA7+q4l4zEJletsZ0Tb&#10;zr4WpZRPFBF7SXSIRmwidjG4X4cq6BNRCVcTpiLoF7hH09Y2U35xLpLOvb0yODuOWZ7gotzqFC0z&#10;2cJNHlcymDdHPNCtVnaj3KurYlL+nFRxw/h/poreT+CmYCnSHgjhUlZgpPO1E3ChEg5VKE9oOBDQ&#10;OJjaAdECd7EwDUEF98XmV5AD/WtzztIwaQ0HPrVLYyQo7EcqEYTsQFky0XcKsWaxd1mSrCBkIsoR&#10;V+ZW7BE5IGyoa+Cy3tsDlECom2pSlAGDOxl//nuRQaNYNzluvnk1pNp7bQ78052PTWZQyq/DpqEp&#10;7V+JWLOr2vVmebn3uoroieM2q1Vmhb8VrBZp/5oivOJWayvWjMaL7VI48OKsxjBYNUQ53Pcg/QX7&#10;HxUhs/826A11yHehtiL4o0ETg7CBqL5gGw+kC6QdHEHjZAdtMGlS1rRF66StVm7W59zpVnxPGFtL&#10;dhZ/v6Kxq+bMZ+fl4nkau7CwZ2s7NtfU4NmTKQpD4/IgYxzj/Wu1/hcAAAD//wMAUEsBAi0AFAAG&#10;AAgAAAAhAEAf9EEwAQAA4AIAABMAAAAAAAAAAAAAAAAAAAAAAFtDb250ZW50X1R5cGVzXS54bWxQ&#10;SwECLQAUAAYACAAAACEAOP0h/9YAAACUAQAACwAAAAAAAAAAAAAAAABhAQAAX3JlbHMvLnJlbHNQ&#10;SwECLQAUAAYACAAAACEAllUfAAABAAAqAgAADgAAAAAAAAAAAAAAAABgAgAAZHJzL2Uyb0RvYy54&#10;bWxQSwECLQAUAAYACAAAACEAEuCydCcBAAAfAgAAIAAAAAAAAAAAAAAAAACMAwAAZHJzL2NoYXJ0&#10;cy9fcmVscy9jaGFydDEueG1sLnJlbHNQSwECLQAUAAYACAAAACEAqxbNRrkAAAAiAQAAGQAAAAAA&#10;AAAAAAAAAADxBAAAZHJzL19yZWxzL2Uyb0RvYy54bWwucmVsc1BLAQItABQABgAIAAAAIQCA/5QI&#10;3AAAAAUBAAAPAAAAAAAAAAAAAAAAAOEFAABkcnMvZG93bnJldi54bWxQSwECLQAUAAYACAAAACEA&#10;aJ1wcXMEAACTDwAAFQAAAAAAAAAAAAAAAADqBgAAZHJzL2NoYXJ0cy9jaGFydDEueG1sUEsBAi0A&#10;FAAGAAgAAAAhAD7faUhvBgAAABsAABwAAAAAAAAAAAAAAAAAkAsAAGRycy90aGVtZS90aGVtZU92&#10;ZXJyaWRlMS54bWxQSwUGAAAAAAgACAAVAgAAORIAAAAA&#10;">
                  <v:imagedata r:id="rId25" o:title="" cropbottom="-14f" cropright="-14f"/>
                  <o:lock v:ext="edit" aspectratio="f"/>
                </v:shape>
              </w:pict>
            </w:r>
          </w:p>
        </w:tc>
      </w:tr>
      <w:tr w:rsidR="00C14F11" w:rsidTr="00C14F11">
        <w:trPr>
          <w:cantSplit/>
        </w:trPr>
        <w:tc>
          <w:tcPr>
            <w:tcW w:w="2376" w:type="dxa"/>
          </w:tcPr>
          <w:p w:rsidR="00C14F11" w:rsidRPr="009431CE" w:rsidRDefault="00C14F11" w:rsidP="00BA3581">
            <w:pPr>
              <w:pStyle w:val="AERtabletext"/>
              <w:jc w:val="left"/>
            </w:pPr>
            <w:r w:rsidRPr="00BA3581">
              <w:rPr>
                <w:rFonts w:ascii="Gautami" w:hAnsi="Gautami" w:cs="Gautami"/>
                <w:sz w:val="20"/>
                <w:szCs w:val="20"/>
              </w:rPr>
              <w:t>Date of connection enquiry lodgement</w:t>
            </w:r>
            <w:r>
              <w:t xml:space="preserve"> </w:t>
            </w:r>
          </w:p>
        </w:tc>
        <w:tc>
          <w:tcPr>
            <w:tcW w:w="6866" w:type="dxa"/>
          </w:tcPr>
          <w:tbl>
            <w:tblPr>
              <w:tblStyle w:val="TableGrid"/>
              <w:tblW w:w="0" w:type="auto"/>
              <w:tblLayout w:type="fixed"/>
              <w:tblLook w:val="04A0" w:firstRow="1" w:lastRow="0" w:firstColumn="1" w:lastColumn="0" w:noHBand="0" w:noVBand="1"/>
            </w:tblPr>
            <w:tblGrid>
              <w:gridCol w:w="1304"/>
              <w:gridCol w:w="993"/>
              <w:gridCol w:w="868"/>
              <w:gridCol w:w="869"/>
              <w:gridCol w:w="868"/>
              <w:gridCol w:w="869"/>
              <w:gridCol w:w="869"/>
            </w:tblGrid>
            <w:tr w:rsidR="00C14F11" w:rsidTr="00C14F11">
              <w:tc>
                <w:tcPr>
                  <w:tcW w:w="1304" w:type="dxa"/>
                </w:tcPr>
                <w:p w:rsidR="00C14F11" w:rsidRPr="00BA3581" w:rsidRDefault="00C14F11" w:rsidP="00BA3581">
                  <w:pPr>
                    <w:pStyle w:val="AERtabletext"/>
                    <w:jc w:val="left"/>
                    <w:rPr>
                      <w:rFonts w:ascii="Gautami" w:hAnsi="Gautami" w:cs="Gautami"/>
                      <w:sz w:val="20"/>
                      <w:szCs w:val="20"/>
                    </w:rPr>
                  </w:pPr>
                </w:p>
              </w:tc>
              <w:tc>
                <w:tcPr>
                  <w:tcW w:w="993"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2008 or earlier</w:t>
                  </w:r>
                </w:p>
              </w:tc>
              <w:tc>
                <w:tcPr>
                  <w:tcW w:w="868"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2009</w:t>
                  </w:r>
                </w:p>
              </w:tc>
              <w:tc>
                <w:tcPr>
                  <w:tcW w:w="869"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2010</w:t>
                  </w:r>
                </w:p>
              </w:tc>
              <w:tc>
                <w:tcPr>
                  <w:tcW w:w="868"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2011</w:t>
                  </w:r>
                </w:p>
              </w:tc>
              <w:tc>
                <w:tcPr>
                  <w:tcW w:w="869"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2012</w:t>
                  </w:r>
                </w:p>
              </w:tc>
              <w:tc>
                <w:tcPr>
                  <w:tcW w:w="869"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2013</w:t>
                  </w:r>
                </w:p>
              </w:tc>
            </w:tr>
            <w:tr w:rsidR="00C14F11" w:rsidTr="00C14F11">
              <w:tc>
                <w:tcPr>
                  <w:tcW w:w="1304"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Number of responses</w:t>
                  </w:r>
                </w:p>
              </w:tc>
              <w:tc>
                <w:tcPr>
                  <w:tcW w:w="993"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3</w:t>
                  </w:r>
                </w:p>
              </w:tc>
              <w:tc>
                <w:tcPr>
                  <w:tcW w:w="868"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3</w:t>
                  </w:r>
                </w:p>
              </w:tc>
              <w:tc>
                <w:tcPr>
                  <w:tcW w:w="869"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1</w:t>
                  </w:r>
                </w:p>
              </w:tc>
              <w:tc>
                <w:tcPr>
                  <w:tcW w:w="868"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2</w:t>
                  </w:r>
                </w:p>
              </w:tc>
              <w:tc>
                <w:tcPr>
                  <w:tcW w:w="869"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2</w:t>
                  </w:r>
                </w:p>
              </w:tc>
              <w:tc>
                <w:tcPr>
                  <w:tcW w:w="869"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3</w:t>
                  </w:r>
                </w:p>
              </w:tc>
            </w:tr>
          </w:tbl>
          <w:p w:rsidR="00C14F11" w:rsidRPr="009431CE" w:rsidRDefault="00C14F11" w:rsidP="00C14F11">
            <w:pPr>
              <w:pStyle w:val="AERbodytext"/>
              <w:spacing w:before="120" w:after="120"/>
              <w:jc w:val="left"/>
            </w:pPr>
          </w:p>
        </w:tc>
      </w:tr>
      <w:tr w:rsidR="00C14F11" w:rsidTr="00C14F11">
        <w:trPr>
          <w:cantSplit/>
        </w:trPr>
        <w:tc>
          <w:tcPr>
            <w:tcW w:w="2376"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lastRenderedPageBreak/>
              <w:t>Level of experience with, or knowledge of, connections within the organisation prior to submitting the connection enquiry</w:t>
            </w:r>
          </w:p>
        </w:tc>
        <w:tc>
          <w:tcPr>
            <w:tcW w:w="6866"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One respondent considered itself to have little experience, particularly with a project of that scale.</w:t>
            </w:r>
          </w:p>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Others considered themselves to have good or excellent experience. Five noted that they had previously completed numerous similar connection projects throughout the NEM.</w:t>
            </w:r>
          </w:p>
        </w:tc>
      </w:tr>
      <w:tr w:rsidR="00C14F11" w:rsidTr="00C14F11">
        <w:trPr>
          <w:cantSplit/>
        </w:trPr>
        <w:tc>
          <w:tcPr>
            <w:tcW w:w="2376"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Consultants hired for the connection process</w:t>
            </w:r>
          </w:p>
        </w:tc>
        <w:tc>
          <w:tcPr>
            <w:tcW w:w="6866"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 xml:space="preserve">Eight employed the services of external consultants, while the other seven completed the connection application process themselves. </w:t>
            </w:r>
          </w:p>
        </w:tc>
      </w:tr>
      <w:tr w:rsidR="00C14F11" w:rsidTr="00C14F11">
        <w:trPr>
          <w:cantSplit/>
        </w:trPr>
        <w:tc>
          <w:tcPr>
            <w:tcW w:w="2376"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Did the enquiry proceed to a formal connection application?</w:t>
            </w:r>
          </w:p>
        </w:tc>
        <w:tc>
          <w:tcPr>
            <w:tcW w:w="6866" w:type="dxa"/>
          </w:tcPr>
          <w:p w:rsidR="00C14F11" w:rsidRPr="00BA3581" w:rsidRDefault="00C14F11" w:rsidP="00BA3581">
            <w:pPr>
              <w:pStyle w:val="AERtabletext"/>
              <w:rPr>
                <w:rFonts w:ascii="Gautami" w:hAnsi="Gautami" w:cs="Gautami"/>
                <w:sz w:val="20"/>
                <w:szCs w:val="20"/>
              </w:rPr>
            </w:pPr>
            <w:r w:rsidRPr="00BA3581">
              <w:rPr>
                <w:rFonts w:ascii="Gautami" w:hAnsi="Gautami" w:cs="Gautami"/>
                <w:sz w:val="20"/>
                <w:szCs w:val="20"/>
              </w:rPr>
              <w:t>Of the 15 respondents:</w:t>
            </w:r>
          </w:p>
          <w:p w:rsidR="00C14F11" w:rsidRPr="00BA3581" w:rsidRDefault="00C14F11" w:rsidP="008F5B6C">
            <w:pPr>
              <w:pStyle w:val="AERtabletext"/>
              <w:numPr>
                <w:ilvl w:val="0"/>
                <w:numId w:val="14"/>
              </w:numPr>
              <w:rPr>
                <w:rFonts w:ascii="Gautami" w:hAnsi="Gautami" w:cs="Gautami"/>
                <w:sz w:val="20"/>
                <w:szCs w:val="20"/>
              </w:rPr>
            </w:pPr>
            <w:r w:rsidRPr="00BA3581">
              <w:rPr>
                <w:rFonts w:ascii="Gautami" w:hAnsi="Gautami" w:cs="Gautami"/>
                <w:sz w:val="20"/>
                <w:szCs w:val="20"/>
              </w:rPr>
              <w:t xml:space="preserve">Seven completed a connection application and the connection is either completed or scheduled to be completed in the future. </w:t>
            </w:r>
          </w:p>
          <w:p w:rsidR="00C14F11" w:rsidRPr="00BA3581" w:rsidRDefault="00C14F11" w:rsidP="008F5B6C">
            <w:pPr>
              <w:pStyle w:val="AERtabletext"/>
              <w:numPr>
                <w:ilvl w:val="0"/>
                <w:numId w:val="14"/>
              </w:numPr>
              <w:rPr>
                <w:rFonts w:ascii="Gautami" w:hAnsi="Gautami" w:cs="Gautami"/>
                <w:sz w:val="20"/>
                <w:szCs w:val="20"/>
              </w:rPr>
            </w:pPr>
            <w:r w:rsidRPr="00BA3581">
              <w:rPr>
                <w:rFonts w:ascii="Gautami" w:hAnsi="Gautami" w:cs="Gautami"/>
                <w:sz w:val="20"/>
                <w:szCs w:val="20"/>
              </w:rPr>
              <w:t>Three intend to complete a connection application and expect to complete the connection in the future.</w:t>
            </w:r>
          </w:p>
          <w:p w:rsidR="00C14F11" w:rsidRPr="00BA3581" w:rsidRDefault="00C14F11" w:rsidP="008F5B6C">
            <w:pPr>
              <w:pStyle w:val="AERtabletext"/>
              <w:numPr>
                <w:ilvl w:val="0"/>
                <w:numId w:val="14"/>
              </w:numPr>
              <w:rPr>
                <w:rFonts w:ascii="Gautami" w:hAnsi="Gautami" w:cs="Gautami"/>
                <w:sz w:val="20"/>
                <w:szCs w:val="20"/>
              </w:rPr>
            </w:pPr>
            <w:r w:rsidRPr="00BA3581">
              <w:rPr>
                <w:rFonts w:ascii="Gautami" w:hAnsi="Gautami" w:cs="Gautami"/>
                <w:sz w:val="20"/>
                <w:szCs w:val="20"/>
              </w:rPr>
              <w:t xml:space="preserve">Two completed a connection application but do not expect to complete the connection in the future. </w:t>
            </w:r>
          </w:p>
          <w:p w:rsidR="00C14F11" w:rsidRPr="009431CE" w:rsidRDefault="00C14F11" w:rsidP="008F5B6C">
            <w:pPr>
              <w:pStyle w:val="AERtabletext"/>
              <w:numPr>
                <w:ilvl w:val="0"/>
                <w:numId w:val="14"/>
              </w:numPr>
            </w:pPr>
            <w:r w:rsidRPr="00BA3581">
              <w:rPr>
                <w:rFonts w:ascii="Gautami" w:hAnsi="Gautami" w:cs="Gautami"/>
                <w:sz w:val="20"/>
                <w:szCs w:val="20"/>
              </w:rPr>
              <w:t>Three did not proceed with a connection application and do not expect to complete the connection in the future.</w:t>
            </w:r>
          </w:p>
        </w:tc>
      </w:tr>
      <w:tr w:rsidR="00C14F11" w:rsidTr="00C14F11">
        <w:trPr>
          <w:cantSplit/>
        </w:trPr>
        <w:tc>
          <w:tcPr>
            <w:tcW w:w="2376" w:type="dxa"/>
          </w:tcPr>
          <w:p w:rsidR="00C14F11" w:rsidRPr="00BA3581" w:rsidRDefault="00C14F11" w:rsidP="00BA3581">
            <w:pPr>
              <w:pStyle w:val="AERtabletext"/>
              <w:jc w:val="left"/>
              <w:rPr>
                <w:rFonts w:ascii="Gautami" w:hAnsi="Gautami" w:cs="Gautami"/>
                <w:sz w:val="20"/>
                <w:szCs w:val="20"/>
              </w:rPr>
            </w:pPr>
            <w:r w:rsidRPr="00BA3581">
              <w:rPr>
                <w:rFonts w:ascii="Gautami" w:hAnsi="Gautami" w:cs="Gautami"/>
                <w:sz w:val="20"/>
                <w:szCs w:val="20"/>
              </w:rPr>
              <w:t>At what stage of the connection process did you decide not to proceed?</w:t>
            </w:r>
          </w:p>
        </w:tc>
        <w:tc>
          <w:tcPr>
            <w:tcW w:w="6866" w:type="dxa"/>
          </w:tcPr>
          <w:p w:rsidR="00C14F11" w:rsidRPr="00BA3581" w:rsidRDefault="00C14F11" w:rsidP="00BA3581">
            <w:pPr>
              <w:pStyle w:val="AERtabletext"/>
              <w:rPr>
                <w:rFonts w:ascii="Gautami" w:hAnsi="Gautami" w:cs="Gautami"/>
                <w:sz w:val="20"/>
                <w:szCs w:val="20"/>
              </w:rPr>
            </w:pPr>
            <w:r w:rsidRPr="00BA3581">
              <w:rPr>
                <w:rFonts w:ascii="Gautami" w:hAnsi="Gautami" w:cs="Gautami"/>
                <w:sz w:val="20"/>
                <w:szCs w:val="20"/>
              </w:rPr>
              <w:t>The five projects which did not result in a connection were terminated for the following reasons:</w:t>
            </w:r>
          </w:p>
          <w:p w:rsidR="00C14F11" w:rsidRPr="00BA3581" w:rsidRDefault="00C14F11" w:rsidP="008F5B6C">
            <w:pPr>
              <w:pStyle w:val="AERtabletext"/>
              <w:numPr>
                <w:ilvl w:val="0"/>
                <w:numId w:val="14"/>
              </w:numPr>
              <w:rPr>
                <w:rFonts w:ascii="Gautami" w:hAnsi="Gautami" w:cs="Gautami"/>
                <w:sz w:val="20"/>
                <w:szCs w:val="20"/>
              </w:rPr>
            </w:pPr>
            <w:r w:rsidRPr="00BA3581">
              <w:rPr>
                <w:rFonts w:ascii="Gautami" w:hAnsi="Gautami" w:cs="Gautami"/>
                <w:sz w:val="20"/>
                <w:szCs w:val="20"/>
              </w:rPr>
              <w:t>One due to financial considerations.</w:t>
            </w:r>
          </w:p>
          <w:p w:rsidR="00C14F11" w:rsidRPr="00BA3581" w:rsidRDefault="00C14F11" w:rsidP="008F5B6C">
            <w:pPr>
              <w:pStyle w:val="AERtabletext"/>
              <w:numPr>
                <w:ilvl w:val="0"/>
                <w:numId w:val="14"/>
              </w:numPr>
              <w:rPr>
                <w:rFonts w:ascii="Gautami" w:hAnsi="Gautami" w:cs="Gautami"/>
                <w:sz w:val="20"/>
                <w:szCs w:val="20"/>
              </w:rPr>
            </w:pPr>
            <w:r w:rsidRPr="00BA3581">
              <w:rPr>
                <w:rFonts w:ascii="Gautami" w:hAnsi="Gautami" w:cs="Gautami"/>
                <w:sz w:val="20"/>
                <w:szCs w:val="20"/>
              </w:rPr>
              <w:t>One due to the decreased demand in electricity.</w:t>
            </w:r>
          </w:p>
          <w:p w:rsidR="00C14F11" w:rsidRPr="00BA3581" w:rsidRDefault="00C14F11" w:rsidP="008F5B6C">
            <w:pPr>
              <w:pStyle w:val="AERtabletext"/>
              <w:numPr>
                <w:ilvl w:val="0"/>
                <w:numId w:val="14"/>
              </w:numPr>
              <w:rPr>
                <w:rFonts w:ascii="Gautami" w:hAnsi="Gautami" w:cs="Gautami"/>
                <w:sz w:val="20"/>
                <w:szCs w:val="20"/>
              </w:rPr>
            </w:pPr>
            <w:r w:rsidRPr="00BA3581">
              <w:rPr>
                <w:rFonts w:ascii="Gautami" w:hAnsi="Gautami" w:cs="Gautami"/>
                <w:sz w:val="20"/>
                <w:szCs w:val="20"/>
              </w:rPr>
              <w:t xml:space="preserve">For one, because an economic feasibility study run in parallel with connection enquiry came back infeasible. </w:t>
            </w:r>
          </w:p>
          <w:p w:rsidR="00C14F11" w:rsidRPr="009431CE" w:rsidRDefault="00C14F11" w:rsidP="008F5B6C">
            <w:pPr>
              <w:pStyle w:val="AERtabletext"/>
              <w:numPr>
                <w:ilvl w:val="0"/>
                <w:numId w:val="14"/>
              </w:numPr>
            </w:pPr>
            <w:r w:rsidRPr="00BA3581">
              <w:rPr>
                <w:rFonts w:ascii="Gautami" w:hAnsi="Gautami" w:cs="Gautami"/>
                <w:sz w:val="20"/>
                <w:szCs w:val="20"/>
              </w:rPr>
              <w:t>Two due to unfavourable detailed project feasibility assessments following the connection enquiry.</w:t>
            </w:r>
          </w:p>
        </w:tc>
      </w:tr>
    </w:tbl>
    <w:p w:rsidR="00C14F11" w:rsidRDefault="00C14F11" w:rsidP="00C14F11">
      <w:pPr>
        <w:pStyle w:val="AERbodytext"/>
      </w:pPr>
    </w:p>
    <w:p w:rsidR="00C14F11" w:rsidRDefault="00C14F11" w:rsidP="00C14F11">
      <w:pPr>
        <w:pStyle w:val="AERbodytext"/>
      </w:pPr>
      <w:r>
        <w:t>The survey was split into three sections</w:t>
      </w:r>
      <w:r w:rsidRPr="00732D20">
        <w:rPr>
          <w:rFonts w:cs="Gautami"/>
        </w:rPr>
        <w:t>—</w:t>
      </w:r>
      <w:r>
        <w:t xml:space="preserve">connection enquiry, connection application and overall experience. </w:t>
      </w:r>
    </w:p>
    <w:p w:rsidR="00C14F11" w:rsidRPr="00C14F11" w:rsidRDefault="00C14F11" w:rsidP="0061793E">
      <w:pPr>
        <w:pStyle w:val="AERgenericboldheading"/>
        <w:spacing w:after="240" w:line="288" w:lineRule="auto"/>
        <w:rPr>
          <w:sz w:val="24"/>
        </w:rPr>
      </w:pPr>
      <w:r w:rsidRPr="00C14F11">
        <w:rPr>
          <w:sz w:val="24"/>
        </w:rPr>
        <w:t xml:space="preserve">Part </w:t>
      </w:r>
      <w:proofErr w:type="gramStart"/>
      <w:r w:rsidRPr="00C14F11">
        <w:rPr>
          <w:sz w:val="24"/>
        </w:rPr>
        <w:t>A—</w:t>
      </w:r>
      <w:proofErr w:type="gramEnd"/>
      <w:r w:rsidRPr="00C14F11">
        <w:rPr>
          <w:sz w:val="24"/>
        </w:rPr>
        <w:t xml:space="preserve">Connection enquiry </w:t>
      </w:r>
    </w:p>
    <w:p w:rsidR="00C14F11" w:rsidRDefault="00C14F11" w:rsidP="00C14F11">
      <w:pPr>
        <w:pStyle w:val="AERbodytext"/>
      </w:pPr>
      <w:r>
        <w:t>Thirteen respondents provided comments for some or all of the questions contained in the connection enquiry section. Questions from this section of the sur</w:t>
      </w:r>
      <w:r w:rsidRPr="00732D20">
        <w:t xml:space="preserve">vey and an overview of common themes of responses and </w:t>
      </w:r>
      <w:r>
        <w:t>notable</w:t>
      </w:r>
      <w:r w:rsidRPr="00732D20">
        <w:t xml:space="preserve"> comments are highlighted below.</w:t>
      </w:r>
    </w:p>
    <w:p w:rsidR="00C14F11" w:rsidRPr="00C14F11" w:rsidRDefault="00C14F11" w:rsidP="0061793E">
      <w:pPr>
        <w:pStyle w:val="AERgenericboldheading"/>
        <w:spacing w:after="240" w:line="288" w:lineRule="auto"/>
        <w:rPr>
          <w:szCs w:val="20"/>
        </w:rPr>
      </w:pPr>
      <w:r w:rsidRPr="00C14F11">
        <w:rPr>
          <w:szCs w:val="20"/>
        </w:rPr>
        <w:lastRenderedPageBreak/>
        <w:t xml:space="preserve">1. TNSP request for further information </w:t>
      </w:r>
    </w:p>
    <w:p w:rsidR="00C14F11" w:rsidRDefault="00C14F11" w:rsidP="00C14F11">
      <w:pPr>
        <w:pStyle w:val="AERbodytext"/>
      </w:pPr>
      <w:r>
        <w:t>After submitting a connection enquiry, the TNSP has five business days to request further information relating to the enquiry.</w:t>
      </w:r>
      <w:r>
        <w:rPr>
          <w:rStyle w:val="FootnoteReference"/>
        </w:rPr>
        <w:footnoteReference w:id="17"/>
      </w:r>
      <w:r>
        <w:t xml:space="preserve"> The survey asked whether further information was requested, whether that request was considered to be reasonable and if so whether it was requested within this time. </w:t>
      </w:r>
    </w:p>
    <w:p w:rsidR="00C14F11" w:rsidRPr="00732D20" w:rsidRDefault="00C14F11" w:rsidP="00C14F11">
      <w:pPr>
        <w:pStyle w:val="AERbodytext"/>
      </w:pPr>
      <w:r w:rsidRPr="009C0FB8">
        <w:t xml:space="preserve">Thirteen parties responded to this question. Of those, six </w:t>
      </w:r>
      <w:r w:rsidRPr="00732D20">
        <w:t xml:space="preserve">were requested to provide the TNSP with </w:t>
      </w:r>
      <w:r>
        <w:t xml:space="preserve">further </w:t>
      </w:r>
      <w:r w:rsidRPr="00732D20">
        <w:t>information</w:t>
      </w:r>
      <w:r>
        <w:t xml:space="preserve">. </w:t>
      </w:r>
      <w:r w:rsidRPr="00732D20">
        <w:t>Most noted that the information they were required to provide was reasonable, with one respondent adding that the TNSP was generally available to c</w:t>
      </w:r>
      <w:r>
        <w:t xml:space="preserve">larify requirements as needed. </w:t>
      </w:r>
    </w:p>
    <w:p w:rsidR="00C14F11" w:rsidRPr="00A0106F" w:rsidRDefault="00C14F11" w:rsidP="00C14F11">
      <w:pPr>
        <w:pStyle w:val="AERbodytext"/>
        <w:keepNext/>
        <w:rPr>
          <w:u w:val="single"/>
        </w:rPr>
      </w:pPr>
      <w:r w:rsidRPr="00A0106F">
        <w:rPr>
          <w:u w:val="single"/>
        </w:rPr>
        <w:t>Notable comments:</w:t>
      </w:r>
    </w:p>
    <w:p w:rsidR="00C14F11" w:rsidRPr="00732D20" w:rsidRDefault="00C14F11" w:rsidP="00C14F11">
      <w:pPr>
        <w:pStyle w:val="AERbodytext"/>
      </w:pPr>
      <w:r w:rsidRPr="00732D20">
        <w:t xml:space="preserve">One respondent </w:t>
      </w:r>
      <w:r w:rsidR="00BA160E">
        <w:t>claimed</w:t>
      </w:r>
      <w:r w:rsidR="00BA160E" w:rsidRPr="00732D20">
        <w:t xml:space="preserve"> </w:t>
      </w:r>
      <w:r w:rsidRPr="00732D20">
        <w:t xml:space="preserve">that the TNSP’s request for information was received longer than 5 business days after their enquiry was </w:t>
      </w:r>
      <w:proofErr w:type="gramStart"/>
      <w:r w:rsidRPr="00732D20">
        <w:t>submitted,</w:t>
      </w:r>
      <w:proofErr w:type="gramEnd"/>
      <w:r w:rsidRPr="00732D20">
        <w:t xml:space="preserve"> however they </w:t>
      </w:r>
      <w:r>
        <w:t>considered</w:t>
      </w:r>
      <w:r w:rsidRPr="00732D20">
        <w:t xml:space="preserve"> that this had no material effect on the project. </w:t>
      </w:r>
    </w:p>
    <w:p w:rsidR="00C14F11" w:rsidRDefault="00C14F11" w:rsidP="00C14F11">
      <w:pPr>
        <w:pStyle w:val="AERbodytext"/>
      </w:pPr>
      <w:r>
        <w:t>Other</w:t>
      </w:r>
      <w:r w:rsidRPr="00732D20">
        <w:t xml:space="preserve"> respondent</w:t>
      </w:r>
      <w:r>
        <w:t>s</w:t>
      </w:r>
      <w:r w:rsidRPr="00732D20">
        <w:t xml:space="preserve"> stated that there was an ongoing exchange of information with the TNSP throughout the project whereby connection issues and options </w:t>
      </w:r>
      <w:r>
        <w:t>were</w:t>
      </w:r>
      <w:r w:rsidRPr="00732D20">
        <w:t xml:space="preserve"> discussed including the information that should be provided to allow the assessment of these issues and options. They </w:t>
      </w:r>
      <w:r>
        <w:t xml:space="preserve">considered </w:t>
      </w:r>
      <w:r w:rsidRPr="00732D20">
        <w:t>that this pro</w:t>
      </w:r>
      <w:r>
        <w:t xml:space="preserve">cess worked well for them, although one commented </w:t>
      </w:r>
      <w:r w:rsidRPr="00732D20">
        <w:t xml:space="preserve">that this process could be quicker if a closer relationship could </w:t>
      </w:r>
      <w:r>
        <w:t xml:space="preserve">be </w:t>
      </w:r>
      <w:r w:rsidRPr="00732D20">
        <w:t>establish</w:t>
      </w:r>
      <w:r>
        <w:t>ed</w:t>
      </w:r>
      <w:r w:rsidRPr="00732D20">
        <w:t xml:space="preserve"> with the TNSP’s technical advisors.</w:t>
      </w:r>
    </w:p>
    <w:p w:rsidR="00C14F11" w:rsidRDefault="00C14F11" w:rsidP="00C14F11">
      <w:pPr>
        <w:pStyle w:val="AERbodytext"/>
      </w:pPr>
      <w:r>
        <w:t xml:space="preserve">Numerous respondents </w:t>
      </w:r>
      <w:r w:rsidRPr="00732D20">
        <w:t xml:space="preserve">considered that 5 business days is </w:t>
      </w:r>
      <w:r>
        <w:t xml:space="preserve">not enough </w:t>
      </w:r>
      <w:r w:rsidRPr="00732D20">
        <w:t xml:space="preserve">time to identify all required information. </w:t>
      </w:r>
    </w:p>
    <w:p w:rsidR="00C14F11" w:rsidRPr="00C14F11" w:rsidRDefault="00C14F11" w:rsidP="00565AF7">
      <w:pPr>
        <w:pStyle w:val="AERgenericboldheading"/>
        <w:spacing w:after="240" w:line="288" w:lineRule="auto"/>
        <w:rPr>
          <w:szCs w:val="20"/>
        </w:rPr>
      </w:pPr>
      <w:r w:rsidRPr="00C14F11">
        <w:rPr>
          <w:szCs w:val="20"/>
        </w:rPr>
        <w:t xml:space="preserve">2. TNSP provision of information </w:t>
      </w:r>
    </w:p>
    <w:p w:rsidR="00C14F11" w:rsidRDefault="00C14F11" w:rsidP="00C14F11">
      <w:pPr>
        <w:pStyle w:val="AERbodytext"/>
      </w:pPr>
      <w:r>
        <w:t>TNSPs are required to provide information within 10 business days of receiving the connection enquiry.</w:t>
      </w:r>
      <w:r>
        <w:rPr>
          <w:rStyle w:val="FootnoteReference"/>
        </w:rPr>
        <w:footnoteReference w:id="18"/>
      </w:r>
      <w:r>
        <w:t xml:space="preserve"> The survey asked whether the information was provided in full within this time and whether the information provided was to a satisfactory standard to assist with the connection enquiry.</w:t>
      </w:r>
    </w:p>
    <w:p w:rsidR="00C14F11" w:rsidRDefault="00C14F11" w:rsidP="00C14F11">
      <w:pPr>
        <w:pStyle w:val="AERbodytext"/>
      </w:pPr>
      <w:r>
        <w:t>Twelve</w:t>
      </w:r>
      <w:r w:rsidRPr="00732D20">
        <w:t xml:space="preserve"> parties responded to this question.</w:t>
      </w:r>
      <w:r>
        <w:t xml:space="preserve"> </w:t>
      </w:r>
      <w:r w:rsidRPr="00B67891">
        <w:t xml:space="preserve">Seven parties received the information from their TNSP within the required 10 business days, </w:t>
      </w:r>
      <w:r w:rsidRPr="0061793E">
        <w:t xml:space="preserve">four </w:t>
      </w:r>
      <w:proofErr w:type="gramStart"/>
      <w:r w:rsidR="00706F80" w:rsidRPr="0061793E">
        <w:t>claim</w:t>
      </w:r>
      <w:proofErr w:type="gramEnd"/>
      <w:r w:rsidR="00706F80" w:rsidRPr="0061793E">
        <w:t xml:space="preserve"> to have </w:t>
      </w:r>
      <w:r w:rsidRPr="0061793E">
        <w:t xml:space="preserve">received the information after this time and one could not recall the timing of this data. Three of the four parties who </w:t>
      </w:r>
      <w:r w:rsidR="0061793E" w:rsidRPr="0061793E">
        <w:t xml:space="preserve">claimed to have </w:t>
      </w:r>
      <w:r w:rsidRPr="0061793E">
        <w:t>received this information after 10 business</w:t>
      </w:r>
      <w:r>
        <w:t xml:space="preserve"> days stated this had no effect on the project, while the other said it delayed the project. </w:t>
      </w:r>
      <w:r w:rsidRPr="00B67891">
        <w:t xml:space="preserve">All but three parties stated that the information provided was satisfactory. </w:t>
      </w:r>
    </w:p>
    <w:p w:rsidR="00C14F11" w:rsidRPr="00A0106F" w:rsidRDefault="00C14F11" w:rsidP="00C14F11">
      <w:pPr>
        <w:pStyle w:val="AERbodytext"/>
        <w:keepNext/>
        <w:rPr>
          <w:u w:val="single"/>
        </w:rPr>
      </w:pPr>
      <w:r w:rsidRPr="00A0106F">
        <w:rPr>
          <w:u w:val="single"/>
        </w:rPr>
        <w:t>Notable comments:</w:t>
      </w:r>
    </w:p>
    <w:p w:rsidR="00C14F11" w:rsidRDefault="00C14F11" w:rsidP="00C14F11">
      <w:pPr>
        <w:pStyle w:val="AERbodytext"/>
      </w:pPr>
      <w:r>
        <w:t>One respondent noted that for its project, only generic information can be provided by the TNSP at that early stage.</w:t>
      </w:r>
    </w:p>
    <w:p w:rsidR="00C14F11" w:rsidRDefault="00C14F11" w:rsidP="00C14F11">
      <w:pPr>
        <w:pStyle w:val="AERbodytext"/>
      </w:pPr>
      <w:r>
        <w:t xml:space="preserve">Another </w:t>
      </w:r>
      <w:r w:rsidR="0061793E" w:rsidRPr="0061793E">
        <w:t xml:space="preserve">claimed </w:t>
      </w:r>
      <w:r w:rsidRPr="0061793E">
        <w:t>that not all information was provided</w:t>
      </w:r>
      <w:r>
        <w:t xml:space="preserve">. Only indicative timeframes were provided, with no details regarding the duration of each activity. This ultimately hindered its ability to proceed to the application stage. </w:t>
      </w:r>
    </w:p>
    <w:p w:rsidR="00C14F11" w:rsidRDefault="00C14F11" w:rsidP="00C14F11">
      <w:pPr>
        <w:pStyle w:val="AERbodytext"/>
      </w:pPr>
      <w:r>
        <w:lastRenderedPageBreak/>
        <w:t xml:space="preserve">Two respondents </w:t>
      </w:r>
      <w:r w:rsidR="0061793E" w:rsidRPr="0061793E">
        <w:t xml:space="preserve">claimed </w:t>
      </w:r>
      <w:r w:rsidRPr="0061793E">
        <w:t>that no preliminary program was provided</w:t>
      </w:r>
      <w:r>
        <w:t xml:space="preserve">. While some indications of typical timeframes have been provided verbally, no firm timelines were provided in writing. </w:t>
      </w:r>
    </w:p>
    <w:p w:rsidR="00C14F11" w:rsidRPr="00C14F11" w:rsidRDefault="00C14F11" w:rsidP="00565AF7">
      <w:pPr>
        <w:pStyle w:val="AERgenericboldheading"/>
        <w:spacing w:after="240" w:line="288" w:lineRule="auto"/>
        <w:rPr>
          <w:szCs w:val="20"/>
        </w:rPr>
      </w:pPr>
      <w:r w:rsidRPr="00C14F11">
        <w:rPr>
          <w:szCs w:val="20"/>
        </w:rPr>
        <w:t>3. Contestability of services</w:t>
      </w:r>
    </w:p>
    <w:p w:rsidR="00C14F11" w:rsidRDefault="00C14F11" w:rsidP="00C14F11">
      <w:pPr>
        <w:pStyle w:val="AERbodytext"/>
      </w:pPr>
      <w:r>
        <w:t xml:space="preserve">The information provided by the TNSP under clause 5.3.3(b) includes an indication of whether any services the TNSP proposes to provide are contestable in the relevant jurisdiction. The survey asked whether the respondent considered the TNSP’s characterisation of which services were contestable to be accurate. </w:t>
      </w:r>
    </w:p>
    <w:p w:rsidR="00C14F11" w:rsidRPr="008117FE" w:rsidRDefault="00C14F11" w:rsidP="00C14F11">
      <w:pPr>
        <w:pStyle w:val="AERbodytext"/>
      </w:pPr>
      <w:r w:rsidRPr="009C0FB8">
        <w:t>Thirteen</w:t>
      </w:r>
      <w:r w:rsidRPr="00732D20">
        <w:t xml:space="preserve"> parties responded to this question.</w:t>
      </w:r>
      <w:r>
        <w:t xml:space="preserve"> </w:t>
      </w:r>
      <w:r w:rsidRPr="008117FE">
        <w:t xml:space="preserve">Six respondents considered the characterisation to be accurate, </w:t>
      </w:r>
      <w:r>
        <w:t>while others did not respond directly to the question. T</w:t>
      </w:r>
      <w:r w:rsidRPr="008117FE">
        <w:t xml:space="preserve">wo enquirers </w:t>
      </w:r>
      <w:r w:rsidR="00706F80" w:rsidRPr="0061793E">
        <w:t xml:space="preserve">claimed </w:t>
      </w:r>
      <w:r w:rsidRPr="0061793E">
        <w:t>that no contestability details were provided to them</w:t>
      </w:r>
      <w:r w:rsidRPr="008117FE">
        <w:t xml:space="preserve">. </w:t>
      </w:r>
    </w:p>
    <w:p w:rsidR="00C14F11" w:rsidRPr="00A0106F" w:rsidRDefault="00C14F11" w:rsidP="00C14F11">
      <w:pPr>
        <w:pStyle w:val="AERbodytext"/>
        <w:keepNext/>
        <w:rPr>
          <w:u w:val="single"/>
        </w:rPr>
      </w:pPr>
      <w:r w:rsidRPr="00A0106F">
        <w:rPr>
          <w:u w:val="single"/>
        </w:rPr>
        <w:t>Notable comments:</w:t>
      </w:r>
    </w:p>
    <w:p w:rsidR="00C14F11" w:rsidRPr="008117FE" w:rsidRDefault="00C14F11" w:rsidP="00C14F11">
      <w:pPr>
        <w:pStyle w:val="AERbodytext"/>
      </w:pPr>
      <w:r>
        <w:t>One respondent noted that</w:t>
      </w:r>
      <w:r w:rsidRPr="008117FE">
        <w:t xml:space="preserve"> contestability information was </w:t>
      </w:r>
      <w:r>
        <w:t xml:space="preserve">not </w:t>
      </w:r>
      <w:r w:rsidRPr="008117FE">
        <w:t xml:space="preserve">provided, </w:t>
      </w:r>
      <w:r>
        <w:t xml:space="preserve">however it </w:t>
      </w:r>
      <w:r w:rsidRPr="008117FE">
        <w:t>felt it had sufficient knowledge of what</w:t>
      </w:r>
      <w:r>
        <w:t xml:space="preserve"> was/wasn’t contestable itself.</w:t>
      </w:r>
    </w:p>
    <w:p w:rsidR="00C14F11" w:rsidRPr="00B67891" w:rsidRDefault="00C14F11" w:rsidP="00C14F11">
      <w:pPr>
        <w:pStyle w:val="AERbodytext"/>
      </w:pPr>
      <w:r>
        <w:t>One respondent c</w:t>
      </w:r>
      <w:r w:rsidRPr="008117FE">
        <w:t xml:space="preserve">onsidered </w:t>
      </w:r>
      <w:r>
        <w:t xml:space="preserve">that </w:t>
      </w:r>
      <w:r w:rsidRPr="008117FE">
        <w:t xml:space="preserve">the </w:t>
      </w:r>
      <w:r w:rsidRPr="0061793E">
        <w:t>works classified as non-contestable were inconsistent with other states</w:t>
      </w:r>
      <w:r w:rsidRPr="008117FE">
        <w:t xml:space="preserve">. The TNSP required for all works to be </w:t>
      </w:r>
      <w:r>
        <w:t>combined</w:t>
      </w:r>
      <w:r w:rsidRPr="008117FE">
        <w:t xml:space="preserve"> which the respondent considered to be an expensive hurdle. </w:t>
      </w:r>
    </w:p>
    <w:p w:rsidR="00C14F11" w:rsidRPr="008117FE" w:rsidRDefault="00C14F11" w:rsidP="00C14F11">
      <w:pPr>
        <w:pStyle w:val="AERbodytext"/>
      </w:pPr>
      <w:r>
        <w:t>Others c</w:t>
      </w:r>
      <w:r w:rsidRPr="008117FE">
        <w:t>onsidered there was confusion as to the nature of prescribed, regulated, negot</w:t>
      </w:r>
      <w:r>
        <w:t>iated and contestable services, with one noting that the TNSP acknowledged that some elements of the project may be contestable without stating which elements those were and another stating that this information was only given in generic terms.</w:t>
      </w:r>
    </w:p>
    <w:p w:rsidR="00C14F11" w:rsidRPr="00C14F11" w:rsidRDefault="00C14F11" w:rsidP="00565AF7">
      <w:pPr>
        <w:pStyle w:val="AERgenericboldheading"/>
        <w:spacing w:after="240" w:line="288" w:lineRule="auto"/>
        <w:rPr>
          <w:szCs w:val="20"/>
        </w:rPr>
      </w:pPr>
      <w:r w:rsidRPr="00C14F11">
        <w:rPr>
          <w:szCs w:val="20"/>
        </w:rPr>
        <w:t>4. Technical information</w:t>
      </w:r>
    </w:p>
    <w:p w:rsidR="00C14F11" w:rsidRDefault="00C14F11" w:rsidP="00C14F11">
      <w:pPr>
        <w:pStyle w:val="AERbodytext"/>
      </w:pPr>
      <w:r>
        <w:t>TNSPs are required to provide technical information within 20 business days of receiving the connection enquiry.</w:t>
      </w:r>
      <w:r>
        <w:rPr>
          <w:rStyle w:val="FootnoteReference"/>
        </w:rPr>
        <w:footnoteReference w:id="19"/>
      </w:r>
      <w:r>
        <w:t xml:space="preserve"> The survey asked whether the information was provided in full within this time and whether the information was presented in an understandable way. It also asked whether a technical expert (internal or consultant) was used to interpret this information. </w:t>
      </w:r>
    </w:p>
    <w:p w:rsidR="00C14F11" w:rsidRPr="00FB078C" w:rsidRDefault="00C14F11" w:rsidP="00C14F11">
      <w:pPr>
        <w:pStyle w:val="AERbodytext"/>
      </w:pPr>
      <w:r>
        <w:t>Twelve</w:t>
      </w:r>
      <w:r w:rsidRPr="00732D20">
        <w:t xml:space="preserve"> parties responded to this question</w:t>
      </w:r>
      <w:r>
        <w:t>.</w:t>
      </w:r>
      <w:r w:rsidRPr="00FB078C">
        <w:t xml:space="preserve"> Nine</w:t>
      </w:r>
      <w:r>
        <w:t xml:space="preserve"> </w:t>
      </w:r>
      <w:r w:rsidRPr="00FB078C">
        <w:t xml:space="preserve">received the information within the required timeframe, while two did not comment on timeliness. </w:t>
      </w:r>
      <w:r w:rsidRPr="0061793E">
        <w:t xml:space="preserve">One respondent </w:t>
      </w:r>
      <w:r w:rsidR="00706F80" w:rsidRPr="0061793E">
        <w:t xml:space="preserve">claimed to have </w:t>
      </w:r>
      <w:r w:rsidRPr="0061793E">
        <w:t>not receive</w:t>
      </w:r>
      <w:r w:rsidR="0061793E" w:rsidRPr="0061793E">
        <w:t>d</w:t>
      </w:r>
      <w:r w:rsidRPr="0061793E">
        <w:t xml:space="preserve"> technical information from the TNSP</w:t>
      </w:r>
      <w:r w:rsidRPr="00FB078C">
        <w:t xml:space="preserve">. All twelve respondents noted that the information was presented in a way that could be understood. </w:t>
      </w:r>
    </w:p>
    <w:p w:rsidR="00C14F11" w:rsidRPr="00A0106F" w:rsidRDefault="00C14F11" w:rsidP="00C14F11">
      <w:pPr>
        <w:pStyle w:val="AERbodytext"/>
        <w:keepNext/>
        <w:rPr>
          <w:u w:val="single"/>
        </w:rPr>
      </w:pPr>
      <w:r w:rsidRPr="00A0106F">
        <w:rPr>
          <w:u w:val="single"/>
        </w:rPr>
        <w:t>Notable comments:</w:t>
      </w:r>
    </w:p>
    <w:p w:rsidR="00C14F11" w:rsidRPr="00FB078C" w:rsidRDefault="00C14F11" w:rsidP="00C14F11">
      <w:pPr>
        <w:pStyle w:val="AERbodytext"/>
      </w:pPr>
      <w:r>
        <w:t>One respondent noted that o</w:t>
      </w:r>
      <w:r w:rsidRPr="00FB078C">
        <w:t xml:space="preserve">nly generic </w:t>
      </w:r>
      <w:r>
        <w:t xml:space="preserve">technical </w:t>
      </w:r>
      <w:r w:rsidRPr="00FB078C">
        <w:t xml:space="preserve">information can be provided by the TNSP at this stage of a project which is not very useful. </w:t>
      </w:r>
      <w:r>
        <w:t xml:space="preserve">It considers that </w:t>
      </w:r>
      <w:r w:rsidRPr="00FB078C">
        <w:t xml:space="preserve">the chapter 5 requirements in the early stage of </w:t>
      </w:r>
      <w:r>
        <w:t xml:space="preserve">the </w:t>
      </w:r>
      <w:r w:rsidRPr="00FB078C">
        <w:t xml:space="preserve">project to be unrealistic, as not all details are known </w:t>
      </w:r>
      <w:r>
        <w:t xml:space="preserve">(for example, </w:t>
      </w:r>
      <w:r w:rsidRPr="00FB078C">
        <w:t>generator characteristics</w:t>
      </w:r>
      <w:r>
        <w:t>)</w:t>
      </w:r>
      <w:r w:rsidRPr="00FB078C">
        <w:t xml:space="preserve">. </w:t>
      </w:r>
    </w:p>
    <w:p w:rsidR="00C14F11" w:rsidRPr="00FB078C" w:rsidRDefault="00C14F11" w:rsidP="00C14F11">
      <w:pPr>
        <w:pStyle w:val="AERbodytext"/>
      </w:pPr>
      <w:r>
        <w:lastRenderedPageBreak/>
        <w:t>Similarly, another respondent was provided generic</w:t>
      </w:r>
      <w:r w:rsidRPr="00FB078C">
        <w:t xml:space="preserve"> information</w:t>
      </w:r>
      <w:r>
        <w:t xml:space="preserve"> by the TNSP but noted that </w:t>
      </w:r>
      <w:r w:rsidRPr="00FB078C">
        <w:t>further technical information was to be provided through a paid service</w:t>
      </w:r>
      <w:r>
        <w:t xml:space="preserve"> as part of the TNSP’s connection process</w:t>
      </w:r>
      <w:r w:rsidRPr="00FB078C">
        <w:t xml:space="preserve">. </w:t>
      </w:r>
    </w:p>
    <w:p w:rsidR="00C14F11" w:rsidRPr="00FB078C" w:rsidRDefault="00C14F11" w:rsidP="00C14F11">
      <w:pPr>
        <w:pStyle w:val="AERbodytext"/>
      </w:pPr>
      <w:r>
        <w:t xml:space="preserve">Another respondent considered that its project </w:t>
      </w:r>
      <w:r w:rsidRPr="00FB078C">
        <w:t>was delayed because technical data was not provided by the TNSP.</w:t>
      </w:r>
    </w:p>
    <w:p w:rsidR="00C14F11" w:rsidRPr="00C14F11" w:rsidRDefault="00C14F11" w:rsidP="00565AF7">
      <w:pPr>
        <w:pStyle w:val="AERgenericboldheading"/>
        <w:spacing w:after="240" w:line="288" w:lineRule="auto"/>
        <w:rPr>
          <w:sz w:val="24"/>
        </w:rPr>
      </w:pPr>
      <w:r w:rsidRPr="008E030E">
        <w:rPr>
          <w:sz w:val="24"/>
        </w:rPr>
        <w:t>Part B</w:t>
      </w:r>
      <w:r w:rsidRPr="00C14F11">
        <w:rPr>
          <w:sz w:val="24"/>
        </w:rPr>
        <w:t>—</w:t>
      </w:r>
      <w:r w:rsidRPr="008E030E">
        <w:rPr>
          <w:sz w:val="24"/>
        </w:rPr>
        <w:t>Connection application</w:t>
      </w:r>
    </w:p>
    <w:p w:rsidR="00C14F11" w:rsidRDefault="00C14F11" w:rsidP="00C14F11">
      <w:pPr>
        <w:pStyle w:val="AERbodytext"/>
      </w:pPr>
      <w:r>
        <w:t>Nine respondents provided comments for some or all of the questions contained in the connection application section. Questions from this section of the sur</w:t>
      </w:r>
      <w:r w:rsidRPr="00732D20">
        <w:t xml:space="preserve">vey and an overview of common themes of responses and </w:t>
      </w:r>
      <w:r>
        <w:t>notable</w:t>
      </w:r>
      <w:r w:rsidRPr="00732D20">
        <w:t xml:space="preserve"> comments are highlighted below.</w:t>
      </w:r>
    </w:p>
    <w:p w:rsidR="00C14F11" w:rsidRPr="00C14F11" w:rsidRDefault="00C14F11" w:rsidP="00565AF7">
      <w:pPr>
        <w:pStyle w:val="AERgenericboldheading"/>
        <w:spacing w:after="240" w:line="288" w:lineRule="auto"/>
        <w:rPr>
          <w:szCs w:val="20"/>
        </w:rPr>
      </w:pPr>
      <w:r w:rsidRPr="00C14F11">
        <w:rPr>
          <w:szCs w:val="20"/>
        </w:rPr>
        <w:t xml:space="preserve">1. Negotiated access standards </w:t>
      </w:r>
    </w:p>
    <w:p w:rsidR="00C14F11" w:rsidRDefault="00C14F11" w:rsidP="00C14F11">
      <w:pPr>
        <w:pStyle w:val="AERbodytext"/>
      </w:pPr>
      <w:r w:rsidRPr="009C3934">
        <w:t>For each technical requirement where the proposed arrangement will not meet the automatic access standards nominated by the TNSP</w:t>
      </w:r>
      <w:r w:rsidRPr="008F27DE">
        <w:t xml:space="preserve"> pursuant to clause 5.3.3(b1)</w:t>
      </w:r>
      <w:r w:rsidRPr="009C3934">
        <w:t>, the connection applicant must submit a proposal for a negotiated access with the application to connect.</w:t>
      </w:r>
      <w:r>
        <w:rPr>
          <w:rStyle w:val="FootnoteReference"/>
        </w:rPr>
        <w:footnoteReference w:id="20"/>
      </w:r>
      <w:r>
        <w:t xml:space="preserve"> The TNSP must accept or reject this proposal within 30 business days and if rejected, propose an acceptable alternative to the applicant. The survey asked whether proposals for negotiated access standards were responded to in the required time, whether they were accepted in the first instance, and whether any alternative standards suggested by the TNSP were workable alternatives. </w:t>
      </w:r>
    </w:p>
    <w:p w:rsidR="00C14F11" w:rsidRPr="00732D20" w:rsidRDefault="00C14F11" w:rsidP="00C14F11">
      <w:pPr>
        <w:pStyle w:val="AERbodytext"/>
      </w:pPr>
      <w:r w:rsidRPr="009C0FB8">
        <w:t>Eight</w:t>
      </w:r>
      <w:r w:rsidRPr="00732D20">
        <w:t xml:space="preserve"> parties responded to this question. </w:t>
      </w:r>
      <w:r>
        <w:t xml:space="preserve">Highlights of their comments are below. </w:t>
      </w:r>
    </w:p>
    <w:p w:rsidR="00C14F11" w:rsidRPr="008E030E" w:rsidRDefault="00C14F11" w:rsidP="00C14F11">
      <w:pPr>
        <w:pStyle w:val="AERbodytext"/>
        <w:keepNext/>
        <w:rPr>
          <w:u w:val="single"/>
        </w:rPr>
      </w:pPr>
      <w:r w:rsidRPr="008E030E">
        <w:rPr>
          <w:u w:val="single"/>
        </w:rPr>
        <w:t>Notable comments:</w:t>
      </w:r>
    </w:p>
    <w:p w:rsidR="00C14F11" w:rsidRPr="00123D28" w:rsidRDefault="00C14F11" w:rsidP="00C14F11">
      <w:pPr>
        <w:pStyle w:val="AERbodytext"/>
      </w:pPr>
      <w:r>
        <w:t xml:space="preserve">One respondent submitted a </w:t>
      </w:r>
      <w:r w:rsidRPr="00123D28">
        <w:t xml:space="preserve">negotiated access standards proposal </w:t>
      </w:r>
      <w:r>
        <w:t xml:space="preserve">in </w:t>
      </w:r>
      <w:r w:rsidRPr="00123D28">
        <w:t xml:space="preserve">draft </w:t>
      </w:r>
      <w:r>
        <w:t xml:space="preserve">form </w:t>
      </w:r>
      <w:r w:rsidRPr="00123D28">
        <w:t xml:space="preserve">as power system studies had not been completed at that time. The </w:t>
      </w:r>
      <w:r>
        <w:t xml:space="preserve">TNSP had a long timeframe </w:t>
      </w:r>
      <w:r w:rsidRPr="00123D28">
        <w:t xml:space="preserve">for providing an offer to connect so the finalisation of access standards </w:t>
      </w:r>
      <w:r>
        <w:t>was not considered to be a primary concern</w:t>
      </w:r>
      <w:r w:rsidRPr="00123D28">
        <w:t xml:space="preserve">. </w:t>
      </w:r>
    </w:p>
    <w:p w:rsidR="00C14F11" w:rsidRPr="00123D28" w:rsidRDefault="00C14F11" w:rsidP="00C14F11">
      <w:pPr>
        <w:pStyle w:val="AERbodytext"/>
      </w:pPr>
      <w:r w:rsidRPr="00123D28">
        <w:t xml:space="preserve">One </w:t>
      </w:r>
      <w:r>
        <w:t xml:space="preserve">respondent </w:t>
      </w:r>
      <w:r w:rsidRPr="00123D28">
        <w:t xml:space="preserve">who </w:t>
      </w:r>
      <w:r>
        <w:t>was still</w:t>
      </w:r>
      <w:r w:rsidRPr="00123D28">
        <w:t xml:space="preserve"> </w:t>
      </w:r>
      <w:r>
        <w:t xml:space="preserve">in the process of </w:t>
      </w:r>
      <w:proofErr w:type="gramStart"/>
      <w:r w:rsidRPr="00123D28">
        <w:t>progressing</w:t>
      </w:r>
      <w:proofErr w:type="gramEnd"/>
      <w:r w:rsidRPr="00123D28">
        <w:t xml:space="preserve"> a proposal for a negotiated access standard stated </w:t>
      </w:r>
      <w:r>
        <w:t xml:space="preserve">that it considered </w:t>
      </w:r>
      <w:r w:rsidRPr="00123D28">
        <w:t>other requirements such as AEMO’s standard for po</w:t>
      </w:r>
      <w:r>
        <w:t>wer system data communications</w:t>
      </w:r>
      <w:r w:rsidRPr="00831D80">
        <w:t xml:space="preserve"> </w:t>
      </w:r>
      <w:r>
        <w:t xml:space="preserve">to be </w:t>
      </w:r>
      <w:r w:rsidRPr="00123D28">
        <w:t>bigger issue</w:t>
      </w:r>
      <w:r>
        <w:t xml:space="preserve">s </w:t>
      </w:r>
      <w:r w:rsidRPr="00123D28">
        <w:t>than performance standards</w:t>
      </w:r>
      <w:r>
        <w:t>.</w:t>
      </w:r>
    </w:p>
    <w:p w:rsidR="00C14F11" w:rsidRPr="00123D28" w:rsidRDefault="00C14F11" w:rsidP="00C14F11">
      <w:pPr>
        <w:pStyle w:val="AERbodytext"/>
      </w:pPr>
      <w:r>
        <w:t xml:space="preserve">Another </w:t>
      </w:r>
      <w:r w:rsidRPr="00123D28">
        <w:t xml:space="preserve">respondent considered the TNSP to have a policy of doing all access standard studies themselves, not recognising third party work which had already been undertaken and a reluctance to provide the required information. As a result it was uneconomical to engage a third party to undertake studies and propose the access standards and it engaged the TNSP to perform this work directly. The TNSP </w:t>
      </w:r>
      <w:r>
        <w:t>does</w:t>
      </w:r>
      <w:r w:rsidRPr="00123D28">
        <w:t xml:space="preserve"> not provide the network information that it use</w:t>
      </w:r>
      <w:r>
        <w:t>d</w:t>
      </w:r>
      <w:r w:rsidRPr="00123D28">
        <w:t xml:space="preserve"> for system studies and the information available from AEMO </w:t>
      </w:r>
      <w:r>
        <w:t>did</w:t>
      </w:r>
      <w:r w:rsidRPr="00123D28">
        <w:t xml:space="preserve"> not reflect the information used by the TNSP so it </w:t>
      </w:r>
      <w:r>
        <w:t>was</w:t>
      </w:r>
      <w:r w:rsidRPr="00123D28">
        <w:t xml:space="preserve"> difficult for any third party to replicate the TNSP’s results or to interrogate those results to resolve issues. There were delays when the TNSP encountered issues with its model and there was limited visibility as to what the issues were. This led to a long and expensive </w:t>
      </w:r>
      <w:proofErr w:type="gramStart"/>
      <w:r w:rsidRPr="00123D28">
        <w:t>process,</w:t>
      </w:r>
      <w:proofErr w:type="gramEnd"/>
      <w:r w:rsidRPr="00123D28">
        <w:t xml:space="preserve"> however the TNSP agreed to undertake phased system studies on more than one supplier which assisted in a tendering process. </w:t>
      </w:r>
    </w:p>
    <w:p w:rsidR="00C14F11" w:rsidRPr="00123D28" w:rsidRDefault="00C14F11" w:rsidP="00C14F11">
      <w:pPr>
        <w:pStyle w:val="AERbodytext"/>
      </w:pPr>
      <w:r>
        <w:lastRenderedPageBreak/>
        <w:t xml:space="preserve">Two respondents commented on the iterative nature of developing standards. One noted that </w:t>
      </w:r>
      <w:r w:rsidRPr="00123D28">
        <w:t>the TNSP has been helpful in developing engineering solutions</w:t>
      </w:r>
      <w:r>
        <w:t>, but where</w:t>
      </w:r>
      <w:r w:rsidRPr="00123D28">
        <w:t xml:space="preserve"> AEMO sign off has been required it has become quite an involved process.</w:t>
      </w:r>
      <w:r>
        <w:t xml:space="preserve"> Another is in the process of negotiating a number of amendments to the Use of System Agreements which include access standards. </w:t>
      </w:r>
    </w:p>
    <w:p w:rsidR="00C14F11" w:rsidRPr="00C14F11" w:rsidRDefault="00C14F11" w:rsidP="00565AF7">
      <w:pPr>
        <w:pStyle w:val="AERgenericboldheading"/>
        <w:spacing w:after="240" w:line="288" w:lineRule="auto"/>
        <w:rPr>
          <w:szCs w:val="20"/>
        </w:rPr>
      </w:pPr>
      <w:r w:rsidRPr="00C14F11">
        <w:rPr>
          <w:szCs w:val="20"/>
        </w:rPr>
        <w:t>2. Offer to connect</w:t>
      </w:r>
    </w:p>
    <w:p w:rsidR="00C14F11" w:rsidRDefault="00C14F11" w:rsidP="00C14F11">
      <w:pPr>
        <w:pStyle w:val="AERbodytext"/>
      </w:pPr>
      <w:r>
        <w:t>The TNSP must make an offer to connect within the timeframe set out in the (original or modified) preliminary program.</w:t>
      </w:r>
      <w:r>
        <w:rPr>
          <w:rStyle w:val="FootnoteReference"/>
        </w:rPr>
        <w:footnoteReference w:id="21"/>
      </w:r>
      <w:r>
        <w:t xml:space="preserve"> The offer to connect must contain terms and conditions as specified by clauses 5.3.6(b) and (b1). The survey asked for details on any changes made to the original preliminary program, whether the offer to connect was made within the timeframe specified in that program, whether the time taken to process the application was considered to be reasonable, whether terms and conditions were transparent and whether the connection agreement was presented in a comprehendible way.</w:t>
      </w:r>
    </w:p>
    <w:p w:rsidR="00C14F11" w:rsidRPr="00732D20" w:rsidRDefault="00C14F11" w:rsidP="00C14F11">
      <w:pPr>
        <w:pStyle w:val="AERbodytext"/>
      </w:pPr>
      <w:r w:rsidRPr="009C0FB8">
        <w:t>Nine</w:t>
      </w:r>
      <w:r w:rsidRPr="00732D20">
        <w:t xml:space="preserve"> parties responded to this question. </w:t>
      </w:r>
      <w:r>
        <w:t xml:space="preserve">Highlights of their comments are below. </w:t>
      </w:r>
    </w:p>
    <w:p w:rsidR="00C14F11" w:rsidRPr="00791174" w:rsidRDefault="00C14F11" w:rsidP="00C14F11">
      <w:pPr>
        <w:pStyle w:val="AERbodytext"/>
        <w:keepNext/>
        <w:rPr>
          <w:u w:val="single"/>
        </w:rPr>
      </w:pPr>
      <w:r w:rsidRPr="00791174">
        <w:rPr>
          <w:u w:val="single"/>
        </w:rPr>
        <w:t>Notable comments:</w:t>
      </w:r>
    </w:p>
    <w:p w:rsidR="00C14F11" w:rsidRDefault="00C14F11" w:rsidP="00C14F11">
      <w:pPr>
        <w:pStyle w:val="AERbodytext"/>
      </w:pPr>
      <w:r>
        <w:t xml:space="preserve">Three respondents commented that the overall time taken to process the application was reasonable. One of these respondents noted that bringing </w:t>
      </w:r>
      <w:r w:rsidRPr="00E20240">
        <w:t xml:space="preserve">technical experts into discussions caused some </w:t>
      </w:r>
      <w:proofErr w:type="gramStart"/>
      <w:r w:rsidRPr="00E20240">
        <w:t>delays</w:t>
      </w:r>
      <w:r>
        <w:t>,</w:t>
      </w:r>
      <w:proofErr w:type="gramEnd"/>
      <w:r>
        <w:t xml:space="preserve"> another considered that the time for undertaking access standards studies was drawn out, while the third noted that while agreements were presented in an understandable way, it sought clarification from the TNSP on the proposed terms and conditions. </w:t>
      </w:r>
    </w:p>
    <w:p w:rsidR="00C14F11" w:rsidRPr="00E20240" w:rsidRDefault="00C14F11" w:rsidP="00C14F11">
      <w:pPr>
        <w:pStyle w:val="AERbodytext"/>
      </w:pPr>
      <w:r>
        <w:t xml:space="preserve">One respondent stated that its </w:t>
      </w:r>
      <w:r w:rsidRPr="00E20240">
        <w:t xml:space="preserve">connection application was planned to coincide with a major network upgrade and the TNSP fast tracked </w:t>
      </w:r>
      <w:r>
        <w:t xml:space="preserve">the </w:t>
      </w:r>
      <w:r w:rsidRPr="00E20240">
        <w:t xml:space="preserve">application </w:t>
      </w:r>
      <w:r>
        <w:t xml:space="preserve">to fit </w:t>
      </w:r>
      <w:r w:rsidRPr="00E20240">
        <w:t xml:space="preserve">with the available timeframe. </w:t>
      </w:r>
    </w:p>
    <w:p w:rsidR="00C14F11" w:rsidRDefault="00C14F11" w:rsidP="00C14F11">
      <w:pPr>
        <w:pStyle w:val="AERbodytext"/>
      </w:pPr>
      <w:r>
        <w:t xml:space="preserve">Another respondent noted delays to its project. </w:t>
      </w:r>
      <w:r w:rsidR="0061793E">
        <w:t>It claimed that t</w:t>
      </w:r>
      <w:r w:rsidRPr="00E20240">
        <w:t xml:space="preserve">he TNSP </w:t>
      </w:r>
      <w:r w:rsidRPr="0061793E">
        <w:t>provided a timeframe verbally at the start of the project (</w:t>
      </w:r>
      <w:r w:rsidR="0061793E" w:rsidRPr="0061793E">
        <w:t xml:space="preserve">but </w:t>
      </w:r>
      <w:r w:rsidRPr="0061793E">
        <w:t>no preliminary program was provided) and no formal timeframe updates were provided</w:t>
      </w:r>
      <w:r w:rsidRPr="00E20240">
        <w:t xml:space="preserve"> for the steps required to sign a connection agreement or for the connection itself. </w:t>
      </w:r>
      <w:r>
        <w:t>It considered the v</w:t>
      </w:r>
      <w:r w:rsidRPr="00E20240">
        <w:t xml:space="preserve">erbally indicated timeframes for connection offer </w:t>
      </w:r>
      <w:r>
        <w:t>and connection to be unreasonably long</w:t>
      </w:r>
      <w:r w:rsidRPr="00E20240">
        <w:t xml:space="preserve"> </w:t>
      </w:r>
      <w:r>
        <w:t xml:space="preserve">(the respondent considered these </w:t>
      </w:r>
      <w:r w:rsidRPr="00E20240">
        <w:t xml:space="preserve">could be undertaken </w:t>
      </w:r>
      <w:r>
        <w:t>much</w:t>
      </w:r>
      <w:r w:rsidRPr="00E20240">
        <w:t xml:space="preserve"> quicker by </w:t>
      </w:r>
      <w:r>
        <w:t xml:space="preserve">a private company) </w:t>
      </w:r>
      <w:r w:rsidRPr="00E20240">
        <w:t xml:space="preserve">and </w:t>
      </w:r>
      <w:r>
        <w:t xml:space="preserve">the respondent considered </w:t>
      </w:r>
      <w:r w:rsidRPr="00E20240">
        <w:t xml:space="preserve">there </w:t>
      </w:r>
      <w:r>
        <w:t xml:space="preserve">to be </w:t>
      </w:r>
      <w:r w:rsidRPr="00E20240">
        <w:t xml:space="preserve">no transparency regarding the work being undertaken by the TNSP. </w:t>
      </w:r>
    </w:p>
    <w:p w:rsidR="00C14F11" w:rsidRDefault="00C14F11" w:rsidP="00C14F11">
      <w:pPr>
        <w:pStyle w:val="AERbodytext"/>
      </w:pPr>
      <w:r w:rsidRPr="009C0FB8">
        <w:t>One respondent raised concerns with the risk margins included in the terms and conditions. It</w:t>
      </w:r>
      <w:r>
        <w:t xml:space="preserve"> considered that the TNSP's liability regime placed all of the </w:t>
      </w:r>
      <w:r w:rsidRPr="00E20240">
        <w:t xml:space="preserve">risk on the applicant and </w:t>
      </w:r>
      <w:r>
        <w:t>the</w:t>
      </w:r>
      <w:r w:rsidRPr="00E20240">
        <w:t xml:space="preserve"> termination regime guaranteed the TNSP </w:t>
      </w:r>
      <w:r>
        <w:t>would be paid</w:t>
      </w:r>
      <w:r w:rsidRPr="00E20240">
        <w:t xml:space="preserve">, particularly since terms and conditions of connection were </w:t>
      </w:r>
      <w:r>
        <w:t>not negotiable</w:t>
      </w:r>
      <w:r w:rsidRPr="00E20240">
        <w:t>.</w:t>
      </w:r>
    </w:p>
    <w:p w:rsidR="00C14F11" w:rsidRPr="00E20240" w:rsidRDefault="00C14F11" w:rsidP="00C14F11">
      <w:pPr>
        <w:pStyle w:val="AERbodytext"/>
      </w:pPr>
      <w:r>
        <w:t>One responded commented that a</w:t>
      </w:r>
      <w:r w:rsidRPr="00E20240">
        <w:t xml:space="preserve">t times it has been possible to engage a consultant to conduct a full assessment of the terms and conditions </w:t>
      </w:r>
      <w:r>
        <w:t xml:space="preserve">proposed in the </w:t>
      </w:r>
      <w:r w:rsidRPr="00E20240">
        <w:t>access</w:t>
      </w:r>
      <w:r>
        <w:t xml:space="preserve"> agreement</w:t>
      </w:r>
      <w:r w:rsidRPr="00E20240">
        <w:t xml:space="preserve">, however the quality of independent expertise </w:t>
      </w:r>
      <w:r>
        <w:t>is very much</w:t>
      </w:r>
      <w:r w:rsidRPr="00E20240">
        <w:t xml:space="preserve"> </w:t>
      </w:r>
      <w:r>
        <w:t xml:space="preserve">dependant on </w:t>
      </w:r>
      <w:r w:rsidRPr="00E20240">
        <w:t>the experience of staff w</w:t>
      </w:r>
      <w:r>
        <w:t>ithin consulting businesses.</w:t>
      </w:r>
    </w:p>
    <w:p w:rsidR="00C14F11" w:rsidRPr="00C14F11" w:rsidRDefault="00C14F11" w:rsidP="00565AF7">
      <w:pPr>
        <w:pStyle w:val="AERgenericboldheading"/>
        <w:spacing w:after="240" w:line="288" w:lineRule="auto"/>
        <w:rPr>
          <w:szCs w:val="20"/>
        </w:rPr>
      </w:pPr>
      <w:r w:rsidRPr="00C14F11">
        <w:rPr>
          <w:szCs w:val="20"/>
        </w:rPr>
        <w:lastRenderedPageBreak/>
        <w:t>3. Cost</w:t>
      </w:r>
    </w:p>
    <w:p w:rsidR="00C14F11" w:rsidRDefault="00C14F11" w:rsidP="00C14F11">
      <w:pPr>
        <w:pStyle w:val="AERbodytext"/>
      </w:pPr>
      <w:r>
        <w:t>The TNSP’s offer to connect must be ‘fair and reasonable’ and consistent with the reliable operation of the power system.</w:t>
      </w:r>
      <w:r>
        <w:rPr>
          <w:rStyle w:val="FootnoteReference"/>
        </w:rPr>
        <w:footnoteReference w:id="22"/>
      </w:r>
      <w:r>
        <w:t xml:space="preserve"> The survey asked whether the applicant considered the offer made by the TNSP to be fair and reasonable and whether any cost breakdown was provided by the TNSP enabled negotiation of proposed connection costs. </w:t>
      </w:r>
    </w:p>
    <w:p w:rsidR="00C14F11" w:rsidRPr="00732D20" w:rsidRDefault="00C14F11" w:rsidP="00C14F11">
      <w:pPr>
        <w:pStyle w:val="AERbodytext"/>
      </w:pPr>
      <w:r w:rsidRPr="009C0FB8">
        <w:t>Nine</w:t>
      </w:r>
      <w:r w:rsidRPr="00732D20">
        <w:t xml:space="preserve"> parties responded to this question. </w:t>
      </w:r>
      <w:r>
        <w:t xml:space="preserve">Highlights of their comments are below. </w:t>
      </w:r>
    </w:p>
    <w:p w:rsidR="00C14F11" w:rsidRPr="00294DD8" w:rsidRDefault="00C14F11" w:rsidP="00C14F11">
      <w:pPr>
        <w:pStyle w:val="AERbodytext"/>
        <w:keepNext/>
        <w:rPr>
          <w:u w:val="single"/>
        </w:rPr>
      </w:pPr>
      <w:r w:rsidRPr="00294DD8">
        <w:rPr>
          <w:u w:val="single"/>
        </w:rPr>
        <w:t>Notable comments:</w:t>
      </w:r>
    </w:p>
    <w:p w:rsidR="00C14F11" w:rsidRDefault="00C14F11" w:rsidP="00C14F11">
      <w:pPr>
        <w:pStyle w:val="AERbodytext"/>
      </w:pPr>
      <w:r>
        <w:t xml:space="preserve">One respondent commented that the offer to connect was fair and reasonable, while another considered that only the technical aspects of the offer were fair and reasonable. </w:t>
      </w:r>
    </w:p>
    <w:p w:rsidR="00C14F11" w:rsidRDefault="00C14F11" w:rsidP="00C14F11">
      <w:pPr>
        <w:pStyle w:val="AERbodytext"/>
      </w:pPr>
      <w:r>
        <w:t>Another respondent considered</w:t>
      </w:r>
      <w:r w:rsidRPr="0064034E">
        <w:t xml:space="preserve"> costs to be high and </w:t>
      </w:r>
      <w:r>
        <w:t xml:space="preserve">the </w:t>
      </w:r>
      <w:r w:rsidRPr="0064034E">
        <w:t xml:space="preserve">time required to implement </w:t>
      </w:r>
      <w:r>
        <w:t xml:space="preserve">the connection </w:t>
      </w:r>
      <w:r w:rsidRPr="0064034E">
        <w:t xml:space="preserve">to be lengthy, but this was driven by the complexity of the connection point. </w:t>
      </w:r>
      <w:r>
        <w:t>The costs were supported by i</w:t>
      </w:r>
      <w:r w:rsidRPr="0064034E">
        <w:t>nformation available publically and results of studies undertaken by the TNSP (</w:t>
      </w:r>
      <w:r>
        <w:t xml:space="preserve">which were </w:t>
      </w:r>
      <w:r w:rsidRPr="0064034E">
        <w:t xml:space="preserve">sometimes also verified by an independent consultant). </w:t>
      </w:r>
    </w:p>
    <w:p w:rsidR="00C14F11" w:rsidRDefault="00C14F11" w:rsidP="00C14F11">
      <w:pPr>
        <w:pStyle w:val="AERbodytext"/>
      </w:pPr>
      <w:r>
        <w:t>One respondent commented that there was n</w:t>
      </w:r>
      <w:r w:rsidRPr="0064034E">
        <w:t xml:space="preserve">o transparency in costs which made it difficult to determine whether the offer was fair and reasonable. </w:t>
      </w:r>
    </w:p>
    <w:p w:rsidR="00C14F11" w:rsidRPr="00294DD8" w:rsidRDefault="00C14F11" w:rsidP="00C14F11">
      <w:pPr>
        <w:pStyle w:val="AERbodytext"/>
        <w:rPr>
          <w:u w:val="single"/>
        </w:rPr>
      </w:pPr>
      <w:r w:rsidRPr="00294DD8">
        <w:rPr>
          <w:u w:val="single"/>
        </w:rPr>
        <w:t>The following comments were made by respondents who considered that the offer presented by the TNSP was not fair and reasonable:</w:t>
      </w:r>
    </w:p>
    <w:p w:rsidR="00C14F11" w:rsidRDefault="00C14F11" w:rsidP="00BA3581">
      <w:pPr>
        <w:pStyle w:val="AERbulletlistsecondstyle"/>
      </w:pPr>
      <w:r>
        <w:t>T</w:t>
      </w:r>
      <w:r w:rsidRPr="0064034E">
        <w:t xml:space="preserve">he commercial returns for the TNSP during the connection application process and charges </w:t>
      </w:r>
      <w:r>
        <w:t xml:space="preserve">outlined </w:t>
      </w:r>
      <w:r w:rsidRPr="0064034E">
        <w:t xml:space="preserve">in the offer to connect were considered excessive for a monopoly non-regulated business compared to regulated returns and considering the lower risk profile. The cost transparency for annual connection charges is </w:t>
      </w:r>
      <w:r>
        <w:t xml:space="preserve">not </w:t>
      </w:r>
      <w:r w:rsidRPr="0064034E">
        <w:t xml:space="preserve">adequate and not what </w:t>
      </w:r>
      <w:r>
        <w:t>the respondent</w:t>
      </w:r>
      <w:r w:rsidRPr="0064034E">
        <w:t xml:space="preserve"> would consider </w:t>
      </w:r>
      <w:proofErr w:type="gramStart"/>
      <w:r w:rsidRPr="0064034E">
        <w:t>to be</w:t>
      </w:r>
      <w:proofErr w:type="gramEnd"/>
      <w:r w:rsidRPr="0064034E">
        <w:t xml:space="preserve"> in line with the intention of the </w:t>
      </w:r>
      <w:r>
        <w:t>Electricity Rules.</w:t>
      </w:r>
    </w:p>
    <w:p w:rsidR="00C14F11" w:rsidRDefault="00C14F11" w:rsidP="00BA3581">
      <w:pPr>
        <w:pStyle w:val="AERbulletlistsecondstyle"/>
      </w:pPr>
      <w:r>
        <w:t xml:space="preserve">Only cost estimates have been provided for the project so far, </w:t>
      </w:r>
      <w:r w:rsidRPr="0064034E">
        <w:t xml:space="preserve">but these are considered to be significantly higher than if a private contractor </w:t>
      </w:r>
      <w:r>
        <w:t xml:space="preserve">was hired </w:t>
      </w:r>
      <w:r w:rsidRPr="0064034E">
        <w:t xml:space="preserve">to carry out the same works. </w:t>
      </w:r>
    </w:p>
    <w:p w:rsidR="00C14F11" w:rsidRPr="0064034E" w:rsidRDefault="00C14F11" w:rsidP="00BA3581">
      <w:pPr>
        <w:pStyle w:val="AERbulletlistsecondstyle"/>
      </w:pPr>
      <w:r>
        <w:t xml:space="preserve">There can be </w:t>
      </w:r>
      <w:r w:rsidRPr="0064034E">
        <w:t>an assumption by the TNSP that the connecting generator should fund the full cost of all works required to raise network performance to full compliance, even if the network is not compliant before the new connection</w:t>
      </w:r>
      <w:r>
        <w:t xml:space="preserve"> is constructed</w:t>
      </w:r>
      <w:r w:rsidRPr="0064034E">
        <w:t xml:space="preserve">. Network and SCADA costs are sometimes charged even when the applicant proposes solutions which would ensure compliance (such as not generating </w:t>
      </w:r>
      <w:r>
        <w:t xml:space="preserve">at the new connection point </w:t>
      </w:r>
      <w:r w:rsidRPr="0064034E">
        <w:t xml:space="preserve">at certain times). </w:t>
      </w:r>
    </w:p>
    <w:p w:rsidR="00C14F11" w:rsidRDefault="00C14F11" w:rsidP="00BA3581">
      <w:pPr>
        <w:pStyle w:val="AERbulletlistsecondstyle"/>
      </w:pPr>
      <w:r>
        <w:t xml:space="preserve">The cost breakdown contained in the offer was reasonable given the complexity of the project – the connection impacted on many terminal stations and the distribution network but the TNSP provided a solution that was well presented and represented what the respondent considered to be lowest cost. </w:t>
      </w:r>
    </w:p>
    <w:p w:rsidR="00C14F11" w:rsidRDefault="00C14F11" w:rsidP="00BA3581">
      <w:pPr>
        <w:pStyle w:val="AERbulletlistsecondstyle"/>
      </w:pPr>
      <w:r>
        <w:t xml:space="preserve">The cost breakdown was not </w:t>
      </w:r>
      <w:r w:rsidR="0061793E" w:rsidRPr="0061793E">
        <w:t xml:space="preserve">considered to be </w:t>
      </w:r>
      <w:r w:rsidRPr="0061793E">
        <w:t xml:space="preserve">adequate </w:t>
      </w:r>
      <w:r w:rsidR="0061793E" w:rsidRPr="0061793E">
        <w:t xml:space="preserve">or </w:t>
      </w:r>
      <w:r w:rsidRPr="0061793E">
        <w:t>in line with the intentions of the Electricity Rules.</w:t>
      </w:r>
      <w:r>
        <w:t xml:space="preserve"> Actual capital costs were not disclosed which did not provide transparency </w:t>
      </w:r>
      <w:r>
        <w:lastRenderedPageBreak/>
        <w:t xml:space="preserve">of the returns for the TNSP or allow an assessment of value for money or commercial competitiveness. </w:t>
      </w:r>
    </w:p>
    <w:p w:rsidR="00C14F11" w:rsidRDefault="00C14F11" w:rsidP="00BA3581">
      <w:pPr>
        <w:pStyle w:val="AERbulletlistsecondstyle"/>
      </w:pPr>
      <w:r>
        <w:t>A cost breakdown was not provided, and a</w:t>
      </w:r>
      <w:r w:rsidRPr="0064034E">
        <w:t xml:space="preserve"> separation of negotiated and contestable costs, and transparency around the amortisation of costs would have been useful</w:t>
      </w:r>
      <w:r>
        <w:t xml:space="preserve">. </w:t>
      </w:r>
    </w:p>
    <w:p w:rsidR="00C14F11" w:rsidRPr="00C14F11" w:rsidRDefault="00C14F11" w:rsidP="00565AF7">
      <w:pPr>
        <w:pStyle w:val="AERgenericboldheading"/>
        <w:spacing w:after="240" w:line="288" w:lineRule="auto"/>
        <w:rPr>
          <w:szCs w:val="20"/>
        </w:rPr>
      </w:pPr>
      <w:r w:rsidRPr="00C14F11">
        <w:rPr>
          <w:szCs w:val="20"/>
        </w:rPr>
        <w:t>4. Design</w:t>
      </w:r>
    </w:p>
    <w:p w:rsidR="00C14F11" w:rsidRDefault="00C14F11" w:rsidP="00C14F11">
      <w:pPr>
        <w:pStyle w:val="AERbodytext"/>
      </w:pPr>
      <w:r>
        <w:t>The TNSP must use reasonable endeavours to provide an offer to connect in accordance with reasonable requirements of the connection applicant, such as location and levels of service.</w:t>
      </w:r>
      <w:r>
        <w:rPr>
          <w:rStyle w:val="FootnoteReference"/>
        </w:rPr>
        <w:footnoteReference w:id="23"/>
      </w:r>
      <w:r>
        <w:t xml:space="preserve"> The offer may contain various options with respect to these aspects. The survey asked whether the applicant considered the TNSP’s proposed design of the connection to be fair and reasonable and whether options which could support the connection were adequately considered and proposed by the TNSP. </w:t>
      </w:r>
    </w:p>
    <w:p w:rsidR="00C14F11" w:rsidRPr="00732D20" w:rsidRDefault="00C14F11" w:rsidP="00C14F11">
      <w:pPr>
        <w:pStyle w:val="AERbodytext"/>
      </w:pPr>
      <w:r w:rsidRPr="009C0FB8">
        <w:t>Nine</w:t>
      </w:r>
      <w:r w:rsidRPr="00732D20">
        <w:t xml:space="preserve"> parties responded to this question. </w:t>
      </w:r>
      <w:r>
        <w:t xml:space="preserve">Six commented that the design proposed by the TNSP was fair and reasonable, while others did not respond directly to the question. Numerous options for the connection were provided to six respondents, </w:t>
      </w:r>
      <w:r w:rsidRPr="002F708C">
        <w:t>while two were presented with only one option</w:t>
      </w:r>
      <w:r>
        <w:t xml:space="preserve">. Highlights of comments are below. </w:t>
      </w:r>
    </w:p>
    <w:p w:rsidR="00C14F11" w:rsidRPr="003875F9" w:rsidRDefault="00C14F11" w:rsidP="00C14F11">
      <w:pPr>
        <w:pStyle w:val="AERbodytext"/>
        <w:keepNext/>
        <w:rPr>
          <w:u w:val="single"/>
        </w:rPr>
      </w:pPr>
      <w:r w:rsidRPr="003875F9">
        <w:rPr>
          <w:u w:val="single"/>
        </w:rPr>
        <w:t>Notable comments:</w:t>
      </w:r>
    </w:p>
    <w:p w:rsidR="00C14F11" w:rsidRDefault="00C14F11" w:rsidP="00C14F11">
      <w:pPr>
        <w:pStyle w:val="AERbodytext"/>
      </w:pPr>
      <w:r>
        <w:t>One respondent c</w:t>
      </w:r>
      <w:r w:rsidRPr="00EB2090">
        <w:t xml:space="preserve">onsidered </w:t>
      </w:r>
      <w:r>
        <w:t xml:space="preserve">that although </w:t>
      </w:r>
      <w:r w:rsidRPr="00EB2090">
        <w:t xml:space="preserve">the </w:t>
      </w:r>
      <w:r>
        <w:t>TNSP understood the n</w:t>
      </w:r>
      <w:r w:rsidRPr="00EB2090">
        <w:t>etwork reliab</w:t>
      </w:r>
      <w:r>
        <w:t>ility and security requirements, the</w:t>
      </w:r>
      <w:r w:rsidRPr="00EB2090">
        <w:t xml:space="preserve"> final design requirements for the non-contestable works </w:t>
      </w:r>
      <w:r>
        <w:t>were</w:t>
      </w:r>
      <w:r w:rsidRPr="00EB2090">
        <w:t xml:space="preserve"> overdesigned compared to the level of risk acceptable for the type of connection sought.</w:t>
      </w:r>
    </w:p>
    <w:p w:rsidR="00C14F11" w:rsidRDefault="00C14F11" w:rsidP="00C14F11">
      <w:pPr>
        <w:pStyle w:val="AERbodytext"/>
      </w:pPr>
      <w:r>
        <w:t xml:space="preserve">Another respondent commented </w:t>
      </w:r>
      <w:r w:rsidRPr="00EB2090">
        <w:t xml:space="preserve">that the </w:t>
      </w:r>
      <w:r w:rsidRPr="0064034E">
        <w:t>connection require</w:t>
      </w:r>
      <w:r>
        <w:t>d</w:t>
      </w:r>
      <w:r w:rsidRPr="0064034E">
        <w:t xml:space="preserve"> the construction of a new switchyard. The location chosen by the TNSP </w:t>
      </w:r>
      <w:r>
        <w:t xml:space="preserve">differed from the </w:t>
      </w:r>
      <w:r w:rsidRPr="0064034E">
        <w:t xml:space="preserve">proposed location, </w:t>
      </w:r>
      <w:r>
        <w:t>and appeared</w:t>
      </w:r>
      <w:r w:rsidRPr="0064034E">
        <w:t xml:space="preserve"> to be one that will be convenient for the TNSP for potential fut</w:t>
      </w:r>
      <w:r>
        <w:t xml:space="preserve">ure use of the infrastructure. </w:t>
      </w:r>
      <w:r w:rsidRPr="0064034E">
        <w:t xml:space="preserve">This will lead to higher costs than the proposed location as it requires investment in </w:t>
      </w:r>
      <w:r>
        <w:t xml:space="preserve">an </w:t>
      </w:r>
      <w:r w:rsidRPr="0064034E">
        <w:t xml:space="preserve">additional transmission line. The </w:t>
      </w:r>
      <w:r>
        <w:t>respondent</w:t>
      </w:r>
      <w:r w:rsidRPr="0064034E">
        <w:t xml:space="preserve"> considers that the </w:t>
      </w:r>
      <w:r>
        <w:t xml:space="preserve">alternate location it </w:t>
      </w:r>
      <w:r w:rsidRPr="0064034E">
        <w:t>proposed does not create any reliability or safety impacts on the power system.</w:t>
      </w:r>
    </w:p>
    <w:p w:rsidR="00C14F11" w:rsidRPr="00EB2090" w:rsidRDefault="00C14F11" w:rsidP="00C14F11">
      <w:pPr>
        <w:pStyle w:val="AERbodytext"/>
      </w:pPr>
      <w:r>
        <w:t xml:space="preserve">Two respondents noted that while they suggested various options to the TNSP, the TNSP’s offer included only one design option. </w:t>
      </w:r>
    </w:p>
    <w:p w:rsidR="00C14F11" w:rsidRPr="00C14F11" w:rsidRDefault="00C14F11" w:rsidP="00565AF7">
      <w:pPr>
        <w:pStyle w:val="AERgenericboldheading"/>
        <w:spacing w:after="240" w:line="288" w:lineRule="auto"/>
        <w:rPr>
          <w:szCs w:val="20"/>
        </w:rPr>
      </w:pPr>
      <w:r w:rsidRPr="00C14F11">
        <w:rPr>
          <w:szCs w:val="20"/>
        </w:rPr>
        <w:t>5. Responsiveness</w:t>
      </w:r>
    </w:p>
    <w:p w:rsidR="00C14F11" w:rsidRDefault="00C14F11" w:rsidP="00C14F11">
      <w:pPr>
        <w:pStyle w:val="AERbodytext"/>
      </w:pPr>
      <w:r>
        <w:t xml:space="preserve">The survey asked whether the applicant considered the </w:t>
      </w:r>
      <w:r w:rsidRPr="00934EAC">
        <w:t xml:space="preserve">TNSP provided sufficient time and access to relevant personnel to discuss and negotiate terms of the connection agreement and whether negotiations </w:t>
      </w:r>
      <w:r>
        <w:t xml:space="preserve">were </w:t>
      </w:r>
      <w:r w:rsidRPr="00934EAC">
        <w:t xml:space="preserve">undertaken in good faith. </w:t>
      </w:r>
    </w:p>
    <w:p w:rsidR="00C14F11" w:rsidRPr="00732D20" w:rsidRDefault="00C14F11" w:rsidP="00C14F11">
      <w:pPr>
        <w:pStyle w:val="AERbodytext"/>
      </w:pPr>
      <w:r w:rsidRPr="009C0FB8">
        <w:t>Nine</w:t>
      </w:r>
      <w:r w:rsidRPr="00732D20">
        <w:t xml:space="preserve"> parties responded to this question. </w:t>
      </w:r>
      <w:r>
        <w:t xml:space="preserve">Six were satisfied that the TNSP provided sufficient time and access to staff to negotiate the connection, while three did not consider this to be the case. All respondents considered that the TNSP acted in good faith when negotiating the connection agreement. </w:t>
      </w:r>
    </w:p>
    <w:p w:rsidR="00C14F11" w:rsidRPr="00B54D1D" w:rsidRDefault="00C14F11" w:rsidP="00C14F11">
      <w:pPr>
        <w:pStyle w:val="AERbodytext"/>
        <w:keepNext/>
        <w:rPr>
          <w:u w:val="single"/>
        </w:rPr>
      </w:pPr>
      <w:r w:rsidRPr="00B54D1D">
        <w:rPr>
          <w:u w:val="single"/>
        </w:rPr>
        <w:lastRenderedPageBreak/>
        <w:t>Notable comments:</w:t>
      </w:r>
    </w:p>
    <w:p w:rsidR="00C14F11" w:rsidRDefault="00C14F11" w:rsidP="00C14F11">
      <w:pPr>
        <w:pStyle w:val="AERbodytext"/>
      </w:pPr>
      <w:r>
        <w:t xml:space="preserve">Three respondents considered the responsiveness of the respective TNSPs to be poor. All noted that the contact person they were given at the TNSP had changed numerous times during their projects. The contact persons were often not responsive to enquiries, sometimes requiring repeated contact from the applicant before progress updates were provided. These respondents noted that the TNSP was not forthcoming in arranging meetings or discussions to resolve technical queries, with one noting that no opportunity was provided to meet with the TNSP’s technical experts. </w:t>
      </w:r>
    </w:p>
    <w:p w:rsidR="00C14F11" w:rsidRPr="00934EAC" w:rsidRDefault="00C14F11" w:rsidP="00C14F11">
      <w:pPr>
        <w:pStyle w:val="AERbodytext"/>
      </w:pPr>
      <w:r>
        <w:t>One respondent noted that its designated contact person had no technical knowledge which did not assist the process.</w:t>
      </w:r>
    </w:p>
    <w:p w:rsidR="00C14F11" w:rsidRPr="00C14F11" w:rsidRDefault="00C14F11" w:rsidP="00565AF7">
      <w:pPr>
        <w:pStyle w:val="AERgenericboldheading"/>
        <w:spacing w:after="240" w:line="288" w:lineRule="auto"/>
        <w:rPr>
          <w:sz w:val="24"/>
        </w:rPr>
      </w:pPr>
      <w:r w:rsidRPr="008E030E">
        <w:rPr>
          <w:sz w:val="24"/>
        </w:rPr>
        <w:t>Part C</w:t>
      </w:r>
      <w:r w:rsidRPr="00C14F11">
        <w:rPr>
          <w:sz w:val="24"/>
        </w:rPr>
        <w:t>—</w:t>
      </w:r>
      <w:proofErr w:type="gramStart"/>
      <w:r w:rsidRPr="008E030E">
        <w:rPr>
          <w:sz w:val="24"/>
        </w:rPr>
        <w:t>Overall</w:t>
      </w:r>
      <w:proofErr w:type="gramEnd"/>
      <w:r w:rsidRPr="008E030E">
        <w:rPr>
          <w:sz w:val="24"/>
        </w:rPr>
        <w:t xml:space="preserve"> experience</w:t>
      </w:r>
    </w:p>
    <w:p w:rsidR="00C14F11" w:rsidRDefault="00C14F11" w:rsidP="00C14F11">
      <w:pPr>
        <w:pStyle w:val="AERbodytext"/>
      </w:pPr>
      <w:r w:rsidRPr="009C0FB8">
        <w:t>Twelve</w:t>
      </w:r>
      <w:r>
        <w:t xml:space="preserve"> respondents provided comments for some or all of the overall experience section. Questions from this section of the sur</w:t>
      </w:r>
      <w:r w:rsidRPr="00732D20">
        <w:t xml:space="preserve">vey and an overview of common themes of responses and </w:t>
      </w:r>
      <w:r>
        <w:t>notable</w:t>
      </w:r>
      <w:r w:rsidRPr="00732D20">
        <w:t xml:space="preserve"> comments are highlighted below.</w:t>
      </w:r>
    </w:p>
    <w:p w:rsidR="00C14F11" w:rsidRPr="00C14F11" w:rsidRDefault="00C14F11" w:rsidP="00565AF7">
      <w:pPr>
        <w:pStyle w:val="AERgenericboldheading"/>
        <w:spacing w:after="240" w:line="288" w:lineRule="auto"/>
        <w:rPr>
          <w:szCs w:val="20"/>
        </w:rPr>
      </w:pPr>
      <w:r w:rsidRPr="00C14F11">
        <w:rPr>
          <w:szCs w:val="20"/>
        </w:rPr>
        <w:t>1. TNSP performance in connection process</w:t>
      </w:r>
    </w:p>
    <w:p w:rsidR="00C14F11" w:rsidRDefault="00C14F11" w:rsidP="00C14F11">
      <w:pPr>
        <w:pStyle w:val="AERbodytext"/>
      </w:pPr>
      <w:r>
        <w:t xml:space="preserve">The survey sought comments on the TNSP’s performance throughout the connection process. </w:t>
      </w:r>
    </w:p>
    <w:p w:rsidR="00C14F11" w:rsidRDefault="00C14F11" w:rsidP="00C14F11">
      <w:pPr>
        <w:pStyle w:val="AERbodytext"/>
      </w:pPr>
      <w:r w:rsidRPr="009C0FB8">
        <w:t>Twelve</w:t>
      </w:r>
      <w:r w:rsidRPr="00732D20">
        <w:t xml:space="preserve"> parties responded to this question. </w:t>
      </w:r>
      <w:r>
        <w:t>Seven were satisfied with the TNSP’s overall performance, while others did not respond directly to the question. Comments from all respondents are summarised below.</w:t>
      </w:r>
    </w:p>
    <w:p w:rsidR="00C14F11" w:rsidRPr="000D49EA" w:rsidRDefault="00C14F11" w:rsidP="00C14F11">
      <w:pPr>
        <w:pStyle w:val="AERbodytext"/>
        <w:keepNext/>
        <w:rPr>
          <w:u w:val="single"/>
        </w:rPr>
      </w:pPr>
      <w:r w:rsidRPr="000D49EA">
        <w:rPr>
          <w:u w:val="single"/>
        </w:rPr>
        <w:t>Respondents who expressed satisfaction with the TNSP’s performance made the following comments:</w:t>
      </w:r>
    </w:p>
    <w:p w:rsidR="00C14F11" w:rsidRPr="00ED7760" w:rsidRDefault="00C14F11" w:rsidP="00BA3581">
      <w:pPr>
        <w:pStyle w:val="AERbulletlistsecondstyle"/>
      </w:pPr>
      <w:r w:rsidRPr="006A6865">
        <w:t>The TNSP demonstrate</w:t>
      </w:r>
      <w:r>
        <w:t>d</w:t>
      </w:r>
      <w:r w:rsidRPr="006A6865">
        <w:t xml:space="preserve"> a commitment to providing good connection services. There </w:t>
      </w:r>
      <w:r>
        <w:t>was</w:t>
      </w:r>
      <w:r w:rsidRPr="006A6865">
        <w:t xml:space="preserve"> ready access to all commercial and administrative parts of the organisation, and more formalised access</w:t>
      </w:r>
      <w:r>
        <w:t xml:space="preserve"> to technical experts.</w:t>
      </w:r>
      <w:r w:rsidRPr="006A6865">
        <w:t xml:space="preserve"> </w:t>
      </w:r>
    </w:p>
    <w:p w:rsidR="00C14F11" w:rsidRPr="00ED7760" w:rsidRDefault="00C14F11" w:rsidP="00BA3581">
      <w:pPr>
        <w:pStyle w:val="AERbulletlistsecondstyle"/>
      </w:pPr>
      <w:r w:rsidRPr="006A6865">
        <w:t xml:space="preserve">The TNSP cooperated in the years leading up to when the formal enquiry was submitted and was helpful in assisting to overcome challenges associated with the project. </w:t>
      </w:r>
    </w:p>
    <w:p w:rsidR="00C14F11" w:rsidRDefault="00C14F11" w:rsidP="00BA3581">
      <w:pPr>
        <w:pStyle w:val="AERbulletlistsecondstyle"/>
      </w:pPr>
      <w:r w:rsidRPr="006A6865">
        <w:t>T</w:t>
      </w:r>
      <w:r>
        <w:t>he T</w:t>
      </w:r>
      <w:r w:rsidRPr="006A6865">
        <w:t>NSP was solution driven and responsive to our needs, acting commercially and being prepared to price risks.</w:t>
      </w:r>
    </w:p>
    <w:p w:rsidR="00C14F11" w:rsidRPr="000D49EA" w:rsidRDefault="00C14F11" w:rsidP="00C14F11">
      <w:pPr>
        <w:pStyle w:val="AERbodytext"/>
        <w:keepNext/>
        <w:rPr>
          <w:u w:val="single"/>
        </w:rPr>
      </w:pPr>
      <w:r w:rsidRPr="000D49EA">
        <w:rPr>
          <w:u w:val="single"/>
        </w:rPr>
        <w:t>The following comments relate to responsiveness:</w:t>
      </w:r>
    </w:p>
    <w:p w:rsidR="00C14F11" w:rsidRPr="004B19A0" w:rsidRDefault="00C14F11" w:rsidP="00BA3581">
      <w:pPr>
        <w:pStyle w:val="AERbulletlistsecondstyle"/>
      </w:pPr>
      <w:r w:rsidRPr="006A6865">
        <w:t>There were some delays due to lack of sufficient personnel to respond to queries which caused frustration but no major delays for the project</w:t>
      </w:r>
      <w:r>
        <w:t>.</w:t>
      </w:r>
    </w:p>
    <w:p w:rsidR="00C14F11" w:rsidRPr="004B19A0" w:rsidRDefault="00C14F11" w:rsidP="00BA3581">
      <w:pPr>
        <w:pStyle w:val="AERbulletlistsecondstyle"/>
      </w:pPr>
      <w:r>
        <w:t>For a project which is still underway: t</w:t>
      </w:r>
      <w:r w:rsidRPr="006A6865">
        <w:t xml:space="preserve">he TNSP’s timeframes have been unacceptable and </w:t>
      </w:r>
      <w:r>
        <w:t>the TNSP has required</w:t>
      </w:r>
      <w:r w:rsidRPr="006A6865">
        <w:t xml:space="preserve"> intermediate steps in between the statutory connection enquiry and connection application stages. It has been impossible to get written indications of timeframes and any verbal indications seem unreasonable compared to a private contractor undertaking the same works. Verbally indicated timeframes are consistently missed and are leading to substantial delays for the project.</w:t>
      </w:r>
    </w:p>
    <w:p w:rsidR="00C14F11" w:rsidRPr="004B19A0" w:rsidRDefault="00C14F11" w:rsidP="00BA3581">
      <w:pPr>
        <w:pStyle w:val="AERbulletlistsecondstyle"/>
      </w:pPr>
      <w:r w:rsidRPr="006A6865">
        <w:t xml:space="preserve">All timeframes from the TNSP </w:t>
      </w:r>
      <w:r>
        <w:t>were</w:t>
      </w:r>
      <w:r w:rsidRPr="006A6865">
        <w:t xml:space="preserve"> slow compared to a private consultant undertaking the same technical design and estimating works. </w:t>
      </w:r>
      <w:r>
        <w:t>The project was</w:t>
      </w:r>
      <w:r w:rsidRPr="006A6865">
        <w:t xml:space="preserve"> delayed as a result. </w:t>
      </w:r>
    </w:p>
    <w:p w:rsidR="00C14F11" w:rsidRPr="00934EAC" w:rsidRDefault="00C14F11" w:rsidP="00BA3581">
      <w:pPr>
        <w:pStyle w:val="AERbulletlistsecondstyle"/>
      </w:pPr>
      <w:r w:rsidRPr="006A6865">
        <w:lastRenderedPageBreak/>
        <w:t xml:space="preserve">Without regularly reaching out to the TNSP’s contact person, it </w:t>
      </w:r>
      <w:r>
        <w:t>felt</w:t>
      </w:r>
      <w:r w:rsidRPr="006A6865">
        <w:t xml:space="preserve"> </w:t>
      </w:r>
      <w:r>
        <w:t xml:space="preserve">like </w:t>
      </w:r>
      <w:r w:rsidRPr="006A6865">
        <w:t xml:space="preserve">the project </w:t>
      </w:r>
      <w:r>
        <w:t xml:space="preserve">was </w:t>
      </w:r>
      <w:r w:rsidRPr="006A6865">
        <w:t xml:space="preserve">forgotten.  </w:t>
      </w:r>
    </w:p>
    <w:p w:rsidR="00C14F11" w:rsidRPr="000D49EA" w:rsidRDefault="00C14F11" w:rsidP="00C14F11">
      <w:pPr>
        <w:pStyle w:val="AERbodytext"/>
        <w:keepNext/>
        <w:rPr>
          <w:u w:val="single"/>
        </w:rPr>
      </w:pPr>
      <w:r w:rsidRPr="000D49EA">
        <w:rPr>
          <w:u w:val="single"/>
        </w:rPr>
        <w:t>The following comments relate to project cost:</w:t>
      </w:r>
    </w:p>
    <w:p w:rsidR="00C14F11" w:rsidRDefault="00C14F11" w:rsidP="00BA3581">
      <w:pPr>
        <w:pStyle w:val="AERbulletlistsecondstyle"/>
      </w:pPr>
      <w:r>
        <w:t>R</w:t>
      </w:r>
      <w:r w:rsidRPr="006A6865">
        <w:t xml:space="preserve">eturns </w:t>
      </w:r>
      <w:r>
        <w:t xml:space="preserve">were considered excessive </w:t>
      </w:r>
      <w:r w:rsidRPr="006A6865">
        <w:t xml:space="preserve">for a monopoly non-regulated </w:t>
      </w:r>
      <w:proofErr w:type="gramStart"/>
      <w:r w:rsidRPr="006A6865">
        <w:t>business,</w:t>
      </w:r>
      <w:proofErr w:type="gramEnd"/>
      <w:r w:rsidRPr="006A6865">
        <w:t xml:space="preserve"> </w:t>
      </w:r>
      <w:r>
        <w:t xml:space="preserve">there was </w:t>
      </w:r>
      <w:r w:rsidRPr="006A6865">
        <w:t>a lack of transparency in charges and obstructions to third party consultants undertaking system studies.</w:t>
      </w:r>
    </w:p>
    <w:p w:rsidR="00C14F11" w:rsidRDefault="00C14F11" w:rsidP="00BA3581">
      <w:pPr>
        <w:pStyle w:val="AERbulletlistsecondstyle"/>
      </w:pPr>
      <w:r>
        <w:t>T</w:t>
      </w:r>
      <w:r w:rsidRPr="006A6865">
        <w:t xml:space="preserve">ransparency around costs </w:t>
      </w:r>
      <w:r>
        <w:t>was</w:t>
      </w:r>
      <w:r w:rsidRPr="006A6865">
        <w:t xml:space="preserve"> an issue</w:t>
      </w:r>
      <w:r>
        <w:t>.</w:t>
      </w:r>
    </w:p>
    <w:p w:rsidR="00C14F11" w:rsidRPr="000D49EA" w:rsidRDefault="00C14F11" w:rsidP="00C14F11">
      <w:pPr>
        <w:pStyle w:val="AERbodytext"/>
        <w:rPr>
          <w:u w:val="single"/>
        </w:rPr>
      </w:pPr>
      <w:r w:rsidRPr="000D49EA">
        <w:rPr>
          <w:u w:val="single"/>
        </w:rPr>
        <w:t>The following comments were also made:</w:t>
      </w:r>
    </w:p>
    <w:p w:rsidR="00C14F11" w:rsidRDefault="00C14F11" w:rsidP="00BA3581">
      <w:pPr>
        <w:pStyle w:val="AERbulletlistsecondstyle"/>
      </w:pPr>
      <w:r w:rsidRPr="006A6865">
        <w:t>The project</w:t>
      </w:r>
      <w:r>
        <w:t>, which is still underway,</w:t>
      </w:r>
      <w:r w:rsidRPr="006A6865">
        <w:t xml:space="preserve"> is being delayed as a direct result of the TNSP not providing sufficient information during the enquiry stage of the project</w:t>
      </w:r>
      <w:r>
        <w:t>.</w:t>
      </w:r>
    </w:p>
    <w:p w:rsidR="00C14F11" w:rsidRDefault="00C14F11" w:rsidP="00BA3581">
      <w:pPr>
        <w:pStyle w:val="AERbulletlistsecondstyle"/>
      </w:pPr>
      <w:r w:rsidRPr="006A6865">
        <w:t xml:space="preserve">Technical information, when provided, </w:t>
      </w:r>
      <w:r>
        <w:t>was</w:t>
      </w:r>
      <w:r w:rsidRPr="006A6865">
        <w:t xml:space="preserve"> satisfactory.</w:t>
      </w:r>
    </w:p>
    <w:p w:rsidR="00C14F11" w:rsidRPr="006A6865" w:rsidRDefault="00C14F11" w:rsidP="00BA3581">
      <w:pPr>
        <w:pStyle w:val="AERbulletlistsecondstyle"/>
      </w:pPr>
      <w:r w:rsidRPr="006A6865">
        <w:t xml:space="preserve">Compared to previous connection projects, dealings with this TNSP </w:t>
      </w:r>
      <w:r>
        <w:t>were</w:t>
      </w:r>
      <w:r w:rsidRPr="006A6865">
        <w:t xml:space="preserve"> challenging due to limitations in negotiating a fair and equitable connection arrangement.</w:t>
      </w:r>
    </w:p>
    <w:p w:rsidR="00C14F11" w:rsidRPr="00C14F11" w:rsidRDefault="00C14F11" w:rsidP="00565AF7">
      <w:pPr>
        <w:pStyle w:val="AERgenericboldheading"/>
        <w:spacing w:after="240" w:line="288" w:lineRule="auto"/>
        <w:rPr>
          <w:szCs w:val="20"/>
        </w:rPr>
      </w:pPr>
      <w:r w:rsidRPr="00C14F11">
        <w:rPr>
          <w:szCs w:val="20"/>
        </w:rPr>
        <w:t>2. TNSP administration of the connection process</w:t>
      </w:r>
    </w:p>
    <w:p w:rsidR="00C14F11" w:rsidRDefault="00C14F11" w:rsidP="00C14F11">
      <w:pPr>
        <w:pStyle w:val="AERbodytext"/>
      </w:pPr>
      <w:r>
        <w:t xml:space="preserve">The survey sought comments on the TNSP’s administration of the connection process, such as whether it provided a single point of contact and whether financial arrangements with the TNSP were managed effectively. </w:t>
      </w:r>
    </w:p>
    <w:p w:rsidR="00C14F11" w:rsidRDefault="00C14F11" w:rsidP="00C14F11">
      <w:pPr>
        <w:pStyle w:val="AERbodytext"/>
      </w:pPr>
      <w:r w:rsidRPr="009C0FB8">
        <w:t>Twelve</w:t>
      </w:r>
      <w:r w:rsidRPr="00732D20">
        <w:t xml:space="preserve"> parties responded to this question. </w:t>
      </w:r>
      <w:r>
        <w:t>Nine were satisfied with the TNSP’s administration of the connection process, while others did not respond directly to the question. Comments from all respondents are summarised below.</w:t>
      </w:r>
    </w:p>
    <w:p w:rsidR="00C14F11" w:rsidRPr="000D49EA" w:rsidRDefault="00C14F11" w:rsidP="00C14F11">
      <w:pPr>
        <w:pStyle w:val="AERbodytext"/>
        <w:rPr>
          <w:u w:val="single"/>
        </w:rPr>
      </w:pPr>
      <w:r w:rsidRPr="000D49EA">
        <w:rPr>
          <w:u w:val="single"/>
        </w:rPr>
        <w:t>Respondents who expressed satisfaction with the TNSP’s performance made the following comments:</w:t>
      </w:r>
    </w:p>
    <w:p w:rsidR="00C14F11" w:rsidRDefault="00C14F11" w:rsidP="008F5B6C">
      <w:pPr>
        <w:pStyle w:val="AERbulletlistsecondstyle"/>
      </w:pPr>
      <w:r w:rsidRPr="001677EE">
        <w:t xml:space="preserve">There were some challenges in contacting the relevant person, but the flexibility to be able to talk with the person responsible for system studies was useful. </w:t>
      </w:r>
    </w:p>
    <w:p w:rsidR="00C14F11" w:rsidRDefault="00C14F11" w:rsidP="008F5B6C">
      <w:pPr>
        <w:pStyle w:val="AERbulletlistsecondstyle"/>
      </w:pPr>
      <w:r w:rsidRPr="001677EE">
        <w:t xml:space="preserve">Very satisfied with </w:t>
      </w:r>
      <w:r>
        <w:t xml:space="preserve">the </w:t>
      </w:r>
      <w:r w:rsidRPr="001677EE">
        <w:t>single point of contact</w:t>
      </w:r>
      <w:r>
        <w:t xml:space="preserve"> and that the TNSP provided </w:t>
      </w:r>
      <w:r w:rsidRPr="001677EE">
        <w:t xml:space="preserve">upfront schedules of rates and price estimates for studies. The TNSP proactively undertook discussions with other affected parties. </w:t>
      </w:r>
    </w:p>
    <w:p w:rsidR="00C14F11" w:rsidRDefault="00C14F11" w:rsidP="008F5B6C">
      <w:pPr>
        <w:pStyle w:val="AERbulletlistsecondstyle"/>
      </w:pPr>
      <w:r>
        <w:t>The TNSP’s</w:t>
      </w:r>
      <w:r w:rsidRPr="001677EE">
        <w:t xml:space="preserve"> processes improved significantly </w:t>
      </w:r>
      <w:r>
        <w:t>as the project progressed</w:t>
      </w:r>
      <w:r w:rsidRPr="001677EE">
        <w:t>.</w:t>
      </w:r>
    </w:p>
    <w:p w:rsidR="00C14F11" w:rsidRPr="00B6603C" w:rsidRDefault="00C14F11" w:rsidP="00C14F11">
      <w:pPr>
        <w:pStyle w:val="AERbodytext"/>
        <w:keepNext/>
        <w:rPr>
          <w:u w:val="single"/>
        </w:rPr>
      </w:pPr>
      <w:r w:rsidRPr="00B6603C">
        <w:rPr>
          <w:u w:val="single"/>
        </w:rPr>
        <w:t>The following comments were also made:</w:t>
      </w:r>
    </w:p>
    <w:p w:rsidR="00C14F11" w:rsidRDefault="00C14F11" w:rsidP="008F5B6C">
      <w:pPr>
        <w:pStyle w:val="AERbulletlistsecondstyle"/>
      </w:pPr>
      <w:r w:rsidRPr="001677EE">
        <w:t xml:space="preserve">The overall fee </w:t>
      </w:r>
      <w:r>
        <w:t xml:space="preserve">charged by the TNSP </w:t>
      </w:r>
      <w:r w:rsidRPr="001677EE">
        <w:t>appeared to be very large.</w:t>
      </w:r>
    </w:p>
    <w:p w:rsidR="00C14F11" w:rsidRDefault="00C14F11" w:rsidP="008F5B6C">
      <w:pPr>
        <w:pStyle w:val="AERbulletlistsecondstyle"/>
      </w:pPr>
      <w:r w:rsidRPr="001677EE">
        <w:t xml:space="preserve">There appears to be a lack of communication </w:t>
      </w:r>
      <w:r w:rsidRPr="003A6DC7">
        <w:t xml:space="preserve">between </w:t>
      </w:r>
      <w:r>
        <w:t xml:space="preserve">the TNSP’s contact person and others </w:t>
      </w:r>
      <w:r w:rsidRPr="001677EE">
        <w:t xml:space="preserve">within the </w:t>
      </w:r>
      <w:r>
        <w:t>business</w:t>
      </w:r>
      <w:r w:rsidRPr="001677EE">
        <w:t xml:space="preserve"> </w:t>
      </w:r>
      <w:proofErr w:type="gramStart"/>
      <w:r w:rsidRPr="001677EE">
        <w:t>who</w:t>
      </w:r>
      <w:proofErr w:type="gramEnd"/>
      <w:r w:rsidRPr="001677EE">
        <w:t xml:space="preserve"> are responsible for technical and legal work for the project.</w:t>
      </w:r>
      <w:r w:rsidRPr="001C542A">
        <w:t xml:space="preserve"> </w:t>
      </w:r>
    </w:p>
    <w:p w:rsidR="00C14F11" w:rsidRDefault="00C14F11" w:rsidP="008F5B6C">
      <w:pPr>
        <w:pStyle w:val="AERbulletlistsecondstyle"/>
      </w:pPr>
      <w:r w:rsidRPr="001677EE">
        <w:t>The arrangements around the payment of the connection application fee are transparent although there is an impression that the cost of connection works will not be made transparent and will be high compared to a private contractor carrying out the same works.</w:t>
      </w:r>
    </w:p>
    <w:p w:rsidR="00C14F11" w:rsidRDefault="00C14F11" w:rsidP="008F5B6C">
      <w:pPr>
        <w:pStyle w:val="AERbulletlistsecondstyle"/>
      </w:pPr>
      <w:r>
        <w:lastRenderedPageBreak/>
        <w:t>A s</w:t>
      </w:r>
      <w:r w:rsidRPr="001677EE">
        <w:t xml:space="preserve">ingle point of contact was provided but </w:t>
      </w:r>
      <w:r>
        <w:t>it was difficult</w:t>
      </w:r>
      <w:r w:rsidRPr="001677EE">
        <w:t xml:space="preserve"> for that person to drive and coordinate the activities of a range of specialists from other parts of the organisation.</w:t>
      </w:r>
    </w:p>
    <w:p w:rsidR="00C14F11" w:rsidRPr="00C14F11" w:rsidRDefault="00C14F11" w:rsidP="00565AF7">
      <w:pPr>
        <w:pStyle w:val="AERgenericboldheading"/>
        <w:spacing w:after="240" w:line="288" w:lineRule="auto"/>
        <w:rPr>
          <w:szCs w:val="20"/>
        </w:rPr>
      </w:pPr>
      <w:r w:rsidRPr="00C14F11">
        <w:rPr>
          <w:szCs w:val="20"/>
        </w:rPr>
        <w:t>3. Other matters</w:t>
      </w:r>
    </w:p>
    <w:p w:rsidR="00C14F11" w:rsidRDefault="00C14F11" w:rsidP="00C14F11">
      <w:pPr>
        <w:pStyle w:val="AERbodytext"/>
      </w:pPr>
      <w:r>
        <w:t xml:space="preserve">The survey provided an opportunity for respondents to comment on other matters associated with the connection. </w:t>
      </w:r>
    </w:p>
    <w:p w:rsidR="00C14F11" w:rsidRDefault="00C14F11" w:rsidP="00C14F11">
      <w:pPr>
        <w:pStyle w:val="AERbodytext"/>
      </w:pPr>
      <w:r w:rsidRPr="009C0FB8">
        <w:t>Eight</w:t>
      </w:r>
      <w:r w:rsidRPr="00732D20">
        <w:t xml:space="preserve"> parties responded to this question. </w:t>
      </w:r>
      <w:r>
        <w:t>Their comments are summarised below.</w:t>
      </w:r>
    </w:p>
    <w:p w:rsidR="00C14F11" w:rsidRPr="00B6603C" w:rsidRDefault="00C14F11" w:rsidP="00C14F11">
      <w:pPr>
        <w:pStyle w:val="AERbodytext"/>
        <w:rPr>
          <w:u w:val="single"/>
        </w:rPr>
      </w:pPr>
      <w:r w:rsidRPr="00B6603C">
        <w:rPr>
          <w:u w:val="single"/>
        </w:rPr>
        <w:t xml:space="preserve">The following comments proposed changes to the </w:t>
      </w:r>
      <w:r>
        <w:rPr>
          <w:u w:val="single"/>
        </w:rPr>
        <w:t xml:space="preserve">Electricity Rules </w:t>
      </w:r>
      <w:r w:rsidRPr="00B6603C">
        <w:rPr>
          <w:u w:val="single"/>
        </w:rPr>
        <w:t>requirements relating to the connection process:</w:t>
      </w:r>
    </w:p>
    <w:p w:rsidR="00C14F11" w:rsidRDefault="00C14F11" w:rsidP="008F5B6C">
      <w:pPr>
        <w:pStyle w:val="AERbulletlistsecondstyle"/>
      </w:pPr>
      <w:r w:rsidRPr="00D40143">
        <w:t>The connect</w:t>
      </w:r>
      <w:r>
        <w:t>ion</w:t>
      </w:r>
      <w:r w:rsidRPr="00D40143">
        <w:t xml:space="preserve">s process in chapter 5 is not </w:t>
      </w:r>
      <w:r>
        <w:t>suitable</w:t>
      </w:r>
      <w:r w:rsidRPr="00D40143">
        <w:t xml:space="preserve"> for wind farm connections as the level of detail required from both the TNSP and proponent in the enquiry and connection stages is not practical. </w:t>
      </w:r>
      <w:r>
        <w:t>TNSP</w:t>
      </w:r>
      <w:r w:rsidRPr="00D40143">
        <w:t xml:space="preserve">s use work-around ways to </w:t>
      </w:r>
      <w:r>
        <w:t>comply</w:t>
      </w:r>
      <w:r w:rsidRPr="00D40143">
        <w:t xml:space="preserve"> with the Rules requirements </w:t>
      </w:r>
      <w:r>
        <w:t xml:space="preserve">in order to </w:t>
      </w:r>
      <w:r w:rsidRPr="00D40143">
        <w:t xml:space="preserve">process the enquiry. This should be reviewed </w:t>
      </w:r>
      <w:r>
        <w:t xml:space="preserve">in terms of </w:t>
      </w:r>
      <w:r w:rsidRPr="00D40143">
        <w:t xml:space="preserve">the practicality </w:t>
      </w:r>
      <w:r>
        <w:t xml:space="preserve">of the arrangements for </w:t>
      </w:r>
      <w:r w:rsidRPr="00D40143">
        <w:t>wind farm connections, to facilitate collaboration between the two parties to accommodate uncertainties and unknowns in the early stages of the process.</w:t>
      </w:r>
    </w:p>
    <w:p w:rsidR="00C14F11" w:rsidRPr="00477753" w:rsidRDefault="00C14F11" w:rsidP="008F5B6C">
      <w:pPr>
        <w:pStyle w:val="AERbulletlistsecondstyle"/>
      </w:pPr>
      <w:r w:rsidRPr="00D40143">
        <w:t xml:space="preserve">Options for connection at more than one point in a network </w:t>
      </w:r>
      <w:r>
        <w:t>are</w:t>
      </w:r>
      <w:r w:rsidRPr="00D40143">
        <w:t xml:space="preserve"> provided as part of the offer to connect (under 5.3.6(e)), however this should be done as part of the enquiry response stage (under 5.3.3) as it affects commercial and technical decisions at the early stage of a project. The information is less useful later in the project as scoping activities may have already commenced (land tenure/access, detailed design and network studies).</w:t>
      </w:r>
    </w:p>
    <w:p w:rsidR="00C14F11" w:rsidRPr="007E2029" w:rsidRDefault="00C14F11" w:rsidP="00C14F11">
      <w:pPr>
        <w:pStyle w:val="AERbodytext"/>
        <w:rPr>
          <w:u w:val="single"/>
        </w:rPr>
      </w:pPr>
      <w:r w:rsidRPr="007E2029">
        <w:rPr>
          <w:u w:val="single"/>
        </w:rPr>
        <w:t>The following comments relate to the commercial aspects of the connections process:</w:t>
      </w:r>
    </w:p>
    <w:p w:rsidR="00C14F11" w:rsidRDefault="00C14F11" w:rsidP="008F5B6C">
      <w:pPr>
        <w:pStyle w:val="AERbulletlistsecondstyle"/>
      </w:pPr>
      <w:r w:rsidRPr="00D40143">
        <w:t xml:space="preserve">The profit and financial return expectations of the TNSP in processing and establishing a connection are not consistent with our consideration of the intent of the Electricity Rules. </w:t>
      </w:r>
      <w:r>
        <w:t>P</w:t>
      </w:r>
      <w:r w:rsidRPr="00D40143">
        <w:t xml:space="preserve">rofits during the connection process are too high and at least some aspects </w:t>
      </w:r>
      <w:r>
        <w:t xml:space="preserve">of </w:t>
      </w:r>
      <w:r w:rsidRPr="00D40143">
        <w:t xml:space="preserve">connection option and feasibility analysis </w:t>
      </w:r>
      <w:r>
        <w:t xml:space="preserve">should be </w:t>
      </w:r>
      <w:r w:rsidRPr="00D40143">
        <w:t xml:space="preserve">included under </w:t>
      </w:r>
      <w:r>
        <w:t>the TNSP’s</w:t>
      </w:r>
      <w:r w:rsidRPr="00D40143">
        <w:t xml:space="preserve"> prescribed network role</w:t>
      </w:r>
      <w:r>
        <w:t xml:space="preserve">. All connection processes </w:t>
      </w:r>
      <w:r w:rsidRPr="00D40143">
        <w:t xml:space="preserve">are currently charged </w:t>
      </w:r>
      <w:r>
        <w:t>at</w:t>
      </w:r>
      <w:r w:rsidRPr="00D40143">
        <w:t xml:space="preserve"> high rates, in some cases above private industry costs.</w:t>
      </w:r>
    </w:p>
    <w:p w:rsidR="00C14F11" w:rsidRDefault="00C14F11" w:rsidP="008F5B6C">
      <w:pPr>
        <w:pStyle w:val="AERbulletlistsecondstyle"/>
      </w:pPr>
      <w:r>
        <w:t>The TNSP’s r</w:t>
      </w:r>
      <w:r w:rsidRPr="00D40143">
        <w:t xml:space="preserve">efusal to provide sufficient transparency </w:t>
      </w:r>
      <w:r>
        <w:t xml:space="preserve">around </w:t>
      </w:r>
      <w:r w:rsidRPr="00D40143">
        <w:t>capital cost</w:t>
      </w:r>
      <w:r>
        <w:t>s</w:t>
      </w:r>
      <w:r w:rsidRPr="00D40143">
        <w:t xml:space="preserve"> and annual charge</w:t>
      </w:r>
      <w:r>
        <w:t>s</w:t>
      </w:r>
      <w:r w:rsidRPr="00D40143">
        <w:t xml:space="preserve"> for the offer to connect is not in accordance with the requirements of the Electricity Rules and masks </w:t>
      </w:r>
      <w:r>
        <w:t xml:space="preserve">what are considered to be </w:t>
      </w:r>
      <w:r w:rsidRPr="00D40143">
        <w:t>excessive returns for lower risk business compared to regulated works.</w:t>
      </w:r>
    </w:p>
    <w:p w:rsidR="00C14F11" w:rsidRPr="001677EE" w:rsidRDefault="00C14F11" w:rsidP="008F5B6C">
      <w:pPr>
        <w:pStyle w:val="AERbulletlistsecondstyle"/>
      </w:pPr>
      <w:r w:rsidRPr="00D40143">
        <w:t xml:space="preserve">Costs </w:t>
      </w:r>
      <w:r>
        <w:t xml:space="preserve">appear to be </w:t>
      </w:r>
      <w:r w:rsidRPr="00D40143">
        <w:t>significantly higher than would be charged by a private contractor.</w:t>
      </w:r>
    </w:p>
    <w:p w:rsidR="00C14F11" w:rsidRPr="007E2029" w:rsidRDefault="00C14F11" w:rsidP="00C14F11">
      <w:pPr>
        <w:pStyle w:val="AERbodytext"/>
        <w:keepNext/>
        <w:rPr>
          <w:u w:val="single"/>
        </w:rPr>
      </w:pPr>
      <w:r w:rsidRPr="007E2029">
        <w:rPr>
          <w:u w:val="single"/>
        </w:rPr>
        <w:t>The following comments were also made:</w:t>
      </w:r>
    </w:p>
    <w:p w:rsidR="00C14F11" w:rsidRDefault="00C14F11" w:rsidP="008F5B6C">
      <w:pPr>
        <w:pStyle w:val="AERbulletlistsecondstyle"/>
      </w:pPr>
      <w:r w:rsidRPr="00D40143">
        <w:t>A monopoly situation is created due to the lack of ability to engage third party consultants to undertake system studies.</w:t>
      </w:r>
    </w:p>
    <w:p w:rsidR="00C14F11" w:rsidRDefault="00C14F11" w:rsidP="008F5B6C">
      <w:pPr>
        <w:pStyle w:val="AERbulletlistsecondstyle"/>
      </w:pPr>
      <w:r>
        <w:t xml:space="preserve">We funded the </w:t>
      </w:r>
      <w:r w:rsidRPr="00D40143">
        <w:t xml:space="preserve">construction of new transmission lines and network upgrades necessary to accommodate the connecting generator. However, the TNSP has </w:t>
      </w:r>
      <w:r>
        <w:t xml:space="preserve">since </w:t>
      </w:r>
      <w:r w:rsidRPr="00D40143">
        <w:t xml:space="preserve">provided access to other users to the detriment of </w:t>
      </w:r>
      <w:r>
        <w:t xml:space="preserve">observed </w:t>
      </w:r>
      <w:r w:rsidRPr="00D40143">
        <w:t xml:space="preserve">service </w:t>
      </w:r>
      <w:r>
        <w:t xml:space="preserve">levels </w:t>
      </w:r>
      <w:r w:rsidRPr="00D40143">
        <w:t xml:space="preserve">and no compensation which </w:t>
      </w:r>
      <w:r>
        <w:t xml:space="preserve">is </w:t>
      </w:r>
      <w:r w:rsidRPr="00D40143">
        <w:t>not consider</w:t>
      </w:r>
      <w:r>
        <w:t>ed</w:t>
      </w:r>
      <w:r w:rsidRPr="00D40143">
        <w:t xml:space="preserve"> to be a fair and reasonable outcome.</w:t>
      </w:r>
      <w:r w:rsidRPr="002D4639">
        <w:t xml:space="preserve"> </w:t>
      </w:r>
    </w:p>
    <w:p w:rsidR="00C14F11" w:rsidRDefault="00C14F11" w:rsidP="008F5B6C">
      <w:pPr>
        <w:pStyle w:val="AERbulletlistsecondstyle"/>
      </w:pPr>
      <w:r>
        <w:lastRenderedPageBreak/>
        <w:t xml:space="preserve">The </w:t>
      </w:r>
      <w:r w:rsidRPr="00D40143">
        <w:t xml:space="preserve">TNSP </w:t>
      </w:r>
      <w:r>
        <w:t xml:space="preserve">was engaged </w:t>
      </w:r>
      <w:r w:rsidRPr="00D40143">
        <w:t xml:space="preserve">to undertake fault level investigations prior to submitting the enquiry as there were potential issues with the site. The study was refined during the enquiry and connection stages. While not a standard process, it was beneficial to the project. This option </w:t>
      </w:r>
      <w:r>
        <w:t>is now</w:t>
      </w:r>
      <w:r w:rsidRPr="00D40143">
        <w:t xml:space="preserve"> embedded in the </w:t>
      </w:r>
      <w:r>
        <w:t xml:space="preserve">connection </w:t>
      </w:r>
      <w:r w:rsidRPr="00D40143">
        <w:t xml:space="preserve">process </w:t>
      </w:r>
      <w:r>
        <w:t xml:space="preserve">by some TNSPs (for example during scoping exercises </w:t>
      </w:r>
      <w:r w:rsidRPr="00D40143">
        <w:t>after the connection enquiry</w:t>
      </w:r>
      <w:r>
        <w:t xml:space="preserve"> stage is completed)</w:t>
      </w:r>
      <w:r w:rsidRPr="00D40143">
        <w:t>.</w:t>
      </w:r>
    </w:p>
    <w:p w:rsidR="00C14F11" w:rsidRDefault="00C14F11" w:rsidP="00565AF7">
      <w:pPr>
        <w:pStyle w:val="AERbulletlistsecondstyle"/>
      </w:pPr>
      <w:r w:rsidRPr="00D40143">
        <w:t xml:space="preserve">The primary concern is that the long expected timeframe to achieve connection is significantly delaying the project. The delay seems </w:t>
      </w:r>
      <w:r>
        <w:t xml:space="preserve">to be </w:t>
      </w:r>
      <w:r w:rsidRPr="00D40143">
        <w:t xml:space="preserve">due to </w:t>
      </w:r>
      <w:r>
        <w:t xml:space="preserve">ineffective </w:t>
      </w:r>
      <w:r w:rsidRPr="00D40143">
        <w:t xml:space="preserve">management, understaffing and </w:t>
      </w:r>
      <w:r>
        <w:t xml:space="preserve">poor </w:t>
      </w:r>
      <w:r w:rsidRPr="00D40143">
        <w:t xml:space="preserve">approval processes within the TNSP. It would be quicker for a private business </w:t>
      </w:r>
      <w:r>
        <w:t>to</w:t>
      </w:r>
      <w:r w:rsidRPr="00D40143">
        <w:t xml:space="preserve"> undertake the design and construction works, and this would be a desirable outcome, even if this was at a higher cost.</w:t>
      </w:r>
    </w:p>
    <w:p w:rsidR="00CC583E" w:rsidRDefault="00C12985" w:rsidP="00DC7B00">
      <w:pPr>
        <w:pStyle w:val="AERunnumberedheading"/>
      </w:pPr>
      <w:bookmarkStart w:id="104" w:name="_Toc386117319"/>
      <w:r w:rsidRPr="00860DB5">
        <w:lastRenderedPageBreak/>
        <w:t xml:space="preserve">Appendix </w:t>
      </w:r>
      <w:proofErr w:type="gramStart"/>
      <w:r w:rsidR="00DC7B00">
        <w:t>B</w:t>
      </w:r>
      <w:r w:rsidRPr="00860DB5">
        <w:t xml:space="preserve">  </w:t>
      </w:r>
      <w:r>
        <w:t>Shortened</w:t>
      </w:r>
      <w:proofErr w:type="gramEnd"/>
      <w:r>
        <w:t xml:space="preserve"> forms</w:t>
      </w:r>
      <w:bookmarkEnd w:id="104"/>
      <w:r w:rsidRPr="00860DB5">
        <w:t xml:space="preserve"> </w:t>
      </w:r>
    </w:p>
    <w:tbl>
      <w:tblPr>
        <w:tblStyle w:val="AERtable-text"/>
        <w:tblW w:w="0" w:type="auto"/>
        <w:tblLook w:val="01E0" w:firstRow="1" w:lastRow="1" w:firstColumn="1" w:lastColumn="1" w:noHBand="0" w:noVBand="0"/>
      </w:tblPr>
      <w:tblGrid>
        <w:gridCol w:w="2263"/>
        <w:gridCol w:w="6012"/>
      </w:tblGrid>
      <w:tr w:rsidR="00285EC2" w:rsidRPr="009A7BFC" w:rsidTr="00285EC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9A7BFC" w:rsidRDefault="00285EC2" w:rsidP="00285EC2">
            <w:pPr>
              <w:pStyle w:val="AERtabletextheading"/>
              <w:rPr>
                <w:sz w:val="20"/>
                <w:szCs w:val="20"/>
              </w:rPr>
            </w:pPr>
            <w:r w:rsidRPr="009A7BFC">
              <w:rPr>
                <w:sz w:val="20"/>
                <w:szCs w:val="20"/>
              </w:rPr>
              <w:t>Shortened form</w:t>
            </w:r>
          </w:p>
        </w:tc>
        <w:tc>
          <w:tcPr>
            <w:tcW w:w="6012" w:type="dxa"/>
          </w:tcPr>
          <w:p w:rsidR="00285EC2" w:rsidRPr="009A7BFC" w:rsidRDefault="00285EC2" w:rsidP="00285EC2">
            <w:pPr>
              <w:pStyle w:val="AERtabletextheading"/>
              <w:cnfStyle w:val="100000000000" w:firstRow="1" w:lastRow="0" w:firstColumn="0" w:lastColumn="0" w:oddVBand="0" w:evenVBand="0" w:oddHBand="0" w:evenHBand="0" w:firstRowFirstColumn="0" w:firstRowLastColumn="0" w:lastRowFirstColumn="0" w:lastRowLastColumn="0"/>
              <w:rPr>
                <w:sz w:val="20"/>
                <w:szCs w:val="20"/>
              </w:rPr>
            </w:pPr>
            <w:r w:rsidRPr="009A7BFC">
              <w:rPr>
                <w:sz w:val="20"/>
                <w:szCs w:val="20"/>
              </w:rPr>
              <w:t>Full title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ACCC </w:t>
            </w:r>
          </w:p>
        </w:tc>
        <w:tc>
          <w:tcPr>
            <w:tcW w:w="6012" w:type="dxa"/>
          </w:tcPr>
          <w:p w:rsidR="00285EC2" w:rsidRPr="00AD74E2" w:rsidRDefault="00850A3E"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b/>
                <w:bCs/>
                <w:kern w:val="32"/>
                <w:sz w:val="20"/>
                <w:szCs w:val="20"/>
              </w:rPr>
            </w:pPr>
            <w:hyperlink r:id="rId26" w:history="1">
              <w:r w:rsidR="00285EC2" w:rsidRPr="00AD74E2">
                <w:rPr>
                  <w:rStyle w:val="Hyperlink"/>
                  <w:rFonts w:cs="Gautami"/>
                  <w:sz w:val="20"/>
                  <w:szCs w:val="20"/>
                </w:rPr>
                <w:t>Australian Competition &amp; Consumer Commission</w:t>
              </w:r>
            </w:hyperlink>
            <w:r w:rsidR="00285EC2" w:rsidRPr="00AD74E2">
              <w:rPr>
                <w:rFonts w:cs="Gautami"/>
                <w:sz w:val="20"/>
                <w:szCs w:val="20"/>
              </w:rPr>
              <w:t xml:space="preserve"> </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AEMO</w:t>
            </w:r>
          </w:p>
        </w:tc>
        <w:tc>
          <w:tcPr>
            <w:tcW w:w="6012" w:type="dxa"/>
            <w:shd w:val="clear" w:color="auto" w:fill="FABF8F" w:themeFill="accent6" w:themeFillTint="99"/>
          </w:tcPr>
          <w:p w:rsidR="00285EC2" w:rsidRPr="00AD74E2" w:rsidRDefault="00850A3E"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hyperlink r:id="rId27" w:history="1">
              <w:r w:rsidR="00285EC2" w:rsidRPr="00AD74E2">
                <w:rPr>
                  <w:rStyle w:val="Hyperlink"/>
                  <w:rFonts w:cs="Gautami"/>
                  <w:sz w:val="20"/>
                  <w:szCs w:val="20"/>
                </w:rPr>
                <w:t>Australian Energy Market Operator</w:t>
              </w:r>
            </w:hyperlink>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AER </w:t>
            </w:r>
          </w:p>
        </w:tc>
        <w:tc>
          <w:tcPr>
            <w:tcW w:w="6012" w:type="dxa"/>
          </w:tcPr>
          <w:p w:rsidR="00285EC2" w:rsidRPr="00AD74E2" w:rsidRDefault="00850A3E"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hyperlink r:id="rId28" w:history="1">
              <w:r w:rsidR="00285EC2" w:rsidRPr="00AD74E2">
                <w:rPr>
                  <w:rStyle w:val="Hyperlink"/>
                  <w:rFonts w:cs="Gautami"/>
                  <w:sz w:val="20"/>
                  <w:szCs w:val="20"/>
                </w:rPr>
                <w:t>Australian Energy Regulator</w:t>
              </w:r>
            </w:hyperlink>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AMI</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Advanced Metering Infrastructure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CATS</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Consumer Administration and Transfer Solution</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Electricity Law </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iCs/>
                <w:sz w:val="20"/>
                <w:szCs w:val="20"/>
              </w:rPr>
            </w:pPr>
            <w:r w:rsidRPr="00AD74E2">
              <w:rPr>
                <w:rFonts w:cs="Gautami"/>
                <w:sz w:val="20"/>
                <w:szCs w:val="20"/>
              </w:rPr>
              <w:t>National Electricity Law (Schedule to the National Electricity Act)</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Electricity Rules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 xml:space="preserve">The </w:t>
            </w:r>
            <w:hyperlink r:id="rId29" w:history="1">
              <w:r w:rsidRPr="00AD74E2">
                <w:rPr>
                  <w:rStyle w:val="Hyperlink"/>
                  <w:rFonts w:cs="Gautami"/>
                  <w:sz w:val="20"/>
                  <w:szCs w:val="20"/>
                </w:rPr>
                <w:t>National Electricity Rules</w:t>
              </w:r>
            </w:hyperlink>
            <w:r w:rsidRPr="00AD74E2">
              <w:rPr>
                <w:rFonts w:cs="Gautami"/>
                <w:sz w:val="20"/>
                <w:szCs w:val="20"/>
              </w:rPr>
              <w:t xml:space="preserve"> made under Part 7 of the Electricity Law </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Pr>
                <w:rFonts w:cs="Gautami"/>
                <w:sz w:val="20"/>
                <w:szCs w:val="20"/>
              </w:rPr>
              <w:t>FCAS</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Frequency Control Ancillary Service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Gas Law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National Gas Law (Schedule to the National Gas Act)</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Gas Regulations</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iCs/>
                <w:sz w:val="20"/>
                <w:szCs w:val="20"/>
              </w:rPr>
              <w:t xml:space="preserve">The </w:t>
            </w:r>
            <w:hyperlink r:id="rId30" w:history="1">
              <w:r w:rsidRPr="00AD74E2">
                <w:rPr>
                  <w:rStyle w:val="Hyperlink"/>
                  <w:rFonts w:cs="Gautami"/>
                  <w:i/>
                  <w:iCs/>
                  <w:sz w:val="20"/>
                  <w:szCs w:val="20"/>
                </w:rPr>
                <w:t>National Gas (South Australia) Regulations</w:t>
              </w:r>
            </w:hyperlink>
            <w:r w:rsidRPr="00AD74E2">
              <w:rPr>
                <w:rFonts w:cs="Gautami"/>
                <w:iCs/>
                <w:sz w:val="20"/>
                <w:szCs w:val="20"/>
              </w:rPr>
              <w:t xml:space="preserve"> made under the National Gas Act</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Gas Rules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 xml:space="preserve">The </w:t>
            </w:r>
            <w:hyperlink r:id="rId31" w:history="1">
              <w:r w:rsidRPr="00AD74E2">
                <w:rPr>
                  <w:rStyle w:val="Hyperlink"/>
                  <w:rFonts w:cs="Gautami"/>
                  <w:sz w:val="20"/>
                  <w:szCs w:val="20"/>
                </w:rPr>
                <w:t>National Gas Rules</w:t>
              </w:r>
            </w:hyperlink>
            <w:r w:rsidRPr="00AD74E2">
              <w:rPr>
                <w:rFonts w:cs="Gautami"/>
                <w:sz w:val="20"/>
                <w:szCs w:val="20"/>
              </w:rPr>
              <w:t xml:space="preserve"> made under Part 9 of the Gas Law</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GEIP</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Good Energy Industry Practice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GJ</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Gigajoule</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LCA</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Linepack capacity adequacy</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MAP</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Moomba to Adelaide pipeline</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MOS</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Market Operator Service</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MSATS</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Market Settlement and Transfer Solution</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Pr>
                <w:rFonts w:cs="Gautami"/>
                <w:sz w:val="20"/>
                <w:szCs w:val="20"/>
              </w:rPr>
              <w:t>MT PASA</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Medium Term Projected Assessment of System Adequacy</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MW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Megawatt</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MWh </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Megawatt hour</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National Electricity Act </w:t>
            </w:r>
          </w:p>
        </w:tc>
        <w:tc>
          <w:tcPr>
            <w:tcW w:w="6012" w:type="dxa"/>
          </w:tcPr>
          <w:p w:rsidR="00285EC2" w:rsidRPr="00AD74E2" w:rsidRDefault="00850A3E"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hyperlink r:id="rId32" w:history="1">
              <w:r w:rsidR="00285EC2" w:rsidRPr="00AD74E2">
                <w:rPr>
                  <w:rStyle w:val="Hyperlink"/>
                  <w:rFonts w:cs="Gautami"/>
                  <w:i/>
                  <w:iCs/>
                  <w:sz w:val="20"/>
                  <w:szCs w:val="20"/>
                </w:rPr>
                <w:t xml:space="preserve">National Electricity (South Australia) Act 1996 </w:t>
              </w:r>
              <w:r w:rsidR="00285EC2" w:rsidRPr="00AD74E2">
                <w:rPr>
                  <w:rStyle w:val="Hyperlink"/>
                  <w:rFonts w:cs="Gautami"/>
                  <w:sz w:val="20"/>
                  <w:szCs w:val="20"/>
                </w:rPr>
                <w:t>(South Australia)</w:t>
              </w:r>
            </w:hyperlink>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National Gas Act </w:t>
            </w:r>
          </w:p>
        </w:tc>
        <w:tc>
          <w:tcPr>
            <w:tcW w:w="6012" w:type="dxa"/>
            <w:shd w:val="clear" w:color="auto" w:fill="FABF8F" w:themeFill="accent6" w:themeFillTint="99"/>
          </w:tcPr>
          <w:p w:rsidR="00285EC2" w:rsidRPr="00AD74E2" w:rsidRDefault="00850A3E"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hyperlink r:id="rId33" w:history="1">
              <w:r w:rsidR="00285EC2" w:rsidRPr="00AD74E2">
                <w:rPr>
                  <w:rStyle w:val="Hyperlink"/>
                  <w:rFonts w:cs="Gautami"/>
                  <w:i/>
                  <w:iCs/>
                  <w:sz w:val="20"/>
                  <w:szCs w:val="20"/>
                </w:rPr>
                <w:t xml:space="preserve">National Gas (South Australia) Act 2008 </w:t>
              </w:r>
              <w:r w:rsidR="00285EC2" w:rsidRPr="00AD74E2">
                <w:rPr>
                  <w:rStyle w:val="Hyperlink"/>
                  <w:rFonts w:cs="Gautami"/>
                  <w:sz w:val="20"/>
                  <w:szCs w:val="20"/>
                </w:rPr>
                <w:t>(South Australia)</w:t>
              </w:r>
            </w:hyperlink>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 xml:space="preserve">NEM </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National Electricity Market</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Pr>
                <w:rFonts w:cs="Gautami"/>
                <w:sz w:val="20"/>
                <w:szCs w:val="20"/>
              </w:rPr>
              <w:t>NMI</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Pr>
                <w:rFonts w:cs="Gautami"/>
                <w:sz w:val="20"/>
                <w:szCs w:val="20"/>
              </w:rPr>
              <w:t>National Meter Identifier</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QCR</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The AER’s quarterly compliance report</w:t>
            </w:r>
          </w:p>
        </w:tc>
      </w:tr>
      <w:tr w:rsidR="00285EC2" w:rsidRPr="00BA1378" w:rsidTr="000A4B2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FABF8F" w:themeFill="accent6" w:themeFillTint="99"/>
          </w:tcPr>
          <w:p w:rsidR="00285EC2" w:rsidRPr="00AD74E2" w:rsidRDefault="00285EC2" w:rsidP="000E2105">
            <w:pPr>
              <w:pStyle w:val="AERtabletext"/>
              <w:spacing w:before="60" w:after="60"/>
              <w:rPr>
                <w:rFonts w:cs="Gautami"/>
                <w:sz w:val="20"/>
                <w:szCs w:val="20"/>
              </w:rPr>
            </w:pPr>
            <w:r w:rsidRPr="00AD74E2">
              <w:rPr>
                <w:rFonts w:cs="Gautami"/>
                <w:sz w:val="20"/>
                <w:szCs w:val="20"/>
              </w:rPr>
              <w:t>RIT-T</w:t>
            </w:r>
          </w:p>
        </w:tc>
        <w:tc>
          <w:tcPr>
            <w:tcW w:w="6012" w:type="dxa"/>
            <w:shd w:val="clear" w:color="auto" w:fill="FABF8F" w:themeFill="accent6" w:themeFillTint="99"/>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Regulatory investment test for transmission</w:t>
            </w:r>
          </w:p>
        </w:tc>
      </w:tr>
      <w:tr w:rsidR="00285EC2" w:rsidRPr="00BA1378" w:rsidTr="00285EC2">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RP</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Responsible Person</w:t>
            </w:r>
          </w:p>
        </w:tc>
      </w:tr>
      <w:tr w:rsidR="00696E6D"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696E6D" w:rsidRPr="00AD74E2" w:rsidRDefault="00696E6D" w:rsidP="000E2105">
            <w:pPr>
              <w:pStyle w:val="AERtabletext"/>
              <w:spacing w:before="60" w:after="60"/>
              <w:rPr>
                <w:rFonts w:cs="Gautami"/>
                <w:sz w:val="20"/>
                <w:szCs w:val="20"/>
              </w:rPr>
            </w:pPr>
            <w:r>
              <w:rPr>
                <w:rFonts w:cs="Gautami"/>
                <w:sz w:val="20"/>
                <w:szCs w:val="20"/>
              </w:rPr>
              <w:t>SCADA</w:t>
            </w:r>
          </w:p>
        </w:tc>
        <w:tc>
          <w:tcPr>
            <w:tcW w:w="6012" w:type="dxa"/>
          </w:tcPr>
          <w:p w:rsidR="00696E6D" w:rsidRPr="00696E6D" w:rsidRDefault="00696E6D" w:rsidP="00696E6D">
            <w:pPr>
              <w:pStyle w:val="AERtabletext"/>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w:t>
            </w:r>
            <w:r w:rsidRPr="00696E6D">
              <w:rPr>
                <w:sz w:val="20"/>
                <w:szCs w:val="20"/>
              </w:rPr>
              <w:t>upervisory control and data acquisition</w:t>
            </w:r>
          </w:p>
        </w:tc>
      </w:tr>
      <w:tr w:rsidR="00285EC2" w:rsidRPr="00696E6D" w:rsidTr="00696E6D">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STTM</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Short Term Trading Market</w:t>
            </w:r>
          </w:p>
        </w:tc>
      </w:tr>
      <w:tr w:rsidR="00285EC2" w:rsidRPr="00BA1378" w:rsidTr="00285EC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SWN</w:t>
            </w:r>
          </w:p>
        </w:tc>
        <w:tc>
          <w:tcPr>
            <w:tcW w:w="6012" w:type="dxa"/>
          </w:tcPr>
          <w:p w:rsidR="00285EC2" w:rsidRPr="00AD74E2" w:rsidRDefault="00285EC2" w:rsidP="000E2105">
            <w:pPr>
              <w:pStyle w:val="AERtabletext"/>
              <w:spacing w:before="60" w:after="60"/>
              <w:cnfStyle w:val="000000010000" w:firstRow="0" w:lastRow="0" w:firstColumn="0" w:lastColumn="0" w:oddVBand="0" w:evenVBand="0" w:oddHBand="0" w:evenHBand="1" w:firstRowFirstColumn="0" w:firstRowLastColumn="0" w:lastRowFirstColumn="0" w:lastRowLastColumn="0"/>
              <w:rPr>
                <w:rFonts w:cs="Gautami"/>
                <w:sz w:val="20"/>
                <w:szCs w:val="20"/>
              </w:rPr>
            </w:pPr>
            <w:r w:rsidRPr="00AD74E2">
              <w:rPr>
                <w:rFonts w:cs="Gautami"/>
                <w:sz w:val="20"/>
                <w:szCs w:val="20"/>
              </w:rPr>
              <w:t>System Wide Notice</w:t>
            </w:r>
          </w:p>
        </w:tc>
      </w:tr>
      <w:tr w:rsidR="00285EC2" w:rsidRPr="00BA1378" w:rsidTr="00696E6D">
        <w:trPr>
          <w:trHeight w:val="227"/>
        </w:trPr>
        <w:tc>
          <w:tcPr>
            <w:cnfStyle w:val="001000000000" w:firstRow="0" w:lastRow="0" w:firstColumn="1" w:lastColumn="0" w:oddVBand="0" w:evenVBand="0" w:oddHBand="0" w:evenHBand="0" w:firstRowFirstColumn="0" w:firstRowLastColumn="0" w:lastRowFirstColumn="0" w:lastRowLastColumn="0"/>
            <w:tcW w:w="2263" w:type="dxa"/>
          </w:tcPr>
          <w:p w:rsidR="00285EC2" w:rsidRPr="00AD74E2" w:rsidRDefault="00285EC2" w:rsidP="000E2105">
            <w:pPr>
              <w:pStyle w:val="AERtabletext"/>
              <w:spacing w:before="60" w:after="60"/>
              <w:rPr>
                <w:rFonts w:cs="Gautami"/>
                <w:sz w:val="20"/>
                <w:szCs w:val="20"/>
              </w:rPr>
            </w:pPr>
            <w:r w:rsidRPr="00AD74E2">
              <w:rPr>
                <w:rFonts w:cs="Gautami"/>
                <w:sz w:val="20"/>
                <w:szCs w:val="20"/>
              </w:rPr>
              <w:t>TJ</w:t>
            </w:r>
          </w:p>
        </w:tc>
        <w:tc>
          <w:tcPr>
            <w:tcW w:w="6012" w:type="dxa"/>
          </w:tcPr>
          <w:p w:rsidR="00285EC2" w:rsidRPr="00AD74E2" w:rsidRDefault="00285EC2" w:rsidP="000E2105">
            <w:pPr>
              <w:pStyle w:val="AERtabletext"/>
              <w:spacing w:before="60" w:after="60"/>
              <w:cnfStyle w:val="000000000000" w:firstRow="0" w:lastRow="0" w:firstColumn="0" w:lastColumn="0" w:oddVBand="0" w:evenVBand="0" w:oddHBand="0" w:evenHBand="0" w:firstRowFirstColumn="0" w:firstRowLastColumn="0" w:lastRowFirstColumn="0" w:lastRowLastColumn="0"/>
              <w:rPr>
                <w:rFonts w:cs="Gautami"/>
                <w:sz w:val="20"/>
                <w:szCs w:val="20"/>
              </w:rPr>
            </w:pPr>
            <w:r w:rsidRPr="00AD74E2">
              <w:rPr>
                <w:rFonts w:cs="Gautami"/>
                <w:sz w:val="20"/>
                <w:szCs w:val="20"/>
              </w:rPr>
              <w:t>Terajoule</w:t>
            </w:r>
          </w:p>
        </w:tc>
      </w:tr>
    </w:tbl>
    <w:p w:rsidR="00285EC2" w:rsidRDefault="00285EC2" w:rsidP="00F32643">
      <w:pPr>
        <w:pStyle w:val="AERbodytext"/>
        <w:rPr>
          <w:lang w:eastAsia="en-AU"/>
        </w:rPr>
        <w:sectPr w:rsidR="00285EC2" w:rsidSect="000D2D9C">
          <w:footerReference w:type="default" r:id="rId34"/>
          <w:type w:val="continuous"/>
          <w:pgSz w:w="11906" w:h="16838" w:code="9"/>
          <w:pgMar w:top="1440" w:right="1440" w:bottom="1440" w:left="1440" w:header="709" w:footer="709" w:gutter="0"/>
          <w:cols w:space="708"/>
          <w:docGrid w:linePitch="360"/>
        </w:sectPr>
      </w:pPr>
    </w:p>
    <w:p w:rsidR="00140976" w:rsidRPr="00860DB5" w:rsidRDefault="00140976" w:rsidP="002C7158">
      <w:pPr>
        <w:pStyle w:val="AERunnumberedheading"/>
      </w:pPr>
      <w:bookmarkStart w:id="105" w:name="_Toc327524016"/>
      <w:bookmarkStart w:id="106" w:name="_Toc337553429"/>
      <w:bookmarkStart w:id="107" w:name="_Toc386117320"/>
      <w:r w:rsidRPr="00860DB5">
        <w:lastRenderedPageBreak/>
        <w:t xml:space="preserve">Appendix </w:t>
      </w:r>
      <w:proofErr w:type="gramStart"/>
      <w:r w:rsidR="00DC7B00">
        <w:t>C</w:t>
      </w:r>
      <w:r w:rsidRPr="00860DB5">
        <w:t xml:space="preserve">  Previous</w:t>
      </w:r>
      <w:proofErr w:type="gramEnd"/>
      <w:r w:rsidRPr="00860DB5">
        <w:t xml:space="preserve"> targeted compliance reviews</w:t>
      </w:r>
      <w:bookmarkEnd w:id="105"/>
      <w:bookmarkEnd w:id="106"/>
      <w:bookmarkEnd w:id="107"/>
    </w:p>
    <w:p w:rsidR="00BA0AB2" w:rsidRPr="00282302" w:rsidRDefault="00C506DD" w:rsidP="00BA0AB2">
      <w:pPr>
        <w:pStyle w:val="AERtabletitle"/>
        <w:rPr>
          <w:rFonts w:ascii="Gautami" w:hAnsi="Gautami" w:cs="Gautami"/>
        </w:rPr>
      </w:pPr>
      <w:r>
        <w:rPr>
          <w:rFonts w:ascii="Gautami" w:hAnsi="Gautami" w:cs="Gautami"/>
        </w:rPr>
        <w:t>Below</w:t>
      </w:r>
      <w:r w:rsidRPr="00282302">
        <w:rPr>
          <w:rFonts w:ascii="Gautami" w:hAnsi="Gautami" w:cs="Gautami"/>
        </w:rPr>
        <w:t xml:space="preserve"> </w:t>
      </w:r>
      <w:r w:rsidR="00BA0AB2" w:rsidRPr="00282302">
        <w:rPr>
          <w:rFonts w:ascii="Gautami" w:hAnsi="Gautami" w:cs="Gautami"/>
        </w:rPr>
        <w:t xml:space="preserve">is a summary of the Electricity Rules and Gas Rules </w:t>
      </w:r>
      <w:r w:rsidRPr="00282302">
        <w:rPr>
          <w:rFonts w:ascii="Gautami" w:hAnsi="Gautami" w:cs="Gautami"/>
        </w:rPr>
        <w:t>provisions</w:t>
      </w:r>
      <w:r>
        <w:rPr>
          <w:rFonts w:ascii="Gautami" w:hAnsi="Gautami" w:cs="Gautami"/>
        </w:rPr>
        <w:t xml:space="preserve"> we have targeted </w:t>
      </w:r>
      <w:r w:rsidR="00AA5257">
        <w:rPr>
          <w:rFonts w:ascii="Gautami" w:hAnsi="Gautami" w:cs="Gautami"/>
        </w:rPr>
        <w:t>in recent quarters</w:t>
      </w:r>
    </w:p>
    <w:tbl>
      <w:tblPr>
        <w:tblW w:w="5000" w:type="pct"/>
        <w:tblBorders>
          <w:top w:val="single" w:sz="4" w:space="0" w:color="auto"/>
          <w:bottom w:val="single" w:sz="4" w:space="0" w:color="auto"/>
        </w:tblBorders>
        <w:tblLook w:val="01E0" w:firstRow="1" w:lastRow="1" w:firstColumn="1" w:lastColumn="1" w:noHBand="0" w:noVBand="0"/>
      </w:tblPr>
      <w:tblGrid>
        <w:gridCol w:w="1695"/>
        <w:gridCol w:w="1072"/>
        <w:gridCol w:w="1470"/>
        <w:gridCol w:w="5005"/>
      </w:tblGrid>
      <w:tr w:rsidR="00140976" w:rsidRPr="00282302" w:rsidTr="000A4B26">
        <w:trPr>
          <w:trHeight w:val="227"/>
        </w:trPr>
        <w:tc>
          <w:tcPr>
            <w:tcW w:w="604"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A0AB2" w:rsidRPr="00282302" w:rsidRDefault="00BA0AB2" w:rsidP="00BA0AB2">
            <w:pPr>
              <w:pStyle w:val="AERtabletextheading"/>
              <w:rPr>
                <w:sz w:val="20"/>
                <w:szCs w:val="20"/>
              </w:rPr>
            </w:pPr>
            <w:r w:rsidRPr="00282302">
              <w:rPr>
                <w:sz w:val="20"/>
                <w:szCs w:val="20"/>
              </w:rPr>
              <w:t>Quarter ending</w:t>
            </w:r>
          </w:p>
        </w:tc>
        <w:tc>
          <w:tcPr>
            <w:tcW w:w="585" w:type="pct"/>
            <w:tcBorders>
              <w:top w:val="single" w:sz="4" w:space="0" w:color="auto"/>
              <w:left w:val="nil"/>
              <w:bottom w:val="single" w:sz="4" w:space="0" w:color="auto"/>
              <w:right w:val="nil"/>
              <w:tl2br w:val="nil"/>
              <w:tr2bl w:val="nil"/>
            </w:tcBorders>
            <w:shd w:val="clear" w:color="auto" w:fill="F2750E"/>
          </w:tcPr>
          <w:p w:rsidR="00BA0AB2" w:rsidRPr="00282302" w:rsidRDefault="00BA0AB2" w:rsidP="00BA0AB2">
            <w:pPr>
              <w:pStyle w:val="AERtabletextheading"/>
              <w:rPr>
                <w:sz w:val="20"/>
                <w:szCs w:val="20"/>
              </w:rPr>
            </w:pPr>
            <w:r w:rsidRPr="00282302">
              <w:rPr>
                <w:sz w:val="20"/>
                <w:szCs w:val="20"/>
              </w:rPr>
              <w:t>Industry</w:t>
            </w:r>
          </w:p>
        </w:tc>
        <w:tc>
          <w:tcPr>
            <w:tcW w:w="999" w:type="pct"/>
            <w:tcBorders>
              <w:top w:val="single" w:sz="4" w:space="0" w:color="auto"/>
              <w:left w:val="nil"/>
              <w:bottom w:val="single" w:sz="4" w:space="0" w:color="auto"/>
              <w:right w:val="nil"/>
              <w:tl2br w:val="nil"/>
              <w:tr2bl w:val="nil"/>
            </w:tcBorders>
            <w:shd w:val="clear" w:color="auto" w:fill="F2750E"/>
          </w:tcPr>
          <w:p w:rsidR="00BA0AB2" w:rsidRPr="00282302" w:rsidRDefault="00BA0AB2" w:rsidP="00BA0AB2">
            <w:pPr>
              <w:pStyle w:val="AERtabletextheading"/>
              <w:rPr>
                <w:sz w:val="20"/>
                <w:szCs w:val="20"/>
              </w:rPr>
            </w:pPr>
            <w:r w:rsidRPr="00282302">
              <w:rPr>
                <w:sz w:val="20"/>
                <w:szCs w:val="20"/>
              </w:rPr>
              <w:t>Rule</w:t>
            </w:r>
          </w:p>
        </w:tc>
        <w:tc>
          <w:tcPr>
            <w:tcW w:w="2812" w:type="pct"/>
            <w:tcBorders>
              <w:top w:val="single" w:sz="4" w:space="0" w:color="auto"/>
              <w:left w:val="nil"/>
              <w:bottom w:val="single" w:sz="4" w:space="0" w:color="auto"/>
              <w:right w:val="single" w:sz="4" w:space="0" w:color="auto"/>
              <w:tl2br w:val="nil"/>
              <w:tr2bl w:val="nil"/>
            </w:tcBorders>
            <w:shd w:val="clear" w:color="auto" w:fill="F2750E"/>
          </w:tcPr>
          <w:p w:rsidR="00BA0AB2" w:rsidRPr="00282302" w:rsidRDefault="00BA0AB2" w:rsidP="00BA0AB2">
            <w:pPr>
              <w:pStyle w:val="AERtabletextheading"/>
              <w:rPr>
                <w:sz w:val="20"/>
                <w:szCs w:val="20"/>
              </w:rPr>
            </w:pPr>
            <w:r w:rsidRPr="00282302">
              <w:rPr>
                <w:sz w:val="20"/>
                <w:szCs w:val="20"/>
              </w:rPr>
              <w:t>Description</w:t>
            </w:r>
          </w:p>
        </w:tc>
      </w:tr>
      <w:tr w:rsidR="00140976" w:rsidRPr="00282302" w:rsidTr="00C47950">
        <w:trPr>
          <w:trHeight w:val="227"/>
        </w:trPr>
        <w:tc>
          <w:tcPr>
            <w:tcW w:w="604" w:type="pct"/>
            <w:shd w:val="clear" w:color="auto" w:fill="auto"/>
            <w:noWrap/>
            <w:tcMar>
              <w:top w:w="0" w:type="dxa"/>
              <w:bottom w:w="0" w:type="dxa"/>
            </w:tcMar>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June 2011</w:t>
            </w:r>
          </w:p>
        </w:tc>
        <w:tc>
          <w:tcPr>
            <w:tcW w:w="585" w:type="pct"/>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172</w:t>
            </w:r>
          </w:p>
        </w:tc>
        <w:tc>
          <w:tcPr>
            <w:tcW w:w="2812" w:type="pct"/>
            <w:vAlign w:val="center"/>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Provision of linepack capacity adequacy indicators for the Bulletin Board</w:t>
            </w:r>
          </w:p>
        </w:tc>
      </w:tr>
      <w:tr w:rsidR="00140976" w:rsidRPr="00282302" w:rsidTr="00C47950">
        <w:trPr>
          <w:trHeight w:val="227"/>
        </w:trPr>
        <w:tc>
          <w:tcPr>
            <w:tcW w:w="604" w:type="pct"/>
            <w:shd w:val="clear" w:color="auto" w:fill="auto"/>
            <w:noWrap/>
            <w:tcMar>
              <w:top w:w="0" w:type="dxa"/>
              <w:bottom w:w="0" w:type="dxa"/>
            </w:tcMar>
          </w:tcPr>
          <w:p w:rsidR="00140976" w:rsidRPr="00282302" w:rsidRDefault="00140976" w:rsidP="00D3476A">
            <w:pPr>
              <w:pStyle w:val="AERtabletext"/>
              <w:rPr>
                <w:rFonts w:ascii="Gautami" w:hAnsi="Gautami" w:cs="Gautami"/>
                <w:sz w:val="20"/>
                <w:szCs w:val="20"/>
              </w:rPr>
            </w:pPr>
          </w:p>
        </w:tc>
        <w:tc>
          <w:tcPr>
            <w:tcW w:w="585" w:type="pct"/>
          </w:tcPr>
          <w:p w:rsidR="00140976" w:rsidRPr="00282302" w:rsidRDefault="00140976" w:rsidP="00D3476A">
            <w:pPr>
              <w:pStyle w:val="AERtabletext"/>
              <w:rPr>
                <w:rFonts w:ascii="Gautami" w:hAnsi="Gautami" w:cs="Gautami"/>
                <w:sz w:val="20"/>
                <w:szCs w:val="20"/>
              </w:rPr>
            </w:pPr>
          </w:p>
        </w:tc>
        <w:tc>
          <w:tcPr>
            <w:tcW w:w="999" w:type="pct"/>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378</w:t>
            </w:r>
          </w:p>
        </w:tc>
        <w:tc>
          <w:tcPr>
            <w:tcW w:w="2812" w:type="pct"/>
            <w:vAlign w:val="center"/>
          </w:tcPr>
          <w:p w:rsidR="00140976" w:rsidRPr="00282302" w:rsidRDefault="0098319C" w:rsidP="00D3476A">
            <w:pPr>
              <w:pStyle w:val="AERtabletext"/>
              <w:rPr>
                <w:rFonts w:ascii="Gautami" w:hAnsi="Gautami" w:cs="Gautami"/>
                <w:sz w:val="20"/>
                <w:szCs w:val="20"/>
              </w:rPr>
            </w:pPr>
            <w:r w:rsidRPr="00282302">
              <w:rPr>
                <w:rFonts w:ascii="Gautami" w:hAnsi="Gautami" w:cs="Gautami"/>
                <w:sz w:val="20"/>
                <w:szCs w:val="20"/>
              </w:rPr>
              <w:t>Obligation to update information registered with AEMO</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Pr>
          <w:p w:rsidR="00D3476A" w:rsidRPr="00282302" w:rsidRDefault="00D3476A" w:rsidP="00D3476A">
            <w:pPr>
              <w:pStyle w:val="AERtabletext"/>
              <w:rPr>
                <w:rFonts w:ascii="Gautami" w:hAnsi="Gautami" w:cs="Gautami"/>
                <w:sz w:val="20"/>
                <w:szCs w:val="20"/>
              </w:rPr>
            </w:pP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435</w:t>
            </w:r>
          </w:p>
        </w:tc>
        <w:tc>
          <w:tcPr>
            <w:tcW w:w="2812" w:type="pct"/>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Requirement to provide good faith, best estimate contingency gas offers</w:t>
            </w:r>
          </w:p>
        </w:tc>
      </w:tr>
      <w:tr w:rsidR="00140976" w:rsidRPr="00282302" w:rsidTr="00D3476A">
        <w:trPr>
          <w:trHeight w:val="227"/>
        </w:trPr>
        <w:tc>
          <w:tcPr>
            <w:tcW w:w="604" w:type="pct"/>
            <w:tcBorders>
              <w:top w:val="nil"/>
            </w:tcBorders>
            <w:shd w:val="clear" w:color="auto" w:fill="FABF8F"/>
            <w:noWrap/>
            <w:tcMar>
              <w:top w:w="0" w:type="dxa"/>
              <w:bottom w:w="0" w:type="dxa"/>
            </w:tcMar>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September 2011</w:t>
            </w:r>
          </w:p>
        </w:tc>
        <w:tc>
          <w:tcPr>
            <w:tcW w:w="585" w:type="pct"/>
            <w:tcBorders>
              <w:top w:val="nil"/>
            </w:tcBorders>
            <w:shd w:val="clear" w:color="auto" w:fill="FABF8F"/>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Borders>
              <w:top w:val="nil"/>
            </w:tcBorders>
            <w:shd w:val="clear" w:color="auto" w:fill="FABF8F"/>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300</w:t>
            </w:r>
          </w:p>
        </w:tc>
        <w:tc>
          <w:tcPr>
            <w:tcW w:w="2812" w:type="pct"/>
            <w:tcBorders>
              <w:top w:val="nil"/>
            </w:tcBorders>
            <w:shd w:val="clear" w:color="auto" w:fill="FABF8F"/>
            <w:vAlign w:val="center"/>
          </w:tcPr>
          <w:p w:rsidR="00140976" w:rsidRPr="00282302" w:rsidRDefault="00D3476A" w:rsidP="00D3476A">
            <w:pPr>
              <w:pStyle w:val="AERtabletext"/>
              <w:rPr>
                <w:rFonts w:ascii="Gautami" w:hAnsi="Gautami" w:cs="Gautami"/>
                <w:sz w:val="20"/>
                <w:szCs w:val="20"/>
              </w:rPr>
            </w:pPr>
            <w:r w:rsidRPr="00282302">
              <w:rPr>
                <w:rFonts w:ascii="Gautami" w:hAnsi="Gautami" w:cs="Gautami"/>
                <w:sz w:val="20"/>
                <w:szCs w:val="20"/>
              </w:rPr>
              <w:t>Obligation to protect metering installations from unauthorised interference</w:t>
            </w:r>
          </w:p>
        </w:tc>
      </w:tr>
      <w:tr w:rsidR="00D3476A" w:rsidRPr="00282302" w:rsidTr="00D3476A">
        <w:trPr>
          <w:trHeight w:val="227"/>
        </w:trPr>
        <w:tc>
          <w:tcPr>
            <w:tcW w:w="604" w:type="pct"/>
            <w:tcBorders>
              <w:top w:val="nil"/>
            </w:tcBorders>
            <w:shd w:val="clear" w:color="auto" w:fill="FABF8F"/>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Borders>
              <w:top w:val="nil"/>
            </w:tcBorders>
            <w:shd w:val="clear" w:color="auto" w:fill="FABF8F"/>
          </w:tcPr>
          <w:p w:rsidR="00D3476A" w:rsidRPr="00282302" w:rsidRDefault="00D3476A" w:rsidP="00D3476A">
            <w:pPr>
              <w:pStyle w:val="AERtabletext"/>
              <w:rPr>
                <w:rFonts w:ascii="Gautami" w:hAnsi="Gautami" w:cs="Gautami"/>
                <w:sz w:val="20"/>
                <w:szCs w:val="20"/>
              </w:rPr>
            </w:pPr>
          </w:p>
        </w:tc>
        <w:tc>
          <w:tcPr>
            <w:tcW w:w="999" w:type="pct"/>
            <w:tcBorders>
              <w:top w:val="nil"/>
            </w:tcBorders>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403</w:t>
            </w:r>
          </w:p>
        </w:tc>
        <w:tc>
          <w:tcPr>
            <w:tcW w:w="2812" w:type="pct"/>
            <w:tcBorders>
              <w:top w:val="nil"/>
            </w:tcBorders>
            <w:shd w:val="clear" w:color="auto" w:fill="FABF8F"/>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Obligation to investigate the circumstances of a MOS shortfall</w:t>
            </w:r>
          </w:p>
        </w:tc>
      </w:tr>
      <w:tr w:rsidR="00D3476A" w:rsidRPr="00282302" w:rsidTr="00C47950">
        <w:trPr>
          <w:trHeight w:val="227"/>
        </w:trPr>
        <w:tc>
          <w:tcPr>
            <w:tcW w:w="604" w:type="pct"/>
            <w:shd w:val="clear" w:color="auto" w:fill="FABF8F"/>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shd w:val="clear" w:color="auto" w:fill="FABF8F"/>
          </w:tcPr>
          <w:p w:rsidR="00D3476A" w:rsidRPr="00282302" w:rsidRDefault="00D3476A" w:rsidP="00D3476A">
            <w:pPr>
              <w:pStyle w:val="AERtabletext"/>
              <w:rPr>
                <w:rFonts w:ascii="Gautami" w:hAnsi="Gautami" w:cs="Gautami"/>
                <w:sz w:val="20"/>
                <w:szCs w:val="20"/>
              </w:rPr>
            </w:pPr>
          </w:p>
        </w:tc>
        <w:tc>
          <w:tcPr>
            <w:tcW w:w="999" w:type="pct"/>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410</w:t>
            </w:r>
          </w:p>
        </w:tc>
        <w:tc>
          <w:tcPr>
            <w:tcW w:w="2812" w:type="pct"/>
            <w:shd w:val="clear" w:color="auto" w:fill="FABF8F"/>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Obligation to make good faith, best estimate price taker bids (demand forecasts)</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December 2011</w:t>
            </w:r>
          </w:p>
        </w:tc>
        <w:tc>
          <w:tcPr>
            <w:tcW w:w="585"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180</w:t>
            </w:r>
          </w:p>
        </w:tc>
        <w:tc>
          <w:tcPr>
            <w:tcW w:w="2812" w:type="pct"/>
            <w:vAlign w:val="center"/>
          </w:tcPr>
          <w:p w:rsidR="00D3476A" w:rsidRPr="00282302" w:rsidRDefault="00D3476A" w:rsidP="00D3476A">
            <w:pPr>
              <w:pStyle w:val="AERtabletext"/>
              <w:rPr>
                <w:rFonts w:ascii="Gautami" w:hAnsi="Gautami" w:cs="Gautami"/>
                <w:sz w:val="20"/>
                <w:szCs w:val="20"/>
              </w:rPr>
            </w:pPr>
            <w:r w:rsidRPr="00282302">
              <w:rPr>
                <w:rStyle w:val="displayonly"/>
                <w:rFonts w:ascii="Gautami" w:hAnsi="Gautami" w:cs="Gautami"/>
                <w:sz w:val="20"/>
                <w:szCs w:val="20"/>
              </w:rPr>
              <w:t>Obligation to publish peak demand day information</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Pr>
          <w:p w:rsidR="00D3476A" w:rsidRPr="00282302" w:rsidRDefault="00D3476A" w:rsidP="00D3476A">
            <w:pPr>
              <w:pStyle w:val="AERtabletext"/>
              <w:rPr>
                <w:rFonts w:ascii="Gautami" w:hAnsi="Gautami" w:cs="Gautami"/>
                <w:sz w:val="20"/>
                <w:szCs w:val="20"/>
              </w:rPr>
            </w:pP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219</w:t>
            </w:r>
          </w:p>
        </w:tc>
        <w:tc>
          <w:tcPr>
            <w:tcW w:w="2812" w:type="pct"/>
            <w:vAlign w:val="center"/>
          </w:tcPr>
          <w:p w:rsidR="00D3476A" w:rsidRPr="00282302" w:rsidRDefault="00D3476A" w:rsidP="00D3476A">
            <w:pPr>
              <w:pStyle w:val="AERtabletext"/>
              <w:rPr>
                <w:rStyle w:val="displayonly"/>
                <w:rFonts w:ascii="Gautami" w:hAnsi="Gautami" w:cs="Gautami"/>
                <w:sz w:val="20"/>
                <w:szCs w:val="20"/>
              </w:rPr>
            </w:pPr>
            <w:r w:rsidRPr="00282302">
              <w:rPr>
                <w:rStyle w:val="displayonly"/>
                <w:rFonts w:ascii="Gautami" w:hAnsi="Gautami" w:cs="Gautami"/>
                <w:sz w:val="20"/>
                <w:szCs w:val="20"/>
              </w:rPr>
              <w:t>Obligation to notify AEMO of injection and withdrawal quantities</w:t>
            </w:r>
          </w:p>
        </w:tc>
      </w:tr>
      <w:tr w:rsidR="00D3476A" w:rsidRPr="00282302" w:rsidTr="00C47950">
        <w:trPr>
          <w:trHeight w:val="227"/>
        </w:trPr>
        <w:tc>
          <w:tcPr>
            <w:tcW w:w="604" w:type="pct"/>
            <w:shd w:val="clear" w:color="auto" w:fill="auto"/>
            <w:noWrap/>
            <w:tcMar>
              <w:top w:w="0" w:type="dxa"/>
              <w:bottom w:w="0" w:type="dxa"/>
            </w:tcMar>
          </w:tcPr>
          <w:p w:rsidR="00D3476A" w:rsidRPr="00282302" w:rsidRDefault="00D3476A" w:rsidP="00D3476A">
            <w:pPr>
              <w:pStyle w:val="AERtabletext"/>
              <w:rPr>
                <w:rFonts w:ascii="Gautami" w:hAnsi="Gautami" w:cs="Gautami"/>
                <w:sz w:val="20"/>
                <w:szCs w:val="20"/>
              </w:rPr>
            </w:pPr>
          </w:p>
        </w:tc>
        <w:tc>
          <w:tcPr>
            <w:tcW w:w="585" w:type="pct"/>
          </w:tcPr>
          <w:p w:rsidR="00D3476A" w:rsidRPr="00282302" w:rsidRDefault="00D3476A" w:rsidP="00D3476A">
            <w:pPr>
              <w:pStyle w:val="AERtabletext"/>
              <w:rPr>
                <w:rFonts w:ascii="Gautami" w:hAnsi="Gautami" w:cs="Gautami"/>
                <w:sz w:val="20"/>
                <w:szCs w:val="20"/>
              </w:rPr>
            </w:pPr>
          </w:p>
        </w:tc>
        <w:tc>
          <w:tcPr>
            <w:tcW w:w="999" w:type="pct"/>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254</w:t>
            </w:r>
          </w:p>
        </w:tc>
        <w:tc>
          <w:tcPr>
            <w:tcW w:w="2812" w:type="pct"/>
            <w:vAlign w:val="center"/>
          </w:tcPr>
          <w:p w:rsidR="00D3476A" w:rsidRPr="00282302" w:rsidRDefault="00D3476A" w:rsidP="00D3476A">
            <w:pPr>
              <w:pStyle w:val="AERtabletext"/>
              <w:rPr>
                <w:rStyle w:val="displayonly"/>
                <w:rFonts w:ascii="Gautami" w:hAnsi="Gautami" w:cs="Gautami"/>
                <w:sz w:val="20"/>
                <w:szCs w:val="20"/>
              </w:rPr>
            </w:pPr>
            <w:r w:rsidRPr="00282302">
              <w:rPr>
                <w:rStyle w:val="displayonly"/>
                <w:rFonts w:ascii="Gautami" w:hAnsi="Gautami" w:cs="Gautami"/>
                <w:sz w:val="20"/>
                <w:szCs w:val="20"/>
              </w:rPr>
              <w:t xml:space="preserve">Obligation </w:t>
            </w:r>
            <w:r w:rsidRPr="00282302">
              <w:rPr>
                <w:rFonts w:ascii="Gautami" w:hAnsi="Gautami" w:cs="Gautami"/>
                <w:sz w:val="20"/>
                <w:szCs w:val="20"/>
              </w:rPr>
              <w:t>to provide and maintain security (prudential requirements)</w:t>
            </w:r>
          </w:p>
        </w:tc>
      </w:tr>
      <w:tr w:rsidR="00D3476A" w:rsidRPr="00282302" w:rsidTr="00C47950">
        <w:trPr>
          <w:trHeight w:val="227"/>
        </w:trPr>
        <w:tc>
          <w:tcPr>
            <w:tcW w:w="604" w:type="pct"/>
            <w:tcBorders>
              <w:bottom w:val="nil"/>
            </w:tcBorders>
            <w:shd w:val="clear" w:color="auto" w:fill="FABF8F"/>
            <w:noWrap/>
            <w:tcMar>
              <w:top w:w="0" w:type="dxa"/>
              <w:bottom w:w="0" w:type="dxa"/>
            </w:tcMa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March 2012</w:t>
            </w:r>
          </w:p>
        </w:tc>
        <w:tc>
          <w:tcPr>
            <w:tcW w:w="585" w:type="pct"/>
            <w:tcBorders>
              <w:bottom w:val="nil"/>
            </w:tcBorders>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Borders>
              <w:bottom w:val="nil"/>
            </w:tcBorders>
            <w:shd w:val="clear" w:color="auto" w:fill="FABF8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336</w:t>
            </w:r>
          </w:p>
        </w:tc>
        <w:tc>
          <w:tcPr>
            <w:tcW w:w="2812" w:type="pct"/>
            <w:tcBorders>
              <w:bottom w:val="nil"/>
            </w:tcBorders>
            <w:shd w:val="clear" w:color="auto" w:fill="FABF8F"/>
            <w:vAlign w:val="center"/>
          </w:tcPr>
          <w:p w:rsidR="00D3476A" w:rsidRPr="00282302" w:rsidRDefault="00D3476A" w:rsidP="00D3476A">
            <w:pPr>
              <w:pStyle w:val="AERtabletext"/>
              <w:rPr>
                <w:rStyle w:val="displayonly"/>
                <w:rFonts w:ascii="Gautami" w:hAnsi="Gautami" w:cs="Gautami"/>
                <w:sz w:val="20"/>
                <w:szCs w:val="20"/>
              </w:rPr>
            </w:pPr>
            <w:r w:rsidRPr="00282302">
              <w:rPr>
                <w:rFonts w:ascii="Gautami" w:hAnsi="Gautami" w:cs="Gautami"/>
                <w:sz w:val="20"/>
                <w:szCs w:val="20"/>
              </w:rPr>
              <w:t>Emergency procedures awareness</w:t>
            </w:r>
          </w:p>
        </w:tc>
      </w:tr>
      <w:tr w:rsidR="00D3476A" w:rsidRPr="00282302" w:rsidTr="000D2D9C">
        <w:trPr>
          <w:trHeight w:val="227"/>
        </w:trPr>
        <w:tc>
          <w:tcPr>
            <w:tcW w:w="604" w:type="pct"/>
            <w:tcBorders>
              <w:top w:val="nil"/>
              <w:bottom w:val="nil"/>
            </w:tcBorders>
            <w:shd w:val="clear" w:color="auto" w:fill="FFFFFF"/>
            <w:noWrap/>
            <w:tcMar>
              <w:top w:w="0" w:type="dxa"/>
              <w:bottom w:w="0" w:type="dxa"/>
            </w:tcMa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September 2012</w:t>
            </w:r>
          </w:p>
        </w:tc>
        <w:tc>
          <w:tcPr>
            <w:tcW w:w="585" w:type="pct"/>
            <w:tcBorders>
              <w:top w:val="nil"/>
              <w:bottom w:val="nil"/>
            </w:tcBorders>
            <w:shd w:val="clear" w:color="auto" w:fill="FFFFF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Gas</w:t>
            </w:r>
          </w:p>
        </w:tc>
        <w:tc>
          <w:tcPr>
            <w:tcW w:w="999" w:type="pct"/>
            <w:tcBorders>
              <w:top w:val="nil"/>
              <w:bottom w:val="nil"/>
            </w:tcBorders>
            <w:shd w:val="clear" w:color="auto" w:fill="FFFFFF"/>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213(2)(b) and (c)</w:t>
            </w:r>
          </w:p>
        </w:tc>
        <w:tc>
          <w:tcPr>
            <w:tcW w:w="2812" w:type="pct"/>
            <w:tcBorders>
              <w:top w:val="nil"/>
              <w:bottom w:val="nil"/>
            </w:tcBorders>
            <w:shd w:val="clear" w:color="auto" w:fill="FFFFFF"/>
            <w:vAlign w:val="center"/>
          </w:tcPr>
          <w:p w:rsidR="00D3476A" w:rsidRPr="00282302" w:rsidRDefault="00D3476A" w:rsidP="00D3476A">
            <w:pPr>
              <w:pStyle w:val="AERtabletext"/>
              <w:rPr>
                <w:rFonts w:ascii="Gautami" w:hAnsi="Gautami" w:cs="Gautami"/>
                <w:sz w:val="20"/>
                <w:szCs w:val="20"/>
              </w:rPr>
            </w:pPr>
            <w:r w:rsidRPr="00282302">
              <w:rPr>
                <w:rFonts w:ascii="Gautami" w:hAnsi="Gautami" w:cs="Gautami"/>
                <w:sz w:val="20"/>
                <w:szCs w:val="20"/>
              </w:rPr>
              <w:t>Injection and withdrawal bids in the Victorian gas market</w:t>
            </w:r>
          </w:p>
        </w:tc>
      </w:tr>
      <w:tr w:rsidR="000D2D9C" w:rsidRPr="009E5DEC" w:rsidTr="00594FD3">
        <w:trPr>
          <w:trHeight w:val="227"/>
        </w:trPr>
        <w:tc>
          <w:tcPr>
            <w:tcW w:w="604" w:type="pct"/>
            <w:tcBorders>
              <w:top w:val="nil"/>
              <w:bottom w:val="nil"/>
            </w:tcBorders>
            <w:shd w:val="clear" w:color="auto" w:fill="FABF8F" w:themeFill="accent6" w:themeFillTint="99"/>
            <w:noWrap/>
            <w:tcMar>
              <w:top w:w="0" w:type="dxa"/>
              <w:bottom w:w="0" w:type="dxa"/>
            </w:tcMar>
          </w:tcPr>
          <w:p w:rsidR="000D2D9C" w:rsidRPr="00282302" w:rsidRDefault="000D2D9C" w:rsidP="00D3476A">
            <w:pPr>
              <w:pStyle w:val="AERtabletext"/>
              <w:rPr>
                <w:rFonts w:ascii="Gautami" w:hAnsi="Gautami" w:cs="Gautami"/>
                <w:sz w:val="20"/>
                <w:szCs w:val="20"/>
              </w:rPr>
            </w:pPr>
            <w:r w:rsidRPr="00282302">
              <w:rPr>
                <w:rFonts w:ascii="Gautami" w:hAnsi="Gautami" w:cs="Gautami"/>
                <w:sz w:val="20"/>
                <w:szCs w:val="20"/>
              </w:rPr>
              <w:t>March 2013</w:t>
            </w:r>
          </w:p>
        </w:tc>
        <w:tc>
          <w:tcPr>
            <w:tcW w:w="585" w:type="pct"/>
            <w:tcBorders>
              <w:top w:val="nil"/>
              <w:bottom w:val="nil"/>
            </w:tcBorders>
            <w:shd w:val="clear" w:color="auto" w:fill="FABF8F" w:themeFill="accent6" w:themeFillTint="99"/>
          </w:tcPr>
          <w:p w:rsidR="000D2D9C" w:rsidRPr="00282302" w:rsidRDefault="000D2D9C" w:rsidP="00D3476A">
            <w:pPr>
              <w:pStyle w:val="AERtabletext"/>
              <w:rPr>
                <w:rFonts w:ascii="Gautami" w:hAnsi="Gautami" w:cs="Gautami"/>
                <w:sz w:val="20"/>
                <w:szCs w:val="20"/>
              </w:rPr>
            </w:pPr>
            <w:r w:rsidRPr="00282302">
              <w:rPr>
                <w:rFonts w:ascii="Gautami" w:hAnsi="Gautami" w:cs="Gautami"/>
                <w:sz w:val="20"/>
                <w:szCs w:val="20"/>
              </w:rPr>
              <w:t>Electricity</w:t>
            </w:r>
          </w:p>
        </w:tc>
        <w:tc>
          <w:tcPr>
            <w:tcW w:w="999" w:type="pct"/>
            <w:tcBorders>
              <w:top w:val="nil"/>
              <w:bottom w:val="nil"/>
            </w:tcBorders>
            <w:shd w:val="clear" w:color="auto" w:fill="FABF8F" w:themeFill="accent6" w:themeFillTint="99"/>
          </w:tcPr>
          <w:p w:rsidR="000D2D9C" w:rsidRPr="00282302" w:rsidRDefault="000D2D9C" w:rsidP="00D3476A">
            <w:pPr>
              <w:pStyle w:val="AERtabletext"/>
              <w:rPr>
                <w:rFonts w:ascii="Gautami" w:hAnsi="Gautami" w:cs="Gautami"/>
                <w:sz w:val="20"/>
                <w:szCs w:val="20"/>
              </w:rPr>
            </w:pPr>
            <w:r w:rsidRPr="00282302">
              <w:rPr>
                <w:rFonts w:ascii="Gautami" w:hAnsi="Gautami" w:cs="Gautami"/>
                <w:sz w:val="20"/>
                <w:szCs w:val="20"/>
              </w:rPr>
              <w:t>4.15</w:t>
            </w:r>
          </w:p>
        </w:tc>
        <w:tc>
          <w:tcPr>
            <w:tcW w:w="2812" w:type="pct"/>
            <w:tcBorders>
              <w:top w:val="nil"/>
              <w:bottom w:val="nil"/>
            </w:tcBorders>
            <w:shd w:val="clear" w:color="auto" w:fill="FABF8F" w:themeFill="accent6" w:themeFillTint="99"/>
            <w:vAlign w:val="center"/>
          </w:tcPr>
          <w:p w:rsidR="000D2D9C" w:rsidRPr="00D3476A" w:rsidRDefault="000D2D9C" w:rsidP="00D3476A">
            <w:pPr>
              <w:pStyle w:val="AERtabletext"/>
              <w:rPr>
                <w:rFonts w:ascii="Gautami" w:hAnsi="Gautami" w:cs="Gautami"/>
                <w:sz w:val="20"/>
                <w:szCs w:val="20"/>
              </w:rPr>
            </w:pPr>
            <w:r w:rsidRPr="00282302">
              <w:rPr>
                <w:rFonts w:ascii="Gautami" w:hAnsi="Gautami" w:cs="Gautami"/>
                <w:sz w:val="20"/>
                <w:szCs w:val="20"/>
              </w:rPr>
              <w:t>Compliance with performance standards</w:t>
            </w:r>
          </w:p>
        </w:tc>
      </w:tr>
      <w:tr w:rsidR="00594FD3" w:rsidRPr="009E5DEC" w:rsidTr="00F54559">
        <w:trPr>
          <w:trHeight w:val="227"/>
        </w:trPr>
        <w:tc>
          <w:tcPr>
            <w:tcW w:w="604" w:type="pct"/>
            <w:tcBorders>
              <w:top w:val="nil"/>
              <w:bottom w:val="nil"/>
            </w:tcBorders>
            <w:shd w:val="clear" w:color="auto" w:fill="auto"/>
            <w:noWrap/>
            <w:tcMar>
              <w:top w:w="0" w:type="dxa"/>
              <w:bottom w:w="0" w:type="dxa"/>
            </w:tcMar>
          </w:tcPr>
          <w:p w:rsidR="00594FD3" w:rsidRPr="00282302" w:rsidRDefault="00594FD3" w:rsidP="00D3476A">
            <w:pPr>
              <w:pStyle w:val="AERtabletext"/>
              <w:rPr>
                <w:rFonts w:ascii="Gautami" w:hAnsi="Gautami" w:cs="Gautami"/>
                <w:sz w:val="20"/>
                <w:szCs w:val="20"/>
              </w:rPr>
            </w:pPr>
            <w:r>
              <w:rPr>
                <w:rFonts w:ascii="Gautami" w:hAnsi="Gautami" w:cs="Gautami"/>
                <w:sz w:val="20"/>
                <w:szCs w:val="20"/>
              </w:rPr>
              <w:t>June 2013</w:t>
            </w:r>
          </w:p>
        </w:tc>
        <w:tc>
          <w:tcPr>
            <w:tcW w:w="585" w:type="pct"/>
            <w:tcBorders>
              <w:top w:val="nil"/>
              <w:bottom w:val="nil"/>
            </w:tcBorders>
            <w:shd w:val="clear" w:color="auto" w:fill="auto"/>
          </w:tcPr>
          <w:p w:rsidR="00594FD3" w:rsidRPr="00282302" w:rsidRDefault="00594FD3" w:rsidP="00D3476A">
            <w:pPr>
              <w:pStyle w:val="AERtabletext"/>
              <w:rPr>
                <w:rFonts w:ascii="Gautami" w:hAnsi="Gautami" w:cs="Gautami"/>
                <w:sz w:val="20"/>
                <w:szCs w:val="20"/>
              </w:rPr>
            </w:pPr>
            <w:r>
              <w:rPr>
                <w:rFonts w:ascii="Gautami" w:hAnsi="Gautami" w:cs="Gautami"/>
                <w:sz w:val="20"/>
                <w:szCs w:val="20"/>
              </w:rPr>
              <w:t>Electricity</w:t>
            </w:r>
          </w:p>
        </w:tc>
        <w:tc>
          <w:tcPr>
            <w:tcW w:w="999" w:type="pct"/>
            <w:tcBorders>
              <w:top w:val="nil"/>
              <w:bottom w:val="nil"/>
            </w:tcBorders>
            <w:shd w:val="clear" w:color="auto" w:fill="auto"/>
          </w:tcPr>
          <w:p w:rsidR="00594FD3" w:rsidRPr="00282302" w:rsidRDefault="00594FD3" w:rsidP="00D3476A">
            <w:pPr>
              <w:pStyle w:val="AERtabletext"/>
              <w:rPr>
                <w:rFonts w:ascii="Gautami" w:hAnsi="Gautami" w:cs="Gautami"/>
                <w:sz w:val="20"/>
                <w:szCs w:val="20"/>
              </w:rPr>
            </w:pPr>
            <w:r>
              <w:rPr>
                <w:rFonts w:ascii="Gautami" w:hAnsi="Gautami" w:cs="Gautami"/>
                <w:sz w:val="20"/>
                <w:szCs w:val="20"/>
              </w:rPr>
              <w:t>8.6.6</w:t>
            </w:r>
          </w:p>
        </w:tc>
        <w:tc>
          <w:tcPr>
            <w:tcW w:w="2812" w:type="pct"/>
            <w:tcBorders>
              <w:top w:val="nil"/>
              <w:bottom w:val="nil"/>
            </w:tcBorders>
            <w:shd w:val="clear" w:color="auto" w:fill="auto"/>
            <w:vAlign w:val="center"/>
          </w:tcPr>
          <w:p w:rsidR="00594FD3" w:rsidRPr="00282302" w:rsidRDefault="00594FD3" w:rsidP="00D3476A">
            <w:pPr>
              <w:pStyle w:val="AERtabletext"/>
              <w:rPr>
                <w:rFonts w:ascii="Gautami" w:hAnsi="Gautami" w:cs="Gautami"/>
                <w:sz w:val="20"/>
                <w:szCs w:val="20"/>
              </w:rPr>
            </w:pPr>
            <w:r>
              <w:rPr>
                <w:rFonts w:ascii="Gautami" w:hAnsi="Gautami" w:cs="Gautami"/>
                <w:sz w:val="20"/>
                <w:szCs w:val="20"/>
              </w:rPr>
              <w:t>AEMO requirements for confidential information</w:t>
            </w:r>
          </w:p>
        </w:tc>
      </w:tr>
      <w:tr w:rsidR="00F54559" w:rsidRPr="009E5DEC" w:rsidTr="00F54559">
        <w:trPr>
          <w:trHeight w:val="227"/>
        </w:trPr>
        <w:tc>
          <w:tcPr>
            <w:tcW w:w="604" w:type="pct"/>
            <w:tcBorders>
              <w:top w:val="nil"/>
              <w:bottom w:val="single" w:sz="4" w:space="0" w:color="auto"/>
            </w:tcBorders>
            <w:shd w:val="clear" w:color="auto" w:fill="FABF8F" w:themeFill="accent6" w:themeFillTint="99"/>
            <w:noWrap/>
            <w:tcMar>
              <w:top w:w="0" w:type="dxa"/>
              <w:bottom w:w="0" w:type="dxa"/>
            </w:tcMar>
          </w:tcPr>
          <w:p w:rsidR="00F54559" w:rsidRPr="00731D3F" w:rsidRDefault="00F54559" w:rsidP="00731D3F">
            <w:pPr>
              <w:pStyle w:val="AERtabletext"/>
              <w:rPr>
                <w:rFonts w:ascii="Gautami" w:hAnsi="Gautami" w:cs="Gautami"/>
                <w:sz w:val="20"/>
                <w:szCs w:val="20"/>
              </w:rPr>
            </w:pPr>
            <w:r w:rsidRPr="00731D3F">
              <w:rPr>
                <w:rFonts w:ascii="Gautami" w:hAnsi="Gautami" w:cs="Gautami"/>
                <w:sz w:val="20"/>
                <w:szCs w:val="20"/>
              </w:rPr>
              <w:t>December 2013</w:t>
            </w:r>
          </w:p>
        </w:tc>
        <w:tc>
          <w:tcPr>
            <w:tcW w:w="585" w:type="pct"/>
            <w:tcBorders>
              <w:top w:val="nil"/>
              <w:bottom w:val="single" w:sz="4" w:space="0" w:color="auto"/>
            </w:tcBorders>
            <w:shd w:val="clear" w:color="auto" w:fill="FABF8F" w:themeFill="accent6" w:themeFillTint="99"/>
          </w:tcPr>
          <w:p w:rsidR="00F54559" w:rsidRPr="00731D3F" w:rsidRDefault="00F54559" w:rsidP="00731D3F">
            <w:pPr>
              <w:pStyle w:val="AERtabletext"/>
              <w:rPr>
                <w:rFonts w:ascii="Gautami" w:hAnsi="Gautami" w:cs="Gautami"/>
                <w:sz w:val="20"/>
                <w:szCs w:val="20"/>
              </w:rPr>
            </w:pPr>
            <w:r w:rsidRPr="00731D3F">
              <w:rPr>
                <w:rFonts w:ascii="Gautami" w:hAnsi="Gautami" w:cs="Gautami"/>
                <w:sz w:val="20"/>
                <w:szCs w:val="20"/>
              </w:rPr>
              <w:t>Electricity</w:t>
            </w:r>
          </w:p>
        </w:tc>
        <w:tc>
          <w:tcPr>
            <w:tcW w:w="999" w:type="pct"/>
            <w:tcBorders>
              <w:top w:val="nil"/>
              <w:bottom w:val="single" w:sz="4" w:space="0" w:color="auto"/>
            </w:tcBorders>
            <w:shd w:val="clear" w:color="auto" w:fill="FABF8F" w:themeFill="accent6" w:themeFillTint="99"/>
          </w:tcPr>
          <w:p w:rsidR="00F54559" w:rsidRPr="00731D3F" w:rsidRDefault="00731D3F" w:rsidP="00731D3F">
            <w:pPr>
              <w:pStyle w:val="AERtabletext"/>
              <w:rPr>
                <w:rFonts w:ascii="Gautami" w:hAnsi="Gautami" w:cs="Gautami"/>
                <w:sz w:val="20"/>
                <w:szCs w:val="20"/>
              </w:rPr>
            </w:pPr>
            <w:r>
              <w:rPr>
                <w:rFonts w:ascii="Gautami" w:hAnsi="Gautami" w:cs="Gautami"/>
                <w:sz w:val="20"/>
                <w:szCs w:val="20"/>
              </w:rPr>
              <w:t>7.8.2</w:t>
            </w:r>
          </w:p>
        </w:tc>
        <w:tc>
          <w:tcPr>
            <w:tcW w:w="2812" w:type="pct"/>
            <w:tcBorders>
              <w:top w:val="nil"/>
              <w:bottom w:val="single" w:sz="4" w:space="0" w:color="auto"/>
            </w:tcBorders>
            <w:shd w:val="clear" w:color="auto" w:fill="FABF8F" w:themeFill="accent6" w:themeFillTint="99"/>
            <w:vAlign w:val="center"/>
          </w:tcPr>
          <w:p w:rsidR="00F54559" w:rsidRDefault="00E22873" w:rsidP="00D3476A">
            <w:pPr>
              <w:pStyle w:val="AERtabletext"/>
              <w:rPr>
                <w:rFonts w:ascii="Gautami" w:hAnsi="Gautami" w:cs="Gautami"/>
                <w:sz w:val="20"/>
                <w:szCs w:val="20"/>
              </w:rPr>
            </w:pPr>
            <w:r>
              <w:rPr>
                <w:rFonts w:ascii="Gautami" w:hAnsi="Gautami" w:cs="Gautami"/>
                <w:sz w:val="20"/>
                <w:szCs w:val="20"/>
              </w:rPr>
              <w:t>Security controls for energy data</w:t>
            </w:r>
          </w:p>
        </w:tc>
      </w:tr>
    </w:tbl>
    <w:p w:rsidR="00140976" w:rsidRDefault="00140976" w:rsidP="00140976">
      <w:pPr>
        <w:pStyle w:val="AERbodytext"/>
        <w:rPr>
          <w:b/>
          <w:lang w:eastAsia="en-AU"/>
        </w:rPr>
      </w:pPr>
    </w:p>
    <w:p w:rsidR="000A4B26" w:rsidRPr="00FD3B0E" w:rsidRDefault="000A4B26" w:rsidP="00140976">
      <w:pPr>
        <w:pStyle w:val="AERbodytext"/>
        <w:rPr>
          <w:b/>
          <w:lang w:eastAsia="en-AU"/>
        </w:rPr>
      </w:pPr>
    </w:p>
    <w:sectPr w:rsidR="000A4B26" w:rsidRPr="00FD3B0E" w:rsidSect="000A4B26">
      <w:footerReference w:type="default" r:id="rId3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81" w:rsidRDefault="00BA3581" w:rsidP="00BB640B">
      <w:r>
        <w:separator/>
      </w:r>
    </w:p>
    <w:p w:rsidR="00BA3581" w:rsidRDefault="00BA3581"/>
    <w:p w:rsidR="00BA3581" w:rsidRDefault="00BA3581"/>
  </w:endnote>
  <w:endnote w:type="continuationSeparator" w:id="0">
    <w:p w:rsidR="00BA3581" w:rsidRDefault="00BA3581" w:rsidP="00BB640B">
      <w:r>
        <w:continuationSeparator/>
      </w:r>
    </w:p>
    <w:p w:rsidR="00BA3581" w:rsidRDefault="00BA3581"/>
    <w:p w:rsidR="00BA3581" w:rsidRDefault="00BA3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ヒラギノ角ゴ Pro W3">
    <w:charset w:val="00"/>
    <w:family w:val="roman"/>
    <w:pitch w:val="default"/>
  </w:font>
  <w:font w:name="HelveticaNeueLT St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81" w:rsidRDefault="00BA3581" w:rsidP="009F68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3581" w:rsidRDefault="00BA3581" w:rsidP="007842F1">
    <w:pPr>
      <w:ind w:right="360"/>
    </w:pPr>
    <w:r>
      <w:rPr>
        <w:rStyle w:val="PageNumber"/>
      </w:rPr>
      <w:tab/>
    </w:r>
  </w:p>
  <w:p w:rsidR="00BA3581" w:rsidRDefault="00BA3581"/>
  <w:p w:rsidR="00BA3581" w:rsidRDefault="00BA35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81" w:rsidRPr="007842F1" w:rsidRDefault="00BA3581" w:rsidP="009F6871">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850A3E">
      <w:rPr>
        <w:rStyle w:val="PageNumber"/>
        <w:noProof/>
      </w:rPr>
      <w:t>i</w:t>
    </w:r>
    <w:r w:rsidRPr="007842F1">
      <w:rPr>
        <w:rStyle w:val="PageNumber"/>
      </w:rPr>
      <w:fldChar w:fldCharType="end"/>
    </w:r>
  </w:p>
  <w:p w:rsidR="00BA3581" w:rsidRDefault="00BA3581" w:rsidP="00AA1DED">
    <w:pPr>
      <w:pStyle w:val="FootnoteText"/>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81" w:rsidRPr="007842F1" w:rsidRDefault="00BA3581" w:rsidP="00BB5A97">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850A3E">
      <w:rPr>
        <w:rStyle w:val="PageNumber"/>
        <w:noProof/>
      </w:rPr>
      <w:t>20</w:t>
    </w:r>
    <w:r w:rsidRPr="007842F1">
      <w:rPr>
        <w:rStyle w:val="PageNumber"/>
      </w:rPr>
      <w:fldChar w:fldCharType="end"/>
    </w:r>
  </w:p>
  <w:p w:rsidR="00BA3581" w:rsidRPr="0097256D" w:rsidRDefault="00BA3581" w:rsidP="00BB5A97">
    <w:pPr>
      <w:pStyle w:val="FootnoteTex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81" w:rsidRPr="007842F1" w:rsidRDefault="00BA3581" w:rsidP="00BB5A97">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850A3E">
      <w:rPr>
        <w:rStyle w:val="PageNumber"/>
        <w:noProof/>
      </w:rPr>
      <w:t>33</w:t>
    </w:r>
    <w:r w:rsidRPr="007842F1">
      <w:rPr>
        <w:rStyle w:val="PageNumber"/>
      </w:rPr>
      <w:fldChar w:fldCharType="end"/>
    </w:r>
  </w:p>
  <w:p w:rsidR="00BA3581" w:rsidRPr="0097256D" w:rsidRDefault="00BA3581" w:rsidP="00BB5A97">
    <w:pPr>
      <w:pStyle w:val="FootnoteTex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81" w:rsidRDefault="00BA3581" w:rsidP="00BB640B">
      <w:r>
        <w:separator/>
      </w:r>
    </w:p>
    <w:p w:rsidR="00BA3581" w:rsidRDefault="00BA3581"/>
    <w:p w:rsidR="00BA3581" w:rsidRDefault="00BA3581"/>
  </w:footnote>
  <w:footnote w:type="continuationSeparator" w:id="0">
    <w:p w:rsidR="00BA3581" w:rsidRDefault="00BA3581" w:rsidP="00BB640B">
      <w:r>
        <w:continuationSeparator/>
      </w:r>
    </w:p>
    <w:p w:rsidR="00BA3581" w:rsidRDefault="00BA3581"/>
    <w:p w:rsidR="00BA3581" w:rsidRDefault="00BA3581"/>
  </w:footnote>
  <w:footnote w:id="1">
    <w:p w:rsidR="00BA3581" w:rsidRPr="005B5051" w:rsidRDefault="00BA3581" w:rsidP="005B5051">
      <w:pPr>
        <w:pStyle w:val="FootnoteText"/>
        <w:jc w:val="both"/>
        <w:rPr>
          <w:rFonts w:ascii="Gautami" w:hAnsi="Gautami" w:cs="Gautami"/>
        </w:rPr>
      </w:pPr>
      <w:r w:rsidRPr="0035087E">
        <w:rPr>
          <w:rStyle w:val="FootnoteReference"/>
          <w:rFonts w:ascii="Gautami" w:hAnsi="Gautami" w:cs="Gautami"/>
        </w:rPr>
        <w:footnoteRef/>
      </w:r>
      <w:r w:rsidRPr="0035087E">
        <w:rPr>
          <w:rFonts w:ascii="Gautami" w:hAnsi="Gautami" w:cs="Gautami"/>
        </w:rPr>
        <w:t xml:space="preserve"> </w:t>
      </w:r>
      <w:r w:rsidRPr="0035087E">
        <w:rPr>
          <w:rFonts w:ascii="Gautami" w:hAnsi="Gautami" w:cs="Gautami"/>
        </w:rPr>
        <w:tab/>
        <w:t>Pr</w:t>
      </w:r>
      <w:r>
        <w:rPr>
          <w:rFonts w:ascii="Gautami" w:hAnsi="Gautami" w:cs="Gautami"/>
        </w:rPr>
        <w:t>evious QCRs are available on</w:t>
      </w:r>
      <w:r w:rsidRPr="0035087E">
        <w:rPr>
          <w:rFonts w:ascii="Gautami" w:hAnsi="Gautami" w:cs="Gautami"/>
        </w:rPr>
        <w:t xml:space="preserve"> </w:t>
      </w:r>
      <w:hyperlink r:id="rId1" w:history="1">
        <w:r>
          <w:rPr>
            <w:rStyle w:val="Hyperlink"/>
            <w:rFonts w:cs="Gautami"/>
          </w:rPr>
          <w:t>our</w:t>
        </w:r>
        <w:r w:rsidRPr="0035087E">
          <w:rPr>
            <w:rStyle w:val="Hyperlink"/>
            <w:rFonts w:cs="Gautami"/>
          </w:rPr>
          <w:t xml:space="preserve"> website</w:t>
        </w:r>
      </w:hyperlink>
      <w:r>
        <w:rPr>
          <w:rStyle w:val="Hyperlink"/>
          <w:rFonts w:cs="Gautami"/>
          <w:u w:val="none"/>
        </w:rPr>
        <w:t>.</w:t>
      </w:r>
    </w:p>
  </w:footnote>
  <w:footnote w:id="2">
    <w:p w:rsidR="00BA3581" w:rsidRDefault="00BA3581" w:rsidP="00BC4965">
      <w:pPr>
        <w:pStyle w:val="FootnoteText"/>
        <w:spacing w:after="120"/>
        <w:jc w:val="both"/>
      </w:pPr>
      <w:r w:rsidRPr="00E42CCD">
        <w:rPr>
          <w:rStyle w:val="FootnoteReference"/>
          <w:rFonts w:ascii="Gautami" w:hAnsi="Gautami" w:cs="Gautami"/>
        </w:rPr>
        <w:footnoteRef/>
      </w:r>
      <w:r>
        <w:t xml:space="preserve"> </w:t>
      </w:r>
      <w:r>
        <w:tab/>
      </w:r>
      <w:r w:rsidRPr="0035087E">
        <w:rPr>
          <w:rFonts w:ascii="Gautami" w:hAnsi="Gautami" w:cs="Gautami"/>
        </w:rPr>
        <w:t>Entities registered by AEMO under Chapter 2 of the Electricity Rules or in accordance with Part 15A of the Gas Rules.</w:t>
      </w:r>
    </w:p>
  </w:footnote>
  <w:footnote w:id="3">
    <w:p w:rsidR="00BA3581" w:rsidRPr="006D4157" w:rsidRDefault="00BA3581" w:rsidP="008929D1">
      <w:pPr>
        <w:pStyle w:val="FootnoteText"/>
        <w:spacing w:after="120"/>
        <w:jc w:val="both"/>
        <w:rPr>
          <w:rFonts w:ascii="Gautami" w:hAnsi="Gautami" w:cs="Gautami"/>
        </w:rPr>
      </w:pPr>
      <w:r>
        <w:rPr>
          <w:rStyle w:val="FootnoteReference"/>
        </w:rPr>
        <w:footnoteRef/>
      </w:r>
      <w:r>
        <w:t xml:space="preserve"> </w:t>
      </w:r>
      <w:r>
        <w:tab/>
        <w:t>I</w:t>
      </w:r>
      <w:r w:rsidRPr="008929D1">
        <w:rPr>
          <w:rFonts w:ascii="Gautami" w:hAnsi="Gautami" w:cs="Gautami"/>
          <w:szCs w:val="16"/>
        </w:rPr>
        <w:t xml:space="preserve">n April 2014 the AER </w:t>
      </w:r>
      <w:r w:rsidRPr="008929D1">
        <w:rPr>
          <w:rFonts w:ascii="Gautami" w:eastAsia="Times New Roman" w:hAnsi="Gautami" w:cs="Gautami"/>
          <w:color w:val="464545"/>
          <w:szCs w:val="16"/>
          <w:lang w:val="en" w:eastAsia="en-AU"/>
        </w:rPr>
        <w:t>released a combined Enforcement and Compliance Statement of Approach covering our functions under the Gas Law, Electricity Law and National Energy Retail Law. The document reflects the consistent approach taken by the AER to enforcing the energy laws across all markets.</w:t>
      </w:r>
      <w:r w:rsidRPr="006D4157">
        <w:rPr>
          <w:rFonts w:ascii="Gautami" w:hAnsi="Gautami" w:cs="Gautami"/>
        </w:rPr>
        <w:t xml:space="preserve"> </w:t>
      </w:r>
    </w:p>
  </w:footnote>
  <w:footnote w:id="4">
    <w:p w:rsidR="00BA3581" w:rsidRPr="0035087E" w:rsidRDefault="00BA3581" w:rsidP="00BC4965">
      <w:pPr>
        <w:pStyle w:val="FootnoteText"/>
        <w:jc w:val="both"/>
        <w:rPr>
          <w:rFonts w:ascii="Gautami" w:hAnsi="Gautami" w:cs="Gautami"/>
        </w:rPr>
      </w:pPr>
      <w:r w:rsidRPr="0035087E">
        <w:rPr>
          <w:rStyle w:val="FootnoteReference"/>
          <w:rFonts w:ascii="Gautami" w:hAnsi="Gautami" w:cs="Gautami"/>
        </w:rPr>
        <w:footnoteRef/>
      </w:r>
      <w:r w:rsidRPr="0035087E">
        <w:rPr>
          <w:rStyle w:val="FootnoteReference"/>
          <w:rFonts w:ascii="Gautami" w:hAnsi="Gautami" w:cs="Gautami"/>
        </w:rPr>
        <w:t xml:space="preserve"> </w:t>
      </w:r>
      <w:r w:rsidRPr="0035087E">
        <w:rPr>
          <w:rFonts w:ascii="Gautami" w:hAnsi="Gautami" w:cs="Gautami"/>
        </w:rPr>
        <w:tab/>
        <w:t xml:space="preserve">Provisions of the Gas Rules and Electricity Rules that have been targeted for review in previous quarters are listed in Appendix </w:t>
      </w:r>
      <w:r>
        <w:rPr>
          <w:rFonts w:ascii="Gautami" w:hAnsi="Gautami" w:cs="Gautami"/>
        </w:rPr>
        <w:t>C</w:t>
      </w:r>
      <w:r w:rsidRPr="0035087E">
        <w:rPr>
          <w:rFonts w:ascii="Gautami" w:hAnsi="Gautami" w:cs="Gautami"/>
        </w:rPr>
        <w:t>.</w:t>
      </w:r>
    </w:p>
  </w:footnote>
  <w:footnote w:id="5">
    <w:p w:rsidR="00BA3581" w:rsidRPr="00585DCA" w:rsidRDefault="00BA3581">
      <w:pPr>
        <w:pStyle w:val="FootnoteText"/>
        <w:rPr>
          <w:rFonts w:ascii="Gautami" w:hAnsi="Gautami" w:cs="Gautami"/>
        </w:rPr>
      </w:pPr>
      <w:r w:rsidRPr="00585DCA">
        <w:rPr>
          <w:rStyle w:val="FootnoteReference"/>
          <w:rFonts w:ascii="Gautami" w:hAnsi="Gautami" w:cs="Gautami"/>
        </w:rPr>
        <w:footnoteRef/>
      </w:r>
      <w:r w:rsidRPr="00585DCA">
        <w:rPr>
          <w:rFonts w:ascii="Gautami" w:hAnsi="Gautami" w:cs="Gautami"/>
        </w:rPr>
        <w:t xml:space="preserve"> </w:t>
      </w:r>
      <w:r w:rsidRPr="00585DCA">
        <w:rPr>
          <w:rFonts w:ascii="Gautami" w:hAnsi="Gautami" w:cs="Gautami"/>
        </w:rPr>
        <w:tab/>
      </w:r>
      <w:proofErr w:type="gramStart"/>
      <w:r w:rsidRPr="00585DCA">
        <w:rPr>
          <w:rFonts w:ascii="Gautami" w:hAnsi="Gautami" w:cs="Gautami"/>
        </w:rPr>
        <w:t xml:space="preserve">Available on </w:t>
      </w:r>
      <w:hyperlink r:id="rId2" w:history="1">
        <w:r>
          <w:rPr>
            <w:rStyle w:val="Hyperlink"/>
            <w:rFonts w:cs="Gautami"/>
          </w:rPr>
          <w:t>our</w:t>
        </w:r>
        <w:r w:rsidRPr="00585DCA">
          <w:rPr>
            <w:rStyle w:val="Hyperlink"/>
            <w:rFonts w:cs="Gautami"/>
          </w:rPr>
          <w:t xml:space="preserve"> website</w:t>
        </w:r>
      </w:hyperlink>
      <w:r w:rsidRPr="00585DCA">
        <w:rPr>
          <w:rFonts w:ascii="Gautami" w:hAnsi="Gautami" w:cs="Gautami"/>
        </w:rPr>
        <w:t>.</w:t>
      </w:r>
      <w:proofErr w:type="gramEnd"/>
      <w:r w:rsidRPr="00585DCA">
        <w:rPr>
          <w:rFonts w:ascii="Gautami" w:hAnsi="Gautami" w:cs="Gautami"/>
        </w:rPr>
        <w:t xml:space="preserve"> </w:t>
      </w:r>
    </w:p>
  </w:footnote>
  <w:footnote w:id="6">
    <w:p w:rsidR="00BA3581" w:rsidRPr="00422C6F" w:rsidRDefault="00BA3581" w:rsidP="00493739">
      <w:pPr>
        <w:pStyle w:val="FootnoteText"/>
        <w:rPr>
          <w:rFonts w:ascii="Gautami" w:hAnsi="Gautami" w:cs="Gautami"/>
        </w:rPr>
      </w:pPr>
      <w:r w:rsidRPr="00422C6F">
        <w:rPr>
          <w:rStyle w:val="FootnoteReference"/>
          <w:rFonts w:ascii="Gautami" w:hAnsi="Gautami" w:cs="Gautami"/>
        </w:rPr>
        <w:footnoteRef/>
      </w:r>
      <w:r>
        <w:rPr>
          <w:rFonts w:ascii="Gautami" w:hAnsi="Gautami" w:cs="Gautami"/>
        </w:rPr>
        <w:t xml:space="preserve"> </w:t>
      </w:r>
      <w:r>
        <w:rPr>
          <w:rFonts w:ascii="Gautami" w:hAnsi="Gautami" w:cs="Gautami"/>
        </w:rPr>
        <w:tab/>
      </w:r>
      <w:r w:rsidRPr="00422C6F">
        <w:rPr>
          <w:rFonts w:ascii="Gautami" w:hAnsi="Gautami" w:cs="Gautami"/>
        </w:rPr>
        <w:t xml:space="preserve">This report </w:t>
      </w:r>
      <w:r>
        <w:rPr>
          <w:rFonts w:ascii="Gautami" w:hAnsi="Gautami" w:cs="Gautami"/>
        </w:rPr>
        <w:t>is available on the</w:t>
      </w:r>
      <w:r w:rsidRPr="00422C6F">
        <w:rPr>
          <w:rFonts w:ascii="Gautami" w:hAnsi="Gautami" w:cs="Gautami"/>
        </w:rPr>
        <w:t xml:space="preserve"> </w:t>
      </w:r>
      <w:hyperlink r:id="rId3" w:history="1">
        <w:r w:rsidRPr="00C17E93">
          <w:rPr>
            <w:rStyle w:val="Hyperlink"/>
          </w:rPr>
          <w:t>AEMO website</w:t>
        </w:r>
      </w:hyperlink>
      <w:r w:rsidRPr="00C17E93">
        <w:rPr>
          <w:rFonts w:ascii="Gautami" w:hAnsi="Gautami" w:cs="Gautami"/>
        </w:rPr>
        <w:t>.</w:t>
      </w:r>
    </w:p>
  </w:footnote>
  <w:footnote w:id="7">
    <w:p w:rsidR="00BA3581" w:rsidRPr="0035087E" w:rsidRDefault="00BA3581" w:rsidP="00565CE6">
      <w:pPr>
        <w:pStyle w:val="FootnoteText"/>
        <w:spacing w:after="120"/>
        <w:jc w:val="both"/>
        <w:rPr>
          <w:rFonts w:ascii="Gautami" w:hAnsi="Gautami" w:cs="Gautami"/>
        </w:rPr>
      </w:pPr>
      <w:r w:rsidRPr="0035087E">
        <w:rPr>
          <w:rStyle w:val="FootnoteReference"/>
          <w:rFonts w:ascii="Gautami" w:hAnsi="Gautami" w:cs="Gautami"/>
        </w:rPr>
        <w:footnoteRef/>
      </w:r>
      <w:r w:rsidRPr="0035087E">
        <w:rPr>
          <w:rStyle w:val="FootnoteReference"/>
          <w:rFonts w:ascii="Gautami" w:hAnsi="Gautami" w:cs="Gautami"/>
        </w:rPr>
        <w:t xml:space="preserve"> </w:t>
      </w:r>
      <w:r w:rsidRPr="0035087E">
        <w:rPr>
          <w:rFonts w:ascii="Gautami" w:hAnsi="Gautami" w:cs="Gautami"/>
        </w:rPr>
        <w:tab/>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8">
    <w:p w:rsidR="00BA3581" w:rsidRPr="0035087E" w:rsidRDefault="00BA3581" w:rsidP="005B5051">
      <w:pPr>
        <w:pStyle w:val="FootnoteText"/>
        <w:jc w:val="both"/>
        <w:rPr>
          <w:rFonts w:ascii="Gautami" w:hAnsi="Gautami" w:cs="Gautami"/>
        </w:rPr>
      </w:pPr>
      <w:r w:rsidRPr="0035087E">
        <w:rPr>
          <w:rStyle w:val="FootnoteReference"/>
          <w:rFonts w:ascii="Gautami" w:hAnsi="Gautami" w:cs="Gautami"/>
        </w:rPr>
        <w:footnoteRef/>
      </w:r>
      <w:r w:rsidRPr="0035087E">
        <w:rPr>
          <w:rStyle w:val="FootnoteReference"/>
          <w:rFonts w:ascii="Gautami" w:hAnsi="Gautami" w:cs="Gautami"/>
        </w:rPr>
        <w:t xml:space="preserve"> </w:t>
      </w:r>
      <w:r w:rsidRPr="0035087E">
        <w:rPr>
          <w:rFonts w:ascii="Gautami" w:hAnsi="Gautami" w:cs="Gautami"/>
        </w:rPr>
        <w:tab/>
        <w:t>In June 2012</w:t>
      </w:r>
      <w:r>
        <w:rPr>
          <w:rFonts w:ascii="Gautami" w:hAnsi="Gautami" w:cs="Gautami"/>
        </w:rPr>
        <w:t>,</w:t>
      </w:r>
      <w:r w:rsidRPr="0035087E">
        <w:rPr>
          <w:rFonts w:ascii="Gautami" w:hAnsi="Gautami" w:cs="Gautami"/>
        </w:rPr>
        <w:t xml:space="preserve"> </w:t>
      </w:r>
      <w:r>
        <w:rPr>
          <w:rFonts w:ascii="Gautami" w:hAnsi="Gautami" w:cs="Gautami"/>
        </w:rPr>
        <w:t>we</w:t>
      </w:r>
      <w:r w:rsidRPr="0035087E">
        <w:rPr>
          <w:rFonts w:ascii="Gautami" w:hAnsi="Gautami" w:cs="Gautami"/>
        </w:rPr>
        <w:t xml:space="preserve"> published an up</w:t>
      </w:r>
      <w:r>
        <w:rPr>
          <w:rFonts w:ascii="Gautami" w:hAnsi="Gautami" w:cs="Gautami"/>
        </w:rPr>
        <w:t xml:space="preserve">dated </w:t>
      </w:r>
      <w:hyperlink r:id="rId4" w:history="1">
        <w:r w:rsidRPr="00543C9B">
          <w:rPr>
            <w:rStyle w:val="Hyperlink"/>
            <w:rFonts w:cs="Gautami"/>
          </w:rPr>
          <w:t>Compliance Bulletin No. 3</w:t>
        </w:r>
      </w:hyperlink>
      <w:r>
        <w:rPr>
          <w:rStyle w:val="Hyperlink"/>
          <w:rFonts w:cs="Gautami"/>
        </w:rPr>
        <w:t xml:space="preserve"> </w:t>
      </w:r>
      <w:r w:rsidRPr="0035087E">
        <w:rPr>
          <w:rFonts w:ascii="Gautami" w:hAnsi="Gautami" w:cs="Gautami"/>
        </w:rPr>
        <w:t xml:space="preserve">to make it clear that, for the purposes of administering the three stage process and issuing warnings, </w:t>
      </w:r>
      <w:r>
        <w:rPr>
          <w:rFonts w:ascii="Gautami" w:hAnsi="Gautami" w:cs="Gautami"/>
        </w:rPr>
        <w:t>we</w:t>
      </w:r>
      <w:r w:rsidRPr="0035087E">
        <w:rPr>
          <w:rFonts w:ascii="Gautami" w:hAnsi="Gautami" w:cs="Gautami"/>
        </w:rPr>
        <w:t xml:space="preserve">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w:t>
      </w:r>
      <w:r>
        <w:rPr>
          <w:rFonts w:ascii="Gautami" w:hAnsi="Gautami" w:cs="Gautami"/>
        </w:rPr>
        <w:t>registered participants, we</w:t>
      </w:r>
      <w:r w:rsidRPr="0035087E">
        <w:rPr>
          <w:rFonts w:ascii="Gautami" w:hAnsi="Gautami" w:cs="Gautami"/>
        </w:rPr>
        <w:t xml:space="preserve"> will count any non-compliant bids by that trading team together.</w:t>
      </w:r>
    </w:p>
  </w:footnote>
  <w:footnote w:id="9">
    <w:p w:rsidR="00BA3581" w:rsidRPr="0030763F" w:rsidRDefault="00BA3581" w:rsidP="0030763F">
      <w:pPr>
        <w:pStyle w:val="FootnoteText"/>
        <w:spacing w:after="120"/>
        <w:rPr>
          <w:rFonts w:ascii="Gautami" w:hAnsi="Gautami" w:cs="Gautami"/>
        </w:rPr>
      </w:pPr>
      <w:r w:rsidRPr="0030763F">
        <w:rPr>
          <w:rFonts w:ascii="Gautami" w:hAnsi="Gautami" w:cs="Gautami"/>
          <w:vertAlign w:val="superscript"/>
        </w:rPr>
        <w:footnoteRef/>
      </w:r>
      <w:r w:rsidRPr="0030763F">
        <w:rPr>
          <w:rFonts w:ascii="Gautami" w:hAnsi="Gautami" w:cs="Gautami"/>
        </w:rPr>
        <w:t xml:space="preserve"> Payment of the infringement penalty is not an admission by Red Energy that it breached the Electricity Rules.</w:t>
      </w:r>
    </w:p>
  </w:footnote>
  <w:footnote w:id="10">
    <w:p w:rsidR="00BA3581" w:rsidRPr="00AA4DA8" w:rsidRDefault="00BA3581" w:rsidP="00AA4DA8">
      <w:pPr>
        <w:pStyle w:val="FootnoteText"/>
        <w:rPr>
          <w:rFonts w:ascii="Gautami" w:hAnsi="Gautami" w:cs="Gautami"/>
        </w:rPr>
      </w:pPr>
      <w:r w:rsidRPr="00AA4DA8">
        <w:rPr>
          <w:rStyle w:val="FootnoteReference"/>
          <w:rFonts w:ascii="Gautami" w:hAnsi="Gautami" w:cs="Gautami"/>
        </w:rPr>
        <w:footnoteRef/>
      </w:r>
      <w:r w:rsidRPr="00AA4DA8">
        <w:rPr>
          <w:rFonts w:ascii="Gautami" w:hAnsi="Gautami" w:cs="Gautami"/>
        </w:rPr>
        <w:t xml:space="preserve"> Copies of this document are available from AEMO.</w:t>
      </w:r>
    </w:p>
  </w:footnote>
  <w:footnote w:id="11">
    <w:p w:rsidR="00BA3581" w:rsidRPr="00565CE6" w:rsidRDefault="00BA3581" w:rsidP="00771503">
      <w:pPr>
        <w:pStyle w:val="FootnoteText"/>
        <w:spacing w:after="120"/>
        <w:rPr>
          <w:rFonts w:ascii="Gautami" w:hAnsi="Gautami" w:cs="Gautami"/>
        </w:rPr>
      </w:pPr>
      <w:r w:rsidRPr="00565CE6">
        <w:rPr>
          <w:rStyle w:val="FootnoteReference"/>
          <w:rFonts w:ascii="Gautami" w:hAnsi="Gautami" w:cs="Gautami"/>
        </w:rPr>
        <w:footnoteRef/>
      </w:r>
      <w:r w:rsidRPr="00565CE6">
        <w:rPr>
          <w:rFonts w:ascii="Gautami" w:hAnsi="Gautami" w:cs="Gautami"/>
        </w:rPr>
        <w:t xml:space="preserve"> </w:t>
      </w:r>
      <w:r>
        <w:rPr>
          <w:rFonts w:ascii="Gautami" w:hAnsi="Gautami" w:cs="Gautami"/>
        </w:rPr>
        <w:tab/>
      </w:r>
      <w:r w:rsidRPr="00565CE6">
        <w:rPr>
          <w:rFonts w:ascii="Gautami" w:hAnsi="Gautami" w:cs="Gautami"/>
        </w:rPr>
        <w:t xml:space="preserve">The NTNDP, published annually by AEMO, covers all network limitations, and possible options for relieving them, which are part of, or materially affect, the transfer capability across </w:t>
      </w:r>
      <w:r>
        <w:rPr>
          <w:rFonts w:ascii="Gautami" w:hAnsi="Gautami" w:cs="Gautami"/>
        </w:rPr>
        <w:t>n</w:t>
      </w:r>
      <w:r w:rsidRPr="00565CE6">
        <w:rPr>
          <w:rFonts w:ascii="Gautami" w:hAnsi="Gautami" w:cs="Gautami"/>
        </w:rPr>
        <w:t xml:space="preserve">ational </w:t>
      </w:r>
      <w:r>
        <w:rPr>
          <w:rFonts w:ascii="Gautami" w:hAnsi="Gautami" w:cs="Gautami"/>
        </w:rPr>
        <w:t>t</w:t>
      </w:r>
      <w:r w:rsidRPr="00565CE6">
        <w:rPr>
          <w:rFonts w:ascii="Gautami" w:hAnsi="Gautami" w:cs="Gautami"/>
        </w:rPr>
        <w:t xml:space="preserve">ransmission </w:t>
      </w:r>
      <w:r>
        <w:rPr>
          <w:rFonts w:ascii="Gautami" w:hAnsi="Gautami" w:cs="Gautami"/>
        </w:rPr>
        <w:t>f</w:t>
      </w:r>
      <w:r w:rsidRPr="00565CE6">
        <w:rPr>
          <w:rFonts w:ascii="Gautami" w:hAnsi="Gautami" w:cs="Gautami"/>
        </w:rPr>
        <w:t xml:space="preserve">low </w:t>
      </w:r>
      <w:r>
        <w:rPr>
          <w:rFonts w:ascii="Gautami" w:hAnsi="Gautami" w:cs="Gautami"/>
        </w:rPr>
        <w:t>p</w:t>
      </w:r>
      <w:r w:rsidRPr="00565CE6">
        <w:rPr>
          <w:rFonts w:ascii="Gautami" w:hAnsi="Gautami" w:cs="Gautami"/>
        </w:rPr>
        <w:t>aths. The minimum planning outlook in the NTNDP is 20 years.</w:t>
      </w:r>
    </w:p>
  </w:footnote>
  <w:footnote w:id="12">
    <w:p w:rsidR="00BA3581" w:rsidRPr="00565CE6" w:rsidRDefault="00BA3581" w:rsidP="00771503">
      <w:pPr>
        <w:pStyle w:val="FootnoteText"/>
        <w:spacing w:after="120"/>
        <w:rPr>
          <w:rFonts w:ascii="Gautami" w:hAnsi="Gautami" w:cs="Gautami"/>
        </w:rPr>
      </w:pPr>
      <w:r w:rsidRPr="00565CE6">
        <w:rPr>
          <w:rStyle w:val="FootnoteReference"/>
          <w:rFonts w:ascii="Gautami" w:hAnsi="Gautami" w:cs="Gautami"/>
        </w:rPr>
        <w:footnoteRef/>
      </w:r>
      <w:r w:rsidRPr="00565CE6">
        <w:rPr>
          <w:rFonts w:ascii="Gautami" w:hAnsi="Gautami" w:cs="Gautami"/>
        </w:rPr>
        <w:t xml:space="preserve"> </w:t>
      </w:r>
      <w:r>
        <w:rPr>
          <w:rFonts w:ascii="Gautami" w:hAnsi="Gautami" w:cs="Gautami"/>
        </w:rPr>
        <w:tab/>
      </w:r>
      <w:r w:rsidRPr="00565CE6">
        <w:rPr>
          <w:rFonts w:ascii="Gautami" w:hAnsi="Gautami" w:cs="Gautami"/>
        </w:rPr>
        <w:t>The RIT-T is a cost-benefit test which transmission businesses must undertake to assess the credible options (including non-network options) to address an identified need on their network where the cost of one of the options exceeds $5</w:t>
      </w:r>
      <w:r>
        <w:rPr>
          <w:rFonts w:ascii="Gautami" w:hAnsi="Gautami" w:cs="Gautami"/>
        </w:rPr>
        <w:t> </w:t>
      </w:r>
      <w:r w:rsidRPr="00565CE6">
        <w:rPr>
          <w:rFonts w:ascii="Gautami" w:hAnsi="Gautami" w:cs="Gautami"/>
        </w:rPr>
        <w:t>million. The preferred option is the one which maximises the economic benefit to all those who produce, consume and transport electricity in the NEM.</w:t>
      </w:r>
    </w:p>
  </w:footnote>
  <w:footnote w:id="13">
    <w:p w:rsidR="00BA3581" w:rsidRPr="00565CE6" w:rsidRDefault="00BA3581" w:rsidP="00771503">
      <w:pPr>
        <w:pStyle w:val="FootnoteText"/>
        <w:spacing w:after="120"/>
        <w:rPr>
          <w:rFonts w:ascii="Gautami" w:hAnsi="Gautami" w:cs="Gautami"/>
        </w:rPr>
      </w:pPr>
      <w:r w:rsidRPr="00565CE6">
        <w:rPr>
          <w:rStyle w:val="FootnoteReference"/>
          <w:rFonts w:ascii="Gautami" w:hAnsi="Gautami" w:cs="Gautami"/>
        </w:rPr>
        <w:footnoteRef/>
      </w:r>
      <w:r w:rsidRPr="00565CE6">
        <w:rPr>
          <w:rFonts w:ascii="Gautami" w:hAnsi="Gautami" w:cs="Gautami"/>
        </w:rPr>
        <w:t xml:space="preserve"> </w:t>
      </w:r>
      <w:r>
        <w:rPr>
          <w:rFonts w:ascii="Gautami" w:hAnsi="Gautami" w:cs="Gautami"/>
        </w:rPr>
        <w:tab/>
      </w:r>
      <w:r w:rsidRPr="00565CE6">
        <w:rPr>
          <w:rFonts w:ascii="Gautami" w:hAnsi="Gautami" w:cs="Gautami"/>
        </w:rPr>
        <w:t xml:space="preserve">Distribution businesses have similar obligations to prepare </w:t>
      </w:r>
      <w:r>
        <w:rPr>
          <w:rFonts w:ascii="Gautami" w:hAnsi="Gautami" w:cs="Gautami"/>
        </w:rPr>
        <w:t>APRs</w:t>
      </w:r>
      <w:r w:rsidRPr="00565CE6">
        <w:rPr>
          <w:rFonts w:ascii="Gautami" w:hAnsi="Gautami" w:cs="Gautami"/>
        </w:rPr>
        <w:t>.</w:t>
      </w:r>
    </w:p>
  </w:footnote>
  <w:footnote w:id="14">
    <w:p w:rsidR="00BA3581" w:rsidRPr="00565CE6" w:rsidRDefault="00BA3581" w:rsidP="005B5051">
      <w:pPr>
        <w:pStyle w:val="FootnoteText"/>
        <w:jc w:val="both"/>
        <w:rPr>
          <w:rFonts w:ascii="Gautami" w:hAnsi="Gautami" w:cs="Gautami"/>
        </w:rPr>
      </w:pPr>
      <w:r w:rsidRPr="00565CE6">
        <w:rPr>
          <w:rStyle w:val="FootnoteReference"/>
          <w:rFonts w:ascii="Gautami" w:hAnsi="Gautami" w:cs="Gautami"/>
        </w:rPr>
        <w:footnoteRef/>
      </w:r>
      <w:r w:rsidRPr="00565CE6">
        <w:rPr>
          <w:rFonts w:ascii="Gautami" w:hAnsi="Gautami" w:cs="Gautami"/>
        </w:rPr>
        <w:t xml:space="preserve"> </w:t>
      </w:r>
      <w:r w:rsidRPr="00565CE6">
        <w:rPr>
          <w:rFonts w:ascii="Gautami" w:hAnsi="Gautami" w:cs="Gautami"/>
        </w:rPr>
        <w:tab/>
        <w:t xml:space="preserve">Refer to Electricity Rules clauses 9.4.3 (smelter trader: </w:t>
      </w:r>
      <w:proofErr w:type="spellStart"/>
      <w:r w:rsidRPr="00565CE6">
        <w:rPr>
          <w:rFonts w:ascii="Gautami" w:hAnsi="Gautami" w:cs="Gautami"/>
        </w:rPr>
        <w:t>Vicpower</w:t>
      </w:r>
      <w:proofErr w:type="spellEnd"/>
      <w:r w:rsidRPr="00565CE6">
        <w:rPr>
          <w:rFonts w:ascii="Gautami" w:hAnsi="Gautami" w:cs="Gautami"/>
        </w:rPr>
        <w:t xml:space="preserve"> Trading), 9.12.3 (power traders: Delta Electricity and Macquarie Generation) and 9.34.6 (nominated generators: CS Energy and Stanwell Corporation).</w:t>
      </w:r>
    </w:p>
  </w:footnote>
  <w:footnote w:id="15">
    <w:p w:rsidR="00BA3581" w:rsidRPr="0061793E" w:rsidRDefault="00BA3581">
      <w:pPr>
        <w:pStyle w:val="FootnoteText"/>
        <w:rPr>
          <w:rFonts w:ascii="Gautami" w:hAnsi="Gautami" w:cs="Gautami"/>
        </w:rPr>
      </w:pPr>
      <w:r w:rsidRPr="0061793E">
        <w:rPr>
          <w:rStyle w:val="FootnoteReference"/>
          <w:rFonts w:ascii="Gautami" w:hAnsi="Gautami" w:cs="Gautami"/>
        </w:rPr>
        <w:footnoteRef/>
      </w:r>
      <w:r w:rsidRPr="0061793E">
        <w:rPr>
          <w:rFonts w:ascii="Gautami" w:hAnsi="Gautami" w:cs="Gautami"/>
        </w:rPr>
        <w:t xml:space="preserve"> </w:t>
      </w:r>
      <w:r w:rsidRPr="0061793E">
        <w:rPr>
          <w:rFonts w:ascii="Gautami" w:hAnsi="Gautami" w:cs="Gautami"/>
        </w:rPr>
        <w:tab/>
        <w:t xml:space="preserve">Note - none of the claims raised by respondents as part of this voluntary survey </w:t>
      </w:r>
      <w:r>
        <w:rPr>
          <w:rFonts w:ascii="Gautami" w:hAnsi="Gautami" w:cs="Gautami"/>
        </w:rPr>
        <w:t xml:space="preserve">have </w:t>
      </w:r>
      <w:r w:rsidRPr="0061793E">
        <w:rPr>
          <w:rFonts w:ascii="Gautami" w:hAnsi="Gautami" w:cs="Gautami"/>
        </w:rPr>
        <w:t>been verified by the AER.</w:t>
      </w:r>
    </w:p>
  </w:footnote>
  <w:footnote w:id="16">
    <w:p w:rsidR="00BA3581" w:rsidRPr="00FC22A7" w:rsidRDefault="00BA3581" w:rsidP="00C14F11">
      <w:pPr>
        <w:pStyle w:val="FootnoteText"/>
        <w:spacing w:before="120"/>
        <w:rPr>
          <w:rFonts w:ascii="Gautami" w:hAnsi="Gautami" w:cs="Gautami"/>
        </w:rPr>
      </w:pPr>
      <w:r w:rsidRPr="00FC22A7">
        <w:rPr>
          <w:rStyle w:val="FootnoteReference"/>
          <w:rFonts w:ascii="Gautami" w:hAnsi="Gautami" w:cs="Gautami"/>
        </w:rPr>
        <w:footnoteRef/>
      </w:r>
      <w:r w:rsidRPr="00FC22A7">
        <w:rPr>
          <w:rFonts w:ascii="Gautami" w:hAnsi="Gautami" w:cs="Gautami"/>
        </w:rPr>
        <w:t xml:space="preserve"> </w:t>
      </w:r>
      <w:r>
        <w:rPr>
          <w:rFonts w:ascii="Gautami" w:hAnsi="Gautami" w:cs="Gautami"/>
        </w:rPr>
        <w:tab/>
        <w:t>P</w:t>
      </w:r>
      <w:r w:rsidRPr="00FC22A7">
        <w:rPr>
          <w:rFonts w:ascii="Gautami" w:hAnsi="Gautami" w:cs="Gautami"/>
        </w:rPr>
        <w:t xml:space="preserve">arties who have lodged connection enquiries for multiple projects </w:t>
      </w:r>
      <w:r>
        <w:rPr>
          <w:rFonts w:ascii="Gautami" w:hAnsi="Gautami" w:cs="Gautami"/>
        </w:rPr>
        <w:t xml:space="preserve">were invited to submit a response for each project. Where this occurred, </w:t>
      </w:r>
      <w:r w:rsidRPr="00FC22A7">
        <w:rPr>
          <w:rFonts w:ascii="Gautami" w:hAnsi="Gautami" w:cs="Gautami"/>
        </w:rPr>
        <w:t xml:space="preserve">responses were treated separately and are not disclosed as coming from the same respondent to maintain confidentiality.  </w:t>
      </w:r>
    </w:p>
  </w:footnote>
  <w:footnote w:id="17">
    <w:p w:rsidR="00BA3581" w:rsidRPr="00A70C5A" w:rsidRDefault="00BA3581" w:rsidP="00C14F11">
      <w:pPr>
        <w:pStyle w:val="FootnoteText"/>
        <w:spacing w:before="120"/>
        <w:rPr>
          <w:rFonts w:ascii="Gautami" w:hAnsi="Gautami" w:cs="Gautami"/>
        </w:rPr>
      </w:pPr>
      <w:r w:rsidRPr="00A70C5A">
        <w:rPr>
          <w:rStyle w:val="FootnoteReference"/>
          <w:rFonts w:ascii="Gautami" w:hAnsi="Gautami" w:cs="Gautami"/>
        </w:rPr>
        <w:footnoteRef/>
      </w:r>
      <w:r w:rsidRPr="00A70C5A">
        <w:rPr>
          <w:rFonts w:ascii="Gautami" w:hAnsi="Gautami" w:cs="Gautami"/>
        </w:rPr>
        <w:t xml:space="preserve"> </w:t>
      </w:r>
      <w:r>
        <w:rPr>
          <w:rFonts w:ascii="Gautami" w:hAnsi="Gautami" w:cs="Gautami"/>
        </w:rPr>
        <w:tab/>
      </w:r>
      <w:r w:rsidRPr="00A70C5A">
        <w:rPr>
          <w:rFonts w:ascii="Gautami" w:hAnsi="Gautami" w:cs="Gautami"/>
        </w:rPr>
        <w:t>In accordance with clause 5.3.</w:t>
      </w:r>
      <w:r w:rsidRPr="0069350D">
        <w:rPr>
          <w:rFonts w:ascii="Gautami" w:hAnsi="Gautami" w:cs="Gautami"/>
        </w:rPr>
        <w:t>2(</w:t>
      </w:r>
      <w:r w:rsidRPr="00A70C5A">
        <w:rPr>
          <w:rFonts w:ascii="Gautami" w:hAnsi="Gautami" w:cs="Gautami"/>
        </w:rPr>
        <w:t>b)</w:t>
      </w:r>
    </w:p>
  </w:footnote>
  <w:footnote w:id="18">
    <w:p w:rsidR="00BA3581" w:rsidRPr="00A70C5A" w:rsidRDefault="00BA3581" w:rsidP="00C14F11">
      <w:pPr>
        <w:pStyle w:val="FootnoteText"/>
        <w:spacing w:before="120"/>
        <w:rPr>
          <w:rFonts w:ascii="Gautami" w:hAnsi="Gautami" w:cs="Gautami"/>
        </w:rPr>
      </w:pPr>
      <w:r w:rsidRPr="00A70C5A">
        <w:rPr>
          <w:rStyle w:val="FootnoteReference"/>
          <w:rFonts w:ascii="Gautami" w:hAnsi="Gautami" w:cs="Gautami"/>
        </w:rPr>
        <w:footnoteRef/>
      </w:r>
      <w:r w:rsidRPr="00A70C5A">
        <w:rPr>
          <w:rFonts w:ascii="Gautami" w:hAnsi="Gautami" w:cs="Gautami"/>
        </w:rPr>
        <w:t xml:space="preserve"> </w:t>
      </w:r>
      <w:r>
        <w:rPr>
          <w:rFonts w:ascii="Gautami" w:hAnsi="Gautami" w:cs="Gautami"/>
        </w:rPr>
        <w:tab/>
      </w:r>
      <w:r w:rsidRPr="00A70C5A">
        <w:rPr>
          <w:rFonts w:ascii="Gautami" w:hAnsi="Gautami" w:cs="Gautami"/>
        </w:rPr>
        <w:t>In accordance with clause 5.3.3(b)</w:t>
      </w:r>
    </w:p>
  </w:footnote>
  <w:footnote w:id="19">
    <w:p w:rsidR="00BA3581" w:rsidRPr="0069350D" w:rsidRDefault="00BA3581" w:rsidP="00C14F11">
      <w:pPr>
        <w:pStyle w:val="FootnoteText"/>
        <w:spacing w:before="120"/>
        <w:rPr>
          <w:rFonts w:ascii="Gautami" w:hAnsi="Gautami" w:cs="Gautami"/>
        </w:rPr>
      </w:pPr>
      <w:r w:rsidRPr="0069350D">
        <w:rPr>
          <w:rStyle w:val="FootnoteReference"/>
          <w:rFonts w:ascii="Gautami" w:hAnsi="Gautami" w:cs="Gautami"/>
        </w:rPr>
        <w:footnoteRef/>
      </w:r>
      <w:r w:rsidRPr="0069350D">
        <w:rPr>
          <w:rFonts w:ascii="Gautami" w:hAnsi="Gautami" w:cs="Gautami"/>
        </w:rPr>
        <w:t xml:space="preserve"> </w:t>
      </w:r>
      <w:r w:rsidRPr="0069350D">
        <w:rPr>
          <w:rFonts w:ascii="Gautami" w:hAnsi="Gautami" w:cs="Gautami"/>
        </w:rPr>
        <w:tab/>
        <w:t>In accordance with clause 5.3.3(b1)</w:t>
      </w:r>
    </w:p>
  </w:footnote>
  <w:footnote w:id="20">
    <w:p w:rsidR="00BA3581" w:rsidRPr="008F27DE" w:rsidRDefault="00BA3581" w:rsidP="00C14F11">
      <w:pPr>
        <w:pStyle w:val="FootnoteText"/>
        <w:spacing w:before="120"/>
        <w:rPr>
          <w:rFonts w:ascii="Gautami" w:hAnsi="Gautami" w:cs="Gautami"/>
        </w:rPr>
      </w:pPr>
      <w:r w:rsidRPr="008F27DE">
        <w:rPr>
          <w:rStyle w:val="FootnoteReference"/>
          <w:rFonts w:ascii="Gautami" w:hAnsi="Gautami" w:cs="Gautami"/>
        </w:rPr>
        <w:footnoteRef/>
      </w:r>
      <w:r w:rsidRPr="008F27DE">
        <w:rPr>
          <w:rFonts w:ascii="Gautami" w:hAnsi="Gautami" w:cs="Gautami"/>
        </w:rPr>
        <w:t xml:space="preserve"> </w:t>
      </w:r>
      <w:r w:rsidRPr="008F27DE">
        <w:rPr>
          <w:rFonts w:ascii="Gautami" w:hAnsi="Gautami" w:cs="Gautami"/>
        </w:rPr>
        <w:tab/>
        <w:t xml:space="preserve">In accordance with </w:t>
      </w:r>
      <w:r>
        <w:rPr>
          <w:rFonts w:ascii="Gautami" w:hAnsi="Gautami" w:cs="Gautami"/>
        </w:rPr>
        <w:t>clause </w:t>
      </w:r>
      <w:r w:rsidRPr="008F27DE">
        <w:rPr>
          <w:rFonts w:ascii="Gautami" w:hAnsi="Gautami" w:cs="Gautami"/>
        </w:rPr>
        <w:t xml:space="preserve">5.3.4(e) </w:t>
      </w:r>
    </w:p>
  </w:footnote>
  <w:footnote w:id="21">
    <w:p w:rsidR="00BA3581" w:rsidRDefault="00BA3581" w:rsidP="00C14F11">
      <w:pPr>
        <w:pStyle w:val="FootnoteText"/>
        <w:spacing w:before="120"/>
      </w:pPr>
      <w:r>
        <w:rPr>
          <w:rStyle w:val="FootnoteReference"/>
        </w:rPr>
        <w:footnoteRef/>
      </w:r>
      <w:r>
        <w:t xml:space="preserve"> </w:t>
      </w:r>
      <w:r>
        <w:tab/>
      </w:r>
      <w:r w:rsidRPr="008F27DE">
        <w:rPr>
          <w:rFonts w:ascii="Gautami" w:hAnsi="Gautami" w:cs="Gautami"/>
        </w:rPr>
        <w:t xml:space="preserve">In accordance with </w:t>
      </w:r>
      <w:r>
        <w:rPr>
          <w:rFonts w:ascii="Gautami" w:hAnsi="Gautami" w:cs="Gautami"/>
        </w:rPr>
        <w:t>clause </w:t>
      </w:r>
      <w:r w:rsidRPr="008F27DE">
        <w:rPr>
          <w:rFonts w:ascii="Gautami" w:hAnsi="Gautami" w:cs="Gautami"/>
        </w:rPr>
        <w:t>5.3.</w:t>
      </w:r>
      <w:r>
        <w:rPr>
          <w:rFonts w:ascii="Gautami" w:hAnsi="Gautami" w:cs="Gautami"/>
        </w:rPr>
        <w:t>6</w:t>
      </w:r>
      <w:r w:rsidRPr="008F27DE">
        <w:rPr>
          <w:rFonts w:ascii="Gautami" w:hAnsi="Gautami" w:cs="Gautami"/>
        </w:rPr>
        <w:t>(</w:t>
      </w:r>
      <w:r>
        <w:rPr>
          <w:rFonts w:ascii="Gautami" w:hAnsi="Gautami" w:cs="Gautami"/>
        </w:rPr>
        <w:t>a</w:t>
      </w:r>
      <w:r w:rsidRPr="008F27DE">
        <w:rPr>
          <w:rFonts w:ascii="Gautami" w:hAnsi="Gautami" w:cs="Gautami"/>
        </w:rPr>
        <w:t>)</w:t>
      </w:r>
    </w:p>
  </w:footnote>
  <w:footnote w:id="22">
    <w:p w:rsidR="00BA3581" w:rsidRDefault="00BA3581" w:rsidP="00C14F11">
      <w:pPr>
        <w:pStyle w:val="FootnoteText"/>
        <w:spacing w:before="120"/>
      </w:pPr>
      <w:r>
        <w:rPr>
          <w:rStyle w:val="FootnoteReference"/>
        </w:rPr>
        <w:footnoteRef/>
      </w:r>
      <w:r>
        <w:t xml:space="preserve"> </w:t>
      </w:r>
      <w:r>
        <w:tab/>
      </w:r>
      <w:r w:rsidRPr="008F27DE">
        <w:rPr>
          <w:rFonts w:ascii="Gautami" w:hAnsi="Gautami" w:cs="Gautami"/>
        </w:rPr>
        <w:t xml:space="preserve">In accordance with </w:t>
      </w:r>
      <w:r>
        <w:rPr>
          <w:rFonts w:ascii="Gautami" w:hAnsi="Gautami" w:cs="Gautami"/>
        </w:rPr>
        <w:t>clause </w:t>
      </w:r>
      <w:r>
        <w:t>5.3.6(c)</w:t>
      </w:r>
    </w:p>
  </w:footnote>
  <w:footnote w:id="23">
    <w:p w:rsidR="00BA3581" w:rsidRDefault="00BA3581" w:rsidP="00C14F11">
      <w:pPr>
        <w:pStyle w:val="FootnoteText"/>
        <w:spacing w:before="120"/>
      </w:pPr>
      <w:r>
        <w:rPr>
          <w:rStyle w:val="FootnoteReference"/>
        </w:rPr>
        <w:footnoteRef/>
      </w:r>
      <w:r>
        <w:t xml:space="preserve"> </w:t>
      </w:r>
      <w:r w:rsidRPr="008F27DE">
        <w:rPr>
          <w:rFonts w:ascii="Gautami" w:hAnsi="Gautami" w:cs="Gautami"/>
        </w:rPr>
        <w:t xml:space="preserve">In accordance with </w:t>
      </w:r>
      <w:r>
        <w:rPr>
          <w:rFonts w:ascii="Gautami" w:hAnsi="Gautami" w:cs="Gautami"/>
        </w:rPr>
        <w:t>clause 5.3.6(d</w:t>
      </w:r>
      <w:r w:rsidRPr="008F27DE">
        <w:rPr>
          <w:rFonts w:ascii="Gautami" w:hAnsi="Gautami" w:cs="Gautam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81" w:rsidRDefault="00BA3581"/>
  <w:p w:rsidR="00BA3581" w:rsidRDefault="00BA3581"/>
  <w:p w:rsidR="00BA3581" w:rsidRDefault="00BA3581"/>
  <w:p w:rsidR="00BA3581" w:rsidRDefault="00BA3581"/>
  <w:p w:rsidR="00BA3581" w:rsidRDefault="00BA3581"/>
  <w:p w:rsidR="00BA3581" w:rsidRDefault="00BA3581"/>
  <w:p w:rsidR="00BA3581" w:rsidRDefault="00BA35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D24"/>
    <w:multiLevelType w:val="hybridMultilevel"/>
    <w:tmpl w:val="66B0C8D4"/>
    <w:lvl w:ilvl="0" w:tplc="A05C8C1C">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
    <w:nsid w:val="18EB1A38"/>
    <w:multiLevelType w:val="hybridMultilevel"/>
    <w:tmpl w:val="0574A5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3A6266"/>
    <w:multiLevelType w:val="multilevel"/>
    <w:tmpl w:val="F6E68370"/>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C721288"/>
    <w:multiLevelType w:val="multilevel"/>
    <w:tmpl w:val="1492709C"/>
    <w:numStyleLink w:val="AERHeadings"/>
  </w:abstractNum>
  <w:abstractNum w:abstractNumId="7">
    <w:nsid w:val="443F74CB"/>
    <w:multiLevelType w:val="hybridMultilevel"/>
    <w:tmpl w:val="550AFBE6"/>
    <w:lvl w:ilvl="0" w:tplc="D4F0A01E">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32F652EA">
      <w:start w:val="1"/>
      <w:numFmt w:val="bullet"/>
      <w:lvlText w:val=""/>
      <w:lvlJc w:val="left"/>
      <w:pPr>
        <w:tabs>
          <w:tab w:val="num" w:pos="4498"/>
        </w:tabs>
        <w:ind w:left="4498" w:hanging="358"/>
      </w:pPr>
      <w:rPr>
        <w:rFonts w:ascii="Wingdings" w:hAnsi="Wingdings" w:hint="default"/>
        <w:b w:val="0"/>
        <w:i w:val="0"/>
        <w:sz w:val="22"/>
      </w:rPr>
    </w:lvl>
    <w:lvl w:ilvl="2" w:tplc="5ABC4262" w:tentative="1">
      <w:start w:val="1"/>
      <w:numFmt w:val="lowerRoman"/>
      <w:lvlText w:val="%3."/>
      <w:lvlJc w:val="right"/>
      <w:pPr>
        <w:tabs>
          <w:tab w:val="num" w:pos="5220"/>
        </w:tabs>
        <w:ind w:left="5220" w:hanging="180"/>
      </w:pPr>
    </w:lvl>
    <w:lvl w:ilvl="3" w:tplc="268C5056" w:tentative="1">
      <w:start w:val="1"/>
      <w:numFmt w:val="decimal"/>
      <w:lvlText w:val="%4."/>
      <w:lvlJc w:val="left"/>
      <w:pPr>
        <w:tabs>
          <w:tab w:val="num" w:pos="5940"/>
        </w:tabs>
        <w:ind w:left="5940" w:hanging="360"/>
      </w:pPr>
    </w:lvl>
    <w:lvl w:ilvl="4" w:tplc="42CAC7D0">
      <w:start w:val="1"/>
      <w:numFmt w:val="lowerLetter"/>
      <w:lvlText w:val="%5."/>
      <w:lvlJc w:val="left"/>
      <w:pPr>
        <w:tabs>
          <w:tab w:val="num" w:pos="6660"/>
        </w:tabs>
        <w:ind w:left="6660" w:hanging="360"/>
      </w:pPr>
    </w:lvl>
    <w:lvl w:ilvl="5" w:tplc="EB7EE31A">
      <w:start w:val="1"/>
      <w:numFmt w:val="lowerRoman"/>
      <w:lvlText w:val="%6."/>
      <w:lvlJc w:val="right"/>
      <w:pPr>
        <w:tabs>
          <w:tab w:val="num" w:pos="7380"/>
        </w:tabs>
        <w:ind w:left="7380" w:hanging="180"/>
      </w:pPr>
    </w:lvl>
    <w:lvl w:ilvl="6" w:tplc="E6D86F90" w:tentative="1">
      <w:start w:val="1"/>
      <w:numFmt w:val="decimal"/>
      <w:lvlText w:val="%7."/>
      <w:lvlJc w:val="left"/>
      <w:pPr>
        <w:tabs>
          <w:tab w:val="num" w:pos="8100"/>
        </w:tabs>
        <w:ind w:left="8100" w:hanging="360"/>
      </w:pPr>
    </w:lvl>
    <w:lvl w:ilvl="7" w:tplc="882C84EC" w:tentative="1">
      <w:start w:val="1"/>
      <w:numFmt w:val="lowerLetter"/>
      <w:lvlText w:val="%8."/>
      <w:lvlJc w:val="left"/>
      <w:pPr>
        <w:tabs>
          <w:tab w:val="num" w:pos="8820"/>
        </w:tabs>
        <w:ind w:left="8820" w:hanging="360"/>
      </w:pPr>
    </w:lvl>
    <w:lvl w:ilvl="8" w:tplc="DD3E2D30" w:tentative="1">
      <w:start w:val="1"/>
      <w:numFmt w:val="lowerRoman"/>
      <w:lvlText w:val="%9."/>
      <w:lvlJc w:val="right"/>
      <w:pPr>
        <w:tabs>
          <w:tab w:val="num" w:pos="9540"/>
        </w:tabs>
        <w:ind w:left="9540" w:hanging="180"/>
      </w:pPr>
    </w:lvl>
  </w:abstractNum>
  <w:abstractNum w:abstractNumId="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BF0570"/>
    <w:multiLevelType w:val="hybridMultilevel"/>
    <w:tmpl w:val="2C38EE7E"/>
    <w:lvl w:ilvl="0" w:tplc="0C090001">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0">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nsid w:val="76A149FE"/>
    <w:multiLevelType w:val="multilevel"/>
    <w:tmpl w:val="463A9BE2"/>
    <w:lvl w:ilvl="0">
      <w:start w:val="1"/>
      <w:numFmt w:val="decimal"/>
      <w:pStyle w:val="AERheading1"/>
      <w:lvlText w:val="%1"/>
      <w:lvlJc w:val="left"/>
      <w:pPr>
        <w:tabs>
          <w:tab w:val="num" w:pos="357"/>
        </w:tabs>
        <w:ind w:left="1071" w:hanging="1071"/>
      </w:pPr>
      <w:rPr>
        <w:rFonts w:hint="default"/>
      </w:rPr>
    </w:lvl>
    <w:lvl w:ilvl="1">
      <w:start w:val="1"/>
      <w:numFmt w:val="decimal"/>
      <w:pStyle w:val="AERheading2"/>
      <w:lvlText w:val="%1.%2"/>
      <w:lvlJc w:val="left"/>
      <w:pPr>
        <w:tabs>
          <w:tab w:val="num" w:pos="2484"/>
        </w:tabs>
        <w:ind w:left="2484" w:hanging="357"/>
      </w:pPr>
      <w:rPr>
        <w:rFonts w:hint="default"/>
      </w:rPr>
    </w:lvl>
    <w:lvl w:ilvl="2">
      <w:start w:val="1"/>
      <w:numFmt w:val="decimal"/>
      <w:pStyle w:val="AERheading3"/>
      <w:lvlText w:val="%1.%2.%3"/>
      <w:lvlJc w:val="left"/>
      <w:pPr>
        <w:tabs>
          <w:tab w:val="num" w:pos="357"/>
        </w:tabs>
        <w:ind w:left="357" w:hanging="35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AERfigureheading"/>
      <w:lvlText w:val="Figure %1.%4"/>
      <w:lvlJc w:val="left"/>
      <w:pPr>
        <w:tabs>
          <w:tab w:val="num" w:pos="357"/>
        </w:tabs>
        <w:ind w:left="357" w:hanging="357"/>
      </w:pPr>
      <w:rPr>
        <w:rFonts w:hint="default"/>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78B75593"/>
    <w:multiLevelType w:val="multilevel"/>
    <w:tmpl w:val="979A7758"/>
    <w:lvl w:ilvl="0">
      <w:start w:val="1"/>
      <w:numFmt w:val="decimal"/>
      <w:pStyle w:val="LegalFirstLevel"/>
      <w:lvlText w:val="%1."/>
      <w:lvlJc w:val="left"/>
      <w:pPr>
        <w:tabs>
          <w:tab w:val="num" w:pos="567"/>
        </w:tabs>
        <w:ind w:left="567" w:hanging="567"/>
      </w:pPr>
      <w:rPr>
        <w:rFonts w:hint="default"/>
      </w:rPr>
    </w:lvl>
    <w:lvl w:ilvl="1">
      <w:start w:val="1"/>
      <w:numFmt w:val="lowerLetter"/>
      <w:pStyle w:val="LegalSecondLevel"/>
      <w:lvlText w:val="(%2)"/>
      <w:lvlJc w:val="left"/>
      <w:pPr>
        <w:tabs>
          <w:tab w:val="num" w:pos="1134"/>
        </w:tabs>
        <w:ind w:left="1134" w:hanging="567"/>
      </w:pPr>
      <w:rPr>
        <w:rFonts w:hint="default"/>
      </w:rPr>
    </w:lvl>
    <w:lvl w:ilvl="2">
      <w:start w:val="1"/>
      <w:numFmt w:val="lowerRoman"/>
      <w:pStyle w:val="LegalThirdLeve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9"/>
  </w:num>
  <w:num w:numId="3">
    <w:abstractNumId w:val="0"/>
  </w:num>
  <w:num w:numId="4">
    <w:abstractNumId w:val="7"/>
  </w:num>
  <w:num w:numId="5">
    <w:abstractNumId w:val="5"/>
  </w:num>
  <w:num w:numId="6">
    <w:abstractNumId w:val="10"/>
  </w:num>
  <w:num w:numId="7">
    <w:abstractNumId w:val="11"/>
  </w:num>
  <w:num w:numId="8">
    <w:abstractNumId w:val="12"/>
  </w:num>
  <w:num w:numId="9">
    <w:abstractNumId w:val="3"/>
  </w:num>
  <w:num w:numId="10">
    <w:abstractNumId w:val="4"/>
  </w:num>
  <w:num w:numId="11">
    <w:abstractNumId w:val="8"/>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410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ocuments and Settings\jzito\Local Settings\Temporary Internet Files\Content.Outlook\PHF63GXD\Quarterly compliance report January - March 2014.DOCX"/>
  </w:docVars>
  <w:rsids>
    <w:rsidRoot w:val="00F75FBD"/>
    <w:rsid w:val="00000080"/>
    <w:rsid w:val="000008B3"/>
    <w:rsid w:val="00000E09"/>
    <w:rsid w:val="000014D2"/>
    <w:rsid w:val="000018CD"/>
    <w:rsid w:val="0000194E"/>
    <w:rsid w:val="00001FCA"/>
    <w:rsid w:val="000020FB"/>
    <w:rsid w:val="00002829"/>
    <w:rsid w:val="00002A76"/>
    <w:rsid w:val="00003B0A"/>
    <w:rsid w:val="00003B8C"/>
    <w:rsid w:val="00003E22"/>
    <w:rsid w:val="000042BF"/>
    <w:rsid w:val="00004578"/>
    <w:rsid w:val="0000468D"/>
    <w:rsid w:val="00004867"/>
    <w:rsid w:val="00004C36"/>
    <w:rsid w:val="00004F2E"/>
    <w:rsid w:val="00005725"/>
    <w:rsid w:val="000059FF"/>
    <w:rsid w:val="00005DB1"/>
    <w:rsid w:val="000060ED"/>
    <w:rsid w:val="00006183"/>
    <w:rsid w:val="00006681"/>
    <w:rsid w:val="000066D8"/>
    <w:rsid w:val="000068EC"/>
    <w:rsid w:val="00006D55"/>
    <w:rsid w:val="00006E63"/>
    <w:rsid w:val="00006E66"/>
    <w:rsid w:val="000070D2"/>
    <w:rsid w:val="00007451"/>
    <w:rsid w:val="000078B2"/>
    <w:rsid w:val="00007A05"/>
    <w:rsid w:val="00007DEC"/>
    <w:rsid w:val="00010C72"/>
    <w:rsid w:val="00010E2A"/>
    <w:rsid w:val="000110D5"/>
    <w:rsid w:val="000115F6"/>
    <w:rsid w:val="00011751"/>
    <w:rsid w:val="00011913"/>
    <w:rsid w:val="00011B17"/>
    <w:rsid w:val="00011C65"/>
    <w:rsid w:val="0001232D"/>
    <w:rsid w:val="0001277E"/>
    <w:rsid w:val="00012C8B"/>
    <w:rsid w:val="0001307D"/>
    <w:rsid w:val="000139F3"/>
    <w:rsid w:val="00014B8F"/>
    <w:rsid w:val="00015040"/>
    <w:rsid w:val="000158C2"/>
    <w:rsid w:val="00015FFE"/>
    <w:rsid w:val="000161BF"/>
    <w:rsid w:val="00016924"/>
    <w:rsid w:val="00016DEF"/>
    <w:rsid w:val="00016E96"/>
    <w:rsid w:val="00017634"/>
    <w:rsid w:val="00017C33"/>
    <w:rsid w:val="00017FAD"/>
    <w:rsid w:val="000201DE"/>
    <w:rsid w:val="000204F0"/>
    <w:rsid w:val="00020AD8"/>
    <w:rsid w:val="00020D13"/>
    <w:rsid w:val="000213B6"/>
    <w:rsid w:val="00021891"/>
    <w:rsid w:val="00021990"/>
    <w:rsid w:val="00021DE4"/>
    <w:rsid w:val="00022810"/>
    <w:rsid w:val="000228BB"/>
    <w:rsid w:val="00022A77"/>
    <w:rsid w:val="00022C3F"/>
    <w:rsid w:val="00023487"/>
    <w:rsid w:val="00023543"/>
    <w:rsid w:val="000237D8"/>
    <w:rsid w:val="00023E55"/>
    <w:rsid w:val="00023F1D"/>
    <w:rsid w:val="00024271"/>
    <w:rsid w:val="00024853"/>
    <w:rsid w:val="00024ECD"/>
    <w:rsid w:val="00025D45"/>
    <w:rsid w:val="00025E0E"/>
    <w:rsid w:val="0002602A"/>
    <w:rsid w:val="000260E2"/>
    <w:rsid w:val="000261A3"/>
    <w:rsid w:val="0002626E"/>
    <w:rsid w:val="00026564"/>
    <w:rsid w:val="000267ED"/>
    <w:rsid w:val="00026C3A"/>
    <w:rsid w:val="0002765A"/>
    <w:rsid w:val="000277D9"/>
    <w:rsid w:val="00027DAF"/>
    <w:rsid w:val="0003080B"/>
    <w:rsid w:val="000308EE"/>
    <w:rsid w:val="0003098E"/>
    <w:rsid w:val="000318FE"/>
    <w:rsid w:val="00031AA8"/>
    <w:rsid w:val="00031CC9"/>
    <w:rsid w:val="00031D7C"/>
    <w:rsid w:val="000328A5"/>
    <w:rsid w:val="00032A56"/>
    <w:rsid w:val="00032BCA"/>
    <w:rsid w:val="00032C54"/>
    <w:rsid w:val="00032F9C"/>
    <w:rsid w:val="00033316"/>
    <w:rsid w:val="0003339C"/>
    <w:rsid w:val="0003345D"/>
    <w:rsid w:val="000335CA"/>
    <w:rsid w:val="00033718"/>
    <w:rsid w:val="00033B09"/>
    <w:rsid w:val="00033EA7"/>
    <w:rsid w:val="00034017"/>
    <w:rsid w:val="0003429E"/>
    <w:rsid w:val="00034438"/>
    <w:rsid w:val="000344DF"/>
    <w:rsid w:val="0003457A"/>
    <w:rsid w:val="000345D3"/>
    <w:rsid w:val="00034DF0"/>
    <w:rsid w:val="000353A5"/>
    <w:rsid w:val="000356D8"/>
    <w:rsid w:val="000357CD"/>
    <w:rsid w:val="0003586E"/>
    <w:rsid w:val="00035C9F"/>
    <w:rsid w:val="000360CE"/>
    <w:rsid w:val="0003617E"/>
    <w:rsid w:val="000361EA"/>
    <w:rsid w:val="0003626E"/>
    <w:rsid w:val="0003632C"/>
    <w:rsid w:val="00036810"/>
    <w:rsid w:val="00036ABD"/>
    <w:rsid w:val="00037322"/>
    <w:rsid w:val="000373B0"/>
    <w:rsid w:val="00037541"/>
    <w:rsid w:val="000375EE"/>
    <w:rsid w:val="00037690"/>
    <w:rsid w:val="00040414"/>
    <w:rsid w:val="000407B3"/>
    <w:rsid w:val="000413B3"/>
    <w:rsid w:val="00041D07"/>
    <w:rsid w:val="00041E93"/>
    <w:rsid w:val="00042733"/>
    <w:rsid w:val="000427C9"/>
    <w:rsid w:val="00042ADE"/>
    <w:rsid w:val="00042F04"/>
    <w:rsid w:val="00043239"/>
    <w:rsid w:val="00043981"/>
    <w:rsid w:val="0004398F"/>
    <w:rsid w:val="00043CB9"/>
    <w:rsid w:val="00044126"/>
    <w:rsid w:val="00044949"/>
    <w:rsid w:val="00044A13"/>
    <w:rsid w:val="00044DAB"/>
    <w:rsid w:val="0004540E"/>
    <w:rsid w:val="000456D1"/>
    <w:rsid w:val="00045A65"/>
    <w:rsid w:val="00045BEA"/>
    <w:rsid w:val="00045E9E"/>
    <w:rsid w:val="00046146"/>
    <w:rsid w:val="00046779"/>
    <w:rsid w:val="00046986"/>
    <w:rsid w:val="00046A92"/>
    <w:rsid w:val="00046C2F"/>
    <w:rsid w:val="00046DA1"/>
    <w:rsid w:val="000474B8"/>
    <w:rsid w:val="00047CAE"/>
    <w:rsid w:val="00050394"/>
    <w:rsid w:val="00050A33"/>
    <w:rsid w:val="00050C6C"/>
    <w:rsid w:val="00050D72"/>
    <w:rsid w:val="00051106"/>
    <w:rsid w:val="000513D6"/>
    <w:rsid w:val="0005191C"/>
    <w:rsid w:val="00051B5E"/>
    <w:rsid w:val="00051CA2"/>
    <w:rsid w:val="00051EA8"/>
    <w:rsid w:val="00052039"/>
    <w:rsid w:val="000528A5"/>
    <w:rsid w:val="00052936"/>
    <w:rsid w:val="00052C31"/>
    <w:rsid w:val="00052EA4"/>
    <w:rsid w:val="000534E9"/>
    <w:rsid w:val="000536D4"/>
    <w:rsid w:val="0005475B"/>
    <w:rsid w:val="00054A64"/>
    <w:rsid w:val="00054D3E"/>
    <w:rsid w:val="00054D66"/>
    <w:rsid w:val="00054DBF"/>
    <w:rsid w:val="00055154"/>
    <w:rsid w:val="00055C37"/>
    <w:rsid w:val="00056061"/>
    <w:rsid w:val="000561AA"/>
    <w:rsid w:val="000563E3"/>
    <w:rsid w:val="00056665"/>
    <w:rsid w:val="00056BE0"/>
    <w:rsid w:val="00056C66"/>
    <w:rsid w:val="00057320"/>
    <w:rsid w:val="000579A7"/>
    <w:rsid w:val="000579EA"/>
    <w:rsid w:val="00057A0F"/>
    <w:rsid w:val="00057A4B"/>
    <w:rsid w:val="00060300"/>
    <w:rsid w:val="00060369"/>
    <w:rsid w:val="000603B4"/>
    <w:rsid w:val="00060A54"/>
    <w:rsid w:val="00060F51"/>
    <w:rsid w:val="00061148"/>
    <w:rsid w:val="00061BFD"/>
    <w:rsid w:val="00061D58"/>
    <w:rsid w:val="00061E11"/>
    <w:rsid w:val="00061EBD"/>
    <w:rsid w:val="00062147"/>
    <w:rsid w:val="000629AD"/>
    <w:rsid w:val="00062A21"/>
    <w:rsid w:val="00062B23"/>
    <w:rsid w:val="00062B49"/>
    <w:rsid w:val="00062B82"/>
    <w:rsid w:val="0006305A"/>
    <w:rsid w:val="0006356C"/>
    <w:rsid w:val="0006366F"/>
    <w:rsid w:val="00063ACB"/>
    <w:rsid w:val="000647B2"/>
    <w:rsid w:val="00064CD0"/>
    <w:rsid w:val="00064CDD"/>
    <w:rsid w:val="00064E6D"/>
    <w:rsid w:val="00064F93"/>
    <w:rsid w:val="000650CD"/>
    <w:rsid w:val="0006556C"/>
    <w:rsid w:val="00065B65"/>
    <w:rsid w:val="00065F42"/>
    <w:rsid w:val="0006638F"/>
    <w:rsid w:val="0006649B"/>
    <w:rsid w:val="000665EF"/>
    <w:rsid w:val="000673B3"/>
    <w:rsid w:val="00067C4A"/>
    <w:rsid w:val="00067D27"/>
    <w:rsid w:val="000702B7"/>
    <w:rsid w:val="0007067D"/>
    <w:rsid w:val="00070B59"/>
    <w:rsid w:val="00070D16"/>
    <w:rsid w:val="00070F58"/>
    <w:rsid w:val="00071615"/>
    <w:rsid w:val="00071AB5"/>
    <w:rsid w:val="00071B60"/>
    <w:rsid w:val="000727FF"/>
    <w:rsid w:val="00072A1F"/>
    <w:rsid w:val="00072A32"/>
    <w:rsid w:val="00072B95"/>
    <w:rsid w:val="00073174"/>
    <w:rsid w:val="000733BC"/>
    <w:rsid w:val="0007368B"/>
    <w:rsid w:val="00073A99"/>
    <w:rsid w:val="00073E73"/>
    <w:rsid w:val="00073EDA"/>
    <w:rsid w:val="00073F8A"/>
    <w:rsid w:val="0007401A"/>
    <w:rsid w:val="0007469B"/>
    <w:rsid w:val="00074F55"/>
    <w:rsid w:val="000751E3"/>
    <w:rsid w:val="00075262"/>
    <w:rsid w:val="0007589D"/>
    <w:rsid w:val="00075962"/>
    <w:rsid w:val="00075A85"/>
    <w:rsid w:val="00075BD0"/>
    <w:rsid w:val="00076423"/>
    <w:rsid w:val="000764FA"/>
    <w:rsid w:val="000766DD"/>
    <w:rsid w:val="00076D80"/>
    <w:rsid w:val="00076E5E"/>
    <w:rsid w:val="00077199"/>
    <w:rsid w:val="000773C3"/>
    <w:rsid w:val="00077915"/>
    <w:rsid w:val="00077FBB"/>
    <w:rsid w:val="00080370"/>
    <w:rsid w:val="0008044E"/>
    <w:rsid w:val="0008060E"/>
    <w:rsid w:val="00081D6B"/>
    <w:rsid w:val="00081DB5"/>
    <w:rsid w:val="000820D3"/>
    <w:rsid w:val="00082328"/>
    <w:rsid w:val="000825A8"/>
    <w:rsid w:val="0008294E"/>
    <w:rsid w:val="00082AD7"/>
    <w:rsid w:val="00082F32"/>
    <w:rsid w:val="00082FA8"/>
    <w:rsid w:val="00083030"/>
    <w:rsid w:val="000831D9"/>
    <w:rsid w:val="00083645"/>
    <w:rsid w:val="00083947"/>
    <w:rsid w:val="00083B2D"/>
    <w:rsid w:val="000841E6"/>
    <w:rsid w:val="00084457"/>
    <w:rsid w:val="000849AF"/>
    <w:rsid w:val="00085894"/>
    <w:rsid w:val="00085C27"/>
    <w:rsid w:val="00086527"/>
    <w:rsid w:val="0008677A"/>
    <w:rsid w:val="00086F1D"/>
    <w:rsid w:val="00087248"/>
    <w:rsid w:val="0008724D"/>
    <w:rsid w:val="00087974"/>
    <w:rsid w:val="00087AB5"/>
    <w:rsid w:val="00087B72"/>
    <w:rsid w:val="00087C4F"/>
    <w:rsid w:val="00087F3F"/>
    <w:rsid w:val="00090235"/>
    <w:rsid w:val="00090394"/>
    <w:rsid w:val="000906F1"/>
    <w:rsid w:val="000906F4"/>
    <w:rsid w:val="0009081C"/>
    <w:rsid w:val="00090EF3"/>
    <w:rsid w:val="0009118A"/>
    <w:rsid w:val="000911BD"/>
    <w:rsid w:val="000913F5"/>
    <w:rsid w:val="00091D14"/>
    <w:rsid w:val="00091D9E"/>
    <w:rsid w:val="00091DAD"/>
    <w:rsid w:val="00091F5F"/>
    <w:rsid w:val="00093537"/>
    <w:rsid w:val="0009394B"/>
    <w:rsid w:val="00094268"/>
    <w:rsid w:val="00094494"/>
    <w:rsid w:val="0009492F"/>
    <w:rsid w:val="00095248"/>
    <w:rsid w:val="00095BD8"/>
    <w:rsid w:val="00095FC2"/>
    <w:rsid w:val="0009623B"/>
    <w:rsid w:val="00096516"/>
    <w:rsid w:val="000967CF"/>
    <w:rsid w:val="00097455"/>
    <w:rsid w:val="00097A82"/>
    <w:rsid w:val="000A015D"/>
    <w:rsid w:val="000A040B"/>
    <w:rsid w:val="000A048C"/>
    <w:rsid w:val="000A0B02"/>
    <w:rsid w:val="000A0E1A"/>
    <w:rsid w:val="000A105F"/>
    <w:rsid w:val="000A1444"/>
    <w:rsid w:val="000A15A7"/>
    <w:rsid w:val="000A1E5F"/>
    <w:rsid w:val="000A1FF0"/>
    <w:rsid w:val="000A241E"/>
    <w:rsid w:val="000A25BF"/>
    <w:rsid w:val="000A2744"/>
    <w:rsid w:val="000A2CFE"/>
    <w:rsid w:val="000A3580"/>
    <w:rsid w:val="000A3673"/>
    <w:rsid w:val="000A36AD"/>
    <w:rsid w:val="000A37F9"/>
    <w:rsid w:val="000A394D"/>
    <w:rsid w:val="000A4B26"/>
    <w:rsid w:val="000A5343"/>
    <w:rsid w:val="000A555E"/>
    <w:rsid w:val="000A5694"/>
    <w:rsid w:val="000A5783"/>
    <w:rsid w:val="000A57A6"/>
    <w:rsid w:val="000A6520"/>
    <w:rsid w:val="000A6580"/>
    <w:rsid w:val="000A695F"/>
    <w:rsid w:val="000A6AF2"/>
    <w:rsid w:val="000A6B8D"/>
    <w:rsid w:val="000A7A40"/>
    <w:rsid w:val="000A7DCC"/>
    <w:rsid w:val="000B006E"/>
    <w:rsid w:val="000B00AB"/>
    <w:rsid w:val="000B062A"/>
    <w:rsid w:val="000B0735"/>
    <w:rsid w:val="000B076A"/>
    <w:rsid w:val="000B08BB"/>
    <w:rsid w:val="000B0A17"/>
    <w:rsid w:val="000B11E9"/>
    <w:rsid w:val="000B1799"/>
    <w:rsid w:val="000B1D95"/>
    <w:rsid w:val="000B1D98"/>
    <w:rsid w:val="000B1F1D"/>
    <w:rsid w:val="000B21DF"/>
    <w:rsid w:val="000B27B0"/>
    <w:rsid w:val="000B2BE1"/>
    <w:rsid w:val="000B35D6"/>
    <w:rsid w:val="000B3900"/>
    <w:rsid w:val="000B3D0E"/>
    <w:rsid w:val="000B410E"/>
    <w:rsid w:val="000B4334"/>
    <w:rsid w:val="000B4610"/>
    <w:rsid w:val="000B4684"/>
    <w:rsid w:val="000B4779"/>
    <w:rsid w:val="000B4834"/>
    <w:rsid w:val="000B4E11"/>
    <w:rsid w:val="000B5491"/>
    <w:rsid w:val="000B5C06"/>
    <w:rsid w:val="000B61D2"/>
    <w:rsid w:val="000B6221"/>
    <w:rsid w:val="000B6448"/>
    <w:rsid w:val="000B68A7"/>
    <w:rsid w:val="000B6CDB"/>
    <w:rsid w:val="000B6E40"/>
    <w:rsid w:val="000B76DA"/>
    <w:rsid w:val="000B7FD3"/>
    <w:rsid w:val="000C0570"/>
    <w:rsid w:val="000C0A21"/>
    <w:rsid w:val="000C10AE"/>
    <w:rsid w:val="000C13DF"/>
    <w:rsid w:val="000C179C"/>
    <w:rsid w:val="000C1A2C"/>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87"/>
    <w:rsid w:val="000C47A8"/>
    <w:rsid w:val="000C4CDB"/>
    <w:rsid w:val="000C4DC3"/>
    <w:rsid w:val="000C561A"/>
    <w:rsid w:val="000C5D23"/>
    <w:rsid w:val="000C606D"/>
    <w:rsid w:val="000C6180"/>
    <w:rsid w:val="000C65BC"/>
    <w:rsid w:val="000C6B8F"/>
    <w:rsid w:val="000C6CB7"/>
    <w:rsid w:val="000C6E81"/>
    <w:rsid w:val="000C7C7F"/>
    <w:rsid w:val="000D0000"/>
    <w:rsid w:val="000D00E7"/>
    <w:rsid w:val="000D039C"/>
    <w:rsid w:val="000D03EF"/>
    <w:rsid w:val="000D0503"/>
    <w:rsid w:val="000D0913"/>
    <w:rsid w:val="000D16BF"/>
    <w:rsid w:val="000D1AD4"/>
    <w:rsid w:val="000D1FAC"/>
    <w:rsid w:val="000D205E"/>
    <w:rsid w:val="000D28FF"/>
    <w:rsid w:val="000D2D9C"/>
    <w:rsid w:val="000D2EC0"/>
    <w:rsid w:val="000D3510"/>
    <w:rsid w:val="000D3769"/>
    <w:rsid w:val="000D3D28"/>
    <w:rsid w:val="000D436F"/>
    <w:rsid w:val="000D50E4"/>
    <w:rsid w:val="000D52AE"/>
    <w:rsid w:val="000D556E"/>
    <w:rsid w:val="000D5859"/>
    <w:rsid w:val="000D59C5"/>
    <w:rsid w:val="000D605D"/>
    <w:rsid w:val="000D621F"/>
    <w:rsid w:val="000D6784"/>
    <w:rsid w:val="000D752A"/>
    <w:rsid w:val="000D756E"/>
    <w:rsid w:val="000E0840"/>
    <w:rsid w:val="000E0AF5"/>
    <w:rsid w:val="000E0BF3"/>
    <w:rsid w:val="000E0C64"/>
    <w:rsid w:val="000E0C8E"/>
    <w:rsid w:val="000E1820"/>
    <w:rsid w:val="000E1B63"/>
    <w:rsid w:val="000E2105"/>
    <w:rsid w:val="000E2529"/>
    <w:rsid w:val="000E2577"/>
    <w:rsid w:val="000E2AD1"/>
    <w:rsid w:val="000E2F62"/>
    <w:rsid w:val="000E3710"/>
    <w:rsid w:val="000E373B"/>
    <w:rsid w:val="000E3EF2"/>
    <w:rsid w:val="000E442F"/>
    <w:rsid w:val="000E4A4E"/>
    <w:rsid w:val="000E4BF3"/>
    <w:rsid w:val="000E4EC1"/>
    <w:rsid w:val="000E4F4D"/>
    <w:rsid w:val="000E54B5"/>
    <w:rsid w:val="000E5716"/>
    <w:rsid w:val="000E574E"/>
    <w:rsid w:val="000E59B0"/>
    <w:rsid w:val="000E5AF9"/>
    <w:rsid w:val="000E5F32"/>
    <w:rsid w:val="000E61F7"/>
    <w:rsid w:val="000E670F"/>
    <w:rsid w:val="000E68D4"/>
    <w:rsid w:val="000E6A08"/>
    <w:rsid w:val="000E6CEE"/>
    <w:rsid w:val="000E6FC7"/>
    <w:rsid w:val="000E70EF"/>
    <w:rsid w:val="000E7327"/>
    <w:rsid w:val="000E76AC"/>
    <w:rsid w:val="000E78F3"/>
    <w:rsid w:val="000F01AE"/>
    <w:rsid w:val="000F0386"/>
    <w:rsid w:val="000F0828"/>
    <w:rsid w:val="000F0869"/>
    <w:rsid w:val="000F0BB8"/>
    <w:rsid w:val="000F0C89"/>
    <w:rsid w:val="000F0DE0"/>
    <w:rsid w:val="000F0FCE"/>
    <w:rsid w:val="000F0FEE"/>
    <w:rsid w:val="000F1295"/>
    <w:rsid w:val="000F1E4C"/>
    <w:rsid w:val="000F23F1"/>
    <w:rsid w:val="000F2731"/>
    <w:rsid w:val="000F29C0"/>
    <w:rsid w:val="000F2EFE"/>
    <w:rsid w:val="000F3331"/>
    <w:rsid w:val="000F3781"/>
    <w:rsid w:val="000F3D90"/>
    <w:rsid w:val="000F3F37"/>
    <w:rsid w:val="000F47A4"/>
    <w:rsid w:val="000F480F"/>
    <w:rsid w:val="000F4845"/>
    <w:rsid w:val="000F486F"/>
    <w:rsid w:val="000F4A6C"/>
    <w:rsid w:val="000F4AB7"/>
    <w:rsid w:val="000F51C8"/>
    <w:rsid w:val="000F524C"/>
    <w:rsid w:val="000F5E10"/>
    <w:rsid w:val="000F6848"/>
    <w:rsid w:val="000F6AC6"/>
    <w:rsid w:val="000F6C9E"/>
    <w:rsid w:val="000F6F6F"/>
    <w:rsid w:val="000F7093"/>
    <w:rsid w:val="000F713F"/>
    <w:rsid w:val="000F72A4"/>
    <w:rsid w:val="000F790F"/>
    <w:rsid w:val="000F7CC6"/>
    <w:rsid w:val="000F7FFD"/>
    <w:rsid w:val="00100118"/>
    <w:rsid w:val="00100288"/>
    <w:rsid w:val="00100299"/>
    <w:rsid w:val="001002C5"/>
    <w:rsid w:val="001005F2"/>
    <w:rsid w:val="00100D7C"/>
    <w:rsid w:val="00100E58"/>
    <w:rsid w:val="001011D5"/>
    <w:rsid w:val="0010147A"/>
    <w:rsid w:val="00101A76"/>
    <w:rsid w:val="00101C15"/>
    <w:rsid w:val="00101FB4"/>
    <w:rsid w:val="001020CD"/>
    <w:rsid w:val="00102195"/>
    <w:rsid w:val="001026C8"/>
    <w:rsid w:val="0010330E"/>
    <w:rsid w:val="0010334F"/>
    <w:rsid w:val="001038E3"/>
    <w:rsid w:val="00103911"/>
    <w:rsid w:val="00103B70"/>
    <w:rsid w:val="00103CD7"/>
    <w:rsid w:val="00103E59"/>
    <w:rsid w:val="00103F58"/>
    <w:rsid w:val="0010434C"/>
    <w:rsid w:val="00104575"/>
    <w:rsid w:val="001051D2"/>
    <w:rsid w:val="001054E2"/>
    <w:rsid w:val="001055D7"/>
    <w:rsid w:val="00105AD5"/>
    <w:rsid w:val="00105E53"/>
    <w:rsid w:val="00106BFC"/>
    <w:rsid w:val="00106D97"/>
    <w:rsid w:val="00106ED7"/>
    <w:rsid w:val="00107208"/>
    <w:rsid w:val="001073C7"/>
    <w:rsid w:val="00107771"/>
    <w:rsid w:val="001077A8"/>
    <w:rsid w:val="00107900"/>
    <w:rsid w:val="00107DAB"/>
    <w:rsid w:val="001102A2"/>
    <w:rsid w:val="00110AC8"/>
    <w:rsid w:val="00110AD8"/>
    <w:rsid w:val="00111A2C"/>
    <w:rsid w:val="00111D4C"/>
    <w:rsid w:val="00111DB3"/>
    <w:rsid w:val="00112145"/>
    <w:rsid w:val="0011224D"/>
    <w:rsid w:val="0011274A"/>
    <w:rsid w:val="00112875"/>
    <w:rsid w:val="00112CE9"/>
    <w:rsid w:val="001131A0"/>
    <w:rsid w:val="001135A8"/>
    <w:rsid w:val="001136D8"/>
    <w:rsid w:val="00113CC2"/>
    <w:rsid w:val="00114256"/>
    <w:rsid w:val="0011426F"/>
    <w:rsid w:val="00114459"/>
    <w:rsid w:val="0011452E"/>
    <w:rsid w:val="00114583"/>
    <w:rsid w:val="00114D18"/>
    <w:rsid w:val="001152D7"/>
    <w:rsid w:val="00115549"/>
    <w:rsid w:val="00115B04"/>
    <w:rsid w:val="001163F2"/>
    <w:rsid w:val="00116526"/>
    <w:rsid w:val="001165D7"/>
    <w:rsid w:val="00116BB7"/>
    <w:rsid w:val="00116E85"/>
    <w:rsid w:val="00117401"/>
    <w:rsid w:val="001174B7"/>
    <w:rsid w:val="00117B58"/>
    <w:rsid w:val="00117B72"/>
    <w:rsid w:val="00117E78"/>
    <w:rsid w:val="001201E1"/>
    <w:rsid w:val="0012073E"/>
    <w:rsid w:val="001207F7"/>
    <w:rsid w:val="00120E17"/>
    <w:rsid w:val="00120EF0"/>
    <w:rsid w:val="00120F4B"/>
    <w:rsid w:val="00121252"/>
    <w:rsid w:val="0012126C"/>
    <w:rsid w:val="00121727"/>
    <w:rsid w:val="00121AD5"/>
    <w:rsid w:val="00122036"/>
    <w:rsid w:val="001222FB"/>
    <w:rsid w:val="001224F5"/>
    <w:rsid w:val="00122577"/>
    <w:rsid w:val="001225DF"/>
    <w:rsid w:val="001231FC"/>
    <w:rsid w:val="00123318"/>
    <w:rsid w:val="00123AEE"/>
    <w:rsid w:val="0012429F"/>
    <w:rsid w:val="0012437D"/>
    <w:rsid w:val="001247CC"/>
    <w:rsid w:val="00124923"/>
    <w:rsid w:val="00124A90"/>
    <w:rsid w:val="00125429"/>
    <w:rsid w:val="001255DD"/>
    <w:rsid w:val="00125663"/>
    <w:rsid w:val="00125DEA"/>
    <w:rsid w:val="00126101"/>
    <w:rsid w:val="0012671B"/>
    <w:rsid w:val="001267BC"/>
    <w:rsid w:val="00126D4F"/>
    <w:rsid w:val="00127064"/>
    <w:rsid w:val="00127405"/>
    <w:rsid w:val="00127A0E"/>
    <w:rsid w:val="00127B5A"/>
    <w:rsid w:val="001300CB"/>
    <w:rsid w:val="00130177"/>
    <w:rsid w:val="001312C2"/>
    <w:rsid w:val="0013135E"/>
    <w:rsid w:val="0013171F"/>
    <w:rsid w:val="0013177C"/>
    <w:rsid w:val="0013182E"/>
    <w:rsid w:val="00131B81"/>
    <w:rsid w:val="00131C51"/>
    <w:rsid w:val="00131CD2"/>
    <w:rsid w:val="00132005"/>
    <w:rsid w:val="001322A8"/>
    <w:rsid w:val="00132392"/>
    <w:rsid w:val="001326AA"/>
    <w:rsid w:val="0013272B"/>
    <w:rsid w:val="001336AB"/>
    <w:rsid w:val="0013388F"/>
    <w:rsid w:val="00133B9D"/>
    <w:rsid w:val="001348EC"/>
    <w:rsid w:val="00134E16"/>
    <w:rsid w:val="00134FA5"/>
    <w:rsid w:val="001350B6"/>
    <w:rsid w:val="001357F8"/>
    <w:rsid w:val="00135DD6"/>
    <w:rsid w:val="0013687A"/>
    <w:rsid w:val="001370FE"/>
    <w:rsid w:val="00137174"/>
    <w:rsid w:val="0013782D"/>
    <w:rsid w:val="00137A9C"/>
    <w:rsid w:val="00137B64"/>
    <w:rsid w:val="00137B65"/>
    <w:rsid w:val="00137F91"/>
    <w:rsid w:val="0014048C"/>
    <w:rsid w:val="00140976"/>
    <w:rsid w:val="00140EBA"/>
    <w:rsid w:val="0014105A"/>
    <w:rsid w:val="0014105B"/>
    <w:rsid w:val="0014129D"/>
    <w:rsid w:val="001412A8"/>
    <w:rsid w:val="00141302"/>
    <w:rsid w:val="001417F2"/>
    <w:rsid w:val="00141B3C"/>
    <w:rsid w:val="00141D6A"/>
    <w:rsid w:val="00142002"/>
    <w:rsid w:val="001423BC"/>
    <w:rsid w:val="0014251E"/>
    <w:rsid w:val="00142980"/>
    <w:rsid w:val="0014299B"/>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C40"/>
    <w:rsid w:val="00146ED0"/>
    <w:rsid w:val="0014721E"/>
    <w:rsid w:val="001472F9"/>
    <w:rsid w:val="00147350"/>
    <w:rsid w:val="0014743E"/>
    <w:rsid w:val="00147563"/>
    <w:rsid w:val="00147D9F"/>
    <w:rsid w:val="0015008D"/>
    <w:rsid w:val="00150528"/>
    <w:rsid w:val="001508E3"/>
    <w:rsid w:val="00150E23"/>
    <w:rsid w:val="00151442"/>
    <w:rsid w:val="00151513"/>
    <w:rsid w:val="00151AD6"/>
    <w:rsid w:val="00152392"/>
    <w:rsid w:val="00152708"/>
    <w:rsid w:val="001528C3"/>
    <w:rsid w:val="00152EEA"/>
    <w:rsid w:val="00152EFB"/>
    <w:rsid w:val="0015340F"/>
    <w:rsid w:val="001535CE"/>
    <w:rsid w:val="00153655"/>
    <w:rsid w:val="00153EE5"/>
    <w:rsid w:val="00154192"/>
    <w:rsid w:val="00154A8C"/>
    <w:rsid w:val="00154FE1"/>
    <w:rsid w:val="0015597D"/>
    <w:rsid w:val="00155B20"/>
    <w:rsid w:val="00155B70"/>
    <w:rsid w:val="00155CDE"/>
    <w:rsid w:val="00156276"/>
    <w:rsid w:val="0015629C"/>
    <w:rsid w:val="00156896"/>
    <w:rsid w:val="00156CF1"/>
    <w:rsid w:val="00156D3B"/>
    <w:rsid w:val="0015720F"/>
    <w:rsid w:val="00157860"/>
    <w:rsid w:val="001578EC"/>
    <w:rsid w:val="001579C8"/>
    <w:rsid w:val="00157B2C"/>
    <w:rsid w:val="00157CBF"/>
    <w:rsid w:val="00157D45"/>
    <w:rsid w:val="001601CF"/>
    <w:rsid w:val="001601E3"/>
    <w:rsid w:val="00160330"/>
    <w:rsid w:val="00160F77"/>
    <w:rsid w:val="001618FD"/>
    <w:rsid w:val="001619B0"/>
    <w:rsid w:val="00161B17"/>
    <w:rsid w:val="00161CF0"/>
    <w:rsid w:val="00161DC9"/>
    <w:rsid w:val="001620F2"/>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653B"/>
    <w:rsid w:val="0016682A"/>
    <w:rsid w:val="00166A5A"/>
    <w:rsid w:val="00166F4E"/>
    <w:rsid w:val="00167657"/>
    <w:rsid w:val="001702D5"/>
    <w:rsid w:val="00170C56"/>
    <w:rsid w:val="00170CA6"/>
    <w:rsid w:val="00170CDF"/>
    <w:rsid w:val="00170D58"/>
    <w:rsid w:val="0017185E"/>
    <w:rsid w:val="001719F2"/>
    <w:rsid w:val="00171AA3"/>
    <w:rsid w:val="00171AA4"/>
    <w:rsid w:val="00171E6C"/>
    <w:rsid w:val="001720C0"/>
    <w:rsid w:val="00172215"/>
    <w:rsid w:val="001722BC"/>
    <w:rsid w:val="001723CF"/>
    <w:rsid w:val="001725B4"/>
    <w:rsid w:val="00172DB5"/>
    <w:rsid w:val="00172FFB"/>
    <w:rsid w:val="00173239"/>
    <w:rsid w:val="00173428"/>
    <w:rsid w:val="001737E7"/>
    <w:rsid w:val="001743B2"/>
    <w:rsid w:val="001743B7"/>
    <w:rsid w:val="0017447D"/>
    <w:rsid w:val="00174538"/>
    <w:rsid w:val="00174785"/>
    <w:rsid w:val="0017493D"/>
    <w:rsid w:val="00174BF8"/>
    <w:rsid w:val="001755E1"/>
    <w:rsid w:val="00175B89"/>
    <w:rsid w:val="00175B91"/>
    <w:rsid w:val="00175CC8"/>
    <w:rsid w:val="00176188"/>
    <w:rsid w:val="001762F5"/>
    <w:rsid w:val="001765B8"/>
    <w:rsid w:val="00176717"/>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2208"/>
    <w:rsid w:val="001823CE"/>
    <w:rsid w:val="00182B53"/>
    <w:rsid w:val="001833F5"/>
    <w:rsid w:val="00183AF9"/>
    <w:rsid w:val="00183CE5"/>
    <w:rsid w:val="00183DE7"/>
    <w:rsid w:val="00183E77"/>
    <w:rsid w:val="00183EA6"/>
    <w:rsid w:val="00184859"/>
    <w:rsid w:val="001853DD"/>
    <w:rsid w:val="0018595D"/>
    <w:rsid w:val="00185A4B"/>
    <w:rsid w:val="00185A50"/>
    <w:rsid w:val="0018635A"/>
    <w:rsid w:val="00186513"/>
    <w:rsid w:val="0018678D"/>
    <w:rsid w:val="001868EC"/>
    <w:rsid w:val="001869DB"/>
    <w:rsid w:val="00187189"/>
    <w:rsid w:val="00187456"/>
    <w:rsid w:val="00187511"/>
    <w:rsid w:val="001877AC"/>
    <w:rsid w:val="00187982"/>
    <w:rsid w:val="00187A33"/>
    <w:rsid w:val="00187D86"/>
    <w:rsid w:val="0019026A"/>
    <w:rsid w:val="001911A0"/>
    <w:rsid w:val="00191462"/>
    <w:rsid w:val="00191BD2"/>
    <w:rsid w:val="00191E9B"/>
    <w:rsid w:val="00191FF4"/>
    <w:rsid w:val="00191FF9"/>
    <w:rsid w:val="00191FFB"/>
    <w:rsid w:val="00192163"/>
    <w:rsid w:val="00192CED"/>
    <w:rsid w:val="00192DCD"/>
    <w:rsid w:val="00192FC5"/>
    <w:rsid w:val="00193254"/>
    <w:rsid w:val="001932D9"/>
    <w:rsid w:val="00193504"/>
    <w:rsid w:val="001936A2"/>
    <w:rsid w:val="00193956"/>
    <w:rsid w:val="00193A59"/>
    <w:rsid w:val="00193ABA"/>
    <w:rsid w:val="00193D0B"/>
    <w:rsid w:val="001941EF"/>
    <w:rsid w:val="001941FE"/>
    <w:rsid w:val="0019426F"/>
    <w:rsid w:val="001945A9"/>
    <w:rsid w:val="001947C7"/>
    <w:rsid w:val="00194842"/>
    <w:rsid w:val="00194961"/>
    <w:rsid w:val="00195140"/>
    <w:rsid w:val="0019517E"/>
    <w:rsid w:val="00195331"/>
    <w:rsid w:val="001957E1"/>
    <w:rsid w:val="001958D7"/>
    <w:rsid w:val="00195A65"/>
    <w:rsid w:val="00195C42"/>
    <w:rsid w:val="00196346"/>
    <w:rsid w:val="00196513"/>
    <w:rsid w:val="00196657"/>
    <w:rsid w:val="00196BF3"/>
    <w:rsid w:val="00196E26"/>
    <w:rsid w:val="0019706E"/>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2E42"/>
    <w:rsid w:val="001A3227"/>
    <w:rsid w:val="001A3753"/>
    <w:rsid w:val="001A3A7F"/>
    <w:rsid w:val="001A3D8C"/>
    <w:rsid w:val="001A3EF1"/>
    <w:rsid w:val="001A3FF1"/>
    <w:rsid w:val="001A4422"/>
    <w:rsid w:val="001A52FF"/>
    <w:rsid w:val="001A5786"/>
    <w:rsid w:val="001A5942"/>
    <w:rsid w:val="001A5C13"/>
    <w:rsid w:val="001A5F35"/>
    <w:rsid w:val="001A5FDF"/>
    <w:rsid w:val="001A6378"/>
    <w:rsid w:val="001A67C9"/>
    <w:rsid w:val="001A6A96"/>
    <w:rsid w:val="001A6C6D"/>
    <w:rsid w:val="001A6D0A"/>
    <w:rsid w:val="001A7245"/>
    <w:rsid w:val="001A72F2"/>
    <w:rsid w:val="001A74C3"/>
    <w:rsid w:val="001A7598"/>
    <w:rsid w:val="001A75C2"/>
    <w:rsid w:val="001A7617"/>
    <w:rsid w:val="001A7A1A"/>
    <w:rsid w:val="001A7ADD"/>
    <w:rsid w:val="001A7BA1"/>
    <w:rsid w:val="001B0238"/>
    <w:rsid w:val="001B09ED"/>
    <w:rsid w:val="001B12F5"/>
    <w:rsid w:val="001B14AD"/>
    <w:rsid w:val="001B1603"/>
    <w:rsid w:val="001B174B"/>
    <w:rsid w:val="001B181E"/>
    <w:rsid w:val="001B1C2E"/>
    <w:rsid w:val="001B1EC4"/>
    <w:rsid w:val="001B1FBF"/>
    <w:rsid w:val="001B21A9"/>
    <w:rsid w:val="001B2489"/>
    <w:rsid w:val="001B2566"/>
    <w:rsid w:val="001B26C7"/>
    <w:rsid w:val="001B28A3"/>
    <w:rsid w:val="001B2953"/>
    <w:rsid w:val="001B2ACF"/>
    <w:rsid w:val="001B2AD3"/>
    <w:rsid w:val="001B3085"/>
    <w:rsid w:val="001B36B2"/>
    <w:rsid w:val="001B3EBA"/>
    <w:rsid w:val="001B413A"/>
    <w:rsid w:val="001B42D7"/>
    <w:rsid w:val="001B435C"/>
    <w:rsid w:val="001B4678"/>
    <w:rsid w:val="001B4762"/>
    <w:rsid w:val="001B4FF3"/>
    <w:rsid w:val="001B53E2"/>
    <w:rsid w:val="001B5415"/>
    <w:rsid w:val="001B556F"/>
    <w:rsid w:val="001B58BD"/>
    <w:rsid w:val="001B5923"/>
    <w:rsid w:val="001B5C50"/>
    <w:rsid w:val="001B5D52"/>
    <w:rsid w:val="001B621E"/>
    <w:rsid w:val="001B6680"/>
    <w:rsid w:val="001B6745"/>
    <w:rsid w:val="001B676B"/>
    <w:rsid w:val="001B744E"/>
    <w:rsid w:val="001B78E6"/>
    <w:rsid w:val="001B7F5D"/>
    <w:rsid w:val="001C00DF"/>
    <w:rsid w:val="001C04F0"/>
    <w:rsid w:val="001C05CD"/>
    <w:rsid w:val="001C0E72"/>
    <w:rsid w:val="001C1755"/>
    <w:rsid w:val="001C196E"/>
    <w:rsid w:val="001C1BE0"/>
    <w:rsid w:val="001C1D4A"/>
    <w:rsid w:val="001C2367"/>
    <w:rsid w:val="001C2570"/>
    <w:rsid w:val="001C2BEF"/>
    <w:rsid w:val="001C2ED3"/>
    <w:rsid w:val="001C3364"/>
    <w:rsid w:val="001C3550"/>
    <w:rsid w:val="001C41EC"/>
    <w:rsid w:val="001C4876"/>
    <w:rsid w:val="001C4ECE"/>
    <w:rsid w:val="001C50A7"/>
    <w:rsid w:val="001C5302"/>
    <w:rsid w:val="001C53BD"/>
    <w:rsid w:val="001C5582"/>
    <w:rsid w:val="001C5A5A"/>
    <w:rsid w:val="001C5B0B"/>
    <w:rsid w:val="001C5C7A"/>
    <w:rsid w:val="001C60CA"/>
    <w:rsid w:val="001C61BB"/>
    <w:rsid w:val="001C6BB9"/>
    <w:rsid w:val="001C6DE1"/>
    <w:rsid w:val="001C7088"/>
    <w:rsid w:val="001C7293"/>
    <w:rsid w:val="001C734F"/>
    <w:rsid w:val="001C7600"/>
    <w:rsid w:val="001C776B"/>
    <w:rsid w:val="001D01A9"/>
    <w:rsid w:val="001D0336"/>
    <w:rsid w:val="001D044C"/>
    <w:rsid w:val="001D067E"/>
    <w:rsid w:val="001D06D2"/>
    <w:rsid w:val="001D0FDA"/>
    <w:rsid w:val="001D12BD"/>
    <w:rsid w:val="001D159B"/>
    <w:rsid w:val="001D1A45"/>
    <w:rsid w:val="001D1D07"/>
    <w:rsid w:val="001D1DCA"/>
    <w:rsid w:val="001D1E64"/>
    <w:rsid w:val="001D2239"/>
    <w:rsid w:val="001D282B"/>
    <w:rsid w:val="001D28CC"/>
    <w:rsid w:val="001D2930"/>
    <w:rsid w:val="001D3099"/>
    <w:rsid w:val="001D30C8"/>
    <w:rsid w:val="001D35EE"/>
    <w:rsid w:val="001D38CA"/>
    <w:rsid w:val="001D3AE2"/>
    <w:rsid w:val="001D41E0"/>
    <w:rsid w:val="001D4208"/>
    <w:rsid w:val="001D4CCD"/>
    <w:rsid w:val="001D52A3"/>
    <w:rsid w:val="001D57F2"/>
    <w:rsid w:val="001D5A44"/>
    <w:rsid w:val="001D5B61"/>
    <w:rsid w:val="001D5D30"/>
    <w:rsid w:val="001D606D"/>
    <w:rsid w:val="001D632C"/>
    <w:rsid w:val="001D6350"/>
    <w:rsid w:val="001D6462"/>
    <w:rsid w:val="001D69B4"/>
    <w:rsid w:val="001D6C48"/>
    <w:rsid w:val="001D7065"/>
    <w:rsid w:val="001D73E6"/>
    <w:rsid w:val="001D76B1"/>
    <w:rsid w:val="001D7C26"/>
    <w:rsid w:val="001E05B7"/>
    <w:rsid w:val="001E1AD5"/>
    <w:rsid w:val="001E24AA"/>
    <w:rsid w:val="001E26E6"/>
    <w:rsid w:val="001E2F79"/>
    <w:rsid w:val="001E3272"/>
    <w:rsid w:val="001E3552"/>
    <w:rsid w:val="001E39E4"/>
    <w:rsid w:val="001E3E9B"/>
    <w:rsid w:val="001E4030"/>
    <w:rsid w:val="001E4CD0"/>
    <w:rsid w:val="001E4DA3"/>
    <w:rsid w:val="001E4ECA"/>
    <w:rsid w:val="001E514D"/>
    <w:rsid w:val="001E5211"/>
    <w:rsid w:val="001E56A1"/>
    <w:rsid w:val="001E59C8"/>
    <w:rsid w:val="001E5CE9"/>
    <w:rsid w:val="001E6564"/>
    <w:rsid w:val="001E67C8"/>
    <w:rsid w:val="001E6F4F"/>
    <w:rsid w:val="001E7099"/>
    <w:rsid w:val="001E70D1"/>
    <w:rsid w:val="001E7210"/>
    <w:rsid w:val="001E7438"/>
    <w:rsid w:val="001E7B1A"/>
    <w:rsid w:val="001E7E67"/>
    <w:rsid w:val="001F0059"/>
    <w:rsid w:val="001F02F6"/>
    <w:rsid w:val="001F07C2"/>
    <w:rsid w:val="001F08D0"/>
    <w:rsid w:val="001F08E0"/>
    <w:rsid w:val="001F09DE"/>
    <w:rsid w:val="001F0FDC"/>
    <w:rsid w:val="001F15AE"/>
    <w:rsid w:val="001F18FD"/>
    <w:rsid w:val="001F1C45"/>
    <w:rsid w:val="001F21B9"/>
    <w:rsid w:val="001F2485"/>
    <w:rsid w:val="001F2567"/>
    <w:rsid w:val="001F2576"/>
    <w:rsid w:val="001F2A91"/>
    <w:rsid w:val="001F2CA4"/>
    <w:rsid w:val="001F2DFB"/>
    <w:rsid w:val="001F3154"/>
    <w:rsid w:val="001F31DD"/>
    <w:rsid w:val="001F3EB9"/>
    <w:rsid w:val="001F3F6F"/>
    <w:rsid w:val="001F419C"/>
    <w:rsid w:val="001F49CA"/>
    <w:rsid w:val="001F4FE7"/>
    <w:rsid w:val="001F516E"/>
    <w:rsid w:val="001F539F"/>
    <w:rsid w:val="001F5814"/>
    <w:rsid w:val="001F5B3C"/>
    <w:rsid w:val="001F5BCA"/>
    <w:rsid w:val="001F6894"/>
    <w:rsid w:val="001F6DE6"/>
    <w:rsid w:val="001F6F5A"/>
    <w:rsid w:val="001F70EA"/>
    <w:rsid w:val="001F7DF3"/>
    <w:rsid w:val="001F7E9E"/>
    <w:rsid w:val="001F7F0A"/>
    <w:rsid w:val="00200099"/>
    <w:rsid w:val="002003A5"/>
    <w:rsid w:val="0020063C"/>
    <w:rsid w:val="002008B5"/>
    <w:rsid w:val="00200A59"/>
    <w:rsid w:val="002011DB"/>
    <w:rsid w:val="00201789"/>
    <w:rsid w:val="00201886"/>
    <w:rsid w:val="002018B4"/>
    <w:rsid w:val="00201B87"/>
    <w:rsid w:val="00201BE0"/>
    <w:rsid w:val="00201C13"/>
    <w:rsid w:val="00201E5E"/>
    <w:rsid w:val="00202D7A"/>
    <w:rsid w:val="0020321C"/>
    <w:rsid w:val="00203777"/>
    <w:rsid w:val="002037F3"/>
    <w:rsid w:val="00203859"/>
    <w:rsid w:val="00203A87"/>
    <w:rsid w:val="00203C6E"/>
    <w:rsid w:val="00203CE7"/>
    <w:rsid w:val="00203E18"/>
    <w:rsid w:val="00203F13"/>
    <w:rsid w:val="0020430C"/>
    <w:rsid w:val="0020465B"/>
    <w:rsid w:val="002049B7"/>
    <w:rsid w:val="00204F71"/>
    <w:rsid w:val="002054FB"/>
    <w:rsid w:val="00205532"/>
    <w:rsid w:val="00205CB2"/>
    <w:rsid w:val="00206016"/>
    <w:rsid w:val="00206461"/>
    <w:rsid w:val="00206743"/>
    <w:rsid w:val="00206901"/>
    <w:rsid w:val="00206B26"/>
    <w:rsid w:val="00207360"/>
    <w:rsid w:val="0020762C"/>
    <w:rsid w:val="00207B67"/>
    <w:rsid w:val="0021058B"/>
    <w:rsid w:val="00210A3D"/>
    <w:rsid w:val="00210FB5"/>
    <w:rsid w:val="00210FD2"/>
    <w:rsid w:val="002110E8"/>
    <w:rsid w:val="00212261"/>
    <w:rsid w:val="0021246E"/>
    <w:rsid w:val="00212B63"/>
    <w:rsid w:val="00212D2F"/>
    <w:rsid w:val="00213289"/>
    <w:rsid w:val="002133F3"/>
    <w:rsid w:val="002137C5"/>
    <w:rsid w:val="00213CB7"/>
    <w:rsid w:val="00213E11"/>
    <w:rsid w:val="002147FF"/>
    <w:rsid w:val="0021494F"/>
    <w:rsid w:val="00214A30"/>
    <w:rsid w:val="00214D47"/>
    <w:rsid w:val="00214E04"/>
    <w:rsid w:val="00215160"/>
    <w:rsid w:val="0021519E"/>
    <w:rsid w:val="00215201"/>
    <w:rsid w:val="002155DB"/>
    <w:rsid w:val="00215631"/>
    <w:rsid w:val="00215D5D"/>
    <w:rsid w:val="00215D9E"/>
    <w:rsid w:val="00216470"/>
    <w:rsid w:val="00216893"/>
    <w:rsid w:val="002169B7"/>
    <w:rsid w:val="00216A2B"/>
    <w:rsid w:val="00216B3E"/>
    <w:rsid w:val="00216D65"/>
    <w:rsid w:val="002170FF"/>
    <w:rsid w:val="00217D57"/>
    <w:rsid w:val="002201B0"/>
    <w:rsid w:val="00220990"/>
    <w:rsid w:val="002211A4"/>
    <w:rsid w:val="00221960"/>
    <w:rsid w:val="00222736"/>
    <w:rsid w:val="00222782"/>
    <w:rsid w:val="002227D7"/>
    <w:rsid w:val="00222A06"/>
    <w:rsid w:val="00222A6E"/>
    <w:rsid w:val="00223228"/>
    <w:rsid w:val="00223288"/>
    <w:rsid w:val="00223426"/>
    <w:rsid w:val="0022392F"/>
    <w:rsid w:val="002239B6"/>
    <w:rsid w:val="00223C5B"/>
    <w:rsid w:val="00223DA3"/>
    <w:rsid w:val="00223EBC"/>
    <w:rsid w:val="00224675"/>
    <w:rsid w:val="0022483C"/>
    <w:rsid w:val="00224852"/>
    <w:rsid w:val="00224AA9"/>
    <w:rsid w:val="002251E0"/>
    <w:rsid w:val="002252C8"/>
    <w:rsid w:val="00225397"/>
    <w:rsid w:val="00225B19"/>
    <w:rsid w:val="00225B7F"/>
    <w:rsid w:val="0022604D"/>
    <w:rsid w:val="0022689C"/>
    <w:rsid w:val="00226947"/>
    <w:rsid w:val="00226C19"/>
    <w:rsid w:val="0022755E"/>
    <w:rsid w:val="002275FE"/>
    <w:rsid w:val="00227F82"/>
    <w:rsid w:val="0023060B"/>
    <w:rsid w:val="0023101E"/>
    <w:rsid w:val="00231024"/>
    <w:rsid w:val="002319B5"/>
    <w:rsid w:val="00231F8C"/>
    <w:rsid w:val="002324B5"/>
    <w:rsid w:val="002327AA"/>
    <w:rsid w:val="002329A3"/>
    <w:rsid w:val="00232D66"/>
    <w:rsid w:val="002330C0"/>
    <w:rsid w:val="002332D6"/>
    <w:rsid w:val="00233614"/>
    <w:rsid w:val="00233708"/>
    <w:rsid w:val="0023567C"/>
    <w:rsid w:val="002356E7"/>
    <w:rsid w:val="002359A0"/>
    <w:rsid w:val="0023612A"/>
    <w:rsid w:val="002361F8"/>
    <w:rsid w:val="00236801"/>
    <w:rsid w:val="002369E8"/>
    <w:rsid w:val="00236A4B"/>
    <w:rsid w:val="0024029A"/>
    <w:rsid w:val="002403EA"/>
    <w:rsid w:val="00240A6C"/>
    <w:rsid w:val="00240AA5"/>
    <w:rsid w:val="00240E5C"/>
    <w:rsid w:val="00240FFE"/>
    <w:rsid w:val="00241160"/>
    <w:rsid w:val="00241649"/>
    <w:rsid w:val="002419A8"/>
    <w:rsid w:val="00241B1F"/>
    <w:rsid w:val="00241BB4"/>
    <w:rsid w:val="00241C07"/>
    <w:rsid w:val="00241E39"/>
    <w:rsid w:val="002420CD"/>
    <w:rsid w:val="002427D4"/>
    <w:rsid w:val="002427E6"/>
    <w:rsid w:val="00242E6B"/>
    <w:rsid w:val="00243176"/>
    <w:rsid w:val="00243284"/>
    <w:rsid w:val="00243313"/>
    <w:rsid w:val="002437A1"/>
    <w:rsid w:val="002437FD"/>
    <w:rsid w:val="0024397E"/>
    <w:rsid w:val="002439DC"/>
    <w:rsid w:val="00243E0F"/>
    <w:rsid w:val="00243E90"/>
    <w:rsid w:val="0024496B"/>
    <w:rsid w:val="00244BF9"/>
    <w:rsid w:val="00244C40"/>
    <w:rsid w:val="0024504E"/>
    <w:rsid w:val="002450F9"/>
    <w:rsid w:val="00245593"/>
    <w:rsid w:val="00245A34"/>
    <w:rsid w:val="002468B8"/>
    <w:rsid w:val="00246BC1"/>
    <w:rsid w:val="00246E21"/>
    <w:rsid w:val="00247723"/>
    <w:rsid w:val="002477F5"/>
    <w:rsid w:val="00247877"/>
    <w:rsid w:val="00247CFB"/>
    <w:rsid w:val="00250091"/>
    <w:rsid w:val="002500F7"/>
    <w:rsid w:val="00250792"/>
    <w:rsid w:val="00250CAA"/>
    <w:rsid w:val="00250EF8"/>
    <w:rsid w:val="00251199"/>
    <w:rsid w:val="0025136B"/>
    <w:rsid w:val="00251749"/>
    <w:rsid w:val="00251C05"/>
    <w:rsid w:val="00251E33"/>
    <w:rsid w:val="00251FE8"/>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1E"/>
    <w:rsid w:val="00256A2A"/>
    <w:rsid w:val="00256EE5"/>
    <w:rsid w:val="00256F9C"/>
    <w:rsid w:val="00256FAB"/>
    <w:rsid w:val="0025798D"/>
    <w:rsid w:val="00257CE6"/>
    <w:rsid w:val="00257D0A"/>
    <w:rsid w:val="00260AF3"/>
    <w:rsid w:val="00261199"/>
    <w:rsid w:val="00261A89"/>
    <w:rsid w:val="002624BC"/>
    <w:rsid w:val="00263D22"/>
    <w:rsid w:val="00264270"/>
    <w:rsid w:val="0026465E"/>
    <w:rsid w:val="00264C84"/>
    <w:rsid w:val="00264E53"/>
    <w:rsid w:val="0026518C"/>
    <w:rsid w:val="002651A6"/>
    <w:rsid w:val="00265D33"/>
    <w:rsid w:val="00265F71"/>
    <w:rsid w:val="0026670E"/>
    <w:rsid w:val="00266768"/>
    <w:rsid w:val="002667E3"/>
    <w:rsid w:val="00266A39"/>
    <w:rsid w:val="00266B8B"/>
    <w:rsid w:val="00266CBB"/>
    <w:rsid w:val="00267995"/>
    <w:rsid w:val="00270123"/>
    <w:rsid w:val="00270A21"/>
    <w:rsid w:val="00270CB2"/>
    <w:rsid w:val="00270E4F"/>
    <w:rsid w:val="00270F6C"/>
    <w:rsid w:val="00271A6E"/>
    <w:rsid w:val="00271C8E"/>
    <w:rsid w:val="002721F1"/>
    <w:rsid w:val="00272536"/>
    <w:rsid w:val="0027263C"/>
    <w:rsid w:val="00272A20"/>
    <w:rsid w:val="00272D47"/>
    <w:rsid w:val="002735F7"/>
    <w:rsid w:val="002738A4"/>
    <w:rsid w:val="00273914"/>
    <w:rsid w:val="0027399A"/>
    <w:rsid w:val="00273AF7"/>
    <w:rsid w:val="00274373"/>
    <w:rsid w:val="00274AAE"/>
    <w:rsid w:val="00274BCB"/>
    <w:rsid w:val="00274BE0"/>
    <w:rsid w:val="00274D3A"/>
    <w:rsid w:val="00275255"/>
    <w:rsid w:val="00275351"/>
    <w:rsid w:val="002754AB"/>
    <w:rsid w:val="002761E3"/>
    <w:rsid w:val="002768DF"/>
    <w:rsid w:val="00276916"/>
    <w:rsid w:val="00276B89"/>
    <w:rsid w:val="00276C91"/>
    <w:rsid w:val="00277017"/>
    <w:rsid w:val="002770D0"/>
    <w:rsid w:val="0027727C"/>
    <w:rsid w:val="0027787F"/>
    <w:rsid w:val="00277A6C"/>
    <w:rsid w:val="00277E33"/>
    <w:rsid w:val="0028077E"/>
    <w:rsid w:val="0028080B"/>
    <w:rsid w:val="00280A5C"/>
    <w:rsid w:val="00280C7A"/>
    <w:rsid w:val="00280D63"/>
    <w:rsid w:val="002816C6"/>
    <w:rsid w:val="00282302"/>
    <w:rsid w:val="002823A6"/>
    <w:rsid w:val="002823CC"/>
    <w:rsid w:val="002824D9"/>
    <w:rsid w:val="00282651"/>
    <w:rsid w:val="002829CE"/>
    <w:rsid w:val="00282B0B"/>
    <w:rsid w:val="0028316F"/>
    <w:rsid w:val="0028333B"/>
    <w:rsid w:val="0028364C"/>
    <w:rsid w:val="00283674"/>
    <w:rsid w:val="00283AD7"/>
    <w:rsid w:val="00284002"/>
    <w:rsid w:val="00284274"/>
    <w:rsid w:val="0028436E"/>
    <w:rsid w:val="00284450"/>
    <w:rsid w:val="002844B3"/>
    <w:rsid w:val="002846E4"/>
    <w:rsid w:val="00284743"/>
    <w:rsid w:val="00284BA2"/>
    <w:rsid w:val="00284DD6"/>
    <w:rsid w:val="002851FE"/>
    <w:rsid w:val="00285320"/>
    <w:rsid w:val="002853D9"/>
    <w:rsid w:val="002859AD"/>
    <w:rsid w:val="00285A47"/>
    <w:rsid w:val="00285EC2"/>
    <w:rsid w:val="0028634B"/>
    <w:rsid w:val="002866BC"/>
    <w:rsid w:val="00286AB1"/>
    <w:rsid w:val="00286F65"/>
    <w:rsid w:val="00287B12"/>
    <w:rsid w:val="00290AD9"/>
    <w:rsid w:val="00290AF1"/>
    <w:rsid w:val="00290C26"/>
    <w:rsid w:val="00291B17"/>
    <w:rsid w:val="00291C26"/>
    <w:rsid w:val="00291E72"/>
    <w:rsid w:val="00292339"/>
    <w:rsid w:val="00292E04"/>
    <w:rsid w:val="00293187"/>
    <w:rsid w:val="0029351C"/>
    <w:rsid w:val="00293541"/>
    <w:rsid w:val="00293871"/>
    <w:rsid w:val="00293B0E"/>
    <w:rsid w:val="00294CEF"/>
    <w:rsid w:val="00294E06"/>
    <w:rsid w:val="002958CF"/>
    <w:rsid w:val="00295B5D"/>
    <w:rsid w:val="00295BF6"/>
    <w:rsid w:val="00295D28"/>
    <w:rsid w:val="00296221"/>
    <w:rsid w:val="00296DA3"/>
    <w:rsid w:val="00297526"/>
    <w:rsid w:val="00297C90"/>
    <w:rsid w:val="00297F41"/>
    <w:rsid w:val="00297FB3"/>
    <w:rsid w:val="002A001B"/>
    <w:rsid w:val="002A00AB"/>
    <w:rsid w:val="002A023D"/>
    <w:rsid w:val="002A0297"/>
    <w:rsid w:val="002A047A"/>
    <w:rsid w:val="002A07E9"/>
    <w:rsid w:val="002A1C98"/>
    <w:rsid w:val="002A2739"/>
    <w:rsid w:val="002A2DA0"/>
    <w:rsid w:val="002A34CE"/>
    <w:rsid w:val="002A3673"/>
    <w:rsid w:val="002A3674"/>
    <w:rsid w:val="002A3775"/>
    <w:rsid w:val="002A381D"/>
    <w:rsid w:val="002A38C5"/>
    <w:rsid w:val="002A3DDF"/>
    <w:rsid w:val="002A4385"/>
    <w:rsid w:val="002A4681"/>
    <w:rsid w:val="002A4D82"/>
    <w:rsid w:val="002A4E22"/>
    <w:rsid w:val="002A4FA7"/>
    <w:rsid w:val="002A54B6"/>
    <w:rsid w:val="002A5723"/>
    <w:rsid w:val="002A57CD"/>
    <w:rsid w:val="002A5B9C"/>
    <w:rsid w:val="002A679C"/>
    <w:rsid w:val="002A7667"/>
    <w:rsid w:val="002A766F"/>
    <w:rsid w:val="002A7901"/>
    <w:rsid w:val="002A7D88"/>
    <w:rsid w:val="002B0068"/>
    <w:rsid w:val="002B02DE"/>
    <w:rsid w:val="002B030A"/>
    <w:rsid w:val="002B0CC5"/>
    <w:rsid w:val="002B1046"/>
    <w:rsid w:val="002B1119"/>
    <w:rsid w:val="002B132D"/>
    <w:rsid w:val="002B1376"/>
    <w:rsid w:val="002B1394"/>
    <w:rsid w:val="002B19AF"/>
    <w:rsid w:val="002B1E66"/>
    <w:rsid w:val="002B240B"/>
    <w:rsid w:val="002B2603"/>
    <w:rsid w:val="002B27E8"/>
    <w:rsid w:val="002B2CC7"/>
    <w:rsid w:val="002B2E85"/>
    <w:rsid w:val="002B3447"/>
    <w:rsid w:val="002B3627"/>
    <w:rsid w:val="002B3BCE"/>
    <w:rsid w:val="002B43C4"/>
    <w:rsid w:val="002B4F07"/>
    <w:rsid w:val="002B5479"/>
    <w:rsid w:val="002B58EF"/>
    <w:rsid w:val="002B5DBC"/>
    <w:rsid w:val="002B646E"/>
    <w:rsid w:val="002B684F"/>
    <w:rsid w:val="002B6C4E"/>
    <w:rsid w:val="002B6CC8"/>
    <w:rsid w:val="002B6D24"/>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2E1F"/>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158"/>
    <w:rsid w:val="002C7688"/>
    <w:rsid w:val="002C7858"/>
    <w:rsid w:val="002C7BFA"/>
    <w:rsid w:val="002C7C47"/>
    <w:rsid w:val="002C7D56"/>
    <w:rsid w:val="002C7EC2"/>
    <w:rsid w:val="002C7FDC"/>
    <w:rsid w:val="002D0251"/>
    <w:rsid w:val="002D13D1"/>
    <w:rsid w:val="002D1824"/>
    <w:rsid w:val="002D1B14"/>
    <w:rsid w:val="002D1F01"/>
    <w:rsid w:val="002D228F"/>
    <w:rsid w:val="002D2448"/>
    <w:rsid w:val="002D2A35"/>
    <w:rsid w:val="002D30D5"/>
    <w:rsid w:val="002D341F"/>
    <w:rsid w:val="002D3A00"/>
    <w:rsid w:val="002D3DFB"/>
    <w:rsid w:val="002D49C9"/>
    <w:rsid w:val="002D55A6"/>
    <w:rsid w:val="002D5760"/>
    <w:rsid w:val="002D7091"/>
    <w:rsid w:val="002D7262"/>
    <w:rsid w:val="002D7266"/>
    <w:rsid w:val="002D72B9"/>
    <w:rsid w:val="002D7954"/>
    <w:rsid w:val="002E000E"/>
    <w:rsid w:val="002E0464"/>
    <w:rsid w:val="002E096B"/>
    <w:rsid w:val="002E10D9"/>
    <w:rsid w:val="002E12AC"/>
    <w:rsid w:val="002E135D"/>
    <w:rsid w:val="002E154D"/>
    <w:rsid w:val="002E15A6"/>
    <w:rsid w:val="002E1641"/>
    <w:rsid w:val="002E164C"/>
    <w:rsid w:val="002E1729"/>
    <w:rsid w:val="002E18AD"/>
    <w:rsid w:val="002E1BBD"/>
    <w:rsid w:val="002E1D3A"/>
    <w:rsid w:val="002E21B5"/>
    <w:rsid w:val="002E24F6"/>
    <w:rsid w:val="002E2C0E"/>
    <w:rsid w:val="002E2DB9"/>
    <w:rsid w:val="002E3072"/>
    <w:rsid w:val="002E3127"/>
    <w:rsid w:val="002E3425"/>
    <w:rsid w:val="002E3565"/>
    <w:rsid w:val="002E37BD"/>
    <w:rsid w:val="002E3E11"/>
    <w:rsid w:val="002E4263"/>
    <w:rsid w:val="002E44B1"/>
    <w:rsid w:val="002E46E5"/>
    <w:rsid w:val="002E4B52"/>
    <w:rsid w:val="002E4E97"/>
    <w:rsid w:val="002E4FCC"/>
    <w:rsid w:val="002E5878"/>
    <w:rsid w:val="002E593D"/>
    <w:rsid w:val="002E5B21"/>
    <w:rsid w:val="002E5E02"/>
    <w:rsid w:val="002E68CC"/>
    <w:rsid w:val="002E6A5E"/>
    <w:rsid w:val="002E6BE6"/>
    <w:rsid w:val="002E6F59"/>
    <w:rsid w:val="002E72EB"/>
    <w:rsid w:val="002E746C"/>
    <w:rsid w:val="002E7824"/>
    <w:rsid w:val="002E7B04"/>
    <w:rsid w:val="002E7C34"/>
    <w:rsid w:val="002F0541"/>
    <w:rsid w:val="002F05B0"/>
    <w:rsid w:val="002F076A"/>
    <w:rsid w:val="002F095A"/>
    <w:rsid w:val="002F0A0E"/>
    <w:rsid w:val="002F13F5"/>
    <w:rsid w:val="002F159B"/>
    <w:rsid w:val="002F1646"/>
    <w:rsid w:val="002F1CA2"/>
    <w:rsid w:val="002F1CFC"/>
    <w:rsid w:val="002F1F90"/>
    <w:rsid w:val="002F317C"/>
    <w:rsid w:val="002F3235"/>
    <w:rsid w:val="002F36C0"/>
    <w:rsid w:val="002F3EEA"/>
    <w:rsid w:val="002F42BE"/>
    <w:rsid w:val="002F459E"/>
    <w:rsid w:val="002F46CC"/>
    <w:rsid w:val="002F480E"/>
    <w:rsid w:val="002F487C"/>
    <w:rsid w:val="002F4A9D"/>
    <w:rsid w:val="002F4EA1"/>
    <w:rsid w:val="002F52B9"/>
    <w:rsid w:val="002F56BA"/>
    <w:rsid w:val="002F57C3"/>
    <w:rsid w:val="002F645C"/>
    <w:rsid w:val="002F655B"/>
    <w:rsid w:val="002F695F"/>
    <w:rsid w:val="002F6D09"/>
    <w:rsid w:val="002F6F7B"/>
    <w:rsid w:val="002F749A"/>
    <w:rsid w:val="002F787E"/>
    <w:rsid w:val="002F7E43"/>
    <w:rsid w:val="00300065"/>
    <w:rsid w:val="003003D6"/>
    <w:rsid w:val="00300440"/>
    <w:rsid w:val="0030084A"/>
    <w:rsid w:val="00300D30"/>
    <w:rsid w:val="00300F5E"/>
    <w:rsid w:val="003016DF"/>
    <w:rsid w:val="003019C7"/>
    <w:rsid w:val="0030207B"/>
    <w:rsid w:val="00302472"/>
    <w:rsid w:val="00302619"/>
    <w:rsid w:val="003029BB"/>
    <w:rsid w:val="00302F0A"/>
    <w:rsid w:val="00303958"/>
    <w:rsid w:val="00303B10"/>
    <w:rsid w:val="00303D74"/>
    <w:rsid w:val="00303F16"/>
    <w:rsid w:val="00303FA0"/>
    <w:rsid w:val="00304045"/>
    <w:rsid w:val="003040CA"/>
    <w:rsid w:val="0030451B"/>
    <w:rsid w:val="00304552"/>
    <w:rsid w:val="00304A9E"/>
    <w:rsid w:val="00304C2B"/>
    <w:rsid w:val="00304C7B"/>
    <w:rsid w:val="00304E54"/>
    <w:rsid w:val="003053EA"/>
    <w:rsid w:val="00305604"/>
    <w:rsid w:val="00305A13"/>
    <w:rsid w:val="00305AAA"/>
    <w:rsid w:val="00305F23"/>
    <w:rsid w:val="00305F46"/>
    <w:rsid w:val="00306192"/>
    <w:rsid w:val="003066B3"/>
    <w:rsid w:val="00306A4C"/>
    <w:rsid w:val="00306DDE"/>
    <w:rsid w:val="0030763F"/>
    <w:rsid w:val="00307B80"/>
    <w:rsid w:val="00307CE8"/>
    <w:rsid w:val="00307CEA"/>
    <w:rsid w:val="0031009A"/>
    <w:rsid w:val="003102D1"/>
    <w:rsid w:val="00310806"/>
    <w:rsid w:val="00310B98"/>
    <w:rsid w:val="00310BF3"/>
    <w:rsid w:val="00310E41"/>
    <w:rsid w:val="00310EAA"/>
    <w:rsid w:val="003115E3"/>
    <w:rsid w:val="003117EA"/>
    <w:rsid w:val="0031180C"/>
    <w:rsid w:val="00311FA9"/>
    <w:rsid w:val="003130BF"/>
    <w:rsid w:val="003131A4"/>
    <w:rsid w:val="003131E3"/>
    <w:rsid w:val="003134C2"/>
    <w:rsid w:val="00313505"/>
    <w:rsid w:val="00313755"/>
    <w:rsid w:val="0031395F"/>
    <w:rsid w:val="00313A16"/>
    <w:rsid w:val="00313A54"/>
    <w:rsid w:val="00313E7E"/>
    <w:rsid w:val="00314059"/>
    <w:rsid w:val="0031484B"/>
    <w:rsid w:val="00314C4E"/>
    <w:rsid w:val="00315129"/>
    <w:rsid w:val="003152E6"/>
    <w:rsid w:val="00315635"/>
    <w:rsid w:val="003156E0"/>
    <w:rsid w:val="003158F0"/>
    <w:rsid w:val="00315DBD"/>
    <w:rsid w:val="00316011"/>
    <w:rsid w:val="00316234"/>
    <w:rsid w:val="003167FE"/>
    <w:rsid w:val="00316C93"/>
    <w:rsid w:val="00316D24"/>
    <w:rsid w:val="00317148"/>
    <w:rsid w:val="00317665"/>
    <w:rsid w:val="00317962"/>
    <w:rsid w:val="00317D28"/>
    <w:rsid w:val="00317D93"/>
    <w:rsid w:val="00317FC8"/>
    <w:rsid w:val="00320A37"/>
    <w:rsid w:val="00320E76"/>
    <w:rsid w:val="003210A6"/>
    <w:rsid w:val="003210EC"/>
    <w:rsid w:val="0032120A"/>
    <w:rsid w:val="00321CED"/>
    <w:rsid w:val="00322201"/>
    <w:rsid w:val="003222E4"/>
    <w:rsid w:val="003223ED"/>
    <w:rsid w:val="00322A53"/>
    <w:rsid w:val="00322E10"/>
    <w:rsid w:val="00322F3F"/>
    <w:rsid w:val="003234D5"/>
    <w:rsid w:val="0032352F"/>
    <w:rsid w:val="003236D8"/>
    <w:rsid w:val="00323B70"/>
    <w:rsid w:val="00323E67"/>
    <w:rsid w:val="00323E92"/>
    <w:rsid w:val="00324313"/>
    <w:rsid w:val="0032483B"/>
    <w:rsid w:val="00324EF3"/>
    <w:rsid w:val="003258B9"/>
    <w:rsid w:val="00325BB1"/>
    <w:rsid w:val="0032602B"/>
    <w:rsid w:val="0032628A"/>
    <w:rsid w:val="003268DC"/>
    <w:rsid w:val="00326B54"/>
    <w:rsid w:val="00326E56"/>
    <w:rsid w:val="00326E7F"/>
    <w:rsid w:val="00327A24"/>
    <w:rsid w:val="00327AD1"/>
    <w:rsid w:val="003303F8"/>
    <w:rsid w:val="00330C74"/>
    <w:rsid w:val="00330CF7"/>
    <w:rsid w:val="00330DBE"/>
    <w:rsid w:val="00331043"/>
    <w:rsid w:val="003314C7"/>
    <w:rsid w:val="00331520"/>
    <w:rsid w:val="00331AEB"/>
    <w:rsid w:val="00331D86"/>
    <w:rsid w:val="00331F92"/>
    <w:rsid w:val="0033253B"/>
    <w:rsid w:val="00332A3C"/>
    <w:rsid w:val="00332A88"/>
    <w:rsid w:val="00332ED9"/>
    <w:rsid w:val="00332F8F"/>
    <w:rsid w:val="00333027"/>
    <w:rsid w:val="00333446"/>
    <w:rsid w:val="00333587"/>
    <w:rsid w:val="00333908"/>
    <w:rsid w:val="00333C52"/>
    <w:rsid w:val="00333EFA"/>
    <w:rsid w:val="0033417F"/>
    <w:rsid w:val="003348EE"/>
    <w:rsid w:val="00334EDE"/>
    <w:rsid w:val="003350FE"/>
    <w:rsid w:val="0033514A"/>
    <w:rsid w:val="00335572"/>
    <w:rsid w:val="003357AC"/>
    <w:rsid w:val="0033586A"/>
    <w:rsid w:val="00335E4B"/>
    <w:rsid w:val="00335FFF"/>
    <w:rsid w:val="0033607E"/>
    <w:rsid w:val="0033609C"/>
    <w:rsid w:val="003361E9"/>
    <w:rsid w:val="00336344"/>
    <w:rsid w:val="00336676"/>
    <w:rsid w:val="0033683D"/>
    <w:rsid w:val="003368E6"/>
    <w:rsid w:val="00336D09"/>
    <w:rsid w:val="003400C3"/>
    <w:rsid w:val="00340162"/>
    <w:rsid w:val="003403A7"/>
    <w:rsid w:val="003403C1"/>
    <w:rsid w:val="003406C5"/>
    <w:rsid w:val="00340FF1"/>
    <w:rsid w:val="00341336"/>
    <w:rsid w:val="003414FD"/>
    <w:rsid w:val="003417AB"/>
    <w:rsid w:val="00341B94"/>
    <w:rsid w:val="00342031"/>
    <w:rsid w:val="003422AA"/>
    <w:rsid w:val="003422EA"/>
    <w:rsid w:val="00342319"/>
    <w:rsid w:val="0034238D"/>
    <w:rsid w:val="0034268D"/>
    <w:rsid w:val="00342FC3"/>
    <w:rsid w:val="00342FE6"/>
    <w:rsid w:val="00343616"/>
    <w:rsid w:val="00343903"/>
    <w:rsid w:val="00343BF8"/>
    <w:rsid w:val="00343EB8"/>
    <w:rsid w:val="0034465D"/>
    <w:rsid w:val="003447FE"/>
    <w:rsid w:val="0034504C"/>
    <w:rsid w:val="0034528E"/>
    <w:rsid w:val="00345A7B"/>
    <w:rsid w:val="00345C0B"/>
    <w:rsid w:val="00345E1B"/>
    <w:rsid w:val="003461DC"/>
    <w:rsid w:val="0034646A"/>
    <w:rsid w:val="003464D5"/>
    <w:rsid w:val="0034661F"/>
    <w:rsid w:val="00346D5B"/>
    <w:rsid w:val="00346F75"/>
    <w:rsid w:val="003470B8"/>
    <w:rsid w:val="0034778C"/>
    <w:rsid w:val="00347899"/>
    <w:rsid w:val="003502E9"/>
    <w:rsid w:val="0035032A"/>
    <w:rsid w:val="00350581"/>
    <w:rsid w:val="0035087E"/>
    <w:rsid w:val="00350C53"/>
    <w:rsid w:val="00350CBB"/>
    <w:rsid w:val="00350E71"/>
    <w:rsid w:val="00350E90"/>
    <w:rsid w:val="00351230"/>
    <w:rsid w:val="003516D7"/>
    <w:rsid w:val="003518D5"/>
    <w:rsid w:val="00351A4D"/>
    <w:rsid w:val="00351B9E"/>
    <w:rsid w:val="003526A5"/>
    <w:rsid w:val="003528E9"/>
    <w:rsid w:val="00353154"/>
    <w:rsid w:val="00353621"/>
    <w:rsid w:val="003537D5"/>
    <w:rsid w:val="00353964"/>
    <w:rsid w:val="00353A47"/>
    <w:rsid w:val="00353AAA"/>
    <w:rsid w:val="00353ADA"/>
    <w:rsid w:val="00353C7E"/>
    <w:rsid w:val="003543B8"/>
    <w:rsid w:val="00354780"/>
    <w:rsid w:val="0035485A"/>
    <w:rsid w:val="003548B9"/>
    <w:rsid w:val="00354AC5"/>
    <w:rsid w:val="0035587C"/>
    <w:rsid w:val="003558BC"/>
    <w:rsid w:val="00355DA9"/>
    <w:rsid w:val="003560C9"/>
    <w:rsid w:val="0035621E"/>
    <w:rsid w:val="00356758"/>
    <w:rsid w:val="003568E4"/>
    <w:rsid w:val="0035692B"/>
    <w:rsid w:val="00357CFB"/>
    <w:rsid w:val="00357D7F"/>
    <w:rsid w:val="003600DB"/>
    <w:rsid w:val="00361798"/>
    <w:rsid w:val="003618A2"/>
    <w:rsid w:val="00361B64"/>
    <w:rsid w:val="0036230F"/>
    <w:rsid w:val="003623B0"/>
    <w:rsid w:val="003627BD"/>
    <w:rsid w:val="00362AF7"/>
    <w:rsid w:val="00362BF0"/>
    <w:rsid w:val="00362D13"/>
    <w:rsid w:val="00362FAB"/>
    <w:rsid w:val="003630CB"/>
    <w:rsid w:val="0036385B"/>
    <w:rsid w:val="0036426F"/>
    <w:rsid w:val="003642D3"/>
    <w:rsid w:val="0036468A"/>
    <w:rsid w:val="00364735"/>
    <w:rsid w:val="00365101"/>
    <w:rsid w:val="00365D21"/>
    <w:rsid w:val="0036646E"/>
    <w:rsid w:val="00366478"/>
    <w:rsid w:val="00366684"/>
    <w:rsid w:val="00366AC3"/>
    <w:rsid w:val="00366C20"/>
    <w:rsid w:val="00367D2A"/>
    <w:rsid w:val="00367D37"/>
    <w:rsid w:val="00367E1D"/>
    <w:rsid w:val="00367E58"/>
    <w:rsid w:val="00370841"/>
    <w:rsid w:val="00370DEF"/>
    <w:rsid w:val="00371460"/>
    <w:rsid w:val="003715CE"/>
    <w:rsid w:val="003715FC"/>
    <w:rsid w:val="00371E17"/>
    <w:rsid w:val="00372431"/>
    <w:rsid w:val="00372549"/>
    <w:rsid w:val="003726AE"/>
    <w:rsid w:val="00372950"/>
    <w:rsid w:val="00372CBB"/>
    <w:rsid w:val="00372DDA"/>
    <w:rsid w:val="003733C1"/>
    <w:rsid w:val="00373744"/>
    <w:rsid w:val="003740A7"/>
    <w:rsid w:val="003742AB"/>
    <w:rsid w:val="00374521"/>
    <w:rsid w:val="00374C64"/>
    <w:rsid w:val="003753CE"/>
    <w:rsid w:val="0037551C"/>
    <w:rsid w:val="00375B8B"/>
    <w:rsid w:val="003764BC"/>
    <w:rsid w:val="00376619"/>
    <w:rsid w:val="00377034"/>
    <w:rsid w:val="0037749C"/>
    <w:rsid w:val="003777A3"/>
    <w:rsid w:val="003777A4"/>
    <w:rsid w:val="00377940"/>
    <w:rsid w:val="00377CF3"/>
    <w:rsid w:val="00380397"/>
    <w:rsid w:val="003803E1"/>
    <w:rsid w:val="0038090A"/>
    <w:rsid w:val="00380F85"/>
    <w:rsid w:val="00381539"/>
    <w:rsid w:val="00381B19"/>
    <w:rsid w:val="00381F48"/>
    <w:rsid w:val="003820AF"/>
    <w:rsid w:val="003826A1"/>
    <w:rsid w:val="003829E0"/>
    <w:rsid w:val="00382C8A"/>
    <w:rsid w:val="00382D18"/>
    <w:rsid w:val="00383296"/>
    <w:rsid w:val="003836D9"/>
    <w:rsid w:val="0038370F"/>
    <w:rsid w:val="003837C1"/>
    <w:rsid w:val="00383A87"/>
    <w:rsid w:val="00383B12"/>
    <w:rsid w:val="00383D81"/>
    <w:rsid w:val="00384103"/>
    <w:rsid w:val="00384133"/>
    <w:rsid w:val="00384A12"/>
    <w:rsid w:val="00385A19"/>
    <w:rsid w:val="00385ADB"/>
    <w:rsid w:val="003864C5"/>
    <w:rsid w:val="003867F7"/>
    <w:rsid w:val="00386A90"/>
    <w:rsid w:val="00386AD9"/>
    <w:rsid w:val="00386E14"/>
    <w:rsid w:val="00386E84"/>
    <w:rsid w:val="00387030"/>
    <w:rsid w:val="003873C4"/>
    <w:rsid w:val="003877C5"/>
    <w:rsid w:val="003879CE"/>
    <w:rsid w:val="00387A69"/>
    <w:rsid w:val="003903BA"/>
    <w:rsid w:val="003904B6"/>
    <w:rsid w:val="003908E2"/>
    <w:rsid w:val="00390C74"/>
    <w:rsid w:val="00390CCC"/>
    <w:rsid w:val="00390D7C"/>
    <w:rsid w:val="00391212"/>
    <w:rsid w:val="0039134A"/>
    <w:rsid w:val="003913DC"/>
    <w:rsid w:val="0039144E"/>
    <w:rsid w:val="0039170C"/>
    <w:rsid w:val="0039199F"/>
    <w:rsid w:val="00391A00"/>
    <w:rsid w:val="00391AB6"/>
    <w:rsid w:val="00391D51"/>
    <w:rsid w:val="00392072"/>
    <w:rsid w:val="0039282A"/>
    <w:rsid w:val="00392B21"/>
    <w:rsid w:val="00393440"/>
    <w:rsid w:val="003937C5"/>
    <w:rsid w:val="00393B9D"/>
    <w:rsid w:val="003943DF"/>
    <w:rsid w:val="00394A8D"/>
    <w:rsid w:val="00394E07"/>
    <w:rsid w:val="0039505C"/>
    <w:rsid w:val="00395556"/>
    <w:rsid w:val="00395D86"/>
    <w:rsid w:val="003960A2"/>
    <w:rsid w:val="00396184"/>
    <w:rsid w:val="003962F2"/>
    <w:rsid w:val="00396E7C"/>
    <w:rsid w:val="00396F87"/>
    <w:rsid w:val="003972AC"/>
    <w:rsid w:val="00397A76"/>
    <w:rsid w:val="00397DA8"/>
    <w:rsid w:val="003A0143"/>
    <w:rsid w:val="003A07B7"/>
    <w:rsid w:val="003A12D3"/>
    <w:rsid w:val="003A182D"/>
    <w:rsid w:val="003A19B7"/>
    <w:rsid w:val="003A1E6B"/>
    <w:rsid w:val="003A2E14"/>
    <w:rsid w:val="003A309A"/>
    <w:rsid w:val="003A3778"/>
    <w:rsid w:val="003A407A"/>
    <w:rsid w:val="003A4B02"/>
    <w:rsid w:val="003A4DED"/>
    <w:rsid w:val="003A504F"/>
    <w:rsid w:val="003A54A3"/>
    <w:rsid w:val="003A5B3E"/>
    <w:rsid w:val="003A5FA9"/>
    <w:rsid w:val="003A61BD"/>
    <w:rsid w:val="003A686F"/>
    <w:rsid w:val="003A68B0"/>
    <w:rsid w:val="003A69F8"/>
    <w:rsid w:val="003A6A5A"/>
    <w:rsid w:val="003A6F72"/>
    <w:rsid w:val="003A778F"/>
    <w:rsid w:val="003A7D92"/>
    <w:rsid w:val="003B006D"/>
    <w:rsid w:val="003B0411"/>
    <w:rsid w:val="003B083E"/>
    <w:rsid w:val="003B0AB0"/>
    <w:rsid w:val="003B0E52"/>
    <w:rsid w:val="003B103E"/>
    <w:rsid w:val="003B10D1"/>
    <w:rsid w:val="003B15EA"/>
    <w:rsid w:val="003B1869"/>
    <w:rsid w:val="003B1A4A"/>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25"/>
    <w:rsid w:val="003B5840"/>
    <w:rsid w:val="003B5AD5"/>
    <w:rsid w:val="003B5E45"/>
    <w:rsid w:val="003B63FD"/>
    <w:rsid w:val="003B64EB"/>
    <w:rsid w:val="003B67BD"/>
    <w:rsid w:val="003B6814"/>
    <w:rsid w:val="003B7459"/>
    <w:rsid w:val="003B790B"/>
    <w:rsid w:val="003B7C22"/>
    <w:rsid w:val="003C01C4"/>
    <w:rsid w:val="003C0478"/>
    <w:rsid w:val="003C05E5"/>
    <w:rsid w:val="003C0AC3"/>
    <w:rsid w:val="003C11E9"/>
    <w:rsid w:val="003C137F"/>
    <w:rsid w:val="003C13C3"/>
    <w:rsid w:val="003C14C5"/>
    <w:rsid w:val="003C15BD"/>
    <w:rsid w:val="003C17BA"/>
    <w:rsid w:val="003C19F6"/>
    <w:rsid w:val="003C21AB"/>
    <w:rsid w:val="003C237B"/>
    <w:rsid w:val="003C2556"/>
    <w:rsid w:val="003C2AA0"/>
    <w:rsid w:val="003C2B19"/>
    <w:rsid w:val="003C3376"/>
    <w:rsid w:val="003C3419"/>
    <w:rsid w:val="003C391E"/>
    <w:rsid w:val="003C39B2"/>
    <w:rsid w:val="003C3BA3"/>
    <w:rsid w:val="003C3C9D"/>
    <w:rsid w:val="003C3CA7"/>
    <w:rsid w:val="003C41B6"/>
    <w:rsid w:val="003C44FB"/>
    <w:rsid w:val="003C46AE"/>
    <w:rsid w:val="003C4B5F"/>
    <w:rsid w:val="003C526E"/>
    <w:rsid w:val="003C53C0"/>
    <w:rsid w:val="003C5B3D"/>
    <w:rsid w:val="003C5D7B"/>
    <w:rsid w:val="003C5D95"/>
    <w:rsid w:val="003C6133"/>
    <w:rsid w:val="003C6D98"/>
    <w:rsid w:val="003C6FD0"/>
    <w:rsid w:val="003C70FF"/>
    <w:rsid w:val="003C7AF5"/>
    <w:rsid w:val="003D03B6"/>
    <w:rsid w:val="003D0A8A"/>
    <w:rsid w:val="003D0B3A"/>
    <w:rsid w:val="003D0B72"/>
    <w:rsid w:val="003D0CD0"/>
    <w:rsid w:val="003D12E6"/>
    <w:rsid w:val="003D28BC"/>
    <w:rsid w:val="003D2976"/>
    <w:rsid w:val="003D2B67"/>
    <w:rsid w:val="003D2C05"/>
    <w:rsid w:val="003D2CB4"/>
    <w:rsid w:val="003D2E1C"/>
    <w:rsid w:val="003D30B1"/>
    <w:rsid w:val="003D3AB6"/>
    <w:rsid w:val="003D3D9E"/>
    <w:rsid w:val="003D3E19"/>
    <w:rsid w:val="003D448C"/>
    <w:rsid w:val="003D46AF"/>
    <w:rsid w:val="003D4A14"/>
    <w:rsid w:val="003D4D57"/>
    <w:rsid w:val="003D536A"/>
    <w:rsid w:val="003D539B"/>
    <w:rsid w:val="003D54A4"/>
    <w:rsid w:val="003D555E"/>
    <w:rsid w:val="003D55CD"/>
    <w:rsid w:val="003D56BB"/>
    <w:rsid w:val="003D57D6"/>
    <w:rsid w:val="003D57E4"/>
    <w:rsid w:val="003D5D0D"/>
    <w:rsid w:val="003D5D1C"/>
    <w:rsid w:val="003D5FAF"/>
    <w:rsid w:val="003D62E6"/>
    <w:rsid w:val="003D6403"/>
    <w:rsid w:val="003D6497"/>
    <w:rsid w:val="003D6AEC"/>
    <w:rsid w:val="003D728D"/>
    <w:rsid w:val="003D7443"/>
    <w:rsid w:val="003D76C7"/>
    <w:rsid w:val="003D7728"/>
    <w:rsid w:val="003D7D6E"/>
    <w:rsid w:val="003D7FE3"/>
    <w:rsid w:val="003E047B"/>
    <w:rsid w:val="003E0819"/>
    <w:rsid w:val="003E0F59"/>
    <w:rsid w:val="003E118B"/>
    <w:rsid w:val="003E159D"/>
    <w:rsid w:val="003E160A"/>
    <w:rsid w:val="003E1A13"/>
    <w:rsid w:val="003E1C91"/>
    <w:rsid w:val="003E1E57"/>
    <w:rsid w:val="003E21AE"/>
    <w:rsid w:val="003E2505"/>
    <w:rsid w:val="003E27C0"/>
    <w:rsid w:val="003E305F"/>
    <w:rsid w:val="003E3607"/>
    <w:rsid w:val="003E38E2"/>
    <w:rsid w:val="003E3D7B"/>
    <w:rsid w:val="003E49AC"/>
    <w:rsid w:val="003E4A9C"/>
    <w:rsid w:val="003E4F6D"/>
    <w:rsid w:val="003E4FA0"/>
    <w:rsid w:val="003E5401"/>
    <w:rsid w:val="003E64AB"/>
    <w:rsid w:val="003E673A"/>
    <w:rsid w:val="003E6911"/>
    <w:rsid w:val="003E721C"/>
    <w:rsid w:val="003E76ED"/>
    <w:rsid w:val="003E779A"/>
    <w:rsid w:val="003E7AB8"/>
    <w:rsid w:val="003E7C4C"/>
    <w:rsid w:val="003E7F6B"/>
    <w:rsid w:val="003E7FF0"/>
    <w:rsid w:val="003F0113"/>
    <w:rsid w:val="003F03C8"/>
    <w:rsid w:val="003F0452"/>
    <w:rsid w:val="003F0A5C"/>
    <w:rsid w:val="003F0A67"/>
    <w:rsid w:val="003F1056"/>
    <w:rsid w:val="003F1485"/>
    <w:rsid w:val="003F15FE"/>
    <w:rsid w:val="003F21ED"/>
    <w:rsid w:val="003F2650"/>
    <w:rsid w:val="003F2B3E"/>
    <w:rsid w:val="003F34B8"/>
    <w:rsid w:val="003F3A03"/>
    <w:rsid w:val="003F3FFD"/>
    <w:rsid w:val="003F4935"/>
    <w:rsid w:val="003F5141"/>
    <w:rsid w:val="003F54BD"/>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595"/>
    <w:rsid w:val="0040571A"/>
    <w:rsid w:val="0040578D"/>
    <w:rsid w:val="0040591E"/>
    <w:rsid w:val="00405B4F"/>
    <w:rsid w:val="00405BEE"/>
    <w:rsid w:val="00405DC5"/>
    <w:rsid w:val="00406085"/>
    <w:rsid w:val="00406727"/>
    <w:rsid w:val="004067AF"/>
    <w:rsid w:val="00406B0B"/>
    <w:rsid w:val="00406B1F"/>
    <w:rsid w:val="004077D3"/>
    <w:rsid w:val="00407C8E"/>
    <w:rsid w:val="00407DF7"/>
    <w:rsid w:val="00410203"/>
    <w:rsid w:val="004105FC"/>
    <w:rsid w:val="0041070B"/>
    <w:rsid w:val="00410775"/>
    <w:rsid w:val="00410A32"/>
    <w:rsid w:val="00410BCF"/>
    <w:rsid w:val="00411467"/>
    <w:rsid w:val="004116CC"/>
    <w:rsid w:val="00411D42"/>
    <w:rsid w:val="00411FC5"/>
    <w:rsid w:val="00412888"/>
    <w:rsid w:val="004129E1"/>
    <w:rsid w:val="00412D69"/>
    <w:rsid w:val="00412FD1"/>
    <w:rsid w:val="00413051"/>
    <w:rsid w:val="00413392"/>
    <w:rsid w:val="00413565"/>
    <w:rsid w:val="00413927"/>
    <w:rsid w:val="00413CBC"/>
    <w:rsid w:val="00414332"/>
    <w:rsid w:val="004143BA"/>
    <w:rsid w:val="00414A37"/>
    <w:rsid w:val="0041516E"/>
    <w:rsid w:val="004156D7"/>
    <w:rsid w:val="0041590F"/>
    <w:rsid w:val="00415975"/>
    <w:rsid w:val="00415BDC"/>
    <w:rsid w:val="00415F8E"/>
    <w:rsid w:val="0041622B"/>
    <w:rsid w:val="00416257"/>
    <w:rsid w:val="00416DE6"/>
    <w:rsid w:val="00416EE2"/>
    <w:rsid w:val="0041733B"/>
    <w:rsid w:val="00417411"/>
    <w:rsid w:val="00417814"/>
    <w:rsid w:val="00417DEF"/>
    <w:rsid w:val="00420273"/>
    <w:rsid w:val="00420675"/>
    <w:rsid w:val="00420862"/>
    <w:rsid w:val="00420BB7"/>
    <w:rsid w:val="004212FF"/>
    <w:rsid w:val="00421365"/>
    <w:rsid w:val="004219A4"/>
    <w:rsid w:val="0042275D"/>
    <w:rsid w:val="00422996"/>
    <w:rsid w:val="004229FE"/>
    <w:rsid w:val="00422C6F"/>
    <w:rsid w:val="00422D5F"/>
    <w:rsid w:val="004235C3"/>
    <w:rsid w:val="0042441B"/>
    <w:rsid w:val="004246B9"/>
    <w:rsid w:val="0042492B"/>
    <w:rsid w:val="00424CFF"/>
    <w:rsid w:val="00425483"/>
    <w:rsid w:val="0042552A"/>
    <w:rsid w:val="0042572A"/>
    <w:rsid w:val="00425852"/>
    <w:rsid w:val="0042613F"/>
    <w:rsid w:val="00426883"/>
    <w:rsid w:val="00426DE8"/>
    <w:rsid w:val="00426E99"/>
    <w:rsid w:val="00426F74"/>
    <w:rsid w:val="00427131"/>
    <w:rsid w:val="00427C0C"/>
    <w:rsid w:val="00427D21"/>
    <w:rsid w:val="00430216"/>
    <w:rsid w:val="004306BA"/>
    <w:rsid w:val="00430AE4"/>
    <w:rsid w:val="00430D2A"/>
    <w:rsid w:val="00430E36"/>
    <w:rsid w:val="00430FD9"/>
    <w:rsid w:val="00431031"/>
    <w:rsid w:val="00431594"/>
    <w:rsid w:val="004316DF"/>
    <w:rsid w:val="004318B3"/>
    <w:rsid w:val="00431A0D"/>
    <w:rsid w:val="0043217C"/>
    <w:rsid w:val="0043220E"/>
    <w:rsid w:val="0043278C"/>
    <w:rsid w:val="004329A8"/>
    <w:rsid w:val="00432E79"/>
    <w:rsid w:val="00432F24"/>
    <w:rsid w:val="00432F80"/>
    <w:rsid w:val="0043332F"/>
    <w:rsid w:val="004334ED"/>
    <w:rsid w:val="004339B7"/>
    <w:rsid w:val="0043406D"/>
    <w:rsid w:val="00434633"/>
    <w:rsid w:val="00434973"/>
    <w:rsid w:val="00434CA8"/>
    <w:rsid w:val="00434CBB"/>
    <w:rsid w:val="00434DE0"/>
    <w:rsid w:val="00435B02"/>
    <w:rsid w:val="00435CA8"/>
    <w:rsid w:val="0043614D"/>
    <w:rsid w:val="00436186"/>
    <w:rsid w:val="0043670D"/>
    <w:rsid w:val="004367F4"/>
    <w:rsid w:val="004368B6"/>
    <w:rsid w:val="00436946"/>
    <w:rsid w:val="00436983"/>
    <w:rsid w:val="00436D85"/>
    <w:rsid w:val="00437F80"/>
    <w:rsid w:val="00440625"/>
    <w:rsid w:val="00440E31"/>
    <w:rsid w:val="00441624"/>
    <w:rsid w:val="00442129"/>
    <w:rsid w:val="0044260F"/>
    <w:rsid w:val="00442A99"/>
    <w:rsid w:val="00442BB7"/>
    <w:rsid w:val="004432C9"/>
    <w:rsid w:val="00443CDA"/>
    <w:rsid w:val="00443E3C"/>
    <w:rsid w:val="00443F79"/>
    <w:rsid w:val="00443FA2"/>
    <w:rsid w:val="004440F2"/>
    <w:rsid w:val="004447E5"/>
    <w:rsid w:val="004448B9"/>
    <w:rsid w:val="00444A8C"/>
    <w:rsid w:val="00444D12"/>
    <w:rsid w:val="00445211"/>
    <w:rsid w:val="00445333"/>
    <w:rsid w:val="004453FD"/>
    <w:rsid w:val="004456F0"/>
    <w:rsid w:val="00445784"/>
    <w:rsid w:val="004459AF"/>
    <w:rsid w:val="004461F7"/>
    <w:rsid w:val="004463CD"/>
    <w:rsid w:val="00446DED"/>
    <w:rsid w:val="00446EDF"/>
    <w:rsid w:val="00447181"/>
    <w:rsid w:val="0044719B"/>
    <w:rsid w:val="004473C3"/>
    <w:rsid w:val="004479BD"/>
    <w:rsid w:val="00447BEC"/>
    <w:rsid w:val="00447CF1"/>
    <w:rsid w:val="00447EE1"/>
    <w:rsid w:val="0045019D"/>
    <w:rsid w:val="00450325"/>
    <w:rsid w:val="00450CE0"/>
    <w:rsid w:val="00450D34"/>
    <w:rsid w:val="0045140F"/>
    <w:rsid w:val="00451421"/>
    <w:rsid w:val="0045180A"/>
    <w:rsid w:val="00451F35"/>
    <w:rsid w:val="004523F8"/>
    <w:rsid w:val="00452828"/>
    <w:rsid w:val="00452B35"/>
    <w:rsid w:val="00453B8A"/>
    <w:rsid w:val="00453F9C"/>
    <w:rsid w:val="004542CB"/>
    <w:rsid w:val="0045437C"/>
    <w:rsid w:val="00454727"/>
    <w:rsid w:val="0045484F"/>
    <w:rsid w:val="00454C75"/>
    <w:rsid w:val="00455306"/>
    <w:rsid w:val="00455799"/>
    <w:rsid w:val="004557F1"/>
    <w:rsid w:val="0045584C"/>
    <w:rsid w:val="00456142"/>
    <w:rsid w:val="004563EF"/>
    <w:rsid w:val="00456788"/>
    <w:rsid w:val="004568E0"/>
    <w:rsid w:val="00456BFD"/>
    <w:rsid w:val="00456C23"/>
    <w:rsid w:val="00456D59"/>
    <w:rsid w:val="00457002"/>
    <w:rsid w:val="00457701"/>
    <w:rsid w:val="00457801"/>
    <w:rsid w:val="004578A2"/>
    <w:rsid w:val="00457DC6"/>
    <w:rsid w:val="00457F06"/>
    <w:rsid w:val="00460552"/>
    <w:rsid w:val="0046059C"/>
    <w:rsid w:val="00460859"/>
    <w:rsid w:val="0046090C"/>
    <w:rsid w:val="00460B46"/>
    <w:rsid w:val="00460CF6"/>
    <w:rsid w:val="00460DD2"/>
    <w:rsid w:val="00461926"/>
    <w:rsid w:val="00461CC1"/>
    <w:rsid w:val="0046264E"/>
    <w:rsid w:val="004626A3"/>
    <w:rsid w:val="004632DC"/>
    <w:rsid w:val="00463A1D"/>
    <w:rsid w:val="00463EE0"/>
    <w:rsid w:val="004641E7"/>
    <w:rsid w:val="00464265"/>
    <w:rsid w:val="004648B6"/>
    <w:rsid w:val="00464917"/>
    <w:rsid w:val="00465003"/>
    <w:rsid w:val="00465042"/>
    <w:rsid w:val="0046521D"/>
    <w:rsid w:val="00465271"/>
    <w:rsid w:val="00465467"/>
    <w:rsid w:val="00465ACE"/>
    <w:rsid w:val="00465B82"/>
    <w:rsid w:val="00465BC9"/>
    <w:rsid w:val="00465D78"/>
    <w:rsid w:val="00466AE0"/>
    <w:rsid w:val="00466FD2"/>
    <w:rsid w:val="00467335"/>
    <w:rsid w:val="004674E2"/>
    <w:rsid w:val="00467CB2"/>
    <w:rsid w:val="00470372"/>
    <w:rsid w:val="004708B5"/>
    <w:rsid w:val="00470AD1"/>
    <w:rsid w:val="00470E63"/>
    <w:rsid w:val="00470FB7"/>
    <w:rsid w:val="0047113A"/>
    <w:rsid w:val="004716F5"/>
    <w:rsid w:val="004725DB"/>
    <w:rsid w:val="00472756"/>
    <w:rsid w:val="00472847"/>
    <w:rsid w:val="00473521"/>
    <w:rsid w:val="004735D7"/>
    <w:rsid w:val="004738B8"/>
    <w:rsid w:val="00473DE9"/>
    <w:rsid w:val="00473E4A"/>
    <w:rsid w:val="00473F06"/>
    <w:rsid w:val="004744D1"/>
    <w:rsid w:val="00474B04"/>
    <w:rsid w:val="0047530D"/>
    <w:rsid w:val="0047532B"/>
    <w:rsid w:val="00475A86"/>
    <w:rsid w:val="00475A91"/>
    <w:rsid w:val="00475E6F"/>
    <w:rsid w:val="00475F77"/>
    <w:rsid w:val="0047650A"/>
    <w:rsid w:val="00476633"/>
    <w:rsid w:val="00476820"/>
    <w:rsid w:val="00476909"/>
    <w:rsid w:val="004769AB"/>
    <w:rsid w:val="00476FFC"/>
    <w:rsid w:val="004773C5"/>
    <w:rsid w:val="00477821"/>
    <w:rsid w:val="00477936"/>
    <w:rsid w:val="0048010B"/>
    <w:rsid w:val="0048030E"/>
    <w:rsid w:val="0048050C"/>
    <w:rsid w:val="0048065C"/>
    <w:rsid w:val="0048083A"/>
    <w:rsid w:val="0048094F"/>
    <w:rsid w:val="00480CAE"/>
    <w:rsid w:val="004812D7"/>
    <w:rsid w:val="00481FE3"/>
    <w:rsid w:val="00482500"/>
    <w:rsid w:val="004825B4"/>
    <w:rsid w:val="00482738"/>
    <w:rsid w:val="0048277A"/>
    <w:rsid w:val="00482C6C"/>
    <w:rsid w:val="00482DA3"/>
    <w:rsid w:val="004830A1"/>
    <w:rsid w:val="004837EC"/>
    <w:rsid w:val="00483E36"/>
    <w:rsid w:val="00484746"/>
    <w:rsid w:val="004848E8"/>
    <w:rsid w:val="00484DDC"/>
    <w:rsid w:val="004858E7"/>
    <w:rsid w:val="00485A8B"/>
    <w:rsid w:val="00485D0C"/>
    <w:rsid w:val="00485F6E"/>
    <w:rsid w:val="0048629D"/>
    <w:rsid w:val="00486553"/>
    <w:rsid w:val="004868E3"/>
    <w:rsid w:val="00487170"/>
    <w:rsid w:val="0048746C"/>
    <w:rsid w:val="00487582"/>
    <w:rsid w:val="00487788"/>
    <w:rsid w:val="00490068"/>
    <w:rsid w:val="00490335"/>
    <w:rsid w:val="00490369"/>
    <w:rsid w:val="004909D7"/>
    <w:rsid w:val="00491277"/>
    <w:rsid w:val="00491753"/>
    <w:rsid w:val="004917B0"/>
    <w:rsid w:val="00491A7A"/>
    <w:rsid w:val="00492682"/>
    <w:rsid w:val="004928C5"/>
    <w:rsid w:val="00492900"/>
    <w:rsid w:val="00492A35"/>
    <w:rsid w:val="00493590"/>
    <w:rsid w:val="004935A7"/>
    <w:rsid w:val="00493739"/>
    <w:rsid w:val="0049373D"/>
    <w:rsid w:val="00493791"/>
    <w:rsid w:val="0049386E"/>
    <w:rsid w:val="00493EAC"/>
    <w:rsid w:val="004941DC"/>
    <w:rsid w:val="00494665"/>
    <w:rsid w:val="00494EA6"/>
    <w:rsid w:val="004952FA"/>
    <w:rsid w:val="00496957"/>
    <w:rsid w:val="00496AD3"/>
    <w:rsid w:val="00496F6F"/>
    <w:rsid w:val="00497392"/>
    <w:rsid w:val="004973E5"/>
    <w:rsid w:val="00497731"/>
    <w:rsid w:val="004A04FA"/>
    <w:rsid w:val="004A0708"/>
    <w:rsid w:val="004A0919"/>
    <w:rsid w:val="004A110D"/>
    <w:rsid w:val="004A172F"/>
    <w:rsid w:val="004A1AEB"/>
    <w:rsid w:val="004A1C61"/>
    <w:rsid w:val="004A20C2"/>
    <w:rsid w:val="004A25A3"/>
    <w:rsid w:val="004A29E0"/>
    <w:rsid w:val="004A2C76"/>
    <w:rsid w:val="004A2F30"/>
    <w:rsid w:val="004A305F"/>
    <w:rsid w:val="004A33F7"/>
    <w:rsid w:val="004A3DAE"/>
    <w:rsid w:val="004A3EB5"/>
    <w:rsid w:val="004A472C"/>
    <w:rsid w:val="004A5199"/>
    <w:rsid w:val="004A522C"/>
    <w:rsid w:val="004A567A"/>
    <w:rsid w:val="004A56D1"/>
    <w:rsid w:val="004A5F17"/>
    <w:rsid w:val="004A5F3B"/>
    <w:rsid w:val="004A60F0"/>
    <w:rsid w:val="004A619D"/>
    <w:rsid w:val="004A6313"/>
    <w:rsid w:val="004A6B7B"/>
    <w:rsid w:val="004A6D4F"/>
    <w:rsid w:val="004A7EEA"/>
    <w:rsid w:val="004B01DF"/>
    <w:rsid w:val="004B029D"/>
    <w:rsid w:val="004B0A50"/>
    <w:rsid w:val="004B0C3F"/>
    <w:rsid w:val="004B0D03"/>
    <w:rsid w:val="004B12B3"/>
    <w:rsid w:val="004B18AC"/>
    <w:rsid w:val="004B2933"/>
    <w:rsid w:val="004B2B9E"/>
    <w:rsid w:val="004B3151"/>
    <w:rsid w:val="004B395E"/>
    <w:rsid w:val="004B42C0"/>
    <w:rsid w:val="004B42D6"/>
    <w:rsid w:val="004B4347"/>
    <w:rsid w:val="004B4485"/>
    <w:rsid w:val="004B4C90"/>
    <w:rsid w:val="004B4F98"/>
    <w:rsid w:val="004B4FE2"/>
    <w:rsid w:val="004B522A"/>
    <w:rsid w:val="004B5B15"/>
    <w:rsid w:val="004B5BE0"/>
    <w:rsid w:val="004B6380"/>
    <w:rsid w:val="004B642C"/>
    <w:rsid w:val="004B6834"/>
    <w:rsid w:val="004B6A8E"/>
    <w:rsid w:val="004B6BD7"/>
    <w:rsid w:val="004B7F2A"/>
    <w:rsid w:val="004C0152"/>
    <w:rsid w:val="004C023A"/>
    <w:rsid w:val="004C0AB0"/>
    <w:rsid w:val="004C0D89"/>
    <w:rsid w:val="004C0DFE"/>
    <w:rsid w:val="004C1B9B"/>
    <w:rsid w:val="004C1BE1"/>
    <w:rsid w:val="004C202F"/>
    <w:rsid w:val="004C20D6"/>
    <w:rsid w:val="004C2333"/>
    <w:rsid w:val="004C24C4"/>
    <w:rsid w:val="004C2A11"/>
    <w:rsid w:val="004C2B8F"/>
    <w:rsid w:val="004C2CFB"/>
    <w:rsid w:val="004C3311"/>
    <w:rsid w:val="004C34BF"/>
    <w:rsid w:val="004C3A7A"/>
    <w:rsid w:val="004C3B26"/>
    <w:rsid w:val="004C3C6D"/>
    <w:rsid w:val="004C3DAE"/>
    <w:rsid w:val="004C3E18"/>
    <w:rsid w:val="004C4000"/>
    <w:rsid w:val="004C430C"/>
    <w:rsid w:val="004C452A"/>
    <w:rsid w:val="004C4BC4"/>
    <w:rsid w:val="004C5071"/>
    <w:rsid w:val="004C5866"/>
    <w:rsid w:val="004C604F"/>
    <w:rsid w:val="004C6521"/>
    <w:rsid w:val="004C6629"/>
    <w:rsid w:val="004C6A57"/>
    <w:rsid w:val="004C6B41"/>
    <w:rsid w:val="004C74EF"/>
    <w:rsid w:val="004C7733"/>
    <w:rsid w:val="004C7C32"/>
    <w:rsid w:val="004D018C"/>
    <w:rsid w:val="004D03E6"/>
    <w:rsid w:val="004D044A"/>
    <w:rsid w:val="004D0ABA"/>
    <w:rsid w:val="004D0C63"/>
    <w:rsid w:val="004D0E95"/>
    <w:rsid w:val="004D11B5"/>
    <w:rsid w:val="004D1804"/>
    <w:rsid w:val="004D1CED"/>
    <w:rsid w:val="004D1E28"/>
    <w:rsid w:val="004D1F6C"/>
    <w:rsid w:val="004D2502"/>
    <w:rsid w:val="004D2558"/>
    <w:rsid w:val="004D25CA"/>
    <w:rsid w:val="004D2886"/>
    <w:rsid w:val="004D2B45"/>
    <w:rsid w:val="004D2DAD"/>
    <w:rsid w:val="004D2F3B"/>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5FF3"/>
    <w:rsid w:val="004D63FE"/>
    <w:rsid w:val="004D6AE1"/>
    <w:rsid w:val="004D74CD"/>
    <w:rsid w:val="004D7589"/>
    <w:rsid w:val="004D76CC"/>
    <w:rsid w:val="004D7EAD"/>
    <w:rsid w:val="004E06EF"/>
    <w:rsid w:val="004E0DF8"/>
    <w:rsid w:val="004E1282"/>
    <w:rsid w:val="004E15B0"/>
    <w:rsid w:val="004E16A5"/>
    <w:rsid w:val="004E1FF0"/>
    <w:rsid w:val="004E209A"/>
    <w:rsid w:val="004E20D5"/>
    <w:rsid w:val="004E21F8"/>
    <w:rsid w:val="004E2221"/>
    <w:rsid w:val="004E250C"/>
    <w:rsid w:val="004E2518"/>
    <w:rsid w:val="004E28DA"/>
    <w:rsid w:val="004E290E"/>
    <w:rsid w:val="004E2CA8"/>
    <w:rsid w:val="004E3098"/>
    <w:rsid w:val="004E3674"/>
    <w:rsid w:val="004E3862"/>
    <w:rsid w:val="004E3C88"/>
    <w:rsid w:val="004E4025"/>
    <w:rsid w:val="004E4145"/>
    <w:rsid w:val="004E4228"/>
    <w:rsid w:val="004E451D"/>
    <w:rsid w:val="004E4810"/>
    <w:rsid w:val="004E48E0"/>
    <w:rsid w:val="004E4F66"/>
    <w:rsid w:val="004E4FAF"/>
    <w:rsid w:val="004E4FB3"/>
    <w:rsid w:val="004E51E2"/>
    <w:rsid w:val="004E562B"/>
    <w:rsid w:val="004E58FB"/>
    <w:rsid w:val="004E596E"/>
    <w:rsid w:val="004E59A2"/>
    <w:rsid w:val="004E5B8A"/>
    <w:rsid w:val="004E6040"/>
    <w:rsid w:val="004E64B6"/>
    <w:rsid w:val="004E6867"/>
    <w:rsid w:val="004E6A5A"/>
    <w:rsid w:val="004E7CB0"/>
    <w:rsid w:val="004E7DE8"/>
    <w:rsid w:val="004F01A2"/>
    <w:rsid w:val="004F0381"/>
    <w:rsid w:val="004F095F"/>
    <w:rsid w:val="004F0A2C"/>
    <w:rsid w:val="004F1335"/>
    <w:rsid w:val="004F16E1"/>
    <w:rsid w:val="004F1A05"/>
    <w:rsid w:val="004F1ABA"/>
    <w:rsid w:val="004F1FC9"/>
    <w:rsid w:val="004F2360"/>
    <w:rsid w:val="004F251D"/>
    <w:rsid w:val="004F25D5"/>
    <w:rsid w:val="004F263C"/>
    <w:rsid w:val="004F2782"/>
    <w:rsid w:val="004F288A"/>
    <w:rsid w:val="004F323A"/>
    <w:rsid w:val="004F3475"/>
    <w:rsid w:val="004F39AA"/>
    <w:rsid w:val="004F3B39"/>
    <w:rsid w:val="004F3E91"/>
    <w:rsid w:val="004F408B"/>
    <w:rsid w:val="004F4707"/>
    <w:rsid w:val="004F4916"/>
    <w:rsid w:val="004F4C51"/>
    <w:rsid w:val="004F5933"/>
    <w:rsid w:val="004F5DAB"/>
    <w:rsid w:val="004F60B8"/>
    <w:rsid w:val="004F6425"/>
    <w:rsid w:val="004F66BD"/>
    <w:rsid w:val="004F6BC4"/>
    <w:rsid w:val="004F6D50"/>
    <w:rsid w:val="004F733E"/>
    <w:rsid w:val="004F751B"/>
    <w:rsid w:val="004F7880"/>
    <w:rsid w:val="004F79E6"/>
    <w:rsid w:val="0050010F"/>
    <w:rsid w:val="00500A95"/>
    <w:rsid w:val="00500F56"/>
    <w:rsid w:val="005013D1"/>
    <w:rsid w:val="00501659"/>
    <w:rsid w:val="0050188E"/>
    <w:rsid w:val="00501927"/>
    <w:rsid w:val="005021A2"/>
    <w:rsid w:val="005022E5"/>
    <w:rsid w:val="00502668"/>
    <w:rsid w:val="00502C69"/>
    <w:rsid w:val="00502FFB"/>
    <w:rsid w:val="005031F6"/>
    <w:rsid w:val="005033A1"/>
    <w:rsid w:val="00503891"/>
    <w:rsid w:val="00503BFE"/>
    <w:rsid w:val="00504616"/>
    <w:rsid w:val="00504895"/>
    <w:rsid w:val="005049BB"/>
    <w:rsid w:val="00504DE6"/>
    <w:rsid w:val="00504EB4"/>
    <w:rsid w:val="00505225"/>
    <w:rsid w:val="00505333"/>
    <w:rsid w:val="00505466"/>
    <w:rsid w:val="00505583"/>
    <w:rsid w:val="0050570D"/>
    <w:rsid w:val="00505963"/>
    <w:rsid w:val="00505B93"/>
    <w:rsid w:val="00506286"/>
    <w:rsid w:val="00506460"/>
    <w:rsid w:val="005064BF"/>
    <w:rsid w:val="00506C23"/>
    <w:rsid w:val="00506DE1"/>
    <w:rsid w:val="00506FE0"/>
    <w:rsid w:val="005073C4"/>
    <w:rsid w:val="00507960"/>
    <w:rsid w:val="00507998"/>
    <w:rsid w:val="00507A48"/>
    <w:rsid w:val="00507ED3"/>
    <w:rsid w:val="00507F76"/>
    <w:rsid w:val="005109B1"/>
    <w:rsid w:val="00510A5B"/>
    <w:rsid w:val="00511495"/>
    <w:rsid w:val="00511C5D"/>
    <w:rsid w:val="00512432"/>
    <w:rsid w:val="00512D5E"/>
    <w:rsid w:val="00512E98"/>
    <w:rsid w:val="00512F4F"/>
    <w:rsid w:val="00513014"/>
    <w:rsid w:val="00513180"/>
    <w:rsid w:val="00513691"/>
    <w:rsid w:val="00513E89"/>
    <w:rsid w:val="00514019"/>
    <w:rsid w:val="005140CD"/>
    <w:rsid w:val="00514185"/>
    <w:rsid w:val="0051438D"/>
    <w:rsid w:val="005148AA"/>
    <w:rsid w:val="00514D17"/>
    <w:rsid w:val="00514DA1"/>
    <w:rsid w:val="00514DD9"/>
    <w:rsid w:val="00514F6B"/>
    <w:rsid w:val="00515502"/>
    <w:rsid w:val="00515510"/>
    <w:rsid w:val="005158B8"/>
    <w:rsid w:val="00515B16"/>
    <w:rsid w:val="00515B61"/>
    <w:rsid w:val="00515C97"/>
    <w:rsid w:val="00515D0C"/>
    <w:rsid w:val="0051666F"/>
    <w:rsid w:val="00516C44"/>
    <w:rsid w:val="00516CB2"/>
    <w:rsid w:val="00517132"/>
    <w:rsid w:val="0051731E"/>
    <w:rsid w:val="005174EF"/>
    <w:rsid w:val="00517DC9"/>
    <w:rsid w:val="00517F51"/>
    <w:rsid w:val="00520170"/>
    <w:rsid w:val="0052039F"/>
    <w:rsid w:val="00520843"/>
    <w:rsid w:val="00520FC3"/>
    <w:rsid w:val="005210E2"/>
    <w:rsid w:val="005211DB"/>
    <w:rsid w:val="00521393"/>
    <w:rsid w:val="00521608"/>
    <w:rsid w:val="005219C0"/>
    <w:rsid w:val="00521BB4"/>
    <w:rsid w:val="00521F7F"/>
    <w:rsid w:val="005220D5"/>
    <w:rsid w:val="00522875"/>
    <w:rsid w:val="00522BE9"/>
    <w:rsid w:val="00523040"/>
    <w:rsid w:val="00523393"/>
    <w:rsid w:val="00523C08"/>
    <w:rsid w:val="00523EFC"/>
    <w:rsid w:val="00524056"/>
    <w:rsid w:val="0052422F"/>
    <w:rsid w:val="005248BB"/>
    <w:rsid w:val="00524AC4"/>
    <w:rsid w:val="00524CCB"/>
    <w:rsid w:val="00524DF9"/>
    <w:rsid w:val="00524E8E"/>
    <w:rsid w:val="00525297"/>
    <w:rsid w:val="0052545E"/>
    <w:rsid w:val="0052549C"/>
    <w:rsid w:val="005254A3"/>
    <w:rsid w:val="00525A72"/>
    <w:rsid w:val="00525ADE"/>
    <w:rsid w:val="00525DA5"/>
    <w:rsid w:val="005260D5"/>
    <w:rsid w:val="00526AFA"/>
    <w:rsid w:val="00526C91"/>
    <w:rsid w:val="00526D6A"/>
    <w:rsid w:val="00526F34"/>
    <w:rsid w:val="00526FB1"/>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40AA"/>
    <w:rsid w:val="0053410D"/>
    <w:rsid w:val="0053494D"/>
    <w:rsid w:val="00534A01"/>
    <w:rsid w:val="00535202"/>
    <w:rsid w:val="00535377"/>
    <w:rsid w:val="005357E8"/>
    <w:rsid w:val="00535A4B"/>
    <w:rsid w:val="00535D55"/>
    <w:rsid w:val="0053647F"/>
    <w:rsid w:val="005364C2"/>
    <w:rsid w:val="00536559"/>
    <w:rsid w:val="0053717C"/>
    <w:rsid w:val="00537407"/>
    <w:rsid w:val="005379F3"/>
    <w:rsid w:val="00537A64"/>
    <w:rsid w:val="0054014D"/>
    <w:rsid w:val="005409B4"/>
    <w:rsid w:val="00540A32"/>
    <w:rsid w:val="00540ABE"/>
    <w:rsid w:val="00540CF8"/>
    <w:rsid w:val="00541077"/>
    <w:rsid w:val="0054173A"/>
    <w:rsid w:val="00541CC2"/>
    <w:rsid w:val="00541DB8"/>
    <w:rsid w:val="0054213D"/>
    <w:rsid w:val="00542160"/>
    <w:rsid w:val="00542663"/>
    <w:rsid w:val="00542A8E"/>
    <w:rsid w:val="00542D33"/>
    <w:rsid w:val="00542F60"/>
    <w:rsid w:val="00543297"/>
    <w:rsid w:val="0054349D"/>
    <w:rsid w:val="00543C9B"/>
    <w:rsid w:val="00544751"/>
    <w:rsid w:val="00545683"/>
    <w:rsid w:val="00545F4C"/>
    <w:rsid w:val="00546DF3"/>
    <w:rsid w:val="00546EFE"/>
    <w:rsid w:val="00546FB7"/>
    <w:rsid w:val="005471B8"/>
    <w:rsid w:val="0054783D"/>
    <w:rsid w:val="0054796E"/>
    <w:rsid w:val="00547A56"/>
    <w:rsid w:val="00547B78"/>
    <w:rsid w:val="005503AD"/>
    <w:rsid w:val="00550524"/>
    <w:rsid w:val="00550A50"/>
    <w:rsid w:val="00551309"/>
    <w:rsid w:val="00551314"/>
    <w:rsid w:val="00552334"/>
    <w:rsid w:val="005523F2"/>
    <w:rsid w:val="00552680"/>
    <w:rsid w:val="00552700"/>
    <w:rsid w:val="00552FDC"/>
    <w:rsid w:val="005534FE"/>
    <w:rsid w:val="005536BC"/>
    <w:rsid w:val="00553BB3"/>
    <w:rsid w:val="00553EAB"/>
    <w:rsid w:val="005542C9"/>
    <w:rsid w:val="00554683"/>
    <w:rsid w:val="005546A8"/>
    <w:rsid w:val="00554750"/>
    <w:rsid w:val="00554B9E"/>
    <w:rsid w:val="00554BA3"/>
    <w:rsid w:val="00554C24"/>
    <w:rsid w:val="005552C5"/>
    <w:rsid w:val="00555D1A"/>
    <w:rsid w:val="005560F5"/>
    <w:rsid w:val="00556212"/>
    <w:rsid w:val="005563AC"/>
    <w:rsid w:val="00556481"/>
    <w:rsid w:val="005569FA"/>
    <w:rsid w:val="005574C2"/>
    <w:rsid w:val="00557653"/>
    <w:rsid w:val="00557693"/>
    <w:rsid w:val="005576B6"/>
    <w:rsid w:val="00557D2F"/>
    <w:rsid w:val="00557FB9"/>
    <w:rsid w:val="0056027E"/>
    <w:rsid w:val="0056077C"/>
    <w:rsid w:val="00560A7E"/>
    <w:rsid w:val="00560C4D"/>
    <w:rsid w:val="00561A34"/>
    <w:rsid w:val="00562689"/>
    <w:rsid w:val="00562865"/>
    <w:rsid w:val="005633F0"/>
    <w:rsid w:val="00563633"/>
    <w:rsid w:val="005638A0"/>
    <w:rsid w:val="00563D2A"/>
    <w:rsid w:val="00564079"/>
    <w:rsid w:val="005640D4"/>
    <w:rsid w:val="00564131"/>
    <w:rsid w:val="005646EA"/>
    <w:rsid w:val="00564940"/>
    <w:rsid w:val="00564ED8"/>
    <w:rsid w:val="00565874"/>
    <w:rsid w:val="00565AF7"/>
    <w:rsid w:val="00565CE6"/>
    <w:rsid w:val="00565F7C"/>
    <w:rsid w:val="00566305"/>
    <w:rsid w:val="005664FC"/>
    <w:rsid w:val="00566D9C"/>
    <w:rsid w:val="00567153"/>
    <w:rsid w:val="00567196"/>
    <w:rsid w:val="0056751E"/>
    <w:rsid w:val="00567579"/>
    <w:rsid w:val="00567A2C"/>
    <w:rsid w:val="00567C07"/>
    <w:rsid w:val="00567D71"/>
    <w:rsid w:val="005704B3"/>
    <w:rsid w:val="00570A8C"/>
    <w:rsid w:val="00570D3F"/>
    <w:rsid w:val="00570E84"/>
    <w:rsid w:val="00571374"/>
    <w:rsid w:val="005717EA"/>
    <w:rsid w:val="00571850"/>
    <w:rsid w:val="005730EB"/>
    <w:rsid w:val="005732D1"/>
    <w:rsid w:val="005732F3"/>
    <w:rsid w:val="0057374A"/>
    <w:rsid w:val="00573A8D"/>
    <w:rsid w:val="00573B48"/>
    <w:rsid w:val="00573D77"/>
    <w:rsid w:val="00573EA6"/>
    <w:rsid w:val="00574021"/>
    <w:rsid w:val="005746D3"/>
    <w:rsid w:val="00574A06"/>
    <w:rsid w:val="005752A4"/>
    <w:rsid w:val="00575685"/>
    <w:rsid w:val="005760AC"/>
    <w:rsid w:val="0057691E"/>
    <w:rsid w:val="00576EBE"/>
    <w:rsid w:val="00577234"/>
    <w:rsid w:val="00577789"/>
    <w:rsid w:val="005778CB"/>
    <w:rsid w:val="00577E5B"/>
    <w:rsid w:val="00577E7F"/>
    <w:rsid w:val="005806A7"/>
    <w:rsid w:val="00580968"/>
    <w:rsid w:val="00580AAB"/>
    <w:rsid w:val="00581417"/>
    <w:rsid w:val="00581BE2"/>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3ED"/>
    <w:rsid w:val="00585832"/>
    <w:rsid w:val="0058596B"/>
    <w:rsid w:val="00585B18"/>
    <w:rsid w:val="00585D68"/>
    <w:rsid w:val="00585DCA"/>
    <w:rsid w:val="00586132"/>
    <w:rsid w:val="005861DC"/>
    <w:rsid w:val="005871F5"/>
    <w:rsid w:val="005876A2"/>
    <w:rsid w:val="00587ADE"/>
    <w:rsid w:val="00590001"/>
    <w:rsid w:val="00590ABC"/>
    <w:rsid w:val="00590BF3"/>
    <w:rsid w:val="00590E20"/>
    <w:rsid w:val="00591379"/>
    <w:rsid w:val="00591675"/>
    <w:rsid w:val="00591A9D"/>
    <w:rsid w:val="00591DE9"/>
    <w:rsid w:val="0059279F"/>
    <w:rsid w:val="00592A12"/>
    <w:rsid w:val="00592CD6"/>
    <w:rsid w:val="00592F49"/>
    <w:rsid w:val="005931A3"/>
    <w:rsid w:val="005940C0"/>
    <w:rsid w:val="00594140"/>
    <w:rsid w:val="005941CF"/>
    <w:rsid w:val="0059451E"/>
    <w:rsid w:val="00594574"/>
    <w:rsid w:val="00594DA0"/>
    <w:rsid w:val="00594FD3"/>
    <w:rsid w:val="00595CA7"/>
    <w:rsid w:val="00596BF8"/>
    <w:rsid w:val="005972FD"/>
    <w:rsid w:val="00597828"/>
    <w:rsid w:val="00597EF9"/>
    <w:rsid w:val="00597FC8"/>
    <w:rsid w:val="005A03A4"/>
    <w:rsid w:val="005A0641"/>
    <w:rsid w:val="005A086F"/>
    <w:rsid w:val="005A08B3"/>
    <w:rsid w:val="005A090C"/>
    <w:rsid w:val="005A0F51"/>
    <w:rsid w:val="005A1008"/>
    <w:rsid w:val="005A11CA"/>
    <w:rsid w:val="005A138F"/>
    <w:rsid w:val="005A190C"/>
    <w:rsid w:val="005A1967"/>
    <w:rsid w:val="005A19E4"/>
    <w:rsid w:val="005A2046"/>
    <w:rsid w:val="005A2A78"/>
    <w:rsid w:val="005A2D3D"/>
    <w:rsid w:val="005A360F"/>
    <w:rsid w:val="005A3A4A"/>
    <w:rsid w:val="005A3C3E"/>
    <w:rsid w:val="005A3CD0"/>
    <w:rsid w:val="005A450B"/>
    <w:rsid w:val="005A4FBC"/>
    <w:rsid w:val="005A5167"/>
    <w:rsid w:val="005A528A"/>
    <w:rsid w:val="005A5BA7"/>
    <w:rsid w:val="005A5DA8"/>
    <w:rsid w:val="005A62D7"/>
    <w:rsid w:val="005A65DA"/>
    <w:rsid w:val="005A6723"/>
    <w:rsid w:val="005A6D7D"/>
    <w:rsid w:val="005A6EA4"/>
    <w:rsid w:val="005A77CF"/>
    <w:rsid w:val="005A7988"/>
    <w:rsid w:val="005A7DA8"/>
    <w:rsid w:val="005B07C4"/>
    <w:rsid w:val="005B0953"/>
    <w:rsid w:val="005B0C7C"/>
    <w:rsid w:val="005B0E03"/>
    <w:rsid w:val="005B0FCB"/>
    <w:rsid w:val="005B13B0"/>
    <w:rsid w:val="005B13CD"/>
    <w:rsid w:val="005B195F"/>
    <w:rsid w:val="005B1A52"/>
    <w:rsid w:val="005B1AD7"/>
    <w:rsid w:val="005B1DD8"/>
    <w:rsid w:val="005B2415"/>
    <w:rsid w:val="005B2442"/>
    <w:rsid w:val="005B276E"/>
    <w:rsid w:val="005B2788"/>
    <w:rsid w:val="005B2AB4"/>
    <w:rsid w:val="005B2C3F"/>
    <w:rsid w:val="005B2E96"/>
    <w:rsid w:val="005B33AE"/>
    <w:rsid w:val="005B37EE"/>
    <w:rsid w:val="005B3A69"/>
    <w:rsid w:val="005B3C3D"/>
    <w:rsid w:val="005B3D82"/>
    <w:rsid w:val="005B3DD0"/>
    <w:rsid w:val="005B42EB"/>
    <w:rsid w:val="005B47A4"/>
    <w:rsid w:val="005B4E1C"/>
    <w:rsid w:val="005B500B"/>
    <w:rsid w:val="005B5051"/>
    <w:rsid w:val="005B5C60"/>
    <w:rsid w:val="005B5C8A"/>
    <w:rsid w:val="005B6405"/>
    <w:rsid w:val="005B65DE"/>
    <w:rsid w:val="005B6843"/>
    <w:rsid w:val="005B68C0"/>
    <w:rsid w:val="005B70ED"/>
    <w:rsid w:val="005B7196"/>
    <w:rsid w:val="005B74C6"/>
    <w:rsid w:val="005B7D4A"/>
    <w:rsid w:val="005C008D"/>
    <w:rsid w:val="005C019A"/>
    <w:rsid w:val="005C0278"/>
    <w:rsid w:val="005C0480"/>
    <w:rsid w:val="005C0A62"/>
    <w:rsid w:val="005C0B9D"/>
    <w:rsid w:val="005C0BF6"/>
    <w:rsid w:val="005C0CBC"/>
    <w:rsid w:val="005C12D2"/>
    <w:rsid w:val="005C144F"/>
    <w:rsid w:val="005C20A7"/>
    <w:rsid w:val="005C210D"/>
    <w:rsid w:val="005C2114"/>
    <w:rsid w:val="005C2575"/>
    <w:rsid w:val="005C27AF"/>
    <w:rsid w:val="005C282C"/>
    <w:rsid w:val="005C2C2F"/>
    <w:rsid w:val="005C308A"/>
    <w:rsid w:val="005C32B1"/>
    <w:rsid w:val="005C32DE"/>
    <w:rsid w:val="005C37FC"/>
    <w:rsid w:val="005C383C"/>
    <w:rsid w:val="005C38EA"/>
    <w:rsid w:val="005C3A0C"/>
    <w:rsid w:val="005C40CA"/>
    <w:rsid w:val="005C413D"/>
    <w:rsid w:val="005C4395"/>
    <w:rsid w:val="005C46D9"/>
    <w:rsid w:val="005C47A5"/>
    <w:rsid w:val="005C47B6"/>
    <w:rsid w:val="005C4BBB"/>
    <w:rsid w:val="005C4BF2"/>
    <w:rsid w:val="005C4D13"/>
    <w:rsid w:val="005C51BB"/>
    <w:rsid w:val="005C5EDA"/>
    <w:rsid w:val="005C65E0"/>
    <w:rsid w:val="005C7C8A"/>
    <w:rsid w:val="005C7E9A"/>
    <w:rsid w:val="005C7EF0"/>
    <w:rsid w:val="005D01FD"/>
    <w:rsid w:val="005D05B8"/>
    <w:rsid w:val="005D0617"/>
    <w:rsid w:val="005D097C"/>
    <w:rsid w:val="005D10FA"/>
    <w:rsid w:val="005D11BE"/>
    <w:rsid w:val="005D19E0"/>
    <w:rsid w:val="005D1C7F"/>
    <w:rsid w:val="005D2011"/>
    <w:rsid w:val="005D20A7"/>
    <w:rsid w:val="005D2DC9"/>
    <w:rsid w:val="005D2E3B"/>
    <w:rsid w:val="005D2E90"/>
    <w:rsid w:val="005D37AA"/>
    <w:rsid w:val="005D3AFE"/>
    <w:rsid w:val="005D3BFD"/>
    <w:rsid w:val="005D42A5"/>
    <w:rsid w:val="005D4B3D"/>
    <w:rsid w:val="005D4B4D"/>
    <w:rsid w:val="005D4DFD"/>
    <w:rsid w:val="005D57DB"/>
    <w:rsid w:val="005D5A53"/>
    <w:rsid w:val="005D5A60"/>
    <w:rsid w:val="005D5B4C"/>
    <w:rsid w:val="005D5CAC"/>
    <w:rsid w:val="005D6052"/>
    <w:rsid w:val="005D62E3"/>
    <w:rsid w:val="005D679D"/>
    <w:rsid w:val="005D7249"/>
    <w:rsid w:val="005D7EE4"/>
    <w:rsid w:val="005E0A23"/>
    <w:rsid w:val="005E0F4D"/>
    <w:rsid w:val="005E1309"/>
    <w:rsid w:val="005E1B0F"/>
    <w:rsid w:val="005E1E35"/>
    <w:rsid w:val="005E2244"/>
    <w:rsid w:val="005E271A"/>
    <w:rsid w:val="005E2B61"/>
    <w:rsid w:val="005E2F61"/>
    <w:rsid w:val="005E377B"/>
    <w:rsid w:val="005E3D05"/>
    <w:rsid w:val="005E3F3C"/>
    <w:rsid w:val="005E3F85"/>
    <w:rsid w:val="005E409B"/>
    <w:rsid w:val="005E479A"/>
    <w:rsid w:val="005E47BA"/>
    <w:rsid w:val="005E49F9"/>
    <w:rsid w:val="005E4B4C"/>
    <w:rsid w:val="005E4DFC"/>
    <w:rsid w:val="005E4ECE"/>
    <w:rsid w:val="005E4F0B"/>
    <w:rsid w:val="005E560B"/>
    <w:rsid w:val="005E59B3"/>
    <w:rsid w:val="005E6373"/>
    <w:rsid w:val="005E6734"/>
    <w:rsid w:val="005E7374"/>
    <w:rsid w:val="005E76AF"/>
    <w:rsid w:val="005E78D0"/>
    <w:rsid w:val="005F045B"/>
    <w:rsid w:val="005F04CC"/>
    <w:rsid w:val="005F087F"/>
    <w:rsid w:val="005F08D9"/>
    <w:rsid w:val="005F0FF8"/>
    <w:rsid w:val="005F1184"/>
    <w:rsid w:val="005F1728"/>
    <w:rsid w:val="005F17BD"/>
    <w:rsid w:val="005F1921"/>
    <w:rsid w:val="005F21A4"/>
    <w:rsid w:val="005F24D0"/>
    <w:rsid w:val="005F2968"/>
    <w:rsid w:val="005F29B1"/>
    <w:rsid w:val="005F3005"/>
    <w:rsid w:val="005F319E"/>
    <w:rsid w:val="005F3830"/>
    <w:rsid w:val="005F395C"/>
    <w:rsid w:val="005F3AA2"/>
    <w:rsid w:val="005F3BE7"/>
    <w:rsid w:val="005F417B"/>
    <w:rsid w:val="005F4362"/>
    <w:rsid w:val="005F492B"/>
    <w:rsid w:val="005F4D1E"/>
    <w:rsid w:val="005F4EC8"/>
    <w:rsid w:val="005F51D5"/>
    <w:rsid w:val="005F5EC4"/>
    <w:rsid w:val="005F6039"/>
    <w:rsid w:val="005F63E2"/>
    <w:rsid w:val="005F65B1"/>
    <w:rsid w:val="005F69EA"/>
    <w:rsid w:val="005F6B40"/>
    <w:rsid w:val="005F6C50"/>
    <w:rsid w:val="005F7916"/>
    <w:rsid w:val="006000DE"/>
    <w:rsid w:val="0060074C"/>
    <w:rsid w:val="00600840"/>
    <w:rsid w:val="0060093C"/>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858"/>
    <w:rsid w:val="00605FB3"/>
    <w:rsid w:val="006060A9"/>
    <w:rsid w:val="006066F3"/>
    <w:rsid w:val="00606881"/>
    <w:rsid w:val="00606CDD"/>
    <w:rsid w:val="00606E8D"/>
    <w:rsid w:val="0060751D"/>
    <w:rsid w:val="00607658"/>
    <w:rsid w:val="00607771"/>
    <w:rsid w:val="00607A12"/>
    <w:rsid w:val="00607B81"/>
    <w:rsid w:val="00610498"/>
    <w:rsid w:val="006106A6"/>
    <w:rsid w:val="0061118E"/>
    <w:rsid w:val="006115C2"/>
    <w:rsid w:val="00611C09"/>
    <w:rsid w:val="006124A3"/>
    <w:rsid w:val="0061275E"/>
    <w:rsid w:val="00612AC2"/>
    <w:rsid w:val="006135A9"/>
    <w:rsid w:val="00613AD3"/>
    <w:rsid w:val="00613DA1"/>
    <w:rsid w:val="00614312"/>
    <w:rsid w:val="0061440F"/>
    <w:rsid w:val="006148CA"/>
    <w:rsid w:val="006148E4"/>
    <w:rsid w:val="00614F4B"/>
    <w:rsid w:val="006155E3"/>
    <w:rsid w:val="006157B1"/>
    <w:rsid w:val="00615E39"/>
    <w:rsid w:val="00616A82"/>
    <w:rsid w:val="00616C7F"/>
    <w:rsid w:val="006175D9"/>
    <w:rsid w:val="006176C5"/>
    <w:rsid w:val="0061793E"/>
    <w:rsid w:val="00617966"/>
    <w:rsid w:val="00620217"/>
    <w:rsid w:val="0062022B"/>
    <w:rsid w:val="006203CE"/>
    <w:rsid w:val="00620462"/>
    <w:rsid w:val="00620543"/>
    <w:rsid w:val="006206BE"/>
    <w:rsid w:val="0062083C"/>
    <w:rsid w:val="00620D71"/>
    <w:rsid w:val="006210E0"/>
    <w:rsid w:val="00621119"/>
    <w:rsid w:val="00621574"/>
    <w:rsid w:val="00621706"/>
    <w:rsid w:val="006217B0"/>
    <w:rsid w:val="00621868"/>
    <w:rsid w:val="00621DB2"/>
    <w:rsid w:val="00621E78"/>
    <w:rsid w:val="0062233E"/>
    <w:rsid w:val="00622558"/>
    <w:rsid w:val="0062264F"/>
    <w:rsid w:val="00622DE0"/>
    <w:rsid w:val="0062348B"/>
    <w:rsid w:val="00623657"/>
    <w:rsid w:val="00623BB1"/>
    <w:rsid w:val="00623E1C"/>
    <w:rsid w:val="00623FF0"/>
    <w:rsid w:val="00624702"/>
    <w:rsid w:val="006248F3"/>
    <w:rsid w:val="0062495D"/>
    <w:rsid w:val="00624F2B"/>
    <w:rsid w:val="006255B1"/>
    <w:rsid w:val="0062568D"/>
    <w:rsid w:val="0062653F"/>
    <w:rsid w:val="006275D5"/>
    <w:rsid w:val="00627834"/>
    <w:rsid w:val="00627DFE"/>
    <w:rsid w:val="00630127"/>
    <w:rsid w:val="006302B3"/>
    <w:rsid w:val="00630996"/>
    <w:rsid w:val="00630CD3"/>
    <w:rsid w:val="0063134E"/>
    <w:rsid w:val="00631726"/>
    <w:rsid w:val="00631881"/>
    <w:rsid w:val="00631FD5"/>
    <w:rsid w:val="00632388"/>
    <w:rsid w:val="00632515"/>
    <w:rsid w:val="00632861"/>
    <w:rsid w:val="00632869"/>
    <w:rsid w:val="00633139"/>
    <w:rsid w:val="0063317C"/>
    <w:rsid w:val="0063348E"/>
    <w:rsid w:val="006338D1"/>
    <w:rsid w:val="00633A93"/>
    <w:rsid w:val="00633BDD"/>
    <w:rsid w:val="0063414E"/>
    <w:rsid w:val="00634758"/>
    <w:rsid w:val="00634993"/>
    <w:rsid w:val="006349A8"/>
    <w:rsid w:val="0063505A"/>
    <w:rsid w:val="00635C9F"/>
    <w:rsid w:val="00635FD1"/>
    <w:rsid w:val="0063617A"/>
    <w:rsid w:val="00636216"/>
    <w:rsid w:val="006366F3"/>
    <w:rsid w:val="00636B32"/>
    <w:rsid w:val="00636B96"/>
    <w:rsid w:val="00636F32"/>
    <w:rsid w:val="00637109"/>
    <w:rsid w:val="006378A5"/>
    <w:rsid w:val="00637B2C"/>
    <w:rsid w:val="00640088"/>
    <w:rsid w:val="006402EE"/>
    <w:rsid w:val="00640384"/>
    <w:rsid w:val="0064065F"/>
    <w:rsid w:val="00640899"/>
    <w:rsid w:val="006408E2"/>
    <w:rsid w:val="006409D2"/>
    <w:rsid w:val="00640D2F"/>
    <w:rsid w:val="0064166B"/>
    <w:rsid w:val="00641A5C"/>
    <w:rsid w:val="00641BD9"/>
    <w:rsid w:val="006428EC"/>
    <w:rsid w:val="00642DDD"/>
    <w:rsid w:val="00642FE5"/>
    <w:rsid w:val="00643296"/>
    <w:rsid w:val="006435A0"/>
    <w:rsid w:val="006439D6"/>
    <w:rsid w:val="00644659"/>
    <w:rsid w:val="00644B9F"/>
    <w:rsid w:val="00644D5A"/>
    <w:rsid w:val="00644E71"/>
    <w:rsid w:val="006453C2"/>
    <w:rsid w:val="0064562C"/>
    <w:rsid w:val="006456B2"/>
    <w:rsid w:val="00645976"/>
    <w:rsid w:val="00646460"/>
    <w:rsid w:val="006467B4"/>
    <w:rsid w:val="006467DF"/>
    <w:rsid w:val="00646A6D"/>
    <w:rsid w:val="00646B23"/>
    <w:rsid w:val="00646EFB"/>
    <w:rsid w:val="00647213"/>
    <w:rsid w:val="00647469"/>
    <w:rsid w:val="00647839"/>
    <w:rsid w:val="00647F42"/>
    <w:rsid w:val="00647F66"/>
    <w:rsid w:val="00650A81"/>
    <w:rsid w:val="00651857"/>
    <w:rsid w:val="00651933"/>
    <w:rsid w:val="00651AE7"/>
    <w:rsid w:val="00651BC6"/>
    <w:rsid w:val="00651CCE"/>
    <w:rsid w:val="00651F5F"/>
    <w:rsid w:val="00651FFF"/>
    <w:rsid w:val="006521E3"/>
    <w:rsid w:val="00652898"/>
    <w:rsid w:val="00652A0E"/>
    <w:rsid w:val="00652E61"/>
    <w:rsid w:val="006531D7"/>
    <w:rsid w:val="006539A4"/>
    <w:rsid w:val="00653AB1"/>
    <w:rsid w:val="00653E0A"/>
    <w:rsid w:val="0065411A"/>
    <w:rsid w:val="006542D6"/>
    <w:rsid w:val="00654523"/>
    <w:rsid w:val="00654595"/>
    <w:rsid w:val="00654A30"/>
    <w:rsid w:val="00655601"/>
    <w:rsid w:val="00655C6A"/>
    <w:rsid w:val="00655CE1"/>
    <w:rsid w:val="00656E2A"/>
    <w:rsid w:val="00656F94"/>
    <w:rsid w:val="00657307"/>
    <w:rsid w:val="00657736"/>
    <w:rsid w:val="00657737"/>
    <w:rsid w:val="00657C87"/>
    <w:rsid w:val="00660079"/>
    <w:rsid w:val="006601FC"/>
    <w:rsid w:val="0066021E"/>
    <w:rsid w:val="0066050B"/>
    <w:rsid w:val="00660813"/>
    <w:rsid w:val="0066120B"/>
    <w:rsid w:val="0066144B"/>
    <w:rsid w:val="00661664"/>
    <w:rsid w:val="006621DE"/>
    <w:rsid w:val="00662541"/>
    <w:rsid w:val="00662D42"/>
    <w:rsid w:val="00662D65"/>
    <w:rsid w:val="00662EFC"/>
    <w:rsid w:val="00662F34"/>
    <w:rsid w:val="006632C9"/>
    <w:rsid w:val="0066343B"/>
    <w:rsid w:val="006634D8"/>
    <w:rsid w:val="00663563"/>
    <w:rsid w:val="00663B8D"/>
    <w:rsid w:val="00664546"/>
    <w:rsid w:val="00664FCB"/>
    <w:rsid w:val="0066501F"/>
    <w:rsid w:val="00665075"/>
    <w:rsid w:val="006651CE"/>
    <w:rsid w:val="0066520D"/>
    <w:rsid w:val="00665510"/>
    <w:rsid w:val="006657EA"/>
    <w:rsid w:val="00665A77"/>
    <w:rsid w:val="00666028"/>
    <w:rsid w:val="00666042"/>
    <w:rsid w:val="00666225"/>
    <w:rsid w:val="0066639B"/>
    <w:rsid w:val="006666CA"/>
    <w:rsid w:val="006667D3"/>
    <w:rsid w:val="006668AB"/>
    <w:rsid w:val="0066698D"/>
    <w:rsid w:val="00666A0F"/>
    <w:rsid w:val="00666E12"/>
    <w:rsid w:val="00666F14"/>
    <w:rsid w:val="00666FC5"/>
    <w:rsid w:val="006673DE"/>
    <w:rsid w:val="00667A10"/>
    <w:rsid w:val="00667B20"/>
    <w:rsid w:val="0067031F"/>
    <w:rsid w:val="00670774"/>
    <w:rsid w:val="006707F5"/>
    <w:rsid w:val="006709DE"/>
    <w:rsid w:val="00670AE6"/>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770F"/>
    <w:rsid w:val="0067781E"/>
    <w:rsid w:val="006779FA"/>
    <w:rsid w:val="0068048E"/>
    <w:rsid w:val="006809E7"/>
    <w:rsid w:val="00681C16"/>
    <w:rsid w:val="00681C4E"/>
    <w:rsid w:val="00681D8A"/>
    <w:rsid w:val="00681FCF"/>
    <w:rsid w:val="0068244E"/>
    <w:rsid w:val="00682A07"/>
    <w:rsid w:val="0068355A"/>
    <w:rsid w:val="00683877"/>
    <w:rsid w:val="006838B4"/>
    <w:rsid w:val="00683D7D"/>
    <w:rsid w:val="00683D97"/>
    <w:rsid w:val="0068455D"/>
    <w:rsid w:val="00684A1D"/>
    <w:rsid w:val="00684EA9"/>
    <w:rsid w:val="00684F40"/>
    <w:rsid w:val="0068512E"/>
    <w:rsid w:val="0068526E"/>
    <w:rsid w:val="00685549"/>
    <w:rsid w:val="00685767"/>
    <w:rsid w:val="00685F10"/>
    <w:rsid w:val="006861CD"/>
    <w:rsid w:val="00686686"/>
    <w:rsid w:val="00686AAA"/>
    <w:rsid w:val="00687AAA"/>
    <w:rsid w:val="00687CCE"/>
    <w:rsid w:val="00687E52"/>
    <w:rsid w:val="006902D5"/>
    <w:rsid w:val="00690451"/>
    <w:rsid w:val="00690776"/>
    <w:rsid w:val="00690AB8"/>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51C4"/>
    <w:rsid w:val="006957BF"/>
    <w:rsid w:val="00695834"/>
    <w:rsid w:val="00695CD7"/>
    <w:rsid w:val="006968F2"/>
    <w:rsid w:val="00696D3A"/>
    <w:rsid w:val="00696E6D"/>
    <w:rsid w:val="006972D4"/>
    <w:rsid w:val="006974A6"/>
    <w:rsid w:val="006A00CF"/>
    <w:rsid w:val="006A0835"/>
    <w:rsid w:val="006A0D68"/>
    <w:rsid w:val="006A129B"/>
    <w:rsid w:val="006A17DB"/>
    <w:rsid w:val="006A2BA1"/>
    <w:rsid w:val="006A2C46"/>
    <w:rsid w:val="006A4343"/>
    <w:rsid w:val="006A498A"/>
    <w:rsid w:val="006A5A79"/>
    <w:rsid w:val="006A668F"/>
    <w:rsid w:val="006A696D"/>
    <w:rsid w:val="006A6971"/>
    <w:rsid w:val="006A6BB1"/>
    <w:rsid w:val="006A6DE4"/>
    <w:rsid w:val="006A6EAB"/>
    <w:rsid w:val="006A73B0"/>
    <w:rsid w:val="006A74E9"/>
    <w:rsid w:val="006A76C2"/>
    <w:rsid w:val="006A789D"/>
    <w:rsid w:val="006A7C31"/>
    <w:rsid w:val="006B004D"/>
    <w:rsid w:val="006B0490"/>
    <w:rsid w:val="006B079B"/>
    <w:rsid w:val="006B07E8"/>
    <w:rsid w:val="006B083F"/>
    <w:rsid w:val="006B09C8"/>
    <w:rsid w:val="006B0C9A"/>
    <w:rsid w:val="006B0DEF"/>
    <w:rsid w:val="006B11BE"/>
    <w:rsid w:val="006B174A"/>
    <w:rsid w:val="006B1F6A"/>
    <w:rsid w:val="006B26ED"/>
    <w:rsid w:val="006B2920"/>
    <w:rsid w:val="006B2C67"/>
    <w:rsid w:val="006B3551"/>
    <w:rsid w:val="006B3AE4"/>
    <w:rsid w:val="006B3BED"/>
    <w:rsid w:val="006B41B8"/>
    <w:rsid w:val="006B4544"/>
    <w:rsid w:val="006B4F40"/>
    <w:rsid w:val="006B52F3"/>
    <w:rsid w:val="006B55B8"/>
    <w:rsid w:val="006B561D"/>
    <w:rsid w:val="006B5EC1"/>
    <w:rsid w:val="006B6145"/>
    <w:rsid w:val="006B6295"/>
    <w:rsid w:val="006B6468"/>
    <w:rsid w:val="006B65C7"/>
    <w:rsid w:val="006B68D6"/>
    <w:rsid w:val="006B6C5E"/>
    <w:rsid w:val="006B6C9D"/>
    <w:rsid w:val="006B7A42"/>
    <w:rsid w:val="006C0441"/>
    <w:rsid w:val="006C070C"/>
    <w:rsid w:val="006C072A"/>
    <w:rsid w:val="006C0B1B"/>
    <w:rsid w:val="006C0B58"/>
    <w:rsid w:val="006C0E2A"/>
    <w:rsid w:val="006C14E1"/>
    <w:rsid w:val="006C1535"/>
    <w:rsid w:val="006C1C96"/>
    <w:rsid w:val="006C1ED5"/>
    <w:rsid w:val="006C22C8"/>
    <w:rsid w:val="006C2330"/>
    <w:rsid w:val="006C2697"/>
    <w:rsid w:val="006C28BE"/>
    <w:rsid w:val="006C2BC5"/>
    <w:rsid w:val="006C31D5"/>
    <w:rsid w:val="006C3654"/>
    <w:rsid w:val="006C3F66"/>
    <w:rsid w:val="006C3F85"/>
    <w:rsid w:val="006C40BC"/>
    <w:rsid w:val="006C41DD"/>
    <w:rsid w:val="006C471E"/>
    <w:rsid w:val="006C50F9"/>
    <w:rsid w:val="006C55F3"/>
    <w:rsid w:val="006C560F"/>
    <w:rsid w:val="006C6329"/>
    <w:rsid w:val="006C64FC"/>
    <w:rsid w:val="006C68BD"/>
    <w:rsid w:val="006C6BCF"/>
    <w:rsid w:val="006C7BA2"/>
    <w:rsid w:val="006D01F6"/>
    <w:rsid w:val="006D07DD"/>
    <w:rsid w:val="006D07FC"/>
    <w:rsid w:val="006D0839"/>
    <w:rsid w:val="006D099F"/>
    <w:rsid w:val="006D106C"/>
    <w:rsid w:val="006D124D"/>
    <w:rsid w:val="006D16A3"/>
    <w:rsid w:val="006D175A"/>
    <w:rsid w:val="006D1C74"/>
    <w:rsid w:val="006D1F1D"/>
    <w:rsid w:val="006D215B"/>
    <w:rsid w:val="006D2AE0"/>
    <w:rsid w:val="006D2F7E"/>
    <w:rsid w:val="006D38FC"/>
    <w:rsid w:val="006D393C"/>
    <w:rsid w:val="006D4157"/>
    <w:rsid w:val="006D4167"/>
    <w:rsid w:val="006D42CC"/>
    <w:rsid w:val="006D4444"/>
    <w:rsid w:val="006D48A6"/>
    <w:rsid w:val="006D5296"/>
    <w:rsid w:val="006D53ED"/>
    <w:rsid w:val="006D55D4"/>
    <w:rsid w:val="006D5733"/>
    <w:rsid w:val="006D5747"/>
    <w:rsid w:val="006D58EB"/>
    <w:rsid w:val="006D5959"/>
    <w:rsid w:val="006D5A8A"/>
    <w:rsid w:val="006D627E"/>
    <w:rsid w:val="006D6413"/>
    <w:rsid w:val="006D66F8"/>
    <w:rsid w:val="006D7075"/>
    <w:rsid w:val="006D78C5"/>
    <w:rsid w:val="006D7A4C"/>
    <w:rsid w:val="006E04B6"/>
    <w:rsid w:val="006E091D"/>
    <w:rsid w:val="006E0FC3"/>
    <w:rsid w:val="006E104F"/>
    <w:rsid w:val="006E15EB"/>
    <w:rsid w:val="006E1AC6"/>
    <w:rsid w:val="006E1B68"/>
    <w:rsid w:val="006E20D9"/>
    <w:rsid w:val="006E27EB"/>
    <w:rsid w:val="006E3076"/>
    <w:rsid w:val="006E32F7"/>
    <w:rsid w:val="006E458C"/>
    <w:rsid w:val="006E496B"/>
    <w:rsid w:val="006E4BE4"/>
    <w:rsid w:val="006E4BFD"/>
    <w:rsid w:val="006E51D5"/>
    <w:rsid w:val="006E5C87"/>
    <w:rsid w:val="006E7BAF"/>
    <w:rsid w:val="006E7BC8"/>
    <w:rsid w:val="006F0200"/>
    <w:rsid w:val="006F0440"/>
    <w:rsid w:val="006F0473"/>
    <w:rsid w:val="006F06DE"/>
    <w:rsid w:val="006F09D3"/>
    <w:rsid w:val="006F0DCC"/>
    <w:rsid w:val="006F0ED0"/>
    <w:rsid w:val="006F15C3"/>
    <w:rsid w:val="006F1611"/>
    <w:rsid w:val="006F16B5"/>
    <w:rsid w:val="006F1812"/>
    <w:rsid w:val="006F1AE4"/>
    <w:rsid w:val="006F22B6"/>
    <w:rsid w:val="006F22CA"/>
    <w:rsid w:val="006F230A"/>
    <w:rsid w:val="006F2861"/>
    <w:rsid w:val="006F3820"/>
    <w:rsid w:val="006F387B"/>
    <w:rsid w:val="006F38C2"/>
    <w:rsid w:val="006F3A0C"/>
    <w:rsid w:val="006F41DC"/>
    <w:rsid w:val="006F41E7"/>
    <w:rsid w:val="006F496C"/>
    <w:rsid w:val="006F4985"/>
    <w:rsid w:val="006F4D17"/>
    <w:rsid w:val="006F4E1B"/>
    <w:rsid w:val="006F4EFB"/>
    <w:rsid w:val="006F55FE"/>
    <w:rsid w:val="006F5653"/>
    <w:rsid w:val="006F58E0"/>
    <w:rsid w:val="006F5D24"/>
    <w:rsid w:val="006F5F52"/>
    <w:rsid w:val="006F669F"/>
    <w:rsid w:val="006F6D9C"/>
    <w:rsid w:val="006F6DCE"/>
    <w:rsid w:val="006F6F9D"/>
    <w:rsid w:val="006F7931"/>
    <w:rsid w:val="006F7DCE"/>
    <w:rsid w:val="00700155"/>
    <w:rsid w:val="007001F0"/>
    <w:rsid w:val="0070046E"/>
    <w:rsid w:val="00700F67"/>
    <w:rsid w:val="00701054"/>
    <w:rsid w:val="007017F3"/>
    <w:rsid w:val="00701A4C"/>
    <w:rsid w:val="00701C28"/>
    <w:rsid w:val="00701E61"/>
    <w:rsid w:val="007021B9"/>
    <w:rsid w:val="007021FD"/>
    <w:rsid w:val="007024D5"/>
    <w:rsid w:val="00702A28"/>
    <w:rsid w:val="00702A46"/>
    <w:rsid w:val="00702BA1"/>
    <w:rsid w:val="00702BE3"/>
    <w:rsid w:val="00702D30"/>
    <w:rsid w:val="00702D6F"/>
    <w:rsid w:val="00702EF6"/>
    <w:rsid w:val="00702F9D"/>
    <w:rsid w:val="007035C3"/>
    <w:rsid w:val="00703A08"/>
    <w:rsid w:val="00703BB4"/>
    <w:rsid w:val="00703D77"/>
    <w:rsid w:val="007041DA"/>
    <w:rsid w:val="0070438C"/>
    <w:rsid w:val="007044A3"/>
    <w:rsid w:val="00704693"/>
    <w:rsid w:val="00705122"/>
    <w:rsid w:val="00705B0F"/>
    <w:rsid w:val="00705D05"/>
    <w:rsid w:val="00705D60"/>
    <w:rsid w:val="0070614F"/>
    <w:rsid w:val="007061CF"/>
    <w:rsid w:val="007064AA"/>
    <w:rsid w:val="00706F80"/>
    <w:rsid w:val="00707582"/>
    <w:rsid w:val="00707F3D"/>
    <w:rsid w:val="007101C0"/>
    <w:rsid w:val="007102C9"/>
    <w:rsid w:val="00710937"/>
    <w:rsid w:val="00710D0A"/>
    <w:rsid w:val="00710ED9"/>
    <w:rsid w:val="007110F6"/>
    <w:rsid w:val="007113B5"/>
    <w:rsid w:val="0071176E"/>
    <w:rsid w:val="00711ADB"/>
    <w:rsid w:val="007120B5"/>
    <w:rsid w:val="0071213C"/>
    <w:rsid w:val="0071237C"/>
    <w:rsid w:val="00712419"/>
    <w:rsid w:val="007125DD"/>
    <w:rsid w:val="00712D88"/>
    <w:rsid w:val="0071324E"/>
    <w:rsid w:val="00713329"/>
    <w:rsid w:val="00713E03"/>
    <w:rsid w:val="00714092"/>
    <w:rsid w:val="007142C8"/>
    <w:rsid w:val="00714FF3"/>
    <w:rsid w:val="0071528B"/>
    <w:rsid w:val="00715570"/>
    <w:rsid w:val="00715765"/>
    <w:rsid w:val="00715CF7"/>
    <w:rsid w:val="00715EC6"/>
    <w:rsid w:val="00715FE5"/>
    <w:rsid w:val="00716203"/>
    <w:rsid w:val="00716434"/>
    <w:rsid w:val="007166CA"/>
    <w:rsid w:val="00716AAC"/>
    <w:rsid w:val="00716D5C"/>
    <w:rsid w:val="00717F9B"/>
    <w:rsid w:val="00720844"/>
    <w:rsid w:val="00720D50"/>
    <w:rsid w:val="00721154"/>
    <w:rsid w:val="00722034"/>
    <w:rsid w:val="0072231E"/>
    <w:rsid w:val="00722826"/>
    <w:rsid w:val="00722B6A"/>
    <w:rsid w:val="00722E0A"/>
    <w:rsid w:val="00722E90"/>
    <w:rsid w:val="00722ED1"/>
    <w:rsid w:val="00723207"/>
    <w:rsid w:val="00723438"/>
    <w:rsid w:val="0072355C"/>
    <w:rsid w:val="00723756"/>
    <w:rsid w:val="0072388F"/>
    <w:rsid w:val="00723F15"/>
    <w:rsid w:val="007248A0"/>
    <w:rsid w:val="00724E68"/>
    <w:rsid w:val="007250FE"/>
    <w:rsid w:val="0072521E"/>
    <w:rsid w:val="00725417"/>
    <w:rsid w:val="00725D42"/>
    <w:rsid w:val="00725E7F"/>
    <w:rsid w:val="007262FF"/>
    <w:rsid w:val="007264A1"/>
    <w:rsid w:val="007265E5"/>
    <w:rsid w:val="007269B6"/>
    <w:rsid w:val="007269FB"/>
    <w:rsid w:val="00726B29"/>
    <w:rsid w:val="00726FD0"/>
    <w:rsid w:val="007272C4"/>
    <w:rsid w:val="007277D1"/>
    <w:rsid w:val="007278B2"/>
    <w:rsid w:val="007278EA"/>
    <w:rsid w:val="00727DBB"/>
    <w:rsid w:val="00727F80"/>
    <w:rsid w:val="007303EE"/>
    <w:rsid w:val="007305AB"/>
    <w:rsid w:val="007306AD"/>
    <w:rsid w:val="0073081C"/>
    <w:rsid w:val="00730A01"/>
    <w:rsid w:val="00730ECD"/>
    <w:rsid w:val="00731702"/>
    <w:rsid w:val="007318D7"/>
    <w:rsid w:val="00731A9C"/>
    <w:rsid w:val="00731D3F"/>
    <w:rsid w:val="00732945"/>
    <w:rsid w:val="00732E56"/>
    <w:rsid w:val="00732F6E"/>
    <w:rsid w:val="007330CE"/>
    <w:rsid w:val="0073353E"/>
    <w:rsid w:val="00733838"/>
    <w:rsid w:val="00733A82"/>
    <w:rsid w:val="00733EA9"/>
    <w:rsid w:val="0073441E"/>
    <w:rsid w:val="00734695"/>
    <w:rsid w:val="0073524B"/>
    <w:rsid w:val="00735315"/>
    <w:rsid w:val="007359D1"/>
    <w:rsid w:val="00735A94"/>
    <w:rsid w:val="00735FCF"/>
    <w:rsid w:val="0073636E"/>
    <w:rsid w:val="00736F5B"/>
    <w:rsid w:val="00736F74"/>
    <w:rsid w:val="007375E6"/>
    <w:rsid w:val="007377F3"/>
    <w:rsid w:val="00740705"/>
    <w:rsid w:val="007407A3"/>
    <w:rsid w:val="00740801"/>
    <w:rsid w:val="007408A9"/>
    <w:rsid w:val="00740979"/>
    <w:rsid w:val="00740BD4"/>
    <w:rsid w:val="00740EB4"/>
    <w:rsid w:val="007413D1"/>
    <w:rsid w:val="00741497"/>
    <w:rsid w:val="0074149E"/>
    <w:rsid w:val="00741C7E"/>
    <w:rsid w:val="00741DBF"/>
    <w:rsid w:val="00741FCD"/>
    <w:rsid w:val="007420C7"/>
    <w:rsid w:val="00742426"/>
    <w:rsid w:val="00742600"/>
    <w:rsid w:val="0074266A"/>
    <w:rsid w:val="00742AFE"/>
    <w:rsid w:val="00742E40"/>
    <w:rsid w:val="00742F94"/>
    <w:rsid w:val="0074318C"/>
    <w:rsid w:val="00743275"/>
    <w:rsid w:val="007433CD"/>
    <w:rsid w:val="00744017"/>
    <w:rsid w:val="00744082"/>
    <w:rsid w:val="00744186"/>
    <w:rsid w:val="007445B8"/>
    <w:rsid w:val="00744C67"/>
    <w:rsid w:val="0074537F"/>
    <w:rsid w:val="00745590"/>
    <w:rsid w:val="00746118"/>
    <w:rsid w:val="007464CF"/>
    <w:rsid w:val="007469E8"/>
    <w:rsid w:val="0074712E"/>
    <w:rsid w:val="007471B4"/>
    <w:rsid w:val="007479A3"/>
    <w:rsid w:val="007502D0"/>
    <w:rsid w:val="00750878"/>
    <w:rsid w:val="00750A3C"/>
    <w:rsid w:val="00750ACE"/>
    <w:rsid w:val="00750E89"/>
    <w:rsid w:val="00751677"/>
    <w:rsid w:val="0075176C"/>
    <w:rsid w:val="00751B01"/>
    <w:rsid w:val="00752041"/>
    <w:rsid w:val="007520C0"/>
    <w:rsid w:val="00752224"/>
    <w:rsid w:val="007523C1"/>
    <w:rsid w:val="0075243C"/>
    <w:rsid w:val="007538DD"/>
    <w:rsid w:val="0075394B"/>
    <w:rsid w:val="00753B94"/>
    <w:rsid w:val="00753C35"/>
    <w:rsid w:val="0075430F"/>
    <w:rsid w:val="007545C4"/>
    <w:rsid w:val="00754838"/>
    <w:rsid w:val="00755E44"/>
    <w:rsid w:val="00755FF8"/>
    <w:rsid w:val="00756090"/>
    <w:rsid w:val="00756B7B"/>
    <w:rsid w:val="00756C84"/>
    <w:rsid w:val="0075718E"/>
    <w:rsid w:val="007574E5"/>
    <w:rsid w:val="00757DCD"/>
    <w:rsid w:val="007600E7"/>
    <w:rsid w:val="00760268"/>
    <w:rsid w:val="0076033D"/>
    <w:rsid w:val="0076059C"/>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73B3"/>
    <w:rsid w:val="007675D2"/>
    <w:rsid w:val="007676DA"/>
    <w:rsid w:val="007678BE"/>
    <w:rsid w:val="00767A61"/>
    <w:rsid w:val="00767F6B"/>
    <w:rsid w:val="007704E6"/>
    <w:rsid w:val="00770639"/>
    <w:rsid w:val="00770748"/>
    <w:rsid w:val="00770888"/>
    <w:rsid w:val="00771503"/>
    <w:rsid w:val="007716CD"/>
    <w:rsid w:val="00771C1D"/>
    <w:rsid w:val="00771E8B"/>
    <w:rsid w:val="00771F46"/>
    <w:rsid w:val="0077201D"/>
    <w:rsid w:val="007724B1"/>
    <w:rsid w:val="007725E6"/>
    <w:rsid w:val="0077294E"/>
    <w:rsid w:val="0077320F"/>
    <w:rsid w:val="007733A9"/>
    <w:rsid w:val="0077369A"/>
    <w:rsid w:val="00773772"/>
    <w:rsid w:val="00773CEE"/>
    <w:rsid w:val="00774349"/>
    <w:rsid w:val="0077560B"/>
    <w:rsid w:val="00775777"/>
    <w:rsid w:val="007759A6"/>
    <w:rsid w:val="00775F31"/>
    <w:rsid w:val="0077606A"/>
    <w:rsid w:val="00776753"/>
    <w:rsid w:val="00776B79"/>
    <w:rsid w:val="00776C6B"/>
    <w:rsid w:val="00776D10"/>
    <w:rsid w:val="00776D5A"/>
    <w:rsid w:val="00777482"/>
    <w:rsid w:val="007778B6"/>
    <w:rsid w:val="00777A20"/>
    <w:rsid w:val="00777ABB"/>
    <w:rsid w:val="00777EC0"/>
    <w:rsid w:val="0078091A"/>
    <w:rsid w:val="00780D3A"/>
    <w:rsid w:val="00780E21"/>
    <w:rsid w:val="00781024"/>
    <w:rsid w:val="007816EF"/>
    <w:rsid w:val="00781859"/>
    <w:rsid w:val="00781D7E"/>
    <w:rsid w:val="00781F08"/>
    <w:rsid w:val="00781FF3"/>
    <w:rsid w:val="00782451"/>
    <w:rsid w:val="00782AFB"/>
    <w:rsid w:val="00783406"/>
    <w:rsid w:val="007834FF"/>
    <w:rsid w:val="00783900"/>
    <w:rsid w:val="00783948"/>
    <w:rsid w:val="00783F1B"/>
    <w:rsid w:val="00784177"/>
    <w:rsid w:val="0078421E"/>
    <w:rsid w:val="007842F1"/>
    <w:rsid w:val="00784516"/>
    <w:rsid w:val="00784C51"/>
    <w:rsid w:val="00784D00"/>
    <w:rsid w:val="00784D3A"/>
    <w:rsid w:val="0078506F"/>
    <w:rsid w:val="007850B6"/>
    <w:rsid w:val="007858CF"/>
    <w:rsid w:val="0078594E"/>
    <w:rsid w:val="007859A8"/>
    <w:rsid w:val="00785A5B"/>
    <w:rsid w:val="00785CCB"/>
    <w:rsid w:val="00786319"/>
    <w:rsid w:val="00786418"/>
    <w:rsid w:val="00786442"/>
    <w:rsid w:val="00786649"/>
    <w:rsid w:val="0078673D"/>
    <w:rsid w:val="00786C42"/>
    <w:rsid w:val="00786E4F"/>
    <w:rsid w:val="00786ED1"/>
    <w:rsid w:val="007879EE"/>
    <w:rsid w:val="00787BAE"/>
    <w:rsid w:val="00787DE3"/>
    <w:rsid w:val="00787EE4"/>
    <w:rsid w:val="0079016D"/>
    <w:rsid w:val="00790182"/>
    <w:rsid w:val="00790324"/>
    <w:rsid w:val="007912F7"/>
    <w:rsid w:val="00791307"/>
    <w:rsid w:val="007914FC"/>
    <w:rsid w:val="00791514"/>
    <w:rsid w:val="00791BFA"/>
    <w:rsid w:val="00792855"/>
    <w:rsid w:val="00792C4A"/>
    <w:rsid w:val="00792DAD"/>
    <w:rsid w:val="00792DAF"/>
    <w:rsid w:val="007931E0"/>
    <w:rsid w:val="00793629"/>
    <w:rsid w:val="007937F3"/>
    <w:rsid w:val="0079386D"/>
    <w:rsid w:val="00793A32"/>
    <w:rsid w:val="00793CDA"/>
    <w:rsid w:val="00793E6A"/>
    <w:rsid w:val="0079443A"/>
    <w:rsid w:val="007945E8"/>
    <w:rsid w:val="0079467C"/>
    <w:rsid w:val="00794862"/>
    <w:rsid w:val="0079488C"/>
    <w:rsid w:val="00794B2C"/>
    <w:rsid w:val="007951F2"/>
    <w:rsid w:val="00795E1B"/>
    <w:rsid w:val="007965A0"/>
    <w:rsid w:val="00796658"/>
    <w:rsid w:val="00796BD8"/>
    <w:rsid w:val="00796F96"/>
    <w:rsid w:val="0079781C"/>
    <w:rsid w:val="007A05DD"/>
    <w:rsid w:val="007A06B0"/>
    <w:rsid w:val="007A0955"/>
    <w:rsid w:val="007A0A19"/>
    <w:rsid w:val="007A0AFE"/>
    <w:rsid w:val="007A1273"/>
    <w:rsid w:val="007A12D6"/>
    <w:rsid w:val="007A1C02"/>
    <w:rsid w:val="007A1D5C"/>
    <w:rsid w:val="007A23A9"/>
    <w:rsid w:val="007A274B"/>
    <w:rsid w:val="007A2BC9"/>
    <w:rsid w:val="007A2E27"/>
    <w:rsid w:val="007A3386"/>
    <w:rsid w:val="007A3701"/>
    <w:rsid w:val="007A3AC7"/>
    <w:rsid w:val="007A3B9A"/>
    <w:rsid w:val="007A4A10"/>
    <w:rsid w:val="007A4ABE"/>
    <w:rsid w:val="007A4DD5"/>
    <w:rsid w:val="007A5017"/>
    <w:rsid w:val="007A5064"/>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A7B40"/>
    <w:rsid w:val="007B0125"/>
    <w:rsid w:val="007B02D8"/>
    <w:rsid w:val="007B09BE"/>
    <w:rsid w:val="007B0B9C"/>
    <w:rsid w:val="007B0C30"/>
    <w:rsid w:val="007B0CCD"/>
    <w:rsid w:val="007B118A"/>
    <w:rsid w:val="007B12A6"/>
    <w:rsid w:val="007B1432"/>
    <w:rsid w:val="007B17DF"/>
    <w:rsid w:val="007B18E3"/>
    <w:rsid w:val="007B1B2A"/>
    <w:rsid w:val="007B1CFA"/>
    <w:rsid w:val="007B212F"/>
    <w:rsid w:val="007B290B"/>
    <w:rsid w:val="007B313E"/>
    <w:rsid w:val="007B32A8"/>
    <w:rsid w:val="007B3415"/>
    <w:rsid w:val="007B3C09"/>
    <w:rsid w:val="007B3C3D"/>
    <w:rsid w:val="007B3EA1"/>
    <w:rsid w:val="007B3FAA"/>
    <w:rsid w:val="007B3FBC"/>
    <w:rsid w:val="007B40F8"/>
    <w:rsid w:val="007B413F"/>
    <w:rsid w:val="007B429F"/>
    <w:rsid w:val="007B4B50"/>
    <w:rsid w:val="007B5201"/>
    <w:rsid w:val="007B53F5"/>
    <w:rsid w:val="007B55BF"/>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A54"/>
    <w:rsid w:val="007C0A85"/>
    <w:rsid w:val="007C0B76"/>
    <w:rsid w:val="007C0E20"/>
    <w:rsid w:val="007C0EC9"/>
    <w:rsid w:val="007C0EF7"/>
    <w:rsid w:val="007C1012"/>
    <w:rsid w:val="007C112A"/>
    <w:rsid w:val="007C15AA"/>
    <w:rsid w:val="007C217B"/>
    <w:rsid w:val="007C2555"/>
    <w:rsid w:val="007C2A90"/>
    <w:rsid w:val="007C2AB7"/>
    <w:rsid w:val="007C2E62"/>
    <w:rsid w:val="007C35F7"/>
    <w:rsid w:val="007C451D"/>
    <w:rsid w:val="007C45E0"/>
    <w:rsid w:val="007C474B"/>
    <w:rsid w:val="007C48E0"/>
    <w:rsid w:val="007C5152"/>
    <w:rsid w:val="007C56F6"/>
    <w:rsid w:val="007C5C0C"/>
    <w:rsid w:val="007C5E2A"/>
    <w:rsid w:val="007C5EB3"/>
    <w:rsid w:val="007C5EED"/>
    <w:rsid w:val="007C654A"/>
    <w:rsid w:val="007C659D"/>
    <w:rsid w:val="007C6B42"/>
    <w:rsid w:val="007C70FF"/>
    <w:rsid w:val="007C747C"/>
    <w:rsid w:val="007C74E7"/>
    <w:rsid w:val="007C7FD7"/>
    <w:rsid w:val="007D0732"/>
    <w:rsid w:val="007D0838"/>
    <w:rsid w:val="007D09C6"/>
    <w:rsid w:val="007D149A"/>
    <w:rsid w:val="007D15B6"/>
    <w:rsid w:val="007D1709"/>
    <w:rsid w:val="007D199C"/>
    <w:rsid w:val="007D1C7B"/>
    <w:rsid w:val="007D1C9B"/>
    <w:rsid w:val="007D1CBF"/>
    <w:rsid w:val="007D1E98"/>
    <w:rsid w:val="007D1EFF"/>
    <w:rsid w:val="007D1F35"/>
    <w:rsid w:val="007D22A1"/>
    <w:rsid w:val="007D22FB"/>
    <w:rsid w:val="007D23E1"/>
    <w:rsid w:val="007D2652"/>
    <w:rsid w:val="007D269F"/>
    <w:rsid w:val="007D2853"/>
    <w:rsid w:val="007D2C06"/>
    <w:rsid w:val="007D2D7F"/>
    <w:rsid w:val="007D36F5"/>
    <w:rsid w:val="007D3705"/>
    <w:rsid w:val="007D4266"/>
    <w:rsid w:val="007D4C5E"/>
    <w:rsid w:val="007D5491"/>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157B"/>
    <w:rsid w:val="007E2354"/>
    <w:rsid w:val="007E253C"/>
    <w:rsid w:val="007E25A1"/>
    <w:rsid w:val="007E2907"/>
    <w:rsid w:val="007E29A4"/>
    <w:rsid w:val="007E2AE4"/>
    <w:rsid w:val="007E2B78"/>
    <w:rsid w:val="007E2E78"/>
    <w:rsid w:val="007E3699"/>
    <w:rsid w:val="007E369A"/>
    <w:rsid w:val="007E36A7"/>
    <w:rsid w:val="007E3EEF"/>
    <w:rsid w:val="007E4678"/>
    <w:rsid w:val="007E4C05"/>
    <w:rsid w:val="007E4CFB"/>
    <w:rsid w:val="007E4EEB"/>
    <w:rsid w:val="007E51D9"/>
    <w:rsid w:val="007E52BE"/>
    <w:rsid w:val="007E5403"/>
    <w:rsid w:val="007E5F35"/>
    <w:rsid w:val="007E65DE"/>
    <w:rsid w:val="007E774C"/>
    <w:rsid w:val="007F0009"/>
    <w:rsid w:val="007F0713"/>
    <w:rsid w:val="007F08B9"/>
    <w:rsid w:val="007F0AFF"/>
    <w:rsid w:val="007F122C"/>
    <w:rsid w:val="007F1488"/>
    <w:rsid w:val="007F283C"/>
    <w:rsid w:val="007F2A6C"/>
    <w:rsid w:val="007F2BF4"/>
    <w:rsid w:val="007F2EB6"/>
    <w:rsid w:val="007F4039"/>
    <w:rsid w:val="007F467D"/>
    <w:rsid w:val="007F4AFA"/>
    <w:rsid w:val="007F4EDD"/>
    <w:rsid w:val="007F4FFB"/>
    <w:rsid w:val="007F510E"/>
    <w:rsid w:val="007F5495"/>
    <w:rsid w:val="007F54CA"/>
    <w:rsid w:val="007F5789"/>
    <w:rsid w:val="007F5F22"/>
    <w:rsid w:val="007F64D0"/>
    <w:rsid w:val="007F66AF"/>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5E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AA2"/>
    <w:rsid w:val="00811B85"/>
    <w:rsid w:val="0081230D"/>
    <w:rsid w:val="00812325"/>
    <w:rsid w:val="00812857"/>
    <w:rsid w:val="00812EAA"/>
    <w:rsid w:val="0081322C"/>
    <w:rsid w:val="008132D5"/>
    <w:rsid w:val="00813EDA"/>
    <w:rsid w:val="00814764"/>
    <w:rsid w:val="008148A5"/>
    <w:rsid w:val="008149F5"/>
    <w:rsid w:val="00814AAF"/>
    <w:rsid w:val="00814D92"/>
    <w:rsid w:val="008152FD"/>
    <w:rsid w:val="008154A4"/>
    <w:rsid w:val="008160C5"/>
    <w:rsid w:val="00816648"/>
    <w:rsid w:val="00816CA3"/>
    <w:rsid w:val="00816E18"/>
    <w:rsid w:val="00816E28"/>
    <w:rsid w:val="0081783F"/>
    <w:rsid w:val="00817B90"/>
    <w:rsid w:val="00817CB4"/>
    <w:rsid w:val="008204E0"/>
    <w:rsid w:val="00820F14"/>
    <w:rsid w:val="00820F5D"/>
    <w:rsid w:val="0082140F"/>
    <w:rsid w:val="00821624"/>
    <w:rsid w:val="00821724"/>
    <w:rsid w:val="00821EA0"/>
    <w:rsid w:val="00821F49"/>
    <w:rsid w:val="0082230C"/>
    <w:rsid w:val="00822571"/>
    <w:rsid w:val="0082262C"/>
    <w:rsid w:val="00822CCF"/>
    <w:rsid w:val="0082366C"/>
    <w:rsid w:val="00823DA2"/>
    <w:rsid w:val="00823DCC"/>
    <w:rsid w:val="00823FDF"/>
    <w:rsid w:val="00824295"/>
    <w:rsid w:val="008244FE"/>
    <w:rsid w:val="00824594"/>
    <w:rsid w:val="00824856"/>
    <w:rsid w:val="0082494C"/>
    <w:rsid w:val="00825200"/>
    <w:rsid w:val="0082527D"/>
    <w:rsid w:val="008252D3"/>
    <w:rsid w:val="00825328"/>
    <w:rsid w:val="0082561A"/>
    <w:rsid w:val="008256CF"/>
    <w:rsid w:val="00825741"/>
    <w:rsid w:val="008259AF"/>
    <w:rsid w:val="00825BFF"/>
    <w:rsid w:val="00826060"/>
    <w:rsid w:val="0082655A"/>
    <w:rsid w:val="00826C8C"/>
    <w:rsid w:val="0082709A"/>
    <w:rsid w:val="00827311"/>
    <w:rsid w:val="00827683"/>
    <w:rsid w:val="00827B91"/>
    <w:rsid w:val="00827D51"/>
    <w:rsid w:val="00830601"/>
    <w:rsid w:val="00831873"/>
    <w:rsid w:val="0083196C"/>
    <w:rsid w:val="00831999"/>
    <w:rsid w:val="00831CEA"/>
    <w:rsid w:val="00831D72"/>
    <w:rsid w:val="008323F9"/>
    <w:rsid w:val="008324BD"/>
    <w:rsid w:val="00832E48"/>
    <w:rsid w:val="00833036"/>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7811"/>
    <w:rsid w:val="0083785F"/>
    <w:rsid w:val="00837973"/>
    <w:rsid w:val="00837DD6"/>
    <w:rsid w:val="0084043B"/>
    <w:rsid w:val="008407D5"/>
    <w:rsid w:val="00840822"/>
    <w:rsid w:val="00840C0D"/>
    <w:rsid w:val="00840E07"/>
    <w:rsid w:val="00840E20"/>
    <w:rsid w:val="00840FCD"/>
    <w:rsid w:val="00841252"/>
    <w:rsid w:val="00841438"/>
    <w:rsid w:val="008415C4"/>
    <w:rsid w:val="00841710"/>
    <w:rsid w:val="00841DC5"/>
    <w:rsid w:val="00841E75"/>
    <w:rsid w:val="008420D8"/>
    <w:rsid w:val="0084220B"/>
    <w:rsid w:val="0084348C"/>
    <w:rsid w:val="008443D5"/>
    <w:rsid w:val="00844462"/>
    <w:rsid w:val="008444D3"/>
    <w:rsid w:val="00844726"/>
    <w:rsid w:val="00844983"/>
    <w:rsid w:val="00844EFB"/>
    <w:rsid w:val="00844F5C"/>
    <w:rsid w:val="008450B9"/>
    <w:rsid w:val="00845322"/>
    <w:rsid w:val="008459CD"/>
    <w:rsid w:val="00845D64"/>
    <w:rsid w:val="00845D66"/>
    <w:rsid w:val="00845EF7"/>
    <w:rsid w:val="008461BB"/>
    <w:rsid w:val="00846866"/>
    <w:rsid w:val="008469F5"/>
    <w:rsid w:val="00846CD6"/>
    <w:rsid w:val="008472B0"/>
    <w:rsid w:val="00847565"/>
    <w:rsid w:val="00847B21"/>
    <w:rsid w:val="00847D2B"/>
    <w:rsid w:val="00847E0E"/>
    <w:rsid w:val="0085040C"/>
    <w:rsid w:val="00850A3E"/>
    <w:rsid w:val="00850E30"/>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7B4"/>
    <w:rsid w:val="00854947"/>
    <w:rsid w:val="00854A63"/>
    <w:rsid w:val="00854C37"/>
    <w:rsid w:val="00855229"/>
    <w:rsid w:val="008554D4"/>
    <w:rsid w:val="008556D1"/>
    <w:rsid w:val="008559BA"/>
    <w:rsid w:val="008559EE"/>
    <w:rsid w:val="00855B07"/>
    <w:rsid w:val="00855CDF"/>
    <w:rsid w:val="008563A0"/>
    <w:rsid w:val="00856584"/>
    <w:rsid w:val="00856CF5"/>
    <w:rsid w:val="00856EB8"/>
    <w:rsid w:val="00857336"/>
    <w:rsid w:val="008576D8"/>
    <w:rsid w:val="0085775B"/>
    <w:rsid w:val="00857A90"/>
    <w:rsid w:val="0086020E"/>
    <w:rsid w:val="00860AC8"/>
    <w:rsid w:val="00860DB5"/>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265"/>
    <w:rsid w:val="00865663"/>
    <w:rsid w:val="008657C6"/>
    <w:rsid w:val="008657E5"/>
    <w:rsid w:val="008658AF"/>
    <w:rsid w:val="008659D2"/>
    <w:rsid w:val="00865C32"/>
    <w:rsid w:val="00865C42"/>
    <w:rsid w:val="00865D09"/>
    <w:rsid w:val="00866852"/>
    <w:rsid w:val="00866B35"/>
    <w:rsid w:val="00867A27"/>
    <w:rsid w:val="00867CC9"/>
    <w:rsid w:val="00870689"/>
    <w:rsid w:val="008706C1"/>
    <w:rsid w:val="00870883"/>
    <w:rsid w:val="008710DA"/>
    <w:rsid w:val="008712A2"/>
    <w:rsid w:val="00871904"/>
    <w:rsid w:val="008719EC"/>
    <w:rsid w:val="00871D96"/>
    <w:rsid w:val="00871FC3"/>
    <w:rsid w:val="00872CFE"/>
    <w:rsid w:val="0087321C"/>
    <w:rsid w:val="008732BF"/>
    <w:rsid w:val="008733EB"/>
    <w:rsid w:val="00873D0B"/>
    <w:rsid w:val="00874058"/>
    <w:rsid w:val="0087417F"/>
    <w:rsid w:val="0087431A"/>
    <w:rsid w:val="00874A9A"/>
    <w:rsid w:val="00875736"/>
    <w:rsid w:val="008759D0"/>
    <w:rsid w:val="00875F5E"/>
    <w:rsid w:val="008760FB"/>
    <w:rsid w:val="00876157"/>
    <w:rsid w:val="008762E8"/>
    <w:rsid w:val="0087658C"/>
    <w:rsid w:val="008765CA"/>
    <w:rsid w:val="00876788"/>
    <w:rsid w:val="00876C59"/>
    <w:rsid w:val="00877470"/>
    <w:rsid w:val="008775EE"/>
    <w:rsid w:val="008800C5"/>
    <w:rsid w:val="008801A9"/>
    <w:rsid w:val="0088038F"/>
    <w:rsid w:val="00880841"/>
    <w:rsid w:val="00880AC5"/>
    <w:rsid w:val="00880E40"/>
    <w:rsid w:val="00880F11"/>
    <w:rsid w:val="0088116D"/>
    <w:rsid w:val="0088150E"/>
    <w:rsid w:val="00881528"/>
    <w:rsid w:val="00881BEC"/>
    <w:rsid w:val="008820C6"/>
    <w:rsid w:val="00882702"/>
    <w:rsid w:val="00882859"/>
    <w:rsid w:val="00882A8F"/>
    <w:rsid w:val="00882E29"/>
    <w:rsid w:val="008833C9"/>
    <w:rsid w:val="008836E7"/>
    <w:rsid w:val="00883748"/>
    <w:rsid w:val="00883C10"/>
    <w:rsid w:val="00883C53"/>
    <w:rsid w:val="00883D0E"/>
    <w:rsid w:val="00883F8B"/>
    <w:rsid w:val="00884634"/>
    <w:rsid w:val="00884A9A"/>
    <w:rsid w:val="00884ABA"/>
    <w:rsid w:val="00884E73"/>
    <w:rsid w:val="00885093"/>
    <w:rsid w:val="008853A7"/>
    <w:rsid w:val="0088563B"/>
    <w:rsid w:val="00885C39"/>
    <w:rsid w:val="00885C6F"/>
    <w:rsid w:val="00885EAE"/>
    <w:rsid w:val="00885FEB"/>
    <w:rsid w:val="00886148"/>
    <w:rsid w:val="008866DA"/>
    <w:rsid w:val="0088691F"/>
    <w:rsid w:val="00886C4A"/>
    <w:rsid w:val="008870B7"/>
    <w:rsid w:val="008872EF"/>
    <w:rsid w:val="008906C7"/>
    <w:rsid w:val="00890AAC"/>
    <w:rsid w:val="00890DCE"/>
    <w:rsid w:val="008910DF"/>
    <w:rsid w:val="00891ADA"/>
    <w:rsid w:val="00891CDE"/>
    <w:rsid w:val="008925CC"/>
    <w:rsid w:val="00892979"/>
    <w:rsid w:val="008929D1"/>
    <w:rsid w:val="00893DD7"/>
    <w:rsid w:val="00893F74"/>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560"/>
    <w:rsid w:val="008A173F"/>
    <w:rsid w:val="008A1986"/>
    <w:rsid w:val="008A1DF3"/>
    <w:rsid w:val="008A207D"/>
    <w:rsid w:val="008A20B0"/>
    <w:rsid w:val="008A27E4"/>
    <w:rsid w:val="008A2A6F"/>
    <w:rsid w:val="008A2C00"/>
    <w:rsid w:val="008A2DC6"/>
    <w:rsid w:val="008A3084"/>
    <w:rsid w:val="008A32AB"/>
    <w:rsid w:val="008A32D3"/>
    <w:rsid w:val="008A333A"/>
    <w:rsid w:val="008A350F"/>
    <w:rsid w:val="008A35ED"/>
    <w:rsid w:val="008A37B2"/>
    <w:rsid w:val="008A3E4F"/>
    <w:rsid w:val="008A492B"/>
    <w:rsid w:val="008A4AF6"/>
    <w:rsid w:val="008A4C0D"/>
    <w:rsid w:val="008A4C2E"/>
    <w:rsid w:val="008A4EDB"/>
    <w:rsid w:val="008A5184"/>
    <w:rsid w:val="008A5A94"/>
    <w:rsid w:val="008A5D42"/>
    <w:rsid w:val="008A5DEA"/>
    <w:rsid w:val="008A5F06"/>
    <w:rsid w:val="008A61A2"/>
    <w:rsid w:val="008A6462"/>
    <w:rsid w:val="008A6B10"/>
    <w:rsid w:val="008A6DE7"/>
    <w:rsid w:val="008A708B"/>
    <w:rsid w:val="008A7241"/>
    <w:rsid w:val="008A7A88"/>
    <w:rsid w:val="008A7BC9"/>
    <w:rsid w:val="008A7C01"/>
    <w:rsid w:val="008A7D84"/>
    <w:rsid w:val="008A7E5A"/>
    <w:rsid w:val="008B0082"/>
    <w:rsid w:val="008B011B"/>
    <w:rsid w:val="008B08A2"/>
    <w:rsid w:val="008B0A43"/>
    <w:rsid w:val="008B0B81"/>
    <w:rsid w:val="008B0BEA"/>
    <w:rsid w:val="008B0C16"/>
    <w:rsid w:val="008B0DF3"/>
    <w:rsid w:val="008B1939"/>
    <w:rsid w:val="008B1A67"/>
    <w:rsid w:val="008B1BBF"/>
    <w:rsid w:val="008B1E66"/>
    <w:rsid w:val="008B271D"/>
    <w:rsid w:val="008B2786"/>
    <w:rsid w:val="008B27F7"/>
    <w:rsid w:val="008B2FB5"/>
    <w:rsid w:val="008B301F"/>
    <w:rsid w:val="008B351F"/>
    <w:rsid w:val="008B3670"/>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DF6"/>
    <w:rsid w:val="008B6F30"/>
    <w:rsid w:val="008B779F"/>
    <w:rsid w:val="008B7CE5"/>
    <w:rsid w:val="008B7D24"/>
    <w:rsid w:val="008B7E1F"/>
    <w:rsid w:val="008C00E0"/>
    <w:rsid w:val="008C01CF"/>
    <w:rsid w:val="008C02F2"/>
    <w:rsid w:val="008C02F6"/>
    <w:rsid w:val="008C0394"/>
    <w:rsid w:val="008C0B49"/>
    <w:rsid w:val="008C0EE1"/>
    <w:rsid w:val="008C106D"/>
    <w:rsid w:val="008C10F9"/>
    <w:rsid w:val="008C1152"/>
    <w:rsid w:val="008C1237"/>
    <w:rsid w:val="008C15DC"/>
    <w:rsid w:val="008C1677"/>
    <w:rsid w:val="008C188C"/>
    <w:rsid w:val="008C1F03"/>
    <w:rsid w:val="008C211F"/>
    <w:rsid w:val="008C223A"/>
    <w:rsid w:val="008C279F"/>
    <w:rsid w:val="008C283E"/>
    <w:rsid w:val="008C2F08"/>
    <w:rsid w:val="008C3262"/>
    <w:rsid w:val="008C329B"/>
    <w:rsid w:val="008C343E"/>
    <w:rsid w:val="008C3557"/>
    <w:rsid w:val="008C3BFC"/>
    <w:rsid w:val="008C4419"/>
    <w:rsid w:val="008C44BE"/>
    <w:rsid w:val="008C4722"/>
    <w:rsid w:val="008C540B"/>
    <w:rsid w:val="008C54A5"/>
    <w:rsid w:val="008C555F"/>
    <w:rsid w:val="008C572A"/>
    <w:rsid w:val="008C575F"/>
    <w:rsid w:val="008C58C7"/>
    <w:rsid w:val="008C5F72"/>
    <w:rsid w:val="008C5F99"/>
    <w:rsid w:val="008C689C"/>
    <w:rsid w:val="008C6C27"/>
    <w:rsid w:val="008C7296"/>
    <w:rsid w:val="008C7536"/>
    <w:rsid w:val="008C76B2"/>
    <w:rsid w:val="008C782F"/>
    <w:rsid w:val="008C7A81"/>
    <w:rsid w:val="008C7ED5"/>
    <w:rsid w:val="008C7FAD"/>
    <w:rsid w:val="008D0060"/>
    <w:rsid w:val="008D0161"/>
    <w:rsid w:val="008D040F"/>
    <w:rsid w:val="008D05FB"/>
    <w:rsid w:val="008D0BDB"/>
    <w:rsid w:val="008D101F"/>
    <w:rsid w:val="008D1BBD"/>
    <w:rsid w:val="008D1C1F"/>
    <w:rsid w:val="008D1D54"/>
    <w:rsid w:val="008D20B6"/>
    <w:rsid w:val="008D210E"/>
    <w:rsid w:val="008D2367"/>
    <w:rsid w:val="008D23E8"/>
    <w:rsid w:val="008D2E35"/>
    <w:rsid w:val="008D312A"/>
    <w:rsid w:val="008D3636"/>
    <w:rsid w:val="008D3B86"/>
    <w:rsid w:val="008D4414"/>
    <w:rsid w:val="008D4460"/>
    <w:rsid w:val="008D47DF"/>
    <w:rsid w:val="008D491F"/>
    <w:rsid w:val="008D4A86"/>
    <w:rsid w:val="008D4F32"/>
    <w:rsid w:val="008D502A"/>
    <w:rsid w:val="008D5618"/>
    <w:rsid w:val="008D5BA8"/>
    <w:rsid w:val="008D5D87"/>
    <w:rsid w:val="008D6768"/>
    <w:rsid w:val="008D686F"/>
    <w:rsid w:val="008D689E"/>
    <w:rsid w:val="008D69FF"/>
    <w:rsid w:val="008D6E31"/>
    <w:rsid w:val="008D77C5"/>
    <w:rsid w:val="008D78C9"/>
    <w:rsid w:val="008D7F9B"/>
    <w:rsid w:val="008E019F"/>
    <w:rsid w:val="008E0403"/>
    <w:rsid w:val="008E0561"/>
    <w:rsid w:val="008E0E77"/>
    <w:rsid w:val="008E0ED3"/>
    <w:rsid w:val="008E0F06"/>
    <w:rsid w:val="008E101F"/>
    <w:rsid w:val="008E1103"/>
    <w:rsid w:val="008E1AF8"/>
    <w:rsid w:val="008E1CD6"/>
    <w:rsid w:val="008E25EE"/>
    <w:rsid w:val="008E2775"/>
    <w:rsid w:val="008E2781"/>
    <w:rsid w:val="008E279D"/>
    <w:rsid w:val="008E27E8"/>
    <w:rsid w:val="008E2947"/>
    <w:rsid w:val="008E2A68"/>
    <w:rsid w:val="008E2E67"/>
    <w:rsid w:val="008E2E82"/>
    <w:rsid w:val="008E38D6"/>
    <w:rsid w:val="008E3AF8"/>
    <w:rsid w:val="008E3EE6"/>
    <w:rsid w:val="008E447E"/>
    <w:rsid w:val="008E473E"/>
    <w:rsid w:val="008E4943"/>
    <w:rsid w:val="008E4D88"/>
    <w:rsid w:val="008E536B"/>
    <w:rsid w:val="008E55C2"/>
    <w:rsid w:val="008E55E8"/>
    <w:rsid w:val="008E5B64"/>
    <w:rsid w:val="008E6524"/>
    <w:rsid w:val="008E6657"/>
    <w:rsid w:val="008E68BB"/>
    <w:rsid w:val="008E6996"/>
    <w:rsid w:val="008E7083"/>
    <w:rsid w:val="008E7730"/>
    <w:rsid w:val="008E78D3"/>
    <w:rsid w:val="008E7A66"/>
    <w:rsid w:val="008E7B85"/>
    <w:rsid w:val="008E7E62"/>
    <w:rsid w:val="008F02F6"/>
    <w:rsid w:val="008F041B"/>
    <w:rsid w:val="008F0D9C"/>
    <w:rsid w:val="008F11CB"/>
    <w:rsid w:val="008F12C8"/>
    <w:rsid w:val="008F143C"/>
    <w:rsid w:val="008F162F"/>
    <w:rsid w:val="008F19F6"/>
    <w:rsid w:val="008F1A57"/>
    <w:rsid w:val="008F1BE0"/>
    <w:rsid w:val="008F25D6"/>
    <w:rsid w:val="008F25D9"/>
    <w:rsid w:val="008F272D"/>
    <w:rsid w:val="008F2953"/>
    <w:rsid w:val="008F318E"/>
    <w:rsid w:val="008F3FF9"/>
    <w:rsid w:val="008F40E0"/>
    <w:rsid w:val="008F4282"/>
    <w:rsid w:val="008F4EDB"/>
    <w:rsid w:val="008F5140"/>
    <w:rsid w:val="008F51EB"/>
    <w:rsid w:val="008F545E"/>
    <w:rsid w:val="008F565E"/>
    <w:rsid w:val="008F5748"/>
    <w:rsid w:val="008F5953"/>
    <w:rsid w:val="008F5AA3"/>
    <w:rsid w:val="008F5B6C"/>
    <w:rsid w:val="008F5D2C"/>
    <w:rsid w:val="008F5DA6"/>
    <w:rsid w:val="008F5EE8"/>
    <w:rsid w:val="008F61FC"/>
    <w:rsid w:val="008F722C"/>
    <w:rsid w:val="008F73E0"/>
    <w:rsid w:val="008F7DB1"/>
    <w:rsid w:val="008F7FB9"/>
    <w:rsid w:val="0090001B"/>
    <w:rsid w:val="00900CF6"/>
    <w:rsid w:val="00900EF6"/>
    <w:rsid w:val="00901278"/>
    <w:rsid w:val="009013D9"/>
    <w:rsid w:val="009019F8"/>
    <w:rsid w:val="00901A66"/>
    <w:rsid w:val="00901CF5"/>
    <w:rsid w:val="00901FCB"/>
    <w:rsid w:val="0090228C"/>
    <w:rsid w:val="00902536"/>
    <w:rsid w:val="0090325F"/>
    <w:rsid w:val="009035E5"/>
    <w:rsid w:val="00903641"/>
    <w:rsid w:val="00903647"/>
    <w:rsid w:val="00903A5E"/>
    <w:rsid w:val="00903E23"/>
    <w:rsid w:val="00903EC7"/>
    <w:rsid w:val="00904108"/>
    <w:rsid w:val="009042A5"/>
    <w:rsid w:val="00904580"/>
    <w:rsid w:val="009045E6"/>
    <w:rsid w:val="00904C39"/>
    <w:rsid w:val="00904CA5"/>
    <w:rsid w:val="00904DC2"/>
    <w:rsid w:val="00905080"/>
    <w:rsid w:val="009050C8"/>
    <w:rsid w:val="009055CC"/>
    <w:rsid w:val="009056F7"/>
    <w:rsid w:val="009059F9"/>
    <w:rsid w:val="00905B64"/>
    <w:rsid w:val="009065A5"/>
    <w:rsid w:val="009067F9"/>
    <w:rsid w:val="0090686B"/>
    <w:rsid w:val="00906F62"/>
    <w:rsid w:val="0090747B"/>
    <w:rsid w:val="00907514"/>
    <w:rsid w:val="00907910"/>
    <w:rsid w:val="009105CE"/>
    <w:rsid w:val="009106D3"/>
    <w:rsid w:val="0091071E"/>
    <w:rsid w:val="009108B2"/>
    <w:rsid w:val="009109B8"/>
    <w:rsid w:val="00911487"/>
    <w:rsid w:val="009115C7"/>
    <w:rsid w:val="009118BA"/>
    <w:rsid w:val="0091201F"/>
    <w:rsid w:val="0091266E"/>
    <w:rsid w:val="0091293B"/>
    <w:rsid w:val="00912A5E"/>
    <w:rsid w:val="00912E11"/>
    <w:rsid w:val="009136E9"/>
    <w:rsid w:val="00913BA3"/>
    <w:rsid w:val="00913CFF"/>
    <w:rsid w:val="00913F7F"/>
    <w:rsid w:val="0091421E"/>
    <w:rsid w:val="0091444F"/>
    <w:rsid w:val="00914596"/>
    <w:rsid w:val="0091459B"/>
    <w:rsid w:val="00914770"/>
    <w:rsid w:val="009148A8"/>
    <w:rsid w:val="0091498B"/>
    <w:rsid w:val="0091516E"/>
    <w:rsid w:val="009151B6"/>
    <w:rsid w:val="0091533D"/>
    <w:rsid w:val="0091580A"/>
    <w:rsid w:val="00915852"/>
    <w:rsid w:val="00915BB8"/>
    <w:rsid w:val="00915C3B"/>
    <w:rsid w:val="00915DE6"/>
    <w:rsid w:val="00916048"/>
    <w:rsid w:val="00916451"/>
    <w:rsid w:val="00916A7C"/>
    <w:rsid w:val="0091768B"/>
    <w:rsid w:val="009177CA"/>
    <w:rsid w:val="009204B7"/>
    <w:rsid w:val="0092059D"/>
    <w:rsid w:val="00920DED"/>
    <w:rsid w:val="00920EDD"/>
    <w:rsid w:val="0092156B"/>
    <w:rsid w:val="00921644"/>
    <w:rsid w:val="00921955"/>
    <w:rsid w:val="00921A11"/>
    <w:rsid w:val="00921FB8"/>
    <w:rsid w:val="00922345"/>
    <w:rsid w:val="009224E7"/>
    <w:rsid w:val="009228CA"/>
    <w:rsid w:val="00922C3F"/>
    <w:rsid w:val="00922DD7"/>
    <w:rsid w:val="009231E0"/>
    <w:rsid w:val="009234D3"/>
    <w:rsid w:val="00923A8A"/>
    <w:rsid w:val="00923EF7"/>
    <w:rsid w:val="00924236"/>
    <w:rsid w:val="00925076"/>
    <w:rsid w:val="0092567B"/>
    <w:rsid w:val="009258E9"/>
    <w:rsid w:val="00925BEF"/>
    <w:rsid w:val="00925F5F"/>
    <w:rsid w:val="0092657B"/>
    <w:rsid w:val="009266DC"/>
    <w:rsid w:val="00926929"/>
    <w:rsid w:val="00926946"/>
    <w:rsid w:val="00926B3D"/>
    <w:rsid w:val="00926E1C"/>
    <w:rsid w:val="00926F78"/>
    <w:rsid w:val="00927080"/>
    <w:rsid w:val="00927791"/>
    <w:rsid w:val="009277B1"/>
    <w:rsid w:val="00927FC8"/>
    <w:rsid w:val="009304C6"/>
    <w:rsid w:val="00930B8F"/>
    <w:rsid w:val="00930E68"/>
    <w:rsid w:val="00930EF9"/>
    <w:rsid w:val="009315CB"/>
    <w:rsid w:val="0093160E"/>
    <w:rsid w:val="00931C44"/>
    <w:rsid w:val="00932031"/>
    <w:rsid w:val="009320FC"/>
    <w:rsid w:val="00932180"/>
    <w:rsid w:val="009323DA"/>
    <w:rsid w:val="0093263D"/>
    <w:rsid w:val="0093290B"/>
    <w:rsid w:val="0093316F"/>
    <w:rsid w:val="0093338F"/>
    <w:rsid w:val="009334A3"/>
    <w:rsid w:val="00933520"/>
    <w:rsid w:val="009335AD"/>
    <w:rsid w:val="00933AD8"/>
    <w:rsid w:val="00934062"/>
    <w:rsid w:val="00934347"/>
    <w:rsid w:val="00934640"/>
    <w:rsid w:val="0093496D"/>
    <w:rsid w:val="00934D53"/>
    <w:rsid w:val="009350BB"/>
    <w:rsid w:val="00935225"/>
    <w:rsid w:val="00935556"/>
    <w:rsid w:val="00935751"/>
    <w:rsid w:val="00935829"/>
    <w:rsid w:val="00935C4D"/>
    <w:rsid w:val="00935D76"/>
    <w:rsid w:val="0093618F"/>
    <w:rsid w:val="00936A00"/>
    <w:rsid w:val="00936B27"/>
    <w:rsid w:val="00936C4E"/>
    <w:rsid w:val="00936DDE"/>
    <w:rsid w:val="00936F05"/>
    <w:rsid w:val="009378ED"/>
    <w:rsid w:val="00937BB5"/>
    <w:rsid w:val="009400D6"/>
    <w:rsid w:val="00940615"/>
    <w:rsid w:val="009407F5"/>
    <w:rsid w:val="0094092D"/>
    <w:rsid w:val="00940E84"/>
    <w:rsid w:val="00941210"/>
    <w:rsid w:val="00941286"/>
    <w:rsid w:val="009415DA"/>
    <w:rsid w:val="009418CE"/>
    <w:rsid w:val="00941C3F"/>
    <w:rsid w:val="00941F40"/>
    <w:rsid w:val="009423D1"/>
    <w:rsid w:val="0094243D"/>
    <w:rsid w:val="009424CD"/>
    <w:rsid w:val="00942856"/>
    <w:rsid w:val="00942F4A"/>
    <w:rsid w:val="009434AF"/>
    <w:rsid w:val="00943B0D"/>
    <w:rsid w:val="00944160"/>
    <w:rsid w:val="0094419F"/>
    <w:rsid w:val="00944208"/>
    <w:rsid w:val="00944BA4"/>
    <w:rsid w:val="009450A9"/>
    <w:rsid w:val="00945464"/>
    <w:rsid w:val="00945705"/>
    <w:rsid w:val="00945F95"/>
    <w:rsid w:val="00945FE2"/>
    <w:rsid w:val="00946793"/>
    <w:rsid w:val="009467A0"/>
    <w:rsid w:val="00946F5A"/>
    <w:rsid w:val="00947A97"/>
    <w:rsid w:val="00947CEB"/>
    <w:rsid w:val="00947E86"/>
    <w:rsid w:val="00950599"/>
    <w:rsid w:val="009507B2"/>
    <w:rsid w:val="00950C37"/>
    <w:rsid w:val="00951101"/>
    <w:rsid w:val="00951374"/>
    <w:rsid w:val="0095159E"/>
    <w:rsid w:val="00951FDE"/>
    <w:rsid w:val="0095241A"/>
    <w:rsid w:val="00952A0D"/>
    <w:rsid w:val="00952AC0"/>
    <w:rsid w:val="00952B79"/>
    <w:rsid w:val="00952DDE"/>
    <w:rsid w:val="00952F97"/>
    <w:rsid w:val="009532C1"/>
    <w:rsid w:val="00953346"/>
    <w:rsid w:val="00953588"/>
    <w:rsid w:val="00953CBC"/>
    <w:rsid w:val="00953CC0"/>
    <w:rsid w:val="00953DD6"/>
    <w:rsid w:val="0095409A"/>
    <w:rsid w:val="009543E9"/>
    <w:rsid w:val="00954771"/>
    <w:rsid w:val="00954ADF"/>
    <w:rsid w:val="00954FD6"/>
    <w:rsid w:val="00955013"/>
    <w:rsid w:val="009550D1"/>
    <w:rsid w:val="00955915"/>
    <w:rsid w:val="00955D07"/>
    <w:rsid w:val="0095622B"/>
    <w:rsid w:val="009562CD"/>
    <w:rsid w:val="009567BC"/>
    <w:rsid w:val="00956AC1"/>
    <w:rsid w:val="00956AFC"/>
    <w:rsid w:val="00956EBC"/>
    <w:rsid w:val="00957192"/>
    <w:rsid w:val="00957214"/>
    <w:rsid w:val="00957A49"/>
    <w:rsid w:val="00957AD1"/>
    <w:rsid w:val="00960323"/>
    <w:rsid w:val="00960382"/>
    <w:rsid w:val="009609A1"/>
    <w:rsid w:val="00961CA1"/>
    <w:rsid w:val="00961D5F"/>
    <w:rsid w:val="00961DD4"/>
    <w:rsid w:val="00962109"/>
    <w:rsid w:val="009626E6"/>
    <w:rsid w:val="0096272E"/>
    <w:rsid w:val="009627A3"/>
    <w:rsid w:val="009628B6"/>
    <w:rsid w:val="00962F58"/>
    <w:rsid w:val="009631CD"/>
    <w:rsid w:val="00963316"/>
    <w:rsid w:val="009634D1"/>
    <w:rsid w:val="00963818"/>
    <w:rsid w:val="00963A64"/>
    <w:rsid w:val="00963CA2"/>
    <w:rsid w:val="009642AD"/>
    <w:rsid w:val="00964463"/>
    <w:rsid w:val="00964B58"/>
    <w:rsid w:val="00964EF4"/>
    <w:rsid w:val="00965C90"/>
    <w:rsid w:val="00965D0C"/>
    <w:rsid w:val="00965DCE"/>
    <w:rsid w:val="00966480"/>
    <w:rsid w:val="00966DAE"/>
    <w:rsid w:val="0096711E"/>
    <w:rsid w:val="00967234"/>
    <w:rsid w:val="00967449"/>
    <w:rsid w:val="00967723"/>
    <w:rsid w:val="00967AC8"/>
    <w:rsid w:val="00967FE5"/>
    <w:rsid w:val="009700C9"/>
    <w:rsid w:val="0097076A"/>
    <w:rsid w:val="009709A6"/>
    <w:rsid w:val="00970C54"/>
    <w:rsid w:val="00970D62"/>
    <w:rsid w:val="00970E45"/>
    <w:rsid w:val="009710F3"/>
    <w:rsid w:val="00971220"/>
    <w:rsid w:val="009712F8"/>
    <w:rsid w:val="00971437"/>
    <w:rsid w:val="00971483"/>
    <w:rsid w:val="00971580"/>
    <w:rsid w:val="009715A3"/>
    <w:rsid w:val="00972150"/>
    <w:rsid w:val="009723F7"/>
    <w:rsid w:val="00972474"/>
    <w:rsid w:val="00972562"/>
    <w:rsid w:val="00972E6C"/>
    <w:rsid w:val="00973109"/>
    <w:rsid w:val="00973337"/>
    <w:rsid w:val="00973513"/>
    <w:rsid w:val="009736B8"/>
    <w:rsid w:val="00973C55"/>
    <w:rsid w:val="0097479D"/>
    <w:rsid w:val="009748A3"/>
    <w:rsid w:val="00974F05"/>
    <w:rsid w:val="009755DE"/>
    <w:rsid w:val="0097598C"/>
    <w:rsid w:val="009759D0"/>
    <w:rsid w:val="00975D52"/>
    <w:rsid w:val="00976178"/>
    <w:rsid w:val="00976A37"/>
    <w:rsid w:val="00976D54"/>
    <w:rsid w:val="0097772D"/>
    <w:rsid w:val="0097787A"/>
    <w:rsid w:val="00977D94"/>
    <w:rsid w:val="00980049"/>
    <w:rsid w:val="0098042F"/>
    <w:rsid w:val="009809C4"/>
    <w:rsid w:val="00980ABA"/>
    <w:rsid w:val="00980B41"/>
    <w:rsid w:val="00980BF0"/>
    <w:rsid w:val="00981212"/>
    <w:rsid w:val="0098141A"/>
    <w:rsid w:val="0098146A"/>
    <w:rsid w:val="009814BD"/>
    <w:rsid w:val="009816A4"/>
    <w:rsid w:val="00981826"/>
    <w:rsid w:val="00981EF3"/>
    <w:rsid w:val="0098247E"/>
    <w:rsid w:val="0098319C"/>
    <w:rsid w:val="009835C8"/>
    <w:rsid w:val="00983A05"/>
    <w:rsid w:val="00983DA0"/>
    <w:rsid w:val="00983EC3"/>
    <w:rsid w:val="0098422D"/>
    <w:rsid w:val="0098443B"/>
    <w:rsid w:val="0098465F"/>
    <w:rsid w:val="00984701"/>
    <w:rsid w:val="00984B60"/>
    <w:rsid w:val="00984F5C"/>
    <w:rsid w:val="009850D8"/>
    <w:rsid w:val="00985AD3"/>
    <w:rsid w:val="00985ADC"/>
    <w:rsid w:val="00985E05"/>
    <w:rsid w:val="00985F1F"/>
    <w:rsid w:val="009862B5"/>
    <w:rsid w:val="00986EAF"/>
    <w:rsid w:val="0098707E"/>
    <w:rsid w:val="009870FD"/>
    <w:rsid w:val="00987149"/>
    <w:rsid w:val="009871F0"/>
    <w:rsid w:val="00987384"/>
    <w:rsid w:val="00987A27"/>
    <w:rsid w:val="0099073D"/>
    <w:rsid w:val="00990D95"/>
    <w:rsid w:val="00990F33"/>
    <w:rsid w:val="009915B6"/>
    <w:rsid w:val="009917E9"/>
    <w:rsid w:val="00991FF5"/>
    <w:rsid w:val="0099233F"/>
    <w:rsid w:val="00992650"/>
    <w:rsid w:val="0099266C"/>
    <w:rsid w:val="00992912"/>
    <w:rsid w:val="00992D0F"/>
    <w:rsid w:val="00992F84"/>
    <w:rsid w:val="00993021"/>
    <w:rsid w:val="009930C1"/>
    <w:rsid w:val="00993CE1"/>
    <w:rsid w:val="009942A4"/>
    <w:rsid w:val="0099432C"/>
    <w:rsid w:val="009944D9"/>
    <w:rsid w:val="00994609"/>
    <w:rsid w:val="009947F8"/>
    <w:rsid w:val="00994881"/>
    <w:rsid w:val="009948E7"/>
    <w:rsid w:val="0099674F"/>
    <w:rsid w:val="00996AB1"/>
    <w:rsid w:val="00996B19"/>
    <w:rsid w:val="00996BBC"/>
    <w:rsid w:val="00996E80"/>
    <w:rsid w:val="00997146"/>
    <w:rsid w:val="009972FA"/>
    <w:rsid w:val="009973CB"/>
    <w:rsid w:val="00997DC3"/>
    <w:rsid w:val="00997FDB"/>
    <w:rsid w:val="009A066E"/>
    <w:rsid w:val="009A095E"/>
    <w:rsid w:val="009A1266"/>
    <w:rsid w:val="009A1305"/>
    <w:rsid w:val="009A16B3"/>
    <w:rsid w:val="009A1AC6"/>
    <w:rsid w:val="009A1B27"/>
    <w:rsid w:val="009A1F1B"/>
    <w:rsid w:val="009A218D"/>
    <w:rsid w:val="009A22BB"/>
    <w:rsid w:val="009A24B8"/>
    <w:rsid w:val="009A2735"/>
    <w:rsid w:val="009A2B2C"/>
    <w:rsid w:val="009A2E65"/>
    <w:rsid w:val="009A2F00"/>
    <w:rsid w:val="009A309B"/>
    <w:rsid w:val="009A334E"/>
    <w:rsid w:val="009A349A"/>
    <w:rsid w:val="009A34DD"/>
    <w:rsid w:val="009A3636"/>
    <w:rsid w:val="009A385E"/>
    <w:rsid w:val="009A404A"/>
    <w:rsid w:val="009A4096"/>
    <w:rsid w:val="009A4154"/>
    <w:rsid w:val="009A41AF"/>
    <w:rsid w:val="009A44DA"/>
    <w:rsid w:val="009A4549"/>
    <w:rsid w:val="009A4753"/>
    <w:rsid w:val="009A4853"/>
    <w:rsid w:val="009A4F37"/>
    <w:rsid w:val="009A4F47"/>
    <w:rsid w:val="009A545F"/>
    <w:rsid w:val="009A558C"/>
    <w:rsid w:val="009A70D9"/>
    <w:rsid w:val="009A71E3"/>
    <w:rsid w:val="009A71F5"/>
    <w:rsid w:val="009A7BFC"/>
    <w:rsid w:val="009A7E39"/>
    <w:rsid w:val="009A7F04"/>
    <w:rsid w:val="009A7F87"/>
    <w:rsid w:val="009B1206"/>
    <w:rsid w:val="009B1836"/>
    <w:rsid w:val="009B193B"/>
    <w:rsid w:val="009B1AB2"/>
    <w:rsid w:val="009B1B0E"/>
    <w:rsid w:val="009B1F79"/>
    <w:rsid w:val="009B200C"/>
    <w:rsid w:val="009B2908"/>
    <w:rsid w:val="009B299E"/>
    <w:rsid w:val="009B2A1A"/>
    <w:rsid w:val="009B2EF4"/>
    <w:rsid w:val="009B3490"/>
    <w:rsid w:val="009B34E1"/>
    <w:rsid w:val="009B359F"/>
    <w:rsid w:val="009B3C13"/>
    <w:rsid w:val="009B3E1B"/>
    <w:rsid w:val="009B3F5D"/>
    <w:rsid w:val="009B480C"/>
    <w:rsid w:val="009B49BB"/>
    <w:rsid w:val="009B4C2C"/>
    <w:rsid w:val="009B5461"/>
    <w:rsid w:val="009B5854"/>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B6B"/>
    <w:rsid w:val="009C1DE0"/>
    <w:rsid w:val="009C1E4F"/>
    <w:rsid w:val="009C22BA"/>
    <w:rsid w:val="009C2836"/>
    <w:rsid w:val="009C2C89"/>
    <w:rsid w:val="009C2EF6"/>
    <w:rsid w:val="009C3292"/>
    <w:rsid w:val="009C33C9"/>
    <w:rsid w:val="009C3A35"/>
    <w:rsid w:val="009C3D8D"/>
    <w:rsid w:val="009C3E0E"/>
    <w:rsid w:val="009C40B9"/>
    <w:rsid w:val="009C4131"/>
    <w:rsid w:val="009C4259"/>
    <w:rsid w:val="009C4A31"/>
    <w:rsid w:val="009C4DDB"/>
    <w:rsid w:val="009C4DF7"/>
    <w:rsid w:val="009C589B"/>
    <w:rsid w:val="009C5C40"/>
    <w:rsid w:val="009C6024"/>
    <w:rsid w:val="009C66F8"/>
    <w:rsid w:val="009C6980"/>
    <w:rsid w:val="009C6E40"/>
    <w:rsid w:val="009C75F5"/>
    <w:rsid w:val="009C7EAF"/>
    <w:rsid w:val="009D024B"/>
    <w:rsid w:val="009D0835"/>
    <w:rsid w:val="009D0CF6"/>
    <w:rsid w:val="009D11A2"/>
    <w:rsid w:val="009D15B4"/>
    <w:rsid w:val="009D212F"/>
    <w:rsid w:val="009D232C"/>
    <w:rsid w:val="009D2B80"/>
    <w:rsid w:val="009D2E69"/>
    <w:rsid w:val="009D301E"/>
    <w:rsid w:val="009D33EF"/>
    <w:rsid w:val="009D4122"/>
    <w:rsid w:val="009D417D"/>
    <w:rsid w:val="009D4ABC"/>
    <w:rsid w:val="009D58DF"/>
    <w:rsid w:val="009D5C07"/>
    <w:rsid w:val="009D5D4B"/>
    <w:rsid w:val="009D60FE"/>
    <w:rsid w:val="009D62B2"/>
    <w:rsid w:val="009D66E4"/>
    <w:rsid w:val="009D67F3"/>
    <w:rsid w:val="009D685F"/>
    <w:rsid w:val="009D68E5"/>
    <w:rsid w:val="009D6ED0"/>
    <w:rsid w:val="009D7602"/>
    <w:rsid w:val="009D77FE"/>
    <w:rsid w:val="009D7A81"/>
    <w:rsid w:val="009D7C3F"/>
    <w:rsid w:val="009E0266"/>
    <w:rsid w:val="009E0841"/>
    <w:rsid w:val="009E0883"/>
    <w:rsid w:val="009E0AF2"/>
    <w:rsid w:val="009E0DC2"/>
    <w:rsid w:val="009E0F39"/>
    <w:rsid w:val="009E115E"/>
    <w:rsid w:val="009E18C4"/>
    <w:rsid w:val="009E1EAA"/>
    <w:rsid w:val="009E2293"/>
    <w:rsid w:val="009E252E"/>
    <w:rsid w:val="009E310C"/>
    <w:rsid w:val="009E31B2"/>
    <w:rsid w:val="009E34DE"/>
    <w:rsid w:val="009E47E5"/>
    <w:rsid w:val="009E48F4"/>
    <w:rsid w:val="009E4D67"/>
    <w:rsid w:val="009E4D97"/>
    <w:rsid w:val="009E4F28"/>
    <w:rsid w:val="009E5123"/>
    <w:rsid w:val="009E52E5"/>
    <w:rsid w:val="009E5473"/>
    <w:rsid w:val="009E593F"/>
    <w:rsid w:val="009E5CF2"/>
    <w:rsid w:val="009E5DEC"/>
    <w:rsid w:val="009E67B4"/>
    <w:rsid w:val="009E6BE1"/>
    <w:rsid w:val="009E6D17"/>
    <w:rsid w:val="009E73FE"/>
    <w:rsid w:val="009E77AA"/>
    <w:rsid w:val="009E7C41"/>
    <w:rsid w:val="009F042D"/>
    <w:rsid w:val="009F0901"/>
    <w:rsid w:val="009F09DD"/>
    <w:rsid w:val="009F0F59"/>
    <w:rsid w:val="009F12CD"/>
    <w:rsid w:val="009F139D"/>
    <w:rsid w:val="009F14FE"/>
    <w:rsid w:val="009F15EF"/>
    <w:rsid w:val="009F1C59"/>
    <w:rsid w:val="009F1D91"/>
    <w:rsid w:val="009F206B"/>
    <w:rsid w:val="009F2875"/>
    <w:rsid w:val="009F2B72"/>
    <w:rsid w:val="009F335A"/>
    <w:rsid w:val="009F34CE"/>
    <w:rsid w:val="009F37B3"/>
    <w:rsid w:val="009F3AA4"/>
    <w:rsid w:val="009F40F6"/>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DB5"/>
    <w:rsid w:val="00A029D4"/>
    <w:rsid w:val="00A02EBE"/>
    <w:rsid w:val="00A02EC0"/>
    <w:rsid w:val="00A0340B"/>
    <w:rsid w:val="00A03753"/>
    <w:rsid w:val="00A03881"/>
    <w:rsid w:val="00A039C4"/>
    <w:rsid w:val="00A03D83"/>
    <w:rsid w:val="00A04011"/>
    <w:rsid w:val="00A042CA"/>
    <w:rsid w:val="00A049EC"/>
    <w:rsid w:val="00A05013"/>
    <w:rsid w:val="00A05054"/>
    <w:rsid w:val="00A052AB"/>
    <w:rsid w:val="00A05950"/>
    <w:rsid w:val="00A063E3"/>
    <w:rsid w:val="00A066C0"/>
    <w:rsid w:val="00A06757"/>
    <w:rsid w:val="00A0682B"/>
    <w:rsid w:val="00A06C3F"/>
    <w:rsid w:val="00A06CAA"/>
    <w:rsid w:val="00A06F87"/>
    <w:rsid w:val="00A06FEC"/>
    <w:rsid w:val="00A07F27"/>
    <w:rsid w:val="00A102C2"/>
    <w:rsid w:val="00A10771"/>
    <w:rsid w:val="00A109F3"/>
    <w:rsid w:val="00A10AF0"/>
    <w:rsid w:val="00A10D28"/>
    <w:rsid w:val="00A10E98"/>
    <w:rsid w:val="00A113BA"/>
    <w:rsid w:val="00A1153A"/>
    <w:rsid w:val="00A11906"/>
    <w:rsid w:val="00A11921"/>
    <w:rsid w:val="00A11CE8"/>
    <w:rsid w:val="00A11E66"/>
    <w:rsid w:val="00A11E84"/>
    <w:rsid w:val="00A1238D"/>
    <w:rsid w:val="00A12421"/>
    <w:rsid w:val="00A124C9"/>
    <w:rsid w:val="00A12E7C"/>
    <w:rsid w:val="00A13159"/>
    <w:rsid w:val="00A13917"/>
    <w:rsid w:val="00A1398D"/>
    <w:rsid w:val="00A13A44"/>
    <w:rsid w:val="00A13CD6"/>
    <w:rsid w:val="00A13F03"/>
    <w:rsid w:val="00A14095"/>
    <w:rsid w:val="00A1434B"/>
    <w:rsid w:val="00A14E87"/>
    <w:rsid w:val="00A14EA5"/>
    <w:rsid w:val="00A15004"/>
    <w:rsid w:val="00A150B8"/>
    <w:rsid w:val="00A15783"/>
    <w:rsid w:val="00A157BF"/>
    <w:rsid w:val="00A15C6C"/>
    <w:rsid w:val="00A160FD"/>
    <w:rsid w:val="00A166FA"/>
    <w:rsid w:val="00A16844"/>
    <w:rsid w:val="00A1694D"/>
    <w:rsid w:val="00A173EF"/>
    <w:rsid w:val="00A17B48"/>
    <w:rsid w:val="00A17E06"/>
    <w:rsid w:val="00A17E34"/>
    <w:rsid w:val="00A17FC0"/>
    <w:rsid w:val="00A20494"/>
    <w:rsid w:val="00A2054D"/>
    <w:rsid w:val="00A205ED"/>
    <w:rsid w:val="00A208CB"/>
    <w:rsid w:val="00A20969"/>
    <w:rsid w:val="00A20D53"/>
    <w:rsid w:val="00A20F38"/>
    <w:rsid w:val="00A211F1"/>
    <w:rsid w:val="00A21748"/>
    <w:rsid w:val="00A21C47"/>
    <w:rsid w:val="00A21CD5"/>
    <w:rsid w:val="00A2222D"/>
    <w:rsid w:val="00A22B62"/>
    <w:rsid w:val="00A22B65"/>
    <w:rsid w:val="00A22D7C"/>
    <w:rsid w:val="00A23055"/>
    <w:rsid w:val="00A23108"/>
    <w:rsid w:val="00A23162"/>
    <w:rsid w:val="00A23D03"/>
    <w:rsid w:val="00A23E53"/>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27988"/>
    <w:rsid w:val="00A303DC"/>
    <w:rsid w:val="00A30BEA"/>
    <w:rsid w:val="00A31917"/>
    <w:rsid w:val="00A319F0"/>
    <w:rsid w:val="00A321C8"/>
    <w:rsid w:val="00A32539"/>
    <w:rsid w:val="00A32BFA"/>
    <w:rsid w:val="00A33A65"/>
    <w:rsid w:val="00A33CBA"/>
    <w:rsid w:val="00A33EF7"/>
    <w:rsid w:val="00A342A9"/>
    <w:rsid w:val="00A34457"/>
    <w:rsid w:val="00A34923"/>
    <w:rsid w:val="00A34CB1"/>
    <w:rsid w:val="00A34EAE"/>
    <w:rsid w:val="00A355DD"/>
    <w:rsid w:val="00A3563F"/>
    <w:rsid w:val="00A357BF"/>
    <w:rsid w:val="00A35A06"/>
    <w:rsid w:val="00A35B3A"/>
    <w:rsid w:val="00A35F17"/>
    <w:rsid w:val="00A36233"/>
    <w:rsid w:val="00A372E6"/>
    <w:rsid w:val="00A373EB"/>
    <w:rsid w:val="00A37670"/>
    <w:rsid w:val="00A4022E"/>
    <w:rsid w:val="00A4041F"/>
    <w:rsid w:val="00A40E40"/>
    <w:rsid w:val="00A40E98"/>
    <w:rsid w:val="00A40ECE"/>
    <w:rsid w:val="00A40F15"/>
    <w:rsid w:val="00A40FFE"/>
    <w:rsid w:val="00A411AA"/>
    <w:rsid w:val="00A414D9"/>
    <w:rsid w:val="00A4189B"/>
    <w:rsid w:val="00A4189D"/>
    <w:rsid w:val="00A4190E"/>
    <w:rsid w:val="00A41D2D"/>
    <w:rsid w:val="00A41F89"/>
    <w:rsid w:val="00A4210D"/>
    <w:rsid w:val="00A42346"/>
    <w:rsid w:val="00A43246"/>
    <w:rsid w:val="00A43C71"/>
    <w:rsid w:val="00A43CC0"/>
    <w:rsid w:val="00A4419A"/>
    <w:rsid w:val="00A44A49"/>
    <w:rsid w:val="00A44C20"/>
    <w:rsid w:val="00A44D65"/>
    <w:rsid w:val="00A44F51"/>
    <w:rsid w:val="00A45086"/>
    <w:rsid w:val="00A451BB"/>
    <w:rsid w:val="00A45530"/>
    <w:rsid w:val="00A45A69"/>
    <w:rsid w:val="00A463B4"/>
    <w:rsid w:val="00A467A6"/>
    <w:rsid w:val="00A468C5"/>
    <w:rsid w:val="00A468CE"/>
    <w:rsid w:val="00A46922"/>
    <w:rsid w:val="00A46992"/>
    <w:rsid w:val="00A46A57"/>
    <w:rsid w:val="00A46B3C"/>
    <w:rsid w:val="00A475D6"/>
    <w:rsid w:val="00A47673"/>
    <w:rsid w:val="00A476DB"/>
    <w:rsid w:val="00A500A3"/>
    <w:rsid w:val="00A500B9"/>
    <w:rsid w:val="00A50201"/>
    <w:rsid w:val="00A5091A"/>
    <w:rsid w:val="00A5094A"/>
    <w:rsid w:val="00A50A2B"/>
    <w:rsid w:val="00A51E3F"/>
    <w:rsid w:val="00A51F93"/>
    <w:rsid w:val="00A52594"/>
    <w:rsid w:val="00A53BFF"/>
    <w:rsid w:val="00A54121"/>
    <w:rsid w:val="00A5439F"/>
    <w:rsid w:val="00A54AA5"/>
    <w:rsid w:val="00A5577B"/>
    <w:rsid w:val="00A55951"/>
    <w:rsid w:val="00A55BA8"/>
    <w:rsid w:val="00A55C7E"/>
    <w:rsid w:val="00A56710"/>
    <w:rsid w:val="00A567BC"/>
    <w:rsid w:val="00A56906"/>
    <w:rsid w:val="00A56A53"/>
    <w:rsid w:val="00A5737A"/>
    <w:rsid w:val="00A57F53"/>
    <w:rsid w:val="00A6026D"/>
    <w:rsid w:val="00A60CB3"/>
    <w:rsid w:val="00A6187E"/>
    <w:rsid w:val="00A61B10"/>
    <w:rsid w:val="00A61ED1"/>
    <w:rsid w:val="00A61F0D"/>
    <w:rsid w:val="00A62292"/>
    <w:rsid w:val="00A63178"/>
    <w:rsid w:val="00A63450"/>
    <w:rsid w:val="00A6388D"/>
    <w:rsid w:val="00A638C1"/>
    <w:rsid w:val="00A63D8D"/>
    <w:rsid w:val="00A641AA"/>
    <w:rsid w:val="00A6458E"/>
    <w:rsid w:val="00A648FE"/>
    <w:rsid w:val="00A64A17"/>
    <w:rsid w:val="00A64BF5"/>
    <w:rsid w:val="00A64F19"/>
    <w:rsid w:val="00A6519A"/>
    <w:rsid w:val="00A6528E"/>
    <w:rsid w:val="00A65978"/>
    <w:rsid w:val="00A65A0C"/>
    <w:rsid w:val="00A66743"/>
    <w:rsid w:val="00A66B44"/>
    <w:rsid w:val="00A66BE0"/>
    <w:rsid w:val="00A673B4"/>
    <w:rsid w:val="00A679C8"/>
    <w:rsid w:val="00A67D7B"/>
    <w:rsid w:val="00A67EB8"/>
    <w:rsid w:val="00A70020"/>
    <w:rsid w:val="00A701AF"/>
    <w:rsid w:val="00A702B5"/>
    <w:rsid w:val="00A7035D"/>
    <w:rsid w:val="00A705F7"/>
    <w:rsid w:val="00A70601"/>
    <w:rsid w:val="00A7072A"/>
    <w:rsid w:val="00A70B0B"/>
    <w:rsid w:val="00A70B12"/>
    <w:rsid w:val="00A70B5D"/>
    <w:rsid w:val="00A70CE9"/>
    <w:rsid w:val="00A70DB8"/>
    <w:rsid w:val="00A70FC0"/>
    <w:rsid w:val="00A71528"/>
    <w:rsid w:val="00A7161B"/>
    <w:rsid w:val="00A72438"/>
    <w:rsid w:val="00A72849"/>
    <w:rsid w:val="00A731A9"/>
    <w:rsid w:val="00A738B7"/>
    <w:rsid w:val="00A73B77"/>
    <w:rsid w:val="00A73C25"/>
    <w:rsid w:val="00A74056"/>
    <w:rsid w:val="00A74313"/>
    <w:rsid w:val="00A747C6"/>
    <w:rsid w:val="00A74D89"/>
    <w:rsid w:val="00A74F49"/>
    <w:rsid w:val="00A75555"/>
    <w:rsid w:val="00A766A4"/>
    <w:rsid w:val="00A7699A"/>
    <w:rsid w:val="00A76DC6"/>
    <w:rsid w:val="00A76FB0"/>
    <w:rsid w:val="00A777D6"/>
    <w:rsid w:val="00A801CC"/>
    <w:rsid w:val="00A8039D"/>
    <w:rsid w:val="00A80B46"/>
    <w:rsid w:val="00A80EAC"/>
    <w:rsid w:val="00A812E5"/>
    <w:rsid w:val="00A82597"/>
    <w:rsid w:val="00A82961"/>
    <w:rsid w:val="00A82AE4"/>
    <w:rsid w:val="00A82B8A"/>
    <w:rsid w:val="00A82C5C"/>
    <w:rsid w:val="00A830CC"/>
    <w:rsid w:val="00A831C5"/>
    <w:rsid w:val="00A831E0"/>
    <w:rsid w:val="00A83224"/>
    <w:rsid w:val="00A833D3"/>
    <w:rsid w:val="00A841BA"/>
    <w:rsid w:val="00A8461F"/>
    <w:rsid w:val="00A84985"/>
    <w:rsid w:val="00A84BDA"/>
    <w:rsid w:val="00A84CCA"/>
    <w:rsid w:val="00A84CF1"/>
    <w:rsid w:val="00A84D19"/>
    <w:rsid w:val="00A84F42"/>
    <w:rsid w:val="00A84FB3"/>
    <w:rsid w:val="00A8510D"/>
    <w:rsid w:val="00A85219"/>
    <w:rsid w:val="00A85279"/>
    <w:rsid w:val="00A8557C"/>
    <w:rsid w:val="00A85742"/>
    <w:rsid w:val="00A85A87"/>
    <w:rsid w:val="00A85DBE"/>
    <w:rsid w:val="00A85DCF"/>
    <w:rsid w:val="00A85F5A"/>
    <w:rsid w:val="00A86067"/>
    <w:rsid w:val="00A860C6"/>
    <w:rsid w:val="00A863D8"/>
    <w:rsid w:val="00A867CD"/>
    <w:rsid w:val="00A86C23"/>
    <w:rsid w:val="00A86E5F"/>
    <w:rsid w:val="00A8733E"/>
    <w:rsid w:val="00A873D1"/>
    <w:rsid w:val="00A873FE"/>
    <w:rsid w:val="00A87575"/>
    <w:rsid w:val="00A87D5D"/>
    <w:rsid w:val="00A900E4"/>
    <w:rsid w:val="00A9046F"/>
    <w:rsid w:val="00A90558"/>
    <w:rsid w:val="00A908D3"/>
    <w:rsid w:val="00A91188"/>
    <w:rsid w:val="00A91387"/>
    <w:rsid w:val="00A91616"/>
    <w:rsid w:val="00A918E6"/>
    <w:rsid w:val="00A91924"/>
    <w:rsid w:val="00A91BDA"/>
    <w:rsid w:val="00A92EE5"/>
    <w:rsid w:val="00A92FD0"/>
    <w:rsid w:val="00A9304A"/>
    <w:rsid w:val="00A93447"/>
    <w:rsid w:val="00A934E3"/>
    <w:rsid w:val="00A93573"/>
    <w:rsid w:val="00A93C07"/>
    <w:rsid w:val="00A93CD2"/>
    <w:rsid w:val="00A94115"/>
    <w:rsid w:val="00A94514"/>
    <w:rsid w:val="00A946F2"/>
    <w:rsid w:val="00A94A9C"/>
    <w:rsid w:val="00A954B3"/>
    <w:rsid w:val="00A958CC"/>
    <w:rsid w:val="00A95A88"/>
    <w:rsid w:val="00A95F20"/>
    <w:rsid w:val="00A96298"/>
    <w:rsid w:val="00A9683D"/>
    <w:rsid w:val="00A96B51"/>
    <w:rsid w:val="00A979B9"/>
    <w:rsid w:val="00A97C45"/>
    <w:rsid w:val="00A97C71"/>
    <w:rsid w:val="00A97E13"/>
    <w:rsid w:val="00AA043F"/>
    <w:rsid w:val="00AA04D7"/>
    <w:rsid w:val="00AA04D9"/>
    <w:rsid w:val="00AA0576"/>
    <w:rsid w:val="00AA070D"/>
    <w:rsid w:val="00AA0C56"/>
    <w:rsid w:val="00AA0C6F"/>
    <w:rsid w:val="00AA0E68"/>
    <w:rsid w:val="00AA0EB1"/>
    <w:rsid w:val="00AA19B7"/>
    <w:rsid w:val="00AA1AD4"/>
    <w:rsid w:val="00AA1DED"/>
    <w:rsid w:val="00AA207E"/>
    <w:rsid w:val="00AA26D8"/>
    <w:rsid w:val="00AA31C2"/>
    <w:rsid w:val="00AA39A3"/>
    <w:rsid w:val="00AA3B2B"/>
    <w:rsid w:val="00AA3F1C"/>
    <w:rsid w:val="00AA453D"/>
    <w:rsid w:val="00AA4ABD"/>
    <w:rsid w:val="00AA4D33"/>
    <w:rsid w:val="00AA4DA8"/>
    <w:rsid w:val="00AA4DB3"/>
    <w:rsid w:val="00AA5257"/>
    <w:rsid w:val="00AA55F1"/>
    <w:rsid w:val="00AA5847"/>
    <w:rsid w:val="00AA5B35"/>
    <w:rsid w:val="00AA622C"/>
    <w:rsid w:val="00AA6394"/>
    <w:rsid w:val="00AA6451"/>
    <w:rsid w:val="00AA6A03"/>
    <w:rsid w:val="00AA6BC1"/>
    <w:rsid w:val="00AA6E17"/>
    <w:rsid w:val="00AA7021"/>
    <w:rsid w:val="00AA7097"/>
    <w:rsid w:val="00AA7330"/>
    <w:rsid w:val="00AA7573"/>
    <w:rsid w:val="00AA770B"/>
    <w:rsid w:val="00AA7910"/>
    <w:rsid w:val="00AA7A92"/>
    <w:rsid w:val="00AA7B72"/>
    <w:rsid w:val="00AA7C10"/>
    <w:rsid w:val="00AA7C1B"/>
    <w:rsid w:val="00AA7DE6"/>
    <w:rsid w:val="00AA7E0F"/>
    <w:rsid w:val="00AA7F7A"/>
    <w:rsid w:val="00AB01EB"/>
    <w:rsid w:val="00AB0579"/>
    <w:rsid w:val="00AB0CEF"/>
    <w:rsid w:val="00AB1D19"/>
    <w:rsid w:val="00AB1DE9"/>
    <w:rsid w:val="00AB2555"/>
    <w:rsid w:val="00AB2A50"/>
    <w:rsid w:val="00AB2AA9"/>
    <w:rsid w:val="00AB2C86"/>
    <w:rsid w:val="00AB2EF2"/>
    <w:rsid w:val="00AB31EF"/>
    <w:rsid w:val="00AB35E0"/>
    <w:rsid w:val="00AB364C"/>
    <w:rsid w:val="00AB36EA"/>
    <w:rsid w:val="00AB3C36"/>
    <w:rsid w:val="00AB3F3F"/>
    <w:rsid w:val="00AB3FA3"/>
    <w:rsid w:val="00AB41CB"/>
    <w:rsid w:val="00AB4710"/>
    <w:rsid w:val="00AB489E"/>
    <w:rsid w:val="00AB4C0E"/>
    <w:rsid w:val="00AB4E2D"/>
    <w:rsid w:val="00AB4E77"/>
    <w:rsid w:val="00AB628F"/>
    <w:rsid w:val="00AB6722"/>
    <w:rsid w:val="00AB682A"/>
    <w:rsid w:val="00AB7253"/>
    <w:rsid w:val="00AB74D7"/>
    <w:rsid w:val="00AB7932"/>
    <w:rsid w:val="00AB7974"/>
    <w:rsid w:val="00AB79A7"/>
    <w:rsid w:val="00AC0126"/>
    <w:rsid w:val="00AC02C9"/>
    <w:rsid w:val="00AC02FE"/>
    <w:rsid w:val="00AC0341"/>
    <w:rsid w:val="00AC03C0"/>
    <w:rsid w:val="00AC0678"/>
    <w:rsid w:val="00AC0A6E"/>
    <w:rsid w:val="00AC0B1F"/>
    <w:rsid w:val="00AC0D8D"/>
    <w:rsid w:val="00AC0EF2"/>
    <w:rsid w:val="00AC10ED"/>
    <w:rsid w:val="00AC21C9"/>
    <w:rsid w:val="00AC258E"/>
    <w:rsid w:val="00AC2664"/>
    <w:rsid w:val="00AC2C0D"/>
    <w:rsid w:val="00AC3A2C"/>
    <w:rsid w:val="00AC3AFF"/>
    <w:rsid w:val="00AC3CC0"/>
    <w:rsid w:val="00AC3E66"/>
    <w:rsid w:val="00AC42D8"/>
    <w:rsid w:val="00AC49DE"/>
    <w:rsid w:val="00AC4AEA"/>
    <w:rsid w:val="00AC4D4F"/>
    <w:rsid w:val="00AC5824"/>
    <w:rsid w:val="00AC5BBF"/>
    <w:rsid w:val="00AC5BF4"/>
    <w:rsid w:val="00AC5CB5"/>
    <w:rsid w:val="00AC624F"/>
    <w:rsid w:val="00AC629A"/>
    <w:rsid w:val="00AC6862"/>
    <w:rsid w:val="00AC6AF9"/>
    <w:rsid w:val="00AC6D91"/>
    <w:rsid w:val="00AC6F25"/>
    <w:rsid w:val="00AC7514"/>
    <w:rsid w:val="00AC7C29"/>
    <w:rsid w:val="00AD0066"/>
    <w:rsid w:val="00AD045F"/>
    <w:rsid w:val="00AD06CF"/>
    <w:rsid w:val="00AD06F5"/>
    <w:rsid w:val="00AD1677"/>
    <w:rsid w:val="00AD1757"/>
    <w:rsid w:val="00AD18DA"/>
    <w:rsid w:val="00AD18F6"/>
    <w:rsid w:val="00AD1AE6"/>
    <w:rsid w:val="00AD22E2"/>
    <w:rsid w:val="00AD25A2"/>
    <w:rsid w:val="00AD3313"/>
    <w:rsid w:val="00AD35B9"/>
    <w:rsid w:val="00AD3EC7"/>
    <w:rsid w:val="00AD4046"/>
    <w:rsid w:val="00AD456A"/>
    <w:rsid w:val="00AD5062"/>
    <w:rsid w:val="00AD50B8"/>
    <w:rsid w:val="00AD573D"/>
    <w:rsid w:val="00AD59BA"/>
    <w:rsid w:val="00AD5CFC"/>
    <w:rsid w:val="00AD60F4"/>
    <w:rsid w:val="00AD7302"/>
    <w:rsid w:val="00AD74E2"/>
    <w:rsid w:val="00AD7A3C"/>
    <w:rsid w:val="00AD7DE4"/>
    <w:rsid w:val="00AE08B7"/>
    <w:rsid w:val="00AE0F7C"/>
    <w:rsid w:val="00AE10F8"/>
    <w:rsid w:val="00AE121A"/>
    <w:rsid w:val="00AE1751"/>
    <w:rsid w:val="00AE17E5"/>
    <w:rsid w:val="00AE1931"/>
    <w:rsid w:val="00AE19F7"/>
    <w:rsid w:val="00AE1A94"/>
    <w:rsid w:val="00AE1AFE"/>
    <w:rsid w:val="00AE1C66"/>
    <w:rsid w:val="00AE1DF3"/>
    <w:rsid w:val="00AE1EA2"/>
    <w:rsid w:val="00AE1F8A"/>
    <w:rsid w:val="00AE1FD1"/>
    <w:rsid w:val="00AE249C"/>
    <w:rsid w:val="00AE24E7"/>
    <w:rsid w:val="00AE2642"/>
    <w:rsid w:val="00AE26FC"/>
    <w:rsid w:val="00AE2AB9"/>
    <w:rsid w:val="00AE3542"/>
    <w:rsid w:val="00AE35DF"/>
    <w:rsid w:val="00AE37CB"/>
    <w:rsid w:val="00AE38CC"/>
    <w:rsid w:val="00AE3A46"/>
    <w:rsid w:val="00AE3BCD"/>
    <w:rsid w:val="00AE3C3D"/>
    <w:rsid w:val="00AE41A8"/>
    <w:rsid w:val="00AE43BE"/>
    <w:rsid w:val="00AE4DAF"/>
    <w:rsid w:val="00AE4E4D"/>
    <w:rsid w:val="00AE5131"/>
    <w:rsid w:val="00AE5683"/>
    <w:rsid w:val="00AE5897"/>
    <w:rsid w:val="00AE5941"/>
    <w:rsid w:val="00AE5AAF"/>
    <w:rsid w:val="00AE5BE7"/>
    <w:rsid w:val="00AE5CAC"/>
    <w:rsid w:val="00AE5DAC"/>
    <w:rsid w:val="00AE60BA"/>
    <w:rsid w:val="00AE60DF"/>
    <w:rsid w:val="00AE631A"/>
    <w:rsid w:val="00AE6386"/>
    <w:rsid w:val="00AE7B6B"/>
    <w:rsid w:val="00AF0243"/>
    <w:rsid w:val="00AF0418"/>
    <w:rsid w:val="00AF05A6"/>
    <w:rsid w:val="00AF114B"/>
    <w:rsid w:val="00AF1359"/>
    <w:rsid w:val="00AF161A"/>
    <w:rsid w:val="00AF199C"/>
    <w:rsid w:val="00AF1B8F"/>
    <w:rsid w:val="00AF1E01"/>
    <w:rsid w:val="00AF1F31"/>
    <w:rsid w:val="00AF276C"/>
    <w:rsid w:val="00AF2990"/>
    <w:rsid w:val="00AF33F8"/>
    <w:rsid w:val="00AF3CA1"/>
    <w:rsid w:val="00AF3DF0"/>
    <w:rsid w:val="00AF4739"/>
    <w:rsid w:val="00AF48A9"/>
    <w:rsid w:val="00AF4990"/>
    <w:rsid w:val="00AF4EB8"/>
    <w:rsid w:val="00AF5562"/>
    <w:rsid w:val="00AF566D"/>
    <w:rsid w:val="00AF6188"/>
    <w:rsid w:val="00AF651E"/>
    <w:rsid w:val="00AF6E42"/>
    <w:rsid w:val="00AF707B"/>
    <w:rsid w:val="00AF7A8D"/>
    <w:rsid w:val="00AF7BE2"/>
    <w:rsid w:val="00AF7C24"/>
    <w:rsid w:val="00AF7D3F"/>
    <w:rsid w:val="00AF7F28"/>
    <w:rsid w:val="00B001B6"/>
    <w:rsid w:val="00B0072B"/>
    <w:rsid w:val="00B00A07"/>
    <w:rsid w:val="00B00B26"/>
    <w:rsid w:val="00B00CE4"/>
    <w:rsid w:val="00B00F9E"/>
    <w:rsid w:val="00B011D7"/>
    <w:rsid w:val="00B011F1"/>
    <w:rsid w:val="00B01299"/>
    <w:rsid w:val="00B020B7"/>
    <w:rsid w:val="00B026FA"/>
    <w:rsid w:val="00B0273F"/>
    <w:rsid w:val="00B02ADA"/>
    <w:rsid w:val="00B02E6E"/>
    <w:rsid w:val="00B02ED5"/>
    <w:rsid w:val="00B03627"/>
    <w:rsid w:val="00B039D2"/>
    <w:rsid w:val="00B03A04"/>
    <w:rsid w:val="00B03AB8"/>
    <w:rsid w:val="00B03D25"/>
    <w:rsid w:val="00B04049"/>
    <w:rsid w:val="00B040AF"/>
    <w:rsid w:val="00B049D4"/>
    <w:rsid w:val="00B05091"/>
    <w:rsid w:val="00B0523A"/>
    <w:rsid w:val="00B052ED"/>
    <w:rsid w:val="00B05680"/>
    <w:rsid w:val="00B05701"/>
    <w:rsid w:val="00B05DFE"/>
    <w:rsid w:val="00B05F69"/>
    <w:rsid w:val="00B0601E"/>
    <w:rsid w:val="00B06460"/>
    <w:rsid w:val="00B068F7"/>
    <w:rsid w:val="00B06A67"/>
    <w:rsid w:val="00B06B7C"/>
    <w:rsid w:val="00B06EDB"/>
    <w:rsid w:val="00B0710A"/>
    <w:rsid w:val="00B07145"/>
    <w:rsid w:val="00B0723D"/>
    <w:rsid w:val="00B0797F"/>
    <w:rsid w:val="00B07D1D"/>
    <w:rsid w:val="00B10520"/>
    <w:rsid w:val="00B107B0"/>
    <w:rsid w:val="00B107D6"/>
    <w:rsid w:val="00B10889"/>
    <w:rsid w:val="00B10986"/>
    <w:rsid w:val="00B113BD"/>
    <w:rsid w:val="00B113CA"/>
    <w:rsid w:val="00B11AF7"/>
    <w:rsid w:val="00B11B09"/>
    <w:rsid w:val="00B11DDF"/>
    <w:rsid w:val="00B11E0C"/>
    <w:rsid w:val="00B11FC0"/>
    <w:rsid w:val="00B14585"/>
    <w:rsid w:val="00B145B0"/>
    <w:rsid w:val="00B14A7C"/>
    <w:rsid w:val="00B14BAA"/>
    <w:rsid w:val="00B14BFD"/>
    <w:rsid w:val="00B14C52"/>
    <w:rsid w:val="00B14F21"/>
    <w:rsid w:val="00B1561A"/>
    <w:rsid w:val="00B15B7A"/>
    <w:rsid w:val="00B16028"/>
    <w:rsid w:val="00B16141"/>
    <w:rsid w:val="00B161E5"/>
    <w:rsid w:val="00B162B2"/>
    <w:rsid w:val="00B168AF"/>
    <w:rsid w:val="00B168E7"/>
    <w:rsid w:val="00B16DCE"/>
    <w:rsid w:val="00B16E84"/>
    <w:rsid w:val="00B17113"/>
    <w:rsid w:val="00B1766F"/>
    <w:rsid w:val="00B17D20"/>
    <w:rsid w:val="00B20584"/>
    <w:rsid w:val="00B20928"/>
    <w:rsid w:val="00B20BF6"/>
    <w:rsid w:val="00B20C18"/>
    <w:rsid w:val="00B2138E"/>
    <w:rsid w:val="00B226E3"/>
    <w:rsid w:val="00B227C3"/>
    <w:rsid w:val="00B228D3"/>
    <w:rsid w:val="00B234C4"/>
    <w:rsid w:val="00B2357E"/>
    <w:rsid w:val="00B236DE"/>
    <w:rsid w:val="00B23991"/>
    <w:rsid w:val="00B24F02"/>
    <w:rsid w:val="00B250B2"/>
    <w:rsid w:val="00B25263"/>
    <w:rsid w:val="00B25570"/>
    <w:rsid w:val="00B25981"/>
    <w:rsid w:val="00B25E29"/>
    <w:rsid w:val="00B26120"/>
    <w:rsid w:val="00B2700A"/>
    <w:rsid w:val="00B27464"/>
    <w:rsid w:val="00B275EE"/>
    <w:rsid w:val="00B2781B"/>
    <w:rsid w:val="00B2786D"/>
    <w:rsid w:val="00B27B57"/>
    <w:rsid w:val="00B301C5"/>
    <w:rsid w:val="00B301E9"/>
    <w:rsid w:val="00B305C4"/>
    <w:rsid w:val="00B3086D"/>
    <w:rsid w:val="00B30A1F"/>
    <w:rsid w:val="00B31041"/>
    <w:rsid w:val="00B31088"/>
    <w:rsid w:val="00B310C4"/>
    <w:rsid w:val="00B31548"/>
    <w:rsid w:val="00B315E7"/>
    <w:rsid w:val="00B3181C"/>
    <w:rsid w:val="00B325E1"/>
    <w:rsid w:val="00B3270B"/>
    <w:rsid w:val="00B32D0B"/>
    <w:rsid w:val="00B33795"/>
    <w:rsid w:val="00B33922"/>
    <w:rsid w:val="00B33AAC"/>
    <w:rsid w:val="00B33BD0"/>
    <w:rsid w:val="00B340C2"/>
    <w:rsid w:val="00B34471"/>
    <w:rsid w:val="00B34BB6"/>
    <w:rsid w:val="00B3512C"/>
    <w:rsid w:val="00B353E0"/>
    <w:rsid w:val="00B357CC"/>
    <w:rsid w:val="00B360BB"/>
    <w:rsid w:val="00B361AA"/>
    <w:rsid w:val="00B36262"/>
    <w:rsid w:val="00B362CE"/>
    <w:rsid w:val="00B3631C"/>
    <w:rsid w:val="00B363DB"/>
    <w:rsid w:val="00B36E23"/>
    <w:rsid w:val="00B3705B"/>
    <w:rsid w:val="00B3727C"/>
    <w:rsid w:val="00B4046B"/>
    <w:rsid w:val="00B40661"/>
    <w:rsid w:val="00B40D14"/>
    <w:rsid w:val="00B40D50"/>
    <w:rsid w:val="00B40EB4"/>
    <w:rsid w:val="00B410BE"/>
    <w:rsid w:val="00B411A6"/>
    <w:rsid w:val="00B411B3"/>
    <w:rsid w:val="00B413C8"/>
    <w:rsid w:val="00B4162A"/>
    <w:rsid w:val="00B4175B"/>
    <w:rsid w:val="00B417A2"/>
    <w:rsid w:val="00B41D1A"/>
    <w:rsid w:val="00B42045"/>
    <w:rsid w:val="00B421BB"/>
    <w:rsid w:val="00B422FA"/>
    <w:rsid w:val="00B42BF3"/>
    <w:rsid w:val="00B42CDE"/>
    <w:rsid w:val="00B42D27"/>
    <w:rsid w:val="00B4363D"/>
    <w:rsid w:val="00B4369E"/>
    <w:rsid w:val="00B43C9D"/>
    <w:rsid w:val="00B43CBE"/>
    <w:rsid w:val="00B4448C"/>
    <w:rsid w:val="00B44576"/>
    <w:rsid w:val="00B4466F"/>
    <w:rsid w:val="00B4481B"/>
    <w:rsid w:val="00B44E9F"/>
    <w:rsid w:val="00B44FCF"/>
    <w:rsid w:val="00B45D87"/>
    <w:rsid w:val="00B462CF"/>
    <w:rsid w:val="00B4653F"/>
    <w:rsid w:val="00B4672E"/>
    <w:rsid w:val="00B46851"/>
    <w:rsid w:val="00B46BEE"/>
    <w:rsid w:val="00B46CAD"/>
    <w:rsid w:val="00B46EF4"/>
    <w:rsid w:val="00B4746D"/>
    <w:rsid w:val="00B47789"/>
    <w:rsid w:val="00B478D9"/>
    <w:rsid w:val="00B5004F"/>
    <w:rsid w:val="00B503E9"/>
    <w:rsid w:val="00B50C38"/>
    <w:rsid w:val="00B50F95"/>
    <w:rsid w:val="00B51673"/>
    <w:rsid w:val="00B519B8"/>
    <w:rsid w:val="00B51B1F"/>
    <w:rsid w:val="00B51BD2"/>
    <w:rsid w:val="00B52361"/>
    <w:rsid w:val="00B52E26"/>
    <w:rsid w:val="00B52E82"/>
    <w:rsid w:val="00B5379D"/>
    <w:rsid w:val="00B53835"/>
    <w:rsid w:val="00B539AA"/>
    <w:rsid w:val="00B53B0A"/>
    <w:rsid w:val="00B53C81"/>
    <w:rsid w:val="00B53D67"/>
    <w:rsid w:val="00B53FEF"/>
    <w:rsid w:val="00B540BC"/>
    <w:rsid w:val="00B54308"/>
    <w:rsid w:val="00B54819"/>
    <w:rsid w:val="00B554A6"/>
    <w:rsid w:val="00B554C1"/>
    <w:rsid w:val="00B55D22"/>
    <w:rsid w:val="00B55D4B"/>
    <w:rsid w:val="00B560CA"/>
    <w:rsid w:val="00B5627E"/>
    <w:rsid w:val="00B5646E"/>
    <w:rsid w:val="00B566D0"/>
    <w:rsid w:val="00B567AB"/>
    <w:rsid w:val="00B56A5A"/>
    <w:rsid w:val="00B56AC1"/>
    <w:rsid w:val="00B56C13"/>
    <w:rsid w:val="00B56E26"/>
    <w:rsid w:val="00B57256"/>
    <w:rsid w:val="00B576EB"/>
    <w:rsid w:val="00B600BB"/>
    <w:rsid w:val="00B601DD"/>
    <w:rsid w:val="00B6035E"/>
    <w:rsid w:val="00B60447"/>
    <w:rsid w:val="00B607BE"/>
    <w:rsid w:val="00B60B5C"/>
    <w:rsid w:val="00B61156"/>
    <w:rsid w:val="00B6152E"/>
    <w:rsid w:val="00B61909"/>
    <w:rsid w:val="00B61CB3"/>
    <w:rsid w:val="00B61DB1"/>
    <w:rsid w:val="00B61F5E"/>
    <w:rsid w:val="00B62742"/>
    <w:rsid w:val="00B62872"/>
    <w:rsid w:val="00B62AAA"/>
    <w:rsid w:val="00B62E07"/>
    <w:rsid w:val="00B63056"/>
    <w:rsid w:val="00B632C7"/>
    <w:rsid w:val="00B634F2"/>
    <w:rsid w:val="00B6375C"/>
    <w:rsid w:val="00B63825"/>
    <w:rsid w:val="00B63E44"/>
    <w:rsid w:val="00B6441B"/>
    <w:rsid w:val="00B645CF"/>
    <w:rsid w:val="00B645F1"/>
    <w:rsid w:val="00B64792"/>
    <w:rsid w:val="00B64B01"/>
    <w:rsid w:val="00B6518D"/>
    <w:rsid w:val="00B65A3F"/>
    <w:rsid w:val="00B660C3"/>
    <w:rsid w:val="00B66132"/>
    <w:rsid w:val="00B66B33"/>
    <w:rsid w:val="00B67996"/>
    <w:rsid w:val="00B67A91"/>
    <w:rsid w:val="00B67DC0"/>
    <w:rsid w:val="00B70475"/>
    <w:rsid w:val="00B70479"/>
    <w:rsid w:val="00B70915"/>
    <w:rsid w:val="00B70C9F"/>
    <w:rsid w:val="00B712C2"/>
    <w:rsid w:val="00B7156A"/>
    <w:rsid w:val="00B71779"/>
    <w:rsid w:val="00B7178D"/>
    <w:rsid w:val="00B71E81"/>
    <w:rsid w:val="00B7238D"/>
    <w:rsid w:val="00B7245E"/>
    <w:rsid w:val="00B72743"/>
    <w:rsid w:val="00B72B25"/>
    <w:rsid w:val="00B7317B"/>
    <w:rsid w:val="00B73D26"/>
    <w:rsid w:val="00B744F7"/>
    <w:rsid w:val="00B7465A"/>
    <w:rsid w:val="00B74858"/>
    <w:rsid w:val="00B74DB6"/>
    <w:rsid w:val="00B75122"/>
    <w:rsid w:val="00B75729"/>
    <w:rsid w:val="00B75740"/>
    <w:rsid w:val="00B760AE"/>
    <w:rsid w:val="00B7621E"/>
    <w:rsid w:val="00B76D5A"/>
    <w:rsid w:val="00B77744"/>
    <w:rsid w:val="00B77DA6"/>
    <w:rsid w:val="00B77F88"/>
    <w:rsid w:val="00B77FE3"/>
    <w:rsid w:val="00B80208"/>
    <w:rsid w:val="00B80704"/>
    <w:rsid w:val="00B80C2A"/>
    <w:rsid w:val="00B80C33"/>
    <w:rsid w:val="00B80D30"/>
    <w:rsid w:val="00B80D7B"/>
    <w:rsid w:val="00B80EE9"/>
    <w:rsid w:val="00B80F9C"/>
    <w:rsid w:val="00B8101C"/>
    <w:rsid w:val="00B8121B"/>
    <w:rsid w:val="00B812AC"/>
    <w:rsid w:val="00B8192E"/>
    <w:rsid w:val="00B81E2A"/>
    <w:rsid w:val="00B81E4F"/>
    <w:rsid w:val="00B828A3"/>
    <w:rsid w:val="00B82AFA"/>
    <w:rsid w:val="00B82CB6"/>
    <w:rsid w:val="00B82E2E"/>
    <w:rsid w:val="00B834AC"/>
    <w:rsid w:val="00B83AD7"/>
    <w:rsid w:val="00B84055"/>
    <w:rsid w:val="00B84766"/>
    <w:rsid w:val="00B84FCB"/>
    <w:rsid w:val="00B8513C"/>
    <w:rsid w:val="00B851CE"/>
    <w:rsid w:val="00B856CE"/>
    <w:rsid w:val="00B85C0E"/>
    <w:rsid w:val="00B86792"/>
    <w:rsid w:val="00B867F3"/>
    <w:rsid w:val="00B86A3E"/>
    <w:rsid w:val="00B86B0C"/>
    <w:rsid w:val="00B86E7A"/>
    <w:rsid w:val="00B8755F"/>
    <w:rsid w:val="00B87619"/>
    <w:rsid w:val="00B87665"/>
    <w:rsid w:val="00B876DD"/>
    <w:rsid w:val="00B8782C"/>
    <w:rsid w:val="00B879BD"/>
    <w:rsid w:val="00B87B59"/>
    <w:rsid w:val="00B90635"/>
    <w:rsid w:val="00B90801"/>
    <w:rsid w:val="00B90BFC"/>
    <w:rsid w:val="00B90CCD"/>
    <w:rsid w:val="00B90D03"/>
    <w:rsid w:val="00B910D9"/>
    <w:rsid w:val="00B91603"/>
    <w:rsid w:val="00B9188F"/>
    <w:rsid w:val="00B91DE3"/>
    <w:rsid w:val="00B91F86"/>
    <w:rsid w:val="00B9205E"/>
    <w:rsid w:val="00B922FC"/>
    <w:rsid w:val="00B9252C"/>
    <w:rsid w:val="00B930A3"/>
    <w:rsid w:val="00B9321F"/>
    <w:rsid w:val="00B938ED"/>
    <w:rsid w:val="00B93A87"/>
    <w:rsid w:val="00B93E4C"/>
    <w:rsid w:val="00B93F23"/>
    <w:rsid w:val="00B94244"/>
    <w:rsid w:val="00B9431C"/>
    <w:rsid w:val="00B94334"/>
    <w:rsid w:val="00B94BD6"/>
    <w:rsid w:val="00B951A3"/>
    <w:rsid w:val="00B95592"/>
    <w:rsid w:val="00B958C1"/>
    <w:rsid w:val="00B95B68"/>
    <w:rsid w:val="00B964FB"/>
    <w:rsid w:val="00B966DA"/>
    <w:rsid w:val="00B970A4"/>
    <w:rsid w:val="00B97112"/>
    <w:rsid w:val="00B97925"/>
    <w:rsid w:val="00BA0AB2"/>
    <w:rsid w:val="00BA1002"/>
    <w:rsid w:val="00BA160E"/>
    <w:rsid w:val="00BA1A7F"/>
    <w:rsid w:val="00BA1BB5"/>
    <w:rsid w:val="00BA1ECA"/>
    <w:rsid w:val="00BA273E"/>
    <w:rsid w:val="00BA2B93"/>
    <w:rsid w:val="00BA3581"/>
    <w:rsid w:val="00BA3B8E"/>
    <w:rsid w:val="00BA4381"/>
    <w:rsid w:val="00BA45A6"/>
    <w:rsid w:val="00BA4B59"/>
    <w:rsid w:val="00BA537D"/>
    <w:rsid w:val="00BA6373"/>
    <w:rsid w:val="00BA6661"/>
    <w:rsid w:val="00BA68B1"/>
    <w:rsid w:val="00BA6991"/>
    <w:rsid w:val="00BA6CE7"/>
    <w:rsid w:val="00BA700A"/>
    <w:rsid w:val="00BA705B"/>
    <w:rsid w:val="00BA7082"/>
    <w:rsid w:val="00BA7A07"/>
    <w:rsid w:val="00BA7A20"/>
    <w:rsid w:val="00BA7B10"/>
    <w:rsid w:val="00BB00F8"/>
    <w:rsid w:val="00BB01E5"/>
    <w:rsid w:val="00BB1317"/>
    <w:rsid w:val="00BB141E"/>
    <w:rsid w:val="00BB1E47"/>
    <w:rsid w:val="00BB21CA"/>
    <w:rsid w:val="00BB258C"/>
    <w:rsid w:val="00BB25E2"/>
    <w:rsid w:val="00BB27D9"/>
    <w:rsid w:val="00BB34F4"/>
    <w:rsid w:val="00BB3BBE"/>
    <w:rsid w:val="00BB4089"/>
    <w:rsid w:val="00BB4460"/>
    <w:rsid w:val="00BB4C4D"/>
    <w:rsid w:val="00BB50A0"/>
    <w:rsid w:val="00BB53B1"/>
    <w:rsid w:val="00BB55C8"/>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651"/>
    <w:rsid w:val="00BC177E"/>
    <w:rsid w:val="00BC1CC0"/>
    <w:rsid w:val="00BC20A7"/>
    <w:rsid w:val="00BC2517"/>
    <w:rsid w:val="00BC260F"/>
    <w:rsid w:val="00BC2989"/>
    <w:rsid w:val="00BC2AB8"/>
    <w:rsid w:val="00BC2AF3"/>
    <w:rsid w:val="00BC2F41"/>
    <w:rsid w:val="00BC2FBB"/>
    <w:rsid w:val="00BC330E"/>
    <w:rsid w:val="00BC3319"/>
    <w:rsid w:val="00BC4045"/>
    <w:rsid w:val="00BC41B1"/>
    <w:rsid w:val="00BC4965"/>
    <w:rsid w:val="00BC4AA3"/>
    <w:rsid w:val="00BC4EED"/>
    <w:rsid w:val="00BC529F"/>
    <w:rsid w:val="00BC5303"/>
    <w:rsid w:val="00BC5731"/>
    <w:rsid w:val="00BC58A6"/>
    <w:rsid w:val="00BC5BA8"/>
    <w:rsid w:val="00BC5C60"/>
    <w:rsid w:val="00BC5CAD"/>
    <w:rsid w:val="00BC6103"/>
    <w:rsid w:val="00BC6274"/>
    <w:rsid w:val="00BC656A"/>
    <w:rsid w:val="00BC65DE"/>
    <w:rsid w:val="00BC67E6"/>
    <w:rsid w:val="00BC6ED7"/>
    <w:rsid w:val="00BC7446"/>
    <w:rsid w:val="00BC76E9"/>
    <w:rsid w:val="00BC7D8D"/>
    <w:rsid w:val="00BD0431"/>
    <w:rsid w:val="00BD0491"/>
    <w:rsid w:val="00BD0520"/>
    <w:rsid w:val="00BD111E"/>
    <w:rsid w:val="00BD113C"/>
    <w:rsid w:val="00BD166B"/>
    <w:rsid w:val="00BD19D4"/>
    <w:rsid w:val="00BD2853"/>
    <w:rsid w:val="00BD2B56"/>
    <w:rsid w:val="00BD2D2F"/>
    <w:rsid w:val="00BD2FF9"/>
    <w:rsid w:val="00BD35C7"/>
    <w:rsid w:val="00BD3BF0"/>
    <w:rsid w:val="00BD3E60"/>
    <w:rsid w:val="00BD440E"/>
    <w:rsid w:val="00BD4602"/>
    <w:rsid w:val="00BD4783"/>
    <w:rsid w:val="00BD48E3"/>
    <w:rsid w:val="00BD4A6F"/>
    <w:rsid w:val="00BD4C8E"/>
    <w:rsid w:val="00BD4E6C"/>
    <w:rsid w:val="00BD4F6E"/>
    <w:rsid w:val="00BD5B1C"/>
    <w:rsid w:val="00BD607B"/>
    <w:rsid w:val="00BD61A4"/>
    <w:rsid w:val="00BD64BD"/>
    <w:rsid w:val="00BD6B4E"/>
    <w:rsid w:val="00BD6E79"/>
    <w:rsid w:val="00BD7392"/>
    <w:rsid w:val="00BD7A69"/>
    <w:rsid w:val="00BD7BA7"/>
    <w:rsid w:val="00BE008E"/>
    <w:rsid w:val="00BE05B6"/>
    <w:rsid w:val="00BE06D2"/>
    <w:rsid w:val="00BE0965"/>
    <w:rsid w:val="00BE0A64"/>
    <w:rsid w:val="00BE0C9E"/>
    <w:rsid w:val="00BE0F2D"/>
    <w:rsid w:val="00BE15A9"/>
    <w:rsid w:val="00BE16C7"/>
    <w:rsid w:val="00BE1B0C"/>
    <w:rsid w:val="00BE1C1B"/>
    <w:rsid w:val="00BE2307"/>
    <w:rsid w:val="00BE247B"/>
    <w:rsid w:val="00BE24CB"/>
    <w:rsid w:val="00BE251E"/>
    <w:rsid w:val="00BE28D0"/>
    <w:rsid w:val="00BE28DB"/>
    <w:rsid w:val="00BE2C02"/>
    <w:rsid w:val="00BE2DD2"/>
    <w:rsid w:val="00BE2F44"/>
    <w:rsid w:val="00BE3435"/>
    <w:rsid w:val="00BE34A2"/>
    <w:rsid w:val="00BE34EB"/>
    <w:rsid w:val="00BE3FB5"/>
    <w:rsid w:val="00BE4035"/>
    <w:rsid w:val="00BE40BA"/>
    <w:rsid w:val="00BE41F4"/>
    <w:rsid w:val="00BE4359"/>
    <w:rsid w:val="00BE49B6"/>
    <w:rsid w:val="00BE4BDE"/>
    <w:rsid w:val="00BE4F43"/>
    <w:rsid w:val="00BE518D"/>
    <w:rsid w:val="00BE6465"/>
    <w:rsid w:val="00BE6A24"/>
    <w:rsid w:val="00BE7153"/>
    <w:rsid w:val="00BE734B"/>
    <w:rsid w:val="00BF022A"/>
    <w:rsid w:val="00BF0337"/>
    <w:rsid w:val="00BF046B"/>
    <w:rsid w:val="00BF08DD"/>
    <w:rsid w:val="00BF12E8"/>
    <w:rsid w:val="00BF15BD"/>
    <w:rsid w:val="00BF1D03"/>
    <w:rsid w:val="00BF2113"/>
    <w:rsid w:val="00BF2233"/>
    <w:rsid w:val="00BF238F"/>
    <w:rsid w:val="00BF257E"/>
    <w:rsid w:val="00BF2686"/>
    <w:rsid w:val="00BF2A2B"/>
    <w:rsid w:val="00BF2AD9"/>
    <w:rsid w:val="00BF2F97"/>
    <w:rsid w:val="00BF34D9"/>
    <w:rsid w:val="00BF35BB"/>
    <w:rsid w:val="00BF3BBA"/>
    <w:rsid w:val="00BF4945"/>
    <w:rsid w:val="00BF4B48"/>
    <w:rsid w:val="00BF4F53"/>
    <w:rsid w:val="00BF52D8"/>
    <w:rsid w:val="00BF52F6"/>
    <w:rsid w:val="00BF54FE"/>
    <w:rsid w:val="00BF59C6"/>
    <w:rsid w:val="00BF5BA9"/>
    <w:rsid w:val="00BF5C3F"/>
    <w:rsid w:val="00BF5D1D"/>
    <w:rsid w:val="00BF5E78"/>
    <w:rsid w:val="00BF6447"/>
    <w:rsid w:val="00BF64F2"/>
    <w:rsid w:val="00BF666C"/>
    <w:rsid w:val="00BF6A53"/>
    <w:rsid w:val="00BF6C16"/>
    <w:rsid w:val="00BF6C19"/>
    <w:rsid w:val="00BF6E6A"/>
    <w:rsid w:val="00BF6FB7"/>
    <w:rsid w:val="00BF7439"/>
    <w:rsid w:val="00BF7C63"/>
    <w:rsid w:val="00BF7EA0"/>
    <w:rsid w:val="00C00409"/>
    <w:rsid w:val="00C006AC"/>
    <w:rsid w:val="00C009C3"/>
    <w:rsid w:val="00C00BB7"/>
    <w:rsid w:val="00C00E19"/>
    <w:rsid w:val="00C00E69"/>
    <w:rsid w:val="00C010F5"/>
    <w:rsid w:val="00C01989"/>
    <w:rsid w:val="00C01A2D"/>
    <w:rsid w:val="00C01B3B"/>
    <w:rsid w:val="00C02091"/>
    <w:rsid w:val="00C020B0"/>
    <w:rsid w:val="00C021C0"/>
    <w:rsid w:val="00C025C6"/>
    <w:rsid w:val="00C026C2"/>
    <w:rsid w:val="00C02FFC"/>
    <w:rsid w:val="00C0310A"/>
    <w:rsid w:val="00C0317E"/>
    <w:rsid w:val="00C03202"/>
    <w:rsid w:val="00C033A5"/>
    <w:rsid w:val="00C03E53"/>
    <w:rsid w:val="00C04192"/>
    <w:rsid w:val="00C043BF"/>
    <w:rsid w:val="00C044B3"/>
    <w:rsid w:val="00C04651"/>
    <w:rsid w:val="00C04824"/>
    <w:rsid w:val="00C04ACE"/>
    <w:rsid w:val="00C04D39"/>
    <w:rsid w:val="00C05CE6"/>
    <w:rsid w:val="00C06215"/>
    <w:rsid w:val="00C06339"/>
    <w:rsid w:val="00C06426"/>
    <w:rsid w:val="00C06B25"/>
    <w:rsid w:val="00C06E8E"/>
    <w:rsid w:val="00C071EF"/>
    <w:rsid w:val="00C075EE"/>
    <w:rsid w:val="00C07932"/>
    <w:rsid w:val="00C0797C"/>
    <w:rsid w:val="00C104EE"/>
    <w:rsid w:val="00C105A9"/>
    <w:rsid w:val="00C105CB"/>
    <w:rsid w:val="00C106C8"/>
    <w:rsid w:val="00C1084F"/>
    <w:rsid w:val="00C10A53"/>
    <w:rsid w:val="00C10AC2"/>
    <w:rsid w:val="00C10F2F"/>
    <w:rsid w:val="00C11416"/>
    <w:rsid w:val="00C12148"/>
    <w:rsid w:val="00C12215"/>
    <w:rsid w:val="00C1264E"/>
    <w:rsid w:val="00C12985"/>
    <w:rsid w:val="00C12992"/>
    <w:rsid w:val="00C12AAF"/>
    <w:rsid w:val="00C12BC3"/>
    <w:rsid w:val="00C134D5"/>
    <w:rsid w:val="00C13542"/>
    <w:rsid w:val="00C1356F"/>
    <w:rsid w:val="00C139A7"/>
    <w:rsid w:val="00C13EF2"/>
    <w:rsid w:val="00C142DC"/>
    <w:rsid w:val="00C14405"/>
    <w:rsid w:val="00C145A2"/>
    <w:rsid w:val="00C146D1"/>
    <w:rsid w:val="00C14F11"/>
    <w:rsid w:val="00C152CB"/>
    <w:rsid w:val="00C15F24"/>
    <w:rsid w:val="00C16323"/>
    <w:rsid w:val="00C16469"/>
    <w:rsid w:val="00C16A5B"/>
    <w:rsid w:val="00C16FB9"/>
    <w:rsid w:val="00C17047"/>
    <w:rsid w:val="00C1729D"/>
    <w:rsid w:val="00C17345"/>
    <w:rsid w:val="00C17E93"/>
    <w:rsid w:val="00C2064A"/>
    <w:rsid w:val="00C2066E"/>
    <w:rsid w:val="00C20B50"/>
    <w:rsid w:val="00C20CF2"/>
    <w:rsid w:val="00C20F0C"/>
    <w:rsid w:val="00C21044"/>
    <w:rsid w:val="00C213D8"/>
    <w:rsid w:val="00C214DF"/>
    <w:rsid w:val="00C21926"/>
    <w:rsid w:val="00C21A0A"/>
    <w:rsid w:val="00C21AA4"/>
    <w:rsid w:val="00C222D8"/>
    <w:rsid w:val="00C22C0C"/>
    <w:rsid w:val="00C22CDD"/>
    <w:rsid w:val="00C22F2B"/>
    <w:rsid w:val="00C23776"/>
    <w:rsid w:val="00C23A01"/>
    <w:rsid w:val="00C23B50"/>
    <w:rsid w:val="00C23B67"/>
    <w:rsid w:val="00C240F8"/>
    <w:rsid w:val="00C24295"/>
    <w:rsid w:val="00C242FC"/>
    <w:rsid w:val="00C247B0"/>
    <w:rsid w:val="00C25586"/>
    <w:rsid w:val="00C25E6E"/>
    <w:rsid w:val="00C25F99"/>
    <w:rsid w:val="00C261C6"/>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19B"/>
    <w:rsid w:val="00C31689"/>
    <w:rsid w:val="00C319D6"/>
    <w:rsid w:val="00C3204F"/>
    <w:rsid w:val="00C32471"/>
    <w:rsid w:val="00C327BD"/>
    <w:rsid w:val="00C32C0D"/>
    <w:rsid w:val="00C3305A"/>
    <w:rsid w:val="00C33353"/>
    <w:rsid w:val="00C33B13"/>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7026"/>
    <w:rsid w:val="00C37A49"/>
    <w:rsid w:val="00C37B1E"/>
    <w:rsid w:val="00C37C8C"/>
    <w:rsid w:val="00C37F96"/>
    <w:rsid w:val="00C40251"/>
    <w:rsid w:val="00C402DD"/>
    <w:rsid w:val="00C4044E"/>
    <w:rsid w:val="00C404A7"/>
    <w:rsid w:val="00C406F0"/>
    <w:rsid w:val="00C40815"/>
    <w:rsid w:val="00C40FC3"/>
    <w:rsid w:val="00C410AA"/>
    <w:rsid w:val="00C413ED"/>
    <w:rsid w:val="00C41990"/>
    <w:rsid w:val="00C41C3A"/>
    <w:rsid w:val="00C421DA"/>
    <w:rsid w:val="00C4233C"/>
    <w:rsid w:val="00C42543"/>
    <w:rsid w:val="00C429F4"/>
    <w:rsid w:val="00C42C17"/>
    <w:rsid w:val="00C42E30"/>
    <w:rsid w:val="00C4331C"/>
    <w:rsid w:val="00C433D2"/>
    <w:rsid w:val="00C4385C"/>
    <w:rsid w:val="00C44244"/>
    <w:rsid w:val="00C44BAC"/>
    <w:rsid w:val="00C44D76"/>
    <w:rsid w:val="00C45739"/>
    <w:rsid w:val="00C4585F"/>
    <w:rsid w:val="00C458C7"/>
    <w:rsid w:val="00C45CA5"/>
    <w:rsid w:val="00C45E3A"/>
    <w:rsid w:val="00C45F9A"/>
    <w:rsid w:val="00C461E7"/>
    <w:rsid w:val="00C4627B"/>
    <w:rsid w:val="00C4661A"/>
    <w:rsid w:val="00C46BDD"/>
    <w:rsid w:val="00C473A4"/>
    <w:rsid w:val="00C4785D"/>
    <w:rsid w:val="00C47950"/>
    <w:rsid w:val="00C50486"/>
    <w:rsid w:val="00C50492"/>
    <w:rsid w:val="00C50569"/>
    <w:rsid w:val="00C506A9"/>
    <w:rsid w:val="00C506DD"/>
    <w:rsid w:val="00C506F8"/>
    <w:rsid w:val="00C50D24"/>
    <w:rsid w:val="00C5128D"/>
    <w:rsid w:val="00C513B4"/>
    <w:rsid w:val="00C51E99"/>
    <w:rsid w:val="00C52A27"/>
    <w:rsid w:val="00C52B63"/>
    <w:rsid w:val="00C52DAD"/>
    <w:rsid w:val="00C5309F"/>
    <w:rsid w:val="00C53208"/>
    <w:rsid w:val="00C538F2"/>
    <w:rsid w:val="00C53A6A"/>
    <w:rsid w:val="00C53E9D"/>
    <w:rsid w:val="00C54140"/>
    <w:rsid w:val="00C541C2"/>
    <w:rsid w:val="00C543F1"/>
    <w:rsid w:val="00C54480"/>
    <w:rsid w:val="00C546C4"/>
    <w:rsid w:val="00C550A1"/>
    <w:rsid w:val="00C551FB"/>
    <w:rsid w:val="00C554D5"/>
    <w:rsid w:val="00C5604D"/>
    <w:rsid w:val="00C5678F"/>
    <w:rsid w:val="00C567CA"/>
    <w:rsid w:val="00C56995"/>
    <w:rsid w:val="00C56BB6"/>
    <w:rsid w:val="00C56E84"/>
    <w:rsid w:val="00C570D4"/>
    <w:rsid w:val="00C57A44"/>
    <w:rsid w:val="00C57D2B"/>
    <w:rsid w:val="00C57F28"/>
    <w:rsid w:val="00C603FD"/>
    <w:rsid w:val="00C60BFB"/>
    <w:rsid w:val="00C60DD9"/>
    <w:rsid w:val="00C60F83"/>
    <w:rsid w:val="00C61170"/>
    <w:rsid w:val="00C61410"/>
    <w:rsid w:val="00C618BD"/>
    <w:rsid w:val="00C61981"/>
    <w:rsid w:val="00C61B7B"/>
    <w:rsid w:val="00C61C7F"/>
    <w:rsid w:val="00C61CA1"/>
    <w:rsid w:val="00C61D39"/>
    <w:rsid w:val="00C61E7D"/>
    <w:rsid w:val="00C61EC4"/>
    <w:rsid w:val="00C626E5"/>
    <w:rsid w:val="00C62F82"/>
    <w:rsid w:val="00C635B5"/>
    <w:rsid w:val="00C63675"/>
    <w:rsid w:val="00C636EC"/>
    <w:rsid w:val="00C637B1"/>
    <w:rsid w:val="00C63E2E"/>
    <w:rsid w:val="00C64866"/>
    <w:rsid w:val="00C649E8"/>
    <w:rsid w:val="00C64EB4"/>
    <w:rsid w:val="00C64FD1"/>
    <w:rsid w:val="00C65339"/>
    <w:rsid w:val="00C65489"/>
    <w:rsid w:val="00C65593"/>
    <w:rsid w:val="00C65705"/>
    <w:rsid w:val="00C65C3A"/>
    <w:rsid w:val="00C66161"/>
    <w:rsid w:val="00C666DA"/>
    <w:rsid w:val="00C675E0"/>
    <w:rsid w:val="00C6775E"/>
    <w:rsid w:val="00C677F8"/>
    <w:rsid w:val="00C67BAA"/>
    <w:rsid w:val="00C67D87"/>
    <w:rsid w:val="00C700FA"/>
    <w:rsid w:val="00C7046E"/>
    <w:rsid w:val="00C714A2"/>
    <w:rsid w:val="00C71EC0"/>
    <w:rsid w:val="00C71ECC"/>
    <w:rsid w:val="00C71F27"/>
    <w:rsid w:val="00C72113"/>
    <w:rsid w:val="00C73666"/>
    <w:rsid w:val="00C740F9"/>
    <w:rsid w:val="00C744E5"/>
    <w:rsid w:val="00C746EB"/>
    <w:rsid w:val="00C747F2"/>
    <w:rsid w:val="00C7486F"/>
    <w:rsid w:val="00C74961"/>
    <w:rsid w:val="00C76044"/>
    <w:rsid w:val="00C76B7A"/>
    <w:rsid w:val="00C76C3A"/>
    <w:rsid w:val="00C76E9E"/>
    <w:rsid w:val="00C7761B"/>
    <w:rsid w:val="00C7770F"/>
    <w:rsid w:val="00C77C49"/>
    <w:rsid w:val="00C77E42"/>
    <w:rsid w:val="00C8013C"/>
    <w:rsid w:val="00C8044D"/>
    <w:rsid w:val="00C80E75"/>
    <w:rsid w:val="00C81EF4"/>
    <w:rsid w:val="00C822DC"/>
    <w:rsid w:val="00C8240F"/>
    <w:rsid w:val="00C825E7"/>
    <w:rsid w:val="00C82D56"/>
    <w:rsid w:val="00C82FBD"/>
    <w:rsid w:val="00C83187"/>
    <w:rsid w:val="00C8319B"/>
    <w:rsid w:val="00C83A1B"/>
    <w:rsid w:val="00C83AB3"/>
    <w:rsid w:val="00C83BA3"/>
    <w:rsid w:val="00C840D6"/>
    <w:rsid w:val="00C84669"/>
    <w:rsid w:val="00C8471E"/>
    <w:rsid w:val="00C8473A"/>
    <w:rsid w:val="00C84A42"/>
    <w:rsid w:val="00C8514C"/>
    <w:rsid w:val="00C85434"/>
    <w:rsid w:val="00C8575D"/>
    <w:rsid w:val="00C85957"/>
    <w:rsid w:val="00C85AB5"/>
    <w:rsid w:val="00C85F31"/>
    <w:rsid w:val="00C860F5"/>
    <w:rsid w:val="00C86CD4"/>
    <w:rsid w:val="00C86D2E"/>
    <w:rsid w:val="00C86DFB"/>
    <w:rsid w:val="00C87950"/>
    <w:rsid w:val="00C87A7E"/>
    <w:rsid w:val="00C87D15"/>
    <w:rsid w:val="00C90151"/>
    <w:rsid w:val="00C90454"/>
    <w:rsid w:val="00C90C00"/>
    <w:rsid w:val="00C914C6"/>
    <w:rsid w:val="00C915AC"/>
    <w:rsid w:val="00C91865"/>
    <w:rsid w:val="00C91B67"/>
    <w:rsid w:val="00C91D0B"/>
    <w:rsid w:val="00C927F6"/>
    <w:rsid w:val="00C92C76"/>
    <w:rsid w:val="00C92FF2"/>
    <w:rsid w:val="00C93E5B"/>
    <w:rsid w:val="00C9403F"/>
    <w:rsid w:val="00C9455C"/>
    <w:rsid w:val="00C94677"/>
    <w:rsid w:val="00C94B54"/>
    <w:rsid w:val="00C94C69"/>
    <w:rsid w:val="00C94D27"/>
    <w:rsid w:val="00C956D5"/>
    <w:rsid w:val="00C9575F"/>
    <w:rsid w:val="00C95805"/>
    <w:rsid w:val="00C958C7"/>
    <w:rsid w:val="00C96505"/>
    <w:rsid w:val="00C9711B"/>
    <w:rsid w:val="00C97213"/>
    <w:rsid w:val="00C972A7"/>
    <w:rsid w:val="00C976CC"/>
    <w:rsid w:val="00C9779A"/>
    <w:rsid w:val="00C97933"/>
    <w:rsid w:val="00C97BCF"/>
    <w:rsid w:val="00C97C8C"/>
    <w:rsid w:val="00CA09CA"/>
    <w:rsid w:val="00CA1237"/>
    <w:rsid w:val="00CA138B"/>
    <w:rsid w:val="00CA1907"/>
    <w:rsid w:val="00CA267C"/>
    <w:rsid w:val="00CA2951"/>
    <w:rsid w:val="00CA2A01"/>
    <w:rsid w:val="00CA2B93"/>
    <w:rsid w:val="00CA2C23"/>
    <w:rsid w:val="00CA2D31"/>
    <w:rsid w:val="00CA34AF"/>
    <w:rsid w:val="00CA351F"/>
    <w:rsid w:val="00CA35C4"/>
    <w:rsid w:val="00CA3A62"/>
    <w:rsid w:val="00CA3E74"/>
    <w:rsid w:val="00CA4066"/>
    <w:rsid w:val="00CA40E8"/>
    <w:rsid w:val="00CA4DD7"/>
    <w:rsid w:val="00CA517A"/>
    <w:rsid w:val="00CA525F"/>
    <w:rsid w:val="00CA53CF"/>
    <w:rsid w:val="00CA5CDA"/>
    <w:rsid w:val="00CA5D86"/>
    <w:rsid w:val="00CA5F04"/>
    <w:rsid w:val="00CA603C"/>
    <w:rsid w:val="00CA63DE"/>
    <w:rsid w:val="00CA6568"/>
    <w:rsid w:val="00CA6A87"/>
    <w:rsid w:val="00CA6BD1"/>
    <w:rsid w:val="00CA7400"/>
    <w:rsid w:val="00CA74B4"/>
    <w:rsid w:val="00CA7714"/>
    <w:rsid w:val="00CA78C1"/>
    <w:rsid w:val="00CA7CFC"/>
    <w:rsid w:val="00CB07C9"/>
    <w:rsid w:val="00CB0C74"/>
    <w:rsid w:val="00CB1599"/>
    <w:rsid w:val="00CB160E"/>
    <w:rsid w:val="00CB1A18"/>
    <w:rsid w:val="00CB1D30"/>
    <w:rsid w:val="00CB2A77"/>
    <w:rsid w:val="00CB2C43"/>
    <w:rsid w:val="00CB2CC2"/>
    <w:rsid w:val="00CB2CF9"/>
    <w:rsid w:val="00CB34D0"/>
    <w:rsid w:val="00CB3683"/>
    <w:rsid w:val="00CB4175"/>
    <w:rsid w:val="00CB420C"/>
    <w:rsid w:val="00CB44AC"/>
    <w:rsid w:val="00CB45B4"/>
    <w:rsid w:val="00CB4639"/>
    <w:rsid w:val="00CB4822"/>
    <w:rsid w:val="00CB48A6"/>
    <w:rsid w:val="00CB494B"/>
    <w:rsid w:val="00CB498D"/>
    <w:rsid w:val="00CB49CE"/>
    <w:rsid w:val="00CB4D5B"/>
    <w:rsid w:val="00CB4FD3"/>
    <w:rsid w:val="00CB530C"/>
    <w:rsid w:val="00CB558A"/>
    <w:rsid w:val="00CB5704"/>
    <w:rsid w:val="00CB5D76"/>
    <w:rsid w:val="00CB6198"/>
    <w:rsid w:val="00CB6587"/>
    <w:rsid w:val="00CB666C"/>
    <w:rsid w:val="00CB6C75"/>
    <w:rsid w:val="00CB71FC"/>
    <w:rsid w:val="00CB72CC"/>
    <w:rsid w:val="00CB7336"/>
    <w:rsid w:val="00CB74BE"/>
    <w:rsid w:val="00CB7703"/>
    <w:rsid w:val="00CB7808"/>
    <w:rsid w:val="00CC05FB"/>
    <w:rsid w:val="00CC1090"/>
    <w:rsid w:val="00CC154C"/>
    <w:rsid w:val="00CC1717"/>
    <w:rsid w:val="00CC179E"/>
    <w:rsid w:val="00CC1D16"/>
    <w:rsid w:val="00CC1EB3"/>
    <w:rsid w:val="00CC26B2"/>
    <w:rsid w:val="00CC292F"/>
    <w:rsid w:val="00CC2D71"/>
    <w:rsid w:val="00CC36EB"/>
    <w:rsid w:val="00CC3716"/>
    <w:rsid w:val="00CC3737"/>
    <w:rsid w:val="00CC3A66"/>
    <w:rsid w:val="00CC3ABA"/>
    <w:rsid w:val="00CC3C53"/>
    <w:rsid w:val="00CC3E2A"/>
    <w:rsid w:val="00CC4071"/>
    <w:rsid w:val="00CC4127"/>
    <w:rsid w:val="00CC4327"/>
    <w:rsid w:val="00CC4439"/>
    <w:rsid w:val="00CC48A8"/>
    <w:rsid w:val="00CC4B7F"/>
    <w:rsid w:val="00CC4F58"/>
    <w:rsid w:val="00CC52CC"/>
    <w:rsid w:val="00CC583E"/>
    <w:rsid w:val="00CC58CF"/>
    <w:rsid w:val="00CC6078"/>
    <w:rsid w:val="00CC64D5"/>
    <w:rsid w:val="00CC690A"/>
    <w:rsid w:val="00CC69D0"/>
    <w:rsid w:val="00CC6B4B"/>
    <w:rsid w:val="00CC6DAD"/>
    <w:rsid w:val="00CC6E5F"/>
    <w:rsid w:val="00CC70A1"/>
    <w:rsid w:val="00CC714F"/>
    <w:rsid w:val="00CC7511"/>
    <w:rsid w:val="00CC7C1E"/>
    <w:rsid w:val="00CC7C4D"/>
    <w:rsid w:val="00CD09CC"/>
    <w:rsid w:val="00CD0A62"/>
    <w:rsid w:val="00CD0E40"/>
    <w:rsid w:val="00CD15BE"/>
    <w:rsid w:val="00CD1A6A"/>
    <w:rsid w:val="00CD1E8F"/>
    <w:rsid w:val="00CD258A"/>
    <w:rsid w:val="00CD2778"/>
    <w:rsid w:val="00CD281F"/>
    <w:rsid w:val="00CD28DF"/>
    <w:rsid w:val="00CD2BF8"/>
    <w:rsid w:val="00CD2CB0"/>
    <w:rsid w:val="00CD2D59"/>
    <w:rsid w:val="00CD2EB6"/>
    <w:rsid w:val="00CD3332"/>
    <w:rsid w:val="00CD4075"/>
    <w:rsid w:val="00CD4AB3"/>
    <w:rsid w:val="00CD4AF3"/>
    <w:rsid w:val="00CD5005"/>
    <w:rsid w:val="00CD514B"/>
    <w:rsid w:val="00CD5182"/>
    <w:rsid w:val="00CD5525"/>
    <w:rsid w:val="00CD59DE"/>
    <w:rsid w:val="00CD5BF9"/>
    <w:rsid w:val="00CD6472"/>
    <w:rsid w:val="00CD648E"/>
    <w:rsid w:val="00CD6B5A"/>
    <w:rsid w:val="00CD7065"/>
    <w:rsid w:val="00CD7246"/>
    <w:rsid w:val="00CD796E"/>
    <w:rsid w:val="00CD7B31"/>
    <w:rsid w:val="00CE0ED5"/>
    <w:rsid w:val="00CE10A7"/>
    <w:rsid w:val="00CE11F6"/>
    <w:rsid w:val="00CE15B0"/>
    <w:rsid w:val="00CE1BCD"/>
    <w:rsid w:val="00CE1D7D"/>
    <w:rsid w:val="00CE1E7C"/>
    <w:rsid w:val="00CE20D0"/>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4A12"/>
    <w:rsid w:val="00CE52C7"/>
    <w:rsid w:val="00CE5303"/>
    <w:rsid w:val="00CE5595"/>
    <w:rsid w:val="00CE6730"/>
    <w:rsid w:val="00CE6769"/>
    <w:rsid w:val="00CE6910"/>
    <w:rsid w:val="00CE6AF1"/>
    <w:rsid w:val="00CE6DB0"/>
    <w:rsid w:val="00CE722B"/>
    <w:rsid w:val="00CE72E3"/>
    <w:rsid w:val="00CE7388"/>
    <w:rsid w:val="00CE7482"/>
    <w:rsid w:val="00CE7827"/>
    <w:rsid w:val="00CE7863"/>
    <w:rsid w:val="00CE7A0C"/>
    <w:rsid w:val="00CF0EAE"/>
    <w:rsid w:val="00CF130E"/>
    <w:rsid w:val="00CF1339"/>
    <w:rsid w:val="00CF136F"/>
    <w:rsid w:val="00CF1C41"/>
    <w:rsid w:val="00CF1FC4"/>
    <w:rsid w:val="00CF2003"/>
    <w:rsid w:val="00CF20CC"/>
    <w:rsid w:val="00CF26CE"/>
    <w:rsid w:val="00CF2ED1"/>
    <w:rsid w:val="00CF374E"/>
    <w:rsid w:val="00CF3B6D"/>
    <w:rsid w:val="00CF3C09"/>
    <w:rsid w:val="00CF3E37"/>
    <w:rsid w:val="00CF401F"/>
    <w:rsid w:val="00CF4467"/>
    <w:rsid w:val="00CF45DE"/>
    <w:rsid w:val="00CF499E"/>
    <w:rsid w:val="00CF5231"/>
    <w:rsid w:val="00CF5D51"/>
    <w:rsid w:val="00CF67B7"/>
    <w:rsid w:val="00CF6F7C"/>
    <w:rsid w:val="00CF7424"/>
    <w:rsid w:val="00CF774E"/>
    <w:rsid w:val="00CF7816"/>
    <w:rsid w:val="00CF7E95"/>
    <w:rsid w:val="00D0060B"/>
    <w:rsid w:val="00D0149D"/>
    <w:rsid w:val="00D01585"/>
    <w:rsid w:val="00D01CB6"/>
    <w:rsid w:val="00D023EF"/>
    <w:rsid w:val="00D02CF0"/>
    <w:rsid w:val="00D02E20"/>
    <w:rsid w:val="00D0318F"/>
    <w:rsid w:val="00D03336"/>
    <w:rsid w:val="00D03406"/>
    <w:rsid w:val="00D037C5"/>
    <w:rsid w:val="00D03D8A"/>
    <w:rsid w:val="00D03DEE"/>
    <w:rsid w:val="00D03FDC"/>
    <w:rsid w:val="00D041CD"/>
    <w:rsid w:val="00D0446C"/>
    <w:rsid w:val="00D04ADB"/>
    <w:rsid w:val="00D04B91"/>
    <w:rsid w:val="00D04D8E"/>
    <w:rsid w:val="00D04F9F"/>
    <w:rsid w:val="00D051F8"/>
    <w:rsid w:val="00D053DC"/>
    <w:rsid w:val="00D054A9"/>
    <w:rsid w:val="00D05573"/>
    <w:rsid w:val="00D05620"/>
    <w:rsid w:val="00D05D69"/>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B55"/>
    <w:rsid w:val="00D11C3E"/>
    <w:rsid w:val="00D1280B"/>
    <w:rsid w:val="00D12B4E"/>
    <w:rsid w:val="00D13380"/>
    <w:rsid w:val="00D135B2"/>
    <w:rsid w:val="00D13913"/>
    <w:rsid w:val="00D13C39"/>
    <w:rsid w:val="00D14082"/>
    <w:rsid w:val="00D1425E"/>
    <w:rsid w:val="00D1453F"/>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649"/>
    <w:rsid w:val="00D179F9"/>
    <w:rsid w:val="00D203CB"/>
    <w:rsid w:val="00D20AE7"/>
    <w:rsid w:val="00D20C73"/>
    <w:rsid w:val="00D21290"/>
    <w:rsid w:val="00D213FA"/>
    <w:rsid w:val="00D21532"/>
    <w:rsid w:val="00D21CFC"/>
    <w:rsid w:val="00D21EAA"/>
    <w:rsid w:val="00D21F85"/>
    <w:rsid w:val="00D21FDD"/>
    <w:rsid w:val="00D222F2"/>
    <w:rsid w:val="00D223D9"/>
    <w:rsid w:val="00D224FE"/>
    <w:rsid w:val="00D232AA"/>
    <w:rsid w:val="00D23646"/>
    <w:rsid w:val="00D237F5"/>
    <w:rsid w:val="00D23BE1"/>
    <w:rsid w:val="00D243C9"/>
    <w:rsid w:val="00D24A67"/>
    <w:rsid w:val="00D24CA8"/>
    <w:rsid w:val="00D24D26"/>
    <w:rsid w:val="00D26193"/>
    <w:rsid w:val="00D26ABF"/>
    <w:rsid w:val="00D26DA3"/>
    <w:rsid w:val="00D27232"/>
    <w:rsid w:val="00D2749A"/>
    <w:rsid w:val="00D27592"/>
    <w:rsid w:val="00D27712"/>
    <w:rsid w:val="00D27DE4"/>
    <w:rsid w:val="00D27F83"/>
    <w:rsid w:val="00D27FBD"/>
    <w:rsid w:val="00D30205"/>
    <w:rsid w:val="00D3048B"/>
    <w:rsid w:val="00D30839"/>
    <w:rsid w:val="00D30BED"/>
    <w:rsid w:val="00D30E9C"/>
    <w:rsid w:val="00D311F4"/>
    <w:rsid w:val="00D314EF"/>
    <w:rsid w:val="00D31754"/>
    <w:rsid w:val="00D31D2D"/>
    <w:rsid w:val="00D31F53"/>
    <w:rsid w:val="00D32691"/>
    <w:rsid w:val="00D32774"/>
    <w:rsid w:val="00D33232"/>
    <w:rsid w:val="00D332B8"/>
    <w:rsid w:val="00D33479"/>
    <w:rsid w:val="00D33818"/>
    <w:rsid w:val="00D339C6"/>
    <w:rsid w:val="00D33AF0"/>
    <w:rsid w:val="00D33D4F"/>
    <w:rsid w:val="00D33E09"/>
    <w:rsid w:val="00D33F75"/>
    <w:rsid w:val="00D340FC"/>
    <w:rsid w:val="00D345DD"/>
    <w:rsid w:val="00D346F1"/>
    <w:rsid w:val="00D3476A"/>
    <w:rsid w:val="00D34EF9"/>
    <w:rsid w:val="00D35345"/>
    <w:rsid w:val="00D356F8"/>
    <w:rsid w:val="00D35716"/>
    <w:rsid w:val="00D364B9"/>
    <w:rsid w:val="00D36844"/>
    <w:rsid w:val="00D36AA7"/>
    <w:rsid w:val="00D36D04"/>
    <w:rsid w:val="00D36EBE"/>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857"/>
    <w:rsid w:val="00D45E37"/>
    <w:rsid w:val="00D4663F"/>
    <w:rsid w:val="00D46724"/>
    <w:rsid w:val="00D46A0F"/>
    <w:rsid w:val="00D46A39"/>
    <w:rsid w:val="00D46B41"/>
    <w:rsid w:val="00D46EFA"/>
    <w:rsid w:val="00D4701C"/>
    <w:rsid w:val="00D473D8"/>
    <w:rsid w:val="00D47468"/>
    <w:rsid w:val="00D476F6"/>
    <w:rsid w:val="00D47720"/>
    <w:rsid w:val="00D47940"/>
    <w:rsid w:val="00D47BB7"/>
    <w:rsid w:val="00D47CD8"/>
    <w:rsid w:val="00D50050"/>
    <w:rsid w:val="00D50182"/>
    <w:rsid w:val="00D50299"/>
    <w:rsid w:val="00D50932"/>
    <w:rsid w:val="00D50D02"/>
    <w:rsid w:val="00D50FDD"/>
    <w:rsid w:val="00D5154D"/>
    <w:rsid w:val="00D51777"/>
    <w:rsid w:val="00D51812"/>
    <w:rsid w:val="00D51E46"/>
    <w:rsid w:val="00D52DBF"/>
    <w:rsid w:val="00D52EF1"/>
    <w:rsid w:val="00D5303A"/>
    <w:rsid w:val="00D53187"/>
    <w:rsid w:val="00D536FF"/>
    <w:rsid w:val="00D5379C"/>
    <w:rsid w:val="00D53866"/>
    <w:rsid w:val="00D53F89"/>
    <w:rsid w:val="00D542EA"/>
    <w:rsid w:val="00D54609"/>
    <w:rsid w:val="00D54D3B"/>
    <w:rsid w:val="00D54DF8"/>
    <w:rsid w:val="00D54FAD"/>
    <w:rsid w:val="00D550B5"/>
    <w:rsid w:val="00D5528F"/>
    <w:rsid w:val="00D556AF"/>
    <w:rsid w:val="00D55AD5"/>
    <w:rsid w:val="00D565BA"/>
    <w:rsid w:val="00D568B8"/>
    <w:rsid w:val="00D56AC0"/>
    <w:rsid w:val="00D56DE2"/>
    <w:rsid w:val="00D56E10"/>
    <w:rsid w:val="00D56E8E"/>
    <w:rsid w:val="00D56E96"/>
    <w:rsid w:val="00D56EC7"/>
    <w:rsid w:val="00D56F18"/>
    <w:rsid w:val="00D575A2"/>
    <w:rsid w:val="00D60013"/>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2E9B"/>
    <w:rsid w:val="00D62FFC"/>
    <w:rsid w:val="00D631C3"/>
    <w:rsid w:val="00D63306"/>
    <w:rsid w:val="00D6336D"/>
    <w:rsid w:val="00D63961"/>
    <w:rsid w:val="00D639B3"/>
    <w:rsid w:val="00D63CC8"/>
    <w:rsid w:val="00D64789"/>
    <w:rsid w:val="00D6500B"/>
    <w:rsid w:val="00D6500D"/>
    <w:rsid w:val="00D65052"/>
    <w:rsid w:val="00D65065"/>
    <w:rsid w:val="00D65066"/>
    <w:rsid w:val="00D651CB"/>
    <w:rsid w:val="00D652B7"/>
    <w:rsid w:val="00D65B06"/>
    <w:rsid w:val="00D6624E"/>
    <w:rsid w:val="00D66640"/>
    <w:rsid w:val="00D6670A"/>
    <w:rsid w:val="00D668D1"/>
    <w:rsid w:val="00D669C8"/>
    <w:rsid w:val="00D67050"/>
    <w:rsid w:val="00D67210"/>
    <w:rsid w:val="00D700A4"/>
    <w:rsid w:val="00D709C3"/>
    <w:rsid w:val="00D712CC"/>
    <w:rsid w:val="00D713A3"/>
    <w:rsid w:val="00D717F9"/>
    <w:rsid w:val="00D71CE0"/>
    <w:rsid w:val="00D72053"/>
    <w:rsid w:val="00D720EC"/>
    <w:rsid w:val="00D72125"/>
    <w:rsid w:val="00D72D8B"/>
    <w:rsid w:val="00D72F13"/>
    <w:rsid w:val="00D72F5E"/>
    <w:rsid w:val="00D734BB"/>
    <w:rsid w:val="00D738C6"/>
    <w:rsid w:val="00D73970"/>
    <w:rsid w:val="00D73B56"/>
    <w:rsid w:val="00D73F13"/>
    <w:rsid w:val="00D744E7"/>
    <w:rsid w:val="00D74BCF"/>
    <w:rsid w:val="00D7536B"/>
    <w:rsid w:val="00D7578D"/>
    <w:rsid w:val="00D75791"/>
    <w:rsid w:val="00D765FD"/>
    <w:rsid w:val="00D76DD1"/>
    <w:rsid w:val="00D76EF6"/>
    <w:rsid w:val="00D77606"/>
    <w:rsid w:val="00D77BA5"/>
    <w:rsid w:val="00D77C5D"/>
    <w:rsid w:val="00D77D3A"/>
    <w:rsid w:val="00D806D5"/>
    <w:rsid w:val="00D8093D"/>
    <w:rsid w:val="00D80D8F"/>
    <w:rsid w:val="00D80E00"/>
    <w:rsid w:val="00D80FF7"/>
    <w:rsid w:val="00D818AE"/>
    <w:rsid w:val="00D81C35"/>
    <w:rsid w:val="00D81E96"/>
    <w:rsid w:val="00D82370"/>
    <w:rsid w:val="00D82D3C"/>
    <w:rsid w:val="00D8301A"/>
    <w:rsid w:val="00D83305"/>
    <w:rsid w:val="00D8378E"/>
    <w:rsid w:val="00D839A3"/>
    <w:rsid w:val="00D83BB8"/>
    <w:rsid w:val="00D8444E"/>
    <w:rsid w:val="00D8478D"/>
    <w:rsid w:val="00D84A05"/>
    <w:rsid w:val="00D84D39"/>
    <w:rsid w:val="00D85143"/>
    <w:rsid w:val="00D8573F"/>
    <w:rsid w:val="00D85C29"/>
    <w:rsid w:val="00D8604B"/>
    <w:rsid w:val="00D86247"/>
    <w:rsid w:val="00D86521"/>
    <w:rsid w:val="00D87034"/>
    <w:rsid w:val="00D870EF"/>
    <w:rsid w:val="00D87196"/>
    <w:rsid w:val="00D87875"/>
    <w:rsid w:val="00D8788D"/>
    <w:rsid w:val="00D904EA"/>
    <w:rsid w:val="00D909C5"/>
    <w:rsid w:val="00D90B2F"/>
    <w:rsid w:val="00D90E02"/>
    <w:rsid w:val="00D91310"/>
    <w:rsid w:val="00D9132C"/>
    <w:rsid w:val="00D9135F"/>
    <w:rsid w:val="00D9136C"/>
    <w:rsid w:val="00D913B1"/>
    <w:rsid w:val="00D913EC"/>
    <w:rsid w:val="00D91651"/>
    <w:rsid w:val="00D91A54"/>
    <w:rsid w:val="00D92617"/>
    <w:rsid w:val="00D93050"/>
    <w:rsid w:val="00D93209"/>
    <w:rsid w:val="00D93245"/>
    <w:rsid w:val="00D936C1"/>
    <w:rsid w:val="00D93CA3"/>
    <w:rsid w:val="00D93CA9"/>
    <w:rsid w:val="00D93CE3"/>
    <w:rsid w:val="00D93F63"/>
    <w:rsid w:val="00D94025"/>
    <w:rsid w:val="00D9448B"/>
    <w:rsid w:val="00D9465A"/>
    <w:rsid w:val="00D94A18"/>
    <w:rsid w:val="00D94A9F"/>
    <w:rsid w:val="00D94DA6"/>
    <w:rsid w:val="00D95390"/>
    <w:rsid w:val="00D95C58"/>
    <w:rsid w:val="00D960D7"/>
    <w:rsid w:val="00D96BE3"/>
    <w:rsid w:val="00D96D0D"/>
    <w:rsid w:val="00D971EB"/>
    <w:rsid w:val="00D972F2"/>
    <w:rsid w:val="00D9743A"/>
    <w:rsid w:val="00D979CF"/>
    <w:rsid w:val="00D97ABE"/>
    <w:rsid w:val="00DA0322"/>
    <w:rsid w:val="00DA093F"/>
    <w:rsid w:val="00DA0AF0"/>
    <w:rsid w:val="00DA0B98"/>
    <w:rsid w:val="00DA0F46"/>
    <w:rsid w:val="00DA11CD"/>
    <w:rsid w:val="00DA13C3"/>
    <w:rsid w:val="00DA1830"/>
    <w:rsid w:val="00DA1C79"/>
    <w:rsid w:val="00DA2306"/>
    <w:rsid w:val="00DA2642"/>
    <w:rsid w:val="00DA2AAB"/>
    <w:rsid w:val="00DA2D8C"/>
    <w:rsid w:val="00DA3096"/>
    <w:rsid w:val="00DA31EF"/>
    <w:rsid w:val="00DA342F"/>
    <w:rsid w:val="00DA34EA"/>
    <w:rsid w:val="00DA3588"/>
    <w:rsid w:val="00DA3720"/>
    <w:rsid w:val="00DA3D21"/>
    <w:rsid w:val="00DA423F"/>
    <w:rsid w:val="00DA477A"/>
    <w:rsid w:val="00DA50D1"/>
    <w:rsid w:val="00DA5675"/>
    <w:rsid w:val="00DA5B49"/>
    <w:rsid w:val="00DA5E7C"/>
    <w:rsid w:val="00DA5F04"/>
    <w:rsid w:val="00DA60DC"/>
    <w:rsid w:val="00DA6553"/>
    <w:rsid w:val="00DA6AE4"/>
    <w:rsid w:val="00DA6E7A"/>
    <w:rsid w:val="00DA71BC"/>
    <w:rsid w:val="00DA7B2E"/>
    <w:rsid w:val="00DA7DD1"/>
    <w:rsid w:val="00DA7F94"/>
    <w:rsid w:val="00DB0103"/>
    <w:rsid w:val="00DB01D8"/>
    <w:rsid w:val="00DB0315"/>
    <w:rsid w:val="00DB06F6"/>
    <w:rsid w:val="00DB0C6C"/>
    <w:rsid w:val="00DB0CAE"/>
    <w:rsid w:val="00DB0E40"/>
    <w:rsid w:val="00DB114C"/>
    <w:rsid w:val="00DB172E"/>
    <w:rsid w:val="00DB1A5E"/>
    <w:rsid w:val="00DB1E0F"/>
    <w:rsid w:val="00DB221C"/>
    <w:rsid w:val="00DB27F5"/>
    <w:rsid w:val="00DB3539"/>
    <w:rsid w:val="00DB357B"/>
    <w:rsid w:val="00DB3AB6"/>
    <w:rsid w:val="00DB3D7D"/>
    <w:rsid w:val="00DB42E5"/>
    <w:rsid w:val="00DB4E23"/>
    <w:rsid w:val="00DB5618"/>
    <w:rsid w:val="00DB571E"/>
    <w:rsid w:val="00DB5835"/>
    <w:rsid w:val="00DB5966"/>
    <w:rsid w:val="00DB5AF3"/>
    <w:rsid w:val="00DB5E6A"/>
    <w:rsid w:val="00DB5EC4"/>
    <w:rsid w:val="00DB613C"/>
    <w:rsid w:val="00DB65C0"/>
    <w:rsid w:val="00DB672F"/>
    <w:rsid w:val="00DB67C0"/>
    <w:rsid w:val="00DB6B30"/>
    <w:rsid w:val="00DB6C5E"/>
    <w:rsid w:val="00DB6ECC"/>
    <w:rsid w:val="00DB6F74"/>
    <w:rsid w:val="00DB707C"/>
    <w:rsid w:val="00DB72FF"/>
    <w:rsid w:val="00DB753D"/>
    <w:rsid w:val="00DB78E4"/>
    <w:rsid w:val="00DB79DB"/>
    <w:rsid w:val="00DB7EFD"/>
    <w:rsid w:val="00DB7F4B"/>
    <w:rsid w:val="00DC0219"/>
    <w:rsid w:val="00DC0235"/>
    <w:rsid w:val="00DC04E9"/>
    <w:rsid w:val="00DC088E"/>
    <w:rsid w:val="00DC1392"/>
    <w:rsid w:val="00DC1BEE"/>
    <w:rsid w:val="00DC1CD2"/>
    <w:rsid w:val="00DC1EB0"/>
    <w:rsid w:val="00DC1EF7"/>
    <w:rsid w:val="00DC2258"/>
    <w:rsid w:val="00DC22AC"/>
    <w:rsid w:val="00DC244A"/>
    <w:rsid w:val="00DC2728"/>
    <w:rsid w:val="00DC2953"/>
    <w:rsid w:val="00DC2D26"/>
    <w:rsid w:val="00DC2F0F"/>
    <w:rsid w:val="00DC3257"/>
    <w:rsid w:val="00DC3326"/>
    <w:rsid w:val="00DC34F8"/>
    <w:rsid w:val="00DC3724"/>
    <w:rsid w:val="00DC3B4A"/>
    <w:rsid w:val="00DC45A6"/>
    <w:rsid w:val="00DC4612"/>
    <w:rsid w:val="00DC4732"/>
    <w:rsid w:val="00DC482A"/>
    <w:rsid w:val="00DC4B01"/>
    <w:rsid w:val="00DC4E35"/>
    <w:rsid w:val="00DC52D6"/>
    <w:rsid w:val="00DC58B0"/>
    <w:rsid w:val="00DC5D5C"/>
    <w:rsid w:val="00DC5E5C"/>
    <w:rsid w:val="00DC62A2"/>
    <w:rsid w:val="00DC65F4"/>
    <w:rsid w:val="00DC69D1"/>
    <w:rsid w:val="00DC6D0B"/>
    <w:rsid w:val="00DC70A0"/>
    <w:rsid w:val="00DC724B"/>
    <w:rsid w:val="00DC76BD"/>
    <w:rsid w:val="00DC7B00"/>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097C"/>
    <w:rsid w:val="00DE1508"/>
    <w:rsid w:val="00DE1574"/>
    <w:rsid w:val="00DE19AA"/>
    <w:rsid w:val="00DE1D83"/>
    <w:rsid w:val="00DE23F9"/>
    <w:rsid w:val="00DE2A1B"/>
    <w:rsid w:val="00DE30A9"/>
    <w:rsid w:val="00DE338C"/>
    <w:rsid w:val="00DE34D6"/>
    <w:rsid w:val="00DE3691"/>
    <w:rsid w:val="00DE38D0"/>
    <w:rsid w:val="00DE3D29"/>
    <w:rsid w:val="00DE3F51"/>
    <w:rsid w:val="00DE42A7"/>
    <w:rsid w:val="00DE4708"/>
    <w:rsid w:val="00DE48F8"/>
    <w:rsid w:val="00DE4970"/>
    <w:rsid w:val="00DE498B"/>
    <w:rsid w:val="00DE49A3"/>
    <w:rsid w:val="00DE4D2B"/>
    <w:rsid w:val="00DE4D2D"/>
    <w:rsid w:val="00DE5229"/>
    <w:rsid w:val="00DE579C"/>
    <w:rsid w:val="00DE57B6"/>
    <w:rsid w:val="00DE5A6A"/>
    <w:rsid w:val="00DE6192"/>
    <w:rsid w:val="00DE6436"/>
    <w:rsid w:val="00DE7299"/>
    <w:rsid w:val="00DE7387"/>
    <w:rsid w:val="00DE7499"/>
    <w:rsid w:val="00DE7665"/>
    <w:rsid w:val="00DE767B"/>
    <w:rsid w:val="00DE76CF"/>
    <w:rsid w:val="00DE7A5D"/>
    <w:rsid w:val="00DE7C43"/>
    <w:rsid w:val="00DE7FD5"/>
    <w:rsid w:val="00DF07AF"/>
    <w:rsid w:val="00DF087B"/>
    <w:rsid w:val="00DF0971"/>
    <w:rsid w:val="00DF1372"/>
    <w:rsid w:val="00DF1897"/>
    <w:rsid w:val="00DF1A48"/>
    <w:rsid w:val="00DF1D71"/>
    <w:rsid w:val="00DF1FE9"/>
    <w:rsid w:val="00DF20CB"/>
    <w:rsid w:val="00DF2166"/>
    <w:rsid w:val="00DF23DB"/>
    <w:rsid w:val="00DF258A"/>
    <w:rsid w:val="00DF2641"/>
    <w:rsid w:val="00DF2677"/>
    <w:rsid w:val="00DF30C0"/>
    <w:rsid w:val="00DF3200"/>
    <w:rsid w:val="00DF33B9"/>
    <w:rsid w:val="00DF3462"/>
    <w:rsid w:val="00DF3730"/>
    <w:rsid w:val="00DF3A38"/>
    <w:rsid w:val="00DF3D34"/>
    <w:rsid w:val="00DF3DCF"/>
    <w:rsid w:val="00DF3F74"/>
    <w:rsid w:val="00DF4300"/>
    <w:rsid w:val="00DF489F"/>
    <w:rsid w:val="00DF61B5"/>
    <w:rsid w:val="00DF6C2B"/>
    <w:rsid w:val="00DF7242"/>
    <w:rsid w:val="00DF73B9"/>
    <w:rsid w:val="00DF74EA"/>
    <w:rsid w:val="00DF7655"/>
    <w:rsid w:val="00DF7C4F"/>
    <w:rsid w:val="00DF7C83"/>
    <w:rsid w:val="00DF7CA1"/>
    <w:rsid w:val="00DF7E55"/>
    <w:rsid w:val="00E00697"/>
    <w:rsid w:val="00E00AD4"/>
    <w:rsid w:val="00E01168"/>
    <w:rsid w:val="00E0129C"/>
    <w:rsid w:val="00E012C5"/>
    <w:rsid w:val="00E013DB"/>
    <w:rsid w:val="00E01445"/>
    <w:rsid w:val="00E016D7"/>
    <w:rsid w:val="00E01753"/>
    <w:rsid w:val="00E017F8"/>
    <w:rsid w:val="00E01ECD"/>
    <w:rsid w:val="00E02007"/>
    <w:rsid w:val="00E024EE"/>
    <w:rsid w:val="00E027C4"/>
    <w:rsid w:val="00E0291F"/>
    <w:rsid w:val="00E02A64"/>
    <w:rsid w:val="00E02C9F"/>
    <w:rsid w:val="00E02F21"/>
    <w:rsid w:val="00E03021"/>
    <w:rsid w:val="00E037A9"/>
    <w:rsid w:val="00E03D6B"/>
    <w:rsid w:val="00E03F2D"/>
    <w:rsid w:val="00E055A9"/>
    <w:rsid w:val="00E056D7"/>
    <w:rsid w:val="00E056FC"/>
    <w:rsid w:val="00E05865"/>
    <w:rsid w:val="00E0594E"/>
    <w:rsid w:val="00E063D7"/>
    <w:rsid w:val="00E06628"/>
    <w:rsid w:val="00E0671E"/>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EF8"/>
    <w:rsid w:val="00E133EF"/>
    <w:rsid w:val="00E1376E"/>
    <w:rsid w:val="00E1390F"/>
    <w:rsid w:val="00E13ADB"/>
    <w:rsid w:val="00E14171"/>
    <w:rsid w:val="00E14384"/>
    <w:rsid w:val="00E14F04"/>
    <w:rsid w:val="00E155F0"/>
    <w:rsid w:val="00E15839"/>
    <w:rsid w:val="00E15FCC"/>
    <w:rsid w:val="00E16547"/>
    <w:rsid w:val="00E167C7"/>
    <w:rsid w:val="00E1696D"/>
    <w:rsid w:val="00E16A37"/>
    <w:rsid w:val="00E174E0"/>
    <w:rsid w:val="00E17DFE"/>
    <w:rsid w:val="00E17EA9"/>
    <w:rsid w:val="00E209CF"/>
    <w:rsid w:val="00E20C02"/>
    <w:rsid w:val="00E20ECC"/>
    <w:rsid w:val="00E20F12"/>
    <w:rsid w:val="00E20F68"/>
    <w:rsid w:val="00E2100C"/>
    <w:rsid w:val="00E2111C"/>
    <w:rsid w:val="00E211CC"/>
    <w:rsid w:val="00E21573"/>
    <w:rsid w:val="00E21F67"/>
    <w:rsid w:val="00E225B4"/>
    <w:rsid w:val="00E22873"/>
    <w:rsid w:val="00E229C9"/>
    <w:rsid w:val="00E22F96"/>
    <w:rsid w:val="00E2323B"/>
    <w:rsid w:val="00E2388F"/>
    <w:rsid w:val="00E23F52"/>
    <w:rsid w:val="00E23FDE"/>
    <w:rsid w:val="00E240BC"/>
    <w:rsid w:val="00E24128"/>
    <w:rsid w:val="00E241EF"/>
    <w:rsid w:val="00E245C5"/>
    <w:rsid w:val="00E246A2"/>
    <w:rsid w:val="00E247D2"/>
    <w:rsid w:val="00E253AA"/>
    <w:rsid w:val="00E2584E"/>
    <w:rsid w:val="00E259DE"/>
    <w:rsid w:val="00E25B7F"/>
    <w:rsid w:val="00E25C3E"/>
    <w:rsid w:val="00E25E22"/>
    <w:rsid w:val="00E261FD"/>
    <w:rsid w:val="00E266A9"/>
    <w:rsid w:val="00E267EA"/>
    <w:rsid w:val="00E26878"/>
    <w:rsid w:val="00E270D8"/>
    <w:rsid w:val="00E271AE"/>
    <w:rsid w:val="00E27356"/>
    <w:rsid w:val="00E27807"/>
    <w:rsid w:val="00E30555"/>
    <w:rsid w:val="00E3145F"/>
    <w:rsid w:val="00E31AAB"/>
    <w:rsid w:val="00E3234B"/>
    <w:rsid w:val="00E334B5"/>
    <w:rsid w:val="00E33530"/>
    <w:rsid w:val="00E336F2"/>
    <w:rsid w:val="00E33773"/>
    <w:rsid w:val="00E337DC"/>
    <w:rsid w:val="00E33A40"/>
    <w:rsid w:val="00E33EBF"/>
    <w:rsid w:val="00E34AD1"/>
    <w:rsid w:val="00E34B70"/>
    <w:rsid w:val="00E34CB9"/>
    <w:rsid w:val="00E351C4"/>
    <w:rsid w:val="00E35687"/>
    <w:rsid w:val="00E3593D"/>
    <w:rsid w:val="00E3654C"/>
    <w:rsid w:val="00E36555"/>
    <w:rsid w:val="00E3663B"/>
    <w:rsid w:val="00E36A18"/>
    <w:rsid w:val="00E3719C"/>
    <w:rsid w:val="00E378A9"/>
    <w:rsid w:val="00E37A73"/>
    <w:rsid w:val="00E40534"/>
    <w:rsid w:val="00E40C2F"/>
    <w:rsid w:val="00E41703"/>
    <w:rsid w:val="00E4176A"/>
    <w:rsid w:val="00E41D4B"/>
    <w:rsid w:val="00E41F20"/>
    <w:rsid w:val="00E42530"/>
    <w:rsid w:val="00E4272A"/>
    <w:rsid w:val="00E42953"/>
    <w:rsid w:val="00E42AAD"/>
    <w:rsid w:val="00E42CCD"/>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478FE"/>
    <w:rsid w:val="00E5010A"/>
    <w:rsid w:val="00E50130"/>
    <w:rsid w:val="00E502F4"/>
    <w:rsid w:val="00E504E9"/>
    <w:rsid w:val="00E5080D"/>
    <w:rsid w:val="00E5089D"/>
    <w:rsid w:val="00E50990"/>
    <w:rsid w:val="00E50BB5"/>
    <w:rsid w:val="00E50C1D"/>
    <w:rsid w:val="00E50C9B"/>
    <w:rsid w:val="00E50CAE"/>
    <w:rsid w:val="00E510FB"/>
    <w:rsid w:val="00E51384"/>
    <w:rsid w:val="00E51A35"/>
    <w:rsid w:val="00E51AB3"/>
    <w:rsid w:val="00E51D0E"/>
    <w:rsid w:val="00E51E86"/>
    <w:rsid w:val="00E52103"/>
    <w:rsid w:val="00E52343"/>
    <w:rsid w:val="00E52676"/>
    <w:rsid w:val="00E527D9"/>
    <w:rsid w:val="00E52AB6"/>
    <w:rsid w:val="00E52C6F"/>
    <w:rsid w:val="00E52EF7"/>
    <w:rsid w:val="00E53358"/>
    <w:rsid w:val="00E5345B"/>
    <w:rsid w:val="00E5373D"/>
    <w:rsid w:val="00E53922"/>
    <w:rsid w:val="00E541FE"/>
    <w:rsid w:val="00E54360"/>
    <w:rsid w:val="00E54552"/>
    <w:rsid w:val="00E54BBB"/>
    <w:rsid w:val="00E55022"/>
    <w:rsid w:val="00E55B0A"/>
    <w:rsid w:val="00E5626C"/>
    <w:rsid w:val="00E562B7"/>
    <w:rsid w:val="00E56474"/>
    <w:rsid w:val="00E56C18"/>
    <w:rsid w:val="00E56D1E"/>
    <w:rsid w:val="00E56F27"/>
    <w:rsid w:val="00E5703D"/>
    <w:rsid w:val="00E57392"/>
    <w:rsid w:val="00E5749A"/>
    <w:rsid w:val="00E5789C"/>
    <w:rsid w:val="00E57F3D"/>
    <w:rsid w:val="00E601DD"/>
    <w:rsid w:val="00E606E4"/>
    <w:rsid w:val="00E60AC4"/>
    <w:rsid w:val="00E60ED2"/>
    <w:rsid w:val="00E6133A"/>
    <w:rsid w:val="00E61491"/>
    <w:rsid w:val="00E61522"/>
    <w:rsid w:val="00E618CD"/>
    <w:rsid w:val="00E61D24"/>
    <w:rsid w:val="00E61E30"/>
    <w:rsid w:val="00E620F8"/>
    <w:rsid w:val="00E62331"/>
    <w:rsid w:val="00E62B91"/>
    <w:rsid w:val="00E632FE"/>
    <w:rsid w:val="00E63443"/>
    <w:rsid w:val="00E63492"/>
    <w:rsid w:val="00E63ADE"/>
    <w:rsid w:val="00E642D8"/>
    <w:rsid w:val="00E64C2A"/>
    <w:rsid w:val="00E65020"/>
    <w:rsid w:val="00E65720"/>
    <w:rsid w:val="00E65CB2"/>
    <w:rsid w:val="00E65F45"/>
    <w:rsid w:val="00E664EC"/>
    <w:rsid w:val="00E66B64"/>
    <w:rsid w:val="00E66D2D"/>
    <w:rsid w:val="00E66F35"/>
    <w:rsid w:val="00E674ED"/>
    <w:rsid w:val="00E67B32"/>
    <w:rsid w:val="00E67B7E"/>
    <w:rsid w:val="00E67D31"/>
    <w:rsid w:val="00E67EC5"/>
    <w:rsid w:val="00E70C38"/>
    <w:rsid w:val="00E70EC8"/>
    <w:rsid w:val="00E71001"/>
    <w:rsid w:val="00E711C0"/>
    <w:rsid w:val="00E71848"/>
    <w:rsid w:val="00E71998"/>
    <w:rsid w:val="00E721A2"/>
    <w:rsid w:val="00E723B7"/>
    <w:rsid w:val="00E7299E"/>
    <w:rsid w:val="00E72A77"/>
    <w:rsid w:val="00E72AE4"/>
    <w:rsid w:val="00E72DE9"/>
    <w:rsid w:val="00E72DF1"/>
    <w:rsid w:val="00E7308D"/>
    <w:rsid w:val="00E73DF8"/>
    <w:rsid w:val="00E7412C"/>
    <w:rsid w:val="00E74FF3"/>
    <w:rsid w:val="00E7501D"/>
    <w:rsid w:val="00E7509B"/>
    <w:rsid w:val="00E754E6"/>
    <w:rsid w:val="00E75875"/>
    <w:rsid w:val="00E75A0D"/>
    <w:rsid w:val="00E75B6E"/>
    <w:rsid w:val="00E76D7E"/>
    <w:rsid w:val="00E76E04"/>
    <w:rsid w:val="00E7737F"/>
    <w:rsid w:val="00E77482"/>
    <w:rsid w:val="00E776F6"/>
    <w:rsid w:val="00E7784E"/>
    <w:rsid w:val="00E77B4E"/>
    <w:rsid w:val="00E802AF"/>
    <w:rsid w:val="00E80420"/>
    <w:rsid w:val="00E80E96"/>
    <w:rsid w:val="00E81079"/>
    <w:rsid w:val="00E811DA"/>
    <w:rsid w:val="00E8122C"/>
    <w:rsid w:val="00E81266"/>
    <w:rsid w:val="00E812D3"/>
    <w:rsid w:val="00E81693"/>
    <w:rsid w:val="00E816A3"/>
    <w:rsid w:val="00E81953"/>
    <w:rsid w:val="00E82400"/>
    <w:rsid w:val="00E8243C"/>
    <w:rsid w:val="00E824A0"/>
    <w:rsid w:val="00E827EC"/>
    <w:rsid w:val="00E83945"/>
    <w:rsid w:val="00E83C50"/>
    <w:rsid w:val="00E84D25"/>
    <w:rsid w:val="00E84F1E"/>
    <w:rsid w:val="00E85140"/>
    <w:rsid w:val="00E85509"/>
    <w:rsid w:val="00E8558D"/>
    <w:rsid w:val="00E8580C"/>
    <w:rsid w:val="00E858D7"/>
    <w:rsid w:val="00E85B69"/>
    <w:rsid w:val="00E86435"/>
    <w:rsid w:val="00E865E4"/>
    <w:rsid w:val="00E868F3"/>
    <w:rsid w:val="00E86A0D"/>
    <w:rsid w:val="00E86A98"/>
    <w:rsid w:val="00E87131"/>
    <w:rsid w:val="00E87CD0"/>
    <w:rsid w:val="00E9040D"/>
    <w:rsid w:val="00E90701"/>
    <w:rsid w:val="00E9072C"/>
    <w:rsid w:val="00E90871"/>
    <w:rsid w:val="00E90ABF"/>
    <w:rsid w:val="00E90BFE"/>
    <w:rsid w:val="00E90C7B"/>
    <w:rsid w:val="00E91A6F"/>
    <w:rsid w:val="00E926F7"/>
    <w:rsid w:val="00E9283B"/>
    <w:rsid w:val="00E92980"/>
    <w:rsid w:val="00E92A25"/>
    <w:rsid w:val="00E92B4D"/>
    <w:rsid w:val="00E92C4C"/>
    <w:rsid w:val="00E92D97"/>
    <w:rsid w:val="00E92FC4"/>
    <w:rsid w:val="00E9355E"/>
    <w:rsid w:val="00E94361"/>
    <w:rsid w:val="00E94505"/>
    <w:rsid w:val="00E9452E"/>
    <w:rsid w:val="00E960F5"/>
    <w:rsid w:val="00E9682A"/>
    <w:rsid w:val="00E968C9"/>
    <w:rsid w:val="00E96A5B"/>
    <w:rsid w:val="00E96B53"/>
    <w:rsid w:val="00E971C5"/>
    <w:rsid w:val="00E97A66"/>
    <w:rsid w:val="00E97C5B"/>
    <w:rsid w:val="00EA01BB"/>
    <w:rsid w:val="00EA04E2"/>
    <w:rsid w:val="00EA06A2"/>
    <w:rsid w:val="00EA0A56"/>
    <w:rsid w:val="00EA16EC"/>
    <w:rsid w:val="00EA1BC8"/>
    <w:rsid w:val="00EA25C9"/>
    <w:rsid w:val="00EA2881"/>
    <w:rsid w:val="00EA2D02"/>
    <w:rsid w:val="00EA2F91"/>
    <w:rsid w:val="00EA30EB"/>
    <w:rsid w:val="00EA31C1"/>
    <w:rsid w:val="00EA3533"/>
    <w:rsid w:val="00EA3698"/>
    <w:rsid w:val="00EA3CDD"/>
    <w:rsid w:val="00EA3E24"/>
    <w:rsid w:val="00EA3EE8"/>
    <w:rsid w:val="00EA4322"/>
    <w:rsid w:val="00EA43EE"/>
    <w:rsid w:val="00EA44E6"/>
    <w:rsid w:val="00EA45AD"/>
    <w:rsid w:val="00EA4654"/>
    <w:rsid w:val="00EA4700"/>
    <w:rsid w:val="00EA495E"/>
    <w:rsid w:val="00EA4B3B"/>
    <w:rsid w:val="00EA518F"/>
    <w:rsid w:val="00EA5485"/>
    <w:rsid w:val="00EA57C3"/>
    <w:rsid w:val="00EA583F"/>
    <w:rsid w:val="00EA597C"/>
    <w:rsid w:val="00EA5A58"/>
    <w:rsid w:val="00EA5AF6"/>
    <w:rsid w:val="00EA5DBE"/>
    <w:rsid w:val="00EA69D4"/>
    <w:rsid w:val="00EA795B"/>
    <w:rsid w:val="00EA7A09"/>
    <w:rsid w:val="00EA7B05"/>
    <w:rsid w:val="00EA7CD0"/>
    <w:rsid w:val="00EA7FB4"/>
    <w:rsid w:val="00EA7FD5"/>
    <w:rsid w:val="00EB0229"/>
    <w:rsid w:val="00EB041F"/>
    <w:rsid w:val="00EB0459"/>
    <w:rsid w:val="00EB0B56"/>
    <w:rsid w:val="00EB0C85"/>
    <w:rsid w:val="00EB0ED9"/>
    <w:rsid w:val="00EB12EF"/>
    <w:rsid w:val="00EB174F"/>
    <w:rsid w:val="00EB200F"/>
    <w:rsid w:val="00EB2955"/>
    <w:rsid w:val="00EB2AB0"/>
    <w:rsid w:val="00EB320B"/>
    <w:rsid w:val="00EB3213"/>
    <w:rsid w:val="00EB3492"/>
    <w:rsid w:val="00EB3546"/>
    <w:rsid w:val="00EB4267"/>
    <w:rsid w:val="00EB4630"/>
    <w:rsid w:val="00EB463A"/>
    <w:rsid w:val="00EB4676"/>
    <w:rsid w:val="00EB4680"/>
    <w:rsid w:val="00EB4DE4"/>
    <w:rsid w:val="00EB4DE8"/>
    <w:rsid w:val="00EB59E3"/>
    <w:rsid w:val="00EB5AC0"/>
    <w:rsid w:val="00EB5B24"/>
    <w:rsid w:val="00EB5D9C"/>
    <w:rsid w:val="00EB5E86"/>
    <w:rsid w:val="00EB5F62"/>
    <w:rsid w:val="00EB6230"/>
    <w:rsid w:val="00EB67FA"/>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299"/>
    <w:rsid w:val="00EC2639"/>
    <w:rsid w:val="00EC2820"/>
    <w:rsid w:val="00EC2840"/>
    <w:rsid w:val="00EC2DEA"/>
    <w:rsid w:val="00EC2F1F"/>
    <w:rsid w:val="00EC31D5"/>
    <w:rsid w:val="00EC3A59"/>
    <w:rsid w:val="00EC3DBB"/>
    <w:rsid w:val="00EC42B9"/>
    <w:rsid w:val="00EC47A3"/>
    <w:rsid w:val="00EC47F3"/>
    <w:rsid w:val="00EC4C2A"/>
    <w:rsid w:val="00EC4F7B"/>
    <w:rsid w:val="00EC57F6"/>
    <w:rsid w:val="00EC5928"/>
    <w:rsid w:val="00EC5F8D"/>
    <w:rsid w:val="00EC6346"/>
    <w:rsid w:val="00EC6377"/>
    <w:rsid w:val="00EC6490"/>
    <w:rsid w:val="00EC68D1"/>
    <w:rsid w:val="00EC6D34"/>
    <w:rsid w:val="00EC70A4"/>
    <w:rsid w:val="00EC7750"/>
    <w:rsid w:val="00EC7A30"/>
    <w:rsid w:val="00ED0056"/>
    <w:rsid w:val="00ED09B2"/>
    <w:rsid w:val="00ED0D26"/>
    <w:rsid w:val="00ED137D"/>
    <w:rsid w:val="00ED1496"/>
    <w:rsid w:val="00ED16BD"/>
    <w:rsid w:val="00ED178E"/>
    <w:rsid w:val="00ED1835"/>
    <w:rsid w:val="00ED1AA3"/>
    <w:rsid w:val="00ED2289"/>
    <w:rsid w:val="00ED240E"/>
    <w:rsid w:val="00ED2890"/>
    <w:rsid w:val="00ED2A8A"/>
    <w:rsid w:val="00ED3016"/>
    <w:rsid w:val="00ED40BA"/>
    <w:rsid w:val="00ED44B9"/>
    <w:rsid w:val="00ED45A6"/>
    <w:rsid w:val="00ED49D6"/>
    <w:rsid w:val="00ED4F18"/>
    <w:rsid w:val="00ED51AA"/>
    <w:rsid w:val="00ED5232"/>
    <w:rsid w:val="00ED53F1"/>
    <w:rsid w:val="00ED53FF"/>
    <w:rsid w:val="00ED5636"/>
    <w:rsid w:val="00ED5C9F"/>
    <w:rsid w:val="00ED5E34"/>
    <w:rsid w:val="00ED64E1"/>
    <w:rsid w:val="00ED6976"/>
    <w:rsid w:val="00ED73DB"/>
    <w:rsid w:val="00ED766F"/>
    <w:rsid w:val="00ED785D"/>
    <w:rsid w:val="00ED7A81"/>
    <w:rsid w:val="00ED7BB4"/>
    <w:rsid w:val="00ED7E3F"/>
    <w:rsid w:val="00EE02ED"/>
    <w:rsid w:val="00EE02FD"/>
    <w:rsid w:val="00EE059A"/>
    <w:rsid w:val="00EE12A2"/>
    <w:rsid w:val="00EE16DC"/>
    <w:rsid w:val="00EE1AD2"/>
    <w:rsid w:val="00EE1EEC"/>
    <w:rsid w:val="00EE26CD"/>
    <w:rsid w:val="00EE27A0"/>
    <w:rsid w:val="00EE2A9F"/>
    <w:rsid w:val="00EE2EF7"/>
    <w:rsid w:val="00EE2F18"/>
    <w:rsid w:val="00EE327B"/>
    <w:rsid w:val="00EE3406"/>
    <w:rsid w:val="00EE3E28"/>
    <w:rsid w:val="00EE3F04"/>
    <w:rsid w:val="00EE40CC"/>
    <w:rsid w:val="00EE4283"/>
    <w:rsid w:val="00EE4799"/>
    <w:rsid w:val="00EE48D8"/>
    <w:rsid w:val="00EE490B"/>
    <w:rsid w:val="00EE56C6"/>
    <w:rsid w:val="00EE5A0A"/>
    <w:rsid w:val="00EE5A75"/>
    <w:rsid w:val="00EE5B7C"/>
    <w:rsid w:val="00EE60E1"/>
    <w:rsid w:val="00EE655A"/>
    <w:rsid w:val="00EE65A7"/>
    <w:rsid w:val="00EE683D"/>
    <w:rsid w:val="00EE6E9E"/>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98A"/>
    <w:rsid w:val="00EF3A12"/>
    <w:rsid w:val="00EF3D1A"/>
    <w:rsid w:val="00EF4216"/>
    <w:rsid w:val="00EF45D1"/>
    <w:rsid w:val="00EF5062"/>
    <w:rsid w:val="00EF58BE"/>
    <w:rsid w:val="00EF59AD"/>
    <w:rsid w:val="00EF5F55"/>
    <w:rsid w:val="00EF60AC"/>
    <w:rsid w:val="00EF616E"/>
    <w:rsid w:val="00EF6D10"/>
    <w:rsid w:val="00EF702B"/>
    <w:rsid w:val="00EF7149"/>
    <w:rsid w:val="00EF737F"/>
    <w:rsid w:val="00EF7873"/>
    <w:rsid w:val="00F004ED"/>
    <w:rsid w:val="00F00C25"/>
    <w:rsid w:val="00F00C62"/>
    <w:rsid w:val="00F00F6C"/>
    <w:rsid w:val="00F01B0F"/>
    <w:rsid w:val="00F01D9A"/>
    <w:rsid w:val="00F02473"/>
    <w:rsid w:val="00F025DB"/>
    <w:rsid w:val="00F0260B"/>
    <w:rsid w:val="00F02688"/>
    <w:rsid w:val="00F02835"/>
    <w:rsid w:val="00F02C6D"/>
    <w:rsid w:val="00F02F8A"/>
    <w:rsid w:val="00F034A2"/>
    <w:rsid w:val="00F0374C"/>
    <w:rsid w:val="00F03762"/>
    <w:rsid w:val="00F03966"/>
    <w:rsid w:val="00F03CE2"/>
    <w:rsid w:val="00F03FDE"/>
    <w:rsid w:val="00F04019"/>
    <w:rsid w:val="00F040A0"/>
    <w:rsid w:val="00F04503"/>
    <w:rsid w:val="00F0456B"/>
    <w:rsid w:val="00F045CA"/>
    <w:rsid w:val="00F045FB"/>
    <w:rsid w:val="00F04F5D"/>
    <w:rsid w:val="00F05157"/>
    <w:rsid w:val="00F05168"/>
    <w:rsid w:val="00F05AC6"/>
    <w:rsid w:val="00F05BBF"/>
    <w:rsid w:val="00F0615A"/>
    <w:rsid w:val="00F062C7"/>
    <w:rsid w:val="00F06330"/>
    <w:rsid w:val="00F068FC"/>
    <w:rsid w:val="00F06A79"/>
    <w:rsid w:val="00F06A98"/>
    <w:rsid w:val="00F06C84"/>
    <w:rsid w:val="00F06E11"/>
    <w:rsid w:val="00F070CC"/>
    <w:rsid w:val="00F073FF"/>
    <w:rsid w:val="00F07616"/>
    <w:rsid w:val="00F0775A"/>
    <w:rsid w:val="00F077B1"/>
    <w:rsid w:val="00F079E9"/>
    <w:rsid w:val="00F1027D"/>
    <w:rsid w:val="00F10AA5"/>
    <w:rsid w:val="00F1156A"/>
    <w:rsid w:val="00F11E67"/>
    <w:rsid w:val="00F11F33"/>
    <w:rsid w:val="00F11FCC"/>
    <w:rsid w:val="00F12519"/>
    <w:rsid w:val="00F12881"/>
    <w:rsid w:val="00F135A2"/>
    <w:rsid w:val="00F136A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144"/>
    <w:rsid w:val="00F173AA"/>
    <w:rsid w:val="00F176F4"/>
    <w:rsid w:val="00F17BF1"/>
    <w:rsid w:val="00F17E01"/>
    <w:rsid w:val="00F201C8"/>
    <w:rsid w:val="00F201D4"/>
    <w:rsid w:val="00F205C6"/>
    <w:rsid w:val="00F20E12"/>
    <w:rsid w:val="00F21329"/>
    <w:rsid w:val="00F21395"/>
    <w:rsid w:val="00F222D6"/>
    <w:rsid w:val="00F225FC"/>
    <w:rsid w:val="00F22799"/>
    <w:rsid w:val="00F22FE6"/>
    <w:rsid w:val="00F230ED"/>
    <w:rsid w:val="00F23391"/>
    <w:rsid w:val="00F233FB"/>
    <w:rsid w:val="00F23CD8"/>
    <w:rsid w:val="00F241FE"/>
    <w:rsid w:val="00F24764"/>
    <w:rsid w:val="00F2494E"/>
    <w:rsid w:val="00F24A12"/>
    <w:rsid w:val="00F24E0A"/>
    <w:rsid w:val="00F2523A"/>
    <w:rsid w:val="00F2559C"/>
    <w:rsid w:val="00F2572A"/>
    <w:rsid w:val="00F257BD"/>
    <w:rsid w:val="00F259A2"/>
    <w:rsid w:val="00F25E23"/>
    <w:rsid w:val="00F26162"/>
    <w:rsid w:val="00F263EE"/>
    <w:rsid w:val="00F266A4"/>
    <w:rsid w:val="00F269E0"/>
    <w:rsid w:val="00F26ECE"/>
    <w:rsid w:val="00F271F3"/>
    <w:rsid w:val="00F272C0"/>
    <w:rsid w:val="00F27371"/>
    <w:rsid w:val="00F27689"/>
    <w:rsid w:val="00F27D69"/>
    <w:rsid w:val="00F27E47"/>
    <w:rsid w:val="00F27E92"/>
    <w:rsid w:val="00F30109"/>
    <w:rsid w:val="00F3016A"/>
    <w:rsid w:val="00F30EF0"/>
    <w:rsid w:val="00F31527"/>
    <w:rsid w:val="00F31965"/>
    <w:rsid w:val="00F31C46"/>
    <w:rsid w:val="00F31E58"/>
    <w:rsid w:val="00F32051"/>
    <w:rsid w:val="00F32101"/>
    <w:rsid w:val="00F321B2"/>
    <w:rsid w:val="00F324A1"/>
    <w:rsid w:val="00F3257A"/>
    <w:rsid w:val="00F32643"/>
    <w:rsid w:val="00F32B9A"/>
    <w:rsid w:val="00F3384B"/>
    <w:rsid w:val="00F33B0E"/>
    <w:rsid w:val="00F3403A"/>
    <w:rsid w:val="00F34570"/>
    <w:rsid w:val="00F34748"/>
    <w:rsid w:val="00F3498D"/>
    <w:rsid w:val="00F35082"/>
    <w:rsid w:val="00F353BB"/>
    <w:rsid w:val="00F35613"/>
    <w:rsid w:val="00F35619"/>
    <w:rsid w:val="00F35ADA"/>
    <w:rsid w:val="00F36198"/>
    <w:rsid w:val="00F3695A"/>
    <w:rsid w:val="00F36B99"/>
    <w:rsid w:val="00F36ED9"/>
    <w:rsid w:val="00F36EE1"/>
    <w:rsid w:val="00F372A4"/>
    <w:rsid w:val="00F373EE"/>
    <w:rsid w:val="00F374F4"/>
    <w:rsid w:val="00F375D3"/>
    <w:rsid w:val="00F37A17"/>
    <w:rsid w:val="00F40244"/>
    <w:rsid w:val="00F40268"/>
    <w:rsid w:val="00F40796"/>
    <w:rsid w:val="00F40EF9"/>
    <w:rsid w:val="00F40F40"/>
    <w:rsid w:val="00F40FCE"/>
    <w:rsid w:val="00F415A5"/>
    <w:rsid w:val="00F41C80"/>
    <w:rsid w:val="00F41ECA"/>
    <w:rsid w:val="00F41FA4"/>
    <w:rsid w:val="00F421F5"/>
    <w:rsid w:val="00F42608"/>
    <w:rsid w:val="00F42AED"/>
    <w:rsid w:val="00F4330A"/>
    <w:rsid w:val="00F4369F"/>
    <w:rsid w:val="00F436C4"/>
    <w:rsid w:val="00F436D2"/>
    <w:rsid w:val="00F439DA"/>
    <w:rsid w:val="00F43D7C"/>
    <w:rsid w:val="00F43DC2"/>
    <w:rsid w:val="00F4412B"/>
    <w:rsid w:val="00F441F8"/>
    <w:rsid w:val="00F44358"/>
    <w:rsid w:val="00F44476"/>
    <w:rsid w:val="00F44649"/>
    <w:rsid w:val="00F44EFB"/>
    <w:rsid w:val="00F45583"/>
    <w:rsid w:val="00F458FD"/>
    <w:rsid w:val="00F45A13"/>
    <w:rsid w:val="00F46B8E"/>
    <w:rsid w:val="00F46E69"/>
    <w:rsid w:val="00F4759A"/>
    <w:rsid w:val="00F47811"/>
    <w:rsid w:val="00F50F38"/>
    <w:rsid w:val="00F5146E"/>
    <w:rsid w:val="00F517ED"/>
    <w:rsid w:val="00F5195A"/>
    <w:rsid w:val="00F520AA"/>
    <w:rsid w:val="00F52781"/>
    <w:rsid w:val="00F5279D"/>
    <w:rsid w:val="00F52B50"/>
    <w:rsid w:val="00F52E01"/>
    <w:rsid w:val="00F530E9"/>
    <w:rsid w:val="00F536CC"/>
    <w:rsid w:val="00F537B6"/>
    <w:rsid w:val="00F53F5A"/>
    <w:rsid w:val="00F54054"/>
    <w:rsid w:val="00F54559"/>
    <w:rsid w:val="00F5499C"/>
    <w:rsid w:val="00F54ADE"/>
    <w:rsid w:val="00F55359"/>
    <w:rsid w:val="00F5559A"/>
    <w:rsid w:val="00F55A1F"/>
    <w:rsid w:val="00F561A1"/>
    <w:rsid w:val="00F56661"/>
    <w:rsid w:val="00F56851"/>
    <w:rsid w:val="00F56FE0"/>
    <w:rsid w:val="00F57123"/>
    <w:rsid w:val="00F5715C"/>
    <w:rsid w:val="00F57872"/>
    <w:rsid w:val="00F57DCD"/>
    <w:rsid w:val="00F60328"/>
    <w:rsid w:val="00F60913"/>
    <w:rsid w:val="00F60CF5"/>
    <w:rsid w:val="00F613DB"/>
    <w:rsid w:val="00F61581"/>
    <w:rsid w:val="00F6160E"/>
    <w:rsid w:val="00F61CB2"/>
    <w:rsid w:val="00F61FF5"/>
    <w:rsid w:val="00F62427"/>
    <w:rsid w:val="00F62491"/>
    <w:rsid w:val="00F62597"/>
    <w:rsid w:val="00F62B0E"/>
    <w:rsid w:val="00F62CE8"/>
    <w:rsid w:val="00F62E0C"/>
    <w:rsid w:val="00F6318C"/>
    <w:rsid w:val="00F631D5"/>
    <w:rsid w:val="00F635C5"/>
    <w:rsid w:val="00F63652"/>
    <w:rsid w:val="00F63A4C"/>
    <w:rsid w:val="00F63CB7"/>
    <w:rsid w:val="00F645A9"/>
    <w:rsid w:val="00F65706"/>
    <w:rsid w:val="00F6584D"/>
    <w:rsid w:val="00F65E35"/>
    <w:rsid w:val="00F65FE4"/>
    <w:rsid w:val="00F6610F"/>
    <w:rsid w:val="00F6612B"/>
    <w:rsid w:val="00F66889"/>
    <w:rsid w:val="00F66A28"/>
    <w:rsid w:val="00F66BAA"/>
    <w:rsid w:val="00F66BD7"/>
    <w:rsid w:val="00F66D97"/>
    <w:rsid w:val="00F6718E"/>
    <w:rsid w:val="00F6734A"/>
    <w:rsid w:val="00F67563"/>
    <w:rsid w:val="00F67584"/>
    <w:rsid w:val="00F6772C"/>
    <w:rsid w:val="00F679B3"/>
    <w:rsid w:val="00F67C50"/>
    <w:rsid w:val="00F67F38"/>
    <w:rsid w:val="00F70003"/>
    <w:rsid w:val="00F70631"/>
    <w:rsid w:val="00F7132F"/>
    <w:rsid w:val="00F716EA"/>
    <w:rsid w:val="00F71725"/>
    <w:rsid w:val="00F717B3"/>
    <w:rsid w:val="00F71974"/>
    <w:rsid w:val="00F719B5"/>
    <w:rsid w:val="00F719E1"/>
    <w:rsid w:val="00F71A6C"/>
    <w:rsid w:val="00F71C02"/>
    <w:rsid w:val="00F72436"/>
    <w:rsid w:val="00F726A3"/>
    <w:rsid w:val="00F727A8"/>
    <w:rsid w:val="00F72AA5"/>
    <w:rsid w:val="00F73412"/>
    <w:rsid w:val="00F73497"/>
    <w:rsid w:val="00F73D06"/>
    <w:rsid w:val="00F740CE"/>
    <w:rsid w:val="00F74326"/>
    <w:rsid w:val="00F74781"/>
    <w:rsid w:val="00F748ED"/>
    <w:rsid w:val="00F752F0"/>
    <w:rsid w:val="00F7576E"/>
    <w:rsid w:val="00F757F3"/>
    <w:rsid w:val="00F75FBD"/>
    <w:rsid w:val="00F7637E"/>
    <w:rsid w:val="00F7640D"/>
    <w:rsid w:val="00F76BE4"/>
    <w:rsid w:val="00F76E3C"/>
    <w:rsid w:val="00F7742C"/>
    <w:rsid w:val="00F77762"/>
    <w:rsid w:val="00F77C92"/>
    <w:rsid w:val="00F800A1"/>
    <w:rsid w:val="00F8030A"/>
    <w:rsid w:val="00F80516"/>
    <w:rsid w:val="00F80F12"/>
    <w:rsid w:val="00F81315"/>
    <w:rsid w:val="00F818FD"/>
    <w:rsid w:val="00F81A15"/>
    <w:rsid w:val="00F81C2B"/>
    <w:rsid w:val="00F82580"/>
    <w:rsid w:val="00F82ABA"/>
    <w:rsid w:val="00F833E5"/>
    <w:rsid w:val="00F83572"/>
    <w:rsid w:val="00F83790"/>
    <w:rsid w:val="00F838B8"/>
    <w:rsid w:val="00F839D2"/>
    <w:rsid w:val="00F83D6B"/>
    <w:rsid w:val="00F84016"/>
    <w:rsid w:val="00F84735"/>
    <w:rsid w:val="00F849D7"/>
    <w:rsid w:val="00F84B2C"/>
    <w:rsid w:val="00F84C44"/>
    <w:rsid w:val="00F84C78"/>
    <w:rsid w:val="00F84F74"/>
    <w:rsid w:val="00F85046"/>
    <w:rsid w:val="00F85344"/>
    <w:rsid w:val="00F857E5"/>
    <w:rsid w:val="00F85B2C"/>
    <w:rsid w:val="00F86078"/>
    <w:rsid w:val="00F86231"/>
    <w:rsid w:val="00F863DB"/>
    <w:rsid w:val="00F86595"/>
    <w:rsid w:val="00F86979"/>
    <w:rsid w:val="00F86BB1"/>
    <w:rsid w:val="00F86EF2"/>
    <w:rsid w:val="00F8708F"/>
    <w:rsid w:val="00F8772B"/>
    <w:rsid w:val="00F87742"/>
    <w:rsid w:val="00F877D1"/>
    <w:rsid w:val="00F90582"/>
    <w:rsid w:val="00F90605"/>
    <w:rsid w:val="00F906B1"/>
    <w:rsid w:val="00F90C8C"/>
    <w:rsid w:val="00F90E04"/>
    <w:rsid w:val="00F90F15"/>
    <w:rsid w:val="00F91121"/>
    <w:rsid w:val="00F91A6F"/>
    <w:rsid w:val="00F91A78"/>
    <w:rsid w:val="00F91B9A"/>
    <w:rsid w:val="00F91C93"/>
    <w:rsid w:val="00F92573"/>
    <w:rsid w:val="00F92C74"/>
    <w:rsid w:val="00F932A2"/>
    <w:rsid w:val="00F93DA1"/>
    <w:rsid w:val="00F93DD3"/>
    <w:rsid w:val="00F94285"/>
    <w:rsid w:val="00F94677"/>
    <w:rsid w:val="00F949BD"/>
    <w:rsid w:val="00F949E4"/>
    <w:rsid w:val="00F94F51"/>
    <w:rsid w:val="00F9558B"/>
    <w:rsid w:val="00F95647"/>
    <w:rsid w:val="00F9572B"/>
    <w:rsid w:val="00F95DB7"/>
    <w:rsid w:val="00F96514"/>
    <w:rsid w:val="00F9675A"/>
    <w:rsid w:val="00F968D4"/>
    <w:rsid w:val="00F96ABE"/>
    <w:rsid w:val="00F96C95"/>
    <w:rsid w:val="00F96FC6"/>
    <w:rsid w:val="00F97663"/>
    <w:rsid w:val="00F97978"/>
    <w:rsid w:val="00F97D6C"/>
    <w:rsid w:val="00F97FFD"/>
    <w:rsid w:val="00FA008A"/>
    <w:rsid w:val="00FA06B3"/>
    <w:rsid w:val="00FA0A28"/>
    <w:rsid w:val="00FA186E"/>
    <w:rsid w:val="00FA2156"/>
    <w:rsid w:val="00FA2257"/>
    <w:rsid w:val="00FA2324"/>
    <w:rsid w:val="00FA2385"/>
    <w:rsid w:val="00FA24B6"/>
    <w:rsid w:val="00FA2A06"/>
    <w:rsid w:val="00FA2A1D"/>
    <w:rsid w:val="00FA2AF7"/>
    <w:rsid w:val="00FA31B8"/>
    <w:rsid w:val="00FA426B"/>
    <w:rsid w:val="00FA4941"/>
    <w:rsid w:val="00FA5015"/>
    <w:rsid w:val="00FA559A"/>
    <w:rsid w:val="00FA582F"/>
    <w:rsid w:val="00FA58D6"/>
    <w:rsid w:val="00FA59B4"/>
    <w:rsid w:val="00FA5A23"/>
    <w:rsid w:val="00FA5ACA"/>
    <w:rsid w:val="00FA690A"/>
    <w:rsid w:val="00FA69FF"/>
    <w:rsid w:val="00FA6EBD"/>
    <w:rsid w:val="00FA730B"/>
    <w:rsid w:val="00FA7385"/>
    <w:rsid w:val="00FA7468"/>
    <w:rsid w:val="00FA7610"/>
    <w:rsid w:val="00FA7AE2"/>
    <w:rsid w:val="00FA7F3C"/>
    <w:rsid w:val="00FB01A2"/>
    <w:rsid w:val="00FB03F5"/>
    <w:rsid w:val="00FB09E3"/>
    <w:rsid w:val="00FB1B17"/>
    <w:rsid w:val="00FB1D79"/>
    <w:rsid w:val="00FB1E5F"/>
    <w:rsid w:val="00FB262C"/>
    <w:rsid w:val="00FB3087"/>
    <w:rsid w:val="00FB3155"/>
    <w:rsid w:val="00FB32A6"/>
    <w:rsid w:val="00FB334D"/>
    <w:rsid w:val="00FB3D8C"/>
    <w:rsid w:val="00FB3FD6"/>
    <w:rsid w:val="00FB45D6"/>
    <w:rsid w:val="00FB4A49"/>
    <w:rsid w:val="00FB4C0E"/>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ECC"/>
    <w:rsid w:val="00FC20D8"/>
    <w:rsid w:val="00FC2560"/>
    <w:rsid w:val="00FC27F1"/>
    <w:rsid w:val="00FC2AEB"/>
    <w:rsid w:val="00FC2D55"/>
    <w:rsid w:val="00FC2D77"/>
    <w:rsid w:val="00FC2E22"/>
    <w:rsid w:val="00FC2E2F"/>
    <w:rsid w:val="00FC2E85"/>
    <w:rsid w:val="00FC2FCB"/>
    <w:rsid w:val="00FC3128"/>
    <w:rsid w:val="00FC3AB4"/>
    <w:rsid w:val="00FC3EB6"/>
    <w:rsid w:val="00FC3F58"/>
    <w:rsid w:val="00FC4950"/>
    <w:rsid w:val="00FC578C"/>
    <w:rsid w:val="00FC5A31"/>
    <w:rsid w:val="00FC6970"/>
    <w:rsid w:val="00FC6F72"/>
    <w:rsid w:val="00FC6FCF"/>
    <w:rsid w:val="00FC7251"/>
    <w:rsid w:val="00FC7311"/>
    <w:rsid w:val="00FC7478"/>
    <w:rsid w:val="00FC74F7"/>
    <w:rsid w:val="00FC7A33"/>
    <w:rsid w:val="00FD03A9"/>
    <w:rsid w:val="00FD066B"/>
    <w:rsid w:val="00FD0713"/>
    <w:rsid w:val="00FD0838"/>
    <w:rsid w:val="00FD0DB1"/>
    <w:rsid w:val="00FD128B"/>
    <w:rsid w:val="00FD1645"/>
    <w:rsid w:val="00FD1A54"/>
    <w:rsid w:val="00FD1E34"/>
    <w:rsid w:val="00FD1E46"/>
    <w:rsid w:val="00FD23EC"/>
    <w:rsid w:val="00FD2B17"/>
    <w:rsid w:val="00FD2F62"/>
    <w:rsid w:val="00FD2F9D"/>
    <w:rsid w:val="00FD305D"/>
    <w:rsid w:val="00FD3318"/>
    <w:rsid w:val="00FD3366"/>
    <w:rsid w:val="00FD39B9"/>
    <w:rsid w:val="00FD3B0E"/>
    <w:rsid w:val="00FD3F25"/>
    <w:rsid w:val="00FD3F31"/>
    <w:rsid w:val="00FD444D"/>
    <w:rsid w:val="00FD45F0"/>
    <w:rsid w:val="00FD4FBC"/>
    <w:rsid w:val="00FD516E"/>
    <w:rsid w:val="00FD5AB3"/>
    <w:rsid w:val="00FD5AC0"/>
    <w:rsid w:val="00FD5B34"/>
    <w:rsid w:val="00FD608B"/>
    <w:rsid w:val="00FD635E"/>
    <w:rsid w:val="00FD6388"/>
    <w:rsid w:val="00FD68DF"/>
    <w:rsid w:val="00FD6E51"/>
    <w:rsid w:val="00FD72B3"/>
    <w:rsid w:val="00FD76E5"/>
    <w:rsid w:val="00FD77D8"/>
    <w:rsid w:val="00FD78DF"/>
    <w:rsid w:val="00FD7B02"/>
    <w:rsid w:val="00FD7CA1"/>
    <w:rsid w:val="00FE0165"/>
    <w:rsid w:val="00FE07EE"/>
    <w:rsid w:val="00FE08C5"/>
    <w:rsid w:val="00FE0B4F"/>
    <w:rsid w:val="00FE0D03"/>
    <w:rsid w:val="00FE10E9"/>
    <w:rsid w:val="00FE1277"/>
    <w:rsid w:val="00FE14BE"/>
    <w:rsid w:val="00FE14F9"/>
    <w:rsid w:val="00FE1EBD"/>
    <w:rsid w:val="00FE1F0A"/>
    <w:rsid w:val="00FE26D8"/>
    <w:rsid w:val="00FE2C62"/>
    <w:rsid w:val="00FE2E30"/>
    <w:rsid w:val="00FE2E59"/>
    <w:rsid w:val="00FE2E71"/>
    <w:rsid w:val="00FE4122"/>
    <w:rsid w:val="00FE4AF1"/>
    <w:rsid w:val="00FE4B04"/>
    <w:rsid w:val="00FE5022"/>
    <w:rsid w:val="00FE5403"/>
    <w:rsid w:val="00FE5419"/>
    <w:rsid w:val="00FE542F"/>
    <w:rsid w:val="00FE5452"/>
    <w:rsid w:val="00FE547F"/>
    <w:rsid w:val="00FE5529"/>
    <w:rsid w:val="00FE5939"/>
    <w:rsid w:val="00FE5EC1"/>
    <w:rsid w:val="00FE5F92"/>
    <w:rsid w:val="00FE5F9B"/>
    <w:rsid w:val="00FE6080"/>
    <w:rsid w:val="00FE646A"/>
    <w:rsid w:val="00FE6B0D"/>
    <w:rsid w:val="00FE72A1"/>
    <w:rsid w:val="00FE74EA"/>
    <w:rsid w:val="00FE7B00"/>
    <w:rsid w:val="00FE7E2B"/>
    <w:rsid w:val="00FE7E3E"/>
    <w:rsid w:val="00FF0240"/>
    <w:rsid w:val="00FF0766"/>
    <w:rsid w:val="00FF0DAD"/>
    <w:rsid w:val="00FF1C20"/>
    <w:rsid w:val="00FF22FB"/>
    <w:rsid w:val="00FF23D5"/>
    <w:rsid w:val="00FF2439"/>
    <w:rsid w:val="00FF2BF3"/>
    <w:rsid w:val="00FF34E5"/>
    <w:rsid w:val="00FF3C33"/>
    <w:rsid w:val="00FF45E9"/>
    <w:rsid w:val="00FF502E"/>
    <w:rsid w:val="00FF5210"/>
    <w:rsid w:val="00FF5418"/>
    <w:rsid w:val="00FF54B4"/>
    <w:rsid w:val="00FF56F6"/>
    <w:rsid w:val="00FF57FF"/>
    <w:rsid w:val="00FF5801"/>
    <w:rsid w:val="00FF5C95"/>
    <w:rsid w:val="00FF6305"/>
    <w:rsid w:val="00FF635E"/>
    <w:rsid w:val="00FF64E8"/>
    <w:rsid w:val="00FF67A1"/>
    <w:rsid w:val="00FF6919"/>
    <w:rsid w:val="00FF6BE8"/>
    <w:rsid w:val="00FF6CE2"/>
    <w:rsid w:val="00FF6F79"/>
    <w:rsid w:val="00FF7148"/>
    <w:rsid w:val="00FF729A"/>
    <w:rsid w:val="00FF7371"/>
    <w:rsid w:val="00FF76FB"/>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footnote text" w:locked="0" w:qFormat="1"/>
    <w:lsdException w:name="header" w:uiPriority="0"/>
    <w:lsdException w:name="footer" w:locked="0"/>
    <w:lsdException w:name="caption" w:semiHidden="0" w:uiPriority="0" w:unhideWhenUsed="0" w:qFormat="1"/>
    <w:lsdException w:name="footnote reference" w:locked="0"/>
    <w:lsdException w:name="page number" w:locked="0" w:uiPriority="0"/>
    <w:lsdException w:name="Title" w:semiHidden="0" w:uiPriority="0" w:unhideWhenUsed="0" w:qFormat="1"/>
    <w:lsdException w:name="Default Paragraph Font" w:locked="0" w:uiPriority="1"/>
    <w:lsdException w:name="Subtitle" w:semiHidden="0" w:uiPriority="0" w:unhideWhenUsed="0" w:qFormat="1"/>
    <w:lsdException w:name="Hyperlink" w:locked="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A4B26"/>
    <w:rPr>
      <w:rFonts w:cs="Calibri"/>
      <w:sz w:val="22"/>
      <w:szCs w:val="22"/>
      <w:lang w:eastAsia="en-US"/>
    </w:rPr>
  </w:style>
  <w:style w:type="paragraph" w:styleId="Heading1">
    <w:name w:val="heading 1"/>
    <w:basedOn w:val="Normal"/>
    <w:next w:val="Normal"/>
    <w:link w:val="Heading1Char"/>
    <w:uiPriority w:val="9"/>
    <w:qFormat/>
    <w:locked/>
    <w:rsid w:val="009E0F39"/>
    <w:pPr>
      <w:keepNext/>
      <w:keepLines/>
      <w:numPr>
        <w:ilvl w:val="1"/>
        <w:numId w:val="12"/>
      </w:numPr>
      <w:spacing w:before="480"/>
      <w:outlineLvl w:val="0"/>
    </w:pPr>
    <w:rPr>
      <w:rFonts w:ascii="Cambria" w:hAnsi="Cambria"/>
      <w:b/>
      <w:bCs/>
      <w:color w:val="365F91"/>
      <w:sz w:val="28"/>
      <w:szCs w:val="28"/>
    </w:rPr>
  </w:style>
  <w:style w:type="paragraph" w:styleId="Heading2">
    <w:name w:val="heading 2"/>
    <w:aliases w:val="AER Heading 2"/>
    <w:basedOn w:val="Normal"/>
    <w:next w:val="Normal"/>
    <w:uiPriority w:val="9"/>
    <w:qFormat/>
    <w:locked/>
    <w:rsid w:val="00735FCF"/>
    <w:pPr>
      <w:keepNext/>
      <w:numPr>
        <w:ilvl w:val="2"/>
        <w:numId w:val="12"/>
      </w:numPr>
      <w:spacing w:before="240" w:after="60"/>
      <w:outlineLvl w:val="1"/>
    </w:pPr>
    <w:rPr>
      <w:rFonts w:ascii="Arial" w:hAnsi="Arial" w:cs="Arial"/>
      <w:b/>
      <w:bCs/>
      <w:i/>
      <w:iCs/>
      <w:sz w:val="28"/>
      <w:szCs w:val="28"/>
    </w:rPr>
  </w:style>
  <w:style w:type="paragraph" w:styleId="Heading3">
    <w:name w:val="heading 3"/>
    <w:basedOn w:val="Normal"/>
    <w:next w:val="Normal"/>
    <w:uiPriority w:val="9"/>
    <w:qFormat/>
    <w:locked/>
    <w:rsid w:val="00735FCF"/>
    <w:pPr>
      <w:keepNext/>
      <w:numPr>
        <w:ilvl w:val="3"/>
        <w:numId w:val="12"/>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uiPriority w:val="9"/>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pPr>
      <w:numPr>
        <w:ilvl w:val="0"/>
        <w:numId w:val="0"/>
      </w:numPr>
    </w:pPr>
  </w:style>
  <w:style w:type="paragraph" w:customStyle="1" w:styleId="AERfigureheading">
    <w:name w:val="AER figure heading"/>
    <w:basedOn w:val="Normal"/>
    <w:next w:val="AERbodytext"/>
    <w:qFormat/>
    <w:rsid w:val="00E968C9"/>
    <w:pPr>
      <w:keepNext/>
      <w:numPr>
        <w:ilvl w:val="3"/>
        <w:numId w:val="7"/>
      </w:numPr>
      <w:tabs>
        <w:tab w:val="left" w:pos="1474"/>
      </w:tabs>
      <w:spacing w:before="240" w:after="120"/>
      <w:outlineLvl w:val="3"/>
    </w:pPr>
    <w:rPr>
      <w:b/>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E5080D"/>
    <w:pPr>
      <w:tabs>
        <w:tab w:val="left" w:pos="0"/>
      </w:tabs>
    </w:pPr>
    <w:rPr>
      <w:szCs w:val="16"/>
    </w:rPr>
  </w:style>
  <w:style w:type="paragraph" w:customStyle="1" w:styleId="AERbulletlistsecondstyle">
    <w:name w:val="AER bullet list (second style)"/>
    <w:basedOn w:val="AERbodytext"/>
    <w:qFormat/>
    <w:rsid w:val="00E5080D"/>
    <w:pPr>
      <w:numPr>
        <w:numId w:val="1"/>
      </w:numPr>
      <w:spacing w:after="200"/>
    </w:pPr>
  </w:style>
  <w:style w:type="paragraph" w:customStyle="1" w:styleId="AERbulletlistthirdstyle">
    <w:name w:val="AER bullet list (third style)"/>
    <w:basedOn w:val="AERbodytext"/>
    <w:rsid w:val="009E0F39"/>
    <w:pPr>
      <w:numPr>
        <w:numId w:val="2"/>
      </w:numPr>
      <w:tabs>
        <w:tab w:val="clear" w:pos="870"/>
        <w:tab w:val="left" w:pos="1077"/>
      </w:tabs>
      <w:spacing w:after="200"/>
      <w:ind w:left="1077" w:hanging="357"/>
    </w:pPr>
  </w:style>
  <w:style w:type="paragraph" w:customStyle="1" w:styleId="AERheading1">
    <w:name w:val="AER heading 1"/>
    <w:basedOn w:val="Heading1"/>
    <w:next w:val="AERbodytext"/>
    <w:link w:val="AERheading1Char"/>
    <w:qFormat/>
    <w:rsid w:val="00FB1B17"/>
    <w:pPr>
      <w:keepLines w:val="0"/>
      <w:pageBreakBefore/>
      <w:numPr>
        <w:ilvl w:val="0"/>
        <w:numId w:val="7"/>
      </w:numPr>
      <w:spacing w:before="240" w:after="240"/>
    </w:pPr>
    <w:rPr>
      <w:rFonts w:ascii="Gautami" w:hAnsi="Gautami" w:cs="Arial"/>
      <w:color w:val="F2750E"/>
      <w:kern w:val="32"/>
      <w:sz w:val="36"/>
      <w:szCs w:val="32"/>
    </w:rPr>
  </w:style>
  <w:style w:type="paragraph" w:customStyle="1" w:styleId="AERheading2">
    <w:name w:val="AER heading 2"/>
    <w:basedOn w:val="AERheading1"/>
    <w:next w:val="AERbodytext"/>
    <w:link w:val="AERheading2Char"/>
    <w:qFormat/>
    <w:rsid w:val="00FB1B17"/>
    <w:pPr>
      <w:pageBreakBefore w:val="0"/>
      <w:numPr>
        <w:ilvl w:val="1"/>
      </w:numPr>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4"/>
      </w:numPr>
      <w:spacing w:after="200" w:line="200" w:lineRule="atLeast"/>
    </w:pPr>
  </w:style>
  <w:style w:type="paragraph" w:customStyle="1" w:styleId="AERnumberedlistsecondstyle">
    <w:name w:val="AER numbered list (second style)"/>
    <w:basedOn w:val="AERnumberedlistfirststyle"/>
    <w:qFormat/>
    <w:rsid w:val="009E0F39"/>
    <w:pPr>
      <w:numPr>
        <w:numId w:val="5"/>
      </w:numPr>
    </w:pPr>
  </w:style>
  <w:style w:type="paragraph" w:customStyle="1" w:styleId="AERnumberedlistthirdstyle">
    <w:name w:val="AER numbered list (third style)"/>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pPr>
    <w:rPr>
      <w:sz w:val="16"/>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uiPriority w:val="99"/>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rPr>
  </w:style>
  <w:style w:type="paragraph" w:customStyle="1" w:styleId="AERheading6">
    <w:name w:val="AER heading 6"/>
    <w:basedOn w:val="Heading6"/>
    <w:next w:val="AERbodytext"/>
    <w:rsid w:val="00300F5E"/>
    <w:pPr>
      <w:keepLines w:val="0"/>
      <w:spacing w:before="120" w:after="120"/>
      <w:ind w:left="1440"/>
    </w:pPr>
    <w:rPr>
      <w:rFonts w:ascii="Gautami" w:hAnsi="Gautami" w:cs="Arial"/>
      <w:bCs/>
      <w:iCs w:val="0"/>
      <w:color w:val="auto"/>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Text">
    <w:name w:val="annotation text"/>
    <w:basedOn w:val="Normal"/>
    <w:link w:val="CommentTextChar"/>
    <w:uiPriority w:val="99"/>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qFormat/>
    <w:rsid w:val="009E0F39"/>
    <w:pPr>
      <w:tabs>
        <w:tab w:val="left" w:pos="454"/>
      </w:tabs>
      <w:ind w:left="454" w:hanging="454"/>
    </w:pPr>
    <w:rPr>
      <w:sz w:val="16"/>
      <w:szCs w:val="20"/>
    </w:rPr>
  </w:style>
  <w:style w:type="character" w:customStyle="1" w:styleId="AERbody">
    <w:name w:val="AER body"/>
    <w:basedOn w:val="DefaultParagraphFont"/>
    <w:rsid w:val="003B7459"/>
    <w:rPr>
      <w:rFonts w:ascii="Gautami" w:hAnsi="Gautami"/>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uiPriority w:val="39"/>
    <w:rsid w:val="00DC76BD"/>
    <w:pPr>
      <w:tabs>
        <w:tab w:val="left" w:pos="567"/>
        <w:tab w:val="right" w:leader="dot" w:pos="8307"/>
      </w:tabs>
      <w:spacing w:before="120" w:after="120" w:line="276" w:lineRule="auto"/>
    </w:pPr>
    <w:rPr>
      <w:b/>
    </w:rPr>
  </w:style>
  <w:style w:type="paragraph" w:styleId="TOC2">
    <w:name w:val="toc 2"/>
    <w:basedOn w:val="Normal"/>
    <w:next w:val="Normal"/>
    <w:uiPriority w:val="39"/>
    <w:rsid w:val="004D044A"/>
    <w:pPr>
      <w:tabs>
        <w:tab w:val="left" w:pos="1080"/>
        <w:tab w:val="right" w:leader="dot" w:pos="8307"/>
      </w:tabs>
      <w:ind w:left="1134" w:hanging="567"/>
    </w:pPr>
  </w:style>
  <w:style w:type="paragraph" w:styleId="TOC3">
    <w:name w:val="toc 3"/>
    <w:basedOn w:val="Normal"/>
    <w:next w:val="Normal"/>
    <w:uiPriority w:val="39"/>
    <w:rsid w:val="004D044A"/>
    <w:pPr>
      <w:tabs>
        <w:tab w:val="left" w:pos="1980"/>
        <w:tab w:val="right" w:leader="dot" w:pos="8307"/>
      </w:tabs>
      <w:ind w:left="1980" w:hanging="900"/>
    </w:pPr>
  </w:style>
  <w:style w:type="paragraph" w:customStyle="1" w:styleId="AERunnumberedheading">
    <w:name w:val="AER unnumbered heading"/>
    <w:basedOn w:val="AERheading1"/>
    <w:rsid w:val="00033718"/>
    <w:pPr>
      <w:numPr>
        <w:numId w:val="0"/>
      </w:numPr>
      <w:spacing w:after="120"/>
    </w:pPr>
  </w:style>
  <w:style w:type="paragraph" w:customStyle="1" w:styleId="AERTitle1">
    <w:name w:val="AER Title 1"/>
    <w:basedOn w:val="AERheading4"/>
    <w:rsid w:val="00A052AB"/>
    <w:pPr>
      <w:jc w:val="center"/>
    </w:pPr>
    <w:rPr>
      <w:sz w:val="40"/>
    </w:rPr>
  </w:style>
  <w:style w:type="paragraph" w:customStyle="1" w:styleId="AERTitle2">
    <w:name w:val="AER Title 2"/>
    <w:basedOn w:val="AERTitle1"/>
    <w:rsid w:val="00A052AB"/>
    <w:pPr>
      <w:spacing w:before="1680"/>
    </w:pPr>
    <w:rPr>
      <w:b w:val="0"/>
      <w:sz w:val="32"/>
    </w:rPr>
  </w:style>
  <w:style w:type="character" w:styleId="Hyperlink">
    <w:name w:val="Hyperlink"/>
    <w:basedOn w:val="DefaultParagraphFont"/>
    <w:uiPriority w:val="99"/>
    <w:rsid w:val="00D023EF"/>
    <w:rPr>
      <w:rFonts w:ascii="Gautami" w:hAnsi="Gautami"/>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uiPriority w:val="59"/>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link w:val="EndnoteTextChar"/>
    <w:uiPriority w:val="99"/>
    <w:semiHidden/>
    <w:locked/>
    <w:rsid w:val="00F968D4"/>
    <w:rPr>
      <w:szCs w:val="20"/>
    </w:rPr>
  </w:style>
  <w:style w:type="character" w:styleId="EndnoteReference">
    <w:name w:val="endnote reference"/>
    <w:basedOn w:val="DefaultParagraphFont"/>
    <w:uiPriority w:val="99"/>
    <w:semiHidden/>
    <w:locked/>
    <w:rsid w:val="00F968D4"/>
    <w:rPr>
      <w:vertAlign w:val="superscript"/>
    </w:rPr>
  </w:style>
  <w:style w:type="character" w:styleId="FollowedHyperlink">
    <w:name w:val="FollowedHyperlink"/>
    <w:basedOn w:val="DefaultParagraphFont"/>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locked/>
    <w:rsid w:val="00FA426B"/>
    <w:rPr>
      <w:rFonts w:ascii="Gautami" w:eastAsia="Times New Roman" w:hAnsi="Gautami"/>
      <w:sz w:val="16"/>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basedOn w:val="DefaultParagraphFont"/>
    <w:link w:val="AERbulletlistfirststyle"/>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CommentTextChar">
    <w:name w:val="Comment Text Char"/>
    <w:basedOn w:val="DefaultParagraphFont"/>
    <w:link w:val="CommentText"/>
    <w:uiPriority w:val="99"/>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pPr>
  </w:style>
  <w:style w:type="paragraph" w:customStyle="1" w:styleId="LegalFirstLevel">
    <w:name w:val="Legal First Level"/>
    <w:rsid w:val="00203C6E"/>
    <w:pPr>
      <w:numPr>
        <w:numId w:val="8"/>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rPr>
      <w:rFonts w:ascii="Times New Roman" w:hAnsi="Times New Roman"/>
      <w:b/>
      <w:sz w:val="40"/>
      <w:szCs w:val="20"/>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pPr>
    <w:rPr>
      <w:rFonts w:ascii="Gautami" w:hAnsi="Gautami" w:cs="Arial"/>
      <w:color w:val="F2750E"/>
      <w:kern w:val="32"/>
      <w:sz w:val="36"/>
      <w:szCs w:val="32"/>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basedOn w:val="DefaultParagraphFont"/>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0"/>
    <w:qFormat/>
    <w:rsid w:val="00320E76"/>
  </w:style>
  <w:style w:type="character" w:customStyle="1" w:styleId="AERheading3Char">
    <w:name w:val="AER heading 3 Char"/>
    <w:basedOn w:val="DefaultParagraphFont"/>
    <w:link w:val="AERheading3"/>
    <w:rsid w:val="00557653"/>
    <w:rPr>
      <w:rFonts w:ascii="Gautami" w:hAnsi="Gautami" w:cs="Arial"/>
      <w:b/>
      <w:bCs/>
      <w:kern w:val="32"/>
      <w:sz w:val="24"/>
      <w:szCs w:val="24"/>
      <w:lang w:eastAsia="en-US"/>
    </w:rPr>
  </w:style>
  <w:style w:type="character" w:customStyle="1" w:styleId="AERHeading1Char0">
    <w:name w:val="AER Heading 1 Char"/>
    <w:basedOn w:val="AERbodytextChar"/>
    <w:link w:val="AERHeading10"/>
    <w:rsid w:val="00320E76"/>
    <w:rPr>
      <w:rFonts w:ascii="Gautami" w:eastAsia="Times New Roman" w:hAnsi="Gautami"/>
      <w:szCs w:val="24"/>
      <w:lang w:val="en-AU" w:eastAsia="en-US" w:bidi="ar-SA"/>
    </w:rPr>
  </w:style>
  <w:style w:type="character" w:customStyle="1" w:styleId="AERheading5Char">
    <w:name w:val="AER heading 5 Char"/>
    <w:basedOn w:val="DefaultParagraphFont"/>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ind w:left="1134" w:hanging="1134"/>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hAnsi="Gautami" w:cs="Calibri"/>
      <w:b/>
      <w:bCs/>
      <w:iCs/>
      <w:color w:val="E36C0A"/>
      <w:sz w:val="36"/>
      <w:szCs w:val="24"/>
      <w:lang w:eastAsia="en-US"/>
    </w:rPr>
  </w:style>
  <w:style w:type="character" w:customStyle="1" w:styleId="Heading8Char">
    <w:name w:val="Heading 8 Char"/>
    <w:basedOn w:val="DefaultParagraphFont"/>
    <w:link w:val="Heading8"/>
    <w:uiPriority w:val="9"/>
    <w:rsid w:val="00CF67B7"/>
    <w:rPr>
      <w:rFonts w:ascii="Gautami" w:hAnsi="Gautami" w:cs="Calibri"/>
      <w:b/>
      <w:bCs/>
      <w:iCs/>
      <w:color w:val="E36C0A"/>
      <w:sz w:val="28"/>
      <w:lang w:eastAsia="en-US"/>
    </w:rPr>
  </w:style>
  <w:style w:type="character" w:customStyle="1" w:styleId="Heading9Char">
    <w:name w:val="Heading 9 Char"/>
    <w:basedOn w:val="DefaultParagraphFont"/>
    <w:link w:val="Heading9"/>
    <w:uiPriority w:val="9"/>
    <w:rsid w:val="00CF67B7"/>
    <w:rPr>
      <w:rFonts w:ascii="Gautami" w:hAnsi="Gautami" w:cs="Calibri"/>
      <w:b/>
      <w:bCs/>
      <w:color w:val="E36C0A"/>
      <w:sz w:val="24"/>
      <w:lang w:eastAsia="en-US"/>
    </w:rPr>
  </w:style>
  <w:style w:type="numbering" w:customStyle="1" w:styleId="AERHeadings">
    <w:name w:val="AER Headings"/>
    <w:uiPriority w:val="99"/>
    <w:rsid w:val="00CF67B7"/>
    <w:pPr>
      <w:numPr>
        <w:numId w:val="10"/>
      </w:numPr>
    </w:pPr>
  </w:style>
  <w:style w:type="paragraph" w:customStyle="1" w:styleId="UnnumberedHeading">
    <w:name w:val="Unnumbered Heading"/>
    <w:basedOn w:val="Heading1"/>
    <w:next w:val="AERbodytext"/>
    <w:link w:val="UnnumberedHeadingChar"/>
    <w:qFormat/>
    <w:rsid w:val="00CF67B7"/>
    <w:pPr>
      <w:pageBreakBefore/>
      <w:numPr>
        <w:ilvl w:val="0"/>
      </w:numPr>
      <w:spacing w:before="120" w:after="120"/>
    </w:pPr>
    <w:rPr>
      <w:rFonts w:ascii="Gautami" w:hAnsi="Gautami"/>
      <w:color w:val="E36C0A"/>
      <w:sz w:val="36"/>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basedOn w:val="DefaultParagraphFont"/>
    <w:link w:val="Quote"/>
    <w:uiPriority w:val="29"/>
    <w:rsid w:val="00CF67B7"/>
    <w:rPr>
      <w:rFonts w:ascii="Gautami" w:eastAsia="Times New Roman" w:hAnsi="Gautami"/>
      <w:i/>
      <w:iCs/>
      <w:color w:val="000000"/>
      <w:szCs w:val="24"/>
    </w:rPr>
  </w:style>
  <w:style w:type="character" w:customStyle="1" w:styleId="AERbodytextbold">
    <w:name w:val="AER body text bold"/>
    <w:basedOn w:val="DefaultParagraphFont"/>
    <w:rsid w:val="00B80EE9"/>
    <w:rPr>
      <w:rFonts w:ascii="Gautami" w:hAnsi="Gautami"/>
      <w:b/>
      <w:sz w:val="24"/>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paragraph" w:styleId="BodyText">
    <w:name w:val="Body Text"/>
    <w:basedOn w:val="Normal"/>
    <w:link w:val="BodyTextChar"/>
    <w:uiPriority w:val="99"/>
    <w:locked/>
    <w:rsid w:val="00310EAA"/>
    <w:pPr>
      <w:spacing w:before="120" w:after="120"/>
    </w:pPr>
    <w:rPr>
      <w:rFonts w:ascii="Arial" w:hAnsi="Arial"/>
      <w:szCs w:val="20"/>
    </w:rPr>
  </w:style>
  <w:style w:type="character" w:customStyle="1" w:styleId="BodyTextChar">
    <w:name w:val="Body Text Char"/>
    <w:basedOn w:val="DefaultParagraphFont"/>
    <w:link w:val="BodyText"/>
    <w:uiPriority w:val="99"/>
    <w:rsid w:val="00310EAA"/>
    <w:rPr>
      <w:rFonts w:ascii="Arial" w:eastAsia="Times New Roman" w:hAnsi="Arial"/>
      <w:sz w:val="22"/>
      <w:lang w:eastAsia="en-US"/>
    </w:rPr>
  </w:style>
  <w:style w:type="paragraph" w:customStyle="1" w:styleId="FootnoteTextA">
    <w:name w:val="Footnote Text A"/>
    <w:rsid w:val="00EA57C3"/>
    <w:pPr>
      <w:spacing w:before="240" w:after="120"/>
    </w:pPr>
    <w:rPr>
      <w:rFonts w:ascii="Times New Roman" w:eastAsia="ヒラギノ角ゴ Pro W3" w:hAnsi="Times New Roman"/>
      <w:color w:val="000000"/>
    </w:rPr>
  </w:style>
  <w:style w:type="paragraph" w:customStyle="1" w:styleId="AERBullet1">
    <w:name w:val="AER Bullet 1"/>
    <w:basedOn w:val="Normal"/>
    <w:rsid w:val="00EA57C3"/>
    <w:pPr>
      <w:spacing w:before="240" w:after="120"/>
    </w:pPr>
    <w:rPr>
      <w:rFonts w:ascii="Times New Roman" w:hAnsi="Times New Roman"/>
      <w:sz w:val="24"/>
    </w:rPr>
  </w:style>
  <w:style w:type="character" w:customStyle="1" w:styleId="displayonly">
    <w:name w:val="display_only"/>
    <w:basedOn w:val="DefaultParagraphFont"/>
    <w:rsid w:val="00791BFA"/>
  </w:style>
  <w:style w:type="numbering" w:customStyle="1" w:styleId="AERnumberedlist">
    <w:name w:val="AER numbered list"/>
    <w:uiPriority w:val="99"/>
    <w:rsid w:val="00EF2D0E"/>
    <w:pPr>
      <w:numPr>
        <w:numId w:val="11"/>
      </w:numPr>
    </w:pPr>
  </w:style>
  <w:style w:type="character" w:customStyle="1" w:styleId="UnnumberedHeadingChar">
    <w:name w:val="Unnumbered Heading Char"/>
    <w:basedOn w:val="DefaultParagraphFont"/>
    <w:link w:val="UnnumberedHeading"/>
    <w:rsid w:val="00EF2D0E"/>
    <w:rPr>
      <w:rFonts w:ascii="Gautami" w:hAnsi="Gautami" w:cs="Calibri"/>
      <w:b/>
      <w:bCs/>
      <w:color w:val="E36C0A"/>
      <w:sz w:val="36"/>
      <w:szCs w:val="28"/>
      <w:lang w:eastAsia="en-US"/>
    </w:rPr>
  </w:style>
  <w:style w:type="character" w:customStyle="1" w:styleId="st1">
    <w:name w:val="st1"/>
    <w:basedOn w:val="DefaultParagraphFont"/>
    <w:rsid w:val="009A334E"/>
  </w:style>
  <w:style w:type="paragraph" w:customStyle="1" w:styleId="AERcopyrighttext">
    <w:name w:val="AER copyright text"/>
    <w:basedOn w:val="Normal"/>
    <w:rsid w:val="0020321C"/>
    <w:pPr>
      <w:spacing w:before="240" w:after="240"/>
    </w:pPr>
    <w:rPr>
      <w:rFonts w:ascii="Times New Roman" w:hAnsi="Times New Roman"/>
    </w:rPr>
  </w:style>
  <w:style w:type="character" w:customStyle="1" w:styleId="AERbulletlistfirststyleCharChar">
    <w:name w:val="AER bullet list (first style) Char Char"/>
    <w:basedOn w:val="DefaultParagraphFont"/>
    <w:rsid w:val="009930C1"/>
    <w:rPr>
      <w:sz w:val="24"/>
      <w:szCs w:val="24"/>
      <w:lang w:eastAsia="en-US"/>
    </w:rPr>
  </w:style>
  <w:style w:type="character" w:customStyle="1" w:styleId="AERbodytextCharChar">
    <w:name w:val="AER body text Char Char"/>
    <w:basedOn w:val="DefaultParagraphFont"/>
    <w:rsid w:val="009930C1"/>
    <w:rPr>
      <w:sz w:val="24"/>
      <w:szCs w:val="24"/>
      <w:lang w:val="en-AU" w:eastAsia="en-US" w:bidi="ar-SA"/>
    </w:rPr>
  </w:style>
  <w:style w:type="paragraph" w:customStyle="1" w:styleId="aerheading40">
    <w:name w:val="aerheading4"/>
    <w:basedOn w:val="Normal"/>
    <w:rsid w:val="009930C1"/>
    <w:pPr>
      <w:keepNext/>
      <w:tabs>
        <w:tab w:val="num" w:pos="2880"/>
      </w:tabs>
      <w:spacing w:after="120"/>
      <w:ind w:left="2880" w:hanging="360"/>
    </w:pPr>
    <w:rPr>
      <w:rFonts w:ascii="Times New Roman" w:hAnsi="Times New Roman"/>
      <w:b/>
      <w:bCs/>
    </w:rPr>
  </w:style>
  <w:style w:type="character" w:customStyle="1" w:styleId="AERbodytextCharCharCharChar">
    <w:name w:val="AER body text Char Char Char Char"/>
    <w:basedOn w:val="DefaultParagraphFont"/>
    <w:link w:val="AERbodytextCharCharChar"/>
    <w:locked/>
    <w:rsid w:val="00564940"/>
    <w:rPr>
      <w:rFonts w:eastAsia="Calibri"/>
      <w:sz w:val="24"/>
      <w:szCs w:val="24"/>
    </w:rPr>
  </w:style>
  <w:style w:type="paragraph" w:customStyle="1" w:styleId="AERbodytextCharCharChar">
    <w:name w:val="AER body text Char Char Char"/>
    <w:basedOn w:val="Normal"/>
    <w:link w:val="AERbodytextCharCharCharChar"/>
    <w:rsid w:val="00564940"/>
    <w:pPr>
      <w:spacing w:after="240"/>
    </w:pPr>
    <w:rPr>
      <w:sz w:val="24"/>
    </w:rPr>
  </w:style>
  <w:style w:type="paragraph" w:styleId="NormalWeb">
    <w:name w:val="Normal (Web)"/>
    <w:basedOn w:val="Normal"/>
    <w:uiPriority w:val="99"/>
    <w:unhideWhenUsed/>
    <w:locked/>
    <w:rsid w:val="000D605D"/>
    <w:pPr>
      <w:spacing w:before="204" w:after="204"/>
    </w:pPr>
    <w:rPr>
      <w:rFonts w:ascii="Times New Roman" w:eastAsia="Times New Roman" w:hAnsi="Times New Roman"/>
      <w:sz w:val="24"/>
      <w:szCs w:val="24"/>
    </w:rPr>
  </w:style>
  <w:style w:type="paragraph" w:customStyle="1" w:styleId="QCRunnumberedunboldheading">
    <w:name w:val="QCR unnumbered unbold heading"/>
    <w:basedOn w:val="AERheading2"/>
    <w:link w:val="QCRunnumberedunboldheadingChar"/>
    <w:qFormat/>
    <w:rsid w:val="002C7158"/>
    <w:pPr>
      <w:numPr>
        <w:ilvl w:val="0"/>
        <w:numId w:val="0"/>
      </w:numPr>
      <w:spacing w:before="0" w:after="120" w:line="360" w:lineRule="auto"/>
      <w:ind w:left="357" w:hanging="357"/>
      <w:outlineLvl w:val="9"/>
    </w:pPr>
    <w:rPr>
      <w:b w:val="0"/>
      <w:sz w:val="36"/>
      <w:szCs w:val="36"/>
    </w:rPr>
  </w:style>
  <w:style w:type="paragraph" w:customStyle="1" w:styleId="QCRHeading1">
    <w:name w:val="QCR Heading 1"/>
    <w:basedOn w:val="AERheading1"/>
    <w:link w:val="QCRHeading1Char"/>
    <w:qFormat/>
    <w:rsid w:val="002C7158"/>
  </w:style>
  <w:style w:type="character" w:customStyle="1" w:styleId="Heading1Char">
    <w:name w:val="Heading 1 Char"/>
    <w:basedOn w:val="DefaultParagraphFont"/>
    <w:link w:val="Heading1"/>
    <w:uiPriority w:val="9"/>
    <w:rsid w:val="002C7158"/>
    <w:rPr>
      <w:rFonts w:ascii="Cambria" w:hAnsi="Cambria" w:cs="Calibri"/>
      <w:b/>
      <w:bCs/>
      <w:color w:val="365F91"/>
      <w:sz w:val="28"/>
      <w:szCs w:val="28"/>
      <w:lang w:eastAsia="en-US"/>
    </w:rPr>
  </w:style>
  <w:style w:type="character" w:customStyle="1" w:styleId="AERheading1Char">
    <w:name w:val="AER heading 1 Char"/>
    <w:basedOn w:val="Heading1Char"/>
    <w:link w:val="AERheading1"/>
    <w:rsid w:val="002C7158"/>
    <w:rPr>
      <w:rFonts w:ascii="Gautami" w:hAnsi="Gautami" w:cs="Arial"/>
      <w:b/>
      <w:bCs/>
      <w:color w:val="F2750E"/>
      <w:kern w:val="32"/>
      <w:sz w:val="36"/>
      <w:szCs w:val="32"/>
      <w:lang w:eastAsia="en-US"/>
    </w:rPr>
  </w:style>
  <w:style w:type="character" w:customStyle="1" w:styleId="AERheading2Char">
    <w:name w:val="AER heading 2 Char"/>
    <w:basedOn w:val="AERheading1Char"/>
    <w:link w:val="AERheading2"/>
    <w:rsid w:val="002C7158"/>
    <w:rPr>
      <w:rFonts w:ascii="Gautami" w:hAnsi="Gautami" w:cs="Arial"/>
      <w:b/>
      <w:bCs/>
      <w:color w:val="F2750E"/>
      <w:kern w:val="32"/>
      <w:sz w:val="28"/>
      <w:szCs w:val="30"/>
      <w:lang w:eastAsia="en-US"/>
    </w:rPr>
  </w:style>
  <w:style w:type="character" w:customStyle="1" w:styleId="QCRunnumberedunboldheadingChar">
    <w:name w:val="QCR unnumbered unbold heading Char"/>
    <w:basedOn w:val="AERheading2Char"/>
    <w:link w:val="QCRunnumberedunboldheading"/>
    <w:rsid w:val="002C7158"/>
    <w:rPr>
      <w:rFonts w:ascii="Gautami" w:eastAsiaTheme="minorHAnsi" w:hAnsi="Gautami" w:cs="Arial"/>
      <w:b/>
      <w:bCs/>
      <w:color w:val="F2750E"/>
      <w:kern w:val="32"/>
      <w:sz w:val="36"/>
      <w:szCs w:val="36"/>
      <w:lang w:eastAsia="en-US"/>
    </w:rPr>
  </w:style>
  <w:style w:type="character" w:customStyle="1" w:styleId="QCRHeading1Char">
    <w:name w:val="QCR Heading 1 Char"/>
    <w:basedOn w:val="AERheading1Char"/>
    <w:link w:val="QCRHeading1"/>
    <w:rsid w:val="002C7158"/>
    <w:rPr>
      <w:rFonts w:ascii="Gautami" w:hAnsi="Gautami" w:cs="Arial"/>
      <w:b/>
      <w:bCs/>
      <w:color w:val="F2750E"/>
      <w:kern w:val="32"/>
      <w:sz w:val="36"/>
      <w:szCs w:val="32"/>
      <w:lang w:eastAsia="en-US"/>
    </w:rPr>
  </w:style>
  <w:style w:type="paragraph" w:customStyle="1" w:styleId="aerbodytext0">
    <w:name w:val="aerbodytext"/>
    <w:basedOn w:val="Normal"/>
    <w:rsid w:val="00C421DA"/>
    <w:pPr>
      <w:spacing w:after="240"/>
    </w:pPr>
    <w:rPr>
      <w:rFonts w:ascii="Times New Roman" w:hAnsi="Times New Roman" w:cs="Times New Roman"/>
      <w:sz w:val="24"/>
      <w:szCs w:val="24"/>
      <w:lang w:eastAsia="en-AU"/>
    </w:rPr>
  </w:style>
  <w:style w:type="paragraph" w:customStyle="1" w:styleId="Pa8">
    <w:name w:val="Pa8"/>
    <w:basedOn w:val="Normal"/>
    <w:uiPriority w:val="99"/>
    <w:rsid w:val="007F4039"/>
    <w:pPr>
      <w:autoSpaceDE w:val="0"/>
      <w:autoSpaceDN w:val="0"/>
      <w:spacing w:line="171" w:lineRule="atLeast"/>
    </w:pPr>
    <w:rPr>
      <w:rFonts w:ascii="HelveticaNeueLT Std" w:hAnsi="HelveticaNeueLT Std" w:cs="Times New Roman"/>
      <w:sz w:val="24"/>
      <w:szCs w:val="24"/>
      <w:lang w:eastAsia="en-AU"/>
    </w:rPr>
  </w:style>
  <w:style w:type="character" w:styleId="Emphasis">
    <w:name w:val="Emphasis"/>
    <w:uiPriority w:val="20"/>
    <w:qFormat/>
    <w:locked/>
    <w:rsid w:val="00696E6D"/>
    <w:rPr>
      <w:b/>
      <w:bCs/>
      <w:i w:val="0"/>
      <w:iCs w:val="0"/>
    </w:rPr>
  </w:style>
  <w:style w:type="character" w:customStyle="1" w:styleId="EndnoteTextChar">
    <w:name w:val="Endnote Text Char"/>
    <w:link w:val="EndnoteText"/>
    <w:uiPriority w:val="99"/>
    <w:semiHidden/>
    <w:rsid w:val="004D74CD"/>
    <w:rPr>
      <w:rFonts w:cs="Calib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AERfigureheading">
    <w:name w:val="AERnumbered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40517832">
      <w:bodyDiv w:val="1"/>
      <w:marLeft w:val="0"/>
      <w:marRight w:val="0"/>
      <w:marTop w:val="0"/>
      <w:marBottom w:val="0"/>
      <w:divBdr>
        <w:top w:val="none" w:sz="0" w:space="0" w:color="auto"/>
        <w:left w:val="none" w:sz="0" w:space="0" w:color="auto"/>
        <w:bottom w:val="none" w:sz="0" w:space="0" w:color="auto"/>
        <w:right w:val="none" w:sz="0" w:space="0" w:color="auto"/>
      </w:divBdr>
    </w:div>
    <w:div w:id="84349877">
      <w:bodyDiv w:val="1"/>
      <w:marLeft w:val="0"/>
      <w:marRight w:val="0"/>
      <w:marTop w:val="0"/>
      <w:marBottom w:val="0"/>
      <w:divBdr>
        <w:top w:val="none" w:sz="0" w:space="0" w:color="auto"/>
        <w:left w:val="none" w:sz="0" w:space="0" w:color="auto"/>
        <w:bottom w:val="none" w:sz="0" w:space="0" w:color="auto"/>
        <w:right w:val="none" w:sz="0" w:space="0" w:color="auto"/>
      </w:divBdr>
    </w:div>
    <w:div w:id="11036524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06615276">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41598693">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24000526">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683360864">
      <w:bodyDiv w:val="1"/>
      <w:marLeft w:val="0"/>
      <w:marRight w:val="0"/>
      <w:marTop w:val="0"/>
      <w:marBottom w:val="0"/>
      <w:divBdr>
        <w:top w:val="none" w:sz="0" w:space="0" w:color="auto"/>
        <w:left w:val="none" w:sz="0" w:space="0" w:color="auto"/>
        <w:bottom w:val="none" w:sz="0" w:space="0" w:color="auto"/>
        <w:right w:val="none" w:sz="0" w:space="0" w:color="auto"/>
      </w:divBdr>
      <w:divsChild>
        <w:div w:id="1960528021">
          <w:marLeft w:val="0"/>
          <w:marRight w:val="0"/>
          <w:marTop w:val="0"/>
          <w:marBottom w:val="0"/>
          <w:divBdr>
            <w:top w:val="none" w:sz="0" w:space="0" w:color="auto"/>
            <w:left w:val="none" w:sz="0" w:space="0" w:color="auto"/>
            <w:bottom w:val="none" w:sz="0" w:space="0" w:color="auto"/>
            <w:right w:val="none" w:sz="0" w:space="0" w:color="auto"/>
          </w:divBdr>
          <w:divsChild>
            <w:div w:id="159581451">
              <w:marLeft w:val="-14"/>
              <w:marRight w:val="0"/>
              <w:marTop w:val="0"/>
              <w:marBottom w:val="0"/>
              <w:divBdr>
                <w:top w:val="none" w:sz="0" w:space="0" w:color="auto"/>
                <w:left w:val="single" w:sz="6" w:space="0" w:color="FFFFFF"/>
                <w:bottom w:val="none" w:sz="0" w:space="0" w:color="auto"/>
                <w:right w:val="none" w:sz="0" w:space="0" w:color="auto"/>
              </w:divBdr>
              <w:divsChild>
                <w:div w:id="1012145978">
                  <w:marLeft w:val="0"/>
                  <w:marRight w:val="0"/>
                  <w:marTop w:val="0"/>
                  <w:marBottom w:val="0"/>
                  <w:divBdr>
                    <w:top w:val="none" w:sz="0" w:space="0" w:color="auto"/>
                    <w:left w:val="none" w:sz="0" w:space="0" w:color="auto"/>
                    <w:bottom w:val="none" w:sz="0" w:space="0" w:color="auto"/>
                    <w:right w:val="none" w:sz="0" w:space="0" w:color="auto"/>
                  </w:divBdr>
                  <w:divsChild>
                    <w:div w:id="20558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5799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09769043">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1984436">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72834358">
      <w:bodyDiv w:val="1"/>
      <w:marLeft w:val="0"/>
      <w:marRight w:val="0"/>
      <w:marTop w:val="0"/>
      <w:marBottom w:val="0"/>
      <w:divBdr>
        <w:top w:val="none" w:sz="0" w:space="0" w:color="auto"/>
        <w:left w:val="none" w:sz="0" w:space="0" w:color="auto"/>
        <w:bottom w:val="none" w:sz="0" w:space="0" w:color="auto"/>
        <w:right w:val="none" w:sz="0" w:space="0" w:color="auto"/>
      </w:divBdr>
    </w:div>
    <w:div w:id="975524435">
      <w:bodyDiv w:val="1"/>
      <w:marLeft w:val="0"/>
      <w:marRight w:val="0"/>
      <w:marTop w:val="0"/>
      <w:marBottom w:val="0"/>
      <w:divBdr>
        <w:top w:val="none" w:sz="0" w:space="0" w:color="auto"/>
        <w:left w:val="none" w:sz="0" w:space="0" w:color="auto"/>
        <w:bottom w:val="none" w:sz="0" w:space="0" w:color="auto"/>
        <w:right w:val="none" w:sz="0" w:space="0" w:color="auto"/>
      </w:divBdr>
    </w:div>
    <w:div w:id="97773307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15618704">
      <w:bodyDiv w:val="1"/>
      <w:marLeft w:val="0"/>
      <w:marRight w:val="0"/>
      <w:marTop w:val="0"/>
      <w:marBottom w:val="0"/>
      <w:divBdr>
        <w:top w:val="none" w:sz="0" w:space="0" w:color="auto"/>
        <w:left w:val="none" w:sz="0" w:space="0" w:color="auto"/>
        <w:bottom w:val="none" w:sz="0" w:space="0" w:color="auto"/>
        <w:right w:val="none" w:sz="0" w:space="0" w:color="auto"/>
      </w:divBdr>
    </w:div>
    <w:div w:id="1028291324">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27577706">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152406219">
      <w:bodyDiv w:val="1"/>
      <w:marLeft w:val="0"/>
      <w:marRight w:val="0"/>
      <w:marTop w:val="0"/>
      <w:marBottom w:val="0"/>
      <w:divBdr>
        <w:top w:val="none" w:sz="0" w:space="0" w:color="auto"/>
        <w:left w:val="none" w:sz="0" w:space="0" w:color="auto"/>
        <w:bottom w:val="none" w:sz="0" w:space="0" w:color="auto"/>
        <w:right w:val="none" w:sz="0" w:space="0" w:color="auto"/>
      </w:divBdr>
      <w:divsChild>
        <w:div w:id="601769207">
          <w:marLeft w:val="0"/>
          <w:marRight w:val="0"/>
          <w:marTop w:val="0"/>
          <w:marBottom w:val="0"/>
          <w:divBdr>
            <w:top w:val="none" w:sz="0" w:space="0" w:color="auto"/>
            <w:left w:val="none" w:sz="0" w:space="0" w:color="auto"/>
            <w:bottom w:val="none" w:sz="0" w:space="0" w:color="auto"/>
            <w:right w:val="none" w:sz="0" w:space="0" w:color="auto"/>
          </w:divBdr>
          <w:divsChild>
            <w:div w:id="1273585188">
              <w:marLeft w:val="0"/>
              <w:marRight w:val="0"/>
              <w:marTop w:val="0"/>
              <w:marBottom w:val="0"/>
              <w:divBdr>
                <w:top w:val="none" w:sz="0" w:space="0" w:color="auto"/>
                <w:left w:val="none" w:sz="0" w:space="0" w:color="auto"/>
                <w:bottom w:val="none" w:sz="0" w:space="0" w:color="auto"/>
                <w:right w:val="none" w:sz="0" w:space="0" w:color="auto"/>
              </w:divBdr>
              <w:divsChild>
                <w:div w:id="485439487">
                  <w:marLeft w:val="0"/>
                  <w:marRight w:val="0"/>
                  <w:marTop w:val="0"/>
                  <w:marBottom w:val="0"/>
                  <w:divBdr>
                    <w:top w:val="none" w:sz="0" w:space="0" w:color="auto"/>
                    <w:left w:val="none" w:sz="0" w:space="0" w:color="auto"/>
                    <w:bottom w:val="none" w:sz="0" w:space="0" w:color="auto"/>
                    <w:right w:val="none" w:sz="0" w:space="0" w:color="auto"/>
                  </w:divBdr>
                  <w:divsChild>
                    <w:div w:id="652871174">
                      <w:marLeft w:val="0"/>
                      <w:marRight w:val="0"/>
                      <w:marTop w:val="0"/>
                      <w:marBottom w:val="0"/>
                      <w:divBdr>
                        <w:top w:val="none" w:sz="0" w:space="0" w:color="auto"/>
                        <w:left w:val="none" w:sz="0" w:space="0" w:color="auto"/>
                        <w:bottom w:val="none" w:sz="0" w:space="0" w:color="auto"/>
                        <w:right w:val="none" w:sz="0" w:space="0" w:color="auto"/>
                      </w:divBdr>
                      <w:divsChild>
                        <w:div w:id="1448424419">
                          <w:marLeft w:val="0"/>
                          <w:marRight w:val="0"/>
                          <w:marTop w:val="0"/>
                          <w:marBottom w:val="0"/>
                          <w:divBdr>
                            <w:top w:val="none" w:sz="0" w:space="0" w:color="auto"/>
                            <w:left w:val="none" w:sz="0" w:space="0" w:color="auto"/>
                            <w:bottom w:val="none" w:sz="0" w:space="0" w:color="auto"/>
                            <w:right w:val="none" w:sz="0" w:space="0" w:color="auto"/>
                          </w:divBdr>
                          <w:divsChild>
                            <w:div w:id="1462845947">
                              <w:marLeft w:val="0"/>
                              <w:marRight w:val="0"/>
                              <w:marTop w:val="0"/>
                              <w:marBottom w:val="0"/>
                              <w:divBdr>
                                <w:top w:val="none" w:sz="0" w:space="0" w:color="auto"/>
                                <w:left w:val="none" w:sz="0" w:space="0" w:color="auto"/>
                                <w:bottom w:val="none" w:sz="0" w:space="0" w:color="auto"/>
                                <w:right w:val="none" w:sz="0" w:space="0" w:color="auto"/>
                              </w:divBdr>
                              <w:divsChild>
                                <w:div w:id="1581911236">
                                  <w:marLeft w:val="0"/>
                                  <w:marRight w:val="0"/>
                                  <w:marTop w:val="0"/>
                                  <w:marBottom w:val="0"/>
                                  <w:divBdr>
                                    <w:top w:val="none" w:sz="0" w:space="0" w:color="auto"/>
                                    <w:left w:val="none" w:sz="0" w:space="0" w:color="auto"/>
                                    <w:bottom w:val="none" w:sz="0" w:space="0" w:color="auto"/>
                                    <w:right w:val="none" w:sz="0" w:space="0" w:color="auto"/>
                                  </w:divBdr>
                                  <w:divsChild>
                                    <w:div w:id="52775984">
                                      <w:marLeft w:val="240"/>
                                      <w:marRight w:val="240"/>
                                      <w:marTop w:val="240"/>
                                      <w:marBottom w:val="0"/>
                                      <w:divBdr>
                                        <w:top w:val="none" w:sz="0" w:space="0" w:color="auto"/>
                                        <w:left w:val="none" w:sz="0" w:space="0" w:color="auto"/>
                                        <w:bottom w:val="none" w:sz="0" w:space="0" w:color="auto"/>
                                        <w:right w:val="none" w:sz="0" w:space="0" w:color="auto"/>
                                      </w:divBdr>
                                      <w:divsChild>
                                        <w:div w:id="1484813053">
                                          <w:marLeft w:val="0"/>
                                          <w:marRight w:val="0"/>
                                          <w:marTop w:val="0"/>
                                          <w:marBottom w:val="0"/>
                                          <w:divBdr>
                                            <w:top w:val="none" w:sz="0" w:space="0" w:color="auto"/>
                                            <w:left w:val="none" w:sz="0" w:space="0" w:color="auto"/>
                                            <w:bottom w:val="none" w:sz="0" w:space="0" w:color="auto"/>
                                            <w:right w:val="none" w:sz="0" w:space="0" w:color="auto"/>
                                          </w:divBdr>
                                          <w:divsChild>
                                            <w:div w:id="1305500854">
                                              <w:marLeft w:val="0"/>
                                              <w:marRight w:val="0"/>
                                              <w:marTop w:val="0"/>
                                              <w:marBottom w:val="0"/>
                                              <w:divBdr>
                                                <w:top w:val="none" w:sz="0" w:space="0" w:color="auto"/>
                                                <w:left w:val="none" w:sz="0" w:space="0" w:color="auto"/>
                                                <w:bottom w:val="none" w:sz="0" w:space="0" w:color="auto"/>
                                                <w:right w:val="none" w:sz="0" w:space="0" w:color="auto"/>
                                              </w:divBdr>
                                              <w:divsChild>
                                                <w:div w:id="1387601450">
                                                  <w:marLeft w:val="0"/>
                                                  <w:marRight w:val="0"/>
                                                  <w:marTop w:val="0"/>
                                                  <w:marBottom w:val="0"/>
                                                  <w:divBdr>
                                                    <w:top w:val="none" w:sz="0" w:space="0" w:color="auto"/>
                                                    <w:left w:val="none" w:sz="0" w:space="0" w:color="auto"/>
                                                    <w:bottom w:val="none" w:sz="0" w:space="0" w:color="auto"/>
                                                    <w:right w:val="none" w:sz="0" w:space="0" w:color="auto"/>
                                                  </w:divBdr>
                                                  <w:divsChild>
                                                    <w:div w:id="1739278243">
                                                      <w:marLeft w:val="0"/>
                                                      <w:marRight w:val="0"/>
                                                      <w:marTop w:val="0"/>
                                                      <w:marBottom w:val="120"/>
                                                      <w:divBdr>
                                                        <w:top w:val="none" w:sz="0" w:space="0" w:color="auto"/>
                                                        <w:left w:val="none" w:sz="0" w:space="0" w:color="auto"/>
                                                        <w:bottom w:val="none" w:sz="0" w:space="0" w:color="auto"/>
                                                        <w:right w:val="none" w:sz="0" w:space="0" w:color="auto"/>
                                                      </w:divBdr>
                                                      <w:divsChild>
                                                        <w:div w:id="1558784849">
                                                          <w:marLeft w:val="0"/>
                                                          <w:marRight w:val="0"/>
                                                          <w:marTop w:val="0"/>
                                                          <w:marBottom w:val="0"/>
                                                          <w:divBdr>
                                                            <w:top w:val="none" w:sz="0" w:space="0" w:color="auto"/>
                                                            <w:left w:val="none" w:sz="0" w:space="0" w:color="auto"/>
                                                            <w:bottom w:val="none" w:sz="0" w:space="0" w:color="auto"/>
                                                            <w:right w:val="none" w:sz="0" w:space="0" w:color="auto"/>
                                                          </w:divBdr>
                                                          <w:divsChild>
                                                            <w:div w:id="20713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7922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46381951">
      <w:bodyDiv w:val="1"/>
      <w:marLeft w:val="0"/>
      <w:marRight w:val="0"/>
      <w:marTop w:val="0"/>
      <w:marBottom w:val="0"/>
      <w:divBdr>
        <w:top w:val="none" w:sz="0" w:space="0" w:color="auto"/>
        <w:left w:val="none" w:sz="0" w:space="0" w:color="auto"/>
        <w:bottom w:val="none" w:sz="0" w:space="0" w:color="auto"/>
        <w:right w:val="none" w:sz="0" w:space="0" w:color="auto"/>
      </w:divBdr>
    </w:div>
    <w:div w:id="1287273479">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7579198">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377971079">
      <w:bodyDiv w:val="1"/>
      <w:marLeft w:val="0"/>
      <w:marRight w:val="0"/>
      <w:marTop w:val="0"/>
      <w:marBottom w:val="0"/>
      <w:divBdr>
        <w:top w:val="none" w:sz="0" w:space="0" w:color="auto"/>
        <w:left w:val="none" w:sz="0" w:space="0" w:color="auto"/>
        <w:bottom w:val="none" w:sz="0" w:space="0" w:color="auto"/>
        <w:right w:val="none" w:sz="0" w:space="0" w:color="auto"/>
      </w:divBdr>
    </w:div>
    <w:div w:id="138683496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45143400">
      <w:bodyDiv w:val="1"/>
      <w:marLeft w:val="0"/>
      <w:marRight w:val="0"/>
      <w:marTop w:val="0"/>
      <w:marBottom w:val="0"/>
      <w:divBdr>
        <w:top w:val="none" w:sz="0" w:space="0" w:color="auto"/>
        <w:left w:val="none" w:sz="0" w:space="0" w:color="auto"/>
        <w:bottom w:val="none" w:sz="0" w:space="0" w:color="auto"/>
        <w:right w:val="none" w:sz="0" w:space="0" w:color="auto"/>
      </w:divBdr>
    </w:div>
    <w:div w:id="1546982685">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03884360">
      <w:bodyDiv w:val="1"/>
      <w:marLeft w:val="0"/>
      <w:marRight w:val="0"/>
      <w:marTop w:val="0"/>
      <w:marBottom w:val="0"/>
      <w:divBdr>
        <w:top w:val="none" w:sz="0" w:space="0" w:color="auto"/>
        <w:left w:val="none" w:sz="0" w:space="0" w:color="auto"/>
        <w:bottom w:val="none" w:sz="0" w:space="0" w:color="auto"/>
        <w:right w:val="none" w:sz="0" w:space="0" w:color="auto"/>
      </w:divBdr>
    </w:div>
    <w:div w:id="1833183396">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40674549">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1973099559">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Inquiry@aer.gov.au" TargetMode="External"/><Relationship Id="rId18" Type="http://schemas.openxmlformats.org/officeDocument/2006/relationships/hyperlink" Target="http://www.aer.gov.au/node/346" TargetMode="External"/><Relationship Id="rId26" Type="http://schemas.openxmlformats.org/officeDocument/2006/relationships/hyperlink" Target="http://www.accc.gov.au" TargetMode="External"/><Relationship Id="rId3" Type="http://schemas.openxmlformats.org/officeDocument/2006/relationships/styles" Target="styles.xml"/><Relationship Id="rId21" Type="http://schemas.openxmlformats.org/officeDocument/2006/relationships/hyperlink" Target="http://www.aer.gov.au/node/2291"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6.png"/><Relationship Id="rId33" Type="http://schemas.openxmlformats.org/officeDocument/2006/relationships/hyperlink" Target="http://www.legislation.sa.gov.au/LZ/C/A/NATIONAL%20GAS%20(SOUTH%20AUSTRALIA)%20ACT%202008.aspx"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aemc.gov.au/Electricity/National-Electricity-Rules/Current-Rul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yperlink" Target="http://www.legislation.sa.gov.au/LZ/C/A/NATIONAL%20ELECTRICITY%20(SOUTH%20AUSTRALIA)%20ACT%201996.asp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er.gov.au/sites/default/files/AER%20compliance%20and%20enforcement%C3%A2%E2%82%AC%E2%80%9Dstatement%20of%20approach%20%28December%202010%29.pdf" TargetMode="External"/><Relationship Id="rId23" Type="http://schemas.openxmlformats.org/officeDocument/2006/relationships/hyperlink" Target="http://www.aer.gov.au/node/23722" TargetMode="External"/><Relationship Id="rId28" Type="http://schemas.openxmlformats.org/officeDocument/2006/relationships/hyperlink" Target="http://www.aer.gov.au/"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aemc.gov.au/media/docs/Transmission-Frameworks-Review---Final-Report-d183e454-f5b8-4e3d-895f-4e9e2f126ea0-0.PDF" TargetMode="External"/><Relationship Id="rId31" Type="http://schemas.openxmlformats.org/officeDocument/2006/relationships/hyperlink" Target="http://aemc.gov.au/Gas/National-Gas-Rules/Current-Rule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node/346" TargetMode="External"/><Relationship Id="rId22" Type="http://schemas.openxmlformats.org/officeDocument/2006/relationships/hyperlink" Target="http://www.aer.gov.au/node/24357" TargetMode="External"/><Relationship Id="rId27" Type="http://schemas.openxmlformats.org/officeDocument/2006/relationships/hyperlink" Target="http://www.aemo.com.au/" TargetMode="External"/><Relationship Id="rId30" Type="http://schemas.openxmlformats.org/officeDocument/2006/relationships/hyperlink" Target="http://www.legislation.sa.gov.au/LZ/C/R/NATIONAL%20GAS%20(SOUTH%20AUSTRALIA)%20REGULATIONS.aspx"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Gas/Market-Operations/Short-Term-Trading-Market/~/media/Files/Other/STTM/STTM_ER_13_008_Delayed_allocation_submission_Adelaide_21_Dec_2013.ashx" TargetMode="External"/><Relationship Id="rId2" Type="http://schemas.openxmlformats.org/officeDocument/2006/relationships/hyperlink" Target="http://www.aer.gov.au/wholesale-markets/market-performance" TargetMode="External"/><Relationship Id="rId1" Type="http://schemas.openxmlformats.org/officeDocument/2006/relationships/hyperlink" Target="http://www.aer.gov.au/wholesale-markets/compliance-reporting" TargetMode="External"/><Relationship Id="rId4" Type="http://schemas.openxmlformats.org/officeDocument/2006/relationships/hyperlink" Target="http://www.aer.gov.au/node/15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8EF9-BE6F-40F1-B868-6F1D22CE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C8609F76.dotm</Template>
  <TotalTime>0</TotalTime>
  <Pages>33</Pages>
  <Words>10577</Words>
  <Characters>60293</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Quarterly Compliance Report - June 2013</vt:lpstr>
    </vt:vector>
  </TitlesOfParts>
  <Company/>
  <LinksUpToDate>false</LinksUpToDate>
  <CharactersWithSpaces>70729</CharactersWithSpaces>
  <SharedDoc>false</SharedDoc>
  <HLinks>
    <vt:vector size="276" baseType="variant">
      <vt:variant>
        <vt:i4>79</vt:i4>
      </vt:variant>
      <vt:variant>
        <vt:i4>186</vt:i4>
      </vt:variant>
      <vt:variant>
        <vt:i4>0</vt:i4>
      </vt:variant>
      <vt:variant>
        <vt:i4>5</vt:i4>
      </vt:variant>
      <vt:variant>
        <vt:lpwstr>http://www.legislation.sa.gov.au/LZ/C/A/NATIONAL GAS (SOUTH AUSTRALIA) ACT 2008.aspx</vt:lpwstr>
      </vt:variant>
      <vt:variant>
        <vt:lpwstr/>
      </vt:variant>
      <vt:variant>
        <vt:i4>1245251</vt:i4>
      </vt:variant>
      <vt:variant>
        <vt:i4>183</vt:i4>
      </vt:variant>
      <vt:variant>
        <vt:i4>0</vt:i4>
      </vt:variant>
      <vt:variant>
        <vt:i4>5</vt:i4>
      </vt:variant>
      <vt:variant>
        <vt:lpwstr>http://www.legislation.sa.gov.au/LZ/C/A/NATIONAL ELECTRICITY (SOUTH AUSTRALIA) ACT 1996.aspx</vt:lpwstr>
      </vt:variant>
      <vt:variant>
        <vt:lpwstr/>
      </vt:variant>
      <vt:variant>
        <vt:i4>2687022</vt:i4>
      </vt:variant>
      <vt:variant>
        <vt:i4>180</vt:i4>
      </vt:variant>
      <vt:variant>
        <vt:i4>0</vt:i4>
      </vt:variant>
      <vt:variant>
        <vt:i4>5</vt:i4>
      </vt:variant>
      <vt:variant>
        <vt:lpwstr>http://www.aemc.gov.au/gas.php</vt:lpwstr>
      </vt:variant>
      <vt:variant>
        <vt:lpwstr/>
      </vt:variant>
      <vt:variant>
        <vt:i4>3276845</vt:i4>
      </vt:variant>
      <vt:variant>
        <vt:i4>177</vt:i4>
      </vt:variant>
      <vt:variant>
        <vt:i4>0</vt:i4>
      </vt:variant>
      <vt:variant>
        <vt:i4>5</vt:i4>
      </vt:variant>
      <vt:variant>
        <vt:lpwstr>http://www.legislation.sa.gov.au/LZ/C/R/NATIONAL GAS (SOUTH AUSTRALIA) REGULATIONS.aspx</vt:lpwstr>
      </vt:variant>
      <vt:variant>
        <vt:lpwstr/>
      </vt:variant>
      <vt:variant>
        <vt:i4>5242975</vt:i4>
      </vt:variant>
      <vt:variant>
        <vt:i4>174</vt:i4>
      </vt:variant>
      <vt:variant>
        <vt:i4>0</vt:i4>
      </vt:variant>
      <vt:variant>
        <vt:i4>5</vt:i4>
      </vt:variant>
      <vt:variant>
        <vt:lpwstr>http://www.aemc.gov.au/rules.php</vt:lpwstr>
      </vt:variant>
      <vt:variant>
        <vt:lpwstr/>
      </vt:variant>
      <vt:variant>
        <vt:i4>1900617</vt:i4>
      </vt:variant>
      <vt:variant>
        <vt:i4>171</vt:i4>
      </vt:variant>
      <vt:variant>
        <vt:i4>0</vt:i4>
      </vt:variant>
      <vt:variant>
        <vt:i4>5</vt:i4>
      </vt:variant>
      <vt:variant>
        <vt:lpwstr>http://www.gasbb.com.au/</vt:lpwstr>
      </vt:variant>
      <vt:variant>
        <vt:lpwstr/>
      </vt:variant>
      <vt:variant>
        <vt:i4>6750255</vt:i4>
      </vt:variant>
      <vt:variant>
        <vt:i4>168</vt:i4>
      </vt:variant>
      <vt:variant>
        <vt:i4>0</vt:i4>
      </vt:variant>
      <vt:variant>
        <vt:i4>5</vt:i4>
      </vt:variant>
      <vt:variant>
        <vt:lpwstr>http://www.aer.gov.au/</vt:lpwstr>
      </vt:variant>
      <vt:variant>
        <vt:lpwstr/>
      </vt:variant>
      <vt:variant>
        <vt:i4>3997749</vt:i4>
      </vt:variant>
      <vt:variant>
        <vt:i4>165</vt:i4>
      </vt:variant>
      <vt:variant>
        <vt:i4>0</vt:i4>
      </vt:variant>
      <vt:variant>
        <vt:i4>5</vt:i4>
      </vt:variant>
      <vt:variant>
        <vt:lpwstr>http://www.aemo.com.au/</vt:lpwstr>
      </vt:variant>
      <vt:variant>
        <vt:lpwstr/>
      </vt:variant>
      <vt:variant>
        <vt:i4>3342368</vt:i4>
      </vt:variant>
      <vt:variant>
        <vt:i4>162</vt:i4>
      </vt:variant>
      <vt:variant>
        <vt:i4>0</vt:i4>
      </vt:variant>
      <vt:variant>
        <vt:i4>5</vt:i4>
      </vt:variant>
      <vt:variant>
        <vt:lpwstr>http://www.accc.gov.au/</vt:lpwstr>
      </vt:variant>
      <vt:variant>
        <vt:lpwstr/>
      </vt:variant>
      <vt:variant>
        <vt:i4>1441851</vt:i4>
      </vt:variant>
      <vt:variant>
        <vt:i4>155</vt:i4>
      </vt:variant>
      <vt:variant>
        <vt:i4>0</vt:i4>
      </vt:variant>
      <vt:variant>
        <vt:i4>5</vt:i4>
      </vt:variant>
      <vt:variant>
        <vt:lpwstr/>
      </vt:variant>
      <vt:variant>
        <vt:lpwstr>_Toc339289999</vt:lpwstr>
      </vt:variant>
      <vt:variant>
        <vt:i4>1441851</vt:i4>
      </vt:variant>
      <vt:variant>
        <vt:i4>149</vt:i4>
      </vt:variant>
      <vt:variant>
        <vt:i4>0</vt:i4>
      </vt:variant>
      <vt:variant>
        <vt:i4>5</vt:i4>
      </vt:variant>
      <vt:variant>
        <vt:lpwstr/>
      </vt:variant>
      <vt:variant>
        <vt:lpwstr>_Toc339289998</vt:lpwstr>
      </vt:variant>
      <vt:variant>
        <vt:i4>1441851</vt:i4>
      </vt:variant>
      <vt:variant>
        <vt:i4>143</vt:i4>
      </vt:variant>
      <vt:variant>
        <vt:i4>0</vt:i4>
      </vt:variant>
      <vt:variant>
        <vt:i4>5</vt:i4>
      </vt:variant>
      <vt:variant>
        <vt:lpwstr/>
      </vt:variant>
      <vt:variant>
        <vt:lpwstr>_Toc339289997</vt:lpwstr>
      </vt:variant>
      <vt:variant>
        <vt:i4>1441851</vt:i4>
      </vt:variant>
      <vt:variant>
        <vt:i4>137</vt:i4>
      </vt:variant>
      <vt:variant>
        <vt:i4>0</vt:i4>
      </vt:variant>
      <vt:variant>
        <vt:i4>5</vt:i4>
      </vt:variant>
      <vt:variant>
        <vt:lpwstr/>
      </vt:variant>
      <vt:variant>
        <vt:lpwstr>_Toc339289996</vt:lpwstr>
      </vt:variant>
      <vt:variant>
        <vt:i4>1441851</vt:i4>
      </vt:variant>
      <vt:variant>
        <vt:i4>131</vt:i4>
      </vt:variant>
      <vt:variant>
        <vt:i4>0</vt:i4>
      </vt:variant>
      <vt:variant>
        <vt:i4>5</vt:i4>
      </vt:variant>
      <vt:variant>
        <vt:lpwstr/>
      </vt:variant>
      <vt:variant>
        <vt:lpwstr>_Toc339289995</vt:lpwstr>
      </vt:variant>
      <vt:variant>
        <vt:i4>1441851</vt:i4>
      </vt:variant>
      <vt:variant>
        <vt:i4>125</vt:i4>
      </vt:variant>
      <vt:variant>
        <vt:i4>0</vt:i4>
      </vt:variant>
      <vt:variant>
        <vt:i4>5</vt:i4>
      </vt:variant>
      <vt:variant>
        <vt:lpwstr/>
      </vt:variant>
      <vt:variant>
        <vt:lpwstr>_Toc339289994</vt:lpwstr>
      </vt:variant>
      <vt:variant>
        <vt:i4>1441851</vt:i4>
      </vt:variant>
      <vt:variant>
        <vt:i4>119</vt:i4>
      </vt:variant>
      <vt:variant>
        <vt:i4>0</vt:i4>
      </vt:variant>
      <vt:variant>
        <vt:i4>5</vt:i4>
      </vt:variant>
      <vt:variant>
        <vt:lpwstr/>
      </vt:variant>
      <vt:variant>
        <vt:lpwstr>_Toc339289993</vt:lpwstr>
      </vt:variant>
      <vt:variant>
        <vt:i4>1441851</vt:i4>
      </vt:variant>
      <vt:variant>
        <vt:i4>113</vt:i4>
      </vt:variant>
      <vt:variant>
        <vt:i4>0</vt:i4>
      </vt:variant>
      <vt:variant>
        <vt:i4>5</vt:i4>
      </vt:variant>
      <vt:variant>
        <vt:lpwstr/>
      </vt:variant>
      <vt:variant>
        <vt:lpwstr>_Toc339289992</vt:lpwstr>
      </vt:variant>
      <vt:variant>
        <vt:i4>1441851</vt:i4>
      </vt:variant>
      <vt:variant>
        <vt:i4>107</vt:i4>
      </vt:variant>
      <vt:variant>
        <vt:i4>0</vt:i4>
      </vt:variant>
      <vt:variant>
        <vt:i4>5</vt:i4>
      </vt:variant>
      <vt:variant>
        <vt:lpwstr/>
      </vt:variant>
      <vt:variant>
        <vt:lpwstr>_Toc339289991</vt:lpwstr>
      </vt:variant>
      <vt:variant>
        <vt:i4>1441851</vt:i4>
      </vt:variant>
      <vt:variant>
        <vt:i4>101</vt:i4>
      </vt:variant>
      <vt:variant>
        <vt:i4>0</vt:i4>
      </vt:variant>
      <vt:variant>
        <vt:i4>5</vt:i4>
      </vt:variant>
      <vt:variant>
        <vt:lpwstr/>
      </vt:variant>
      <vt:variant>
        <vt:lpwstr>_Toc339289990</vt:lpwstr>
      </vt:variant>
      <vt:variant>
        <vt:i4>1507387</vt:i4>
      </vt:variant>
      <vt:variant>
        <vt:i4>95</vt:i4>
      </vt:variant>
      <vt:variant>
        <vt:i4>0</vt:i4>
      </vt:variant>
      <vt:variant>
        <vt:i4>5</vt:i4>
      </vt:variant>
      <vt:variant>
        <vt:lpwstr/>
      </vt:variant>
      <vt:variant>
        <vt:lpwstr>_Toc339289989</vt:lpwstr>
      </vt:variant>
      <vt:variant>
        <vt:i4>1507387</vt:i4>
      </vt:variant>
      <vt:variant>
        <vt:i4>89</vt:i4>
      </vt:variant>
      <vt:variant>
        <vt:i4>0</vt:i4>
      </vt:variant>
      <vt:variant>
        <vt:i4>5</vt:i4>
      </vt:variant>
      <vt:variant>
        <vt:lpwstr/>
      </vt:variant>
      <vt:variant>
        <vt:lpwstr>_Toc339289988</vt:lpwstr>
      </vt:variant>
      <vt:variant>
        <vt:i4>1507387</vt:i4>
      </vt:variant>
      <vt:variant>
        <vt:i4>83</vt:i4>
      </vt:variant>
      <vt:variant>
        <vt:i4>0</vt:i4>
      </vt:variant>
      <vt:variant>
        <vt:i4>5</vt:i4>
      </vt:variant>
      <vt:variant>
        <vt:lpwstr/>
      </vt:variant>
      <vt:variant>
        <vt:lpwstr>_Toc339289987</vt:lpwstr>
      </vt:variant>
      <vt:variant>
        <vt:i4>1507387</vt:i4>
      </vt:variant>
      <vt:variant>
        <vt:i4>77</vt:i4>
      </vt:variant>
      <vt:variant>
        <vt:i4>0</vt:i4>
      </vt:variant>
      <vt:variant>
        <vt:i4>5</vt:i4>
      </vt:variant>
      <vt:variant>
        <vt:lpwstr/>
      </vt:variant>
      <vt:variant>
        <vt:lpwstr>_Toc339289986</vt:lpwstr>
      </vt:variant>
      <vt:variant>
        <vt:i4>1507387</vt:i4>
      </vt:variant>
      <vt:variant>
        <vt:i4>71</vt:i4>
      </vt:variant>
      <vt:variant>
        <vt:i4>0</vt:i4>
      </vt:variant>
      <vt:variant>
        <vt:i4>5</vt:i4>
      </vt:variant>
      <vt:variant>
        <vt:lpwstr/>
      </vt:variant>
      <vt:variant>
        <vt:lpwstr>_Toc339289985</vt:lpwstr>
      </vt:variant>
      <vt:variant>
        <vt:i4>1507387</vt:i4>
      </vt:variant>
      <vt:variant>
        <vt:i4>65</vt:i4>
      </vt:variant>
      <vt:variant>
        <vt:i4>0</vt:i4>
      </vt:variant>
      <vt:variant>
        <vt:i4>5</vt:i4>
      </vt:variant>
      <vt:variant>
        <vt:lpwstr/>
      </vt:variant>
      <vt:variant>
        <vt:lpwstr>_Toc339289984</vt:lpwstr>
      </vt:variant>
      <vt:variant>
        <vt:i4>1507387</vt:i4>
      </vt:variant>
      <vt:variant>
        <vt:i4>59</vt:i4>
      </vt:variant>
      <vt:variant>
        <vt:i4>0</vt:i4>
      </vt:variant>
      <vt:variant>
        <vt:i4>5</vt:i4>
      </vt:variant>
      <vt:variant>
        <vt:lpwstr/>
      </vt:variant>
      <vt:variant>
        <vt:lpwstr>_Toc339289983</vt:lpwstr>
      </vt:variant>
      <vt:variant>
        <vt:i4>1507387</vt:i4>
      </vt:variant>
      <vt:variant>
        <vt:i4>53</vt:i4>
      </vt:variant>
      <vt:variant>
        <vt:i4>0</vt:i4>
      </vt:variant>
      <vt:variant>
        <vt:i4>5</vt:i4>
      </vt:variant>
      <vt:variant>
        <vt:lpwstr/>
      </vt:variant>
      <vt:variant>
        <vt:lpwstr>_Toc339289982</vt:lpwstr>
      </vt:variant>
      <vt:variant>
        <vt:i4>1507387</vt:i4>
      </vt:variant>
      <vt:variant>
        <vt:i4>47</vt:i4>
      </vt:variant>
      <vt:variant>
        <vt:i4>0</vt:i4>
      </vt:variant>
      <vt:variant>
        <vt:i4>5</vt:i4>
      </vt:variant>
      <vt:variant>
        <vt:lpwstr/>
      </vt:variant>
      <vt:variant>
        <vt:lpwstr>_Toc339289981</vt:lpwstr>
      </vt:variant>
      <vt:variant>
        <vt:i4>1507387</vt:i4>
      </vt:variant>
      <vt:variant>
        <vt:i4>41</vt:i4>
      </vt:variant>
      <vt:variant>
        <vt:i4>0</vt:i4>
      </vt:variant>
      <vt:variant>
        <vt:i4>5</vt:i4>
      </vt:variant>
      <vt:variant>
        <vt:lpwstr/>
      </vt:variant>
      <vt:variant>
        <vt:lpwstr>_Toc339289980</vt:lpwstr>
      </vt:variant>
      <vt:variant>
        <vt:i4>1572923</vt:i4>
      </vt:variant>
      <vt:variant>
        <vt:i4>35</vt:i4>
      </vt:variant>
      <vt:variant>
        <vt:i4>0</vt:i4>
      </vt:variant>
      <vt:variant>
        <vt:i4>5</vt:i4>
      </vt:variant>
      <vt:variant>
        <vt:lpwstr/>
      </vt:variant>
      <vt:variant>
        <vt:lpwstr>_Toc339289979</vt:lpwstr>
      </vt:variant>
      <vt:variant>
        <vt:i4>1572923</vt:i4>
      </vt:variant>
      <vt:variant>
        <vt:i4>29</vt:i4>
      </vt:variant>
      <vt:variant>
        <vt:i4>0</vt:i4>
      </vt:variant>
      <vt:variant>
        <vt:i4>5</vt:i4>
      </vt:variant>
      <vt:variant>
        <vt:lpwstr/>
      </vt:variant>
      <vt:variant>
        <vt:lpwstr>_Toc339289978</vt:lpwstr>
      </vt:variant>
      <vt:variant>
        <vt:i4>1572923</vt:i4>
      </vt:variant>
      <vt:variant>
        <vt:i4>23</vt:i4>
      </vt:variant>
      <vt:variant>
        <vt:i4>0</vt:i4>
      </vt:variant>
      <vt:variant>
        <vt:i4>5</vt:i4>
      </vt:variant>
      <vt:variant>
        <vt:lpwstr/>
      </vt:variant>
      <vt:variant>
        <vt:lpwstr>_Toc339289977</vt:lpwstr>
      </vt:variant>
      <vt:variant>
        <vt:i4>1572923</vt:i4>
      </vt:variant>
      <vt:variant>
        <vt:i4>17</vt:i4>
      </vt:variant>
      <vt:variant>
        <vt:i4>0</vt:i4>
      </vt:variant>
      <vt:variant>
        <vt:i4>5</vt:i4>
      </vt:variant>
      <vt:variant>
        <vt:lpwstr/>
      </vt:variant>
      <vt:variant>
        <vt:lpwstr>_Toc339289976</vt:lpwstr>
      </vt:variant>
      <vt:variant>
        <vt:i4>1572923</vt:i4>
      </vt:variant>
      <vt:variant>
        <vt:i4>11</vt:i4>
      </vt:variant>
      <vt:variant>
        <vt:i4>0</vt:i4>
      </vt:variant>
      <vt:variant>
        <vt:i4>5</vt:i4>
      </vt:variant>
      <vt:variant>
        <vt:lpwstr/>
      </vt:variant>
      <vt:variant>
        <vt:lpwstr>_Toc339289975</vt:lpwstr>
      </vt:variant>
      <vt:variant>
        <vt:i4>1572923</vt:i4>
      </vt:variant>
      <vt:variant>
        <vt:i4>5</vt:i4>
      </vt:variant>
      <vt:variant>
        <vt:i4>0</vt:i4>
      </vt:variant>
      <vt:variant>
        <vt:i4>5</vt:i4>
      </vt:variant>
      <vt:variant>
        <vt:lpwstr/>
      </vt:variant>
      <vt:variant>
        <vt:lpwstr>_Toc339289974</vt:lpwstr>
      </vt:variant>
      <vt:variant>
        <vt:i4>2555972</vt:i4>
      </vt:variant>
      <vt:variant>
        <vt:i4>0</vt:i4>
      </vt:variant>
      <vt:variant>
        <vt:i4>0</vt:i4>
      </vt:variant>
      <vt:variant>
        <vt:i4>5</vt:i4>
      </vt:variant>
      <vt:variant>
        <vt:lpwstr>mailto:AERInquiry@aer.gov.au</vt:lpwstr>
      </vt:variant>
      <vt:variant>
        <vt:lpwstr/>
      </vt:variant>
      <vt:variant>
        <vt:i4>6684728</vt:i4>
      </vt:variant>
      <vt:variant>
        <vt:i4>27</vt:i4>
      </vt:variant>
      <vt:variant>
        <vt:i4>0</vt:i4>
      </vt:variant>
      <vt:variant>
        <vt:i4>5</vt:i4>
      </vt:variant>
      <vt:variant>
        <vt:lpwstr>http://www.aer.gov.au/node/2291</vt:lpwstr>
      </vt:variant>
      <vt:variant>
        <vt:lpwstr/>
      </vt:variant>
      <vt:variant>
        <vt:i4>5963788</vt:i4>
      </vt:variant>
      <vt:variant>
        <vt:i4>24</vt:i4>
      </vt:variant>
      <vt:variant>
        <vt:i4>0</vt:i4>
      </vt:variant>
      <vt:variant>
        <vt:i4>5</vt:i4>
      </vt:variant>
      <vt:variant>
        <vt:lpwstr>http://www.aer.gov.au/node/15433</vt:lpwstr>
      </vt:variant>
      <vt:variant>
        <vt:lpwstr/>
      </vt:variant>
      <vt:variant>
        <vt:i4>7143487</vt:i4>
      </vt:variant>
      <vt:variant>
        <vt:i4>21</vt:i4>
      </vt:variant>
      <vt:variant>
        <vt:i4>0</vt:i4>
      </vt:variant>
      <vt:variant>
        <vt:i4>5</vt:i4>
      </vt:variant>
      <vt:variant>
        <vt:lpwstr>http://www.aer.gov.au/node/454</vt:lpwstr>
      </vt:variant>
      <vt:variant>
        <vt:lpwstr/>
      </vt:variant>
      <vt:variant>
        <vt:i4>6553659</vt:i4>
      </vt:variant>
      <vt:variant>
        <vt:i4>18</vt:i4>
      </vt:variant>
      <vt:variant>
        <vt:i4>0</vt:i4>
      </vt:variant>
      <vt:variant>
        <vt:i4>5</vt:i4>
      </vt:variant>
      <vt:variant>
        <vt:lpwstr>http://www.aer.gov.au/node/1182</vt:lpwstr>
      </vt:variant>
      <vt:variant>
        <vt:lpwstr/>
      </vt:variant>
      <vt:variant>
        <vt:i4>6225920</vt:i4>
      </vt:variant>
      <vt:variant>
        <vt:i4>15</vt:i4>
      </vt:variant>
      <vt:variant>
        <vt:i4>0</vt:i4>
      </vt:variant>
      <vt:variant>
        <vt:i4>5</vt:i4>
      </vt:variant>
      <vt:variant>
        <vt:lpwstr>http://www.aer.gov.au/node/12182</vt:lpwstr>
      </vt:variant>
      <vt:variant>
        <vt:lpwstr/>
      </vt:variant>
      <vt:variant>
        <vt:i4>6094849</vt:i4>
      </vt:variant>
      <vt:variant>
        <vt:i4>12</vt:i4>
      </vt:variant>
      <vt:variant>
        <vt:i4>0</vt:i4>
      </vt:variant>
      <vt:variant>
        <vt:i4>5</vt:i4>
      </vt:variant>
      <vt:variant>
        <vt:lpwstr>http://www.aer.gov.au/node/18233</vt:lpwstr>
      </vt:variant>
      <vt:variant>
        <vt:lpwstr/>
      </vt:variant>
      <vt:variant>
        <vt:i4>2555953</vt:i4>
      </vt:variant>
      <vt:variant>
        <vt:i4>9</vt:i4>
      </vt:variant>
      <vt:variant>
        <vt:i4>0</vt:i4>
      </vt:variant>
      <vt:variant>
        <vt:i4>5</vt:i4>
      </vt:variant>
      <vt:variant>
        <vt:lpwstr>http://www.aemo.com.au/Consultations/Gas-Consultations/STTM/STTM-Phase-2-review_Review-of-within_day-market</vt:lpwstr>
      </vt:variant>
      <vt:variant>
        <vt:lpwstr>purpose</vt:lpwstr>
      </vt:variant>
      <vt:variant>
        <vt:i4>786506</vt:i4>
      </vt:variant>
      <vt:variant>
        <vt:i4>6</vt:i4>
      </vt:variant>
      <vt:variant>
        <vt:i4>0</vt:i4>
      </vt:variant>
      <vt:variant>
        <vt:i4>5</vt:i4>
      </vt:variant>
      <vt:variant>
        <vt:lpwstr>http://www.aer.gov.au/sites/default/files/AER compliance and enforcement%C3%A2%E2%82%AC%E2%80%9Dstatement of approach %28December 2010%29.pdf</vt:lpwstr>
      </vt:variant>
      <vt:variant>
        <vt:lpwstr/>
      </vt:variant>
      <vt:variant>
        <vt:i4>6684729</vt:i4>
      </vt:variant>
      <vt:variant>
        <vt:i4>3</vt:i4>
      </vt:variant>
      <vt:variant>
        <vt:i4>0</vt:i4>
      </vt:variant>
      <vt:variant>
        <vt:i4>5</vt:i4>
      </vt:variant>
      <vt:variant>
        <vt:lpwstr>http://www.aer.gov.au/node/2391</vt:lpwstr>
      </vt:variant>
      <vt:variant>
        <vt:lpwstr/>
      </vt:variant>
      <vt:variant>
        <vt:i4>7143487</vt:i4>
      </vt:variant>
      <vt:variant>
        <vt:i4>0</vt:i4>
      </vt:variant>
      <vt:variant>
        <vt:i4>0</vt:i4>
      </vt:variant>
      <vt:variant>
        <vt:i4>5</vt:i4>
      </vt:variant>
      <vt:variant>
        <vt:lpwstr>http://www.aer.gov.au/node/454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Compliance Report - June 2013</dc:title>
  <dc:subject/>
  <dc:creator/>
  <cp:keywords/>
  <dc:description/>
  <cp:lastModifiedBy/>
  <cp:revision>1</cp:revision>
  <dcterms:created xsi:type="dcterms:W3CDTF">2014-05-09T03:49:00Z</dcterms:created>
  <dcterms:modified xsi:type="dcterms:W3CDTF">2014-05-09T03:49:00Z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Settings\jzito\Local Settings\Temporary Internet Files\Content.Outlook\PHF63GXD\Quarterly compliance report January - March 2014.DOCX</vt:lpwstr>
  </property>
</Properties>
</file>