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BC" w:rsidRPr="00191FF4" w:rsidRDefault="00F5665A" w:rsidP="00F56851">
      <w:pPr>
        <w:pStyle w:val="AERTitle2"/>
        <w:rPr>
          <w:b/>
          <w:szCs w:val="32"/>
        </w:rPr>
      </w:pPr>
      <w:r>
        <w:rPr>
          <w:b/>
          <w:noProof/>
          <w:szCs w:val="3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92" type="#_x0000_t75" alt="AER-final-orange" style="position:absolute;left:0;text-align:left;margin-left:-90.7pt;margin-top:-73.35pt;width:597.45pt;height:846pt;z-index:-251658752;visibility:visible">
            <v:imagedata r:id="rId9" o:title="AER-final-orange"/>
          </v:shape>
        </w:pict>
      </w:r>
    </w:p>
    <w:p w:rsidR="008B0C16" w:rsidRDefault="008B0C16" w:rsidP="00A052AB">
      <w:pPr>
        <w:pStyle w:val="AERTitle1"/>
      </w:pPr>
      <w:bookmarkStart w:id="0" w:name="OLE_LINK1"/>
      <w:bookmarkStart w:id="1" w:name="OLE_LINK2"/>
    </w:p>
    <w:p w:rsidR="008B0C16" w:rsidRDefault="008B0C16" w:rsidP="00A052AB">
      <w:pPr>
        <w:pStyle w:val="AERTitle1"/>
      </w:pPr>
    </w:p>
    <w:p w:rsidR="008B0C16" w:rsidRDefault="008B0C16" w:rsidP="00A052AB">
      <w:pPr>
        <w:pStyle w:val="AERTitle1"/>
      </w:pPr>
    </w:p>
    <w:p w:rsidR="00CA2A01" w:rsidRDefault="00CA2A01" w:rsidP="00A052AB">
      <w:pPr>
        <w:pStyle w:val="AERTitle1"/>
      </w:pPr>
    </w:p>
    <w:p w:rsidR="008B0C16" w:rsidRPr="00E0671E" w:rsidRDefault="00A44C20" w:rsidP="0018678D">
      <w:pPr>
        <w:pStyle w:val="AERTitle1"/>
      </w:pPr>
      <w:bookmarkStart w:id="2" w:name="OLE_LINK5"/>
      <w:bookmarkStart w:id="3" w:name="OLE_LINK12"/>
      <w:bookmarkStart w:id="4" w:name="OLE_LINK3"/>
      <w:bookmarkStart w:id="5" w:name="OLE_LINK4"/>
      <w:r w:rsidRPr="00E0671E">
        <w:t>Quarterly Compliance Report</w:t>
      </w:r>
      <w:r w:rsidR="008A20B0" w:rsidRPr="00E0671E">
        <w:t>:</w:t>
      </w:r>
    </w:p>
    <w:p w:rsidR="008A20B0" w:rsidRPr="00236801" w:rsidRDefault="008A20B0" w:rsidP="0018678D">
      <w:pPr>
        <w:pStyle w:val="AERTitle2"/>
        <w:spacing w:before="240"/>
        <w:rPr>
          <w:highlight w:val="yellow"/>
        </w:rPr>
      </w:pPr>
      <w:r w:rsidRPr="00E0671E">
        <w:t>National Electricity and Gas Laws</w:t>
      </w:r>
      <w:bookmarkEnd w:id="2"/>
      <w:bookmarkEnd w:id="3"/>
    </w:p>
    <w:bookmarkEnd w:id="4"/>
    <w:bookmarkEnd w:id="5"/>
    <w:p w:rsidR="008A20B0" w:rsidRPr="00236801" w:rsidRDefault="008A20B0" w:rsidP="00A052AB">
      <w:pPr>
        <w:pStyle w:val="AERTitle1"/>
        <w:rPr>
          <w:highlight w:val="yellow"/>
        </w:rPr>
      </w:pPr>
    </w:p>
    <w:p w:rsidR="000733BC" w:rsidRPr="00E0671E" w:rsidRDefault="00683D97" w:rsidP="007F510E">
      <w:pPr>
        <w:pStyle w:val="AERTitle2"/>
        <w:spacing w:before="600"/>
      </w:pPr>
      <w:r>
        <w:t>July</w:t>
      </w:r>
      <w:r w:rsidR="00236801" w:rsidRPr="00E0671E">
        <w:t xml:space="preserve"> </w:t>
      </w:r>
      <w:r w:rsidR="007725E6" w:rsidRPr="00E0671E">
        <w:t xml:space="preserve">– </w:t>
      </w:r>
      <w:r>
        <w:t>September</w:t>
      </w:r>
      <w:r w:rsidR="00236801" w:rsidRPr="00E0671E">
        <w:t xml:space="preserve"> </w:t>
      </w:r>
      <w:r w:rsidR="002003A5" w:rsidRPr="00E0671E">
        <w:t>201</w:t>
      </w:r>
      <w:r w:rsidR="00236801" w:rsidRPr="00E0671E">
        <w:t>3</w:t>
      </w:r>
    </w:p>
    <w:p w:rsidR="008B0C16" w:rsidRPr="00E0671E" w:rsidRDefault="008B0C16" w:rsidP="00A052AB">
      <w:pPr>
        <w:pStyle w:val="AERTitle1"/>
      </w:pPr>
    </w:p>
    <w:p w:rsidR="00C56995" w:rsidRPr="00E0671E" w:rsidRDefault="00C56995" w:rsidP="00A052AB">
      <w:pPr>
        <w:pStyle w:val="AERTitle1"/>
      </w:pPr>
    </w:p>
    <w:p w:rsidR="00C56995" w:rsidRPr="00E0671E" w:rsidRDefault="00C56995" w:rsidP="00A052AB">
      <w:pPr>
        <w:pStyle w:val="AERTitle1"/>
      </w:pPr>
    </w:p>
    <w:bookmarkEnd w:id="0"/>
    <w:bookmarkEnd w:id="1"/>
    <w:p w:rsidR="00636F32" w:rsidRDefault="00636F32" w:rsidP="00636F32">
      <w:pPr>
        <w:pStyle w:val="AERTitle2"/>
        <w:spacing w:before="1080" w:after="0"/>
      </w:pPr>
    </w:p>
    <w:p w:rsidR="000733BC" w:rsidRPr="00636F32" w:rsidRDefault="00A44C20" w:rsidP="007F510E">
      <w:pPr>
        <w:pStyle w:val="AERTitle2"/>
        <w:spacing w:before="1800"/>
        <w:rPr>
          <w:sz w:val="28"/>
          <w:szCs w:val="28"/>
        </w:rPr>
      </w:pPr>
      <w:r w:rsidRPr="00636F32">
        <w:rPr>
          <w:sz w:val="28"/>
          <w:szCs w:val="28"/>
        </w:rPr>
        <w:t xml:space="preserve">Published </w:t>
      </w:r>
      <w:r w:rsidR="00683D97" w:rsidRPr="00636F32">
        <w:rPr>
          <w:sz w:val="28"/>
          <w:szCs w:val="28"/>
        </w:rPr>
        <w:t>October</w:t>
      </w:r>
      <w:r w:rsidR="00CB1599" w:rsidRPr="00636F32">
        <w:rPr>
          <w:sz w:val="28"/>
          <w:szCs w:val="28"/>
        </w:rPr>
        <w:t xml:space="preserve"> </w:t>
      </w:r>
      <w:r w:rsidR="007725E6" w:rsidRPr="00636F32">
        <w:rPr>
          <w:sz w:val="28"/>
          <w:szCs w:val="28"/>
        </w:rPr>
        <w:t>2013</w:t>
      </w:r>
    </w:p>
    <w:p w:rsidR="000733BC" w:rsidRPr="00F6235D" w:rsidRDefault="000733BC" w:rsidP="004D044A">
      <w:pPr>
        <w:pStyle w:val="AERbodytext"/>
      </w:pPr>
      <w:r w:rsidRPr="00F6235D">
        <w:lastRenderedPageBreak/>
        <w:t xml:space="preserve"> </w:t>
      </w:r>
    </w:p>
    <w:p w:rsidR="00DC724B" w:rsidRDefault="00DC724B" w:rsidP="004D044A">
      <w:pPr>
        <w:pStyle w:val="TOC1"/>
        <w:sectPr w:rsidR="00DC724B" w:rsidSect="000D2D9C">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09" w:footer="709" w:gutter="0"/>
          <w:pgNumType w:fmt="lowerRoman" w:start="1"/>
          <w:cols w:space="708"/>
          <w:docGrid w:linePitch="360"/>
        </w:sectPr>
      </w:pPr>
    </w:p>
    <w:p w:rsidR="008513E8" w:rsidRDefault="008513E8" w:rsidP="004D044A">
      <w:pPr>
        <w:pStyle w:val="AERbodytext"/>
      </w:pPr>
    </w:p>
    <w:p w:rsidR="00AA1DED" w:rsidRPr="00E0671E" w:rsidRDefault="00AA1DED" w:rsidP="00963CA2">
      <w:pPr>
        <w:pStyle w:val="AERbodytext"/>
        <w:rPr>
          <w:b/>
        </w:rPr>
      </w:pPr>
      <w:r w:rsidRPr="00E0671E">
        <w:rPr>
          <w:b/>
        </w:rPr>
        <w:t>© Commonwealth of Australia 201</w:t>
      </w:r>
      <w:r w:rsidR="007725E6" w:rsidRPr="00E0671E">
        <w:rPr>
          <w:b/>
        </w:rPr>
        <w:t>3</w:t>
      </w:r>
    </w:p>
    <w:p w:rsidR="00AA1DED" w:rsidRPr="00E0671E" w:rsidRDefault="00AA1DED" w:rsidP="00AA1DED">
      <w:pPr>
        <w:pStyle w:val="AERbodytext"/>
      </w:pPr>
      <w:r w:rsidRPr="00E0671E">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AA1DED" w:rsidRPr="00E0671E" w:rsidRDefault="00AA1DED" w:rsidP="00AA1DED">
      <w:pPr>
        <w:pStyle w:val="AERbodytext"/>
      </w:pPr>
      <w:r w:rsidRPr="00E0671E">
        <w:t>Inquiries about this report should be addressed to:</w:t>
      </w:r>
    </w:p>
    <w:p w:rsidR="00AA1DED" w:rsidRPr="00E0671E" w:rsidRDefault="00AA1DED" w:rsidP="00AA1DED">
      <w:pPr>
        <w:pStyle w:val="AERbodytext"/>
        <w:spacing w:after="0"/>
      </w:pPr>
      <w:r w:rsidRPr="00E0671E">
        <w:t>Australian Energy Regulator</w:t>
      </w:r>
    </w:p>
    <w:p w:rsidR="00AA1DED" w:rsidRPr="00E0671E" w:rsidRDefault="00AA1DED" w:rsidP="00AA1DED">
      <w:pPr>
        <w:pStyle w:val="AERbodytext"/>
        <w:spacing w:after="0"/>
      </w:pPr>
      <w:r w:rsidRPr="00E0671E">
        <w:t>GPO Box 520</w:t>
      </w:r>
    </w:p>
    <w:p w:rsidR="00AA1DED" w:rsidRPr="00E0671E" w:rsidRDefault="00AA1DED" w:rsidP="00AA1DED">
      <w:pPr>
        <w:pStyle w:val="AERbodytext"/>
        <w:spacing w:after="0"/>
      </w:pPr>
      <w:proofErr w:type="gramStart"/>
      <w:r w:rsidRPr="00E0671E">
        <w:t>Melbourne  Vic</w:t>
      </w:r>
      <w:proofErr w:type="gramEnd"/>
      <w:r w:rsidRPr="00E0671E">
        <w:t xml:space="preserve">  3001</w:t>
      </w:r>
    </w:p>
    <w:p w:rsidR="00AA1DED" w:rsidRPr="00E0671E" w:rsidRDefault="00AA1DED" w:rsidP="00AA1DED">
      <w:pPr>
        <w:pStyle w:val="AERbodytext"/>
        <w:spacing w:after="0"/>
      </w:pPr>
      <w:r w:rsidRPr="00E0671E">
        <w:t>Tel: (03) 9290 1444</w:t>
      </w:r>
    </w:p>
    <w:p w:rsidR="00AA1DED" w:rsidRPr="00E0671E" w:rsidRDefault="00AA1DED" w:rsidP="00AA1DED">
      <w:pPr>
        <w:pStyle w:val="AERbodytext"/>
        <w:spacing w:after="0"/>
      </w:pPr>
      <w:r w:rsidRPr="00E0671E">
        <w:t>Fax: (03) 9290 1457</w:t>
      </w:r>
    </w:p>
    <w:p w:rsidR="00AA1DED" w:rsidRPr="00E0671E" w:rsidRDefault="00AA1DED" w:rsidP="00AA1DED">
      <w:pPr>
        <w:pStyle w:val="AERbodytext"/>
      </w:pPr>
      <w:r w:rsidRPr="00E0671E">
        <w:t xml:space="preserve">Email: </w:t>
      </w:r>
      <w:hyperlink r:id="rId16" w:history="1">
        <w:r w:rsidRPr="00E0671E">
          <w:rPr>
            <w:rStyle w:val="Hyperlink"/>
          </w:rPr>
          <w:t>AERInquiry@aer.gov.au</w:t>
        </w:r>
      </w:hyperlink>
    </w:p>
    <w:p w:rsidR="00AA1DED" w:rsidRPr="00E0671E" w:rsidRDefault="00AA1DED" w:rsidP="00AA1DED">
      <w:pPr>
        <w:pStyle w:val="AERbodytext"/>
        <w:rPr>
          <w:lang w:eastAsia="en-AU"/>
        </w:rPr>
      </w:pPr>
    </w:p>
    <w:p w:rsidR="009710F3" w:rsidRPr="0020321C" w:rsidRDefault="009710F3" w:rsidP="0020321C">
      <w:pPr>
        <w:pStyle w:val="AERbodytext"/>
        <w:jc w:val="left"/>
        <w:rPr>
          <w:rFonts w:cs="Gautami"/>
        </w:rPr>
      </w:pPr>
      <w:r w:rsidRPr="00E0671E">
        <w:t xml:space="preserve">AER reference:   </w:t>
      </w:r>
      <w:r w:rsidR="0031180C" w:rsidRPr="00E0671E">
        <w:t>5</w:t>
      </w:r>
      <w:r w:rsidR="00683D97">
        <w:t>2257</w:t>
      </w:r>
      <w:r w:rsidR="007725E6" w:rsidRPr="00E0671E">
        <w:t>-</w:t>
      </w:r>
      <w:proofErr w:type="spellStart"/>
      <w:r w:rsidR="00E16A37" w:rsidRPr="00E16A37">
        <w:t>D13</w:t>
      </w:r>
      <w:proofErr w:type="spellEnd"/>
      <w:r w:rsidR="00E16A37" w:rsidRPr="00E16A37">
        <w:t>/</w:t>
      </w:r>
      <w:r w:rsidR="00683D97">
        <w:t>136953</w:t>
      </w:r>
    </w:p>
    <w:p w:rsidR="000733BC" w:rsidRPr="00F6235D" w:rsidRDefault="000733BC" w:rsidP="004D044A">
      <w:pPr>
        <w:pStyle w:val="AERbodytext"/>
      </w:pPr>
    </w:p>
    <w:p w:rsidR="000733BC" w:rsidRPr="00F6235D" w:rsidRDefault="000733BC" w:rsidP="004D044A">
      <w:pPr>
        <w:pStyle w:val="TOC1"/>
      </w:pPr>
    </w:p>
    <w:p w:rsidR="000733BC" w:rsidRDefault="000733BC" w:rsidP="00E86435">
      <w:pPr>
        <w:pStyle w:val="AERbodytext"/>
      </w:pPr>
      <w:bookmarkStart w:id="6" w:name="_Toc317520245"/>
    </w:p>
    <w:p w:rsidR="00AC0EF2" w:rsidRDefault="000733BC" w:rsidP="00AC0EF2">
      <w:pPr>
        <w:pStyle w:val="UnnumberedHeading"/>
      </w:pPr>
      <w:bookmarkStart w:id="7" w:name="_Toc348356878"/>
      <w:bookmarkStart w:id="8" w:name="_Toc348436394"/>
      <w:bookmarkStart w:id="9" w:name="_Toc349127069"/>
      <w:bookmarkStart w:id="10" w:name="_Toc349571708"/>
      <w:bookmarkStart w:id="11" w:name="_Toc352776003"/>
      <w:bookmarkStart w:id="12" w:name="_Toc353291604"/>
      <w:bookmarkStart w:id="13" w:name="_Toc353448647"/>
      <w:bookmarkStart w:id="14" w:name="_Toc354138172"/>
      <w:bookmarkStart w:id="15" w:name="_Toc354149233"/>
      <w:bookmarkStart w:id="16" w:name="_Toc362268658"/>
      <w:bookmarkStart w:id="17" w:name="_Toc369252562"/>
      <w:bookmarkStart w:id="18" w:name="_Toc370218451"/>
      <w:r w:rsidRPr="00B011D7">
        <w:lastRenderedPageBreak/>
        <w:t>Contents</w:t>
      </w:r>
      <w:bookmarkEnd w:id="6"/>
      <w:bookmarkEnd w:id="7"/>
      <w:bookmarkEnd w:id="8"/>
      <w:bookmarkEnd w:id="9"/>
      <w:bookmarkEnd w:id="10"/>
      <w:bookmarkEnd w:id="11"/>
      <w:bookmarkEnd w:id="12"/>
      <w:bookmarkEnd w:id="13"/>
      <w:bookmarkEnd w:id="14"/>
      <w:bookmarkEnd w:id="15"/>
      <w:bookmarkEnd w:id="16"/>
      <w:bookmarkEnd w:id="17"/>
      <w:bookmarkEnd w:id="18"/>
    </w:p>
    <w:bookmarkStart w:id="19" w:name="_Toc337553424"/>
    <w:p w:rsidR="00DC0235" w:rsidRDefault="00345E1B">
      <w:pPr>
        <w:pStyle w:val="TOC1"/>
        <w:rPr>
          <w:rFonts w:asciiTheme="minorHAnsi" w:eastAsiaTheme="minorEastAsia" w:hAnsiTheme="minorHAnsi" w:cstheme="minorBidi"/>
          <w:b w:val="0"/>
          <w:noProof/>
          <w:lang w:eastAsia="en-AU"/>
        </w:rPr>
      </w:pPr>
      <w:r>
        <w:fldChar w:fldCharType="begin"/>
      </w:r>
      <w:r w:rsidR="002C7158">
        <w:instrText xml:space="preserve"> TOC \h \z \t "AER heading 2,2,AER unnumbered heading,1,AER confidentialo appendix heading 1,1,Unnumbered Heading,1,QCR unnumbered unbold heading,2,QCR Heading 1,1" </w:instrText>
      </w:r>
      <w:r>
        <w:fldChar w:fldCharType="separate"/>
      </w:r>
      <w:hyperlink w:anchor="_Toc370218451" w:history="1">
        <w:r w:rsidR="00DC0235" w:rsidRPr="00436252">
          <w:rPr>
            <w:rStyle w:val="Hyperlink"/>
            <w:noProof/>
          </w:rPr>
          <w:t>Contents</w:t>
        </w:r>
        <w:r w:rsidR="00DC0235">
          <w:rPr>
            <w:noProof/>
            <w:webHidden/>
          </w:rPr>
          <w:tab/>
        </w:r>
        <w:r w:rsidR="00DC0235">
          <w:rPr>
            <w:noProof/>
            <w:webHidden/>
          </w:rPr>
          <w:fldChar w:fldCharType="begin"/>
        </w:r>
        <w:r w:rsidR="00DC0235">
          <w:rPr>
            <w:noProof/>
            <w:webHidden/>
          </w:rPr>
          <w:instrText xml:space="preserve"> PAGEREF _Toc370218451 \h </w:instrText>
        </w:r>
        <w:r w:rsidR="00DC0235">
          <w:rPr>
            <w:noProof/>
            <w:webHidden/>
          </w:rPr>
        </w:r>
        <w:r w:rsidR="00DC0235">
          <w:rPr>
            <w:noProof/>
            <w:webHidden/>
          </w:rPr>
          <w:fldChar w:fldCharType="separate"/>
        </w:r>
        <w:r w:rsidR="00F5665A">
          <w:rPr>
            <w:noProof/>
            <w:webHidden/>
          </w:rPr>
          <w:t>3</w:t>
        </w:r>
        <w:r w:rsidR="00DC0235">
          <w:rPr>
            <w:noProof/>
            <w:webHidden/>
          </w:rPr>
          <w:fldChar w:fldCharType="end"/>
        </w:r>
      </w:hyperlink>
    </w:p>
    <w:p w:rsidR="00DC0235" w:rsidRDefault="00F5665A">
      <w:pPr>
        <w:pStyle w:val="TOC1"/>
        <w:rPr>
          <w:rFonts w:asciiTheme="minorHAnsi" w:eastAsiaTheme="minorEastAsia" w:hAnsiTheme="minorHAnsi" w:cstheme="minorBidi"/>
          <w:b w:val="0"/>
          <w:noProof/>
          <w:lang w:eastAsia="en-AU"/>
        </w:rPr>
      </w:pPr>
      <w:hyperlink w:anchor="_Toc370218452" w:history="1">
        <w:r w:rsidR="00DC0235" w:rsidRPr="00436252">
          <w:rPr>
            <w:rStyle w:val="Hyperlink"/>
            <w:noProof/>
          </w:rPr>
          <w:t>Executive summary</w:t>
        </w:r>
        <w:r w:rsidR="00DC0235">
          <w:rPr>
            <w:noProof/>
            <w:webHidden/>
          </w:rPr>
          <w:tab/>
        </w:r>
        <w:r w:rsidR="00DC0235">
          <w:rPr>
            <w:noProof/>
            <w:webHidden/>
          </w:rPr>
          <w:fldChar w:fldCharType="begin"/>
        </w:r>
        <w:r w:rsidR="00DC0235">
          <w:rPr>
            <w:noProof/>
            <w:webHidden/>
          </w:rPr>
          <w:instrText xml:space="preserve"> PAGEREF _Toc370218452 \h </w:instrText>
        </w:r>
        <w:r w:rsidR="00DC0235">
          <w:rPr>
            <w:noProof/>
            <w:webHidden/>
          </w:rPr>
        </w:r>
        <w:r w:rsidR="00DC0235">
          <w:rPr>
            <w:noProof/>
            <w:webHidden/>
          </w:rPr>
          <w:fldChar w:fldCharType="separate"/>
        </w:r>
        <w:r>
          <w:rPr>
            <w:noProof/>
            <w:webHidden/>
          </w:rPr>
          <w:t>4</w:t>
        </w:r>
        <w:r w:rsidR="00DC0235">
          <w:rPr>
            <w:noProof/>
            <w:webHidden/>
          </w:rPr>
          <w:fldChar w:fldCharType="end"/>
        </w:r>
      </w:hyperlink>
    </w:p>
    <w:p w:rsidR="00DC0235" w:rsidRDefault="00F5665A">
      <w:pPr>
        <w:pStyle w:val="TOC1"/>
        <w:rPr>
          <w:rFonts w:asciiTheme="minorHAnsi" w:eastAsiaTheme="minorEastAsia" w:hAnsiTheme="minorHAnsi" w:cstheme="minorBidi"/>
          <w:b w:val="0"/>
          <w:noProof/>
          <w:lang w:eastAsia="en-AU"/>
        </w:rPr>
      </w:pPr>
      <w:hyperlink w:anchor="_Toc370218453" w:history="1">
        <w:r w:rsidR="00DC0235" w:rsidRPr="00436252">
          <w:rPr>
            <w:rStyle w:val="Hyperlink"/>
            <w:noProof/>
          </w:rPr>
          <w:t>Background</w:t>
        </w:r>
        <w:r w:rsidR="00DC0235">
          <w:rPr>
            <w:noProof/>
            <w:webHidden/>
          </w:rPr>
          <w:tab/>
        </w:r>
        <w:r w:rsidR="00DC0235">
          <w:rPr>
            <w:noProof/>
            <w:webHidden/>
          </w:rPr>
          <w:fldChar w:fldCharType="begin"/>
        </w:r>
        <w:r w:rsidR="00DC0235">
          <w:rPr>
            <w:noProof/>
            <w:webHidden/>
          </w:rPr>
          <w:instrText xml:space="preserve"> PAGEREF _Toc370218453 \h </w:instrText>
        </w:r>
        <w:r w:rsidR="00DC0235">
          <w:rPr>
            <w:noProof/>
            <w:webHidden/>
          </w:rPr>
        </w:r>
        <w:r w:rsidR="00DC0235">
          <w:rPr>
            <w:noProof/>
            <w:webHidden/>
          </w:rPr>
          <w:fldChar w:fldCharType="separate"/>
        </w:r>
        <w:r>
          <w:rPr>
            <w:noProof/>
            <w:webHidden/>
          </w:rPr>
          <w:t>5</w:t>
        </w:r>
        <w:r w:rsidR="00DC0235">
          <w:rPr>
            <w:noProof/>
            <w:webHidden/>
          </w:rPr>
          <w:fldChar w:fldCharType="end"/>
        </w:r>
      </w:hyperlink>
    </w:p>
    <w:p w:rsidR="00DC0235" w:rsidRDefault="00F5665A">
      <w:pPr>
        <w:pStyle w:val="TOC1"/>
        <w:rPr>
          <w:rFonts w:asciiTheme="minorHAnsi" w:eastAsiaTheme="minorEastAsia" w:hAnsiTheme="minorHAnsi" w:cstheme="minorBidi"/>
          <w:b w:val="0"/>
          <w:noProof/>
          <w:lang w:eastAsia="en-AU"/>
        </w:rPr>
      </w:pPr>
      <w:hyperlink w:anchor="_Toc370218454" w:history="1">
        <w:r w:rsidR="00DC0235" w:rsidRPr="00436252">
          <w:rPr>
            <w:rStyle w:val="Hyperlink"/>
            <w:noProof/>
          </w:rPr>
          <w:t>1</w:t>
        </w:r>
        <w:r w:rsidR="00DC0235">
          <w:rPr>
            <w:rFonts w:asciiTheme="minorHAnsi" w:eastAsiaTheme="minorEastAsia" w:hAnsiTheme="minorHAnsi" w:cstheme="minorBidi"/>
            <w:b w:val="0"/>
            <w:noProof/>
            <w:lang w:eastAsia="en-AU"/>
          </w:rPr>
          <w:tab/>
        </w:r>
        <w:r w:rsidR="00DC0235" w:rsidRPr="00436252">
          <w:rPr>
            <w:rStyle w:val="Hyperlink"/>
            <w:noProof/>
          </w:rPr>
          <w:t>Gas</w:t>
        </w:r>
        <w:r w:rsidR="00DC0235">
          <w:rPr>
            <w:noProof/>
            <w:webHidden/>
          </w:rPr>
          <w:tab/>
        </w:r>
        <w:r w:rsidR="00DC0235">
          <w:rPr>
            <w:noProof/>
            <w:webHidden/>
          </w:rPr>
          <w:fldChar w:fldCharType="begin"/>
        </w:r>
        <w:r w:rsidR="00DC0235">
          <w:rPr>
            <w:noProof/>
            <w:webHidden/>
          </w:rPr>
          <w:instrText xml:space="preserve"> PAGEREF _Toc370218454 \h </w:instrText>
        </w:r>
        <w:r w:rsidR="00DC0235">
          <w:rPr>
            <w:noProof/>
            <w:webHidden/>
          </w:rPr>
        </w:r>
        <w:r w:rsidR="00DC0235">
          <w:rPr>
            <w:noProof/>
            <w:webHidden/>
          </w:rPr>
          <w:fldChar w:fldCharType="separate"/>
        </w:r>
        <w:r>
          <w:rPr>
            <w:noProof/>
            <w:webHidden/>
          </w:rPr>
          <w:t>6</w:t>
        </w:r>
        <w:r w:rsidR="00DC0235">
          <w:rPr>
            <w:noProof/>
            <w:webHidden/>
          </w:rPr>
          <w:fldChar w:fldCharType="end"/>
        </w:r>
      </w:hyperlink>
    </w:p>
    <w:p w:rsidR="00DC0235" w:rsidRPr="00DC0235" w:rsidRDefault="00F5665A">
      <w:pPr>
        <w:pStyle w:val="TOC2"/>
        <w:rPr>
          <w:rStyle w:val="Hyperlink"/>
          <w:noProof/>
          <w:color w:val="auto"/>
        </w:rPr>
      </w:pPr>
      <w:hyperlink w:anchor="_Toc370218455" w:history="1">
        <w:r w:rsidR="00DC0235" w:rsidRPr="00DC0235">
          <w:rPr>
            <w:rStyle w:val="Hyperlink"/>
            <w:i/>
            <w:noProof/>
          </w:rPr>
          <w:t>Short Term Trading Market</w:t>
        </w:r>
        <w:r w:rsidR="00DC0235">
          <w:rPr>
            <w:noProof/>
            <w:webHidden/>
          </w:rPr>
          <w:tab/>
        </w:r>
        <w:r w:rsidR="00DC0235">
          <w:rPr>
            <w:noProof/>
            <w:webHidden/>
          </w:rPr>
          <w:fldChar w:fldCharType="begin"/>
        </w:r>
        <w:r w:rsidR="00DC0235">
          <w:rPr>
            <w:noProof/>
            <w:webHidden/>
          </w:rPr>
          <w:instrText xml:space="preserve"> PAGEREF _Toc370218455 \h </w:instrText>
        </w:r>
        <w:r w:rsidR="00DC0235">
          <w:rPr>
            <w:noProof/>
            <w:webHidden/>
          </w:rPr>
        </w:r>
        <w:r w:rsidR="00DC0235">
          <w:rPr>
            <w:noProof/>
            <w:webHidden/>
          </w:rPr>
          <w:fldChar w:fldCharType="separate"/>
        </w:r>
        <w:r>
          <w:rPr>
            <w:noProof/>
            <w:webHidden/>
          </w:rPr>
          <w:t>6</w:t>
        </w:r>
        <w:r w:rsidR="00DC0235">
          <w:rPr>
            <w:noProof/>
            <w:webHidden/>
          </w:rPr>
          <w:fldChar w:fldCharType="end"/>
        </w:r>
      </w:hyperlink>
    </w:p>
    <w:p w:rsidR="00DC0235" w:rsidRPr="00DC0235" w:rsidRDefault="00DC0235" w:rsidP="00DC0235"/>
    <w:p w:rsidR="00DC0235" w:rsidRPr="00DC0235" w:rsidRDefault="00F5665A" w:rsidP="00DC0235">
      <w:pPr>
        <w:pStyle w:val="TOC2"/>
        <w:rPr>
          <w:rFonts w:ascii="Gautami" w:hAnsi="Gautami"/>
          <w:noProof/>
          <w:u w:val="single"/>
        </w:rPr>
      </w:pPr>
      <w:hyperlink w:anchor="_Toc370218456" w:history="1">
        <w:r w:rsidR="00DC0235" w:rsidRPr="00DC0235">
          <w:rPr>
            <w:rStyle w:val="Hyperlink"/>
            <w:noProof/>
            <w:color w:val="auto"/>
          </w:rPr>
          <w:t>1.1</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Capacity and allocation data quality</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_Toc370218456 \h </w:instrText>
        </w:r>
        <w:r w:rsidR="00DC0235" w:rsidRPr="00DC0235">
          <w:rPr>
            <w:noProof/>
            <w:webHidden/>
          </w:rPr>
        </w:r>
        <w:r w:rsidR="00DC0235" w:rsidRPr="00DC0235">
          <w:rPr>
            <w:noProof/>
            <w:webHidden/>
          </w:rPr>
          <w:fldChar w:fldCharType="separate"/>
        </w:r>
        <w:r>
          <w:rPr>
            <w:noProof/>
            <w:webHidden/>
          </w:rPr>
          <w:t>6</w:t>
        </w:r>
        <w:r w:rsidR="00DC0235" w:rsidRPr="00DC0235">
          <w:rPr>
            <w:noProof/>
            <w:webHidden/>
          </w:rPr>
          <w:fldChar w:fldCharType="end"/>
        </w:r>
      </w:hyperlink>
    </w:p>
    <w:p w:rsidR="00DC0235" w:rsidRPr="00DC0235" w:rsidRDefault="00F5665A">
      <w:pPr>
        <w:pStyle w:val="TOC2"/>
        <w:rPr>
          <w:rFonts w:asciiTheme="minorHAnsi" w:eastAsiaTheme="minorEastAsia" w:hAnsiTheme="minorHAnsi" w:cstheme="minorBidi"/>
          <w:noProof/>
          <w:lang w:eastAsia="en-AU"/>
        </w:rPr>
      </w:pPr>
      <w:hyperlink w:anchor="_Toc370218457" w:history="1">
        <w:r w:rsidR="00DC0235" w:rsidRPr="00DC0235">
          <w:rPr>
            <w:rStyle w:val="Hyperlink"/>
            <w:noProof/>
            <w:color w:val="auto"/>
          </w:rPr>
          <w:t>1.2</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Epic Energy</w:t>
        </w:r>
        <w:r w:rsidR="00DC0235" w:rsidRPr="00DC0235">
          <w:rPr>
            <w:rStyle w:val="Hyperlink"/>
            <w:rFonts w:cs="Gautami"/>
            <w:noProof/>
            <w:color w:val="auto"/>
          </w:rPr>
          <w:t>—incorrect, missing and late STTM data</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_Toc370218457 \h </w:instrText>
        </w:r>
        <w:r w:rsidR="00DC0235" w:rsidRPr="00DC0235">
          <w:rPr>
            <w:noProof/>
            <w:webHidden/>
          </w:rPr>
        </w:r>
        <w:r w:rsidR="00DC0235" w:rsidRPr="00DC0235">
          <w:rPr>
            <w:noProof/>
            <w:webHidden/>
          </w:rPr>
          <w:fldChar w:fldCharType="separate"/>
        </w:r>
        <w:r>
          <w:rPr>
            <w:noProof/>
            <w:webHidden/>
          </w:rPr>
          <w:t>7</w:t>
        </w:r>
        <w:r w:rsidR="00DC0235" w:rsidRPr="00DC0235">
          <w:rPr>
            <w:noProof/>
            <w:webHidden/>
          </w:rPr>
          <w:fldChar w:fldCharType="end"/>
        </w:r>
      </w:hyperlink>
    </w:p>
    <w:p w:rsidR="00DC0235" w:rsidRPr="00DC0235" w:rsidRDefault="00F5665A">
      <w:pPr>
        <w:pStyle w:val="TOC2"/>
        <w:rPr>
          <w:rFonts w:asciiTheme="minorHAnsi" w:eastAsiaTheme="minorEastAsia" w:hAnsiTheme="minorHAnsi" w:cstheme="minorBidi"/>
          <w:noProof/>
          <w:lang w:eastAsia="en-AU"/>
        </w:rPr>
      </w:pPr>
      <w:hyperlink w:anchor="_Toc370218458" w:history="1">
        <w:r w:rsidR="00DC0235" w:rsidRPr="00DC0235">
          <w:rPr>
            <w:rStyle w:val="Hyperlink"/>
            <w:noProof/>
            <w:color w:val="auto"/>
          </w:rPr>
          <w:t>1.3</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Jemena EGP</w:t>
        </w:r>
        <w:r w:rsidR="00DC0235" w:rsidRPr="00DC0235">
          <w:rPr>
            <w:rStyle w:val="Hyperlink"/>
            <w:rFonts w:cs="Gautami"/>
            <w:noProof/>
            <w:color w:val="auto"/>
          </w:rPr>
          <w:t>—</w:t>
        </w:r>
        <w:r w:rsidR="00DC0235" w:rsidRPr="00DC0235">
          <w:rPr>
            <w:rStyle w:val="Hyperlink"/>
            <w:noProof/>
            <w:color w:val="auto"/>
          </w:rPr>
          <w:t>late allocation and capacity data</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_Toc370218458 \h </w:instrText>
        </w:r>
        <w:r w:rsidR="00DC0235" w:rsidRPr="00DC0235">
          <w:rPr>
            <w:noProof/>
            <w:webHidden/>
          </w:rPr>
        </w:r>
        <w:r w:rsidR="00DC0235" w:rsidRPr="00DC0235">
          <w:rPr>
            <w:noProof/>
            <w:webHidden/>
          </w:rPr>
          <w:fldChar w:fldCharType="separate"/>
        </w:r>
        <w:r>
          <w:rPr>
            <w:noProof/>
            <w:webHidden/>
          </w:rPr>
          <w:t>8</w:t>
        </w:r>
        <w:r w:rsidR="00DC0235" w:rsidRPr="00DC0235">
          <w:rPr>
            <w:noProof/>
            <w:webHidden/>
          </w:rPr>
          <w:fldChar w:fldCharType="end"/>
        </w:r>
      </w:hyperlink>
    </w:p>
    <w:p w:rsidR="00DC0235" w:rsidRPr="00DC0235" w:rsidRDefault="00F5665A">
      <w:pPr>
        <w:pStyle w:val="TOC2"/>
        <w:rPr>
          <w:rFonts w:asciiTheme="minorHAnsi" w:eastAsiaTheme="minorEastAsia" w:hAnsiTheme="minorHAnsi" w:cstheme="minorBidi"/>
          <w:noProof/>
          <w:lang w:eastAsia="en-AU"/>
        </w:rPr>
      </w:pPr>
      <w:hyperlink w:anchor="_Toc370218459" w:history="1">
        <w:r w:rsidR="00DC0235" w:rsidRPr="00DC0235">
          <w:rPr>
            <w:rStyle w:val="Hyperlink"/>
            <w:noProof/>
            <w:color w:val="auto"/>
          </w:rPr>
          <w:t>1.4</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AGL capacity error for Camden</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_Toc370218459 \h </w:instrText>
        </w:r>
        <w:r w:rsidR="00DC0235" w:rsidRPr="00DC0235">
          <w:rPr>
            <w:noProof/>
            <w:webHidden/>
          </w:rPr>
        </w:r>
        <w:r w:rsidR="00DC0235" w:rsidRPr="00DC0235">
          <w:rPr>
            <w:noProof/>
            <w:webHidden/>
          </w:rPr>
          <w:fldChar w:fldCharType="separate"/>
        </w:r>
        <w:r>
          <w:rPr>
            <w:noProof/>
            <w:webHidden/>
          </w:rPr>
          <w:t>8</w:t>
        </w:r>
        <w:r w:rsidR="00DC0235" w:rsidRPr="00DC0235">
          <w:rPr>
            <w:noProof/>
            <w:webHidden/>
          </w:rPr>
          <w:fldChar w:fldCharType="end"/>
        </w:r>
      </w:hyperlink>
    </w:p>
    <w:p w:rsidR="00DC0235" w:rsidRPr="00DC0235" w:rsidRDefault="00F5665A">
      <w:pPr>
        <w:pStyle w:val="TOC2"/>
        <w:rPr>
          <w:rFonts w:asciiTheme="minorHAnsi" w:eastAsiaTheme="minorEastAsia" w:hAnsiTheme="minorHAnsi" w:cstheme="minorBidi"/>
          <w:noProof/>
          <w:lang w:eastAsia="en-AU"/>
        </w:rPr>
      </w:pPr>
      <w:hyperlink w:anchor="_Toc370218460" w:history="1">
        <w:r w:rsidR="00DC0235" w:rsidRPr="00DC0235">
          <w:rPr>
            <w:rStyle w:val="Hyperlink"/>
            <w:noProof/>
            <w:color w:val="auto"/>
          </w:rPr>
          <w:t>1.5</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AEMO administration of the Sydney hub price</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_Toc370218460 \h </w:instrText>
        </w:r>
        <w:r w:rsidR="00DC0235" w:rsidRPr="00DC0235">
          <w:rPr>
            <w:noProof/>
            <w:webHidden/>
          </w:rPr>
        </w:r>
        <w:r w:rsidR="00DC0235" w:rsidRPr="00DC0235">
          <w:rPr>
            <w:noProof/>
            <w:webHidden/>
          </w:rPr>
          <w:fldChar w:fldCharType="separate"/>
        </w:r>
        <w:r>
          <w:rPr>
            <w:noProof/>
            <w:webHidden/>
          </w:rPr>
          <w:t>8</w:t>
        </w:r>
        <w:r w:rsidR="00DC0235" w:rsidRPr="00DC0235">
          <w:rPr>
            <w:noProof/>
            <w:webHidden/>
          </w:rPr>
          <w:fldChar w:fldCharType="end"/>
        </w:r>
      </w:hyperlink>
    </w:p>
    <w:p w:rsidR="00DC0235" w:rsidRPr="00DC0235" w:rsidRDefault="00F5665A">
      <w:pPr>
        <w:pStyle w:val="TOC2"/>
        <w:rPr>
          <w:rFonts w:asciiTheme="minorHAnsi" w:eastAsiaTheme="minorEastAsia" w:hAnsiTheme="minorHAnsi" w:cstheme="minorBidi"/>
          <w:noProof/>
          <w:lang w:eastAsia="en-AU"/>
        </w:rPr>
      </w:pPr>
      <w:hyperlink w:anchor="_Toc370218461" w:history="1">
        <w:r w:rsidR="00DC0235" w:rsidRPr="00DC0235">
          <w:rPr>
            <w:rStyle w:val="Hyperlink"/>
            <w:noProof/>
            <w:color w:val="auto"/>
          </w:rPr>
          <w:t>1.6</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AEMO incorrect application of ex post pricing provisions</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_Toc370218461 \h </w:instrText>
        </w:r>
        <w:r w:rsidR="00DC0235" w:rsidRPr="00DC0235">
          <w:rPr>
            <w:noProof/>
            <w:webHidden/>
          </w:rPr>
        </w:r>
        <w:r w:rsidR="00DC0235" w:rsidRPr="00DC0235">
          <w:rPr>
            <w:noProof/>
            <w:webHidden/>
          </w:rPr>
          <w:fldChar w:fldCharType="separate"/>
        </w:r>
        <w:r>
          <w:rPr>
            <w:noProof/>
            <w:webHidden/>
          </w:rPr>
          <w:t>9</w:t>
        </w:r>
        <w:r w:rsidR="00DC0235" w:rsidRPr="00DC0235">
          <w:rPr>
            <w:noProof/>
            <w:webHidden/>
          </w:rPr>
          <w:fldChar w:fldCharType="end"/>
        </w:r>
      </w:hyperlink>
    </w:p>
    <w:p w:rsidR="00DC0235" w:rsidRPr="00DC0235" w:rsidRDefault="00F5665A">
      <w:pPr>
        <w:pStyle w:val="TOC2"/>
        <w:rPr>
          <w:rFonts w:asciiTheme="minorHAnsi" w:eastAsiaTheme="minorEastAsia" w:hAnsiTheme="minorHAnsi" w:cstheme="minorBidi"/>
          <w:noProof/>
          <w:lang w:eastAsia="en-AU"/>
        </w:rPr>
      </w:pPr>
      <w:hyperlink w:anchor="_Toc370218462" w:history="1">
        <w:r w:rsidR="00DC0235" w:rsidRPr="00DC0235">
          <w:rPr>
            <w:rStyle w:val="Hyperlink"/>
            <w:noProof/>
            <w:color w:val="auto"/>
          </w:rPr>
          <w:t>1.7</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Counteracting MOS in the Adelaide hub</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_Toc370218462 \h </w:instrText>
        </w:r>
        <w:r w:rsidR="00DC0235" w:rsidRPr="00DC0235">
          <w:rPr>
            <w:noProof/>
            <w:webHidden/>
          </w:rPr>
        </w:r>
        <w:r w:rsidR="00DC0235" w:rsidRPr="00DC0235">
          <w:rPr>
            <w:noProof/>
            <w:webHidden/>
          </w:rPr>
          <w:fldChar w:fldCharType="separate"/>
        </w:r>
        <w:r>
          <w:rPr>
            <w:noProof/>
            <w:webHidden/>
          </w:rPr>
          <w:t>9</w:t>
        </w:r>
        <w:r w:rsidR="00DC0235" w:rsidRPr="00DC0235">
          <w:rPr>
            <w:noProof/>
            <w:webHidden/>
          </w:rPr>
          <w:fldChar w:fldCharType="end"/>
        </w:r>
      </w:hyperlink>
    </w:p>
    <w:p w:rsidR="00DC0235" w:rsidRPr="00DC0235" w:rsidRDefault="00F5665A">
      <w:pPr>
        <w:pStyle w:val="TOC2"/>
        <w:rPr>
          <w:rStyle w:val="Hyperlink"/>
          <w:noProof/>
          <w:color w:val="auto"/>
        </w:rPr>
      </w:pPr>
      <w:hyperlink w:anchor="_Toc370218463" w:history="1">
        <w:r w:rsidR="00DC0235" w:rsidRPr="00DC0235">
          <w:rPr>
            <w:rStyle w:val="Hyperlink"/>
            <w:noProof/>
            <w:color w:val="auto"/>
          </w:rPr>
          <w:t>1.8</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Facility operator audits</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_Toc370218463 \h </w:instrText>
        </w:r>
        <w:r w:rsidR="00DC0235" w:rsidRPr="00DC0235">
          <w:rPr>
            <w:noProof/>
            <w:webHidden/>
          </w:rPr>
        </w:r>
        <w:r w:rsidR="00DC0235" w:rsidRPr="00DC0235">
          <w:rPr>
            <w:noProof/>
            <w:webHidden/>
          </w:rPr>
          <w:fldChar w:fldCharType="separate"/>
        </w:r>
        <w:r>
          <w:rPr>
            <w:noProof/>
            <w:webHidden/>
          </w:rPr>
          <w:t>9</w:t>
        </w:r>
        <w:r w:rsidR="00DC0235" w:rsidRPr="00DC0235">
          <w:rPr>
            <w:noProof/>
            <w:webHidden/>
          </w:rPr>
          <w:fldChar w:fldCharType="end"/>
        </w:r>
      </w:hyperlink>
    </w:p>
    <w:p w:rsidR="00DC0235" w:rsidRPr="00DC0235" w:rsidRDefault="00DC0235" w:rsidP="00DC0235"/>
    <w:p w:rsidR="00DC0235" w:rsidRPr="00DC0235" w:rsidRDefault="00F5665A">
      <w:pPr>
        <w:pStyle w:val="TOC2"/>
        <w:rPr>
          <w:rStyle w:val="Hyperlink"/>
          <w:noProof/>
          <w:color w:val="auto"/>
        </w:rPr>
      </w:pPr>
      <w:hyperlink w:anchor="_Toc370218464" w:history="1">
        <w:r w:rsidR="00DC0235" w:rsidRPr="00DC0235">
          <w:rPr>
            <w:rStyle w:val="Hyperlink"/>
            <w:i/>
            <w:noProof/>
            <w:color w:val="auto"/>
          </w:rPr>
          <w:t>Victorian gas market</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_Toc370218464 \h </w:instrText>
        </w:r>
        <w:r w:rsidR="00DC0235" w:rsidRPr="00DC0235">
          <w:rPr>
            <w:noProof/>
            <w:webHidden/>
          </w:rPr>
        </w:r>
        <w:r w:rsidR="00DC0235" w:rsidRPr="00DC0235">
          <w:rPr>
            <w:noProof/>
            <w:webHidden/>
          </w:rPr>
          <w:fldChar w:fldCharType="separate"/>
        </w:r>
        <w:r>
          <w:rPr>
            <w:noProof/>
            <w:webHidden/>
          </w:rPr>
          <w:t>10</w:t>
        </w:r>
        <w:r w:rsidR="00DC0235" w:rsidRPr="00DC0235">
          <w:rPr>
            <w:noProof/>
            <w:webHidden/>
          </w:rPr>
          <w:fldChar w:fldCharType="end"/>
        </w:r>
      </w:hyperlink>
    </w:p>
    <w:p w:rsidR="00DC0235" w:rsidRPr="00DC0235" w:rsidRDefault="00DC0235" w:rsidP="00DC0235"/>
    <w:p w:rsidR="00DC0235" w:rsidRPr="00DC0235" w:rsidRDefault="00F5665A">
      <w:pPr>
        <w:pStyle w:val="TOC2"/>
        <w:rPr>
          <w:rFonts w:asciiTheme="minorHAnsi" w:eastAsiaTheme="minorEastAsia" w:hAnsiTheme="minorHAnsi" w:cstheme="minorBidi"/>
          <w:noProof/>
          <w:lang w:eastAsia="en-AU"/>
        </w:rPr>
      </w:pPr>
      <w:hyperlink w:anchor="_Toc370218465" w:history="1">
        <w:r w:rsidR="00DC0235" w:rsidRPr="00DC0235">
          <w:rPr>
            <w:rStyle w:val="Hyperlink"/>
            <w:noProof/>
            <w:color w:val="auto"/>
          </w:rPr>
          <w:t>1.9</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Origin Energy demand forecast error</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_Toc370218465 \h </w:instrText>
        </w:r>
        <w:r w:rsidR="00DC0235" w:rsidRPr="00DC0235">
          <w:rPr>
            <w:noProof/>
            <w:webHidden/>
          </w:rPr>
        </w:r>
        <w:r w:rsidR="00DC0235" w:rsidRPr="00DC0235">
          <w:rPr>
            <w:noProof/>
            <w:webHidden/>
          </w:rPr>
          <w:fldChar w:fldCharType="separate"/>
        </w:r>
        <w:r>
          <w:rPr>
            <w:noProof/>
            <w:webHidden/>
          </w:rPr>
          <w:t>10</w:t>
        </w:r>
        <w:r w:rsidR="00DC0235" w:rsidRPr="00DC0235">
          <w:rPr>
            <w:noProof/>
            <w:webHidden/>
          </w:rPr>
          <w:fldChar w:fldCharType="end"/>
        </w:r>
      </w:hyperlink>
    </w:p>
    <w:p w:rsidR="00DC0235" w:rsidRPr="00DC0235" w:rsidRDefault="00F5665A">
      <w:pPr>
        <w:pStyle w:val="TOC2"/>
        <w:rPr>
          <w:rStyle w:val="Hyperlink"/>
          <w:noProof/>
          <w:color w:val="auto"/>
        </w:rPr>
      </w:pPr>
      <w:hyperlink w:anchor="_Toc370218466" w:history="1">
        <w:r w:rsidR="00DC0235" w:rsidRPr="00DC0235">
          <w:rPr>
            <w:rStyle w:val="Hyperlink"/>
            <w:noProof/>
            <w:color w:val="auto"/>
          </w:rPr>
          <w:t>1.10</w:t>
        </w:r>
        <w:r w:rsidR="00DC0235" w:rsidRPr="00DC0235">
          <w:rPr>
            <w:rFonts w:asciiTheme="minorHAnsi" w:eastAsiaTheme="minorEastAsia" w:hAnsiTheme="minorHAnsi" w:cstheme="minorBidi"/>
            <w:noProof/>
            <w:lang w:eastAsia="en-AU"/>
          </w:rPr>
          <w:tab/>
        </w:r>
        <w:r w:rsidR="00DC0235" w:rsidRPr="00DC0235">
          <w:rPr>
            <w:rStyle w:val="Hyperlink"/>
            <w:noProof/>
            <w:color w:val="auto"/>
          </w:rPr>
          <w:t>Multinet Gas miscalculations of temperature sensitivity factor</w:t>
        </w:r>
        <w:r w:rsidR="00DC0235" w:rsidRPr="00DC0235">
          <w:rPr>
            <w:noProof/>
            <w:webHidden/>
          </w:rPr>
          <w:tab/>
        </w:r>
        <w:r w:rsidR="00DC0235" w:rsidRPr="00DC0235">
          <w:rPr>
            <w:noProof/>
            <w:webHidden/>
          </w:rPr>
          <w:fldChar w:fldCharType="begin"/>
        </w:r>
        <w:r w:rsidR="00DC0235" w:rsidRPr="00DC0235">
          <w:rPr>
            <w:noProof/>
            <w:webHidden/>
          </w:rPr>
          <w:instrText xml:space="preserve"> PAGEREF _Toc370218466 \h </w:instrText>
        </w:r>
        <w:r w:rsidR="00DC0235" w:rsidRPr="00DC0235">
          <w:rPr>
            <w:noProof/>
            <w:webHidden/>
          </w:rPr>
        </w:r>
        <w:r w:rsidR="00DC0235" w:rsidRPr="00DC0235">
          <w:rPr>
            <w:noProof/>
            <w:webHidden/>
          </w:rPr>
          <w:fldChar w:fldCharType="separate"/>
        </w:r>
        <w:r>
          <w:rPr>
            <w:noProof/>
            <w:webHidden/>
          </w:rPr>
          <w:t>10</w:t>
        </w:r>
        <w:r w:rsidR="00DC0235" w:rsidRPr="00DC0235">
          <w:rPr>
            <w:noProof/>
            <w:webHidden/>
          </w:rPr>
          <w:fldChar w:fldCharType="end"/>
        </w:r>
      </w:hyperlink>
    </w:p>
    <w:p w:rsidR="00DC0235" w:rsidRPr="00DC0235" w:rsidRDefault="00DC0235" w:rsidP="00DC0235"/>
    <w:p w:rsidR="00DC0235" w:rsidRDefault="00F5665A">
      <w:pPr>
        <w:pStyle w:val="TOC2"/>
        <w:rPr>
          <w:rFonts w:asciiTheme="minorHAnsi" w:eastAsiaTheme="minorEastAsia" w:hAnsiTheme="minorHAnsi" w:cstheme="minorBidi"/>
          <w:noProof/>
          <w:lang w:eastAsia="en-AU"/>
        </w:rPr>
      </w:pPr>
      <w:hyperlink w:anchor="_Toc370218467" w:history="1">
        <w:r w:rsidR="00DC0235" w:rsidRPr="00DC0235">
          <w:rPr>
            <w:rStyle w:val="Hyperlink"/>
            <w:i/>
            <w:noProof/>
          </w:rPr>
          <w:t>Bulletin Board</w:t>
        </w:r>
        <w:r w:rsidR="00DC0235">
          <w:rPr>
            <w:noProof/>
            <w:webHidden/>
          </w:rPr>
          <w:tab/>
        </w:r>
        <w:r w:rsidR="00DC0235">
          <w:rPr>
            <w:noProof/>
            <w:webHidden/>
          </w:rPr>
          <w:fldChar w:fldCharType="begin"/>
        </w:r>
        <w:r w:rsidR="00DC0235">
          <w:rPr>
            <w:noProof/>
            <w:webHidden/>
          </w:rPr>
          <w:instrText xml:space="preserve"> PAGEREF _Toc370218467 \h </w:instrText>
        </w:r>
        <w:r w:rsidR="00DC0235">
          <w:rPr>
            <w:noProof/>
            <w:webHidden/>
          </w:rPr>
        </w:r>
        <w:r w:rsidR="00DC0235">
          <w:rPr>
            <w:noProof/>
            <w:webHidden/>
          </w:rPr>
          <w:fldChar w:fldCharType="separate"/>
        </w:r>
        <w:r>
          <w:rPr>
            <w:noProof/>
            <w:webHidden/>
          </w:rPr>
          <w:t>11</w:t>
        </w:r>
        <w:r w:rsidR="00DC0235">
          <w:rPr>
            <w:noProof/>
            <w:webHidden/>
          </w:rPr>
          <w:fldChar w:fldCharType="end"/>
        </w:r>
      </w:hyperlink>
    </w:p>
    <w:p w:rsidR="00DC0235" w:rsidRDefault="00F5665A">
      <w:pPr>
        <w:pStyle w:val="TOC1"/>
        <w:rPr>
          <w:rFonts w:asciiTheme="minorHAnsi" w:eastAsiaTheme="minorEastAsia" w:hAnsiTheme="minorHAnsi" w:cstheme="minorBidi"/>
          <w:b w:val="0"/>
          <w:noProof/>
          <w:lang w:eastAsia="en-AU"/>
        </w:rPr>
      </w:pPr>
      <w:hyperlink w:anchor="_Toc370218468" w:history="1">
        <w:r w:rsidR="00DC0235" w:rsidRPr="00436252">
          <w:rPr>
            <w:rStyle w:val="Hyperlink"/>
            <w:noProof/>
          </w:rPr>
          <w:t>2</w:t>
        </w:r>
        <w:r w:rsidR="00DC0235">
          <w:rPr>
            <w:rFonts w:asciiTheme="minorHAnsi" w:eastAsiaTheme="minorEastAsia" w:hAnsiTheme="minorHAnsi" w:cstheme="minorBidi"/>
            <w:b w:val="0"/>
            <w:noProof/>
            <w:lang w:eastAsia="en-AU"/>
          </w:rPr>
          <w:tab/>
        </w:r>
        <w:r w:rsidR="00DC0235" w:rsidRPr="00436252">
          <w:rPr>
            <w:rStyle w:val="Hyperlink"/>
            <w:noProof/>
          </w:rPr>
          <w:t>Electricity</w:t>
        </w:r>
        <w:r w:rsidR="00DC0235">
          <w:rPr>
            <w:noProof/>
            <w:webHidden/>
          </w:rPr>
          <w:tab/>
        </w:r>
        <w:r w:rsidR="00DC0235">
          <w:rPr>
            <w:noProof/>
            <w:webHidden/>
          </w:rPr>
          <w:fldChar w:fldCharType="begin"/>
        </w:r>
        <w:r w:rsidR="00DC0235">
          <w:rPr>
            <w:noProof/>
            <w:webHidden/>
          </w:rPr>
          <w:instrText xml:space="preserve"> PAGEREF _Toc370218468 \h </w:instrText>
        </w:r>
        <w:r w:rsidR="00DC0235">
          <w:rPr>
            <w:noProof/>
            <w:webHidden/>
          </w:rPr>
        </w:r>
        <w:r w:rsidR="00DC0235">
          <w:rPr>
            <w:noProof/>
            <w:webHidden/>
          </w:rPr>
          <w:fldChar w:fldCharType="separate"/>
        </w:r>
        <w:r>
          <w:rPr>
            <w:noProof/>
            <w:webHidden/>
          </w:rPr>
          <w:t>12</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69" w:history="1">
        <w:r w:rsidR="00DC0235" w:rsidRPr="00436252">
          <w:rPr>
            <w:rStyle w:val="Hyperlink"/>
            <w:noProof/>
          </w:rPr>
          <w:t>2.1</w:t>
        </w:r>
        <w:r w:rsidR="00DC0235">
          <w:rPr>
            <w:rFonts w:asciiTheme="minorHAnsi" w:eastAsiaTheme="minorEastAsia" w:hAnsiTheme="minorHAnsi" w:cstheme="minorBidi"/>
            <w:noProof/>
            <w:lang w:eastAsia="en-AU"/>
          </w:rPr>
          <w:tab/>
        </w:r>
        <w:r w:rsidR="00DC0235" w:rsidRPr="00436252">
          <w:rPr>
            <w:rStyle w:val="Hyperlink"/>
            <w:noProof/>
          </w:rPr>
          <w:t>Rebidding</w:t>
        </w:r>
        <w:r w:rsidR="00DC0235">
          <w:rPr>
            <w:noProof/>
            <w:webHidden/>
          </w:rPr>
          <w:tab/>
        </w:r>
        <w:r w:rsidR="00DC0235">
          <w:rPr>
            <w:noProof/>
            <w:webHidden/>
          </w:rPr>
          <w:fldChar w:fldCharType="begin"/>
        </w:r>
        <w:r w:rsidR="00DC0235">
          <w:rPr>
            <w:noProof/>
            <w:webHidden/>
          </w:rPr>
          <w:instrText xml:space="preserve"> PAGEREF _Toc370218469 \h </w:instrText>
        </w:r>
        <w:r w:rsidR="00DC0235">
          <w:rPr>
            <w:noProof/>
            <w:webHidden/>
          </w:rPr>
        </w:r>
        <w:r w:rsidR="00DC0235">
          <w:rPr>
            <w:noProof/>
            <w:webHidden/>
          </w:rPr>
          <w:fldChar w:fldCharType="separate"/>
        </w:r>
        <w:r>
          <w:rPr>
            <w:noProof/>
            <w:webHidden/>
          </w:rPr>
          <w:t>12</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70" w:history="1">
        <w:r w:rsidR="00DC0235" w:rsidRPr="00436252">
          <w:rPr>
            <w:rStyle w:val="Hyperlink"/>
            <w:noProof/>
          </w:rPr>
          <w:t>2.2</w:t>
        </w:r>
        <w:r w:rsidR="00DC0235">
          <w:rPr>
            <w:rFonts w:asciiTheme="minorHAnsi" w:eastAsiaTheme="minorEastAsia" w:hAnsiTheme="minorHAnsi" w:cstheme="minorBidi"/>
            <w:noProof/>
            <w:lang w:eastAsia="en-AU"/>
          </w:rPr>
          <w:tab/>
        </w:r>
        <w:r w:rsidR="00DC0235" w:rsidRPr="00436252">
          <w:rPr>
            <w:rStyle w:val="Hyperlink"/>
            <w:noProof/>
          </w:rPr>
          <w:t>Trip of Northern Power Station</w:t>
        </w:r>
        <w:r w:rsidR="00DC0235">
          <w:rPr>
            <w:noProof/>
            <w:webHidden/>
          </w:rPr>
          <w:tab/>
        </w:r>
        <w:r w:rsidR="00DC0235">
          <w:rPr>
            <w:noProof/>
            <w:webHidden/>
          </w:rPr>
          <w:fldChar w:fldCharType="begin"/>
        </w:r>
        <w:r w:rsidR="00DC0235">
          <w:rPr>
            <w:noProof/>
            <w:webHidden/>
          </w:rPr>
          <w:instrText xml:space="preserve"> PAGEREF _Toc370218470 \h </w:instrText>
        </w:r>
        <w:r w:rsidR="00DC0235">
          <w:rPr>
            <w:noProof/>
            <w:webHidden/>
          </w:rPr>
        </w:r>
        <w:r w:rsidR="00DC0235">
          <w:rPr>
            <w:noProof/>
            <w:webHidden/>
          </w:rPr>
          <w:fldChar w:fldCharType="separate"/>
        </w:r>
        <w:r>
          <w:rPr>
            <w:noProof/>
            <w:webHidden/>
          </w:rPr>
          <w:t>13</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71" w:history="1">
        <w:r w:rsidR="00DC0235" w:rsidRPr="00436252">
          <w:rPr>
            <w:rStyle w:val="Hyperlink"/>
            <w:noProof/>
          </w:rPr>
          <w:t>2.3</w:t>
        </w:r>
        <w:r w:rsidR="00DC0235">
          <w:rPr>
            <w:rFonts w:asciiTheme="minorHAnsi" w:eastAsiaTheme="minorEastAsia" w:hAnsiTheme="minorHAnsi" w:cstheme="minorBidi"/>
            <w:noProof/>
            <w:lang w:eastAsia="en-AU"/>
          </w:rPr>
          <w:tab/>
        </w:r>
        <w:r w:rsidR="00DC0235" w:rsidRPr="00436252">
          <w:rPr>
            <w:rStyle w:val="Hyperlink"/>
            <w:noProof/>
          </w:rPr>
          <w:t>Electricity metering metrics</w:t>
        </w:r>
        <w:r w:rsidR="00DC0235">
          <w:rPr>
            <w:noProof/>
            <w:webHidden/>
          </w:rPr>
          <w:tab/>
        </w:r>
        <w:r w:rsidR="00DC0235">
          <w:rPr>
            <w:noProof/>
            <w:webHidden/>
          </w:rPr>
          <w:fldChar w:fldCharType="begin"/>
        </w:r>
        <w:r w:rsidR="00DC0235">
          <w:rPr>
            <w:noProof/>
            <w:webHidden/>
          </w:rPr>
          <w:instrText xml:space="preserve"> PAGEREF _Toc370218471 \h </w:instrText>
        </w:r>
        <w:r w:rsidR="00DC0235">
          <w:rPr>
            <w:noProof/>
            <w:webHidden/>
          </w:rPr>
        </w:r>
        <w:r w:rsidR="00DC0235">
          <w:rPr>
            <w:noProof/>
            <w:webHidden/>
          </w:rPr>
          <w:fldChar w:fldCharType="separate"/>
        </w:r>
        <w:r>
          <w:rPr>
            <w:noProof/>
            <w:webHidden/>
          </w:rPr>
          <w:t>14</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72" w:history="1">
        <w:r w:rsidR="00DC0235" w:rsidRPr="00436252">
          <w:rPr>
            <w:rStyle w:val="Hyperlink"/>
            <w:noProof/>
          </w:rPr>
          <w:t>2.4</w:t>
        </w:r>
        <w:r w:rsidR="00DC0235">
          <w:rPr>
            <w:rFonts w:asciiTheme="minorHAnsi" w:eastAsiaTheme="minorEastAsia" w:hAnsiTheme="minorHAnsi" w:cstheme="minorBidi"/>
            <w:noProof/>
            <w:lang w:eastAsia="en-AU"/>
          </w:rPr>
          <w:tab/>
        </w:r>
        <w:r w:rsidR="00DC0235" w:rsidRPr="00436252">
          <w:rPr>
            <w:rStyle w:val="Hyperlink"/>
            <w:noProof/>
          </w:rPr>
          <w:t>Participants not following dispatch instructions</w:t>
        </w:r>
        <w:r w:rsidR="00DC0235">
          <w:rPr>
            <w:noProof/>
            <w:webHidden/>
          </w:rPr>
          <w:tab/>
        </w:r>
        <w:r w:rsidR="00DC0235">
          <w:rPr>
            <w:noProof/>
            <w:webHidden/>
          </w:rPr>
          <w:fldChar w:fldCharType="begin"/>
        </w:r>
        <w:r w:rsidR="00DC0235">
          <w:rPr>
            <w:noProof/>
            <w:webHidden/>
          </w:rPr>
          <w:instrText xml:space="preserve"> PAGEREF _Toc370218472 \h </w:instrText>
        </w:r>
        <w:r w:rsidR="00DC0235">
          <w:rPr>
            <w:noProof/>
            <w:webHidden/>
          </w:rPr>
        </w:r>
        <w:r w:rsidR="00DC0235">
          <w:rPr>
            <w:noProof/>
            <w:webHidden/>
          </w:rPr>
          <w:fldChar w:fldCharType="separate"/>
        </w:r>
        <w:r>
          <w:rPr>
            <w:noProof/>
            <w:webHidden/>
          </w:rPr>
          <w:t>14</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73" w:history="1">
        <w:r w:rsidR="00DC0235" w:rsidRPr="00436252">
          <w:rPr>
            <w:rStyle w:val="Hyperlink"/>
            <w:noProof/>
          </w:rPr>
          <w:t>2.5</w:t>
        </w:r>
        <w:r w:rsidR="00DC0235">
          <w:rPr>
            <w:rFonts w:asciiTheme="minorHAnsi" w:eastAsiaTheme="minorEastAsia" w:hAnsiTheme="minorHAnsi" w:cstheme="minorBidi"/>
            <w:noProof/>
            <w:lang w:eastAsia="en-AU"/>
          </w:rPr>
          <w:tab/>
        </w:r>
        <w:r w:rsidR="00DC0235" w:rsidRPr="00436252">
          <w:rPr>
            <w:rStyle w:val="Hyperlink"/>
            <w:noProof/>
          </w:rPr>
          <w:t>Electricity transmission connections</w:t>
        </w:r>
        <w:r w:rsidR="00DC0235">
          <w:rPr>
            <w:noProof/>
            <w:webHidden/>
          </w:rPr>
          <w:tab/>
        </w:r>
        <w:r w:rsidR="00DC0235">
          <w:rPr>
            <w:noProof/>
            <w:webHidden/>
          </w:rPr>
          <w:fldChar w:fldCharType="begin"/>
        </w:r>
        <w:r w:rsidR="00DC0235">
          <w:rPr>
            <w:noProof/>
            <w:webHidden/>
          </w:rPr>
          <w:instrText xml:space="preserve"> PAGEREF _Toc370218473 \h </w:instrText>
        </w:r>
        <w:r w:rsidR="00DC0235">
          <w:rPr>
            <w:noProof/>
            <w:webHidden/>
          </w:rPr>
        </w:r>
        <w:r w:rsidR="00DC0235">
          <w:rPr>
            <w:noProof/>
            <w:webHidden/>
          </w:rPr>
          <w:fldChar w:fldCharType="separate"/>
        </w:r>
        <w:r>
          <w:rPr>
            <w:noProof/>
            <w:webHidden/>
          </w:rPr>
          <w:t>15</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74" w:history="1">
        <w:r w:rsidR="00DC0235" w:rsidRPr="00436252">
          <w:rPr>
            <w:rStyle w:val="Hyperlink"/>
            <w:noProof/>
          </w:rPr>
          <w:t>2.6</w:t>
        </w:r>
        <w:r w:rsidR="00DC0235">
          <w:rPr>
            <w:rFonts w:asciiTheme="minorHAnsi" w:eastAsiaTheme="minorEastAsia" w:hAnsiTheme="minorHAnsi" w:cstheme="minorBidi"/>
            <w:noProof/>
            <w:lang w:eastAsia="en-AU"/>
          </w:rPr>
          <w:tab/>
        </w:r>
        <w:r w:rsidR="00DC0235" w:rsidRPr="00436252">
          <w:rPr>
            <w:rStyle w:val="Hyperlink"/>
            <w:noProof/>
          </w:rPr>
          <w:t>Instrument transformer testing update</w:t>
        </w:r>
        <w:r w:rsidR="00DC0235">
          <w:rPr>
            <w:noProof/>
            <w:webHidden/>
          </w:rPr>
          <w:tab/>
        </w:r>
        <w:r w:rsidR="00DC0235">
          <w:rPr>
            <w:noProof/>
            <w:webHidden/>
          </w:rPr>
          <w:fldChar w:fldCharType="begin"/>
        </w:r>
        <w:r w:rsidR="00DC0235">
          <w:rPr>
            <w:noProof/>
            <w:webHidden/>
          </w:rPr>
          <w:instrText xml:space="preserve"> PAGEREF _Toc370218474 \h </w:instrText>
        </w:r>
        <w:r w:rsidR="00DC0235">
          <w:rPr>
            <w:noProof/>
            <w:webHidden/>
          </w:rPr>
        </w:r>
        <w:r w:rsidR="00DC0235">
          <w:rPr>
            <w:noProof/>
            <w:webHidden/>
          </w:rPr>
          <w:fldChar w:fldCharType="separate"/>
        </w:r>
        <w:r>
          <w:rPr>
            <w:noProof/>
            <w:webHidden/>
          </w:rPr>
          <w:t>16</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75" w:history="1">
        <w:r w:rsidR="00DC0235" w:rsidRPr="00436252">
          <w:rPr>
            <w:rStyle w:val="Hyperlink"/>
            <w:noProof/>
          </w:rPr>
          <w:t>2.7</w:t>
        </w:r>
        <w:r w:rsidR="00DC0235">
          <w:rPr>
            <w:rFonts w:asciiTheme="minorHAnsi" w:eastAsiaTheme="minorEastAsia" w:hAnsiTheme="minorHAnsi" w:cstheme="minorBidi"/>
            <w:noProof/>
            <w:lang w:eastAsia="en-AU"/>
          </w:rPr>
          <w:tab/>
        </w:r>
        <w:r w:rsidR="00DC0235" w:rsidRPr="00436252">
          <w:rPr>
            <w:rStyle w:val="Hyperlink"/>
            <w:noProof/>
          </w:rPr>
          <w:t>Technical audits</w:t>
        </w:r>
        <w:r w:rsidR="00DC0235">
          <w:rPr>
            <w:noProof/>
            <w:webHidden/>
          </w:rPr>
          <w:tab/>
        </w:r>
        <w:r w:rsidR="00DC0235">
          <w:rPr>
            <w:noProof/>
            <w:webHidden/>
          </w:rPr>
          <w:fldChar w:fldCharType="begin"/>
        </w:r>
        <w:r w:rsidR="00DC0235">
          <w:rPr>
            <w:noProof/>
            <w:webHidden/>
          </w:rPr>
          <w:instrText xml:space="preserve"> PAGEREF _Toc370218475 \h </w:instrText>
        </w:r>
        <w:r w:rsidR="00DC0235">
          <w:rPr>
            <w:noProof/>
            <w:webHidden/>
          </w:rPr>
        </w:r>
        <w:r w:rsidR="00DC0235">
          <w:rPr>
            <w:noProof/>
            <w:webHidden/>
          </w:rPr>
          <w:fldChar w:fldCharType="separate"/>
        </w:r>
        <w:r>
          <w:rPr>
            <w:noProof/>
            <w:webHidden/>
          </w:rPr>
          <w:t>16</w:t>
        </w:r>
        <w:r w:rsidR="00DC0235">
          <w:rPr>
            <w:noProof/>
            <w:webHidden/>
          </w:rPr>
          <w:fldChar w:fldCharType="end"/>
        </w:r>
      </w:hyperlink>
    </w:p>
    <w:p w:rsidR="00DC0235" w:rsidRDefault="00F5665A">
      <w:pPr>
        <w:pStyle w:val="TOC2"/>
        <w:rPr>
          <w:rFonts w:asciiTheme="minorHAnsi" w:eastAsiaTheme="minorEastAsia" w:hAnsiTheme="minorHAnsi" w:cstheme="minorBidi"/>
          <w:noProof/>
          <w:lang w:eastAsia="en-AU"/>
        </w:rPr>
      </w:pPr>
      <w:hyperlink w:anchor="_Toc370218476" w:history="1">
        <w:r w:rsidR="00DC0235" w:rsidRPr="00436252">
          <w:rPr>
            <w:rStyle w:val="Hyperlink"/>
            <w:noProof/>
          </w:rPr>
          <w:t>2.8</w:t>
        </w:r>
        <w:r w:rsidR="00DC0235">
          <w:rPr>
            <w:rFonts w:asciiTheme="minorHAnsi" w:eastAsiaTheme="minorEastAsia" w:hAnsiTheme="minorHAnsi" w:cstheme="minorBidi"/>
            <w:noProof/>
            <w:lang w:eastAsia="en-AU"/>
          </w:rPr>
          <w:tab/>
        </w:r>
        <w:r w:rsidR="00DC0235" w:rsidRPr="00436252">
          <w:rPr>
            <w:rStyle w:val="Hyperlink"/>
            <w:noProof/>
          </w:rPr>
          <w:t>Jurisdictional derogations</w:t>
        </w:r>
        <w:r w:rsidR="00DC0235">
          <w:rPr>
            <w:noProof/>
            <w:webHidden/>
          </w:rPr>
          <w:tab/>
        </w:r>
        <w:r w:rsidR="00DC0235">
          <w:rPr>
            <w:noProof/>
            <w:webHidden/>
          </w:rPr>
          <w:fldChar w:fldCharType="begin"/>
        </w:r>
        <w:r w:rsidR="00DC0235">
          <w:rPr>
            <w:noProof/>
            <w:webHidden/>
          </w:rPr>
          <w:instrText xml:space="preserve"> PAGEREF _Toc370218476 \h </w:instrText>
        </w:r>
        <w:r w:rsidR="00DC0235">
          <w:rPr>
            <w:noProof/>
            <w:webHidden/>
          </w:rPr>
        </w:r>
        <w:r w:rsidR="00DC0235">
          <w:rPr>
            <w:noProof/>
            <w:webHidden/>
          </w:rPr>
          <w:fldChar w:fldCharType="separate"/>
        </w:r>
        <w:r>
          <w:rPr>
            <w:noProof/>
            <w:webHidden/>
          </w:rPr>
          <w:t>17</w:t>
        </w:r>
        <w:r w:rsidR="00DC0235">
          <w:rPr>
            <w:noProof/>
            <w:webHidden/>
          </w:rPr>
          <w:fldChar w:fldCharType="end"/>
        </w:r>
      </w:hyperlink>
    </w:p>
    <w:p w:rsidR="00DC0235" w:rsidRDefault="00F5665A">
      <w:pPr>
        <w:pStyle w:val="TOC1"/>
        <w:rPr>
          <w:rFonts w:asciiTheme="minorHAnsi" w:eastAsiaTheme="minorEastAsia" w:hAnsiTheme="minorHAnsi" w:cstheme="minorBidi"/>
          <w:b w:val="0"/>
          <w:noProof/>
          <w:lang w:eastAsia="en-AU"/>
        </w:rPr>
      </w:pPr>
      <w:hyperlink w:anchor="_Toc370218477" w:history="1">
        <w:r w:rsidR="00DC0235" w:rsidRPr="00436252">
          <w:rPr>
            <w:rStyle w:val="Hyperlink"/>
            <w:noProof/>
          </w:rPr>
          <w:t>Appendix A:  Shortened forms</w:t>
        </w:r>
        <w:r w:rsidR="00DC0235">
          <w:rPr>
            <w:noProof/>
            <w:webHidden/>
          </w:rPr>
          <w:tab/>
        </w:r>
        <w:r w:rsidR="00DC0235">
          <w:rPr>
            <w:noProof/>
            <w:webHidden/>
          </w:rPr>
          <w:fldChar w:fldCharType="begin"/>
        </w:r>
        <w:r w:rsidR="00DC0235">
          <w:rPr>
            <w:noProof/>
            <w:webHidden/>
          </w:rPr>
          <w:instrText xml:space="preserve"> PAGEREF _Toc370218477 \h </w:instrText>
        </w:r>
        <w:r w:rsidR="00DC0235">
          <w:rPr>
            <w:noProof/>
            <w:webHidden/>
          </w:rPr>
        </w:r>
        <w:r w:rsidR="00DC0235">
          <w:rPr>
            <w:noProof/>
            <w:webHidden/>
          </w:rPr>
          <w:fldChar w:fldCharType="separate"/>
        </w:r>
        <w:r>
          <w:rPr>
            <w:noProof/>
            <w:webHidden/>
          </w:rPr>
          <w:t>18</w:t>
        </w:r>
        <w:r w:rsidR="00DC0235">
          <w:rPr>
            <w:noProof/>
            <w:webHidden/>
          </w:rPr>
          <w:fldChar w:fldCharType="end"/>
        </w:r>
      </w:hyperlink>
    </w:p>
    <w:p w:rsidR="00DC0235" w:rsidRDefault="00F5665A">
      <w:pPr>
        <w:pStyle w:val="TOC1"/>
        <w:rPr>
          <w:rFonts w:asciiTheme="minorHAnsi" w:eastAsiaTheme="minorEastAsia" w:hAnsiTheme="minorHAnsi" w:cstheme="minorBidi"/>
          <w:b w:val="0"/>
          <w:noProof/>
          <w:lang w:eastAsia="en-AU"/>
        </w:rPr>
      </w:pPr>
      <w:hyperlink w:anchor="_Toc370218478" w:history="1">
        <w:r w:rsidR="00DC0235" w:rsidRPr="00436252">
          <w:rPr>
            <w:rStyle w:val="Hyperlink"/>
            <w:noProof/>
          </w:rPr>
          <w:t>Appendix B:  Previous targeted compliance reviews</w:t>
        </w:r>
        <w:r w:rsidR="00DC0235">
          <w:rPr>
            <w:noProof/>
            <w:webHidden/>
          </w:rPr>
          <w:tab/>
        </w:r>
        <w:r w:rsidR="00DC0235">
          <w:rPr>
            <w:noProof/>
            <w:webHidden/>
          </w:rPr>
          <w:fldChar w:fldCharType="begin"/>
        </w:r>
        <w:r w:rsidR="00DC0235">
          <w:rPr>
            <w:noProof/>
            <w:webHidden/>
          </w:rPr>
          <w:instrText xml:space="preserve"> PAGEREF _Toc370218478 \h </w:instrText>
        </w:r>
        <w:r w:rsidR="00DC0235">
          <w:rPr>
            <w:noProof/>
            <w:webHidden/>
          </w:rPr>
        </w:r>
        <w:r w:rsidR="00DC0235">
          <w:rPr>
            <w:noProof/>
            <w:webHidden/>
          </w:rPr>
          <w:fldChar w:fldCharType="separate"/>
        </w:r>
        <w:r>
          <w:rPr>
            <w:noProof/>
            <w:webHidden/>
          </w:rPr>
          <w:t>19</w:t>
        </w:r>
        <w:r w:rsidR="00DC0235">
          <w:rPr>
            <w:noProof/>
            <w:webHidden/>
          </w:rPr>
          <w:fldChar w:fldCharType="end"/>
        </w:r>
      </w:hyperlink>
    </w:p>
    <w:p w:rsidR="00914770" w:rsidRDefault="00345E1B" w:rsidP="00CB1599">
      <w:pPr>
        <w:pStyle w:val="AERtabletitle"/>
        <w:keepNext w:val="0"/>
      </w:pPr>
      <w:r>
        <w:fldChar w:fldCharType="end"/>
      </w:r>
    </w:p>
    <w:p w:rsidR="00914770" w:rsidRDefault="00914770" w:rsidP="00914770"/>
    <w:p w:rsidR="0067781E" w:rsidRDefault="0067781E" w:rsidP="00914770"/>
    <w:p w:rsidR="0067781E" w:rsidRDefault="0067781E" w:rsidP="00914770"/>
    <w:p w:rsidR="0067781E" w:rsidRPr="00914770" w:rsidRDefault="0067781E" w:rsidP="00914770"/>
    <w:p w:rsidR="0067781E" w:rsidRPr="0067781E" w:rsidRDefault="0067781E" w:rsidP="0067781E"/>
    <w:p w:rsidR="000733BC" w:rsidRPr="00742426" w:rsidRDefault="00AB2AA9" w:rsidP="001F2CA4">
      <w:pPr>
        <w:pStyle w:val="UnnumberedHeading"/>
        <w:numPr>
          <w:ilvl w:val="0"/>
          <w:numId w:val="0"/>
        </w:numPr>
      </w:pPr>
      <w:bookmarkStart w:id="20" w:name="_Toc337553425"/>
      <w:bookmarkStart w:id="21" w:name="_Toc370218452"/>
      <w:bookmarkStart w:id="22" w:name="_Toc316978870"/>
      <w:bookmarkStart w:id="23" w:name="_Toc317520246"/>
      <w:bookmarkStart w:id="24" w:name="_Toc305751931"/>
      <w:bookmarkStart w:id="25" w:name="_Toc308601044"/>
      <w:bookmarkEnd w:id="19"/>
      <w:r w:rsidRPr="00742426">
        <w:lastRenderedPageBreak/>
        <w:t>Executive summary</w:t>
      </w:r>
      <w:bookmarkEnd w:id="20"/>
      <w:bookmarkEnd w:id="21"/>
    </w:p>
    <w:p w:rsidR="003528E9" w:rsidRDefault="003528E9" w:rsidP="003528E9">
      <w:pPr>
        <w:pStyle w:val="AERbodytext"/>
        <w:rPr>
          <w:szCs w:val="20"/>
        </w:rPr>
      </w:pPr>
      <w:bookmarkStart w:id="26" w:name="OLE_LINK72"/>
      <w:bookmarkStart w:id="27" w:name="OLE_LINK73"/>
      <w:r>
        <w:t>The purpose of this Quarterly Compliance Report (</w:t>
      </w:r>
      <w:r w:rsidRPr="00793608">
        <w:rPr>
          <w:b/>
        </w:rPr>
        <w:t>QCR</w:t>
      </w:r>
      <w:r>
        <w:t>) is to outline the Australian Energy Regulator’s (</w:t>
      </w:r>
      <w:r>
        <w:rPr>
          <w:b/>
          <w:bCs/>
        </w:rPr>
        <w:t>AER</w:t>
      </w:r>
      <w:r>
        <w:t>) compliance monitoring and enforcement activity under the National Electricity Law (</w:t>
      </w:r>
      <w:r>
        <w:rPr>
          <w:b/>
          <w:bCs/>
        </w:rPr>
        <w:t>Electricity Law</w:t>
      </w:r>
      <w:r>
        <w:t>) and National Gas Law</w:t>
      </w:r>
      <w:r w:rsidR="00484DDC">
        <w:t xml:space="preserve"> </w:t>
      </w:r>
      <w:r>
        <w:t>(</w:t>
      </w:r>
      <w:r>
        <w:rPr>
          <w:b/>
          <w:bCs/>
        </w:rPr>
        <w:t>Gas Law</w:t>
      </w:r>
      <w:r>
        <w:t xml:space="preserve">)—including the rules and regulations which sit under those Laws. This QCR covers the period 1 </w:t>
      </w:r>
      <w:r w:rsidR="00683D97">
        <w:t>July</w:t>
      </w:r>
      <w:r w:rsidR="00D023EF">
        <w:t xml:space="preserve"> to 30</w:t>
      </w:r>
      <w:r>
        <w:t xml:space="preserve"> </w:t>
      </w:r>
      <w:r w:rsidR="00683D97">
        <w:t xml:space="preserve">September </w:t>
      </w:r>
      <w:r>
        <w:t>2013 (</w:t>
      </w:r>
      <w:r>
        <w:rPr>
          <w:b/>
          <w:bCs/>
        </w:rPr>
        <w:t xml:space="preserve">the </w:t>
      </w:r>
      <w:r w:rsidR="00683D97">
        <w:rPr>
          <w:b/>
          <w:bCs/>
        </w:rPr>
        <w:t xml:space="preserve">September </w:t>
      </w:r>
      <w:r>
        <w:rPr>
          <w:b/>
          <w:bCs/>
        </w:rPr>
        <w:t>2013 quarter</w:t>
      </w:r>
      <w:r>
        <w:t>).</w:t>
      </w:r>
      <w:r w:rsidR="003E4F6D">
        <w:rPr>
          <w:rStyle w:val="FootnoteReference"/>
        </w:rPr>
        <w:footnoteReference w:id="1"/>
      </w:r>
    </w:p>
    <w:p w:rsidR="00A812E5" w:rsidRPr="00524056" w:rsidRDefault="00097A82" w:rsidP="00097A82">
      <w:pPr>
        <w:pStyle w:val="AERbodytext"/>
      </w:pPr>
      <w:r w:rsidRPr="00524056">
        <w:t xml:space="preserve">The first chapter </w:t>
      </w:r>
      <w:r w:rsidR="00CC6E5F" w:rsidRPr="00524056">
        <w:t xml:space="preserve">provides an update </w:t>
      </w:r>
      <w:r w:rsidR="00A812E5" w:rsidRPr="00524056">
        <w:t xml:space="preserve">on compliance and enforcement work undertaken for the gas markets. We </w:t>
      </w:r>
      <w:r w:rsidR="007F4EDD" w:rsidRPr="00524056">
        <w:t>highlight that there</w:t>
      </w:r>
      <w:r w:rsidR="00426DE8" w:rsidRPr="00524056">
        <w:t xml:space="preserve"> were six</w:t>
      </w:r>
      <w:r w:rsidR="007F4EDD" w:rsidRPr="00524056">
        <w:t xml:space="preserve"> data errors for the </w:t>
      </w:r>
      <w:r w:rsidR="00A812E5" w:rsidRPr="00524056">
        <w:t>short term trading market (</w:t>
      </w:r>
      <w:r w:rsidR="00A812E5" w:rsidRPr="00524056">
        <w:rPr>
          <w:b/>
        </w:rPr>
        <w:t>STTM</w:t>
      </w:r>
      <w:r w:rsidR="005D2DC9" w:rsidRPr="00524056">
        <w:t>)</w:t>
      </w:r>
      <w:r w:rsidR="00781859" w:rsidRPr="00524056">
        <w:t>, four of which relate to Epic Energy</w:t>
      </w:r>
      <w:r w:rsidR="00524056">
        <w:t xml:space="preserve"> for the Moomba to Adelaide pipeline</w:t>
      </w:r>
      <w:r w:rsidR="006902D5" w:rsidRPr="00524056">
        <w:t xml:space="preserve">. </w:t>
      </w:r>
      <w:r w:rsidR="007F4EDD" w:rsidRPr="00524056">
        <w:t xml:space="preserve">We are concerned by this increase </w:t>
      </w:r>
      <w:r w:rsidR="00426DE8" w:rsidRPr="00524056">
        <w:t xml:space="preserve">after </w:t>
      </w:r>
      <w:r w:rsidR="00543C9B">
        <w:t xml:space="preserve">previously </w:t>
      </w:r>
      <w:r w:rsidR="00426DE8" w:rsidRPr="00524056">
        <w:t xml:space="preserve">observing </w:t>
      </w:r>
      <w:r w:rsidR="00C04824">
        <w:t xml:space="preserve">a significantly lower number of errors during late 2012 and early 2013. Our investigations into </w:t>
      </w:r>
      <w:r w:rsidR="007931E0">
        <w:t xml:space="preserve">many of </w:t>
      </w:r>
      <w:r w:rsidR="00C04824">
        <w:t xml:space="preserve">these matters are ongoing. </w:t>
      </w:r>
      <w:r w:rsidR="00524056">
        <w:t>P</w:t>
      </w:r>
      <w:r w:rsidR="007F4EDD" w:rsidRPr="00524056">
        <w:t xml:space="preserve">articipants </w:t>
      </w:r>
      <w:r w:rsidR="00524056">
        <w:t xml:space="preserve">should review </w:t>
      </w:r>
      <w:r w:rsidR="007F4EDD" w:rsidRPr="00524056">
        <w:t xml:space="preserve">our </w:t>
      </w:r>
      <w:hyperlink r:id="rId17" w:history="1">
        <w:r w:rsidR="00B16DCE" w:rsidRPr="00543C9B">
          <w:rPr>
            <w:rStyle w:val="Hyperlink"/>
          </w:rPr>
          <w:t>Compliance</w:t>
        </w:r>
        <w:r w:rsidR="00B16DCE">
          <w:rPr>
            <w:rStyle w:val="Hyperlink"/>
          </w:rPr>
          <w:t> </w:t>
        </w:r>
        <w:r w:rsidR="00B16DCE" w:rsidRPr="00543C9B">
          <w:rPr>
            <w:rStyle w:val="Hyperlink"/>
          </w:rPr>
          <w:t>Bulletin N</w:t>
        </w:r>
        <w:r w:rsidR="00B16DCE">
          <w:rPr>
            <w:rStyle w:val="Hyperlink"/>
          </w:rPr>
          <w:t>o.</w:t>
        </w:r>
        <w:r w:rsidR="00B16DCE" w:rsidRPr="00543C9B">
          <w:rPr>
            <w:rStyle w:val="Hyperlink"/>
          </w:rPr>
          <w:t xml:space="preserve"> 7</w:t>
        </w:r>
      </w:hyperlink>
      <w:r w:rsidR="003516D7" w:rsidRPr="00524056">
        <w:t xml:space="preserve"> </w:t>
      </w:r>
      <w:r w:rsidR="00781859" w:rsidRPr="00524056">
        <w:t>which outlines our expectations regarding the provision of data and information for the STTM</w:t>
      </w:r>
      <w:r w:rsidR="00524056">
        <w:t xml:space="preserve"> and our approach to compliance in relation to these errors</w:t>
      </w:r>
      <w:r w:rsidR="003516D7" w:rsidRPr="00524056">
        <w:t>.</w:t>
      </w:r>
    </w:p>
    <w:p w:rsidR="00A812E5" w:rsidRPr="003C6FD0" w:rsidRDefault="00781859" w:rsidP="00097A82">
      <w:pPr>
        <w:pStyle w:val="AERbodytext"/>
      </w:pPr>
      <w:r w:rsidRPr="003C6FD0">
        <w:t>We also discuss counteracting market operator service (</w:t>
      </w:r>
      <w:r w:rsidRPr="003C6FD0">
        <w:rPr>
          <w:b/>
        </w:rPr>
        <w:t>MOS</w:t>
      </w:r>
      <w:r w:rsidRPr="003C6FD0">
        <w:t xml:space="preserve">) in the Adelaide </w:t>
      </w:r>
      <w:r w:rsidR="00543C9B">
        <w:t xml:space="preserve">STTM </w:t>
      </w:r>
      <w:r w:rsidRPr="003C6FD0">
        <w:t>h</w:t>
      </w:r>
      <w:r w:rsidR="00524056" w:rsidRPr="003C6FD0">
        <w:t>ub</w:t>
      </w:r>
      <w:r w:rsidR="00317962" w:rsidRPr="003C6FD0">
        <w:t xml:space="preserve">. High MOS service payments on a gas day last quarter triggered </w:t>
      </w:r>
      <w:r w:rsidR="003C6FD0" w:rsidRPr="003C6FD0">
        <w:t xml:space="preserve">one of </w:t>
      </w:r>
      <w:r w:rsidR="00317962" w:rsidRPr="003C6FD0">
        <w:t>the AER’s significant price variation</w:t>
      </w:r>
      <w:r w:rsidR="003C6FD0" w:rsidRPr="003C6FD0">
        <w:t xml:space="preserve"> (</w:t>
      </w:r>
      <w:r w:rsidR="003C6FD0" w:rsidRPr="003C6FD0">
        <w:rPr>
          <w:b/>
        </w:rPr>
        <w:t>SPV</w:t>
      </w:r>
      <w:r w:rsidR="003C6FD0" w:rsidRPr="003C6FD0">
        <w:t xml:space="preserve">) reporting triggers. </w:t>
      </w:r>
      <w:r w:rsidR="00543C9B">
        <w:t>We released the</w:t>
      </w:r>
      <w:r w:rsidR="003C6FD0" w:rsidRPr="003C6FD0">
        <w:t xml:space="preserve"> SPV report this quarter, outlining the factors that led to high MOS payments. </w:t>
      </w:r>
    </w:p>
    <w:p w:rsidR="003C6FD0" w:rsidRPr="00036810" w:rsidRDefault="003C6FD0" w:rsidP="003C5B3D">
      <w:pPr>
        <w:pStyle w:val="AERbodytext"/>
      </w:pPr>
      <w:r w:rsidRPr="00036810">
        <w:t>For the Victorian gas market, there</w:t>
      </w:r>
      <w:r w:rsidR="00317962" w:rsidRPr="00036810">
        <w:t xml:space="preserve"> is an update on remedial action</w:t>
      </w:r>
      <w:r w:rsidRPr="00036810">
        <w:t>s taken</w:t>
      </w:r>
      <w:r w:rsidR="00317962" w:rsidRPr="00036810">
        <w:t xml:space="preserve"> by </w:t>
      </w:r>
      <w:r w:rsidRPr="00036810">
        <w:t xml:space="preserve">Origin Energy </w:t>
      </w:r>
      <w:r w:rsidR="00317962" w:rsidRPr="00036810">
        <w:t xml:space="preserve">in relation to a </w:t>
      </w:r>
      <w:r w:rsidRPr="00036810">
        <w:t xml:space="preserve">number of demand forecasting errors which occurred </w:t>
      </w:r>
      <w:r w:rsidR="00036810">
        <w:t>last quarter</w:t>
      </w:r>
      <w:r w:rsidRPr="00036810">
        <w:t xml:space="preserve">. We also discuss how a system error led Multinet Gas to incorrectly calculate temperature sensitivity factor values which are used by AEMO for market settlement. </w:t>
      </w:r>
    </w:p>
    <w:p w:rsidR="00036810" w:rsidRPr="00543C9B" w:rsidRDefault="003C5B3D" w:rsidP="00036810">
      <w:pPr>
        <w:pStyle w:val="AERbodytext"/>
      </w:pPr>
      <w:r w:rsidRPr="00543C9B">
        <w:rPr>
          <w:szCs w:val="16"/>
        </w:rPr>
        <w:t xml:space="preserve">Chapter two </w:t>
      </w:r>
      <w:r w:rsidR="007C654A" w:rsidRPr="00543C9B">
        <w:rPr>
          <w:szCs w:val="16"/>
        </w:rPr>
        <w:t xml:space="preserve">contains </w:t>
      </w:r>
      <w:r w:rsidR="00542663" w:rsidRPr="00543C9B">
        <w:rPr>
          <w:szCs w:val="16"/>
        </w:rPr>
        <w:t xml:space="preserve">details of </w:t>
      </w:r>
      <w:r w:rsidR="007C654A" w:rsidRPr="00543C9B">
        <w:rPr>
          <w:szCs w:val="16"/>
        </w:rPr>
        <w:t>a number of electricity matters, such as</w:t>
      </w:r>
      <w:r w:rsidR="00F52B50" w:rsidRPr="00543C9B">
        <w:rPr>
          <w:szCs w:val="16"/>
        </w:rPr>
        <w:t>:</w:t>
      </w:r>
      <w:r w:rsidR="00036810" w:rsidRPr="00543C9B">
        <w:t xml:space="preserve"> </w:t>
      </w:r>
    </w:p>
    <w:p w:rsidR="00F52B50" w:rsidRPr="00543C9B" w:rsidRDefault="00F52B50" w:rsidP="00D1453F">
      <w:pPr>
        <w:pStyle w:val="AERbulletlistsecondstyle"/>
      </w:pPr>
      <w:r w:rsidRPr="00543C9B">
        <w:t xml:space="preserve">generator rebidding activities, including </w:t>
      </w:r>
      <w:r w:rsidR="00331043">
        <w:t>a</w:t>
      </w:r>
      <w:r w:rsidRPr="00543C9B">
        <w:t xml:space="preserve"> warning issued with respect to a rebid</w:t>
      </w:r>
    </w:p>
    <w:p w:rsidR="009A34DD" w:rsidRPr="00543C9B" w:rsidRDefault="00036810" w:rsidP="00D1453F">
      <w:pPr>
        <w:pStyle w:val="AERbulletlistsecondstyle"/>
      </w:pPr>
      <w:r w:rsidRPr="00543C9B">
        <w:t xml:space="preserve">a trip of </w:t>
      </w:r>
      <w:r w:rsidR="00543C9B">
        <w:t xml:space="preserve">Alinta Energy’s </w:t>
      </w:r>
      <w:r w:rsidRPr="00543C9B">
        <w:t xml:space="preserve">Northern Power Station </w:t>
      </w:r>
    </w:p>
    <w:p w:rsidR="00A45530" w:rsidRPr="00543C9B" w:rsidRDefault="00D1453F" w:rsidP="00574A06">
      <w:pPr>
        <w:pStyle w:val="AERbulletlistsecondstyle"/>
      </w:pPr>
      <w:r w:rsidRPr="00543C9B">
        <w:t xml:space="preserve">an update </w:t>
      </w:r>
      <w:r w:rsidR="00DA342F" w:rsidRPr="00543C9B">
        <w:t xml:space="preserve">on </w:t>
      </w:r>
      <w:r w:rsidRPr="00543C9B">
        <w:t>instrument transformer testing</w:t>
      </w:r>
      <w:r w:rsidR="00F52B50" w:rsidRPr="00543C9B">
        <w:t xml:space="preserve">, </w:t>
      </w:r>
      <w:r w:rsidR="00543C9B">
        <w:t xml:space="preserve">and </w:t>
      </w:r>
      <w:r w:rsidR="00F52B50" w:rsidRPr="00543C9B">
        <w:t>a reminder that 2013-14 testing should be underway</w:t>
      </w:r>
    </w:p>
    <w:p w:rsidR="00A45530" w:rsidRPr="00543C9B" w:rsidRDefault="00F52B50" w:rsidP="007C654A">
      <w:pPr>
        <w:pStyle w:val="AERbulletlistsecondstyle"/>
      </w:pPr>
      <w:proofErr w:type="gramStart"/>
      <w:r w:rsidRPr="00543C9B">
        <w:t>an</w:t>
      </w:r>
      <w:proofErr w:type="gramEnd"/>
      <w:r w:rsidRPr="00543C9B">
        <w:t xml:space="preserve"> introduction for </w:t>
      </w:r>
      <w:r w:rsidR="00DA342F" w:rsidRPr="00543C9B">
        <w:t xml:space="preserve">our </w:t>
      </w:r>
      <w:r w:rsidR="00C17047">
        <w:t xml:space="preserve">technical standards compliance program </w:t>
      </w:r>
      <w:r w:rsidR="00A45530" w:rsidRPr="00543C9B">
        <w:t xml:space="preserve">audit of </w:t>
      </w:r>
      <w:r w:rsidRPr="00543C9B">
        <w:t>AGL’s Mac</w:t>
      </w:r>
      <w:r w:rsidR="00543C9B" w:rsidRPr="00543C9B">
        <w:t>arthur wind farm, the first wind farm to be examined under this process</w:t>
      </w:r>
      <w:r w:rsidR="00A45530" w:rsidRPr="00543C9B">
        <w:t xml:space="preserve">. </w:t>
      </w:r>
    </w:p>
    <w:p w:rsidR="007C654A" w:rsidRPr="00543C9B" w:rsidRDefault="007C654A" w:rsidP="007C654A">
      <w:pPr>
        <w:pStyle w:val="AERbodytext"/>
      </w:pPr>
      <w:r w:rsidRPr="00543C9B">
        <w:t>Of particular note</w:t>
      </w:r>
      <w:r w:rsidR="00543C9B">
        <w:t xml:space="preserve"> in electricity</w:t>
      </w:r>
      <w:r w:rsidRPr="00543C9B">
        <w:t xml:space="preserve"> </w:t>
      </w:r>
      <w:r w:rsidR="00DA342F" w:rsidRPr="00543C9B">
        <w:t xml:space="preserve">is </w:t>
      </w:r>
      <w:r w:rsidR="00F52B50" w:rsidRPr="00543C9B">
        <w:t>a clarification of our expectations for generators following dispatch instructions</w:t>
      </w:r>
      <w:r w:rsidR="00BE518D">
        <w:t>, following our strategic compliance project in this area in 2012</w:t>
      </w:r>
      <w:r w:rsidR="00F52B50" w:rsidRPr="00543C9B">
        <w:t xml:space="preserve">. We </w:t>
      </w:r>
      <w:r w:rsidR="00543C9B">
        <w:t xml:space="preserve">emphasise </w:t>
      </w:r>
      <w:r w:rsidR="00F52B50" w:rsidRPr="00543C9B">
        <w:t xml:space="preserve">that divergences for single dispatch intervals and under any market conditions can </w:t>
      </w:r>
      <w:r w:rsidR="00C17047">
        <w:t>raise compliance concerns</w:t>
      </w:r>
      <w:r w:rsidR="00F52B50" w:rsidRPr="00543C9B">
        <w:t xml:space="preserve">. </w:t>
      </w:r>
      <w:r w:rsidR="00AA5257">
        <w:t>I</w:t>
      </w:r>
      <w:r w:rsidR="00BE518D">
        <w:t xml:space="preserve">n this project </w:t>
      </w:r>
      <w:r w:rsidR="00F52B50" w:rsidRPr="00543C9B">
        <w:t xml:space="preserve">we </w:t>
      </w:r>
      <w:r w:rsidR="00543C9B">
        <w:t xml:space="preserve">generally focused on </w:t>
      </w:r>
      <w:r w:rsidR="00F52B50" w:rsidRPr="00543C9B">
        <w:t xml:space="preserve">prolonged periods of divergence from target, however we have adjusted our </w:t>
      </w:r>
      <w:r w:rsidR="00BE518D">
        <w:t xml:space="preserve">business-as-usual </w:t>
      </w:r>
      <w:r w:rsidR="00F52B50" w:rsidRPr="00543C9B">
        <w:t xml:space="preserve">monitoring mechanisms to identify all divergences. </w:t>
      </w:r>
    </w:p>
    <w:bookmarkEnd w:id="26"/>
    <w:bookmarkEnd w:id="27"/>
    <w:p w:rsidR="00907514" w:rsidRPr="00641BD9" w:rsidRDefault="00907514" w:rsidP="00EE7934">
      <w:pPr>
        <w:pStyle w:val="AERbodytext"/>
        <w:rPr>
          <w:lang w:eastAsia="en-AU"/>
        </w:rPr>
      </w:pPr>
      <w:r w:rsidRPr="000C6B8F">
        <w:rPr>
          <w:szCs w:val="16"/>
        </w:rPr>
        <w:t xml:space="preserve">For those readers from network businesses, sections </w:t>
      </w:r>
      <w:r w:rsidR="00C25E6E" w:rsidRPr="000C6B8F">
        <w:rPr>
          <w:szCs w:val="16"/>
        </w:rPr>
        <w:t>2.</w:t>
      </w:r>
      <w:r w:rsidR="000C6B8F" w:rsidRPr="000C6B8F">
        <w:rPr>
          <w:szCs w:val="16"/>
        </w:rPr>
        <w:t>3</w:t>
      </w:r>
      <w:r w:rsidR="00B228D3" w:rsidRPr="000C6B8F">
        <w:rPr>
          <w:szCs w:val="16"/>
        </w:rPr>
        <w:t> </w:t>
      </w:r>
      <w:r w:rsidR="00C25E6E" w:rsidRPr="000C6B8F">
        <w:rPr>
          <w:szCs w:val="16"/>
        </w:rPr>
        <w:t>(</w:t>
      </w:r>
      <w:r w:rsidR="00036810">
        <w:rPr>
          <w:szCs w:val="16"/>
        </w:rPr>
        <w:t>electricity metering metrics</w:t>
      </w:r>
      <w:r w:rsidR="00417DEF" w:rsidRPr="000C6B8F">
        <w:rPr>
          <w:szCs w:val="16"/>
        </w:rPr>
        <w:t>) and</w:t>
      </w:r>
      <w:r w:rsidR="00C25E6E" w:rsidRPr="000C6B8F">
        <w:rPr>
          <w:szCs w:val="16"/>
        </w:rPr>
        <w:t xml:space="preserve"> </w:t>
      </w:r>
      <w:r w:rsidR="00417DEF" w:rsidRPr="000C6B8F">
        <w:rPr>
          <w:szCs w:val="16"/>
        </w:rPr>
        <w:t>2.</w:t>
      </w:r>
      <w:r w:rsidR="000C6B8F" w:rsidRPr="000C6B8F">
        <w:rPr>
          <w:szCs w:val="16"/>
        </w:rPr>
        <w:t>5</w:t>
      </w:r>
      <w:r w:rsidR="00036810">
        <w:rPr>
          <w:szCs w:val="16"/>
        </w:rPr>
        <w:t> </w:t>
      </w:r>
      <w:r w:rsidR="00417DEF" w:rsidRPr="000C6B8F">
        <w:rPr>
          <w:szCs w:val="16"/>
        </w:rPr>
        <w:t>(</w:t>
      </w:r>
      <w:r w:rsidR="000C6B8F" w:rsidRPr="000C6B8F">
        <w:rPr>
          <w:szCs w:val="16"/>
        </w:rPr>
        <w:t>electricity transmission connections</w:t>
      </w:r>
      <w:r w:rsidR="00417DEF" w:rsidRPr="000C6B8F">
        <w:rPr>
          <w:szCs w:val="16"/>
        </w:rPr>
        <w:t>)</w:t>
      </w:r>
      <w:r w:rsidRPr="000C6B8F">
        <w:rPr>
          <w:szCs w:val="16"/>
        </w:rPr>
        <w:t xml:space="preserve"> will be of particular interest.</w:t>
      </w:r>
      <w:r>
        <w:rPr>
          <w:szCs w:val="16"/>
        </w:rPr>
        <w:t xml:space="preserve"> </w:t>
      </w:r>
    </w:p>
    <w:p w:rsidR="00273AF7" w:rsidRPr="00860DB5" w:rsidRDefault="007D5491" w:rsidP="001F2CA4">
      <w:pPr>
        <w:pStyle w:val="UnnumberedHeading"/>
        <w:numPr>
          <w:ilvl w:val="0"/>
          <w:numId w:val="0"/>
        </w:numPr>
      </w:pPr>
      <w:bookmarkStart w:id="28" w:name="_Toc370218453"/>
      <w:bookmarkEnd w:id="22"/>
      <w:bookmarkEnd w:id="23"/>
      <w:r w:rsidRPr="00860DB5">
        <w:lastRenderedPageBreak/>
        <w:t>Background</w:t>
      </w:r>
      <w:bookmarkEnd w:id="28"/>
    </w:p>
    <w:p w:rsidR="00A10D28" w:rsidRPr="00E0671E" w:rsidRDefault="00631881" w:rsidP="00634993">
      <w:pPr>
        <w:pStyle w:val="AERbodytext"/>
        <w:spacing w:after="220"/>
      </w:pPr>
      <w:r>
        <w:t>The AER is</w:t>
      </w:r>
      <w:r w:rsidRPr="00E0671E">
        <w:t xml:space="preserve"> </w:t>
      </w:r>
      <w:r w:rsidR="00A10D28" w:rsidRPr="00E0671E">
        <w:t xml:space="preserve">responsible for monitoring compliance and enforcement under legislation and rules governing Australia’s wholesale energy markets, including those applying to Network Service Providers. Section 15 of the Electricity Law and section 27 of the Gas Law set out </w:t>
      </w:r>
      <w:r>
        <w:t>our</w:t>
      </w:r>
      <w:r w:rsidRPr="00E0671E">
        <w:t xml:space="preserve"> </w:t>
      </w:r>
      <w:r w:rsidR="00A10D28" w:rsidRPr="00E0671E">
        <w:t>functions and powers, which include:</w:t>
      </w:r>
    </w:p>
    <w:p w:rsidR="00AA5B35" w:rsidRDefault="00A10D28" w:rsidP="00AA5B35">
      <w:pPr>
        <w:pStyle w:val="AERbulletlistsecondstyle"/>
      </w:pPr>
      <w:r w:rsidRPr="00E0671E">
        <w:t>monitoring compliance by energy industry participants</w:t>
      </w:r>
      <w:r w:rsidR="0082230C">
        <w:rPr>
          <w:rStyle w:val="FootnoteReference"/>
        </w:rPr>
        <w:footnoteReference w:id="2"/>
      </w:r>
      <w:r w:rsidRPr="00E0671E">
        <w:t xml:space="preserve"> and other persons</w:t>
      </w:r>
    </w:p>
    <w:p w:rsidR="00AA5B35" w:rsidRDefault="00A10D28" w:rsidP="00AA5B35">
      <w:pPr>
        <w:pStyle w:val="AERbulletlistsecondstyle"/>
      </w:pPr>
      <w:proofErr w:type="gramStart"/>
      <w:r w:rsidRPr="00E0671E">
        <w:t>investigating</w:t>
      </w:r>
      <w:proofErr w:type="gramEnd"/>
      <w:r w:rsidRPr="00E0671E">
        <w:t xml:space="preserve"> breaches, or possible breaches, of provisions of the legislative instruments under </w:t>
      </w:r>
      <w:r w:rsidR="00C506DD">
        <w:t>our</w:t>
      </w:r>
      <w:r w:rsidRPr="00E0671E">
        <w:t xml:space="preserve"> jurisdiction.</w:t>
      </w:r>
    </w:p>
    <w:p w:rsidR="009930C1" w:rsidRPr="00E0671E" w:rsidRDefault="009930C1" w:rsidP="00634993">
      <w:pPr>
        <w:pStyle w:val="AERbodytext"/>
        <w:spacing w:after="220"/>
      </w:pPr>
      <w:r w:rsidRPr="00E0671E">
        <w:rPr>
          <w:lang w:eastAsia="en-AU"/>
        </w:rPr>
        <w:t xml:space="preserve">Consistent with </w:t>
      </w:r>
      <w:r w:rsidR="00631881">
        <w:rPr>
          <w:lang w:eastAsia="en-AU"/>
        </w:rPr>
        <w:t>our</w:t>
      </w:r>
      <w:r w:rsidR="00631881" w:rsidRPr="00E0671E">
        <w:rPr>
          <w:lang w:eastAsia="en-AU"/>
        </w:rPr>
        <w:t xml:space="preserve"> </w:t>
      </w:r>
      <w:hyperlink r:id="rId18" w:history="1">
        <w:r w:rsidR="00CB7808" w:rsidRPr="00543C9B">
          <w:rPr>
            <w:rStyle w:val="Hyperlink"/>
            <w:lang w:eastAsia="en-AU"/>
          </w:rPr>
          <w:t>statement of approach</w:t>
        </w:r>
      </w:hyperlink>
      <w:r w:rsidRPr="00E0671E">
        <w:rPr>
          <w:lang w:eastAsia="en-AU"/>
        </w:rPr>
        <w:t xml:space="preserve">, </w:t>
      </w:r>
      <w:r w:rsidR="00631881">
        <w:t xml:space="preserve">we </w:t>
      </w:r>
      <w:r w:rsidRPr="00E0671E">
        <w:t xml:space="preserve">aim to promote high levels of compliance, and seek to build a culture of compliance in </w:t>
      </w:r>
      <w:r w:rsidR="008A20B0" w:rsidRPr="00E0671E">
        <w:t>the</w:t>
      </w:r>
      <w:r w:rsidRPr="00E0671E">
        <w:t xml:space="preserve"> energy industry. A culture of compliance will:</w:t>
      </w:r>
    </w:p>
    <w:p w:rsidR="00AA5B35" w:rsidRDefault="009930C1" w:rsidP="00AA5B35">
      <w:pPr>
        <w:pStyle w:val="AERbulletlistsecondstyle"/>
      </w:pPr>
      <w:r w:rsidRPr="00E0671E">
        <w:t>reduce the risk of industry participants breaching their regulatory obligations</w:t>
      </w:r>
    </w:p>
    <w:p w:rsidR="00AA5B35" w:rsidRDefault="00783406" w:rsidP="00AA5B35">
      <w:pPr>
        <w:pStyle w:val="AERbulletlistsecondstyle"/>
      </w:pPr>
      <w:proofErr w:type="gramStart"/>
      <w:r>
        <w:t>assist</w:t>
      </w:r>
      <w:proofErr w:type="gramEnd"/>
      <w:r>
        <w:t xml:space="preserve"> in </w:t>
      </w:r>
      <w:r w:rsidR="009930C1" w:rsidRPr="00E0671E">
        <w:t>ensur</w:t>
      </w:r>
      <w:r>
        <w:t>ing</w:t>
      </w:r>
      <w:r w:rsidR="009930C1" w:rsidRPr="00E0671E">
        <w:t xml:space="preserve"> industry participants can engage confidently in </w:t>
      </w:r>
      <w:r>
        <w:t>efficient energy markets</w:t>
      </w:r>
      <w:r w:rsidR="009930C1" w:rsidRPr="00E0671E">
        <w:t>.</w:t>
      </w:r>
    </w:p>
    <w:p w:rsidR="009930C1" w:rsidRPr="00E0671E" w:rsidRDefault="009930C1" w:rsidP="00634993">
      <w:pPr>
        <w:pStyle w:val="AERbodytext"/>
        <w:spacing w:after="220"/>
      </w:pPr>
      <w:r w:rsidRPr="00E0671E">
        <w:t xml:space="preserve">As part of this process, </w:t>
      </w:r>
      <w:r w:rsidR="00631881">
        <w:t>we</w:t>
      </w:r>
      <w:r w:rsidRPr="00E0671E">
        <w:t xml:space="preserve"> undertake a continuous compliance risk assessment of the Electricity and Gas Rules to identify appropriate focus areas and monitoring</w:t>
      </w:r>
      <w:r w:rsidR="009F0901" w:rsidRPr="00E0671E">
        <w:t>/compliance</w:t>
      </w:r>
      <w:r w:rsidRPr="00E0671E">
        <w:t xml:space="preserve"> mechanisms. These mechanisms include </w:t>
      </w:r>
      <w:r w:rsidR="003829E0" w:rsidRPr="00E0671E">
        <w:t xml:space="preserve">our </w:t>
      </w:r>
      <w:r w:rsidR="009F0901" w:rsidRPr="00E0671E">
        <w:t>strategi</w:t>
      </w:r>
      <w:r w:rsidR="003829E0" w:rsidRPr="00E0671E">
        <w:t xml:space="preserve">c compliance projects, </w:t>
      </w:r>
      <w:r w:rsidRPr="00E0671E">
        <w:t xml:space="preserve">audits, </w:t>
      </w:r>
      <w:proofErr w:type="gramStart"/>
      <w:r w:rsidRPr="00E0671E">
        <w:t>the</w:t>
      </w:r>
      <w:proofErr w:type="gramEnd"/>
      <w:r w:rsidRPr="00E0671E">
        <w:t xml:space="preserve"> imposition of reporting requirements, market monitoring, and targeted compliance reviews.</w:t>
      </w:r>
      <w:r w:rsidRPr="00E0671E">
        <w:rPr>
          <w:rStyle w:val="FootnoteReference"/>
        </w:rPr>
        <w:footnoteReference w:id="3"/>
      </w:r>
    </w:p>
    <w:p w:rsidR="009930C1" w:rsidRPr="00E0671E" w:rsidRDefault="009930C1" w:rsidP="00634993">
      <w:pPr>
        <w:pStyle w:val="AERbodytext"/>
        <w:spacing w:after="220"/>
        <w:rPr>
          <w:lang w:eastAsia="en-AU"/>
        </w:rPr>
      </w:pPr>
      <w:r w:rsidRPr="00E0671E">
        <w:rPr>
          <w:lang w:eastAsia="en-AU"/>
        </w:rPr>
        <w:t xml:space="preserve">In selecting the areas for review, </w:t>
      </w:r>
      <w:r w:rsidR="00631881">
        <w:rPr>
          <w:lang w:eastAsia="en-AU"/>
        </w:rPr>
        <w:t>we</w:t>
      </w:r>
      <w:r w:rsidRPr="00E0671E">
        <w:rPr>
          <w:lang w:eastAsia="en-AU"/>
        </w:rPr>
        <w:t xml:space="preserve"> adopt the following principles:</w:t>
      </w:r>
    </w:p>
    <w:p w:rsidR="00AA5B35" w:rsidRDefault="009930C1" w:rsidP="00AA5B35">
      <w:pPr>
        <w:pStyle w:val="AERbulletlistsecondstyle"/>
      </w:pPr>
      <w:r w:rsidRPr="00E0671E">
        <w:t>consideration of risk (the greater the risk, the higher the priority)</w:t>
      </w:r>
    </w:p>
    <w:p w:rsidR="00AA5B35" w:rsidRDefault="009930C1" w:rsidP="00AA5B35">
      <w:pPr>
        <w:pStyle w:val="AERbulletlistsecondstyle"/>
      </w:pPr>
      <w:proofErr w:type="gramStart"/>
      <w:r w:rsidRPr="00E0671E">
        <w:t>a</w:t>
      </w:r>
      <w:proofErr w:type="gramEnd"/>
      <w:r w:rsidRPr="00E0671E">
        <w:t xml:space="preserve"> commitment to ensuring that both systemic issues and those with the potential for isolated but significant impact are addressed.</w:t>
      </w:r>
    </w:p>
    <w:p w:rsidR="00AA5B35" w:rsidRDefault="009930C1" w:rsidP="00CF20CC">
      <w:pPr>
        <w:pStyle w:val="AERbulletlistsecondstyle"/>
        <w:numPr>
          <w:ilvl w:val="0"/>
          <w:numId w:val="0"/>
        </w:numPr>
      </w:pPr>
      <w:r w:rsidRPr="00E0671E">
        <w:t xml:space="preserve">In carrying out </w:t>
      </w:r>
      <w:r w:rsidR="00AD3313">
        <w:t>our</w:t>
      </w:r>
      <w:r w:rsidR="00AD3313" w:rsidRPr="00E0671E">
        <w:t xml:space="preserve"> </w:t>
      </w:r>
      <w:r w:rsidRPr="00E0671E">
        <w:t xml:space="preserve">monitoring functions, </w:t>
      </w:r>
      <w:r w:rsidR="00631881">
        <w:t>we</w:t>
      </w:r>
      <w:r w:rsidRPr="00E0671E">
        <w:t xml:space="preserve"> aim for:</w:t>
      </w:r>
    </w:p>
    <w:p w:rsidR="00AA5B35" w:rsidRDefault="009930C1" w:rsidP="00AA5B35">
      <w:pPr>
        <w:pStyle w:val="AERbulletlistsecondstyle"/>
      </w:pPr>
      <w:r w:rsidRPr="00E0671E">
        <w:t>cost effectiveness for energy industry participants and the AER</w:t>
      </w:r>
    </w:p>
    <w:p w:rsidR="00AA5B35" w:rsidRDefault="009930C1" w:rsidP="00AA5B35">
      <w:pPr>
        <w:pStyle w:val="AERbulletlistsecondstyle"/>
      </w:pPr>
      <w:proofErr w:type="gramStart"/>
      <w:r w:rsidRPr="00E0671E">
        <w:t>transparency</w:t>
      </w:r>
      <w:proofErr w:type="gramEnd"/>
      <w:r w:rsidRPr="00E0671E">
        <w:t xml:space="preserve"> (subject to confidentiality requirements).</w:t>
      </w:r>
    </w:p>
    <w:p w:rsidR="00A46922" w:rsidRDefault="009930C1" w:rsidP="00B4653F">
      <w:pPr>
        <w:pStyle w:val="AERbodytext"/>
        <w:spacing w:after="220"/>
        <w:rPr>
          <w:lang w:eastAsia="en-AU"/>
        </w:rPr>
      </w:pPr>
      <w:r w:rsidRPr="00E0671E">
        <w:rPr>
          <w:lang w:eastAsia="en-AU"/>
        </w:rPr>
        <w:t xml:space="preserve">While most obligations under the Electricity and Gas Rules do not require registered participants to establish specific compliance programs, </w:t>
      </w:r>
      <w:r w:rsidR="00631881">
        <w:rPr>
          <w:lang w:eastAsia="en-AU"/>
        </w:rPr>
        <w:t>we</w:t>
      </w:r>
      <w:r w:rsidRPr="00E0671E">
        <w:rPr>
          <w:lang w:eastAsia="en-AU"/>
        </w:rPr>
        <w:t xml:space="preserve"> take into account a participant’s compliance framework when determining response</w:t>
      </w:r>
      <w:r w:rsidR="00631881">
        <w:rPr>
          <w:lang w:eastAsia="en-AU"/>
        </w:rPr>
        <w:t>s</w:t>
      </w:r>
      <w:r w:rsidRPr="00E0671E">
        <w:rPr>
          <w:lang w:eastAsia="en-AU"/>
        </w:rPr>
        <w:t xml:space="preserve"> to breaches. In assessing compliance culture, </w:t>
      </w:r>
      <w:r w:rsidR="00631881">
        <w:rPr>
          <w:lang w:eastAsia="en-AU"/>
        </w:rPr>
        <w:t>we</w:t>
      </w:r>
      <w:r w:rsidRPr="00E0671E">
        <w:rPr>
          <w:lang w:eastAsia="en-AU"/>
        </w:rPr>
        <w:t xml:space="preserve"> consider whether compliance programs and processes are effectively applied, up-to-date and tested regularly. </w:t>
      </w:r>
      <w:bookmarkStart w:id="29" w:name="_Toc337553427"/>
      <w:bookmarkStart w:id="30" w:name="_Ref353362800"/>
      <w:bookmarkStart w:id="31" w:name="_Toc316978871"/>
      <w:bookmarkStart w:id="32" w:name="_Toc317520247"/>
    </w:p>
    <w:p w:rsidR="00DC724B" w:rsidRPr="00860DB5" w:rsidRDefault="001E70D1" w:rsidP="00EB4DE8">
      <w:pPr>
        <w:pStyle w:val="QCRHeading1"/>
      </w:pPr>
      <w:bookmarkStart w:id="33" w:name="_Toc370218454"/>
      <w:r w:rsidRPr="00860DB5">
        <w:lastRenderedPageBreak/>
        <w:t>G</w:t>
      </w:r>
      <w:r w:rsidR="00CA4066" w:rsidRPr="00860DB5">
        <w:t>as</w:t>
      </w:r>
      <w:bookmarkEnd w:id="29"/>
      <w:bookmarkEnd w:id="30"/>
      <w:bookmarkEnd w:id="33"/>
    </w:p>
    <w:p w:rsidR="00CA4066" w:rsidRPr="00405B4F" w:rsidRDefault="00DC3257" w:rsidP="00B61F5E">
      <w:pPr>
        <w:pStyle w:val="AERbodytext"/>
      </w:pPr>
      <w:r>
        <w:t>We are</w:t>
      </w:r>
      <w:r w:rsidR="00CA4066" w:rsidRPr="00405B4F">
        <w:t xml:space="preserve"> responsible for monitoring, investigating and enforcing compliance with the Gas Law and Rules, including but not limited to, </w:t>
      </w:r>
      <w:r w:rsidR="00B25981" w:rsidRPr="00405B4F">
        <w:t>the</w:t>
      </w:r>
      <w:r w:rsidR="005F3AA2" w:rsidRPr="00405B4F">
        <w:t xml:space="preserve"> Short Term Trading Market (</w:t>
      </w:r>
      <w:r w:rsidR="005F3AA2" w:rsidRPr="00405B4F">
        <w:rPr>
          <w:b/>
        </w:rPr>
        <w:t>STTM</w:t>
      </w:r>
      <w:r w:rsidR="005F3AA2" w:rsidRPr="00405B4F">
        <w:t>)</w:t>
      </w:r>
      <w:r w:rsidR="00B25981" w:rsidRPr="00405B4F">
        <w:t>, the Victorian gas market and the Bulletin Board</w:t>
      </w:r>
      <w:r w:rsidR="00CA4066" w:rsidRPr="00405B4F">
        <w:t>.</w:t>
      </w:r>
    </w:p>
    <w:p w:rsidR="00CA4066" w:rsidRDefault="00CA4066" w:rsidP="00B61F5E">
      <w:pPr>
        <w:pStyle w:val="AERbodytext"/>
      </w:pPr>
      <w:r w:rsidRPr="00405B4F">
        <w:t>This part of the report provides an update on investigations</w:t>
      </w:r>
      <w:r w:rsidR="00783406">
        <w:t>,</w:t>
      </w:r>
      <w:r w:rsidRPr="00405B4F">
        <w:t xml:space="preserve"> compliance matters </w:t>
      </w:r>
      <w:r w:rsidR="00783406">
        <w:t xml:space="preserve">and projects </w:t>
      </w:r>
      <w:r w:rsidRPr="00405B4F">
        <w:t>in the gas markets.</w:t>
      </w:r>
      <w:r>
        <w:t xml:space="preserve"> </w:t>
      </w:r>
    </w:p>
    <w:p w:rsidR="008259AF" w:rsidRPr="002C7158" w:rsidRDefault="00CA4066" w:rsidP="002C7158">
      <w:pPr>
        <w:pStyle w:val="QCRunnumberedunboldheading"/>
      </w:pPr>
      <w:bookmarkStart w:id="34" w:name="_Toc307317343"/>
      <w:bookmarkStart w:id="35" w:name="_Toc330814064"/>
      <w:bookmarkStart w:id="36" w:name="_Toc370218455"/>
      <w:r w:rsidRPr="002C7158">
        <w:t>Short Term Trading Market</w:t>
      </w:r>
      <w:bookmarkEnd w:id="34"/>
      <w:bookmarkEnd w:id="35"/>
      <w:bookmarkEnd w:id="36"/>
    </w:p>
    <w:p w:rsidR="00ED7BB4" w:rsidRDefault="00BF4F53">
      <w:pPr>
        <w:pStyle w:val="AERbodytext"/>
      </w:pPr>
      <w:r w:rsidRPr="009D0732">
        <w:t>Part 20 of the Gas Rules sets out participants’ responsibilities within the STTM</w:t>
      </w:r>
      <w:r w:rsidR="00FD516E">
        <w:t>,</w:t>
      </w:r>
      <w:r w:rsidRPr="009D0732">
        <w:t xml:space="preserve"> which encompasses three gas trading hubs: Adelaide, Sydney and Brisbane. The rules outline how wholesale gas is traded and include requirements for pipeline operators to submit pipeline capacity </w:t>
      </w:r>
      <w:r w:rsidR="00D476F6">
        <w:t>and allocation (gas</w:t>
      </w:r>
      <w:r w:rsidR="006809E7">
        <w:t> </w:t>
      </w:r>
      <w:r w:rsidR="00D476F6">
        <w:t>flow) data.</w:t>
      </w:r>
    </w:p>
    <w:p w:rsidR="00EE2EF7" w:rsidRDefault="00EE2EF7" w:rsidP="00EE2EF7">
      <w:pPr>
        <w:pStyle w:val="AERheading2"/>
        <w:tabs>
          <w:tab w:val="clear" w:pos="2484"/>
          <w:tab w:val="num" w:pos="357"/>
        </w:tabs>
        <w:ind w:left="357"/>
      </w:pPr>
      <w:bookmarkStart w:id="37" w:name="_Toc370218456"/>
      <w:r>
        <w:t>Capacity and allocation data quality</w:t>
      </w:r>
      <w:bookmarkEnd w:id="37"/>
    </w:p>
    <w:p w:rsidR="00867CC9" w:rsidRPr="00867CC9" w:rsidRDefault="00867CC9" w:rsidP="00867CC9">
      <w:pPr>
        <w:pStyle w:val="AERbodytext"/>
      </w:pPr>
      <w:r w:rsidRPr="00867CC9">
        <w:t xml:space="preserve">This quarter we continued to monitor the quality of STTM data. Figure 1.1 below illustrates the performance of STTM participants in submitting capacity and allocation data from the start of the STTM to September 2013. Data failures are categorised as relating to either ‘missing/late’ or ‘erroneous’ data. </w:t>
      </w:r>
    </w:p>
    <w:p w:rsidR="00867CC9" w:rsidRPr="00372CBB" w:rsidRDefault="00867CC9" w:rsidP="00867CC9">
      <w:pPr>
        <w:pStyle w:val="AERfigureheading"/>
      </w:pPr>
      <w:r w:rsidRPr="00372CBB">
        <w:t>Data failures since STTM commencement</w:t>
      </w:r>
    </w:p>
    <w:p w:rsidR="00867CC9" w:rsidRDefault="00D46208" w:rsidP="00867CC9">
      <w:pPr>
        <w:pStyle w:val="AERbodytext"/>
        <w:spacing w:after="0"/>
        <w:rPr>
          <w:sz w:val="16"/>
          <w:szCs w:val="16"/>
        </w:rPr>
      </w:pPr>
      <w:r>
        <w:rPr>
          <w:noProof/>
          <w:lang w:eastAsia="en-AU"/>
        </w:rPr>
        <w:pict>
          <v:shape id="Picture 2" o:spid="_x0000_i1025" type="#_x0000_t75" alt="Data failures since STTM commencement" style="width:451pt;height:201pt;visibility:visible;mso-wrap-style:square">
            <v:imagedata r:id="rId19" o:title=""/>
          </v:shape>
        </w:pict>
      </w:r>
    </w:p>
    <w:p w:rsidR="00867CC9" w:rsidRDefault="00867CC9" w:rsidP="00867CC9">
      <w:pPr>
        <w:pStyle w:val="AERbodytext"/>
        <w:spacing w:after="0"/>
        <w:rPr>
          <w:sz w:val="16"/>
          <w:szCs w:val="16"/>
        </w:rPr>
      </w:pPr>
    </w:p>
    <w:p w:rsidR="00867CC9" w:rsidRPr="00867CC9" w:rsidRDefault="00867CC9" w:rsidP="00867CC9">
      <w:pPr>
        <w:pStyle w:val="AERbodytext"/>
        <w:rPr>
          <w:sz w:val="16"/>
          <w:szCs w:val="16"/>
        </w:rPr>
      </w:pPr>
      <w:r w:rsidRPr="00867CC9">
        <w:rPr>
          <w:sz w:val="16"/>
          <w:szCs w:val="16"/>
        </w:rPr>
        <w:t xml:space="preserve">* September 2010 has been grouped with the December 2010 quarter. Therefore, this data point represents four months. </w:t>
      </w:r>
    </w:p>
    <w:p w:rsidR="00867CC9" w:rsidRPr="00867CC9" w:rsidRDefault="00867CC9" w:rsidP="00867CC9">
      <w:pPr>
        <w:pStyle w:val="AERbodytext"/>
      </w:pPr>
      <w:r w:rsidRPr="00867CC9">
        <w:t xml:space="preserve">Against the recent trend of general improvement in the quality of data provided to the STTM, six data </w:t>
      </w:r>
      <w:r w:rsidR="00C17047">
        <w:t xml:space="preserve">failures </w:t>
      </w:r>
      <w:r w:rsidRPr="00867CC9">
        <w:t xml:space="preserve">occurred this quarter, four of them </w:t>
      </w:r>
      <w:r w:rsidR="00C17047">
        <w:t xml:space="preserve">involving </w:t>
      </w:r>
      <w:r w:rsidR="006809E7">
        <w:t>Epic Energy (see section 1.</w:t>
      </w:r>
      <w:r w:rsidR="00A841BA">
        <w:t>2</w:t>
      </w:r>
      <w:r w:rsidRPr="00867CC9">
        <w:t xml:space="preserve"> below).</w:t>
      </w:r>
    </w:p>
    <w:p w:rsidR="00EE2EF7" w:rsidRDefault="00867CC9">
      <w:pPr>
        <w:pStyle w:val="AERbodytext"/>
      </w:pPr>
      <w:r w:rsidRPr="00867CC9">
        <w:t xml:space="preserve">A failure to provide accurate and timely data can lead to inefficient pricing signals and market outcomes, resulting in inappropriate wealth transfers between participants. It may also undermine the integrity and reliability of the STTM, discouraging potential entrants or even causing participants to exit the market. </w:t>
      </w:r>
    </w:p>
    <w:p w:rsidR="001C50A7" w:rsidRPr="00867CC9" w:rsidRDefault="001C50A7">
      <w:pPr>
        <w:pStyle w:val="AERbodytext"/>
      </w:pPr>
      <w:r>
        <w:lastRenderedPageBreak/>
        <w:t>We are concerned with this quarter’s spike in STTM capacity and allocation data errors</w:t>
      </w:r>
      <w:r w:rsidR="00543C9B">
        <w:t xml:space="preserve"> and encourage participants to review our </w:t>
      </w:r>
      <w:hyperlink r:id="rId20" w:history="1">
        <w:r w:rsidR="00543C9B" w:rsidRPr="00543C9B">
          <w:rPr>
            <w:rStyle w:val="Hyperlink"/>
          </w:rPr>
          <w:t>Compliance Bulletin N</w:t>
        </w:r>
        <w:r w:rsidR="00543C9B">
          <w:rPr>
            <w:rStyle w:val="Hyperlink"/>
          </w:rPr>
          <w:t>o.</w:t>
        </w:r>
        <w:r w:rsidR="00543C9B" w:rsidRPr="00543C9B">
          <w:rPr>
            <w:rStyle w:val="Hyperlink"/>
          </w:rPr>
          <w:t xml:space="preserve"> 7</w:t>
        </w:r>
      </w:hyperlink>
      <w:r w:rsidR="00543C9B">
        <w:t xml:space="preserve"> </w:t>
      </w:r>
      <w:r w:rsidR="00543C9B" w:rsidRPr="00524056">
        <w:t xml:space="preserve">which outlines our expectations regarding the provision of </w:t>
      </w:r>
      <w:r w:rsidR="00543C9B">
        <w:t xml:space="preserve">this </w:t>
      </w:r>
      <w:r w:rsidR="00543C9B" w:rsidRPr="00524056">
        <w:t xml:space="preserve">data and information </w:t>
      </w:r>
      <w:r w:rsidR="00543C9B">
        <w:t>and our approach to compliance in relation to these errors.</w:t>
      </w:r>
      <w:r>
        <w:t xml:space="preserve"> </w:t>
      </w:r>
    </w:p>
    <w:p w:rsidR="00867CC9" w:rsidRDefault="00867CC9" w:rsidP="00867CC9">
      <w:pPr>
        <w:pStyle w:val="AERheading2"/>
        <w:tabs>
          <w:tab w:val="clear" w:pos="2484"/>
          <w:tab w:val="num" w:pos="357"/>
        </w:tabs>
        <w:ind w:left="357"/>
      </w:pPr>
      <w:bookmarkStart w:id="38" w:name="_Toc370218457"/>
      <w:r>
        <w:t>Epic Energy</w:t>
      </w:r>
      <w:r>
        <w:rPr>
          <w:rFonts w:cs="Gautami"/>
        </w:rPr>
        <w:t>—incorrect, missing and late STTM data</w:t>
      </w:r>
      <w:bookmarkEnd w:id="38"/>
    </w:p>
    <w:p w:rsidR="00867CC9" w:rsidRPr="00622D42" w:rsidRDefault="00C17047" w:rsidP="00867CC9">
      <w:pPr>
        <w:pStyle w:val="AERbodytext"/>
        <w:rPr>
          <w:lang w:eastAsia="ja-JP"/>
        </w:rPr>
      </w:pPr>
      <w:r>
        <w:t xml:space="preserve">As </w:t>
      </w:r>
      <w:r w:rsidR="00264270">
        <w:t xml:space="preserve">stated </w:t>
      </w:r>
      <w:r>
        <w:t>above, t</w:t>
      </w:r>
      <w:r w:rsidR="00867CC9" w:rsidRPr="00622D42">
        <w:t xml:space="preserve">his quarter Epic Energy </w:t>
      </w:r>
      <w:r w:rsidR="00867CC9">
        <w:t xml:space="preserve">as the facility operator for the Moomba </w:t>
      </w:r>
      <w:r w:rsidR="00E41F20">
        <w:t xml:space="preserve">to </w:t>
      </w:r>
      <w:r w:rsidR="00867CC9">
        <w:t>Adelaide Pipeline (</w:t>
      </w:r>
      <w:r w:rsidR="00867CC9" w:rsidRPr="00FD19EC">
        <w:rPr>
          <w:b/>
        </w:rPr>
        <w:t>MAP</w:t>
      </w:r>
      <w:r w:rsidR="00867CC9">
        <w:t>)</w:t>
      </w:r>
      <w:r w:rsidR="00867CC9" w:rsidRPr="00622D42">
        <w:t xml:space="preserve"> failed to submit</w:t>
      </w:r>
      <w:r w:rsidR="00867CC9">
        <w:t xml:space="preserve"> accurate and</w:t>
      </w:r>
      <w:r w:rsidR="00867CC9" w:rsidRPr="00622D42">
        <w:t xml:space="preserve"> timely data to AEMO on </w:t>
      </w:r>
      <w:r w:rsidR="001C50A7">
        <w:t>four</w:t>
      </w:r>
      <w:r w:rsidR="00867CC9" w:rsidRPr="00622D42">
        <w:t xml:space="preserve"> occasions. </w:t>
      </w:r>
      <w:r w:rsidR="00E41F20">
        <w:rPr>
          <w:lang w:eastAsia="ja-JP"/>
        </w:rPr>
        <w:t>F</w:t>
      </w:r>
      <w:r w:rsidR="00AE1C66">
        <w:rPr>
          <w:lang w:eastAsia="ja-JP"/>
        </w:rPr>
        <w:t>ollowing a period of handover and training with the support of Melbourne</w:t>
      </w:r>
      <w:r w:rsidR="00F7637E">
        <w:rPr>
          <w:lang w:eastAsia="ja-JP"/>
        </w:rPr>
        <w:t>-</w:t>
      </w:r>
      <w:r w:rsidR="00AE1C66">
        <w:rPr>
          <w:lang w:eastAsia="ja-JP"/>
        </w:rPr>
        <w:t xml:space="preserve">based </w:t>
      </w:r>
      <w:r w:rsidR="00F7637E">
        <w:rPr>
          <w:lang w:eastAsia="ja-JP"/>
        </w:rPr>
        <w:t>APA Group staff</w:t>
      </w:r>
      <w:r w:rsidR="006C2330">
        <w:rPr>
          <w:lang w:eastAsia="ja-JP"/>
        </w:rPr>
        <w:t xml:space="preserve">, </w:t>
      </w:r>
      <w:r w:rsidR="00E41F20">
        <w:rPr>
          <w:lang w:eastAsia="ja-JP"/>
        </w:rPr>
        <w:t xml:space="preserve">Epic </w:t>
      </w:r>
      <w:r w:rsidR="006C2330">
        <w:rPr>
          <w:lang w:eastAsia="ja-JP"/>
        </w:rPr>
        <w:t xml:space="preserve">commenced </w:t>
      </w:r>
      <w:r w:rsidR="00867CC9" w:rsidRPr="00622D42">
        <w:rPr>
          <w:lang w:eastAsia="ja-JP"/>
        </w:rPr>
        <w:t>STTM reporting obligation</w:t>
      </w:r>
      <w:r w:rsidR="00867CC9">
        <w:rPr>
          <w:lang w:eastAsia="ja-JP"/>
        </w:rPr>
        <w:t>s</w:t>
      </w:r>
      <w:r w:rsidR="00867CC9" w:rsidRPr="00622D42">
        <w:rPr>
          <w:lang w:eastAsia="ja-JP"/>
        </w:rPr>
        <w:t xml:space="preserve"> </w:t>
      </w:r>
      <w:r w:rsidR="006C2330">
        <w:rPr>
          <w:lang w:eastAsia="ja-JP"/>
        </w:rPr>
        <w:t xml:space="preserve">fully from </w:t>
      </w:r>
      <w:r w:rsidR="00AE1C66">
        <w:rPr>
          <w:lang w:eastAsia="ja-JP"/>
        </w:rPr>
        <w:t xml:space="preserve">a new stand-alone </w:t>
      </w:r>
      <w:r w:rsidR="00023F1D">
        <w:rPr>
          <w:lang w:eastAsia="ja-JP"/>
        </w:rPr>
        <w:t xml:space="preserve">Adelaide </w:t>
      </w:r>
      <w:r w:rsidR="00AE1C66">
        <w:rPr>
          <w:lang w:eastAsia="ja-JP"/>
        </w:rPr>
        <w:t xml:space="preserve">control room </w:t>
      </w:r>
      <w:r w:rsidR="00867CC9" w:rsidRPr="00622D42">
        <w:rPr>
          <w:lang w:eastAsia="ja-JP"/>
        </w:rPr>
        <w:t>on 1 July 2013</w:t>
      </w:r>
      <w:r w:rsidR="00AE1C66">
        <w:rPr>
          <w:lang w:eastAsia="ja-JP"/>
        </w:rPr>
        <w:t>.</w:t>
      </w:r>
      <w:r w:rsidR="00AE1C66">
        <w:rPr>
          <w:rStyle w:val="FootnoteReference"/>
          <w:lang w:eastAsia="ja-JP"/>
        </w:rPr>
        <w:footnoteReference w:id="4"/>
      </w:r>
      <w:r w:rsidR="00023F1D">
        <w:rPr>
          <w:lang w:eastAsia="ja-JP"/>
        </w:rPr>
        <w:t xml:space="preserve"> </w:t>
      </w:r>
      <w:r w:rsidR="006C2330">
        <w:rPr>
          <w:lang w:eastAsia="ja-JP"/>
        </w:rPr>
        <w:t xml:space="preserve">Epic </w:t>
      </w:r>
      <w:r w:rsidR="00867CC9">
        <w:rPr>
          <w:lang w:eastAsia="ja-JP"/>
        </w:rPr>
        <w:t>stated that the data errors and delays in submitting data were due to t</w:t>
      </w:r>
      <w:r w:rsidR="00867CC9" w:rsidRPr="00622D42">
        <w:rPr>
          <w:lang w:eastAsia="ja-JP"/>
        </w:rPr>
        <w:t xml:space="preserve">he migration to a new IT system and </w:t>
      </w:r>
      <w:r w:rsidR="00867CC9">
        <w:rPr>
          <w:lang w:eastAsia="ja-JP"/>
        </w:rPr>
        <w:t xml:space="preserve">a </w:t>
      </w:r>
      <w:r w:rsidR="00867CC9" w:rsidRPr="00622D42">
        <w:rPr>
          <w:lang w:eastAsia="ja-JP"/>
        </w:rPr>
        <w:t xml:space="preserve">gap in knowledge transferred at the handover. </w:t>
      </w:r>
      <w:r w:rsidR="00867CC9">
        <w:rPr>
          <w:lang w:eastAsia="ja-JP"/>
        </w:rPr>
        <w:t xml:space="preserve">We discuss each </w:t>
      </w:r>
      <w:r w:rsidR="00867CC9" w:rsidRPr="00622D42">
        <w:rPr>
          <w:lang w:eastAsia="ja-JP"/>
        </w:rPr>
        <w:t>incident</w:t>
      </w:r>
      <w:r w:rsidR="00867CC9">
        <w:rPr>
          <w:lang w:eastAsia="ja-JP"/>
        </w:rPr>
        <w:t xml:space="preserve"> below.</w:t>
      </w:r>
      <w:r>
        <w:rPr>
          <w:lang w:eastAsia="ja-JP"/>
        </w:rPr>
        <w:t xml:space="preserve"> All of the incidents are subject to ongoing investigation by the AER. </w:t>
      </w:r>
    </w:p>
    <w:p w:rsidR="00867CC9" w:rsidRDefault="00867CC9" w:rsidP="00867CC9">
      <w:pPr>
        <w:pStyle w:val="AERgenericboldheading"/>
      </w:pPr>
      <w:r w:rsidRPr="00867CC9">
        <w:t>In</w:t>
      </w:r>
      <w:r w:rsidR="006809E7">
        <w:t>correct MAP allocation data</w:t>
      </w:r>
    </w:p>
    <w:p w:rsidR="00867CC9" w:rsidRDefault="00867CC9" w:rsidP="00867CC9">
      <w:pPr>
        <w:pStyle w:val="AERbodytext"/>
      </w:pPr>
      <w:r w:rsidRPr="00867CC9">
        <w:t xml:space="preserve">Between 29 June and 16 July 2013, Epic submitted incorrect allocation data for </w:t>
      </w:r>
      <w:r w:rsidR="001C50A7">
        <w:t xml:space="preserve">the </w:t>
      </w:r>
      <w:r w:rsidRPr="00867CC9">
        <w:t>MAP over 13 days. Epic explained that there was a loose connection with an input resistor that connects into a terminal at one of the meter runs at the Gepps Cross Meter Station. This caused a meter to display flow readings, even though the</w:t>
      </w:r>
      <w:r w:rsidR="00667B20">
        <w:t>re was no actual gas movement.</w:t>
      </w:r>
    </w:p>
    <w:p w:rsidR="00867CC9" w:rsidRDefault="00867CC9" w:rsidP="00867CC9">
      <w:pPr>
        <w:pStyle w:val="AERgenericboldheading"/>
        <w:rPr>
          <w:lang w:eastAsia="en-AU"/>
        </w:rPr>
      </w:pPr>
      <w:r w:rsidRPr="002F3C60">
        <w:t>Missing</w:t>
      </w:r>
      <w:r>
        <w:t xml:space="preserve"> MAP</w:t>
      </w:r>
      <w:r w:rsidR="006809E7">
        <w:t xml:space="preserve"> allocation data</w:t>
      </w:r>
    </w:p>
    <w:p w:rsidR="00867CC9" w:rsidRPr="002F3C60" w:rsidRDefault="00867CC9" w:rsidP="00867CC9">
      <w:pPr>
        <w:pStyle w:val="AERbodytext"/>
        <w:rPr>
          <w:lang w:eastAsia="en-AU"/>
        </w:rPr>
      </w:pPr>
      <w:r w:rsidRPr="002F3C60">
        <w:rPr>
          <w:lang w:eastAsia="en-AU"/>
        </w:rPr>
        <w:t xml:space="preserve">On </w:t>
      </w:r>
      <w:r w:rsidRPr="00264620">
        <w:rPr>
          <w:lang w:eastAsia="en-AU"/>
        </w:rPr>
        <w:t>5</w:t>
      </w:r>
      <w:r w:rsidRPr="002F3C60">
        <w:rPr>
          <w:lang w:eastAsia="en-AU"/>
        </w:rPr>
        <w:t xml:space="preserve"> August 2013, Epic failed to submit </w:t>
      </w:r>
      <w:r w:rsidRPr="002F3C60">
        <w:t>pipeline allocation data</w:t>
      </w:r>
      <w:r w:rsidRPr="002F3C60">
        <w:rPr>
          <w:lang w:eastAsia="en-AU"/>
        </w:rPr>
        <w:t xml:space="preserve"> </w:t>
      </w:r>
      <w:r w:rsidR="00524056">
        <w:rPr>
          <w:lang w:eastAsia="en-AU"/>
        </w:rPr>
        <w:t xml:space="preserve">for the MAP </w:t>
      </w:r>
      <w:r w:rsidR="00524056" w:rsidRPr="002F3C60">
        <w:rPr>
          <w:lang w:eastAsia="en-AU"/>
        </w:rPr>
        <w:t xml:space="preserve">to AEMO </w:t>
      </w:r>
      <w:r w:rsidRPr="002F3C60">
        <w:rPr>
          <w:lang w:eastAsia="en-AU"/>
        </w:rPr>
        <w:t>due an incorrect manual submission of allocation files</w:t>
      </w:r>
      <w:r>
        <w:rPr>
          <w:lang w:eastAsia="en-AU"/>
        </w:rPr>
        <w:t xml:space="preserve"> following a failure of </w:t>
      </w:r>
      <w:r w:rsidR="00696E6D">
        <w:rPr>
          <w:lang w:eastAsia="en-AU"/>
        </w:rPr>
        <w:t>Epic’s</w:t>
      </w:r>
      <w:r>
        <w:rPr>
          <w:lang w:eastAsia="en-AU"/>
        </w:rPr>
        <w:t xml:space="preserve"> automated data </w:t>
      </w:r>
      <w:r w:rsidRPr="002F3C60">
        <w:rPr>
          <w:lang w:eastAsia="en-AU"/>
        </w:rPr>
        <w:t>system</w:t>
      </w:r>
      <w:r>
        <w:rPr>
          <w:lang w:eastAsia="en-AU"/>
        </w:rPr>
        <w:t>s</w:t>
      </w:r>
      <w:r w:rsidRPr="002F3C60">
        <w:rPr>
          <w:lang w:eastAsia="en-AU"/>
        </w:rPr>
        <w:t xml:space="preserve">. Epic advised that </w:t>
      </w:r>
      <w:r w:rsidRPr="002F3C60">
        <w:t>the automatic submission failed due to the expiry of a password within Epic’s Customer Reporting System (</w:t>
      </w:r>
      <w:r w:rsidRPr="00FD19EC">
        <w:rPr>
          <w:b/>
        </w:rPr>
        <w:t>CRS</w:t>
      </w:r>
      <w:r w:rsidRPr="002F3C60">
        <w:t xml:space="preserve">). </w:t>
      </w:r>
      <w:r w:rsidR="00696E6D">
        <w:t>The m</w:t>
      </w:r>
      <w:r w:rsidRPr="002F3C60">
        <w:t>anual submission</w:t>
      </w:r>
      <w:r>
        <w:t>s</w:t>
      </w:r>
      <w:r w:rsidRPr="002F3C60">
        <w:t xml:space="preserve"> of allocation files </w:t>
      </w:r>
      <w:r>
        <w:t xml:space="preserve">by Epic staff </w:t>
      </w:r>
      <w:r w:rsidRPr="002F3C60">
        <w:t>w</w:t>
      </w:r>
      <w:r>
        <w:t>ere</w:t>
      </w:r>
      <w:r w:rsidRPr="002F3C60">
        <w:t xml:space="preserve"> </w:t>
      </w:r>
      <w:r>
        <w:t xml:space="preserve">also </w:t>
      </w:r>
      <w:r w:rsidRPr="002F3C60">
        <w:t xml:space="preserve">rejected </w:t>
      </w:r>
      <w:r>
        <w:t xml:space="preserve">because </w:t>
      </w:r>
      <w:r w:rsidR="00696E6D">
        <w:t xml:space="preserve">they </w:t>
      </w:r>
      <w:r>
        <w:t xml:space="preserve">were named and ordered incorrectly. </w:t>
      </w:r>
    </w:p>
    <w:p w:rsidR="00867CC9" w:rsidRPr="00867CC9" w:rsidRDefault="006809E7" w:rsidP="00867CC9">
      <w:pPr>
        <w:pStyle w:val="AERgenericboldheading"/>
      </w:pPr>
      <w:r>
        <w:t>Late capacity data</w:t>
      </w:r>
    </w:p>
    <w:p w:rsidR="00867CC9" w:rsidRDefault="00867CC9" w:rsidP="00867CC9">
      <w:pPr>
        <w:pStyle w:val="AERbodytext"/>
        <w:rPr>
          <w:lang w:eastAsia="en-AU"/>
        </w:rPr>
      </w:pPr>
      <w:r>
        <w:t>On 8 August</w:t>
      </w:r>
      <w:r w:rsidR="00696E6D">
        <w:t xml:space="preserve"> 2013</w:t>
      </w:r>
      <w:r>
        <w:t xml:space="preserve">, Epic </w:t>
      </w:r>
      <w:r w:rsidRPr="002F3C60">
        <w:rPr>
          <w:lang w:eastAsia="en-AU"/>
        </w:rPr>
        <w:t xml:space="preserve">failed to submit </w:t>
      </w:r>
      <w:r w:rsidR="00696E6D">
        <w:rPr>
          <w:lang w:eastAsia="en-AU"/>
        </w:rPr>
        <w:t>f</w:t>
      </w:r>
      <w:r w:rsidRPr="002F3C60">
        <w:rPr>
          <w:lang w:eastAsia="en-AU"/>
        </w:rPr>
        <w:t xml:space="preserve">acility </w:t>
      </w:r>
      <w:r w:rsidR="00696E6D">
        <w:rPr>
          <w:lang w:eastAsia="en-AU"/>
        </w:rPr>
        <w:t>h</w:t>
      </w:r>
      <w:r w:rsidRPr="002F3C60">
        <w:rPr>
          <w:lang w:eastAsia="en-AU"/>
        </w:rPr>
        <w:t xml:space="preserve">ub </w:t>
      </w:r>
      <w:r w:rsidR="00696E6D">
        <w:rPr>
          <w:lang w:eastAsia="en-AU"/>
        </w:rPr>
        <w:t>c</w:t>
      </w:r>
      <w:r w:rsidRPr="002F3C60">
        <w:rPr>
          <w:lang w:eastAsia="en-AU"/>
        </w:rPr>
        <w:t>apacity</w:t>
      </w:r>
      <w:r w:rsidRPr="00FD19EC">
        <w:rPr>
          <w:bCs/>
          <w:lang w:eastAsia="en-AU"/>
        </w:rPr>
        <w:t xml:space="preserve"> </w:t>
      </w:r>
      <w:r w:rsidRPr="002F3C60">
        <w:rPr>
          <w:lang w:eastAsia="en-AU"/>
        </w:rPr>
        <w:t xml:space="preserve">data </w:t>
      </w:r>
      <w:r>
        <w:rPr>
          <w:lang w:eastAsia="en-AU"/>
        </w:rPr>
        <w:t xml:space="preserve">for the MAP </w:t>
      </w:r>
      <w:r w:rsidR="00524056" w:rsidRPr="002F3C60">
        <w:rPr>
          <w:lang w:eastAsia="en-AU"/>
        </w:rPr>
        <w:t xml:space="preserve">to AEMO </w:t>
      </w:r>
      <w:r w:rsidRPr="002F3C60">
        <w:rPr>
          <w:lang w:eastAsia="en-AU"/>
        </w:rPr>
        <w:t xml:space="preserve">by the </w:t>
      </w:r>
      <w:proofErr w:type="spellStart"/>
      <w:r w:rsidR="004E4810" w:rsidRPr="002F3C60">
        <w:rPr>
          <w:lang w:eastAsia="en-AU"/>
        </w:rPr>
        <w:t>9:30</w:t>
      </w:r>
      <w:r w:rsidR="004E4810">
        <w:rPr>
          <w:lang w:eastAsia="en-AU"/>
        </w:rPr>
        <w:t>am</w:t>
      </w:r>
      <w:proofErr w:type="spellEnd"/>
      <w:r w:rsidR="004E4810" w:rsidRPr="00862736">
        <w:rPr>
          <w:lang w:eastAsia="en-AU"/>
        </w:rPr>
        <w:t xml:space="preserve"> </w:t>
      </w:r>
      <w:r w:rsidRPr="00862736">
        <w:rPr>
          <w:lang w:eastAsia="en-AU"/>
        </w:rPr>
        <w:t>cut</w:t>
      </w:r>
      <w:r w:rsidR="004E4810">
        <w:rPr>
          <w:lang w:eastAsia="en-AU"/>
        </w:rPr>
        <w:t>-</w:t>
      </w:r>
      <w:r w:rsidRPr="00862736">
        <w:rPr>
          <w:lang w:eastAsia="en-AU"/>
        </w:rPr>
        <w:t>off</w:t>
      </w:r>
      <w:r>
        <w:rPr>
          <w:lang w:eastAsia="en-AU"/>
        </w:rPr>
        <w:t xml:space="preserve">. Epic explained that </w:t>
      </w:r>
      <w:r>
        <w:t>t</w:t>
      </w:r>
      <w:r w:rsidRPr="002F3C60">
        <w:t>he F</w:t>
      </w:r>
      <w:r>
        <w:t xml:space="preserve">ile </w:t>
      </w:r>
      <w:r w:rsidRPr="002F3C60">
        <w:t>T</w:t>
      </w:r>
      <w:r>
        <w:t xml:space="preserve">ransfer </w:t>
      </w:r>
      <w:r w:rsidRPr="002F3C60">
        <w:t>P</w:t>
      </w:r>
      <w:r>
        <w:t>rotocol</w:t>
      </w:r>
      <w:r w:rsidRPr="002F3C60">
        <w:t xml:space="preserve"> </w:t>
      </w:r>
      <w:r>
        <w:t>(</w:t>
      </w:r>
      <w:r w:rsidRPr="00667B20">
        <w:rPr>
          <w:b/>
        </w:rPr>
        <w:t>FTP</w:t>
      </w:r>
      <w:r>
        <w:t xml:space="preserve">) </w:t>
      </w:r>
      <w:r w:rsidRPr="002F3C60">
        <w:t xml:space="preserve">application that delivers the files to </w:t>
      </w:r>
      <w:r>
        <w:t>AEMO’s</w:t>
      </w:r>
      <w:r w:rsidRPr="002F3C60">
        <w:t xml:space="preserve"> site failed to operate correctly</w:t>
      </w:r>
      <w:r>
        <w:t xml:space="preserve"> and the </w:t>
      </w:r>
      <w:r w:rsidRPr="00881697">
        <w:t>automated alert notification within Epic</w:t>
      </w:r>
      <w:r>
        <w:t>’s</w:t>
      </w:r>
      <w:r w:rsidRPr="00881697">
        <w:t xml:space="preserve"> </w:t>
      </w:r>
      <w:r>
        <w:t>CRS</w:t>
      </w:r>
      <w:r w:rsidRPr="00881697">
        <w:t xml:space="preserve"> also failed. </w:t>
      </w:r>
      <w:r w:rsidR="00696E6D">
        <w:t>O</w:t>
      </w:r>
      <w:r>
        <w:t>ne of Epic’s p</w:t>
      </w:r>
      <w:r w:rsidRPr="002F3C60">
        <w:t xml:space="preserve">ipeline </w:t>
      </w:r>
      <w:r>
        <w:t>c</w:t>
      </w:r>
      <w:r w:rsidRPr="002F3C60">
        <w:t>ontroller</w:t>
      </w:r>
      <w:r>
        <w:t>s</w:t>
      </w:r>
      <w:r w:rsidRPr="002F3C60">
        <w:t xml:space="preserve"> </w:t>
      </w:r>
      <w:r w:rsidR="00696E6D">
        <w:t xml:space="preserve">also incorrectly interpreted the </w:t>
      </w:r>
      <w:r w:rsidRPr="002F3C60">
        <w:t>‘</w:t>
      </w:r>
      <w:r w:rsidR="00667B20">
        <w:t>g</w:t>
      </w:r>
      <w:r w:rsidRPr="002F3C60">
        <w:t xml:space="preserve">enerate’ status on a report </w:t>
      </w:r>
      <w:r w:rsidR="00696E6D">
        <w:t xml:space="preserve">to </w:t>
      </w:r>
      <w:r w:rsidRPr="002F3C60">
        <w:t>reflect a successful submission</w:t>
      </w:r>
      <w:r>
        <w:t xml:space="preserve"> to AEMO</w:t>
      </w:r>
      <w:r w:rsidRPr="002F3C60">
        <w:t xml:space="preserve">.  </w:t>
      </w:r>
    </w:p>
    <w:p w:rsidR="00867CC9" w:rsidRPr="00867CC9" w:rsidRDefault="00867CC9" w:rsidP="00867CC9">
      <w:pPr>
        <w:pStyle w:val="AERgenericboldheading"/>
      </w:pPr>
      <w:r w:rsidRPr="00867CC9">
        <w:t>Late su</w:t>
      </w:r>
      <w:r w:rsidR="006809E7">
        <w:t>bmission of MAP allocation data</w:t>
      </w:r>
    </w:p>
    <w:p w:rsidR="00867CC9" w:rsidRDefault="00867CC9" w:rsidP="00867CC9">
      <w:pPr>
        <w:pStyle w:val="AERbodytext"/>
        <w:rPr>
          <w:lang w:eastAsia="en-AU"/>
        </w:rPr>
      </w:pPr>
      <w:r w:rsidRPr="005D1622">
        <w:rPr>
          <w:lang w:eastAsia="en-AU"/>
        </w:rPr>
        <w:t xml:space="preserve">On 4 </w:t>
      </w:r>
      <w:r w:rsidR="00696E6D">
        <w:rPr>
          <w:lang w:eastAsia="en-AU"/>
        </w:rPr>
        <w:t>September 2013</w:t>
      </w:r>
      <w:r w:rsidRPr="005D1622">
        <w:rPr>
          <w:lang w:eastAsia="en-AU"/>
        </w:rPr>
        <w:t xml:space="preserve">, Epic </w:t>
      </w:r>
      <w:r>
        <w:rPr>
          <w:lang w:eastAsia="en-AU"/>
        </w:rPr>
        <w:t xml:space="preserve">failed to submit </w:t>
      </w:r>
      <w:r w:rsidR="00023F1D">
        <w:rPr>
          <w:lang w:eastAsia="en-AU"/>
        </w:rPr>
        <w:t xml:space="preserve">accurate </w:t>
      </w:r>
      <w:r>
        <w:rPr>
          <w:lang w:eastAsia="en-AU"/>
        </w:rPr>
        <w:t xml:space="preserve">allocation files by the </w:t>
      </w:r>
      <w:r w:rsidRPr="00862736">
        <w:rPr>
          <w:lang w:eastAsia="en-AU"/>
        </w:rPr>
        <w:t>cut-off</w:t>
      </w:r>
      <w:r>
        <w:rPr>
          <w:lang w:eastAsia="en-AU"/>
        </w:rPr>
        <w:t xml:space="preserve"> time due to a system related issue. Epic explained that it </w:t>
      </w:r>
      <w:r w:rsidR="00023F1D">
        <w:rPr>
          <w:lang w:eastAsia="en-AU"/>
        </w:rPr>
        <w:t xml:space="preserve">experienced issues attempting to submit an actual value for </w:t>
      </w:r>
      <w:r>
        <w:rPr>
          <w:lang w:eastAsia="en-AU"/>
        </w:rPr>
        <w:t xml:space="preserve">Pelican Point </w:t>
      </w:r>
      <w:r w:rsidR="00F7637E">
        <w:rPr>
          <w:lang w:eastAsia="en-AU"/>
        </w:rPr>
        <w:t xml:space="preserve">which was </w:t>
      </w:r>
      <w:r>
        <w:rPr>
          <w:lang w:eastAsia="en-AU"/>
        </w:rPr>
        <w:t xml:space="preserve">greater than 10TJ, </w:t>
      </w:r>
      <w:r w:rsidR="00023F1D">
        <w:rPr>
          <w:lang w:eastAsia="en-AU"/>
        </w:rPr>
        <w:t xml:space="preserve">because </w:t>
      </w:r>
      <w:r>
        <w:rPr>
          <w:lang w:eastAsia="en-AU"/>
        </w:rPr>
        <w:t xml:space="preserve">its CRS </w:t>
      </w:r>
      <w:r w:rsidR="00023F1D">
        <w:rPr>
          <w:lang w:eastAsia="en-AU"/>
        </w:rPr>
        <w:t xml:space="preserve">was programmed </w:t>
      </w:r>
      <w:r w:rsidR="00E42CCD">
        <w:rPr>
          <w:lang w:eastAsia="en-AU"/>
        </w:rPr>
        <w:t xml:space="preserve">to </w:t>
      </w:r>
      <w:r w:rsidR="00E41F20">
        <w:rPr>
          <w:lang w:eastAsia="en-AU"/>
        </w:rPr>
        <w:t>reject</w:t>
      </w:r>
      <w:r>
        <w:rPr>
          <w:lang w:eastAsia="en-AU"/>
        </w:rPr>
        <w:t xml:space="preserve"> values greater than 10TJ</w:t>
      </w:r>
      <w:r w:rsidR="00023F1D">
        <w:rPr>
          <w:lang w:eastAsia="en-AU"/>
        </w:rPr>
        <w:t>.</w:t>
      </w:r>
      <w:r>
        <w:rPr>
          <w:lang w:eastAsia="en-AU"/>
        </w:rPr>
        <w:t xml:space="preserve"> </w:t>
      </w:r>
    </w:p>
    <w:p w:rsidR="002F076A" w:rsidRDefault="002F076A" w:rsidP="002F076A">
      <w:pPr>
        <w:pStyle w:val="AERgenericboldheading"/>
      </w:pPr>
      <w:r>
        <w:t xml:space="preserve">Failure to provide required data to </w:t>
      </w:r>
      <w:proofErr w:type="spellStart"/>
      <w:r>
        <w:t>Envestra</w:t>
      </w:r>
      <w:proofErr w:type="spellEnd"/>
    </w:p>
    <w:p w:rsidR="00867CC9" w:rsidRDefault="00867CC9" w:rsidP="00867CC9">
      <w:pPr>
        <w:pStyle w:val="AERbodytext"/>
        <w:rPr>
          <w:lang w:eastAsia="en-AU"/>
        </w:rPr>
      </w:pPr>
      <w:r>
        <w:rPr>
          <w:lang w:eastAsia="en-AU"/>
        </w:rPr>
        <w:t xml:space="preserve">In addition to </w:t>
      </w:r>
      <w:r w:rsidR="002F076A">
        <w:rPr>
          <w:lang w:eastAsia="en-AU"/>
        </w:rPr>
        <w:t xml:space="preserve">the above </w:t>
      </w:r>
      <w:r>
        <w:rPr>
          <w:lang w:eastAsia="en-AU"/>
        </w:rPr>
        <w:t xml:space="preserve">matters covered by Part 20 of the Gas Rules, Epic has advised that it was also unable to provide </w:t>
      </w:r>
      <w:proofErr w:type="spellStart"/>
      <w:r>
        <w:rPr>
          <w:lang w:eastAsia="en-AU"/>
        </w:rPr>
        <w:t>Envestra</w:t>
      </w:r>
      <w:proofErr w:type="spellEnd"/>
      <w:r>
        <w:rPr>
          <w:lang w:eastAsia="en-AU"/>
        </w:rPr>
        <w:t xml:space="preserve">, the operator of the Adelaide hub, with data on 19 August </w:t>
      </w:r>
      <w:r w:rsidR="00647469">
        <w:rPr>
          <w:lang w:eastAsia="en-AU"/>
        </w:rPr>
        <w:t xml:space="preserve">2013 </w:t>
      </w:r>
      <w:r>
        <w:rPr>
          <w:lang w:eastAsia="en-AU"/>
        </w:rPr>
        <w:lastRenderedPageBreak/>
        <w:t xml:space="preserve">because of </w:t>
      </w:r>
      <w:r w:rsidR="00264270">
        <w:rPr>
          <w:lang w:eastAsia="en-AU"/>
        </w:rPr>
        <w:t>issues with the s</w:t>
      </w:r>
      <w:r w:rsidR="00264270" w:rsidRPr="00696E6D">
        <w:rPr>
          <w:szCs w:val="20"/>
        </w:rPr>
        <w:t>upervisory control and data acquisition</w:t>
      </w:r>
      <w:r w:rsidR="00264270">
        <w:rPr>
          <w:lang w:eastAsia="en-AU"/>
        </w:rPr>
        <w:t xml:space="preserve"> (</w:t>
      </w:r>
      <w:r w:rsidR="00264270" w:rsidRPr="00264270">
        <w:rPr>
          <w:b/>
          <w:lang w:eastAsia="en-AU"/>
        </w:rPr>
        <w:t>SCADA</w:t>
      </w:r>
      <w:r w:rsidR="00264270">
        <w:rPr>
          <w:lang w:eastAsia="en-AU"/>
        </w:rPr>
        <w:t>) system</w:t>
      </w:r>
      <w:r>
        <w:rPr>
          <w:lang w:eastAsia="en-AU"/>
        </w:rPr>
        <w:t xml:space="preserve">. As a result, estimated data was used for the Adelaide hub on this day. </w:t>
      </w:r>
    </w:p>
    <w:p w:rsidR="00A841BA" w:rsidRDefault="00A841BA" w:rsidP="00A841BA">
      <w:pPr>
        <w:pStyle w:val="AERheading2"/>
        <w:tabs>
          <w:tab w:val="clear" w:pos="2484"/>
          <w:tab w:val="num" w:pos="357"/>
        </w:tabs>
        <w:ind w:left="357"/>
      </w:pPr>
      <w:bookmarkStart w:id="39" w:name="_Toc370218458"/>
      <w:r>
        <w:t>Jemena EGP</w:t>
      </w:r>
      <w:r>
        <w:rPr>
          <w:rFonts w:cs="Gautami"/>
        </w:rPr>
        <w:t>—</w:t>
      </w:r>
      <w:r>
        <w:t>late allocation and capacity data</w:t>
      </w:r>
      <w:bookmarkEnd w:id="39"/>
    </w:p>
    <w:p w:rsidR="00A841BA" w:rsidRDefault="00A841BA" w:rsidP="00A841BA">
      <w:pPr>
        <w:pStyle w:val="AERbodytext"/>
        <w:rPr>
          <w:lang w:eastAsia="en-AU"/>
        </w:rPr>
      </w:pPr>
      <w:r w:rsidRPr="002F3C60">
        <w:rPr>
          <w:lang w:eastAsia="en-AU"/>
        </w:rPr>
        <w:t>On 13 July 2013, Jemena EGP (</w:t>
      </w:r>
      <w:r w:rsidRPr="002F3C60">
        <w:rPr>
          <w:b/>
          <w:bCs/>
          <w:lang w:eastAsia="en-AU"/>
        </w:rPr>
        <w:t>Jemena</w:t>
      </w:r>
      <w:r w:rsidRPr="002F3C60">
        <w:rPr>
          <w:lang w:eastAsia="en-AU"/>
        </w:rPr>
        <w:t xml:space="preserve">) failed to submit </w:t>
      </w:r>
      <w:r w:rsidR="00696E6D">
        <w:rPr>
          <w:lang w:eastAsia="en-AU"/>
        </w:rPr>
        <w:t>f</w:t>
      </w:r>
      <w:r w:rsidRPr="002F3C60">
        <w:rPr>
          <w:lang w:eastAsia="en-AU"/>
        </w:rPr>
        <w:t xml:space="preserve">acility </w:t>
      </w:r>
      <w:r w:rsidR="00696E6D">
        <w:rPr>
          <w:lang w:eastAsia="en-AU"/>
        </w:rPr>
        <w:t>h</w:t>
      </w:r>
      <w:r w:rsidRPr="002F3C60">
        <w:rPr>
          <w:lang w:eastAsia="en-AU"/>
        </w:rPr>
        <w:t xml:space="preserve">ub </w:t>
      </w:r>
      <w:r w:rsidR="00696E6D">
        <w:rPr>
          <w:lang w:eastAsia="en-AU"/>
        </w:rPr>
        <w:t>c</w:t>
      </w:r>
      <w:r w:rsidRPr="002F3C60">
        <w:rPr>
          <w:lang w:eastAsia="en-AU"/>
        </w:rPr>
        <w:t>apacity</w:t>
      </w:r>
      <w:r w:rsidRPr="00696E6D">
        <w:rPr>
          <w:bCs/>
          <w:lang w:eastAsia="en-AU"/>
        </w:rPr>
        <w:t xml:space="preserve"> </w:t>
      </w:r>
      <w:r w:rsidRPr="002F3C60">
        <w:rPr>
          <w:lang w:eastAsia="en-AU"/>
        </w:rPr>
        <w:t xml:space="preserve">data to AEMO by the </w:t>
      </w:r>
      <w:proofErr w:type="spellStart"/>
      <w:r w:rsidRPr="00862736">
        <w:rPr>
          <w:lang w:eastAsia="en-AU"/>
        </w:rPr>
        <w:t>9:30am</w:t>
      </w:r>
      <w:proofErr w:type="spellEnd"/>
      <w:r w:rsidRPr="002F3C60">
        <w:rPr>
          <w:lang w:eastAsia="en-AU"/>
        </w:rPr>
        <w:t xml:space="preserve"> cut-off. </w:t>
      </w:r>
      <w:r>
        <w:rPr>
          <w:lang w:eastAsia="en-AU"/>
        </w:rPr>
        <w:t>The</w:t>
      </w:r>
      <w:r w:rsidRPr="002F3C60">
        <w:rPr>
          <w:lang w:eastAsia="en-AU"/>
        </w:rPr>
        <w:t xml:space="preserve"> following day, Jemena </w:t>
      </w:r>
      <w:r>
        <w:rPr>
          <w:lang w:eastAsia="en-AU"/>
        </w:rPr>
        <w:t xml:space="preserve">also failed to </w:t>
      </w:r>
      <w:r w:rsidRPr="002F3C60">
        <w:rPr>
          <w:lang w:eastAsia="en-AU"/>
        </w:rPr>
        <w:t xml:space="preserve">submit STTM facility allocation data by </w:t>
      </w:r>
      <w:proofErr w:type="spellStart"/>
      <w:r w:rsidRPr="002F3C60">
        <w:rPr>
          <w:lang w:eastAsia="en-AU"/>
        </w:rPr>
        <w:t>11</w:t>
      </w:r>
      <w:r>
        <w:rPr>
          <w:lang w:eastAsia="en-AU"/>
        </w:rPr>
        <w:t>am</w:t>
      </w:r>
      <w:proofErr w:type="spellEnd"/>
      <w:r w:rsidRPr="002F3C60">
        <w:rPr>
          <w:lang w:eastAsia="en-AU"/>
        </w:rPr>
        <w:t xml:space="preserve">. Jemena was able to meet later deadlines on both days, </w:t>
      </w:r>
      <w:r>
        <w:rPr>
          <w:lang w:eastAsia="en-AU"/>
        </w:rPr>
        <w:t xml:space="preserve">so </w:t>
      </w:r>
      <w:r w:rsidR="00647469">
        <w:rPr>
          <w:lang w:eastAsia="en-AU"/>
        </w:rPr>
        <w:t xml:space="preserve">the late submissions did not affect the </w:t>
      </w:r>
      <w:r w:rsidRPr="002F3C60">
        <w:rPr>
          <w:lang w:eastAsia="en-AU"/>
        </w:rPr>
        <w:t xml:space="preserve">final ex ante and ex post prices. </w:t>
      </w:r>
    </w:p>
    <w:p w:rsidR="00A841BA" w:rsidRPr="002F3C60" w:rsidRDefault="00A841BA" w:rsidP="00A841BA">
      <w:pPr>
        <w:pStyle w:val="AERbodytext"/>
        <w:rPr>
          <w:lang w:eastAsia="en-AU"/>
        </w:rPr>
      </w:pPr>
      <w:r w:rsidRPr="002F3C60">
        <w:rPr>
          <w:lang w:eastAsia="en-AU"/>
        </w:rPr>
        <w:t xml:space="preserve">Jemena contacted the AER on 15 </w:t>
      </w:r>
      <w:r>
        <w:rPr>
          <w:lang w:eastAsia="en-AU"/>
        </w:rPr>
        <w:t xml:space="preserve">July to explain </w:t>
      </w:r>
      <w:r w:rsidRPr="002F3C60">
        <w:rPr>
          <w:lang w:eastAsia="en-AU"/>
        </w:rPr>
        <w:t xml:space="preserve">that the late submission was due to </w:t>
      </w:r>
      <w:r w:rsidRPr="002F3C60">
        <w:t xml:space="preserve">IT access and connectivity issues </w:t>
      </w:r>
      <w:r w:rsidRPr="002F3C60">
        <w:rPr>
          <w:lang w:eastAsia="en-AU"/>
        </w:rPr>
        <w:t xml:space="preserve">and also the speed of adoption of </w:t>
      </w:r>
      <w:r w:rsidR="00647469">
        <w:rPr>
          <w:lang w:eastAsia="en-AU"/>
        </w:rPr>
        <w:t xml:space="preserve">a </w:t>
      </w:r>
      <w:r w:rsidRPr="002F3C60">
        <w:rPr>
          <w:lang w:eastAsia="en-AU"/>
        </w:rPr>
        <w:t>manual work around processes</w:t>
      </w:r>
      <w:r>
        <w:rPr>
          <w:lang w:eastAsia="en-AU"/>
        </w:rPr>
        <w:t xml:space="preserve"> by its staff</w:t>
      </w:r>
      <w:r w:rsidRPr="002F3C60">
        <w:rPr>
          <w:lang w:eastAsia="en-AU"/>
        </w:rPr>
        <w:t>.</w:t>
      </w:r>
    </w:p>
    <w:p w:rsidR="00A841BA" w:rsidRPr="002F3C60" w:rsidRDefault="00A841BA" w:rsidP="00A841BA">
      <w:pPr>
        <w:pStyle w:val="AERbodytext"/>
        <w:rPr>
          <w:lang w:eastAsia="en-AU"/>
        </w:rPr>
      </w:pPr>
      <w:r w:rsidRPr="002F3C60">
        <w:rPr>
          <w:lang w:eastAsia="en-AU"/>
        </w:rPr>
        <w:t xml:space="preserve">Following this incident, Jemena </w:t>
      </w:r>
      <w:r>
        <w:rPr>
          <w:lang w:eastAsia="en-AU"/>
        </w:rPr>
        <w:t xml:space="preserve">has </w:t>
      </w:r>
      <w:r w:rsidRPr="002F3C60">
        <w:rPr>
          <w:lang w:eastAsia="en-AU"/>
        </w:rPr>
        <w:t xml:space="preserve">implemented a number of remedial measures, including updating its procedures relating to manual work around processes and providing additional training to </w:t>
      </w:r>
      <w:r>
        <w:rPr>
          <w:lang w:eastAsia="en-AU"/>
        </w:rPr>
        <w:t>its commercial operations team</w:t>
      </w:r>
      <w:r w:rsidRPr="002F3C60">
        <w:rPr>
          <w:lang w:eastAsia="en-AU"/>
        </w:rPr>
        <w:t xml:space="preserve">. In addition, to avoid similar access and connectivity issues in the future, STTM data is now saved to a </w:t>
      </w:r>
      <w:r w:rsidR="00647469">
        <w:rPr>
          <w:lang w:eastAsia="en-AU"/>
        </w:rPr>
        <w:t xml:space="preserve">separate </w:t>
      </w:r>
      <w:r w:rsidRPr="002F3C60">
        <w:rPr>
          <w:lang w:eastAsia="en-AU"/>
        </w:rPr>
        <w:t>file server that is not dependent on the availability of the Jemena</w:t>
      </w:r>
      <w:r>
        <w:rPr>
          <w:lang w:eastAsia="en-AU"/>
        </w:rPr>
        <w:t>-</w:t>
      </w:r>
      <w:r w:rsidRPr="002F3C60">
        <w:rPr>
          <w:lang w:eastAsia="en-AU"/>
        </w:rPr>
        <w:t>wide file share server.</w:t>
      </w:r>
    </w:p>
    <w:p w:rsidR="00A841BA" w:rsidRDefault="00A841BA" w:rsidP="00A841BA">
      <w:pPr>
        <w:pStyle w:val="AERbodytext"/>
        <w:rPr>
          <w:lang w:eastAsia="en-AU"/>
        </w:rPr>
      </w:pPr>
      <w:r w:rsidRPr="002F3C60">
        <w:rPr>
          <w:lang w:eastAsia="en-AU"/>
        </w:rPr>
        <w:t xml:space="preserve">The AER sought a series of commitments from Jemena to ensure that similar errors do not occur in future. </w:t>
      </w:r>
      <w:r w:rsidR="007931E0">
        <w:rPr>
          <w:lang w:eastAsia="en-AU"/>
        </w:rPr>
        <w:t xml:space="preserve">Jemena made these commitments, including a commitment </w:t>
      </w:r>
      <w:r w:rsidRPr="002F3C60">
        <w:rPr>
          <w:lang w:eastAsia="en-AU"/>
        </w:rPr>
        <w:t>to conduct a monthly review of any failures to submit STTM data, along with any near misses, and to report the findings back to the AE</w:t>
      </w:r>
      <w:r>
        <w:rPr>
          <w:lang w:eastAsia="en-AU"/>
        </w:rPr>
        <w:t>R each month until March 2014.</w:t>
      </w:r>
    </w:p>
    <w:p w:rsidR="000F0386" w:rsidRDefault="000F0386" w:rsidP="000F0386">
      <w:pPr>
        <w:pStyle w:val="AERheading2"/>
        <w:tabs>
          <w:tab w:val="clear" w:pos="2484"/>
          <w:tab w:val="num" w:pos="357"/>
        </w:tabs>
        <w:ind w:left="357"/>
      </w:pPr>
      <w:bookmarkStart w:id="40" w:name="_Toc370218459"/>
      <w:r>
        <w:t>AGL</w:t>
      </w:r>
      <w:r w:rsidRPr="00AF1E01">
        <w:t xml:space="preserve"> </w:t>
      </w:r>
      <w:r>
        <w:t>capacity error for Camden</w:t>
      </w:r>
      <w:bookmarkEnd w:id="40"/>
    </w:p>
    <w:p w:rsidR="000F0386" w:rsidRPr="007963E2" w:rsidRDefault="000F0386" w:rsidP="000F0386">
      <w:pPr>
        <w:pStyle w:val="AERbodytext"/>
      </w:pPr>
      <w:r w:rsidRPr="007963E2">
        <w:t xml:space="preserve">As reported in the </w:t>
      </w:r>
      <w:hyperlink r:id="rId21" w:history="1">
        <w:r>
          <w:rPr>
            <w:rStyle w:val="Hyperlink"/>
          </w:rPr>
          <w:t>previous QCR</w:t>
        </w:r>
      </w:hyperlink>
      <w:r w:rsidRPr="007963E2">
        <w:t xml:space="preserve">, AGL submitted incorrect capacity information to AEMO for its Camden facility for the 1 April 2013 gas day. </w:t>
      </w:r>
    </w:p>
    <w:p w:rsidR="000F0386" w:rsidRPr="007963E2" w:rsidRDefault="000F0386" w:rsidP="000F0386">
      <w:pPr>
        <w:pStyle w:val="AERbodytext"/>
        <w:rPr>
          <w:lang w:eastAsia="en-AU"/>
        </w:rPr>
      </w:pPr>
      <w:r>
        <w:t>T</w:t>
      </w:r>
      <w:r w:rsidRPr="007963E2">
        <w:t xml:space="preserve">his quarter, </w:t>
      </w:r>
      <w:r w:rsidRPr="007963E2">
        <w:rPr>
          <w:bCs/>
          <w:lang w:eastAsia="en-AU"/>
        </w:rPr>
        <w:t>AGL advised that</w:t>
      </w:r>
      <w:r w:rsidRPr="007963E2">
        <w:rPr>
          <w:lang w:eastAsia="en-AU"/>
        </w:rPr>
        <w:t xml:space="preserve"> </w:t>
      </w:r>
      <w:r>
        <w:rPr>
          <w:lang w:eastAsia="en-AU"/>
        </w:rPr>
        <w:t xml:space="preserve">the </w:t>
      </w:r>
      <w:r w:rsidRPr="007963E2">
        <w:rPr>
          <w:lang w:eastAsia="en-AU"/>
        </w:rPr>
        <w:t>IT issue</w:t>
      </w:r>
      <w:r>
        <w:rPr>
          <w:lang w:eastAsia="en-AU"/>
        </w:rPr>
        <w:t>s</w:t>
      </w:r>
      <w:r w:rsidRPr="007963E2">
        <w:rPr>
          <w:lang w:eastAsia="en-AU"/>
        </w:rPr>
        <w:t xml:space="preserve"> related to</w:t>
      </w:r>
      <w:r>
        <w:rPr>
          <w:lang w:eastAsia="en-AU"/>
        </w:rPr>
        <w:t xml:space="preserve"> its </w:t>
      </w:r>
      <w:proofErr w:type="spellStart"/>
      <w:r>
        <w:rPr>
          <w:lang w:eastAsia="en-AU"/>
        </w:rPr>
        <w:t>spreadsheet</w:t>
      </w:r>
      <w:proofErr w:type="spellEnd"/>
      <w:r>
        <w:rPr>
          <w:lang w:eastAsia="en-AU"/>
        </w:rPr>
        <w:t xml:space="preserve"> </w:t>
      </w:r>
      <w:r w:rsidRPr="0015191A">
        <w:rPr>
          <w:lang w:eastAsia="en-AU"/>
        </w:rPr>
        <w:t xml:space="preserve">template format </w:t>
      </w:r>
      <w:r w:rsidR="00647469">
        <w:rPr>
          <w:lang w:eastAsia="en-AU"/>
        </w:rPr>
        <w:t>have</w:t>
      </w:r>
      <w:r w:rsidRPr="0015191A">
        <w:rPr>
          <w:lang w:eastAsia="en-AU"/>
        </w:rPr>
        <w:t xml:space="preserve"> been resolved</w:t>
      </w:r>
      <w:r w:rsidRPr="007963E2">
        <w:rPr>
          <w:lang w:eastAsia="en-AU"/>
        </w:rPr>
        <w:t>.</w:t>
      </w:r>
      <w:r>
        <w:rPr>
          <w:lang w:eastAsia="en-AU"/>
        </w:rPr>
        <w:t xml:space="preserve"> </w:t>
      </w:r>
      <w:r w:rsidRPr="007963E2">
        <w:t xml:space="preserve">AGL implemented a number of measures </w:t>
      </w:r>
      <w:r>
        <w:t xml:space="preserve">aimed at preventing further STTM data issues, such as providing </w:t>
      </w:r>
      <w:r w:rsidRPr="007963E2">
        <w:rPr>
          <w:lang w:eastAsia="en-AU"/>
        </w:rPr>
        <w:t xml:space="preserve">additional training to ensure gas traders are familiar with the processes and procedures around key operational tasks. AGL </w:t>
      </w:r>
      <w:r>
        <w:rPr>
          <w:lang w:eastAsia="en-AU"/>
        </w:rPr>
        <w:t xml:space="preserve">has also restructured </w:t>
      </w:r>
      <w:r w:rsidRPr="007963E2">
        <w:rPr>
          <w:lang w:eastAsia="en-AU"/>
        </w:rPr>
        <w:t xml:space="preserve">its trading </w:t>
      </w:r>
      <w:r>
        <w:rPr>
          <w:lang w:eastAsia="en-AU"/>
        </w:rPr>
        <w:t xml:space="preserve">team to include </w:t>
      </w:r>
      <w:r w:rsidRPr="007963E2">
        <w:rPr>
          <w:lang w:eastAsia="en-AU"/>
        </w:rPr>
        <w:t xml:space="preserve">a senior physical market trader to allow greater oversight and cross checking within the team. </w:t>
      </w:r>
      <w:r w:rsidRPr="0015191A">
        <w:rPr>
          <w:lang w:eastAsia="en-AU"/>
        </w:rPr>
        <w:t xml:space="preserve">The weekday duty roster has </w:t>
      </w:r>
      <w:r w:rsidRPr="007963E2">
        <w:rPr>
          <w:lang w:eastAsia="en-AU"/>
        </w:rPr>
        <w:t xml:space="preserve">also </w:t>
      </w:r>
      <w:r w:rsidRPr="0015191A">
        <w:rPr>
          <w:lang w:eastAsia="en-AU"/>
        </w:rPr>
        <w:t xml:space="preserve">been restructured to better prepare traders for weekend duties. </w:t>
      </w:r>
    </w:p>
    <w:p w:rsidR="000F0386" w:rsidRPr="0015191A" w:rsidRDefault="000F0386" w:rsidP="000F0386">
      <w:pPr>
        <w:pStyle w:val="AERbodytext"/>
        <w:rPr>
          <w:lang w:eastAsia="en-AU"/>
        </w:rPr>
      </w:pPr>
      <w:r>
        <w:rPr>
          <w:lang w:eastAsia="en-AU"/>
        </w:rPr>
        <w:t xml:space="preserve">Pursuant to an undertaking it provided to the AER, </w:t>
      </w:r>
      <w:r w:rsidRPr="007963E2">
        <w:rPr>
          <w:lang w:eastAsia="en-AU"/>
        </w:rPr>
        <w:t xml:space="preserve">AGL </w:t>
      </w:r>
      <w:r>
        <w:rPr>
          <w:lang w:eastAsia="en-AU"/>
        </w:rPr>
        <w:t xml:space="preserve">has </w:t>
      </w:r>
      <w:r w:rsidRPr="0015191A">
        <w:rPr>
          <w:lang w:eastAsia="en-AU"/>
        </w:rPr>
        <w:t xml:space="preserve">commenced </w:t>
      </w:r>
      <w:r w:rsidRPr="007963E2">
        <w:rPr>
          <w:lang w:eastAsia="en-AU"/>
        </w:rPr>
        <w:t>an</w:t>
      </w:r>
      <w:r w:rsidRPr="0015191A">
        <w:rPr>
          <w:lang w:eastAsia="en-AU"/>
        </w:rPr>
        <w:t xml:space="preserve"> operational review</w:t>
      </w:r>
      <w:r w:rsidRPr="007963E2">
        <w:rPr>
          <w:lang w:eastAsia="en-AU"/>
        </w:rPr>
        <w:t xml:space="preserve"> which aims to identify further areas for improvement. AGL will report the outcome of this review </w:t>
      </w:r>
      <w:r>
        <w:rPr>
          <w:lang w:eastAsia="en-AU"/>
        </w:rPr>
        <w:t xml:space="preserve">to us </w:t>
      </w:r>
      <w:r w:rsidRPr="007963E2">
        <w:rPr>
          <w:lang w:eastAsia="en-AU"/>
        </w:rPr>
        <w:t xml:space="preserve">by the end of October 2013.  </w:t>
      </w:r>
    </w:p>
    <w:p w:rsidR="00667B20" w:rsidRDefault="00667B20" w:rsidP="00D476F6">
      <w:pPr>
        <w:pStyle w:val="AERheading2"/>
        <w:tabs>
          <w:tab w:val="clear" w:pos="2484"/>
          <w:tab w:val="num" w:pos="357"/>
        </w:tabs>
        <w:ind w:left="357"/>
      </w:pPr>
      <w:bookmarkStart w:id="41" w:name="_Toc370218460"/>
      <w:r w:rsidRPr="00667B20">
        <w:t xml:space="preserve">AEMO administration of </w:t>
      </w:r>
      <w:r w:rsidR="006809E7">
        <w:t xml:space="preserve">the </w:t>
      </w:r>
      <w:r w:rsidRPr="00667B20">
        <w:t>Sydney hub</w:t>
      </w:r>
      <w:r>
        <w:t xml:space="preserve"> price</w:t>
      </w:r>
      <w:bookmarkEnd w:id="41"/>
    </w:p>
    <w:p w:rsidR="00667B20" w:rsidRDefault="00667B20" w:rsidP="00667B20">
      <w:pPr>
        <w:pStyle w:val="AERbodytext"/>
      </w:pPr>
      <w:r>
        <w:t xml:space="preserve">In the </w:t>
      </w:r>
      <w:hyperlink r:id="rId22" w:history="1">
        <w:r w:rsidR="004E4810">
          <w:rPr>
            <w:rStyle w:val="Hyperlink"/>
          </w:rPr>
          <w:t>previous QCR</w:t>
        </w:r>
      </w:hyperlink>
      <w:r>
        <w:t>, we reported that server performance issues</w:t>
      </w:r>
      <w:r w:rsidDel="00A86242">
        <w:t xml:space="preserve"> </w:t>
      </w:r>
      <w:r>
        <w:t>in AEMO’s data processing systems caused a delay in publishing the ex post price for the 29 March 2013 gas day. We met with AEMO to discuss the issue, and sought an update on its attempts to remedy the situation. AEMO outlined that it applied a software patch to ensure that data calculations are completed before the data is required for other scheduling calculations, to avoid the need to use default data in these calculations. The A</w:t>
      </w:r>
      <w:r w:rsidR="00647469">
        <w:t>EMO patch staggers the upload</w:t>
      </w:r>
      <w:r>
        <w:t xml:space="preserve"> of information in its internal systems by uploading data as it becomes available, rather than waiting until all data is collected.</w:t>
      </w:r>
    </w:p>
    <w:p w:rsidR="00667B20" w:rsidRDefault="00667B20" w:rsidP="00667B20">
      <w:pPr>
        <w:pStyle w:val="AERheading2"/>
        <w:tabs>
          <w:tab w:val="clear" w:pos="2484"/>
          <w:tab w:val="num" w:pos="357"/>
        </w:tabs>
        <w:ind w:left="357"/>
      </w:pPr>
      <w:bookmarkStart w:id="42" w:name="_Toc370218461"/>
      <w:r w:rsidRPr="00667B20">
        <w:lastRenderedPageBreak/>
        <w:t xml:space="preserve">AEMO </w:t>
      </w:r>
      <w:r>
        <w:t>incorrect application of ex post pricing provisions</w:t>
      </w:r>
      <w:bookmarkEnd w:id="42"/>
    </w:p>
    <w:p w:rsidR="00667B20" w:rsidRPr="00667B20" w:rsidRDefault="00667B20" w:rsidP="00667B20">
      <w:pPr>
        <w:pStyle w:val="AERbodytext"/>
      </w:pPr>
      <w:r w:rsidRPr="00667B20">
        <w:t xml:space="preserve">On 5 August 2013, </w:t>
      </w:r>
      <w:r w:rsidR="00647469">
        <w:t>following</w:t>
      </w:r>
      <w:r w:rsidRPr="00667B20">
        <w:t xml:space="preserve"> Epic’s failure to provide allocation data, AEMO incorrectly determined that an administered ex post pricing state applied under rule 429 of the Gas Rules, rather than applying the default allocations for </w:t>
      </w:r>
      <w:r w:rsidR="00647469">
        <w:t xml:space="preserve">the </w:t>
      </w:r>
      <w:r w:rsidRPr="00667B20">
        <w:t xml:space="preserve">MAP to calculate </w:t>
      </w:r>
      <w:r w:rsidR="00647469">
        <w:t xml:space="preserve">a </w:t>
      </w:r>
      <w:r w:rsidRPr="00667B20">
        <w:t>‘delayed’ ex post imbalance price for the 4</w:t>
      </w:r>
      <w:r w:rsidR="004E4810">
        <w:t> </w:t>
      </w:r>
      <w:r w:rsidRPr="00667B20">
        <w:t>August gas day.</w:t>
      </w:r>
    </w:p>
    <w:p w:rsidR="00667B20" w:rsidRPr="00667B20" w:rsidRDefault="00667B20" w:rsidP="00667B20">
      <w:pPr>
        <w:pStyle w:val="AERbodytext"/>
      </w:pPr>
      <w:r w:rsidRPr="00667B20">
        <w:t>AEMO published a</w:t>
      </w:r>
      <w:r>
        <w:t xml:space="preserve"> </w:t>
      </w:r>
      <w:hyperlink r:id="rId23" w:history="1">
        <w:r w:rsidRPr="00667B20">
          <w:rPr>
            <w:rStyle w:val="Hyperlink"/>
          </w:rPr>
          <w:t>report into this incident</w:t>
        </w:r>
      </w:hyperlink>
      <w:r w:rsidR="00CD648E" w:rsidRPr="00AA5257">
        <w:t xml:space="preserve">. The report explains that an </w:t>
      </w:r>
      <w:r w:rsidR="00CD648E">
        <w:t xml:space="preserve">ex post imbalance price was triggered, however </w:t>
      </w:r>
      <w:r w:rsidR="007A0AFE">
        <w:t xml:space="preserve">while investigating </w:t>
      </w:r>
      <w:r w:rsidR="00CD648E">
        <w:t>what caused this</w:t>
      </w:r>
      <w:r w:rsidR="007A0AFE">
        <w:t xml:space="preserve">, AEMO incorrectly concluded that it was due to an AEMO </w:t>
      </w:r>
      <w:r w:rsidR="00636F32">
        <w:t>IT</w:t>
      </w:r>
      <w:r w:rsidR="007A0AFE">
        <w:t xml:space="preserve"> systems issue and </w:t>
      </w:r>
      <w:r w:rsidR="00CD648E">
        <w:t xml:space="preserve">it instead </w:t>
      </w:r>
      <w:r w:rsidR="007A0AFE">
        <w:t>applied an administered ex post pricing state</w:t>
      </w:r>
      <w:r w:rsidR="00AB31EF">
        <w:t>.</w:t>
      </w:r>
    </w:p>
    <w:p w:rsidR="00667B20" w:rsidRPr="00667B20" w:rsidRDefault="00667B20" w:rsidP="00667B20">
      <w:pPr>
        <w:pStyle w:val="AERbodytext"/>
      </w:pPr>
      <w:r w:rsidRPr="00667B20">
        <w:t xml:space="preserve">The error had no financial impact on participants as the administered ex post price and the ‘delayed’ ex post imbalance price were the same. </w:t>
      </w:r>
    </w:p>
    <w:p w:rsidR="00667B20" w:rsidRDefault="00667B20" w:rsidP="00667B20">
      <w:pPr>
        <w:pStyle w:val="AERbodytext"/>
      </w:pPr>
      <w:r w:rsidRPr="00667B20">
        <w:t xml:space="preserve">Following this incident, AEMO revised its operational processes to ensure that the delayed ex post imbalance price </w:t>
      </w:r>
      <w:r w:rsidR="004858E7">
        <w:t>will continue</w:t>
      </w:r>
      <w:r w:rsidRPr="00667B20">
        <w:t xml:space="preserve"> until </w:t>
      </w:r>
      <w:r w:rsidR="00636F32">
        <w:t xml:space="preserve">AEMO can </w:t>
      </w:r>
      <w:r w:rsidR="00AB31EF" w:rsidRPr="00667B20">
        <w:t>con</w:t>
      </w:r>
      <w:r w:rsidR="00AB31EF">
        <w:t>firm</w:t>
      </w:r>
      <w:r w:rsidR="00AB31EF" w:rsidRPr="00667B20">
        <w:t xml:space="preserve"> </w:t>
      </w:r>
      <w:r w:rsidR="004858E7">
        <w:t>that there is an AEMO IT systems issue</w:t>
      </w:r>
      <w:r w:rsidRPr="00667B20">
        <w:t xml:space="preserve">. </w:t>
      </w:r>
      <w:r w:rsidR="004858E7">
        <w:t xml:space="preserve">At that stage, the administered ex post pricing state would be correctly applied. </w:t>
      </w:r>
      <w:r w:rsidRPr="00667B20">
        <w:t xml:space="preserve">AEMO is also developing a patch (expected to be implemented in March/April 2014) which will make changes to the graphical user interface. This change has been designed to make it more </w:t>
      </w:r>
      <w:r w:rsidR="00A303DC" w:rsidRPr="00667B20">
        <w:t>obvious</w:t>
      </w:r>
      <w:r w:rsidRPr="00667B20">
        <w:t xml:space="preserve"> to users if uploaded files have not been successfully validated. AEMO has also updated its internal processes to avoid similar issues occurring in the future.</w:t>
      </w:r>
    </w:p>
    <w:p w:rsidR="00667B20" w:rsidRDefault="00667B20" w:rsidP="00667B20">
      <w:pPr>
        <w:pStyle w:val="AERheading2"/>
        <w:tabs>
          <w:tab w:val="clear" w:pos="2484"/>
          <w:tab w:val="num" w:pos="357"/>
        </w:tabs>
        <w:ind w:left="357"/>
      </w:pPr>
      <w:bookmarkStart w:id="43" w:name="_Toc370218462"/>
      <w:r>
        <w:t>Counteracting MOS in the Adelaide hub</w:t>
      </w:r>
      <w:bookmarkEnd w:id="43"/>
    </w:p>
    <w:p w:rsidR="00667B20" w:rsidRPr="00667B20" w:rsidRDefault="00667B20" w:rsidP="00667B20">
      <w:pPr>
        <w:pStyle w:val="AERbodytext"/>
      </w:pPr>
      <w:r w:rsidRPr="00667B20">
        <w:rPr>
          <w:rStyle w:val="AERbodytextChar"/>
        </w:rPr>
        <w:t>In the</w:t>
      </w:r>
      <w:r>
        <w:t xml:space="preserve"> </w:t>
      </w:r>
      <w:hyperlink r:id="rId24" w:history="1">
        <w:r w:rsidRPr="00543C9B">
          <w:rPr>
            <w:rStyle w:val="Hyperlink"/>
          </w:rPr>
          <w:t>September 2012 QCR</w:t>
        </w:r>
      </w:hyperlink>
      <w:r>
        <w:t xml:space="preserve"> </w:t>
      </w:r>
      <w:r w:rsidRPr="00667B20">
        <w:t>we discussed the issue of counteracting market operator service (</w:t>
      </w:r>
      <w:r w:rsidRPr="00667B20">
        <w:rPr>
          <w:b/>
        </w:rPr>
        <w:t>MOS</w:t>
      </w:r>
      <w:r w:rsidRPr="00667B20">
        <w:t>) in the Adelaide STTM. Counteracting MOS occurs in Adelaide when the MAP provides increase MOS at the same time as the SEA Gas pipeline provides a similar quantity of decrease MOS. Counteracting MOS may occur even when demand is forecast accurately and network/pipeline deviations are small.</w:t>
      </w:r>
    </w:p>
    <w:p w:rsidR="00667B20" w:rsidRPr="00667B20" w:rsidRDefault="00667B20" w:rsidP="00667B20">
      <w:pPr>
        <w:pStyle w:val="AERbodytext"/>
      </w:pPr>
      <w:r w:rsidRPr="00667B20">
        <w:t>On the 25 June 2013 gas day, MOS service payments in excess of $250</w:t>
      </w:r>
      <w:r w:rsidR="004E4810">
        <w:t> </w:t>
      </w:r>
      <w:r w:rsidRPr="00667B20">
        <w:t>000 were generated for the Ade</w:t>
      </w:r>
      <w:r w:rsidR="00524056">
        <w:t>laide STTM, meeting one of our s</w:t>
      </w:r>
      <w:r w:rsidRPr="00667B20">
        <w:t xml:space="preserve">ignificant </w:t>
      </w:r>
      <w:r w:rsidR="00524056">
        <w:t>p</w:t>
      </w:r>
      <w:r w:rsidRPr="00667B20">
        <w:t xml:space="preserve">rice </w:t>
      </w:r>
      <w:r w:rsidR="00524056">
        <w:t>v</w:t>
      </w:r>
      <w:r w:rsidRPr="00667B20">
        <w:t>ariation (</w:t>
      </w:r>
      <w:r w:rsidRPr="00667B20">
        <w:rPr>
          <w:b/>
        </w:rPr>
        <w:t>SPV</w:t>
      </w:r>
      <w:r w:rsidRPr="00667B20">
        <w:t>) reporting triggers. On 17</w:t>
      </w:r>
      <w:r w:rsidR="004E4810">
        <w:t> </w:t>
      </w:r>
      <w:r w:rsidRPr="00667B20">
        <w:t>September, we released an</w:t>
      </w:r>
      <w:r w:rsidR="00E41F20">
        <w:t xml:space="preserve"> </w:t>
      </w:r>
      <w:hyperlink r:id="rId25" w:history="1">
        <w:r w:rsidR="00E41F20">
          <w:rPr>
            <w:rStyle w:val="Hyperlink"/>
          </w:rPr>
          <w:t>SPV Report</w:t>
        </w:r>
      </w:hyperlink>
      <w:r w:rsidR="00E41F20">
        <w:t xml:space="preserve"> </w:t>
      </w:r>
      <w:r w:rsidRPr="00667B20">
        <w:t xml:space="preserve">which explains the factors that led to such high MOS requirements on the day, and during winter 2013 more generally. </w:t>
      </w:r>
    </w:p>
    <w:p w:rsidR="00667B20" w:rsidRPr="00667B20" w:rsidRDefault="00667B20" w:rsidP="00667B20">
      <w:pPr>
        <w:pStyle w:val="AERbodytext"/>
      </w:pPr>
      <w:r w:rsidRPr="00667B20">
        <w:t xml:space="preserve">Along with high hub demand and a tendency to nominate more gas on the SEA Gas pipeline rather than the MAP, </w:t>
      </w:r>
      <w:r w:rsidR="00E52C6F">
        <w:t xml:space="preserve">we identified </w:t>
      </w:r>
      <w:r w:rsidRPr="00667B20">
        <w:t>some physical issues within the Adelaide STTM as</w:t>
      </w:r>
      <w:r w:rsidR="007931E0">
        <w:t xml:space="preserve"> a driver behind the counteracting MOS. </w:t>
      </w:r>
      <w:r w:rsidRPr="00667B20">
        <w:t xml:space="preserve">Firstly, the Elizabeth zone within the Adelaide distribution network is completely isolated from the SEA Gas pipeline and can only be serviced by the MAP. Secondly, due to the different pressures within the distribution network and between the different delivery points, it is difficult for the SEA Gas pipeline to service the part of the distribution network towards Taperoo. We understand </w:t>
      </w:r>
      <w:proofErr w:type="spellStart"/>
      <w:r w:rsidRPr="00667B20">
        <w:t>Envestra</w:t>
      </w:r>
      <w:proofErr w:type="spellEnd"/>
      <w:r w:rsidRPr="00667B20">
        <w:t xml:space="preserve"> is conducting an investigation into these physical issues which i</w:t>
      </w:r>
      <w:r w:rsidR="00E52C6F">
        <w:t xml:space="preserve">t expects to complete </w:t>
      </w:r>
      <w:r w:rsidRPr="00667B20">
        <w:t xml:space="preserve">in late December. We will continue </w:t>
      </w:r>
      <w:r w:rsidR="00E52C6F">
        <w:t xml:space="preserve">to monitor </w:t>
      </w:r>
      <w:r w:rsidR="00E52C6F" w:rsidRPr="00667B20">
        <w:t>MOS outcomes</w:t>
      </w:r>
      <w:r w:rsidR="00E52C6F">
        <w:t xml:space="preserve"> in the Adelaide STTM</w:t>
      </w:r>
      <w:r w:rsidRPr="00667B20">
        <w:t>.</w:t>
      </w:r>
    </w:p>
    <w:p w:rsidR="00D476F6" w:rsidRPr="002F076A" w:rsidRDefault="00D476F6" w:rsidP="00D476F6">
      <w:pPr>
        <w:pStyle w:val="AERheading2"/>
        <w:tabs>
          <w:tab w:val="clear" w:pos="2484"/>
          <w:tab w:val="num" w:pos="357"/>
        </w:tabs>
        <w:ind w:left="357"/>
      </w:pPr>
      <w:bookmarkStart w:id="44" w:name="_Toc370218463"/>
      <w:r w:rsidRPr="002F076A">
        <w:t>Facility operator audits</w:t>
      </w:r>
      <w:bookmarkEnd w:id="44"/>
    </w:p>
    <w:p w:rsidR="00D476F6" w:rsidRDefault="00D476F6" w:rsidP="00D476F6">
      <w:pPr>
        <w:pStyle w:val="AERbodytext"/>
        <w:rPr>
          <w:rFonts w:cs="Gautami"/>
          <w:szCs w:val="20"/>
        </w:rPr>
      </w:pPr>
      <w:r w:rsidRPr="004B06E6">
        <w:rPr>
          <w:lang w:eastAsia="en-AU"/>
        </w:rPr>
        <w:t xml:space="preserve">Since 2011, </w:t>
      </w:r>
      <w:r w:rsidR="000D0000">
        <w:rPr>
          <w:lang w:eastAsia="en-AU"/>
        </w:rPr>
        <w:t>we have</w:t>
      </w:r>
      <w:r w:rsidRPr="004B06E6">
        <w:rPr>
          <w:lang w:eastAsia="en-AU"/>
        </w:rPr>
        <w:t xml:space="preserve"> been progressively undertaking compliance audits of STTM </w:t>
      </w:r>
      <w:r w:rsidR="004E5B8A">
        <w:rPr>
          <w:lang w:eastAsia="en-AU"/>
        </w:rPr>
        <w:t>participants</w:t>
      </w:r>
      <w:r w:rsidRPr="004B06E6">
        <w:rPr>
          <w:lang w:eastAsia="en-AU"/>
        </w:rPr>
        <w:t xml:space="preserve">. </w:t>
      </w:r>
      <w:r w:rsidR="000D0000">
        <w:t>This</w:t>
      </w:r>
      <w:r w:rsidRPr="004B06E6">
        <w:t xml:space="preserve"> series of audits</w:t>
      </w:r>
      <w:r w:rsidR="00C74961">
        <w:t>,</w:t>
      </w:r>
      <w:r w:rsidR="00D93CA3">
        <w:t xml:space="preserve"> which looks at compliance with information and data obligations under Part 20 of the Gas Rules</w:t>
      </w:r>
      <w:r w:rsidR="00C74961">
        <w:t>,</w:t>
      </w:r>
      <w:r w:rsidRPr="004B06E6">
        <w:t xml:space="preserve"> </w:t>
      </w:r>
      <w:r w:rsidR="000D0000">
        <w:t xml:space="preserve">is </w:t>
      </w:r>
      <w:r w:rsidRPr="004B06E6">
        <w:t xml:space="preserve">an ongoing effort to </w:t>
      </w:r>
      <w:r w:rsidR="00C74961">
        <w:t>improve the</w:t>
      </w:r>
      <w:r w:rsidRPr="004B06E6">
        <w:t xml:space="preserve"> culture of compliance </w:t>
      </w:r>
      <w:r w:rsidR="00C74961">
        <w:t xml:space="preserve">with STTM obligations </w:t>
      </w:r>
      <w:r w:rsidRPr="004B06E6">
        <w:t xml:space="preserve">across the industry. </w:t>
      </w:r>
      <w:r>
        <w:rPr>
          <w:rFonts w:cs="Gautami"/>
          <w:szCs w:val="20"/>
        </w:rPr>
        <w:t>This</w:t>
      </w:r>
      <w:r w:rsidRPr="00457C13">
        <w:rPr>
          <w:rFonts w:cs="Gautami"/>
          <w:szCs w:val="20"/>
        </w:rPr>
        <w:t xml:space="preserve"> quarter</w:t>
      </w:r>
      <w:r w:rsidRPr="00B8683C">
        <w:rPr>
          <w:lang w:eastAsia="en-AU"/>
        </w:rPr>
        <w:t xml:space="preserve"> </w:t>
      </w:r>
      <w:r>
        <w:rPr>
          <w:lang w:eastAsia="en-AU"/>
        </w:rPr>
        <w:t xml:space="preserve">we </w:t>
      </w:r>
      <w:r w:rsidR="00DF6C2B">
        <w:rPr>
          <w:lang w:eastAsia="en-AU"/>
        </w:rPr>
        <w:t xml:space="preserve">commenced the fifth </w:t>
      </w:r>
      <w:r w:rsidR="004E5B8A">
        <w:rPr>
          <w:lang w:eastAsia="en-AU"/>
        </w:rPr>
        <w:t xml:space="preserve">audit under this process, examining </w:t>
      </w:r>
      <w:r w:rsidR="00DF6C2B">
        <w:rPr>
          <w:lang w:eastAsia="en-AU"/>
        </w:rPr>
        <w:t>SEA Gas</w:t>
      </w:r>
      <w:r w:rsidR="007931E0">
        <w:rPr>
          <w:lang w:eastAsia="en-AU"/>
        </w:rPr>
        <w:t>.</w:t>
      </w:r>
    </w:p>
    <w:p w:rsidR="00D476F6" w:rsidRPr="00006E63" w:rsidRDefault="00847565" w:rsidP="00EE2EF7">
      <w:pPr>
        <w:pStyle w:val="AERbodytext"/>
        <w:keepNext/>
        <w:rPr>
          <w:bCs/>
          <w:color w:val="000000"/>
        </w:rPr>
      </w:pPr>
      <w:r>
        <w:rPr>
          <w:bCs/>
          <w:color w:val="000000"/>
        </w:rPr>
        <w:lastRenderedPageBreak/>
        <w:t>The audit will involve</w:t>
      </w:r>
      <w:r w:rsidR="00D476F6" w:rsidRPr="00FE4E1B">
        <w:rPr>
          <w:bCs/>
          <w:color w:val="000000"/>
        </w:rPr>
        <w:t xml:space="preserve"> four steps:</w:t>
      </w:r>
    </w:p>
    <w:p w:rsidR="00D476F6" w:rsidRPr="00FE4E1B" w:rsidRDefault="00D476F6" w:rsidP="00712C8E">
      <w:pPr>
        <w:pStyle w:val="AERbulletlistsecondstyle"/>
      </w:pPr>
      <w:r>
        <w:t xml:space="preserve">issuing </w:t>
      </w:r>
      <w:r w:rsidR="00847565">
        <w:rPr>
          <w:lang w:eastAsia="en-AU"/>
        </w:rPr>
        <w:t xml:space="preserve">SEA Gas </w:t>
      </w:r>
      <w:r w:rsidRPr="00FE4E1B">
        <w:t xml:space="preserve">an audit questionnaire </w:t>
      </w:r>
    </w:p>
    <w:p w:rsidR="00D476F6" w:rsidRPr="00FE4E1B" w:rsidRDefault="00D476F6" w:rsidP="00712C8E">
      <w:pPr>
        <w:pStyle w:val="AERbulletlistsecondstyle"/>
      </w:pPr>
      <w:r w:rsidRPr="00FE4E1B">
        <w:t xml:space="preserve">reviewing </w:t>
      </w:r>
      <w:r w:rsidR="00847565">
        <w:rPr>
          <w:lang w:eastAsia="en-AU"/>
        </w:rPr>
        <w:t>the</w:t>
      </w:r>
      <w:r w:rsidRPr="00FE4E1B">
        <w:t xml:space="preserve"> response </w:t>
      </w:r>
      <w:r w:rsidR="00847565">
        <w:t xml:space="preserve">from </w:t>
      </w:r>
      <w:r w:rsidR="00847565">
        <w:rPr>
          <w:lang w:eastAsia="en-AU"/>
        </w:rPr>
        <w:t xml:space="preserve">SEA Gas </w:t>
      </w:r>
      <w:r w:rsidRPr="00FE4E1B">
        <w:t>to ascertain whether it adequately me</w:t>
      </w:r>
      <w:r w:rsidR="00847565">
        <w:t>e</w:t>
      </w:r>
      <w:r w:rsidRPr="00FE4E1B">
        <w:t>t</w:t>
      </w:r>
      <w:r w:rsidR="00847565">
        <w:t>s</w:t>
      </w:r>
      <w:r w:rsidRPr="00FE4E1B">
        <w:t xml:space="preserve"> the </w:t>
      </w:r>
      <w:r>
        <w:t>aim</w:t>
      </w:r>
      <w:r w:rsidR="00847565">
        <w:t>s</w:t>
      </w:r>
      <w:r>
        <w:t xml:space="preserve"> of the </w:t>
      </w:r>
      <w:r w:rsidRPr="00FE4E1B">
        <w:t>audit</w:t>
      </w:r>
    </w:p>
    <w:p w:rsidR="00D476F6" w:rsidRPr="00FE4E1B" w:rsidRDefault="00D476F6" w:rsidP="00712C8E">
      <w:pPr>
        <w:pStyle w:val="AERbulletlistsecondstyle"/>
      </w:pPr>
      <w:r>
        <w:t xml:space="preserve">a site visit to </w:t>
      </w:r>
      <w:r w:rsidR="00847565">
        <w:rPr>
          <w:lang w:eastAsia="en-AU"/>
        </w:rPr>
        <w:t>SEA Gas</w:t>
      </w:r>
      <w:r w:rsidRPr="00FE4E1B">
        <w:t xml:space="preserve">’s head office to discuss questions and issues that arose from </w:t>
      </w:r>
      <w:r w:rsidR="00847565">
        <w:rPr>
          <w:lang w:eastAsia="en-AU"/>
        </w:rPr>
        <w:t xml:space="preserve">the audit questionnaire </w:t>
      </w:r>
      <w:r w:rsidRPr="00FE4E1B">
        <w:t>response</w:t>
      </w:r>
    </w:p>
    <w:p w:rsidR="00D476F6" w:rsidRPr="00FE4E1B" w:rsidRDefault="00D476F6" w:rsidP="00712C8E">
      <w:pPr>
        <w:pStyle w:val="AERbulletlistsecondstyle"/>
      </w:pPr>
      <w:proofErr w:type="gramStart"/>
      <w:r w:rsidRPr="00FE4E1B">
        <w:t>issuing</w:t>
      </w:r>
      <w:proofErr w:type="gramEnd"/>
      <w:r w:rsidRPr="00FE4E1B">
        <w:t xml:space="preserve"> </w:t>
      </w:r>
      <w:r w:rsidR="00847565">
        <w:rPr>
          <w:lang w:eastAsia="en-AU"/>
        </w:rPr>
        <w:t xml:space="preserve">SEA Gas </w:t>
      </w:r>
      <w:r>
        <w:t>with</w:t>
      </w:r>
      <w:r w:rsidRPr="00FE4E1B">
        <w:t xml:space="preserve"> an audit report outlining conclusions and recommendations</w:t>
      </w:r>
      <w:r>
        <w:t xml:space="preserve">. </w:t>
      </w:r>
    </w:p>
    <w:p w:rsidR="00ED7BB4" w:rsidRPr="00847565" w:rsidRDefault="00847565" w:rsidP="00847565">
      <w:pPr>
        <w:pStyle w:val="AERbulletlistfirststyle"/>
      </w:pPr>
      <w:r>
        <w:t>We have issued SEA Gas with the audit questionnaire and intend to complete the other steps of the audit next quarter. We will report the key findings from the audit in the next QCR.</w:t>
      </w:r>
    </w:p>
    <w:p w:rsidR="00B25981" w:rsidRPr="00860DB5" w:rsidRDefault="00B25981" w:rsidP="002C7158">
      <w:pPr>
        <w:pStyle w:val="QCRunnumberedunboldheading"/>
      </w:pPr>
      <w:bookmarkStart w:id="45" w:name="_Toc370218464"/>
      <w:r w:rsidRPr="00860DB5">
        <w:t>Victorian gas market</w:t>
      </w:r>
      <w:bookmarkEnd w:id="45"/>
    </w:p>
    <w:p w:rsidR="00667B20" w:rsidRDefault="00D93CA3" w:rsidP="00B25981">
      <w:pPr>
        <w:pStyle w:val="AERbodytext"/>
      </w:pPr>
      <w:proofErr w:type="gramStart"/>
      <w:r w:rsidRPr="00405B4F">
        <w:t>Part 19 of the Gas Rules sets out participants</w:t>
      </w:r>
      <w:r w:rsidRPr="00405B4F">
        <w:rPr>
          <w:rFonts w:hint="eastAsia"/>
        </w:rPr>
        <w:t>’</w:t>
      </w:r>
      <w:r w:rsidRPr="00405B4F">
        <w:t xml:space="preserve"> responsibilities in the Victorian Gas Market.</w:t>
      </w:r>
      <w:proofErr w:type="gramEnd"/>
      <w:r w:rsidRPr="00405B4F">
        <w:t xml:space="preserve"> The rules outline how wholesale gas is traded within the market and AEMO</w:t>
      </w:r>
      <w:r w:rsidRPr="00405B4F">
        <w:rPr>
          <w:rFonts w:hint="eastAsia"/>
        </w:rPr>
        <w:t>’</w:t>
      </w:r>
      <w:r w:rsidRPr="00405B4F">
        <w:t>s obligations to operate the physical system.</w:t>
      </w:r>
      <w:r>
        <w:t xml:space="preserve"> </w:t>
      </w:r>
      <w:r w:rsidR="00A303DC">
        <w:t>Two</w:t>
      </w:r>
      <w:r w:rsidR="00D476F6">
        <w:t xml:space="preserve"> recent erro</w:t>
      </w:r>
      <w:r>
        <w:t>rs by p</w:t>
      </w:r>
      <w:r w:rsidR="003516D7">
        <w:t>articipants are reported below.</w:t>
      </w:r>
    </w:p>
    <w:p w:rsidR="00667B20" w:rsidRPr="00D476F6" w:rsidRDefault="00667B20" w:rsidP="00667B20">
      <w:pPr>
        <w:pStyle w:val="AERheading2"/>
        <w:tabs>
          <w:tab w:val="clear" w:pos="2484"/>
          <w:tab w:val="num" w:pos="357"/>
        </w:tabs>
        <w:ind w:left="357"/>
      </w:pPr>
      <w:bookmarkStart w:id="46" w:name="_Toc370218465"/>
      <w:r>
        <w:t>Origin Energy</w:t>
      </w:r>
      <w:r w:rsidRPr="00F47811">
        <w:t xml:space="preserve"> </w:t>
      </w:r>
      <w:r>
        <w:t>demand forecast error</w:t>
      </w:r>
      <w:bookmarkEnd w:id="46"/>
    </w:p>
    <w:p w:rsidR="00667B20" w:rsidRPr="00667B20" w:rsidRDefault="00667B20" w:rsidP="00667B20">
      <w:pPr>
        <w:pStyle w:val="AERbodytext"/>
      </w:pPr>
      <w:r w:rsidRPr="00667B20">
        <w:t xml:space="preserve">As reported </w:t>
      </w:r>
      <w:hyperlink r:id="rId26" w:history="1">
        <w:r w:rsidR="00F62E0C">
          <w:rPr>
            <w:rStyle w:val="Hyperlink"/>
          </w:rPr>
          <w:t>last quarter</w:t>
        </w:r>
      </w:hyperlink>
      <w:r w:rsidRPr="00667B20">
        <w:t xml:space="preserve">, Origin submitted incorrect Victorian gas market demand forecasts to AEMO over multiple days in April 2013. Origin explained that this incident was the result of its demand forecasting software not correctly incorporating weather data into the forecasts. Origin repaired the issue with its forecasting software and introduced a manual check to ensure that the weather is correctly considered when forecasting. </w:t>
      </w:r>
    </w:p>
    <w:p w:rsidR="0045019D" w:rsidRDefault="00667B20" w:rsidP="00011B17">
      <w:pPr>
        <w:pStyle w:val="AERbodytext"/>
      </w:pPr>
      <w:r w:rsidRPr="00667B20">
        <w:t xml:space="preserve">This quarter Origin completed a review of its Victorian gas market forecasting processes to </w:t>
      </w:r>
      <w:r w:rsidR="00F004ED">
        <w:t xml:space="preserve">identify improvements that will </w:t>
      </w:r>
      <w:r w:rsidRPr="00667B20">
        <w:t xml:space="preserve">ensure it continues to meet its data and information obligations. </w:t>
      </w:r>
      <w:r w:rsidR="0045019D">
        <w:t xml:space="preserve">The </w:t>
      </w:r>
      <w:r w:rsidR="00E52C6F">
        <w:t>key findings of this review</w:t>
      </w:r>
      <w:r w:rsidR="0045019D">
        <w:t xml:space="preserve"> included</w:t>
      </w:r>
      <w:r w:rsidR="00F004ED">
        <w:t xml:space="preserve"> improvements </w:t>
      </w:r>
      <w:r w:rsidR="0091444F">
        <w:t xml:space="preserve">that could be made to </w:t>
      </w:r>
      <w:r w:rsidR="00F004ED">
        <w:t xml:space="preserve">large commercial and </w:t>
      </w:r>
      <w:r w:rsidR="0091444F">
        <w:t xml:space="preserve">industrial demand forecasts and a need for more frequent ex post reviews of Origin’s forecasting performance. </w:t>
      </w:r>
    </w:p>
    <w:p w:rsidR="0045019D" w:rsidRPr="00E52C6F" w:rsidRDefault="0045019D" w:rsidP="0045019D">
      <w:pPr>
        <w:pStyle w:val="AERbodytext"/>
      </w:pPr>
      <w:r>
        <w:t>Origin is undertaking a range of actions to address the findings</w:t>
      </w:r>
      <w:r w:rsidR="0091444F">
        <w:t xml:space="preserve"> of its review</w:t>
      </w:r>
      <w:r>
        <w:t xml:space="preserve">. </w:t>
      </w:r>
      <w:r w:rsidR="0091444F">
        <w:t>The AER will continue to monitor the demand forecasting performance of all Victorian gas market participants.</w:t>
      </w:r>
    </w:p>
    <w:p w:rsidR="00D476F6" w:rsidRDefault="006809E7" w:rsidP="00D476F6">
      <w:pPr>
        <w:pStyle w:val="AERheading2"/>
        <w:tabs>
          <w:tab w:val="clear" w:pos="2484"/>
          <w:tab w:val="num" w:pos="357"/>
        </w:tabs>
        <w:ind w:left="357"/>
      </w:pPr>
      <w:bookmarkStart w:id="47" w:name="_Toc370218466"/>
      <w:r>
        <w:t xml:space="preserve">Multinet </w:t>
      </w:r>
      <w:r w:rsidR="00A841BA">
        <w:t>Gas miscalculations of temperature sensitivity factor</w:t>
      </w:r>
      <w:bookmarkEnd w:id="47"/>
    </w:p>
    <w:p w:rsidR="00667B20" w:rsidRPr="00667B20" w:rsidRDefault="00667B20" w:rsidP="00667B20">
      <w:pPr>
        <w:pStyle w:val="AERbodytext"/>
      </w:pPr>
      <w:r w:rsidRPr="00667B20">
        <w:t xml:space="preserve">In </w:t>
      </w:r>
      <w:r w:rsidR="00E017F8">
        <w:t>July</w:t>
      </w:r>
      <w:r w:rsidRPr="00667B20">
        <w:t xml:space="preserve"> 2013, AEMO notified the AER </w:t>
      </w:r>
      <w:r w:rsidR="006060A9">
        <w:t>(</w:t>
      </w:r>
      <w:r w:rsidRPr="00667B20">
        <w:t xml:space="preserve">in accordance with </w:t>
      </w:r>
      <w:r w:rsidR="006060A9">
        <w:t xml:space="preserve">the process in </w:t>
      </w:r>
      <w:r w:rsidRPr="00667B20">
        <w:t xml:space="preserve">section 91MB </w:t>
      </w:r>
      <w:r w:rsidR="006060A9">
        <w:t xml:space="preserve">of </w:t>
      </w:r>
      <w:r w:rsidRPr="00667B20">
        <w:t>the Gas Law</w:t>
      </w:r>
      <w:r w:rsidR="006060A9">
        <w:t>)</w:t>
      </w:r>
      <w:r w:rsidRPr="00667B20">
        <w:t xml:space="preserve"> that Multinet Gas</w:t>
      </w:r>
      <w:r w:rsidR="00BD61A4">
        <w:t xml:space="preserve"> had, in AEMO’s opinion,</w:t>
      </w:r>
      <w:r w:rsidRPr="00667B20">
        <w:t xml:space="preserve"> breached the Victorian retail market procedure by using erroneous data to calculate temperature sensitivity factor (</w:t>
      </w:r>
      <w:r w:rsidRPr="00667B20">
        <w:rPr>
          <w:b/>
        </w:rPr>
        <w:t>TSF</w:t>
      </w:r>
      <w:r w:rsidRPr="00667B20">
        <w:t xml:space="preserve">) values for the June 2013 preliminary settlement. </w:t>
      </w:r>
    </w:p>
    <w:p w:rsidR="00667B20" w:rsidRPr="00667B20" w:rsidRDefault="00667B20" w:rsidP="00667B20">
      <w:pPr>
        <w:pStyle w:val="AERbodytext"/>
      </w:pPr>
      <w:r w:rsidRPr="00667B20">
        <w:t xml:space="preserve">Multinet Gas </w:t>
      </w:r>
      <w:r w:rsidR="00E017F8">
        <w:t xml:space="preserve">has outlined </w:t>
      </w:r>
      <w:r w:rsidR="00BD61A4">
        <w:t xml:space="preserve">its initial view </w:t>
      </w:r>
      <w:r w:rsidRPr="00667B20">
        <w:t xml:space="preserve">that </w:t>
      </w:r>
      <w:r w:rsidR="003642D3">
        <w:t>the erroneous data</w:t>
      </w:r>
      <w:r w:rsidRPr="00667B20">
        <w:t xml:space="preserve"> was a result of </w:t>
      </w:r>
      <w:r w:rsidR="003642D3">
        <w:t xml:space="preserve">it </w:t>
      </w:r>
      <w:r w:rsidR="00D82D3C">
        <w:t xml:space="preserve">transferring to a new IT </w:t>
      </w:r>
      <w:r w:rsidRPr="00667B20">
        <w:t xml:space="preserve">system in </w:t>
      </w:r>
      <w:r w:rsidR="00D82D3C">
        <w:t>July </w:t>
      </w:r>
      <w:r w:rsidRPr="00667B20">
        <w:t>2012</w:t>
      </w:r>
      <w:r w:rsidR="00B10986">
        <w:t xml:space="preserve"> to prepare for the </w:t>
      </w:r>
      <w:r w:rsidR="00BD61A4">
        <w:t xml:space="preserve">business-to-business </w:t>
      </w:r>
      <w:r w:rsidR="00B10986">
        <w:t>requirements of the National Energy Retail Law and Rules</w:t>
      </w:r>
      <w:r w:rsidRPr="00667B20">
        <w:t xml:space="preserve">. </w:t>
      </w:r>
      <w:r w:rsidR="00E017F8">
        <w:t xml:space="preserve">There was a </w:t>
      </w:r>
      <w:r w:rsidRPr="00667B20">
        <w:t xml:space="preserve">failure of its </w:t>
      </w:r>
      <w:r w:rsidR="00E017F8">
        <w:t xml:space="preserve">new </w:t>
      </w:r>
      <w:r w:rsidRPr="00667B20">
        <w:t>system to accurately relate ‘read types’ against ‘actual read’ values during high usage period</w:t>
      </w:r>
      <w:r w:rsidR="00A303DC">
        <w:t>s</w:t>
      </w:r>
      <w:r w:rsidRPr="00667B20">
        <w:t xml:space="preserve">, which resulted in shorter than usual time periods being applied during TSF value calculations. </w:t>
      </w:r>
    </w:p>
    <w:p w:rsidR="00667B20" w:rsidRDefault="003642D3" w:rsidP="00667B20">
      <w:pPr>
        <w:pStyle w:val="AERbodytext"/>
      </w:pPr>
      <w:r>
        <w:t xml:space="preserve">In a report to the AER, AEMO outlined </w:t>
      </w:r>
      <w:r w:rsidR="00BD61A4">
        <w:t xml:space="preserve">its view </w:t>
      </w:r>
      <w:r>
        <w:t xml:space="preserve">that the incorrect data </w:t>
      </w:r>
      <w:r w:rsidR="00667B20" w:rsidRPr="00667B20">
        <w:t xml:space="preserve">resulted in financial impacts for Origin Energy as the host retailer due to larger than usual differences between preliminary and final </w:t>
      </w:r>
      <w:r w:rsidR="00667B20" w:rsidRPr="00667B20">
        <w:lastRenderedPageBreak/>
        <w:t>settlement</w:t>
      </w:r>
      <w:r>
        <w:t xml:space="preserve"> (</w:t>
      </w:r>
      <w:r w:rsidR="00BD61A4">
        <w:t xml:space="preserve">since </w:t>
      </w:r>
      <w:r>
        <w:t xml:space="preserve">Origin was required to provide a prepayment to cover its inflated prudential exposure </w:t>
      </w:r>
      <w:r w:rsidR="00BD61A4">
        <w:t>and</w:t>
      </w:r>
      <w:r>
        <w:t xml:space="preserve"> to settle an inflated June 2013 final settlement amount)</w:t>
      </w:r>
      <w:r w:rsidR="00667B20" w:rsidRPr="00667B20">
        <w:t>.</w:t>
      </w:r>
      <w:r w:rsidR="00BD61A4">
        <w:t xml:space="preserve"> As the six-monthly revision on settlement has a higher level of actual data and trues up the estimated data used in the final settlement, any financial impact would be temporary. </w:t>
      </w:r>
    </w:p>
    <w:p w:rsidR="00667B20" w:rsidRPr="00667B20" w:rsidRDefault="00624F2B" w:rsidP="00667B20">
      <w:pPr>
        <w:pStyle w:val="AERbodytext"/>
      </w:pPr>
      <w:r>
        <w:t xml:space="preserve">AEMO has requested that </w:t>
      </w:r>
      <w:r w:rsidRPr="00667B20">
        <w:t xml:space="preserve">Multinet </w:t>
      </w:r>
      <w:r>
        <w:t xml:space="preserve">provide updated data files by mid-October. </w:t>
      </w:r>
      <w:r w:rsidRPr="00667B20">
        <w:t xml:space="preserve">Multinet </w:t>
      </w:r>
      <w:r>
        <w:t>is</w:t>
      </w:r>
      <w:r w:rsidRPr="00667B20">
        <w:t xml:space="preserve"> in the process of </w:t>
      </w:r>
      <w:r>
        <w:t xml:space="preserve">testing the data it will provide to AEMO to ensure that it is accurate. </w:t>
      </w:r>
      <w:r w:rsidR="00E017F8">
        <w:t>It</w:t>
      </w:r>
      <w:r w:rsidR="00CC52CC">
        <w:t xml:space="preserve"> will </w:t>
      </w:r>
      <w:r w:rsidR="00E017F8">
        <w:t xml:space="preserve">also </w:t>
      </w:r>
      <w:r w:rsidR="00CC52CC">
        <w:t xml:space="preserve">provide the AER with an </w:t>
      </w:r>
      <w:r w:rsidR="00E017F8">
        <w:t xml:space="preserve">overview of remedial </w:t>
      </w:r>
      <w:r w:rsidR="00CC52CC">
        <w:t>actions taken</w:t>
      </w:r>
      <w:r w:rsidR="00E017F8">
        <w:t xml:space="preserve"> to ensure similar errors do not occur in the future</w:t>
      </w:r>
      <w:r w:rsidR="00CC52CC">
        <w:t>.</w:t>
      </w:r>
      <w:r w:rsidR="006060A9">
        <w:t xml:space="preserve">  The AER’s assessment of this matter is continuing. </w:t>
      </w:r>
    </w:p>
    <w:p w:rsidR="00B25981" w:rsidRPr="00860DB5" w:rsidRDefault="00B25981" w:rsidP="002C7158">
      <w:pPr>
        <w:pStyle w:val="QCRunnumberedunboldheading"/>
      </w:pPr>
      <w:bookmarkStart w:id="48" w:name="_Toc370218467"/>
      <w:r w:rsidRPr="00D82D3C">
        <w:t>Bulletin Board</w:t>
      </w:r>
      <w:bookmarkEnd w:id="48"/>
    </w:p>
    <w:p w:rsidR="008800C5" w:rsidRDefault="00D476F6" w:rsidP="008800C5">
      <w:pPr>
        <w:pStyle w:val="AERbodytext"/>
        <w:rPr>
          <w:rFonts w:cs="Gautami"/>
        </w:rPr>
      </w:pPr>
      <w:proofErr w:type="gramStart"/>
      <w:r w:rsidRPr="00405B4F">
        <w:t>Part 18 of the Gas Rules sets out participants’ responsibilities regarding the Bulletin Board.</w:t>
      </w:r>
      <w:proofErr w:type="gramEnd"/>
      <w:r w:rsidRPr="00405B4F">
        <w:t xml:space="preserve"> These </w:t>
      </w:r>
      <w:r w:rsidRPr="00C8481B">
        <w:t>obligations</w:t>
      </w:r>
      <w:r w:rsidRPr="00405B4F">
        <w:t xml:space="preserve"> aim to facilitate greater transparency in gas production and gas pipeline flows to assist gas trading. The obligations also require participants to identify and report any potential conditions where </w:t>
      </w:r>
      <w:r w:rsidRPr="00C8481B">
        <w:rPr>
          <w:rFonts w:cs="Gautami"/>
        </w:rPr>
        <w:t>curtailment of gas use might be necessary.</w:t>
      </w:r>
    </w:p>
    <w:p w:rsidR="00D476F6" w:rsidRPr="00D476F6" w:rsidRDefault="00D476F6" w:rsidP="00D476F6">
      <w:pPr>
        <w:pStyle w:val="AERbodytext"/>
      </w:pPr>
      <w:r w:rsidRPr="00393D76">
        <w:t>Participants submit daily pipeline nominated and forecast delivery data as required by</w:t>
      </w:r>
      <w:r w:rsidR="003516D7">
        <w:t xml:space="preserve"> gas</w:t>
      </w:r>
      <w:r w:rsidRPr="00393D76">
        <w:t xml:space="preserve"> rule</w:t>
      </w:r>
      <w:r w:rsidR="003516D7">
        <w:t> </w:t>
      </w:r>
      <w:r w:rsidRPr="00393D76">
        <w:t xml:space="preserve">173. During the quarter, two facility operators failed on </w:t>
      </w:r>
      <w:r w:rsidR="004C452A">
        <w:t xml:space="preserve">a total of </w:t>
      </w:r>
      <w:r w:rsidR="009D212F">
        <w:t>twelve</w:t>
      </w:r>
      <w:r w:rsidRPr="00393D76">
        <w:t xml:space="preserve"> occasions to submit firm nomination Bulletin Board data to AEMO on the relevant gas day.</w:t>
      </w:r>
      <w:r w:rsidR="00FE4122">
        <w:t xml:space="preserve"> </w:t>
      </w:r>
      <w:r w:rsidR="009D212F">
        <w:t xml:space="preserve">The missing nominations for one participant were due to </w:t>
      </w:r>
      <w:r w:rsidR="00EE5A75">
        <w:t xml:space="preserve">an expired password. This issue was </w:t>
      </w:r>
      <w:r w:rsidR="009D212F">
        <w:t xml:space="preserve">notified to the AER shortly after occurring. </w:t>
      </w:r>
    </w:p>
    <w:p w:rsidR="004C452A" w:rsidRDefault="00D476F6" w:rsidP="00D476F6">
      <w:pPr>
        <w:pStyle w:val="AERbodytext"/>
      </w:pPr>
      <w:r w:rsidRPr="00393D76">
        <w:t xml:space="preserve">Participants submit daily production and pipeline flow data as required by </w:t>
      </w:r>
      <w:r w:rsidR="009059F9">
        <w:t xml:space="preserve">gas </w:t>
      </w:r>
      <w:r w:rsidRPr="00393D76">
        <w:t xml:space="preserve">rules 166 and 174. During the quarter, </w:t>
      </w:r>
      <w:r w:rsidR="009D212F">
        <w:t>three</w:t>
      </w:r>
      <w:r w:rsidRPr="00393D76">
        <w:t xml:space="preserve"> facility operator</w:t>
      </w:r>
      <w:r w:rsidR="00784D00">
        <w:t>s</w:t>
      </w:r>
      <w:r w:rsidRPr="00393D76">
        <w:t xml:space="preserve"> failed on</w:t>
      </w:r>
      <w:r w:rsidR="004C452A">
        <w:t xml:space="preserve"> a total of</w:t>
      </w:r>
      <w:r w:rsidRPr="00393D76">
        <w:t xml:space="preserve"> </w:t>
      </w:r>
      <w:r w:rsidR="009D212F">
        <w:t xml:space="preserve">five </w:t>
      </w:r>
      <w:r w:rsidRPr="00393D76">
        <w:t>occasions to submit daily flow Bulletin Board data to AEMO.</w:t>
      </w:r>
      <w:r w:rsidR="00784D00">
        <w:t xml:space="preserve"> </w:t>
      </w:r>
    </w:p>
    <w:p w:rsidR="00D476F6" w:rsidRPr="00D476F6" w:rsidRDefault="004C452A" w:rsidP="00D476F6">
      <w:pPr>
        <w:pStyle w:val="AERbodytext"/>
      </w:pPr>
      <w:r>
        <w:t>We will continue to track non-compliance with Bulletin Board requirements and pursue any systemic breaches.</w:t>
      </w:r>
    </w:p>
    <w:p w:rsidR="007725E6" w:rsidRPr="00860DB5" w:rsidRDefault="004A472C" w:rsidP="002C7158">
      <w:pPr>
        <w:pStyle w:val="QCRHeading1"/>
      </w:pPr>
      <w:bookmarkStart w:id="49" w:name="_Toc337553428"/>
      <w:bookmarkStart w:id="50" w:name="_Ref353362815"/>
      <w:bookmarkStart w:id="51" w:name="_Toc370218468"/>
      <w:bookmarkEnd w:id="24"/>
      <w:bookmarkEnd w:id="25"/>
      <w:bookmarkEnd w:id="31"/>
      <w:bookmarkEnd w:id="32"/>
      <w:r w:rsidRPr="00860DB5">
        <w:lastRenderedPageBreak/>
        <w:t>Electricity</w:t>
      </w:r>
      <w:bookmarkEnd w:id="49"/>
      <w:bookmarkEnd w:id="50"/>
      <w:bookmarkEnd w:id="51"/>
    </w:p>
    <w:p w:rsidR="004A472C" w:rsidRDefault="00DC3257" w:rsidP="004A472C">
      <w:pPr>
        <w:pStyle w:val="AERbodytext"/>
      </w:pPr>
      <w:r>
        <w:t>We are</w:t>
      </w:r>
      <w:r w:rsidR="004A472C" w:rsidRPr="00405B4F">
        <w:t xml:space="preserve"> responsible for monitoring, investigating and </w:t>
      </w:r>
      <w:r w:rsidR="00106D97" w:rsidRPr="00405B4F">
        <w:t>enforcing c</w:t>
      </w:r>
      <w:r w:rsidR="004A472C" w:rsidRPr="00405B4F">
        <w:t>ompliance under the Electricity Law and Rules.</w:t>
      </w:r>
    </w:p>
    <w:p w:rsidR="00783406" w:rsidRPr="00405B4F" w:rsidRDefault="00783406" w:rsidP="004A472C">
      <w:pPr>
        <w:pStyle w:val="AERbodytext"/>
      </w:pPr>
      <w:r w:rsidRPr="00405B4F">
        <w:t>This part of the report provides an update on investigations</w:t>
      </w:r>
      <w:r>
        <w:t>,</w:t>
      </w:r>
      <w:r w:rsidRPr="00405B4F">
        <w:t xml:space="preserve"> compliance matters </w:t>
      </w:r>
      <w:r>
        <w:t xml:space="preserve">and projects </w:t>
      </w:r>
      <w:r w:rsidRPr="00405B4F">
        <w:t xml:space="preserve">in the </w:t>
      </w:r>
      <w:r>
        <w:t xml:space="preserve">electricity </w:t>
      </w:r>
      <w:r w:rsidRPr="00405B4F">
        <w:t>market.</w:t>
      </w:r>
      <w:r>
        <w:t xml:space="preserve"> </w:t>
      </w:r>
    </w:p>
    <w:p w:rsidR="004A472C" w:rsidRPr="00405B4F" w:rsidRDefault="004A472C" w:rsidP="005D2DC9">
      <w:pPr>
        <w:pStyle w:val="AERheading2"/>
        <w:tabs>
          <w:tab w:val="clear" w:pos="2484"/>
          <w:tab w:val="num" w:pos="357"/>
        </w:tabs>
        <w:ind w:left="357"/>
      </w:pPr>
      <w:bookmarkStart w:id="52" w:name="_Toc212011732"/>
      <w:bookmarkStart w:id="53" w:name="_Toc212011733"/>
      <w:bookmarkStart w:id="54" w:name="_Toc212011734"/>
      <w:bookmarkStart w:id="55" w:name="_Toc212011740"/>
      <w:bookmarkStart w:id="56" w:name="_Toc370218469"/>
      <w:bookmarkStart w:id="57" w:name="_Toc307317355"/>
      <w:bookmarkStart w:id="58" w:name="_Toc330814067"/>
      <w:bookmarkStart w:id="59" w:name="OLE_LINK22"/>
      <w:bookmarkStart w:id="60" w:name="OLE_LINK25"/>
      <w:bookmarkStart w:id="61" w:name="OLE_LINK70"/>
      <w:bookmarkStart w:id="62" w:name="OLE_LINK71"/>
      <w:bookmarkStart w:id="63" w:name="OLE_LINK81"/>
      <w:bookmarkStart w:id="64" w:name="OLE_LINK82"/>
      <w:bookmarkStart w:id="65" w:name="OLE_LINK11"/>
      <w:bookmarkStart w:id="66" w:name="OLE_LINK13"/>
      <w:bookmarkStart w:id="67" w:name="_Ref222739334"/>
      <w:bookmarkStart w:id="68" w:name="_Toc229556409"/>
      <w:bookmarkStart w:id="69" w:name="OLE_LINK9"/>
      <w:bookmarkStart w:id="70" w:name="OLE_LINK10"/>
      <w:bookmarkStart w:id="71" w:name="_Ref221697778"/>
      <w:bookmarkStart w:id="72" w:name="_Toc229556410"/>
      <w:bookmarkStart w:id="73" w:name="OLE_LINK31"/>
      <w:bookmarkStart w:id="74" w:name="OLE_LINK69"/>
      <w:bookmarkStart w:id="75" w:name="OLE_LINK77"/>
      <w:bookmarkStart w:id="76" w:name="OLE_LINK78"/>
      <w:bookmarkStart w:id="77" w:name="OLE_LINK79"/>
      <w:bookmarkStart w:id="78" w:name="OLE_LINK80"/>
      <w:bookmarkEnd w:id="52"/>
      <w:bookmarkEnd w:id="53"/>
      <w:bookmarkEnd w:id="54"/>
      <w:bookmarkEnd w:id="55"/>
      <w:r w:rsidRPr="00405B4F">
        <w:t>Rebidding</w:t>
      </w:r>
      <w:bookmarkEnd w:id="56"/>
      <w:r w:rsidRPr="00405B4F">
        <w:t xml:space="preserve"> </w:t>
      </w:r>
    </w:p>
    <w:p w:rsidR="004A472C" w:rsidRPr="00405B4F" w:rsidRDefault="004A472C" w:rsidP="004A472C">
      <w:pPr>
        <w:pStyle w:val="AERbodytext"/>
      </w:pPr>
      <w:bookmarkStart w:id="79" w:name="OLE_LINK17"/>
      <w:bookmarkStart w:id="80" w:name="OLE_LINK19"/>
      <w:bookmarkStart w:id="81" w:name="OLE_LINK6"/>
      <w:bookmarkEnd w:id="57"/>
      <w:bookmarkEnd w:id="58"/>
      <w:bookmarkEnd w:id="59"/>
      <w:bookmarkEnd w:id="60"/>
      <w:bookmarkEnd w:id="61"/>
      <w:bookmarkEnd w:id="62"/>
      <w:bookmarkEnd w:id="63"/>
      <w:bookmarkEnd w:id="64"/>
      <w:r w:rsidRPr="00405B4F">
        <w:t>Scheduled generators and market participants operating in the National Electricity Market (</w:t>
      </w:r>
      <w:r w:rsidRPr="00405B4F">
        <w:rPr>
          <w:b/>
        </w:rPr>
        <w:t>NEM</w:t>
      </w:r>
      <w:r w:rsidRPr="00405B4F">
        <w:t>) submit electricity offers and bids for each half hour</w:t>
      </w:r>
      <w:r w:rsidR="008B0082" w:rsidRPr="00405B4F">
        <w:t xml:space="preserve"> trading interval</w:t>
      </w:r>
      <w:r w:rsidRPr="00405B4F">
        <w:t>. The offers and bids include available capacity for up to 10 price bands, and can be varied through rebidding.</w:t>
      </w:r>
      <w:r w:rsidRPr="00405B4F">
        <w:rPr>
          <w:vertAlign w:val="superscript"/>
        </w:rPr>
        <w:footnoteReference w:id="5"/>
      </w:r>
    </w:p>
    <w:p w:rsidR="004A472C" w:rsidRPr="000D2D9C" w:rsidRDefault="00DC3257" w:rsidP="004A472C">
      <w:pPr>
        <w:pStyle w:val="AERbodytext"/>
        <w:rPr>
          <w:highlight w:val="yellow"/>
        </w:rPr>
      </w:pPr>
      <w:r>
        <w:t>We</w:t>
      </w:r>
      <w:r w:rsidRPr="00405B4F">
        <w:t xml:space="preserve"> </w:t>
      </w:r>
      <w:r w:rsidR="004A472C" w:rsidRPr="00405B4F">
        <w:t xml:space="preserve">adopted </w:t>
      </w:r>
      <w:r w:rsidR="001201E1" w:rsidRPr="00405B4F">
        <w:t xml:space="preserve">a new strategy in relation to enforcing </w:t>
      </w:r>
      <w:r w:rsidR="004A472C" w:rsidRPr="00405B4F">
        <w:t>generator rebidding reason</w:t>
      </w:r>
      <w:r w:rsidR="001201E1" w:rsidRPr="00405B4F">
        <w:t xml:space="preserve"> r</w:t>
      </w:r>
      <w:r w:rsidR="00405B4F">
        <w:t>equirements in 2010</w:t>
      </w:r>
      <w:r w:rsidR="004A472C" w:rsidRPr="00405B4F">
        <w:t>.</w:t>
      </w:r>
      <w:r w:rsidR="004A472C" w:rsidRPr="00405B4F">
        <w:rPr>
          <w:vertAlign w:val="superscript"/>
        </w:rPr>
        <w:footnoteReference w:id="6"/>
      </w:r>
      <w:r w:rsidR="004A472C" w:rsidRPr="00405B4F">
        <w:t xml:space="preserve"> Generators that submit </w:t>
      </w:r>
      <w:proofErr w:type="gramStart"/>
      <w:r w:rsidR="004A472C" w:rsidRPr="00405B4F">
        <w:t>offer,</w:t>
      </w:r>
      <w:proofErr w:type="gramEnd"/>
      <w:r w:rsidR="004A472C" w:rsidRPr="00405B4F">
        <w:t xml:space="preserve"> bid and/or rebid information that does not meet the requirements of the Electricity Rules will receive two warnings. On </w:t>
      </w:r>
      <w:r w:rsidR="00D04F9F" w:rsidRPr="00405B4F">
        <w:t xml:space="preserve">the </w:t>
      </w:r>
      <w:r w:rsidR="004A472C" w:rsidRPr="00405B4F">
        <w:t xml:space="preserve">third </w:t>
      </w:r>
      <w:r w:rsidR="00D04F9F" w:rsidRPr="00405B4F">
        <w:t xml:space="preserve">warning </w:t>
      </w:r>
      <w:r w:rsidR="004A472C" w:rsidRPr="00405B4F">
        <w:t xml:space="preserve">within six months, </w:t>
      </w:r>
      <w:r>
        <w:t>we</w:t>
      </w:r>
      <w:r w:rsidR="004A472C" w:rsidRPr="00405B4F">
        <w:t xml:space="preserve"> will consider issuing an infringement notice. </w:t>
      </w:r>
      <w:r w:rsidR="00E02F21">
        <w:t xml:space="preserve">A </w:t>
      </w:r>
      <w:r w:rsidR="00147563" w:rsidRPr="00405B4F">
        <w:t xml:space="preserve">participant’s warning count </w:t>
      </w:r>
      <w:r w:rsidR="00E02F21">
        <w:t xml:space="preserve">is set </w:t>
      </w:r>
      <w:r w:rsidR="00D50182" w:rsidRPr="00405B4F">
        <w:t>to zero</w:t>
      </w:r>
      <w:r w:rsidR="00E02F21">
        <w:t xml:space="preserve"> after six months</w:t>
      </w:r>
      <w:r w:rsidR="00147563" w:rsidRPr="00405B4F">
        <w:t xml:space="preserve">. </w:t>
      </w:r>
    </w:p>
    <w:p w:rsidR="00620D71" w:rsidRPr="0059623E" w:rsidRDefault="00E02F21" w:rsidP="004A472C">
      <w:pPr>
        <w:pStyle w:val="AERbodytext"/>
      </w:pPr>
      <w:r>
        <w:t xml:space="preserve">Figure 2.1 </w:t>
      </w:r>
      <w:r w:rsidR="004A472C" w:rsidRPr="00405B4F">
        <w:t xml:space="preserve">shows that since 2010 the number of rebids </w:t>
      </w:r>
      <w:r w:rsidR="00E56F27" w:rsidRPr="00405B4F">
        <w:t xml:space="preserve">detected </w:t>
      </w:r>
      <w:r w:rsidR="004A472C" w:rsidRPr="00405B4F">
        <w:t xml:space="preserve">by </w:t>
      </w:r>
      <w:r w:rsidR="00DC3257">
        <w:t>our</w:t>
      </w:r>
      <w:r w:rsidR="004A472C" w:rsidRPr="00405B4F">
        <w:t xml:space="preserve"> internal compliance system has fallen markedly. The number of rebids which required further review has also fallen significantly.</w:t>
      </w:r>
      <w:r w:rsidR="004A472C" w:rsidRPr="0059623E">
        <w:t xml:space="preserve"> </w:t>
      </w:r>
    </w:p>
    <w:p w:rsidR="004A472C" w:rsidRPr="00950C37" w:rsidRDefault="004A472C" w:rsidP="00372CBB">
      <w:pPr>
        <w:pStyle w:val="AERfigureheading"/>
      </w:pPr>
      <w:bookmarkStart w:id="82" w:name="_Ref353365935"/>
      <w:r w:rsidRPr="00950C37">
        <w:t>Rebids auto-triggered and reviewed per week</w:t>
      </w:r>
      <w:bookmarkEnd w:id="82"/>
    </w:p>
    <w:p w:rsidR="00950C37" w:rsidRDefault="00D46208" w:rsidP="004A472C">
      <w:pPr>
        <w:rPr>
          <w:b/>
        </w:rPr>
      </w:pPr>
      <w:r>
        <w:rPr>
          <w:noProof/>
          <w:lang w:eastAsia="en-AU"/>
        </w:rPr>
        <w:pict>
          <v:shape id="_x0000_i1026" type="#_x0000_t75" alt="Rebids auto-triggered and reviewed per week" style="width:413pt;height:246.55pt;visibility:visible;mso-wrap-style:square">
            <v:imagedata r:id="rId27" o:title=""/>
          </v:shape>
        </w:pict>
      </w:r>
    </w:p>
    <w:p w:rsidR="00F66D97" w:rsidRPr="00950C37" w:rsidRDefault="00F66D97" w:rsidP="00950C37">
      <w:pPr>
        <w:pStyle w:val="AERbodytext"/>
      </w:pPr>
      <w:r w:rsidRPr="00950C37">
        <w:lastRenderedPageBreak/>
        <w:t xml:space="preserve">During the </w:t>
      </w:r>
      <w:r w:rsidR="00ED3016">
        <w:t>September</w:t>
      </w:r>
      <w:r w:rsidRPr="00950C37">
        <w:t xml:space="preserve"> quarter, </w:t>
      </w:r>
      <w:r w:rsidR="00C506DD" w:rsidRPr="00950C37">
        <w:t>we</w:t>
      </w:r>
      <w:r w:rsidRPr="00950C37">
        <w:t xml:space="preserve"> issued one warning. </w:t>
      </w:r>
      <w:r w:rsidR="00950C37" w:rsidRPr="00950C37">
        <w:t>It was an initial warning with respect to a rebid which did not contain a time adduced in the reason and the reason was not verifiable or specific. Participants notified us that there was an error in their rebids on 12 occasions.</w:t>
      </w:r>
    </w:p>
    <w:p w:rsidR="007F4039" w:rsidRPr="007F4039" w:rsidRDefault="007F4039" w:rsidP="007F4039">
      <w:pPr>
        <w:pStyle w:val="AERheading2"/>
        <w:tabs>
          <w:tab w:val="clear" w:pos="2484"/>
          <w:tab w:val="num" w:pos="357"/>
        </w:tabs>
        <w:ind w:left="357"/>
      </w:pPr>
      <w:bookmarkStart w:id="83" w:name="_Toc361240109"/>
      <w:bookmarkStart w:id="84" w:name="_Toc370218470"/>
      <w:bookmarkStart w:id="85" w:name="_Ref353363026"/>
      <w:bookmarkStart w:id="86" w:name="_Toc330814074"/>
      <w:bookmarkEnd w:id="65"/>
      <w:bookmarkEnd w:id="66"/>
      <w:bookmarkEnd w:id="67"/>
      <w:bookmarkEnd w:id="68"/>
      <w:bookmarkEnd w:id="69"/>
      <w:bookmarkEnd w:id="70"/>
      <w:bookmarkEnd w:id="79"/>
      <w:bookmarkEnd w:id="80"/>
      <w:bookmarkEnd w:id="81"/>
      <w:bookmarkEnd w:id="83"/>
      <w:r w:rsidRPr="00952BEC">
        <w:t>Trip of Northern Power Station</w:t>
      </w:r>
      <w:bookmarkEnd w:id="84"/>
    </w:p>
    <w:p w:rsidR="007F4039" w:rsidRDefault="007F4039" w:rsidP="007F4039">
      <w:pPr>
        <w:pStyle w:val="AERbodytext"/>
      </w:pPr>
      <w:r w:rsidRPr="00952BEC">
        <w:t>Alinta Energy decided that the generating units of its Northern Power Station would be kept offline for extended periods</w:t>
      </w:r>
      <w:r w:rsidR="00A303DC" w:rsidRPr="00A303DC">
        <w:t xml:space="preserve"> </w:t>
      </w:r>
      <w:r w:rsidR="00A303DC">
        <w:t>f</w:t>
      </w:r>
      <w:r w:rsidR="00A303DC" w:rsidRPr="00952BEC">
        <w:t>rom July 2012</w:t>
      </w:r>
      <w:r w:rsidRPr="00952BEC">
        <w:t xml:space="preserve">, limiting their operation to only the peak periods of the year. With the expectation that this mode of operation </w:t>
      </w:r>
      <w:r w:rsidR="00935556">
        <w:t>may</w:t>
      </w:r>
      <w:r w:rsidR="00935556" w:rsidRPr="00952BEC">
        <w:t xml:space="preserve"> </w:t>
      </w:r>
      <w:r w:rsidRPr="00952BEC">
        <w:t xml:space="preserve">become prevalent </w:t>
      </w:r>
      <w:r>
        <w:t>throughout</w:t>
      </w:r>
      <w:r w:rsidRPr="00952BEC">
        <w:t xml:space="preserve"> the </w:t>
      </w:r>
      <w:r>
        <w:t>NEM (</w:t>
      </w:r>
      <w:r w:rsidRPr="00952BEC">
        <w:t xml:space="preserve">due to prevailing market conditions and </w:t>
      </w:r>
      <w:r w:rsidR="00935556">
        <w:t xml:space="preserve">policy </w:t>
      </w:r>
      <w:r w:rsidRPr="00952BEC">
        <w:t>developments</w:t>
      </w:r>
      <w:r>
        <w:t>) we</w:t>
      </w:r>
      <w:r w:rsidRPr="00952BEC">
        <w:t xml:space="preserve"> decided to carry out a technical audit of Northern</w:t>
      </w:r>
      <w:r>
        <w:t xml:space="preserve"> Power Station</w:t>
      </w:r>
      <w:r w:rsidRPr="00952BEC">
        <w:t xml:space="preserve"> </w:t>
      </w:r>
      <w:r>
        <w:t>which</w:t>
      </w:r>
      <w:r w:rsidRPr="00952BEC">
        <w:t xml:space="preserve"> focus</w:t>
      </w:r>
      <w:r>
        <w:t>ed</w:t>
      </w:r>
      <w:r w:rsidRPr="00952BEC">
        <w:t xml:space="preserve"> on how Alinta Energy would maintain a technical performance testing regime while the plant </w:t>
      </w:r>
      <w:r w:rsidR="00935556">
        <w:t>was</w:t>
      </w:r>
      <w:r w:rsidR="00935556" w:rsidRPr="00952BEC">
        <w:t xml:space="preserve"> </w:t>
      </w:r>
      <w:r w:rsidRPr="00952BEC">
        <w:t xml:space="preserve">offline. </w:t>
      </w:r>
    </w:p>
    <w:p w:rsidR="007F4039" w:rsidRPr="00952BEC" w:rsidRDefault="007F4039" w:rsidP="007F4039">
      <w:pPr>
        <w:pStyle w:val="AERbodytext"/>
      </w:pPr>
      <w:r w:rsidRPr="00952BEC">
        <w:t xml:space="preserve">If a generator remains offline and its technical compliance and testing programs lay dormant, then the risk to the power system may be heightened when it returns to service. The audit </w:t>
      </w:r>
      <w:r w:rsidR="00880AC5">
        <w:t xml:space="preserve">of Northern Power Station </w:t>
      </w:r>
      <w:r w:rsidRPr="00952BEC">
        <w:t xml:space="preserve">considered Alinta Energy’s governance practices and expertise surrounding its compliance systems. It also </w:t>
      </w:r>
      <w:r w:rsidR="00CE15B0">
        <w:t>examined</w:t>
      </w:r>
      <w:r w:rsidRPr="00952BEC">
        <w:t xml:space="preserve"> how Alinta implemented systems to meet its obligations, and then measured performance against those obligations. The outcome of this audit was summarised in</w:t>
      </w:r>
      <w:r>
        <w:t xml:space="preserve"> our</w:t>
      </w:r>
      <w:r w:rsidRPr="00952BEC">
        <w:t xml:space="preserve"> </w:t>
      </w:r>
      <w:hyperlink r:id="rId28" w:history="1">
        <w:r w:rsidRPr="00543C9B">
          <w:rPr>
            <w:rStyle w:val="Hyperlink"/>
          </w:rPr>
          <w:t>September 2012 QCR</w:t>
        </w:r>
      </w:hyperlink>
      <w:r w:rsidRPr="00952BEC">
        <w:t>.</w:t>
      </w:r>
    </w:p>
    <w:p w:rsidR="000F6AC6" w:rsidRDefault="007F4039" w:rsidP="007F4039">
      <w:pPr>
        <w:pStyle w:val="AERbodytext"/>
      </w:pPr>
      <w:r w:rsidRPr="007F4039">
        <w:t xml:space="preserve">In February 2013, unit 1 of Northern Power Station tripped after a credible transmission event. </w:t>
      </w:r>
      <w:r w:rsidR="00247CFB">
        <w:t xml:space="preserve">The unit trip occurred when low voltage supplies to the generator were interrupted. </w:t>
      </w:r>
      <w:r w:rsidR="00DA1C79">
        <w:t>The s</w:t>
      </w:r>
      <w:r w:rsidR="00247CFB">
        <w:t xml:space="preserve">ystems that would normally change </w:t>
      </w:r>
      <w:r w:rsidR="009915B6">
        <w:t xml:space="preserve">over </w:t>
      </w:r>
      <w:r w:rsidR="00247CFB">
        <w:t xml:space="preserve">to an alternate supply under </w:t>
      </w:r>
      <w:r w:rsidR="00DA1C79">
        <w:t>these circumstances failed</w:t>
      </w:r>
      <w:r w:rsidR="00247CFB">
        <w:t>. These s</w:t>
      </w:r>
      <w:r w:rsidR="009915B6">
        <w:t>ystems, despite being ancillary</w:t>
      </w:r>
      <w:r w:rsidR="00031CC9">
        <w:t xml:space="preserve"> to the generator</w:t>
      </w:r>
      <w:r w:rsidR="000F6AC6">
        <w:t>,</w:t>
      </w:r>
      <w:r w:rsidR="009915B6">
        <w:t xml:space="preserve"> are critical components to ensure </w:t>
      </w:r>
      <w:r w:rsidR="00031CC9">
        <w:t xml:space="preserve">the generator can </w:t>
      </w:r>
      <w:r w:rsidR="009915B6">
        <w:t>operate effectively</w:t>
      </w:r>
      <w:r w:rsidR="00031CC9">
        <w:t xml:space="preserve"> during such conditions</w:t>
      </w:r>
      <w:r w:rsidR="009915B6">
        <w:t xml:space="preserve">. </w:t>
      </w:r>
      <w:r w:rsidRPr="007F4039">
        <w:t xml:space="preserve">We wrote to Alinta Energy </w:t>
      </w:r>
      <w:r w:rsidR="009915B6">
        <w:t xml:space="preserve">concerned </w:t>
      </w:r>
      <w:r w:rsidRPr="007F4039">
        <w:t xml:space="preserve">that </w:t>
      </w:r>
      <w:r w:rsidR="00031CC9">
        <w:t xml:space="preserve">on the surface </w:t>
      </w:r>
      <w:r w:rsidRPr="007F4039">
        <w:t xml:space="preserve">such </w:t>
      </w:r>
      <w:r w:rsidR="009915B6">
        <w:t xml:space="preserve">a failure </w:t>
      </w:r>
      <w:r w:rsidRPr="007F4039">
        <w:t>should have been discovered</w:t>
      </w:r>
      <w:r w:rsidR="00031CC9">
        <w:t xml:space="preserve"> prior to this event</w:t>
      </w:r>
      <w:r w:rsidR="000F6AC6">
        <w:t>.</w:t>
      </w:r>
      <w:r w:rsidR="00031CC9">
        <w:t xml:space="preserve"> </w:t>
      </w:r>
      <w:r w:rsidR="000F6AC6">
        <w:t xml:space="preserve">Regular </w:t>
      </w:r>
      <w:r w:rsidR="00031CC9">
        <w:t xml:space="preserve">testing to ensure automatic changeovers of </w:t>
      </w:r>
      <w:r w:rsidR="000F6AC6">
        <w:t xml:space="preserve">voltage supplies is routine in all power stations. </w:t>
      </w:r>
    </w:p>
    <w:p w:rsidR="007F4039" w:rsidRDefault="000F6AC6" w:rsidP="007F4039">
      <w:pPr>
        <w:pStyle w:val="AERbodytext"/>
      </w:pPr>
      <w:r>
        <w:t xml:space="preserve">We sought </w:t>
      </w:r>
      <w:r w:rsidR="00CE15B0">
        <w:t xml:space="preserve">for Alinta to conduct </w:t>
      </w:r>
      <w:r>
        <w:t>a full investigation</w:t>
      </w:r>
      <w:r w:rsidR="00AB31EF">
        <w:t>,</w:t>
      </w:r>
      <w:r>
        <w:t xml:space="preserve"> particularly since it had recently upgraded the </w:t>
      </w:r>
      <w:r w:rsidR="007F4039" w:rsidRPr="007F4039">
        <w:t xml:space="preserve">instrumentation and control system </w:t>
      </w:r>
      <w:r w:rsidR="00B61CB3">
        <w:t xml:space="preserve">for Northern </w:t>
      </w:r>
      <w:r w:rsidR="00117B72">
        <w:t>P</w:t>
      </w:r>
      <w:r>
        <w:t xml:space="preserve">ower </w:t>
      </w:r>
      <w:r w:rsidR="00117B72">
        <w:t>S</w:t>
      </w:r>
      <w:r>
        <w:t xml:space="preserve">tation and revised its compliance program as part of our audit process. </w:t>
      </w:r>
    </w:p>
    <w:p w:rsidR="000F6AC6" w:rsidRPr="007F4039" w:rsidRDefault="00DA1C79" w:rsidP="007F4039">
      <w:pPr>
        <w:pStyle w:val="AERbodytext"/>
      </w:pPr>
      <w:r>
        <w:t>Alinta’s</w:t>
      </w:r>
      <w:r w:rsidR="000F6AC6">
        <w:t xml:space="preserve"> investigation found </w:t>
      </w:r>
      <w:r w:rsidR="00117B72">
        <w:t xml:space="preserve">that </w:t>
      </w:r>
      <w:r w:rsidR="00B61CB3">
        <w:t xml:space="preserve">as part of the instrumentation and control system upgrade, </w:t>
      </w:r>
      <w:r w:rsidR="000F6AC6">
        <w:t xml:space="preserve">despite </w:t>
      </w:r>
      <w:r w:rsidR="00B61CB3">
        <w:t xml:space="preserve">implementing the appropriate settings within these sub-systems </w:t>
      </w:r>
      <w:r w:rsidR="00117B72">
        <w:t>(</w:t>
      </w:r>
      <w:r w:rsidR="00B61CB3">
        <w:t>as specified in the generator</w:t>
      </w:r>
      <w:r w:rsidR="00117B72">
        <w:t>’</w:t>
      </w:r>
      <w:r w:rsidR="00B61CB3">
        <w:t>s original design</w:t>
      </w:r>
      <w:r w:rsidR="00117B72">
        <w:t>)</w:t>
      </w:r>
      <w:r w:rsidR="00B61CB3">
        <w:t xml:space="preserve"> the upgraded systems were far more sensitive </w:t>
      </w:r>
      <w:r w:rsidR="00CE15B0">
        <w:t>than</w:t>
      </w:r>
      <w:r w:rsidR="00B61CB3">
        <w:t xml:space="preserve"> the </w:t>
      </w:r>
      <w:proofErr w:type="spellStart"/>
      <w:r w:rsidR="00B61CB3">
        <w:t>1960’s</w:t>
      </w:r>
      <w:proofErr w:type="spellEnd"/>
      <w:r w:rsidR="00B61CB3">
        <w:t xml:space="preserve"> technology </w:t>
      </w:r>
      <w:r w:rsidR="00CE15B0">
        <w:t xml:space="preserve">that was </w:t>
      </w:r>
      <w:r w:rsidR="00B61CB3">
        <w:t xml:space="preserve">originally installed. Although testing of these systems had been conducted </w:t>
      </w:r>
      <w:r w:rsidR="00BE518D">
        <w:t xml:space="preserve">when they were </w:t>
      </w:r>
      <w:r w:rsidR="00B61CB3">
        <w:t>commission</w:t>
      </w:r>
      <w:r w:rsidR="00BE518D">
        <w:t>ed</w:t>
      </w:r>
      <w:r w:rsidR="00B61CB3">
        <w:t xml:space="preserve">, this particular issue had not previously been identified. </w:t>
      </w:r>
    </w:p>
    <w:p w:rsidR="007F4039" w:rsidRPr="007F4039" w:rsidRDefault="007F4039" w:rsidP="007F4039">
      <w:pPr>
        <w:pStyle w:val="AERbodytext"/>
      </w:pPr>
      <w:r w:rsidRPr="007F4039">
        <w:t xml:space="preserve">Alinta Energy </w:t>
      </w:r>
      <w:r w:rsidR="00ED3016">
        <w:t>rectified</w:t>
      </w:r>
      <w:r w:rsidRPr="007F4039">
        <w:t xml:space="preserve"> the causes of the trip by replacing the affected relay and modifying software logic </w:t>
      </w:r>
      <w:r w:rsidR="00514DA1">
        <w:t>related to</w:t>
      </w:r>
      <w:r w:rsidRPr="007F4039">
        <w:t xml:space="preserve"> low coal bunker level signals, as well as modifying related testing procedures</w:t>
      </w:r>
      <w:r w:rsidR="00ED3016">
        <w:t xml:space="preserve">. While these remedial actions were taken swiftly, </w:t>
      </w:r>
      <w:r w:rsidRPr="007F4039">
        <w:t xml:space="preserve">this case highlights the importance </w:t>
      </w:r>
      <w:r w:rsidR="00ED3016">
        <w:t xml:space="preserve">for </w:t>
      </w:r>
      <w:r w:rsidRPr="007F4039">
        <w:t>all generators to be fully aware of, and remain vigilant about, t</w:t>
      </w:r>
      <w:r w:rsidR="00E40534">
        <w:t>he configuration of their plant</w:t>
      </w:r>
      <w:r w:rsidRPr="007F4039">
        <w:t xml:space="preserve"> and the scope of technical performance testing. </w:t>
      </w:r>
    </w:p>
    <w:p w:rsidR="007F4039" w:rsidRPr="007F4039" w:rsidRDefault="007F4039" w:rsidP="00880AC5">
      <w:pPr>
        <w:pStyle w:val="AERbodytext"/>
      </w:pPr>
      <w:r w:rsidRPr="007F4039">
        <w:t>It is not enough to simply implement a complian</w:t>
      </w:r>
      <w:r w:rsidR="00880AC5">
        <w:t>ce program and procedures; these</w:t>
      </w:r>
      <w:r w:rsidRPr="007F4039">
        <w:t xml:space="preserve"> m</w:t>
      </w:r>
      <w:r w:rsidR="00880AC5">
        <w:t xml:space="preserve">ust be supported by ongoing testing and maintenance of </w:t>
      </w:r>
      <w:r w:rsidR="008E447E">
        <w:t xml:space="preserve">the </w:t>
      </w:r>
      <w:r w:rsidR="00880AC5">
        <w:t xml:space="preserve">plant. </w:t>
      </w:r>
      <w:r w:rsidR="006060A9">
        <w:t>While we do not intend to pursue the Alinta Energy matter further at this stage, w</w:t>
      </w:r>
      <w:r w:rsidR="00880AC5">
        <w:t xml:space="preserve">e take this opportunity to urge generators </w:t>
      </w:r>
      <w:r w:rsidRPr="007F4039">
        <w:t>to implement testing systems and procedures that fully reflect the configuratio</w:t>
      </w:r>
      <w:r w:rsidR="00880AC5">
        <w:t>n and operations of their plant</w:t>
      </w:r>
      <w:r w:rsidRPr="007F4039">
        <w:t xml:space="preserve"> to avoid incidents</w:t>
      </w:r>
      <w:r w:rsidR="00880AC5">
        <w:t xml:space="preserve"> like </w:t>
      </w:r>
      <w:r w:rsidR="00187189">
        <w:t>this</w:t>
      </w:r>
      <w:r w:rsidR="00880AC5">
        <w:t xml:space="preserve"> occurring</w:t>
      </w:r>
      <w:r w:rsidRPr="007F4039">
        <w:t>.</w:t>
      </w:r>
      <w:r w:rsidR="00B61CB3" w:rsidDel="00B61CB3">
        <w:t xml:space="preserve"> </w:t>
      </w:r>
    </w:p>
    <w:p w:rsidR="003D12E6" w:rsidRPr="003D12E6" w:rsidRDefault="00B4653F" w:rsidP="00BE518D">
      <w:pPr>
        <w:pStyle w:val="AERheading2"/>
        <w:tabs>
          <w:tab w:val="clear" w:pos="2484"/>
          <w:tab w:val="num" w:pos="357"/>
        </w:tabs>
        <w:ind w:left="357"/>
      </w:pPr>
      <w:bookmarkStart w:id="87" w:name="_Toc370218471"/>
      <w:r w:rsidRPr="0048010B">
        <w:lastRenderedPageBreak/>
        <w:t>Electricity metering</w:t>
      </w:r>
      <w:bookmarkEnd w:id="85"/>
      <w:r>
        <w:t xml:space="preserve"> </w:t>
      </w:r>
      <w:r w:rsidR="003D12E6">
        <w:t>metrics</w:t>
      </w:r>
      <w:bookmarkEnd w:id="87"/>
    </w:p>
    <w:p w:rsidR="00B4653F" w:rsidRPr="003B7459" w:rsidRDefault="00B4653F" w:rsidP="00B4653F">
      <w:pPr>
        <w:pStyle w:val="AERbodytext"/>
        <w:rPr>
          <w:rStyle w:val="AERbody"/>
        </w:rPr>
      </w:pPr>
      <w:r w:rsidRPr="003B7459">
        <w:rPr>
          <w:rStyle w:val="AERbody"/>
        </w:rPr>
        <w:t>As highlighted by the AEMC’s Power of Choice review,</w:t>
      </w:r>
      <w:r>
        <w:rPr>
          <w:rStyle w:val="FootnoteReference"/>
          <w:szCs w:val="16"/>
        </w:rPr>
        <w:footnoteReference w:id="7"/>
      </w:r>
      <w:r w:rsidRPr="003B7459">
        <w:rPr>
          <w:rStyle w:val="AERbody"/>
        </w:rPr>
        <w:t xml:space="preserve"> metering arrangements play a crucial role in the current and future operation of the NEM. </w:t>
      </w:r>
      <w:r>
        <w:rPr>
          <w:rStyle w:val="AERbody"/>
        </w:rPr>
        <w:t>It</w:t>
      </w:r>
      <w:r w:rsidRPr="003B7459">
        <w:rPr>
          <w:rStyle w:val="AERbody"/>
        </w:rPr>
        <w:t xml:space="preserve"> is important to ensure participants comply with their metering obligations under the Electricity Rules in order to facilitate effective and efficient metering processes</w:t>
      </w:r>
      <w:r w:rsidR="00EF616E">
        <w:rPr>
          <w:rStyle w:val="AERbody"/>
        </w:rPr>
        <w:t xml:space="preserve">. </w:t>
      </w:r>
    </w:p>
    <w:p w:rsidR="00B4653F" w:rsidRDefault="00B4653F" w:rsidP="00B4653F">
      <w:pPr>
        <w:pStyle w:val="AERbodytext"/>
        <w:rPr>
          <w:rStyle w:val="AERbody"/>
        </w:rPr>
      </w:pPr>
      <w:r w:rsidRPr="003B7459">
        <w:rPr>
          <w:rStyle w:val="AERbody"/>
        </w:rPr>
        <w:t xml:space="preserve">In consultation with AEMO, </w:t>
      </w:r>
      <w:r>
        <w:rPr>
          <w:rStyle w:val="AERbody"/>
        </w:rPr>
        <w:t>we</w:t>
      </w:r>
      <w:r w:rsidRPr="003B7459">
        <w:rPr>
          <w:rStyle w:val="AERbody"/>
        </w:rPr>
        <w:t xml:space="preserve"> monitor the quality of metering data provided to AEMO’s market settlement and transfer solution (</w:t>
      </w:r>
      <w:r w:rsidRPr="00D652B7">
        <w:rPr>
          <w:rStyle w:val="AERbody"/>
          <w:b/>
        </w:rPr>
        <w:t>MSATS</w:t>
      </w:r>
      <w:r w:rsidRPr="003B7459">
        <w:rPr>
          <w:rStyle w:val="AERbody"/>
        </w:rPr>
        <w:t xml:space="preserve">) system. The MSATS system captures important connection point information, such as the customer’s relevant distribution loss factor and retailer of last resort. It also captures actual and aggregated metering data. AEMO </w:t>
      </w:r>
      <w:r>
        <w:rPr>
          <w:rStyle w:val="AERbody"/>
        </w:rPr>
        <w:t xml:space="preserve">is </w:t>
      </w:r>
      <w:r w:rsidR="00846866">
        <w:rPr>
          <w:rStyle w:val="AERbody"/>
        </w:rPr>
        <w:t xml:space="preserve">currently </w:t>
      </w:r>
      <w:r>
        <w:rPr>
          <w:rStyle w:val="AERbody"/>
        </w:rPr>
        <w:t xml:space="preserve">developing new reporting metrics and </w:t>
      </w:r>
      <w:r w:rsidR="00846866">
        <w:rPr>
          <w:rStyle w:val="AERbody"/>
        </w:rPr>
        <w:t xml:space="preserve">seeking to </w:t>
      </w:r>
      <w:r w:rsidRPr="003B7459">
        <w:rPr>
          <w:rStyle w:val="AERbody"/>
        </w:rPr>
        <w:t xml:space="preserve">improve the performance of MSATS </w:t>
      </w:r>
      <w:r w:rsidR="00846866">
        <w:rPr>
          <w:rStyle w:val="AERbody"/>
        </w:rPr>
        <w:t xml:space="preserve">users using </w:t>
      </w:r>
      <w:r w:rsidRPr="003B7459">
        <w:rPr>
          <w:rStyle w:val="AERbody"/>
        </w:rPr>
        <w:t>targeted compliance activities and participant engagement.</w:t>
      </w:r>
      <w:r>
        <w:rPr>
          <w:rStyle w:val="AERbody"/>
        </w:rPr>
        <w:t xml:space="preserve"> We will continue to assist AEMO in this process.</w:t>
      </w:r>
    </w:p>
    <w:p w:rsidR="00B4653F" w:rsidRDefault="00B4653F" w:rsidP="00B4653F">
      <w:pPr>
        <w:pStyle w:val="AERbodytext"/>
        <w:rPr>
          <w:rFonts w:eastAsia="Calibri"/>
        </w:rPr>
      </w:pPr>
      <w:r>
        <w:rPr>
          <w:rFonts w:eastAsia="Calibri"/>
        </w:rPr>
        <w:fldChar w:fldCharType="begin"/>
      </w:r>
      <w:r>
        <w:rPr>
          <w:rFonts w:eastAsia="Calibri"/>
        </w:rPr>
        <w:instrText xml:space="preserve"> REF _Ref353363222 \r \h </w:instrText>
      </w:r>
      <w:r>
        <w:rPr>
          <w:rFonts w:eastAsia="Calibri"/>
        </w:rPr>
      </w:r>
      <w:r>
        <w:rPr>
          <w:rFonts w:eastAsia="Calibri"/>
        </w:rPr>
        <w:fldChar w:fldCharType="separate"/>
      </w:r>
      <w:r w:rsidR="00F5665A">
        <w:rPr>
          <w:rFonts w:eastAsia="Calibri"/>
        </w:rPr>
        <w:t>Figure 2.2</w:t>
      </w:r>
      <w:r>
        <w:rPr>
          <w:rFonts w:eastAsia="Calibri"/>
        </w:rPr>
        <w:fldChar w:fldCharType="end"/>
      </w:r>
      <w:r>
        <w:rPr>
          <w:rFonts w:eastAsia="Calibri"/>
        </w:rPr>
        <w:t xml:space="preserve"> below </w:t>
      </w:r>
      <w:r w:rsidRPr="005064BF">
        <w:rPr>
          <w:rFonts w:eastAsia="Calibri"/>
        </w:rPr>
        <w:t xml:space="preserve">shows the number of </w:t>
      </w:r>
      <w:r>
        <w:rPr>
          <w:rFonts w:eastAsia="Calibri"/>
        </w:rPr>
        <w:t xml:space="preserve">MSATS </w:t>
      </w:r>
      <w:r w:rsidRPr="005064BF">
        <w:rPr>
          <w:rFonts w:eastAsia="Calibri"/>
        </w:rPr>
        <w:t xml:space="preserve">errors made by each Local </w:t>
      </w:r>
      <w:r>
        <w:rPr>
          <w:rFonts w:eastAsia="Calibri"/>
        </w:rPr>
        <w:t>Network Service Provider </w:t>
      </w:r>
      <w:r w:rsidRPr="005064BF">
        <w:rPr>
          <w:rFonts w:eastAsia="Calibri"/>
        </w:rPr>
        <w:t>(</w:t>
      </w:r>
      <w:r w:rsidRPr="005064BF">
        <w:rPr>
          <w:rFonts w:eastAsia="Calibri"/>
          <w:b/>
          <w:bCs/>
        </w:rPr>
        <w:t>LNSP</w:t>
      </w:r>
      <w:r w:rsidRPr="005064BF">
        <w:rPr>
          <w:rFonts w:eastAsia="Calibri"/>
        </w:rPr>
        <w:t xml:space="preserve">) in the last week of each month since April 2010. </w:t>
      </w:r>
      <w:r w:rsidR="004D0C63">
        <w:rPr>
          <w:rFonts w:eastAsia="Calibri"/>
        </w:rPr>
        <w:t xml:space="preserve">We have reviewed total error levels across the six errors and will be contacting LNSPs who have shown a consistently high number of errors over that period. </w:t>
      </w:r>
    </w:p>
    <w:p w:rsidR="00B4653F" w:rsidRPr="00AC42D8" w:rsidRDefault="00B4653F" w:rsidP="00B4653F">
      <w:pPr>
        <w:pStyle w:val="AERfigureheading"/>
      </w:pPr>
      <w:bookmarkStart w:id="88" w:name="_Ref353363222"/>
      <w:r>
        <w:t>Total MSATS errors across all LNSPs</w:t>
      </w:r>
      <w:bookmarkEnd w:id="88"/>
    </w:p>
    <w:p w:rsidR="00B4653F" w:rsidRDefault="00D46208" w:rsidP="00B4653F">
      <w:pPr>
        <w:pStyle w:val="AERbodytext"/>
      </w:pPr>
      <w:bookmarkStart w:id="89" w:name="_GoBack"/>
      <w:r>
        <w:pict>
          <v:shape id="_x0000_i1027" type="#_x0000_t75" alt="Total MSATS errors across all LNSPs" style="width:451pt;height:273pt">
            <v:imagedata r:id="rId29" o:title=""/>
          </v:shape>
        </w:pict>
      </w:r>
      <w:bookmarkEnd w:id="89"/>
    </w:p>
    <w:p w:rsidR="00950C37" w:rsidRDefault="00950C37" w:rsidP="00950C37">
      <w:pPr>
        <w:pStyle w:val="AERheading2"/>
        <w:tabs>
          <w:tab w:val="clear" w:pos="2484"/>
          <w:tab w:val="num" w:pos="357"/>
        </w:tabs>
        <w:ind w:left="357"/>
      </w:pPr>
      <w:bookmarkStart w:id="90" w:name="_Toc370218472"/>
      <w:bookmarkStart w:id="91" w:name="_Toc330814069"/>
      <w:bookmarkStart w:id="92" w:name="_Toc339289996"/>
      <w:r>
        <w:t>Participants not following dispatch instructions</w:t>
      </w:r>
      <w:bookmarkEnd w:id="90"/>
    </w:p>
    <w:p w:rsidR="00950C37" w:rsidRPr="003B7459" w:rsidRDefault="007269B6" w:rsidP="00950C37">
      <w:pPr>
        <w:pStyle w:val="AERbodytext"/>
      </w:pPr>
      <w:r>
        <w:t>Also i</w:t>
      </w:r>
      <w:r w:rsidR="00950C37" w:rsidRPr="003B7459">
        <w:t>n December 2011</w:t>
      </w:r>
      <w:r w:rsidR="00950C37">
        <w:t>,</w:t>
      </w:r>
      <w:r w:rsidR="00950C37" w:rsidRPr="003B7459">
        <w:t xml:space="preserve"> the AER </w:t>
      </w:r>
      <w:r>
        <w:t xml:space="preserve">commenced </w:t>
      </w:r>
      <w:r w:rsidR="00950C37" w:rsidRPr="003B7459">
        <w:t xml:space="preserve">a </w:t>
      </w:r>
      <w:r w:rsidR="00950C37">
        <w:t xml:space="preserve">strategic </w:t>
      </w:r>
      <w:r w:rsidR="00950C37" w:rsidRPr="003B7459">
        <w:t xml:space="preserve">compliance project to examine the ability of generators to follow the dispatch instructions given to them by AEMO. Clause 4.9.8(a) of the Electricity Rules requires a Registered Participant (namely, a generating unit) to comply with dispatch </w:t>
      </w:r>
      <w:r w:rsidR="00950C37" w:rsidRPr="003B7459">
        <w:lastRenderedPageBreak/>
        <w:t xml:space="preserve">instructions </w:t>
      </w:r>
      <w:r w:rsidR="00ED3016">
        <w:t>from</w:t>
      </w:r>
      <w:r w:rsidR="00950C37" w:rsidRPr="003B7459">
        <w:t xml:space="preserve"> AEMO unless doing so would, in the Registered Participant’s reasonable opinion, </w:t>
      </w:r>
      <w:r w:rsidR="00950C37">
        <w:t>‘</w:t>
      </w:r>
      <w:r w:rsidR="00950C37" w:rsidRPr="003B7459">
        <w:t>be a hazard to public safely or materially risk damaging equipment</w:t>
      </w:r>
      <w:r w:rsidR="00950C37">
        <w:t>’</w:t>
      </w:r>
      <w:r w:rsidR="00950C37" w:rsidRPr="003B7459">
        <w:t xml:space="preserve">. </w:t>
      </w:r>
    </w:p>
    <w:p w:rsidR="00950C37" w:rsidRPr="003B7459" w:rsidRDefault="00950C37" w:rsidP="00950C37">
      <w:pPr>
        <w:pStyle w:val="AERbodytext"/>
      </w:pPr>
      <w:r w:rsidRPr="003B7459">
        <w:t xml:space="preserve">AEMO must be assured that, other than in the limited circumstances allowed by the Electricity Rules, generating units will follow dispatch instructions at all times. This enables AEMO to assess its security management options based on accurate information and where necessary, issue directions to participants to maintain power system security. </w:t>
      </w:r>
    </w:p>
    <w:p w:rsidR="00950C37" w:rsidRPr="003B7459" w:rsidRDefault="00950C37" w:rsidP="00950C37">
      <w:pPr>
        <w:pStyle w:val="AERbodytext"/>
      </w:pPr>
      <w:r w:rsidRPr="003B7459">
        <w:t>When generators do not follow dispatch instructions, system security may be put at risk. There may also be market inefficiencies and higher costs through greater reliance on Frequency Control Ancillary Services</w:t>
      </w:r>
      <w:r>
        <w:t xml:space="preserve"> (</w:t>
      </w:r>
      <w:r>
        <w:rPr>
          <w:b/>
        </w:rPr>
        <w:t>FCAS</w:t>
      </w:r>
      <w:r>
        <w:t>)</w:t>
      </w:r>
      <w:r w:rsidRPr="003B7459">
        <w:t xml:space="preserve"> (and potentially lower network utilisation through higher safety margins in network limit calculations). Not following dispatch instructions may also be a method by which generators attempt to manipulate market outcomes. </w:t>
      </w:r>
      <w:r w:rsidR="007269B6">
        <w:t>We</w:t>
      </w:r>
      <w:r w:rsidRPr="003B7459">
        <w:t xml:space="preserve"> released a </w:t>
      </w:r>
      <w:hyperlink r:id="rId30" w:history="1">
        <w:r w:rsidR="007269B6">
          <w:rPr>
            <w:rStyle w:val="Hyperlink"/>
          </w:rPr>
          <w:t>compliance bulletin</w:t>
        </w:r>
      </w:hyperlink>
      <w:r w:rsidR="007269B6">
        <w:t xml:space="preserve"> </w:t>
      </w:r>
      <w:r w:rsidRPr="003B7459">
        <w:t xml:space="preserve">outlining </w:t>
      </w:r>
      <w:r w:rsidR="007269B6">
        <w:t>our</w:t>
      </w:r>
      <w:r w:rsidRPr="003B7459">
        <w:t xml:space="preserve"> expectations for generators following dispatch instructions in December 2006.</w:t>
      </w:r>
      <w:r w:rsidR="007269B6">
        <w:t xml:space="preserve"> </w:t>
      </w:r>
      <w:r w:rsidRPr="003B7459">
        <w:t>The bulletin draws a distinction between following dispatch instructions and AEMO’s non-conformance procedures which are established under clause 3.8.23 of the Electricity Rules.</w:t>
      </w:r>
    </w:p>
    <w:p w:rsidR="008D0060" w:rsidRDefault="00950C37" w:rsidP="00950C37">
      <w:pPr>
        <w:pStyle w:val="AERbodytext"/>
      </w:pPr>
      <w:r>
        <w:t xml:space="preserve">As part of this </w:t>
      </w:r>
      <w:r w:rsidR="00036810">
        <w:t>s</w:t>
      </w:r>
      <w:r>
        <w:t xml:space="preserve">trategic </w:t>
      </w:r>
      <w:r w:rsidR="007269B6">
        <w:t>c</w:t>
      </w:r>
      <w:r>
        <w:t>ompliance</w:t>
      </w:r>
      <w:r w:rsidRPr="003B7459">
        <w:t xml:space="preserve"> </w:t>
      </w:r>
      <w:r w:rsidR="007269B6">
        <w:t>p</w:t>
      </w:r>
      <w:r w:rsidRPr="003B7459">
        <w:t xml:space="preserve">roject, </w:t>
      </w:r>
      <w:r>
        <w:t>we</w:t>
      </w:r>
      <w:r w:rsidRPr="003B7459">
        <w:t xml:space="preserve"> examined generation data and identi</w:t>
      </w:r>
      <w:r>
        <w:t>fied all dispatch intervals (</w:t>
      </w:r>
      <w:r w:rsidRPr="00327AD1">
        <w:rPr>
          <w:b/>
        </w:rPr>
        <w:t>DI</w:t>
      </w:r>
      <w:r w:rsidRPr="003B7459">
        <w:t>) where actual generation for a unit differed from its generation target.</w:t>
      </w:r>
      <w:r>
        <w:t xml:space="preserve"> We </w:t>
      </w:r>
      <w:r w:rsidRPr="003B7459">
        <w:t xml:space="preserve">then </w:t>
      </w:r>
      <w:r>
        <w:t xml:space="preserve">applied </w:t>
      </w:r>
      <w:r w:rsidRPr="003B7459">
        <w:t xml:space="preserve">combinations of materiality thresholds </w:t>
      </w:r>
      <w:r>
        <w:t>such as price at the time of the incident, whether a constraint directly affecting the unit was binding and the number of DIs over which the non-compliance occurred, to isolate the incidents that we considered to be the most concerning</w:t>
      </w:r>
      <w:r w:rsidRPr="003B7459">
        <w:t xml:space="preserve">. </w:t>
      </w:r>
      <w:r w:rsidR="008D0060">
        <w:t xml:space="preserve">We contacted participants in relation to divergences and their responses proposed a number of initiatives that would be implemented to prevent future divergences. A number of these initiatives are discussed in our </w:t>
      </w:r>
      <w:hyperlink r:id="rId31" w:history="1">
        <w:r w:rsidR="008D0060">
          <w:rPr>
            <w:rStyle w:val="Hyperlink"/>
          </w:rPr>
          <w:t>March 2013 QCR</w:t>
        </w:r>
      </w:hyperlink>
      <w:r w:rsidR="008D0060">
        <w:t>.</w:t>
      </w:r>
    </w:p>
    <w:p w:rsidR="00950C37" w:rsidRPr="00F04503" w:rsidRDefault="008D0060" w:rsidP="00950C37">
      <w:pPr>
        <w:pStyle w:val="AERbodytext"/>
      </w:pPr>
      <w:r>
        <w:t>W</w:t>
      </w:r>
      <w:r w:rsidR="00950C37">
        <w:t xml:space="preserve">e continue to monitor participants’ divergence from dispatch instructions as part of our routine monitoring. While instances of participants not following dispatch instructions under the circumstances described above are concerning, we would like to emphasise that the market impacts for divergences from dispatch instructions </w:t>
      </w:r>
      <w:r w:rsidR="00324EF3">
        <w:t xml:space="preserve">even </w:t>
      </w:r>
      <w:r w:rsidR="00950C37">
        <w:t>in a single DI</w:t>
      </w:r>
      <w:r w:rsidR="000F0386">
        <w:t>, and under any market conditions,</w:t>
      </w:r>
      <w:r w:rsidR="00950C37">
        <w:t xml:space="preserve"> can also be significant. We have adjusted our monitoring mechanisms to identify all divergences</w:t>
      </w:r>
      <w:r w:rsidR="007269B6">
        <w:t>, no matter how long they last,</w:t>
      </w:r>
      <w:r w:rsidR="00950C37">
        <w:t xml:space="preserve"> and will continue to contact participants for explanations as appropriate. </w:t>
      </w:r>
      <w:r w:rsidR="00324EF3">
        <w:t xml:space="preserve">A number of investigations of participants not following dispatch instructions are ongoing at the moment. </w:t>
      </w:r>
    </w:p>
    <w:p w:rsidR="007269B6" w:rsidRPr="00F62E0C" w:rsidRDefault="007269B6" w:rsidP="007269B6">
      <w:pPr>
        <w:pStyle w:val="AERheading2"/>
        <w:tabs>
          <w:tab w:val="clear" w:pos="2484"/>
          <w:tab w:val="num" w:pos="357"/>
        </w:tabs>
        <w:ind w:left="357"/>
      </w:pPr>
      <w:bookmarkStart w:id="93" w:name="_Ref353362903"/>
      <w:bookmarkStart w:id="94" w:name="_Toc370218473"/>
      <w:r w:rsidRPr="00F62E0C">
        <w:t>Electricity transmission connections</w:t>
      </w:r>
      <w:bookmarkEnd w:id="93"/>
      <w:bookmarkEnd w:id="94"/>
    </w:p>
    <w:p w:rsidR="007269B6" w:rsidRDefault="007269B6" w:rsidP="007269B6">
      <w:pPr>
        <w:pStyle w:val="AERbodytext"/>
      </w:pPr>
      <w:proofErr w:type="gramStart"/>
      <w:r>
        <w:t>Our electricity transmission connections strategic compliance project commenced in December 2011 in response to concerns raised by connection applicants about the Transmission Network Service Provider (</w:t>
      </w:r>
      <w:r>
        <w:rPr>
          <w:b/>
        </w:rPr>
        <w:t>TNSP</w:t>
      </w:r>
      <w:r>
        <w:t>) connection process.</w:t>
      </w:r>
      <w:proofErr w:type="gramEnd"/>
      <w:r>
        <w:t xml:space="preserve"> It involves a survey of parties that have sought to connect to the National Electricity Market transmission network. </w:t>
      </w:r>
    </w:p>
    <w:p w:rsidR="007269B6" w:rsidRDefault="007269B6" w:rsidP="007269B6">
      <w:pPr>
        <w:pStyle w:val="AERbodytext"/>
      </w:pPr>
      <w:r>
        <w:t xml:space="preserve">The survey seeks to assess compliance by </w:t>
      </w:r>
      <w:r w:rsidRPr="00F375D3">
        <w:t>TNSPs</w:t>
      </w:r>
      <w:r>
        <w:t xml:space="preserve"> with the Electricity Rules and to determine how satisfied connecting customers were with the connection process. It focuses on the performance of network businesses in terms of timeliness, provision of information, cost, design, availability of competitive procurement and responsiveness to the connecting customer’s commercial needs. </w:t>
      </w:r>
    </w:p>
    <w:p w:rsidR="007269B6" w:rsidRDefault="007269B6" w:rsidP="007269B6">
      <w:pPr>
        <w:pStyle w:val="AERbodytext"/>
      </w:pPr>
      <w:r>
        <w:t>The survey,</w:t>
      </w:r>
      <w:r w:rsidRPr="00F66D97">
        <w:t xml:space="preserve"> </w:t>
      </w:r>
      <w:r>
        <w:t>which was developed in consultation with the TNSPs, was finalised and sent out last quarter. We are currently reviewing s</w:t>
      </w:r>
      <w:r w:rsidRPr="00F375D3">
        <w:t>urvey responses</w:t>
      </w:r>
      <w:r>
        <w:t xml:space="preserve"> and deciding on next steps for this project</w:t>
      </w:r>
      <w:r w:rsidRPr="00F375D3">
        <w:t xml:space="preserve">. </w:t>
      </w:r>
      <w:r>
        <w:lastRenderedPageBreak/>
        <w:t>While n</w:t>
      </w:r>
      <w:r w:rsidRPr="00F375D3">
        <w:t>o information identifying individual TNSPs or connection projects will be published</w:t>
      </w:r>
      <w:r>
        <w:t>, we</w:t>
      </w:r>
      <w:r w:rsidRPr="00F375D3">
        <w:t xml:space="preserve"> may </w:t>
      </w:r>
      <w:r>
        <w:t xml:space="preserve">decide to </w:t>
      </w:r>
      <w:r w:rsidRPr="00F375D3">
        <w:t>publish some of the aggregated results</w:t>
      </w:r>
      <w:r>
        <w:t xml:space="preserve"> and lessons learnt in the next QCR, </w:t>
      </w:r>
      <w:r w:rsidRPr="00F375D3">
        <w:t>if appropriate.</w:t>
      </w:r>
      <w:r>
        <w:rPr>
          <w:rStyle w:val="FootnoteReference"/>
        </w:rPr>
        <w:footnoteReference w:id="8"/>
      </w:r>
    </w:p>
    <w:p w:rsidR="00B82AFA" w:rsidRDefault="00B82AFA" w:rsidP="005D2DC9">
      <w:pPr>
        <w:pStyle w:val="AERheading2"/>
        <w:tabs>
          <w:tab w:val="clear" w:pos="2484"/>
          <w:tab w:val="num" w:pos="357"/>
        </w:tabs>
        <w:ind w:left="357"/>
      </w:pPr>
      <w:bookmarkStart w:id="95" w:name="_Toc370218474"/>
      <w:r>
        <w:t>Instrument transformer testing update</w:t>
      </w:r>
      <w:bookmarkEnd w:id="91"/>
      <w:bookmarkEnd w:id="92"/>
      <w:bookmarkEnd w:id="95"/>
    </w:p>
    <w:p w:rsidR="00442BB7" w:rsidRDefault="00442BB7" w:rsidP="00442BB7">
      <w:pPr>
        <w:pStyle w:val="AERbodytext"/>
      </w:pPr>
      <w:r>
        <w:t xml:space="preserve">We </w:t>
      </w:r>
      <w:r w:rsidRPr="00E414BB">
        <w:t xml:space="preserve">released </w:t>
      </w:r>
      <w:hyperlink r:id="rId32" w:history="1">
        <w:r w:rsidR="00CB5D76" w:rsidRPr="00543C9B">
          <w:rPr>
            <w:rStyle w:val="Hyperlink"/>
          </w:rPr>
          <w:t>Compliance Bulletin No. 6</w:t>
        </w:r>
      </w:hyperlink>
      <w:r w:rsidR="00CB5D76">
        <w:t xml:space="preserve"> </w:t>
      </w:r>
      <w:r w:rsidRPr="00E414BB">
        <w:t xml:space="preserve">on instrument transformer testing </w:t>
      </w:r>
      <w:r>
        <w:t xml:space="preserve">in </w:t>
      </w:r>
      <w:r w:rsidRPr="00E414BB">
        <w:t xml:space="preserve">December 2011. The bulletin sets out </w:t>
      </w:r>
      <w:r>
        <w:t xml:space="preserve">our </w:t>
      </w:r>
      <w:r w:rsidRPr="00E414BB">
        <w:t xml:space="preserve">expectations </w:t>
      </w:r>
      <w:r>
        <w:t>for</w:t>
      </w:r>
      <w:r w:rsidRPr="00E414BB">
        <w:t xml:space="preserve"> instrument transformer testing as re</w:t>
      </w:r>
      <w:r>
        <w:t>quired by the Electricity Rules and sought for industry to demonstrate a willingness to comply</w:t>
      </w:r>
      <w:r w:rsidR="00E721A2">
        <w:t xml:space="preserve"> with these requirements</w:t>
      </w:r>
      <w:r>
        <w:t xml:space="preserve"> by testing a sample of their instrument transformers.</w:t>
      </w:r>
    </w:p>
    <w:p w:rsidR="00442BB7" w:rsidRDefault="00442BB7" w:rsidP="00442BB7">
      <w:pPr>
        <w:pStyle w:val="AERbodytext"/>
      </w:pPr>
      <w:r>
        <w:t>We proposed that each year a</w:t>
      </w:r>
      <w:r w:rsidR="000F72A4">
        <w:t xml:space="preserve"> R</w:t>
      </w:r>
      <w:r w:rsidR="00011B17">
        <w:t xml:space="preserve">esponsible </w:t>
      </w:r>
      <w:r w:rsidR="000F72A4">
        <w:t>P</w:t>
      </w:r>
      <w:r w:rsidR="00011B17">
        <w:t>erson (</w:t>
      </w:r>
      <w:r w:rsidR="00011B17" w:rsidRPr="00011B17">
        <w:rPr>
          <w:b/>
        </w:rPr>
        <w:t>RP</w:t>
      </w:r>
      <w:r w:rsidR="00011B17">
        <w:t>)</w:t>
      </w:r>
      <w:r w:rsidR="00B06460">
        <w:t xml:space="preserve"> </w:t>
      </w:r>
      <w:r>
        <w:t xml:space="preserve">should test either 10 per cent of its metering installation population, or a sample of its meters in accordance with an alternative sampling method approved by AEMO. RPs </w:t>
      </w:r>
      <w:proofErr w:type="gramStart"/>
      <w:r>
        <w:t>were</w:t>
      </w:r>
      <w:proofErr w:type="gramEnd"/>
      <w:r>
        <w:t xml:space="preserve"> required to submit testing strategies and plans to AEMO by 1 July 2012, with the required level of testing to be completed by 30 June 2013. </w:t>
      </w:r>
    </w:p>
    <w:p w:rsidR="004632DC" w:rsidRDefault="009F40F6" w:rsidP="00B82AFA">
      <w:pPr>
        <w:pStyle w:val="AERbodytext"/>
      </w:pPr>
      <w:r>
        <w:t xml:space="preserve">In August 2013 </w:t>
      </w:r>
      <w:r w:rsidR="00466AE0">
        <w:t xml:space="preserve">AEMO provided us with a summary of testing for each RP to 30 June 2013. We reviewed the results and </w:t>
      </w:r>
      <w:r w:rsidR="00ED3016">
        <w:t>wrote to</w:t>
      </w:r>
      <w:r w:rsidR="00466AE0">
        <w:t xml:space="preserve"> a number of </w:t>
      </w:r>
      <w:r w:rsidR="00EE65A7">
        <w:t>RPs who did not complete the required testing</w:t>
      </w:r>
      <w:r w:rsidR="00514DA1">
        <w:t xml:space="preserve">, despite attempts by the AER and AEMO to </w:t>
      </w:r>
      <w:r w:rsidR="00011B17">
        <w:t xml:space="preserve">resolve any </w:t>
      </w:r>
      <w:r w:rsidR="00514DA1">
        <w:t xml:space="preserve">outstanding </w:t>
      </w:r>
      <w:r w:rsidR="00011B17">
        <w:t>issues</w:t>
      </w:r>
      <w:r w:rsidR="00EE65A7">
        <w:t xml:space="preserve">. We </w:t>
      </w:r>
      <w:r w:rsidR="00CE15B0">
        <w:t>are currently</w:t>
      </w:r>
      <w:r w:rsidR="00324EF3">
        <w:t xml:space="preserve"> </w:t>
      </w:r>
      <w:r w:rsidR="00EE65A7">
        <w:t>consider</w:t>
      </w:r>
      <w:r w:rsidR="00324EF3">
        <w:t xml:space="preserve">ing </w:t>
      </w:r>
      <w:r w:rsidR="00EE65A7">
        <w:t xml:space="preserve">enforcement options </w:t>
      </w:r>
      <w:r w:rsidR="003B5325">
        <w:t xml:space="preserve">in relation to incomplete testing. </w:t>
      </w:r>
    </w:p>
    <w:p w:rsidR="007F4039" w:rsidRDefault="003B5325" w:rsidP="007F4039">
      <w:pPr>
        <w:pStyle w:val="AERbodytext"/>
      </w:pPr>
      <w:r>
        <w:t xml:space="preserve">We take this opportunity to remind RPs that further testing may be required by 30 June 2014. Those who elected to test 10 per cent of their metering installation population must test a further 10 per cent of their population by 30 June 2014. RPs who </w:t>
      </w:r>
      <w:proofErr w:type="gramStart"/>
      <w:r>
        <w:t>are</w:t>
      </w:r>
      <w:proofErr w:type="gramEnd"/>
      <w:r>
        <w:t xml:space="preserve"> testing according to AEMO’s alternative sampling method must continue to satisfy the requirements stated in the AEMO testing document through to </w:t>
      </w:r>
      <w:r w:rsidR="00011B17">
        <w:t>30 </w:t>
      </w:r>
      <w:r>
        <w:t>June 2017.</w:t>
      </w:r>
      <w:r w:rsidR="00F62E0C">
        <w:rPr>
          <w:rStyle w:val="FootnoteReference"/>
        </w:rPr>
        <w:footnoteReference w:id="9"/>
      </w:r>
      <w:r>
        <w:t xml:space="preserve"> </w:t>
      </w:r>
    </w:p>
    <w:p w:rsidR="004A472C" w:rsidRPr="008C01CF" w:rsidRDefault="00524CCB" w:rsidP="005D2DC9">
      <w:pPr>
        <w:pStyle w:val="AERheading2"/>
        <w:tabs>
          <w:tab w:val="clear" w:pos="2484"/>
          <w:tab w:val="num" w:pos="357"/>
        </w:tabs>
        <w:ind w:left="357"/>
      </w:pPr>
      <w:bookmarkStart w:id="96" w:name="_Toc370218475"/>
      <w:r w:rsidRPr="008C01CF">
        <w:t>Technical a</w:t>
      </w:r>
      <w:r w:rsidR="004A472C" w:rsidRPr="008C01CF">
        <w:t>udits</w:t>
      </w:r>
      <w:bookmarkEnd w:id="71"/>
      <w:bookmarkEnd w:id="72"/>
      <w:bookmarkEnd w:id="86"/>
      <w:bookmarkEnd w:id="96"/>
    </w:p>
    <w:p w:rsidR="00901CF5" w:rsidRPr="00405B4F" w:rsidRDefault="004A472C" w:rsidP="00901CF5">
      <w:pPr>
        <w:pStyle w:val="AERbodytext"/>
      </w:pPr>
      <w:bookmarkStart w:id="97" w:name="OLE_LINK7"/>
      <w:bookmarkStart w:id="98" w:name="OLE_LINK8"/>
      <w:bookmarkStart w:id="99" w:name="OLE_LINK53"/>
      <w:r w:rsidRPr="00405B4F">
        <w:rPr>
          <w:lang w:eastAsia="en-AU"/>
        </w:rPr>
        <w:t xml:space="preserve">Auditing is one mechanism </w:t>
      </w:r>
      <w:r w:rsidR="00DC3257">
        <w:rPr>
          <w:lang w:eastAsia="en-AU"/>
        </w:rPr>
        <w:t xml:space="preserve">we </w:t>
      </w:r>
      <w:r w:rsidRPr="00405B4F">
        <w:rPr>
          <w:lang w:eastAsia="en-AU"/>
        </w:rPr>
        <w:t xml:space="preserve">use to verify and assess compliance by registered participants with their </w:t>
      </w:r>
      <w:r w:rsidR="00324EF3">
        <w:rPr>
          <w:lang w:eastAsia="en-AU"/>
        </w:rPr>
        <w:t xml:space="preserve">technical performance standard </w:t>
      </w:r>
      <w:r w:rsidRPr="00405B4F">
        <w:rPr>
          <w:lang w:eastAsia="en-AU"/>
        </w:rPr>
        <w:t xml:space="preserve">obligations. </w:t>
      </w:r>
      <w:r w:rsidRPr="00405B4F">
        <w:t xml:space="preserve">The audits aim to ensure participants have robust and effective compliance programs in place that are consistent with </w:t>
      </w:r>
      <w:r w:rsidR="00CA2A01" w:rsidRPr="00405B4F">
        <w:t>Good E</w:t>
      </w:r>
      <w:r w:rsidR="00BC656A" w:rsidRPr="00405B4F">
        <w:t>nergy Industry Practice</w:t>
      </w:r>
      <w:r w:rsidRPr="00405B4F">
        <w:t>.</w:t>
      </w:r>
      <w:bookmarkStart w:id="100" w:name="_Toc213746648"/>
      <w:bookmarkStart w:id="101" w:name="_Toc213736452"/>
      <w:bookmarkStart w:id="102" w:name="_Toc213746649"/>
      <w:bookmarkStart w:id="103" w:name="_Toc237164170"/>
      <w:bookmarkStart w:id="104" w:name="_Toc237164171"/>
      <w:bookmarkStart w:id="105" w:name="_Ref222128200"/>
      <w:bookmarkStart w:id="106" w:name="_Toc229556417"/>
      <w:bookmarkStart w:id="107" w:name="_Toc330814075"/>
      <w:bookmarkStart w:id="108" w:name="OLE_LINK21"/>
      <w:bookmarkStart w:id="109" w:name="OLE_LINK24"/>
      <w:bookmarkEnd w:id="73"/>
      <w:bookmarkEnd w:id="74"/>
      <w:bookmarkEnd w:id="75"/>
      <w:bookmarkEnd w:id="76"/>
      <w:bookmarkEnd w:id="77"/>
      <w:bookmarkEnd w:id="78"/>
      <w:bookmarkEnd w:id="97"/>
      <w:bookmarkEnd w:id="98"/>
      <w:bookmarkEnd w:id="99"/>
      <w:bookmarkEnd w:id="100"/>
      <w:bookmarkEnd w:id="101"/>
      <w:bookmarkEnd w:id="102"/>
      <w:bookmarkEnd w:id="103"/>
      <w:bookmarkEnd w:id="104"/>
    </w:p>
    <w:p w:rsidR="00901CF5" w:rsidRPr="00405B4F" w:rsidRDefault="00380F85" w:rsidP="00901CF5">
      <w:pPr>
        <w:pStyle w:val="AERbodytext"/>
      </w:pPr>
      <w:r>
        <w:t xml:space="preserve">We </w:t>
      </w:r>
      <w:r w:rsidR="001201E1" w:rsidRPr="00405B4F">
        <w:t xml:space="preserve">conduct </w:t>
      </w:r>
      <w:r w:rsidR="00901CF5" w:rsidRPr="00405B4F">
        <w:t>regular technical compliance audits in the electricity sector of generators and network service providers. These audits generally focus on the Electricity Rules clauses</w:t>
      </w:r>
      <w:r w:rsidR="004D76CC">
        <w:t> </w:t>
      </w:r>
      <w:r w:rsidR="00901CF5" w:rsidRPr="00405B4F">
        <w:t xml:space="preserve">4.15 and 5.7.4, particularly the requirement on electricity generators and network service providers to institute and maintain a compliance program in accordance with prescribed requirements. </w:t>
      </w:r>
    </w:p>
    <w:p w:rsidR="004D76CC" w:rsidRDefault="004D76CC" w:rsidP="003003D6">
      <w:pPr>
        <w:pStyle w:val="AERbodytext"/>
        <w:keepNext/>
      </w:pPr>
      <w:r>
        <w:t>In particular, the mandated Compliance Program must:</w:t>
      </w:r>
    </w:p>
    <w:p w:rsidR="004D76CC" w:rsidRDefault="004D76CC" w:rsidP="004D76CC">
      <w:pPr>
        <w:pStyle w:val="AERbulletlistsecondstyle"/>
      </w:pPr>
      <w:r>
        <w:t>include procedures to monitor the performance of the plant in a manner that is consistent with good electricity industry practice</w:t>
      </w:r>
    </w:p>
    <w:p w:rsidR="004D76CC" w:rsidRDefault="004D76CC" w:rsidP="004D76CC">
      <w:pPr>
        <w:pStyle w:val="AERbulletlistsecondstyle"/>
      </w:pPr>
      <w:proofErr w:type="gramStart"/>
      <w:r>
        <w:t>provide</w:t>
      </w:r>
      <w:proofErr w:type="gramEnd"/>
      <w:r>
        <w:t xml:space="preserve"> reasonable assurance of ongoing compliance with applicable performance standards registered with AEMO.</w:t>
      </w:r>
    </w:p>
    <w:p w:rsidR="00D9136C" w:rsidRDefault="008C329B" w:rsidP="002110E8">
      <w:pPr>
        <w:pStyle w:val="AERbodytext"/>
        <w:rPr>
          <w:bCs/>
          <w:lang w:val="en"/>
        </w:rPr>
      </w:pPr>
      <w:r>
        <w:lastRenderedPageBreak/>
        <w:t>During the</w:t>
      </w:r>
      <w:r w:rsidR="003003D6">
        <w:t xml:space="preserve"> quarter, we </w:t>
      </w:r>
      <w:r w:rsidR="002110E8">
        <w:t xml:space="preserve">commenced an </w:t>
      </w:r>
      <w:r w:rsidR="00D9136C">
        <w:t xml:space="preserve">audit </w:t>
      </w:r>
      <w:r w:rsidR="002110E8">
        <w:t xml:space="preserve">of </w:t>
      </w:r>
      <w:r w:rsidR="001E4DA3">
        <w:t xml:space="preserve">AGL’s </w:t>
      </w:r>
      <w:r w:rsidR="001E4DA3" w:rsidRPr="001E4DA3">
        <w:t xml:space="preserve">420MW Macarthur </w:t>
      </w:r>
      <w:r w:rsidR="00D9136C" w:rsidRPr="00D9136C">
        <w:rPr>
          <w:bCs/>
          <w:lang w:val="en"/>
        </w:rPr>
        <w:t xml:space="preserve">wind farm </w:t>
      </w:r>
      <w:r w:rsidR="00543C9B">
        <w:rPr>
          <w:bCs/>
          <w:lang w:val="en"/>
        </w:rPr>
        <w:t xml:space="preserve">in </w:t>
      </w:r>
      <w:r w:rsidR="00D9136C" w:rsidRPr="00D9136C">
        <w:rPr>
          <w:bCs/>
          <w:lang w:val="en"/>
        </w:rPr>
        <w:t>Victoria</w:t>
      </w:r>
      <w:r w:rsidR="002110E8">
        <w:rPr>
          <w:bCs/>
          <w:lang w:val="en"/>
        </w:rPr>
        <w:t xml:space="preserve">. This is the </w:t>
      </w:r>
      <w:r w:rsidR="007834FF">
        <w:rPr>
          <w:bCs/>
          <w:lang w:val="en"/>
        </w:rPr>
        <w:t>first wind</w:t>
      </w:r>
      <w:r w:rsidR="0044719B">
        <w:rPr>
          <w:bCs/>
          <w:lang w:val="en"/>
        </w:rPr>
        <w:t xml:space="preserve"> </w:t>
      </w:r>
      <w:r w:rsidR="007834FF">
        <w:rPr>
          <w:bCs/>
          <w:lang w:val="en"/>
        </w:rPr>
        <w:t xml:space="preserve">farm </w:t>
      </w:r>
      <w:r w:rsidR="0044719B">
        <w:rPr>
          <w:bCs/>
          <w:lang w:val="en"/>
        </w:rPr>
        <w:t xml:space="preserve">to be examined under </w:t>
      </w:r>
      <w:r w:rsidR="007834FF">
        <w:rPr>
          <w:bCs/>
          <w:lang w:val="en"/>
        </w:rPr>
        <w:t>our compliance audit program</w:t>
      </w:r>
      <w:r w:rsidR="00D9136C">
        <w:rPr>
          <w:bCs/>
          <w:lang w:val="en"/>
        </w:rPr>
        <w:t xml:space="preserve">. </w:t>
      </w:r>
      <w:r w:rsidR="002110E8">
        <w:rPr>
          <w:bCs/>
          <w:lang w:val="en"/>
        </w:rPr>
        <w:t>AGL has submitted its response to the audit questionnaire. We will review the response and follow up further queries with AGL</w:t>
      </w:r>
      <w:r w:rsidR="00AE4DAF">
        <w:rPr>
          <w:bCs/>
          <w:lang w:val="en"/>
        </w:rPr>
        <w:t xml:space="preserve"> at our </w:t>
      </w:r>
      <w:r w:rsidR="002110E8">
        <w:rPr>
          <w:bCs/>
          <w:lang w:val="en"/>
        </w:rPr>
        <w:t xml:space="preserve">visit to the </w:t>
      </w:r>
      <w:r w:rsidR="002110E8" w:rsidRPr="001E4DA3">
        <w:t xml:space="preserve">Macarthur </w:t>
      </w:r>
      <w:r w:rsidR="002110E8" w:rsidRPr="00D9136C">
        <w:rPr>
          <w:bCs/>
          <w:lang w:val="en"/>
        </w:rPr>
        <w:t>wind farm</w:t>
      </w:r>
      <w:r w:rsidR="002110E8">
        <w:rPr>
          <w:bCs/>
          <w:lang w:val="en"/>
        </w:rPr>
        <w:t xml:space="preserve"> site next quarter. </w:t>
      </w:r>
    </w:p>
    <w:p w:rsidR="004A472C" w:rsidRPr="008C01CF" w:rsidRDefault="004A472C" w:rsidP="005D2DC9">
      <w:pPr>
        <w:pStyle w:val="AERheading2"/>
        <w:tabs>
          <w:tab w:val="clear" w:pos="2484"/>
          <w:tab w:val="num" w:pos="357"/>
        </w:tabs>
        <w:ind w:left="357"/>
      </w:pPr>
      <w:bookmarkStart w:id="110" w:name="_Toc354138200"/>
      <w:bookmarkStart w:id="111" w:name="_Toc370218476"/>
      <w:bookmarkEnd w:id="110"/>
      <w:r w:rsidRPr="008C01CF">
        <w:t>Jurisdictional derogations</w:t>
      </w:r>
      <w:bookmarkEnd w:id="105"/>
      <w:bookmarkEnd w:id="106"/>
      <w:bookmarkEnd w:id="107"/>
      <w:bookmarkEnd w:id="111"/>
    </w:p>
    <w:bookmarkEnd w:id="108"/>
    <w:bookmarkEnd w:id="109"/>
    <w:p w:rsidR="004A472C" w:rsidRPr="00282302" w:rsidRDefault="004A472C" w:rsidP="004A472C">
      <w:pPr>
        <w:pStyle w:val="AERbodytext"/>
      </w:pPr>
      <w:r w:rsidRPr="00282302">
        <w:t xml:space="preserve">Chapter 9 derogations exempt Victorian smelter traders, New South Wales power traders and Queensland nominated generators (for the purposes of exempted generator agreements) from complying with the Electricity Rules to the extent there exists: </w:t>
      </w:r>
    </w:p>
    <w:p w:rsidR="004A472C" w:rsidRPr="00282302" w:rsidRDefault="004A472C" w:rsidP="00CF20CC">
      <w:pPr>
        <w:pStyle w:val="AERbulletlistsecondstyle"/>
      </w:pPr>
      <w:r w:rsidRPr="00282302">
        <w:t>any inconsistency between the Rules and a contractual requirement under the relevant agreement between the government and other entities</w:t>
      </w:r>
    </w:p>
    <w:p w:rsidR="004A472C" w:rsidRPr="00282302" w:rsidRDefault="004A472C" w:rsidP="00CF20CC">
      <w:pPr>
        <w:pStyle w:val="AERbulletlistsecondstyle"/>
      </w:pPr>
      <w:proofErr w:type="gramStart"/>
      <w:r w:rsidRPr="00282302">
        <w:t>any</w:t>
      </w:r>
      <w:proofErr w:type="gramEnd"/>
      <w:r w:rsidRPr="00282302">
        <w:t xml:space="preserve"> other specified exemption in the jurisdictional derogations.</w:t>
      </w:r>
      <w:r w:rsidRPr="00282302">
        <w:rPr>
          <w:rStyle w:val="FootnoteReference"/>
          <w:lang w:eastAsia="en-AU"/>
        </w:rPr>
        <w:footnoteReference w:id="10"/>
      </w:r>
      <w:r w:rsidRPr="00282302">
        <w:t xml:space="preserve"> </w:t>
      </w:r>
    </w:p>
    <w:p w:rsidR="007D2853" w:rsidRDefault="004A472C" w:rsidP="001A3227">
      <w:pPr>
        <w:pStyle w:val="AERbodytext"/>
      </w:pPr>
      <w:r w:rsidRPr="00282302">
        <w:rPr>
          <w:lang w:eastAsia="en-AU"/>
        </w:rPr>
        <w:t xml:space="preserve">The relevant participants must give </w:t>
      </w:r>
      <w:r w:rsidR="00DC3257">
        <w:rPr>
          <w:lang w:eastAsia="en-AU"/>
        </w:rPr>
        <w:t>us notice</w:t>
      </w:r>
      <w:r w:rsidRPr="00282302">
        <w:rPr>
          <w:lang w:eastAsia="en-AU"/>
        </w:rPr>
        <w:t xml:space="preserve"> of any act or omission which partly or wholly constitutes non-compliance with the Electricity Rules.</w:t>
      </w:r>
      <w:r w:rsidRPr="00282302">
        <w:t xml:space="preserve"> No instances of non-compliance were reported </w:t>
      </w:r>
      <w:r w:rsidR="00CB0C74" w:rsidRPr="00282302">
        <w:t>this</w:t>
      </w:r>
      <w:r w:rsidRPr="00282302">
        <w:t xml:space="preserve"> quarter.</w:t>
      </w:r>
    </w:p>
    <w:p w:rsidR="00CC583E" w:rsidRDefault="00C12985">
      <w:pPr>
        <w:pStyle w:val="AERunnumberedheading"/>
      </w:pPr>
      <w:bookmarkStart w:id="112" w:name="_Toc370218477"/>
      <w:r w:rsidRPr="00860DB5">
        <w:lastRenderedPageBreak/>
        <w:t xml:space="preserve">Appendix </w:t>
      </w:r>
      <w:r>
        <w:t>A</w:t>
      </w:r>
      <w:r w:rsidRPr="00860DB5">
        <w:t xml:space="preserve">:  </w:t>
      </w:r>
      <w:r>
        <w:t>Shortened forms</w:t>
      </w:r>
      <w:bookmarkEnd w:id="112"/>
      <w:r w:rsidRPr="00860DB5">
        <w:t xml:space="preserve"> </w:t>
      </w:r>
    </w:p>
    <w:tbl>
      <w:tblPr>
        <w:tblStyle w:val="AERtable-text"/>
        <w:tblW w:w="0" w:type="auto"/>
        <w:tblLook w:val="01E0" w:firstRow="1" w:lastRow="1" w:firstColumn="1" w:lastColumn="1" w:noHBand="0" w:noVBand="0"/>
      </w:tblPr>
      <w:tblGrid>
        <w:gridCol w:w="2263"/>
        <w:gridCol w:w="6012"/>
      </w:tblGrid>
      <w:tr w:rsidR="00285EC2" w:rsidRPr="009A7BFC" w:rsidTr="00285EC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9A7BFC" w:rsidRDefault="00285EC2" w:rsidP="00285EC2">
            <w:pPr>
              <w:pStyle w:val="AERtabletextheading"/>
              <w:rPr>
                <w:sz w:val="20"/>
                <w:szCs w:val="20"/>
              </w:rPr>
            </w:pPr>
            <w:r w:rsidRPr="009A7BFC">
              <w:rPr>
                <w:sz w:val="20"/>
                <w:szCs w:val="20"/>
              </w:rPr>
              <w:t>Shortened form</w:t>
            </w:r>
          </w:p>
        </w:tc>
        <w:tc>
          <w:tcPr>
            <w:tcW w:w="6012" w:type="dxa"/>
          </w:tcPr>
          <w:p w:rsidR="00285EC2" w:rsidRPr="009A7BFC" w:rsidRDefault="00285EC2" w:rsidP="00285EC2">
            <w:pPr>
              <w:pStyle w:val="AERtabletextheading"/>
              <w:cnfStyle w:val="100000000000" w:firstRow="1" w:lastRow="0" w:firstColumn="0" w:lastColumn="0" w:oddVBand="0" w:evenVBand="0" w:oddHBand="0" w:evenHBand="0" w:firstRowFirstColumn="0" w:firstRowLastColumn="0" w:lastRowFirstColumn="0" w:lastRowLastColumn="0"/>
              <w:rPr>
                <w:sz w:val="20"/>
                <w:szCs w:val="20"/>
              </w:rPr>
            </w:pPr>
            <w:r w:rsidRPr="009A7BFC">
              <w:rPr>
                <w:sz w:val="20"/>
                <w:szCs w:val="20"/>
              </w:rPr>
              <w:t>Full title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ACCC </w:t>
            </w:r>
          </w:p>
        </w:tc>
        <w:tc>
          <w:tcPr>
            <w:tcW w:w="6012" w:type="dxa"/>
          </w:tcPr>
          <w:p w:rsidR="00285EC2" w:rsidRPr="00AD74E2" w:rsidRDefault="00F5665A"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b/>
                <w:bCs/>
                <w:kern w:val="32"/>
                <w:sz w:val="20"/>
                <w:szCs w:val="20"/>
              </w:rPr>
            </w:pPr>
            <w:hyperlink r:id="rId33" w:history="1">
              <w:r w:rsidR="00285EC2" w:rsidRPr="00AD74E2">
                <w:rPr>
                  <w:rStyle w:val="Hyperlink"/>
                  <w:rFonts w:cs="Gautami"/>
                  <w:sz w:val="20"/>
                  <w:szCs w:val="20"/>
                </w:rPr>
                <w:t>Australian Competition &amp; Consumer Commission</w:t>
              </w:r>
            </w:hyperlink>
            <w:r w:rsidR="00285EC2" w:rsidRPr="00AD74E2">
              <w:rPr>
                <w:rFonts w:cs="Gautami"/>
                <w:sz w:val="20"/>
                <w:szCs w:val="20"/>
              </w:rPr>
              <w:t xml:space="preserve"> </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AEMO</w:t>
            </w:r>
          </w:p>
        </w:tc>
        <w:tc>
          <w:tcPr>
            <w:tcW w:w="6012" w:type="dxa"/>
            <w:shd w:val="clear" w:color="auto" w:fill="FABF8F" w:themeFill="accent6" w:themeFillTint="99"/>
          </w:tcPr>
          <w:p w:rsidR="00285EC2" w:rsidRPr="00AD74E2" w:rsidRDefault="00F5665A"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hyperlink r:id="rId34" w:history="1">
              <w:r w:rsidR="00285EC2" w:rsidRPr="00AD74E2">
                <w:rPr>
                  <w:rStyle w:val="Hyperlink"/>
                  <w:rFonts w:cs="Gautami"/>
                  <w:sz w:val="20"/>
                  <w:szCs w:val="20"/>
                </w:rPr>
                <w:t>Australian Energy Market Operator</w:t>
              </w:r>
            </w:hyperlink>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AER </w:t>
            </w:r>
          </w:p>
        </w:tc>
        <w:tc>
          <w:tcPr>
            <w:tcW w:w="6012" w:type="dxa"/>
          </w:tcPr>
          <w:p w:rsidR="00285EC2" w:rsidRPr="00AD74E2" w:rsidRDefault="00F5665A"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hyperlink r:id="rId35" w:history="1">
              <w:r w:rsidR="00285EC2" w:rsidRPr="00AD74E2">
                <w:rPr>
                  <w:rStyle w:val="Hyperlink"/>
                  <w:rFonts w:cs="Gautami"/>
                  <w:sz w:val="20"/>
                  <w:szCs w:val="20"/>
                </w:rPr>
                <w:t>Australian Energy Regulator</w:t>
              </w:r>
            </w:hyperlink>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AMI</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Advanced Metering Infrastructure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CATS</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Consumer Administration and Transfer Solution</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Electricity Law </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iCs/>
                <w:sz w:val="20"/>
                <w:szCs w:val="20"/>
              </w:rPr>
            </w:pPr>
            <w:r w:rsidRPr="00AD74E2">
              <w:rPr>
                <w:rFonts w:cs="Gautami"/>
                <w:sz w:val="20"/>
                <w:szCs w:val="20"/>
              </w:rPr>
              <w:t>National Electricity Law (Schedule to the National Electricity Act)</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Electricity Rules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 xml:space="preserve">The </w:t>
            </w:r>
            <w:hyperlink r:id="rId36" w:history="1">
              <w:r w:rsidRPr="00AD74E2">
                <w:rPr>
                  <w:rStyle w:val="Hyperlink"/>
                  <w:rFonts w:cs="Gautami"/>
                  <w:sz w:val="20"/>
                  <w:szCs w:val="20"/>
                </w:rPr>
                <w:t>National Electricity Rules</w:t>
              </w:r>
            </w:hyperlink>
            <w:r w:rsidRPr="00AD74E2">
              <w:rPr>
                <w:rFonts w:cs="Gautami"/>
                <w:sz w:val="20"/>
                <w:szCs w:val="20"/>
              </w:rPr>
              <w:t xml:space="preserve"> made under Part 7 of the Electricity Law </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Pr>
                <w:rFonts w:cs="Gautami"/>
                <w:sz w:val="20"/>
                <w:szCs w:val="20"/>
              </w:rPr>
              <w:t>FCAS</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Frequency Control Ancillary Service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Gas Law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National Gas Law (Schedule to the National Gas Act)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Gas Regulations</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iCs/>
                <w:sz w:val="20"/>
                <w:szCs w:val="20"/>
              </w:rPr>
              <w:t xml:space="preserve">The </w:t>
            </w:r>
            <w:hyperlink r:id="rId37" w:history="1">
              <w:r w:rsidRPr="00AD74E2">
                <w:rPr>
                  <w:rStyle w:val="Hyperlink"/>
                  <w:rFonts w:cs="Gautami"/>
                  <w:i/>
                  <w:iCs/>
                  <w:sz w:val="20"/>
                  <w:szCs w:val="20"/>
                </w:rPr>
                <w:t>National Gas (South Australia) Regulations</w:t>
              </w:r>
            </w:hyperlink>
            <w:r w:rsidRPr="00AD74E2">
              <w:rPr>
                <w:rFonts w:cs="Gautami"/>
                <w:iCs/>
                <w:sz w:val="20"/>
                <w:szCs w:val="20"/>
              </w:rPr>
              <w:t xml:space="preserve"> made under the National Gas Act</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Gas Rules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 xml:space="preserve">The </w:t>
            </w:r>
            <w:hyperlink r:id="rId38" w:history="1">
              <w:r w:rsidRPr="00AD74E2">
                <w:rPr>
                  <w:rStyle w:val="Hyperlink"/>
                  <w:rFonts w:cs="Gautami"/>
                  <w:sz w:val="20"/>
                  <w:szCs w:val="20"/>
                </w:rPr>
                <w:t>National Gas Rules</w:t>
              </w:r>
            </w:hyperlink>
            <w:r w:rsidRPr="00AD74E2">
              <w:rPr>
                <w:rFonts w:cs="Gautami"/>
                <w:sz w:val="20"/>
                <w:szCs w:val="20"/>
              </w:rPr>
              <w:t xml:space="preserve"> made under Part 9 of the Gas Law</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GEIP</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Good Energy Industry Practice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GJ</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Gigajoule</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LCA</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Linepack capacity adequacy</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MAP</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Moomba to Adelaide pipeline</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MOS</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Market Operator Service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MSATS</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Market Settlement and Transfer Solution</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Pr>
                <w:rFonts w:cs="Gautami"/>
                <w:sz w:val="20"/>
                <w:szCs w:val="20"/>
              </w:rPr>
              <w:t>MT PASA</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Medium Term Projected Assessment of System Adequacy</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MW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Megawatt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MWh </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Megawatt hour</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National Electricity Act </w:t>
            </w:r>
          </w:p>
        </w:tc>
        <w:tc>
          <w:tcPr>
            <w:tcW w:w="6012" w:type="dxa"/>
          </w:tcPr>
          <w:p w:rsidR="00285EC2" w:rsidRPr="00AD74E2" w:rsidRDefault="00F5665A"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hyperlink r:id="rId39" w:history="1">
              <w:r w:rsidR="00285EC2" w:rsidRPr="00AD74E2">
                <w:rPr>
                  <w:rStyle w:val="Hyperlink"/>
                  <w:rFonts w:cs="Gautami"/>
                  <w:i/>
                  <w:iCs/>
                  <w:sz w:val="20"/>
                  <w:szCs w:val="20"/>
                </w:rPr>
                <w:t xml:space="preserve">National Electricity (South Australia) Act 1996 </w:t>
              </w:r>
              <w:r w:rsidR="00285EC2" w:rsidRPr="00AD74E2">
                <w:rPr>
                  <w:rStyle w:val="Hyperlink"/>
                  <w:rFonts w:cs="Gautami"/>
                  <w:sz w:val="20"/>
                  <w:szCs w:val="20"/>
                </w:rPr>
                <w:t>(South Australia)</w:t>
              </w:r>
            </w:hyperlink>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National Gas Act </w:t>
            </w:r>
          </w:p>
        </w:tc>
        <w:tc>
          <w:tcPr>
            <w:tcW w:w="6012" w:type="dxa"/>
            <w:shd w:val="clear" w:color="auto" w:fill="FABF8F" w:themeFill="accent6" w:themeFillTint="99"/>
          </w:tcPr>
          <w:p w:rsidR="00285EC2" w:rsidRPr="00AD74E2" w:rsidRDefault="00F5665A"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hyperlink r:id="rId40" w:history="1">
              <w:r w:rsidR="00285EC2" w:rsidRPr="00AD74E2">
                <w:rPr>
                  <w:rStyle w:val="Hyperlink"/>
                  <w:rFonts w:cs="Gautami"/>
                  <w:i/>
                  <w:iCs/>
                  <w:sz w:val="20"/>
                  <w:szCs w:val="20"/>
                </w:rPr>
                <w:t xml:space="preserve">National Gas (South Australia) Act 2008 </w:t>
              </w:r>
              <w:r w:rsidR="00285EC2" w:rsidRPr="00AD74E2">
                <w:rPr>
                  <w:rStyle w:val="Hyperlink"/>
                  <w:rFonts w:cs="Gautami"/>
                  <w:sz w:val="20"/>
                  <w:szCs w:val="20"/>
                </w:rPr>
                <w:t>(South Australia)</w:t>
              </w:r>
            </w:hyperlink>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NEM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National Electricity Market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Pr>
                <w:rFonts w:cs="Gautami"/>
                <w:sz w:val="20"/>
                <w:szCs w:val="20"/>
              </w:rPr>
              <w:t>NMI</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National Meter Identifier</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QCR</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The AER’s quarterly compliance report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RIT-T</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Regulatory investment test for transmission</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RP</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Responsible Person</w:t>
            </w:r>
          </w:p>
        </w:tc>
      </w:tr>
      <w:tr w:rsidR="00696E6D"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696E6D" w:rsidRPr="00AD74E2" w:rsidRDefault="00696E6D" w:rsidP="000E2105">
            <w:pPr>
              <w:pStyle w:val="AERtabletext"/>
              <w:spacing w:before="60" w:after="60"/>
              <w:rPr>
                <w:rFonts w:cs="Gautami"/>
                <w:sz w:val="20"/>
                <w:szCs w:val="20"/>
              </w:rPr>
            </w:pPr>
            <w:r>
              <w:rPr>
                <w:rFonts w:cs="Gautami"/>
                <w:sz w:val="20"/>
                <w:szCs w:val="20"/>
              </w:rPr>
              <w:t>SCADA</w:t>
            </w:r>
          </w:p>
        </w:tc>
        <w:tc>
          <w:tcPr>
            <w:tcW w:w="6012" w:type="dxa"/>
          </w:tcPr>
          <w:p w:rsidR="00696E6D" w:rsidRPr="00696E6D" w:rsidRDefault="00696E6D" w:rsidP="00696E6D">
            <w:pPr>
              <w:pStyle w:val="AERtabletex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w:t>
            </w:r>
            <w:r w:rsidRPr="00696E6D">
              <w:rPr>
                <w:sz w:val="20"/>
                <w:szCs w:val="20"/>
              </w:rPr>
              <w:t>upervisory control and data acquisition</w:t>
            </w:r>
          </w:p>
        </w:tc>
      </w:tr>
      <w:tr w:rsidR="00285EC2" w:rsidRPr="00696E6D" w:rsidTr="00696E6D">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STTM</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Short Term Trading Market</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SWN</w:t>
            </w:r>
          </w:p>
        </w:tc>
        <w:tc>
          <w:tcPr>
            <w:tcW w:w="6012" w:type="dxa"/>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System Wide Notice</w:t>
            </w:r>
          </w:p>
        </w:tc>
      </w:tr>
      <w:tr w:rsidR="00285EC2" w:rsidRPr="00BA1378" w:rsidTr="00696E6D">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TJ</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Terajoule</w:t>
            </w:r>
          </w:p>
        </w:tc>
      </w:tr>
    </w:tbl>
    <w:p w:rsidR="00285EC2" w:rsidRDefault="00285EC2" w:rsidP="00F32643">
      <w:pPr>
        <w:pStyle w:val="AERbodytext"/>
        <w:rPr>
          <w:lang w:eastAsia="en-AU"/>
        </w:rPr>
        <w:sectPr w:rsidR="00285EC2" w:rsidSect="000D2D9C">
          <w:footerReference w:type="default" r:id="rId41"/>
          <w:type w:val="continuous"/>
          <w:pgSz w:w="11906" w:h="16838" w:code="9"/>
          <w:pgMar w:top="1440" w:right="1440" w:bottom="1440" w:left="1440" w:header="709" w:footer="709" w:gutter="0"/>
          <w:cols w:space="708"/>
          <w:docGrid w:linePitch="360"/>
        </w:sectPr>
      </w:pPr>
    </w:p>
    <w:p w:rsidR="00140976" w:rsidRPr="00860DB5" w:rsidRDefault="00140976" w:rsidP="002C7158">
      <w:pPr>
        <w:pStyle w:val="AERunnumberedheading"/>
      </w:pPr>
      <w:bookmarkStart w:id="113" w:name="_Toc327524016"/>
      <w:bookmarkStart w:id="114" w:name="_Toc337553429"/>
      <w:bookmarkStart w:id="115" w:name="_Toc370218478"/>
      <w:r w:rsidRPr="00860DB5">
        <w:lastRenderedPageBreak/>
        <w:t xml:space="preserve">Appendix </w:t>
      </w:r>
      <w:r w:rsidR="00C12985">
        <w:t>B</w:t>
      </w:r>
      <w:r w:rsidRPr="00860DB5">
        <w:t>:  Previous targeted compliance reviews</w:t>
      </w:r>
      <w:bookmarkEnd w:id="113"/>
      <w:bookmarkEnd w:id="114"/>
      <w:bookmarkEnd w:id="115"/>
    </w:p>
    <w:p w:rsidR="00BA0AB2" w:rsidRPr="00282302" w:rsidRDefault="00C506DD" w:rsidP="00BA0AB2">
      <w:pPr>
        <w:pStyle w:val="AERtabletitle"/>
        <w:rPr>
          <w:rFonts w:ascii="Gautami" w:hAnsi="Gautami" w:cs="Gautami"/>
        </w:rPr>
      </w:pPr>
      <w:r>
        <w:rPr>
          <w:rFonts w:ascii="Gautami" w:hAnsi="Gautami" w:cs="Gautami"/>
        </w:rPr>
        <w:t>Below</w:t>
      </w:r>
      <w:r w:rsidRPr="00282302">
        <w:rPr>
          <w:rFonts w:ascii="Gautami" w:hAnsi="Gautami" w:cs="Gautami"/>
        </w:rPr>
        <w:t xml:space="preserve"> </w:t>
      </w:r>
      <w:r w:rsidR="00BA0AB2" w:rsidRPr="00282302">
        <w:rPr>
          <w:rFonts w:ascii="Gautami" w:hAnsi="Gautami" w:cs="Gautami"/>
        </w:rPr>
        <w:t xml:space="preserve">is a summary of the Electricity Rules and Gas Rules </w:t>
      </w:r>
      <w:r w:rsidRPr="00282302">
        <w:rPr>
          <w:rFonts w:ascii="Gautami" w:hAnsi="Gautami" w:cs="Gautami"/>
        </w:rPr>
        <w:t>provisions</w:t>
      </w:r>
      <w:r>
        <w:rPr>
          <w:rFonts w:ascii="Gautami" w:hAnsi="Gautami" w:cs="Gautami"/>
        </w:rPr>
        <w:t xml:space="preserve"> we have targeted </w:t>
      </w:r>
      <w:r w:rsidR="00AA5257">
        <w:rPr>
          <w:rFonts w:ascii="Gautami" w:hAnsi="Gautami" w:cs="Gautami"/>
        </w:rPr>
        <w:t>in recent quarters</w:t>
      </w:r>
    </w:p>
    <w:tbl>
      <w:tblPr>
        <w:tblW w:w="5000" w:type="pct"/>
        <w:tblBorders>
          <w:top w:val="single" w:sz="4" w:space="0" w:color="auto"/>
          <w:bottom w:val="single" w:sz="4" w:space="0" w:color="auto"/>
        </w:tblBorders>
        <w:tblLook w:val="01E0" w:firstRow="1" w:lastRow="1" w:firstColumn="1" w:lastColumn="1" w:noHBand="0" w:noVBand="0"/>
      </w:tblPr>
      <w:tblGrid>
        <w:gridCol w:w="1695"/>
        <w:gridCol w:w="1072"/>
        <w:gridCol w:w="1470"/>
        <w:gridCol w:w="5005"/>
      </w:tblGrid>
      <w:tr w:rsidR="00140976" w:rsidRPr="00282302" w:rsidTr="000A4B26">
        <w:trPr>
          <w:trHeight w:val="227"/>
        </w:trPr>
        <w:tc>
          <w:tcPr>
            <w:tcW w:w="60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A0AB2" w:rsidRPr="00282302" w:rsidRDefault="00BA0AB2" w:rsidP="00BA0AB2">
            <w:pPr>
              <w:pStyle w:val="AERtabletextheading"/>
              <w:rPr>
                <w:sz w:val="20"/>
                <w:szCs w:val="20"/>
              </w:rPr>
            </w:pPr>
            <w:r w:rsidRPr="00282302">
              <w:rPr>
                <w:sz w:val="20"/>
                <w:szCs w:val="20"/>
              </w:rPr>
              <w:t>Quarter ending</w:t>
            </w:r>
          </w:p>
        </w:tc>
        <w:tc>
          <w:tcPr>
            <w:tcW w:w="585" w:type="pct"/>
            <w:tcBorders>
              <w:top w:val="single" w:sz="4" w:space="0" w:color="auto"/>
              <w:left w:val="nil"/>
              <w:bottom w:val="single" w:sz="4" w:space="0" w:color="auto"/>
              <w:right w:val="nil"/>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Industry</w:t>
            </w:r>
          </w:p>
        </w:tc>
        <w:tc>
          <w:tcPr>
            <w:tcW w:w="999" w:type="pct"/>
            <w:tcBorders>
              <w:top w:val="single" w:sz="4" w:space="0" w:color="auto"/>
              <w:left w:val="nil"/>
              <w:bottom w:val="single" w:sz="4" w:space="0" w:color="auto"/>
              <w:right w:val="nil"/>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Rule</w:t>
            </w:r>
          </w:p>
        </w:tc>
        <w:tc>
          <w:tcPr>
            <w:tcW w:w="2812" w:type="pct"/>
            <w:tcBorders>
              <w:top w:val="single" w:sz="4" w:space="0" w:color="auto"/>
              <w:left w:val="nil"/>
              <w:bottom w:val="single" w:sz="4" w:space="0" w:color="auto"/>
              <w:right w:val="single" w:sz="4" w:space="0" w:color="auto"/>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Description</w:t>
            </w:r>
          </w:p>
        </w:tc>
      </w:tr>
      <w:tr w:rsidR="00140976" w:rsidRPr="00282302" w:rsidTr="00C47950">
        <w:trPr>
          <w:trHeight w:val="227"/>
        </w:trPr>
        <w:tc>
          <w:tcPr>
            <w:tcW w:w="604" w:type="pct"/>
            <w:shd w:val="clear" w:color="auto" w:fill="auto"/>
            <w:noWrap/>
            <w:tcMar>
              <w:top w:w="0" w:type="dxa"/>
              <w:bottom w:w="0" w:type="dxa"/>
            </w:tcMa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June 2011</w:t>
            </w:r>
          </w:p>
        </w:tc>
        <w:tc>
          <w:tcPr>
            <w:tcW w:w="585"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172</w:t>
            </w:r>
          </w:p>
        </w:tc>
        <w:tc>
          <w:tcPr>
            <w:tcW w:w="2812" w:type="pct"/>
            <w:vAlign w:val="cente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Provision of linepack capacity adequacy indicators for the Bulletin Board</w:t>
            </w:r>
          </w:p>
        </w:tc>
      </w:tr>
      <w:tr w:rsidR="00140976" w:rsidRPr="00282302" w:rsidTr="00C47950">
        <w:trPr>
          <w:trHeight w:val="227"/>
        </w:trPr>
        <w:tc>
          <w:tcPr>
            <w:tcW w:w="604" w:type="pct"/>
            <w:shd w:val="clear" w:color="auto" w:fill="auto"/>
            <w:noWrap/>
            <w:tcMar>
              <w:top w:w="0" w:type="dxa"/>
              <w:bottom w:w="0" w:type="dxa"/>
            </w:tcMar>
          </w:tcPr>
          <w:p w:rsidR="00140976" w:rsidRPr="00282302" w:rsidRDefault="00140976" w:rsidP="00D3476A">
            <w:pPr>
              <w:pStyle w:val="AERtabletext"/>
              <w:rPr>
                <w:rFonts w:ascii="Gautami" w:hAnsi="Gautami" w:cs="Gautami"/>
                <w:sz w:val="20"/>
                <w:szCs w:val="20"/>
              </w:rPr>
            </w:pPr>
          </w:p>
        </w:tc>
        <w:tc>
          <w:tcPr>
            <w:tcW w:w="585" w:type="pct"/>
          </w:tcPr>
          <w:p w:rsidR="00140976" w:rsidRPr="00282302" w:rsidRDefault="00140976" w:rsidP="00D3476A">
            <w:pPr>
              <w:pStyle w:val="AERtabletext"/>
              <w:rPr>
                <w:rFonts w:ascii="Gautami" w:hAnsi="Gautami" w:cs="Gautami"/>
                <w:sz w:val="20"/>
                <w:szCs w:val="20"/>
              </w:rPr>
            </w:pPr>
          </w:p>
        </w:tc>
        <w:tc>
          <w:tcPr>
            <w:tcW w:w="999"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378</w:t>
            </w:r>
          </w:p>
        </w:tc>
        <w:tc>
          <w:tcPr>
            <w:tcW w:w="2812" w:type="pct"/>
            <w:vAlign w:val="cente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Obligation to update information registered with AEMO</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435</w:t>
            </w:r>
          </w:p>
        </w:tc>
        <w:tc>
          <w:tcPr>
            <w:tcW w:w="2812" w:type="pct"/>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Requirement to provide good faith, best estimate contingency gas offers</w:t>
            </w:r>
          </w:p>
        </w:tc>
      </w:tr>
      <w:tr w:rsidR="00140976" w:rsidRPr="00282302" w:rsidTr="00D3476A">
        <w:trPr>
          <w:trHeight w:val="227"/>
        </w:trPr>
        <w:tc>
          <w:tcPr>
            <w:tcW w:w="604" w:type="pct"/>
            <w:tcBorders>
              <w:top w:val="nil"/>
            </w:tcBorders>
            <w:shd w:val="clear" w:color="auto" w:fill="FABF8F"/>
            <w:noWrap/>
            <w:tcMar>
              <w:top w:w="0" w:type="dxa"/>
              <w:bottom w:w="0" w:type="dxa"/>
            </w:tcMar>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September 2011</w:t>
            </w:r>
          </w:p>
        </w:tc>
        <w:tc>
          <w:tcPr>
            <w:tcW w:w="585" w:type="pct"/>
            <w:tcBorders>
              <w:top w:val="nil"/>
            </w:tcBorders>
            <w:shd w:val="clear" w:color="auto" w:fill="FABF8F"/>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top w:val="nil"/>
            </w:tcBorders>
            <w:shd w:val="clear" w:color="auto" w:fill="FABF8F"/>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300</w:t>
            </w:r>
          </w:p>
        </w:tc>
        <w:tc>
          <w:tcPr>
            <w:tcW w:w="2812" w:type="pct"/>
            <w:tcBorders>
              <w:top w:val="nil"/>
            </w:tcBorders>
            <w:shd w:val="clear" w:color="auto" w:fill="FABF8F"/>
            <w:vAlign w:val="center"/>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protect metering installations from unauthorised interference</w:t>
            </w:r>
          </w:p>
        </w:tc>
      </w:tr>
      <w:tr w:rsidR="00D3476A" w:rsidRPr="00282302" w:rsidTr="00D3476A">
        <w:trPr>
          <w:trHeight w:val="227"/>
        </w:trPr>
        <w:tc>
          <w:tcPr>
            <w:tcW w:w="604" w:type="pct"/>
            <w:tcBorders>
              <w:top w:val="nil"/>
            </w:tcBorders>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Borders>
              <w:top w:val="nil"/>
            </w:tcBorders>
            <w:shd w:val="clear" w:color="auto" w:fill="FABF8F"/>
          </w:tcPr>
          <w:p w:rsidR="00D3476A" w:rsidRPr="00282302" w:rsidRDefault="00D3476A" w:rsidP="00D3476A">
            <w:pPr>
              <w:pStyle w:val="AERtabletext"/>
              <w:rPr>
                <w:rFonts w:ascii="Gautami" w:hAnsi="Gautami" w:cs="Gautami"/>
                <w:sz w:val="20"/>
                <w:szCs w:val="20"/>
              </w:rPr>
            </w:pPr>
          </w:p>
        </w:tc>
        <w:tc>
          <w:tcPr>
            <w:tcW w:w="999" w:type="pct"/>
            <w:tcBorders>
              <w:top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403</w:t>
            </w:r>
          </w:p>
        </w:tc>
        <w:tc>
          <w:tcPr>
            <w:tcW w:w="2812" w:type="pct"/>
            <w:tcBorders>
              <w:top w:val="nil"/>
            </w:tcBorders>
            <w:shd w:val="clear" w:color="auto" w:fill="FABF8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investigate the circumstances of a MOS shortfall</w:t>
            </w:r>
          </w:p>
        </w:tc>
      </w:tr>
      <w:tr w:rsidR="00D3476A" w:rsidRPr="00282302" w:rsidTr="00C47950">
        <w:trPr>
          <w:trHeight w:val="227"/>
        </w:trPr>
        <w:tc>
          <w:tcPr>
            <w:tcW w:w="604" w:type="pct"/>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shd w:val="clear" w:color="auto" w:fill="FABF8F"/>
          </w:tcPr>
          <w:p w:rsidR="00D3476A" w:rsidRPr="00282302" w:rsidRDefault="00D3476A" w:rsidP="00D3476A">
            <w:pPr>
              <w:pStyle w:val="AERtabletext"/>
              <w:rPr>
                <w:rFonts w:ascii="Gautami" w:hAnsi="Gautami" w:cs="Gautami"/>
                <w:sz w:val="20"/>
                <w:szCs w:val="20"/>
              </w:rPr>
            </w:pPr>
          </w:p>
        </w:tc>
        <w:tc>
          <w:tcPr>
            <w:tcW w:w="999" w:type="pct"/>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410</w:t>
            </w:r>
          </w:p>
        </w:tc>
        <w:tc>
          <w:tcPr>
            <w:tcW w:w="2812" w:type="pct"/>
            <w:shd w:val="clear" w:color="auto" w:fill="FABF8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make good faith, best estimate price taker bids (demand forecasts)</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December 2011</w:t>
            </w:r>
          </w:p>
        </w:tc>
        <w:tc>
          <w:tcPr>
            <w:tcW w:w="585"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180</w:t>
            </w:r>
          </w:p>
        </w:tc>
        <w:tc>
          <w:tcPr>
            <w:tcW w:w="2812" w:type="pct"/>
            <w:vAlign w:val="center"/>
          </w:tcPr>
          <w:p w:rsidR="00D3476A" w:rsidRPr="00282302" w:rsidRDefault="00D3476A" w:rsidP="00D3476A">
            <w:pPr>
              <w:pStyle w:val="AERtabletext"/>
              <w:rPr>
                <w:rFonts w:ascii="Gautami" w:hAnsi="Gautami" w:cs="Gautami"/>
                <w:sz w:val="20"/>
                <w:szCs w:val="20"/>
              </w:rPr>
            </w:pPr>
            <w:r w:rsidRPr="00282302">
              <w:rPr>
                <w:rStyle w:val="displayonly"/>
                <w:rFonts w:ascii="Gautami" w:hAnsi="Gautami" w:cs="Gautami"/>
                <w:sz w:val="20"/>
                <w:szCs w:val="20"/>
              </w:rPr>
              <w:t>Obligation to publish peak demand day information</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219</w:t>
            </w:r>
          </w:p>
        </w:tc>
        <w:tc>
          <w:tcPr>
            <w:tcW w:w="2812" w:type="pct"/>
            <w:vAlign w:val="center"/>
          </w:tcPr>
          <w:p w:rsidR="00D3476A" w:rsidRPr="00282302" w:rsidRDefault="00D3476A" w:rsidP="00D3476A">
            <w:pPr>
              <w:pStyle w:val="AERtabletext"/>
              <w:rPr>
                <w:rStyle w:val="displayonly"/>
                <w:rFonts w:ascii="Gautami" w:hAnsi="Gautami" w:cs="Gautami"/>
                <w:sz w:val="20"/>
                <w:szCs w:val="20"/>
              </w:rPr>
            </w:pPr>
            <w:r w:rsidRPr="00282302">
              <w:rPr>
                <w:rStyle w:val="displayonly"/>
                <w:rFonts w:ascii="Gautami" w:hAnsi="Gautami" w:cs="Gautami"/>
                <w:sz w:val="20"/>
                <w:szCs w:val="20"/>
              </w:rPr>
              <w:t>Obligation to notify AEMO of injection and withdrawal quantities</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254</w:t>
            </w:r>
          </w:p>
        </w:tc>
        <w:tc>
          <w:tcPr>
            <w:tcW w:w="2812" w:type="pct"/>
            <w:vAlign w:val="center"/>
          </w:tcPr>
          <w:p w:rsidR="00D3476A" w:rsidRPr="00282302" w:rsidRDefault="00D3476A" w:rsidP="00D3476A">
            <w:pPr>
              <w:pStyle w:val="AERtabletext"/>
              <w:rPr>
                <w:rStyle w:val="displayonly"/>
                <w:rFonts w:ascii="Gautami" w:hAnsi="Gautami" w:cs="Gautami"/>
                <w:sz w:val="20"/>
                <w:szCs w:val="20"/>
              </w:rPr>
            </w:pPr>
            <w:r w:rsidRPr="00282302">
              <w:rPr>
                <w:rStyle w:val="displayonly"/>
                <w:rFonts w:ascii="Gautami" w:hAnsi="Gautami" w:cs="Gautami"/>
                <w:sz w:val="20"/>
                <w:szCs w:val="20"/>
              </w:rPr>
              <w:t xml:space="preserve">Obligation </w:t>
            </w:r>
            <w:r w:rsidRPr="00282302">
              <w:rPr>
                <w:rFonts w:ascii="Gautami" w:hAnsi="Gautami" w:cs="Gautami"/>
                <w:sz w:val="20"/>
                <w:szCs w:val="20"/>
              </w:rPr>
              <w:t>to provide and maintain security (prudential requirements)</w:t>
            </w:r>
          </w:p>
        </w:tc>
      </w:tr>
      <w:tr w:rsidR="00D3476A" w:rsidRPr="00282302" w:rsidTr="00C47950">
        <w:trPr>
          <w:trHeight w:val="227"/>
        </w:trPr>
        <w:tc>
          <w:tcPr>
            <w:tcW w:w="604" w:type="pct"/>
            <w:tcBorders>
              <w:bottom w:val="nil"/>
            </w:tcBorders>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March 2012</w:t>
            </w:r>
          </w:p>
        </w:tc>
        <w:tc>
          <w:tcPr>
            <w:tcW w:w="585" w:type="pct"/>
            <w:tcBorders>
              <w:bottom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bottom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336</w:t>
            </w:r>
          </w:p>
        </w:tc>
        <w:tc>
          <w:tcPr>
            <w:tcW w:w="2812" w:type="pct"/>
            <w:tcBorders>
              <w:bottom w:val="nil"/>
            </w:tcBorders>
            <w:shd w:val="clear" w:color="auto" w:fill="FABF8F"/>
            <w:vAlign w:val="center"/>
          </w:tcPr>
          <w:p w:rsidR="00D3476A" w:rsidRPr="00282302" w:rsidRDefault="00D3476A" w:rsidP="00D3476A">
            <w:pPr>
              <w:pStyle w:val="AERtabletext"/>
              <w:rPr>
                <w:rStyle w:val="displayonly"/>
                <w:rFonts w:ascii="Gautami" w:hAnsi="Gautami" w:cs="Gautami"/>
                <w:sz w:val="20"/>
                <w:szCs w:val="20"/>
              </w:rPr>
            </w:pPr>
            <w:r w:rsidRPr="00282302">
              <w:rPr>
                <w:rFonts w:ascii="Gautami" w:hAnsi="Gautami" w:cs="Gautami"/>
                <w:sz w:val="20"/>
                <w:szCs w:val="20"/>
              </w:rPr>
              <w:t>Emergency procedures awareness</w:t>
            </w:r>
          </w:p>
        </w:tc>
      </w:tr>
      <w:tr w:rsidR="00D3476A" w:rsidRPr="00282302" w:rsidTr="000D2D9C">
        <w:trPr>
          <w:trHeight w:val="227"/>
        </w:trPr>
        <w:tc>
          <w:tcPr>
            <w:tcW w:w="604" w:type="pct"/>
            <w:tcBorders>
              <w:top w:val="nil"/>
              <w:bottom w:val="nil"/>
            </w:tcBorders>
            <w:shd w:val="clear" w:color="auto" w:fill="FFFFFF"/>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September 2012</w:t>
            </w:r>
          </w:p>
        </w:tc>
        <w:tc>
          <w:tcPr>
            <w:tcW w:w="585" w:type="pct"/>
            <w:tcBorders>
              <w:top w:val="nil"/>
              <w:bottom w:val="nil"/>
            </w:tcBorders>
            <w:shd w:val="clear" w:color="auto" w:fill="FFFFF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top w:val="nil"/>
              <w:bottom w:val="nil"/>
            </w:tcBorders>
            <w:shd w:val="clear" w:color="auto" w:fill="FFFFF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213(2)(b) and (c)</w:t>
            </w:r>
          </w:p>
        </w:tc>
        <w:tc>
          <w:tcPr>
            <w:tcW w:w="2812" w:type="pct"/>
            <w:tcBorders>
              <w:top w:val="nil"/>
              <w:bottom w:val="nil"/>
            </w:tcBorders>
            <w:shd w:val="clear" w:color="auto" w:fill="FFFFF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Injection and withdrawal bids in the Victorian gas market</w:t>
            </w:r>
          </w:p>
        </w:tc>
      </w:tr>
      <w:tr w:rsidR="000D2D9C" w:rsidRPr="009E5DEC" w:rsidTr="00594FD3">
        <w:trPr>
          <w:trHeight w:val="227"/>
        </w:trPr>
        <w:tc>
          <w:tcPr>
            <w:tcW w:w="604" w:type="pct"/>
            <w:tcBorders>
              <w:top w:val="nil"/>
              <w:bottom w:val="nil"/>
            </w:tcBorders>
            <w:shd w:val="clear" w:color="auto" w:fill="FABF8F" w:themeFill="accent6" w:themeFillTint="99"/>
            <w:noWrap/>
            <w:tcMar>
              <w:top w:w="0" w:type="dxa"/>
              <w:bottom w:w="0" w:type="dxa"/>
            </w:tcMar>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March 2013</w:t>
            </w:r>
          </w:p>
        </w:tc>
        <w:tc>
          <w:tcPr>
            <w:tcW w:w="585" w:type="pct"/>
            <w:tcBorders>
              <w:top w:val="nil"/>
              <w:bottom w:val="nil"/>
            </w:tcBorders>
            <w:shd w:val="clear" w:color="auto" w:fill="FABF8F" w:themeFill="accent6" w:themeFillTint="99"/>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Electricity</w:t>
            </w:r>
          </w:p>
        </w:tc>
        <w:tc>
          <w:tcPr>
            <w:tcW w:w="999" w:type="pct"/>
            <w:tcBorders>
              <w:top w:val="nil"/>
              <w:bottom w:val="nil"/>
            </w:tcBorders>
            <w:shd w:val="clear" w:color="auto" w:fill="FABF8F" w:themeFill="accent6" w:themeFillTint="99"/>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4.15</w:t>
            </w:r>
          </w:p>
        </w:tc>
        <w:tc>
          <w:tcPr>
            <w:tcW w:w="2812" w:type="pct"/>
            <w:tcBorders>
              <w:top w:val="nil"/>
              <w:bottom w:val="nil"/>
            </w:tcBorders>
            <w:shd w:val="clear" w:color="auto" w:fill="FABF8F" w:themeFill="accent6" w:themeFillTint="99"/>
            <w:vAlign w:val="center"/>
          </w:tcPr>
          <w:p w:rsidR="000D2D9C" w:rsidRPr="00D3476A" w:rsidRDefault="000D2D9C" w:rsidP="00D3476A">
            <w:pPr>
              <w:pStyle w:val="AERtabletext"/>
              <w:rPr>
                <w:rFonts w:ascii="Gautami" w:hAnsi="Gautami" w:cs="Gautami"/>
                <w:sz w:val="20"/>
                <w:szCs w:val="20"/>
              </w:rPr>
            </w:pPr>
            <w:r w:rsidRPr="00282302">
              <w:rPr>
                <w:rFonts w:ascii="Gautami" w:hAnsi="Gautami" w:cs="Gautami"/>
                <w:sz w:val="20"/>
                <w:szCs w:val="20"/>
              </w:rPr>
              <w:t>Compliance with performance standards</w:t>
            </w:r>
          </w:p>
        </w:tc>
      </w:tr>
      <w:tr w:rsidR="00594FD3" w:rsidRPr="009E5DEC" w:rsidTr="00594FD3">
        <w:trPr>
          <w:trHeight w:val="227"/>
        </w:trPr>
        <w:tc>
          <w:tcPr>
            <w:tcW w:w="604" w:type="pct"/>
            <w:tcBorders>
              <w:top w:val="nil"/>
              <w:bottom w:val="single" w:sz="4" w:space="0" w:color="auto"/>
            </w:tcBorders>
            <w:shd w:val="clear" w:color="auto" w:fill="auto"/>
            <w:noWrap/>
            <w:tcMar>
              <w:top w:w="0" w:type="dxa"/>
              <w:bottom w:w="0" w:type="dxa"/>
            </w:tcMar>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June 2013</w:t>
            </w:r>
          </w:p>
        </w:tc>
        <w:tc>
          <w:tcPr>
            <w:tcW w:w="585" w:type="pct"/>
            <w:tcBorders>
              <w:top w:val="nil"/>
              <w:bottom w:val="single" w:sz="4" w:space="0" w:color="auto"/>
            </w:tcBorders>
            <w:shd w:val="clear" w:color="auto" w:fill="auto"/>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Electricity</w:t>
            </w:r>
          </w:p>
        </w:tc>
        <w:tc>
          <w:tcPr>
            <w:tcW w:w="999" w:type="pct"/>
            <w:tcBorders>
              <w:top w:val="nil"/>
              <w:bottom w:val="single" w:sz="4" w:space="0" w:color="auto"/>
            </w:tcBorders>
            <w:shd w:val="clear" w:color="auto" w:fill="auto"/>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8.6.6</w:t>
            </w:r>
          </w:p>
        </w:tc>
        <w:tc>
          <w:tcPr>
            <w:tcW w:w="2812" w:type="pct"/>
            <w:tcBorders>
              <w:top w:val="nil"/>
              <w:bottom w:val="single" w:sz="4" w:space="0" w:color="auto"/>
            </w:tcBorders>
            <w:shd w:val="clear" w:color="auto" w:fill="auto"/>
            <w:vAlign w:val="center"/>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AEMO requirements for confidential information</w:t>
            </w:r>
          </w:p>
        </w:tc>
      </w:tr>
    </w:tbl>
    <w:p w:rsidR="00140976" w:rsidRDefault="00140976" w:rsidP="00140976">
      <w:pPr>
        <w:pStyle w:val="AERbodytext"/>
        <w:rPr>
          <w:b/>
          <w:lang w:eastAsia="en-AU"/>
        </w:rPr>
      </w:pPr>
    </w:p>
    <w:p w:rsidR="000A4B26" w:rsidRPr="00FD3B0E" w:rsidRDefault="000A4B26" w:rsidP="00140976">
      <w:pPr>
        <w:pStyle w:val="AERbodytext"/>
        <w:rPr>
          <w:b/>
          <w:lang w:eastAsia="en-AU"/>
        </w:rPr>
      </w:pPr>
    </w:p>
    <w:sectPr w:rsidR="000A4B26" w:rsidRPr="00FD3B0E" w:rsidSect="000A4B26">
      <w:footerReference w:type="default" r:id="rId4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B0" w:rsidRDefault="00CE15B0" w:rsidP="00BB640B">
      <w:r>
        <w:separator/>
      </w:r>
    </w:p>
    <w:p w:rsidR="00CE15B0" w:rsidRDefault="00CE15B0"/>
    <w:p w:rsidR="00CE15B0" w:rsidRDefault="00CE15B0"/>
  </w:endnote>
  <w:endnote w:type="continuationSeparator" w:id="0">
    <w:p w:rsidR="00CE15B0" w:rsidRDefault="00CE15B0" w:rsidP="00BB640B">
      <w:r>
        <w:continuationSeparator/>
      </w:r>
    </w:p>
    <w:p w:rsidR="00CE15B0" w:rsidRDefault="00CE15B0"/>
    <w:p w:rsidR="00CE15B0" w:rsidRDefault="00CE1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HelveticaNeueLT St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B0" w:rsidRDefault="00CE15B0" w:rsidP="009F6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15B0" w:rsidRDefault="00CE15B0" w:rsidP="007842F1">
    <w:pPr>
      <w:ind w:right="360"/>
    </w:pPr>
    <w:r>
      <w:rPr>
        <w:rStyle w:val="PageNumber"/>
      </w:rPr>
      <w:tab/>
    </w:r>
  </w:p>
  <w:p w:rsidR="00CE15B0" w:rsidRDefault="00CE15B0"/>
  <w:p w:rsidR="00CE15B0" w:rsidRDefault="00CE15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B0" w:rsidRPr="007842F1" w:rsidRDefault="00CE15B0" w:rsidP="009F6871">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F5665A">
      <w:rPr>
        <w:rStyle w:val="PageNumber"/>
        <w:noProof/>
      </w:rPr>
      <w:t>i</w:t>
    </w:r>
    <w:r w:rsidRPr="007842F1">
      <w:rPr>
        <w:rStyle w:val="PageNumber"/>
      </w:rPr>
      <w:fldChar w:fldCharType="end"/>
    </w:r>
  </w:p>
  <w:p w:rsidR="00CE15B0" w:rsidRDefault="00CE15B0" w:rsidP="00AA1DED">
    <w:pPr>
      <w:pStyle w:val="FootnoteText"/>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75" w:rsidRDefault="008453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B0" w:rsidRPr="007842F1" w:rsidRDefault="00CE15B0" w:rsidP="00BB5A97">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F5665A">
      <w:rPr>
        <w:rStyle w:val="PageNumber"/>
        <w:noProof/>
      </w:rPr>
      <w:t>3</w:t>
    </w:r>
    <w:r w:rsidRPr="007842F1">
      <w:rPr>
        <w:rStyle w:val="PageNumber"/>
      </w:rPr>
      <w:fldChar w:fldCharType="end"/>
    </w:r>
  </w:p>
  <w:p w:rsidR="00CE15B0" w:rsidRPr="0097256D" w:rsidRDefault="00CE15B0" w:rsidP="00BB5A97">
    <w:pPr>
      <w:pStyle w:val="FootnoteTex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B0" w:rsidRPr="007842F1" w:rsidRDefault="00CE15B0" w:rsidP="00BB5A97">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F5665A">
      <w:rPr>
        <w:rStyle w:val="PageNumber"/>
        <w:noProof/>
      </w:rPr>
      <w:t>19</w:t>
    </w:r>
    <w:r w:rsidRPr="007842F1">
      <w:rPr>
        <w:rStyle w:val="PageNumber"/>
      </w:rPr>
      <w:fldChar w:fldCharType="end"/>
    </w:r>
  </w:p>
  <w:p w:rsidR="00CE15B0" w:rsidRPr="0097256D" w:rsidRDefault="00CE15B0" w:rsidP="00BB5A97">
    <w:pPr>
      <w:pStyle w:val="FootnoteTex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B0" w:rsidRDefault="00CE15B0" w:rsidP="00BB640B">
      <w:r>
        <w:separator/>
      </w:r>
    </w:p>
    <w:p w:rsidR="00CE15B0" w:rsidRDefault="00CE15B0"/>
    <w:p w:rsidR="00CE15B0" w:rsidRDefault="00CE15B0"/>
  </w:footnote>
  <w:footnote w:type="continuationSeparator" w:id="0">
    <w:p w:rsidR="00CE15B0" w:rsidRDefault="00CE15B0" w:rsidP="00BB640B">
      <w:r>
        <w:continuationSeparator/>
      </w:r>
    </w:p>
    <w:p w:rsidR="00CE15B0" w:rsidRDefault="00CE15B0"/>
    <w:p w:rsidR="00CE15B0" w:rsidRDefault="00CE15B0"/>
  </w:footnote>
  <w:footnote w:id="1">
    <w:p w:rsidR="00CE15B0" w:rsidRPr="005B5051" w:rsidRDefault="00CE15B0" w:rsidP="005B5051">
      <w:pPr>
        <w:pStyle w:val="FootnoteText"/>
        <w:jc w:val="both"/>
        <w:rPr>
          <w:rFonts w:ascii="Gautami" w:hAnsi="Gautami" w:cs="Gautami"/>
        </w:rPr>
      </w:pPr>
      <w:r w:rsidRPr="0035087E">
        <w:rPr>
          <w:rStyle w:val="FootnoteReference"/>
          <w:rFonts w:ascii="Gautami" w:hAnsi="Gautami" w:cs="Gautami"/>
        </w:rPr>
        <w:footnoteRef/>
      </w:r>
      <w:r w:rsidRPr="0035087E">
        <w:rPr>
          <w:rFonts w:ascii="Gautami" w:hAnsi="Gautami" w:cs="Gautami"/>
        </w:rPr>
        <w:t xml:space="preserve"> </w:t>
      </w:r>
      <w:r w:rsidRPr="0035087E">
        <w:rPr>
          <w:rFonts w:ascii="Gautami" w:hAnsi="Gautami" w:cs="Gautami"/>
        </w:rPr>
        <w:tab/>
        <w:t>Pr</w:t>
      </w:r>
      <w:r>
        <w:rPr>
          <w:rFonts w:ascii="Gautami" w:hAnsi="Gautami" w:cs="Gautami"/>
        </w:rPr>
        <w:t>evious QCRs are available on</w:t>
      </w:r>
      <w:r w:rsidRPr="0035087E">
        <w:rPr>
          <w:rFonts w:ascii="Gautami" w:hAnsi="Gautami" w:cs="Gautami"/>
        </w:rPr>
        <w:t xml:space="preserve"> </w:t>
      </w:r>
      <w:hyperlink r:id="rId1" w:history="1">
        <w:r>
          <w:rPr>
            <w:rStyle w:val="Hyperlink"/>
            <w:rFonts w:cs="Gautami"/>
          </w:rPr>
          <w:t>our</w:t>
        </w:r>
        <w:r w:rsidRPr="0035087E">
          <w:rPr>
            <w:rStyle w:val="Hyperlink"/>
            <w:rFonts w:cs="Gautami"/>
          </w:rPr>
          <w:t xml:space="preserve"> website</w:t>
        </w:r>
      </w:hyperlink>
      <w:r>
        <w:rPr>
          <w:rStyle w:val="Hyperlink"/>
          <w:rFonts w:cs="Gautami"/>
          <w:u w:val="none"/>
        </w:rPr>
        <w:t>.</w:t>
      </w:r>
    </w:p>
  </w:footnote>
  <w:footnote w:id="2">
    <w:p w:rsidR="00CE15B0" w:rsidRDefault="00CE15B0" w:rsidP="0082230C">
      <w:pPr>
        <w:pStyle w:val="FootnoteText"/>
        <w:spacing w:after="120"/>
      </w:pPr>
      <w:r w:rsidRPr="00E42CCD">
        <w:rPr>
          <w:rStyle w:val="FootnoteReference"/>
          <w:rFonts w:ascii="Gautami" w:hAnsi="Gautami" w:cs="Gautami"/>
        </w:rPr>
        <w:footnoteRef/>
      </w:r>
      <w:r>
        <w:t xml:space="preserve"> </w:t>
      </w:r>
      <w:r>
        <w:tab/>
      </w:r>
      <w:r w:rsidRPr="0035087E">
        <w:rPr>
          <w:rFonts w:ascii="Gautami" w:hAnsi="Gautami" w:cs="Gautami"/>
        </w:rPr>
        <w:t>Entities registered by AEMO under Chapter 2 of the Electricity Rules or in accordance with Part 15A of the Gas Rules.</w:t>
      </w:r>
    </w:p>
  </w:footnote>
  <w:footnote w:id="3">
    <w:p w:rsidR="00CE15B0" w:rsidRPr="0035087E" w:rsidRDefault="00CE15B0" w:rsidP="005B5051">
      <w:pPr>
        <w:pStyle w:val="FootnoteText"/>
        <w:jc w:val="both"/>
        <w:rPr>
          <w:rFonts w:ascii="Gautami" w:hAnsi="Gautami" w:cs="Gautami"/>
        </w:rPr>
      </w:pPr>
      <w:r w:rsidRPr="0035087E">
        <w:rPr>
          <w:rStyle w:val="FootnoteReference"/>
          <w:rFonts w:ascii="Gautami" w:hAnsi="Gautami" w:cs="Gautami"/>
        </w:rPr>
        <w:footnoteRef/>
      </w:r>
      <w:r w:rsidRPr="0035087E">
        <w:rPr>
          <w:rStyle w:val="FootnoteReference"/>
          <w:rFonts w:ascii="Gautami" w:hAnsi="Gautami" w:cs="Gautami"/>
        </w:rPr>
        <w:t xml:space="preserve"> </w:t>
      </w:r>
      <w:r w:rsidRPr="0035087E">
        <w:rPr>
          <w:rFonts w:ascii="Gautami" w:hAnsi="Gautami" w:cs="Gautami"/>
        </w:rPr>
        <w:tab/>
        <w:t xml:space="preserve">Provisions of the Gas Rules and Electricity Rules that have been targeted for review in previous quarters are listed in Appendix </w:t>
      </w:r>
      <w:r>
        <w:rPr>
          <w:rFonts w:ascii="Gautami" w:hAnsi="Gautami" w:cs="Gautami"/>
        </w:rPr>
        <w:t>B</w:t>
      </w:r>
      <w:r w:rsidRPr="0035087E">
        <w:rPr>
          <w:rFonts w:ascii="Gautami" w:hAnsi="Gautami" w:cs="Gautami"/>
        </w:rPr>
        <w:t>.</w:t>
      </w:r>
    </w:p>
  </w:footnote>
  <w:footnote w:id="4">
    <w:p w:rsidR="00CE15B0" w:rsidRPr="00E42CCD" w:rsidRDefault="00CE15B0" w:rsidP="00E42CCD">
      <w:pPr>
        <w:pStyle w:val="FootnoteText"/>
        <w:spacing w:after="120"/>
        <w:rPr>
          <w:rStyle w:val="FootnoteReference"/>
          <w:rFonts w:ascii="Gautami" w:hAnsi="Gautami" w:cs="Gautami"/>
          <w:vertAlign w:val="baseline"/>
        </w:rPr>
      </w:pPr>
      <w:r w:rsidRPr="00E42CCD">
        <w:rPr>
          <w:rStyle w:val="FootnoteReference"/>
          <w:rFonts w:ascii="Gautami" w:hAnsi="Gautami" w:cs="Gautami"/>
        </w:rPr>
        <w:footnoteRef/>
      </w:r>
      <w:r w:rsidRPr="00E42CCD">
        <w:rPr>
          <w:rStyle w:val="FootnoteReference"/>
          <w:rFonts w:ascii="Gautami" w:hAnsi="Gautami" w:cs="Gautami"/>
          <w:vertAlign w:val="baseline"/>
        </w:rPr>
        <w:t xml:space="preserve"> </w:t>
      </w:r>
      <w:r w:rsidRPr="00E42CCD">
        <w:rPr>
          <w:rStyle w:val="FootnoteReference"/>
          <w:rFonts w:ascii="Gautami" w:hAnsi="Gautami" w:cs="Gautami"/>
          <w:vertAlign w:val="baseline"/>
        </w:rPr>
        <w:tab/>
        <w:t xml:space="preserve">When APA Group acquired Epic Energy in December 2012 it was required to divest the Moomba </w:t>
      </w:r>
      <w:r>
        <w:rPr>
          <w:rFonts w:ascii="Gautami" w:hAnsi="Gautami" w:cs="Gautami"/>
        </w:rPr>
        <w:t xml:space="preserve">to </w:t>
      </w:r>
      <w:r w:rsidRPr="00E42CCD">
        <w:rPr>
          <w:rStyle w:val="FootnoteReference"/>
          <w:rFonts w:ascii="Gautami" w:hAnsi="Gautami" w:cs="Gautami"/>
          <w:vertAlign w:val="baseline"/>
        </w:rPr>
        <w:t>Adelaide Pipeline through an asset sale process. As part of this divestment, APA was required to provide operational support to the entity which now operates the MAP</w:t>
      </w:r>
      <w:r w:rsidRPr="00E41F20">
        <w:rPr>
          <w:rStyle w:val="FootnoteReference"/>
          <w:rFonts w:ascii="Gautami" w:hAnsi="Gautami" w:cs="Gautami"/>
          <w:vertAlign w:val="baseline"/>
        </w:rPr>
        <w:t xml:space="preserve"> </w:t>
      </w:r>
      <w:r w:rsidRPr="00E42CCD">
        <w:rPr>
          <w:rStyle w:val="FootnoteReference"/>
          <w:rFonts w:ascii="Gautami" w:hAnsi="Gautami" w:cs="Gautami"/>
          <w:vertAlign w:val="baseline"/>
        </w:rPr>
        <w:t xml:space="preserve">until the end of </w:t>
      </w:r>
      <w:r>
        <w:rPr>
          <w:rStyle w:val="FootnoteReference"/>
          <w:rFonts w:ascii="Gautami" w:hAnsi="Gautami" w:cs="Gautami"/>
          <w:vertAlign w:val="baseline"/>
        </w:rPr>
        <w:t>June 2013</w:t>
      </w:r>
      <w:r w:rsidRPr="00E42CCD">
        <w:rPr>
          <w:rStyle w:val="FootnoteReference"/>
          <w:rFonts w:ascii="Gautami" w:hAnsi="Gautami" w:cs="Gautami"/>
          <w:vertAlign w:val="baseline"/>
        </w:rPr>
        <w:t>.</w:t>
      </w:r>
    </w:p>
  </w:footnote>
  <w:footnote w:id="5">
    <w:p w:rsidR="00CE15B0" w:rsidRPr="0035087E" w:rsidRDefault="00CE15B0" w:rsidP="005B5051">
      <w:pPr>
        <w:pStyle w:val="FootnoteText"/>
        <w:spacing w:after="120"/>
        <w:jc w:val="both"/>
        <w:rPr>
          <w:rFonts w:ascii="Gautami" w:hAnsi="Gautami" w:cs="Gautami"/>
        </w:rPr>
      </w:pPr>
      <w:r w:rsidRPr="0035087E">
        <w:rPr>
          <w:rStyle w:val="FootnoteReference"/>
          <w:rFonts w:ascii="Gautami" w:hAnsi="Gautami" w:cs="Gautami"/>
        </w:rPr>
        <w:footnoteRef/>
      </w:r>
      <w:r w:rsidRPr="0035087E">
        <w:rPr>
          <w:rStyle w:val="FootnoteReference"/>
          <w:rFonts w:ascii="Gautami" w:hAnsi="Gautami" w:cs="Gautami"/>
        </w:rPr>
        <w:t xml:space="preserve"> </w:t>
      </w:r>
      <w:r w:rsidRPr="0035087E">
        <w:rPr>
          <w:rFonts w:ascii="Gautami" w:hAnsi="Gautami" w:cs="Gautami"/>
        </w:rPr>
        <w:tab/>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6">
    <w:p w:rsidR="00CE15B0" w:rsidRPr="0035087E" w:rsidRDefault="00CE15B0" w:rsidP="005B5051">
      <w:pPr>
        <w:pStyle w:val="FootnoteText"/>
        <w:jc w:val="both"/>
        <w:rPr>
          <w:rFonts w:ascii="Gautami" w:hAnsi="Gautami" w:cs="Gautami"/>
        </w:rPr>
      </w:pPr>
      <w:r w:rsidRPr="0035087E">
        <w:rPr>
          <w:rStyle w:val="FootnoteReference"/>
          <w:rFonts w:ascii="Gautami" w:hAnsi="Gautami" w:cs="Gautami"/>
        </w:rPr>
        <w:footnoteRef/>
      </w:r>
      <w:r w:rsidRPr="0035087E">
        <w:rPr>
          <w:rStyle w:val="FootnoteReference"/>
          <w:rFonts w:ascii="Gautami" w:hAnsi="Gautami" w:cs="Gautami"/>
        </w:rPr>
        <w:t xml:space="preserve"> </w:t>
      </w:r>
      <w:r w:rsidRPr="0035087E">
        <w:rPr>
          <w:rFonts w:ascii="Gautami" w:hAnsi="Gautami" w:cs="Gautami"/>
        </w:rPr>
        <w:tab/>
        <w:t>In June 2012</w:t>
      </w:r>
      <w:r>
        <w:rPr>
          <w:rFonts w:ascii="Gautami" w:hAnsi="Gautami" w:cs="Gautami"/>
        </w:rPr>
        <w:t>,</w:t>
      </w:r>
      <w:r w:rsidRPr="0035087E">
        <w:rPr>
          <w:rFonts w:ascii="Gautami" w:hAnsi="Gautami" w:cs="Gautami"/>
        </w:rPr>
        <w:t xml:space="preserve"> </w:t>
      </w:r>
      <w:r>
        <w:rPr>
          <w:rFonts w:ascii="Gautami" w:hAnsi="Gautami" w:cs="Gautami"/>
        </w:rPr>
        <w:t>we</w:t>
      </w:r>
      <w:r w:rsidRPr="0035087E">
        <w:rPr>
          <w:rFonts w:ascii="Gautami" w:hAnsi="Gautami" w:cs="Gautami"/>
        </w:rPr>
        <w:t xml:space="preserve"> published an up</w:t>
      </w:r>
      <w:r>
        <w:rPr>
          <w:rFonts w:ascii="Gautami" w:hAnsi="Gautami" w:cs="Gautami"/>
        </w:rPr>
        <w:t xml:space="preserve">dated </w:t>
      </w:r>
      <w:hyperlink r:id="rId2" w:history="1">
        <w:r w:rsidRPr="00543C9B">
          <w:rPr>
            <w:rStyle w:val="Hyperlink"/>
            <w:rFonts w:cs="Gautami"/>
          </w:rPr>
          <w:t>Compliance Bulletin No. 3</w:t>
        </w:r>
      </w:hyperlink>
      <w:r>
        <w:rPr>
          <w:rStyle w:val="Hyperlink"/>
          <w:rFonts w:cs="Gautami"/>
        </w:rPr>
        <w:t xml:space="preserve"> </w:t>
      </w:r>
      <w:r w:rsidRPr="0035087E">
        <w:rPr>
          <w:rFonts w:ascii="Gautami" w:hAnsi="Gautami" w:cs="Gautami"/>
        </w:rPr>
        <w:t xml:space="preserve">to make it clear that, for the purposes of administering the three stage process and issuing warnings, </w:t>
      </w:r>
      <w:r>
        <w:rPr>
          <w:rFonts w:ascii="Gautami" w:hAnsi="Gautami" w:cs="Gautami"/>
        </w:rPr>
        <w:t>we</w:t>
      </w:r>
      <w:r w:rsidRPr="0035087E">
        <w:rPr>
          <w:rFonts w:ascii="Gautami" w:hAnsi="Gautami" w:cs="Gautami"/>
        </w:rPr>
        <w:t xml:space="preserv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w:t>
      </w:r>
      <w:r>
        <w:rPr>
          <w:rFonts w:ascii="Gautami" w:hAnsi="Gautami" w:cs="Gautami"/>
        </w:rPr>
        <w:t>registered participants, we</w:t>
      </w:r>
      <w:r w:rsidRPr="0035087E">
        <w:rPr>
          <w:rFonts w:ascii="Gautami" w:hAnsi="Gautami" w:cs="Gautami"/>
        </w:rPr>
        <w:t xml:space="preserve"> will count any non-compliant bids by that trading team together.</w:t>
      </w:r>
    </w:p>
  </w:footnote>
  <w:footnote w:id="7">
    <w:p w:rsidR="00CE15B0" w:rsidRPr="005B5051" w:rsidRDefault="00CE15B0" w:rsidP="00B4653F">
      <w:pPr>
        <w:pStyle w:val="FootnoteText"/>
        <w:jc w:val="both"/>
        <w:rPr>
          <w:rFonts w:ascii="Gautami" w:hAnsi="Gautami" w:cs="Gautami"/>
        </w:rPr>
      </w:pPr>
      <w:r>
        <w:rPr>
          <w:rStyle w:val="FootnoteReference"/>
        </w:rPr>
        <w:footnoteRef/>
      </w:r>
      <w:r>
        <w:t xml:space="preserve"> </w:t>
      </w:r>
      <w:r>
        <w:tab/>
      </w:r>
      <w:proofErr w:type="gramStart"/>
      <w:r w:rsidRPr="00AA7330">
        <w:rPr>
          <w:rFonts w:ascii="Gautami" w:hAnsi="Gautami" w:cs="Gautami"/>
        </w:rPr>
        <w:t>Available on the</w:t>
      </w:r>
      <w:r>
        <w:t xml:space="preserve"> </w:t>
      </w:r>
      <w:hyperlink r:id="rId3" w:history="1">
        <w:r>
          <w:rPr>
            <w:rStyle w:val="Hyperlink"/>
          </w:rPr>
          <w:t>AEMC website</w:t>
        </w:r>
      </w:hyperlink>
      <w:r w:rsidRPr="00AA7330">
        <w:rPr>
          <w:rStyle w:val="Hyperlink"/>
          <w:color w:val="auto"/>
          <w:u w:val="none"/>
        </w:rPr>
        <w:t>.</w:t>
      </w:r>
      <w:proofErr w:type="gramEnd"/>
    </w:p>
  </w:footnote>
  <w:footnote w:id="8">
    <w:p w:rsidR="00CE15B0" w:rsidRPr="00222A06" w:rsidRDefault="00CE15B0" w:rsidP="007269B6">
      <w:pPr>
        <w:pStyle w:val="FootnoteText"/>
        <w:spacing w:after="120"/>
        <w:jc w:val="both"/>
        <w:rPr>
          <w:rFonts w:ascii="Gautami" w:hAnsi="Gautami" w:cs="Gautami"/>
        </w:rPr>
      </w:pPr>
      <w:r>
        <w:rPr>
          <w:rStyle w:val="FootnoteReference"/>
        </w:rPr>
        <w:footnoteRef/>
      </w:r>
      <w:r>
        <w:t xml:space="preserve"> </w:t>
      </w:r>
      <w:r>
        <w:tab/>
      </w:r>
      <w:r>
        <w:rPr>
          <w:rFonts w:ascii="Gautami" w:hAnsi="Gautami" w:cs="Gautami"/>
        </w:rPr>
        <w:t>Respondents were able to waive</w:t>
      </w:r>
      <w:r w:rsidRPr="00222A06">
        <w:rPr>
          <w:rFonts w:ascii="Gautami" w:hAnsi="Gautami" w:cs="Gautami"/>
        </w:rPr>
        <w:t xml:space="preserve"> confidentiality </w:t>
      </w:r>
      <w:r>
        <w:rPr>
          <w:rFonts w:ascii="Gautami" w:hAnsi="Gautami" w:cs="Gautami"/>
        </w:rPr>
        <w:t xml:space="preserve">to allow us to </w:t>
      </w:r>
      <w:r w:rsidRPr="00222A06">
        <w:rPr>
          <w:rFonts w:ascii="Gautami" w:hAnsi="Gautami" w:cs="Gautami"/>
        </w:rPr>
        <w:t xml:space="preserve">discuss </w:t>
      </w:r>
      <w:r>
        <w:rPr>
          <w:rFonts w:ascii="Gautami" w:hAnsi="Gautami" w:cs="Gautami"/>
        </w:rPr>
        <w:t xml:space="preserve">their </w:t>
      </w:r>
      <w:r w:rsidRPr="00222A06">
        <w:rPr>
          <w:rFonts w:ascii="Gautami" w:hAnsi="Gautami" w:cs="Gautami"/>
        </w:rPr>
        <w:t xml:space="preserve">connection project with the relevant TNSP. </w:t>
      </w:r>
      <w:r>
        <w:rPr>
          <w:rFonts w:ascii="Gautami" w:hAnsi="Gautami" w:cs="Gautami"/>
        </w:rPr>
        <w:t>Even if confidentiality is waived, we will not publish information identifying the individual TNSP or project.</w:t>
      </w:r>
    </w:p>
  </w:footnote>
  <w:footnote w:id="9">
    <w:p w:rsidR="00CE15B0" w:rsidRDefault="00CE15B0">
      <w:pPr>
        <w:pStyle w:val="FootnoteText"/>
      </w:pPr>
      <w:r>
        <w:rPr>
          <w:rStyle w:val="FootnoteReference"/>
        </w:rPr>
        <w:footnoteRef/>
      </w:r>
      <w:r>
        <w:t xml:space="preserve"> Copies of this document are available from AEMO.</w:t>
      </w:r>
    </w:p>
  </w:footnote>
  <w:footnote w:id="10">
    <w:p w:rsidR="00CE15B0" w:rsidRPr="0035087E" w:rsidRDefault="00CE15B0" w:rsidP="005B5051">
      <w:pPr>
        <w:pStyle w:val="FootnoteText"/>
        <w:jc w:val="both"/>
        <w:rPr>
          <w:rFonts w:ascii="Gautami" w:hAnsi="Gautami" w:cs="Gautami"/>
        </w:rPr>
      </w:pPr>
      <w:r w:rsidRPr="0035087E">
        <w:rPr>
          <w:rStyle w:val="FootnoteReference"/>
          <w:rFonts w:ascii="Gautami" w:hAnsi="Gautami" w:cs="Gautami"/>
        </w:rPr>
        <w:footnoteRef/>
      </w:r>
      <w:r w:rsidRPr="0035087E">
        <w:rPr>
          <w:rFonts w:ascii="Gautami" w:hAnsi="Gautami" w:cs="Gautami"/>
        </w:rPr>
        <w:t xml:space="preserve"> </w:t>
      </w:r>
      <w:r w:rsidRPr="0035087E">
        <w:rPr>
          <w:rFonts w:ascii="Gautami" w:hAnsi="Gautami" w:cs="Gautami"/>
        </w:rPr>
        <w:tab/>
        <w:t>Refer to Electricity Rules clauses 9.4.3 (smelter trader: Vicpower Trading), 9.12.3 (power traders: Delta Electricity and Macquarie Generation) and 9.34.6 (nominated generators: CS Energy and Stanwell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B0" w:rsidRDefault="00CE15B0"/>
  <w:p w:rsidR="00CE15B0" w:rsidRDefault="00CE15B0"/>
  <w:p w:rsidR="00CE15B0" w:rsidRDefault="00CE15B0"/>
  <w:p w:rsidR="00CE15B0" w:rsidRDefault="00CE15B0"/>
  <w:p w:rsidR="00CE15B0" w:rsidRDefault="00CE15B0"/>
  <w:p w:rsidR="00CE15B0" w:rsidRDefault="00CE15B0"/>
  <w:p w:rsidR="00CE15B0" w:rsidRDefault="00CE15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75" w:rsidRDefault="008453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75" w:rsidRDefault="00845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D24"/>
    <w:multiLevelType w:val="hybridMultilevel"/>
    <w:tmpl w:val="66B0C8D4"/>
    <w:lvl w:ilvl="0" w:tplc="A05C8C1C">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A3A6266"/>
    <w:multiLevelType w:val="multilevel"/>
    <w:tmpl w:val="F6E68370"/>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9351F95"/>
    <w:multiLevelType w:val="hybridMultilevel"/>
    <w:tmpl w:val="7D7EC5EA"/>
    <w:lvl w:ilvl="0" w:tplc="0C090005">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C721288"/>
    <w:multiLevelType w:val="multilevel"/>
    <w:tmpl w:val="1492709C"/>
    <w:numStyleLink w:val="AERHeadings"/>
  </w:abstractNum>
  <w:abstractNum w:abstractNumId="7">
    <w:nsid w:val="443F74CB"/>
    <w:multiLevelType w:val="hybridMultilevel"/>
    <w:tmpl w:val="550AFBE6"/>
    <w:lvl w:ilvl="0" w:tplc="D4F0A01E">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32F652EA">
      <w:start w:val="1"/>
      <w:numFmt w:val="bullet"/>
      <w:lvlText w:val=""/>
      <w:lvlJc w:val="left"/>
      <w:pPr>
        <w:tabs>
          <w:tab w:val="num" w:pos="4498"/>
        </w:tabs>
        <w:ind w:left="4498" w:hanging="358"/>
      </w:pPr>
      <w:rPr>
        <w:rFonts w:ascii="Wingdings" w:hAnsi="Wingdings" w:hint="default"/>
        <w:b w:val="0"/>
        <w:i w:val="0"/>
        <w:sz w:val="22"/>
      </w:rPr>
    </w:lvl>
    <w:lvl w:ilvl="2" w:tplc="5ABC4262" w:tentative="1">
      <w:start w:val="1"/>
      <w:numFmt w:val="lowerRoman"/>
      <w:lvlText w:val="%3."/>
      <w:lvlJc w:val="right"/>
      <w:pPr>
        <w:tabs>
          <w:tab w:val="num" w:pos="5220"/>
        </w:tabs>
        <w:ind w:left="5220" w:hanging="180"/>
      </w:pPr>
    </w:lvl>
    <w:lvl w:ilvl="3" w:tplc="268C5056" w:tentative="1">
      <w:start w:val="1"/>
      <w:numFmt w:val="decimal"/>
      <w:lvlText w:val="%4."/>
      <w:lvlJc w:val="left"/>
      <w:pPr>
        <w:tabs>
          <w:tab w:val="num" w:pos="5940"/>
        </w:tabs>
        <w:ind w:left="5940" w:hanging="360"/>
      </w:pPr>
    </w:lvl>
    <w:lvl w:ilvl="4" w:tplc="42CAC7D0">
      <w:start w:val="1"/>
      <w:numFmt w:val="lowerLetter"/>
      <w:lvlText w:val="%5."/>
      <w:lvlJc w:val="left"/>
      <w:pPr>
        <w:tabs>
          <w:tab w:val="num" w:pos="6660"/>
        </w:tabs>
        <w:ind w:left="6660" w:hanging="360"/>
      </w:pPr>
    </w:lvl>
    <w:lvl w:ilvl="5" w:tplc="EB7EE31A">
      <w:start w:val="1"/>
      <w:numFmt w:val="lowerRoman"/>
      <w:lvlText w:val="%6."/>
      <w:lvlJc w:val="right"/>
      <w:pPr>
        <w:tabs>
          <w:tab w:val="num" w:pos="7380"/>
        </w:tabs>
        <w:ind w:left="7380" w:hanging="180"/>
      </w:pPr>
    </w:lvl>
    <w:lvl w:ilvl="6" w:tplc="E6D86F90" w:tentative="1">
      <w:start w:val="1"/>
      <w:numFmt w:val="decimal"/>
      <w:lvlText w:val="%7."/>
      <w:lvlJc w:val="left"/>
      <w:pPr>
        <w:tabs>
          <w:tab w:val="num" w:pos="8100"/>
        </w:tabs>
        <w:ind w:left="8100" w:hanging="360"/>
      </w:pPr>
    </w:lvl>
    <w:lvl w:ilvl="7" w:tplc="882C84EC" w:tentative="1">
      <w:start w:val="1"/>
      <w:numFmt w:val="lowerLetter"/>
      <w:lvlText w:val="%8."/>
      <w:lvlJc w:val="left"/>
      <w:pPr>
        <w:tabs>
          <w:tab w:val="num" w:pos="8820"/>
        </w:tabs>
        <w:ind w:left="8820" w:hanging="360"/>
      </w:pPr>
    </w:lvl>
    <w:lvl w:ilvl="8" w:tplc="DD3E2D30" w:tentative="1">
      <w:start w:val="1"/>
      <w:numFmt w:val="lowerRoman"/>
      <w:lvlText w:val="%9."/>
      <w:lvlJc w:val="right"/>
      <w:pPr>
        <w:tabs>
          <w:tab w:val="num" w:pos="9540"/>
        </w:tabs>
        <w:ind w:left="9540" w:hanging="180"/>
      </w:pPr>
    </w:lvl>
  </w:abstractNum>
  <w:abstractNum w:abstractNumId="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BF0570"/>
    <w:multiLevelType w:val="hybridMultilevel"/>
    <w:tmpl w:val="2C38EE7E"/>
    <w:lvl w:ilvl="0" w:tplc="0C090001">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0">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nsid w:val="76A149FE"/>
    <w:multiLevelType w:val="multilevel"/>
    <w:tmpl w:val="463A9BE2"/>
    <w:lvl w:ilvl="0">
      <w:start w:val="1"/>
      <w:numFmt w:val="decimal"/>
      <w:pStyle w:val="AERheading1"/>
      <w:lvlText w:val="%1"/>
      <w:lvlJc w:val="left"/>
      <w:pPr>
        <w:tabs>
          <w:tab w:val="num" w:pos="357"/>
        </w:tabs>
        <w:ind w:left="1071" w:hanging="1071"/>
      </w:pPr>
      <w:rPr>
        <w:rFonts w:hint="default"/>
      </w:rPr>
    </w:lvl>
    <w:lvl w:ilvl="1">
      <w:start w:val="1"/>
      <w:numFmt w:val="decimal"/>
      <w:pStyle w:val="AERheading2"/>
      <w:lvlText w:val="%1.%2"/>
      <w:lvlJc w:val="left"/>
      <w:pPr>
        <w:tabs>
          <w:tab w:val="num" w:pos="2484"/>
        </w:tabs>
        <w:ind w:left="2484" w:hanging="357"/>
      </w:pPr>
      <w:rPr>
        <w:rFonts w:hint="default"/>
      </w:rPr>
    </w:lvl>
    <w:lvl w:ilvl="2">
      <w:start w:val="1"/>
      <w:numFmt w:val="decimal"/>
      <w:pStyle w:val="AERheading3"/>
      <w:lvlText w:val="%1.%2.%3"/>
      <w:lvlJc w:val="left"/>
      <w:pPr>
        <w:tabs>
          <w:tab w:val="num" w:pos="357"/>
        </w:tabs>
        <w:ind w:left="357"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AERfigureheading"/>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8B75593"/>
    <w:multiLevelType w:val="multilevel"/>
    <w:tmpl w:val="979A7758"/>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9"/>
  </w:num>
  <w:num w:numId="3">
    <w:abstractNumId w:val="0"/>
  </w:num>
  <w:num w:numId="4">
    <w:abstractNumId w:val="7"/>
  </w:num>
  <w:num w:numId="5">
    <w:abstractNumId w:val="5"/>
  </w:num>
  <w:num w:numId="6">
    <w:abstractNumId w:val="10"/>
  </w:num>
  <w:num w:numId="7">
    <w:abstractNumId w:val="11"/>
  </w:num>
  <w:num w:numId="8">
    <w:abstractNumId w:val="12"/>
  </w:num>
  <w:num w:numId="9">
    <w:abstractNumId w:val="2"/>
  </w:num>
  <w:num w:numId="10">
    <w:abstractNumId w:val="4"/>
  </w:num>
  <w:num w:numId="11">
    <w:abstractNumId w:val="3"/>
  </w:num>
  <w:num w:numId="12">
    <w:abstractNumId w:val="8"/>
  </w:num>
  <w:num w:numId="13">
    <w:abstractNumId w:val="6"/>
  </w:num>
  <w:num w:numId="14">
    <w:abstractNumId w:val="11"/>
  </w:num>
  <w:num w:numId="15">
    <w:abstractNumId w:val="11"/>
  </w:num>
  <w:num w:numId="16">
    <w:abstractNumId w:val="11"/>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287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pdodg\Quarterly compliance report July - September 2013.DOCX"/>
  </w:docVars>
  <w:rsids>
    <w:rsidRoot w:val="00F75FBD"/>
    <w:rsid w:val="00000080"/>
    <w:rsid w:val="000008B3"/>
    <w:rsid w:val="00000E09"/>
    <w:rsid w:val="000014D2"/>
    <w:rsid w:val="000018CD"/>
    <w:rsid w:val="0000194E"/>
    <w:rsid w:val="00001FCA"/>
    <w:rsid w:val="000020FB"/>
    <w:rsid w:val="00002829"/>
    <w:rsid w:val="00002A76"/>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D55"/>
    <w:rsid w:val="00006E63"/>
    <w:rsid w:val="00006E66"/>
    <w:rsid w:val="000070D2"/>
    <w:rsid w:val="000078B2"/>
    <w:rsid w:val="00007A05"/>
    <w:rsid w:val="00007DEC"/>
    <w:rsid w:val="00010C72"/>
    <w:rsid w:val="00010E2A"/>
    <w:rsid w:val="000110D5"/>
    <w:rsid w:val="000115F6"/>
    <w:rsid w:val="00011751"/>
    <w:rsid w:val="00011913"/>
    <w:rsid w:val="00011B17"/>
    <w:rsid w:val="00011C65"/>
    <w:rsid w:val="0001232D"/>
    <w:rsid w:val="0001277E"/>
    <w:rsid w:val="00012C8B"/>
    <w:rsid w:val="0001307D"/>
    <w:rsid w:val="000139F3"/>
    <w:rsid w:val="00014B8F"/>
    <w:rsid w:val="00015040"/>
    <w:rsid w:val="000158C2"/>
    <w:rsid w:val="00015FFE"/>
    <w:rsid w:val="000161BF"/>
    <w:rsid w:val="00016924"/>
    <w:rsid w:val="00016DEF"/>
    <w:rsid w:val="00016E96"/>
    <w:rsid w:val="00017634"/>
    <w:rsid w:val="00017C33"/>
    <w:rsid w:val="00017FAD"/>
    <w:rsid w:val="000201DE"/>
    <w:rsid w:val="000204F0"/>
    <w:rsid w:val="00020AD8"/>
    <w:rsid w:val="00020D13"/>
    <w:rsid w:val="000213B6"/>
    <w:rsid w:val="00021891"/>
    <w:rsid w:val="00021990"/>
    <w:rsid w:val="00021DE4"/>
    <w:rsid w:val="00022810"/>
    <w:rsid w:val="000228BB"/>
    <w:rsid w:val="00022A77"/>
    <w:rsid w:val="00022C3F"/>
    <w:rsid w:val="00023487"/>
    <w:rsid w:val="00023543"/>
    <w:rsid w:val="000237D8"/>
    <w:rsid w:val="00023E55"/>
    <w:rsid w:val="00023F1D"/>
    <w:rsid w:val="00024271"/>
    <w:rsid w:val="00024853"/>
    <w:rsid w:val="00024ECD"/>
    <w:rsid w:val="00025D45"/>
    <w:rsid w:val="00025E0E"/>
    <w:rsid w:val="0002602A"/>
    <w:rsid w:val="000260E2"/>
    <w:rsid w:val="000261A3"/>
    <w:rsid w:val="0002626E"/>
    <w:rsid w:val="00026564"/>
    <w:rsid w:val="000267ED"/>
    <w:rsid w:val="00026C3A"/>
    <w:rsid w:val="0002765A"/>
    <w:rsid w:val="000277D9"/>
    <w:rsid w:val="0003080B"/>
    <w:rsid w:val="000308EE"/>
    <w:rsid w:val="0003098E"/>
    <w:rsid w:val="000318FE"/>
    <w:rsid w:val="00031AA8"/>
    <w:rsid w:val="00031CC9"/>
    <w:rsid w:val="00031D7C"/>
    <w:rsid w:val="000328A5"/>
    <w:rsid w:val="00032A56"/>
    <w:rsid w:val="00032BCA"/>
    <w:rsid w:val="00032C54"/>
    <w:rsid w:val="00032F9C"/>
    <w:rsid w:val="00033316"/>
    <w:rsid w:val="0003339C"/>
    <w:rsid w:val="0003345D"/>
    <w:rsid w:val="000335CA"/>
    <w:rsid w:val="00033718"/>
    <w:rsid w:val="00033B09"/>
    <w:rsid w:val="00033EA7"/>
    <w:rsid w:val="0003429E"/>
    <w:rsid w:val="00034438"/>
    <w:rsid w:val="000344DF"/>
    <w:rsid w:val="0003457A"/>
    <w:rsid w:val="000345D3"/>
    <w:rsid w:val="00034DF0"/>
    <w:rsid w:val="000353A5"/>
    <w:rsid w:val="000356D8"/>
    <w:rsid w:val="000357CD"/>
    <w:rsid w:val="0003586E"/>
    <w:rsid w:val="00035C9F"/>
    <w:rsid w:val="000360CE"/>
    <w:rsid w:val="0003617E"/>
    <w:rsid w:val="000361EA"/>
    <w:rsid w:val="0003626E"/>
    <w:rsid w:val="0003632C"/>
    <w:rsid w:val="00036810"/>
    <w:rsid w:val="00036ABD"/>
    <w:rsid w:val="00037322"/>
    <w:rsid w:val="000373B0"/>
    <w:rsid w:val="00037541"/>
    <w:rsid w:val="000375EE"/>
    <w:rsid w:val="00037690"/>
    <w:rsid w:val="00040414"/>
    <w:rsid w:val="000407B3"/>
    <w:rsid w:val="000413B3"/>
    <w:rsid w:val="00041D07"/>
    <w:rsid w:val="00041E93"/>
    <w:rsid w:val="00042733"/>
    <w:rsid w:val="000427C9"/>
    <w:rsid w:val="00042ADE"/>
    <w:rsid w:val="00042F04"/>
    <w:rsid w:val="00043239"/>
    <w:rsid w:val="00043981"/>
    <w:rsid w:val="00043CB9"/>
    <w:rsid w:val="00044126"/>
    <w:rsid w:val="00044949"/>
    <w:rsid w:val="00044A13"/>
    <w:rsid w:val="00044DAB"/>
    <w:rsid w:val="0004540E"/>
    <w:rsid w:val="000456D1"/>
    <w:rsid w:val="00045A65"/>
    <w:rsid w:val="00045BEA"/>
    <w:rsid w:val="00045E9E"/>
    <w:rsid w:val="00046146"/>
    <w:rsid w:val="00046779"/>
    <w:rsid w:val="00046986"/>
    <w:rsid w:val="00046A92"/>
    <w:rsid w:val="00046C2F"/>
    <w:rsid w:val="00046DA1"/>
    <w:rsid w:val="000474B8"/>
    <w:rsid w:val="00047CAE"/>
    <w:rsid w:val="00050394"/>
    <w:rsid w:val="00050A33"/>
    <w:rsid w:val="00050C6C"/>
    <w:rsid w:val="00050D72"/>
    <w:rsid w:val="00051106"/>
    <w:rsid w:val="000513D6"/>
    <w:rsid w:val="0005191C"/>
    <w:rsid w:val="00051B5E"/>
    <w:rsid w:val="00051CA2"/>
    <w:rsid w:val="00051EA8"/>
    <w:rsid w:val="00052039"/>
    <w:rsid w:val="000528A5"/>
    <w:rsid w:val="00052936"/>
    <w:rsid w:val="00052C31"/>
    <w:rsid w:val="00052EA4"/>
    <w:rsid w:val="000534E9"/>
    <w:rsid w:val="000536D4"/>
    <w:rsid w:val="0005475B"/>
    <w:rsid w:val="00054A64"/>
    <w:rsid w:val="00054D3E"/>
    <w:rsid w:val="00054D66"/>
    <w:rsid w:val="00054DBF"/>
    <w:rsid w:val="00055154"/>
    <w:rsid w:val="00055C37"/>
    <w:rsid w:val="00056061"/>
    <w:rsid w:val="000561AA"/>
    <w:rsid w:val="00056665"/>
    <w:rsid w:val="00056BE0"/>
    <w:rsid w:val="00056C66"/>
    <w:rsid w:val="00057320"/>
    <w:rsid w:val="000579A7"/>
    <w:rsid w:val="000579EA"/>
    <w:rsid w:val="00057A0F"/>
    <w:rsid w:val="00057A4B"/>
    <w:rsid w:val="00060300"/>
    <w:rsid w:val="00060369"/>
    <w:rsid w:val="000603B4"/>
    <w:rsid w:val="00060A54"/>
    <w:rsid w:val="00060F51"/>
    <w:rsid w:val="00061148"/>
    <w:rsid w:val="00061BFD"/>
    <w:rsid w:val="00061D58"/>
    <w:rsid w:val="00061E11"/>
    <w:rsid w:val="00061EBD"/>
    <w:rsid w:val="00062147"/>
    <w:rsid w:val="000629AD"/>
    <w:rsid w:val="00062A21"/>
    <w:rsid w:val="00062B23"/>
    <w:rsid w:val="00062B49"/>
    <w:rsid w:val="00062B82"/>
    <w:rsid w:val="0006305A"/>
    <w:rsid w:val="0006356C"/>
    <w:rsid w:val="0006366F"/>
    <w:rsid w:val="00063ACB"/>
    <w:rsid w:val="000647B2"/>
    <w:rsid w:val="00064CD0"/>
    <w:rsid w:val="00064CDD"/>
    <w:rsid w:val="00064E6D"/>
    <w:rsid w:val="00064F93"/>
    <w:rsid w:val="0006556C"/>
    <w:rsid w:val="00065B65"/>
    <w:rsid w:val="00065F42"/>
    <w:rsid w:val="0006638F"/>
    <w:rsid w:val="0006649B"/>
    <w:rsid w:val="000665EF"/>
    <w:rsid w:val="000673B3"/>
    <w:rsid w:val="00067C4A"/>
    <w:rsid w:val="00067D27"/>
    <w:rsid w:val="000702B7"/>
    <w:rsid w:val="0007067D"/>
    <w:rsid w:val="00070B59"/>
    <w:rsid w:val="00070D16"/>
    <w:rsid w:val="00070F58"/>
    <w:rsid w:val="00071615"/>
    <w:rsid w:val="00071AB5"/>
    <w:rsid w:val="00071B60"/>
    <w:rsid w:val="000727FF"/>
    <w:rsid w:val="00072A1F"/>
    <w:rsid w:val="00072A32"/>
    <w:rsid w:val="00072B95"/>
    <w:rsid w:val="00073174"/>
    <w:rsid w:val="000733BC"/>
    <w:rsid w:val="0007368B"/>
    <w:rsid w:val="00073A99"/>
    <w:rsid w:val="00073E73"/>
    <w:rsid w:val="00073EDA"/>
    <w:rsid w:val="00073F8A"/>
    <w:rsid w:val="0007401A"/>
    <w:rsid w:val="0007469B"/>
    <w:rsid w:val="00074F55"/>
    <w:rsid w:val="000751E3"/>
    <w:rsid w:val="00075262"/>
    <w:rsid w:val="0007589D"/>
    <w:rsid w:val="00075962"/>
    <w:rsid w:val="00075A85"/>
    <w:rsid w:val="00075BD0"/>
    <w:rsid w:val="00076423"/>
    <w:rsid w:val="000764FA"/>
    <w:rsid w:val="000766DD"/>
    <w:rsid w:val="00076D80"/>
    <w:rsid w:val="00076E5E"/>
    <w:rsid w:val="00077199"/>
    <w:rsid w:val="000773C3"/>
    <w:rsid w:val="00077915"/>
    <w:rsid w:val="00077FBB"/>
    <w:rsid w:val="00080370"/>
    <w:rsid w:val="0008044E"/>
    <w:rsid w:val="0008060E"/>
    <w:rsid w:val="00081D6B"/>
    <w:rsid w:val="00081DB5"/>
    <w:rsid w:val="000820D3"/>
    <w:rsid w:val="00082328"/>
    <w:rsid w:val="000825A8"/>
    <w:rsid w:val="0008294E"/>
    <w:rsid w:val="00082AD7"/>
    <w:rsid w:val="00082F32"/>
    <w:rsid w:val="00082FA8"/>
    <w:rsid w:val="00083030"/>
    <w:rsid w:val="000831D9"/>
    <w:rsid w:val="00083645"/>
    <w:rsid w:val="00083947"/>
    <w:rsid w:val="00083B2D"/>
    <w:rsid w:val="000841E6"/>
    <w:rsid w:val="00084457"/>
    <w:rsid w:val="000849AF"/>
    <w:rsid w:val="00085C27"/>
    <w:rsid w:val="00086527"/>
    <w:rsid w:val="0008677A"/>
    <w:rsid w:val="00086F1D"/>
    <w:rsid w:val="00087248"/>
    <w:rsid w:val="0008724D"/>
    <w:rsid w:val="00087974"/>
    <w:rsid w:val="00087AB5"/>
    <w:rsid w:val="00087B72"/>
    <w:rsid w:val="00087C4F"/>
    <w:rsid w:val="00087F3F"/>
    <w:rsid w:val="00090235"/>
    <w:rsid w:val="00090394"/>
    <w:rsid w:val="000906F1"/>
    <w:rsid w:val="000906F4"/>
    <w:rsid w:val="0009081C"/>
    <w:rsid w:val="00090EF3"/>
    <w:rsid w:val="0009118A"/>
    <w:rsid w:val="000911BD"/>
    <w:rsid w:val="000913F5"/>
    <w:rsid w:val="00091D14"/>
    <w:rsid w:val="00091D9E"/>
    <w:rsid w:val="00091DAD"/>
    <w:rsid w:val="00091F5F"/>
    <w:rsid w:val="00093537"/>
    <w:rsid w:val="0009394B"/>
    <w:rsid w:val="00094268"/>
    <w:rsid w:val="00094494"/>
    <w:rsid w:val="0009492F"/>
    <w:rsid w:val="00095248"/>
    <w:rsid w:val="00095BD8"/>
    <w:rsid w:val="00095FC2"/>
    <w:rsid w:val="0009623B"/>
    <w:rsid w:val="00096516"/>
    <w:rsid w:val="000967CF"/>
    <w:rsid w:val="00097455"/>
    <w:rsid w:val="00097A82"/>
    <w:rsid w:val="000A015D"/>
    <w:rsid w:val="000A040B"/>
    <w:rsid w:val="000A048C"/>
    <w:rsid w:val="000A0B02"/>
    <w:rsid w:val="000A0E1A"/>
    <w:rsid w:val="000A105F"/>
    <w:rsid w:val="000A1444"/>
    <w:rsid w:val="000A15A7"/>
    <w:rsid w:val="000A1E5F"/>
    <w:rsid w:val="000A1FF0"/>
    <w:rsid w:val="000A241E"/>
    <w:rsid w:val="000A25BF"/>
    <w:rsid w:val="000A2744"/>
    <w:rsid w:val="000A2CFE"/>
    <w:rsid w:val="000A3580"/>
    <w:rsid w:val="000A3673"/>
    <w:rsid w:val="000A36AD"/>
    <w:rsid w:val="000A37F9"/>
    <w:rsid w:val="000A394D"/>
    <w:rsid w:val="000A4B26"/>
    <w:rsid w:val="000A5343"/>
    <w:rsid w:val="000A555E"/>
    <w:rsid w:val="000A5694"/>
    <w:rsid w:val="000A5783"/>
    <w:rsid w:val="000A57A6"/>
    <w:rsid w:val="000A6520"/>
    <w:rsid w:val="000A6580"/>
    <w:rsid w:val="000A695F"/>
    <w:rsid w:val="000A6AF2"/>
    <w:rsid w:val="000A6B8D"/>
    <w:rsid w:val="000A7A40"/>
    <w:rsid w:val="000A7DCC"/>
    <w:rsid w:val="000B006E"/>
    <w:rsid w:val="000B00AB"/>
    <w:rsid w:val="000B062A"/>
    <w:rsid w:val="000B0735"/>
    <w:rsid w:val="000B076A"/>
    <w:rsid w:val="000B08BB"/>
    <w:rsid w:val="000B0A17"/>
    <w:rsid w:val="000B11E9"/>
    <w:rsid w:val="000B1D95"/>
    <w:rsid w:val="000B1D98"/>
    <w:rsid w:val="000B1F1D"/>
    <w:rsid w:val="000B21DF"/>
    <w:rsid w:val="000B27B0"/>
    <w:rsid w:val="000B2BE1"/>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0AE"/>
    <w:rsid w:val="000C13DF"/>
    <w:rsid w:val="000C179C"/>
    <w:rsid w:val="000C1A2C"/>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606D"/>
    <w:rsid w:val="000C6180"/>
    <w:rsid w:val="000C65BC"/>
    <w:rsid w:val="000C6B8F"/>
    <w:rsid w:val="000C6CB7"/>
    <w:rsid w:val="000C7C7F"/>
    <w:rsid w:val="000D0000"/>
    <w:rsid w:val="000D00E7"/>
    <w:rsid w:val="000D039C"/>
    <w:rsid w:val="000D03EF"/>
    <w:rsid w:val="000D0503"/>
    <w:rsid w:val="000D0913"/>
    <w:rsid w:val="000D16BF"/>
    <w:rsid w:val="000D1AD4"/>
    <w:rsid w:val="000D1FAC"/>
    <w:rsid w:val="000D205E"/>
    <w:rsid w:val="000D28FF"/>
    <w:rsid w:val="000D2D9C"/>
    <w:rsid w:val="000D2EC0"/>
    <w:rsid w:val="000D3510"/>
    <w:rsid w:val="000D3769"/>
    <w:rsid w:val="000D3D28"/>
    <w:rsid w:val="000D436F"/>
    <w:rsid w:val="000D50E4"/>
    <w:rsid w:val="000D52AE"/>
    <w:rsid w:val="000D556E"/>
    <w:rsid w:val="000D5859"/>
    <w:rsid w:val="000D59C5"/>
    <w:rsid w:val="000D605D"/>
    <w:rsid w:val="000D621F"/>
    <w:rsid w:val="000D6784"/>
    <w:rsid w:val="000D752A"/>
    <w:rsid w:val="000D756E"/>
    <w:rsid w:val="000E0840"/>
    <w:rsid w:val="000E0AF5"/>
    <w:rsid w:val="000E0BF3"/>
    <w:rsid w:val="000E0C64"/>
    <w:rsid w:val="000E0C8E"/>
    <w:rsid w:val="000E1820"/>
    <w:rsid w:val="000E1B63"/>
    <w:rsid w:val="000E2105"/>
    <w:rsid w:val="000E2529"/>
    <w:rsid w:val="000E2577"/>
    <w:rsid w:val="000E2AD1"/>
    <w:rsid w:val="000E2F62"/>
    <w:rsid w:val="000E3710"/>
    <w:rsid w:val="000E373B"/>
    <w:rsid w:val="000E3EF2"/>
    <w:rsid w:val="000E442F"/>
    <w:rsid w:val="000E4A4E"/>
    <w:rsid w:val="000E4BF3"/>
    <w:rsid w:val="000E4EC1"/>
    <w:rsid w:val="000E4F4D"/>
    <w:rsid w:val="000E54B5"/>
    <w:rsid w:val="000E5716"/>
    <w:rsid w:val="000E574E"/>
    <w:rsid w:val="000E59B0"/>
    <w:rsid w:val="000E5AF9"/>
    <w:rsid w:val="000E5F32"/>
    <w:rsid w:val="000E61F7"/>
    <w:rsid w:val="000E670F"/>
    <w:rsid w:val="000E68D4"/>
    <w:rsid w:val="000E6A08"/>
    <w:rsid w:val="000E6CEE"/>
    <w:rsid w:val="000E6FC7"/>
    <w:rsid w:val="000E70EF"/>
    <w:rsid w:val="000E7327"/>
    <w:rsid w:val="000E76AC"/>
    <w:rsid w:val="000E78F3"/>
    <w:rsid w:val="000F01AE"/>
    <w:rsid w:val="000F0386"/>
    <w:rsid w:val="000F0828"/>
    <w:rsid w:val="000F0869"/>
    <w:rsid w:val="000F0BB8"/>
    <w:rsid w:val="000F0C89"/>
    <w:rsid w:val="000F0DE0"/>
    <w:rsid w:val="000F0FCE"/>
    <w:rsid w:val="000F0FEE"/>
    <w:rsid w:val="000F1295"/>
    <w:rsid w:val="000F1E4C"/>
    <w:rsid w:val="000F23F1"/>
    <w:rsid w:val="000F2731"/>
    <w:rsid w:val="000F2EFE"/>
    <w:rsid w:val="000F3331"/>
    <w:rsid w:val="000F3781"/>
    <w:rsid w:val="000F3D90"/>
    <w:rsid w:val="000F3F37"/>
    <w:rsid w:val="000F47A4"/>
    <w:rsid w:val="000F480F"/>
    <w:rsid w:val="000F4845"/>
    <w:rsid w:val="000F486F"/>
    <w:rsid w:val="000F4A6C"/>
    <w:rsid w:val="000F4AB7"/>
    <w:rsid w:val="000F51C8"/>
    <w:rsid w:val="000F524C"/>
    <w:rsid w:val="000F5E10"/>
    <w:rsid w:val="000F6848"/>
    <w:rsid w:val="000F6AC6"/>
    <w:rsid w:val="000F6C9E"/>
    <w:rsid w:val="000F6F6F"/>
    <w:rsid w:val="000F7093"/>
    <w:rsid w:val="000F713F"/>
    <w:rsid w:val="000F72A4"/>
    <w:rsid w:val="000F790F"/>
    <w:rsid w:val="000F7CC6"/>
    <w:rsid w:val="000F7FFD"/>
    <w:rsid w:val="00100118"/>
    <w:rsid w:val="00100288"/>
    <w:rsid w:val="00100299"/>
    <w:rsid w:val="001002C5"/>
    <w:rsid w:val="001005F2"/>
    <w:rsid w:val="00100D7C"/>
    <w:rsid w:val="00100E58"/>
    <w:rsid w:val="001011D5"/>
    <w:rsid w:val="0010147A"/>
    <w:rsid w:val="00101A76"/>
    <w:rsid w:val="00101C15"/>
    <w:rsid w:val="00101FB4"/>
    <w:rsid w:val="001020CD"/>
    <w:rsid w:val="00102195"/>
    <w:rsid w:val="001026C8"/>
    <w:rsid w:val="0010330E"/>
    <w:rsid w:val="0010334F"/>
    <w:rsid w:val="001038E3"/>
    <w:rsid w:val="00103911"/>
    <w:rsid w:val="00103B70"/>
    <w:rsid w:val="00103CD7"/>
    <w:rsid w:val="00103E59"/>
    <w:rsid w:val="00103F58"/>
    <w:rsid w:val="0010434C"/>
    <w:rsid w:val="001051D2"/>
    <w:rsid w:val="001054E2"/>
    <w:rsid w:val="001055D7"/>
    <w:rsid w:val="00105AD5"/>
    <w:rsid w:val="00105E53"/>
    <w:rsid w:val="00106BFC"/>
    <w:rsid w:val="00106D97"/>
    <w:rsid w:val="00106ED7"/>
    <w:rsid w:val="00107208"/>
    <w:rsid w:val="001073C7"/>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31A0"/>
    <w:rsid w:val="001135A8"/>
    <w:rsid w:val="001136D8"/>
    <w:rsid w:val="00113CC2"/>
    <w:rsid w:val="00114256"/>
    <w:rsid w:val="0011426F"/>
    <w:rsid w:val="00114459"/>
    <w:rsid w:val="0011452E"/>
    <w:rsid w:val="00114583"/>
    <w:rsid w:val="00114D18"/>
    <w:rsid w:val="001152D7"/>
    <w:rsid w:val="00115549"/>
    <w:rsid w:val="00115B04"/>
    <w:rsid w:val="001163F2"/>
    <w:rsid w:val="00116526"/>
    <w:rsid w:val="001165D7"/>
    <w:rsid w:val="00116BB7"/>
    <w:rsid w:val="00116E85"/>
    <w:rsid w:val="00117401"/>
    <w:rsid w:val="001174B7"/>
    <w:rsid w:val="00117B58"/>
    <w:rsid w:val="00117B72"/>
    <w:rsid w:val="00117E78"/>
    <w:rsid w:val="001201E1"/>
    <w:rsid w:val="0012073E"/>
    <w:rsid w:val="001207F7"/>
    <w:rsid w:val="00120E17"/>
    <w:rsid w:val="00120EF0"/>
    <w:rsid w:val="00120F4B"/>
    <w:rsid w:val="00121252"/>
    <w:rsid w:val="0012126C"/>
    <w:rsid w:val="00121727"/>
    <w:rsid w:val="00121AD5"/>
    <w:rsid w:val="00122036"/>
    <w:rsid w:val="001222FB"/>
    <w:rsid w:val="001224F5"/>
    <w:rsid w:val="00122577"/>
    <w:rsid w:val="001225DF"/>
    <w:rsid w:val="001231FC"/>
    <w:rsid w:val="00123318"/>
    <w:rsid w:val="00123AEE"/>
    <w:rsid w:val="0012429F"/>
    <w:rsid w:val="001247CC"/>
    <w:rsid w:val="00124923"/>
    <w:rsid w:val="00124A90"/>
    <w:rsid w:val="00125429"/>
    <w:rsid w:val="001255DD"/>
    <w:rsid w:val="00125663"/>
    <w:rsid w:val="00125DEA"/>
    <w:rsid w:val="00126101"/>
    <w:rsid w:val="0012671B"/>
    <w:rsid w:val="001267BC"/>
    <w:rsid w:val="00126D4F"/>
    <w:rsid w:val="00127064"/>
    <w:rsid w:val="00127405"/>
    <w:rsid w:val="00127A0E"/>
    <w:rsid w:val="00127B5A"/>
    <w:rsid w:val="001300CB"/>
    <w:rsid w:val="00130177"/>
    <w:rsid w:val="001312C2"/>
    <w:rsid w:val="0013135E"/>
    <w:rsid w:val="0013171F"/>
    <w:rsid w:val="0013177C"/>
    <w:rsid w:val="0013182E"/>
    <w:rsid w:val="00131B81"/>
    <w:rsid w:val="00131C51"/>
    <w:rsid w:val="00131CD2"/>
    <w:rsid w:val="00132005"/>
    <w:rsid w:val="001322A8"/>
    <w:rsid w:val="00132392"/>
    <w:rsid w:val="001326AA"/>
    <w:rsid w:val="0013272B"/>
    <w:rsid w:val="001336AB"/>
    <w:rsid w:val="0013388F"/>
    <w:rsid w:val="00133B9D"/>
    <w:rsid w:val="001348EC"/>
    <w:rsid w:val="00134E16"/>
    <w:rsid w:val="00134FA5"/>
    <w:rsid w:val="001350B6"/>
    <w:rsid w:val="001357F8"/>
    <w:rsid w:val="00135DD6"/>
    <w:rsid w:val="0013687A"/>
    <w:rsid w:val="001370FE"/>
    <w:rsid w:val="00137174"/>
    <w:rsid w:val="0013782D"/>
    <w:rsid w:val="00137A9C"/>
    <w:rsid w:val="00137B64"/>
    <w:rsid w:val="00137B65"/>
    <w:rsid w:val="00137F91"/>
    <w:rsid w:val="0014048C"/>
    <w:rsid w:val="00140976"/>
    <w:rsid w:val="00140EBA"/>
    <w:rsid w:val="0014105A"/>
    <w:rsid w:val="0014105B"/>
    <w:rsid w:val="0014129D"/>
    <w:rsid w:val="001412A8"/>
    <w:rsid w:val="00141302"/>
    <w:rsid w:val="001417F2"/>
    <w:rsid w:val="00141B3C"/>
    <w:rsid w:val="00141D6A"/>
    <w:rsid w:val="00142002"/>
    <w:rsid w:val="001423BC"/>
    <w:rsid w:val="0014251E"/>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C40"/>
    <w:rsid w:val="00146ED0"/>
    <w:rsid w:val="0014721E"/>
    <w:rsid w:val="001472F9"/>
    <w:rsid w:val="00147350"/>
    <w:rsid w:val="0014743E"/>
    <w:rsid w:val="00147563"/>
    <w:rsid w:val="00147D9F"/>
    <w:rsid w:val="0015008D"/>
    <w:rsid w:val="00150528"/>
    <w:rsid w:val="001508E3"/>
    <w:rsid w:val="00150E23"/>
    <w:rsid w:val="00151442"/>
    <w:rsid w:val="00151513"/>
    <w:rsid w:val="00151AD6"/>
    <w:rsid w:val="00152392"/>
    <w:rsid w:val="00152708"/>
    <w:rsid w:val="001528C3"/>
    <w:rsid w:val="00152EEA"/>
    <w:rsid w:val="00152EFB"/>
    <w:rsid w:val="0015340F"/>
    <w:rsid w:val="001535CE"/>
    <w:rsid w:val="00153655"/>
    <w:rsid w:val="00153EE5"/>
    <w:rsid w:val="00154192"/>
    <w:rsid w:val="00154A8C"/>
    <w:rsid w:val="00154FE1"/>
    <w:rsid w:val="0015597D"/>
    <w:rsid w:val="00155B20"/>
    <w:rsid w:val="00155B70"/>
    <w:rsid w:val="00155CDE"/>
    <w:rsid w:val="00156276"/>
    <w:rsid w:val="0015629C"/>
    <w:rsid w:val="00156896"/>
    <w:rsid w:val="00156CF1"/>
    <w:rsid w:val="00156D3B"/>
    <w:rsid w:val="0015720F"/>
    <w:rsid w:val="00157860"/>
    <w:rsid w:val="001578EC"/>
    <w:rsid w:val="001579C8"/>
    <w:rsid w:val="00157B2C"/>
    <w:rsid w:val="00157CBF"/>
    <w:rsid w:val="00157D45"/>
    <w:rsid w:val="001601CF"/>
    <w:rsid w:val="001601E3"/>
    <w:rsid w:val="00160330"/>
    <w:rsid w:val="001618FD"/>
    <w:rsid w:val="001619B0"/>
    <w:rsid w:val="00161B17"/>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653B"/>
    <w:rsid w:val="0016682A"/>
    <w:rsid w:val="00166A5A"/>
    <w:rsid w:val="00166F4E"/>
    <w:rsid w:val="00167657"/>
    <w:rsid w:val="001702D5"/>
    <w:rsid w:val="00170C56"/>
    <w:rsid w:val="00170CA6"/>
    <w:rsid w:val="00170CDF"/>
    <w:rsid w:val="00170D58"/>
    <w:rsid w:val="0017185E"/>
    <w:rsid w:val="001719F2"/>
    <w:rsid w:val="00171AA3"/>
    <w:rsid w:val="00171AA4"/>
    <w:rsid w:val="00171E6C"/>
    <w:rsid w:val="001720C0"/>
    <w:rsid w:val="001722BC"/>
    <w:rsid w:val="001723CF"/>
    <w:rsid w:val="001725B4"/>
    <w:rsid w:val="00172DB5"/>
    <w:rsid w:val="00172FFB"/>
    <w:rsid w:val="00173239"/>
    <w:rsid w:val="00173428"/>
    <w:rsid w:val="001737E7"/>
    <w:rsid w:val="001743B2"/>
    <w:rsid w:val="001743B7"/>
    <w:rsid w:val="0017447D"/>
    <w:rsid w:val="00174538"/>
    <w:rsid w:val="00174785"/>
    <w:rsid w:val="0017493D"/>
    <w:rsid w:val="00174BF8"/>
    <w:rsid w:val="001755E1"/>
    <w:rsid w:val="00175B89"/>
    <w:rsid w:val="00175B91"/>
    <w:rsid w:val="00175CC8"/>
    <w:rsid w:val="001762F5"/>
    <w:rsid w:val="001765B8"/>
    <w:rsid w:val="00176717"/>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2208"/>
    <w:rsid w:val="001823CE"/>
    <w:rsid w:val="00182B53"/>
    <w:rsid w:val="001833F5"/>
    <w:rsid w:val="00183AF9"/>
    <w:rsid w:val="00183CE5"/>
    <w:rsid w:val="00183DE7"/>
    <w:rsid w:val="00183EA6"/>
    <w:rsid w:val="00184859"/>
    <w:rsid w:val="001853DD"/>
    <w:rsid w:val="0018595D"/>
    <w:rsid w:val="00185A4B"/>
    <w:rsid w:val="00185A50"/>
    <w:rsid w:val="0018635A"/>
    <w:rsid w:val="00186513"/>
    <w:rsid w:val="0018678D"/>
    <w:rsid w:val="001868EC"/>
    <w:rsid w:val="001869DB"/>
    <w:rsid w:val="00187189"/>
    <w:rsid w:val="00187456"/>
    <w:rsid w:val="00187511"/>
    <w:rsid w:val="001877AC"/>
    <w:rsid w:val="00187982"/>
    <w:rsid w:val="00187A33"/>
    <w:rsid w:val="00187D86"/>
    <w:rsid w:val="0019026A"/>
    <w:rsid w:val="001911A0"/>
    <w:rsid w:val="00191462"/>
    <w:rsid w:val="00191BD2"/>
    <w:rsid w:val="00191E9B"/>
    <w:rsid w:val="00191FF4"/>
    <w:rsid w:val="00191FF9"/>
    <w:rsid w:val="00191FFB"/>
    <w:rsid w:val="00192163"/>
    <w:rsid w:val="00192CED"/>
    <w:rsid w:val="00192DCD"/>
    <w:rsid w:val="00192FC5"/>
    <w:rsid w:val="00193254"/>
    <w:rsid w:val="001932D9"/>
    <w:rsid w:val="00193504"/>
    <w:rsid w:val="001936A2"/>
    <w:rsid w:val="00193956"/>
    <w:rsid w:val="00193A59"/>
    <w:rsid w:val="00193ABA"/>
    <w:rsid w:val="001941EF"/>
    <w:rsid w:val="001941FE"/>
    <w:rsid w:val="0019426F"/>
    <w:rsid w:val="001945A9"/>
    <w:rsid w:val="001947C7"/>
    <w:rsid w:val="00194842"/>
    <w:rsid w:val="00194961"/>
    <w:rsid w:val="00195140"/>
    <w:rsid w:val="0019517E"/>
    <w:rsid w:val="00195331"/>
    <w:rsid w:val="001957E1"/>
    <w:rsid w:val="001958D7"/>
    <w:rsid w:val="00195A65"/>
    <w:rsid w:val="00195C42"/>
    <w:rsid w:val="00196346"/>
    <w:rsid w:val="00196513"/>
    <w:rsid w:val="00196657"/>
    <w:rsid w:val="00196BF3"/>
    <w:rsid w:val="00196E26"/>
    <w:rsid w:val="0019706E"/>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2E42"/>
    <w:rsid w:val="001A3227"/>
    <w:rsid w:val="001A3753"/>
    <w:rsid w:val="001A3A7F"/>
    <w:rsid w:val="001A3D8C"/>
    <w:rsid w:val="001A3EF1"/>
    <w:rsid w:val="001A3FF1"/>
    <w:rsid w:val="001A4422"/>
    <w:rsid w:val="001A52FF"/>
    <w:rsid w:val="001A5786"/>
    <w:rsid w:val="001A5942"/>
    <w:rsid w:val="001A5C13"/>
    <w:rsid w:val="001A5F35"/>
    <w:rsid w:val="001A5FDF"/>
    <w:rsid w:val="001A6378"/>
    <w:rsid w:val="001A67C9"/>
    <w:rsid w:val="001A6A96"/>
    <w:rsid w:val="001A6C6D"/>
    <w:rsid w:val="001A6D0A"/>
    <w:rsid w:val="001A7245"/>
    <w:rsid w:val="001A72F2"/>
    <w:rsid w:val="001A74C3"/>
    <w:rsid w:val="001A7598"/>
    <w:rsid w:val="001A75C2"/>
    <w:rsid w:val="001A7617"/>
    <w:rsid w:val="001A7ADD"/>
    <w:rsid w:val="001A7BA1"/>
    <w:rsid w:val="001B0238"/>
    <w:rsid w:val="001B09ED"/>
    <w:rsid w:val="001B12F5"/>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3085"/>
    <w:rsid w:val="001B36B2"/>
    <w:rsid w:val="001B413A"/>
    <w:rsid w:val="001B42D7"/>
    <w:rsid w:val="001B435C"/>
    <w:rsid w:val="001B4678"/>
    <w:rsid w:val="001B4762"/>
    <w:rsid w:val="001B4FF3"/>
    <w:rsid w:val="001B53E2"/>
    <w:rsid w:val="001B5415"/>
    <w:rsid w:val="001B556F"/>
    <w:rsid w:val="001B58BD"/>
    <w:rsid w:val="001B5923"/>
    <w:rsid w:val="001B5C50"/>
    <w:rsid w:val="001B5D52"/>
    <w:rsid w:val="001B621E"/>
    <w:rsid w:val="001B6680"/>
    <w:rsid w:val="001B6745"/>
    <w:rsid w:val="001B676B"/>
    <w:rsid w:val="001B744E"/>
    <w:rsid w:val="001B78E6"/>
    <w:rsid w:val="001B7F5D"/>
    <w:rsid w:val="001C00DF"/>
    <w:rsid w:val="001C04F0"/>
    <w:rsid w:val="001C05CD"/>
    <w:rsid w:val="001C1755"/>
    <w:rsid w:val="001C196E"/>
    <w:rsid w:val="001C1BE0"/>
    <w:rsid w:val="001C1D4A"/>
    <w:rsid w:val="001C2367"/>
    <w:rsid w:val="001C2570"/>
    <w:rsid w:val="001C2BEF"/>
    <w:rsid w:val="001C2ED3"/>
    <w:rsid w:val="001C3550"/>
    <w:rsid w:val="001C41EC"/>
    <w:rsid w:val="001C4876"/>
    <w:rsid w:val="001C4ECE"/>
    <w:rsid w:val="001C50A7"/>
    <w:rsid w:val="001C5302"/>
    <w:rsid w:val="001C53BD"/>
    <w:rsid w:val="001C5582"/>
    <w:rsid w:val="001C5A5A"/>
    <w:rsid w:val="001C5B0B"/>
    <w:rsid w:val="001C5C7A"/>
    <w:rsid w:val="001C60CA"/>
    <w:rsid w:val="001C61BB"/>
    <w:rsid w:val="001C6BB9"/>
    <w:rsid w:val="001C6DE1"/>
    <w:rsid w:val="001C7088"/>
    <w:rsid w:val="001C7293"/>
    <w:rsid w:val="001C734F"/>
    <w:rsid w:val="001C7600"/>
    <w:rsid w:val="001C776B"/>
    <w:rsid w:val="001D01A9"/>
    <w:rsid w:val="001D0336"/>
    <w:rsid w:val="001D044C"/>
    <w:rsid w:val="001D067E"/>
    <w:rsid w:val="001D0FDA"/>
    <w:rsid w:val="001D12BD"/>
    <w:rsid w:val="001D159B"/>
    <w:rsid w:val="001D1D07"/>
    <w:rsid w:val="001D1DCA"/>
    <w:rsid w:val="001D1E64"/>
    <w:rsid w:val="001D2239"/>
    <w:rsid w:val="001D282B"/>
    <w:rsid w:val="001D28CC"/>
    <w:rsid w:val="001D2930"/>
    <w:rsid w:val="001D3099"/>
    <w:rsid w:val="001D30C8"/>
    <w:rsid w:val="001D35EE"/>
    <w:rsid w:val="001D38CA"/>
    <w:rsid w:val="001D3AE2"/>
    <w:rsid w:val="001D41E0"/>
    <w:rsid w:val="001D4208"/>
    <w:rsid w:val="001D4CCD"/>
    <w:rsid w:val="001D52A3"/>
    <w:rsid w:val="001D57F2"/>
    <w:rsid w:val="001D5A44"/>
    <w:rsid w:val="001D5B61"/>
    <w:rsid w:val="001D5D30"/>
    <w:rsid w:val="001D606D"/>
    <w:rsid w:val="001D632C"/>
    <w:rsid w:val="001D6350"/>
    <w:rsid w:val="001D6462"/>
    <w:rsid w:val="001D69B4"/>
    <w:rsid w:val="001D6C48"/>
    <w:rsid w:val="001D7065"/>
    <w:rsid w:val="001D73E6"/>
    <w:rsid w:val="001D76B1"/>
    <w:rsid w:val="001D7C26"/>
    <w:rsid w:val="001E05B7"/>
    <w:rsid w:val="001E1AD5"/>
    <w:rsid w:val="001E24AA"/>
    <w:rsid w:val="001E26E6"/>
    <w:rsid w:val="001E2F79"/>
    <w:rsid w:val="001E3272"/>
    <w:rsid w:val="001E3552"/>
    <w:rsid w:val="001E39E4"/>
    <w:rsid w:val="001E4030"/>
    <w:rsid w:val="001E4CD0"/>
    <w:rsid w:val="001E4DA3"/>
    <w:rsid w:val="001E4ECA"/>
    <w:rsid w:val="001E514D"/>
    <w:rsid w:val="001E5211"/>
    <w:rsid w:val="001E56A1"/>
    <w:rsid w:val="001E59C8"/>
    <w:rsid w:val="001E5CE9"/>
    <w:rsid w:val="001E6564"/>
    <w:rsid w:val="001E67C8"/>
    <w:rsid w:val="001E6F4F"/>
    <w:rsid w:val="001E7099"/>
    <w:rsid w:val="001E70D1"/>
    <w:rsid w:val="001E7210"/>
    <w:rsid w:val="001E7438"/>
    <w:rsid w:val="001E7B1A"/>
    <w:rsid w:val="001E7E67"/>
    <w:rsid w:val="001F0059"/>
    <w:rsid w:val="001F02F6"/>
    <w:rsid w:val="001F07C2"/>
    <w:rsid w:val="001F08D0"/>
    <w:rsid w:val="001F08E0"/>
    <w:rsid w:val="001F09DE"/>
    <w:rsid w:val="001F0FDC"/>
    <w:rsid w:val="001F15AE"/>
    <w:rsid w:val="001F18FD"/>
    <w:rsid w:val="001F1C45"/>
    <w:rsid w:val="001F21B9"/>
    <w:rsid w:val="001F2485"/>
    <w:rsid w:val="001F2567"/>
    <w:rsid w:val="001F2576"/>
    <w:rsid w:val="001F2A91"/>
    <w:rsid w:val="001F2CA4"/>
    <w:rsid w:val="001F2DFB"/>
    <w:rsid w:val="001F3154"/>
    <w:rsid w:val="001F31DD"/>
    <w:rsid w:val="001F3EB9"/>
    <w:rsid w:val="001F3F6F"/>
    <w:rsid w:val="001F419C"/>
    <w:rsid w:val="001F4FE7"/>
    <w:rsid w:val="001F516E"/>
    <w:rsid w:val="001F539F"/>
    <w:rsid w:val="001F5814"/>
    <w:rsid w:val="001F5B3C"/>
    <w:rsid w:val="001F5BCA"/>
    <w:rsid w:val="001F6894"/>
    <w:rsid w:val="001F6DE6"/>
    <w:rsid w:val="001F6F5A"/>
    <w:rsid w:val="001F70EA"/>
    <w:rsid w:val="001F7DF3"/>
    <w:rsid w:val="001F7E9E"/>
    <w:rsid w:val="001F7F0A"/>
    <w:rsid w:val="002003A5"/>
    <w:rsid w:val="0020063C"/>
    <w:rsid w:val="002008B5"/>
    <w:rsid w:val="00200A59"/>
    <w:rsid w:val="002011DB"/>
    <w:rsid w:val="00201789"/>
    <w:rsid w:val="00201886"/>
    <w:rsid w:val="002018B4"/>
    <w:rsid w:val="00201B87"/>
    <w:rsid w:val="00201BE0"/>
    <w:rsid w:val="00201C13"/>
    <w:rsid w:val="00201E5E"/>
    <w:rsid w:val="00202D7A"/>
    <w:rsid w:val="0020321C"/>
    <w:rsid w:val="00203777"/>
    <w:rsid w:val="002037F3"/>
    <w:rsid w:val="00203859"/>
    <w:rsid w:val="00203A87"/>
    <w:rsid w:val="00203C6E"/>
    <w:rsid w:val="00203CE7"/>
    <w:rsid w:val="00203E18"/>
    <w:rsid w:val="00203F13"/>
    <w:rsid w:val="0020430C"/>
    <w:rsid w:val="0020465B"/>
    <w:rsid w:val="002049B7"/>
    <w:rsid w:val="00204F71"/>
    <w:rsid w:val="002054FB"/>
    <w:rsid w:val="00205532"/>
    <w:rsid w:val="00205CB2"/>
    <w:rsid w:val="00206016"/>
    <w:rsid w:val="00206461"/>
    <w:rsid w:val="00206743"/>
    <w:rsid w:val="00206901"/>
    <w:rsid w:val="00206B26"/>
    <w:rsid w:val="00207360"/>
    <w:rsid w:val="0020762C"/>
    <w:rsid w:val="00207B67"/>
    <w:rsid w:val="00210A3D"/>
    <w:rsid w:val="00210FB5"/>
    <w:rsid w:val="00210FD2"/>
    <w:rsid w:val="002110E8"/>
    <w:rsid w:val="00212261"/>
    <w:rsid w:val="0021246E"/>
    <w:rsid w:val="00212B63"/>
    <w:rsid w:val="00212D2F"/>
    <w:rsid w:val="00213289"/>
    <w:rsid w:val="002133F3"/>
    <w:rsid w:val="002137C5"/>
    <w:rsid w:val="00213CB7"/>
    <w:rsid w:val="00213E11"/>
    <w:rsid w:val="002147FF"/>
    <w:rsid w:val="0021494F"/>
    <w:rsid w:val="00214A30"/>
    <w:rsid w:val="00214D47"/>
    <w:rsid w:val="00214E04"/>
    <w:rsid w:val="00215160"/>
    <w:rsid w:val="0021519E"/>
    <w:rsid w:val="00215201"/>
    <w:rsid w:val="002155DB"/>
    <w:rsid w:val="00215631"/>
    <w:rsid w:val="00215D5D"/>
    <w:rsid w:val="00215D9E"/>
    <w:rsid w:val="00216470"/>
    <w:rsid w:val="00216893"/>
    <w:rsid w:val="002169B7"/>
    <w:rsid w:val="00216A2B"/>
    <w:rsid w:val="00216B3E"/>
    <w:rsid w:val="00216D65"/>
    <w:rsid w:val="002170FF"/>
    <w:rsid w:val="00217D57"/>
    <w:rsid w:val="002201B0"/>
    <w:rsid w:val="00220990"/>
    <w:rsid w:val="002211A4"/>
    <w:rsid w:val="00221960"/>
    <w:rsid w:val="00222736"/>
    <w:rsid w:val="00222782"/>
    <w:rsid w:val="002227D7"/>
    <w:rsid w:val="00222A06"/>
    <w:rsid w:val="00222A6E"/>
    <w:rsid w:val="00223228"/>
    <w:rsid w:val="00223288"/>
    <w:rsid w:val="00223426"/>
    <w:rsid w:val="0022392F"/>
    <w:rsid w:val="002239B6"/>
    <w:rsid w:val="00223C5B"/>
    <w:rsid w:val="00223DA3"/>
    <w:rsid w:val="00223EBC"/>
    <w:rsid w:val="00224675"/>
    <w:rsid w:val="0022483C"/>
    <w:rsid w:val="00224852"/>
    <w:rsid w:val="00224AA9"/>
    <w:rsid w:val="002251E0"/>
    <w:rsid w:val="002252C8"/>
    <w:rsid w:val="00225397"/>
    <w:rsid w:val="00225B19"/>
    <w:rsid w:val="00225B7F"/>
    <w:rsid w:val="0022604D"/>
    <w:rsid w:val="0022689C"/>
    <w:rsid w:val="00226947"/>
    <w:rsid w:val="00226C19"/>
    <w:rsid w:val="0022755E"/>
    <w:rsid w:val="002275FE"/>
    <w:rsid w:val="00227F82"/>
    <w:rsid w:val="0023060B"/>
    <w:rsid w:val="0023101E"/>
    <w:rsid w:val="00231024"/>
    <w:rsid w:val="002319B5"/>
    <w:rsid w:val="00231F8C"/>
    <w:rsid w:val="002324B5"/>
    <w:rsid w:val="002327AA"/>
    <w:rsid w:val="002329A3"/>
    <w:rsid w:val="00232D66"/>
    <w:rsid w:val="002330C0"/>
    <w:rsid w:val="002332D6"/>
    <w:rsid w:val="00233614"/>
    <w:rsid w:val="00233708"/>
    <w:rsid w:val="0023567C"/>
    <w:rsid w:val="002356E7"/>
    <w:rsid w:val="002359A0"/>
    <w:rsid w:val="0023612A"/>
    <w:rsid w:val="002361F8"/>
    <w:rsid w:val="00236801"/>
    <w:rsid w:val="002369E8"/>
    <w:rsid w:val="00236A4B"/>
    <w:rsid w:val="0024029A"/>
    <w:rsid w:val="002403EA"/>
    <w:rsid w:val="00240A6C"/>
    <w:rsid w:val="00240AA5"/>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BF9"/>
    <w:rsid w:val="00244C40"/>
    <w:rsid w:val="0024504E"/>
    <w:rsid w:val="002450F9"/>
    <w:rsid w:val="00245593"/>
    <w:rsid w:val="00245A34"/>
    <w:rsid w:val="002468B8"/>
    <w:rsid w:val="00246BC1"/>
    <w:rsid w:val="00246E21"/>
    <w:rsid w:val="00247723"/>
    <w:rsid w:val="002477F5"/>
    <w:rsid w:val="00247877"/>
    <w:rsid w:val="00247CFB"/>
    <w:rsid w:val="00250091"/>
    <w:rsid w:val="002500F7"/>
    <w:rsid w:val="00250792"/>
    <w:rsid w:val="00250CAA"/>
    <w:rsid w:val="00250EF8"/>
    <w:rsid w:val="00251199"/>
    <w:rsid w:val="0025136B"/>
    <w:rsid w:val="00251749"/>
    <w:rsid w:val="00251C05"/>
    <w:rsid w:val="00251E33"/>
    <w:rsid w:val="00251FE8"/>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1E"/>
    <w:rsid w:val="00256A2A"/>
    <w:rsid w:val="00256EE5"/>
    <w:rsid w:val="00256F9C"/>
    <w:rsid w:val="00256FAB"/>
    <w:rsid w:val="0025798D"/>
    <w:rsid w:val="00257CE6"/>
    <w:rsid w:val="00257D0A"/>
    <w:rsid w:val="00260AF3"/>
    <w:rsid w:val="00261199"/>
    <w:rsid w:val="00261A89"/>
    <w:rsid w:val="002624BC"/>
    <w:rsid w:val="00263D22"/>
    <w:rsid w:val="00264270"/>
    <w:rsid w:val="0026465E"/>
    <w:rsid w:val="00264C84"/>
    <w:rsid w:val="00264E53"/>
    <w:rsid w:val="0026518C"/>
    <w:rsid w:val="002651A6"/>
    <w:rsid w:val="00265D33"/>
    <w:rsid w:val="00265F71"/>
    <w:rsid w:val="0026670E"/>
    <w:rsid w:val="00266768"/>
    <w:rsid w:val="002667E3"/>
    <w:rsid w:val="00266A39"/>
    <w:rsid w:val="00266B8B"/>
    <w:rsid w:val="00266CBB"/>
    <w:rsid w:val="00267995"/>
    <w:rsid w:val="00270123"/>
    <w:rsid w:val="00270A21"/>
    <w:rsid w:val="00270CB2"/>
    <w:rsid w:val="00270E4F"/>
    <w:rsid w:val="00270F6C"/>
    <w:rsid w:val="00271A6E"/>
    <w:rsid w:val="00271C8E"/>
    <w:rsid w:val="002721F1"/>
    <w:rsid w:val="00272536"/>
    <w:rsid w:val="0027263C"/>
    <w:rsid w:val="00272A20"/>
    <w:rsid w:val="00272D47"/>
    <w:rsid w:val="002735F7"/>
    <w:rsid w:val="002738A4"/>
    <w:rsid w:val="00273914"/>
    <w:rsid w:val="0027399A"/>
    <w:rsid w:val="00273AF7"/>
    <w:rsid w:val="00274373"/>
    <w:rsid w:val="00274AAE"/>
    <w:rsid w:val="00274BCB"/>
    <w:rsid w:val="00274BE0"/>
    <w:rsid w:val="00274D3A"/>
    <w:rsid w:val="00275255"/>
    <w:rsid w:val="00275351"/>
    <w:rsid w:val="002761E3"/>
    <w:rsid w:val="002768DF"/>
    <w:rsid w:val="00276916"/>
    <w:rsid w:val="00276B89"/>
    <w:rsid w:val="00276C91"/>
    <w:rsid w:val="00277017"/>
    <w:rsid w:val="002770D0"/>
    <w:rsid w:val="0027727C"/>
    <w:rsid w:val="0027787F"/>
    <w:rsid w:val="00277A6C"/>
    <w:rsid w:val="00277E33"/>
    <w:rsid w:val="0028077E"/>
    <w:rsid w:val="0028080B"/>
    <w:rsid w:val="00280A5C"/>
    <w:rsid w:val="00280C7A"/>
    <w:rsid w:val="00280D63"/>
    <w:rsid w:val="002816C6"/>
    <w:rsid w:val="00282302"/>
    <w:rsid w:val="002823CC"/>
    <w:rsid w:val="002824D9"/>
    <w:rsid w:val="00282651"/>
    <w:rsid w:val="002829CE"/>
    <w:rsid w:val="00282B0B"/>
    <w:rsid w:val="0028316F"/>
    <w:rsid w:val="0028333B"/>
    <w:rsid w:val="0028364C"/>
    <w:rsid w:val="00283674"/>
    <w:rsid w:val="00283AD7"/>
    <w:rsid w:val="00284002"/>
    <w:rsid w:val="00284274"/>
    <w:rsid w:val="0028436E"/>
    <w:rsid w:val="00284450"/>
    <w:rsid w:val="002844B3"/>
    <w:rsid w:val="002846E4"/>
    <w:rsid w:val="00284743"/>
    <w:rsid w:val="00284BA2"/>
    <w:rsid w:val="00284DD6"/>
    <w:rsid w:val="002851FE"/>
    <w:rsid w:val="00285320"/>
    <w:rsid w:val="002853D9"/>
    <w:rsid w:val="002859AD"/>
    <w:rsid w:val="00285A47"/>
    <w:rsid w:val="00285EC2"/>
    <w:rsid w:val="0028634B"/>
    <w:rsid w:val="002866BC"/>
    <w:rsid w:val="00286AB1"/>
    <w:rsid w:val="00286F65"/>
    <w:rsid w:val="00287B12"/>
    <w:rsid w:val="00290AD9"/>
    <w:rsid w:val="00290AF1"/>
    <w:rsid w:val="00290C26"/>
    <w:rsid w:val="00291B17"/>
    <w:rsid w:val="00291E72"/>
    <w:rsid w:val="00292339"/>
    <w:rsid w:val="00292E04"/>
    <w:rsid w:val="00293187"/>
    <w:rsid w:val="0029351C"/>
    <w:rsid w:val="00293541"/>
    <w:rsid w:val="00293871"/>
    <w:rsid w:val="00293B0E"/>
    <w:rsid w:val="00294CEF"/>
    <w:rsid w:val="00294E06"/>
    <w:rsid w:val="002958CF"/>
    <w:rsid w:val="00295B5D"/>
    <w:rsid w:val="00295BF6"/>
    <w:rsid w:val="00295D28"/>
    <w:rsid w:val="00296221"/>
    <w:rsid w:val="00296DA3"/>
    <w:rsid w:val="00297526"/>
    <w:rsid w:val="00297C90"/>
    <w:rsid w:val="00297F41"/>
    <w:rsid w:val="00297FB3"/>
    <w:rsid w:val="002A001B"/>
    <w:rsid w:val="002A00AB"/>
    <w:rsid w:val="002A023D"/>
    <w:rsid w:val="002A0297"/>
    <w:rsid w:val="002A047A"/>
    <w:rsid w:val="002A07E9"/>
    <w:rsid w:val="002A1C98"/>
    <w:rsid w:val="002A2739"/>
    <w:rsid w:val="002A2DA0"/>
    <w:rsid w:val="002A34CE"/>
    <w:rsid w:val="002A3673"/>
    <w:rsid w:val="002A3674"/>
    <w:rsid w:val="002A3775"/>
    <w:rsid w:val="002A381D"/>
    <w:rsid w:val="002A38C5"/>
    <w:rsid w:val="002A3DDF"/>
    <w:rsid w:val="002A4385"/>
    <w:rsid w:val="002A4681"/>
    <w:rsid w:val="002A4D82"/>
    <w:rsid w:val="002A4E22"/>
    <w:rsid w:val="002A4FA7"/>
    <w:rsid w:val="002A54B6"/>
    <w:rsid w:val="002A5723"/>
    <w:rsid w:val="002A57CD"/>
    <w:rsid w:val="002A5B9C"/>
    <w:rsid w:val="002A679C"/>
    <w:rsid w:val="002A7667"/>
    <w:rsid w:val="002A766F"/>
    <w:rsid w:val="002A7901"/>
    <w:rsid w:val="002A7D88"/>
    <w:rsid w:val="002B0068"/>
    <w:rsid w:val="002B02DE"/>
    <w:rsid w:val="002B030A"/>
    <w:rsid w:val="002B0CC5"/>
    <w:rsid w:val="002B1046"/>
    <w:rsid w:val="002B1119"/>
    <w:rsid w:val="002B132D"/>
    <w:rsid w:val="002B1376"/>
    <w:rsid w:val="002B1394"/>
    <w:rsid w:val="002B19AF"/>
    <w:rsid w:val="002B240B"/>
    <w:rsid w:val="002B2603"/>
    <w:rsid w:val="002B27E8"/>
    <w:rsid w:val="002B2CC7"/>
    <w:rsid w:val="002B2E85"/>
    <w:rsid w:val="002B3447"/>
    <w:rsid w:val="002B3627"/>
    <w:rsid w:val="002B3BCE"/>
    <w:rsid w:val="002B43C4"/>
    <w:rsid w:val="002B4F07"/>
    <w:rsid w:val="002B5479"/>
    <w:rsid w:val="002B58EF"/>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2E1F"/>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158"/>
    <w:rsid w:val="002C7688"/>
    <w:rsid w:val="002C7858"/>
    <w:rsid w:val="002C7BFA"/>
    <w:rsid w:val="002C7C47"/>
    <w:rsid w:val="002C7D56"/>
    <w:rsid w:val="002C7EC2"/>
    <w:rsid w:val="002C7FDC"/>
    <w:rsid w:val="002D0251"/>
    <w:rsid w:val="002D13D1"/>
    <w:rsid w:val="002D1824"/>
    <w:rsid w:val="002D1B14"/>
    <w:rsid w:val="002D1F01"/>
    <w:rsid w:val="002D228F"/>
    <w:rsid w:val="002D2448"/>
    <w:rsid w:val="002D2A35"/>
    <w:rsid w:val="002D30D5"/>
    <w:rsid w:val="002D341F"/>
    <w:rsid w:val="002D3A00"/>
    <w:rsid w:val="002D3DFB"/>
    <w:rsid w:val="002D49C9"/>
    <w:rsid w:val="002D55A6"/>
    <w:rsid w:val="002D5760"/>
    <w:rsid w:val="002D7091"/>
    <w:rsid w:val="002D7262"/>
    <w:rsid w:val="002D7266"/>
    <w:rsid w:val="002D72B9"/>
    <w:rsid w:val="002D7954"/>
    <w:rsid w:val="002E000E"/>
    <w:rsid w:val="002E0464"/>
    <w:rsid w:val="002E096B"/>
    <w:rsid w:val="002E10D9"/>
    <w:rsid w:val="002E12AC"/>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3E11"/>
    <w:rsid w:val="002E4263"/>
    <w:rsid w:val="002E44B1"/>
    <w:rsid w:val="002E46E5"/>
    <w:rsid w:val="002E4B52"/>
    <w:rsid w:val="002E4FCC"/>
    <w:rsid w:val="002E5878"/>
    <w:rsid w:val="002E593D"/>
    <w:rsid w:val="002E5B21"/>
    <w:rsid w:val="002E5E02"/>
    <w:rsid w:val="002E68CC"/>
    <w:rsid w:val="002E6A5E"/>
    <w:rsid w:val="002E6BE6"/>
    <w:rsid w:val="002E6F59"/>
    <w:rsid w:val="002E72EB"/>
    <w:rsid w:val="002E746C"/>
    <w:rsid w:val="002E7824"/>
    <w:rsid w:val="002E7B04"/>
    <w:rsid w:val="002E7C34"/>
    <w:rsid w:val="002F0541"/>
    <w:rsid w:val="002F05B0"/>
    <w:rsid w:val="002F076A"/>
    <w:rsid w:val="002F095A"/>
    <w:rsid w:val="002F0A0E"/>
    <w:rsid w:val="002F13F5"/>
    <w:rsid w:val="002F159B"/>
    <w:rsid w:val="002F1646"/>
    <w:rsid w:val="002F1CA2"/>
    <w:rsid w:val="002F1CFC"/>
    <w:rsid w:val="002F1F90"/>
    <w:rsid w:val="002F317C"/>
    <w:rsid w:val="002F3235"/>
    <w:rsid w:val="002F36C0"/>
    <w:rsid w:val="002F3EEA"/>
    <w:rsid w:val="002F42BE"/>
    <w:rsid w:val="002F459E"/>
    <w:rsid w:val="002F480E"/>
    <w:rsid w:val="002F487C"/>
    <w:rsid w:val="002F4A9D"/>
    <w:rsid w:val="002F4EA1"/>
    <w:rsid w:val="002F52B9"/>
    <w:rsid w:val="002F56BA"/>
    <w:rsid w:val="002F645C"/>
    <w:rsid w:val="002F655B"/>
    <w:rsid w:val="002F6D09"/>
    <w:rsid w:val="002F6F7B"/>
    <w:rsid w:val="002F749A"/>
    <w:rsid w:val="002F787E"/>
    <w:rsid w:val="002F7E43"/>
    <w:rsid w:val="00300065"/>
    <w:rsid w:val="003003D6"/>
    <w:rsid w:val="00300440"/>
    <w:rsid w:val="0030084A"/>
    <w:rsid w:val="00300D30"/>
    <w:rsid w:val="00300F5E"/>
    <w:rsid w:val="003016DF"/>
    <w:rsid w:val="003019C7"/>
    <w:rsid w:val="0030207B"/>
    <w:rsid w:val="00302472"/>
    <w:rsid w:val="00302619"/>
    <w:rsid w:val="003029BB"/>
    <w:rsid w:val="00302F0A"/>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A13"/>
    <w:rsid w:val="00305AAA"/>
    <w:rsid w:val="00305F23"/>
    <w:rsid w:val="00305F46"/>
    <w:rsid w:val="00306192"/>
    <w:rsid w:val="003066B3"/>
    <w:rsid w:val="00306A4C"/>
    <w:rsid w:val="00306DDE"/>
    <w:rsid w:val="00307B80"/>
    <w:rsid w:val="00307CE8"/>
    <w:rsid w:val="00307CEA"/>
    <w:rsid w:val="0031009A"/>
    <w:rsid w:val="003102D1"/>
    <w:rsid w:val="00310806"/>
    <w:rsid w:val="00310BF3"/>
    <w:rsid w:val="00310E41"/>
    <w:rsid w:val="00310EAA"/>
    <w:rsid w:val="003115E3"/>
    <w:rsid w:val="003117EA"/>
    <w:rsid w:val="0031180C"/>
    <w:rsid w:val="003130BF"/>
    <w:rsid w:val="003131A4"/>
    <w:rsid w:val="003131E3"/>
    <w:rsid w:val="003134C2"/>
    <w:rsid w:val="00313505"/>
    <w:rsid w:val="00313755"/>
    <w:rsid w:val="0031395F"/>
    <w:rsid w:val="00313A16"/>
    <w:rsid w:val="00313E7E"/>
    <w:rsid w:val="00314059"/>
    <w:rsid w:val="0031484B"/>
    <w:rsid w:val="00314C4E"/>
    <w:rsid w:val="00315129"/>
    <w:rsid w:val="003152E6"/>
    <w:rsid w:val="00315635"/>
    <w:rsid w:val="003156E0"/>
    <w:rsid w:val="003158F0"/>
    <w:rsid w:val="00315DBD"/>
    <w:rsid w:val="00316011"/>
    <w:rsid w:val="00316234"/>
    <w:rsid w:val="003167FE"/>
    <w:rsid w:val="00316C93"/>
    <w:rsid w:val="00316D24"/>
    <w:rsid w:val="00317148"/>
    <w:rsid w:val="00317665"/>
    <w:rsid w:val="00317962"/>
    <w:rsid w:val="00317D28"/>
    <w:rsid w:val="00317D93"/>
    <w:rsid w:val="00317FC8"/>
    <w:rsid w:val="00320A37"/>
    <w:rsid w:val="00320E76"/>
    <w:rsid w:val="003210A6"/>
    <w:rsid w:val="003210EC"/>
    <w:rsid w:val="0032120A"/>
    <w:rsid w:val="00321CED"/>
    <w:rsid w:val="00322201"/>
    <w:rsid w:val="003222E4"/>
    <w:rsid w:val="003223ED"/>
    <w:rsid w:val="00322A53"/>
    <w:rsid w:val="00322E10"/>
    <w:rsid w:val="00322F3F"/>
    <w:rsid w:val="003234D5"/>
    <w:rsid w:val="0032352F"/>
    <w:rsid w:val="003236D8"/>
    <w:rsid w:val="00323B70"/>
    <w:rsid w:val="00323E67"/>
    <w:rsid w:val="00323E92"/>
    <w:rsid w:val="00324313"/>
    <w:rsid w:val="0032483B"/>
    <w:rsid w:val="00324EF3"/>
    <w:rsid w:val="003258B9"/>
    <w:rsid w:val="00325BB1"/>
    <w:rsid w:val="0032602B"/>
    <w:rsid w:val="0032628A"/>
    <w:rsid w:val="003268DC"/>
    <w:rsid w:val="00326B54"/>
    <w:rsid w:val="00326E56"/>
    <w:rsid w:val="00326E7F"/>
    <w:rsid w:val="00327A24"/>
    <w:rsid w:val="00327AD1"/>
    <w:rsid w:val="003303F8"/>
    <w:rsid w:val="00330C74"/>
    <w:rsid w:val="00330CF7"/>
    <w:rsid w:val="00330DBE"/>
    <w:rsid w:val="00331043"/>
    <w:rsid w:val="003314C7"/>
    <w:rsid w:val="00331520"/>
    <w:rsid w:val="00331AEB"/>
    <w:rsid w:val="00331D86"/>
    <w:rsid w:val="00331F92"/>
    <w:rsid w:val="0033253B"/>
    <w:rsid w:val="00332A3C"/>
    <w:rsid w:val="00332A88"/>
    <w:rsid w:val="00332ED9"/>
    <w:rsid w:val="00332F8F"/>
    <w:rsid w:val="00333027"/>
    <w:rsid w:val="00333446"/>
    <w:rsid w:val="00333587"/>
    <w:rsid w:val="00333908"/>
    <w:rsid w:val="00333C52"/>
    <w:rsid w:val="00333EFA"/>
    <w:rsid w:val="0033417F"/>
    <w:rsid w:val="003348EE"/>
    <w:rsid w:val="00334EDE"/>
    <w:rsid w:val="003350FE"/>
    <w:rsid w:val="0033514A"/>
    <w:rsid w:val="00335572"/>
    <w:rsid w:val="003357AC"/>
    <w:rsid w:val="0033586A"/>
    <w:rsid w:val="00335E4B"/>
    <w:rsid w:val="00335FFF"/>
    <w:rsid w:val="0033607E"/>
    <w:rsid w:val="0033609C"/>
    <w:rsid w:val="003361E9"/>
    <w:rsid w:val="00336344"/>
    <w:rsid w:val="00336676"/>
    <w:rsid w:val="0033683D"/>
    <w:rsid w:val="003368E6"/>
    <w:rsid w:val="00336D09"/>
    <w:rsid w:val="003400C3"/>
    <w:rsid w:val="00340162"/>
    <w:rsid w:val="003403A7"/>
    <w:rsid w:val="003403C1"/>
    <w:rsid w:val="003406C5"/>
    <w:rsid w:val="00340FF1"/>
    <w:rsid w:val="00341336"/>
    <w:rsid w:val="003414FD"/>
    <w:rsid w:val="003417AB"/>
    <w:rsid w:val="00341B94"/>
    <w:rsid w:val="00342031"/>
    <w:rsid w:val="003422AA"/>
    <w:rsid w:val="003422EA"/>
    <w:rsid w:val="00342319"/>
    <w:rsid w:val="0034238D"/>
    <w:rsid w:val="0034268D"/>
    <w:rsid w:val="00342FC3"/>
    <w:rsid w:val="00342FE6"/>
    <w:rsid w:val="00343616"/>
    <w:rsid w:val="00343903"/>
    <w:rsid w:val="00343BF8"/>
    <w:rsid w:val="00343EB8"/>
    <w:rsid w:val="0034465D"/>
    <w:rsid w:val="003447FE"/>
    <w:rsid w:val="0034504C"/>
    <w:rsid w:val="0034528E"/>
    <w:rsid w:val="00345A7B"/>
    <w:rsid w:val="00345C0B"/>
    <w:rsid w:val="00345E1B"/>
    <w:rsid w:val="003461DC"/>
    <w:rsid w:val="0034646A"/>
    <w:rsid w:val="003464D5"/>
    <w:rsid w:val="0034661F"/>
    <w:rsid w:val="00346D5B"/>
    <w:rsid w:val="00346F75"/>
    <w:rsid w:val="003470B8"/>
    <w:rsid w:val="0034778C"/>
    <w:rsid w:val="00347899"/>
    <w:rsid w:val="003502E9"/>
    <w:rsid w:val="0035032A"/>
    <w:rsid w:val="00350581"/>
    <w:rsid w:val="0035087E"/>
    <w:rsid w:val="00350C53"/>
    <w:rsid w:val="00350CBB"/>
    <w:rsid w:val="00350E71"/>
    <w:rsid w:val="00350E90"/>
    <w:rsid w:val="00351230"/>
    <w:rsid w:val="003516D7"/>
    <w:rsid w:val="003518D5"/>
    <w:rsid w:val="00351A4D"/>
    <w:rsid w:val="00351B9E"/>
    <w:rsid w:val="003526A5"/>
    <w:rsid w:val="003528E9"/>
    <w:rsid w:val="00353154"/>
    <w:rsid w:val="00353621"/>
    <w:rsid w:val="003537D5"/>
    <w:rsid w:val="00353964"/>
    <w:rsid w:val="00353A47"/>
    <w:rsid w:val="00353AAA"/>
    <w:rsid w:val="00353ADA"/>
    <w:rsid w:val="00353C7E"/>
    <w:rsid w:val="003543B8"/>
    <w:rsid w:val="00354780"/>
    <w:rsid w:val="0035485A"/>
    <w:rsid w:val="003548B9"/>
    <w:rsid w:val="00354AC5"/>
    <w:rsid w:val="003558BC"/>
    <w:rsid w:val="00355DA9"/>
    <w:rsid w:val="003560C9"/>
    <w:rsid w:val="0035621E"/>
    <w:rsid w:val="00356758"/>
    <w:rsid w:val="003568E4"/>
    <w:rsid w:val="0035692B"/>
    <w:rsid w:val="00357CFB"/>
    <w:rsid w:val="00357D7F"/>
    <w:rsid w:val="003600DB"/>
    <w:rsid w:val="00361798"/>
    <w:rsid w:val="003618A2"/>
    <w:rsid w:val="00361B64"/>
    <w:rsid w:val="0036230F"/>
    <w:rsid w:val="003623B0"/>
    <w:rsid w:val="003627BD"/>
    <w:rsid w:val="00362AF7"/>
    <w:rsid w:val="00362BF0"/>
    <w:rsid w:val="00362D13"/>
    <w:rsid w:val="00362FAB"/>
    <w:rsid w:val="003630CB"/>
    <w:rsid w:val="0036385B"/>
    <w:rsid w:val="0036426F"/>
    <w:rsid w:val="003642D3"/>
    <w:rsid w:val="0036468A"/>
    <w:rsid w:val="00364735"/>
    <w:rsid w:val="00365101"/>
    <w:rsid w:val="00365D21"/>
    <w:rsid w:val="0036646E"/>
    <w:rsid w:val="00366478"/>
    <w:rsid w:val="00366684"/>
    <w:rsid w:val="00366AC3"/>
    <w:rsid w:val="00366C20"/>
    <w:rsid w:val="00367D2A"/>
    <w:rsid w:val="00367D37"/>
    <w:rsid w:val="00367E1D"/>
    <w:rsid w:val="00367E58"/>
    <w:rsid w:val="00370841"/>
    <w:rsid w:val="00370DEF"/>
    <w:rsid w:val="00371460"/>
    <w:rsid w:val="003715CE"/>
    <w:rsid w:val="003715FC"/>
    <w:rsid w:val="00371E17"/>
    <w:rsid w:val="00372431"/>
    <w:rsid w:val="00372549"/>
    <w:rsid w:val="003726AE"/>
    <w:rsid w:val="00372950"/>
    <w:rsid w:val="00372CBB"/>
    <w:rsid w:val="00372DDA"/>
    <w:rsid w:val="003733C1"/>
    <w:rsid w:val="00373744"/>
    <w:rsid w:val="003740A7"/>
    <w:rsid w:val="003742AB"/>
    <w:rsid w:val="00374521"/>
    <w:rsid w:val="00374C64"/>
    <w:rsid w:val="003753CE"/>
    <w:rsid w:val="0037551C"/>
    <w:rsid w:val="00375B8B"/>
    <w:rsid w:val="003764BC"/>
    <w:rsid w:val="00376619"/>
    <w:rsid w:val="00377034"/>
    <w:rsid w:val="0037749C"/>
    <w:rsid w:val="003777A3"/>
    <w:rsid w:val="003777A4"/>
    <w:rsid w:val="00377940"/>
    <w:rsid w:val="00377CF3"/>
    <w:rsid w:val="00380397"/>
    <w:rsid w:val="003803E1"/>
    <w:rsid w:val="0038090A"/>
    <w:rsid w:val="00380F85"/>
    <w:rsid w:val="00381539"/>
    <w:rsid w:val="00381B19"/>
    <w:rsid w:val="00381F48"/>
    <w:rsid w:val="003820AF"/>
    <w:rsid w:val="003826A1"/>
    <w:rsid w:val="003829E0"/>
    <w:rsid w:val="00382C8A"/>
    <w:rsid w:val="00382D18"/>
    <w:rsid w:val="00383296"/>
    <w:rsid w:val="003836D9"/>
    <w:rsid w:val="0038370F"/>
    <w:rsid w:val="003837C1"/>
    <w:rsid w:val="00383A87"/>
    <w:rsid w:val="00383B12"/>
    <w:rsid w:val="00383D81"/>
    <w:rsid w:val="00384103"/>
    <w:rsid w:val="00384133"/>
    <w:rsid w:val="00384A12"/>
    <w:rsid w:val="00385A19"/>
    <w:rsid w:val="00385ADB"/>
    <w:rsid w:val="003864C5"/>
    <w:rsid w:val="003867F7"/>
    <w:rsid w:val="00386A90"/>
    <w:rsid w:val="00386AD9"/>
    <w:rsid w:val="00386E14"/>
    <w:rsid w:val="00386E84"/>
    <w:rsid w:val="00387030"/>
    <w:rsid w:val="003873C4"/>
    <w:rsid w:val="003877C5"/>
    <w:rsid w:val="003879CE"/>
    <w:rsid w:val="00387A69"/>
    <w:rsid w:val="003903BA"/>
    <w:rsid w:val="003904B6"/>
    <w:rsid w:val="003908E2"/>
    <w:rsid w:val="00390C74"/>
    <w:rsid w:val="00390CCC"/>
    <w:rsid w:val="00390D7C"/>
    <w:rsid w:val="00391212"/>
    <w:rsid w:val="0039134A"/>
    <w:rsid w:val="003913DC"/>
    <w:rsid w:val="0039144E"/>
    <w:rsid w:val="0039170C"/>
    <w:rsid w:val="0039199F"/>
    <w:rsid w:val="00391A00"/>
    <w:rsid w:val="00391AB6"/>
    <w:rsid w:val="00391D51"/>
    <w:rsid w:val="00392072"/>
    <w:rsid w:val="0039282A"/>
    <w:rsid w:val="00392B21"/>
    <w:rsid w:val="00393440"/>
    <w:rsid w:val="003937C5"/>
    <w:rsid w:val="00393B9D"/>
    <w:rsid w:val="003943DF"/>
    <w:rsid w:val="00394A8D"/>
    <w:rsid w:val="00394E07"/>
    <w:rsid w:val="0039505C"/>
    <w:rsid w:val="00395556"/>
    <w:rsid w:val="00395D86"/>
    <w:rsid w:val="003960A2"/>
    <w:rsid w:val="00396184"/>
    <w:rsid w:val="003962F2"/>
    <w:rsid w:val="00396E7C"/>
    <w:rsid w:val="00396F87"/>
    <w:rsid w:val="003972AC"/>
    <w:rsid w:val="00397A76"/>
    <w:rsid w:val="00397DA8"/>
    <w:rsid w:val="003A0143"/>
    <w:rsid w:val="003A07B7"/>
    <w:rsid w:val="003A12D3"/>
    <w:rsid w:val="003A182D"/>
    <w:rsid w:val="003A19B7"/>
    <w:rsid w:val="003A1E6B"/>
    <w:rsid w:val="003A2E14"/>
    <w:rsid w:val="003A309A"/>
    <w:rsid w:val="003A3778"/>
    <w:rsid w:val="003A407A"/>
    <w:rsid w:val="003A4B02"/>
    <w:rsid w:val="003A4DED"/>
    <w:rsid w:val="003A504F"/>
    <w:rsid w:val="003A54A3"/>
    <w:rsid w:val="003A5B3E"/>
    <w:rsid w:val="003A5FA9"/>
    <w:rsid w:val="003A61BD"/>
    <w:rsid w:val="003A686F"/>
    <w:rsid w:val="003A68B0"/>
    <w:rsid w:val="003A69F8"/>
    <w:rsid w:val="003A6A5A"/>
    <w:rsid w:val="003A6F72"/>
    <w:rsid w:val="003A778F"/>
    <w:rsid w:val="003B006D"/>
    <w:rsid w:val="003B0411"/>
    <w:rsid w:val="003B083E"/>
    <w:rsid w:val="003B0AB0"/>
    <w:rsid w:val="003B0E52"/>
    <w:rsid w:val="003B103E"/>
    <w:rsid w:val="003B10D1"/>
    <w:rsid w:val="003B15EA"/>
    <w:rsid w:val="003B1869"/>
    <w:rsid w:val="003B1A4A"/>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25"/>
    <w:rsid w:val="003B5840"/>
    <w:rsid w:val="003B5AD5"/>
    <w:rsid w:val="003B5E45"/>
    <w:rsid w:val="003B63FD"/>
    <w:rsid w:val="003B64EB"/>
    <w:rsid w:val="003B67BD"/>
    <w:rsid w:val="003B6814"/>
    <w:rsid w:val="003B7459"/>
    <w:rsid w:val="003B790B"/>
    <w:rsid w:val="003B7C22"/>
    <w:rsid w:val="003C01C4"/>
    <w:rsid w:val="003C0478"/>
    <w:rsid w:val="003C05E5"/>
    <w:rsid w:val="003C0AC3"/>
    <w:rsid w:val="003C11E9"/>
    <w:rsid w:val="003C137F"/>
    <w:rsid w:val="003C13C3"/>
    <w:rsid w:val="003C14C5"/>
    <w:rsid w:val="003C15BD"/>
    <w:rsid w:val="003C17BA"/>
    <w:rsid w:val="003C19F6"/>
    <w:rsid w:val="003C21AB"/>
    <w:rsid w:val="003C237B"/>
    <w:rsid w:val="003C2556"/>
    <w:rsid w:val="003C2AA0"/>
    <w:rsid w:val="003C2B19"/>
    <w:rsid w:val="003C3376"/>
    <w:rsid w:val="003C3419"/>
    <w:rsid w:val="003C391E"/>
    <w:rsid w:val="003C39B2"/>
    <w:rsid w:val="003C3BA3"/>
    <w:rsid w:val="003C3C9D"/>
    <w:rsid w:val="003C3CA7"/>
    <w:rsid w:val="003C41B6"/>
    <w:rsid w:val="003C44FB"/>
    <w:rsid w:val="003C46AE"/>
    <w:rsid w:val="003C4B5F"/>
    <w:rsid w:val="003C526E"/>
    <w:rsid w:val="003C53C0"/>
    <w:rsid w:val="003C5B3D"/>
    <w:rsid w:val="003C5D7B"/>
    <w:rsid w:val="003C5D95"/>
    <w:rsid w:val="003C6133"/>
    <w:rsid w:val="003C6D98"/>
    <w:rsid w:val="003C6FD0"/>
    <w:rsid w:val="003C70FF"/>
    <w:rsid w:val="003C7AF5"/>
    <w:rsid w:val="003D03B6"/>
    <w:rsid w:val="003D0A8A"/>
    <w:rsid w:val="003D0B3A"/>
    <w:rsid w:val="003D0B72"/>
    <w:rsid w:val="003D0CD0"/>
    <w:rsid w:val="003D12E6"/>
    <w:rsid w:val="003D28BC"/>
    <w:rsid w:val="003D2976"/>
    <w:rsid w:val="003D2B67"/>
    <w:rsid w:val="003D2C05"/>
    <w:rsid w:val="003D2CB4"/>
    <w:rsid w:val="003D2E1C"/>
    <w:rsid w:val="003D30B1"/>
    <w:rsid w:val="003D3AB6"/>
    <w:rsid w:val="003D3D9E"/>
    <w:rsid w:val="003D3E19"/>
    <w:rsid w:val="003D448C"/>
    <w:rsid w:val="003D46AF"/>
    <w:rsid w:val="003D4A14"/>
    <w:rsid w:val="003D4D57"/>
    <w:rsid w:val="003D536A"/>
    <w:rsid w:val="003D539B"/>
    <w:rsid w:val="003D54A4"/>
    <w:rsid w:val="003D555E"/>
    <w:rsid w:val="003D55CD"/>
    <w:rsid w:val="003D56BB"/>
    <w:rsid w:val="003D57D6"/>
    <w:rsid w:val="003D57E4"/>
    <w:rsid w:val="003D5D0D"/>
    <w:rsid w:val="003D5D1C"/>
    <w:rsid w:val="003D5FAF"/>
    <w:rsid w:val="003D62E6"/>
    <w:rsid w:val="003D6403"/>
    <w:rsid w:val="003D6497"/>
    <w:rsid w:val="003D6AEC"/>
    <w:rsid w:val="003D728D"/>
    <w:rsid w:val="003D7443"/>
    <w:rsid w:val="003D76C7"/>
    <w:rsid w:val="003D7728"/>
    <w:rsid w:val="003D7D6E"/>
    <w:rsid w:val="003D7FE3"/>
    <w:rsid w:val="003E047B"/>
    <w:rsid w:val="003E0819"/>
    <w:rsid w:val="003E0F59"/>
    <w:rsid w:val="003E118B"/>
    <w:rsid w:val="003E159D"/>
    <w:rsid w:val="003E160A"/>
    <w:rsid w:val="003E1A13"/>
    <w:rsid w:val="003E1C91"/>
    <w:rsid w:val="003E1E57"/>
    <w:rsid w:val="003E21AE"/>
    <w:rsid w:val="003E2505"/>
    <w:rsid w:val="003E27C0"/>
    <w:rsid w:val="003E305F"/>
    <w:rsid w:val="003E38E2"/>
    <w:rsid w:val="003E3D7B"/>
    <w:rsid w:val="003E49AC"/>
    <w:rsid w:val="003E4A9C"/>
    <w:rsid w:val="003E4F6D"/>
    <w:rsid w:val="003E4FA0"/>
    <w:rsid w:val="003E5401"/>
    <w:rsid w:val="003E64AB"/>
    <w:rsid w:val="003E673A"/>
    <w:rsid w:val="003E6911"/>
    <w:rsid w:val="003E721C"/>
    <w:rsid w:val="003E76ED"/>
    <w:rsid w:val="003E779A"/>
    <w:rsid w:val="003E7AB8"/>
    <w:rsid w:val="003E7C4C"/>
    <w:rsid w:val="003E7F6B"/>
    <w:rsid w:val="003E7FF0"/>
    <w:rsid w:val="003F0113"/>
    <w:rsid w:val="003F03C8"/>
    <w:rsid w:val="003F0452"/>
    <w:rsid w:val="003F0A5C"/>
    <w:rsid w:val="003F0A67"/>
    <w:rsid w:val="003F1056"/>
    <w:rsid w:val="003F1485"/>
    <w:rsid w:val="003F15FE"/>
    <w:rsid w:val="003F21ED"/>
    <w:rsid w:val="003F2650"/>
    <w:rsid w:val="003F34B8"/>
    <w:rsid w:val="003F3A03"/>
    <w:rsid w:val="003F3FFD"/>
    <w:rsid w:val="003F4935"/>
    <w:rsid w:val="003F5141"/>
    <w:rsid w:val="003F54BD"/>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595"/>
    <w:rsid w:val="0040571A"/>
    <w:rsid w:val="0040578D"/>
    <w:rsid w:val="0040591E"/>
    <w:rsid w:val="00405B4F"/>
    <w:rsid w:val="00405BEE"/>
    <w:rsid w:val="00405DC5"/>
    <w:rsid w:val="00406085"/>
    <w:rsid w:val="00406727"/>
    <w:rsid w:val="004067AF"/>
    <w:rsid w:val="00406B0B"/>
    <w:rsid w:val="00406B1F"/>
    <w:rsid w:val="004077D3"/>
    <w:rsid w:val="00407C8E"/>
    <w:rsid w:val="00407DF7"/>
    <w:rsid w:val="00410203"/>
    <w:rsid w:val="004105FC"/>
    <w:rsid w:val="0041070B"/>
    <w:rsid w:val="00410775"/>
    <w:rsid w:val="00410A32"/>
    <w:rsid w:val="00410BCF"/>
    <w:rsid w:val="00411467"/>
    <w:rsid w:val="004116CC"/>
    <w:rsid w:val="00411D42"/>
    <w:rsid w:val="00411FC5"/>
    <w:rsid w:val="00412888"/>
    <w:rsid w:val="004129E1"/>
    <w:rsid w:val="00412D69"/>
    <w:rsid w:val="00412FD1"/>
    <w:rsid w:val="00413051"/>
    <w:rsid w:val="00413392"/>
    <w:rsid w:val="00413565"/>
    <w:rsid w:val="00413927"/>
    <w:rsid w:val="00413CBC"/>
    <w:rsid w:val="00414332"/>
    <w:rsid w:val="004143BA"/>
    <w:rsid w:val="00414A37"/>
    <w:rsid w:val="0041516E"/>
    <w:rsid w:val="004156D7"/>
    <w:rsid w:val="0041590F"/>
    <w:rsid w:val="00415975"/>
    <w:rsid w:val="00415BDC"/>
    <w:rsid w:val="00415F8E"/>
    <w:rsid w:val="0041622B"/>
    <w:rsid w:val="00416257"/>
    <w:rsid w:val="00416DE6"/>
    <w:rsid w:val="00416EE2"/>
    <w:rsid w:val="0041733B"/>
    <w:rsid w:val="00417411"/>
    <w:rsid w:val="00417814"/>
    <w:rsid w:val="00417DEF"/>
    <w:rsid w:val="00420273"/>
    <w:rsid w:val="00420675"/>
    <w:rsid w:val="00420862"/>
    <w:rsid w:val="00420BB7"/>
    <w:rsid w:val="004212FF"/>
    <w:rsid w:val="00421365"/>
    <w:rsid w:val="004219A4"/>
    <w:rsid w:val="0042275D"/>
    <w:rsid w:val="00422996"/>
    <w:rsid w:val="004229FE"/>
    <w:rsid w:val="00422D5F"/>
    <w:rsid w:val="004235C3"/>
    <w:rsid w:val="0042441B"/>
    <w:rsid w:val="004246B9"/>
    <w:rsid w:val="0042492B"/>
    <w:rsid w:val="00424CFF"/>
    <w:rsid w:val="00425483"/>
    <w:rsid w:val="0042552A"/>
    <w:rsid w:val="0042572A"/>
    <w:rsid w:val="00425852"/>
    <w:rsid w:val="0042613F"/>
    <w:rsid w:val="00426883"/>
    <w:rsid w:val="00426DE8"/>
    <w:rsid w:val="00426E99"/>
    <w:rsid w:val="00426F74"/>
    <w:rsid w:val="00427131"/>
    <w:rsid w:val="00427C0C"/>
    <w:rsid w:val="00427D21"/>
    <w:rsid w:val="00430216"/>
    <w:rsid w:val="004306BA"/>
    <w:rsid w:val="00430AE4"/>
    <w:rsid w:val="00430D2A"/>
    <w:rsid w:val="00430E36"/>
    <w:rsid w:val="00430FD9"/>
    <w:rsid w:val="00431031"/>
    <w:rsid w:val="00431594"/>
    <w:rsid w:val="004316DF"/>
    <w:rsid w:val="004318B3"/>
    <w:rsid w:val="00431A0D"/>
    <w:rsid w:val="0043217C"/>
    <w:rsid w:val="0043220E"/>
    <w:rsid w:val="0043278C"/>
    <w:rsid w:val="004329A8"/>
    <w:rsid w:val="00432E79"/>
    <w:rsid w:val="00432F24"/>
    <w:rsid w:val="00432F80"/>
    <w:rsid w:val="0043332F"/>
    <w:rsid w:val="004334ED"/>
    <w:rsid w:val="004339B7"/>
    <w:rsid w:val="0043406D"/>
    <w:rsid w:val="00434633"/>
    <w:rsid w:val="00434CA8"/>
    <w:rsid w:val="00434CBB"/>
    <w:rsid w:val="00434DE0"/>
    <w:rsid w:val="00435B02"/>
    <w:rsid w:val="00435CA8"/>
    <w:rsid w:val="0043614D"/>
    <w:rsid w:val="00436186"/>
    <w:rsid w:val="0043670D"/>
    <w:rsid w:val="004367F4"/>
    <w:rsid w:val="004368B6"/>
    <w:rsid w:val="00436946"/>
    <w:rsid w:val="00436983"/>
    <w:rsid w:val="00436D85"/>
    <w:rsid w:val="00437F80"/>
    <w:rsid w:val="00440625"/>
    <w:rsid w:val="00440E31"/>
    <w:rsid w:val="00441624"/>
    <w:rsid w:val="00442129"/>
    <w:rsid w:val="0044260F"/>
    <w:rsid w:val="00442A99"/>
    <w:rsid w:val="00442BB7"/>
    <w:rsid w:val="004432C9"/>
    <w:rsid w:val="00443CDA"/>
    <w:rsid w:val="00443E3C"/>
    <w:rsid w:val="00443F79"/>
    <w:rsid w:val="00443FA2"/>
    <w:rsid w:val="004440F2"/>
    <w:rsid w:val="004447E5"/>
    <w:rsid w:val="004448B9"/>
    <w:rsid w:val="00444A8C"/>
    <w:rsid w:val="00444D12"/>
    <w:rsid w:val="00445211"/>
    <w:rsid w:val="00445333"/>
    <w:rsid w:val="004453FD"/>
    <w:rsid w:val="004456F0"/>
    <w:rsid w:val="00445784"/>
    <w:rsid w:val="004459AF"/>
    <w:rsid w:val="004461F7"/>
    <w:rsid w:val="004463CD"/>
    <w:rsid w:val="00446DED"/>
    <w:rsid w:val="00446EDF"/>
    <w:rsid w:val="00447181"/>
    <w:rsid w:val="0044719B"/>
    <w:rsid w:val="004473C3"/>
    <w:rsid w:val="004479BD"/>
    <w:rsid w:val="00447BEC"/>
    <w:rsid w:val="00447CF1"/>
    <w:rsid w:val="00447EE1"/>
    <w:rsid w:val="0045019D"/>
    <w:rsid w:val="00450325"/>
    <w:rsid w:val="00450CE0"/>
    <w:rsid w:val="0045140F"/>
    <w:rsid w:val="00451421"/>
    <w:rsid w:val="0045180A"/>
    <w:rsid w:val="00451F35"/>
    <w:rsid w:val="004523F8"/>
    <w:rsid w:val="00452828"/>
    <w:rsid w:val="00452B35"/>
    <w:rsid w:val="00453B8A"/>
    <w:rsid w:val="00453F9C"/>
    <w:rsid w:val="004542CB"/>
    <w:rsid w:val="0045437C"/>
    <w:rsid w:val="00454727"/>
    <w:rsid w:val="0045484F"/>
    <w:rsid w:val="00454C75"/>
    <w:rsid w:val="00455306"/>
    <w:rsid w:val="00455799"/>
    <w:rsid w:val="004557F1"/>
    <w:rsid w:val="0045584C"/>
    <w:rsid w:val="00456142"/>
    <w:rsid w:val="004563EF"/>
    <w:rsid w:val="00456788"/>
    <w:rsid w:val="004568E0"/>
    <w:rsid w:val="00456BFD"/>
    <w:rsid w:val="00456C23"/>
    <w:rsid w:val="00456D59"/>
    <w:rsid w:val="00457002"/>
    <w:rsid w:val="00457701"/>
    <w:rsid w:val="00457801"/>
    <w:rsid w:val="004578A2"/>
    <w:rsid w:val="00457DC6"/>
    <w:rsid w:val="00457F06"/>
    <w:rsid w:val="0046059C"/>
    <w:rsid w:val="00460859"/>
    <w:rsid w:val="00460B46"/>
    <w:rsid w:val="00460CF6"/>
    <w:rsid w:val="00460DD2"/>
    <w:rsid w:val="00461926"/>
    <w:rsid w:val="00461CC1"/>
    <w:rsid w:val="0046264E"/>
    <w:rsid w:val="004626A3"/>
    <w:rsid w:val="004632DC"/>
    <w:rsid w:val="00463A1D"/>
    <w:rsid w:val="00463EE0"/>
    <w:rsid w:val="004641E7"/>
    <w:rsid w:val="00464265"/>
    <w:rsid w:val="004648B6"/>
    <w:rsid w:val="00464917"/>
    <w:rsid w:val="00465003"/>
    <w:rsid w:val="00465042"/>
    <w:rsid w:val="00465271"/>
    <w:rsid w:val="00465467"/>
    <w:rsid w:val="00465ACE"/>
    <w:rsid w:val="00465B82"/>
    <w:rsid w:val="00465BC9"/>
    <w:rsid w:val="00465D78"/>
    <w:rsid w:val="00466AE0"/>
    <w:rsid w:val="00466FD2"/>
    <w:rsid w:val="00467335"/>
    <w:rsid w:val="004674E2"/>
    <w:rsid w:val="00467CB2"/>
    <w:rsid w:val="00470372"/>
    <w:rsid w:val="004708B5"/>
    <w:rsid w:val="00470AD1"/>
    <w:rsid w:val="00470E63"/>
    <w:rsid w:val="00470FB7"/>
    <w:rsid w:val="0047113A"/>
    <w:rsid w:val="004716F5"/>
    <w:rsid w:val="004725DB"/>
    <w:rsid w:val="00472756"/>
    <w:rsid w:val="00472847"/>
    <w:rsid w:val="00473521"/>
    <w:rsid w:val="004735D7"/>
    <w:rsid w:val="004738B8"/>
    <w:rsid w:val="00473DE9"/>
    <w:rsid w:val="00473E4A"/>
    <w:rsid w:val="00473F06"/>
    <w:rsid w:val="004744D1"/>
    <w:rsid w:val="00474B04"/>
    <w:rsid w:val="0047530D"/>
    <w:rsid w:val="0047532B"/>
    <w:rsid w:val="00475A86"/>
    <w:rsid w:val="00475A91"/>
    <w:rsid w:val="00475E6F"/>
    <w:rsid w:val="00475F77"/>
    <w:rsid w:val="0047650A"/>
    <w:rsid w:val="00476633"/>
    <w:rsid w:val="00476820"/>
    <w:rsid w:val="00476909"/>
    <w:rsid w:val="004769AB"/>
    <w:rsid w:val="00476FFC"/>
    <w:rsid w:val="004773C5"/>
    <w:rsid w:val="00477821"/>
    <w:rsid w:val="00477936"/>
    <w:rsid w:val="0048010B"/>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E36"/>
    <w:rsid w:val="00484746"/>
    <w:rsid w:val="004848E8"/>
    <w:rsid w:val="00484DDC"/>
    <w:rsid w:val="004858E7"/>
    <w:rsid w:val="00485A8B"/>
    <w:rsid w:val="00485D0C"/>
    <w:rsid w:val="00485F6E"/>
    <w:rsid w:val="0048629D"/>
    <w:rsid w:val="00486553"/>
    <w:rsid w:val="004868E3"/>
    <w:rsid w:val="0048746C"/>
    <w:rsid w:val="00487582"/>
    <w:rsid w:val="00487788"/>
    <w:rsid w:val="00490068"/>
    <w:rsid w:val="00490335"/>
    <w:rsid w:val="00490369"/>
    <w:rsid w:val="004909D7"/>
    <w:rsid w:val="00491277"/>
    <w:rsid w:val="00491753"/>
    <w:rsid w:val="004917B0"/>
    <w:rsid w:val="00491A7A"/>
    <w:rsid w:val="00492682"/>
    <w:rsid w:val="004928C5"/>
    <w:rsid w:val="00492900"/>
    <w:rsid w:val="00492A35"/>
    <w:rsid w:val="00493590"/>
    <w:rsid w:val="004935A7"/>
    <w:rsid w:val="0049373D"/>
    <w:rsid w:val="00493791"/>
    <w:rsid w:val="0049386E"/>
    <w:rsid w:val="00493EAC"/>
    <w:rsid w:val="004941DC"/>
    <w:rsid w:val="00494665"/>
    <w:rsid w:val="00494EA6"/>
    <w:rsid w:val="004952FA"/>
    <w:rsid w:val="00496957"/>
    <w:rsid w:val="00496AD3"/>
    <w:rsid w:val="00496F6F"/>
    <w:rsid w:val="00497392"/>
    <w:rsid w:val="004973E5"/>
    <w:rsid w:val="00497731"/>
    <w:rsid w:val="004A04FA"/>
    <w:rsid w:val="004A0708"/>
    <w:rsid w:val="004A0919"/>
    <w:rsid w:val="004A110D"/>
    <w:rsid w:val="004A172F"/>
    <w:rsid w:val="004A1AEB"/>
    <w:rsid w:val="004A1C61"/>
    <w:rsid w:val="004A20C2"/>
    <w:rsid w:val="004A25A3"/>
    <w:rsid w:val="004A29E0"/>
    <w:rsid w:val="004A2C76"/>
    <w:rsid w:val="004A2F30"/>
    <w:rsid w:val="004A305F"/>
    <w:rsid w:val="004A33F7"/>
    <w:rsid w:val="004A3DAE"/>
    <w:rsid w:val="004A3EB5"/>
    <w:rsid w:val="004A472C"/>
    <w:rsid w:val="004A5199"/>
    <w:rsid w:val="004A522C"/>
    <w:rsid w:val="004A567A"/>
    <w:rsid w:val="004A56D1"/>
    <w:rsid w:val="004A5F17"/>
    <w:rsid w:val="004A5F3B"/>
    <w:rsid w:val="004A60F0"/>
    <w:rsid w:val="004A619D"/>
    <w:rsid w:val="004A6313"/>
    <w:rsid w:val="004A6B7B"/>
    <w:rsid w:val="004A6D4F"/>
    <w:rsid w:val="004A7EEA"/>
    <w:rsid w:val="004B01DF"/>
    <w:rsid w:val="004B029D"/>
    <w:rsid w:val="004B0A50"/>
    <w:rsid w:val="004B0C3F"/>
    <w:rsid w:val="004B0D03"/>
    <w:rsid w:val="004B12B3"/>
    <w:rsid w:val="004B18AC"/>
    <w:rsid w:val="004B2933"/>
    <w:rsid w:val="004B2B9E"/>
    <w:rsid w:val="004B3151"/>
    <w:rsid w:val="004B395E"/>
    <w:rsid w:val="004B42C0"/>
    <w:rsid w:val="004B42D6"/>
    <w:rsid w:val="004B4347"/>
    <w:rsid w:val="004B4485"/>
    <w:rsid w:val="004B4C90"/>
    <w:rsid w:val="004B4F98"/>
    <w:rsid w:val="004B4FE2"/>
    <w:rsid w:val="004B522A"/>
    <w:rsid w:val="004B5B15"/>
    <w:rsid w:val="004B5BE0"/>
    <w:rsid w:val="004B6380"/>
    <w:rsid w:val="004B642C"/>
    <w:rsid w:val="004B6834"/>
    <w:rsid w:val="004B6A8E"/>
    <w:rsid w:val="004B6BD7"/>
    <w:rsid w:val="004B7F2A"/>
    <w:rsid w:val="004C0152"/>
    <w:rsid w:val="004C023A"/>
    <w:rsid w:val="004C0AB0"/>
    <w:rsid w:val="004C0D89"/>
    <w:rsid w:val="004C0DFE"/>
    <w:rsid w:val="004C1B9B"/>
    <w:rsid w:val="004C1BE1"/>
    <w:rsid w:val="004C202F"/>
    <w:rsid w:val="004C20D6"/>
    <w:rsid w:val="004C2333"/>
    <w:rsid w:val="004C2A11"/>
    <w:rsid w:val="004C2B8F"/>
    <w:rsid w:val="004C2CFB"/>
    <w:rsid w:val="004C3311"/>
    <w:rsid w:val="004C34BF"/>
    <w:rsid w:val="004C3A7A"/>
    <w:rsid w:val="004C3B26"/>
    <w:rsid w:val="004C3C6D"/>
    <w:rsid w:val="004C3DAE"/>
    <w:rsid w:val="004C3E18"/>
    <w:rsid w:val="004C4000"/>
    <w:rsid w:val="004C430C"/>
    <w:rsid w:val="004C452A"/>
    <w:rsid w:val="004C4BC4"/>
    <w:rsid w:val="004C5071"/>
    <w:rsid w:val="004C5866"/>
    <w:rsid w:val="004C604F"/>
    <w:rsid w:val="004C6521"/>
    <w:rsid w:val="004C6629"/>
    <w:rsid w:val="004C6A57"/>
    <w:rsid w:val="004C6B41"/>
    <w:rsid w:val="004C74EF"/>
    <w:rsid w:val="004C7733"/>
    <w:rsid w:val="004C7C32"/>
    <w:rsid w:val="004D018C"/>
    <w:rsid w:val="004D03E6"/>
    <w:rsid w:val="004D044A"/>
    <w:rsid w:val="004D0C63"/>
    <w:rsid w:val="004D0E95"/>
    <w:rsid w:val="004D1CED"/>
    <w:rsid w:val="004D1E28"/>
    <w:rsid w:val="004D1F6C"/>
    <w:rsid w:val="004D2502"/>
    <w:rsid w:val="004D2558"/>
    <w:rsid w:val="004D25CA"/>
    <w:rsid w:val="004D2886"/>
    <w:rsid w:val="004D2B45"/>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6CC"/>
    <w:rsid w:val="004D7EAD"/>
    <w:rsid w:val="004E06EF"/>
    <w:rsid w:val="004E0DF8"/>
    <w:rsid w:val="004E1282"/>
    <w:rsid w:val="004E15B0"/>
    <w:rsid w:val="004E16A5"/>
    <w:rsid w:val="004E1FF0"/>
    <w:rsid w:val="004E209A"/>
    <w:rsid w:val="004E20D5"/>
    <w:rsid w:val="004E2221"/>
    <w:rsid w:val="004E250C"/>
    <w:rsid w:val="004E2518"/>
    <w:rsid w:val="004E28DA"/>
    <w:rsid w:val="004E290E"/>
    <w:rsid w:val="004E2CA8"/>
    <w:rsid w:val="004E3098"/>
    <w:rsid w:val="004E3862"/>
    <w:rsid w:val="004E3C88"/>
    <w:rsid w:val="004E4025"/>
    <w:rsid w:val="004E4145"/>
    <w:rsid w:val="004E4228"/>
    <w:rsid w:val="004E451D"/>
    <w:rsid w:val="004E4810"/>
    <w:rsid w:val="004E48E0"/>
    <w:rsid w:val="004E4F66"/>
    <w:rsid w:val="004E4FAF"/>
    <w:rsid w:val="004E4FB3"/>
    <w:rsid w:val="004E51E2"/>
    <w:rsid w:val="004E562B"/>
    <w:rsid w:val="004E58FB"/>
    <w:rsid w:val="004E596E"/>
    <w:rsid w:val="004E59A2"/>
    <w:rsid w:val="004E5B8A"/>
    <w:rsid w:val="004E6040"/>
    <w:rsid w:val="004E64B6"/>
    <w:rsid w:val="004E6867"/>
    <w:rsid w:val="004E6A5A"/>
    <w:rsid w:val="004E7CB0"/>
    <w:rsid w:val="004E7DE8"/>
    <w:rsid w:val="004F01A2"/>
    <w:rsid w:val="004F0381"/>
    <w:rsid w:val="004F095F"/>
    <w:rsid w:val="004F0A2C"/>
    <w:rsid w:val="004F1335"/>
    <w:rsid w:val="004F16E1"/>
    <w:rsid w:val="004F1A05"/>
    <w:rsid w:val="004F1ABA"/>
    <w:rsid w:val="004F1FC9"/>
    <w:rsid w:val="004F2360"/>
    <w:rsid w:val="004F251D"/>
    <w:rsid w:val="004F25D5"/>
    <w:rsid w:val="004F263C"/>
    <w:rsid w:val="004F2782"/>
    <w:rsid w:val="004F288A"/>
    <w:rsid w:val="004F323A"/>
    <w:rsid w:val="004F3475"/>
    <w:rsid w:val="004F39AA"/>
    <w:rsid w:val="004F3B39"/>
    <w:rsid w:val="004F3E91"/>
    <w:rsid w:val="004F408B"/>
    <w:rsid w:val="004F4707"/>
    <w:rsid w:val="004F4916"/>
    <w:rsid w:val="004F4C51"/>
    <w:rsid w:val="004F5933"/>
    <w:rsid w:val="004F5DAB"/>
    <w:rsid w:val="004F60B8"/>
    <w:rsid w:val="004F6425"/>
    <w:rsid w:val="004F66BD"/>
    <w:rsid w:val="004F6BC4"/>
    <w:rsid w:val="004F6D50"/>
    <w:rsid w:val="004F733E"/>
    <w:rsid w:val="004F751B"/>
    <w:rsid w:val="004F7880"/>
    <w:rsid w:val="004F79E6"/>
    <w:rsid w:val="0050010F"/>
    <w:rsid w:val="00500A95"/>
    <w:rsid w:val="00500F56"/>
    <w:rsid w:val="005013D1"/>
    <w:rsid w:val="00501659"/>
    <w:rsid w:val="0050188E"/>
    <w:rsid w:val="00501927"/>
    <w:rsid w:val="005021A2"/>
    <w:rsid w:val="005022E5"/>
    <w:rsid w:val="00502668"/>
    <w:rsid w:val="00502C69"/>
    <w:rsid w:val="00502FFB"/>
    <w:rsid w:val="005031F6"/>
    <w:rsid w:val="005033A1"/>
    <w:rsid w:val="00503891"/>
    <w:rsid w:val="00503BFE"/>
    <w:rsid w:val="00504616"/>
    <w:rsid w:val="00504895"/>
    <w:rsid w:val="005049BB"/>
    <w:rsid w:val="00504DE6"/>
    <w:rsid w:val="00504EB4"/>
    <w:rsid w:val="00505225"/>
    <w:rsid w:val="00505333"/>
    <w:rsid w:val="00505466"/>
    <w:rsid w:val="0050570D"/>
    <w:rsid w:val="00505963"/>
    <w:rsid w:val="00505B93"/>
    <w:rsid w:val="00506286"/>
    <w:rsid w:val="00506460"/>
    <w:rsid w:val="005064BF"/>
    <w:rsid w:val="00506C23"/>
    <w:rsid w:val="00506DE1"/>
    <w:rsid w:val="00506FE0"/>
    <w:rsid w:val="005073C4"/>
    <w:rsid w:val="00507960"/>
    <w:rsid w:val="00507998"/>
    <w:rsid w:val="00507A48"/>
    <w:rsid w:val="00507ED3"/>
    <w:rsid w:val="00507F76"/>
    <w:rsid w:val="005109B1"/>
    <w:rsid w:val="00510A5B"/>
    <w:rsid w:val="00511495"/>
    <w:rsid w:val="00511C5D"/>
    <w:rsid w:val="00512432"/>
    <w:rsid w:val="00512D5E"/>
    <w:rsid w:val="00512E98"/>
    <w:rsid w:val="00512F4F"/>
    <w:rsid w:val="00513014"/>
    <w:rsid w:val="00513180"/>
    <w:rsid w:val="00513691"/>
    <w:rsid w:val="00513E89"/>
    <w:rsid w:val="00514019"/>
    <w:rsid w:val="005140CD"/>
    <w:rsid w:val="00514185"/>
    <w:rsid w:val="0051438D"/>
    <w:rsid w:val="005148AA"/>
    <w:rsid w:val="00514DA1"/>
    <w:rsid w:val="00514DD9"/>
    <w:rsid w:val="00514F6B"/>
    <w:rsid w:val="00515502"/>
    <w:rsid w:val="00515510"/>
    <w:rsid w:val="005158B8"/>
    <w:rsid w:val="00515B16"/>
    <w:rsid w:val="00515B61"/>
    <w:rsid w:val="00515C97"/>
    <w:rsid w:val="00515D0C"/>
    <w:rsid w:val="0051666F"/>
    <w:rsid w:val="00516C44"/>
    <w:rsid w:val="00516CB2"/>
    <w:rsid w:val="00517132"/>
    <w:rsid w:val="0051731E"/>
    <w:rsid w:val="005174EF"/>
    <w:rsid w:val="00517DC9"/>
    <w:rsid w:val="00517F51"/>
    <w:rsid w:val="00520170"/>
    <w:rsid w:val="0052039F"/>
    <w:rsid w:val="00520843"/>
    <w:rsid w:val="00520FC3"/>
    <w:rsid w:val="005210E2"/>
    <w:rsid w:val="005211DB"/>
    <w:rsid w:val="00521393"/>
    <w:rsid w:val="00521608"/>
    <w:rsid w:val="005219C0"/>
    <w:rsid w:val="00521BB4"/>
    <w:rsid w:val="00521F7F"/>
    <w:rsid w:val="005220D5"/>
    <w:rsid w:val="00522875"/>
    <w:rsid w:val="00523040"/>
    <w:rsid w:val="00523393"/>
    <w:rsid w:val="00523C08"/>
    <w:rsid w:val="00523EFC"/>
    <w:rsid w:val="00524056"/>
    <w:rsid w:val="0052422F"/>
    <w:rsid w:val="005248BB"/>
    <w:rsid w:val="00524AC4"/>
    <w:rsid w:val="00524CCB"/>
    <w:rsid w:val="00524DF9"/>
    <w:rsid w:val="00524E8E"/>
    <w:rsid w:val="00525297"/>
    <w:rsid w:val="0052545E"/>
    <w:rsid w:val="0052549C"/>
    <w:rsid w:val="005254A3"/>
    <w:rsid w:val="00525A72"/>
    <w:rsid w:val="00525ADE"/>
    <w:rsid w:val="00525DA5"/>
    <w:rsid w:val="005260D5"/>
    <w:rsid w:val="00526AFA"/>
    <w:rsid w:val="00526C91"/>
    <w:rsid w:val="00526D6A"/>
    <w:rsid w:val="00526F34"/>
    <w:rsid w:val="00526FB1"/>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40AA"/>
    <w:rsid w:val="0053494D"/>
    <w:rsid w:val="00534A01"/>
    <w:rsid w:val="00535202"/>
    <w:rsid w:val="00535377"/>
    <w:rsid w:val="005357E8"/>
    <w:rsid w:val="00535A4B"/>
    <w:rsid w:val="00535D55"/>
    <w:rsid w:val="0053647F"/>
    <w:rsid w:val="005364C2"/>
    <w:rsid w:val="00536559"/>
    <w:rsid w:val="0053717C"/>
    <w:rsid w:val="00537407"/>
    <w:rsid w:val="005379F3"/>
    <w:rsid w:val="00537A64"/>
    <w:rsid w:val="0054014D"/>
    <w:rsid w:val="005409B4"/>
    <w:rsid w:val="00540A32"/>
    <w:rsid w:val="00540ABE"/>
    <w:rsid w:val="00540CF8"/>
    <w:rsid w:val="00541077"/>
    <w:rsid w:val="0054173A"/>
    <w:rsid w:val="00541CC2"/>
    <w:rsid w:val="00541DB8"/>
    <w:rsid w:val="0054213D"/>
    <w:rsid w:val="00542160"/>
    <w:rsid w:val="00542663"/>
    <w:rsid w:val="00542A8E"/>
    <w:rsid w:val="00542D33"/>
    <w:rsid w:val="00542F60"/>
    <w:rsid w:val="00543297"/>
    <w:rsid w:val="0054349D"/>
    <w:rsid w:val="00543C9B"/>
    <w:rsid w:val="00545683"/>
    <w:rsid w:val="00545F4C"/>
    <w:rsid w:val="00546DF3"/>
    <w:rsid w:val="00546EFE"/>
    <w:rsid w:val="00546FB7"/>
    <w:rsid w:val="005471B8"/>
    <w:rsid w:val="0054783D"/>
    <w:rsid w:val="0054796E"/>
    <w:rsid w:val="00547A56"/>
    <w:rsid w:val="00547B78"/>
    <w:rsid w:val="005503AD"/>
    <w:rsid w:val="00550524"/>
    <w:rsid w:val="00550A50"/>
    <w:rsid w:val="00551309"/>
    <w:rsid w:val="00552334"/>
    <w:rsid w:val="005523F2"/>
    <w:rsid w:val="00552680"/>
    <w:rsid w:val="00552700"/>
    <w:rsid w:val="00552FDC"/>
    <w:rsid w:val="005534FE"/>
    <w:rsid w:val="005536BC"/>
    <w:rsid w:val="00553EAB"/>
    <w:rsid w:val="005542C9"/>
    <w:rsid w:val="00554683"/>
    <w:rsid w:val="005546A8"/>
    <w:rsid w:val="00554750"/>
    <w:rsid w:val="00554B9E"/>
    <w:rsid w:val="00554BA3"/>
    <w:rsid w:val="00554C24"/>
    <w:rsid w:val="005552C5"/>
    <w:rsid w:val="00555D1A"/>
    <w:rsid w:val="005560F5"/>
    <w:rsid w:val="00556212"/>
    <w:rsid w:val="005563AC"/>
    <w:rsid w:val="00556481"/>
    <w:rsid w:val="005569FA"/>
    <w:rsid w:val="005574C2"/>
    <w:rsid w:val="00557653"/>
    <w:rsid w:val="00557693"/>
    <w:rsid w:val="005576B6"/>
    <w:rsid w:val="00557D2F"/>
    <w:rsid w:val="00557FB9"/>
    <w:rsid w:val="0056027E"/>
    <w:rsid w:val="0056077C"/>
    <w:rsid w:val="00560A7E"/>
    <w:rsid w:val="00560C4D"/>
    <w:rsid w:val="00561A34"/>
    <w:rsid w:val="00562689"/>
    <w:rsid w:val="00562865"/>
    <w:rsid w:val="005633F0"/>
    <w:rsid w:val="00563633"/>
    <w:rsid w:val="005638A0"/>
    <w:rsid w:val="00563D2A"/>
    <w:rsid w:val="00564079"/>
    <w:rsid w:val="005640D4"/>
    <w:rsid w:val="00564131"/>
    <w:rsid w:val="005646EA"/>
    <w:rsid w:val="00564940"/>
    <w:rsid w:val="00565874"/>
    <w:rsid w:val="00565F7C"/>
    <w:rsid w:val="00566305"/>
    <w:rsid w:val="005664FC"/>
    <w:rsid w:val="00566D9C"/>
    <w:rsid w:val="00567153"/>
    <w:rsid w:val="00567196"/>
    <w:rsid w:val="0056751E"/>
    <w:rsid w:val="00567579"/>
    <w:rsid w:val="00567A2C"/>
    <w:rsid w:val="00567C07"/>
    <w:rsid w:val="00567D71"/>
    <w:rsid w:val="005704B3"/>
    <w:rsid w:val="00570A8C"/>
    <w:rsid w:val="00570D3F"/>
    <w:rsid w:val="00570E84"/>
    <w:rsid w:val="00571374"/>
    <w:rsid w:val="005717EA"/>
    <w:rsid w:val="00571850"/>
    <w:rsid w:val="005730EB"/>
    <w:rsid w:val="005732D1"/>
    <w:rsid w:val="005732F3"/>
    <w:rsid w:val="0057374A"/>
    <w:rsid w:val="00573A8D"/>
    <w:rsid w:val="00573B48"/>
    <w:rsid w:val="00573D77"/>
    <w:rsid w:val="00573EA6"/>
    <w:rsid w:val="00574021"/>
    <w:rsid w:val="005746D3"/>
    <w:rsid w:val="00574A06"/>
    <w:rsid w:val="005752A4"/>
    <w:rsid w:val="00575685"/>
    <w:rsid w:val="005760AC"/>
    <w:rsid w:val="0057691E"/>
    <w:rsid w:val="00576EBE"/>
    <w:rsid w:val="00577234"/>
    <w:rsid w:val="00577789"/>
    <w:rsid w:val="005778CB"/>
    <w:rsid w:val="00577E5B"/>
    <w:rsid w:val="00577E7F"/>
    <w:rsid w:val="005806A7"/>
    <w:rsid w:val="00580968"/>
    <w:rsid w:val="00580AAB"/>
    <w:rsid w:val="00581417"/>
    <w:rsid w:val="00581BE2"/>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B18"/>
    <w:rsid w:val="00585D68"/>
    <w:rsid w:val="00586132"/>
    <w:rsid w:val="005861DC"/>
    <w:rsid w:val="005871F5"/>
    <w:rsid w:val="005876A2"/>
    <w:rsid w:val="00587ADE"/>
    <w:rsid w:val="00590001"/>
    <w:rsid w:val="00590BF3"/>
    <w:rsid w:val="00590E20"/>
    <w:rsid w:val="00591379"/>
    <w:rsid w:val="00591675"/>
    <w:rsid w:val="00591A9D"/>
    <w:rsid w:val="0059279F"/>
    <w:rsid w:val="00592A12"/>
    <w:rsid w:val="00592CD6"/>
    <w:rsid w:val="00592F49"/>
    <w:rsid w:val="005931A3"/>
    <w:rsid w:val="005940C0"/>
    <w:rsid w:val="00594140"/>
    <w:rsid w:val="005941CF"/>
    <w:rsid w:val="0059451E"/>
    <w:rsid w:val="00594574"/>
    <w:rsid w:val="00594DA0"/>
    <w:rsid w:val="00594FD3"/>
    <w:rsid w:val="00595CA7"/>
    <w:rsid w:val="00596BF8"/>
    <w:rsid w:val="005972FD"/>
    <w:rsid w:val="00597828"/>
    <w:rsid w:val="00597EF9"/>
    <w:rsid w:val="00597FC8"/>
    <w:rsid w:val="005A03A4"/>
    <w:rsid w:val="005A0641"/>
    <w:rsid w:val="005A08B3"/>
    <w:rsid w:val="005A090C"/>
    <w:rsid w:val="005A0F51"/>
    <w:rsid w:val="005A1008"/>
    <w:rsid w:val="005A11CA"/>
    <w:rsid w:val="005A138F"/>
    <w:rsid w:val="005A190C"/>
    <w:rsid w:val="005A1967"/>
    <w:rsid w:val="005A19E4"/>
    <w:rsid w:val="005A2046"/>
    <w:rsid w:val="005A2A78"/>
    <w:rsid w:val="005A2D3D"/>
    <w:rsid w:val="005A360F"/>
    <w:rsid w:val="005A3A4A"/>
    <w:rsid w:val="005A3C3E"/>
    <w:rsid w:val="005A3CD0"/>
    <w:rsid w:val="005A450B"/>
    <w:rsid w:val="005A4FBC"/>
    <w:rsid w:val="005A5167"/>
    <w:rsid w:val="005A528A"/>
    <w:rsid w:val="005A5DA8"/>
    <w:rsid w:val="005A62D7"/>
    <w:rsid w:val="005A65DA"/>
    <w:rsid w:val="005A6723"/>
    <w:rsid w:val="005A6D7D"/>
    <w:rsid w:val="005A6EA4"/>
    <w:rsid w:val="005A77CF"/>
    <w:rsid w:val="005A7988"/>
    <w:rsid w:val="005A7DA8"/>
    <w:rsid w:val="005B07C4"/>
    <w:rsid w:val="005B0953"/>
    <w:rsid w:val="005B0C7C"/>
    <w:rsid w:val="005B0E03"/>
    <w:rsid w:val="005B0FCB"/>
    <w:rsid w:val="005B13B0"/>
    <w:rsid w:val="005B13CD"/>
    <w:rsid w:val="005B195F"/>
    <w:rsid w:val="005B1A52"/>
    <w:rsid w:val="005B1AD7"/>
    <w:rsid w:val="005B1DD8"/>
    <w:rsid w:val="005B2415"/>
    <w:rsid w:val="005B2442"/>
    <w:rsid w:val="005B276E"/>
    <w:rsid w:val="005B2788"/>
    <w:rsid w:val="005B2AB4"/>
    <w:rsid w:val="005B2C3F"/>
    <w:rsid w:val="005B2E96"/>
    <w:rsid w:val="005B33AE"/>
    <w:rsid w:val="005B37EE"/>
    <w:rsid w:val="005B3A69"/>
    <w:rsid w:val="005B3C3D"/>
    <w:rsid w:val="005B3D82"/>
    <w:rsid w:val="005B3DD0"/>
    <w:rsid w:val="005B42EB"/>
    <w:rsid w:val="005B47A4"/>
    <w:rsid w:val="005B4E1C"/>
    <w:rsid w:val="005B500B"/>
    <w:rsid w:val="005B5051"/>
    <w:rsid w:val="005B5C60"/>
    <w:rsid w:val="005B5C8A"/>
    <w:rsid w:val="005B6405"/>
    <w:rsid w:val="005B65DE"/>
    <w:rsid w:val="005B6843"/>
    <w:rsid w:val="005B68C0"/>
    <w:rsid w:val="005B70ED"/>
    <w:rsid w:val="005B7196"/>
    <w:rsid w:val="005B74C6"/>
    <w:rsid w:val="005B7D4A"/>
    <w:rsid w:val="005C008D"/>
    <w:rsid w:val="005C019A"/>
    <w:rsid w:val="005C0278"/>
    <w:rsid w:val="005C0480"/>
    <w:rsid w:val="005C0A62"/>
    <w:rsid w:val="005C0B9D"/>
    <w:rsid w:val="005C0BF6"/>
    <w:rsid w:val="005C0CBC"/>
    <w:rsid w:val="005C12D2"/>
    <w:rsid w:val="005C144F"/>
    <w:rsid w:val="005C20A7"/>
    <w:rsid w:val="005C210D"/>
    <w:rsid w:val="005C2114"/>
    <w:rsid w:val="005C2575"/>
    <w:rsid w:val="005C27AF"/>
    <w:rsid w:val="005C282C"/>
    <w:rsid w:val="005C2C2F"/>
    <w:rsid w:val="005C308A"/>
    <w:rsid w:val="005C32B1"/>
    <w:rsid w:val="005C32DE"/>
    <w:rsid w:val="005C37FC"/>
    <w:rsid w:val="005C383C"/>
    <w:rsid w:val="005C38EA"/>
    <w:rsid w:val="005C3A0C"/>
    <w:rsid w:val="005C40CA"/>
    <w:rsid w:val="005C413D"/>
    <w:rsid w:val="005C4395"/>
    <w:rsid w:val="005C46D9"/>
    <w:rsid w:val="005C47A5"/>
    <w:rsid w:val="005C47B6"/>
    <w:rsid w:val="005C4BBB"/>
    <w:rsid w:val="005C4BF2"/>
    <w:rsid w:val="005C4D13"/>
    <w:rsid w:val="005C51BB"/>
    <w:rsid w:val="005C5EDA"/>
    <w:rsid w:val="005C65E0"/>
    <w:rsid w:val="005C7C8A"/>
    <w:rsid w:val="005C7E9A"/>
    <w:rsid w:val="005C7EF0"/>
    <w:rsid w:val="005D01FD"/>
    <w:rsid w:val="005D05B8"/>
    <w:rsid w:val="005D0617"/>
    <w:rsid w:val="005D097C"/>
    <w:rsid w:val="005D10FA"/>
    <w:rsid w:val="005D11BE"/>
    <w:rsid w:val="005D19E0"/>
    <w:rsid w:val="005D1C7F"/>
    <w:rsid w:val="005D2011"/>
    <w:rsid w:val="005D20A7"/>
    <w:rsid w:val="005D2DC9"/>
    <w:rsid w:val="005D2E3B"/>
    <w:rsid w:val="005D2E90"/>
    <w:rsid w:val="005D37AA"/>
    <w:rsid w:val="005D3BFD"/>
    <w:rsid w:val="005D42A5"/>
    <w:rsid w:val="005D4B3D"/>
    <w:rsid w:val="005D4B4D"/>
    <w:rsid w:val="005D4DFD"/>
    <w:rsid w:val="005D57DB"/>
    <w:rsid w:val="005D5A53"/>
    <w:rsid w:val="005D5A60"/>
    <w:rsid w:val="005D5B4C"/>
    <w:rsid w:val="005D5CAC"/>
    <w:rsid w:val="005D6052"/>
    <w:rsid w:val="005D7249"/>
    <w:rsid w:val="005D7EE4"/>
    <w:rsid w:val="005E0A23"/>
    <w:rsid w:val="005E0F4D"/>
    <w:rsid w:val="005E1309"/>
    <w:rsid w:val="005E1B0F"/>
    <w:rsid w:val="005E1E35"/>
    <w:rsid w:val="005E2244"/>
    <w:rsid w:val="005E271A"/>
    <w:rsid w:val="005E2B61"/>
    <w:rsid w:val="005E2F61"/>
    <w:rsid w:val="005E377B"/>
    <w:rsid w:val="005E3D05"/>
    <w:rsid w:val="005E3F3C"/>
    <w:rsid w:val="005E3F85"/>
    <w:rsid w:val="005E409B"/>
    <w:rsid w:val="005E479A"/>
    <w:rsid w:val="005E47BA"/>
    <w:rsid w:val="005E49F9"/>
    <w:rsid w:val="005E4B4C"/>
    <w:rsid w:val="005E4DFC"/>
    <w:rsid w:val="005E4ECE"/>
    <w:rsid w:val="005E4F0B"/>
    <w:rsid w:val="005E560B"/>
    <w:rsid w:val="005E59B3"/>
    <w:rsid w:val="005E6373"/>
    <w:rsid w:val="005E6734"/>
    <w:rsid w:val="005E7374"/>
    <w:rsid w:val="005E76AF"/>
    <w:rsid w:val="005E78D0"/>
    <w:rsid w:val="005F045B"/>
    <w:rsid w:val="005F04CC"/>
    <w:rsid w:val="005F087F"/>
    <w:rsid w:val="005F08D9"/>
    <w:rsid w:val="005F0FF8"/>
    <w:rsid w:val="005F1184"/>
    <w:rsid w:val="005F1728"/>
    <w:rsid w:val="005F17BD"/>
    <w:rsid w:val="005F1921"/>
    <w:rsid w:val="005F21A4"/>
    <w:rsid w:val="005F24D0"/>
    <w:rsid w:val="005F2968"/>
    <w:rsid w:val="005F29B1"/>
    <w:rsid w:val="005F3005"/>
    <w:rsid w:val="005F319E"/>
    <w:rsid w:val="005F3830"/>
    <w:rsid w:val="005F395C"/>
    <w:rsid w:val="005F3AA2"/>
    <w:rsid w:val="005F417B"/>
    <w:rsid w:val="005F492B"/>
    <w:rsid w:val="005F4D1E"/>
    <w:rsid w:val="005F4EC8"/>
    <w:rsid w:val="005F51D5"/>
    <w:rsid w:val="005F5EC4"/>
    <w:rsid w:val="005F6039"/>
    <w:rsid w:val="005F63E2"/>
    <w:rsid w:val="005F65B1"/>
    <w:rsid w:val="005F69EA"/>
    <w:rsid w:val="005F6B40"/>
    <w:rsid w:val="005F6C50"/>
    <w:rsid w:val="005F7916"/>
    <w:rsid w:val="006000DE"/>
    <w:rsid w:val="0060074C"/>
    <w:rsid w:val="00600840"/>
    <w:rsid w:val="0060093C"/>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858"/>
    <w:rsid w:val="006060A9"/>
    <w:rsid w:val="006066F3"/>
    <w:rsid w:val="00606881"/>
    <w:rsid w:val="00606CDD"/>
    <w:rsid w:val="00606E8D"/>
    <w:rsid w:val="0060751D"/>
    <w:rsid w:val="00607658"/>
    <w:rsid w:val="00607771"/>
    <w:rsid w:val="00607A12"/>
    <w:rsid w:val="00607B81"/>
    <w:rsid w:val="00610498"/>
    <w:rsid w:val="006106A6"/>
    <w:rsid w:val="0061118E"/>
    <w:rsid w:val="006115C2"/>
    <w:rsid w:val="00611C09"/>
    <w:rsid w:val="006124A3"/>
    <w:rsid w:val="0061275E"/>
    <w:rsid w:val="00612AC2"/>
    <w:rsid w:val="006135A9"/>
    <w:rsid w:val="00613AD3"/>
    <w:rsid w:val="00613DA1"/>
    <w:rsid w:val="00614312"/>
    <w:rsid w:val="0061440F"/>
    <w:rsid w:val="006148CA"/>
    <w:rsid w:val="006148E4"/>
    <w:rsid w:val="00614F4B"/>
    <w:rsid w:val="006155E3"/>
    <w:rsid w:val="006157B1"/>
    <w:rsid w:val="00615E39"/>
    <w:rsid w:val="00616A82"/>
    <w:rsid w:val="00616C7F"/>
    <w:rsid w:val="006175D9"/>
    <w:rsid w:val="006176C5"/>
    <w:rsid w:val="00617966"/>
    <w:rsid w:val="00620217"/>
    <w:rsid w:val="0062022B"/>
    <w:rsid w:val="006203CE"/>
    <w:rsid w:val="00620462"/>
    <w:rsid w:val="00620543"/>
    <w:rsid w:val="006206BE"/>
    <w:rsid w:val="0062083C"/>
    <w:rsid w:val="00620D71"/>
    <w:rsid w:val="006210E0"/>
    <w:rsid w:val="00621119"/>
    <w:rsid w:val="00621574"/>
    <w:rsid w:val="00621706"/>
    <w:rsid w:val="006217B0"/>
    <w:rsid w:val="00621868"/>
    <w:rsid w:val="00621DB2"/>
    <w:rsid w:val="00621E78"/>
    <w:rsid w:val="0062233E"/>
    <w:rsid w:val="00622558"/>
    <w:rsid w:val="0062264F"/>
    <w:rsid w:val="00622DE0"/>
    <w:rsid w:val="0062348B"/>
    <w:rsid w:val="00623657"/>
    <w:rsid w:val="00623BB1"/>
    <w:rsid w:val="00623E1C"/>
    <w:rsid w:val="00623FF0"/>
    <w:rsid w:val="00624702"/>
    <w:rsid w:val="006248F3"/>
    <w:rsid w:val="0062495D"/>
    <w:rsid w:val="00624F2B"/>
    <w:rsid w:val="006255B1"/>
    <w:rsid w:val="0062568D"/>
    <w:rsid w:val="0062653F"/>
    <w:rsid w:val="006275D5"/>
    <w:rsid w:val="00627834"/>
    <w:rsid w:val="00627DFE"/>
    <w:rsid w:val="00630127"/>
    <w:rsid w:val="006302B3"/>
    <w:rsid w:val="00630996"/>
    <w:rsid w:val="00630CD3"/>
    <w:rsid w:val="0063134E"/>
    <w:rsid w:val="00631726"/>
    <w:rsid w:val="00631881"/>
    <w:rsid w:val="00631FD5"/>
    <w:rsid w:val="00632388"/>
    <w:rsid w:val="00632515"/>
    <w:rsid w:val="00632861"/>
    <w:rsid w:val="00632869"/>
    <w:rsid w:val="00633139"/>
    <w:rsid w:val="0063317C"/>
    <w:rsid w:val="0063348E"/>
    <w:rsid w:val="006338D1"/>
    <w:rsid w:val="00633A93"/>
    <w:rsid w:val="00633BDD"/>
    <w:rsid w:val="0063414E"/>
    <w:rsid w:val="00634758"/>
    <w:rsid w:val="00634993"/>
    <w:rsid w:val="006349A8"/>
    <w:rsid w:val="0063505A"/>
    <w:rsid w:val="00635C9F"/>
    <w:rsid w:val="00635FD1"/>
    <w:rsid w:val="0063617A"/>
    <w:rsid w:val="00636216"/>
    <w:rsid w:val="006366F3"/>
    <w:rsid w:val="00636B32"/>
    <w:rsid w:val="00636B96"/>
    <w:rsid w:val="00636F32"/>
    <w:rsid w:val="00637109"/>
    <w:rsid w:val="006378A5"/>
    <w:rsid w:val="00637B2C"/>
    <w:rsid w:val="00640088"/>
    <w:rsid w:val="006402EE"/>
    <w:rsid w:val="00640384"/>
    <w:rsid w:val="0064065F"/>
    <w:rsid w:val="006408E2"/>
    <w:rsid w:val="006409D2"/>
    <w:rsid w:val="00640D2F"/>
    <w:rsid w:val="0064166B"/>
    <w:rsid w:val="00641A5C"/>
    <w:rsid w:val="00641BD9"/>
    <w:rsid w:val="006428EC"/>
    <w:rsid w:val="00642DDD"/>
    <w:rsid w:val="00642FE5"/>
    <w:rsid w:val="00643296"/>
    <w:rsid w:val="006435A0"/>
    <w:rsid w:val="006439D6"/>
    <w:rsid w:val="00644659"/>
    <w:rsid w:val="00644B9F"/>
    <w:rsid w:val="00644D5A"/>
    <w:rsid w:val="00644E71"/>
    <w:rsid w:val="006453C2"/>
    <w:rsid w:val="0064562C"/>
    <w:rsid w:val="00645976"/>
    <w:rsid w:val="006467B4"/>
    <w:rsid w:val="006467DF"/>
    <w:rsid w:val="00646A6D"/>
    <w:rsid w:val="00646B23"/>
    <w:rsid w:val="00646EFB"/>
    <w:rsid w:val="00647213"/>
    <w:rsid w:val="00647469"/>
    <w:rsid w:val="00647839"/>
    <w:rsid w:val="00647F42"/>
    <w:rsid w:val="00647F66"/>
    <w:rsid w:val="00650A81"/>
    <w:rsid w:val="00651857"/>
    <w:rsid w:val="00651933"/>
    <w:rsid w:val="00651AE7"/>
    <w:rsid w:val="00651BC6"/>
    <w:rsid w:val="00651CCE"/>
    <w:rsid w:val="00651F5F"/>
    <w:rsid w:val="00651FFF"/>
    <w:rsid w:val="006521E3"/>
    <w:rsid w:val="00652898"/>
    <w:rsid w:val="00652A0E"/>
    <w:rsid w:val="00652E61"/>
    <w:rsid w:val="006531D7"/>
    <w:rsid w:val="006539A4"/>
    <w:rsid w:val="00653AB1"/>
    <w:rsid w:val="00653E0A"/>
    <w:rsid w:val="0065411A"/>
    <w:rsid w:val="006542D6"/>
    <w:rsid w:val="00654523"/>
    <w:rsid w:val="00654595"/>
    <w:rsid w:val="00654A30"/>
    <w:rsid w:val="00655601"/>
    <w:rsid w:val="00655C6A"/>
    <w:rsid w:val="00655CE1"/>
    <w:rsid w:val="00656E2A"/>
    <w:rsid w:val="00656F94"/>
    <w:rsid w:val="00657307"/>
    <w:rsid w:val="00657736"/>
    <w:rsid w:val="00657737"/>
    <w:rsid w:val="00657C87"/>
    <w:rsid w:val="00660079"/>
    <w:rsid w:val="006601FC"/>
    <w:rsid w:val="0066021E"/>
    <w:rsid w:val="00660813"/>
    <w:rsid w:val="0066120B"/>
    <w:rsid w:val="0066144B"/>
    <w:rsid w:val="006621DE"/>
    <w:rsid w:val="00662541"/>
    <w:rsid w:val="00662D42"/>
    <w:rsid w:val="00662D65"/>
    <w:rsid w:val="00662EFC"/>
    <w:rsid w:val="00662F34"/>
    <w:rsid w:val="006632C9"/>
    <w:rsid w:val="0066343B"/>
    <w:rsid w:val="006634D8"/>
    <w:rsid w:val="00663563"/>
    <w:rsid w:val="00663B8D"/>
    <w:rsid w:val="00664546"/>
    <w:rsid w:val="00664FCB"/>
    <w:rsid w:val="0066501F"/>
    <w:rsid w:val="00665075"/>
    <w:rsid w:val="006651CE"/>
    <w:rsid w:val="0066520D"/>
    <w:rsid w:val="00665510"/>
    <w:rsid w:val="006657EA"/>
    <w:rsid w:val="00665A77"/>
    <w:rsid w:val="00666028"/>
    <w:rsid w:val="00666042"/>
    <w:rsid w:val="00666225"/>
    <w:rsid w:val="0066639B"/>
    <w:rsid w:val="006666CA"/>
    <w:rsid w:val="006667D3"/>
    <w:rsid w:val="006668AB"/>
    <w:rsid w:val="0066698D"/>
    <w:rsid w:val="00666A0F"/>
    <w:rsid w:val="00666E12"/>
    <w:rsid w:val="00666F14"/>
    <w:rsid w:val="00666FC5"/>
    <w:rsid w:val="006673DE"/>
    <w:rsid w:val="00667A10"/>
    <w:rsid w:val="00667B20"/>
    <w:rsid w:val="0067031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7781E"/>
    <w:rsid w:val="006779FA"/>
    <w:rsid w:val="0068048E"/>
    <w:rsid w:val="006809E7"/>
    <w:rsid w:val="00681C16"/>
    <w:rsid w:val="00681C4E"/>
    <w:rsid w:val="00681D8A"/>
    <w:rsid w:val="00681FCF"/>
    <w:rsid w:val="0068244E"/>
    <w:rsid w:val="00682A07"/>
    <w:rsid w:val="0068355A"/>
    <w:rsid w:val="00683877"/>
    <w:rsid w:val="006838B4"/>
    <w:rsid w:val="00683D7D"/>
    <w:rsid w:val="00683D97"/>
    <w:rsid w:val="0068455D"/>
    <w:rsid w:val="00684A1D"/>
    <w:rsid w:val="00684EA9"/>
    <w:rsid w:val="00684F40"/>
    <w:rsid w:val="0068512E"/>
    <w:rsid w:val="0068526E"/>
    <w:rsid w:val="00685549"/>
    <w:rsid w:val="00685767"/>
    <w:rsid w:val="00685F10"/>
    <w:rsid w:val="006861CD"/>
    <w:rsid w:val="00686686"/>
    <w:rsid w:val="00686AAA"/>
    <w:rsid w:val="00687AAA"/>
    <w:rsid w:val="00687CCE"/>
    <w:rsid w:val="00687E52"/>
    <w:rsid w:val="006902D5"/>
    <w:rsid w:val="00690451"/>
    <w:rsid w:val="00690776"/>
    <w:rsid w:val="00690AB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51C4"/>
    <w:rsid w:val="006957BF"/>
    <w:rsid w:val="00695834"/>
    <w:rsid w:val="00695CD7"/>
    <w:rsid w:val="006968F2"/>
    <w:rsid w:val="00696D3A"/>
    <w:rsid w:val="00696E6D"/>
    <w:rsid w:val="006972D4"/>
    <w:rsid w:val="006974A6"/>
    <w:rsid w:val="006A00CF"/>
    <w:rsid w:val="006A0835"/>
    <w:rsid w:val="006A0D68"/>
    <w:rsid w:val="006A129B"/>
    <w:rsid w:val="006A17DB"/>
    <w:rsid w:val="006A2BA1"/>
    <w:rsid w:val="006A2C46"/>
    <w:rsid w:val="006A4343"/>
    <w:rsid w:val="006A498A"/>
    <w:rsid w:val="006A5A79"/>
    <w:rsid w:val="006A668F"/>
    <w:rsid w:val="006A696D"/>
    <w:rsid w:val="006A6971"/>
    <w:rsid w:val="006A6BB1"/>
    <w:rsid w:val="006A6DE4"/>
    <w:rsid w:val="006A6EAB"/>
    <w:rsid w:val="006A73B0"/>
    <w:rsid w:val="006A74E9"/>
    <w:rsid w:val="006A76C2"/>
    <w:rsid w:val="006A789D"/>
    <w:rsid w:val="006A7C31"/>
    <w:rsid w:val="006B004D"/>
    <w:rsid w:val="006B0490"/>
    <w:rsid w:val="006B079B"/>
    <w:rsid w:val="006B07E8"/>
    <w:rsid w:val="006B083F"/>
    <w:rsid w:val="006B09C8"/>
    <w:rsid w:val="006B0C9A"/>
    <w:rsid w:val="006B0DEF"/>
    <w:rsid w:val="006B11BE"/>
    <w:rsid w:val="006B174A"/>
    <w:rsid w:val="006B1F6A"/>
    <w:rsid w:val="006B26ED"/>
    <w:rsid w:val="006B2920"/>
    <w:rsid w:val="006B2C67"/>
    <w:rsid w:val="006B3551"/>
    <w:rsid w:val="006B3AE4"/>
    <w:rsid w:val="006B3BED"/>
    <w:rsid w:val="006B41B8"/>
    <w:rsid w:val="006B4544"/>
    <w:rsid w:val="006B4F40"/>
    <w:rsid w:val="006B52F3"/>
    <w:rsid w:val="006B55B8"/>
    <w:rsid w:val="006B561D"/>
    <w:rsid w:val="006B5EC1"/>
    <w:rsid w:val="006B6145"/>
    <w:rsid w:val="006B6295"/>
    <w:rsid w:val="006B6468"/>
    <w:rsid w:val="006B65C7"/>
    <w:rsid w:val="006B68D6"/>
    <w:rsid w:val="006B6C5E"/>
    <w:rsid w:val="006B6C9D"/>
    <w:rsid w:val="006B7A42"/>
    <w:rsid w:val="006C0441"/>
    <w:rsid w:val="006C070C"/>
    <w:rsid w:val="006C072A"/>
    <w:rsid w:val="006C0B58"/>
    <w:rsid w:val="006C0E2A"/>
    <w:rsid w:val="006C1535"/>
    <w:rsid w:val="006C1C96"/>
    <w:rsid w:val="006C1ED5"/>
    <w:rsid w:val="006C22C8"/>
    <w:rsid w:val="006C2330"/>
    <w:rsid w:val="006C2697"/>
    <w:rsid w:val="006C28BE"/>
    <w:rsid w:val="006C2BC5"/>
    <w:rsid w:val="006C31D5"/>
    <w:rsid w:val="006C3654"/>
    <w:rsid w:val="006C3F66"/>
    <w:rsid w:val="006C3F85"/>
    <w:rsid w:val="006C40BC"/>
    <w:rsid w:val="006C41DD"/>
    <w:rsid w:val="006C471E"/>
    <w:rsid w:val="006C50F9"/>
    <w:rsid w:val="006C55F3"/>
    <w:rsid w:val="006C560F"/>
    <w:rsid w:val="006C6329"/>
    <w:rsid w:val="006C64FC"/>
    <w:rsid w:val="006C68BD"/>
    <w:rsid w:val="006C6BCF"/>
    <w:rsid w:val="006C7BA2"/>
    <w:rsid w:val="006D01F6"/>
    <w:rsid w:val="006D07DD"/>
    <w:rsid w:val="006D07FC"/>
    <w:rsid w:val="006D0839"/>
    <w:rsid w:val="006D099F"/>
    <w:rsid w:val="006D106C"/>
    <w:rsid w:val="006D124D"/>
    <w:rsid w:val="006D16A3"/>
    <w:rsid w:val="006D175A"/>
    <w:rsid w:val="006D1C74"/>
    <w:rsid w:val="006D1F1D"/>
    <w:rsid w:val="006D215B"/>
    <w:rsid w:val="006D2AE0"/>
    <w:rsid w:val="006D2F7E"/>
    <w:rsid w:val="006D38FC"/>
    <w:rsid w:val="006D393C"/>
    <w:rsid w:val="006D4167"/>
    <w:rsid w:val="006D42CC"/>
    <w:rsid w:val="006D48A6"/>
    <w:rsid w:val="006D5296"/>
    <w:rsid w:val="006D53ED"/>
    <w:rsid w:val="006D55D4"/>
    <w:rsid w:val="006D5733"/>
    <w:rsid w:val="006D5747"/>
    <w:rsid w:val="006D58EB"/>
    <w:rsid w:val="006D5959"/>
    <w:rsid w:val="006D5A8A"/>
    <w:rsid w:val="006D627E"/>
    <w:rsid w:val="006D6413"/>
    <w:rsid w:val="006D66F8"/>
    <w:rsid w:val="006D7075"/>
    <w:rsid w:val="006D78C5"/>
    <w:rsid w:val="006D7A4C"/>
    <w:rsid w:val="006E04B6"/>
    <w:rsid w:val="006E091D"/>
    <w:rsid w:val="006E0FC3"/>
    <w:rsid w:val="006E104F"/>
    <w:rsid w:val="006E15EB"/>
    <w:rsid w:val="006E1AC6"/>
    <w:rsid w:val="006E1B68"/>
    <w:rsid w:val="006E20D9"/>
    <w:rsid w:val="006E27EB"/>
    <w:rsid w:val="006E3076"/>
    <w:rsid w:val="006E32F7"/>
    <w:rsid w:val="006E458C"/>
    <w:rsid w:val="006E496B"/>
    <w:rsid w:val="006E4BE4"/>
    <w:rsid w:val="006E4BFD"/>
    <w:rsid w:val="006E51D5"/>
    <w:rsid w:val="006E5C87"/>
    <w:rsid w:val="006E7BAF"/>
    <w:rsid w:val="006E7BC8"/>
    <w:rsid w:val="006F0200"/>
    <w:rsid w:val="006F0440"/>
    <w:rsid w:val="006F0473"/>
    <w:rsid w:val="006F06DE"/>
    <w:rsid w:val="006F09D3"/>
    <w:rsid w:val="006F0DCC"/>
    <w:rsid w:val="006F15C3"/>
    <w:rsid w:val="006F1611"/>
    <w:rsid w:val="006F16B5"/>
    <w:rsid w:val="006F1AE4"/>
    <w:rsid w:val="006F22B6"/>
    <w:rsid w:val="006F22CA"/>
    <w:rsid w:val="006F230A"/>
    <w:rsid w:val="006F2861"/>
    <w:rsid w:val="006F3820"/>
    <w:rsid w:val="006F387B"/>
    <w:rsid w:val="006F38C2"/>
    <w:rsid w:val="006F3A0C"/>
    <w:rsid w:val="006F41DC"/>
    <w:rsid w:val="006F41E7"/>
    <w:rsid w:val="006F496C"/>
    <w:rsid w:val="006F4985"/>
    <w:rsid w:val="006F4D17"/>
    <w:rsid w:val="006F4E1B"/>
    <w:rsid w:val="006F4EFB"/>
    <w:rsid w:val="006F55FE"/>
    <w:rsid w:val="006F5653"/>
    <w:rsid w:val="006F58E0"/>
    <w:rsid w:val="006F5D24"/>
    <w:rsid w:val="006F5F52"/>
    <w:rsid w:val="006F669F"/>
    <w:rsid w:val="006F6DCE"/>
    <w:rsid w:val="006F6F9D"/>
    <w:rsid w:val="006F7931"/>
    <w:rsid w:val="006F7DCE"/>
    <w:rsid w:val="00700155"/>
    <w:rsid w:val="007001F0"/>
    <w:rsid w:val="0070046E"/>
    <w:rsid w:val="00700F67"/>
    <w:rsid w:val="00701054"/>
    <w:rsid w:val="007017F3"/>
    <w:rsid w:val="00701A4C"/>
    <w:rsid w:val="00701C28"/>
    <w:rsid w:val="00701E61"/>
    <w:rsid w:val="007021B9"/>
    <w:rsid w:val="007021FD"/>
    <w:rsid w:val="007024D5"/>
    <w:rsid w:val="00702A28"/>
    <w:rsid w:val="00702A46"/>
    <w:rsid w:val="00702BA1"/>
    <w:rsid w:val="00702BE3"/>
    <w:rsid w:val="00702D30"/>
    <w:rsid w:val="00702D6F"/>
    <w:rsid w:val="00702EF6"/>
    <w:rsid w:val="00702F9D"/>
    <w:rsid w:val="007035C3"/>
    <w:rsid w:val="00703A08"/>
    <w:rsid w:val="00703BB4"/>
    <w:rsid w:val="00703D77"/>
    <w:rsid w:val="007041DA"/>
    <w:rsid w:val="0070438C"/>
    <w:rsid w:val="007044A3"/>
    <w:rsid w:val="00704693"/>
    <w:rsid w:val="00705122"/>
    <w:rsid w:val="00705B0F"/>
    <w:rsid w:val="00705D05"/>
    <w:rsid w:val="00705D60"/>
    <w:rsid w:val="0070614F"/>
    <w:rsid w:val="007061CF"/>
    <w:rsid w:val="007064AA"/>
    <w:rsid w:val="00707582"/>
    <w:rsid w:val="00707F3D"/>
    <w:rsid w:val="007101C0"/>
    <w:rsid w:val="007102C9"/>
    <w:rsid w:val="00710937"/>
    <w:rsid w:val="00710D0A"/>
    <w:rsid w:val="00710ED9"/>
    <w:rsid w:val="007110F6"/>
    <w:rsid w:val="007113B5"/>
    <w:rsid w:val="0071176E"/>
    <w:rsid w:val="00711ADB"/>
    <w:rsid w:val="007120B5"/>
    <w:rsid w:val="0071213C"/>
    <w:rsid w:val="0071237C"/>
    <w:rsid w:val="00712419"/>
    <w:rsid w:val="007125DD"/>
    <w:rsid w:val="00712C8E"/>
    <w:rsid w:val="00712D88"/>
    <w:rsid w:val="0071324E"/>
    <w:rsid w:val="00713329"/>
    <w:rsid w:val="00713E03"/>
    <w:rsid w:val="00714092"/>
    <w:rsid w:val="007142C8"/>
    <w:rsid w:val="00714FF3"/>
    <w:rsid w:val="0071528B"/>
    <w:rsid w:val="00715570"/>
    <w:rsid w:val="00715765"/>
    <w:rsid w:val="00715CF7"/>
    <w:rsid w:val="00715EC6"/>
    <w:rsid w:val="00715FE5"/>
    <w:rsid w:val="00716203"/>
    <w:rsid w:val="00716434"/>
    <w:rsid w:val="007166CA"/>
    <w:rsid w:val="00716AAC"/>
    <w:rsid w:val="00716D5C"/>
    <w:rsid w:val="00717F9B"/>
    <w:rsid w:val="00720844"/>
    <w:rsid w:val="00720D50"/>
    <w:rsid w:val="00721154"/>
    <w:rsid w:val="00722034"/>
    <w:rsid w:val="0072231E"/>
    <w:rsid w:val="00722826"/>
    <w:rsid w:val="00722E0A"/>
    <w:rsid w:val="00722E90"/>
    <w:rsid w:val="00722ED1"/>
    <w:rsid w:val="00723207"/>
    <w:rsid w:val="00723438"/>
    <w:rsid w:val="0072355C"/>
    <w:rsid w:val="00723756"/>
    <w:rsid w:val="0072388F"/>
    <w:rsid w:val="00723F15"/>
    <w:rsid w:val="007248A0"/>
    <w:rsid w:val="00724E68"/>
    <w:rsid w:val="007250FE"/>
    <w:rsid w:val="0072521E"/>
    <w:rsid w:val="00725417"/>
    <w:rsid w:val="00725D42"/>
    <w:rsid w:val="00725E7F"/>
    <w:rsid w:val="007262FF"/>
    <w:rsid w:val="007264A1"/>
    <w:rsid w:val="007265E5"/>
    <w:rsid w:val="007269B6"/>
    <w:rsid w:val="007269FB"/>
    <w:rsid w:val="00726B29"/>
    <w:rsid w:val="00726FD0"/>
    <w:rsid w:val="007272C4"/>
    <w:rsid w:val="007277D1"/>
    <w:rsid w:val="007278B2"/>
    <w:rsid w:val="007278EA"/>
    <w:rsid w:val="00727DBB"/>
    <w:rsid w:val="00727F80"/>
    <w:rsid w:val="007303EE"/>
    <w:rsid w:val="007305AB"/>
    <w:rsid w:val="007306AD"/>
    <w:rsid w:val="0073081C"/>
    <w:rsid w:val="00730A01"/>
    <w:rsid w:val="00730ECD"/>
    <w:rsid w:val="00731702"/>
    <w:rsid w:val="007318D7"/>
    <w:rsid w:val="00731A9C"/>
    <w:rsid w:val="00732945"/>
    <w:rsid w:val="00732E56"/>
    <w:rsid w:val="00732F6E"/>
    <w:rsid w:val="007330CE"/>
    <w:rsid w:val="0073353E"/>
    <w:rsid w:val="00733838"/>
    <w:rsid w:val="00733A82"/>
    <w:rsid w:val="00733EA9"/>
    <w:rsid w:val="0073441E"/>
    <w:rsid w:val="00734695"/>
    <w:rsid w:val="0073524B"/>
    <w:rsid w:val="00735315"/>
    <w:rsid w:val="007359D1"/>
    <w:rsid w:val="00735A94"/>
    <w:rsid w:val="00735FCF"/>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FCD"/>
    <w:rsid w:val="007420C7"/>
    <w:rsid w:val="00742426"/>
    <w:rsid w:val="00742600"/>
    <w:rsid w:val="0074266A"/>
    <w:rsid w:val="00742AFE"/>
    <w:rsid w:val="00742E40"/>
    <w:rsid w:val="00742F94"/>
    <w:rsid w:val="0074318C"/>
    <w:rsid w:val="00743275"/>
    <w:rsid w:val="007433CD"/>
    <w:rsid w:val="00744017"/>
    <w:rsid w:val="00744082"/>
    <w:rsid w:val="00744186"/>
    <w:rsid w:val="007445B8"/>
    <w:rsid w:val="00744C67"/>
    <w:rsid w:val="0074537F"/>
    <w:rsid w:val="00745590"/>
    <w:rsid w:val="00746118"/>
    <w:rsid w:val="007464CF"/>
    <w:rsid w:val="007469E8"/>
    <w:rsid w:val="0074712E"/>
    <w:rsid w:val="007471B4"/>
    <w:rsid w:val="007479A3"/>
    <w:rsid w:val="007502D0"/>
    <w:rsid w:val="00750878"/>
    <w:rsid w:val="00750A3C"/>
    <w:rsid w:val="00750ACE"/>
    <w:rsid w:val="00750E89"/>
    <w:rsid w:val="00751677"/>
    <w:rsid w:val="0075176C"/>
    <w:rsid w:val="00752041"/>
    <w:rsid w:val="007520C0"/>
    <w:rsid w:val="00752224"/>
    <w:rsid w:val="007523C1"/>
    <w:rsid w:val="0075243C"/>
    <w:rsid w:val="007538DD"/>
    <w:rsid w:val="0075394B"/>
    <w:rsid w:val="00753B94"/>
    <w:rsid w:val="00753C35"/>
    <w:rsid w:val="0075430F"/>
    <w:rsid w:val="007545C4"/>
    <w:rsid w:val="00754838"/>
    <w:rsid w:val="00755E44"/>
    <w:rsid w:val="00755FF8"/>
    <w:rsid w:val="00756090"/>
    <w:rsid w:val="00756B7B"/>
    <w:rsid w:val="00756C84"/>
    <w:rsid w:val="0075718E"/>
    <w:rsid w:val="007574E5"/>
    <w:rsid w:val="00757DCD"/>
    <w:rsid w:val="007600E7"/>
    <w:rsid w:val="00760268"/>
    <w:rsid w:val="0076033D"/>
    <w:rsid w:val="0076059C"/>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8BE"/>
    <w:rsid w:val="00767A61"/>
    <w:rsid w:val="00767F6B"/>
    <w:rsid w:val="007704E6"/>
    <w:rsid w:val="00770639"/>
    <w:rsid w:val="00770748"/>
    <w:rsid w:val="00770888"/>
    <w:rsid w:val="007716CD"/>
    <w:rsid w:val="00771C1D"/>
    <w:rsid w:val="00771E8B"/>
    <w:rsid w:val="00771F46"/>
    <w:rsid w:val="0077201D"/>
    <w:rsid w:val="007724B1"/>
    <w:rsid w:val="007725E6"/>
    <w:rsid w:val="0077294E"/>
    <w:rsid w:val="0077320F"/>
    <w:rsid w:val="007733A9"/>
    <w:rsid w:val="0077369A"/>
    <w:rsid w:val="00773772"/>
    <w:rsid w:val="00773CEE"/>
    <w:rsid w:val="00774349"/>
    <w:rsid w:val="0077560B"/>
    <w:rsid w:val="00775777"/>
    <w:rsid w:val="007759A6"/>
    <w:rsid w:val="00775F31"/>
    <w:rsid w:val="0077606A"/>
    <w:rsid w:val="00776753"/>
    <w:rsid w:val="00776B79"/>
    <w:rsid w:val="00776C6B"/>
    <w:rsid w:val="00776D10"/>
    <w:rsid w:val="00776D5A"/>
    <w:rsid w:val="00777482"/>
    <w:rsid w:val="007778B6"/>
    <w:rsid w:val="00777A20"/>
    <w:rsid w:val="00777ABB"/>
    <w:rsid w:val="00777EC0"/>
    <w:rsid w:val="0078091A"/>
    <w:rsid w:val="00780E21"/>
    <w:rsid w:val="00781024"/>
    <w:rsid w:val="007816EF"/>
    <w:rsid w:val="00781859"/>
    <w:rsid w:val="00781D7E"/>
    <w:rsid w:val="00781F08"/>
    <w:rsid w:val="00781FF3"/>
    <w:rsid w:val="00782451"/>
    <w:rsid w:val="00782AFB"/>
    <w:rsid w:val="00783406"/>
    <w:rsid w:val="007834FF"/>
    <w:rsid w:val="00783900"/>
    <w:rsid w:val="00783948"/>
    <w:rsid w:val="00783F1B"/>
    <w:rsid w:val="00784177"/>
    <w:rsid w:val="0078421E"/>
    <w:rsid w:val="007842F1"/>
    <w:rsid w:val="00784516"/>
    <w:rsid w:val="00784C51"/>
    <w:rsid w:val="00784D00"/>
    <w:rsid w:val="00784D3A"/>
    <w:rsid w:val="0078506F"/>
    <w:rsid w:val="007850B6"/>
    <w:rsid w:val="007858CF"/>
    <w:rsid w:val="0078594E"/>
    <w:rsid w:val="007859A8"/>
    <w:rsid w:val="00785A5B"/>
    <w:rsid w:val="00785CCB"/>
    <w:rsid w:val="00786319"/>
    <w:rsid w:val="00786418"/>
    <w:rsid w:val="00786442"/>
    <w:rsid w:val="00786649"/>
    <w:rsid w:val="0078673D"/>
    <w:rsid w:val="00786C42"/>
    <w:rsid w:val="00786E4F"/>
    <w:rsid w:val="00786ED1"/>
    <w:rsid w:val="007879EE"/>
    <w:rsid w:val="00787BAE"/>
    <w:rsid w:val="00787DE3"/>
    <w:rsid w:val="00787EE4"/>
    <w:rsid w:val="0079016D"/>
    <w:rsid w:val="00790182"/>
    <w:rsid w:val="00790324"/>
    <w:rsid w:val="007912F7"/>
    <w:rsid w:val="00791307"/>
    <w:rsid w:val="007914FC"/>
    <w:rsid w:val="00791514"/>
    <w:rsid w:val="00791BFA"/>
    <w:rsid w:val="00792855"/>
    <w:rsid w:val="00792C4A"/>
    <w:rsid w:val="00792DAD"/>
    <w:rsid w:val="00792DAF"/>
    <w:rsid w:val="007931E0"/>
    <w:rsid w:val="00793629"/>
    <w:rsid w:val="007937F3"/>
    <w:rsid w:val="0079386D"/>
    <w:rsid w:val="00793A32"/>
    <w:rsid w:val="00793CDA"/>
    <w:rsid w:val="00793E6A"/>
    <w:rsid w:val="0079443A"/>
    <w:rsid w:val="007945E8"/>
    <w:rsid w:val="0079467C"/>
    <w:rsid w:val="00794862"/>
    <w:rsid w:val="0079488C"/>
    <w:rsid w:val="00794B2C"/>
    <w:rsid w:val="007951F2"/>
    <w:rsid w:val="00795E1B"/>
    <w:rsid w:val="007965A0"/>
    <w:rsid w:val="00796658"/>
    <w:rsid w:val="00796BD8"/>
    <w:rsid w:val="00796F96"/>
    <w:rsid w:val="0079781C"/>
    <w:rsid w:val="007A05DD"/>
    <w:rsid w:val="007A06B0"/>
    <w:rsid w:val="007A0955"/>
    <w:rsid w:val="007A0A19"/>
    <w:rsid w:val="007A0AFE"/>
    <w:rsid w:val="007A1273"/>
    <w:rsid w:val="007A12D6"/>
    <w:rsid w:val="007A1C02"/>
    <w:rsid w:val="007A1D5C"/>
    <w:rsid w:val="007A23A9"/>
    <w:rsid w:val="007A274B"/>
    <w:rsid w:val="007A2BC9"/>
    <w:rsid w:val="007A2E27"/>
    <w:rsid w:val="007A3386"/>
    <w:rsid w:val="007A3701"/>
    <w:rsid w:val="007A3AC7"/>
    <w:rsid w:val="007A3B9A"/>
    <w:rsid w:val="007A4A10"/>
    <w:rsid w:val="007A4ABE"/>
    <w:rsid w:val="007A4DD5"/>
    <w:rsid w:val="007A5017"/>
    <w:rsid w:val="007A5064"/>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A"/>
    <w:rsid w:val="007B1CFA"/>
    <w:rsid w:val="007B212F"/>
    <w:rsid w:val="007B313E"/>
    <w:rsid w:val="007B32A8"/>
    <w:rsid w:val="007B3415"/>
    <w:rsid w:val="007B3C09"/>
    <w:rsid w:val="007B3C3D"/>
    <w:rsid w:val="007B3EA1"/>
    <w:rsid w:val="007B3FAA"/>
    <w:rsid w:val="007B3FBC"/>
    <w:rsid w:val="007B40F8"/>
    <w:rsid w:val="007B413F"/>
    <w:rsid w:val="007B429F"/>
    <w:rsid w:val="007B4B50"/>
    <w:rsid w:val="007B5201"/>
    <w:rsid w:val="007B53F5"/>
    <w:rsid w:val="007B55BF"/>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A54"/>
    <w:rsid w:val="007C0A85"/>
    <w:rsid w:val="007C0B76"/>
    <w:rsid w:val="007C0E20"/>
    <w:rsid w:val="007C0EC9"/>
    <w:rsid w:val="007C0EF7"/>
    <w:rsid w:val="007C1012"/>
    <w:rsid w:val="007C112A"/>
    <w:rsid w:val="007C15AA"/>
    <w:rsid w:val="007C217B"/>
    <w:rsid w:val="007C2555"/>
    <w:rsid w:val="007C2A90"/>
    <w:rsid w:val="007C2AB7"/>
    <w:rsid w:val="007C2E62"/>
    <w:rsid w:val="007C35F7"/>
    <w:rsid w:val="007C451D"/>
    <w:rsid w:val="007C45E0"/>
    <w:rsid w:val="007C474B"/>
    <w:rsid w:val="007C48E0"/>
    <w:rsid w:val="007C56F6"/>
    <w:rsid w:val="007C5C0C"/>
    <w:rsid w:val="007C5E2A"/>
    <w:rsid w:val="007C5EB3"/>
    <w:rsid w:val="007C5EED"/>
    <w:rsid w:val="007C654A"/>
    <w:rsid w:val="007C659D"/>
    <w:rsid w:val="007C6B42"/>
    <w:rsid w:val="007C70FF"/>
    <w:rsid w:val="007C747C"/>
    <w:rsid w:val="007C74E7"/>
    <w:rsid w:val="007C7FD7"/>
    <w:rsid w:val="007D0732"/>
    <w:rsid w:val="007D0838"/>
    <w:rsid w:val="007D09C6"/>
    <w:rsid w:val="007D149A"/>
    <w:rsid w:val="007D15B6"/>
    <w:rsid w:val="007D1709"/>
    <w:rsid w:val="007D199C"/>
    <w:rsid w:val="007D1C7B"/>
    <w:rsid w:val="007D1C9B"/>
    <w:rsid w:val="007D1CBF"/>
    <w:rsid w:val="007D1E98"/>
    <w:rsid w:val="007D1EFF"/>
    <w:rsid w:val="007D1F35"/>
    <w:rsid w:val="007D22A1"/>
    <w:rsid w:val="007D22FB"/>
    <w:rsid w:val="007D23E1"/>
    <w:rsid w:val="007D2652"/>
    <w:rsid w:val="007D269F"/>
    <w:rsid w:val="007D2853"/>
    <w:rsid w:val="007D2C06"/>
    <w:rsid w:val="007D2D7F"/>
    <w:rsid w:val="007D36F5"/>
    <w:rsid w:val="007D3705"/>
    <w:rsid w:val="007D4266"/>
    <w:rsid w:val="007D4C5E"/>
    <w:rsid w:val="007D5491"/>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3699"/>
    <w:rsid w:val="007E369A"/>
    <w:rsid w:val="007E36A7"/>
    <w:rsid w:val="007E3EEF"/>
    <w:rsid w:val="007E4678"/>
    <w:rsid w:val="007E4C05"/>
    <w:rsid w:val="007E4CFB"/>
    <w:rsid w:val="007E4EEB"/>
    <w:rsid w:val="007E51D9"/>
    <w:rsid w:val="007E52BE"/>
    <w:rsid w:val="007E5403"/>
    <w:rsid w:val="007E5F35"/>
    <w:rsid w:val="007E65DE"/>
    <w:rsid w:val="007E774C"/>
    <w:rsid w:val="007F0009"/>
    <w:rsid w:val="007F0713"/>
    <w:rsid w:val="007F122C"/>
    <w:rsid w:val="007F1488"/>
    <w:rsid w:val="007F283C"/>
    <w:rsid w:val="007F2A6C"/>
    <w:rsid w:val="007F2BF4"/>
    <w:rsid w:val="007F2EB6"/>
    <w:rsid w:val="007F4039"/>
    <w:rsid w:val="007F467D"/>
    <w:rsid w:val="007F4AFA"/>
    <w:rsid w:val="007F4EDD"/>
    <w:rsid w:val="007F4FFB"/>
    <w:rsid w:val="007F510E"/>
    <w:rsid w:val="007F5495"/>
    <w:rsid w:val="007F54CA"/>
    <w:rsid w:val="007F5789"/>
    <w:rsid w:val="007F64D0"/>
    <w:rsid w:val="007F66AF"/>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5E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857"/>
    <w:rsid w:val="00812EAA"/>
    <w:rsid w:val="0081322C"/>
    <w:rsid w:val="008132D5"/>
    <w:rsid w:val="00813EDA"/>
    <w:rsid w:val="00814764"/>
    <w:rsid w:val="008148A5"/>
    <w:rsid w:val="008149F5"/>
    <w:rsid w:val="00814AAF"/>
    <w:rsid w:val="00814D92"/>
    <w:rsid w:val="008152FD"/>
    <w:rsid w:val="008154A4"/>
    <w:rsid w:val="008160C5"/>
    <w:rsid w:val="00816648"/>
    <w:rsid w:val="00816CA3"/>
    <w:rsid w:val="00816E18"/>
    <w:rsid w:val="00816E28"/>
    <w:rsid w:val="0081783F"/>
    <w:rsid w:val="00817B90"/>
    <w:rsid w:val="00817CB4"/>
    <w:rsid w:val="008204E0"/>
    <w:rsid w:val="00820F14"/>
    <w:rsid w:val="00820F5D"/>
    <w:rsid w:val="0082140F"/>
    <w:rsid w:val="00821624"/>
    <w:rsid w:val="00821724"/>
    <w:rsid w:val="00821EA0"/>
    <w:rsid w:val="00821F49"/>
    <w:rsid w:val="0082230C"/>
    <w:rsid w:val="00822571"/>
    <w:rsid w:val="0082262C"/>
    <w:rsid w:val="00822CCF"/>
    <w:rsid w:val="0082366C"/>
    <w:rsid w:val="00823DA2"/>
    <w:rsid w:val="00823DCC"/>
    <w:rsid w:val="00823FDF"/>
    <w:rsid w:val="00824295"/>
    <w:rsid w:val="008244FE"/>
    <w:rsid w:val="00824594"/>
    <w:rsid w:val="00824856"/>
    <w:rsid w:val="0082494C"/>
    <w:rsid w:val="00825200"/>
    <w:rsid w:val="008252D3"/>
    <w:rsid w:val="00825328"/>
    <w:rsid w:val="0082561A"/>
    <w:rsid w:val="008256CF"/>
    <w:rsid w:val="00825741"/>
    <w:rsid w:val="008259AF"/>
    <w:rsid w:val="00825BFF"/>
    <w:rsid w:val="00826060"/>
    <w:rsid w:val="0082655A"/>
    <w:rsid w:val="00826C8C"/>
    <w:rsid w:val="0082709A"/>
    <w:rsid w:val="00827311"/>
    <w:rsid w:val="00827683"/>
    <w:rsid w:val="00827B91"/>
    <w:rsid w:val="00827D51"/>
    <w:rsid w:val="00830601"/>
    <w:rsid w:val="00831873"/>
    <w:rsid w:val="0083196C"/>
    <w:rsid w:val="00831999"/>
    <w:rsid w:val="00831CEA"/>
    <w:rsid w:val="00831D72"/>
    <w:rsid w:val="008323F9"/>
    <w:rsid w:val="008324BD"/>
    <w:rsid w:val="00832E48"/>
    <w:rsid w:val="00833036"/>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7811"/>
    <w:rsid w:val="0083785F"/>
    <w:rsid w:val="00837973"/>
    <w:rsid w:val="0084043B"/>
    <w:rsid w:val="008407D5"/>
    <w:rsid w:val="00840822"/>
    <w:rsid w:val="00840C0D"/>
    <w:rsid w:val="00840E07"/>
    <w:rsid w:val="00840E20"/>
    <w:rsid w:val="00840FCD"/>
    <w:rsid w:val="00841252"/>
    <w:rsid w:val="00841438"/>
    <w:rsid w:val="008415C4"/>
    <w:rsid w:val="00841710"/>
    <w:rsid w:val="00841DC5"/>
    <w:rsid w:val="00841E75"/>
    <w:rsid w:val="008420D8"/>
    <w:rsid w:val="0084220B"/>
    <w:rsid w:val="0084348C"/>
    <w:rsid w:val="00844462"/>
    <w:rsid w:val="008444D3"/>
    <w:rsid w:val="00844726"/>
    <w:rsid w:val="00844983"/>
    <w:rsid w:val="00844EFB"/>
    <w:rsid w:val="00844F5C"/>
    <w:rsid w:val="008450B9"/>
    <w:rsid w:val="00845322"/>
    <w:rsid w:val="00845375"/>
    <w:rsid w:val="008459CD"/>
    <w:rsid w:val="00845D64"/>
    <w:rsid w:val="00845D66"/>
    <w:rsid w:val="00845EF7"/>
    <w:rsid w:val="008461BB"/>
    <w:rsid w:val="00846866"/>
    <w:rsid w:val="008469F5"/>
    <w:rsid w:val="008472B0"/>
    <w:rsid w:val="00847565"/>
    <w:rsid w:val="00847E0E"/>
    <w:rsid w:val="0085040C"/>
    <w:rsid w:val="00850E30"/>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0DB5"/>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C6"/>
    <w:rsid w:val="008657E5"/>
    <w:rsid w:val="008658AF"/>
    <w:rsid w:val="008659D2"/>
    <w:rsid w:val="00865C32"/>
    <w:rsid w:val="00865C42"/>
    <w:rsid w:val="00865D09"/>
    <w:rsid w:val="00866852"/>
    <w:rsid w:val="00866B35"/>
    <w:rsid w:val="00867A27"/>
    <w:rsid w:val="00867CC9"/>
    <w:rsid w:val="00870689"/>
    <w:rsid w:val="008706C1"/>
    <w:rsid w:val="00870883"/>
    <w:rsid w:val="008710DA"/>
    <w:rsid w:val="008712A2"/>
    <w:rsid w:val="00871904"/>
    <w:rsid w:val="008719EC"/>
    <w:rsid w:val="00871D96"/>
    <w:rsid w:val="00871FC3"/>
    <w:rsid w:val="00872CFE"/>
    <w:rsid w:val="0087321C"/>
    <w:rsid w:val="008732BF"/>
    <w:rsid w:val="008733EB"/>
    <w:rsid w:val="00873D0B"/>
    <w:rsid w:val="00874058"/>
    <w:rsid w:val="0087417F"/>
    <w:rsid w:val="0087431A"/>
    <w:rsid w:val="00874A9A"/>
    <w:rsid w:val="00875736"/>
    <w:rsid w:val="008759D0"/>
    <w:rsid w:val="00875F5E"/>
    <w:rsid w:val="008760FB"/>
    <w:rsid w:val="00876157"/>
    <w:rsid w:val="008762E8"/>
    <w:rsid w:val="0087658C"/>
    <w:rsid w:val="008765CA"/>
    <w:rsid w:val="00876788"/>
    <w:rsid w:val="00876C59"/>
    <w:rsid w:val="00877470"/>
    <w:rsid w:val="008800C5"/>
    <w:rsid w:val="008801A9"/>
    <w:rsid w:val="0088038F"/>
    <w:rsid w:val="00880841"/>
    <w:rsid w:val="00880AC5"/>
    <w:rsid w:val="00880E40"/>
    <w:rsid w:val="00880F11"/>
    <w:rsid w:val="0088116D"/>
    <w:rsid w:val="0088150E"/>
    <w:rsid w:val="00881528"/>
    <w:rsid w:val="00881BEC"/>
    <w:rsid w:val="008820C6"/>
    <w:rsid w:val="00882702"/>
    <w:rsid w:val="00882859"/>
    <w:rsid w:val="00882A8F"/>
    <w:rsid w:val="00882E29"/>
    <w:rsid w:val="008833C9"/>
    <w:rsid w:val="008836E7"/>
    <w:rsid w:val="00883748"/>
    <w:rsid w:val="00883C10"/>
    <w:rsid w:val="00883C53"/>
    <w:rsid w:val="00883D0E"/>
    <w:rsid w:val="00883F8B"/>
    <w:rsid w:val="00884634"/>
    <w:rsid w:val="00884A9A"/>
    <w:rsid w:val="00884ABA"/>
    <w:rsid w:val="00884E73"/>
    <w:rsid w:val="00885093"/>
    <w:rsid w:val="008853A7"/>
    <w:rsid w:val="0088563B"/>
    <w:rsid w:val="00885C39"/>
    <w:rsid w:val="00885C6F"/>
    <w:rsid w:val="00885EAE"/>
    <w:rsid w:val="00885FEB"/>
    <w:rsid w:val="00886148"/>
    <w:rsid w:val="008866DA"/>
    <w:rsid w:val="0088691F"/>
    <w:rsid w:val="00886C4A"/>
    <w:rsid w:val="008870B7"/>
    <w:rsid w:val="008872EF"/>
    <w:rsid w:val="008906C7"/>
    <w:rsid w:val="00890AAC"/>
    <w:rsid w:val="00890DCE"/>
    <w:rsid w:val="008910DF"/>
    <w:rsid w:val="00891ADA"/>
    <w:rsid w:val="00891CDE"/>
    <w:rsid w:val="00892979"/>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560"/>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92B"/>
    <w:rsid w:val="008A4AF6"/>
    <w:rsid w:val="008A4C0D"/>
    <w:rsid w:val="008A4C2E"/>
    <w:rsid w:val="008A4EDB"/>
    <w:rsid w:val="008A5A94"/>
    <w:rsid w:val="008A5D42"/>
    <w:rsid w:val="008A5DEA"/>
    <w:rsid w:val="008A5F06"/>
    <w:rsid w:val="008A61A2"/>
    <w:rsid w:val="008A6462"/>
    <w:rsid w:val="008A6B10"/>
    <w:rsid w:val="008A6DE7"/>
    <w:rsid w:val="008A708B"/>
    <w:rsid w:val="008A7241"/>
    <w:rsid w:val="008A7A88"/>
    <w:rsid w:val="008A7BC9"/>
    <w:rsid w:val="008A7C01"/>
    <w:rsid w:val="008A7D84"/>
    <w:rsid w:val="008A7E5A"/>
    <w:rsid w:val="008B0082"/>
    <w:rsid w:val="008B011B"/>
    <w:rsid w:val="008B08A2"/>
    <w:rsid w:val="008B0B81"/>
    <w:rsid w:val="008B0BEA"/>
    <w:rsid w:val="008B0C16"/>
    <w:rsid w:val="008B0DF3"/>
    <w:rsid w:val="008B1939"/>
    <w:rsid w:val="008B1A67"/>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DF6"/>
    <w:rsid w:val="008B6F30"/>
    <w:rsid w:val="008B779F"/>
    <w:rsid w:val="008B7CE5"/>
    <w:rsid w:val="008B7E1F"/>
    <w:rsid w:val="008C00E0"/>
    <w:rsid w:val="008C01CF"/>
    <w:rsid w:val="008C02F2"/>
    <w:rsid w:val="008C02F6"/>
    <w:rsid w:val="008C0394"/>
    <w:rsid w:val="008C0B49"/>
    <w:rsid w:val="008C0EE1"/>
    <w:rsid w:val="008C106D"/>
    <w:rsid w:val="008C10F9"/>
    <w:rsid w:val="008C1152"/>
    <w:rsid w:val="008C1237"/>
    <w:rsid w:val="008C15DC"/>
    <w:rsid w:val="008C1677"/>
    <w:rsid w:val="008C188C"/>
    <w:rsid w:val="008C1F03"/>
    <w:rsid w:val="008C211F"/>
    <w:rsid w:val="008C223A"/>
    <w:rsid w:val="008C283E"/>
    <w:rsid w:val="008C3262"/>
    <w:rsid w:val="008C329B"/>
    <w:rsid w:val="008C343E"/>
    <w:rsid w:val="008C3557"/>
    <w:rsid w:val="008C3BFC"/>
    <w:rsid w:val="008C4419"/>
    <w:rsid w:val="008C44BE"/>
    <w:rsid w:val="008C4722"/>
    <w:rsid w:val="008C540B"/>
    <w:rsid w:val="008C54A5"/>
    <w:rsid w:val="008C555F"/>
    <w:rsid w:val="008C572A"/>
    <w:rsid w:val="008C575F"/>
    <w:rsid w:val="008C58C7"/>
    <w:rsid w:val="008C5F72"/>
    <w:rsid w:val="008C5F99"/>
    <w:rsid w:val="008C689C"/>
    <w:rsid w:val="008C6C27"/>
    <w:rsid w:val="008C7296"/>
    <w:rsid w:val="008C7536"/>
    <w:rsid w:val="008C76B2"/>
    <w:rsid w:val="008C782F"/>
    <w:rsid w:val="008C7A81"/>
    <w:rsid w:val="008C7ED5"/>
    <w:rsid w:val="008C7FAD"/>
    <w:rsid w:val="008D0060"/>
    <w:rsid w:val="008D0161"/>
    <w:rsid w:val="008D040F"/>
    <w:rsid w:val="008D05FB"/>
    <w:rsid w:val="008D0BDB"/>
    <w:rsid w:val="008D101F"/>
    <w:rsid w:val="008D1C1F"/>
    <w:rsid w:val="008D1D54"/>
    <w:rsid w:val="008D210E"/>
    <w:rsid w:val="008D2367"/>
    <w:rsid w:val="008D23E8"/>
    <w:rsid w:val="008D2E35"/>
    <w:rsid w:val="008D312A"/>
    <w:rsid w:val="008D3636"/>
    <w:rsid w:val="008D3B86"/>
    <w:rsid w:val="008D4414"/>
    <w:rsid w:val="008D4460"/>
    <w:rsid w:val="008D47DF"/>
    <w:rsid w:val="008D491F"/>
    <w:rsid w:val="008D4F32"/>
    <w:rsid w:val="008D502A"/>
    <w:rsid w:val="008D5618"/>
    <w:rsid w:val="008D5BA8"/>
    <w:rsid w:val="008D5D87"/>
    <w:rsid w:val="008D6768"/>
    <w:rsid w:val="008D686F"/>
    <w:rsid w:val="008D689E"/>
    <w:rsid w:val="008D69FF"/>
    <w:rsid w:val="008D6E31"/>
    <w:rsid w:val="008D77C5"/>
    <w:rsid w:val="008D78C9"/>
    <w:rsid w:val="008D7F9B"/>
    <w:rsid w:val="008E019F"/>
    <w:rsid w:val="008E0403"/>
    <w:rsid w:val="008E0561"/>
    <w:rsid w:val="008E0E77"/>
    <w:rsid w:val="008E0ED3"/>
    <w:rsid w:val="008E0F06"/>
    <w:rsid w:val="008E101F"/>
    <w:rsid w:val="008E1103"/>
    <w:rsid w:val="008E1CD6"/>
    <w:rsid w:val="008E25EE"/>
    <w:rsid w:val="008E2775"/>
    <w:rsid w:val="008E2781"/>
    <w:rsid w:val="008E279D"/>
    <w:rsid w:val="008E27E8"/>
    <w:rsid w:val="008E2947"/>
    <w:rsid w:val="008E2A68"/>
    <w:rsid w:val="008E2E67"/>
    <w:rsid w:val="008E2E82"/>
    <w:rsid w:val="008E38D6"/>
    <w:rsid w:val="008E3AF8"/>
    <w:rsid w:val="008E3EE6"/>
    <w:rsid w:val="008E447E"/>
    <w:rsid w:val="008E473E"/>
    <w:rsid w:val="008E4943"/>
    <w:rsid w:val="008E4D88"/>
    <w:rsid w:val="008E536B"/>
    <w:rsid w:val="008E55E8"/>
    <w:rsid w:val="008E5B64"/>
    <w:rsid w:val="008E6524"/>
    <w:rsid w:val="008E6657"/>
    <w:rsid w:val="008E68BB"/>
    <w:rsid w:val="008E6996"/>
    <w:rsid w:val="008E7083"/>
    <w:rsid w:val="008E7730"/>
    <w:rsid w:val="008E78D3"/>
    <w:rsid w:val="008E7B85"/>
    <w:rsid w:val="008E7E62"/>
    <w:rsid w:val="008F02F6"/>
    <w:rsid w:val="008F041B"/>
    <w:rsid w:val="008F0D9C"/>
    <w:rsid w:val="008F11CB"/>
    <w:rsid w:val="008F12C8"/>
    <w:rsid w:val="008F143C"/>
    <w:rsid w:val="008F19F6"/>
    <w:rsid w:val="008F1A57"/>
    <w:rsid w:val="008F25D6"/>
    <w:rsid w:val="008F25D9"/>
    <w:rsid w:val="008F272D"/>
    <w:rsid w:val="008F2953"/>
    <w:rsid w:val="008F318E"/>
    <w:rsid w:val="008F3FF9"/>
    <w:rsid w:val="008F40E0"/>
    <w:rsid w:val="008F4282"/>
    <w:rsid w:val="008F4EDB"/>
    <w:rsid w:val="008F5140"/>
    <w:rsid w:val="008F51EB"/>
    <w:rsid w:val="008F545E"/>
    <w:rsid w:val="008F565E"/>
    <w:rsid w:val="008F5748"/>
    <w:rsid w:val="008F5953"/>
    <w:rsid w:val="008F5AA3"/>
    <w:rsid w:val="008F5D2C"/>
    <w:rsid w:val="008F5DA6"/>
    <w:rsid w:val="008F5EE8"/>
    <w:rsid w:val="008F61FC"/>
    <w:rsid w:val="008F722C"/>
    <w:rsid w:val="008F73E0"/>
    <w:rsid w:val="008F7DB1"/>
    <w:rsid w:val="008F7FB9"/>
    <w:rsid w:val="0090001B"/>
    <w:rsid w:val="00900CF6"/>
    <w:rsid w:val="00900EF6"/>
    <w:rsid w:val="00901278"/>
    <w:rsid w:val="009013D9"/>
    <w:rsid w:val="009019F8"/>
    <w:rsid w:val="00901A66"/>
    <w:rsid w:val="00901CF5"/>
    <w:rsid w:val="00901FCB"/>
    <w:rsid w:val="0090228C"/>
    <w:rsid w:val="00902536"/>
    <w:rsid w:val="0090325F"/>
    <w:rsid w:val="009035E5"/>
    <w:rsid w:val="00903641"/>
    <w:rsid w:val="00903647"/>
    <w:rsid w:val="00903A5E"/>
    <w:rsid w:val="00903E23"/>
    <w:rsid w:val="00903EC7"/>
    <w:rsid w:val="00904108"/>
    <w:rsid w:val="00904580"/>
    <w:rsid w:val="009045E6"/>
    <w:rsid w:val="00904C39"/>
    <w:rsid w:val="00904CA5"/>
    <w:rsid w:val="00904DC2"/>
    <w:rsid w:val="00905080"/>
    <w:rsid w:val="009050C8"/>
    <w:rsid w:val="009055CC"/>
    <w:rsid w:val="009056F7"/>
    <w:rsid w:val="009059F9"/>
    <w:rsid w:val="00905B64"/>
    <w:rsid w:val="009065A5"/>
    <w:rsid w:val="009067F9"/>
    <w:rsid w:val="0090686B"/>
    <w:rsid w:val="00906F62"/>
    <w:rsid w:val="0090747B"/>
    <w:rsid w:val="00907514"/>
    <w:rsid w:val="00907910"/>
    <w:rsid w:val="009105CE"/>
    <w:rsid w:val="009106D3"/>
    <w:rsid w:val="0091071E"/>
    <w:rsid w:val="009108B2"/>
    <w:rsid w:val="009109B8"/>
    <w:rsid w:val="00911487"/>
    <w:rsid w:val="009115C7"/>
    <w:rsid w:val="009118BA"/>
    <w:rsid w:val="0091201F"/>
    <w:rsid w:val="0091266E"/>
    <w:rsid w:val="0091293B"/>
    <w:rsid w:val="00912A5E"/>
    <w:rsid w:val="00912E11"/>
    <w:rsid w:val="009136E9"/>
    <w:rsid w:val="00913BA3"/>
    <w:rsid w:val="00913CFF"/>
    <w:rsid w:val="00913F7F"/>
    <w:rsid w:val="0091421E"/>
    <w:rsid w:val="0091444F"/>
    <w:rsid w:val="00914596"/>
    <w:rsid w:val="0091459B"/>
    <w:rsid w:val="00914770"/>
    <w:rsid w:val="009148A8"/>
    <w:rsid w:val="0091498B"/>
    <w:rsid w:val="0091516E"/>
    <w:rsid w:val="009151B6"/>
    <w:rsid w:val="0091533D"/>
    <w:rsid w:val="0091580A"/>
    <w:rsid w:val="00915852"/>
    <w:rsid w:val="00915BB8"/>
    <w:rsid w:val="00915C3B"/>
    <w:rsid w:val="00915DE6"/>
    <w:rsid w:val="00916048"/>
    <w:rsid w:val="00916451"/>
    <w:rsid w:val="00916A7C"/>
    <w:rsid w:val="0091768B"/>
    <w:rsid w:val="009177CA"/>
    <w:rsid w:val="009204B7"/>
    <w:rsid w:val="0092059D"/>
    <w:rsid w:val="00920DED"/>
    <w:rsid w:val="00920EDD"/>
    <w:rsid w:val="0092156B"/>
    <w:rsid w:val="00921644"/>
    <w:rsid w:val="00921955"/>
    <w:rsid w:val="00921A11"/>
    <w:rsid w:val="00921FB8"/>
    <w:rsid w:val="00922345"/>
    <w:rsid w:val="009224E7"/>
    <w:rsid w:val="009228CA"/>
    <w:rsid w:val="00922C3F"/>
    <w:rsid w:val="00922DD7"/>
    <w:rsid w:val="009231E0"/>
    <w:rsid w:val="009234D3"/>
    <w:rsid w:val="00923A8A"/>
    <w:rsid w:val="00923EF7"/>
    <w:rsid w:val="00924236"/>
    <w:rsid w:val="00925076"/>
    <w:rsid w:val="0092567B"/>
    <w:rsid w:val="009258E9"/>
    <w:rsid w:val="00925BEF"/>
    <w:rsid w:val="00925F5F"/>
    <w:rsid w:val="0092657B"/>
    <w:rsid w:val="009266DC"/>
    <w:rsid w:val="00926929"/>
    <w:rsid w:val="00926946"/>
    <w:rsid w:val="00926B3D"/>
    <w:rsid w:val="00926F78"/>
    <w:rsid w:val="00927080"/>
    <w:rsid w:val="00927791"/>
    <w:rsid w:val="009277B1"/>
    <w:rsid w:val="00927FC8"/>
    <w:rsid w:val="009304C6"/>
    <w:rsid w:val="00930B8F"/>
    <w:rsid w:val="00930E68"/>
    <w:rsid w:val="00930EF9"/>
    <w:rsid w:val="009315CB"/>
    <w:rsid w:val="0093160E"/>
    <w:rsid w:val="00931C44"/>
    <w:rsid w:val="00932031"/>
    <w:rsid w:val="009320FC"/>
    <w:rsid w:val="00932180"/>
    <w:rsid w:val="009323DA"/>
    <w:rsid w:val="0093263D"/>
    <w:rsid w:val="0093290B"/>
    <w:rsid w:val="0093316F"/>
    <w:rsid w:val="0093338F"/>
    <w:rsid w:val="009334A3"/>
    <w:rsid w:val="00933520"/>
    <w:rsid w:val="009335AD"/>
    <w:rsid w:val="00933AD8"/>
    <w:rsid w:val="00934062"/>
    <w:rsid w:val="00934347"/>
    <w:rsid w:val="00934640"/>
    <w:rsid w:val="0093496D"/>
    <w:rsid w:val="00934D53"/>
    <w:rsid w:val="009350BB"/>
    <w:rsid w:val="00935225"/>
    <w:rsid w:val="00935556"/>
    <w:rsid w:val="00935751"/>
    <w:rsid w:val="00935829"/>
    <w:rsid w:val="00935C4D"/>
    <w:rsid w:val="00935D76"/>
    <w:rsid w:val="0093618F"/>
    <w:rsid w:val="00936A00"/>
    <w:rsid w:val="00936B27"/>
    <w:rsid w:val="00936C4E"/>
    <w:rsid w:val="00936DDE"/>
    <w:rsid w:val="00936F05"/>
    <w:rsid w:val="009378ED"/>
    <w:rsid w:val="00937BB5"/>
    <w:rsid w:val="009400D6"/>
    <w:rsid w:val="00940615"/>
    <w:rsid w:val="009407F5"/>
    <w:rsid w:val="0094092D"/>
    <w:rsid w:val="00940E84"/>
    <w:rsid w:val="00941210"/>
    <w:rsid w:val="00941286"/>
    <w:rsid w:val="009415DA"/>
    <w:rsid w:val="009418CE"/>
    <w:rsid w:val="00941C3F"/>
    <w:rsid w:val="00941F40"/>
    <w:rsid w:val="009423D1"/>
    <w:rsid w:val="0094243D"/>
    <w:rsid w:val="009424CD"/>
    <w:rsid w:val="00942856"/>
    <w:rsid w:val="00942F4A"/>
    <w:rsid w:val="009434AF"/>
    <w:rsid w:val="00943B0D"/>
    <w:rsid w:val="00944160"/>
    <w:rsid w:val="0094419F"/>
    <w:rsid w:val="00944208"/>
    <w:rsid w:val="00944BA4"/>
    <w:rsid w:val="009450A9"/>
    <w:rsid w:val="00945464"/>
    <w:rsid w:val="00945705"/>
    <w:rsid w:val="00945F95"/>
    <w:rsid w:val="00945FE2"/>
    <w:rsid w:val="00946793"/>
    <w:rsid w:val="009467A0"/>
    <w:rsid w:val="00946F5A"/>
    <w:rsid w:val="00947A97"/>
    <w:rsid w:val="00947CEB"/>
    <w:rsid w:val="00947E86"/>
    <w:rsid w:val="00950599"/>
    <w:rsid w:val="009507B2"/>
    <w:rsid w:val="00950C37"/>
    <w:rsid w:val="00951101"/>
    <w:rsid w:val="00951374"/>
    <w:rsid w:val="0095159E"/>
    <w:rsid w:val="00951FDE"/>
    <w:rsid w:val="0095241A"/>
    <w:rsid w:val="00952A0D"/>
    <w:rsid w:val="00952AC0"/>
    <w:rsid w:val="00952B79"/>
    <w:rsid w:val="00952DDE"/>
    <w:rsid w:val="00952F97"/>
    <w:rsid w:val="009532C1"/>
    <w:rsid w:val="00953346"/>
    <w:rsid w:val="00953588"/>
    <w:rsid w:val="00953CBC"/>
    <w:rsid w:val="00953CC0"/>
    <w:rsid w:val="00953DD6"/>
    <w:rsid w:val="0095409A"/>
    <w:rsid w:val="009543E9"/>
    <w:rsid w:val="00954771"/>
    <w:rsid w:val="00954ADF"/>
    <w:rsid w:val="00954FD6"/>
    <w:rsid w:val="00955013"/>
    <w:rsid w:val="009550D1"/>
    <w:rsid w:val="00955915"/>
    <w:rsid w:val="00955D07"/>
    <w:rsid w:val="0095622B"/>
    <w:rsid w:val="009562CD"/>
    <w:rsid w:val="009567BC"/>
    <w:rsid w:val="00956AC1"/>
    <w:rsid w:val="00956AFC"/>
    <w:rsid w:val="00956EBC"/>
    <w:rsid w:val="00957214"/>
    <w:rsid w:val="00957A49"/>
    <w:rsid w:val="00957AD1"/>
    <w:rsid w:val="00960323"/>
    <w:rsid w:val="00960382"/>
    <w:rsid w:val="009609A1"/>
    <w:rsid w:val="00961CA1"/>
    <w:rsid w:val="00961D5F"/>
    <w:rsid w:val="00961DD4"/>
    <w:rsid w:val="00962109"/>
    <w:rsid w:val="009626E6"/>
    <w:rsid w:val="0096272E"/>
    <w:rsid w:val="009628B6"/>
    <w:rsid w:val="00962F58"/>
    <w:rsid w:val="009631CD"/>
    <w:rsid w:val="00963316"/>
    <w:rsid w:val="009634D1"/>
    <w:rsid w:val="00963818"/>
    <w:rsid w:val="00963A64"/>
    <w:rsid w:val="00963CA2"/>
    <w:rsid w:val="009642AD"/>
    <w:rsid w:val="00964463"/>
    <w:rsid w:val="00964B58"/>
    <w:rsid w:val="00964EF4"/>
    <w:rsid w:val="00965C90"/>
    <w:rsid w:val="00965DCE"/>
    <w:rsid w:val="00966480"/>
    <w:rsid w:val="00966DAE"/>
    <w:rsid w:val="0096711E"/>
    <w:rsid w:val="00967234"/>
    <w:rsid w:val="00967449"/>
    <w:rsid w:val="00967723"/>
    <w:rsid w:val="00967AC8"/>
    <w:rsid w:val="00967FE5"/>
    <w:rsid w:val="009700C9"/>
    <w:rsid w:val="0097076A"/>
    <w:rsid w:val="009709A6"/>
    <w:rsid w:val="00970C54"/>
    <w:rsid w:val="00970D62"/>
    <w:rsid w:val="00970E45"/>
    <w:rsid w:val="009710F3"/>
    <w:rsid w:val="00971220"/>
    <w:rsid w:val="009712F8"/>
    <w:rsid w:val="00971483"/>
    <w:rsid w:val="00971580"/>
    <w:rsid w:val="009715A3"/>
    <w:rsid w:val="00972150"/>
    <w:rsid w:val="009723F7"/>
    <w:rsid w:val="00972474"/>
    <w:rsid w:val="00972562"/>
    <w:rsid w:val="00972E6C"/>
    <w:rsid w:val="00973109"/>
    <w:rsid w:val="00973337"/>
    <w:rsid w:val="00973513"/>
    <w:rsid w:val="009736B8"/>
    <w:rsid w:val="00973C55"/>
    <w:rsid w:val="0097479D"/>
    <w:rsid w:val="009748A3"/>
    <w:rsid w:val="00974F05"/>
    <w:rsid w:val="009755DE"/>
    <w:rsid w:val="0097598C"/>
    <w:rsid w:val="009759D0"/>
    <w:rsid w:val="00975D52"/>
    <w:rsid w:val="00976178"/>
    <w:rsid w:val="00976A37"/>
    <w:rsid w:val="00976D54"/>
    <w:rsid w:val="0097772D"/>
    <w:rsid w:val="0097787A"/>
    <w:rsid w:val="00977D94"/>
    <w:rsid w:val="00980049"/>
    <w:rsid w:val="0098042F"/>
    <w:rsid w:val="009809C4"/>
    <w:rsid w:val="00980ABA"/>
    <w:rsid w:val="00980B41"/>
    <w:rsid w:val="00980BF0"/>
    <w:rsid w:val="00981212"/>
    <w:rsid w:val="0098141A"/>
    <w:rsid w:val="0098146A"/>
    <w:rsid w:val="009814BD"/>
    <w:rsid w:val="009816A4"/>
    <w:rsid w:val="00981826"/>
    <w:rsid w:val="0098247E"/>
    <w:rsid w:val="0098319C"/>
    <w:rsid w:val="009835C8"/>
    <w:rsid w:val="00983A05"/>
    <w:rsid w:val="00983DA0"/>
    <w:rsid w:val="00983EC3"/>
    <w:rsid w:val="0098422D"/>
    <w:rsid w:val="0098443B"/>
    <w:rsid w:val="0098465F"/>
    <w:rsid w:val="00984B60"/>
    <w:rsid w:val="00984F5C"/>
    <w:rsid w:val="009850D8"/>
    <w:rsid w:val="00985AD3"/>
    <w:rsid w:val="00985ADC"/>
    <w:rsid w:val="00985E05"/>
    <w:rsid w:val="00985F1F"/>
    <w:rsid w:val="009862B5"/>
    <w:rsid w:val="00986EAF"/>
    <w:rsid w:val="0098707E"/>
    <w:rsid w:val="009870FD"/>
    <w:rsid w:val="00987149"/>
    <w:rsid w:val="009871F0"/>
    <w:rsid w:val="00987384"/>
    <w:rsid w:val="00987A27"/>
    <w:rsid w:val="0099073D"/>
    <w:rsid w:val="00990D95"/>
    <w:rsid w:val="00990F33"/>
    <w:rsid w:val="009915B6"/>
    <w:rsid w:val="009917E9"/>
    <w:rsid w:val="00991FF5"/>
    <w:rsid w:val="0099233F"/>
    <w:rsid w:val="00992650"/>
    <w:rsid w:val="0099266C"/>
    <w:rsid w:val="00992912"/>
    <w:rsid w:val="00992D0F"/>
    <w:rsid w:val="00992F84"/>
    <w:rsid w:val="00993021"/>
    <w:rsid w:val="009930C1"/>
    <w:rsid w:val="00993CE1"/>
    <w:rsid w:val="009942A4"/>
    <w:rsid w:val="0099432C"/>
    <w:rsid w:val="009944D9"/>
    <w:rsid w:val="00994609"/>
    <w:rsid w:val="009947F8"/>
    <w:rsid w:val="00994881"/>
    <w:rsid w:val="009948E7"/>
    <w:rsid w:val="0099674F"/>
    <w:rsid w:val="00996AB1"/>
    <w:rsid w:val="00996B19"/>
    <w:rsid w:val="00996BBC"/>
    <w:rsid w:val="00996E80"/>
    <w:rsid w:val="00997146"/>
    <w:rsid w:val="009972FA"/>
    <w:rsid w:val="009973CB"/>
    <w:rsid w:val="00997DC3"/>
    <w:rsid w:val="00997FDB"/>
    <w:rsid w:val="009A066E"/>
    <w:rsid w:val="009A095E"/>
    <w:rsid w:val="009A1266"/>
    <w:rsid w:val="009A1305"/>
    <w:rsid w:val="009A16B3"/>
    <w:rsid w:val="009A1AC6"/>
    <w:rsid w:val="009A1B27"/>
    <w:rsid w:val="009A1F1B"/>
    <w:rsid w:val="009A218D"/>
    <w:rsid w:val="009A22BB"/>
    <w:rsid w:val="009A24B8"/>
    <w:rsid w:val="009A2735"/>
    <w:rsid w:val="009A2B2C"/>
    <w:rsid w:val="009A2E65"/>
    <w:rsid w:val="009A2F00"/>
    <w:rsid w:val="009A309B"/>
    <w:rsid w:val="009A334E"/>
    <w:rsid w:val="009A34DD"/>
    <w:rsid w:val="009A3636"/>
    <w:rsid w:val="009A385E"/>
    <w:rsid w:val="009A404A"/>
    <w:rsid w:val="009A4096"/>
    <w:rsid w:val="009A4154"/>
    <w:rsid w:val="009A41AF"/>
    <w:rsid w:val="009A44DA"/>
    <w:rsid w:val="009A4549"/>
    <w:rsid w:val="009A4753"/>
    <w:rsid w:val="009A4853"/>
    <w:rsid w:val="009A4F47"/>
    <w:rsid w:val="009A545F"/>
    <w:rsid w:val="009A558C"/>
    <w:rsid w:val="009A70D9"/>
    <w:rsid w:val="009A71E3"/>
    <w:rsid w:val="009A71F5"/>
    <w:rsid w:val="009A7BFC"/>
    <w:rsid w:val="009A7E39"/>
    <w:rsid w:val="009A7F04"/>
    <w:rsid w:val="009A7F87"/>
    <w:rsid w:val="009B1206"/>
    <w:rsid w:val="009B183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9BB"/>
    <w:rsid w:val="009B4C2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B6B"/>
    <w:rsid w:val="009C1DE0"/>
    <w:rsid w:val="009C1E4F"/>
    <w:rsid w:val="009C22BA"/>
    <w:rsid w:val="009C2836"/>
    <w:rsid w:val="009C2C89"/>
    <w:rsid w:val="009C2EF6"/>
    <w:rsid w:val="009C3292"/>
    <w:rsid w:val="009C3A35"/>
    <w:rsid w:val="009C3E0E"/>
    <w:rsid w:val="009C40B9"/>
    <w:rsid w:val="009C4131"/>
    <w:rsid w:val="009C4259"/>
    <w:rsid w:val="009C4A31"/>
    <w:rsid w:val="009C4DDB"/>
    <w:rsid w:val="009C4DF7"/>
    <w:rsid w:val="009C589B"/>
    <w:rsid w:val="009C5C40"/>
    <w:rsid w:val="009C6024"/>
    <w:rsid w:val="009C66F8"/>
    <w:rsid w:val="009C6980"/>
    <w:rsid w:val="009C6E40"/>
    <w:rsid w:val="009C75F5"/>
    <w:rsid w:val="009C7EAF"/>
    <w:rsid w:val="009D024B"/>
    <w:rsid w:val="009D0835"/>
    <w:rsid w:val="009D0CF6"/>
    <w:rsid w:val="009D11A2"/>
    <w:rsid w:val="009D15B4"/>
    <w:rsid w:val="009D212F"/>
    <w:rsid w:val="009D232C"/>
    <w:rsid w:val="009D2B80"/>
    <w:rsid w:val="009D2E69"/>
    <w:rsid w:val="009D301E"/>
    <w:rsid w:val="009D33EF"/>
    <w:rsid w:val="009D4122"/>
    <w:rsid w:val="009D417D"/>
    <w:rsid w:val="009D4ABC"/>
    <w:rsid w:val="009D58DF"/>
    <w:rsid w:val="009D5C07"/>
    <w:rsid w:val="009D5D4B"/>
    <w:rsid w:val="009D60FE"/>
    <w:rsid w:val="009D62B2"/>
    <w:rsid w:val="009D66E4"/>
    <w:rsid w:val="009D67F3"/>
    <w:rsid w:val="009D685F"/>
    <w:rsid w:val="009D68E5"/>
    <w:rsid w:val="009D6ED0"/>
    <w:rsid w:val="009D7602"/>
    <w:rsid w:val="009D77FE"/>
    <w:rsid w:val="009D7A81"/>
    <w:rsid w:val="009D7C3F"/>
    <w:rsid w:val="009E0266"/>
    <w:rsid w:val="009E0841"/>
    <w:rsid w:val="009E0883"/>
    <w:rsid w:val="009E0AF2"/>
    <w:rsid w:val="009E0DC2"/>
    <w:rsid w:val="009E0F39"/>
    <w:rsid w:val="009E115E"/>
    <w:rsid w:val="009E18C4"/>
    <w:rsid w:val="009E1EAA"/>
    <w:rsid w:val="009E2293"/>
    <w:rsid w:val="009E252E"/>
    <w:rsid w:val="009E310C"/>
    <w:rsid w:val="009E31B2"/>
    <w:rsid w:val="009E34DE"/>
    <w:rsid w:val="009E47E5"/>
    <w:rsid w:val="009E48F4"/>
    <w:rsid w:val="009E4D67"/>
    <w:rsid w:val="009E4D97"/>
    <w:rsid w:val="009E4F28"/>
    <w:rsid w:val="009E52E5"/>
    <w:rsid w:val="009E5473"/>
    <w:rsid w:val="009E593F"/>
    <w:rsid w:val="009E5CF2"/>
    <w:rsid w:val="009E5DEC"/>
    <w:rsid w:val="009E67B4"/>
    <w:rsid w:val="009E6BE1"/>
    <w:rsid w:val="009E6D17"/>
    <w:rsid w:val="009E73FE"/>
    <w:rsid w:val="009E77AA"/>
    <w:rsid w:val="009E7C41"/>
    <w:rsid w:val="009F042D"/>
    <w:rsid w:val="009F0901"/>
    <w:rsid w:val="009F09DD"/>
    <w:rsid w:val="009F12CD"/>
    <w:rsid w:val="009F139D"/>
    <w:rsid w:val="009F15EF"/>
    <w:rsid w:val="009F1C59"/>
    <w:rsid w:val="009F1D91"/>
    <w:rsid w:val="009F2875"/>
    <w:rsid w:val="009F2B72"/>
    <w:rsid w:val="009F335A"/>
    <w:rsid w:val="009F34CE"/>
    <w:rsid w:val="009F37B3"/>
    <w:rsid w:val="009F3AA4"/>
    <w:rsid w:val="009F40F6"/>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DB5"/>
    <w:rsid w:val="00A029D4"/>
    <w:rsid w:val="00A02EBE"/>
    <w:rsid w:val="00A02EC0"/>
    <w:rsid w:val="00A0340B"/>
    <w:rsid w:val="00A03753"/>
    <w:rsid w:val="00A03881"/>
    <w:rsid w:val="00A039C4"/>
    <w:rsid w:val="00A03D83"/>
    <w:rsid w:val="00A04011"/>
    <w:rsid w:val="00A042CA"/>
    <w:rsid w:val="00A049EC"/>
    <w:rsid w:val="00A05013"/>
    <w:rsid w:val="00A05054"/>
    <w:rsid w:val="00A052AB"/>
    <w:rsid w:val="00A05950"/>
    <w:rsid w:val="00A063E3"/>
    <w:rsid w:val="00A066C0"/>
    <w:rsid w:val="00A06757"/>
    <w:rsid w:val="00A0682B"/>
    <w:rsid w:val="00A06C3F"/>
    <w:rsid w:val="00A06CAA"/>
    <w:rsid w:val="00A06F87"/>
    <w:rsid w:val="00A06FEC"/>
    <w:rsid w:val="00A07F27"/>
    <w:rsid w:val="00A102C2"/>
    <w:rsid w:val="00A10771"/>
    <w:rsid w:val="00A109F3"/>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F03"/>
    <w:rsid w:val="00A14095"/>
    <w:rsid w:val="00A1434B"/>
    <w:rsid w:val="00A14E87"/>
    <w:rsid w:val="00A14EA5"/>
    <w:rsid w:val="00A15004"/>
    <w:rsid w:val="00A150B8"/>
    <w:rsid w:val="00A15783"/>
    <w:rsid w:val="00A157BF"/>
    <w:rsid w:val="00A15C6C"/>
    <w:rsid w:val="00A160FD"/>
    <w:rsid w:val="00A166FA"/>
    <w:rsid w:val="00A16844"/>
    <w:rsid w:val="00A1694D"/>
    <w:rsid w:val="00A173EF"/>
    <w:rsid w:val="00A17B48"/>
    <w:rsid w:val="00A17E06"/>
    <w:rsid w:val="00A17E34"/>
    <w:rsid w:val="00A17FC0"/>
    <w:rsid w:val="00A20494"/>
    <w:rsid w:val="00A2054D"/>
    <w:rsid w:val="00A205ED"/>
    <w:rsid w:val="00A208CB"/>
    <w:rsid w:val="00A20969"/>
    <w:rsid w:val="00A20D53"/>
    <w:rsid w:val="00A20F38"/>
    <w:rsid w:val="00A211F1"/>
    <w:rsid w:val="00A21748"/>
    <w:rsid w:val="00A21C47"/>
    <w:rsid w:val="00A21CD5"/>
    <w:rsid w:val="00A2222D"/>
    <w:rsid w:val="00A22B62"/>
    <w:rsid w:val="00A22B65"/>
    <w:rsid w:val="00A22D7C"/>
    <w:rsid w:val="00A23055"/>
    <w:rsid w:val="00A23108"/>
    <w:rsid w:val="00A23162"/>
    <w:rsid w:val="00A23D03"/>
    <w:rsid w:val="00A23E53"/>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27988"/>
    <w:rsid w:val="00A303DC"/>
    <w:rsid w:val="00A30BEA"/>
    <w:rsid w:val="00A31917"/>
    <w:rsid w:val="00A319F0"/>
    <w:rsid w:val="00A321C8"/>
    <w:rsid w:val="00A32539"/>
    <w:rsid w:val="00A33A65"/>
    <w:rsid w:val="00A33CBA"/>
    <w:rsid w:val="00A33EF7"/>
    <w:rsid w:val="00A342A9"/>
    <w:rsid w:val="00A34923"/>
    <w:rsid w:val="00A34CB1"/>
    <w:rsid w:val="00A34EAE"/>
    <w:rsid w:val="00A355DD"/>
    <w:rsid w:val="00A3563F"/>
    <w:rsid w:val="00A357BF"/>
    <w:rsid w:val="00A35A06"/>
    <w:rsid w:val="00A35B3A"/>
    <w:rsid w:val="00A35F17"/>
    <w:rsid w:val="00A36233"/>
    <w:rsid w:val="00A372E6"/>
    <w:rsid w:val="00A373EB"/>
    <w:rsid w:val="00A37670"/>
    <w:rsid w:val="00A4022E"/>
    <w:rsid w:val="00A4041F"/>
    <w:rsid w:val="00A40E40"/>
    <w:rsid w:val="00A40E98"/>
    <w:rsid w:val="00A40ECE"/>
    <w:rsid w:val="00A40F15"/>
    <w:rsid w:val="00A40FFE"/>
    <w:rsid w:val="00A411AA"/>
    <w:rsid w:val="00A414D9"/>
    <w:rsid w:val="00A4189B"/>
    <w:rsid w:val="00A4189D"/>
    <w:rsid w:val="00A4190E"/>
    <w:rsid w:val="00A41D2D"/>
    <w:rsid w:val="00A41F89"/>
    <w:rsid w:val="00A4210D"/>
    <w:rsid w:val="00A42346"/>
    <w:rsid w:val="00A43246"/>
    <w:rsid w:val="00A43C71"/>
    <w:rsid w:val="00A43CC0"/>
    <w:rsid w:val="00A4419A"/>
    <w:rsid w:val="00A44A49"/>
    <w:rsid w:val="00A44C20"/>
    <w:rsid w:val="00A44D65"/>
    <w:rsid w:val="00A44F51"/>
    <w:rsid w:val="00A45086"/>
    <w:rsid w:val="00A451BB"/>
    <w:rsid w:val="00A45530"/>
    <w:rsid w:val="00A45A69"/>
    <w:rsid w:val="00A463B4"/>
    <w:rsid w:val="00A467A6"/>
    <w:rsid w:val="00A468C5"/>
    <w:rsid w:val="00A468CE"/>
    <w:rsid w:val="00A46922"/>
    <w:rsid w:val="00A46992"/>
    <w:rsid w:val="00A46A57"/>
    <w:rsid w:val="00A46B3C"/>
    <w:rsid w:val="00A475D6"/>
    <w:rsid w:val="00A476DB"/>
    <w:rsid w:val="00A500A3"/>
    <w:rsid w:val="00A500B9"/>
    <w:rsid w:val="00A50201"/>
    <w:rsid w:val="00A5091A"/>
    <w:rsid w:val="00A5094A"/>
    <w:rsid w:val="00A50A2B"/>
    <w:rsid w:val="00A51E3F"/>
    <w:rsid w:val="00A51F93"/>
    <w:rsid w:val="00A52594"/>
    <w:rsid w:val="00A53BFF"/>
    <w:rsid w:val="00A54121"/>
    <w:rsid w:val="00A5439F"/>
    <w:rsid w:val="00A54AA5"/>
    <w:rsid w:val="00A5577B"/>
    <w:rsid w:val="00A55951"/>
    <w:rsid w:val="00A55BA8"/>
    <w:rsid w:val="00A55C7E"/>
    <w:rsid w:val="00A56710"/>
    <w:rsid w:val="00A567BC"/>
    <w:rsid w:val="00A56906"/>
    <w:rsid w:val="00A56A53"/>
    <w:rsid w:val="00A5737A"/>
    <w:rsid w:val="00A57F53"/>
    <w:rsid w:val="00A6026D"/>
    <w:rsid w:val="00A60CB3"/>
    <w:rsid w:val="00A6187E"/>
    <w:rsid w:val="00A61B10"/>
    <w:rsid w:val="00A61ED1"/>
    <w:rsid w:val="00A61F0D"/>
    <w:rsid w:val="00A62292"/>
    <w:rsid w:val="00A63178"/>
    <w:rsid w:val="00A63450"/>
    <w:rsid w:val="00A6388D"/>
    <w:rsid w:val="00A638C1"/>
    <w:rsid w:val="00A63D8D"/>
    <w:rsid w:val="00A641AA"/>
    <w:rsid w:val="00A6458E"/>
    <w:rsid w:val="00A648FE"/>
    <w:rsid w:val="00A64A17"/>
    <w:rsid w:val="00A64BF5"/>
    <w:rsid w:val="00A64F19"/>
    <w:rsid w:val="00A6519A"/>
    <w:rsid w:val="00A6528E"/>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161B"/>
    <w:rsid w:val="00A72438"/>
    <w:rsid w:val="00A72849"/>
    <w:rsid w:val="00A731A9"/>
    <w:rsid w:val="00A738B7"/>
    <w:rsid w:val="00A73B77"/>
    <w:rsid w:val="00A73C25"/>
    <w:rsid w:val="00A74056"/>
    <w:rsid w:val="00A74313"/>
    <w:rsid w:val="00A74D89"/>
    <w:rsid w:val="00A74F49"/>
    <w:rsid w:val="00A75555"/>
    <w:rsid w:val="00A766A4"/>
    <w:rsid w:val="00A76DC6"/>
    <w:rsid w:val="00A76FB0"/>
    <w:rsid w:val="00A777D6"/>
    <w:rsid w:val="00A801CC"/>
    <w:rsid w:val="00A8039D"/>
    <w:rsid w:val="00A80B46"/>
    <w:rsid w:val="00A80EAC"/>
    <w:rsid w:val="00A812E5"/>
    <w:rsid w:val="00A82597"/>
    <w:rsid w:val="00A82961"/>
    <w:rsid w:val="00A82AE4"/>
    <w:rsid w:val="00A82B8A"/>
    <w:rsid w:val="00A82C5C"/>
    <w:rsid w:val="00A830CC"/>
    <w:rsid w:val="00A831C5"/>
    <w:rsid w:val="00A831E0"/>
    <w:rsid w:val="00A83224"/>
    <w:rsid w:val="00A833D3"/>
    <w:rsid w:val="00A841BA"/>
    <w:rsid w:val="00A8461F"/>
    <w:rsid w:val="00A84985"/>
    <w:rsid w:val="00A84BDA"/>
    <w:rsid w:val="00A84CCA"/>
    <w:rsid w:val="00A84CF1"/>
    <w:rsid w:val="00A84D19"/>
    <w:rsid w:val="00A84F42"/>
    <w:rsid w:val="00A84FB3"/>
    <w:rsid w:val="00A8510D"/>
    <w:rsid w:val="00A85219"/>
    <w:rsid w:val="00A85279"/>
    <w:rsid w:val="00A8557C"/>
    <w:rsid w:val="00A85742"/>
    <w:rsid w:val="00A85A87"/>
    <w:rsid w:val="00A85DBE"/>
    <w:rsid w:val="00A85DCF"/>
    <w:rsid w:val="00A85F5A"/>
    <w:rsid w:val="00A86067"/>
    <w:rsid w:val="00A860C6"/>
    <w:rsid w:val="00A863D8"/>
    <w:rsid w:val="00A867CD"/>
    <w:rsid w:val="00A86C23"/>
    <w:rsid w:val="00A86E5F"/>
    <w:rsid w:val="00A8733E"/>
    <w:rsid w:val="00A873D1"/>
    <w:rsid w:val="00A873FE"/>
    <w:rsid w:val="00A87575"/>
    <w:rsid w:val="00A87D5D"/>
    <w:rsid w:val="00A900E4"/>
    <w:rsid w:val="00A9046F"/>
    <w:rsid w:val="00A90558"/>
    <w:rsid w:val="00A908D3"/>
    <w:rsid w:val="00A91188"/>
    <w:rsid w:val="00A91387"/>
    <w:rsid w:val="00A91616"/>
    <w:rsid w:val="00A918E6"/>
    <w:rsid w:val="00A91924"/>
    <w:rsid w:val="00A91BDA"/>
    <w:rsid w:val="00A92EE5"/>
    <w:rsid w:val="00A92FD0"/>
    <w:rsid w:val="00A9304A"/>
    <w:rsid w:val="00A93447"/>
    <w:rsid w:val="00A934E3"/>
    <w:rsid w:val="00A93573"/>
    <w:rsid w:val="00A93C07"/>
    <w:rsid w:val="00A93CD2"/>
    <w:rsid w:val="00A94115"/>
    <w:rsid w:val="00A94514"/>
    <w:rsid w:val="00A946F2"/>
    <w:rsid w:val="00A94A9C"/>
    <w:rsid w:val="00A954B3"/>
    <w:rsid w:val="00A958CC"/>
    <w:rsid w:val="00A95A88"/>
    <w:rsid w:val="00A95F20"/>
    <w:rsid w:val="00A96298"/>
    <w:rsid w:val="00A9683D"/>
    <w:rsid w:val="00A96B51"/>
    <w:rsid w:val="00A979B9"/>
    <w:rsid w:val="00A97C45"/>
    <w:rsid w:val="00A97C71"/>
    <w:rsid w:val="00A97E13"/>
    <w:rsid w:val="00AA043F"/>
    <w:rsid w:val="00AA04D7"/>
    <w:rsid w:val="00AA04D9"/>
    <w:rsid w:val="00AA0576"/>
    <w:rsid w:val="00AA070D"/>
    <w:rsid w:val="00AA0C56"/>
    <w:rsid w:val="00AA0C6F"/>
    <w:rsid w:val="00AA0E68"/>
    <w:rsid w:val="00AA0EB1"/>
    <w:rsid w:val="00AA19B7"/>
    <w:rsid w:val="00AA1AD4"/>
    <w:rsid w:val="00AA1DED"/>
    <w:rsid w:val="00AA207E"/>
    <w:rsid w:val="00AA26D8"/>
    <w:rsid w:val="00AA31C2"/>
    <w:rsid w:val="00AA39A3"/>
    <w:rsid w:val="00AA3B2B"/>
    <w:rsid w:val="00AA3F1C"/>
    <w:rsid w:val="00AA453D"/>
    <w:rsid w:val="00AA4ABD"/>
    <w:rsid w:val="00AA4D33"/>
    <w:rsid w:val="00AA4DB3"/>
    <w:rsid w:val="00AA5257"/>
    <w:rsid w:val="00AA55F1"/>
    <w:rsid w:val="00AA5847"/>
    <w:rsid w:val="00AA5B35"/>
    <w:rsid w:val="00AA622C"/>
    <w:rsid w:val="00AA6394"/>
    <w:rsid w:val="00AA6451"/>
    <w:rsid w:val="00AA6A03"/>
    <w:rsid w:val="00AA6BC1"/>
    <w:rsid w:val="00AA6E17"/>
    <w:rsid w:val="00AA7021"/>
    <w:rsid w:val="00AA7330"/>
    <w:rsid w:val="00AA7573"/>
    <w:rsid w:val="00AA770B"/>
    <w:rsid w:val="00AA7910"/>
    <w:rsid w:val="00AA7A92"/>
    <w:rsid w:val="00AA7B72"/>
    <w:rsid w:val="00AA7C10"/>
    <w:rsid w:val="00AA7C1B"/>
    <w:rsid w:val="00AA7DE6"/>
    <w:rsid w:val="00AA7E0F"/>
    <w:rsid w:val="00AA7F7A"/>
    <w:rsid w:val="00AB01EB"/>
    <w:rsid w:val="00AB0CEF"/>
    <w:rsid w:val="00AB1D19"/>
    <w:rsid w:val="00AB1DE9"/>
    <w:rsid w:val="00AB2555"/>
    <w:rsid w:val="00AB2A50"/>
    <w:rsid w:val="00AB2AA9"/>
    <w:rsid w:val="00AB2C86"/>
    <w:rsid w:val="00AB2EF2"/>
    <w:rsid w:val="00AB31EF"/>
    <w:rsid w:val="00AB35E0"/>
    <w:rsid w:val="00AB364C"/>
    <w:rsid w:val="00AB36EA"/>
    <w:rsid w:val="00AB3C36"/>
    <w:rsid w:val="00AB3F3F"/>
    <w:rsid w:val="00AB3FA3"/>
    <w:rsid w:val="00AB41CB"/>
    <w:rsid w:val="00AB4710"/>
    <w:rsid w:val="00AB489E"/>
    <w:rsid w:val="00AB4C0E"/>
    <w:rsid w:val="00AB4E2D"/>
    <w:rsid w:val="00AB4E77"/>
    <w:rsid w:val="00AB628F"/>
    <w:rsid w:val="00AB6722"/>
    <w:rsid w:val="00AB682A"/>
    <w:rsid w:val="00AB74D7"/>
    <w:rsid w:val="00AB7974"/>
    <w:rsid w:val="00AB79A7"/>
    <w:rsid w:val="00AC0126"/>
    <w:rsid w:val="00AC02C9"/>
    <w:rsid w:val="00AC02FE"/>
    <w:rsid w:val="00AC0341"/>
    <w:rsid w:val="00AC03C0"/>
    <w:rsid w:val="00AC0678"/>
    <w:rsid w:val="00AC0A6E"/>
    <w:rsid w:val="00AC0B1F"/>
    <w:rsid w:val="00AC0D8D"/>
    <w:rsid w:val="00AC0EF2"/>
    <w:rsid w:val="00AC10ED"/>
    <w:rsid w:val="00AC21C9"/>
    <w:rsid w:val="00AC258E"/>
    <w:rsid w:val="00AC2664"/>
    <w:rsid w:val="00AC2C0D"/>
    <w:rsid w:val="00AC3A2C"/>
    <w:rsid w:val="00AC3AFF"/>
    <w:rsid w:val="00AC3CC0"/>
    <w:rsid w:val="00AC3E66"/>
    <w:rsid w:val="00AC42D8"/>
    <w:rsid w:val="00AC49DE"/>
    <w:rsid w:val="00AC4AEA"/>
    <w:rsid w:val="00AC4D4F"/>
    <w:rsid w:val="00AC5824"/>
    <w:rsid w:val="00AC5BBF"/>
    <w:rsid w:val="00AC5BF4"/>
    <w:rsid w:val="00AC5CB5"/>
    <w:rsid w:val="00AC624F"/>
    <w:rsid w:val="00AC629A"/>
    <w:rsid w:val="00AC6862"/>
    <w:rsid w:val="00AC6AF9"/>
    <w:rsid w:val="00AC6D91"/>
    <w:rsid w:val="00AC6F25"/>
    <w:rsid w:val="00AC7514"/>
    <w:rsid w:val="00AC7C29"/>
    <w:rsid w:val="00AD0066"/>
    <w:rsid w:val="00AD045F"/>
    <w:rsid w:val="00AD06CF"/>
    <w:rsid w:val="00AD06F5"/>
    <w:rsid w:val="00AD1677"/>
    <w:rsid w:val="00AD1757"/>
    <w:rsid w:val="00AD18DA"/>
    <w:rsid w:val="00AD18F6"/>
    <w:rsid w:val="00AD1AE6"/>
    <w:rsid w:val="00AD22E2"/>
    <w:rsid w:val="00AD25A2"/>
    <w:rsid w:val="00AD3313"/>
    <w:rsid w:val="00AD35B9"/>
    <w:rsid w:val="00AD3EC7"/>
    <w:rsid w:val="00AD4046"/>
    <w:rsid w:val="00AD456A"/>
    <w:rsid w:val="00AD5062"/>
    <w:rsid w:val="00AD50B8"/>
    <w:rsid w:val="00AD573D"/>
    <w:rsid w:val="00AD59BA"/>
    <w:rsid w:val="00AD5CFC"/>
    <w:rsid w:val="00AD60F4"/>
    <w:rsid w:val="00AD7302"/>
    <w:rsid w:val="00AD74E2"/>
    <w:rsid w:val="00AD7A3C"/>
    <w:rsid w:val="00AD7DE4"/>
    <w:rsid w:val="00AE08B7"/>
    <w:rsid w:val="00AE0F7C"/>
    <w:rsid w:val="00AE10F8"/>
    <w:rsid w:val="00AE121A"/>
    <w:rsid w:val="00AE1751"/>
    <w:rsid w:val="00AE1931"/>
    <w:rsid w:val="00AE19F7"/>
    <w:rsid w:val="00AE1A94"/>
    <w:rsid w:val="00AE1AFE"/>
    <w:rsid w:val="00AE1C66"/>
    <w:rsid w:val="00AE1DF3"/>
    <w:rsid w:val="00AE1EA2"/>
    <w:rsid w:val="00AE1F8A"/>
    <w:rsid w:val="00AE1FD1"/>
    <w:rsid w:val="00AE249C"/>
    <w:rsid w:val="00AE24E7"/>
    <w:rsid w:val="00AE2642"/>
    <w:rsid w:val="00AE26FC"/>
    <w:rsid w:val="00AE3542"/>
    <w:rsid w:val="00AE35DF"/>
    <w:rsid w:val="00AE37CB"/>
    <w:rsid w:val="00AE38CC"/>
    <w:rsid w:val="00AE3A46"/>
    <w:rsid w:val="00AE3BCD"/>
    <w:rsid w:val="00AE3C3D"/>
    <w:rsid w:val="00AE41A8"/>
    <w:rsid w:val="00AE43BE"/>
    <w:rsid w:val="00AE4DAF"/>
    <w:rsid w:val="00AE4E4D"/>
    <w:rsid w:val="00AE5131"/>
    <w:rsid w:val="00AE5683"/>
    <w:rsid w:val="00AE5897"/>
    <w:rsid w:val="00AE5941"/>
    <w:rsid w:val="00AE5BE7"/>
    <w:rsid w:val="00AE5CAC"/>
    <w:rsid w:val="00AE5DAC"/>
    <w:rsid w:val="00AE60BA"/>
    <w:rsid w:val="00AE60DF"/>
    <w:rsid w:val="00AE631A"/>
    <w:rsid w:val="00AE6386"/>
    <w:rsid w:val="00AE7B6B"/>
    <w:rsid w:val="00AF0243"/>
    <w:rsid w:val="00AF0418"/>
    <w:rsid w:val="00AF05A6"/>
    <w:rsid w:val="00AF114B"/>
    <w:rsid w:val="00AF1359"/>
    <w:rsid w:val="00AF161A"/>
    <w:rsid w:val="00AF199C"/>
    <w:rsid w:val="00AF1B8F"/>
    <w:rsid w:val="00AF1E01"/>
    <w:rsid w:val="00AF1F31"/>
    <w:rsid w:val="00AF276C"/>
    <w:rsid w:val="00AF2990"/>
    <w:rsid w:val="00AF33F8"/>
    <w:rsid w:val="00AF3CA1"/>
    <w:rsid w:val="00AF3DF0"/>
    <w:rsid w:val="00AF4739"/>
    <w:rsid w:val="00AF48A9"/>
    <w:rsid w:val="00AF4990"/>
    <w:rsid w:val="00AF4EB8"/>
    <w:rsid w:val="00AF5562"/>
    <w:rsid w:val="00AF566D"/>
    <w:rsid w:val="00AF6188"/>
    <w:rsid w:val="00AF651E"/>
    <w:rsid w:val="00AF6E42"/>
    <w:rsid w:val="00AF707B"/>
    <w:rsid w:val="00AF7A8D"/>
    <w:rsid w:val="00AF7BE2"/>
    <w:rsid w:val="00AF7C24"/>
    <w:rsid w:val="00AF7D3F"/>
    <w:rsid w:val="00AF7F28"/>
    <w:rsid w:val="00B001B6"/>
    <w:rsid w:val="00B0072B"/>
    <w:rsid w:val="00B00A07"/>
    <w:rsid w:val="00B00B26"/>
    <w:rsid w:val="00B00CE4"/>
    <w:rsid w:val="00B00F9E"/>
    <w:rsid w:val="00B011D7"/>
    <w:rsid w:val="00B011F1"/>
    <w:rsid w:val="00B020B7"/>
    <w:rsid w:val="00B026FA"/>
    <w:rsid w:val="00B0273F"/>
    <w:rsid w:val="00B02ADA"/>
    <w:rsid w:val="00B02E6E"/>
    <w:rsid w:val="00B02ED5"/>
    <w:rsid w:val="00B03627"/>
    <w:rsid w:val="00B039D2"/>
    <w:rsid w:val="00B03A04"/>
    <w:rsid w:val="00B03AB8"/>
    <w:rsid w:val="00B03D25"/>
    <w:rsid w:val="00B04049"/>
    <w:rsid w:val="00B040AF"/>
    <w:rsid w:val="00B049D4"/>
    <w:rsid w:val="00B05091"/>
    <w:rsid w:val="00B0523A"/>
    <w:rsid w:val="00B052ED"/>
    <w:rsid w:val="00B05680"/>
    <w:rsid w:val="00B05701"/>
    <w:rsid w:val="00B05DFE"/>
    <w:rsid w:val="00B05F69"/>
    <w:rsid w:val="00B0601E"/>
    <w:rsid w:val="00B06460"/>
    <w:rsid w:val="00B068F7"/>
    <w:rsid w:val="00B06A67"/>
    <w:rsid w:val="00B06B7C"/>
    <w:rsid w:val="00B06EDB"/>
    <w:rsid w:val="00B0710A"/>
    <w:rsid w:val="00B07145"/>
    <w:rsid w:val="00B0723D"/>
    <w:rsid w:val="00B0797F"/>
    <w:rsid w:val="00B07D1D"/>
    <w:rsid w:val="00B10520"/>
    <w:rsid w:val="00B107B0"/>
    <w:rsid w:val="00B107D6"/>
    <w:rsid w:val="00B10889"/>
    <w:rsid w:val="00B10986"/>
    <w:rsid w:val="00B113BD"/>
    <w:rsid w:val="00B113CA"/>
    <w:rsid w:val="00B11AF7"/>
    <w:rsid w:val="00B11B09"/>
    <w:rsid w:val="00B11DDF"/>
    <w:rsid w:val="00B11E0C"/>
    <w:rsid w:val="00B11FC0"/>
    <w:rsid w:val="00B14585"/>
    <w:rsid w:val="00B145B0"/>
    <w:rsid w:val="00B14A7C"/>
    <w:rsid w:val="00B14BAA"/>
    <w:rsid w:val="00B14BFD"/>
    <w:rsid w:val="00B14C52"/>
    <w:rsid w:val="00B14F21"/>
    <w:rsid w:val="00B1561A"/>
    <w:rsid w:val="00B15B7A"/>
    <w:rsid w:val="00B16028"/>
    <w:rsid w:val="00B16141"/>
    <w:rsid w:val="00B161E5"/>
    <w:rsid w:val="00B162B2"/>
    <w:rsid w:val="00B168AF"/>
    <w:rsid w:val="00B168E7"/>
    <w:rsid w:val="00B16DCE"/>
    <w:rsid w:val="00B16E84"/>
    <w:rsid w:val="00B17113"/>
    <w:rsid w:val="00B1766F"/>
    <w:rsid w:val="00B17D20"/>
    <w:rsid w:val="00B20584"/>
    <w:rsid w:val="00B20928"/>
    <w:rsid w:val="00B20BF6"/>
    <w:rsid w:val="00B20C18"/>
    <w:rsid w:val="00B2138E"/>
    <w:rsid w:val="00B226E3"/>
    <w:rsid w:val="00B227C3"/>
    <w:rsid w:val="00B228D3"/>
    <w:rsid w:val="00B234C4"/>
    <w:rsid w:val="00B2357E"/>
    <w:rsid w:val="00B236DE"/>
    <w:rsid w:val="00B23991"/>
    <w:rsid w:val="00B24F02"/>
    <w:rsid w:val="00B250B2"/>
    <w:rsid w:val="00B25263"/>
    <w:rsid w:val="00B25570"/>
    <w:rsid w:val="00B25981"/>
    <w:rsid w:val="00B26120"/>
    <w:rsid w:val="00B2700A"/>
    <w:rsid w:val="00B27464"/>
    <w:rsid w:val="00B275EE"/>
    <w:rsid w:val="00B2781B"/>
    <w:rsid w:val="00B2786D"/>
    <w:rsid w:val="00B27B57"/>
    <w:rsid w:val="00B301C5"/>
    <w:rsid w:val="00B301E9"/>
    <w:rsid w:val="00B305C4"/>
    <w:rsid w:val="00B3086D"/>
    <w:rsid w:val="00B30A1F"/>
    <w:rsid w:val="00B31041"/>
    <w:rsid w:val="00B31088"/>
    <w:rsid w:val="00B310C4"/>
    <w:rsid w:val="00B31548"/>
    <w:rsid w:val="00B3181C"/>
    <w:rsid w:val="00B325E1"/>
    <w:rsid w:val="00B3270B"/>
    <w:rsid w:val="00B32D0B"/>
    <w:rsid w:val="00B33795"/>
    <w:rsid w:val="00B33922"/>
    <w:rsid w:val="00B33AAC"/>
    <w:rsid w:val="00B33BD0"/>
    <w:rsid w:val="00B340C2"/>
    <w:rsid w:val="00B34471"/>
    <w:rsid w:val="00B34BB6"/>
    <w:rsid w:val="00B3512C"/>
    <w:rsid w:val="00B353E0"/>
    <w:rsid w:val="00B357CC"/>
    <w:rsid w:val="00B360BB"/>
    <w:rsid w:val="00B361AA"/>
    <w:rsid w:val="00B36262"/>
    <w:rsid w:val="00B362CE"/>
    <w:rsid w:val="00B3631C"/>
    <w:rsid w:val="00B363DB"/>
    <w:rsid w:val="00B36E23"/>
    <w:rsid w:val="00B3705B"/>
    <w:rsid w:val="00B3727C"/>
    <w:rsid w:val="00B4046B"/>
    <w:rsid w:val="00B40661"/>
    <w:rsid w:val="00B40D14"/>
    <w:rsid w:val="00B40D50"/>
    <w:rsid w:val="00B40EB4"/>
    <w:rsid w:val="00B410BE"/>
    <w:rsid w:val="00B411A6"/>
    <w:rsid w:val="00B411B3"/>
    <w:rsid w:val="00B413C8"/>
    <w:rsid w:val="00B4162A"/>
    <w:rsid w:val="00B4175B"/>
    <w:rsid w:val="00B417A2"/>
    <w:rsid w:val="00B41D1A"/>
    <w:rsid w:val="00B42045"/>
    <w:rsid w:val="00B421BB"/>
    <w:rsid w:val="00B422FA"/>
    <w:rsid w:val="00B42BF3"/>
    <w:rsid w:val="00B42CDE"/>
    <w:rsid w:val="00B42D27"/>
    <w:rsid w:val="00B4363D"/>
    <w:rsid w:val="00B4369E"/>
    <w:rsid w:val="00B43C9D"/>
    <w:rsid w:val="00B43CBE"/>
    <w:rsid w:val="00B4448C"/>
    <w:rsid w:val="00B44576"/>
    <w:rsid w:val="00B4466F"/>
    <w:rsid w:val="00B4481B"/>
    <w:rsid w:val="00B44E34"/>
    <w:rsid w:val="00B44E9F"/>
    <w:rsid w:val="00B44FCF"/>
    <w:rsid w:val="00B45D87"/>
    <w:rsid w:val="00B462CF"/>
    <w:rsid w:val="00B4653F"/>
    <w:rsid w:val="00B4672E"/>
    <w:rsid w:val="00B46851"/>
    <w:rsid w:val="00B46BEE"/>
    <w:rsid w:val="00B46CAD"/>
    <w:rsid w:val="00B46EF4"/>
    <w:rsid w:val="00B4746D"/>
    <w:rsid w:val="00B47789"/>
    <w:rsid w:val="00B478D9"/>
    <w:rsid w:val="00B5004F"/>
    <w:rsid w:val="00B503E9"/>
    <w:rsid w:val="00B50C38"/>
    <w:rsid w:val="00B50F95"/>
    <w:rsid w:val="00B51673"/>
    <w:rsid w:val="00B519B8"/>
    <w:rsid w:val="00B51B1F"/>
    <w:rsid w:val="00B51BD2"/>
    <w:rsid w:val="00B52361"/>
    <w:rsid w:val="00B52E26"/>
    <w:rsid w:val="00B52E82"/>
    <w:rsid w:val="00B5379D"/>
    <w:rsid w:val="00B53835"/>
    <w:rsid w:val="00B539AA"/>
    <w:rsid w:val="00B53B0A"/>
    <w:rsid w:val="00B53C81"/>
    <w:rsid w:val="00B53FEF"/>
    <w:rsid w:val="00B540BC"/>
    <w:rsid w:val="00B54308"/>
    <w:rsid w:val="00B54819"/>
    <w:rsid w:val="00B554C1"/>
    <w:rsid w:val="00B55D22"/>
    <w:rsid w:val="00B55D4B"/>
    <w:rsid w:val="00B560CA"/>
    <w:rsid w:val="00B5627E"/>
    <w:rsid w:val="00B5646E"/>
    <w:rsid w:val="00B566D0"/>
    <w:rsid w:val="00B567AB"/>
    <w:rsid w:val="00B56A5A"/>
    <w:rsid w:val="00B56AC1"/>
    <w:rsid w:val="00B56C13"/>
    <w:rsid w:val="00B56E26"/>
    <w:rsid w:val="00B57256"/>
    <w:rsid w:val="00B576EB"/>
    <w:rsid w:val="00B600BB"/>
    <w:rsid w:val="00B601DD"/>
    <w:rsid w:val="00B6035E"/>
    <w:rsid w:val="00B60447"/>
    <w:rsid w:val="00B607BE"/>
    <w:rsid w:val="00B60B5C"/>
    <w:rsid w:val="00B61156"/>
    <w:rsid w:val="00B6152E"/>
    <w:rsid w:val="00B61909"/>
    <w:rsid w:val="00B61CB3"/>
    <w:rsid w:val="00B61DB1"/>
    <w:rsid w:val="00B61F5E"/>
    <w:rsid w:val="00B62742"/>
    <w:rsid w:val="00B62872"/>
    <w:rsid w:val="00B62AAA"/>
    <w:rsid w:val="00B62E07"/>
    <w:rsid w:val="00B63056"/>
    <w:rsid w:val="00B632C7"/>
    <w:rsid w:val="00B634F2"/>
    <w:rsid w:val="00B6375C"/>
    <w:rsid w:val="00B63825"/>
    <w:rsid w:val="00B63E44"/>
    <w:rsid w:val="00B6441B"/>
    <w:rsid w:val="00B645CF"/>
    <w:rsid w:val="00B645F1"/>
    <w:rsid w:val="00B64792"/>
    <w:rsid w:val="00B64B01"/>
    <w:rsid w:val="00B6518D"/>
    <w:rsid w:val="00B65A3F"/>
    <w:rsid w:val="00B660C3"/>
    <w:rsid w:val="00B66132"/>
    <w:rsid w:val="00B66B33"/>
    <w:rsid w:val="00B67996"/>
    <w:rsid w:val="00B67A91"/>
    <w:rsid w:val="00B67DC0"/>
    <w:rsid w:val="00B70475"/>
    <w:rsid w:val="00B70479"/>
    <w:rsid w:val="00B70915"/>
    <w:rsid w:val="00B70C9F"/>
    <w:rsid w:val="00B712C2"/>
    <w:rsid w:val="00B7156A"/>
    <w:rsid w:val="00B7178D"/>
    <w:rsid w:val="00B71E81"/>
    <w:rsid w:val="00B7238D"/>
    <w:rsid w:val="00B7245E"/>
    <w:rsid w:val="00B72743"/>
    <w:rsid w:val="00B72B25"/>
    <w:rsid w:val="00B73D26"/>
    <w:rsid w:val="00B744F7"/>
    <w:rsid w:val="00B7465A"/>
    <w:rsid w:val="00B74858"/>
    <w:rsid w:val="00B74DB6"/>
    <w:rsid w:val="00B75122"/>
    <w:rsid w:val="00B75729"/>
    <w:rsid w:val="00B75740"/>
    <w:rsid w:val="00B760AE"/>
    <w:rsid w:val="00B7621E"/>
    <w:rsid w:val="00B76D5A"/>
    <w:rsid w:val="00B77744"/>
    <w:rsid w:val="00B77DA6"/>
    <w:rsid w:val="00B77F88"/>
    <w:rsid w:val="00B77FE3"/>
    <w:rsid w:val="00B80208"/>
    <w:rsid w:val="00B80704"/>
    <w:rsid w:val="00B80C2A"/>
    <w:rsid w:val="00B80C33"/>
    <w:rsid w:val="00B80D30"/>
    <w:rsid w:val="00B80D7B"/>
    <w:rsid w:val="00B80EE9"/>
    <w:rsid w:val="00B80F9C"/>
    <w:rsid w:val="00B8101C"/>
    <w:rsid w:val="00B812AC"/>
    <w:rsid w:val="00B8192E"/>
    <w:rsid w:val="00B81E2A"/>
    <w:rsid w:val="00B81E4F"/>
    <w:rsid w:val="00B828A3"/>
    <w:rsid w:val="00B82AFA"/>
    <w:rsid w:val="00B82CB6"/>
    <w:rsid w:val="00B82E2E"/>
    <w:rsid w:val="00B834AC"/>
    <w:rsid w:val="00B83AD7"/>
    <w:rsid w:val="00B84055"/>
    <w:rsid w:val="00B84766"/>
    <w:rsid w:val="00B84FCB"/>
    <w:rsid w:val="00B8513C"/>
    <w:rsid w:val="00B851CE"/>
    <w:rsid w:val="00B856CE"/>
    <w:rsid w:val="00B85C0E"/>
    <w:rsid w:val="00B86792"/>
    <w:rsid w:val="00B867F3"/>
    <w:rsid w:val="00B86A3E"/>
    <w:rsid w:val="00B86B0C"/>
    <w:rsid w:val="00B86E7A"/>
    <w:rsid w:val="00B87619"/>
    <w:rsid w:val="00B87665"/>
    <w:rsid w:val="00B876DD"/>
    <w:rsid w:val="00B8782C"/>
    <w:rsid w:val="00B879BD"/>
    <w:rsid w:val="00B87B59"/>
    <w:rsid w:val="00B90635"/>
    <w:rsid w:val="00B90801"/>
    <w:rsid w:val="00B90BFC"/>
    <w:rsid w:val="00B90CCD"/>
    <w:rsid w:val="00B90D03"/>
    <w:rsid w:val="00B910D9"/>
    <w:rsid w:val="00B91603"/>
    <w:rsid w:val="00B9188F"/>
    <w:rsid w:val="00B91DE3"/>
    <w:rsid w:val="00B91F86"/>
    <w:rsid w:val="00B9205E"/>
    <w:rsid w:val="00B922FC"/>
    <w:rsid w:val="00B9252C"/>
    <w:rsid w:val="00B930A3"/>
    <w:rsid w:val="00B9321F"/>
    <w:rsid w:val="00B938ED"/>
    <w:rsid w:val="00B93A87"/>
    <w:rsid w:val="00B93E4C"/>
    <w:rsid w:val="00B93F23"/>
    <w:rsid w:val="00B94244"/>
    <w:rsid w:val="00B9431C"/>
    <w:rsid w:val="00B94334"/>
    <w:rsid w:val="00B94BD6"/>
    <w:rsid w:val="00B951A3"/>
    <w:rsid w:val="00B95592"/>
    <w:rsid w:val="00B958C1"/>
    <w:rsid w:val="00B964FB"/>
    <w:rsid w:val="00B966DA"/>
    <w:rsid w:val="00B970A4"/>
    <w:rsid w:val="00B97112"/>
    <w:rsid w:val="00B97925"/>
    <w:rsid w:val="00BA0AB2"/>
    <w:rsid w:val="00BA1002"/>
    <w:rsid w:val="00BA1A7F"/>
    <w:rsid w:val="00BA1BB5"/>
    <w:rsid w:val="00BA1ECA"/>
    <w:rsid w:val="00BA273E"/>
    <w:rsid w:val="00BA2B93"/>
    <w:rsid w:val="00BA3B8E"/>
    <w:rsid w:val="00BA4381"/>
    <w:rsid w:val="00BA45A6"/>
    <w:rsid w:val="00BA4B59"/>
    <w:rsid w:val="00BA537D"/>
    <w:rsid w:val="00BA6373"/>
    <w:rsid w:val="00BA6661"/>
    <w:rsid w:val="00BA68B1"/>
    <w:rsid w:val="00BA6991"/>
    <w:rsid w:val="00BA6CE7"/>
    <w:rsid w:val="00BA700A"/>
    <w:rsid w:val="00BA705B"/>
    <w:rsid w:val="00BA7082"/>
    <w:rsid w:val="00BA7A07"/>
    <w:rsid w:val="00BA7A20"/>
    <w:rsid w:val="00BA7B10"/>
    <w:rsid w:val="00BB00F8"/>
    <w:rsid w:val="00BB01E5"/>
    <w:rsid w:val="00BB1317"/>
    <w:rsid w:val="00BB141E"/>
    <w:rsid w:val="00BB1E47"/>
    <w:rsid w:val="00BB21CA"/>
    <w:rsid w:val="00BB258C"/>
    <w:rsid w:val="00BB25E2"/>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EED"/>
    <w:rsid w:val="00BC529F"/>
    <w:rsid w:val="00BC5303"/>
    <w:rsid w:val="00BC5731"/>
    <w:rsid w:val="00BC58A6"/>
    <w:rsid w:val="00BC5BA8"/>
    <w:rsid w:val="00BC5C60"/>
    <w:rsid w:val="00BC5CAD"/>
    <w:rsid w:val="00BC6103"/>
    <w:rsid w:val="00BC6274"/>
    <w:rsid w:val="00BC656A"/>
    <w:rsid w:val="00BC65DE"/>
    <w:rsid w:val="00BC67E6"/>
    <w:rsid w:val="00BC6ED7"/>
    <w:rsid w:val="00BC7446"/>
    <w:rsid w:val="00BC76E9"/>
    <w:rsid w:val="00BC7D8D"/>
    <w:rsid w:val="00BD0431"/>
    <w:rsid w:val="00BD0491"/>
    <w:rsid w:val="00BD0520"/>
    <w:rsid w:val="00BD111E"/>
    <w:rsid w:val="00BD113C"/>
    <w:rsid w:val="00BD166B"/>
    <w:rsid w:val="00BD19D4"/>
    <w:rsid w:val="00BD2853"/>
    <w:rsid w:val="00BD2B56"/>
    <w:rsid w:val="00BD2D2F"/>
    <w:rsid w:val="00BD2FF9"/>
    <w:rsid w:val="00BD35C7"/>
    <w:rsid w:val="00BD3BF0"/>
    <w:rsid w:val="00BD3E60"/>
    <w:rsid w:val="00BD440E"/>
    <w:rsid w:val="00BD4602"/>
    <w:rsid w:val="00BD4783"/>
    <w:rsid w:val="00BD48E3"/>
    <w:rsid w:val="00BD4A6F"/>
    <w:rsid w:val="00BD4C8E"/>
    <w:rsid w:val="00BD4E6C"/>
    <w:rsid w:val="00BD4F6E"/>
    <w:rsid w:val="00BD5B1C"/>
    <w:rsid w:val="00BD607B"/>
    <w:rsid w:val="00BD61A4"/>
    <w:rsid w:val="00BD64BD"/>
    <w:rsid w:val="00BD6B4E"/>
    <w:rsid w:val="00BD6E79"/>
    <w:rsid w:val="00BD7392"/>
    <w:rsid w:val="00BD7A69"/>
    <w:rsid w:val="00BD7BA7"/>
    <w:rsid w:val="00BE008E"/>
    <w:rsid w:val="00BE05B6"/>
    <w:rsid w:val="00BE06D2"/>
    <w:rsid w:val="00BE0965"/>
    <w:rsid w:val="00BE0A64"/>
    <w:rsid w:val="00BE0C9E"/>
    <w:rsid w:val="00BE0F2D"/>
    <w:rsid w:val="00BE15A9"/>
    <w:rsid w:val="00BE16C7"/>
    <w:rsid w:val="00BE1B0C"/>
    <w:rsid w:val="00BE1C1B"/>
    <w:rsid w:val="00BE2307"/>
    <w:rsid w:val="00BE247B"/>
    <w:rsid w:val="00BE24CB"/>
    <w:rsid w:val="00BE251E"/>
    <w:rsid w:val="00BE28D0"/>
    <w:rsid w:val="00BE28DB"/>
    <w:rsid w:val="00BE2C02"/>
    <w:rsid w:val="00BE2DD2"/>
    <w:rsid w:val="00BE2F44"/>
    <w:rsid w:val="00BE3435"/>
    <w:rsid w:val="00BE34A2"/>
    <w:rsid w:val="00BE34EB"/>
    <w:rsid w:val="00BE3FB5"/>
    <w:rsid w:val="00BE4035"/>
    <w:rsid w:val="00BE40BA"/>
    <w:rsid w:val="00BE41F4"/>
    <w:rsid w:val="00BE4359"/>
    <w:rsid w:val="00BE49B6"/>
    <w:rsid w:val="00BE4BDE"/>
    <w:rsid w:val="00BE4F43"/>
    <w:rsid w:val="00BE518D"/>
    <w:rsid w:val="00BE6465"/>
    <w:rsid w:val="00BE6A24"/>
    <w:rsid w:val="00BE7153"/>
    <w:rsid w:val="00BE734B"/>
    <w:rsid w:val="00BF022A"/>
    <w:rsid w:val="00BF0337"/>
    <w:rsid w:val="00BF046B"/>
    <w:rsid w:val="00BF08DD"/>
    <w:rsid w:val="00BF12E8"/>
    <w:rsid w:val="00BF15BD"/>
    <w:rsid w:val="00BF1D03"/>
    <w:rsid w:val="00BF2113"/>
    <w:rsid w:val="00BF2233"/>
    <w:rsid w:val="00BF238F"/>
    <w:rsid w:val="00BF257E"/>
    <w:rsid w:val="00BF2686"/>
    <w:rsid w:val="00BF2A2B"/>
    <w:rsid w:val="00BF2AD9"/>
    <w:rsid w:val="00BF2F97"/>
    <w:rsid w:val="00BF34D9"/>
    <w:rsid w:val="00BF35BB"/>
    <w:rsid w:val="00BF3BBA"/>
    <w:rsid w:val="00BF4945"/>
    <w:rsid w:val="00BF4B48"/>
    <w:rsid w:val="00BF4F53"/>
    <w:rsid w:val="00BF52D8"/>
    <w:rsid w:val="00BF52F6"/>
    <w:rsid w:val="00BF54FE"/>
    <w:rsid w:val="00BF59C6"/>
    <w:rsid w:val="00BF5BA9"/>
    <w:rsid w:val="00BF5C3F"/>
    <w:rsid w:val="00BF5D1D"/>
    <w:rsid w:val="00BF5E78"/>
    <w:rsid w:val="00BF6447"/>
    <w:rsid w:val="00BF666C"/>
    <w:rsid w:val="00BF6A53"/>
    <w:rsid w:val="00BF6C16"/>
    <w:rsid w:val="00BF6C19"/>
    <w:rsid w:val="00BF6E6A"/>
    <w:rsid w:val="00BF6FB7"/>
    <w:rsid w:val="00BF7439"/>
    <w:rsid w:val="00BF7C63"/>
    <w:rsid w:val="00BF7EA0"/>
    <w:rsid w:val="00C00409"/>
    <w:rsid w:val="00C006AC"/>
    <w:rsid w:val="00C00BB7"/>
    <w:rsid w:val="00C00E19"/>
    <w:rsid w:val="00C00E69"/>
    <w:rsid w:val="00C010F5"/>
    <w:rsid w:val="00C01989"/>
    <w:rsid w:val="00C01A2D"/>
    <w:rsid w:val="00C01B3B"/>
    <w:rsid w:val="00C02091"/>
    <w:rsid w:val="00C020B0"/>
    <w:rsid w:val="00C021C0"/>
    <w:rsid w:val="00C025C6"/>
    <w:rsid w:val="00C026C2"/>
    <w:rsid w:val="00C02FFC"/>
    <w:rsid w:val="00C0310A"/>
    <w:rsid w:val="00C0317E"/>
    <w:rsid w:val="00C03202"/>
    <w:rsid w:val="00C033A5"/>
    <w:rsid w:val="00C03E53"/>
    <w:rsid w:val="00C04192"/>
    <w:rsid w:val="00C043BF"/>
    <w:rsid w:val="00C044B3"/>
    <w:rsid w:val="00C04651"/>
    <w:rsid w:val="00C04824"/>
    <w:rsid w:val="00C04ACE"/>
    <w:rsid w:val="00C05CE6"/>
    <w:rsid w:val="00C06215"/>
    <w:rsid w:val="00C06339"/>
    <w:rsid w:val="00C06426"/>
    <w:rsid w:val="00C06B25"/>
    <w:rsid w:val="00C06E8E"/>
    <w:rsid w:val="00C071EF"/>
    <w:rsid w:val="00C075EE"/>
    <w:rsid w:val="00C07932"/>
    <w:rsid w:val="00C0797C"/>
    <w:rsid w:val="00C104EE"/>
    <w:rsid w:val="00C105CB"/>
    <w:rsid w:val="00C106C8"/>
    <w:rsid w:val="00C1084F"/>
    <w:rsid w:val="00C10A53"/>
    <w:rsid w:val="00C11416"/>
    <w:rsid w:val="00C12148"/>
    <w:rsid w:val="00C12215"/>
    <w:rsid w:val="00C1264E"/>
    <w:rsid w:val="00C12985"/>
    <w:rsid w:val="00C12992"/>
    <w:rsid w:val="00C12AAF"/>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047"/>
    <w:rsid w:val="00C1729D"/>
    <w:rsid w:val="00C17345"/>
    <w:rsid w:val="00C2064A"/>
    <w:rsid w:val="00C2066E"/>
    <w:rsid w:val="00C20B50"/>
    <w:rsid w:val="00C20CF2"/>
    <w:rsid w:val="00C20F0C"/>
    <w:rsid w:val="00C21044"/>
    <w:rsid w:val="00C213D8"/>
    <w:rsid w:val="00C214DF"/>
    <w:rsid w:val="00C21926"/>
    <w:rsid w:val="00C21A0A"/>
    <w:rsid w:val="00C21AA4"/>
    <w:rsid w:val="00C222D8"/>
    <w:rsid w:val="00C22C0C"/>
    <w:rsid w:val="00C22CDD"/>
    <w:rsid w:val="00C22F2B"/>
    <w:rsid w:val="00C23776"/>
    <w:rsid w:val="00C23A01"/>
    <w:rsid w:val="00C23B50"/>
    <w:rsid w:val="00C23B67"/>
    <w:rsid w:val="00C240F8"/>
    <w:rsid w:val="00C24295"/>
    <w:rsid w:val="00C242FC"/>
    <w:rsid w:val="00C247B0"/>
    <w:rsid w:val="00C25E6E"/>
    <w:rsid w:val="00C25F99"/>
    <w:rsid w:val="00C261C6"/>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471"/>
    <w:rsid w:val="00C327BD"/>
    <w:rsid w:val="00C32C0D"/>
    <w:rsid w:val="00C3305A"/>
    <w:rsid w:val="00C33353"/>
    <w:rsid w:val="00C33B13"/>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7026"/>
    <w:rsid w:val="00C37A49"/>
    <w:rsid w:val="00C37B1E"/>
    <w:rsid w:val="00C37C8C"/>
    <w:rsid w:val="00C37F96"/>
    <w:rsid w:val="00C40251"/>
    <w:rsid w:val="00C402DD"/>
    <w:rsid w:val="00C4044E"/>
    <w:rsid w:val="00C404A7"/>
    <w:rsid w:val="00C406F0"/>
    <w:rsid w:val="00C40815"/>
    <w:rsid w:val="00C40FC3"/>
    <w:rsid w:val="00C410AA"/>
    <w:rsid w:val="00C413ED"/>
    <w:rsid w:val="00C41990"/>
    <w:rsid w:val="00C41C3A"/>
    <w:rsid w:val="00C421DA"/>
    <w:rsid w:val="00C4233C"/>
    <w:rsid w:val="00C42543"/>
    <w:rsid w:val="00C429F4"/>
    <w:rsid w:val="00C42C17"/>
    <w:rsid w:val="00C42E30"/>
    <w:rsid w:val="00C4331C"/>
    <w:rsid w:val="00C433D2"/>
    <w:rsid w:val="00C4385C"/>
    <w:rsid w:val="00C44244"/>
    <w:rsid w:val="00C44BAC"/>
    <w:rsid w:val="00C44D76"/>
    <w:rsid w:val="00C45739"/>
    <w:rsid w:val="00C4585F"/>
    <w:rsid w:val="00C458C7"/>
    <w:rsid w:val="00C45CA5"/>
    <w:rsid w:val="00C45E3A"/>
    <w:rsid w:val="00C45F9A"/>
    <w:rsid w:val="00C461E7"/>
    <w:rsid w:val="00C4627B"/>
    <w:rsid w:val="00C4661A"/>
    <w:rsid w:val="00C46BDD"/>
    <w:rsid w:val="00C473A4"/>
    <w:rsid w:val="00C4785D"/>
    <w:rsid w:val="00C47950"/>
    <w:rsid w:val="00C50486"/>
    <w:rsid w:val="00C50492"/>
    <w:rsid w:val="00C50569"/>
    <w:rsid w:val="00C506A9"/>
    <w:rsid w:val="00C506DD"/>
    <w:rsid w:val="00C506F8"/>
    <w:rsid w:val="00C50D24"/>
    <w:rsid w:val="00C5128D"/>
    <w:rsid w:val="00C513B4"/>
    <w:rsid w:val="00C51E99"/>
    <w:rsid w:val="00C52A27"/>
    <w:rsid w:val="00C52B63"/>
    <w:rsid w:val="00C52DAD"/>
    <w:rsid w:val="00C5309F"/>
    <w:rsid w:val="00C53208"/>
    <w:rsid w:val="00C538F2"/>
    <w:rsid w:val="00C53A6A"/>
    <w:rsid w:val="00C53E9D"/>
    <w:rsid w:val="00C54140"/>
    <w:rsid w:val="00C541C2"/>
    <w:rsid w:val="00C543F1"/>
    <w:rsid w:val="00C54480"/>
    <w:rsid w:val="00C546C4"/>
    <w:rsid w:val="00C550A1"/>
    <w:rsid w:val="00C551FB"/>
    <w:rsid w:val="00C554D5"/>
    <w:rsid w:val="00C55FC5"/>
    <w:rsid w:val="00C5604D"/>
    <w:rsid w:val="00C5678F"/>
    <w:rsid w:val="00C567CA"/>
    <w:rsid w:val="00C56995"/>
    <w:rsid w:val="00C56BB6"/>
    <w:rsid w:val="00C56E84"/>
    <w:rsid w:val="00C570D4"/>
    <w:rsid w:val="00C57A44"/>
    <w:rsid w:val="00C57D2B"/>
    <w:rsid w:val="00C57F28"/>
    <w:rsid w:val="00C603FD"/>
    <w:rsid w:val="00C60BFB"/>
    <w:rsid w:val="00C60DD9"/>
    <w:rsid w:val="00C60F83"/>
    <w:rsid w:val="00C61170"/>
    <w:rsid w:val="00C61410"/>
    <w:rsid w:val="00C618BD"/>
    <w:rsid w:val="00C61981"/>
    <w:rsid w:val="00C61B7B"/>
    <w:rsid w:val="00C61C7F"/>
    <w:rsid w:val="00C61CA1"/>
    <w:rsid w:val="00C61D39"/>
    <w:rsid w:val="00C61E7D"/>
    <w:rsid w:val="00C61EC4"/>
    <w:rsid w:val="00C626E5"/>
    <w:rsid w:val="00C62F82"/>
    <w:rsid w:val="00C63675"/>
    <w:rsid w:val="00C636EC"/>
    <w:rsid w:val="00C637B1"/>
    <w:rsid w:val="00C64866"/>
    <w:rsid w:val="00C649E8"/>
    <w:rsid w:val="00C64EB4"/>
    <w:rsid w:val="00C64FD1"/>
    <w:rsid w:val="00C65339"/>
    <w:rsid w:val="00C65489"/>
    <w:rsid w:val="00C65593"/>
    <w:rsid w:val="00C65705"/>
    <w:rsid w:val="00C65C3A"/>
    <w:rsid w:val="00C66161"/>
    <w:rsid w:val="00C666DA"/>
    <w:rsid w:val="00C675E0"/>
    <w:rsid w:val="00C6775E"/>
    <w:rsid w:val="00C677F8"/>
    <w:rsid w:val="00C67BAA"/>
    <w:rsid w:val="00C67D87"/>
    <w:rsid w:val="00C700FA"/>
    <w:rsid w:val="00C7046E"/>
    <w:rsid w:val="00C714A2"/>
    <w:rsid w:val="00C71EC0"/>
    <w:rsid w:val="00C71ECC"/>
    <w:rsid w:val="00C71F27"/>
    <w:rsid w:val="00C72113"/>
    <w:rsid w:val="00C73666"/>
    <w:rsid w:val="00C740F9"/>
    <w:rsid w:val="00C744E5"/>
    <w:rsid w:val="00C746EB"/>
    <w:rsid w:val="00C747F2"/>
    <w:rsid w:val="00C7486F"/>
    <w:rsid w:val="00C74961"/>
    <w:rsid w:val="00C76044"/>
    <w:rsid w:val="00C76B7A"/>
    <w:rsid w:val="00C76C3A"/>
    <w:rsid w:val="00C76E9E"/>
    <w:rsid w:val="00C7761B"/>
    <w:rsid w:val="00C7770F"/>
    <w:rsid w:val="00C77C49"/>
    <w:rsid w:val="00C77E42"/>
    <w:rsid w:val="00C8013C"/>
    <w:rsid w:val="00C8044D"/>
    <w:rsid w:val="00C80E75"/>
    <w:rsid w:val="00C822DC"/>
    <w:rsid w:val="00C8240F"/>
    <w:rsid w:val="00C825E7"/>
    <w:rsid w:val="00C82D56"/>
    <w:rsid w:val="00C82FBD"/>
    <w:rsid w:val="00C83187"/>
    <w:rsid w:val="00C8319B"/>
    <w:rsid w:val="00C83A1B"/>
    <w:rsid w:val="00C83AB3"/>
    <w:rsid w:val="00C83BA3"/>
    <w:rsid w:val="00C840D6"/>
    <w:rsid w:val="00C84669"/>
    <w:rsid w:val="00C8471E"/>
    <w:rsid w:val="00C8473A"/>
    <w:rsid w:val="00C84A42"/>
    <w:rsid w:val="00C8514C"/>
    <w:rsid w:val="00C85434"/>
    <w:rsid w:val="00C8575D"/>
    <w:rsid w:val="00C85957"/>
    <w:rsid w:val="00C85AB5"/>
    <w:rsid w:val="00C85F31"/>
    <w:rsid w:val="00C860F5"/>
    <w:rsid w:val="00C86CD4"/>
    <w:rsid w:val="00C86D2E"/>
    <w:rsid w:val="00C86DFB"/>
    <w:rsid w:val="00C87950"/>
    <w:rsid w:val="00C87A7E"/>
    <w:rsid w:val="00C87D15"/>
    <w:rsid w:val="00C90454"/>
    <w:rsid w:val="00C90C00"/>
    <w:rsid w:val="00C914C6"/>
    <w:rsid w:val="00C915AC"/>
    <w:rsid w:val="00C91865"/>
    <w:rsid w:val="00C91B67"/>
    <w:rsid w:val="00C91D0B"/>
    <w:rsid w:val="00C927F6"/>
    <w:rsid w:val="00C92C76"/>
    <w:rsid w:val="00C92FF2"/>
    <w:rsid w:val="00C93E5B"/>
    <w:rsid w:val="00C9403F"/>
    <w:rsid w:val="00C9455C"/>
    <w:rsid w:val="00C94677"/>
    <w:rsid w:val="00C94B54"/>
    <w:rsid w:val="00C94C69"/>
    <w:rsid w:val="00C94D27"/>
    <w:rsid w:val="00C956D5"/>
    <w:rsid w:val="00C9575F"/>
    <w:rsid w:val="00C95805"/>
    <w:rsid w:val="00C958C7"/>
    <w:rsid w:val="00C96505"/>
    <w:rsid w:val="00C9711B"/>
    <w:rsid w:val="00C97213"/>
    <w:rsid w:val="00C976CC"/>
    <w:rsid w:val="00C9779A"/>
    <w:rsid w:val="00C97933"/>
    <w:rsid w:val="00C97BCF"/>
    <w:rsid w:val="00C97C8C"/>
    <w:rsid w:val="00CA09CA"/>
    <w:rsid w:val="00CA1237"/>
    <w:rsid w:val="00CA138B"/>
    <w:rsid w:val="00CA1907"/>
    <w:rsid w:val="00CA267C"/>
    <w:rsid w:val="00CA2951"/>
    <w:rsid w:val="00CA2A01"/>
    <w:rsid w:val="00CA2B93"/>
    <w:rsid w:val="00CA2C23"/>
    <w:rsid w:val="00CA2D31"/>
    <w:rsid w:val="00CA34AF"/>
    <w:rsid w:val="00CA351F"/>
    <w:rsid w:val="00CA35C4"/>
    <w:rsid w:val="00CA3A62"/>
    <w:rsid w:val="00CA3E74"/>
    <w:rsid w:val="00CA4066"/>
    <w:rsid w:val="00CA40E8"/>
    <w:rsid w:val="00CA4DD7"/>
    <w:rsid w:val="00CA517A"/>
    <w:rsid w:val="00CA525F"/>
    <w:rsid w:val="00CA53CF"/>
    <w:rsid w:val="00CA5CDA"/>
    <w:rsid w:val="00CA5D86"/>
    <w:rsid w:val="00CA5F04"/>
    <w:rsid w:val="00CA603C"/>
    <w:rsid w:val="00CA63DE"/>
    <w:rsid w:val="00CA6568"/>
    <w:rsid w:val="00CA6A87"/>
    <w:rsid w:val="00CA6BD1"/>
    <w:rsid w:val="00CA7400"/>
    <w:rsid w:val="00CA74B4"/>
    <w:rsid w:val="00CA7714"/>
    <w:rsid w:val="00CA78C1"/>
    <w:rsid w:val="00CA7CFC"/>
    <w:rsid w:val="00CB07C9"/>
    <w:rsid w:val="00CB0C74"/>
    <w:rsid w:val="00CB1599"/>
    <w:rsid w:val="00CB160E"/>
    <w:rsid w:val="00CB1A18"/>
    <w:rsid w:val="00CB1D30"/>
    <w:rsid w:val="00CB2A77"/>
    <w:rsid w:val="00CB2C43"/>
    <w:rsid w:val="00CB2CC2"/>
    <w:rsid w:val="00CB2CF9"/>
    <w:rsid w:val="00CB34D0"/>
    <w:rsid w:val="00CB3683"/>
    <w:rsid w:val="00CB4175"/>
    <w:rsid w:val="00CB420C"/>
    <w:rsid w:val="00CB44AC"/>
    <w:rsid w:val="00CB45B4"/>
    <w:rsid w:val="00CB4639"/>
    <w:rsid w:val="00CB4822"/>
    <w:rsid w:val="00CB48A6"/>
    <w:rsid w:val="00CB494B"/>
    <w:rsid w:val="00CB498D"/>
    <w:rsid w:val="00CB49CE"/>
    <w:rsid w:val="00CB4D5B"/>
    <w:rsid w:val="00CB4FD3"/>
    <w:rsid w:val="00CB530C"/>
    <w:rsid w:val="00CB558A"/>
    <w:rsid w:val="00CB5704"/>
    <w:rsid w:val="00CB5D76"/>
    <w:rsid w:val="00CB6198"/>
    <w:rsid w:val="00CB6587"/>
    <w:rsid w:val="00CB666C"/>
    <w:rsid w:val="00CB6C75"/>
    <w:rsid w:val="00CB71FC"/>
    <w:rsid w:val="00CB72CC"/>
    <w:rsid w:val="00CB7336"/>
    <w:rsid w:val="00CB74BE"/>
    <w:rsid w:val="00CB7703"/>
    <w:rsid w:val="00CB7808"/>
    <w:rsid w:val="00CC05FB"/>
    <w:rsid w:val="00CC1090"/>
    <w:rsid w:val="00CC154C"/>
    <w:rsid w:val="00CC1717"/>
    <w:rsid w:val="00CC179E"/>
    <w:rsid w:val="00CC1D16"/>
    <w:rsid w:val="00CC1EB3"/>
    <w:rsid w:val="00CC26B2"/>
    <w:rsid w:val="00CC292F"/>
    <w:rsid w:val="00CC2D71"/>
    <w:rsid w:val="00CC36EB"/>
    <w:rsid w:val="00CC3716"/>
    <w:rsid w:val="00CC3737"/>
    <w:rsid w:val="00CC3A66"/>
    <w:rsid w:val="00CC3ABA"/>
    <w:rsid w:val="00CC3C53"/>
    <w:rsid w:val="00CC3E2A"/>
    <w:rsid w:val="00CC4071"/>
    <w:rsid w:val="00CC4127"/>
    <w:rsid w:val="00CC4327"/>
    <w:rsid w:val="00CC4439"/>
    <w:rsid w:val="00CC48A8"/>
    <w:rsid w:val="00CC4B7F"/>
    <w:rsid w:val="00CC4F58"/>
    <w:rsid w:val="00CC52CC"/>
    <w:rsid w:val="00CC583E"/>
    <w:rsid w:val="00CC58CF"/>
    <w:rsid w:val="00CC6078"/>
    <w:rsid w:val="00CC64D5"/>
    <w:rsid w:val="00CC690A"/>
    <w:rsid w:val="00CC69D0"/>
    <w:rsid w:val="00CC6B4B"/>
    <w:rsid w:val="00CC6DAD"/>
    <w:rsid w:val="00CC6E5F"/>
    <w:rsid w:val="00CC70A1"/>
    <w:rsid w:val="00CC714F"/>
    <w:rsid w:val="00CC7511"/>
    <w:rsid w:val="00CC7C1E"/>
    <w:rsid w:val="00CC7C4D"/>
    <w:rsid w:val="00CD09CC"/>
    <w:rsid w:val="00CD0E40"/>
    <w:rsid w:val="00CD15BE"/>
    <w:rsid w:val="00CD1A6A"/>
    <w:rsid w:val="00CD1E8F"/>
    <w:rsid w:val="00CD258A"/>
    <w:rsid w:val="00CD2778"/>
    <w:rsid w:val="00CD281F"/>
    <w:rsid w:val="00CD28DF"/>
    <w:rsid w:val="00CD2BF8"/>
    <w:rsid w:val="00CD2CB0"/>
    <w:rsid w:val="00CD2D59"/>
    <w:rsid w:val="00CD2EB6"/>
    <w:rsid w:val="00CD3332"/>
    <w:rsid w:val="00CD4075"/>
    <w:rsid w:val="00CD4AB3"/>
    <w:rsid w:val="00CD4AF3"/>
    <w:rsid w:val="00CD5005"/>
    <w:rsid w:val="00CD514B"/>
    <w:rsid w:val="00CD5182"/>
    <w:rsid w:val="00CD5525"/>
    <w:rsid w:val="00CD59DE"/>
    <w:rsid w:val="00CD5BF9"/>
    <w:rsid w:val="00CD6472"/>
    <w:rsid w:val="00CD648E"/>
    <w:rsid w:val="00CD6B5A"/>
    <w:rsid w:val="00CD7065"/>
    <w:rsid w:val="00CD7246"/>
    <w:rsid w:val="00CD796E"/>
    <w:rsid w:val="00CD7B31"/>
    <w:rsid w:val="00CE0ED5"/>
    <w:rsid w:val="00CE10A7"/>
    <w:rsid w:val="00CE11F6"/>
    <w:rsid w:val="00CE15B0"/>
    <w:rsid w:val="00CE1BCD"/>
    <w:rsid w:val="00CE1D7D"/>
    <w:rsid w:val="00CE1E7C"/>
    <w:rsid w:val="00CE20D0"/>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2C7"/>
    <w:rsid w:val="00CE5303"/>
    <w:rsid w:val="00CE5595"/>
    <w:rsid w:val="00CE6730"/>
    <w:rsid w:val="00CE6769"/>
    <w:rsid w:val="00CE6910"/>
    <w:rsid w:val="00CE6AF1"/>
    <w:rsid w:val="00CE6DB0"/>
    <w:rsid w:val="00CE722B"/>
    <w:rsid w:val="00CE72E3"/>
    <w:rsid w:val="00CE7388"/>
    <w:rsid w:val="00CE7482"/>
    <w:rsid w:val="00CE7827"/>
    <w:rsid w:val="00CE7863"/>
    <w:rsid w:val="00CE7A0C"/>
    <w:rsid w:val="00CF0EAE"/>
    <w:rsid w:val="00CF130E"/>
    <w:rsid w:val="00CF1339"/>
    <w:rsid w:val="00CF136F"/>
    <w:rsid w:val="00CF1C41"/>
    <w:rsid w:val="00CF1FC4"/>
    <w:rsid w:val="00CF2003"/>
    <w:rsid w:val="00CF20CC"/>
    <w:rsid w:val="00CF26CE"/>
    <w:rsid w:val="00CF2ED1"/>
    <w:rsid w:val="00CF374E"/>
    <w:rsid w:val="00CF3B6D"/>
    <w:rsid w:val="00CF3C09"/>
    <w:rsid w:val="00CF3E37"/>
    <w:rsid w:val="00CF401F"/>
    <w:rsid w:val="00CF4467"/>
    <w:rsid w:val="00CF45DE"/>
    <w:rsid w:val="00CF499E"/>
    <w:rsid w:val="00CF5231"/>
    <w:rsid w:val="00CF5D51"/>
    <w:rsid w:val="00CF67B7"/>
    <w:rsid w:val="00CF6F7C"/>
    <w:rsid w:val="00CF7424"/>
    <w:rsid w:val="00CF774E"/>
    <w:rsid w:val="00CF7816"/>
    <w:rsid w:val="00D0060B"/>
    <w:rsid w:val="00D0149D"/>
    <w:rsid w:val="00D01585"/>
    <w:rsid w:val="00D01CB6"/>
    <w:rsid w:val="00D023EF"/>
    <w:rsid w:val="00D02CF0"/>
    <w:rsid w:val="00D02E20"/>
    <w:rsid w:val="00D0318F"/>
    <w:rsid w:val="00D03336"/>
    <w:rsid w:val="00D03406"/>
    <w:rsid w:val="00D037C5"/>
    <w:rsid w:val="00D03D8A"/>
    <w:rsid w:val="00D03DEE"/>
    <w:rsid w:val="00D03FDC"/>
    <w:rsid w:val="00D041CD"/>
    <w:rsid w:val="00D0446C"/>
    <w:rsid w:val="00D04ADB"/>
    <w:rsid w:val="00D04B91"/>
    <w:rsid w:val="00D04D8E"/>
    <w:rsid w:val="00D04F9F"/>
    <w:rsid w:val="00D051F8"/>
    <w:rsid w:val="00D053DC"/>
    <w:rsid w:val="00D054A9"/>
    <w:rsid w:val="00D05573"/>
    <w:rsid w:val="00D05D69"/>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B55"/>
    <w:rsid w:val="00D11C3E"/>
    <w:rsid w:val="00D1280B"/>
    <w:rsid w:val="00D12B4E"/>
    <w:rsid w:val="00D13380"/>
    <w:rsid w:val="00D135B2"/>
    <w:rsid w:val="00D13913"/>
    <w:rsid w:val="00D13C39"/>
    <w:rsid w:val="00D14082"/>
    <w:rsid w:val="00D1425E"/>
    <w:rsid w:val="00D1453F"/>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649"/>
    <w:rsid w:val="00D179F9"/>
    <w:rsid w:val="00D203CB"/>
    <w:rsid w:val="00D20AE7"/>
    <w:rsid w:val="00D20C73"/>
    <w:rsid w:val="00D21290"/>
    <w:rsid w:val="00D213FA"/>
    <w:rsid w:val="00D21532"/>
    <w:rsid w:val="00D21CFC"/>
    <w:rsid w:val="00D21EAA"/>
    <w:rsid w:val="00D21F85"/>
    <w:rsid w:val="00D21FDD"/>
    <w:rsid w:val="00D222F2"/>
    <w:rsid w:val="00D223D9"/>
    <w:rsid w:val="00D224FE"/>
    <w:rsid w:val="00D232AA"/>
    <w:rsid w:val="00D23646"/>
    <w:rsid w:val="00D237F5"/>
    <w:rsid w:val="00D243C9"/>
    <w:rsid w:val="00D24A67"/>
    <w:rsid w:val="00D24CA8"/>
    <w:rsid w:val="00D24D26"/>
    <w:rsid w:val="00D26193"/>
    <w:rsid w:val="00D26ABF"/>
    <w:rsid w:val="00D26DA3"/>
    <w:rsid w:val="00D27232"/>
    <w:rsid w:val="00D2749A"/>
    <w:rsid w:val="00D27592"/>
    <w:rsid w:val="00D27712"/>
    <w:rsid w:val="00D27DE4"/>
    <w:rsid w:val="00D27F83"/>
    <w:rsid w:val="00D27FBD"/>
    <w:rsid w:val="00D30205"/>
    <w:rsid w:val="00D3048B"/>
    <w:rsid w:val="00D30839"/>
    <w:rsid w:val="00D30BED"/>
    <w:rsid w:val="00D30E9C"/>
    <w:rsid w:val="00D311F4"/>
    <w:rsid w:val="00D314EF"/>
    <w:rsid w:val="00D31754"/>
    <w:rsid w:val="00D31D2D"/>
    <w:rsid w:val="00D31F53"/>
    <w:rsid w:val="00D32691"/>
    <w:rsid w:val="00D32774"/>
    <w:rsid w:val="00D33232"/>
    <w:rsid w:val="00D332B8"/>
    <w:rsid w:val="00D33479"/>
    <w:rsid w:val="00D33818"/>
    <w:rsid w:val="00D339C6"/>
    <w:rsid w:val="00D33AF0"/>
    <w:rsid w:val="00D33D4F"/>
    <w:rsid w:val="00D33E09"/>
    <w:rsid w:val="00D33F75"/>
    <w:rsid w:val="00D340FC"/>
    <w:rsid w:val="00D345DD"/>
    <w:rsid w:val="00D346F1"/>
    <w:rsid w:val="00D3476A"/>
    <w:rsid w:val="00D34EF9"/>
    <w:rsid w:val="00D35345"/>
    <w:rsid w:val="00D356F8"/>
    <w:rsid w:val="00D35716"/>
    <w:rsid w:val="00D364B9"/>
    <w:rsid w:val="00D36844"/>
    <w:rsid w:val="00D36AA7"/>
    <w:rsid w:val="00D36D04"/>
    <w:rsid w:val="00D36EBE"/>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857"/>
    <w:rsid w:val="00D45E37"/>
    <w:rsid w:val="00D46208"/>
    <w:rsid w:val="00D4663F"/>
    <w:rsid w:val="00D46724"/>
    <w:rsid w:val="00D46A0F"/>
    <w:rsid w:val="00D46A39"/>
    <w:rsid w:val="00D46B41"/>
    <w:rsid w:val="00D46EFA"/>
    <w:rsid w:val="00D4701C"/>
    <w:rsid w:val="00D473D8"/>
    <w:rsid w:val="00D47468"/>
    <w:rsid w:val="00D476F6"/>
    <w:rsid w:val="00D47720"/>
    <w:rsid w:val="00D47BB7"/>
    <w:rsid w:val="00D47CD8"/>
    <w:rsid w:val="00D50050"/>
    <w:rsid w:val="00D50182"/>
    <w:rsid w:val="00D50299"/>
    <w:rsid w:val="00D50932"/>
    <w:rsid w:val="00D50D02"/>
    <w:rsid w:val="00D5154D"/>
    <w:rsid w:val="00D51777"/>
    <w:rsid w:val="00D51812"/>
    <w:rsid w:val="00D51E46"/>
    <w:rsid w:val="00D52DBF"/>
    <w:rsid w:val="00D52EF1"/>
    <w:rsid w:val="00D53187"/>
    <w:rsid w:val="00D536FF"/>
    <w:rsid w:val="00D5379C"/>
    <w:rsid w:val="00D53866"/>
    <w:rsid w:val="00D53F89"/>
    <w:rsid w:val="00D542EA"/>
    <w:rsid w:val="00D54609"/>
    <w:rsid w:val="00D54D3B"/>
    <w:rsid w:val="00D54DF8"/>
    <w:rsid w:val="00D54FAD"/>
    <w:rsid w:val="00D550B5"/>
    <w:rsid w:val="00D5528F"/>
    <w:rsid w:val="00D556AF"/>
    <w:rsid w:val="00D55AD5"/>
    <w:rsid w:val="00D565BA"/>
    <w:rsid w:val="00D568B8"/>
    <w:rsid w:val="00D56AC0"/>
    <w:rsid w:val="00D56DE2"/>
    <w:rsid w:val="00D56E10"/>
    <w:rsid w:val="00D56E8E"/>
    <w:rsid w:val="00D56E96"/>
    <w:rsid w:val="00D56F18"/>
    <w:rsid w:val="00D575A2"/>
    <w:rsid w:val="00D60013"/>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2E9B"/>
    <w:rsid w:val="00D62FFC"/>
    <w:rsid w:val="00D631C3"/>
    <w:rsid w:val="00D63306"/>
    <w:rsid w:val="00D6336D"/>
    <w:rsid w:val="00D63961"/>
    <w:rsid w:val="00D639B3"/>
    <w:rsid w:val="00D63CC8"/>
    <w:rsid w:val="00D64789"/>
    <w:rsid w:val="00D6500B"/>
    <w:rsid w:val="00D6500D"/>
    <w:rsid w:val="00D65052"/>
    <w:rsid w:val="00D65065"/>
    <w:rsid w:val="00D65066"/>
    <w:rsid w:val="00D651CB"/>
    <w:rsid w:val="00D652B7"/>
    <w:rsid w:val="00D65B06"/>
    <w:rsid w:val="00D6624E"/>
    <w:rsid w:val="00D66640"/>
    <w:rsid w:val="00D6670A"/>
    <w:rsid w:val="00D668D1"/>
    <w:rsid w:val="00D669C8"/>
    <w:rsid w:val="00D67050"/>
    <w:rsid w:val="00D67210"/>
    <w:rsid w:val="00D700A4"/>
    <w:rsid w:val="00D709C3"/>
    <w:rsid w:val="00D712CC"/>
    <w:rsid w:val="00D713A3"/>
    <w:rsid w:val="00D717F9"/>
    <w:rsid w:val="00D71CE0"/>
    <w:rsid w:val="00D72053"/>
    <w:rsid w:val="00D720EC"/>
    <w:rsid w:val="00D72125"/>
    <w:rsid w:val="00D72D8B"/>
    <w:rsid w:val="00D72F13"/>
    <w:rsid w:val="00D734BB"/>
    <w:rsid w:val="00D738C6"/>
    <w:rsid w:val="00D73970"/>
    <w:rsid w:val="00D73B56"/>
    <w:rsid w:val="00D73F13"/>
    <w:rsid w:val="00D744E7"/>
    <w:rsid w:val="00D74BCF"/>
    <w:rsid w:val="00D7536B"/>
    <w:rsid w:val="00D7578D"/>
    <w:rsid w:val="00D75791"/>
    <w:rsid w:val="00D765FD"/>
    <w:rsid w:val="00D76DD1"/>
    <w:rsid w:val="00D76EF6"/>
    <w:rsid w:val="00D77606"/>
    <w:rsid w:val="00D77BA5"/>
    <w:rsid w:val="00D77D3A"/>
    <w:rsid w:val="00D806D5"/>
    <w:rsid w:val="00D8093D"/>
    <w:rsid w:val="00D80D8F"/>
    <w:rsid w:val="00D80E00"/>
    <w:rsid w:val="00D80FF7"/>
    <w:rsid w:val="00D818AE"/>
    <w:rsid w:val="00D81C35"/>
    <w:rsid w:val="00D81E96"/>
    <w:rsid w:val="00D82370"/>
    <w:rsid w:val="00D82D3C"/>
    <w:rsid w:val="00D8301A"/>
    <w:rsid w:val="00D83305"/>
    <w:rsid w:val="00D8378E"/>
    <w:rsid w:val="00D839A3"/>
    <w:rsid w:val="00D83BB8"/>
    <w:rsid w:val="00D8444E"/>
    <w:rsid w:val="00D8478D"/>
    <w:rsid w:val="00D84A05"/>
    <w:rsid w:val="00D84D39"/>
    <w:rsid w:val="00D85143"/>
    <w:rsid w:val="00D8573F"/>
    <w:rsid w:val="00D85C29"/>
    <w:rsid w:val="00D8604B"/>
    <w:rsid w:val="00D86247"/>
    <w:rsid w:val="00D86521"/>
    <w:rsid w:val="00D87034"/>
    <w:rsid w:val="00D870EF"/>
    <w:rsid w:val="00D87196"/>
    <w:rsid w:val="00D87875"/>
    <w:rsid w:val="00D8788D"/>
    <w:rsid w:val="00D904EA"/>
    <w:rsid w:val="00D909C5"/>
    <w:rsid w:val="00D90B2F"/>
    <w:rsid w:val="00D90E02"/>
    <w:rsid w:val="00D91310"/>
    <w:rsid w:val="00D9136C"/>
    <w:rsid w:val="00D913B1"/>
    <w:rsid w:val="00D913EC"/>
    <w:rsid w:val="00D91651"/>
    <w:rsid w:val="00D91A54"/>
    <w:rsid w:val="00D92617"/>
    <w:rsid w:val="00D93050"/>
    <w:rsid w:val="00D93209"/>
    <w:rsid w:val="00D93245"/>
    <w:rsid w:val="00D936C1"/>
    <w:rsid w:val="00D93CA3"/>
    <w:rsid w:val="00D93CA9"/>
    <w:rsid w:val="00D93CE3"/>
    <w:rsid w:val="00D93F63"/>
    <w:rsid w:val="00D94025"/>
    <w:rsid w:val="00D9448B"/>
    <w:rsid w:val="00D9465A"/>
    <w:rsid w:val="00D94A18"/>
    <w:rsid w:val="00D94A9F"/>
    <w:rsid w:val="00D94DA6"/>
    <w:rsid w:val="00D95390"/>
    <w:rsid w:val="00D95C58"/>
    <w:rsid w:val="00D960D7"/>
    <w:rsid w:val="00D96BE3"/>
    <w:rsid w:val="00D96D0D"/>
    <w:rsid w:val="00D971EB"/>
    <w:rsid w:val="00D972F2"/>
    <w:rsid w:val="00D9743A"/>
    <w:rsid w:val="00D979CF"/>
    <w:rsid w:val="00DA0322"/>
    <w:rsid w:val="00DA093F"/>
    <w:rsid w:val="00DA0AF0"/>
    <w:rsid w:val="00DA0B98"/>
    <w:rsid w:val="00DA0F46"/>
    <w:rsid w:val="00DA11CD"/>
    <w:rsid w:val="00DA13C3"/>
    <w:rsid w:val="00DA1830"/>
    <w:rsid w:val="00DA1C79"/>
    <w:rsid w:val="00DA2306"/>
    <w:rsid w:val="00DA2642"/>
    <w:rsid w:val="00DA2AAB"/>
    <w:rsid w:val="00DA2D8C"/>
    <w:rsid w:val="00DA3096"/>
    <w:rsid w:val="00DA31EF"/>
    <w:rsid w:val="00DA342F"/>
    <w:rsid w:val="00DA34EA"/>
    <w:rsid w:val="00DA3588"/>
    <w:rsid w:val="00DA3720"/>
    <w:rsid w:val="00DA3D21"/>
    <w:rsid w:val="00DA423F"/>
    <w:rsid w:val="00DA477A"/>
    <w:rsid w:val="00DA50D1"/>
    <w:rsid w:val="00DA5675"/>
    <w:rsid w:val="00DA5B49"/>
    <w:rsid w:val="00DA5E7C"/>
    <w:rsid w:val="00DA5F04"/>
    <w:rsid w:val="00DA60DC"/>
    <w:rsid w:val="00DA6553"/>
    <w:rsid w:val="00DA6AE4"/>
    <w:rsid w:val="00DA6E7A"/>
    <w:rsid w:val="00DA71BC"/>
    <w:rsid w:val="00DA7B2E"/>
    <w:rsid w:val="00DA7DD1"/>
    <w:rsid w:val="00DA7F94"/>
    <w:rsid w:val="00DB0103"/>
    <w:rsid w:val="00DB01D8"/>
    <w:rsid w:val="00DB0315"/>
    <w:rsid w:val="00DB06F6"/>
    <w:rsid w:val="00DB0C6C"/>
    <w:rsid w:val="00DB0CAE"/>
    <w:rsid w:val="00DB0E40"/>
    <w:rsid w:val="00DB114C"/>
    <w:rsid w:val="00DB172E"/>
    <w:rsid w:val="00DB1A5E"/>
    <w:rsid w:val="00DB1E0F"/>
    <w:rsid w:val="00DB221C"/>
    <w:rsid w:val="00DB27F5"/>
    <w:rsid w:val="00DB357B"/>
    <w:rsid w:val="00DB3AB6"/>
    <w:rsid w:val="00DB3D7D"/>
    <w:rsid w:val="00DB42E5"/>
    <w:rsid w:val="00DB4E23"/>
    <w:rsid w:val="00DB5618"/>
    <w:rsid w:val="00DB571E"/>
    <w:rsid w:val="00DB5835"/>
    <w:rsid w:val="00DB5966"/>
    <w:rsid w:val="00DB5AF3"/>
    <w:rsid w:val="00DB5E6A"/>
    <w:rsid w:val="00DB5EC4"/>
    <w:rsid w:val="00DB613C"/>
    <w:rsid w:val="00DB65C0"/>
    <w:rsid w:val="00DB672F"/>
    <w:rsid w:val="00DB67C0"/>
    <w:rsid w:val="00DB6B30"/>
    <w:rsid w:val="00DB6C5E"/>
    <w:rsid w:val="00DB6ECC"/>
    <w:rsid w:val="00DB6F74"/>
    <w:rsid w:val="00DB707C"/>
    <w:rsid w:val="00DB72FF"/>
    <w:rsid w:val="00DB753D"/>
    <w:rsid w:val="00DB78E4"/>
    <w:rsid w:val="00DB79DB"/>
    <w:rsid w:val="00DB7EFD"/>
    <w:rsid w:val="00DB7F4B"/>
    <w:rsid w:val="00DC0219"/>
    <w:rsid w:val="00DC0235"/>
    <w:rsid w:val="00DC04E9"/>
    <w:rsid w:val="00DC088E"/>
    <w:rsid w:val="00DC1392"/>
    <w:rsid w:val="00DC1BEE"/>
    <w:rsid w:val="00DC1CD2"/>
    <w:rsid w:val="00DC1EB0"/>
    <w:rsid w:val="00DC1EF7"/>
    <w:rsid w:val="00DC2258"/>
    <w:rsid w:val="00DC22AC"/>
    <w:rsid w:val="00DC244A"/>
    <w:rsid w:val="00DC2728"/>
    <w:rsid w:val="00DC2953"/>
    <w:rsid w:val="00DC2D26"/>
    <w:rsid w:val="00DC2F0F"/>
    <w:rsid w:val="00DC3257"/>
    <w:rsid w:val="00DC3326"/>
    <w:rsid w:val="00DC34F8"/>
    <w:rsid w:val="00DC3724"/>
    <w:rsid w:val="00DC3B4A"/>
    <w:rsid w:val="00DC45A6"/>
    <w:rsid w:val="00DC4732"/>
    <w:rsid w:val="00DC482A"/>
    <w:rsid w:val="00DC4B01"/>
    <w:rsid w:val="00DC4E35"/>
    <w:rsid w:val="00DC52D6"/>
    <w:rsid w:val="00DC58B0"/>
    <w:rsid w:val="00DC5D5C"/>
    <w:rsid w:val="00DC5E5C"/>
    <w:rsid w:val="00DC62A2"/>
    <w:rsid w:val="00DC65F4"/>
    <w:rsid w:val="00DC69D1"/>
    <w:rsid w:val="00DC6D0B"/>
    <w:rsid w:val="00DC70A0"/>
    <w:rsid w:val="00DC724B"/>
    <w:rsid w:val="00DC76BD"/>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97C"/>
    <w:rsid w:val="00DE1508"/>
    <w:rsid w:val="00DE1574"/>
    <w:rsid w:val="00DE19AA"/>
    <w:rsid w:val="00DE1D83"/>
    <w:rsid w:val="00DE23F9"/>
    <w:rsid w:val="00DE2A1B"/>
    <w:rsid w:val="00DE30A9"/>
    <w:rsid w:val="00DE338C"/>
    <w:rsid w:val="00DE34D6"/>
    <w:rsid w:val="00DE3691"/>
    <w:rsid w:val="00DE38D0"/>
    <w:rsid w:val="00DE3D29"/>
    <w:rsid w:val="00DE3F51"/>
    <w:rsid w:val="00DE42A7"/>
    <w:rsid w:val="00DE4708"/>
    <w:rsid w:val="00DE48F8"/>
    <w:rsid w:val="00DE4970"/>
    <w:rsid w:val="00DE498B"/>
    <w:rsid w:val="00DE49A3"/>
    <w:rsid w:val="00DE4D2B"/>
    <w:rsid w:val="00DE4D2D"/>
    <w:rsid w:val="00DE5229"/>
    <w:rsid w:val="00DE579C"/>
    <w:rsid w:val="00DE57B6"/>
    <w:rsid w:val="00DE5A6A"/>
    <w:rsid w:val="00DE6192"/>
    <w:rsid w:val="00DE6436"/>
    <w:rsid w:val="00DE7299"/>
    <w:rsid w:val="00DE7387"/>
    <w:rsid w:val="00DE7499"/>
    <w:rsid w:val="00DE7665"/>
    <w:rsid w:val="00DE767B"/>
    <w:rsid w:val="00DE76CF"/>
    <w:rsid w:val="00DE7A5D"/>
    <w:rsid w:val="00DE7C43"/>
    <w:rsid w:val="00DF07AF"/>
    <w:rsid w:val="00DF087B"/>
    <w:rsid w:val="00DF0971"/>
    <w:rsid w:val="00DF1372"/>
    <w:rsid w:val="00DF1897"/>
    <w:rsid w:val="00DF1A48"/>
    <w:rsid w:val="00DF1D71"/>
    <w:rsid w:val="00DF1FE9"/>
    <w:rsid w:val="00DF20CB"/>
    <w:rsid w:val="00DF2166"/>
    <w:rsid w:val="00DF23DB"/>
    <w:rsid w:val="00DF258A"/>
    <w:rsid w:val="00DF2641"/>
    <w:rsid w:val="00DF2677"/>
    <w:rsid w:val="00DF30C0"/>
    <w:rsid w:val="00DF3200"/>
    <w:rsid w:val="00DF33B9"/>
    <w:rsid w:val="00DF3462"/>
    <w:rsid w:val="00DF3A38"/>
    <w:rsid w:val="00DF3D34"/>
    <w:rsid w:val="00DF3DCF"/>
    <w:rsid w:val="00DF3F74"/>
    <w:rsid w:val="00DF4300"/>
    <w:rsid w:val="00DF489F"/>
    <w:rsid w:val="00DF61B5"/>
    <w:rsid w:val="00DF6C2B"/>
    <w:rsid w:val="00DF7242"/>
    <w:rsid w:val="00DF73B9"/>
    <w:rsid w:val="00DF74EA"/>
    <w:rsid w:val="00DF7655"/>
    <w:rsid w:val="00DF7C4F"/>
    <w:rsid w:val="00DF7C83"/>
    <w:rsid w:val="00DF7CA1"/>
    <w:rsid w:val="00DF7E55"/>
    <w:rsid w:val="00E00697"/>
    <w:rsid w:val="00E00AD4"/>
    <w:rsid w:val="00E0129C"/>
    <w:rsid w:val="00E012C5"/>
    <w:rsid w:val="00E013DB"/>
    <w:rsid w:val="00E01445"/>
    <w:rsid w:val="00E016D7"/>
    <w:rsid w:val="00E01753"/>
    <w:rsid w:val="00E017F8"/>
    <w:rsid w:val="00E01ECD"/>
    <w:rsid w:val="00E02007"/>
    <w:rsid w:val="00E024EE"/>
    <w:rsid w:val="00E027C4"/>
    <w:rsid w:val="00E0291F"/>
    <w:rsid w:val="00E02A64"/>
    <w:rsid w:val="00E02C9F"/>
    <w:rsid w:val="00E02F21"/>
    <w:rsid w:val="00E03021"/>
    <w:rsid w:val="00E037A9"/>
    <w:rsid w:val="00E03D6B"/>
    <w:rsid w:val="00E03F2D"/>
    <w:rsid w:val="00E055A9"/>
    <w:rsid w:val="00E056D7"/>
    <w:rsid w:val="00E056FC"/>
    <w:rsid w:val="00E05865"/>
    <w:rsid w:val="00E0594E"/>
    <w:rsid w:val="00E063D7"/>
    <w:rsid w:val="00E06628"/>
    <w:rsid w:val="00E0671E"/>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EF8"/>
    <w:rsid w:val="00E133EF"/>
    <w:rsid w:val="00E1376E"/>
    <w:rsid w:val="00E1390F"/>
    <w:rsid w:val="00E13ADB"/>
    <w:rsid w:val="00E14171"/>
    <w:rsid w:val="00E14384"/>
    <w:rsid w:val="00E14F04"/>
    <w:rsid w:val="00E155F0"/>
    <w:rsid w:val="00E15839"/>
    <w:rsid w:val="00E15FCC"/>
    <w:rsid w:val="00E16547"/>
    <w:rsid w:val="00E167C7"/>
    <w:rsid w:val="00E1696D"/>
    <w:rsid w:val="00E16A37"/>
    <w:rsid w:val="00E174E0"/>
    <w:rsid w:val="00E17DFE"/>
    <w:rsid w:val="00E17EA9"/>
    <w:rsid w:val="00E209CF"/>
    <w:rsid w:val="00E20C02"/>
    <w:rsid w:val="00E20ECC"/>
    <w:rsid w:val="00E20F12"/>
    <w:rsid w:val="00E20F68"/>
    <w:rsid w:val="00E2100C"/>
    <w:rsid w:val="00E2111C"/>
    <w:rsid w:val="00E211CC"/>
    <w:rsid w:val="00E21573"/>
    <w:rsid w:val="00E21F67"/>
    <w:rsid w:val="00E225B4"/>
    <w:rsid w:val="00E229C9"/>
    <w:rsid w:val="00E22F96"/>
    <w:rsid w:val="00E2323B"/>
    <w:rsid w:val="00E2388F"/>
    <w:rsid w:val="00E23F52"/>
    <w:rsid w:val="00E23FDE"/>
    <w:rsid w:val="00E240BC"/>
    <w:rsid w:val="00E24128"/>
    <w:rsid w:val="00E245C5"/>
    <w:rsid w:val="00E246A2"/>
    <w:rsid w:val="00E247D2"/>
    <w:rsid w:val="00E253AA"/>
    <w:rsid w:val="00E2584E"/>
    <w:rsid w:val="00E259DE"/>
    <w:rsid w:val="00E25B7F"/>
    <w:rsid w:val="00E25C3E"/>
    <w:rsid w:val="00E25E22"/>
    <w:rsid w:val="00E261FD"/>
    <w:rsid w:val="00E266A9"/>
    <w:rsid w:val="00E267EA"/>
    <w:rsid w:val="00E26878"/>
    <w:rsid w:val="00E270D8"/>
    <w:rsid w:val="00E271AE"/>
    <w:rsid w:val="00E27356"/>
    <w:rsid w:val="00E27807"/>
    <w:rsid w:val="00E30555"/>
    <w:rsid w:val="00E3145F"/>
    <w:rsid w:val="00E31AAB"/>
    <w:rsid w:val="00E3234B"/>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6A18"/>
    <w:rsid w:val="00E3719C"/>
    <w:rsid w:val="00E378A9"/>
    <w:rsid w:val="00E37A73"/>
    <w:rsid w:val="00E40534"/>
    <w:rsid w:val="00E40C2F"/>
    <w:rsid w:val="00E41703"/>
    <w:rsid w:val="00E4176A"/>
    <w:rsid w:val="00E41D4B"/>
    <w:rsid w:val="00E41F20"/>
    <w:rsid w:val="00E42530"/>
    <w:rsid w:val="00E4272A"/>
    <w:rsid w:val="00E42953"/>
    <w:rsid w:val="00E42AAD"/>
    <w:rsid w:val="00E42CCD"/>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478FE"/>
    <w:rsid w:val="00E50130"/>
    <w:rsid w:val="00E502F4"/>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343"/>
    <w:rsid w:val="00E52676"/>
    <w:rsid w:val="00E527D9"/>
    <w:rsid w:val="00E52AB6"/>
    <w:rsid w:val="00E52C6F"/>
    <w:rsid w:val="00E52EF7"/>
    <w:rsid w:val="00E53358"/>
    <w:rsid w:val="00E5345B"/>
    <w:rsid w:val="00E5373D"/>
    <w:rsid w:val="00E53922"/>
    <w:rsid w:val="00E541FE"/>
    <w:rsid w:val="00E54360"/>
    <w:rsid w:val="00E54552"/>
    <w:rsid w:val="00E54BBB"/>
    <w:rsid w:val="00E55B0A"/>
    <w:rsid w:val="00E5626C"/>
    <w:rsid w:val="00E562B7"/>
    <w:rsid w:val="00E56C18"/>
    <w:rsid w:val="00E56D1E"/>
    <w:rsid w:val="00E56F27"/>
    <w:rsid w:val="00E57392"/>
    <w:rsid w:val="00E5749A"/>
    <w:rsid w:val="00E5789C"/>
    <w:rsid w:val="00E57F3D"/>
    <w:rsid w:val="00E601DD"/>
    <w:rsid w:val="00E606E4"/>
    <w:rsid w:val="00E60AC4"/>
    <w:rsid w:val="00E60ED2"/>
    <w:rsid w:val="00E6133A"/>
    <w:rsid w:val="00E61491"/>
    <w:rsid w:val="00E61522"/>
    <w:rsid w:val="00E618CD"/>
    <w:rsid w:val="00E61D24"/>
    <w:rsid w:val="00E61E30"/>
    <w:rsid w:val="00E620F8"/>
    <w:rsid w:val="00E62331"/>
    <w:rsid w:val="00E62B91"/>
    <w:rsid w:val="00E632FE"/>
    <w:rsid w:val="00E63443"/>
    <w:rsid w:val="00E63492"/>
    <w:rsid w:val="00E63ADE"/>
    <w:rsid w:val="00E642D8"/>
    <w:rsid w:val="00E64C2A"/>
    <w:rsid w:val="00E65020"/>
    <w:rsid w:val="00E65720"/>
    <w:rsid w:val="00E65CB2"/>
    <w:rsid w:val="00E65F45"/>
    <w:rsid w:val="00E664EC"/>
    <w:rsid w:val="00E66B64"/>
    <w:rsid w:val="00E66D2D"/>
    <w:rsid w:val="00E66F35"/>
    <w:rsid w:val="00E674ED"/>
    <w:rsid w:val="00E67B32"/>
    <w:rsid w:val="00E67B7E"/>
    <w:rsid w:val="00E67EC5"/>
    <w:rsid w:val="00E70C38"/>
    <w:rsid w:val="00E70EC8"/>
    <w:rsid w:val="00E71001"/>
    <w:rsid w:val="00E711C0"/>
    <w:rsid w:val="00E71848"/>
    <w:rsid w:val="00E71998"/>
    <w:rsid w:val="00E721A2"/>
    <w:rsid w:val="00E723B7"/>
    <w:rsid w:val="00E7299E"/>
    <w:rsid w:val="00E72A77"/>
    <w:rsid w:val="00E72AE4"/>
    <w:rsid w:val="00E72DE9"/>
    <w:rsid w:val="00E72DF1"/>
    <w:rsid w:val="00E7308D"/>
    <w:rsid w:val="00E73DF8"/>
    <w:rsid w:val="00E7412C"/>
    <w:rsid w:val="00E74FF3"/>
    <w:rsid w:val="00E7501D"/>
    <w:rsid w:val="00E7509B"/>
    <w:rsid w:val="00E754E6"/>
    <w:rsid w:val="00E75875"/>
    <w:rsid w:val="00E75A0D"/>
    <w:rsid w:val="00E75B6E"/>
    <w:rsid w:val="00E76D7E"/>
    <w:rsid w:val="00E76E04"/>
    <w:rsid w:val="00E7737F"/>
    <w:rsid w:val="00E77482"/>
    <w:rsid w:val="00E776F6"/>
    <w:rsid w:val="00E7784E"/>
    <w:rsid w:val="00E77B4E"/>
    <w:rsid w:val="00E802AF"/>
    <w:rsid w:val="00E80420"/>
    <w:rsid w:val="00E80E96"/>
    <w:rsid w:val="00E81079"/>
    <w:rsid w:val="00E811DA"/>
    <w:rsid w:val="00E8122C"/>
    <w:rsid w:val="00E81266"/>
    <w:rsid w:val="00E81693"/>
    <w:rsid w:val="00E816A3"/>
    <w:rsid w:val="00E81953"/>
    <w:rsid w:val="00E82400"/>
    <w:rsid w:val="00E8243C"/>
    <w:rsid w:val="00E824A0"/>
    <w:rsid w:val="00E827EC"/>
    <w:rsid w:val="00E83945"/>
    <w:rsid w:val="00E83C50"/>
    <w:rsid w:val="00E84D25"/>
    <w:rsid w:val="00E84F1E"/>
    <w:rsid w:val="00E85140"/>
    <w:rsid w:val="00E85509"/>
    <w:rsid w:val="00E8558D"/>
    <w:rsid w:val="00E8580C"/>
    <w:rsid w:val="00E858D7"/>
    <w:rsid w:val="00E85B69"/>
    <w:rsid w:val="00E86435"/>
    <w:rsid w:val="00E865E4"/>
    <w:rsid w:val="00E868F3"/>
    <w:rsid w:val="00E86A0D"/>
    <w:rsid w:val="00E86A98"/>
    <w:rsid w:val="00E87131"/>
    <w:rsid w:val="00E9040D"/>
    <w:rsid w:val="00E90701"/>
    <w:rsid w:val="00E9072C"/>
    <w:rsid w:val="00E90871"/>
    <w:rsid w:val="00E90ABF"/>
    <w:rsid w:val="00E90BFE"/>
    <w:rsid w:val="00E90C7B"/>
    <w:rsid w:val="00E91A6F"/>
    <w:rsid w:val="00E926F7"/>
    <w:rsid w:val="00E9283B"/>
    <w:rsid w:val="00E92980"/>
    <w:rsid w:val="00E92A25"/>
    <w:rsid w:val="00E92B4D"/>
    <w:rsid w:val="00E92C4C"/>
    <w:rsid w:val="00E92D97"/>
    <w:rsid w:val="00E92FC4"/>
    <w:rsid w:val="00E9355E"/>
    <w:rsid w:val="00E94361"/>
    <w:rsid w:val="00E94505"/>
    <w:rsid w:val="00E9452E"/>
    <w:rsid w:val="00E960F5"/>
    <w:rsid w:val="00E9682A"/>
    <w:rsid w:val="00E968C9"/>
    <w:rsid w:val="00E96A5B"/>
    <w:rsid w:val="00E96B53"/>
    <w:rsid w:val="00E971C5"/>
    <w:rsid w:val="00E97A66"/>
    <w:rsid w:val="00E97C5B"/>
    <w:rsid w:val="00EA01BB"/>
    <w:rsid w:val="00EA04E2"/>
    <w:rsid w:val="00EA06A2"/>
    <w:rsid w:val="00EA0A56"/>
    <w:rsid w:val="00EA16EC"/>
    <w:rsid w:val="00EA1BC8"/>
    <w:rsid w:val="00EA25C9"/>
    <w:rsid w:val="00EA2881"/>
    <w:rsid w:val="00EA2F91"/>
    <w:rsid w:val="00EA30EB"/>
    <w:rsid w:val="00EA3533"/>
    <w:rsid w:val="00EA3698"/>
    <w:rsid w:val="00EA3CDD"/>
    <w:rsid w:val="00EA3E24"/>
    <w:rsid w:val="00EA3EE8"/>
    <w:rsid w:val="00EA4322"/>
    <w:rsid w:val="00EA43EE"/>
    <w:rsid w:val="00EA44E6"/>
    <w:rsid w:val="00EA45AD"/>
    <w:rsid w:val="00EA4654"/>
    <w:rsid w:val="00EA4700"/>
    <w:rsid w:val="00EA495E"/>
    <w:rsid w:val="00EA4B3B"/>
    <w:rsid w:val="00EA518F"/>
    <w:rsid w:val="00EA5485"/>
    <w:rsid w:val="00EA57C3"/>
    <w:rsid w:val="00EA583F"/>
    <w:rsid w:val="00EA597C"/>
    <w:rsid w:val="00EA5A58"/>
    <w:rsid w:val="00EA5AF6"/>
    <w:rsid w:val="00EA5DBE"/>
    <w:rsid w:val="00EA69D4"/>
    <w:rsid w:val="00EA795B"/>
    <w:rsid w:val="00EA7A09"/>
    <w:rsid w:val="00EA7B05"/>
    <w:rsid w:val="00EA7CD0"/>
    <w:rsid w:val="00EA7FB4"/>
    <w:rsid w:val="00EA7FD5"/>
    <w:rsid w:val="00EB0229"/>
    <w:rsid w:val="00EB041F"/>
    <w:rsid w:val="00EB0459"/>
    <w:rsid w:val="00EB0B56"/>
    <w:rsid w:val="00EB0C85"/>
    <w:rsid w:val="00EB0ED9"/>
    <w:rsid w:val="00EB12EF"/>
    <w:rsid w:val="00EB174F"/>
    <w:rsid w:val="00EB200F"/>
    <w:rsid w:val="00EB2955"/>
    <w:rsid w:val="00EB2AB0"/>
    <w:rsid w:val="00EB320B"/>
    <w:rsid w:val="00EB3213"/>
    <w:rsid w:val="00EB3492"/>
    <w:rsid w:val="00EB3546"/>
    <w:rsid w:val="00EB4267"/>
    <w:rsid w:val="00EB4630"/>
    <w:rsid w:val="00EB463A"/>
    <w:rsid w:val="00EB4676"/>
    <w:rsid w:val="00EB4680"/>
    <w:rsid w:val="00EB4DE4"/>
    <w:rsid w:val="00EB4DE8"/>
    <w:rsid w:val="00EB59E3"/>
    <w:rsid w:val="00EB5AC0"/>
    <w:rsid w:val="00EB5B24"/>
    <w:rsid w:val="00EB5D9C"/>
    <w:rsid w:val="00EB5E86"/>
    <w:rsid w:val="00EB5F62"/>
    <w:rsid w:val="00EB6230"/>
    <w:rsid w:val="00EB67FA"/>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299"/>
    <w:rsid w:val="00EC2639"/>
    <w:rsid w:val="00EC2820"/>
    <w:rsid w:val="00EC2840"/>
    <w:rsid w:val="00EC2DEA"/>
    <w:rsid w:val="00EC2F1F"/>
    <w:rsid w:val="00EC31D5"/>
    <w:rsid w:val="00EC3A59"/>
    <w:rsid w:val="00EC3DBB"/>
    <w:rsid w:val="00EC42B9"/>
    <w:rsid w:val="00EC47A3"/>
    <w:rsid w:val="00EC47F3"/>
    <w:rsid w:val="00EC4C2A"/>
    <w:rsid w:val="00EC4F7B"/>
    <w:rsid w:val="00EC57F6"/>
    <w:rsid w:val="00EC5928"/>
    <w:rsid w:val="00EC5F8D"/>
    <w:rsid w:val="00EC6346"/>
    <w:rsid w:val="00EC6377"/>
    <w:rsid w:val="00EC6490"/>
    <w:rsid w:val="00EC68D1"/>
    <w:rsid w:val="00EC6D34"/>
    <w:rsid w:val="00EC70A4"/>
    <w:rsid w:val="00EC7750"/>
    <w:rsid w:val="00EC7A30"/>
    <w:rsid w:val="00ED0056"/>
    <w:rsid w:val="00ED09B2"/>
    <w:rsid w:val="00ED0D26"/>
    <w:rsid w:val="00ED137D"/>
    <w:rsid w:val="00ED1496"/>
    <w:rsid w:val="00ED178E"/>
    <w:rsid w:val="00ED1835"/>
    <w:rsid w:val="00ED1AA3"/>
    <w:rsid w:val="00ED2289"/>
    <w:rsid w:val="00ED2890"/>
    <w:rsid w:val="00ED2A8A"/>
    <w:rsid w:val="00ED3016"/>
    <w:rsid w:val="00ED44B9"/>
    <w:rsid w:val="00ED45A6"/>
    <w:rsid w:val="00ED49D6"/>
    <w:rsid w:val="00ED4F18"/>
    <w:rsid w:val="00ED51AA"/>
    <w:rsid w:val="00ED5232"/>
    <w:rsid w:val="00ED53F1"/>
    <w:rsid w:val="00ED53FF"/>
    <w:rsid w:val="00ED5636"/>
    <w:rsid w:val="00ED5C9F"/>
    <w:rsid w:val="00ED5E34"/>
    <w:rsid w:val="00ED64E1"/>
    <w:rsid w:val="00ED6976"/>
    <w:rsid w:val="00ED73DB"/>
    <w:rsid w:val="00ED766F"/>
    <w:rsid w:val="00ED785D"/>
    <w:rsid w:val="00ED7BB4"/>
    <w:rsid w:val="00ED7E3F"/>
    <w:rsid w:val="00EE02ED"/>
    <w:rsid w:val="00EE02FD"/>
    <w:rsid w:val="00EE059A"/>
    <w:rsid w:val="00EE12A2"/>
    <w:rsid w:val="00EE16DC"/>
    <w:rsid w:val="00EE1AD2"/>
    <w:rsid w:val="00EE1EEC"/>
    <w:rsid w:val="00EE26CD"/>
    <w:rsid w:val="00EE27A0"/>
    <w:rsid w:val="00EE2A9F"/>
    <w:rsid w:val="00EE2EF7"/>
    <w:rsid w:val="00EE2F18"/>
    <w:rsid w:val="00EE327B"/>
    <w:rsid w:val="00EE3406"/>
    <w:rsid w:val="00EE3E28"/>
    <w:rsid w:val="00EE3F04"/>
    <w:rsid w:val="00EE40CC"/>
    <w:rsid w:val="00EE4283"/>
    <w:rsid w:val="00EE4799"/>
    <w:rsid w:val="00EE48D8"/>
    <w:rsid w:val="00EE490B"/>
    <w:rsid w:val="00EE56C6"/>
    <w:rsid w:val="00EE5A0A"/>
    <w:rsid w:val="00EE5A75"/>
    <w:rsid w:val="00EE5B7C"/>
    <w:rsid w:val="00EE65A7"/>
    <w:rsid w:val="00EE683D"/>
    <w:rsid w:val="00EE6E9E"/>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98A"/>
    <w:rsid w:val="00EF3A12"/>
    <w:rsid w:val="00EF3D1A"/>
    <w:rsid w:val="00EF4216"/>
    <w:rsid w:val="00EF45D1"/>
    <w:rsid w:val="00EF5062"/>
    <w:rsid w:val="00EF58BE"/>
    <w:rsid w:val="00EF59AD"/>
    <w:rsid w:val="00EF5F55"/>
    <w:rsid w:val="00EF60AC"/>
    <w:rsid w:val="00EF616E"/>
    <w:rsid w:val="00EF6D10"/>
    <w:rsid w:val="00EF702B"/>
    <w:rsid w:val="00EF7149"/>
    <w:rsid w:val="00EF737F"/>
    <w:rsid w:val="00EF7873"/>
    <w:rsid w:val="00F004ED"/>
    <w:rsid w:val="00F00C25"/>
    <w:rsid w:val="00F00C62"/>
    <w:rsid w:val="00F00F6C"/>
    <w:rsid w:val="00F01B0F"/>
    <w:rsid w:val="00F01D9A"/>
    <w:rsid w:val="00F02473"/>
    <w:rsid w:val="00F025DB"/>
    <w:rsid w:val="00F0260B"/>
    <w:rsid w:val="00F02688"/>
    <w:rsid w:val="00F02835"/>
    <w:rsid w:val="00F02C6D"/>
    <w:rsid w:val="00F02F8A"/>
    <w:rsid w:val="00F034A2"/>
    <w:rsid w:val="00F0374C"/>
    <w:rsid w:val="00F03762"/>
    <w:rsid w:val="00F03966"/>
    <w:rsid w:val="00F03CE2"/>
    <w:rsid w:val="00F03FDE"/>
    <w:rsid w:val="00F04019"/>
    <w:rsid w:val="00F040A0"/>
    <w:rsid w:val="00F04503"/>
    <w:rsid w:val="00F0456B"/>
    <w:rsid w:val="00F045CA"/>
    <w:rsid w:val="00F045FB"/>
    <w:rsid w:val="00F04F5D"/>
    <w:rsid w:val="00F05157"/>
    <w:rsid w:val="00F05168"/>
    <w:rsid w:val="00F05AC6"/>
    <w:rsid w:val="00F05BBF"/>
    <w:rsid w:val="00F0615A"/>
    <w:rsid w:val="00F062C7"/>
    <w:rsid w:val="00F06330"/>
    <w:rsid w:val="00F068FC"/>
    <w:rsid w:val="00F06A79"/>
    <w:rsid w:val="00F06A98"/>
    <w:rsid w:val="00F06C84"/>
    <w:rsid w:val="00F06E11"/>
    <w:rsid w:val="00F070CC"/>
    <w:rsid w:val="00F073FF"/>
    <w:rsid w:val="00F07616"/>
    <w:rsid w:val="00F0775A"/>
    <w:rsid w:val="00F079E9"/>
    <w:rsid w:val="00F1027D"/>
    <w:rsid w:val="00F1156A"/>
    <w:rsid w:val="00F11E67"/>
    <w:rsid w:val="00F11F33"/>
    <w:rsid w:val="00F11FCC"/>
    <w:rsid w:val="00F12519"/>
    <w:rsid w:val="00F12881"/>
    <w:rsid w:val="00F135A2"/>
    <w:rsid w:val="00F136A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144"/>
    <w:rsid w:val="00F176F4"/>
    <w:rsid w:val="00F17BF1"/>
    <w:rsid w:val="00F17E01"/>
    <w:rsid w:val="00F201C8"/>
    <w:rsid w:val="00F201D4"/>
    <w:rsid w:val="00F205C6"/>
    <w:rsid w:val="00F20E12"/>
    <w:rsid w:val="00F21329"/>
    <w:rsid w:val="00F21395"/>
    <w:rsid w:val="00F222D6"/>
    <w:rsid w:val="00F225FC"/>
    <w:rsid w:val="00F22799"/>
    <w:rsid w:val="00F22FE6"/>
    <w:rsid w:val="00F230ED"/>
    <w:rsid w:val="00F23391"/>
    <w:rsid w:val="00F233FB"/>
    <w:rsid w:val="00F23CD8"/>
    <w:rsid w:val="00F241FE"/>
    <w:rsid w:val="00F24764"/>
    <w:rsid w:val="00F2494E"/>
    <w:rsid w:val="00F24A12"/>
    <w:rsid w:val="00F24E0A"/>
    <w:rsid w:val="00F2523A"/>
    <w:rsid w:val="00F2559C"/>
    <w:rsid w:val="00F2572A"/>
    <w:rsid w:val="00F259A2"/>
    <w:rsid w:val="00F25E23"/>
    <w:rsid w:val="00F26162"/>
    <w:rsid w:val="00F263EE"/>
    <w:rsid w:val="00F266A4"/>
    <w:rsid w:val="00F269E0"/>
    <w:rsid w:val="00F26ECE"/>
    <w:rsid w:val="00F271F3"/>
    <w:rsid w:val="00F272C0"/>
    <w:rsid w:val="00F27371"/>
    <w:rsid w:val="00F27689"/>
    <w:rsid w:val="00F27D69"/>
    <w:rsid w:val="00F27E47"/>
    <w:rsid w:val="00F27E92"/>
    <w:rsid w:val="00F30109"/>
    <w:rsid w:val="00F3016A"/>
    <w:rsid w:val="00F30EF0"/>
    <w:rsid w:val="00F31527"/>
    <w:rsid w:val="00F31965"/>
    <w:rsid w:val="00F31C46"/>
    <w:rsid w:val="00F31E58"/>
    <w:rsid w:val="00F32051"/>
    <w:rsid w:val="00F32101"/>
    <w:rsid w:val="00F321B2"/>
    <w:rsid w:val="00F3257A"/>
    <w:rsid w:val="00F32643"/>
    <w:rsid w:val="00F32B9A"/>
    <w:rsid w:val="00F3384B"/>
    <w:rsid w:val="00F33B0E"/>
    <w:rsid w:val="00F3403A"/>
    <w:rsid w:val="00F34748"/>
    <w:rsid w:val="00F3498D"/>
    <w:rsid w:val="00F35082"/>
    <w:rsid w:val="00F353BB"/>
    <w:rsid w:val="00F35613"/>
    <w:rsid w:val="00F35619"/>
    <w:rsid w:val="00F35ADA"/>
    <w:rsid w:val="00F36198"/>
    <w:rsid w:val="00F3695A"/>
    <w:rsid w:val="00F36B99"/>
    <w:rsid w:val="00F36ED9"/>
    <w:rsid w:val="00F36EE1"/>
    <w:rsid w:val="00F372A4"/>
    <w:rsid w:val="00F373EE"/>
    <w:rsid w:val="00F374F4"/>
    <w:rsid w:val="00F375D3"/>
    <w:rsid w:val="00F37A17"/>
    <w:rsid w:val="00F40244"/>
    <w:rsid w:val="00F40268"/>
    <w:rsid w:val="00F40796"/>
    <w:rsid w:val="00F40EF9"/>
    <w:rsid w:val="00F40F40"/>
    <w:rsid w:val="00F40FCE"/>
    <w:rsid w:val="00F415A5"/>
    <w:rsid w:val="00F41C80"/>
    <w:rsid w:val="00F41ECA"/>
    <w:rsid w:val="00F421F5"/>
    <w:rsid w:val="00F42608"/>
    <w:rsid w:val="00F42AED"/>
    <w:rsid w:val="00F4330A"/>
    <w:rsid w:val="00F4369F"/>
    <w:rsid w:val="00F436C4"/>
    <w:rsid w:val="00F436D2"/>
    <w:rsid w:val="00F439DA"/>
    <w:rsid w:val="00F43D7C"/>
    <w:rsid w:val="00F43DC2"/>
    <w:rsid w:val="00F4412B"/>
    <w:rsid w:val="00F441F8"/>
    <w:rsid w:val="00F44358"/>
    <w:rsid w:val="00F44476"/>
    <w:rsid w:val="00F44649"/>
    <w:rsid w:val="00F44EFB"/>
    <w:rsid w:val="00F45583"/>
    <w:rsid w:val="00F458FD"/>
    <w:rsid w:val="00F45A13"/>
    <w:rsid w:val="00F46B8E"/>
    <w:rsid w:val="00F46E69"/>
    <w:rsid w:val="00F4759A"/>
    <w:rsid w:val="00F47811"/>
    <w:rsid w:val="00F50F38"/>
    <w:rsid w:val="00F5146E"/>
    <w:rsid w:val="00F517ED"/>
    <w:rsid w:val="00F5195A"/>
    <w:rsid w:val="00F520AA"/>
    <w:rsid w:val="00F52781"/>
    <w:rsid w:val="00F5279D"/>
    <w:rsid w:val="00F52B50"/>
    <w:rsid w:val="00F52E01"/>
    <w:rsid w:val="00F530E9"/>
    <w:rsid w:val="00F536CC"/>
    <w:rsid w:val="00F537B6"/>
    <w:rsid w:val="00F53F5A"/>
    <w:rsid w:val="00F54054"/>
    <w:rsid w:val="00F5499C"/>
    <w:rsid w:val="00F54ADE"/>
    <w:rsid w:val="00F55359"/>
    <w:rsid w:val="00F5559A"/>
    <w:rsid w:val="00F55A1F"/>
    <w:rsid w:val="00F561A1"/>
    <w:rsid w:val="00F5665A"/>
    <w:rsid w:val="00F56661"/>
    <w:rsid w:val="00F56851"/>
    <w:rsid w:val="00F56FE0"/>
    <w:rsid w:val="00F57123"/>
    <w:rsid w:val="00F5715C"/>
    <w:rsid w:val="00F57872"/>
    <w:rsid w:val="00F57DCD"/>
    <w:rsid w:val="00F60328"/>
    <w:rsid w:val="00F60913"/>
    <w:rsid w:val="00F60CF5"/>
    <w:rsid w:val="00F613DB"/>
    <w:rsid w:val="00F61581"/>
    <w:rsid w:val="00F6160E"/>
    <w:rsid w:val="00F61CB2"/>
    <w:rsid w:val="00F62427"/>
    <w:rsid w:val="00F62491"/>
    <w:rsid w:val="00F62597"/>
    <w:rsid w:val="00F62B0E"/>
    <w:rsid w:val="00F62CE8"/>
    <w:rsid w:val="00F62E0C"/>
    <w:rsid w:val="00F6318C"/>
    <w:rsid w:val="00F631D5"/>
    <w:rsid w:val="00F635C5"/>
    <w:rsid w:val="00F63652"/>
    <w:rsid w:val="00F63A4C"/>
    <w:rsid w:val="00F63CB7"/>
    <w:rsid w:val="00F645A9"/>
    <w:rsid w:val="00F65706"/>
    <w:rsid w:val="00F6584D"/>
    <w:rsid w:val="00F65E35"/>
    <w:rsid w:val="00F65FE4"/>
    <w:rsid w:val="00F6610F"/>
    <w:rsid w:val="00F6612B"/>
    <w:rsid w:val="00F66889"/>
    <w:rsid w:val="00F66A28"/>
    <w:rsid w:val="00F66BAA"/>
    <w:rsid w:val="00F66BD7"/>
    <w:rsid w:val="00F66D97"/>
    <w:rsid w:val="00F6718E"/>
    <w:rsid w:val="00F6734A"/>
    <w:rsid w:val="00F6772C"/>
    <w:rsid w:val="00F679B3"/>
    <w:rsid w:val="00F67C50"/>
    <w:rsid w:val="00F67F38"/>
    <w:rsid w:val="00F70003"/>
    <w:rsid w:val="00F70631"/>
    <w:rsid w:val="00F7132F"/>
    <w:rsid w:val="00F716EA"/>
    <w:rsid w:val="00F71725"/>
    <w:rsid w:val="00F717B3"/>
    <w:rsid w:val="00F71974"/>
    <w:rsid w:val="00F719B5"/>
    <w:rsid w:val="00F719E1"/>
    <w:rsid w:val="00F71A6C"/>
    <w:rsid w:val="00F71C02"/>
    <w:rsid w:val="00F72436"/>
    <w:rsid w:val="00F726A3"/>
    <w:rsid w:val="00F727A8"/>
    <w:rsid w:val="00F72AA5"/>
    <w:rsid w:val="00F73412"/>
    <w:rsid w:val="00F73497"/>
    <w:rsid w:val="00F73D06"/>
    <w:rsid w:val="00F740CE"/>
    <w:rsid w:val="00F74326"/>
    <w:rsid w:val="00F74781"/>
    <w:rsid w:val="00F752F0"/>
    <w:rsid w:val="00F7576E"/>
    <w:rsid w:val="00F757F3"/>
    <w:rsid w:val="00F75FBD"/>
    <w:rsid w:val="00F7637E"/>
    <w:rsid w:val="00F7640D"/>
    <w:rsid w:val="00F76BE4"/>
    <w:rsid w:val="00F76E3C"/>
    <w:rsid w:val="00F7742C"/>
    <w:rsid w:val="00F77762"/>
    <w:rsid w:val="00F77C92"/>
    <w:rsid w:val="00F800A1"/>
    <w:rsid w:val="00F8030A"/>
    <w:rsid w:val="00F80516"/>
    <w:rsid w:val="00F80F12"/>
    <w:rsid w:val="00F81315"/>
    <w:rsid w:val="00F818FD"/>
    <w:rsid w:val="00F81A15"/>
    <w:rsid w:val="00F81C2B"/>
    <w:rsid w:val="00F82580"/>
    <w:rsid w:val="00F82ABA"/>
    <w:rsid w:val="00F833E5"/>
    <w:rsid w:val="00F83572"/>
    <w:rsid w:val="00F83790"/>
    <w:rsid w:val="00F838B8"/>
    <w:rsid w:val="00F839D2"/>
    <w:rsid w:val="00F84016"/>
    <w:rsid w:val="00F84735"/>
    <w:rsid w:val="00F849D7"/>
    <w:rsid w:val="00F84B2C"/>
    <w:rsid w:val="00F84C44"/>
    <w:rsid w:val="00F84C78"/>
    <w:rsid w:val="00F84F74"/>
    <w:rsid w:val="00F85046"/>
    <w:rsid w:val="00F857E5"/>
    <w:rsid w:val="00F86078"/>
    <w:rsid w:val="00F86231"/>
    <w:rsid w:val="00F863DB"/>
    <w:rsid w:val="00F86595"/>
    <w:rsid w:val="00F86979"/>
    <w:rsid w:val="00F86BB1"/>
    <w:rsid w:val="00F86EF2"/>
    <w:rsid w:val="00F8708F"/>
    <w:rsid w:val="00F87742"/>
    <w:rsid w:val="00F877D1"/>
    <w:rsid w:val="00F90582"/>
    <w:rsid w:val="00F90605"/>
    <w:rsid w:val="00F906B1"/>
    <w:rsid w:val="00F90C8C"/>
    <w:rsid w:val="00F90E04"/>
    <w:rsid w:val="00F90F15"/>
    <w:rsid w:val="00F91121"/>
    <w:rsid w:val="00F91A6F"/>
    <w:rsid w:val="00F91A78"/>
    <w:rsid w:val="00F91B9A"/>
    <w:rsid w:val="00F91C93"/>
    <w:rsid w:val="00F92573"/>
    <w:rsid w:val="00F92C74"/>
    <w:rsid w:val="00F932A2"/>
    <w:rsid w:val="00F93DA1"/>
    <w:rsid w:val="00F93DD3"/>
    <w:rsid w:val="00F94285"/>
    <w:rsid w:val="00F94677"/>
    <w:rsid w:val="00F949BD"/>
    <w:rsid w:val="00F949E4"/>
    <w:rsid w:val="00F94F51"/>
    <w:rsid w:val="00F9558B"/>
    <w:rsid w:val="00F95647"/>
    <w:rsid w:val="00F9572B"/>
    <w:rsid w:val="00F95DB7"/>
    <w:rsid w:val="00F96514"/>
    <w:rsid w:val="00F9675A"/>
    <w:rsid w:val="00F968D4"/>
    <w:rsid w:val="00F96ABE"/>
    <w:rsid w:val="00F96FC6"/>
    <w:rsid w:val="00F97663"/>
    <w:rsid w:val="00F97978"/>
    <w:rsid w:val="00F97D6C"/>
    <w:rsid w:val="00F97FFD"/>
    <w:rsid w:val="00FA008A"/>
    <w:rsid w:val="00FA0A28"/>
    <w:rsid w:val="00FA186E"/>
    <w:rsid w:val="00FA2156"/>
    <w:rsid w:val="00FA2257"/>
    <w:rsid w:val="00FA2324"/>
    <w:rsid w:val="00FA2385"/>
    <w:rsid w:val="00FA24B6"/>
    <w:rsid w:val="00FA2A06"/>
    <w:rsid w:val="00FA2A1D"/>
    <w:rsid w:val="00FA2AF7"/>
    <w:rsid w:val="00FA31B8"/>
    <w:rsid w:val="00FA426B"/>
    <w:rsid w:val="00FA4941"/>
    <w:rsid w:val="00FA5015"/>
    <w:rsid w:val="00FA559A"/>
    <w:rsid w:val="00FA582F"/>
    <w:rsid w:val="00FA58D6"/>
    <w:rsid w:val="00FA59B4"/>
    <w:rsid w:val="00FA5A23"/>
    <w:rsid w:val="00FA5ACA"/>
    <w:rsid w:val="00FA690A"/>
    <w:rsid w:val="00FA69FF"/>
    <w:rsid w:val="00FA6EBD"/>
    <w:rsid w:val="00FA730B"/>
    <w:rsid w:val="00FA7385"/>
    <w:rsid w:val="00FA7468"/>
    <w:rsid w:val="00FA7610"/>
    <w:rsid w:val="00FA7AE2"/>
    <w:rsid w:val="00FA7F3C"/>
    <w:rsid w:val="00FB01A2"/>
    <w:rsid w:val="00FB03F5"/>
    <w:rsid w:val="00FB09E3"/>
    <w:rsid w:val="00FB1B17"/>
    <w:rsid w:val="00FB1D79"/>
    <w:rsid w:val="00FB1E5F"/>
    <w:rsid w:val="00FB262C"/>
    <w:rsid w:val="00FB3087"/>
    <w:rsid w:val="00FB3155"/>
    <w:rsid w:val="00FB32A6"/>
    <w:rsid w:val="00FB334D"/>
    <w:rsid w:val="00FB3D8C"/>
    <w:rsid w:val="00FB3FD6"/>
    <w:rsid w:val="00FB45D6"/>
    <w:rsid w:val="00FB4A49"/>
    <w:rsid w:val="00FB4C0E"/>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ECC"/>
    <w:rsid w:val="00FC20D8"/>
    <w:rsid w:val="00FC2560"/>
    <w:rsid w:val="00FC27F1"/>
    <w:rsid w:val="00FC2AEB"/>
    <w:rsid w:val="00FC2D55"/>
    <w:rsid w:val="00FC2D77"/>
    <w:rsid w:val="00FC2E22"/>
    <w:rsid w:val="00FC2E2F"/>
    <w:rsid w:val="00FC2E85"/>
    <w:rsid w:val="00FC2FCB"/>
    <w:rsid w:val="00FC3128"/>
    <w:rsid w:val="00FC3AB4"/>
    <w:rsid w:val="00FC3EB6"/>
    <w:rsid w:val="00FC3F58"/>
    <w:rsid w:val="00FC4950"/>
    <w:rsid w:val="00FC578C"/>
    <w:rsid w:val="00FC5A31"/>
    <w:rsid w:val="00FC6970"/>
    <w:rsid w:val="00FC6F72"/>
    <w:rsid w:val="00FC6FCF"/>
    <w:rsid w:val="00FC7251"/>
    <w:rsid w:val="00FC7311"/>
    <w:rsid w:val="00FC7478"/>
    <w:rsid w:val="00FC74F7"/>
    <w:rsid w:val="00FD03A9"/>
    <w:rsid w:val="00FD0713"/>
    <w:rsid w:val="00FD0838"/>
    <w:rsid w:val="00FD0DB1"/>
    <w:rsid w:val="00FD128B"/>
    <w:rsid w:val="00FD1645"/>
    <w:rsid w:val="00FD1A54"/>
    <w:rsid w:val="00FD1E34"/>
    <w:rsid w:val="00FD1E46"/>
    <w:rsid w:val="00FD23EC"/>
    <w:rsid w:val="00FD2B17"/>
    <w:rsid w:val="00FD2F62"/>
    <w:rsid w:val="00FD2F9D"/>
    <w:rsid w:val="00FD305D"/>
    <w:rsid w:val="00FD3318"/>
    <w:rsid w:val="00FD3366"/>
    <w:rsid w:val="00FD39B9"/>
    <w:rsid w:val="00FD3B0E"/>
    <w:rsid w:val="00FD3F25"/>
    <w:rsid w:val="00FD3F31"/>
    <w:rsid w:val="00FD444D"/>
    <w:rsid w:val="00FD45F0"/>
    <w:rsid w:val="00FD4FBC"/>
    <w:rsid w:val="00FD516E"/>
    <w:rsid w:val="00FD5AB3"/>
    <w:rsid w:val="00FD5AC0"/>
    <w:rsid w:val="00FD5B34"/>
    <w:rsid w:val="00FD608B"/>
    <w:rsid w:val="00FD635E"/>
    <w:rsid w:val="00FD6388"/>
    <w:rsid w:val="00FD68DF"/>
    <w:rsid w:val="00FD6E51"/>
    <w:rsid w:val="00FD72B3"/>
    <w:rsid w:val="00FD76E5"/>
    <w:rsid w:val="00FD77D8"/>
    <w:rsid w:val="00FD78DF"/>
    <w:rsid w:val="00FD7B02"/>
    <w:rsid w:val="00FE0165"/>
    <w:rsid w:val="00FE07EE"/>
    <w:rsid w:val="00FE08C5"/>
    <w:rsid w:val="00FE0B4F"/>
    <w:rsid w:val="00FE0D03"/>
    <w:rsid w:val="00FE10E9"/>
    <w:rsid w:val="00FE1277"/>
    <w:rsid w:val="00FE14BE"/>
    <w:rsid w:val="00FE14F9"/>
    <w:rsid w:val="00FE1EBD"/>
    <w:rsid w:val="00FE1F0A"/>
    <w:rsid w:val="00FE26D8"/>
    <w:rsid w:val="00FE2C62"/>
    <w:rsid w:val="00FE2E30"/>
    <w:rsid w:val="00FE2E59"/>
    <w:rsid w:val="00FE2E71"/>
    <w:rsid w:val="00FE4122"/>
    <w:rsid w:val="00FE4AF1"/>
    <w:rsid w:val="00FE4B04"/>
    <w:rsid w:val="00FE5022"/>
    <w:rsid w:val="00FE5403"/>
    <w:rsid w:val="00FE5419"/>
    <w:rsid w:val="00FE542F"/>
    <w:rsid w:val="00FE5452"/>
    <w:rsid w:val="00FE547F"/>
    <w:rsid w:val="00FE5529"/>
    <w:rsid w:val="00FE5939"/>
    <w:rsid w:val="00FE5EC1"/>
    <w:rsid w:val="00FE5F92"/>
    <w:rsid w:val="00FE5F9B"/>
    <w:rsid w:val="00FE6080"/>
    <w:rsid w:val="00FE646A"/>
    <w:rsid w:val="00FE6B0D"/>
    <w:rsid w:val="00FE72A1"/>
    <w:rsid w:val="00FE74EA"/>
    <w:rsid w:val="00FE7B00"/>
    <w:rsid w:val="00FE7E2B"/>
    <w:rsid w:val="00FE7E3E"/>
    <w:rsid w:val="00FF0240"/>
    <w:rsid w:val="00FF0766"/>
    <w:rsid w:val="00FF0DAD"/>
    <w:rsid w:val="00FF1C20"/>
    <w:rsid w:val="00FF22FB"/>
    <w:rsid w:val="00FF23D5"/>
    <w:rsid w:val="00FF2439"/>
    <w:rsid w:val="00FF2BF3"/>
    <w:rsid w:val="00FF34E5"/>
    <w:rsid w:val="00FF3C33"/>
    <w:rsid w:val="00FF45E9"/>
    <w:rsid w:val="00FF502E"/>
    <w:rsid w:val="00FF5210"/>
    <w:rsid w:val="00FF5418"/>
    <w:rsid w:val="00FF54B4"/>
    <w:rsid w:val="00FF56F6"/>
    <w:rsid w:val="00FF57FF"/>
    <w:rsid w:val="00FF5801"/>
    <w:rsid w:val="00FF5C95"/>
    <w:rsid w:val="00FF6305"/>
    <w:rsid w:val="00FF635E"/>
    <w:rsid w:val="00FF64E8"/>
    <w:rsid w:val="00FF67A1"/>
    <w:rsid w:val="00FF6919"/>
    <w:rsid w:val="00FF6BE8"/>
    <w:rsid w:val="00FF6CE2"/>
    <w:rsid w:val="00FF6F79"/>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8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footnote text" w:locked="0" w:qFormat="1"/>
    <w:lsdException w:name="header" w:uiPriority="0"/>
    <w:lsdException w:name="footer" w:locked="0"/>
    <w:lsdException w:name="caption" w:semiHidden="0" w:uiPriority="0" w:unhideWhenUsed="0" w:qFormat="1"/>
    <w:lsdException w:name="footnote reference" w:locked="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Subtitle" w:semiHidden="0" w:uiPriority="0" w:unhideWhenUsed="0" w:qFormat="1"/>
    <w:lsdException w:name="Hyperlink" w:locked="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4B26"/>
    <w:rPr>
      <w:rFonts w:cs="Calibri"/>
      <w:sz w:val="22"/>
      <w:szCs w:val="22"/>
      <w:lang w:eastAsia="en-US"/>
    </w:rPr>
  </w:style>
  <w:style w:type="paragraph" w:styleId="Heading1">
    <w:name w:val="heading 1"/>
    <w:basedOn w:val="Normal"/>
    <w:next w:val="Normal"/>
    <w:link w:val="Heading1Char"/>
    <w:uiPriority w:val="9"/>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uiPriority w:val="9"/>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uiPriority w:val="9"/>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uiPriority w:val="9"/>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left" w:pos="1474"/>
      </w:tabs>
      <w:spacing w:before="240" w:after="120"/>
      <w:outlineLvl w:val="3"/>
    </w:pPr>
    <w:rPr>
      <w:b/>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link w:val="AERheading1Char"/>
    <w:qFormat/>
    <w:rsid w:val="00FB1B17"/>
    <w:pPr>
      <w:keepLines w:val="0"/>
      <w:pageBreakBefore/>
      <w:numPr>
        <w:ilvl w:val="0"/>
        <w:numId w:val="7"/>
      </w:numPr>
      <w:spacing w:before="240" w:after="240"/>
    </w:pPr>
    <w:rPr>
      <w:rFonts w:ascii="Gautami" w:hAnsi="Gautami" w:cs="Arial"/>
      <w:color w:val="F2750E"/>
      <w:kern w:val="32"/>
      <w:sz w:val="36"/>
      <w:szCs w:val="32"/>
    </w:rPr>
  </w:style>
  <w:style w:type="paragraph" w:customStyle="1" w:styleId="AERheading2">
    <w:name w:val="AER heading 2"/>
    <w:basedOn w:val="AERheading1"/>
    <w:next w:val="AERbodytext"/>
    <w:link w:val="AERheading2Char"/>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pPr>
    <w:rPr>
      <w:sz w:val="16"/>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rPr>
  </w:style>
  <w:style w:type="paragraph" w:customStyle="1" w:styleId="AERheading6">
    <w:name w:val="AER heading 6"/>
    <w:basedOn w:val="Heading6"/>
    <w:next w:val="AERbodytext"/>
    <w:rsid w:val="00300F5E"/>
    <w:pPr>
      <w:keepLines w:val="0"/>
      <w:spacing w:before="120" w:after="120"/>
      <w:ind w:left="1440"/>
    </w:pPr>
    <w:rPr>
      <w:rFonts w:ascii="Gautami" w:hAnsi="Gautami" w:cs="Arial"/>
      <w:bCs/>
      <w:iCs w:val="0"/>
      <w:color w:val="auto"/>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Text">
    <w:name w:val="annotation text"/>
    <w:basedOn w:val="Normal"/>
    <w:link w:val="CommentTextChar"/>
    <w:uiPriority w:val="99"/>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qFormat/>
    <w:rsid w:val="009E0F39"/>
    <w:pPr>
      <w:tabs>
        <w:tab w:val="left" w:pos="454"/>
      </w:tabs>
      <w:ind w:left="454" w:hanging="454"/>
    </w:pPr>
    <w:rPr>
      <w:sz w:val="16"/>
      <w:szCs w:val="20"/>
    </w:rPr>
  </w:style>
  <w:style w:type="character" w:customStyle="1" w:styleId="AERbody">
    <w:name w:val="AER body"/>
    <w:basedOn w:val="DefaultParagraphFont"/>
    <w:rsid w:val="003B7459"/>
    <w:rPr>
      <w:rFonts w:ascii="Gautami" w:hAnsi="Gautami"/>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uiPriority w:val="39"/>
    <w:rsid w:val="00DC76BD"/>
    <w:pPr>
      <w:tabs>
        <w:tab w:val="left" w:pos="567"/>
        <w:tab w:val="right" w:leader="dot" w:pos="8307"/>
      </w:tabs>
      <w:spacing w:before="120" w:after="120" w:line="276" w:lineRule="auto"/>
    </w:pPr>
    <w:rPr>
      <w:b/>
    </w:rPr>
  </w:style>
  <w:style w:type="paragraph" w:styleId="TOC2">
    <w:name w:val="toc 2"/>
    <w:basedOn w:val="Normal"/>
    <w:next w:val="Normal"/>
    <w:uiPriority w:val="39"/>
    <w:rsid w:val="004D044A"/>
    <w:pPr>
      <w:tabs>
        <w:tab w:val="left" w:pos="1080"/>
        <w:tab w:val="right" w:leader="dot" w:pos="8307"/>
      </w:tabs>
      <w:ind w:left="1134" w:hanging="567"/>
    </w:pPr>
  </w:style>
  <w:style w:type="paragraph" w:styleId="TOC3">
    <w:name w:val="toc 3"/>
    <w:basedOn w:val="Normal"/>
    <w:next w:val="Normal"/>
    <w:uiPriority w:val="39"/>
    <w:rsid w:val="004D044A"/>
    <w:pPr>
      <w:tabs>
        <w:tab w:val="left" w:pos="1980"/>
        <w:tab w:val="right" w:leader="dot" w:pos="8307"/>
      </w:tabs>
      <w:ind w:left="1980" w:hanging="900"/>
    </w:p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rsid w:val="00A052AB"/>
    <w:pPr>
      <w:jc w:val="center"/>
    </w:pPr>
    <w:rPr>
      <w:sz w:val="40"/>
    </w:rPr>
  </w:style>
  <w:style w:type="paragraph" w:customStyle="1" w:styleId="AERTitle2">
    <w:name w:val="AER Title 2"/>
    <w:basedOn w:val="AERTitle1"/>
    <w:rsid w:val="00A052AB"/>
    <w:pPr>
      <w:spacing w:before="1680"/>
    </w:pPr>
    <w:rPr>
      <w:b w:val="0"/>
      <w:sz w:val="32"/>
    </w:rPr>
  </w:style>
  <w:style w:type="character" w:styleId="Hyperlink">
    <w:name w:val="Hyperlink"/>
    <w:basedOn w:val="DefaultParagraphFont"/>
    <w:uiPriority w:val="99"/>
    <w:rsid w:val="00D023EF"/>
    <w:rPr>
      <w:rFonts w:ascii="Gautami" w:hAnsi="Gautami"/>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character" w:styleId="FollowedHyperlink">
    <w:name w:val="FollowedHyperlink"/>
    <w:basedOn w:val="DefaultParagraphFont"/>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locked/>
    <w:rsid w:val="00FA426B"/>
    <w:rPr>
      <w:rFonts w:ascii="Gautami" w:eastAsia="Times New Roman" w:hAnsi="Gautami"/>
      <w:sz w:val="16"/>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CommentTextChar">
    <w:name w:val="Comment Text Char"/>
    <w:basedOn w:val="DefaultParagraphFont"/>
    <w:link w:val="CommentText"/>
    <w:uiPriority w:val="99"/>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p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rPr>
      <w:rFonts w:ascii="Times New Roman" w:hAnsi="Times New Roman"/>
      <w:b/>
      <w:sz w:val="40"/>
      <w:szCs w:val="20"/>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pPr>
    <w:rPr>
      <w:rFonts w:ascii="Gautami" w:hAnsi="Gautami" w:cs="Arial"/>
      <w:color w:val="F2750E"/>
      <w:kern w:val="32"/>
      <w:sz w:val="36"/>
      <w:szCs w:val="32"/>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basedOn w:val="DefaultParagraphFont"/>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0"/>
    <w:qFormat/>
    <w:rsid w:val="00320E76"/>
  </w:style>
  <w:style w:type="character" w:customStyle="1" w:styleId="AERheading3Char">
    <w:name w:val="AER heading 3 Char"/>
    <w:basedOn w:val="DefaultParagraphFont"/>
    <w:link w:val="AERheading3"/>
    <w:rsid w:val="00557653"/>
    <w:rPr>
      <w:rFonts w:ascii="Gautami" w:eastAsiaTheme="minorHAnsi" w:hAnsi="Gautami" w:cs="Arial"/>
      <w:b/>
      <w:bCs/>
      <w:kern w:val="32"/>
      <w:sz w:val="24"/>
      <w:szCs w:val="24"/>
      <w:lang w:eastAsia="en-US"/>
    </w:rPr>
  </w:style>
  <w:style w:type="character" w:customStyle="1" w:styleId="AERHeading1Char0">
    <w:name w:val="AER Heading 1 Char"/>
    <w:basedOn w:val="AERbodytextChar"/>
    <w:link w:val="AERHeading10"/>
    <w:rsid w:val="00320E76"/>
    <w:rPr>
      <w:rFonts w:ascii="Gautami" w:eastAsia="Times New Roman" w:hAnsi="Gautami"/>
      <w:szCs w:val="24"/>
      <w:lang w:val="en-AU" w:eastAsia="en-US" w:bidi="ar-SA"/>
    </w:rPr>
  </w:style>
  <w:style w:type="character" w:customStyle="1" w:styleId="AERheading5Char">
    <w:name w:val="AER heading 5 Char"/>
    <w:basedOn w:val="DefaultParagraphFont"/>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ind w:left="1134" w:hanging="1134"/>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heme="minorHAnsi" w:hAnsi="Gautami"/>
      <w:b/>
      <w:bCs/>
      <w:iCs/>
      <w:color w:val="E36C0A"/>
      <w:sz w:val="36"/>
      <w:szCs w:val="24"/>
      <w:lang w:eastAsia="en-US"/>
    </w:rPr>
  </w:style>
  <w:style w:type="character" w:customStyle="1" w:styleId="Heading8Char">
    <w:name w:val="Heading 8 Char"/>
    <w:basedOn w:val="DefaultParagraphFont"/>
    <w:link w:val="Heading8"/>
    <w:uiPriority w:val="9"/>
    <w:rsid w:val="00CF67B7"/>
    <w:rPr>
      <w:rFonts w:ascii="Gautami" w:eastAsiaTheme="minorHAnsi"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heme="minorHAnsi"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basedOn w:val="DefaultParagraphFont"/>
    <w:link w:val="Quote"/>
    <w:uiPriority w:val="29"/>
    <w:rsid w:val="00CF67B7"/>
    <w:rPr>
      <w:rFonts w:ascii="Gautami" w:eastAsia="Times New Roman" w:hAnsi="Gautami"/>
      <w:i/>
      <w:iCs/>
      <w:color w:val="000000"/>
      <w:szCs w:val="24"/>
    </w:rPr>
  </w:style>
  <w:style w:type="character" w:customStyle="1" w:styleId="AERbodytextbold">
    <w:name w:val="AER body text bold"/>
    <w:basedOn w:val="DefaultParagraphFont"/>
    <w:rsid w:val="00B80EE9"/>
    <w:rPr>
      <w:rFonts w:ascii="Gautami" w:hAnsi="Gautami"/>
      <w:b/>
      <w:sz w:val="24"/>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paragraph" w:styleId="BodyText">
    <w:name w:val="Body Text"/>
    <w:basedOn w:val="Normal"/>
    <w:link w:val="BodyTextChar"/>
    <w:uiPriority w:val="99"/>
    <w:locked/>
    <w:rsid w:val="00310EAA"/>
    <w:pPr>
      <w:spacing w:before="120" w:after="120"/>
    </w:pPr>
    <w:rPr>
      <w:rFonts w:ascii="Arial" w:hAnsi="Arial"/>
      <w:szCs w:val="20"/>
    </w:rPr>
  </w:style>
  <w:style w:type="character" w:customStyle="1" w:styleId="BodyTextChar">
    <w:name w:val="Body Text Char"/>
    <w:basedOn w:val="DefaultParagraphFont"/>
    <w:link w:val="BodyText"/>
    <w:uiPriority w:val="99"/>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
    <w:name w:val="AER Bullet 1"/>
    <w:basedOn w:val="Normal"/>
    <w:rsid w:val="00EA57C3"/>
    <w:pPr>
      <w:spacing w:before="240" w:after="120"/>
    </w:pPr>
    <w:rPr>
      <w:rFonts w:ascii="Times New Roman" w:hAnsi="Times New Roman"/>
      <w:sz w:val="24"/>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basedOn w:val="DefaultParagraphFont"/>
    <w:link w:val="UnnumberedHeading"/>
    <w:rsid w:val="00EF2D0E"/>
    <w:rPr>
      <w:rFonts w:ascii="Gautami" w:eastAsiaTheme="minorHAnsi"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pPr>
    <w:rPr>
      <w:rFonts w:ascii="Times New Roman" w:hAnsi="Times New Roman"/>
    </w:rPr>
  </w:style>
  <w:style w:type="character" w:customStyle="1" w:styleId="AERbulletlistfirststyleCharChar">
    <w:name w:val="AER bullet list (first style) Char Char"/>
    <w:basedOn w:val="DefaultParagraphFont"/>
    <w:rsid w:val="009930C1"/>
    <w:rPr>
      <w:sz w:val="24"/>
      <w:szCs w:val="24"/>
      <w:lang w:eastAsia="en-US"/>
    </w:rPr>
  </w:style>
  <w:style w:type="character" w:customStyle="1" w:styleId="AERbodytextCharChar">
    <w:name w:val="AER body text Char Char"/>
    <w:basedOn w:val="DefaultParagraphFont"/>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ind w:left="2880" w:hanging="360"/>
    </w:pPr>
    <w:rPr>
      <w:rFonts w:ascii="Times New Roman" w:hAnsi="Times New Roman"/>
      <w:b/>
      <w:bCs/>
    </w:rPr>
  </w:style>
  <w:style w:type="character" w:customStyle="1" w:styleId="AERbodytextCharCharCharChar">
    <w:name w:val="AER body text Char Char Char Char"/>
    <w:basedOn w:val="DefaultParagraphFont"/>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pPr>
    <w:rPr>
      <w:sz w:val="24"/>
    </w:rPr>
  </w:style>
  <w:style w:type="paragraph" w:styleId="NormalWeb">
    <w:name w:val="Normal (Web)"/>
    <w:basedOn w:val="Normal"/>
    <w:uiPriority w:val="99"/>
    <w:unhideWhenUsed/>
    <w:locked/>
    <w:rsid w:val="000D605D"/>
    <w:pPr>
      <w:spacing w:before="204" w:after="204"/>
    </w:pPr>
    <w:rPr>
      <w:rFonts w:ascii="Times New Roman" w:eastAsia="Times New Roman" w:hAnsi="Times New Roman"/>
      <w:sz w:val="24"/>
      <w:szCs w:val="24"/>
    </w:rPr>
  </w:style>
  <w:style w:type="paragraph" w:customStyle="1" w:styleId="QCRunnumberedunboldheading">
    <w:name w:val="QCR unnumbered unbold heading"/>
    <w:basedOn w:val="AERheading2"/>
    <w:link w:val="QCRunnumberedunboldheadingChar"/>
    <w:qFormat/>
    <w:rsid w:val="002C7158"/>
    <w:pPr>
      <w:numPr>
        <w:ilvl w:val="0"/>
        <w:numId w:val="0"/>
      </w:numPr>
      <w:spacing w:before="0" w:after="120" w:line="360" w:lineRule="auto"/>
      <w:ind w:left="357" w:hanging="357"/>
      <w:outlineLvl w:val="9"/>
    </w:pPr>
    <w:rPr>
      <w:b w:val="0"/>
      <w:sz w:val="36"/>
      <w:szCs w:val="36"/>
    </w:rPr>
  </w:style>
  <w:style w:type="paragraph" w:customStyle="1" w:styleId="QCRHeading1">
    <w:name w:val="QCR Heading 1"/>
    <w:basedOn w:val="AERheading1"/>
    <w:link w:val="QCRHeading1Char"/>
    <w:qFormat/>
    <w:rsid w:val="002C7158"/>
  </w:style>
  <w:style w:type="character" w:customStyle="1" w:styleId="Heading1Char">
    <w:name w:val="Heading 1 Char"/>
    <w:basedOn w:val="DefaultParagraphFont"/>
    <w:link w:val="Heading1"/>
    <w:uiPriority w:val="9"/>
    <w:rsid w:val="002C7158"/>
    <w:rPr>
      <w:rFonts w:ascii="Cambria" w:eastAsiaTheme="minorHAnsi" w:hAnsi="Cambria"/>
      <w:b/>
      <w:bCs/>
      <w:color w:val="365F91"/>
      <w:sz w:val="28"/>
      <w:szCs w:val="28"/>
    </w:rPr>
  </w:style>
  <w:style w:type="character" w:customStyle="1" w:styleId="AERheading1Char">
    <w:name w:val="AER heading 1 Char"/>
    <w:basedOn w:val="Heading1Char"/>
    <w:link w:val="AERheading1"/>
    <w:rsid w:val="002C7158"/>
    <w:rPr>
      <w:rFonts w:ascii="Gautami" w:eastAsiaTheme="minorHAnsi" w:hAnsi="Gautami" w:cs="Arial"/>
      <w:b/>
      <w:bCs/>
      <w:color w:val="F2750E"/>
      <w:kern w:val="32"/>
      <w:sz w:val="36"/>
      <w:szCs w:val="32"/>
      <w:lang w:eastAsia="en-US"/>
    </w:rPr>
  </w:style>
  <w:style w:type="character" w:customStyle="1" w:styleId="AERheading2Char">
    <w:name w:val="AER heading 2 Char"/>
    <w:basedOn w:val="AERheading1Char"/>
    <w:link w:val="AERheading2"/>
    <w:rsid w:val="002C7158"/>
    <w:rPr>
      <w:rFonts w:ascii="Gautami" w:eastAsiaTheme="minorHAnsi" w:hAnsi="Gautami" w:cs="Arial"/>
      <w:b/>
      <w:bCs/>
      <w:color w:val="F2750E"/>
      <w:kern w:val="32"/>
      <w:sz w:val="28"/>
      <w:szCs w:val="30"/>
      <w:lang w:eastAsia="en-US"/>
    </w:rPr>
  </w:style>
  <w:style w:type="character" w:customStyle="1" w:styleId="QCRunnumberedunboldheadingChar">
    <w:name w:val="QCR unnumbered unbold heading Char"/>
    <w:basedOn w:val="AERheading2Char"/>
    <w:link w:val="QCRunnumberedunboldheading"/>
    <w:rsid w:val="002C7158"/>
    <w:rPr>
      <w:rFonts w:ascii="Gautami" w:eastAsiaTheme="minorHAnsi" w:hAnsi="Gautami" w:cs="Arial"/>
      <w:b/>
      <w:bCs/>
      <w:color w:val="F2750E"/>
      <w:kern w:val="32"/>
      <w:sz w:val="36"/>
      <w:szCs w:val="36"/>
      <w:lang w:eastAsia="en-US"/>
    </w:rPr>
  </w:style>
  <w:style w:type="character" w:customStyle="1" w:styleId="QCRHeading1Char">
    <w:name w:val="QCR Heading 1 Char"/>
    <w:basedOn w:val="AERheading1Char"/>
    <w:link w:val="QCRHeading1"/>
    <w:rsid w:val="002C7158"/>
    <w:rPr>
      <w:rFonts w:ascii="Gautami" w:eastAsiaTheme="minorHAnsi" w:hAnsi="Gautami" w:cs="Arial"/>
      <w:b/>
      <w:bCs/>
      <w:color w:val="F2750E"/>
      <w:kern w:val="32"/>
      <w:sz w:val="36"/>
      <w:szCs w:val="32"/>
      <w:lang w:eastAsia="en-US"/>
    </w:rPr>
  </w:style>
  <w:style w:type="paragraph" w:customStyle="1" w:styleId="aerbodytext0">
    <w:name w:val="aerbodytext"/>
    <w:basedOn w:val="Normal"/>
    <w:rsid w:val="00C421DA"/>
    <w:pPr>
      <w:spacing w:after="240"/>
    </w:pPr>
    <w:rPr>
      <w:rFonts w:ascii="Times New Roman" w:hAnsi="Times New Roman" w:cs="Times New Roman"/>
      <w:sz w:val="24"/>
      <w:szCs w:val="24"/>
      <w:lang w:eastAsia="en-AU"/>
    </w:rPr>
  </w:style>
  <w:style w:type="paragraph" w:customStyle="1" w:styleId="Pa8">
    <w:name w:val="Pa8"/>
    <w:basedOn w:val="Normal"/>
    <w:uiPriority w:val="99"/>
    <w:rsid w:val="007F4039"/>
    <w:pPr>
      <w:autoSpaceDE w:val="0"/>
      <w:autoSpaceDN w:val="0"/>
      <w:spacing w:line="171" w:lineRule="atLeast"/>
    </w:pPr>
    <w:rPr>
      <w:rFonts w:ascii="HelveticaNeueLT Std" w:hAnsi="HelveticaNeueLT Std" w:cs="Times New Roman"/>
      <w:sz w:val="24"/>
      <w:szCs w:val="24"/>
      <w:lang w:eastAsia="en-AU"/>
    </w:rPr>
  </w:style>
  <w:style w:type="character" w:styleId="Emphasis">
    <w:name w:val="Emphasis"/>
    <w:uiPriority w:val="20"/>
    <w:qFormat/>
    <w:locked/>
    <w:rsid w:val="00696E6D"/>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AER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40517832">
      <w:bodyDiv w:val="1"/>
      <w:marLeft w:val="0"/>
      <w:marRight w:val="0"/>
      <w:marTop w:val="0"/>
      <w:marBottom w:val="0"/>
      <w:divBdr>
        <w:top w:val="none" w:sz="0" w:space="0" w:color="auto"/>
        <w:left w:val="none" w:sz="0" w:space="0" w:color="auto"/>
        <w:bottom w:val="none" w:sz="0" w:space="0" w:color="auto"/>
        <w:right w:val="none" w:sz="0" w:space="0" w:color="auto"/>
      </w:divBdr>
    </w:div>
    <w:div w:id="11036524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41598693">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24000526">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683360864">
      <w:bodyDiv w:val="1"/>
      <w:marLeft w:val="0"/>
      <w:marRight w:val="0"/>
      <w:marTop w:val="0"/>
      <w:marBottom w:val="0"/>
      <w:divBdr>
        <w:top w:val="none" w:sz="0" w:space="0" w:color="auto"/>
        <w:left w:val="none" w:sz="0" w:space="0" w:color="auto"/>
        <w:bottom w:val="none" w:sz="0" w:space="0" w:color="auto"/>
        <w:right w:val="none" w:sz="0" w:space="0" w:color="auto"/>
      </w:divBdr>
      <w:divsChild>
        <w:div w:id="1960528021">
          <w:marLeft w:val="0"/>
          <w:marRight w:val="0"/>
          <w:marTop w:val="0"/>
          <w:marBottom w:val="0"/>
          <w:divBdr>
            <w:top w:val="none" w:sz="0" w:space="0" w:color="auto"/>
            <w:left w:val="none" w:sz="0" w:space="0" w:color="auto"/>
            <w:bottom w:val="none" w:sz="0" w:space="0" w:color="auto"/>
            <w:right w:val="none" w:sz="0" w:space="0" w:color="auto"/>
          </w:divBdr>
          <w:divsChild>
            <w:div w:id="159581451">
              <w:marLeft w:val="-14"/>
              <w:marRight w:val="0"/>
              <w:marTop w:val="0"/>
              <w:marBottom w:val="0"/>
              <w:divBdr>
                <w:top w:val="none" w:sz="0" w:space="0" w:color="auto"/>
                <w:left w:val="single" w:sz="6" w:space="0" w:color="FFFFFF"/>
                <w:bottom w:val="none" w:sz="0" w:space="0" w:color="auto"/>
                <w:right w:val="none" w:sz="0" w:space="0" w:color="auto"/>
              </w:divBdr>
              <w:divsChild>
                <w:div w:id="1012145978">
                  <w:marLeft w:val="0"/>
                  <w:marRight w:val="0"/>
                  <w:marTop w:val="0"/>
                  <w:marBottom w:val="0"/>
                  <w:divBdr>
                    <w:top w:val="none" w:sz="0" w:space="0" w:color="auto"/>
                    <w:left w:val="none" w:sz="0" w:space="0" w:color="auto"/>
                    <w:bottom w:val="none" w:sz="0" w:space="0" w:color="auto"/>
                    <w:right w:val="none" w:sz="0" w:space="0" w:color="auto"/>
                  </w:divBdr>
                  <w:divsChild>
                    <w:div w:id="20558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799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72834358">
      <w:bodyDiv w:val="1"/>
      <w:marLeft w:val="0"/>
      <w:marRight w:val="0"/>
      <w:marTop w:val="0"/>
      <w:marBottom w:val="0"/>
      <w:divBdr>
        <w:top w:val="none" w:sz="0" w:space="0" w:color="auto"/>
        <w:left w:val="none" w:sz="0" w:space="0" w:color="auto"/>
        <w:bottom w:val="none" w:sz="0" w:space="0" w:color="auto"/>
        <w:right w:val="none" w:sz="0" w:space="0" w:color="auto"/>
      </w:divBdr>
    </w:div>
    <w:div w:id="975524435">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15618704">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7579198">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377971079">
      <w:bodyDiv w:val="1"/>
      <w:marLeft w:val="0"/>
      <w:marRight w:val="0"/>
      <w:marTop w:val="0"/>
      <w:marBottom w:val="0"/>
      <w:divBdr>
        <w:top w:val="none" w:sz="0" w:space="0" w:color="auto"/>
        <w:left w:val="none" w:sz="0" w:space="0" w:color="auto"/>
        <w:bottom w:val="none" w:sz="0" w:space="0" w:color="auto"/>
        <w:right w:val="none" w:sz="0" w:space="0" w:color="auto"/>
      </w:divBdr>
    </w:div>
    <w:div w:id="138683496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45143400">
      <w:bodyDiv w:val="1"/>
      <w:marLeft w:val="0"/>
      <w:marRight w:val="0"/>
      <w:marTop w:val="0"/>
      <w:marBottom w:val="0"/>
      <w:divBdr>
        <w:top w:val="none" w:sz="0" w:space="0" w:color="auto"/>
        <w:left w:val="none" w:sz="0" w:space="0" w:color="auto"/>
        <w:bottom w:val="none" w:sz="0" w:space="0" w:color="auto"/>
        <w:right w:val="none" w:sz="0" w:space="0" w:color="auto"/>
      </w:divBdr>
    </w:div>
    <w:div w:id="1546982685">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03884360">
      <w:bodyDiv w:val="1"/>
      <w:marLeft w:val="0"/>
      <w:marRight w:val="0"/>
      <w:marTop w:val="0"/>
      <w:marBottom w:val="0"/>
      <w:divBdr>
        <w:top w:val="none" w:sz="0" w:space="0" w:color="auto"/>
        <w:left w:val="none" w:sz="0" w:space="0" w:color="auto"/>
        <w:bottom w:val="none" w:sz="0" w:space="0" w:color="auto"/>
        <w:right w:val="none" w:sz="0" w:space="0" w:color="auto"/>
      </w:divBdr>
    </w:div>
    <w:div w:id="1833183396">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40674549">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1973099559">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er.gov.au/sites/default/files/AER%20compliance%20and%20enforcement%C3%A2%E2%82%AC%E2%80%9Dstatement%20of%20approach%20%28December%202010%29.pdf" TargetMode="External"/><Relationship Id="rId26" Type="http://schemas.openxmlformats.org/officeDocument/2006/relationships/hyperlink" Target="http://www.aer.gov.au/node/21258" TargetMode="External"/><Relationship Id="rId39" Type="http://schemas.openxmlformats.org/officeDocument/2006/relationships/hyperlink" Target="http://www.legislation.sa.gov.au/LZ/C/A/NATIONAL%20ELECTRICITY%20(SOUTH%20AUSTRALIA)%20ACT%201996.aspx" TargetMode="External"/><Relationship Id="rId3" Type="http://schemas.openxmlformats.org/officeDocument/2006/relationships/styles" Target="styles.xml"/><Relationship Id="rId21" Type="http://schemas.openxmlformats.org/officeDocument/2006/relationships/hyperlink" Target="http://www.aer.gov.au/node/21258" TargetMode="External"/><Relationship Id="rId34" Type="http://schemas.openxmlformats.org/officeDocument/2006/relationships/hyperlink" Target="http://www.aemo.com.au/" TargetMode="Externa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er.gov.au/node/2391" TargetMode="External"/><Relationship Id="rId25" Type="http://schemas.openxmlformats.org/officeDocument/2006/relationships/hyperlink" Target="http://www.aer.gov.au/node/22027" TargetMode="External"/><Relationship Id="rId33" Type="http://schemas.openxmlformats.org/officeDocument/2006/relationships/hyperlink" Target="http://www.accc.gov.au" TargetMode="External"/><Relationship Id="rId38" Type="http://schemas.openxmlformats.org/officeDocument/2006/relationships/hyperlink" Target="http://aemc.gov.au/Gas/National-Gas-Rules/Current-Rules.html" TargetMode="External"/><Relationship Id="rId2" Type="http://schemas.openxmlformats.org/officeDocument/2006/relationships/numbering" Target="numbering.xml"/><Relationship Id="rId16" Type="http://schemas.openxmlformats.org/officeDocument/2006/relationships/hyperlink" Target="mailto:AERInquiry@aer.gov.au" TargetMode="External"/><Relationship Id="rId20" Type="http://schemas.openxmlformats.org/officeDocument/2006/relationships/hyperlink" Target="http://www.aer.gov.au/node/2391" TargetMode="External"/><Relationship Id="rId29" Type="http://schemas.openxmlformats.org/officeDocument/2006/relationships/image" Target="media/image4.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er.gov.au/node/18246" TargetMode="External"/><Relationship Id="rId32" Type="http://schemas.openxmlformats.org/officeDocument/2006/relationships/hyperlink" Target="http://www.aer.gov.au/node/2291" TargetMode="External"/><Relationship Id="rId37" Type="http://schemas.openxmlformats.org/officeDocument/2006/relationships/hyperlink" Target="http://www.legislation.sa.gov.au/LZ/C/R/NATIONAL%20GAS%20(SOUTH%20AUSTRALIA)%20REGULATIONS.aspx" TargetMode="External"/><Relationship Id="rId40" Type="http://schemas.openxmlformats.org/officeDocument/2006/relationships/hyperlink" Target="http://www.legislation.sa.gov.au/LZ/C/A/NATIONAL%20GAS%20(SOUTH%20AUSTRALIA)%20ACT%202008.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aemo.com.au/Gas/Market-Operations/Short-Term-Trading-Market/STTM-Notices" TargetMode="External"/><Relationship Id="rId28" Type="http://schemas.openxmlformats.org/officeDocument/2006/relationships/hyperlink" Target="http://www.aer.gov.au/node/18246" TargetMode="External"/><Relationship Id="rId36" Type="http://schemas.openxmlformats.org/officeDocument/2006/relationships/hyperlink" Target="http://aemc.gov.au/Electricity/National-Electricity-Rules/Current-Rules.html" TargetMode="Externa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hyperlink" Target="http://www.aer.gov.au/node/2000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aer.gov.au/node/21258" TargetMode="External"/><Relationship Id="rId27" Type="http://schemas.openxmlformats.org/officeDocument/2006/relationships/image" Target="media/image3.emf"/><Relationship Id="rId30" Type="http://schemas.openxmlformats.org/officeDocument/2006/relationships/hyperlink" Target="http://www.aer.gov.au/node/1188" TargetMode="External"/><Relationship Id="rId35" Type="http://schemas.openxmlformats.org/officeDocument/2006/relationships/hyperlink" Target="http://www.aer.gov.a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emc.gov.au/" TargetMode="External"/><Relationship Id="rId2" Type="http://schemas.openxmlformats.org/officeDocument/2006/relationships/hyperlink" Target="http://www.aer.gov.au/node/15433" TargetMode="External"/><Relationship Id="rId1" Type="http://schemas.openxmlformats.org/officeDocument/2006/relationships/hyperlink" Target="http://www.aer.gov.au/wholesale-markets/complianc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EC64-CA70-4932-9E6F-E1F1AED0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Quarterly Compliance Report: Electricity and Gas Laws</vt:lpstr>
    </vt:vector>
  </TitlesOfParts>
  <Company/>
  <LinksUpToDate>false</LinksUpToDate>
  <CharactersWithSpaces>42294</CharactersWithSpaces>
  <SharedDoc>false</SharedDoc>
  <HLinks>
    <vt:vector size="276" baseType="variant">
      <vt:variant>
        <vt:i4>79</vt:i4>
      </vt:variant>
      <vt:variant>
        <vt:i4>186</vt:i4>
      </vt:variant>
      <vt:variant>
        <vt:i4>0</vt:i4>
      </vt:variant>
      <vt:variant>
        <vt:i4>5</vt:i4>
      </vt:variant>
      <vt:variant>
        <vt:lpwstr>http://www.legislation.sa.gov.au/LZ/C/A/NATIONAL GAS (SOUTH AUSTRALIA) ACT 2008.aspx</vt:lpwstr>
      </vt:variant>
      <vt:variant>
        <vt:lpwstr/>
      </vt:variant>
      <vt:variant>
        <vt:i4>1245251</vt:i4>
      </vt:variant>
      <vt:variant>
        <vt:i4>183</vt:i4>
      </vt:variant>
      <vt:variant>
        <vt:i4>0</vt:i4>
      </vt:variant>
      <vt:variant>
        <vt:i4>5</vt:i4>
      </vt:variant>
      <vt:variant>
        <vt:lpwstr>http://www.legislation.sa.gov.au/LZ/C/A/NATIONAL ELECTRICITY (SOUTH AUSTRALIA) ACT 1996.aspx</vt:lpwstr>
      </vt:variant>
      <vt:variant>
        <vt:lpwstr/>
      </vt:variant>
      <vt:variant>
        <vt:i4>2687022</vt:i4>
      </vt:variant>
      <vt:variant>
        <vt:i4>180</vt:i4>
      </vt:variant>
      <vt:variant>
        <vt:i4>0</vt:i4>
      </vt:variant>
      <vt:variant>
        <vt:i4>5</vt:i4>
      </vt:variant>
      <vt:variant>
        <vt:lpwstr>http://www.aemc.gov.au/gas.php</vt:lpwstr>
      </vt:variant>
      <vt:variant>
        <vt:lpwstr/>
      </vt:variant>
      <vt:variant>
        <vt:i4>3276845</vt:i4>
      </vt:variant>
      <vt:variant>
        <vt:i4>177</vt:i4>
      </vt:variant>
      <vt:variant>
        <vt:i4>0</vt:i4>
      </vt:variant>
      <vt:variant>
        <vt:i4>5</vt:i4>
      </vt:variant>
      <vt:variant>
        <vt:lpwstr>http://www.legislation.sa.gov.au/LZ/C/R/NATIONAL GAS (SOUTH AUSTRALIA) REGULATIONS.aspx</vt:lpwstr>
      </vt:variant>
      <vt:variant>
        <vt:lpwstr/>
      </vt:variant>
      <vt:variant>
        <vt:i4>5242975</vt:i4>
      </vt:variant>
      <vt:variant>
        <vt:i4>174</vt:i4>
      </vt:variant>
      <vt:variant>
        <vt:i4>0</vt:i4>
      </vt:variant>
      <vt:variant>
        <vt:i4>5</vt:i4>
      </vt:variant>
      <vt:variant>
        <vt:lpwstr>http://www.aemc.gov.au/rules.php</vt:lpwstr>
      </vt:variant>
      <vt:variant>
        <vt:lpwstr/>
      </vt:variant>
      <vt:variant>
        <vt:i4>1900617</vt:i4>
      </vt:variant>
      <vt:variant>
        <vt:i4>171</vt:i4>
      </vt:variant>
      <vt:variant>
        <vt:i4>0</vt:i4>
      </vt:variant>
      <vt:variant>
        <vt:i4>5</vt:i4>
      </vt:variant>
      <vt:variant>
        <vt:lpwstr>http://www.gasbb.com.au/</vt:lpwstr>
      </vt:variant>
      <vt:variant>
        <vt:lpwstr/>
      </vt:variant>
      <vt:variant>
        <vt:i4>6750255</vt:i4>
      </vt:variant>
      <vt:variant>
        <vt:i4>168</vt:i4>
      </vt:variant>
      <vt:variant>
        <vt:i4>0</vt:i4>
      </vt:variant>
      <vt:variant>
        <vt:i4>5</vt:i4>
      </vt:variant>
      <vt:variant>
        <vt:lpwstr>http://www.aer.gov.au/</vt:lpwstr>
      </vt:variant>
      <vt:variant>
        <vt:lpwstr/>
      </vt:variant>
      <vt:variant>
        <vt:i4>3997749</vt:i4>
      </vt:variant>
      <vt:variant>
        <vt:i4>165</vt:i4>
      </vt:variant>
      <vt:variant>
        <vt:i4>0</vt:i4>
      </vt:variant>
      <vt:variant>
        <vt:i4>5</vt:i4>
      </vt:variant>
      <vt:variant>
        <vt:lpwstr>http://www.aemo.com.au/</vt:lpwstr>
      </vt:variant>
      <vt:variant>
        <vt:lpwstr/>
      </vt:variant>
      <vt:variant>
        <vt:i4>3342368</vt:i4>
      </vt:variant>
      <vt:variant>
        <vt:i4>162</vt:i4>
      </vt:variant>
      <vt:variant>
        <vt:i4>0</vt:i4>
      </vt:variant>
      <vt:variant>
        <vt:i4>5</vt:i4>
      </vt:variant>
      <vt:variant>
        <vt:lpwstr>http://www.accc.gov.au/</vt:lpwstr>
      </vt:variant>
      <vt:variant>
        <vt:lpwstr/>
      </vt:variant>
      <vt:variant>
        <vt:i4>1441851</vt:i4>
      </vt:variant>
      <vt:variant>
        <vt:i4>155</vt:i4>
      </vt:variant>
      <vt:variant>
        <vt:i4>0</vt:i4>
      </vt:variant>
      <vt:variant>
        <vt:i4>5</vt:i4>
      </vt:variant>
      <vt:variant>
        <vt:lpwstr/>
      </vt:variant>
      <vt:variant>
        <vt:lpwstr>_Toc339289999</vt:lpwstr>
      </vt:variant>
      <vt:variant>
        <vt:i4>1441851</vt:i4>
      </vt:variant>
      <vt:variant>
        <vt:i4>149</vt:i4>
      </vt:variant>
      <vt:variant>
        <vt:i4>0</vt:i4>
      </vt:variant>
      <vt:variant>
        <vt:i4>5</vt:i4>
      </vt:variant>
      <vt:variant>
        <vt:lpwstr/>
      </vt:variant>
      <vt:variant>
        <vt:lpwstr>_Toc339289998</vt:lpwstr>
      </vt:variant>
      <vt:variant>
        <vt:i4>1441851</vt:i4>
      </vt:variant>
      <vt:variant>
        <vt:i4>143</vt:i4>
      </vt:variant>
      <vt:variant>
        <vt:i4>0</vt:i4>
      </vt:variant>
      <vt:variant>
        <vt:i4>5</vt:i4>
      </vt:variant>
      <vt:variant>
        <vt:lpwstr/>
      </vt:variant>
      <vt:variant>
        <vt:lpwstr>_Toc339289997</vt:lpwstr>
      </vt:variant>
      <vt:variant>
        <vt:i4>1441851</vt:i4>
      </vt:variant>
      <vt:variant>
        <vt:i4>137</vt:i4>
      </vt:variant>
      <vt:variant>
        <vt:i4>0</vt:i4>
      </vt:variant>
      <vt:variant>
        <vt:i4>5</vt:i4>
      </vt:variant>
      <vt:variant>
        <vt:lpwstr/>
      </vt:variant>
      <vt:variant>
        <vt:lpwstr>_Toc339289996</vt:lpwstr>
      </vt:variant>
      <vt:variant>
        <vt:i4>1441851</vt:i4>
      </vt:variant>
      <vt:variant>
        <vt:i4>131</vt:i4>
      </vt:variant>
      <vt:variant>
        <vt:i4>0</vt:i4>
      </vt:variant>
      <vt:variant>
        <vt:i4>5</vt:i4>
      </vt:variant>
      <vt:variant>
        <vt:lpwstr/>
      </vt:variant>
      <vt:variant>
        <vt:lpwstr>_Toc339289995</vt:lpwstr>
      </vt:variant>
      <vt:variant>
        <vt:i4>1441851</vt:i4>
      </vt:variant>
      <vt:variant>
        <vt:i4>125</vt:i4>
      </vt:variant>
      <vt:variant>
        <vt:i4>0</vt:i4>
      </vt:variant>
      <vt:variant>
        <vt:i4>5</vt:i4>
      </vt:variant>
      <vt:variant>
        <vt:lpwstr/>
      </vt:variant>
      <vt:variant>
        <vt:lpwstr>_Toc339289994</vt:lpwstr>
      </vt:variant>
      <vt:variant>
        <vt:i4>1441851</vt:i4>
      </vt:variant>
      <vt:variant>
        <vt:i4>119</vt:i4>
      </vt:variant>
      <vt:variant>
        <vt:i4>0</vt:i4>
      </vt:variant>
      <vt:variant>
        <vt:i4>5</vt:i4>
      </vt:variant>
      <vt:variant>
        <vt:lpwstr/>
      </vt:variant>
      <vt:variant>
        <vt:lpwstr>_Toc339289993</vt:lpwstr>
      </vt:variant>
      <vt:variant>
        <vt:i4>1441851</vt:i4>
      </vt:variant>
      <vt:variant>
        <vt:i4>113</vt:i4>
      </vt:variant>
      <vt:variant>
        <vt:i4>0</vt:i4>
      </vt:variant>
      <vt:variant>
        <vt:i4>5</vt:i4>
      </vt:variant>
      <vt:variant>
        <vt:lpwstr/>
      </vt:variant>
      <vt:variant>
        <vt:lpwstr>_Toc339289992</vt:lpwstr>
      </vt:variant>
      <vt:variant>
        <vt:i4>1441851</vt:i4>
      </vt:variant>
      <vt:variant>
        <vt:i4>107</vt:i4>
      </vt:variant>
      <vt:variant>
        <vt:i4>0</vt:i4>
      </vt:variant>
      <vt:variant>
        <vt:i4>5</vt:i4>
      </vt:variant>
      <vt:variant>
        <vt:lpwstr/>
      </vt:variant>
      <vt:variant>
        <vt:lpwstr>_Toc339289991</vt:lpwstr>
      </vt:variant>
      <vt:variant>
        <vt:i4>1441851</vt:i4>
      </vt:variant>
      <vt:variant>
        <vt:i4>101</vt:i4>
      </vt:variant>
      <vt:variant>
        <vt:i4>0</vt:i4>
      </vt:variant>
      <vt:variant>
        <vt:i4>5</vt:i4>
      </vt:variant>
      <vt:variant>
        <vt:lpwstr/>
      </vt:variant>
      <vt:variant>
        <vt:lpwstr>_Toc339289990</vt:lpwstr>
      </vt:variant>
      <vt:variant>
        <vt:i4>1507387</vt:i4>
      </vt:variant>
      <vt:variant>
        <vt:i4>95</vt:i4>
      </vt:variant>
      <vt:variant>
        <vt:i4>0</vt:i4>
      </vt:variant>
      <vt:variant>
        <vt:i4>5</vt:i4>
      </vt:variant>
      <vt:variant>
        <vt:lpwstr/>
      </vt:variant>
      <vt:variant>
        <vt:lpwstr>_Toc339289989</vt:lpwstr>
      </vt:variant>
      <vt:variant>
        <vt:i4>1507387</vt:i4>
      </vt:variant>
      <vt:variant>
        <vt:i4>89</vt:i4>
      </vt:variant>
      <vt:variant>
        <vt:i4>0</vt:i4>
      </vt:variant>
      <vt:variant>
        <vt:i4>5</vt:i4>
      </vt:variant>
      <vt:variant>
        <vt:lpwstr/>
      </vt:variant>
      <vt:variant>
        <vt:lpwstr>_Toc339289988</vt:lpwstr>
      </vt:variant>
      <vt:variant>
        <vt:i4>1507387</vt:i4>
      </vt:variant>
      <vt:variant>
        <vt:i4>83</vt:i4>
      </vt:variant>
      <vt:variant>
        <vt:i4>0</vt:i4>
      </vt:variant>
      <vt:variant>
        <vt:i4>5</vt:i4>
      </vt:variant>
      <vt:variant>
        <vt:lpwstr/>
      </vt:variant>
      <vt:variant>
        <vt:lpwstr>_Toc339289987</vt:lpwstr>
      </vt:variant>
      <vt:variant>
        <vt:i4>1507387</vt:i4>
      </vt:variant>
      <vt:variant>
        <vt:i4>77</vt:i4>
      </vt:variant>
      <vt:variant>
        <vt:i4>0</vt:i4>
      </vt:variant>
      <vt:variant>
        <vt:i4>5</vt:i4>
      </vt:variant>
      <vt:variant>
        <vt:lpwstr/>
      </vt:variant>
      <vt:variant>
        <vt:lpwstr>_Toc339289986</vt:lpwstr>
      </vt:variant>
      <vt:variant>
        <vt:i4>1507387</vt:i4>
      </vt:variant>
      <vt:variant>
        <vt:i4>71</vt:i4>
      </vt:variant>
      <vt:variant>
        <vt:i4>0</vt:i4>
      </vt:variant>
      <vt:variant>
        <vt:i4>5</vt:i4>
      </vt:variant>
      <vt:variant>
        <vt:lpwstr/>
      </vt:variant>
      <vt:variant>
        <vt:lpwstr>_Toc339289985</vt:lpwstr>
      </vt:variant>
      <vt:variant>
        <vt:i4>1507387</vt:i4>
      </vt:variant>
      <vt:variant>
        <vt:i4>65</vt:i4>
      </vt:variant>
      <vt:variant>
        <vt:i4>0</vt:i4>
      </vt:variant>
      <vt:variant>
        <vt:i4>5</vt:i4>
      </vt:variant>
      <vt:variant>
        <vt:lpwstr/>
      </vt:variant>
      <vt:variant>
        <vt:lpwstr>_Toc339289984</vt:lpwstr>
      </vt:variant>
      <vt:variant>
        <vt:i4>1507387</vt:i4>
      </vt:variant>
      <vt:variant>
        <vt:i4>59</vt:i4>
      </vt:variant>
      <vt:variant>
        <vt:i4>0</vt:i4>
      </vt:variant>
      <vt:variant>
        <vt:i4>5</vt:i4>
      </vt:variant>
      <vt:variant>
        <vt:lpwstr/>
      </vt:variant>
      <vt:variant>
        <vt:lpwstr>_Toc339289983</vt:lpwstr>
      </vt:variant>
      <vt:variant>
        <vt:i4>1507387</vt:i4>
      </vt:variant>
      <vt:variant>
        <vt:i4>53</vt:i4>
      </vt:variant>
      <vt:variant>
        <vt:i4>0</vt:i4>
      </vt:variant>
      <vt:variant>
        <vt:i4>5</vt:i4>
      </vt:variant>
      <vt:variant>
        <vt:lpwstr/>
      </vt:variant>
      <vt:variant>
        <vt:lpwstr>_Toc339289982</vt:lpwstr>
      </vt:variant>
      <vt:variant>
        <vt:i4>1507387</vt:i4>
      </vt:variant>
      <vt:variant>
        <vt:i4>47</vt:i4>
      </vt:variant>
      <vt:variant>
        <vt:i4>0</vt:i4>
      </vt:variant>
      <vt:variant>
        <vt:i4>5</vt:i4>
      </vt:variant>
      <vt:variant>
        <vt:lpwstr/>
      </vt:variant>
      <vt:variant>
        <vt:lpwstr>_Toc339289981</vt:lpwstr>
      </vt:variant>
      <vt:variant>
        <vt:i4>1507387</vt:i4>
      </vt:variant>
      <vt:variant>
        <vt:i4>41</vt:i4>
      </vt:variant>
      <vt:variant>
        <vt:i4>0</vt:i4>
      </vt:variant>
      <vt:variant>
        <vt:i4>5</vt:i4>
      </vt:variant>
      <vt:variant>
        <vt:lpwstr/>
      </vt:variant>
      <vt:variant>
        <vt:lpwstr>_Toc339289980</vt:lpwstr>
      </vt:variant>
      <vt:variant>
        <vt:i4>1572923</vt:i4>
      </vt:variant>
      <vt:variant>
        <vt:i4>35</vt:i4>
      </vt:variant>
      <vt:variant>
        <vt:i4>0</vt:i4>
      </vt:variant>
      <vt:variant>
        <vt:i4>5</vt:i4>
      </vt:variant>
      <vt:variant>
        <vt:lpwstr/>
      </vt:variant>
      <vt:variant>
        <vt:lpwstr>_Toc339289979</vt:lpwstr>
      </vt:variant>
      <vt:variant>
        <vt:i4>1572923</vt:i4>
      </vt:variant>
      <vt:variant>
        <vt:i4>29</vt:i4>
      </vt:variant>
      <vt:variant>
        <vt:i4>0</vt:i4>
      </vt:variant>
      <vt:variant>
        <vt:i4>5</vt:i4>
      </vt:variant>
      <vt:variant>
        <vt:lpwstr/>
      </vt:variant>
      <vt:variant>
        <vt:lpwstr>_Toc339289978</vt:lpwstr>
      </vt:variant>
      <vt:variant>
        <vt:i4>1572923</vt:i4>
      </vt:variant>
      <vt:variant>
        <vt:i4>23</vt:i4>
      </vt:variant>
      <vt:variant>
        <vt:i4>0</vt:i4>
      </vt:variant>
      <vt:variant>
        <vt:i4>5</vt:i4>
      </vt:variant>
      <vt:variant>
        <vt:lpwstr/>
      </vt:variant>
      <vt:variant>
        <vt:lpwstr>_Toc339289977</vt:lpwstr>
      </vt:variant>
      <vt:variant>
        <vt:i4>1572923</vt:i4>
      </vt:variant>
      <vt:variant>
        <vt:i4>17</vt:i4>
      </vt:variant>
      <vt:variant>
        <vt:i4>0</vt:i4>
      </vt:variant>
      <vt:variant>
        <vt:i4>5</vt:i4>
      </vt:variant>
      <vt:variant>
        <vt:lpwstr/>
      </vt:variant>
      <vt:variant>
        <vt:lpwstr>_Toc339289976</vt:lpwstr>
      </vt:variant>
      <vt:variant>
        <vt:i4>1572923</vt:i4>
      </vt:variant>
      <vt:variant>
        <vt:i4>11</vt:i4>
      </vt:variant>
      <vt:variant>
        <vt:i4>0</vt:i4>
      </vt:variant>
      <vt:variant>
        <vt:i4>5</vt:i4>
      </vt:variant>
      <vt:variant>
        <vt:lpwstr/>
      </vt:variant>
      <vt:variant>
        <vt:lpwstr>_Toc339289975</vt:lpwstr>
      </vt:variant>
      <vt:variant>
        <vt:i4>1572923</vt:i4>
      </vt:variant>
      <vt:variant>
        <vt:i4>5</vt:i4>
      </vt:variant>
      <vt:variant>
        <vt:i4>0</vt:i4>
      </vt:variant>
      <vt:variant>
        <vt:i4>5</vt:i4>
      </vt:variant>
      <vt:variant>
        <vt:lpwstr/>
      </vt:variant>
      <vt:variant>
        <vt:lpwstr>_Toc339289974</vt:lpwstr>
      </vt:variant>
      <vt:variant>
        <vt:i4>2555972</vt:i4>
      </vt:variant>
      <vt:variant>
        <vt:i4>0</vt:i4>
      </vt:variant>
      <vt:variant>
        <vt:i4>0</vt:i4>
      </vt:variant>
      <vt:variant>
        <vt:i4>5</vt:i4>
      </vt:variant>
      <vt:variant>
        <vt:lpwstr>mailto:AERInquiry@aer.gov.au</vt:lpwstr>
      </vt:variant>
      <vt:variant>
        <vt:lpwstr/>
      </vt:variant>
      <vt:variant>
        <vt:i4>6684728</vt:i4>
      </vt:variant>
      <vt:variant>
        <vt:i4>27</vt:i4>
      </vt:variant>
      <vt:variant>
        <vt:i4>0</vt:i4>
      </vt:variant>
      <vt:variant>
        <vt:i4>5</vt:i4>
      </vt:variant>
      <vt:variant>
        <vt:lpwstr>http://www.aer.gov.au/node/2291</vt:lpwstr>
      </vt:variant>
      <vt:variant>
        <vt:lpwstr/>
      </vt:variant>
      <vt:variant>
        <vt:i4>5963788</vt:i4>
      </vt:variant>
      <vt:variant>
        <vt:i4>24</vt:i4>
      </vt:variant>
      <vt:variant>
        <vt:i4>0</vt:i4>
      </vt:variant>
      <vt:variant>
        <vt:i4>5</vt:i4>
      </vt:variant>
      <vt:variant>
        <vt:lpwstr>http://www.aer.gov.au/node/15433</vt:lpwstr>
      </vt:variant>
      <vt:variant>
        <vt:lpwstr/>
      </vt:variant>
      <vt:variant>
        <vt:i4>7143487</vt:i4>
      </vt:variant>
      <vt:variant>
        <vt:i4>21</vt:i4>
      </vt:variant>
      <vt:variant>
        <vt:i4>0</vt:i4>
      </vt:variant>
      <vt:variant>
        <vt:i4>5</vt:i4>
      </vt:variant>
      <vt:variant>
        <vt:lpwstr>http://www.aer.gov.au/node/454</vt:lpwstr>
      </vt:variant>
      <vt:variant>
        <vt:lpwstr/>
      </vt:variant>
      <vt:variant>
        <vt:i4>6553659</vt:i4>
      </vt:variant>
      <vt:variant>
        <vt:i4>18</vt:i4>
      </vt:variant>
      <vt:variant>
        <vt:i4>0</vt:i4>
      </vt:variant>
      <vt:variant>
        <vt:i4>5</vt:i4>
      </vt:variant>
      <vt:variant>
        <vt:lpwstr>http://www.aer.gov.au/node/1182</vt:lpwstr>
      </vt:variant>
      <vt:variant>
        <vt:lpwstr/>
      </vt:variant>
      <vt:variant>
        <vt:i4>6225920</vt:i4>
      </vt:variant>
      <vt:variant>
        <vt:i4>15</vt:i4>
      </vt:variant>
      <vt:variant>
        <vt:i4>0</vt:i4>
      </vt:variant>
      <vt:variant>
        <vt:i4>5</vt:i4>
      </vt:variant>
      <vt:variant>
        <vt:lpwstr>http://www.aer.gov.au/node/12182</vt:lpwstr>
      </vt:variant>
      <vt:variant>
        <vt:lpwstr/>
      </vt:variant>
      <vt:variant>
        <vt:i4>6094849</vt:i4>
      </vt:variant>
      <vt:variant>
        <vt:i4>12</vt:i4>
      </vt:variant>
      <vt:variant>
        <vt:i4>0</vt:i4>
      </vt:variant>
      <vt:variant>
        <vt:i4>5</vt:i4>
      </vt:variant>
      <vt:variant>
        <vt:lpwstr>http://www.aer.gov.au/node/18233</vt:lpwstr>
      </vt:variant>
      <vt:variant>
        <vt:lpwstr/>
      </vt:variant>
      <vt:variant>
        <vt:i4>2555953</vt:i4>
      </vt:variant>
      <vt:variant>
        <vt:i4>9</vt:i4>
      </vt:variant>
      <vt:variant>
        <vt:i4>0</vt:i4>
      </vt:variant>
      <vt:variant>
        <vt:i4>5</vt:i4>
      </vt:variant>
      <vt:variant>
        <vt:lpwstr>http://www.aemo.com.au/Consultations/Gas-Consultations/STTM/STTM-Phase-2-review_Review-of-within_day-market</vt:lpwstr>
      </vt:variant>
      <vt:variant>
        <vt:lpwstr>purpose</vt:lpwstr>
      </vt:variant>
      <vt:variant>
        <vt:i4>786506</vt:i4>
      </vt:variant>
      <vt:variant>
        <vt:i4>6</vt:i4>
      </vt:variant>
      <vt:variant>
        <vt:i4>0</vt:i4>
      </vt:variant>
      <vt:variant>
        <vt:i4>5</vt:i4>
      </vt:variant>
      <vt:variant>
        <vt:lpwstr>http://www.aer.gov.au/sites/default/files/AER compliance and enforcement%C3%A2%E2%82%AC%E2%80%9Dstatement of approach %28December 2010%29.pdf</vt:lpwstr>
      </vt:variant>
      <vt:variant>
        <vt:lpwstr/>
      </vt:variant>
      <vt:variant>
        <vt:i4>6684729</vt:i4>
      </vt:variant>
      <vt:variant>
        <vt:i4>3</vt:i4>
      </vt:variant>
      <vt:variant>
        <vt:i4>0</vt:i4>
      </vt:variant>
      <vt:variant>
        <vt:i4>5</vt:i4>
      </vt:variant>
      <vt:variant>
        <vt:lpwstr>http://www.aer.gov.au/node/2391</vt:lpwstr>
      </vt:variant>
      <vt:variant>
        <vt:lpwstr/>
      </vt:variant>
      <vt:variant>
        <vt:i4>7143487</vt:i4>
      </vt:variant>
      <vt:variant>
        <vt:i4>0</vt:i4>
      </vt:variant>
      <vt:variant>
        <vt:i4>0</vt:i4>
      </vt:variant>
      <vt:variant>
        <vt:i4>5</vt:i4>
      </vt:variant>
      <vt:variant>
        <vt:lpwstr>http://www.aer.gov.au/node/454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Compliance Report: Electricity and Gas Laws</dc:title>
  <dc:subject/>
  <dc:creator/>
  <cp:keywords/>
  <dc:description/>
  <cp:lastModifiedBy/>
  <cp:revision>1</cp:revision>
  <dcterms:created xsi:type="dcterms:W3CDTF">2013-10-22T05:28:00Z</dcterms:created>
  <dcterms:modified xsi:type="dcterms:W3CDTF">2013-10-22T05:29:00Z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8065947</vt:lpwstr>
  </property>
</Properties>
</file>