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bottom w:val="nil"/>
          <w:right w:val="nil"/>
        </w:tblBorders>
        <w:tblLayout w:type="fixed"/>
        <w:tblLook w:val="0000" w:firstRow="0" w:lastRow="0" w:firstColumn="0" w:lastColumn="0" w:noHBand="0" w:noVBand="0"/>
      </w:tblPr>
      <w:tblGrid>
        <w:gridCol w:w="4415"/>
        <w:gridCol w:w="2207"/>
        <w:gridCol w:w="2208"/>
      </w:tblGrid>
      <w:tr w:rsidR="00386106" w:rsidRPr="00386106" w:rsidTr="00630BC4">
        <w:trPr>
          <w:trHeight w:val="348"/>
        </w:trPr>
        <w:tc>
          <w:tcPr>
            <w:tcW w:w="8830" w:type="dxa"/>
            <w:gridSpan w:val="3"/>
            <w:tcBorders>
              <w:bottom w:val="single" w:sz="4" w:space="0" w:color="auto"/>
            </w:tcBorders>
          </w:tcPr>
          <w:p w:rsidR="00386106" w:rsidRPr="0040517D" w:rsidRDefault="00386106" w:rsidP="00630BC4">
            <w:pPr>
              <w:pStyle w:val="Default"/>
              <w:spacing w:before="120" w:after="120"/>
              <w:rPr>
                <w:rFonts w:asciiTheme="minorHAnsi" w:hAnsiTheme="minorHAnsi" w:cstheme="minorHAnsi"/>
                <w:b/>
                <w:sz w:val="32"/>
                <w:szCs w:val="32"/>
              </w:rPr>
            </w:pPr>
            <w:r w:rsidRPr="00386106">
              <w:rPr>
                <w:rFonts w:asciiTheme="minorHAnsi" w:hAnsiTheme="minorHAnsi" w:cstheme="minorHAnsi"/>
                <w:b/>
                <w:sz w:val="32"/>
                <w:szCs w:val="32"/>
              </w:rPr>
              <w:t xml:space="preserve">Minimum disconnection </w:t>
            </w:r>
            <w:r>
              <w:rPr>
                <w:rFonts w:asciiTheme="minorHAnsi" w:hAnsiTheme="minorHAnsi" w:cstheme="minorHAnsi"/>
                <w:b/>
                <w:sz w:val="32"/>
                <w:szCs w:val="32"/>
              </w:rPr>
              <w:t xml:space="preserve">amount review – stakeholder </w:t>
            </w:r>
            <w:r w:rsidRPr="00386106">
              <w:rPr>
                <w:rFonts w:asciiTheme="minorHAnsi" w:hAnsiTheme="minorHAnsi" w:cstheme="minorHAnsi"/>
                <w:b/>
                <w:sz w:val="32"/>
                <w:szCs w:val="32"/>
              </w:rPr>
              <w:t xml:space="preserve">forum </w:t>
            </w:r>
          </w:p>
        </w:tc>
      </w:tr>
      <w:tr w:rsidR="00C24886" w:rsidRPr="0040517D" w:rsidTr="00C24886">
        <w:trPr>
          <w:trHeight w:val="495"/>
        </w:trPr>
        <w:tc>
          <w:tcPr>
            <w:tcW w:w="4415" w:type="dxa"/>
            <w:tcBorders>
              <w:top w:val="single" w:sz="4" w:space="0" w:color="auto"/>
              <w:left w:val="single" w:sz="4" w:space="0" w:color="auto"/>
              <w:bottom w:val="single" w:sz="4" w:space="0" w:color="auto"/>
              <w:right w:val="single" w:sz="4" w:space="0" w:color="auto"/>
            </w:tcBorders>
            <w:vAlign w:val="center"/>
          </w:tcPr>
          <w:p w:rsidR="00C24886" w:rsidRPr="00C24886" w:rsidRDefault="00C24886" w:rsidP="00C24886">
            <w:pPr>
              <w:pStyle w:val="Default"/>
              <w:rPr>
                <w:rFonts w:asciiTheme="minorHAnsi" w:hAnsiTheme="minorHAnsi" w:cstheme="minorHAnsi"/>
                <w:b/>
                <w:sz w:val="22"/>
                <w:szCs w:val="22"/>
              </w:rPr>
            </w:pPr>
            <w:r w:rsidRPr="00C24886">
              <w:rPr>
                <w:rFonts w:asciiTheme="minorHAnsi" w:hAnsiTheme="minorHAnsi" w:cstheme="minorHAnsi"/>
                <w:b/>
                <w:sz w:val="22"/>
                <w:szCs w:val="22"/>
              </w:rPr>
              <w:t xml:space="preserve">Minutes of the stakeholder forum </w:t>
            </w:r>
          </w:p>
        </w:tc>
        <w:tc>
          <w:tcPr>
            <w:tcW w:w="2207" w:type="dxa"/>
            <w:tcBorders>
              <w:top w:val="single" w:sz="4" w:space="0" w:color="auto"/>
              <w:left w:val="single" w:sz="4" w:space="0" w:color="auto"/>
              <w:bottom w:val="single" w:sz="4" w:space="0" w:color="auto"/>
              <w:right w:val="single" w:sz="4" w:space="0" w:color="auto"/>
            </w:tcBorders>
            <w:vAlign w:val="center"/>
          </w:tcPr>
          <w:p w:rsidR="00C24886" w:rsidRPr="00C24886" w:rsidRDefault="00C24886" w:rsidP="00C24886">
            <w:pPr>
              <w:pStyle w:val="Default"/>
              <w:rPr>
                <w:rFonts w:asciiTheme="minorHAnsi" w:hAnsiTheme="minorHAnsi" w:cstheme="minorHAnsi"/>
                <w:b/>
                <w:sz w:val="22"/>
                <w:szCs w:val="22"/>
              </w:rPr>
            </w:pPr>
            <w:r w:rsidRPr="00C24886">
              <w:rPr>
                <w:rFonts w:asciiTheme="minorHAnsi" w:hAnsiTheme="minorHAnsi" w:cstheme="minorHAnsi"/>
                <w:b/>
                <w:sz w:val="22"/>
                <w:szCs w:val="22"/>
              </w:rPr>
              <w:t xml:space="preserve">AER </w:t>
            </w:r>
          </w:p>
        </w:tc>
        <w:tc>
          <w:tcPr>
            <w:tcW w:w="2208" w:type="dxa"/>
            <w:tcBorders>
              <w:top w:val="single" w:sz="4" w:space="0" w:color="auto"/>
              <w:left w:val="single" w:sz="4" w:space="0" w:color="auto"/>
              <w:bottom w:val="single" w:sz="4" w:space="0" w:color="auto"/>
              <w:right w:val="single" w:sz="4" w:space="0" w:color="auto"/>
            </w:tcBorders>
            <w:vAlign w:val="center"/>
          </w:tcPr>
          <w:p w:rsidR="00C24886" w:rsidRPr="0040517D" w:rsidRDefault="00C24886" w:rsidP="00C24886">
            <w:pPr>
              <w:pStyle w:val="Default"/>
              <w:rPr>
                <w:rFonts w:asciiTheme="minorHAnsi" w:hAnsiTheme="minorHAnsi" w:cstheme="minorHAnsi"/>
                <w:sz w:val="22"/>
                <w:szCs w:val="22"/>
              </w:rPr>
            </w:pPr>
            <w:r>
              <w:rPr>
                <w:rFonts w:asciiTheme="minorHAnsi" w:hAnsiTheme="minorHAnsi" w:cstheme="minorHAnsi"/>
                <w:sz w:val="22"/>
                <w:szCs w:val="22"/>
              </w:rPr>
              <w:t>22 September 2016</w:t>
            </w:r>
            <w:r w:rsidRPr="0040517D">
              <w:rPr>
                <w:rFonts w:asciiTheme="minorHAnsi" w:hAnsiTheme="minorHAnsi" w:cstheme="minorHAnsi"/>
                <w:sz w:val="22"/>
                <w:szCs w:val="22"/>
              </w:rPr>
              <w:t xml:space="preserve"> </w:t>
            </w:r>
          </w:p>
        </w:tc>
      </w:tr>
      <w:tr w:rsidR="00386106" w:rsidRPr="0040517D" w:rsidTr="00630BC4">
        <w:trPr>
          <w:trHeight w:val="177"/>
        </w:trPr>
        <w:tc>
          <w:tcPr>
            <w:tcW w:w="4415" w:type="dxa"/>
            <w:tcBorders>
              <w:top w:val="single" w:sz="4" w:space="0" w:color="auto"/>
              <w:left w:val="single" w:sz="4" w:space="0" w:color="auto"/>
              <w:bottom w:val="single" w:sz="4" w:space="0" w:color="auto"/>
              <w:right w:val="single" w:sz="4" w:space="0" w:color="auto"/>
            </w:tcBorders>
          </w:tcPr>
          <w:p w:rsidR="00386106" w:rsidRPr="00C24886" w:rsidRDefault="00386106" w:rsidP="00630BC4">
            <w:pPr>
              <w:pStyle w:val="Default"/>
              <w:rPr>
                <w:rFonts w:asciiTheme="minorHAnsi" w:hAnsiTheme="minorHAnsi" w:cstheme="minorHAnsi"/>
                <w:sz w:val="22"/>
                <w:szCs w:val="22"/>
              </w:rPr>
            </w:pPr>
            <w:r w:rsidRPr="00C24886">
              <w:rPr>
                <w:rFonts w:asciiTheme="minorHAnsi" w:hAnsiTheme="minorHAnsi" w:cstheme="minorHAnsi"/>
                <w:sz w:val="22"/>
                <w:szCs w:val="22"/>
              </w:rPr>
              <w:t xml:space="preserve">Date and time of Meeting </w:t>
            </w:r>
          </w:p>
        </w:tc>
        <w:tc>
          <w:tcPr>
            <w:tcW w:w="4415" w:type="dxa"/>
            <w:gridSpan w:val="2"/>
            <w:tcBorders>
              <w:top w:val="single" w:sz="4" w:space="0" w:color="auto"/>
              <w:left w:val="single" w:sz="4" w:space="0" w:color="auto"/>
              <w:bottom w:val="single" w:sz="4" w:space="0" w:color="auto"/>
              <w:right w:val="single" w:sz="4" w:space="0" w:color="auto"/>
            </w:tcBorders>
          </w:tcPr>
          <w:p w:rsidR="00386106" w:rsidRPr="00C24886" w:rsidRDefault="00386106" w:rsidP="00630BC4">
            <w:pPr>
              <w:pStyle w:val="Default"/>
              <w:rPr>
                <w:rFonts w:asciiTheme="minorHAnsi" w:hAnsiTheme="minorHAnsi" w:cstheme="minorHAnsi"/>
                <w:sz w:val="22"/>
                <w:szCs w:val="22"/>
              </w:rPr>
            </w:pPr>
            <w:r w:rsidRPr="00C24886">
              <w:rPr>
                <w:rFonts w:asciiTheme="minorHAnsi" w:hAnsiTheme="minorHAnsi" w:cstheme="minorHAnsi"/>
                <w:sz w:val="22"/>
                <w:szCs w:val="22"/>
              </w:rPr>
              <w:t>22 September 2016</w:t>
            </w:r>
          </w:p>
          <w:p w:rsidR="00386106" w:rsidRPr="00C24886" w:rsidRDefault="00386106" w:rsidP="00C24886">
            <w:pPr>
              <w:pStyle w:val="Default"/>
              <w:rPr>
                <w:rFonts w:asciiTheme="minorHAnsi" w:hAnsiTheme="minorHAnsi" w:cstheme="minorHAnsi"/>
                <w:sz w:val="22"/>
                <w:szCs w:val="22"/>
              </w:rPr>
            </w:pPr>
            <w:r w:rsidRPr="00C24886">
              <w:rPr>
                <w:rFonts w:asciiTheme="minorHAnsi" w:hAnsiTheme="minorHAnsi" w:cstheme="minorHAnsi"/>
                <w:sz w:val="22"/>
                <w:szCs w:val="22"/>
              </w:rPr>
              <w:t>10:</w:t>
            </w:r>
            <w:r w:rsidR="00C24886" w:rsidRPr="00C24886">
              <w:rPr>
                <w:rFonts w:asciiTheme="minorHAnsi" w:hAnsiTheme="minorHAnsi" w:cstheme="minorHAnsi"/>
                <w:sz w:val="22"/>
                <w:szCs w:val="22"/>
              </w:rPr>
              <w:t>20</w:t>
            </w:r>
            <w:r w:rsidRPr="00C24886">
              <w:rPr>
                <w:rFonts w:asciiTheme="minorHAnsi" w:hAnsiTheme="minorHAnsi" w:cstheme="minorHAnsi"/>
                <w:sz w:val="22"/>
                <w:szCs w:val="22"/>
              </w:rPr>
              <w:t>am</w:t>
            </w:r>
            <w:r w:rsidR="00C24886" w:rsidRPr="00C24886">
              <w:rPr>
                <w:rFonts w:asciiTheme="minorHAnsi" w:hAnsiTheme="minorHAnsi" w:cstheme="minorHAnsi"/>
                <w:sz w:val="22"/>
                <w:szCs w:val="22"/>
              </w:rPr>
              <w:t>- 11.35am</w:t>
            </w:r>
          </w:p>
        </w:tc>
      </w:tr>
      <w:tr w:rsidR="00386106" w:rsidRPr="0040517D" w:rsidTr="00630BC4">
        <w:trPr>
          <w:trHeight w:val="80"/>
        </w:trPr>
        <w:tc>
          <w:tcPr>
            <w:tcW w:w="4415" w:type="dxa"/>
            <w:tcBorders>
              <w:top w:val="single" w:sz="4" w:space="0" w:color="auto"/>
              <w:left w:val="single" w:sz="4" w:space="0" w:color="auto"/>
              <w:bottom w:val="single" w:sz="4" w:space="0" w:color="auto"/>
              <w:right w:val="single" w:sz="4" w:space="0" w:color="auto"/>
            </w:tcBorders>
          </w:tcPr>
          <w:p w:rsidR="00386106" w:rsidRPr="00C24886" w:rsidRDefault="00386106" w:rsidP="00630BC4">
            <w:pPr>
              <w:pStyle w:val="Default"/>
              <w:rPr>
                <w:rFonts w:asciiTheme="minorHAnsi" w:hAnsiTheme="minorHAnsi" w:cstheme="minorHAnsi"/>
                <w:sz w:val="22"/>
                <w:szCs w:val="22"/>
              </w:rPr>
            </w:pPr>
            <w:r w:rsidRPr="00C24886">
              <w:rPr>
                <w:rFonts w:asciiTheme="minorHAnsi" w:hAnsiTheme="minorHAnsi" w:cstheme="minorHAnsi"/>
                <w:sz w:val="22"/>
                <w:szCs w:val="22"/>
              </w:rPr>
              <w:t xml:space="preserve">Location </w:t>
            </w:r>
          </w:p>
        </w:tc>
        <w:tc>
          <w:tcPr>
            <w:tcW w:w="4415" w:type="dxa"/>
            <w:gridSpan w:val="2"/>
            <w:tcBorders>
              <w:top w:val="single" w:sz="4" w:space="0" w:color="auto"/>
              <w:left w:val="single" w:sz="4" w:space="0" w:color="auto"/>
              <w:bottom w:val="single" w:sz="4" w:space="0" w:color="auto"/>
              <w:right w:val="single" w:sz="4" w:space="0" w:color="auto"/>
            </w:tcBorders>
          </w:tcPr>
          <w:p w:rsidR="00386106" w:rsidRPr="00C24886" w:rsidRDefault="00386106" w:rsidP="00C24886">
            <w:pPr>
              <w:pStyle w:val="Default"/>
              <w:rPr>
                <w:rFonts w:asciiTheme="minorHAnsi" w:hAnsiTheme="minorHAnsi" w:cstheme="minorHAnsi"/>
                <w:sz w:val="22"/>
                <w:szCs w:val="22"/>
              </w:rPr>
            </w:pPr>
            <w:r w:rsidRPr="00C24886">
              <w:rPr>
                <w:rFonts w:asciiTheme="minorHAnsi" w:hAnsiTheme="minorHAnsi" w:cstheme="minorHAnsi"/>
                <w:sz w:val="22"/>
                <w:szCs w:val="22"/>
              </w:rPr>
              <w:t xml:space="preserve">Melbourne, via VCU with Sydney, Brisbane, Adelaide, Canberra </w:t>
            </w:r>
          </w:p>
        </w:tc>
      </w:tr>
    </w:tbl>
    <w:p w:rsidR="00386106" w:rsidRPr="0040517D" w:rsidRDefault="00386106" w:rsidP="00386106">
      <w:pPr>
        <w:pStyle w:val="Default"/>
        <w:rPr>
          <w:rFonts w:asciiTheme="minorHAnsi" w:hAnsiTheme="minorHAnsi" w:cstheme="minorHAnsi"/>
          <w:sz w:val="22"/>
          <w:szCs w:val="22"/>
        </w:rPr>
      </w:pPr>
    </w:p>
    <w:p w:rsidR="00386106" w:rsidRPr="0040517D" w:rsidRDefault="00386106" w:rsidP="00386106">
      <w:pPr>
        <w:pStyle w:val="Default"/>
        <w:spacing w:before="120" w:after="120"/>
        <w:rPr>
          <w:rFonts w:asciiTheme="minorHAnsi" w:hAnsiTheme="minorHAnsi" w:cstheme="minorHAnsi"/>
          <w:sz w:val="22"/>
          <w:szCs w:val="22"/>
        </w:rPr>
      </w:pPr>
      <w:r w:rsidRPr="0040517D">
        <w:rPr>
          <w:rFonts w:asciiTheme="minorHAnsi" w:hAnsiTheme="minorHAnsi" w:cstheme="minorHAnsi"/>
          <w:b/>
          <w:bCs/>
          <w:sz w:val="22"/>
          <w:szCs w:val="22"/>
        </w:rPr>
        <w:t xml:space="preserve">Chair </w:t>
      </w:r>
    </w:p>
    <w:p w:rsidR="00386106" w:rsidRDefault="00386106" w:rsidP="00386106">
      <w:pPr>
        <w:pStyle w:val="Default"/>
        <w:spacing w:before="120" w:after="120"/>
        <w:rPr>
          <w:rFonts w:asciiTheme="minorHAnsi" w:hAnsiTheme="minorHAnsi" w:cstheme="minorHAnsi"/>
          <w:sz w:val="22"/>
          <w:szCs w:val="22"/>
        </w:rPr>
      </w:pPr>
      <w:r>
        <w:rPr>
          <w:rFonts w:asciiTheme="minorHAnsi" w:hAnsiTheme="minorHAnsi" w:cstheme="minorHAnsi"/>
          <w:sz w:val="22"/>
          <w:szCs w:val="22"/>
        </w:rPr>
        <w:t>Sarah Proudfoot</w:t>
      </w:r>
      <w:r w:rsidR="00B4608F">
        <w:rPr>
          <w:rFonts w:asciiTheme="minorHAnsi" w:hAnsiTheme="minorHAnsi" w:cstheme="minorHAnsi"/>
          <w:sz w:val="22"/>
          <w:szCs w:val="22"/>
        </w:rPr>
        <w:t xml:space="preserve"> (SP)</w:t>
      </w:r>
      <w:r>
        <w:rPr>
          <w:rFonts w:asciiTheme="minorHAnsi" w:hAnsiTheme="minorHAnsi" w:cstheme="minorHAnsi"/>
          <w:sz w:val="22"/>
          <w:szCs w:val="22"/>
        </w:rPr>
        <w:t>, General Manager Retail Markets branch, introduced the forum and chaired the meeting.</w:t>
      </w:r>
      <w:r w:rsidR="001C3F93">
        <w:rPr>
          <w:rFonts w:asciiTheme="minorHAnsi" w:hAnsiTheme="minorHAnsi" w:cstheme="minorHAnsi"/>
          <w:sz w:val="22"/>
          <w:szCs w:val="22"/>
        </w:rPr>
        <w:t xml:space="preserve"> SP </w:t>
      </w:r>
      <w:r w:rsidR="00771932">
        <w:rPr>
          <w:rFonts w:asciiTheme="minorHAnsi" w:hAnsiTheme="minorHAnsi" w:cstheme="minorHAnsi"/>
          <w:sz w:val="22"/>
          <w:szCs w:val="22"/>
        </w:rPr>
        <w:t xml:space="preserve">noted the </w:t>
      </w:r>
      <w:r w:rsidR="001C3F93">
        <w:rPr>
          <w:rFonts w:asciiTheme="minorHAnsi" w:hAnsiTheme="minorHAnsi" w:cstheme="minorHAnsi"/>
          <w:sz w:val="22"/>
          <w:szCs w:val="22"/>
        </w:rPr>
        <w:t>AER arrang</w:t>
      </w:r>
      <w:r w:rsidR="00771932">
        <w:rPr>
          <w:rFonts w:asciiTheme="minorHAnsi" w:hAnsiTheme="minorHAnsi" w:cstheme="minorHAnsi"/>
          <w:sz w:val="22"/>
          <w:szCs w:val="22"/>
        </w:rPr>
        <w:t>ed</w:t>
      </w:r>
      <w:r w:rsidR="001C3F93">
        <w:rPr>
          <w:rFonts w:asciiTheme="minorHAnsi" w:hAnsiTheme="minorHAnsi" w:cstheme="minorHAnsi"/>
          <w:sz w:val="22"/>
          <w:szCs w:val="22"/>
        </w:rPr>
        <w:t xml:space="preserve"> the forum </w:t>
      </w:r>
      <w:r w:rsidR="00771932">
        <w:rPr>
          <w:rFonts w:asciiTheme="minorHAnsi" w:hAnsiTheme="minorHAnsi" w:cstheme="minorHAnsi"/>
          <w:sz w:val="22"/>
          <w:szCs w:val="22"/>
        </w:rPr>
        <w:t>to further inform its thinking around the appropriate amount for the minimum disconnection threshold. SP also noted the submissions received in the first round of consultation proposing an increase to the amount provided a greater level of supporting evidence than those proposing to retain the current amount. SP noted the AER would take into account discussion at the forum as well as any</w:t>
      </w:r>
      <w:r w:rsidR="001C3F93">
        <w:rPr>
          <w:rFonts w:asciiTheme="minorHAnsi" w:hAnsiTheme="minorHAnsi" w:cstheme="minorHAnsi"/>
          <w:sz w:val="22"/>
          <w:szCs w:val="22"/>
        </w:rPr>
        <w:t xml:space="preserve"> further submissions </w:t>
      </w:r>
      <w:r w:rsidR="00771932">
        <w:rPr>
          <w:rFonts w:asciiTheme="minorHAnsi" w:hAnsiTheme="minorHAnsi" w:cstheme="minorHAnsi"/>
          <w:sz w:val="22"/>
          <w:szCs w:val="22"/>
        </w:rPr>
        <w:t xml:space="preserve">in reaching a final decision on </w:t>
      </w:r>
      <w:r w:rsidR="001C3F93">
        <w:rPr>
          <w:rFonts w:asciiTheme="minorHAnsi" w:hAnsiTheme="minorHAnsi" w:cstheme="minorHAnsi"/>
          <w:sz w:val="22"/>
          <w:szCs w:val="22"/>
        </w:rPr>
        <w:t>the Minimum Disconnection amount</w:t>
      </w:r>
      <w:r w:rsidR="008337E3">
        <w:rPr>
          <w:rFonts w:asciiTheme="minorHAnsi" w:hAnsiTheme="minorHAnsi" w:cstheme="minorHAnsi"/>
          <w:sz w:val="22"/>
          <w:szCs w:val="22"/>
        </w:rPr>
        <w:t xml:space="preserve"> (the </w:t>
      </w:r>
      <w:r w:rsidR="008337E3" w:rsidRPr="006A2EDC">
        <w:rPr>
          <w:rFonts w:asciiTheme="minorHAnsi" w:hAnsiTheme="minorHAnsi" w:cstheme="minorHAnsi"/>
          <w:b/>
          <w:sz w:val="22"/>
          <w:szCs w:val="22"/>
        </w:rPr>
        <w:t>amount</w:t>
      </w:r>
      <w:r w:rsidR="008337E3">
        <w:rPr>
          <w:rFonts w:asciiTheme="minorHAnsi" w:hAnsiTheme="minorHAnsi" w:cstheme="minorHAnsi"/>
          <w:sz w:val="22"/>
          <w:szCs w:val="22"/>
        </w:rPr>
        <w:t>)</w:t>
      </w:r>
      <w:r w:rsidR="001C3F93">
        <w:rPr>
          <w:rFonts w:asciiTheme="minorHAnsi" w:hAnsiTheme="minorHAnsi" w:cstheme="minorHAnsi"/>
          <w:sz w:val="22"/>
          <w:szCs w:val="22"/>
        </w:rPr>
        <w:t xml:space="preserve">.  </w:t>
      </w:r>
    </w:p>
    <w:p w:rsidR="00B135A1" w:rsidRPr="0038410F" w:rsidRDefault="00B135A1" w:rsidP="00C83816">
      <w:pPr>
        <w:pStyle w:val="ListParagraph"/>
        <w:numPr>
          <w:ilvl w:val="0"/>
          <w:numId w:val="1"/>
        </w:numPr>
        <w:spacing w:before="240" w:after="120"/>
        <w:ind w:left="425" w:hanging="425"/>
        <w:contextualSpacing w:val="0"/>
        <w:rPr>
          <w:b/>
        </w:rPr>
      </w:pPr>
      <w:r w:rsidRPr="0038410F">
        <w:rPr>
          <w:b/>
        </w:rPr>
        <w:t>Presentation</w:t>
      </w:r>
      <w:r w:rsidR="0038410F" w:rsidRPr="0038410F">
        <w:rPr>
          <w:b/>
        </w:rPr>
        <w:t>s</w:t>
      </w:r>
      <w:r w:rsidRPr="0038410F">
        <w:rPr>
          <w:b/>
        </w:rPr>
        <w:t xml:space="preserve"> </w:t>
      </w:r>
    </w:p>
    <w:p w:rsidR="003D1FE8" w:rsidRDefault="0038410F" w:rsidP="00C95616">
      <w:pPr>
        <w:pStyle w:val="ListParagraph"/>
        <w:numPr>
          <w:ilvl w:val="1"/>
          <w:numId w:val="1"/>
        </w:numPr>
        <w:spacing w:before="120" w:after="120"/>
        <w:ind w:left="709" w:hanging="283"/>
        <w:contextualSpacing w:val="0"/>
      </w:pPr>
      <w:r>
        <w:t>Eva Wong</w:t>
      </w:r>
      <w:r w:rsidR="00B4608F">
        <w:t xml:space="preserve"> (EW)</w:t>
      </w:r>
      <w:r>
        <w:t xml:space="preserve">, AER Compliance and Enforcement team, </w:t>
      </w:r>
      <w:r w:rsidR="00771932">
        <w:t>outlined</w:t>
      </w:r>
      <w:r w:rsidR="00A94F50">
        <w:t xml:space="preserve"> </w:t>
      </w:r>
      <w:r>
        <w:t xml:space="preserve">Division 6 of the Retail Rules </w:t>
      </w:r>
      <w:r w:rsidR="00B12C7B">
        <w:t xml:space="preserve">(Rules) </w:t>
      </w:r>
      <w:r>
        <w:t>and provided an overview of how the AER sees rule 116(1)(g) (minimum disconnection) relating to the other prohibitions on disconnecting a customer.</w:t>
      </w:r>
      <w:r w:rsidR="00C649F3">
        <w:t xml:space="preserve"> </w:t>
      </w:r>
    </w:p>
    <w:p w:rsidR="0038410F" w:rsidRDefault="00C649F3" w:rsidP="003D1FE8">
      <w:pPr>
        <w:pStyle w:val="ListParagraph"/>
        <w:spacing w:before="120" w:after="120"/>
        <w:ind w:left="709"/>
        <w:contextualSpacing w:val="0"/>
      </w:pPr>
      <w:r>
        <w:t xml:space="preserve">EW clarified that rule 116(1)(g) </w:t>
      </w:r>
      <w:r w:rsidR="00771932">
        <w:t xml:space="preserve">is not an absolute prohibition on </w:t>
      </w:r>
      <w:r>
        <w:t>retailers initiating the disconnection process</w:t>
      </w:r>
      <w:r w:rsidR="00516FE1">
        <w:t xml:space="preserve"> even if the customer owes less than the amount. She ran through the AER’s views on how this provision interacts with the other provisions under rule 116 and noted the AER is planning to consult on its Compliance Guideline under which a breach of rule 116(1)(g) is currently reportable on a quarterly basis</w:t>
      </w:r>
      <w:r w:rsidR="00771932">
        <w:t>. Current reporting requirements are likely to be retained on 116(1)(g).</w:t>
      </w:r>
      <w:r w:rsidR="0038410F">
        <w:t xml:space="preserve"> </w:t>
      </w:r>
    </w:p>
    <w:p w:rsidR="00C95616" w:rsidRDefault="00C95616" w:rsidP="00C95616">
      <w:pPr>
        <w:pStyle w:val="ListParagraph"/>
        <w:numPr>
          <w:ilvl w:val="1"/>
          <w:numId w:val="1"/>
        </w:numPr>
        <w:spacing w:before="120" w:after="120"/>
        <w:ind w:left="709" w:hanging="283"/>
        <w:contextualSpacing w:val="0"/>
      </w:pPr>
      <w:r>
        <w:t>J</w:t>
      </w:r>
      <w:r w:rsidR="0038410F">
        <w:t>ane Leung</w:t>
      </w:r>
      <w:r w:rsidR="00B4608F">
        <w:t xml:space="preserve"> (JL)</w:t>
      </w:r>
      <w:r w:rsidR="0038410F">
        <w:t>, P</w:t>
      </w:r>
      <w:r w:rsidR="00DE751A">
        <w:t>ublic Interest Advocacy Centre (P</w:t>
      </w:r>
      <w:r w:rsidR="0038410F">
        <w:t>IAC</w:t>
      </w:r>
      <w:r w:rsidR="00DE751A">
        <w:t>)</w:t>
      </w:r>
      <w:r w:rsidR="0038410F">
        <w:t xml:space="preserve">, </w:t>
      </w:r>
      <w:r w:rsidR="00771932">
        <w:t>explained</w:t>
      </w:r>
      <w:r w:rsidR="0038410F">
        <w:t xml:space="preserve"> PIAC’s reasons for submitting the amount should be increased to $520. </w:t>
      </w:r>
      <w:r>
        <w:t xml:space="preserve">PIAC agrees with the AER’s view that a customer should </w:t>
      </w:r>
      <w:r w:rsidR="00C24886">
        <w:t xml:space="preserve">not </w:t>
      </w:r>
      <w:r>
        <w:t xml:space="preserve">be </w:t>
      </w:r>
      <w:r w:rsidR="00C24886">
        <w:t>disconnect</w:t>
      </w:r>
      <w:r>
        <w:t>ed</w:t>
      </w:r>
      <w:r w:rsidR="00C24886">
        <w:t xml:space="preserve"> for less than one quarterly bill amount. </w:t>
      </w:r>
      <w:r>
        <w:t>JL r</w:t>
      </w:r>
      <w:r w:rsidR="00C24886">
        <w:t>eferred to Attachment B</w:t>
      </w:r>
      <w:r>
        <w:t xml:space="preserve"> of the AER’s letter of 24 August and noted that prices across all National Energy Retail Law </w:t>
      </w:r>
      <w:r w:rsidR="00493825">
        <w:t xml:space="preserve">(NERL) </w:t>
      </w:r>
      <w:r>
        <w:t>jurisdictions for quarterly bills were above $300</w:t>
      </w:r>
      <w:r w:rsidR="00C24886">
        <w:t xml:space="preserve">. </w:t>
      </w:r>
      <w:r>
        <w:t xml:space="preserve">JL also noted to PIAC’s review of </w:t>
      </w:r>
      <w:r w:rsidR="00C24886">
        <w:t xml:space="preserve">retail performance data </w:t>
      </w:r>
      <w:r w:rsidRPr="0027796D">
        <w:t xml:space="preserve">which indicated quarterly </w:t>
      </w:r>
      <w:r w:rsidR="00C24886" w:rsidRPr="0027796D">
        <w:t>bill</w:t>
      </w:r>
      <w:r w:rsidRPr="0027796D">
        <w:t>s</w:t>
      </w:r>
      <w:r w:rsidR="00C24886" w:rsidRPr="0027796D">
        <w:t xml:space="preserve"> range from </w:t>
      </w:r>
      <w:r w:rsidRPr="0027796D">
        <w:t>$</w:t>
      </w:r>
      <w:r w:rsidR="00625706" w:rsidRPr="0027796D">
        <w:t>3</w:t>
      </w:r>
      <w:r w:rsidR="00625706">
        <w:t>47</w:t>
      </w:r>
      <w:r w:rsidR="00C24886" w:rsidRPr="0027796D">
        <w:t>-</w:t>
      </w:r>
      <w:r w:rsidRPr="0027796D">
        <w:t>$</w:t>
      </w:r>
      <w:r w:rsidR="00C24886" w:rsidRPr="0027796D">
        <w:t xml:space="preserve">513 in </w:t>
      </w:r>
      <w:r w:rsidRPr="0027796D">
        <w:t xml:space="preserve">the </w:t>
      </w:r>
      <w:r w:rsidR="00C24886" w:rsidRPr="0027796D">
        <w:t>NSW distribution areas. Endeavour</w:t>
      </w:r>
      <w:r w:rsidR="000A0170">
        <w:t xml:space="preserve"> </w:t>
      </w:r>
      <w:r w:rsidR="00B12C7B">
        <w:t>Energy</w:t>
      </w:r>
      <w:r w:rsidRPr="0027796D">
        <w:t>’s distribution zone has the highest bills for a range of reasons</w:t>
      </w:r>
      <w:r w:rsidR="00C24886" w:rsidRPr="0027796D">
        <w:t xml:space="preserve">. </w:t>
      </w:r>
      <w:r w:rsidRPr="0027796D">
        <w:t xml:space="preserve">She noted that recent </w:t>
      </w:r>
      <w:r w:rsidR="00C24886" w:rsidRPr="0027796D">
        <w:t>St Vin</w:t>
      </w:r>
      <w:r w:rsidR="00AF2053">
        <w:t>cent de Paul</w:t>
      </w:r>
      <w:r w:rsidR="00C24886" w:rsidRPr="0027796D">
        <w:t xml:space="preserve"> research on </w:t>
      </w:r>
      <w:r w:rsidRPr="0027796D">
        <w:t xml:space="preserve">disconnections in </w:t>
      </w:r>
      <w:r w:rsidR="00C24886" w:rsidRPr="0027796D">
        <w:t>NSW</w:t>
      </w:r>
      <w:r w:rsidRPr="0027796D">
        <w:t xml:space="preserve"> </w:t>
      </w:r>
      <w:r w:rsidR="00AF2053">
        <w:t xml:space="preserve">also pointed to </w:t>
      </w:r>
      <w:r w:rsidRPr="0027796D">
        <w:t>high disconnection</w:t>
      </w:r>
      <w:r w:rsidR="00AF2053">
        <w:t xml:space="preserve"> levels in rural areas such as</w:t>
      </w:r>
      <w:r w:rsidRPr="0027796D">
        <w:t xml:space="preserve"> Endeavour</w:t>
      </w:r>
      <w:r w:rsidR="00B12C7B">
        <w:t xml:space="preserve"> Energy</w:t>
      </w:r>
      <w:r w:rsidRPr="0027796D">
        <w:t>’s</w:t>
      </w:r>
      <w:r>
        <w:t xml:space="preserve"> distribution zone</w:t>
      </w:r>
      <w:r w:rsidR="00C24886">
        <w:t xml:space="preserve">. </w:t>
      </w:r>
    </w:p>
    <w:p w:rsidR="00BC5AF7" w:rsidRDefault="00AF2053" w:rsidP="00C95616">
      <w:pPr>
        <w:pStyle w:val="ListParagraph"/>
        <w:spacing w:before="120" w:after="120"/>
        <w:ind w:left="709"/>
        <w:contextualSpacing w:val="0"/>
      </w:pPr>
      <w:r>
        <w:t>PIAC considers</w:t>
      </w:r>
      <w:r w:rsidR="00C95616">
        <w:t xml:space="preserve"> $3</w:t>
      </w:r>
      <w:r w:rsidR="00C24886">
        <w:t xml:space="preserve">00 is not effective </w:t>
      </w:r>
      <w:r w:rsidR="00C70D2A">
        <w:t xml:space="preserve">customer </w:t>
      </w:r>
      <w:r w:rsidR="00C24886">
        <w:t xml:space="preserve">protection against disconnection. </w:t>
      </w:r>
      <w:r w:rsidR="00C95616">
        <w:t xml:space="preserve">The figure no longer </w:t>
      </w:r>
      <w:r w:rsidR="00C24886">
        <w:t xml:space="preserve">aligns with </w:t>
      </w:r>
      <w:r w:rsidR="00C95616">
        <w:t xml:space="preserve">the AER’s </w:t>
      </w:r>
      <w:r w:rsidR="00C24886">
        <w:t xml:space="preserve">principle of </w:t>
      </w:r>
      <w:r w:rsidR="00C95616">
        <w:t xml:space="preserve">the amount </w:t>
      </w:r>
      <w:r w:rsidR="00C24886">
        <w:t xml:space="preserve">not </w:t>
      </w:r>
      <w:r w:rsidR="00C95616">
        <w:t xml:space="preserve">being </w:t>
      </w:r>
      <w:r w:rsidR="00C24886">
        <w:t xml:space="preserve">less than </w:t>
      </w:r>
      <w:r w:rsidR="00C95616">
        <w:t xml:space="preserve">a </w:t>
      </w:r>
      <w:r w:rsidR="00C24886">
        <w:t xml:space="preserve">quarterly bill. </w:t>
      </w:r>
      <w:r w:rsidR="00C95616">
        <w:t>PIAC t</w:t>
      </w:r>
      <w:r w:rsidR="00C24886">
        <w:t>hink</w:t>
      </w:r>
      <w:r w:rsidR="00C95616">
        <w:t>s</w:t>
      </w:r>
      <w:r w:rsidR="00C24886">
        <w:t xml:space="preserve"> </w:t>
      </w:r>
      <w:r w:rsidR="00C95616">
        <w:t xml:space="preserve">the amount </w:t>
      </w:r>
      <w:r w:rsidR="00C24886">
        <w:t xml:space="preserve">should </w:t>
      </w:r>
      <w:r w:rsidR="00C95616">
        <w:t xml:space="preserve">be set at </w:t>
      </w:r>
      <w:r w:rsidR="00C24886">
        <w:t xml:space="preserve">$520 because </w:t>
      </w:r>
      <w:r w:rsidR="00BC5AF7">
        <w:t xml:space="preserve">average quarterly bill rates </w:t>
      </w:r>
      <w:r w:rsidR="008F5B2B">
        <w:t>are</w:t>
      </w:r>
      <w:r w:rsidR="00BC5AF7">
        <w:t xml:space="preserve"> higher across the NERL and it would </w:t>
      </w:r>
      <w:r w:rsidR="008F5B2B">
        <w:t xml:space="preserve">extend </w:t>
      </w:r>
      <w:r w:rsidR="00C24886">
        <w:t>protect</w:t>
      </w:r>
      <w:r w:rsidR="008F5B2B">
        <w:t>ions</w:t>
      </w:r>
      <w:r w:rsidR="00C24886">
        <w:t xml:space="preserve"> </w:t>
      </w:r>
      <w:r w:rsidR="008F5B2B">
        <w:t xml:space="preserve">beyond the most </w:t>
      </w:r>
      <w:r w:rsidR="00C24886">
        <w:t xml:space="preserve">vulnerable. </w:t>
      </w:r>
      <w:r w:rsidR="00BC5AF7">
        <w:t xml:space="preserve">All of this is in the context of </w:t>
      </w:r>
      <w:r w:rsidR="00C24886">
        <w:t xml:space="preserve">the continuing high </w:t>
      </w:r>
      <w:r w:rsidR="00BC5AF7">
        <w:t>rates of disconnection and increasing</w:t>
      </w:r>
      <w:r w:rsidR="00C24886">
        <w:t xml:space="preserve"> number</w:t>
      </w:r>
      <w:r w:rsidR="00BC5AF7">
        <w:t>s</w:t>
      </w:r>
      <w:r w:rsidR="00C24886">
        <w:t xml:space="preserve"> of </w:t>
      </w:r>
      <w:r w:rsidR="00BC5AF7">
        <w:t xml:space="preserve">customers on </w:t>
      </w:r>
      <w:r w:rsidR="00C24886">
        <w:t xml:space="preserve">hardship plans. </w:t>
      </w:r>
      <w:r w:rsidR="00BC5AF7">
        <w:t>It p</w:t>
      </w:r>
      <w:r w:rsidR="00C24886">
        <w:t xml:space="preserve">aints </w:t>
      </w:r>
      <w:r w:rsidR="00BC5AF7">
        <w:t xml:space="preserve">a </w:t>
      </w:r>
      <w:r w:rsidR="00C24886">
        <w:t xml:space="preserve">picture of affordability being </w:t>
      </w:r>
      <w:r w:rsidR="00BC5AF7">
        <w:t xml:space="preserve">a </w:t>
      </w:r>
      <w:r w:rsidR="00C24886">
        <w:t xml:space="preserve">critical issue for consumers. </w:t>
      </w:r>
    </w:p>
    <w:p w:rsidR="00C24886" w:rsidRDefault="00C24886" w:rsidP="00C95616">
      <w:pPr>
        <w:pStyle w:val="ListParagraph"/>
        <w:spacing w:before="120" w:after="120"/>
        <w:ind w:left="709"/>
        <w:contextualSpacing w:val="0"/>
      </w:pPr>
      <w:r>
        <w:lastRenderedPageBreak/>
        <w:t xml:space="preserve">PIAC considers </w:t>
      </w:r>
      <w:r w:rsidR="00BC5AF7">
        <w:t xml:space="preserve">a customer should only be </w:t>
      </w:r>
      <w:r>
        <w:t xml:space="preserve">disconnected as a last resort and shouldn’t be disconnected because </w:t>
      </w:r>
      <w:r w:rsidR="00BC5AF7">
        <w:t xml:space="preserve">they can’t pay. PIAC also acknowledges that an </w:t>
      </w:r>
      <w:r>
        <w:t xml:space="preserve">increase </w:t>
      </w:r>
      <w:r w:rsidR="00BC5AF7">
        <w:t xml:space="preserve">to the </w:t>
      </w:r>
      <w:r>
        <w:t xml:space="preserve">amount could result in customers having unmanageable levels of debt. </w:t>
      </w:r>
      <w:r w:rsidR="00BC5AF7">
        <w:t>It r</w:t>
      </w:r>
      <w:r>
        <w:t>ecognise</w:t>
      </w:r>
      <w:r w:rsidR="00BC5AF7">
        <w:t>s</w:t>
      </w:r>
      <w:r>
        <w:t xml:space="preserve"> the need to balance both. </w:t>
      </w:r>
      <w:r w:rsidR="00BC5AF7">
        <w:t xml:space="preserve">JL noted the </w:t>
      </w:r>
      <w:r>
        <w:t>S</w:t>
      </w:r>
      <w:r w:rsidR="00BC5AF7">
        <w:t xml:space="preserve">ustainable payment plans (SPP) </w:t>
      </w:r>
      <w:r>
        <w:t xml:space="preserve">framework and hardship framework incentivises retailers </w:t>
      </w:r>
      <w:r w:rsidR="00BC5AF7">
        <w:t xml:space="preserve">to </w:t>
      </w:r>
      <w:r>
        <w:t xml:space="preserve">manage </w:t>
      </w:r>
      <w:r w:rsidR="00BC5AF7">
        <w:t xml:space="preserve">customer debt </w:t>
      </w:r>
      <w:r>
        <w:t xml:space="preserve">early and well. Customers with payment difficulties need </w:t>
      </w:r>
      <w:r w:rsidR="00C70D2A">
        <w:t>assistance not disconnection action</w:t>
      </w:r>
      <w:r>
        <w:t xml:space="preserve">. </w:t>
      </w:r>
    </w:p>
    <w:p w:rsidR="007A482A" w:rsidRDefault="0038410F" w:rsidP="00BC5AF7">
      <w:pPr>
        <w:pStyle w:val="ListParagraph"/>
        <w:numPr>
          <w:ilvl w:val="1"/>
          <w:numId w:val="1"/>
        </w:numPr>
        <w:spacing w:before="120" w:after="120"/>
        <w:ind w:left="709" w:hanging="283"/>
        <w:contextualSpacing w:val="0"/>
      </w:pPr>
      <w:r>
        <w:t xml:space="preserve">Panos </w:t>
      </w:r>
      <w:r w:rsidR="00BC5AF7">
        <w:t>Priftakis</w:t>
      </w:r>
      <w:r w:rsidR="00B4608F">
        <w:t xml:space="preserve"> (PP)</w:t>
      </w:r>
      <w:r>
        <w:t xml:space="preserve">, </w:t>
      </w:r>
      <w:r w:rsidR="00DE751A">
        <w:t>Australian Energy Council (</w:t>
      </w:r>
      <w:r>
        <w:t>AEC</w:t>
      </w:r>
      <w:r w:rsidR="00DE751A">
        <w:t>)</w:t>
      </w:r>
      <w:r>
        <w:t xml:space="preserve">, </w:t>
      </w:r>
      <w:r w:rsidR="00BC5AF7">
        <w:t xml:space="preserve">gave a presentation </w:t>
      </w:r>
      <w:r>
        <w:t>on the submission the AEC will provide</w:t>
      </w:r>
      <w:r w:rsidR="00BC5AF7">
        <w:t xml:space="preserve">. </w:t>
      </w:r>
      <w:r w:rsidR="0067082B">
        <w:t xml:space="preserve">The AEC represents 21 retail and wholesale energy companies.  </w:t>
      </w:r>
      <w:r w:rsidR="00C83816">
        <w:t>PP </w:t>
      </w:r>
      <w:r w:rsidR="00BC5AF7">
        <w:t xml:space="preserve">noted </w:t>
      </w:r>
      <w:r w:rsidR="00D816C9">
        <w:t xml:space="preserve">the amount is just one element of </w:t>
      </w:r>
      <w:r w:rsidR="007A482A">
        <w:t>a range of protections</w:t>
      </w:r>
      <w:r w:rsidR="00BC5AF7">
        <w:t xml:space="preserve"> for customers </w:t>
      </w:r>
      <w:r w:rsidR="0067082B">
        <w:t xml:space="preserve">both mandatory and voluntary, </w:t>
      </w:r>
      <w:r w:rsidR="00BC5AF7">
        <w:t>and AEC is</w:t>
      </w:r>
      <w:r w:rsidR="007A482A">
        <w:t xml:space="preserve"> </w:t>
      </w:r>
      <w:r w:rsidR="00BC5AF7">
        <w:t>c</w:t>
      </w:r>
      <w:r w:rsidR="007A482A">
        <w:t xml:space="preserve">oncerned </w:t>
      </w:r>
      <w:r w:rsidR="00BC5AF7">
        <w:t xml:space="preserve">that </w:t>
      </w:r>
      <w:r w:rsidR="007A482A">
        <w:t xml:space="preserve">if </w:t>
      </w:r>
      <w:r w:rsidR="00BC5AF7">
        <w:t xml:space="preserve">the </w:t>
      </w:r>
      <w:r w:rsidR="007A482A">
        <w:t xml:space="preserve">amount </w:t>
      </w:r>
      <w:r w:rsidR="00BC5AF7">
        <w:t xml:space="preserve">is </w:t>
      </w:r>
      <w:r w:rsidR="007A482A">
        <w:t>increased it could lead to worse debt</w:t>
      </w:r>
      <w:r w:rsidR="00BC5AF7">
        <w:t xml:space="preserve"> for customers</w:t>
      </w:r>
      <w:r w:rsidR="007A482A">
        <w:t xml:space="preserve">. </w:t>
      </w:r>
      <w:r w:rsidR="00BC5AF7">
        <w:t>He referred to an example in AEC’s first submission</w:t>
      </w:r>
      <w:r w:rsidR="00D816C9">
        <w:t xml:space="preserve"> and agreed that disconnection should be a last resort for retailers</w:t>
      </w:r>
      <w:r w:rsidR="00BC5AF7">
        <w:t xml:space="preserve">. PP noted that AEC </w:t>
      </w:r>
      <w:r w:rsidR="007A482A">
        <w:t xml:space="preserve">will provide data in </w:t>
      </w:r>
      <w:r w:rsidR="00BC5AF7">
        <w:t xml:space="preserve">its </w:t>
      </w:r>
      <w:r w:rsidR="007A482A">
        <w:t>second submission</w:t>
      </w:r>
      <w:r w:rsidR="00BC5AF7">
        <w:t xml:space="preserve"> and will </w:t>
      </w:r>
      <w:r w:rsidR="007A482A">
        <w:t xml:space="preserve">also provide </w:t>
      </w:r>
      <w:r w:rsidR="00BC5AF7">
        <w:t xml:space="preserve">evidence of </w:t>
      </w:r>
      <w:r w:rsidR="00BC5AF7" w:rsidRPr="00DE751A">
        <w:t xml:space="preserve">the </w:t>
      </w:r>
      <w:r w:rsidR="007A482A" w:rsidRPr="00DE751A">
        <w:t>risk under the threshold</w:t>
      </w:r>
      <w:r w:rsidR="00BC5AF7" w:rsidRPr="00DE751A">
        <w:t>.</w:t>
      </w:r>
      <w:r w:rsidR="00BC5AF7">
        <w:t xml:space="preserve"> AEC’s submission would cover a number of other issues including how the amount affects small customers</w:t>
      </w:r>
      <w:r w:rsidR="007A482A">
        <w:t xml:space="preserve">. </w:t>
      </w:r>
      <w:r w:rsidR="00BC5AF7">
        <w:t xml:space="preserve">The AEC doesn’t </w:t>
      </w:r>
      <w:r w:rsidR="007A482A">
        <w:t xml:space="preserve">believe there is compelling evidence to increase. </w:t>
      </w:r>
    </w:p>
    <w:p w:rsidR="007A482A" w:rsidRDefault="007A482A" w:rsidP="00C83816">
      <w:pPr>
        <w:pStyle w:val="ListParagraph"/>
        <w:numPr>
          <w:ilvl w:val="0"/>
          <w:numId w:val="1"/>
        </w:numPr>
        <w:spacing w:before="240" w:after="120"/>
        <w:ind w:left="425" w:hanging="425"/>
        <w:contextualSpacing w:val="0"/>
        <w:rPr>
          <w:b/>
        </w:rPr>
      </w:pPr>
      <w:r w:rsidRPr="0038410F">
        <w:rPr>
          <w:b/>
        </w:rPr>
        <w:t>Introductions</w:t>
      </w:r>
      <w:r w:rsidR="00405607" w:rsidRPr="0038410F">
        <w:rPr>
          <w:b/>
        </w:rPr>
        <w:t xml:space="preserve"> around the offices </w:t>
      </w:r>
    </w:p>
    <w:p w:rsidR="0038410F" w:rsidRDefault="006A2EDC" w:rsidP="00C95616">
      <w:pPr>
        <w:spacing w:before="120" w:after="120"/>
      </w:pPr>
      <w:r>
        <w:t>Attendees in each office introduced themselves and the organisation they represented</w:t>
      </w:r>
    </w:p>
    <w:p w:rsidR="00405607" w:rsidRPr="0038410F" w:rsidRDefault="00405607" w:rsidP="00C83816">
      <w:pPr>
        <w:pStyle w:val="ListParagraph"/>
        <w:numPr>
          <w:ilvl w:val="0"/>
          <w:numId w:val="1"/>
        </w:numPr>
        <w:spacing w:before="240" w:after="120"/>
        <w:ind w:left="425" w:hanging="425"/>
        <w:contextualSpacing w:val="0"/>
        <w:rPr>
          <w:b/>
        </w:rPr>
      </w:pPr>
      <w:r w:rsidRPr="0038410F">
        <w:rPr>
          <w:b/>
        </w:rPr>
        <w:t xml:space="preserve">Open discussion </w:t>
      </w:r>
    </w:p>
    <w:p w:rsidR="00BC5AF7" w:rsidRDefault="00BC5AF7" w:rsidP="00C95616">
      <w:pPr>
        <w:spacing w:before="120" w:after="120"/>
      </w:pPr>
      <w:r>
        <w:t xml:space="preserve">SP opened the forum up to general discussion noting </w:t>
      </w:r>
      <w:r w:rsidR="005C17EF">
        <w:t>the AER was particularly interested in exploring</w:t>
      </w:r>
      <w:r>
        <w:t xml:space="preserve"> impact on retailers, including systems and debt management, if the amount is raised. The AER is also interested in the impact on customers and whether it should in fact raise the amount. </w:t>
      </w:r>
    </w:p>
    <w:p w:rsidR="00366636" w:rsidRPr="00116289" w:rsidRDefault="00366636" w:rsidP="00C83816">
      <w:pPr>
        <w:pStyle w:val="ListParagraph"/>
        <w:numPr>
          <w:ilvl w:val="0"/>
          <w:numId w:val="1"/>
        </w:numPr>
        <w:spacing w:before="240" w:after="120"/>
        <w:ind w:left="425" w:hanging="425"/>
        <w:contextualSpacing w:val="0"/>
        <w:rPr>
          <w:b/>
        </w:rPr>
      </w:pPr>
      <w:r w:rsidRPr="00116289">
        <w:rPr>
          <w:b/>
        </w:rPr>
        <w:t xml:space="preserve">Impacts if </w:t>
      </w:r>
      <w:r>
        <w:rPr>
          <w:b/>
        </w:rPr>
        <w:t xml:space="preserve">the AER </w:t>
      </w:r>
      <w:r w:rsidRPr="00116289">
        <w:rPr>
          <w:b/>
        </w:rPr>
        <w:t>raise</w:t>
      </w:r>
      <w:r>
        <w:rPr>
          <w:b/>
        </w:rPr>
        <w:t>s</w:t>
      </w:r>
      <w:r w:rsidRPr="00116289">
        <w:rPr>
          <w:b/>
        </w:rPr>
        <w:t xml:space="preserve"> the amount </w:t>
      </w:r>
    </w:p>
    <w:p w:rsidR="00DD2707" w:rsidRPr="001058C3" w:rsidRDefault="00405607" w:rsidP="00C95616">
      <w:pPr>
        <w:spacing w:before="120" w:after="120"/>
        <w:rPr>
          <w:i/>
        </w:rPr>
      </w:pPr>
      <w:r w:rsidRPr="001058C3">
        <w:rPr>
          <w:i/>
        </w:rPr>
        <w:t>Ben</w:t>
      </w:r>
      <w:r w:rsidR="00BC5AF7" w:rsidRPr="001058C3">
        <w:rPr>
          <w:i/>
        </w:rPr>
        <w:t xml:space="preserve"> Barnes</w:t>
      </w:r>
      <w:r w:rsidR="00B4608F" w:rsidRPr="001058C3">
        <w:rPr>
          <w:i/>
        </w:rPr>
        <w:t xml:space="preserve"> (BB)</w:t>
      </w:r>
      <w:r w:rsidR="00BC5AF7" w:rsidRPr="001058C3">
        <w:rPr>
          <w:i/>
        </w:rPr>
        <w:t>,</w:t>
      </w:r>
      <w:r w:rsidRPr="001058C3">
        <w:rPr>
          <w:i/>
        </w:rPr>
        <w:t xml:space="preserve"> </w:t>
      </w:r>
      <w:r w:rsidR="00D816C9" w:rsidRPr="001058C3">
        <w:rPr>
          <w:i/>
        </w:rPr>
        <w:t>Red/</w:t>
      </w:r>
      <w:r w:rsidRPr="001058C3">
        <w:rPr>
          <w:i/>
        </w:rPr>
        <w:t>Lumo</w:t>
      </w:r>
      <w:r w:rsidR="00DD2707" w:rsidRPr="001058C3">
        <w:rPr>
          <w:i/>
        </w:rPr>
        <w:t>:</w:t>
      </w:r>
    </w:p>
    <w:p w:rsidR="00BB6ADB" w:rsidRDefault="00BB6ADB" w:rsidP="00C95616">
      <w:pPr>
        <w:spacing w:before="120" w:after="120"/>
      </w:pPr>
      <w:r>
        <w:t>Minimising debt is a key issue</w:t>
      </w:r>
      <w:r w:rsidR="00D928A2">
        <w:t>.</w:t>
      </w:r>
    </w:p>
    <w:p w:rsidR="00BB6ADB" w:rsidRDefault="00D816C9" w:rsidP="00C95616">
      <w:pPr>
        <w:spacing w:before="120" w:after="120"/>
      </w:pPr>
      <w:r>
        <w:t>Red/</w:t>
      </w:r>
      <w:r w:rsidR="00BC5AF7">
        <w:t>Lumo is</w:t>
      </w:r>
      <w:r w:rsidR="00405607">
        <w:t xml:space="preserve"> concerned that increasing the amount doesn’t </w:t>
      </w:r>
      <w:r>
        <w:t>help</w:t>
      </w:r>
      <w:r w:rsidR="00405607">
        <w:t xml:space="preserve"> </w:t>
      </w:r>
      <w:r>
        <w:t xml:space="preserve">those </w:t>
      </w:r>
      <w:r w:rsidR="000B568B">
        <w:t>customer</w:t>
      </w:r>
      <w:r>
        <w:t>s who</w:t>
      </w:r>
      <w:r w:rsidR="000B568B">
        <w:t xml:space="preserve"> </w:t>
      </w:r>
      <w:r>
        <w:t xml:space="preserve">are </w:t>
      </w:r>
      <w:r w:rsidR="00405607">
        <w:t>engage</w:t>
      </w:r>
      <w:r>
        <w:t>d</w:t>
      </w:r>
      <w:r w:rsidR="00405607">
        <w:t xml:space="preserve">. </w:t>
      </w:r>
    </w:p>
    <w:p w:rsidR="00251125" w:rsidRPr="00FF26D1" w:rsidRDefault="00BB6ADB" w:rsidP="00C95616">
      <w:pPr>
        <w:spacing w:before="120" w:after="120"/>
      </w:pPr>
      <w:r>
        <w:t xml:space="preserve">The amount </w:t>
      </w:r>
      <w:r w:rsidRPr="00FF26D1">
        <w:t xml:space="preserve">itself is not the issue, but customers might </w:t>
      </w:r>
      <w:r w:rsidR="001058C3" w:rsidRPr="00FF26D1">
        <w:t>elect to not</w:t>
      </w:r>
      <w:r w:rsidR="00251125" w:rsidRPr="00FF26D1">
        <w:t xml:space="preserve"> engage (at risk of unmanageable debt) if the amount is too high</w:t>
      </w:r>
    </w:p>
    <w:p w:rsidR="00251125" w:rsidRPr="00FF26D1" w:rsidRDefault="00251125" w:rsidP="00C95616">
      <w:pPr>
        <w:spacing w:before="120" w:after="120"/>
      </w:pPr>
      <w:r w:rsidRPr="00FF26D1">
        <w:t xml:space="preserve">Questioned </w:t>
      </w:r>
      <w:r w:rsidR="00B50339" w:rsidRPr="00FF26D1">
        <w:t>whether it remained appropriate to have a principle that customers should not be disconnected for being only one quarterly bill in arrears, as it allowed disengaged consumers to incur higher debts before they were required to engage.</w:t>
      </w:r>
    </w:p>
    <w:p w:rsidR="001058C3" w:rsidRPr="00FF26D1" w:rsidRDefault="001058C3" w:rsidP="00C95616">
      <w:pPr>
        <w:spacing w:before="120" w:after="120"/>
      </w:pPr>
    </w:p>
    <w:p w:rsidR="00E965BD" w:rsidRPr="001058C3" w:rsidRDefault="00405607" w:rsidP="00C95616">
      <w:pPr>
        <w:spacing w:before="120" w:after="120"/>
        <w:rPr>
          <w:i/>
        </w:rPr>
      </w:pPr>
      <w:r w:rsidRPr="001058C3">
        <w:rPr>
          <w:i/>
        </w:rPr>
        <w:t xml:space="preserve">Con </w:t>
      </w:r>
      <w:r w:rsidR="00957BD3" w:rsidRPr="001058C3">
        <w:rPr>
          <w:i/>
        </w:rPr>
        <w:t>Hristodoulidis</w:t>
      </w:r>
      <w:r w:rsidR="00B4608F" w:rsidRPr="001058C3">
        <w:rPr>
          <w:i/>
        </w:rPr>
        <w:t xml:space="preserve"> (CHr)</w:t>
      </w:r>
      <w:r w:rsidR="00957BD3" w:rsidRPr="001058C3">
        <w:rPr>
          <w:i/>
        </w:rPr>
        <w:t>, AGL</w:t>
      </w:r>
      <w:r w:rsidR="00E965BD" w:rsidRPr="001058C3">
        <w:rPr>
          <w:i/>
        </w:rPr>
        <w:t>:</w:t>
      </w:r>
    </w:p>
    <w:p w:rsidR="00E965BD" w:rsidRDefault="00A94F50" w:rsidP="00C95616">
      <w:pPr>
        <w:spacing w:before="120" w:after="120"/>
      </w:pPr>
      <w:r>
        <w:t>Customer engagement is a key issue</w:t>
      </w:r>
      <w:r w:rsidR="00D928A2">
        <w:t>.</w:t>
      </w:r>
      <w:r w:rsidR="0039528E">
        <w:t xml:space="preserve"> </w:t>
      </w:r>
      <w:r>
        <w:t>AGL</w:t>
      </w:r>
      <w:r w:rsidR="00037DCE">
        <w:t>’s experience is</w:t>
      </w:r>
      <w:r>
        <w:t xml:space="preserve"> that c</w:t>
      </w:r>
      <w:r w:rsidR="00E965BD">
        <w:t>ustomers are prompted to engage with their retailer upon receiving a bill or disconnection notice</w:t>
      </w:r>
      <w:r w:rsidR="00D928A2">
        <w:t>.</w:t>
      </w:r>
      <w:r w:rsidR="00E965BD">
        <w:t xml:space="preserve"> </w:t>
      </w:r>
    </w:p>
    <w:p w:rsidR="00D928A2" w:rsidRDefault="00E965BD" w:rsidP="00C95616">
      <w:pPr>
        <w:spacing w:before="120" w:after="120"/>
      </w:pPr>
      <w:r>
        <w:t xml:space="preserve">AGL is concerned increasing the amount </w:t>
      </w:r>
      <w:r w:rsidR="00D928A2">
        <w:t xml:space="preserve">could </w:t>
      </w:r>
      <w:r>
        <w:t>decrease customer engage</w:t>
      </w:r>
      <w:r w:rsidR="00D928A2">
        <w:t>ment</w:t>
      </w:r>
      <w:r>
        <w:t xml:space="preserve">. </w:t>
      </w:r>
      <w:r w:rsidR="00D928A2">
        <w:t xml:space="preserve">Increasing the amount could </w:t>
      </w:r>
      <w:r>
        <w:t xml:space="preserve">result in a lag of </w:t>
      </w:r>
      <w:r w:rsidR="00FC326F">
        <w:t xml:space="preserve">seven </w:t>
      </w:r>
      <w:r>
        <w:t xml:space="preserve">months </w:t>
      </w:r>
      <w:r w:rsidR="00131441">
        <w:t xml:space="preserve">(or 2 quarterly bills) </w:t>
      </w:r>
      <w:r>
        <w:t xml:space="preserve">before customers </w:t>
      </w:r>
      <w:r w:rsidR="00131441">
        <w:t>engage</w:t>
      </w:r>
      <w:r w:rsidR="00FC326F">
        <w:t xml:space="preserve">.  </w:t>
      </w:r>
    </w:p>
    <w:p w:rsidR="00E965BD" w:rsidRDefault="00D928A2" w:rsidP="00C95616">
      <w:pPr>
        <w:spacing w:before="120" w:after="120"/>
      </w:pPr>
      <w:r>
        <w:t xml:space="preserve">Customer </w:t>
      </w:r>
      <w:r w:rsidR="00510055">
        <w:t xml:space="preserve">debt </w:t>
      </w:r>
      <w:r>
        <w:t xml:space="preserve">could </w:t>
      </w:r>
      <w:r w:rsidR="00510055">
        <w:t xml:space="preserve">be </w:t>
      </w:r>
      <w:r w:rsidR="00FC326F">
        <w:t>unmanageable for some customers.</w:t>
      </w:r>
    </w:p>
    <w:p w:rsidR="00037DCE" w:rsidRPr="001058C3" w:rsidRDefault="00235215" w:rsidP="00C95616">
      <w:pPr>
        <w:spacing w:before="120" w:after="120"/>
        <w:rPr>
          <w:i/>
        </w:rPr>
      </w:pPr>
      <w:r>
        <w:rPr>
          <w:i/>
        </w:rPr>
        <w:lastRenderedPageBreak/>
        <w:t>SP, AER:</w:t>
      </w:r>
    </w:p>
    <w:p w:rsidR="00405607" w:rsidRDefault="00037DCE" w:rsidP="00C95616">
      <w:pPr>
        <w:spacing w:before="120" w:after="120"/>
      </w:pPr>
      <w:r>
        <w:t>T</w:t>
      </w:r>
      <w:r w:rsidR="00957BD3">
        <w:t xml:space="preserve">he discussion on this issue </w:t>
      </w:r>
      <w:r w:rsidR="00405607">
        <w:t xml:space="preserve">still </w:t>
      </w:r>
      <w:r w:rsidR="00957BD3">
        <w:t xml:space="preserve">refers to </w:t>
      </w:r>
      <w:r w:rsidR="00405607">
        <w:t xml:space="preserve">quarterly billing </w:t>
      </w:r>
      <w:r w:rsidR="00957BD3">
        <w:t xml:space="preserve">but </w:t>
      </w:r>
      <w:r w:rsidR="00C05E42">
        <w:t xml:space="preserve">given many retailers now </w:t>
      </w:r>
      <w:r w:rsidR="00957BD3">
        <w:t xml:space="preserve">bill customers on </w:t>
      </w:r>
      <w:r w:rsidR="0039528E">
        <w:t xml:space="preserve">a </w:t>
      </w:r>
      <w:r w:rsidR="00957BD3">
        <w:t>monthly basis</w:t>
      </w:r>
      <w:r w:rsidR="00C05E42">
        <w:t xml:space="preserve">, </w:t>
      </w:r>
      <w:r>
        <w:t xml:space="preserve">does </w:t>
      </w:r>
      <w:r w:rsidR="00957BD3">
        <w:t xml:space="preserve">this impact on the amount or retailer practice. </w:t>
      </w:r>
    </w:p>
    <w:p w:rsidR="001058C3" w:rsidRDefault="001058C3" w:rsidP="00C95616">
      <w:pPr>
        <w:spacing w:before="120" w:after="120"/>
        <w:rPr>
          <w:i/>
        </w:rPr>
      </w:pPr>
    </w:p>
    <w:p w:rsidR="00A94F50" w:rsidRPr="001058C3" w:rsidRDefault="00405607" w:rsidP="00C95616">
      <w:pPr>
        <w:spacing w:before="120" w:after="120"/>
        <w:rPr>
          <w:i/>
        </w:rPr>
      </w:pPr>
      <w:r w:rsidRPr="001058C3">
        <w:rPr>
          <w:i/>
        </w:rPr>
        <w:t xml:space="preserve">Andrew </w:t>
      </w:r>
      <w:r w:rsidR="00957BD3" w:rsidRPr="001058C3">
        <w:rPr>
          <w:i/>
        </w:rPr>
        <w:t>Mair</w:t>
      </w:r>
      <w:r w:rsidR="00B4608F" w:rsidRPr="001058C3">
        <w:rPr>
          <w:i/>
        </w:rPr>
        <w:t xml:space="preserve"> (AM)</w:t>
      </w:r>
      <w:r w:rsidR="00957BD3" w:rsidRPr="001058C3">
        <w:rPr>
          <w:i/>
        </w:rPr>
        <w:t>, M2</w:t>
      </w:r>
      <w:r w:rsidR="00510055" w:rsidRPr="001058C3">
        <w:rPr>
          <w:i/>
        </w:rPr>
        <w:t>/Dodo:</w:t>
      </w:r>
      <w:r w:rsidR="00957BD3" w:rsidRPr="001058C3">
        <w:rPr>
          <w:i/>
        </w:rPr>
        <w:t xml:space="preserve"> </w:t>
      </w:r>
    </w:p>
    <w:p w:rsidR="00037DCE" w:rsidRDefault="00957BD3" w:rsidP="00C95616">
      <w:pPr>
        <w:spacing w:before="120" w:after="120"/>
      </w:pPr>
      <w:r>
        <w:t>M2/Dodo bill</w:t>
      </w:r>
      <w:r w:rsidR="00037DCE">
        <w:t>s customers quarterly</w:t>
      </w:r>
      <w:r>
        <w:t xml:space="preserve"> </w:t>
      </w:r>
      <w:r w:rsidR="00405607">
        <w:t xml:space="preserve">but </w:t>
      </w:r>
      <w:r w:rsidR="00037DCE">
        <w:t xml:space="preserve">puts in place </w:t>
      </w:r>
      <w:r w:rsidR="00405607">
        <w:t xml:space="preserve">monthly payment </w:t>
      </w:r>
      <w:r w:rsidR="002B183B">
        <w:t>arrangements</w:t>
      </w:r>
      <w:r w:rsidR="00405607">
        <w:t>.</w:t>
      </w:r>
      <w:r w:rsidR="00FC326F">
        <w:t xml:space="preserve">  </w:t>
      </w:r>
    </w:p>
    <w:p w:rsidR="001934FC" w:rsidRDefault="001934FC" w:rsidP="001934FC">
      <w:pPr>
        <w:spacing w:before="120" w:after="120"/>
      </w:pPr>
      <w:r>
        <w:t xml:space="preserve">M2/Dodo is concerned about assessing each customer individually and in its experience only gets engagement when it starts the disconnection process. </w:t>
      </w:r>
    </w:p>
    <w:p w:rsidR="007359E1" w:rsidRDefault="00D928A2" w:rsidP="000101E7">
      <w:pPr>
        <w:spacing w:before="120" w:after="120"/>
      </w:pPr>
      <w:r>
        <w:t xml:space="preserve">It agrees that increasing </w:t>
      </w:r>
      <w:r w:rsidR="00164A3B">
        <w:t xml:space="preserve">the amount </w:t>
      </w:r>
      <w:r>
        <w:t xml:space="preserve">could </w:t>
      </w:r>
      <w:r w:rsidR="001934FC">
        <w:t xml:space="preserve">delay when retailers contact customers via texts or calls. </w:t>
      </w:r>
    </w:p>
    <w:p w:rsidR="002B183B" w:rsidRDefault="007359E1" w:rsidP="00C95616">
      <w:pPr>
        <w:spacing w:before="120" w:after="120"/>
      </w:pPr>
      <w:r>
        <w:t xml:space="preserve">M2/Dodo </w:t>
      </w:r>
      <w:r w:rsidR="001934FC">
        <w:t>considers</w:t>
      </w:r>
      <w:r>
        <w:t xml:space="preserve"> </w:t>
      </w:r>
      <w:r w:rsidR="001934FC">
        <w:t xml:space="preserve">we </w:t>
      </w:r>
      <w:r w:rsidR="00164A3B">
        <w:t xml:space="preserve">need to work out </w:t>
      </w:r>
      <w:r w:rsidR="001934FC">
        <w:t xml:space="preserve">at </w:t>
      </w:r>
      <w:r w:rsidR="00164A3B">
        <w:t xml:space="preserve">what amount </w:t>
      </w:r>
      <w:r w:rsidR="001934FC">
        <w:t xml:space="preserve">retailers are </w:t>
      </w:r>
      <w:r w:rsidR="00164A3B">
        <w:t>disconnecting customers.</w:t>
      </w:r>
    </w:p>
    <w:p w:rsidR="001058C3" w:rsidRDefault="001058C3" w:rsidP="00C95616">
      <w:pPr>
        <w:spacing w:before="120" w:after="120"/>
        <w:rPr>
          <w:i/>
        </w:rPr>
      </w:pPr>
    </w:p>
    <w:p w:rsidR="00D928A2" w:rsidRPr="001058C3" w:rsidRDefault="00957BD3" w:rsidP="00C95616">
      <w:pPr>
        <w:spacing w:before="120" w:after="120"/>
        <w:rPr>
          <w:i/>
        </w:rPr>
      </w:pPr>
      <w:r w:rsidRPr="001058C3">
        <w:rPr>
          <w:i/>
        </w:rPr>
        <w:t>CH</w:t>
      </w:r>
      <w:r w:rsidR="00B12C7B" w:rsidRPr="001058C3">
        <w:rPr>
          <w:i/>
        </w:rPr>
        <w:t>r</w:t>
      </w:r>
      <w:r w:rsidR="00D928A2" w:rsidRPr="001058C3">
        <w:rPr>
          <w:i/>
        </w:rPr>
        <w:t>, AGL:</w:t>
      </w:r>
      <w:r w:rsidRPr="001058C3">
        <w:rPr>
          <w:i/>
        </w:rPr>
        <w:t xml:space="preserve"> </w:t>
      </w:r>
    </w:p>
    <w:p w:rsidR="001934FC" w:rsidRDefault="008337E3" w:rsidP="00C95616">
      <w:pPr>
        <w:spacing w:before="120" w:after="120"/>
      </w:pPr>
      <w:r>
        <w:t>AGL believes t</w:t>
      </w:r>
      <w:r w:rsidR="00904AEC">
        <w:t xml:space="preserve">he amount should not be used to provide protections against the </w:t>
      </w:r>
      <w:r w:rsidR="00D928A2">
        <w:t xml:space="preserve">broader </w:t>
      </w:r>
      <w:r w:rsidR="00904AEC">
        <w:t>social issues</w:t>
      </w:r>
      <w:r w:rsidR="00D928A2">
        <w:t xml:space="preserve"> underlying rising disconnections and energy prices</w:t>
      </w:r>
      <w:r w:rsidR="00904AEC">
        <w:t xml:space="preserve">. </w:t>
      </w:r>
    </w:p>
    <w:p w:rsidR="00164A3B" w:rsidRDefault="001934FC" w:rsidP="00C95616">
      <w:pPr>
        <w:spacing w:before="120" w:after="120"/>
      </w:pPr>
      <w:r>
        <w:t xml:space="preserve">AGL </w:t>
      </w:r>
      <w:r w:rsidR="001058C3">
        <w:t>reiterated that</w:t>
      </w:r>
      <w:r>
        <w:t xml:space="preserve"> </w:t>
      </w:r>
      <w:r w:rsidR="001058C3">
        <w:t xml:space="preserve">an </w:t>
      </w:r>
      <w:r w:rsidR="00904AEC">
        <w:t xml:space="preserve">original </w:t>
      </w:r>
      <w:r w:rsidR="00164A3B">
        <w:t xml:space="preserve">principle was </w:t>
      </w:r>
      <w:r w:rsidR="00904AEC">
        <w:t xml:space="preserve">to set an </w:t>
      </w:r>
      <w:r w:rsidR="00164A3B">
        <w:t xml:space="preserve">amount </w:t>
      </w:r>
      <w:r w:rsidR="00904AEC">
        <w:t xml:space="preserve">that was less than the cost of recovering the debt. </w:t>
      </w:r>
    </w:p>
    <w:p w:rsidR="001058C3" w:rsidRDefault="001058C3" w:rsidP="00C95616">
      <w:pPr>
        <w:spacing w:before="120" w:after="120"/>
        <w:rPr>
          <w:i/>
        </w:rPr>
      </w:pPr>
    </w:p>
    <w:p w:rsidR="00FC326F" w:rsidRPr="001058C3" w:rsidRDefault="00164A3B" w:rsidP="00C95616">
      <w:pPr>
        <w:spacing w:before="120" w:after="120"/>
        <w:rPr>
          <w:i/>
        </w:rPr>
      </w:pPr>
      <w:r w:rsidRPr="001058C3">
        <w:rPr>
          <w:i/>
        </w:rPr>
        <w:t>Libby</w:t>
      </w:r>
      <w:r w:rsidR="00904AEC" w:rsidRPr="001058C3">
        <w:rPr>
          <w:i/>
        </w:rPr>
        <w:t xml:space="preserve"> Hawker</w:t>
      </w:r>
      <w:r w:rsidR="00B4608F" w:rsidRPr="001058C3">
        <w:rPr>
          <w:i/>
        </w:rPr>
        <w:t xml:space="preserve"> (LH)</w:t>
      </w:r>
      <w:r w:rsidR="00904AEC" w:rsidRPr="001058C3">
        <w:rPr>
          <w:i/>
        </w:rPr>
        <w:t>,</w:t>
      </w:r>
      <w:r w:rsidRPr="001058C3">
        <w:rPr>
          <w:i/>
        </w:rPr>
        <w:t xml:space="preserve"> ERM</w:t>
      </w:r>
      <w:r w:rsidR="00FC326F" w:rsidRPr="001058C3">
        <w:rPr>
          <w:i/>
        </w:rPr>
        <w:t>:</w:t>
      </w:r>
    </w:p>
    <w:p w:rsidR="00FC326F" w:rsidRDefault="00FC326F" w:rsidP="00C95616">
      <w:pPr>
        <w:spacing w:before="120" w:after="120"/>
      </w:pPr>
      <w:r>
        <w:t>Small business customer need to be considered in this discussion</w:t>
      </w:r>
      <w:r w:rsidR="00D928A2">
        <w:t>.</w:t>
      </w:r>
    </w:p>
    <w:p w:rsidR="002830D5" w:rsidRDefault="002830D5" w:rsidP="002830D5">
      <w:pPr>
        <w:spacing w:before="120" w:after="120"/>
      </w:pPr>
      <w:r>
        <w:t xml:space="preserve">ERM is concerned about facilitating/allowing a business to accrue debt to unmanageable levels, and this may mask that relevant test of solvency of their ability to pay their bills by the due date. Businesses not being triggered to seek solvency advice surrounding debt may cause issues and it could be argued that allowing debt to accrue is like allowing the business to trading while insolvent. There can be impacts to the customer and also other creditors. </w:t>
      </w:r>
    </w:p>
    <w:p w:rsidR="001058C3" w:rsidRDefault="001058C3" w:rsidP="00C95616">
      <w:pPr>
        <w:spacing w:before="120" w:after="120"/>
        <w:rPr>
          <w:i/>
        </w:rPr>
      </w:pPr>
    </w:p>
    <w:p w:rsidR="00FC326F" w:rsidRPr="001058C3" w:rsidRDefault="00164A3B" w:rsidP="00C95616">
      <w:pPr>
        <w:spacing w:before="120" w:after="120"/>
        <w:rPr>
          <w:i/>
        </w:rPr>
      </w:pPr>
      <w:r w:rsidRPr="001058C3">
        <w:rPr>
          <w:i/>
        </w:rPr>
        <w:t xml:space="preserve">Denise </w:t>
      </w:r>
      <w:r w:rsidR="00FE371E" w:rsidRPr="001058C3">
        <w:rPr>
          <w:i/>
        </w:rPr>
        <w:t>Boyd</w:t>
      </w:r>
      <w:r w:rsidR="00B4608F" w:rsidRPr="001058C3">
        <w:rPr>
          <w:i/>
        </w:rPr>
        <w:t xml:space="preserve"> (DB)</w:t>
      </w:r>
      <w:r w:rsidR="00FE371E" w:rsidRPr="001058C3">
        <w:rPr>
          <w:i/>
        </w:rPr>
        <w:t>, CALC</w:t>
      </w:r>
      <w:r w:rsidR="00FC326F" w:rsidRPr="001058C3">
        <w:rPr>
          <w:i/>
        </w:rPr>
        <w:t>:</w:t>
      </w:r>
    </w:p>
    <w:p w:rsidR="00FC326F" w:rsidRDefault="001934FC" w:rsidP="00C95616">
      <w:pPr>
        <w:spacing w:before="120" w:after="120"/>
      </w:pPr>
      <w:r>
        <w:t>CALC believes t</w:t>
      </w:r>
      <w:r w:rsidR="00FC326F">
        <w:t xml:space="preserve">he most vulnerable customers need to be </w:t>
      </w:r>
      <w:r w:rsidR="00B75246">
        <w:t>protected</w:t>
      </w:r>
      <w:r w:rsidR="00D928A2">
        <w:t>.</w:t>
      </w:r>
      <w:r w:rsidR="00FC326F">
        <w:t xml:space="preserve"> </w:t>
      </w:r>
    </w:p>
    <w:p w:rsidR="001934FC" w:rsidRPr="001934FC" w:rsidRDefault="001934FC" w:rsidP="00C95616">
      <w:pPr>
        <w:spacing w:before="120" w:after="120"/>
      </w:pPr>
      <w:r>
        <w:t>In CALC’s experience the impact on customers who can’t pay can be profound, as found in its 2015 report</w:t>
      </w:r>
      <w:r w:rsidR="00D928A2">
        <w:t xml:space="preserve"> on Victorian energy and vulnerable customers</w:t>
      </w:r>
      <w:r>
        <w:t xml:space="preserve"> </w:t>
      </w:r>
      <w:r>
        <w:rPr>
          <w:i/>
        </w:rPr>
        <w:t>Heat or Eat</w:t>
      </w:r>
      <w:r>
        <w:t xml:space="preserve">. Customers’ circumstances can be exacerbated by serious social issues like domestic violence. </w:t>
      </w:r>
    </w:p>
    <w:p w:rsidR="001934FC" w:rsidRDefault="00FE371E" w:rsidP="00C95616">
      <w:pPr>
        <w:spacing w:before="120" w:after="120"/>
      </w:pPr>
      <w:r>
        <w:t>CALC’s preference is to l</w:t>
      </w:r>
      <w:r w:rsidR="00164A3B">
        <w:t xml:space="preserve">ink </w:t>
      </w:r>
      <w:r>
        <w:t xml:space="preserve">the amount </w:t>
      </w:r>
      <w:r w:rsidR="00164A3B">
        <w:t xml:space="preserve">to </w:t>
      </w:r>
      <w:r>
        <w:t xml:space="preserve">two </w:t>
      </w:r>
      <w:r w:rsidR="00164A3B">
        <w:t xml:space="preserve">billing cycles and have an average for </w:t>
      </w:r>
      <w:r>
        <w:t>the two</w:t>
      </w:r>
      <w:r w:rsidR="00164A3B">
        <w:t xml:space="preserve">. </w:t>
      </w:r>
      <w:r w:rsidR="00FC326F">
        <w:t xml:space="preserve">  </w:t>
      </w:r>
    </w:p>
    <w:p w:rsidR="00FC326F" w:rsidRDefault="001934FC" w:rsidP="00C95616">
      <w:pPr>
        <w:spacing w:before="120" w:after="120"/>
      </w:pPr>
      <w:r>
        <w:t xml:space="preserve">CALC is also </w:t>
      </w:r>
      <w:r w:rsidR="00FC326F">
        <w:t xml:space="preserve">concerned about how the de-energisation of smart meters may lead to less </w:t>
      </w:r>
      <w:r w:rsidR="00B75246">
        <w:t xml:space="preserve">personal </w:t>
      </w:r>
      <w:r w:rsidR="00C05822">
        <w:t>interaction</w:t>
      </w:r>
      <w:r w:rsidR="00FC326F">
        <w:t xml:space="preserve"> with customers prior to disconnection.</w:t>
      </w:r>
    </w:p>
    <w:p w:rsidR="001058C3" w:rsidRDefault="001058C3" w:rsidP="00C95616">
      <w:pPr>
        <w:spacing w:before="120" w:after="120"/>
        <w:rPr>
          <w:i/>
        </w:rPr>
      </w:pPr>
    </w:p>
    <w:p w:rsidR="0039528E" w:rsidRDefault="0039528E">
      <w:pPr>
        <w:rPr>
          <w:i/>
        </w:rPr>
      </w:pPr>
      <w:r>
        <w:rPr>
          <w:i/>
        </w:rPr>
        <w:br w:type="page"/>
      </w:r>
    </w:p>
    <w:p w:rsidR="00C05822" w:rsidRPr="001058C3" w:rsidRDefault="00FE371E" w:rsidP="00C95616">
      <w:pPr>
        <w:spacing w:before="120" w:after="120"/>
        <w:rPr>
          <w:i/>
        </w:rPr>
      </w:pPr>
      <w:r w:rsidRPr="001058C3">
        <w:rPr>
          <w:i/>
        </w:rPr>
        <w:lastRenderedPageBreak/>
        <w:t>Haiden Jones</w:t>
      </w:r>
      <w:r w:rsidR="00B4608F" w:rsidRPr="001058C3">
        <w:rPr>
          <w:i/>
        </w:rPr>
        <w:t xml:space="preserve"> (HJ)</w:t>
      </w:r>
      <w:r w:rsidRPr="001058C3">
        <w:rPr>
          <w:i/>
        </w:rPr>
        <w:t>,</w:t>
      </w:r>
      <w:r w:rsidR="00164A3B" w:rsidRPr="001058C3">
        <w:rPr>
          <w:i/>
        </w:rPr>
        <w:t xml:space="preserve"> Powershop</w:t>
      </w:r>
      <w:r w:rsidR="00C05822" w:rsidRPr="001058C3">
        <w:rPr>
          <w:i/>
        </w:rPr>
        <w:t>:</w:t>
      </w:r>
    </w:p>
    <w:p w:rsidR="00C05822" w:rsidRDefault="00C05822" w:rsidP="00C95616">
      <w:pPr>
        <w:spacing w:before="120" w:after="120"/>
      </w:pPr>
      <w:r>
        <w:t>Communication with customers is a key issue</w:t>
      </w:r>
    </w:p>
    <w:p w:rsidR="00D4051F" w:rsidRDefault="00FE371E" w:rsidP="00C95616">
      <w:pPr>
        <w:spacing w:before="120" w:after="120"/>
      </w:pPr>
      <w:r>
        <w:t xml:space="preserve">Powershop </w:t>
      </w:r>
      <w:r w:rsidR="00C05822">
        <w:t>view</w:t>
      </w:r>
      <w:r w:rsidR="00B75246">
        <w:t>s</w:t>
      </w:r>
      <w:r w:rsidR="00C05822">
        <w:t xml:space="preserve"> disconnections</w:t>
      </w:r>
      <w:r w:rsidR="00235215">
        <w:t xml:space="preserve"> </w:t>
      </w:r>
      <w:r w:rsidR="009B5E83">
        <w:t>as a last resort</w:t>
      </w:r>
      <w:r w:rsidR="00164A3B">
        <w:t xml:space="preserve">. </w:t>
      </w:r>
      <w:r w:rsidR="00A95927">
        <w:t xml:space="preserve"> Powershop </w:t>
      </w:r>
      <w:r w:rsidR="00B75246">
        <w:t>argued</w:t>
      </w:r>
      <w:r w:rsidR="00A95927">
        <w:t xml:space="preserve"> that t</w:t>
      </w:r>
      <w:r>
        <w:t>he i</w:t>
      </w:r>
      <w:r w:rsidR="00164A3B">
        <w:t xml:space="preserve">ndustry could benefit from working more collaboratively with </w:t>
      </w:r>
      <w:r>
        <w:t xml:space="preserve">bodies like CALC </w:t>
      </w:r>
      <w:r w:rsidR="00164A3B">
        <w:t xml:space="preserve">to educate customers </w:t>
      </w:r>
      <w:r>
        <w:t>about the need to talk to their retailer early</w:t>
      </w:r>
      <w:r w:rsidR="00164A3B">
        <w:t xml:space="preserve">. </w:t>
      </w:r>
    </w:p>
    <w:p w:rsidR="00B75246" w:rsidRDefault="00B75246" w:rsidP="00C95616">
      <w:pPr>
        <w:spacing w:before="120" w:after="120"/>
      </w:pPr>
      <w:r>
        <w:t>T</w:t>
      </w:r>
      <w:r w:rsidR="00D4051F">
        <w:t>he energy i</w:t>
      </w:r>
      <w:r w:rsidR="00164A3B">
        <w:t xml:space="preserve">ndustry is </w:t>
      </w:r>
      <w:r w:rsidR="00D928A2">
        <w:t xml:space="preserve">increasingly working to engage with </w:t>
      </w:r>
      <w:r>
        <w:t xml:space="preserve">customers in financial hardship </w:t>
      </w:r>
      <w:r w:rsidR="009B5E83">
        <w:t xml:space="preserve">and the Sustainable Payment Plans framework is a step in the right direction. </w:t>
      </w:r>
      <w:r w:rsidR="00D4051F">
        <w:t xml:space="preserve"> </w:t>
      </w:r>
    </w:p>
    <w:p w:rsidR="00F71054" w:rsidRDefault="00D4051F" w:rsidP="00C95616">
      <w:pPr>
        <w:spacing w:before="120" w:after="120"/>
      </w:pPr>
      <w:r>
        <w:t>Powershop is concerned r</w:t>
      </w:r>
      <w:r w:rsidR="00164A3B">
        <w:t xml:space="preserve">aising the amount </w:t>
      </w:r>
      <w:r w:rsidR="00B75246">
        <w:t xml:space="preserve">could be </w:t>
      </w:r>
      <w:r w:rsidR="00164A3B">
        <w:t>reacti</w:t>
      </w:r>
      <w:r>
        <w:t>ve</w:t>
      </w:r>
      <w:r w:rsidR="00B75246">
        <w:t xml:space="preserve"> and may not address the </w:t>
      </w:r>
      <w:r w:rsidR="00D928A2">
        <w:t>underly</w:t>
      </w:r>
      <w:r w:rsidR="001058C3">
        <w:t>i</w:t>
      </w:r>
      <w:r w:rsidR="00D928A2">
        <w:t xml:space="preserve">ng </w:t>
      </w:r>
      <w:r w:rsidR="00B75246">
        <w:t>problem</w:t>
      </w:r>
      <w:r w:rsidR="00D928A2">
        <w:t>s</w:t>
      </w:r>
      <w:r w:rsidR="00164A3B">
        <w:t xml:space="preserve">. </w:t>
      </w:r>
    </w:p>
    <w:p w:rsidR="001058C3" w:rsidRDefault="001058C3" w:rsidP="00C95616">
      <w:pPr>
        <w:spacing w:before="120" w:after="120"/>
        <w:rPr>
          <w:i/>
        </w:rPr>
      </w:pPr>
    </w:p>
    <w:p w:rsidR="00D4051F" w:rsidRPr="001058C3" w:rsidRDefault="00FB5BDD" w:rsidP="00C95616">
      <w:pPr>
        <w:spacing w:before="120" w:after="120"/>
        <w:rPr>
          <w:i/>
        </w:rPr>
      </w:pPr>
      <w:r>
        <w:rPr>
          <w:i/>
        </w:rPr>
        <w:t xml:space="preserve">Christopher </w:t>
      </w:r>
      <w:r w:rsidR="00F71054" w:rsidRPr="001058C3">
        <w:rPr>
          <w:i/>
        </w:rPr>
        <w:t>Hanna</w:t>
      </w:r>
      <w:r w:rsidR="00B4608F" w:rsidRPr="001058C3">
        <w:rPr>
          <w:i/>
        </w:rPr>
        <w:t xml:space="preserve"> (CH)</w:t>
      </w:r>
      <w:r w:rsidR="00116289" w:rsidRPr="001058C3">
        <w:rPr>
          <w:i/>
        </w:rPr>
        <w:t>, adviser</w:t>
      </w:r>
      <w:r w:rsidR="006636BF" w:rsidRPr="001058C3">
        <w:rPr>
          <w:i/>
        </w:rPr>
        <w:t xml:space="preserve"> to Dan van Holst Pellekaan MP:</w:t>
      </w:r>
    </w:p>
    <w:p w:rsidR="00403231" w:rsidRDefault="00B75246" w:rsidP="00403231">
      <w:pPr>
        <w:spacing w:before="120" w:after="120"/>
      </w:pPr>
      <w:r>
        <w:t>D</w:t>
      </w:r>
      <w:r w:rsidR="00116289">
        <w:t xml:space="preserve">ata </w:t>
      </w:r>
      <w:r>
        <w:t xml:space="preserve">on </w:t>
      </w:r>
      <w:r w:rsidR="00366636">
        <w:t xml:space="preserve">the </w:t>
      </w:r>
      <w:r w:rsidR="00116289">
        <w:t>number of disconnections for customers owing</w:t>
      </w:r>
      <w:r w:rsidR="00F71054">
        <w:t xml:space="preserve"> between $300 and $500</w:t>
      </w:r>
      <w:r>
        <w:t xml:space="preserve"> would be useful</w:t>
      </w:r>
      <w:r w:rsidR="00F71054">
        <w:t xml:space="preserve">. </w:t>
      </w:r>
    </w:p>
    <w:p w:rsidR="00403231" w:rsidRDefault="00403231" w:rsidP="00403231">
      <w:pPr>
        <w:spacing w:before="120" w:after="120"/>
      </w:pPr>
    </w:p>
    <w:p w:rsidR="00403231" w:rsidRDefault="00516FE1" w:rsidP="00403231">
      <w:pPr>
        <w:spacing w:before="120" w:after="120"/>
      </w:pPr>
      <w:r w:rsidRPr="001058C3">
        <w:rPr>
          <w:i/>
        </w:rPr>
        <w:t>Joe Kremzer (JK), EA</w:t>
      </w:r>
      <w:r w:rsidR="000101E7" w:rsidRPr="001058C3">
        <w:rPr>
          <w:i/>
        </w:rPr>
        <w:t>:</w:t>
      </w:r>
      <w:r w:rsidR="00116289" w:rsidRPr="001058C3">
        <w:rPr>
          <w:i/>
        </w:rPr>
        <w:t xml:space="preserve"> </w:t>
      </w:r>
    </w:p>
    <w:p w:rsidR="006636BF" w:rsidRDefault="006636BF" w:rsidP="00403231">
      <w:pPr>
        <w:spacing w:before="120" w:after="120"/>
      </w:pPr>
      <w:r>
        <w:t xml:space="preserve">The threat of disconnection </w:t>
      </w:r>
      <w:r w:rsidR="000101E7">
        <w:t>can</w:t>
      </w:r>
      <w:r>
        <w:t xml:space="preserve"> trigger customers to engage</w:t>
      </w:r>
      <w:r w:rsidR="000101E7">
        <w:t>.</w:t>
      </w:r>
    </w:p>
    <w:p w:rsidR="000101E7" w:rsidRDefault="00B75246" w:rsidP="00C95616">
      <w:pPr>
        <w:spacing w:before="120" w:after="120"/>
      </w:pPr>
      <w:r>
        <w:t xml:space="preserve">In </w:t>
      </w:r>
      <w:r w:rsidR="006636BF">
        <w:t>EA</w:t>
      </w:r>
      <w:r>
        <w:t>’s</w:t>
      </w:r>
      <w:r w:rsidR="006636BF">
        <w:t xml:space="preserve"> </w:t>
      </w:r>
      <w:r>
        <w:t xml:space="preserve">experience </w:t>
      </w:r>
      <w:r w:rsidR="000101E7">
        <w:t xml:space="preserve">customers are more inclined to engage </w:t>
      </w:r>
      <w:r w:rsidR="006636BF">
        <w:t xml:space="preserve">if </w:t>
      </w:r>
      <w:r w:rsidR="000101E7">
        <w:t xml:space="preserve">they know </w:t>
      </w:r>
      <w:r w:rsidR="006636BF">
        <w:t xml:space="preserve">inaction has significant consequences. </w:t>
      </w:r>
    </w:p>
    <w:p w:rsidR="00CE66B2" w:rsidRDefault="006636BF" w:rsidP="00C95616">
      <w:pPr>
        <w:spacing w:before="120" w:after="120"/>
      </w:pPr>
      <w:r>
        <w:t xml:space="preserve">EA believes retailers need to deal respectfully with customer once </w:t>
      </w:r>
      <w:r w:rsidR="00FB074C">
        <w:t>contact is made</w:t>
      </w:r>
      <w:r>
        <w:t xml:space="preserve">.  </w:t>
      </w:r>
    </w:p>
    <w:p w:rsidR="001058C3" w:rsidRDefault="001058C3" w:rsidP="00C95616">
      <w:pPr>
        <w:spacing w:before="120" w:after="120"/>
        <w:rPr>
          <w:i/>
        </w:rPr>
      </w:pPr>
    </w:p>
    <w:p w:rsidR="00CE66B2" w:rsidRPr="001058C3" w:rsidRDefault="00F71054" w:rsidP="00C95616">
      <w:pPr>
        <w:spacing w:before="120" w:after="120"/>
        <w:rPr>
          <w:i/>
        </w:rPr>
      </w:pPr>
      <w:r w:rsidRPr="001058C3">
        <w:rPr>
          <w:i/>
        </w:rPr>
        <w:t>AM</w:t>
      </w:r>
      <w:r w:rsidR="00CE66B2" w:rsidRPr="001058C3">
        <w:rPr>
          <w:i/>
        </w:rPr>
        <w:t>, M2/Dodo:</w:t>
      </w:r>
    </w:p>
    <w:p w:rsidR="00CE66B2" w:rsidRDefault="00CE66B2" w:rsidP="00C95616">
      <w:pPr>
        <w:spacing w:before="120" w:after="120"/>
      </w:pPr>
      <w:r>
        <w:t xml:space="preserve">Raising the amount may not </w:t>
      </w:r>
      <w:r w:rsidR="00902B98">
        <w:t xml:space="preserve">necessarily </w:t>
      </w:r>
      <w:r>
        <w:t xml:space="preserve">result in </w:t>
      </w:r>
      <w:r w:rsidR="00902B98">
        <w:t>fewer</w:t>
      </w:r>
      <w:r>
        <w:t xml:space="preserve"> disconnections</w:t>
      </w:r>
      <w:r w:rsidR="000101E7">
        <w:t xml:space="preserve">, which appears to be the case in Victoria where the minimum disconnection amount is </w:t>
      </w:r>
      <w:r w:rsidR="00902B98">
        <w:t>$120</w:t>
      </w:r>
      <w:r w:rsidR="000101E7">
        <w:t>.</w:t>
      </w:r>
    </w:p>
    <w:p w:rsidR="00CE66B2" w:rsidRDefault="00B75246" w:rsidP="00C95616">
      <w:pPr>
        <w:spacing w:before="120" w:after="120"/>
      </w:pPr>
      <w:r>
        <w:t>In M2/Dodo’s experience c</w:t>
      </w:r>
      <w:r w:rsidR="00CE66B2">
        <w:t>ustomers fall into 1 of 3 categories</w:t>
      </w:r>
      <w:r>
        <w:t>, those who</w:t>
      </w:r>
      <w:r w:rsidR="00CE66B2">
        <w:t>:</w:t>
      </w:r>
    </w:p>
    <w:p w:rsidR="00CE66B2" w:rsidRDefault="00CE66B2" w:rsidP="00B75246">
      <w:pPr>
        <w:pStyle w:val="ListParagraph"/>
        <w:numPr>
          <w:ilvl w:val="0"/>
          <w:numId w:val="2"/>
        </w:numPr>
        <w:spacing w:before="120" w:after="120"/>
      </w:pPr>
      <w:r>
        <w:t>pay on time, which is</w:t>
      </w:r>
      <w:r w:rsidR="00116289">
        <w:t xml:space="preserve"> the majority of </w:t>
      </w:r>
      <w:r w:rsidR="00F71054">
        <w:t>customers</w:t>
      </w:r>
    </w:p>
    <w:p w:rsidR="00CE66B2" w:rsidRDefault="00F71054" w:rsidP="00B75246">
      <w:pPr>
        <w:pStyle w:val="ListParagraph"/>
        <w:numPr>
          <w:ilvl w:val="0"/>
          <w:numId w:val="2"/>
        </w:numPr>
        <w:spacing w:before="120" w:after="120"/>
      </w:pPr>
      <w:r>
        <w:t>pay only when they get the disco</w:t>
      </w:r>
      <w:r w:rsidR="00116289">
        <w:t>nnection</w:t>
      </w:r>
      <w:r>
        <w:t xml:space="preserve"> notice</w:t>
      </w:r>
      <w:r w:rsidR="00CE66B2">
        <w:t>, which is some</w:t>
      </w:r>
    </w:p>
    <w:p w:rsidR="00CE66B2" w:rsidRDefault="00F71054" w:rsidP="00B75246">
      <w:pPr>
        <w:pStyle w:val="ListParagraph"/>
        <w:numPr>
          <w:ilvl w:val="0"/>
          <w:numId w:val="2"/>
        </w:numPr>
        <w:spacing w:before="120" w:after="120"/>
      </w:pPr>
      <w:r>
        <w:t>don’t engage at all</w:t>
      </w:r>
      <w:r w:rsidR="00902B98">
        <w:t>. For these customers</w:t>
      </w:r>
      <w:r>
        <w:t xml:space="preserve"> if amount </w:t>
      </w:r>
      <w:r w:rsidR="00CE66B2">
        <w:t>is increased to</w:t>
      </w:r>
      <w:r>
        <w:t xml:space="preserve"> $500 </w:t>
      </w:r>
      <w:r w:rsidR="00902B98">
        <w:t>retailers would have</w:t>
      </w:r>
      <w:r>
        <w:t xml:space="preserve"> considerably more debt to recover. </w:t>
      </w:r>
    </w:p>
    <w:p w:rsidR="00F71054" w:rsidRDefault="00902B98" w:rsidP="00CE66B2">
      <w:pPr>
        <w:spacing w:before="120" w:after="120"/>
      </w:pPr>
      <w:r>
        <w:t>M2/Dodo agrees that disconnection is the last resort in a suite of protections.</w:t>
      </w:r>
    </w:p>
    <w:p w:rsidR="001058C3" w:rsidRDefault="001058C3" w:rsidP="00C95616">
      <w:pPr>
        <w:spacing w:before="120" w:after="120"/>
        <w:rPr>
          <w:i/>
        </w:rPr>
      </w:pPr>
    </w:p>
    <w:p w:rsidR="00CE66B2" w:rsidRPr="001058C3" w:rsidRDefault="00116289" w:rsidP="00C95616">
      <w:pPr>
        <w:spacing w:before="120" w:after="120"/>
        <w:rPr>
          <w:i/>
        </w:rPr>
      </w:pPr>
      <w:r w:rsidRPr="001058C3">
        <w:rPr>
          <w:i/>
        </w:rPr>
        <w:t>CH</w:t>
      </w:r>
      <w:r w:rsidR="00B4608F" w:rsidRPr="001058C3">
        <w:rPr>
          <w:i/>
        </w:rPr>
        <w:t>r</w:t>
      </w:r>
      <w:r w:rsidR="00CE66B2" w:rsidRPr="001058C3">
        <w:rPr>
          <w:i/>
        </w:rPr>
        <w:t>, AGL:</w:t>
      </w:r>
    </w:p>
    <w:p w:rsidR="000101E7" w:rsidRDefault="000101E7" w:rsidP="00C95616">
      <w:pPr>
        <w:spacing w:before="120" w:after="120"/>
      </w:pPr>
      <w:r>
        <w:t xml:space="preserve">The minimum disconnection protection </w:t>
      </w:r>
      <w:r w:rsidR="00CE66B2">
        <w:t>onl</w:t>
      </w:r>
      <w:r w:rsidR="00F71054">
        <w:t xml:space="preserve">y impacts those customers who don’t engage. </w:t>
      </w:r>
      <w:r>
        <w:t>C</w:t>
      </w:r>
      <w:r w:rsidR="00CE66B2">
        <w:t xml:space="preserve">ustomers </w:t>
      </w:r>
      <w:r w:rsidR="00F71054">
        <w:t xml:space="preserve">who engage will be protected by other rules. </w:t>
      </w:r>
    </w:p>
    <w:p w:rsidR="001058C3" w:rsidRDefault="00CE66B2" w:rsidP="00C95616">
      <w:pPr>
        <w:spacing w:before="120" w:after="120"/>
      </w:pPr>
      <w:r>
        <w:t>AGL consider</w:t>
      </w:r>
      <w:r w:rsidR="00902B98">
        <w:t>s</w:t>
      </w:r>
      <w:r>
        <w:t xml:space="preserve"> </w:t>
      </w:r>
      <w:r w:rsidR="00C30475">
        <w:t>entering into a payment plan as early as possible helps with engagement and managing debt levels.</w:t>
      </w:r>
    </w:p>
    <w:p w:rsidR="0039528E" w:rsidRDefault="0039528E">
      <w:pPr>
        <w:rPr>
          <w:i/>
          <w:iCs/>
        </w:rPr>
      </w:pPr>
      <w:r>
        <w:rPr>
          <w:i/>
          <w:iCs/>
        </w:rPr>
        <w:br w:type="page"/>
      </w:r>
    </w:p>
    <w:p w:rsidR="00235215" w:rsidRPr="00235215" w:rsidRDefault="00403231" w:rsidP="00235215">
      <w:r w:rsidRPr="00403231">
        <w:rPr>
          <w:i/>
          <w:iCs/>
        </w:rPr>
        <w:lastRenderedPageBreak/>
        <w:t>General note</w:t>
      </w:r>
      <w:r w:rsidRPr="00403231">
        <w:t>: a few attendees commented that increasing the amount rewards bad behaviour. Some Ombudsmen and consumer representatives challenged that characterisation, noting customers who don’t pay their bills are often experiencing financial stress and it is an issue of affordability and broader social challenges, rather than bad behaviour on the part of customers.</w:t>
      </w:r>
      <w:r w:rsidR="00235215">
        <w:br/>
      </w:r>
    </w:p>
    <w:p w:rsidR="00366636" w:rsidRPr="00235215" w:rsidRDefault="00366636" w:rsidP="00235215">
      <w:pPr>
        <w:pStyle w:val="ListParagraph"/>
        <w:numPr>
          <w:ilvl w:val="1"/>
          <w:numId w:val="1"/>
        </w:numPr>
        <w:spacing w:before="120" w:after="120"/>
        <w:ind w:left="284" w:hanging="284"/>
        <w:contextualSpacing w:val="0"/>
        <w:rPr>
          <w:b/>
        </w:rPr>
      </w:pPr>
      <w:r w:rsidRPr="00235215">
        <w:rPr>
          <w:b/>
        </w:rPr>
        <w:t xml:space="preserve">Engagement and disconnection </w:t>
      </w:r>
    </w:p>
    <w:p w:rsidR="006F67EC" w:rsidRPr="001058C3" w:rsidRDefault="00116289" w:rsidP="00C95616">
      <w:pPr>
        <w:spacing w:before="120" w:after="120"/>
        <w:rPr>
          <w:i/>
        </w:rPr>
      </w:pPr>
      <w:r w:rsidRPr="001058C3">
        <w:rPr>
          <w:i/>
        </w:rPr>
        <w:t>DB</w:t>
      </w:r>
      <w:r w:rsidR="006F67EC" w:rsidRPr="001058C3">
        <w:rPr>
          <w:i/>
        </w:rPr>
        <w:t>, CALC:</w:t>
      </w:r>
    </w:p>
    <w:p w:rsidR="006F67EC" w:rsidRDefault="006F67EC" w:rsidP="00C95616">
      <w:pPr>
        <w:spacing w:before="120" w:after="120"/>
      </w:pPr>
      <w:r>
        <w:t xml:space="preserve">Lack of payment may not always mean unwillingness to </w:t>
      </w:r>
      <w:r w:rsidR="00C577BA">
        <w:t>engage</w:t>
      </w:r>
      <w:r w:rsidR="00E370A5">
        <w:t>. Payment issues can mask other things that are happening for a customer.</w:t>
      </w:r>
    </w:p>
    <w:p w:rsidR="00F71054" w:rsidRDefault="006F67EC" w:rsidP="006B5F30">
      <w:pPr>
        <w:spacing w:before="120" w:after="120"/>
      </w:pPr>
      <w:r>
        <w:t>CALC</w:t>
      </w:r>
      <w:r w:rsidR="00E370A5">
        <w:t>’s experience is that</w:t>
      </w:r>
      <w:r>
        <w:t xml:space="preserve"> </w:t>
      </w:r>
      <w:r w:rsidR="00116289">
        <w:t>mental health issues, bankruptcy and social services issues</w:t>
      </w:r>
      <w:r>
        <w:t xml:space="preserve"> can impact a customer’s capacity to engage</w:t>
      </w:r>
      <w:r w:rsidR="00116289">
        <w:t xml:space="preserve">. </w:t>
      </w:r>
    </w:p>
    <w:p w:rsidR="001058C3" w:rsidRDefault="001058C3" w:rsidP="006B5F30">
      <w:pPr>
        <w:spacing w:before="120" w:after="120"/>
      </w:pPr>
    </w:p>
    <w:p w:rsidR="006B5F30" w:rsidRPr="002145BA" w:rsidRDefault="006B5F30" w:rsidP="00C83816">
      <w:pPr>
        <w:pStyle w:val="ListParagraph"/>
        <w:numPr>
          <w:ilvl w:val="1"/>
          <w:numId w:val="1"/>
        </w:numPr>
        <w:spacing w:before="120" w:after="120"/>
        <w:ind w:left="284" w:hanging="284"/>
        <w:contextualSpacing w:val="0"/>
        <w:rPr>
          <w:b/>
        </w:rPr>
      </w:pPr>
      <w:r>
        <w:rPr>
          <w:b/>
        </w:rPr>
        <w:t>Clarification of the position under the Retail Rules</w:t>
      </w:r>
    </w:p>
    <w:p w:rsidR="00E370A5" w:rsidRPr="001058C3" w:rsidRDefault="00366636" w:rsidP="00C95616">
      <w:pPr>
        <w:spacing w:before="120" w:after="120"/>
        <w:rPr>
          <w:i/>
        </w:rPr>
      </w:pPr>
      <w:r w:rsidRPr="001058C3">
        <w:rPr>
          <w:i/>
        </w:rPr>
        <w:t>J</w:t>
      </w:r>
      <w:r w:rsidR="00C83816">
        <w:rPr>
          <w:i/>
        </w:rPr>
        <w:t xml:space="preserve">acqueline </w:t>
      </w:r>
      <w:r w:rsidRPr="001058C3">
        <w:rPr>
          <w:i/>
        </w:rPr>
        <w:t>T</w:t>
      </w:r>
      <w:r w:rsidR="00C83816">
        <w:rPr>
          <w:i/>
        </w:rPr>
        <w:t>horpe (JT)</w:t>
      </w:r>
      <w:r w:rsidR="00E370A5" w:rsidRPr="001058C3">
        <w:rPr>
          <w:i/>
        </w:rPr>
        <w:t>, AER</w:t>
      </w:r>
      <w:r w:rsidR="000101E7" w:rsidRPr="001058C3">
        <w:rPr>
          <w:i/>
        </w:rPr>
        <w:t>:</w:t>
      </w:r>
      <w:r w:rsidRPr="001058C3">
        <w:rPr>
          <w:i/>
        </w:rPr>
        <w:t xml:space="preserve"> </w:t>
      </w:r>
    </w:p>
    <w:p w:rsidR="00E370A5" w:rsidRDefault="000101E7" w:rsidP="00C95616">
      <w:pPr>
        <w:spacing w:before="120" w:after="120"/>
      </w:pPr>
      <w:r>
        <w:t>T</w:t>
      </w:r>
      <w:r w:rsidR="00366636">
        <w:t xml:space="preserve">he minimum disconnection </w:t>
      </w:r>
      <w:r w:rsidR="00E370A5">
        <w:t xml:space="preserve">protection </w:t>
      </w:r>
      <w:r w:rsidR="00366636">
        <w:t xml:space="preserve">doesn’t prevent disconnection from occurring. </w:t>
      </w:r>
    </w:p>
    <w:p w:rsidR="000101E7" w:rsidRDefault="00366636" w:rsidP="00C95616">
      <w:pPr>
        <w:spacing w:before="120" w:after="120"/>
      </w:pPr>
      <w:r>
        <w:t xml:space="preserve">The retailer and customer do not have to have an agreement in place in the AER’s view for the Rule to be satisfied. </w:t>
      </w:r>
    </w:p>
    <w:p w:rsidR="0008641A" w:rsidRDefault="00366636" w:rsidP="00C95616">
      <w:pPr>
        <w:spacing w:before="120" w:after="120"/>
      </w:pPr>
      <w:r>
        <w:t xml:space="preserve">The Rules permit the customer to say </w:t>
      </w:r>
      <w:r w:rsidR="000101E7">
        <w:t>“</w:t>
      </w:r>
      <w:r>
        <w:t>I’ll make the payment</w:t>
      </w:r>
      <w:r w:rsidR="000101E7">
        <w:t>” and</w:t>
      </w:r>
      <w:r>
        <w:t xml:space="preserve"> then benefit from the protection. If the retailer has issued a disconnection warning notice and followed the requirements under the Rules and the customer has not engaged then the retailer can disconnect. The triggers will be there regardless of the amount owed.</w:t>
      </w:r>
    </w:p>
    <w:p w:rsidR="001058C3" w:rsidRDefault="001058C3" w:rsidP="00C95616">
      <w:pPr>
        <w:spacing w:before="120" w:after="120"/>
        <w:rPr>
          <w:i/>
        </w:rPr>
      </w:pPr>
    </w:p>
    <w:p w:rsidR="00E370A5" w:rsidRPr="001058C3" w:rsidRDefault="00B4608F" w:rsidP="00C95616">
      <w:pPr>
        <w:spacing w:before="120" w:after="120"/>
        <w:rPr>
          <w:i/>
        </w:rPr>
      </w:pPr>
      <w:r w:rsidRPr="001058C3">
        <w:rPr>
          <w:i/>
        </w:rPr>
        <w:t xml:space="preserve">CH, </w:t>
      </w:r>
      <w:r w:rsidR="00FB5BDD" w:rsidRPr="001058C3">
        <w:rPr>
          <w:i/>
        </w:rPr>
        <w:t>adviser to Dan van Holst Pellekaan MP</w:t>
      </w:r>
      <w:bookmarkStart w:id="0" w:name="_GoBack"/>
      <w:bookmarkEnd w:id="0"/>
      <w:r w:rsidR="003A3C8D" w:rsidRPr="001058C3">
        <w:rPr>
          <w:i/>
        </w:rPr>
        <w:t>:</w:t>
      </w:r>
      <w:r w:rsidR="00C577BA" w:rsidRPr="001058C3">
        <w:rPr>
          <w:i/>
        </w:rPr>
        <w:t xml:space="preserve"> </w:t>
      </w:r>
    </w:p>
    <w:p w:rsidR="0008641A" w:rsidRDefault="00E370A5" w:rsidP="00C95616">
      <w:pPr>
        <w:spacing w:before="120" w:after="120"/>
      </w:pPr>
      <w:r>
        <w:t>Suggested t</w:t>
      </w:r>
      <w:r w:rsidR="00366636">
        <w:t xml:space="preserve">he </w:t>
      </w:r>
      <w:r w:rsidR="0008641A">
        <w:t>amount</w:t>
      </w:r>
      <w:r w:rsidR="00DE345B">
        <w:t xml:space="preserve"> could </w:t>
      </w:r>
      <w:r w:rsidR="00366636">
        <w:t>operate over two bill cycles</w:t>
      </w:r>
      <w:r w:rsidR="0008641A">
        <w:t xml:space="preserve">. </w:t>
      </w:r>
      <w:r>
        <w:t>I</w:t>
      </w:r>
      <w:r w:rsidR="00677E9C">
        <w:t xml:space="preserve">f </w:t>
      </w:r>
      <w:r>
        <w:t xml:space="preserve">the AER </w:t>
      </w:r>
      <w:r w:rsidR="00677E9C">
        <w:t xml:space="preserve">set the </w:t>
      </w:r>
      <w:r w:rsidR="0008641A">
        <w:t xml:space="preserve">amount </w:t>
      </w:r>
      <w:r w:rsidR="00677E9C">
        <w:t xml:space="preserve">at </w:t>
      </w:r>
      <w:r w:rsidR="0008641A">
        <w:t xml:space="preserve">$500 and </w:t>
      </w:r>
      <w:r w:rsidR="00C83816">
        <w:t xml:space="preserve">a </w:t>
      </w:r>
      <w:r w:rsidR="0008641A">
        <w:t xml:space="preserve">customer receives </w:t>
      </w:r>
      <w:r>
        <w:t xml:space="preserve">a </w:t>
      </w:r>
      <w:r w:rsidR="0008641A">
        <w:t>$350 bill</w:t>
      </w:r>
      <w:r w:rsidR="00677E9C">
        <w:t xml:space="preserve">, </w:t>
      </w:r>
      <w:r>
        <w:t xml:space="preserve">the </w:t>
      </w:r>
      <w:r w:rsidR="0008641A">
        <w:t xml:space="preserve">retailer </w:t>
      </w:r>
      <w:r>
        <w:t xml:space="preserve">could </w:t>
      </w:r>
      <w:r w:rsidR="005F6CF0">
        <w:t xml:space="preserve">contact the customer to </w:t>
      </w:r>
      <w:r w:rsidR="00677E9C">
        <w:t>engage</w:t>
      </w:r>
      <w:r>
        <w:t xml:space="preserve"> if the retailer knew by the next bill the customer would owe more than the amount</w:t>
      </w:r>
      <w:r w:rsidR="00677E9C">
        <w:t xml:space="preserve">. </w:t>
      </w:r>
    </w:p>
    <w:p w:rsidR="001058C3" w:rsidRDefault="001058C3" w:rsidP="00C95616">
      <w:pPr>
        <w:spacing w:before="120" w:after="120"/>
        <w:rPr>
          <w:i/>
        </w:rPr>
      </w:pPr>
    </w:p>
    <w:p w:rsidR="003A3C8D" w:rsidRPr="001058C3" w:rsidRDefault="0008641A" w:rsidP="00C95616">
      <w:pPr>
        <w:spacing w:before="120" w:after="120"/>
        <w:rPr>
          <w:i/>
        </w:rPr>
      </w:pPr>
      <w:r w:rsidRPr="001058C3">
        <w:rPr>
          <w:i/>
        </w:rPr>
        <w:t>AM</w:t>
      </w:r>
      <w:r w:rsidR="003A3C8D" w:rsidRPr="001058C3">
        <w:rPr>
          <w:i/>
        </w:rPr>
        <w:t>, M2/Dodo:</w:t>
      </w:r>
    </w:p>
    <w:p w:rsidR="0008641A" w:rsidRDefault="003A3C8D" w:rsidP="00C95616">
      <w:pPr>
        <w:spacing w:before="120" w:after="120"/>
      </w:pPr>
      <w:r>
        <w:t>A</w:t>
      </w:r>
      <w:r w:rsidR="00DE345B">
        <w:t xml:space="preserve"> customer can</w:t>
      </w:r>
      <w:r w:rsidR="00366636">
        <w:t>no</w:t>
      </w:r>
      <w:r w:rsidR="00DE345B">
        <w:t>t be</w:t>
      </w:r>
      <w:r w:rsidR="0008641A">
        <w:t xml:space="preserve"> disconnect</w:t>
      </w:r>
      <w:r w:rsidR="00DE345B">
        <w:t>ed</w:t>
      </w:r>
      <w:r w:rsidR="0008641A">
        <w:t xml:space="preserve"> for an amount</w:t>
      </w:r>
      <w:r w:rsidR="00366636">
        <w:t xml:space="preserve"> that has not been invoiced</w:t>
      </w:r>
      <w:r>
        <w:t>, the</w:t>
      </w:r>
      <w:r w:rsidR="00DE345B">
        <w:t xml:space="preserve"> retailer </w:t>
      </w:r>
      <w:r w:rsidR="00125245">
        <w:t>s</w:t>
      </w:r>
      <w:r w:rsidR="00DE345B">
        <w:t>till has</w:t>
      </w:r>
      <w:r w:rsidR="0008641A">
        <w:t xml:space="preserve"> to issue </w:t>
      </w:r>
      <w:r w:rsidR="00366636">
        <w:t xml:space="preserve">a </w:t>
      </w:r>
      <w:r w:rsidR="0008641A">
        <w:t xml:space="preserve">bill before </w:t>
      </w:r>
      <w:r w:rsidR="00366636">
        <w:t>it</w:t>
      </w:r>
      <w:r w:rsidR="0008641A">
        <w:t xml:space="preserve"> can disconnect. </w:t>
      </w:r>
    </w:p>
    <w:p w:rsidR="001058C3" w:rsidRDefault="001058C3" w:rsidP="00C95616">
      <w:pPr>
        <w:spacing w:before="120" w:after="120"/>
        <w:rPr>
          <w:i/>
        </w:rPr>
      </w:pPr>
    </w:p>
    <w:p w:rsidR="003A3C8D" w:rsidRPr="001058C3" w:rsidRDefault="0008641A" w:rsidP="00C95616">
      <w:pPr>
        <w:spacing w:before="120" w:after="120"/>
        <w:rPr>
          <w:i/>
        </w:rPr>
      </w:pPr>
      <w:r w:rsidRPr="001058C3">
        <w:rPr>
          <w:i/>
        </w:rPr>
        <w:t>Rory</w:t>
      </w:r>
      <w:r w:rsidR="00677E9C" w:rsidRPr="001058C3">
        <w:rPr>
          <w:i/>
        </w:rPr>
        <w:t xml:space="preserve"> </w:t>
      </w:r>
      <w:r w:rsidR="004A2E0A" w:rsidRPr="001058C3">
        <w:rPr>
          <w:i/>
        </w:rPr>
        <w:t>Campbell</w:t>
      </w:r>
      <w:r w:rsidR="00B4608F" w:rsidRPr="001058C3">
        <w:rPr>
          <w:i/>
        </w:rPr>
        <w:t xml:space="preserve"> (RC)</w:t>
      </w:r>
      <w:r w:rsidR="00677E9C" w:rsidRPr="001058C3">
        <w:rPr>
          <w:i/>
        </w:rPr>
        <w:t>, EWON</w:t>
      </w:r>
      <w:r w:rsidR="003A3C8D" w:rsidRPr="001058C3">
        <w:rPr>
          <w:i/>
        </w:rPr>
        <w:t>:</w:t>
      </w:r>
    </w:p>
    <w:p w:rsidR="00E370A5" w:rsidRDefault="003A3C8D" w:rsidP="00C95616">
      <w:pPr>
        <w:spacing w:before="120" w:after="120"/>
      </w:pPr>
      <w:r>
        <w:t>Early engagement</w:t>
      </w:r>
      <w:r w:rsidR="00C577BA">
        <w:t xml:space="preserve"> is a k</w:t>
      </w:r>
      <w:r>
        <w:t xml:space="preserve">ey </w:t>
      </w:r>
      <w:r w:rsidR="00C577BA">
        <w:t>issue</w:t>
      </w:r>
      <w:r w:rsidR="001058C3">
        <w:t xml:space="preserve">, but </w:t>
      </w:r>
      <w:r w:rsidR="00677E9C">
        <w:t xml:space="preserve">EWON </w:t>
      </w:r>
      <w:r w:rsidR="0008641A">
        <w:t>do</w:t>
      </w:r>
      <w:r w:rsidR="00677E9C">
        <w:t>es</w:t>
      </w:r>
      <w:r w:rsidR="0008641A">
        <w:t xml:space="preserve">n’t have a particular view on </w:t>
      </w:r>
      <w:r w:rsidR="006B5F30">
        <w:t xml:space="preserve">where </w:t>
      </w:r>
      <w:r w:rsidR="0008641A">
        <w:t xml:space="preserve">the </w:t>
      </w:r>
      <w:r w:rsidR="00677E9C">
        <w:t>amount</w:t>
      </w:r>
      <w:r w:rsidR="006B5F30">
        <w:t xml:space="preserve"> should be set</w:t>
      </w:r>
      <w:r w:rsidR="0008641A">
        <w:t xml:space="preserve">. </w:t>
      </w:r>
    </w:p>
    <w:p w:rsidR="0008641A" w:rsidRDefault="00E370A5" w:rsidP="00C95616">
      <w:pPr>
        <w:spacing w:before="120" w:after="120"/>
      </w:pPr>
      <w:r>
        <w:t xml:space="preserve">In </w:t>
      </w:r>
      <w:r w:rsidR="003A3C8D">
        <w:t>EWON</w:t>
      </w:r>
      <w:r>
        <w:t>’s experience</w:t>
      </w:r>
      <w:r w:rsidR="0008641A">
        <w:t xml:space="preserve"> retailers can engage earlier than they currently do. </w:t>
      </w:r>
      <w:r w:rsidR="003A3C8D">
        <w:t xml:space="preserve">At present, </w:t>
      </w:r>
      <w:r w:rsidR="00C577BA">
        <w:t>retailers</w:t>
      </w:r>
      <w:r w:rsidR="003A3C8D">
        <w:t xml:space="preserve"> </w:t>
      </w:r>
      <w:r w:rsidR="0008641A">
        <w:t xml:space="preserve">engage when </w:t>
      </w:r>
      <w:r w:rsidR="0039528E">
        <w:t xml:space="preserve">the </w:t>
      </w:r>
      <w:r w:rsidR="0008641A">
        <w:t xml:space="preserve">bill is over a certain amount. </w:t>
      </w:r>
    </w:p>
    <w:p w:rsidR="003A3C8D" w:rsidRPr="001058C3" w:rsidRDefault="0039528E" w:rsidP="00235215">
      <w:pPr>
        <w:rPr>
          <w:i/>
        </w:rPr>
      </w:pPr>
      <w:r>
        <w:rPr>
          <w:i/>
        </w:rPr>
        <w:br w:type="page"/>
      </w:r>
      <w:r w:rsidR="004A2E0A" w:rsidRPr="001058C3">
        <w:rPr>
          <w:i/>
        </w:rPr>
        <w:lastRenderedPageBreak/>
        <w:t>Gary S</w:t>
      </w:r>
      <w:r w:rsidR="00516FE1" w:rsidRPr="001058C3">
        <w:rPr>
          <w:i/>
        </w:rPr>
        <w:t>u</w:t>
      </w:r>
      <w:r w:rsidR="004A2E0A" w:rsidRPr="001058C3">
        <w:rPr>
          <w:i/>
        </w:rPr>
        <w:t>cre</w:t>
      </w:r>
      <w:r w:rsidR="00B4608F" w:rsidRPr="001058C3">
        <w:rPr>
          <w:i/>
        </w:rPr>
        <w:t xml:space="preserve"> (GS)</w:t>
      </w:r>
      <w:r w:rsidR="005B4F54" w:rsidRPr="001058C3">
        <w:rPr>
          <w:i/>
        </w:rPr>
        <w:t xml:space="preserve">, </w:t>
      </w:r>
      <w:r w:rsidR="00677E9C" w:rsidRPr="001058C3">
        <w:rPr>
          <w:i/>
        </w:rPr>
        <w:t>EWOQ</w:t>
      </w:r>
      <w:r w:rsidR="003A3C8D" w:rsidRPr="001058C3">
        <w:rPr>
          <w:i/>
        </w:rPr>
        <w:t>:</w:t>
      </w:r>
    </w:p>
    <w:p w:rsidR="003A3C8D" w:rsidRDefault="003A3C8D" w:rsidP="00C95616">
      <w:pPr>
        <w:spacing w:before="120" w:after="120"/>
      </w:pPr>
      <w:r>
        <w:t xml:space="preserve">Greater education on engagement is important </w:t>
      </w:r>
      <w:r w:rsidR="00E370A5">
        <w:t xml:space="preserve">in achieving effective engagement </w:t>
      </w:r>
    </w:p>
    <w:p w:rsidR="00E370A5" w:rsidRDefault="003A3C8D" w:rsidP="00C95616">
      <w:pPr>
        <w:spacing w:before="120" w:after="120"/>
      </w:pPr>
      <w:r>
        <w:t xml:space="preserve">EWOQ </w:t>
      </w:r>
      <w:r w:rsidR="0008641A">
        <w:t>agree</w:t>
      </w:r>
      <w:r w:rsidR="00677E9C">
        <w:t>d</w:t>
      </w:r>
      <w:r w:rsidR="0008641A">
        <w:t xml:space="preserve"> with </w:t>
      </w:r>
      <w:r w:rsidR="00E370A5">
        <w:t xml:space="preserve">other’s </w:t>
      </w:r>
      <w:r w:rsidR="0008641A">
        <w:t xml:space="preserve">comments that </w:t>
      </w:r>
      <w:r w:rsidR="00E370A5">
        <w:t xml:space="preserve">industry </w:t>
      </w:r>
      <w:r w:rsidR="00677E9C">
        <w:t>need</w:t>
      </w:r>
      <w:r w:rsidR="00E370A5">
        <w:t>s</w:t>
      </w:r>
      <w:r w:rsidR="00677E9C">
        <w:t xml:space="preserve"> </w:t>
      </w:r>
      <w:r w:rsidR="00E370A5">
        <w:t xml:space="preserve">to </w:t>
      </w:r>
      <w:r w:rsidR="0008641A">
        <w:t xml:space="preserve">assist people trying their best to pay their account. </w:t>
      </w:r>
    </w:p>
    <w:p w:rsidR="00E370A5" w:rsidRDefault="00E370A5" w:rsidP="00C95616">
      <w:pPr>
        <w:spacing w:before="120" w:after="120"/>
      </w:pPr>
      <w:r>
        <w:t xml:space="preserve">The cost of living is increasingly high and there are a range of social policy issues that exacerbate the issue of disconnection. </w:t>
      </w:r>
    </w:p>
    <w:p w:rsidR="00983D8C" w:rsidRDefault="00677E9C" w:rsidP="00C95616">
      <w:pPr>
        <w:spacing w:before="120" w:after="120"/>
      </w:pPr>
      <w:r>
        <w:t>EWOQ</w:t>
      </w:r>
      <w:r w:rsidR="0008641A">
        <w:t xml:space="preserve"> </w:t>
      </w:r>
      <w:r w:rsidR="00E370A5">
        <w:t xml:space="preserve">acknowledged </w:t>
      </w:r>
      <w:r w:rsidR="0008641A">
        <w:t xml:space="preserve">retailers try to engage with customers and </w:t>
      </w:r>
      <w:r w:rsidR="00E370A5">
        <w:t xml:space="preserve">lack of engagement can be exacerbated by customers who fail to </w:t>
      </w:r>
      <w:r w:rsidR="0008641A">
        <w:t xml:space="preserve">engagement as well. </w:t>
      </w:r>
    </w:p>
    <w:p w:rsidR="001058C3" w:rsidRDefault="001058C3" w:rsidP="00C95616">
      <w:pPr>
        <w:spacing w:before="120" w:after="120"/>
      </w:pPr>
    </w:p>
    <w:p w:rsidR="003031DE" w:rsidRPr="002145BA" w:rsidRDefault="003031DE" w:rsidP="003031DE">
      <w:pPr>
        <w:pStyle w:val="ListParagraph"/>
        <w:numPr>
          <w:ilvl w:val="1"/>
          <w:numId w:val="1"/>
        </w:numPr>
        <w:spacing w:before="120" w:after="120"/>
        <w:ind w:left="284" w:hanging="284"/>
        <w:contextualSpacing w:val="0"/>
        <w:rPr>
          <w:b/>
        </w:rPr>
      </w:pPr>
      <w:r>
        <w:rPr>
          <w:b/>
        </w:rPr>
        <w:t>Additional points and clarifications</w:t>
      </w:r>
    </w:p>
    <w:p w:rsidR="003A3C8D" w:rsidRPr="001058C3" w:rsidRDefault="00677E9C" w:rsidP="00C95616">
      <w:pPr>
        <w:spacing w:before="120" w:after="120"/>
        <w:rPr>
          <w:i/>
        </w:rPr>
      </w:pPr>
      <w:r w:rsidRPr="001058C3">
        <w:rPr>
          <w:i/>
        </w:rPr>
        <w:t>Lisa Liddell</w:t>
      </w:r>
      <w:r w:rsidR="00B4608F" w:rsidRPr="001058C3">
        <w:rPr>
          <w:i/>
        </w:rPr>
        <w:t xml:space="preserve"> (LL)</w:t>
      </w:r>
      <w:r w:rsidRPr="001058C3">
        <w:rPr>
          <w:i/>
        </w:rPr>
        <w:t>, Meter2Cash</w:t>
      </w:r>
      <w:r w:rsidR="003A3C8D" w:rsidRPr="001058C3">
        <w:rPr>
          <w:i/>
        </w:rPr>
        <w:t>:</w:t>
      </w:r>
    </w:p>
    <w:p w:rsidR="003A3C8D" w:rsidRDefault="003A3C8D" w:rsidP="00C95616">
      <w:pPr>
        <w:spacing w:before="120" w:after="120"/>
      </w:pPr>
      <w:r>
        <w:t>Embedded networks may also be affected</w:t>
      </w:r>
    </w:p>
    <w:p w:rsidR="00983D8C" w:rsidRDefault="003A3C8D" w:rsidP="00C95616">
      <w:pPr>
        <w:spacing w:before="120" w:after="120"/>
      </w:pPr>
      <w:r>
        <w:t>Meter2Cash</w:t>
      </w:r>
      <w:r w:rsidR="006B5F30">
        <w:t>’s experience is</w:t>
      </w:r>
      <w:r w:rsidR="00677E9C">
        <w:t xml:space="preserve"> that the amount is useful as a trigger in the </w:t>
      </w:r>
      <w:r w:rsidR="00983D8C">
        <w:t xml:space="preserve">embedded network space </w:t>
      </w:r>
      <w:r w:rsidR="0027796D">
        <w:t>where there is</w:t>
      </w:r>
      <w:r w:rsidR="00677E9C">
        <w:t xml:space="preserve"> a relatively high level of short stay customers on the Gold Coast who are </w:t>
      </w:r>
      <w:r w:rsidR="00983D8C">
        <w:t>big users of electricity</w:t>
      </w:r>
      <w:r w:rsidR="00B77314">
        <w:t xml:space="preserve"> in particular air-conditioning</w:t>
      </w:r>
      <w:r w:rsidR="00983D8C">
        <w:t xml:space="preserve">. </w:t>
      </w:r>
    </w:p>
    <w:p w:rsidR="001058C3" w:rsidRDefault="001058C3" w:rsidP="00C95616">
      <w:pPr>
        <w:spacing w:before="120" w:after="120"/>
        <w:rPr>
          <w:i/>
        </w:rPr>
      </w:pPr>
    </w:p>
    <w:p w:rsidR="003A3C8D" w:rsidRPr="001058C3" w:rsidRDefault="0027796D" w:rsidP="00C95616">
      <w:pPr>
        <w:spacing w:before="120" w:after="120"/>
        <w:rPr>
          <w:i/>
        </w:rPr>
      </w:pPr>
      <w:r w:rsidRPr="001058C3">
        <w:rPr>
          <w:i/>
        </w:rPr>
        <w:t>HJ</w:t>
      </w:r>
      <w:r w:rsidR="003A3C8D" w:rsidRPr="001058C3">
        <w:rPr>
          <w:i/>
        </w:rPr>
        <w:t>, Powershop:</w:t>
      </w:r>
    </w:p>
    <w:p w:rsidR="00983D8C" w:rsidRDefault="0027796D" w:rsidP="00C95616">
      <w:pPr>
        <w:spacing w:before="120" w:after="120"/>
      </w:pPr>
      <w:r>
        <w:t xml:space="preserve">Powershop </w:t>
      </w:r>
      <w:r w:rsidR="006B5F30">
        <w:t xml:space="preserve">agreed with other comments that </w:t>
      </w:r>
      <w:r w:rsidR="00983D8C">
        <w:t>increasing the amount to $520 will mean customers</w:t>
      </w:r>
      <w:r>
        <w:t>’</w:t>
      </w:r>
      <w:r w:rsidR="00983D8C">
        <w:t xml:space="preserve"> debt will grow</w:t>
      </w:r>
      <w:r w:rsidR="006B5F30">
        <w:t xml:space="preserve">. </w:t>
      </w:r>
      <w:r w:rsidR="000101E7">
        <w:t>R</w:t>
      </w:r>
      <w:r w:rsidR="00983D8C">
        <w:t>etailers</w:t>
      </w:r>
      <w:r>
        <w:t>’</w:t>
      </w:r>
      <w:r w:rsidR="00983D8C">
        <w:t xml:space="preserve"> debt will also grow and will ultimately feed into </w:t>
      </w:r>
      <w:r w:rsidR="006B5F30">
        <w:t xml:space="preserve">the </w:t>
      </w:r>
      <w:r w:rsidR="00983D8C">
        <w:t xml:space="preserve">price of electricity. This will be felt across the customer base. </w:t>
      </w:r>
    </w:p>
    <w:p w:rsidR="001058C3" w:rsidRDefault="001058C3" w:rsidP="00C95616">
      <w:pPr>
        <w:spacing w:before="120" w:after="120"/>
        <w:rPr>
          <w:i/>
        </w:rPr>
      </w:pPr>
    </w:p>
    <w:p w:rsidR="003A3C8D" w:rsidRPr="001058C3" w:rsidRDefault="00983D8C" w:rsidP="00C95616">
      <w:pPr>
        <w:spacing w:before="120" w:after="120"/>
        <w:rPr>
          <w:i/>
        </w:rPr>
      </w:pPr>
      <w:r w:rsidRPr="001058C3">
        <w:rPr>
          <w:i/>
        </w:rPr>
        <w:t>AM</w:t>
      </w:r>
      <w:r w:rsidR="003A3C8D" w:rsidRPr="001058C3">
        <w:rPr>
          <w:i/>
        </w:rPr>
        <w:t>, M2/Dodo:</w:t>
      </w:r>
    </w:p>
    <w:p w:rsidR="006B5F30" w:rsidRDefault="006B5F30" w:rsidP="00C95616">
      <w:pPr>
        <w:spacing w:before="120" w:after="120"/>
      </w:pPr>
      <w:r>
        <w:t xml:space="preserve">In </w:t>
      </w:r>
      <w:r w:rsidR="003A3C8D">
        <w:t>M2/Dodo</w:t>
      </w:r>
      <w:r>
        <w:t>’s experience</w:t>
      </w:r>
      <w:r w:rsidR="003A3C8D">
        <w:t xml:space="preserve"> </w:t>
      </w:r>
      <w:r w:rsidR="0027796D">
        <w:t xml:space="preserve">customers </w:t>
      </w:r>
      <w:r w:rsidR="003A3C8D">
        <w:t xml:space="preserve">who do not engage </w:t>
      </w:r>
      <w:r w:rsidR="0027796D">
        <w:t>are often the</w:t>
      </w:r>
      <w:r w:rsidR="00983D8C">
        <w:t xml:space="preserve"> most expensive customers to service. </w:t>
      </w:r>
      <w:r>
        <w:t>M2/Dodo believe</w:t>
      </w:r>
      <w:r w:rsidR="000101E7">
        <w:t>s</w:t>
      </w:r>
      <w:r>
        <w:t xml:space="preserve"> </w:t>
      </w:r>
      <w:r w:rsidR="00983D8C">
        <w:t>increas</w:t>
      </w:r>
      <w:r>
        <w:t>ing</w:t>
      </w:r>
      <w:r w:rsidR="00983D8C">
        <w:t xml:space="preserve"> </w:t>
      </w:r>
      <w:r w:rsidR="0027796D">
        <w:t xml:space="preserve">the amount </w:t>
      </w:r>
      <w:r w:rsidR="00983D8C">
        <w:t xml:space="preserve">will just exacerbate the problem. </w:t>
      </w:r>
    </w:p>
    <w:p w:rsidR="006B5F30" w:rsidRDefault="006B5F30" w:rsidP="00C95616">
      <w:pPr>
        <w:spacing w:before="120" w:after="120"/>
      </w:pPr>
      <w:r>
        <w:t xml:space="preserve">It agreed with other comments that for these customers a retailer often </w:t>
      </w:r>
      <w:r w:rsidR="00983D8C">
        <w:t>only get</w:t>
      </w:r>
      <w:r>
        <w:t>s</w:t>
      </w:r>
      <w:r w:rsidR="00983D8C">
        <w:t xml:space="preserve"> engagement where </w:t>
      </w:r>
      <w:r>
        <w:t xml:space="preserve">they </w:t>
      </w:r>
      <w:r w:rsidR="00983D8C">
        <w:t xml:space="preserve">disconnect. </w:t>
      </w:r>
      <w:r>
        <w:t xml:space="preserve">The problem may only become apparent if </w:t>
      </w:r>
      <w:r w:rsidR="00125245">
        <w:t xml:space="preserve">the power goes off or the distributor visits the property </w:t>
      </w:r>
      <w:r>
        <w:t xml:space="preserve">for example </w:t>
      </w:r>
      <w:r w:rsidR="00125245">
        <w:t xml:space="preserve">the customer is not receiving their mail. </w:t>
      </w:r>
    </w:p>
    <w:p w:rsidR="00983D8C" w:rsidRDefault="0027796D" w:rsidP="00C95616">
      <w:pPr>
        <w:spacing w:before="120" w:after="120"/>
      </w:pPr>
      <w:r>
        <w:t>It is a matter of f</w:t>
      </w:r>
      <w:r w:rsidR="00983D8C">
        <w:t xml:space="preserve">inding that balance between social and corporate responsibility. </w:t>
      </w:r>
    </w:p>
    <w:p w:rsidR="001058C3" w:rsidRDefault="001058C3" w:rsidP="00C95616">
      <w:pPr>
        <w:spacing w:before="120" w:after="120"/>
        <w:rPr>
          <w:i/>
        </w:rPr>
      </w:pPr>
    </w:p>
    <w:p w:rsidR="006B5F30" w:rsidRPr="001058C3" w:rsidRDefault="00D92E68" w:rsidP="00C95616">
      <w:pPr>
        <w:spacing w:before="120" w:after="120"/>
        <w:rPr>
          <w:i/>
        </w:rPr>
      </w:pPr>
      <w:r w:rsidRPr="001058C3">
        <w:rPr>
          <w:i/>
        </w:rPr>
        <w:t>J</w:t>
      </w:r>
      <w:r w:rsidR="0027796D" w:rsidRPr="001058C3">
        <w:rPr>
          <w:i/>
        </w:rPr>
        <w:t>L</w:t>
      </w:r>
      <w:r w:rsidR="006B5F30" w:rsidRPr="001058C3">
        <w:rPr>
          <w:i/>
        </w:rPr>
        <w:t>, PIAC</w:t>
      </w:r>
      <w:r w:rsidR="000101E7" w:rsidRPr="001058C3">
        <w:rPr>
          <w:i/>
        </w:rPr>
        <w:t>:</w:t>
      </w:r>
      <w:r w:rsidRPr="001058C3">
        <w:rPr>
          <w:i/>
        </w:rPr>
        <w:t xml:space="preserve"> </w:t>
      </w:r>
    </w:p>
    <w:p w:rsidR="006B5F30" w:rsidRDefault="006B5F30" w:rsidP="00C95616">
      <w:pPr>
        <w:spacing w:before="120" w:after="120"/>
      </w:pPr>
      <w:r>
        <w:t xml:space="preserve">An issue for consideration is </w:t>
      </w:r>
      <w:r w:rsidR="0027796D">
        <w:t xml:space="preserve">whether </w:t>
      </w:r>
      <w:r w:rsidR="002C16D7">
        <w:t>the</w:t>
      </w:r>
      <w:r w:rsidR="00D92E68">
        <w:t xml:space="preserve"> other protections </w:t>
      </w:r>
      <w:r>
        <w:t xml:space="preserve">in the Rules </w:t>
      </w:r>
      <w:r w:rsidR="0027796D">
        <w:t xml:space="preserve">have </w:t>
      </w:r>
      <w:r w:rsidR="00D92E68">
        <w:t>been working as we think they should be</w:t>
      </w:r>
      <w:r>
        <w:t xml:space="preserve"> and </w:t>
      </w:r>
      <w:r w:rsidR="0027796D">
        <w:t xml:space="preserve">whether </w:t>
      </w:r>
      <w:r w:rsidR="00D92E68">
        <w:t xml:space="preserve">retailers </w:t>
      </w:r>
      <w:r w:rsidR="0027796D">
        <w:t xml:space="preserve">are </w:t>
      </w:r>
      <w:r w:rsidR="00D92E68">
        <w:t xml:space="preserve">as close to best practice as they could be. </w:t>
      </w:r>
    </w:p>
    <w:p w:rsidR="001058C3" w:rsidRDefault="0027796D" w:rsidP="00403231">
      <w:pPr>
        <w:spacing w:before="120" w:after="120"/>
        <w:rPr>
          <w:i/>
        </w:rPr>
      </w:pPr>
      <w:r>
        <w:t xml:space="preserve">PIAC </w:t>
      </w:r>
      <w:r w:rsidR="00D92E68">
        <w:t>think</w:t>
      </w:r>
      <w:r>
        <w:t>s</w:t>
      </w:r>
      <w:r w:rsidR="00D92E68">
        <w:t xml:space="preserve"> the </w:t>
      </w:r>
      <w:r w:rsidR="006B5F30">
        <w:t xml:space="preserve">minimum disconnection </w:t>
      </w:r>
      <w:r w:rsidR="00D92E68">
        <w:t>protection should be stronger</w:t>
      </w:r>
      <w:r w:rsidR="006B5F30">
        <w:t xml:space="preserve">, especially in the broader context of increasing energy </w:t>
      </w:r>
      <w:r w:rsidR="00D92E68">
        <w:t>prices</w:t>
      </w:r>
      <w:r w:rsidR="006B5F30">
        <w:t xml:space="preserve"> and given disconnection operates as a last resort</w:t>
      </w:r>
      <w:r w:rsidR="00D92E68">
        <w:t xml:space="preserve">. </w:t>
      </w:r>
      <w:r w:rsidR="00403231">
        <w:br/>
      </w:r>
    </w:p>
    <w:p w:rsidR="0027796D" w:rsidRDefault="00D92E68" w:rsidP="001058C3">
      <w:r w:rsidRPr="001058C3">
        <w:rPr>
          <w:i/>
        </w:rPr>
        <w:t>SP</w:t>
      </w:r>
      <w:r w:rsidR="000101E7" w:rsidRPr="001058C3">
        <w:rPr>
          <w:i/>
        </w:rPr>
        <w:t>, AER</w:t>
      </w:r>
      <w:r w:rsidR="001058C3">
        <w:rPr>
          <w:i/>
        </w:rPr>
        <w:t xml:space="preserve"> thanked attendees for their insights. Forum concluded at 11.35am.</w:t>
      </w:r>
      <w:r w:rsidRPr="001058C3">
        <w:rPr>
          <w:i/>
        </w:rPr>
        <w:t xml:space="preserve"> </w:t>
      </w:r>
    </w:p>
    <w:sectPr w:rsidR="0027796D" w:rsidSect="001D5AE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10F" w:rsidRDefault="0038410F" w:rsidP="0038410F">
      <w:pPr>
        <w:spacing w:after="0" w:line="240" w:lineRule="auto"/>
      </w:pPr>
      <w:r>
        <w:separator/>
      </w:r>
    </w:p>
  </w:endnote>
  <w:endnote w:type="continuationSeparator" w:id="0">
    <w:p w:rsidR="0038410F" w:rsidRDefault="0038410F" w:rsidP="00384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029251"/>
      <w:docPartObj>
        <w:docPartGallery w:val="Page Numbers (Bottom of Page)"/>
        <w:docPartUnique/>
      </w:docPartObj>
    </w:sdtPr>
    <w:sdtEndPr>
      <w:rPr>
        <w:noProof/>
      </w:rPr>
    </w:sdtEndPr>
    <w:sdtContent>
      <w:p w:rsidR="0038410F" w:rsidRDefault="0038410F" w:rsidP="0038410F">
        <w:pPr>
          <w:pStyle w:val="Footer"/>
          <w:jc w:val="right"/>
        </w:pPr>
        <w:r>
          <w:fldChar w:fldCharType="begin"/>
        </w:r>
        <w:r>
          <w:instrText xml:space="preserve"> PAGE   \* MERGEFORMAT </w:instrText>
        </w:r>
        <w:r>
          <w:fldChar w:fldCharType="separate"/>
        </w:r>
        <w:r w:rsidR="00984570">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10F" w:rsidRDefault="0038410F" w:rsidP="0038410F">
      <w:pPr>
        <w:spacing w:after="0" w:line="240" w:lineRule="auto"/>
      </w:pPr>
      <w:r>
        <w:separator/>
      </w:r>
    </w:p>
  </w:footnote>
  <w:footnote w:type="continuationSeparator" w:id="0">
    <w:p w:rsidR="0038410F" w:rsidRDefault="0038410F" w:rsidP="003841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937B9"/>
    <w:multiLevelType w:val="hybridMultilevel"/>
    <w:tmpl w:val="8A9605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5116CC3"/>
    <w:multiLevelType w:val="hybridMultilevel"/>
    <w:tmpl w:val="6E74DB6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cdchnas-evs02\home$\apabl\minimum disconnection forum - record of the forum (D2016-00130702).docx"/>
  </w:docVars>
  <w:rsids>
    <w:rsidRoot w:val="00B135A1"/>
    <w:rsid w:val="000101E7"/>
    <w:rsid w:val="00037DCE"/>
    <w:rsid w:val="00067103"/>
    <w:rsid w:val="0008641A"/>
    <w:rsid w:val="00091C87"/>
    <w:rsid w:val="000A0170"/>
    <w:rsid w:val="000B568B"/>
    <w:rsid w:val="000C47CF"/>
    <w:rsid w:val="000D285F"/>
    <w:rsid w:val="00103E00"/>
    <w:rsid w:val="001058C3"/>
    <w:rsid w:val="00116289"/>
    <w:rsid w:val="00125245"/>
    <w:rsid w:val="00131441"/>
    <w:rsid w:val="00134CF9"/>
    <w:rsid w:val="00141D2E"/>
    <w:rsid w:val="00164A3B"/>
    <w:rsid w:val="001934FC"/>
    <w:rsid w:val="001C3F93"/>
    <w:rsid w:val="001C4A6F"/>
    <w:rsid w:val="001D46BE"/>
    <w:rsid w:val="001D5AE3"/>
    <w:rsid w:val="001F7E93"/>
    <w:rsid w:val="002243FB"/>
    <w:rsid w:val="00235215"/>
    <w:rsid w:val="00241804"/>
    <w:rsid w:val="00251125"/>
    <w:rsid w:val="0027796D"/>
    <w:rsid w:val="002830D5"/>
    <w:rsid w:val="002B183B"/>
    <w:rsid w:val="002C16D7"/>
    <w:rsid w:val="003031DE"/>
    <w:rsid w:val="00350C14"/>
    <w:rsid w:val="00366636"/>
    <w:rsid w:val="0038410F"/>
    <w:rsid w:val="00386106"/>
    <w:rsid w:val="0039528E"/>
    <w:rsid w:val="003A3C8D"/>
    <w:rsid w:val="003C2721"/>
    <w:rsid w:val="003C3B94"/>
    <w:rsid w:val="003D1FE8"/>
    <w:rsid w:val="00403231"/>
    <w:rsid w:val="00405607"/>
    <w:rsid w:val="00493825"/>
    <w:rsid w:val="004A2E0A"/>
    <w:rsid w:val="00510055"/>
    <w:rsid w:val="005104D3"/>
    <w:rsid w:val="00516FE1"/>
    <w:rsid w:val="005A399D"/>
    <w:rsid w:val="005B4F54"/>
    <w:rsid w:val="005C17EF"/>
    <w:rsid w:val="005F3506"/>
    <w:rsid w:val="005F6CF0"/>
    <w:rsid w:val="0061220C"/>
    <w:rsid w:val="00625706"/>
    <w:rsid w:val="0064788E"/>
    <w:rsid w:val="006636BF"/>
    <w:rsid w:val="0067082B"/>
    <w:rsid w:val="00677E9C"/>
    <w:rsid w:val="00685BFF"/>
    <w:rsid w:val="006A2EDC"/>
    <w:rsid w:val="006B5F30"/>
    <w:rsid w:val="006C4418"/>
    <w:rsid w:val="006F67EC"/>
    <w:rsid w:val="00721508"/>
    <w:rsid w:val="007359E1"/>
    <w:rsid w:val="00771932"/>
    <w:rsid w:val="00793BCC"/>
    <w:rsid w:val="007A482A"/>
    <w:rsid w:val="007E090F"/>
    <w:rsid w:val="00830F8B"/>
    <w:rsid w:val="008337E3"/>
    <w:rsid w:val="008E551B"/>
    <w:rsid w:val="008F5B2B"/>
    <w:rsid w:val="00902B98"/>
    <w:rsid w:val="00904AEC"/>
    <w:rsid w:val="0092076C"/>
    <w:rsid w:val="0094379E"/>
    <w:rsid w:val="00957BD3"/>
    <w:rsid w:val="00963853"/>
    <w:rsid w:val="00970507"/>
    <w:rsid w:val="00983D8C"/>
    <w:rsid w:val="00984570"/>
    <w:rsid w:val="009B5E83"/>
    <w:rsid w:val="009C44D0"/>
    <w:rsid w:val="00A01CB9"/>
    <w:rsid w:val="00A74FD4"/>
    <w:rsid w:val="00A94F50"/>
    <w:rsid w:val="00A95927"/>
    <w:rsid w:val="00AD0C8D"/>
    <w:rsid w:val="00AE7B36"/>
    <w:rsid w:val="00AF2053"/>
    <w:rsid w:val="00B12C7B"/>
    <w:rsid w:val="00B135A1"/>
    <w:rsid w:val="00B4608F"/>
    <w:rsid w:val="00B50339"/>
    <w:rsid w:val="00B627E8"/>
    <w:rsid w:val="00B75246"/>
    <w:rsid w:val="00B77314"/>
    <w:rsid w:val="00BA18A8"/>
    <w:rsid w:val="00BB6ADB"/>
    <w:rsid w:val="00BC5AF7"/>
    <w:rsid w:val="00C05822"/>
    <w:rsid w:val="00C05E42"/>
    <w:rsid w:val="00C24886"/>
    <w:rsid w:val="00C30475"/>
    <w:rsid w:val="00C577BA"/>
    <w:rsid w:val="00C649F3"/>
    <w:rsid w:val="00C70D2A"/>
    <w:rsid w:val="00C83816"/>
    <w:rsid w:val="00C95616"/>
    <w:rsid w:val="00CA4EFF"/>
    <w:rsid w:val="00CB10A4"/>
    <w:rsid w:val="00CE113D"/>
    <w:rsid w:val="00CE66B2"/>
    <w:rsid w:val="00D349D5"/>
    <w:rsid w:val="00D4051F"/>
    <w:rsid w:val="00D816C9"/>
    <w:rsid w:val="00D928A2"/>
    <w:rsid w:val="00D92E68"/>
    <w:rsid w:val="00DD2707"/>
    <w:rsid w:val="00DE345B"/>
    <w:rsid w:val="00DE751A"/>
    <w:rsid w:val="00DF3DAD"/>
    <w:rsid w:val="00E23643"/>
    <w:rsid w:val="00E370A5"/>
    <w:rsid w:val="00E965BD"/>
    <w:rsid w:val="00F71054"/>
    <w:rsid w:val="00FB074C"/>
    <w:rsid w:val="00FB5BDD"/>
    <w:rsid w:val="00FC250A"/>
    <w:rsid w:val="00FC326F"/>
    <w:rsid w:val="00FE371E"/>
    <w:rsid w:val="00FF26D1"/>
    <w:rsid w:val="00FF28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610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38410F"/>
    <w:pPr>
      <w:ind w:left="720"/>
      <w:contextualSpacing/>
    </w:pPr>
  </w:style>
  <w:style w:type="paragraph" w:styleId="Header">
    <w:name w:val="header"/>
    <w:basedOn w:val="Normal"/>
    <w:link w:val="HeaderChar"/>
    <w:uiPriority w:val="99"/>
    <w:unhideWhenUsed/>
    <w:rsid w:val="00384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10F"/>
  </w:style>
  <w:style w:type="paragraph" w:styleId="Footer">
    <w:name w:val="footer"/>
    <w:basedOn w:val="Normal"/>
    <w:link w:val="FooterChar"/>
    <w:uiPriority w:val="99"/>
    <w:unhideWhenUsed/>
    <w:rsid w:val="00384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10F"/>
  </w:style>
  <w:style w:type="character" w:styleId="CommentReference">
    <w:name w:val="annotation reference"/>
    <w:basedOn w:val="DefaultParagraphFont"/>
    <w:uiPriority w:val="99"/>
    <w:semiHidden/>
    <w:unhideWhenUsed/>
    <w:rsid w:val="00957BD3"/>
    <w:rPr>
      <w:sz w:val="16"/>
      <w:szCs w:val="16"/>
    </w:rPr>
  </w:style>
  <w:style w:type="paragraph" w:styleId="CommentText">
    <w:name w:val="annotation text"/>
    <w:basedOn w:val="Normal"/>
    <w:link w:val="CommentTextChar"/>
    <w:uiPriority w:val="99"/>
    <w:unhideWhenUsed/>
    <w:rsid w:val="00957BD3"/>
    <w:pPr>
      <w:spacing w:line="240" w:lineRule="auto"/>
    </w:pPr>
    <w:rPr>
      <w:sz w:val="20"/>
      <w:szCs w:val="20"/>
    </w:rPr>
  </w:style>
  <w:style w:type="character" w:customStyle="1" w:styleId="CommentTextChar">
    <w:name w:val="Comment Text Char"/>
    <w:basedOn w:val="DefaultParagraphFont"/>
    <w:link w:val="CommentText"/>
    <w:uiPriority w:val="99"/>
    <w:rsid w:val="00957BD3"/>
    <w:rPr>
      <w:sz w:val="20"/>
      <w:szCs w:val="20"/>
    </w:rPr>
  </w:style>
  <w:style w:type="paragraph" w:styleId="CommentSubject">
    <w:name w:val="annotation subject"/>
    <w:basedOn w:val="CommentText"/>
    <w:next w:val="CommentText"/>
    <w:link w:val="CommentSubjectChar"/>
    <w:uiPriority w:val="99"/>
    <w:semiHidden/>
    <w:unhideWhenUsed/>
    <w:rsid w:val="00957BD3"/>
    <w:rPr>
      <w:b/>
      <w:bCs/>
    </w:rPr>
  </w:style>
  <w:style w:type="character" w:customStyle="1" w:styleId="CommentSubjectChar">
    <w:name w:val="Comment Subject Char"/>
    <w:basedOn w:val="CommentTextChar"/>
    <w:link w:val="CommentSubject"/>
    <w:uiPriority w:val="99"/>
    <w:semiHidden/>
    <w:rsid w:val="00957BD3"/>
    <w:rPr>
      <w:b/>
      <w:bCs/>
      <w:sz w:val="20"/>
      <w:szCs w:val="20"/>
    </w:rPr>
  </w:style>
  <w:style w:type="paragraph" w:styleId="BalloonText">
    <w:name w:val="Balloon Text"/>
    <w:basedOn w:val="Normal"/>
    <w:link w:val="BalloonTextChar"/>
    <w:uiPriority w:val="99"/>
    <w:semiHidden/>
    <w:unhideWhenUsed/>
    <w:rsid w:val="00957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BD3"/>
    <w:rPr>
      <w:rFonts w:ascii="Tahoma" w:hAnsi="Tahoma" w:cs="Tahoma"/>
      <w:sz w:val="16"/>
      <w:szCs w:val="16"/>
    </w:rPr>
  </w:style>
  <w:style w:type="paragraph" w:styleId="Revision">
    <w:name w:val="Revision"/>
    <w:hidden/>
    <w:uiPriority w:val="99"/>
    <w:semiHidden/>
    <w:rsid w:val="000D28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1042">
      <w:bodyDiv w:val="1"/>
      <w:marLeft w:val="0"/>
      <w:marRight w:val="0"/>
      <w:marTop w:val="0"/>
      <w:marBottom w:val="0"/>
      <w:divBdr>
        <w:top w:val="none" w:sz="0" w:space="0" w:color="auto"/>
        <w:left w:val="none" w:sz="0" w:space="0" w:color="auto"/>
        <w:bottom w:val="none" w:sz="0" w:space="0" w:color="auto"/>
        <w:right w:val="none" w:sz="0" w:space="0" w:color="auto"/>
      </w:divBdr>
    </w:div>
    <w:div w:id="886186352">
      <w:bodyDiv w:val="1"/>
      <w:marLeft w:val="0"/>
      <w:marRight w:val="0"/>
      <w:marTop w:val="0"/>
      <w:marBottom w:val="0"/>
      <w:divBdr>
        <w:top w:val="none" w:sz="0" w:space="0" w:color="auto"/>
        <w:left w:val="none" w:sz="0" w:space="0" w:color="auto"/>
        <w:bottom w:val="none" w:sz="0" w:space="0" w:color="auto"/>
        <w:right w:val="none" w:sz="0" w:space="0" w:color="auto"/>
      </w:divBdr>
    </w:div>
    <w:div w:id="92912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F38D-B085-48D9-9614-C03174E1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9C9C397D</Template>
  <TotalTime>1</TotalTime>
  <Pages>6</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acccess</dc:creator>
  <cp:lastModifiedBy>Albornoz, Pablo</cp:lastModifiedBy>
  <cp:revision>2</cp:revision>
  <cp:lastPrinted>2016-09-26T05:45:00Z</cp:lastPrinted>
  <dcterms:created xsi:type="dcterms:W3CDTF">2016-10-27T01:24:00Z</dcterms:created>
  <dcterms:modified xsi:type="dcterms:W3CDTF">2016-10-27T01:24:00Z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\\cdchnas-evs02\home$\apabl\minimum disconnection forum - record of the forum (D2016-00130702).docx</vt:lpwstr>
  </property>
</Properties>
</file>